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C87D1" w14:textId="77777777" w:rsidR="007E365E" w:rsidRDefault="007E365E" w:rsidP="007E365E">
      <w:pPr>
        <w:pStyle w:val="Heading1"/>
        <w:numPr>
          <w:ilvl w:val="0"/>
          <w:numId w:val="19"/>
        </w:numPr>
        <w:tabs>
          <w:tab w:val="clear" w:pos="567"/>
        </w:tabs>
      </w:pPr>
      <w:bookmarkStart w:id="0" w:name="_Toc23500144"/>
      <w:bookmarkStart w:id="1" w:name="_Toc32922483"/>
      <w:bookmarkStart w:id="2" w:name="_Toc32922490"/>
      <w:r w:rsidRPr="00173B02">
        <w:t>Justice</w:t>
      </w:r>
      <w:bookmarkStart w:id="3" w:name="_Toc23500146"/>
      <w:bookmarkEnd w:id="0"/>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41"/>
      </w:tblGrid>
      <w:tr w:rsidR="007E365E" w14:paraId="3AD33EA3" w14:textId="77777777" w:rsidTr="007D1D77">
        <w:tc>
          <w:tcPr>
            <w:tcW w:w="8941" w:type="dxa"/>
            <w:shd w:val="clear" w:color="auto" w:fill="EBF3F5"/>
          </w:tcPr>
          <w:p w14:paraId="76433B08" w14:textId="77777777" w:rsidR="007E365E" w:rsidRPr="00173B02" w:rsidRDefault="007E365E" w:rsidP="007D1D77">
            <w:pPr>
              <w:pStyle w:val="Heading4"/>
              <w:outlineLvl w:val="3"/>
            </w:pPr>
            <w:r w:rsidRPr="00173B02">
              <w:t>Summary of the assessment</w:t>
            </w:r>
          </w:p>
          <w:p w14:paraId="0C3CA782" w14:textId="77777777" w:rsidR="007E365E" w:rsidRPr="00F24839" w:rsidRDefault="007E365E" w:rsidP="007D1D77">
            <w:r w:rsidRPr="00F24839">
              <w:t>The Justice category consists of State spending on police services, law courts, legal services, prisons and corrective services. Associated revenues include fees, fines, and user charges such as property title changes and registrations of births, deaths and marriages. These are assessed in the Other revenue category.</w:t>
            </w:r>
          </w:p>
          <w:p w14:paraId="0DF2D49C" w14:textId="77777777" w:rsidR="007E365E" w:rsidRPr="00F24839" w:rsidRDefault="007E365E" w:rsidP="007D1D77">
            <w:r w:rsidRPr="00F24839">
              <w:t>The Commission has assessed above-average costs in States with higher than average concentrations of Indigenous people, young to middle-aged adults and people of low socio</w:t>
            </w:r>
            <w:r>
              <w:noBreakHyphen/>
            </w:r>
            <w:r w:rsidRPr="00F24839">
              <w:t xml:space="preserve">economic status (SES), as they are more likely to come into contact with the justice system. The cost of police, courts and prisons are assessed separately as the extent of the influence of Indigenous status, age and SES is not the same for </w:t>
            </w:r>
            <w:r>
              <w:t>each</w:t>
            </w:r>
            <w:r w:rsidRPr="00F24839">
              <w:t xml:space="preserve"> service, and different data sources are used to measure use of the different services.</w:t>
            </w:r>
          </w:p>
          <w:p w14:paraId="37D328DC" w14:textId="77777777" w:rsidR="007E365E" w:rsidRDefault="007E365E" w:rsidP="007D1D77">
            <w:pPr>
              <w:spacing w:after="120"/>
            </w:pPr>
            <w:r w:rsidRPr="00F24839">
              <w:t>The assessment also recognises the differences between States in wage costs, the higher costs of providing services in remote and very remote locations, and the higher costs to the ACT of using the Australian Federal Police</w:t>
            </w:r>
            <w:r>
              <w:t xml:space="preserve"> (AFP)</w:t>
            </w:r>
            <w:r w:rsidRPr="00F24839">
              <w:t>.</w:t>
            </w:r>
          </w:p>
        </w:tc>
      </w:tr>
    </w:tbl>
    <w:p w14:paraId="5516CE54" w14:textId="77777777" w:rsidR="007E365E" w:rsidRPr="00173B02" w:rsidRDefault="007E365E" w:rsidP="007E365E">
      <w:pPr>
        <w:pStyle w:val="Heading3"/>
      </w:pPr>
      <w:r w:rsidRPr="00173B02">
        <w:t>Service overview</w:t>
      </w:r>
      <w:bookmarkEnd w:id="3"/>
    </w:p>
    <w:p w14:paraId="66F6418F" w14:textId="193B48C2" w:rsidR="007E365E" w:rsidRPr="00C215E8" w:rsidRDefault="007E365E" w:rsidP="007E365E">
      <w:pPr>
        <w:pStyle w:val="CGCParaNumber"/>
        <w:numPr>
          <w:ilvl w:val="0"/>
          <w:numId w:val="26"/>
        </w:numPr>
        <w:ind w:left="567" w:hanging="567"/>
      </w:pPr>
      <w:r w:rsidRPr="00C215E8">
        <w:t>State expenses on Justice were $2</w:t>
      </w:r>
      <w:r>
        <w:t>2</w:t>
      </w:r>
      <w:r w:rsidRPr="00C215E8">
        <w:t> billion in 201</w:t>
      </w:r>
      <w:r>
        <w:t>8</w:t>
      </w:r>
      <w:r w:rsidRPr="00C215E8">
        <w:noBreakHyphen/>
        <w:t>1</w:t>
      </w:r>
      <w:r>
        <w:t>9</w:t>
      </w:r>
      <w:r w:rsidRPr="00C215E8">
        <w:t>, representing 9.</w:t>
      </w:r>
      <w:r>
        <w:t>8</w:t>
      </w:r>
      <w:r w:rsidRPr="00C215E8">
        <w:t>% of total State expenses (</w:t>
      </w:r>
      <w:r>
        <w:fldChar w:fldCharType="begin"/>
      </w:r>
      <w:r>
        <w:instrText xml:space="preserve"> REF _Ref31806951 \h  \* MERGEFORMAT </w:instrText>
      </w:r>
      <w:r>
        <w:fldChar w:fldCharType="separate"/>
      </w:r>
      <w:r w:rsidR="007F721A">
        <w:t>Table 19-1</w:t>
      </w:r>
      <w:r>
        <w:fldChar w:fldCharType="end"/>
      </w:r>
      <w:r w:rsidRPr="00C215E8">
        <w:t>). State spending on Justice includes:</w:t>
      </w:r>
    </w:p>
    <w:p w14:paraId="103DEB03" w14:textId="77777777" w:rsidR="007E365E" w:rsidRPr="00850D12" w:rsidRDefault="007E365E" w:rsidP="007E365E">
      <w:pPr>
        <w:pStyle w:val="CGCBullet1"/>
        <w:numPr>
          <w:ilvl w:val="0"/>
          <w:numId w:val="18"/>
        </w:numPr>
        <w:ind w:left="924" w:hanging="357"/>
      </w:pPr>
      <w:r w:rsidRPr="00850D12">
        <w:t>Police:</w:t>
      </w:r>
    </w:p>
    <w:p w14:paraId="326D8052" w14:textId="77777777" w:rsidR="007E365E" w:rsidRPr="00173B02" w:rsidRDefault="007E365E" w:rsidP="007E365E">
      <w:pPr>
        <w:pStyle w:val="CGCBullet2"/>
        <w:numPr>
          <w:ilvl w:val="0"/>
          <w:numId w:val="3"/>
        </w:numPr>
        <w:tabs>
          <w:tab w:val="left" w:pos="680"/>
        </w:tabs>
        <w:ind w:left="1208" w:hanging="357"/>
      </w:pPr>
      <w:r w:rsidRPr="00173B02">
        <w:t>crime prevention, detection and investigation</w:t>
      </w:r>
    </w:p>
    <w:p w14:paraId="2DE0A667" w14:textId="77777777" w:rsidR="007E365E" w:rsidRPr="00173B02" w:rsidRDefault="007E365E" w:rsidP="007E365E">
      <w:pPr>
        <w:pStyle w:val="CGCBullet2"/>
        <w:numPr>
          <w:ilvl w:val="0"/>
          <w:numId w:val="3"/>
        </w:numPr>
        <w:tabs>
          <w:tab w:val="left" w:pos="680"/>
        </w:tabs>
        <w:ind w:left="1208" w:hanging="357"/>
      </w:pPr>
      <w:r w:rsidRPr="00173B02">
        <w:t>road safety monitoring and promotion, including enforcing traffic law</w:t>
      </w:r>
    </w:p>
    <w:p w14:paraId="1E5C8461" w14:textId="77777777" w:rsidR="007E365E" w:rsidRPr="00173B02" w:rsidRDefault="007E365E" w:rsidP="007E365E">
      <w:pPr>
        <w:pStyle w:val="CGCBullet2"/>
        <w:numPr>
          <w:ilvl w:val="0"/>
          <w:numId w:val="3"/>
        </w:numPr>
        <w:tabs>
          <w:tab w:val="left" w:pos="680"/>
        </w:tabs>
        <w:ind w:left="1208" w:hanging="357"/>
      </w:pPr>
      <w:r w:rsidRPr="00173B02">
        <w:t>maintenance of social order including resolving disputes, dealing with people affected by drugs or alcohol and dealing with domestic violence</w:t>
      </w:r>
    </w:p>
    <w:p w14:paraId="5E4F313D" w14:textId="77777777" w:rsidR="007E365E" w:rsidRPr="00173B02" w:rsidRDefault="007E365E" w:rsidP="007E365E">
      <w:pPr>
        <w:pStyle w:val="CGCBullet2"/>
        <w:numPr>
          <w:ilvl w:val="0"/>
          <w:numId w:val="3"/>
        </w:numPr>
        <w:tabs>
          <w:tab w:val="left" w:pos="680"/>
        </w:tabs>
        <w:ind w:left="1208" w:hanging="357"/>
      </w:pPr>
      <w:r w:rsidRPr="00173B02">
        <w:t>community safety and support including security awareness programs, dealing with community safety concerns, policing major events and undertaking emergency and rescue operations</w:t>
      </w:r>
    </w:p>
    <w:p w14:paraId="1F20CD40" w14:textId="77777777" w:rsidR="007E365E" w:rsidRPr="00173B02" w:rsidRDefault="007E365E" w:rsidP="007E365E">
      <w:pPr>
        <w:pStyle w:val="CGCBullet2"/>
        <w:numPr>
          <w:ilvl w:val="0"/>
          <w:numId w:val="3"/>
        </w:numPr>
        <w:tabs>
          <w:tab w:val="left" w:pos="680"/>
        </w:tabs>
        <w:ind w:left="1208" w:hanging="357"/>
      </w:pPr>
      <w:r w:rsidRPr="00173B02">
        <w:t>court prosecution including attending and preparing for court hearings, and transporting defendants to court.</w:t>
      </w:r>
    </w:p>
    <w:p w14:paraId="486ECCCB" w14:textId="77777777" w:rsidR="007E365E" w:rsidRPr="00850D12" w:rsidRDefault="007E365E" w:rsidP="007E365E">
      <w:pPr>
        <w:pStyle w:val="CGCBullet1"/>
        <w:numPr>
          <w:ilvl w:val="0"/>
          <w:numId w:val="18"/>
        </w:numPr>
        <w:ind w:left="924" w:hanging="357"/>
      </w:pPr>
      <w:r w:rsidRPr="00850D12">
        <w:t>Criminal courts:</w:t>
      </w:r>
    </w:p>
    <w:p w14:paraId="5DB35898" w14:textId="77777777" w:rsidR="007E365E" w:rsidRPr="00173B02" w:rsidRDefault="007E365E" w:rsidP="007E365E">
      <w:pPr>
        <w:pStyle w:val="CGCBullet2"/>
        <w:numPr>
          <w:ilvl w:val="0"/>
          <w:numId w:val="3"/>
        </w:numPr>
        <w:tabs>
          <w:tab w:val="left" w:pos="680"/>
        </w:tabs>
        <w:ind w:left="1208" w:hanging="357"/>
      </w:pPr>
      <w:r w:rsidRPr="00173B02">
        <w:t>Criminal court services are provided in each State. The seriousness and complexity of cases heard at each court level varies across States.</w:t>
      </w:r>
    </w:p>
    <w:p w14:paraId="445A98AF" w14:textId="77777777" w:rsidR="007E365E" w:rsidRPr="00173B02" w:rsidRDefault="007E365E" w:rsidP="007E365E">
      <w:pPr>
        <w:pStyle w:val="CGCBullet2"/>
        <w:numPr>
          <w:ilvl w:val="0"/>
          <w:numId w:val="3"/>
        </w:numPr>
        <w:tabs>
          <w:tab w:val="left" w:pos="680"/>
        </w:tabs>
        <w:ind w:left="1208" w:hanging="357"/>
      </w:pPr>
      <w:r w:rsidRPr="00173B02">
        <w:t>Within the judicial sector a number of agencies have roles that directly or indirectly relate to the work of criminal courts. The criminal courts assessment includes expenses from these related services, such as public prosecution and legal aid.</w:t>
      </w:r>
    </w:p>
    <w:p w14:paraId="62A046C4" w14:textId="77777777" w:rsidR="007E365E" w:rsidRPr="00850D12" w:rsidRDefault="007E365E" w:rsidP="0023368E">
      <w:pPr>
        <w:pStyle w:val="CGCBullet1"/>
        <w:keepNext/>
        <w:keepLines/>
        <w:numPr>
          <w:ilvl w:val="0"/>
          <w:numId w:val="18"/>
        </w:numPr>
        <w:ind w:left="924" w:hanging="357"/>
      </w:pPr>
      <w:r w:rsidRPr="00850D12">
        <w:lastRenderedPageBreak/>
        <w:t>Other legal services:</w:t>
      </w:r>
    </w:p>
    <w:p w14:paraId="39C7BB33" w14:textId="77777777" w:rsidR="007E365E" w:rsidRPr="00173B02" w:rsidRDefault="007E365E" w:rsidP="0023368E">
      <w:pPr>
        <w:pStyle w:val="CGCBullet2"/>
        <w:keepNext/>
        <w:keepLines/>
        <w:numPr>
          <w:ilvl w:val="0"/>
          <w:numId w:val="3"/>
        </w:numPr>
        <w:tabs>
          <w:tab w:val="left" w:pos="680"/>
        </w:tabs>
        <w:ind w:left="1208" w:hanging="357"/>
      </w:pPr>
      <w:r w:rsidRPr="00173B02">
        <w:t xml:space="preserve">Other legal services include civil courts, Attorney-General departments, crown solicitors, law reform commissions and a range of other court and legal expenses not included in criminal courts. </w:t>
      </w:r>
    </w:p>
    <w:p w14:paraId="3E655FE1" w14:textId="77777777" w:rsidR="007E365E" w:rsidRPr="00173B02" w:rsidRDefault="007E365E" w:rsidP="007E365E">
      <w:pPr>
        <w:pStyle w:val="CGCBullet2"/>
        <w:numPr>
          <w:ilvl w:val="0"/>
          <w:numId w:val="3"/>
        </w:numPr>
        <w:tabs>
          <w:tab w:val="left" w:pos="680"/>
        </w:tabs>
        <w:ind w:left="1208" w:hanging="357"/>
      </w:pPr>
      <w:r w:rsidRPr="00173B02">
        <w:t>The Commission used budgetary information and advice provided by States to calculate the split between criminal courts and other legal services.</w:t>
      </w:r>
    </w:p>
    <w:p w14:paraId="521C1819" w14:textId="77777777" w:rsidR="007E365E" w:rsidRPr="00850D12" w:rsidRDefault="007E365E" w:rsidP="007E365E">
      <w:pPr>
        <w:pStyle w:val="CGCBullet1"/>
        <w:numPr>
          <w:ilvl w:val="0"/>
          <w:numId w:val="18"/>
        </w:numPr>
        <w:ind w:left="924" w:hanging="357"/>
      </w:pPr>
      <w:r w:rsidRPr="00850D12">
        <w:t>Prisons:</w:t>
      </w:r>
    </w:p>
    <w:p w14:paraId="1AD55D5D" w14:textId="3A3E2F8C" w:rsidR="007E365E" w:rsidRPr="00173B02" w:rsidRDefault="007E365E" w:rsidP="007E365E">
      <w:pPr>
        <w:pStyle w:val="CGCBullet2"/>
        <w:numPr>
          <w:ilvl w:val="0"/>
          <w:numId w:val="3"/>
        </w:numPr>
        <w:tabs>
          <w:tab w:val="left" w:pos="680"/>
        </w:tabs>
        <w:ind w:left="1208" w:hanging="357"/>
      </w:pPr>
      <w:r w:rsidRPr="00173B02">
        <w:t xml:space="preserve">Prison services include the administration, support and operation of prisons and other places of secure detention, both </w:t>
      </w:r>
      <w:r w:rsidR="007E2E79">
        <w:t>government</w:t>
      </w:r>
      <w:r w:rsidRPr="00173B02">
        <w:t xml:space="preserve"> and privately run, for convicted persons and alleged offenders. The facilities offer varying levels of security from maximum through to low security prison farms.</w:t>
      </w:r>
    </w:p>
    <w:p w14:paraId="066B69F1" w14:textId="77777777" w:rsidR="007E365E" w:rsidRPr="00173B02" w:rsidRDefault="007E365E" w:rsidP="007E365E">
      <w:pPr>
        <w:pStyle w:val="CGCBullet2"/>
        <w:numPr>
          <w:ilvl w:val="0"/>
          <w:numId w:val="3"/>
        </w:numPr>
        <w:tabs>
          <w:tab w:val="left" w:pos="680"/>
        </w:tabs>
        <w:ind w:left="1208" w:hanging="357"/>
      </w:pPr>
      <w:r w:rsidRPr="00173B02">
        <w:t xml:space="preserve">Juvenile detention is included in the </w:t>
      </w:r>
      <w:r>
        <w:t>p</w:t>
      </w:r>
      <w:r w:rsidRPr="00173B02">
        <w:t>rison assessment.</w:t>
      </w:r>
    </w:p>
    <w:p w14:paraId="61CBFC05" w14:textId="77777777" w:rsidR="007E365E" w:rsidRPr="00173B02" w:rsidRDefault="007E365E" w:rsidP="007E365E">
      <w:pPr>
        <w:pStyle w:val="CGCBullet2"/>
        <w:numPr>
          <w:ilvl w:val="0"/>
          <w:numId w:val="3"/>
        </w:numPr>
        <w:tabs>
          <w:tab w:val="left" w:pos="680"/>
        </w:tabs>
        <w:ind w:left="1208" w:hanging="357"/>
      </w:pPr>
      <w:r w:rsidRPr="00173B02">
        <w:t xml:space="preserve">The </w:t>
      </w:r>
      <w:r>
        <w:t>p</w:t>
      </w:r>
      <w:r w:rsidRPr="00173B02">
        <w:t>rison assessment also includes the administration and operation of community</w:t>
      </w:r>
      <w:r>
        <w:noBreakHyphen/>
      </w:r>
      <w:r w:rsidRPr="00173B02">
        <w:t>based corrections and administration of parole, community service and home detention.</w:t>
      </w:r>
    </w:p>
    <w:p w14:paraId="699031DE" w14:textId="5FBD3AEB" w:rsidR="007E365E" w:rsidRPr="00173B02" w:rsidRDefault="007E365E" w:rsidP="007E365E">
      <w:pPr>
        <w:pStyle w:val="Caption"/>
      </w:pPr>
      <w:bookmarkStart w:id="4" w:name="_Ref31806951"/>
      <w:r>
        <w:t>Table 19-</w:t>
      </w:r>
      <w:fldSimple w:instr=" SEQ Table \r1 \* ARABIC ">
        <w:r w:rsidR="007F721A">
          <w:rPr>
            <w:noProof/>
          </w:rPr>
          <w:t>1</w:t>
        </w:r>
      </w:fldSimple>
      <w:bookmarkEnd w:id="4"/>
      <w:r>
        <w:tab/>
        <w:t>Justice expenses by State</w:t>
      </w:r>
      <w:r w:rsidRPr="00173B02">
        <w:t>, 201</w:t>
      </w:r>
      <w:r>
        <w:t>8</w:t>
      </w:r>
      <w:r w:rsidRPr="00173B02">
        <w:noBreakHyphen/>
        <w:t>1</w:t>
      </w:r>
      <w:r>
        <w:t>9</w:t>
      </w:r>
    </w:p>
    <w:tbl>
      <w:tblPr>
        <w:tblW w:w="8919" w:type="dxa"/>
        <w:tblBorders>
          <w:top w:val="single" w:sz="4" w:space="0" w:color="ADD6EA"/>
          <w:bottom w:val="single" w:sz="4" w:space="0" w:color="ADD6EA"/>
          <w:insideH w:val="single" w:sz="4" w:space="0" w:color="ADD6EA"/>
        </w:tblBorders>
        <w:tblLayout w:type="fixed"/>
        <w:tblCellMar>
          <w:left w:w="0" w:type="dxa"/>
          <w:right w:w="0" w:type="dxa"/>
        </w:tblCellMar>
        <w:tblLook w:val="04A0" w:firstRow="1" w:lastRow="0" w:firstColumn="1" w:lastColumn="0" w:noHBand="0" w:noVBand="1"/>
      </w:tblPr>
      <w:tblGrid>
        <w:gridCol w:w="1980"/>
        <w:gridCol w:w="855"/>
        <w:gridCol w:w="673"/>
        <w:gridCol w:w="222"/>
        <w:gridCol w:w="573"/>
        <w:gridCol w:w="160"/>
        <w:gridCol w:w="616"/>
        <w:gridCol w:w="117"/>
        <w:gridCol w:w="562"/>
        <w:gridCol w:w="171"/>
        <w:gridCol w:w="605"/>
        <w:gridCol w:w="71"/>
        <w:gridCol w:w="724"/>
        <w:gridCol w:w="9"/>
        <w:gridCol w:w="689"/>
        <w:gridCol w:w="44"/>
        <w:gridCol w:w="848"/>
      </w:tblGrid>
      <w:tr w:rsidR="007E365E" w:rsidRPr="00C67819" w14:paraId="31A4C359" w14:textId="77777777" w:rsidTr="007D1D77">
        <w:trPr>
          <w:trHeight w:val="381"/>
        </w:trPr>
        <w:tc>
          <w:tcPr>
            <w:tcW w:w="1980" w:type="dxa"/>
            <w:shd w:val="clear" w:color="auto" w:fill="006991"/>
            <w:noWrap/>
            <w:tcMar>
              <w:left w:w="57" w:type="dxa"/>
              <w:right w:w="57" w:type="dxa"/>
            </w:tcMar>
            <w:vAlign w:val="center"/>
            <w:hideMark/>
          </w:tcPr>
          <w:p w14:paraId="5BD5FA9F" w14:textId="77777777" w:rsidR="007E365E" w:rsidRPr="00C67819" w:rsidRDefault="007E365E" w:rsidP="007D1D77">
            <w:pPr>
              <w:pStyle w:val="CGCTableheader"/>
            </w:pPr>
            <w:r w:rsidRPr="00C67819">
              <w:t> </w:t>
            </w:r>
          </w:p>
        </w:tc>
        <w:tc>
          <w:tcPr>
            <w:tcW w:w="855" w:type="dxa"/>
            <w:shd w:val="clear" w:color="auto" w:fill="006991"/>
            <w:noWrap/>
            <w:tcMar>
              <w:left w:w="57" w:type="dxa"/>
              <w:right w:w="57" w:type="dxa"/>
            </w:tcMar>
            <w:vAlign w:val="center"/>
            <w:hideMark/>
          </w:tcPr>
          <w:p w14:paraId="3AFC91F5" w14:textId="77777777" w:rsidR="007E365E" w:rsidRPr="00C67819" w:rsidRDefault="007E365E" w:rsidP="007D1D77">
            <w:pPr>
              <w:pStyle w:val="CGCTableheader"/>
              <w:jc w:val="right"/>
            </w:pPr>
            <w:r w:rsidRPr="00C67819">
              <w:t>NSW</w:t>
            </w:r>
          </w:p>
        </w:tc>
        <w:tc>
          <w:tcPr>
            <w:tcW w:w="895" w:type="dxa"/>
            <w:gridSpan w:val="2"/>
            <w:shd w:val="clear" w:color="auto" w:fill="006991"/>
            <w:noWrap/>
            <w:tcMar>
              <w:left w:w="57" w:type="dxa"/>
              <w:right w:w="57" w:type="dxa"/>
            </w:tcMar>
            <w:vAlign w:val="center"/>
            <w:hideMark/>
          </w:tcPr>
          <w:p w14:paraId="067848F0" w14:textId="77777777" w:rsidR="007E365E" w:rsidRPr="00C67819" w:rsidRDefault="007E365E" w:rsidP="007D1D77">
            <w:pPr>
              <w:pStyle w:val="CGCTableheader"/>
              <w:jc w:val="right"/>
            </w:pPr>
            <w:r w:rsidRPr="00C67819">
              <w:t>Vic</w:t>
            </w:r>
          </w:p>
        </w:tc>
        <w:tc>
          <w:tcPr>
            <w:tcW w:w="733" w:type="dxa"/>
            <w:gridSpan w:val="2"/>
            <w:shd w:val="clear" w:color="auto" w:fill="006991"/>
            <w:noWrap/>
            <w:tcMar>
              <w:left w:w="57" w:type="dxa"/>
              <w:right w:w="57" w:type="dxa"/>
            </w:tcMar>
            <w:vAlign w:val="center"/>
            <w:hideMark/>
          </w:tcPr>
          <w:p w14:paraId="4F92C600" w14:textId="77777777" w:rsidR="007E365E" w:rsidRPr="00C67819" w:rsidRDefault="007E365E" w:rsidP="007D1D77">
            <w:pPr>
              <w:pStyle w:val="CGCTableheader"/>
              <w:jc w:val="right"/>
            </w:pPr>
            <w:r w:rsidRPr="00C67819">
              <w:t>Qld</w:t>
            </w:r>
          </w:p>
        </w:tc>
        <w:tc>
          <w:tcPr>
            <w:tcW w:w="733" w:type="dxa"/>
            <w:gridSpan w:val="2"/>
            <w:shd w:val="clear" w:color="auto" w:fill="006991"/>
            <w:noWrap/>
            <w:tcMar>
              <w:left w:w="57" w:type="dxa"/>
              <w:right w:w="57" w:type="dxa"/>
            </w:tcMar>
            <w:vAlign w:val="center"/>
            <w:hideMark/>
          </w:tcPr>
          <w:p w14:paraId="4CC2CB49" w14:textId="77777777" w:rsidR="007E365E" w:rsidRPr="00C67819" w:rsidRDefault="007E365E" w:rsidP="007D1D77">
            <w:pPr>
              <w:pStyle w:val="CGCTableheader"/>
              <w:jc w:val="right"/>
            </w:pPr>
            <w:r w:rsidRPr="00C67819">
              <w:t>WA</w:t>
            </w:r>
          </w:p>
        </w:tc>
        <w:tc>
          <w:tcPr>
            <w:tcW w:w="733" w:type="dxa"/>
            <w:gridSpan w:val="2"/>
            <w:shd w:val="clear" w:color="auto" w:fill="006991"/>
            <w:noWrap/>
            <w:tcMar>
              <w:left w:w="57" w:type="dxa"/>
              <w:right w:w="57" w:type="dxa"/>
            </w:tcMar>
            <w:vAlign w:val="center"/>
            <w:hideMark/>
          </w:tcPr>
          <w:p w14:paraId="67FD8ED4" w14:textId="77777777" w:rsidR="007E365E" w:rsidRPr="00C67819" w:rsidRDefault="007E365E" w:rsidP="007D1D77">
            <w:pPr>
              <w:pStyle w:val="CGCTableheader"/>
              <w:jc w:val="right"/>
            </w:pPr>
            <w:r w:rsidRPr="00C67819">
              <w:t>SA</w:t>
            </w:r>
          </w:p>
        </w:tc>
        <w:tc>
          <w:tcPr>
            <w:tcW w:w="676" w:type="dxa"/>
            <w:gridSpan w:val="2"/>
            <w:shd w:val="clear" w:color="auto" w:fill="006991"/>
            <w:noWrap/>
            <w:tcMar>
              <w:left w:w="57" w:type="dxa"/>
              <w:right w:w="57" w:type="dxa"/>
            </w:tcMar>
            <w:vAlign w:val="center"/>
            <w:hideMark/>
          </w:tcPr>
          <w:p w14:paraId="055D36A8" w14:textId="77777777" w:rsidR="007E365E" w:rsidRPr="00C67819" w:rsidRDefault="007E365E" w:rsidP="007D1D77">
            <w:pPr>
              <w:pStyle w:val="CGCTableheader"/>
              <w:jc w:val="right"/>
            </w:pPr>
            <w:r w:rsidRPr="00C67819">
              <w:t>Tas</w:t>
            </w:r>
          </w:p>
        </w:tc>
        <w:tc>
          <w:tcPr>
            <w:tcW w:w="733" w:type="dxa"/>
            <w:gridSpan w:val="2"/>
            <w:shd w:val="clear" w:color="auto" w:fill="006991"/>
            <w:noWrap/>
            <w:tcMar>
              <w:left w:w="57" w:type="dxa"/>
              <w:right w:w="57" w:type="dxa"/>
            </w:tcMar>
            <w:vAlign w:val="center"/>
            <w:hideMark/>
          </w:tcPr>
          <w:p w14:paraId="64068420" w14:textId="77777777" w:rsidR="007E365E" w:rsidRPr="00C67819" w:rsidRDefault="007E365E" w:rsidP="007D1D77">
            <w:pPr>
              <w:pStyle w:val="CGCTableheader"/>
              <w:jc w:val="right"/>
            </w:pPr>
            <w:r w:rsidRPr="00C67819">
              <w:t>ACT</w:t>
            </w:r>
          </w:p>
        </w:tc>
        <w:tc>
          <w:tcPr>
            <w:tcW w:w="733" w:type="dxa"/>
            <w:gridSpan w:val="2"/>
            <w:shd w:val="clear" w:color="auto" w:fill="006991"/>
            <w:noWrap/>
            <w:tcMar>
              <w:left w:w="57" w:type="dxa"/>
              <w:right w:w="57" w:type="dxa"/>
            </w:tcMar>
            <w:vAlign w:val="center"/>
            <w:hideMark/>
          </w:tcPr>
          <w:p w14:paraId="6907A932" w14:textId="77777777" w:rsidR="007E365E" w:rsidRPr="00C67819" w:rsidRDefault="007E365E" w:rsidP="007D1D77">
            <w:pPr>
              <w:pStyle w:val="CGCTableheader"/>
              <w:jc w:val="right"/>
            </w:pPr>
            <w:r w:rsidRPr="00C67819">
              <w:t>NT</w:t>
            </w:r>
          </w:p>
        </w:tc>
        <w:tc>
          <w:tcPr>
            <w:tcW w:w="848" w:type="dxa"/>
            <w:shd w:val="clear" w:color="auto" w:fill="006991"/>
            <w:noWrap/>
            <w:tcMar>
              <w:left w:w="57" w:type="dxa"/>
              <w:right w:w="57" w:type="dxa"/>
            </w:tcMar>
            <w:vAlign w:val="center"/>
            <w:hideMark/>
          </w:tcPr>
          <w:p w14:paraId="65F2E0BE" w14:textId="77777777" w:rsidR="007E365E" w:rsidRPr="00C67819" w:rsidRDefault="007E365E" w:rsidP="007D1D77">
            <w:pPr>
              <w:pStyle w:val="CGCTableheader"/>
              <w:jc w:val="right"/>
            </w:pPr>
            <w:r w:rsidRPr="00C67819">
              <w:t>Total</w:t>
            </w:r>
          </w:p>
        </w:tc>
      </w:tr>
      <w:tr w:rsidR="007E365E" w:rsidRPr="00173B02" w14:paraId="5479E5D5" w14:textId="77777777" w:rsidTr="007D1D77">
        <w:trPr>
          <w:trHeight w:val="315"/>
        </w:trPr>
        <w:tc>
          <w:tcPr>
            <w:tcW w:w="1980" w:type="dxa"/>
            <w:shd w:val="clear" w:color="auto" w:fill="auto"/>
            <w:vAlign w:val="bottom"/>
            <w:hideMark/>
          </w:tcPr>
          <w:p w14:paraId="18E6FD82" w14:textId="77777777" w:rsidR="007E365E" w:rsidRPr="00173B02" w:rsidRDefault="007E365E" w:rsidP="007D1D77">
            <w:pPr>
              <w:pStyle w:val="CGCTablerow"/>
              <w:rPr>
                <w:lang w:eastAsia="en-AU"/>
              </w:rPr>
            </w:pPr>
            <w:r w:rsidRPr="00173B02">
              <w:rPr>
                <w:lang w:eastAsia="en-AU"/>
              </w:rPr>
              <w:t xml:space="preserve">Total </w:t>
            </w:r>
            <w:r w:rsidRPr="005C10FC">
              <w:rPr>
                <w:lang w:eastAsia="en-AU"/>
              </w:rPr>
              <w:t>expenses</w:t>
            </w:r>
            <w:r w:rsidRPr="00173B02">
              <w:rPr>
                <w:lang w:eastAsia="en-AU"/>
              </w:rPr>
              <w:t xml:space="preserve"> ($m)</w:t>
            </w:r>
          </w:p>
        </w:tc>
        <w:tc>
          <w:tcPr>
            <w:tcW w:w="855" w:type="dxa"/>
            <w:shd w:val="clear" w:color="auto" w:fill="auto"/>
            <w:vAlign w:val="bottom"/>
            <w:hideMark/>
          </w:tcPr>
          <w:p w14:paraId="70982556" w14:textId="77777777" w:rsidR="007E365E" w:rsidRPr="00173B02" w:rsidRDefault="007E365E" w:rsidP="007D1D77">
            <w:pPr>
              <w:pStyle w:val="CGCTablerow"/>
              <w:jc w:val="right"/>
              <w:rPr>
                <w:lang w:eastAsia="en-AU"/>
              </w:rPr>
            </w:pPr>
            <w:r>
              <w:rPr>
                <w:rFonts w:cs="Open Sans Light"/>
                <w:szCs w:val="16"/>
              </w:rPr>
              <w:t xml:space="preserve"> 6,342 </w:t>
            </w:r>
          </w:p>
        </w:tc>
        <w:tc>
          <w:tcPr>
            <w:tcW w:w="673" w:type="dxa"/>
            <w:shd w:val="clear" w:color="auto" w:fill="auto"/>
            <w:vAlign w:val="bottom"/>
            <w:hideMark/>
          </w:tcPr>
          <w:p w14:paraId="17DD4E87" w14:textId="77777777" w:rsidR="007E365E" w:rsidRPr="00173B02" w:rsidRDefault="007E365E" w:rsidP="007D1D77">
            <w:pPr>
              <w:pStyle w:val="CGCTablerow"/>
              <w:jc w:val="right"/>
              <w:rPr>
                <w:lang w:eastAsia="en-AU"/>
              </w:rPr>
            </w:pPr>
            <w:r>
              <w:rPr>
                <w:rFonts w:cs="Open Sans Light"/>
                <w:szCs w:val="16"/>
              </w:rPr>
              <w:t xml:space="preserve">6,013 </w:t>
            </w:r>
          </w:p>
        </w:tc>
        <w:tc>
          <w:tcPr>
            <w:tcW w:w="795" w:type="dxa"/>
            <w:gridSpan w:val="2"/>
            <w:shd w:val="clear" w:color="auto" w:fill="auto"/>
            <w:vAlign w:val="bottom"/>
            <w:hideMark/>
          </w:tcPr>
          <w:p w14:paraId="201A554E" w14:textId="77777777" w:rsidR="007E365E" w:rsidRPr="00173B02" w:rsidRDefault="007E365E" w:rsidP="007D1D77">
            <w:pPr>
              <w:pStyle w:val="CGCTablerow"/>
              <w:jc w:val="right"/>
              <w:rPr>
                <w:lang w:eastAsia="en-AU"/>
              </w:rPr>
            </w:pPr>
            <w:r>
              <w:rPr>
                <w:rFonts w:cs="Open Sans Light"/>
                <w:szCs w:val="16"/>
              </w:rPr>
              <w:t xml:space="preserve">3,882 </w:t>
            </w:r>
          </w:p>
        </w:tc>
        <w:tc>
          <w:tcPr>
            <w:tcW w:w="776" w:type="dxa"/>
            <w:gridSpan w:val="2"/>
            <w:shd w:val="clear" w:color="auto" w:fill="auto"/>
            <w:vAlign w:val="bottom"/>
            <w:hideMark/>
          </w:tcPr>
          <w:p w14:paraId="2D475705" w14:textId="77777777" w:rsidR="007E365E" w:rsidRPr="00173B02" w:rsidRDefault="007E365E" w:rsidP="007D1D77">
            <w:pPr>
              <w:pStyle w:val="CGCTablerow"/>
              <w:jc w:val="right"/>
              <w:rPr>
                <w:lang w:eastAsia="en-AU"/>
              </w:rPr>
            </w:pPr>
            <w:r>
              <w:rPr>
                <w:rFonts w:cs="Open Sans Light"/>
                <w:szCs w:val="16"/>
              </w:rPr>
              <w:t xml:space="preserve">2,927 </w:t>
            </w:r>
          </w:p>
        </w:tc>
        <w:tc>
          <w:tcPr>
            <w:tcW w:w="679" w:type="dxa"/>
            <w:gridSpan w:val="2"/>
            <w:shd w:val="clear" w:color="auto" w:fill="auto"/>
            <w:vAlign w:val="bottom"/>
            <w:hideMark/>
          </w:tcPr>
          <w:p w14:paraId="24E231CF" w14:textId="77777777" w:rsidR="007E365E" w:rsidRPr="00173B02" w:rsidRDefault="007E365E" w:rsidP="007D1D77">
            <w:pPr>
              <w:pStyle w:val="CGCTablerow"/>
              <w:jc w:val="right"/>
              <w:rPr>
                <w:lang w:eastAsia="en-AU"/>
              </w:rPr>
            </w:pPr>
            <w:r>
              <w:rPr>
                <w:rFonts w:cs="Open Sans Light"/>
                <w:szCs w:val="16"/>
              </w:rPr>
              <w:t xml:space="preserve">1,547 </w:t>
            </w:r>
          </w:p>
        </w:tc>
        <w:tc>
          <w:tcPr>
            <w:tcW w:w="776" w:type="dxa"/>
            <w:gridSpan w:val="2"/>
            <w:shd w:val="clear" w:color="auto" w:fill="auto"/>
            <w:vAlign w:val="bottom"/>
            <w:hideMark/>
          </w:tcPr>
          <w:p w14:paraId="149DA79F" w14:textId="77777777" w:rsidR="007E365E" w:rsidRPr="00173B02" w:rsidRDefault="007E365E" w:rsidP="007D1D77">
            <w:pPr>
              <w:pStyle w:val="CGCTablerow"/>
              <w:jc w:val="right"/>
              <w:rPr>
                <w:lang w:eastAsia="en-AU"/>
              </w:rPr>
            </w:pPr>
            <w:r>
              <w:rPr>
                <w:rFonts w:cs="Open Sans Light"/>
                <w:szCs w:val="16"/>
              </w:rPr>
              <w:t xml:space="preserve">  434 </w:t>
            </w:r>
          </w:p>
        </w:tc>
        <w:tc>
          <w:tcPr>
            <w:tcW w:w="795" w:type="dxa"/>
            <w:gridSpan w:val="2"/>
            <w:shd w:val="clear" w:color="auto" w:fill="auto"/>
            <w:vAlign w:val="bottom"/>
            <w:hideMark/>
          </w:tcPr>
          <w:p w14:paraId="7F3434EE" w14:textId="77777777" w:rsidR="007E365E" w:rsidRPr="00173B02" w:rsidRDefault="007E365E" w:rsidP="007D1D77">
            <w:pPr>
              <w:pStyle w:val="CGCTablerow"/>
              <w:jc w:val="right"/>
              <w:rPr>
                <w:lang w:eastAsia="en-AU"/>
              </w:rPr>
            </w:pPr>
            <w:r>
              <w:rPr>
                <w:rFonts w:cs="Open Sans Light"/>
                <w:szCs w:val="16"/>
              </w:rPr>
              <w:t xml:space="preserve">314 </w:t>
            </w:r>
          </w:p>
        </w:tc>
        <w:tc>
          <w:tcPr>
            <w:tcW w:w="698" w:type="dxa"/>
            <w:gridSpan w:val="2"/>
            <w:shd w:val="clear" w:color="auto" w:fill="auto"/>
            <w:vAlign w:val="bottom"/>
            <w:hideMark/>
          </w:tcPr>
          <w:p w14:paraId="10DF9B2E" w14:textId="77777777" w:rsidR="007E365E" w:rsidRPr="00173B02" w:rsidRDefault="007E365E" w:rsidP="007D1D77">
            <w:pPr>
              <w:pStyle w:val="CGCTablerow"/>
              <w:jc w:val="right"/>
              <w:rPr>
                <w:lang w:eastAsia="en-AU"/>
              </w:rPr>
            </w:pPr>
            <w:r>
              <w:rPr>
                <w:rFonts w:cs="Open Sans Light"/>
                <w:szCs w:val="16"/>
              </w:rPr>
              <w:t xml:space="preserve">626 </w:t>
            </w:r>
          </w:p>
        </w:tc>
        <w:tc>
          <w:tcPr>
            <w:tcW w:w="892" w:type="dxa"/>
            <w:gridSpan w:val="2"/>
            <w:shd w:val="clear" w:color="auto" w:fill="auto"/>
            <w:vAlign w:val="bottom"/>
            <w:hideMark/>
          </w:tcPr>
          <w:p w14:paraId="6D50EBFB" w14:textId="77777777" w:rsidR="007E365E" w:rsidRPr="00173B02" w:rsidRDefault="007E365E" w:rsidP="007D1D77">
            <w:pPr>
              <w:pStyle w:val="CGCTablerow"/>
              <w:jc w:val="right"/>
              <w:rPr>
                <w:lang w:eastAsia="en-AU"/>
              </w:rPr>
            </w:pPr>
            <w:r>
              <w:rPr>
                <w:rFonts w:cs="Open Sans Light"/>
                <w:szCs w:val="16"/>
              </w:rPr>
              <w:t xml:space="preserve">22,087 </w:t>
            </w:r>
          </w:p>
        </w:tc>
      </w:tr>
      <w:tr w:rsidR="007E365E" w:rsidRPr="00173B02" w14:paraId="78308F14" w14:textId="77777777" w:rsidTr="007D1D77">
        <w:trPr>
          <w:trHeight w:val="315"/>
        </w:trPr>
        <w:tc>
          <w:tcPr>
            <w:tcW w:w="1980" w:type="dxa"/>
            <w:shd w:val="clear" w:color="auto" w:fill="auto"/>
            <w:vAlign w:val="bottom"/>
            <w:hideMark/>
          </w:tcPr>
          <w:p w14:paraId="6372FAB6" w14:textId="77777777" w:rsidR="007E365E" w:rsidRPr="00173B02" w:rsidRDefault="007E365E" w:rsidP="007D1D77">
            <w:pPr>
              <w:pStyle w:val="CGCTablerow"/>
              <w:rPr>
                <w:lang w:eastAsia="en-AU"/>
              </w:rPr>
            </w:pPr>
            <w:r w:rsidRPr="00173B02">
              <w:rPr>
                <w:lang w:eastAsia="en-AU"/>
              </w:rPr>
              <w:t>Total expenses ($pc)</w:t>
            </w:r>
          </w:p>
        </w:tc>
        <w:tc>
          <w:tcPr>
            <w:tcW w:w="855" w:type="dxa"/>
            <w:shd w:val="clear" w:color="auto" w:fill="auto"/>
            <w:vAlign w:val="bottom"/>
            <w:hideMark/>
          </w:tcPr>
          <w:p w14:paraId="4D090C41" w14:textId="77777777" w:rsidR="007E365E" w:rsidRPr="00173B02" w:rsidRDefault="007E365E" w:rsidP="007D1D77">
            <w:pPr>
              <w:pStyle w:val="CGCTablerow"/>
              <w:jc w:val="right"/>
              <w:rPr>
                <w:lang w:eastAsia="en-AU"/>
              </w:rPr>
            </w:pPr>
            <w:r>
              <w:rPr>
                <w:rFonts w:cs="Open Sans Light"/>
                <w:szCs w:val="16"/>
              </w:rPr>
              <w:t xml:space="preserve">    789 </w:t>
            </w:r>
          </w:p>
        </w:tc>
        <w:tc>
          <w:tcPr>
            <w:tcW w:w="673" w:type="dxa"/>
            <w:shd w:val="clear" w:color="auto" w:fill="auto"/>
            <w:vAlign w:val="bottom"/>
            <w:hideMark/>
          </w:tcPr>
          <w:p w14:paraId="6F280848" w14:textId="77777777" w:rsidR="007E365E" w:rsidRPr="00173B02" w:rsidRDefault="007E365E" w:rsidP="007D1D77">
            <w:pPr>
              <w:pStyle w:val="CGCTablerow"/>
              <w:jc w:val="right"/>
              <w:rPr>
                <w:lang w:eastAsia="en-AU"/>
              </w:rPr>
            </w:pPr>
            <w:r>
              <w:rPr>
                <w:rFonts w:cs="Open Sans Light"/>
                <w:szCs w:val="16"/>
              </w:rPr>
              <w:t xml:space="preserve">921 </w:t>
            </w:r>
          </w:p>
        </w:tc>
        <w:tc>
          <w:tcPr>
            <w:tcW w:w="795" w:type="dxa"/>
            <w:gridSpan w:val="2"/>
            <w:shd w:val="clear" w:color="auto" w:fill="auto"/>
            <w:vAlign w:val="bottom"/>
            <w:hideMark/>
          </w:tcPr>
          <w:p w14:paraId="6DD296DB" w14:textId="77777777" w:rsidR="007E365E" w:rsidRPr="00173B02" w:rsidRDefault="007E365E" w:rsidP="007D1D77">
            <w:pPr>
              <w:pStyle w:val="CGCTablerow"/>
              <w:jc w:val="right"/>
              <w:rPr>
                <w:lang w:eastAsia="en-AU"/>
              </w:rPr>
            </w:pPr>
            <w:r>
              <w:rPr>
                <w:rFonts w:cs="Open Sans Light"/>
                <w:szCs w:val="16"/>
              </w:rPr>
              <w:t xml:space="preserve">769 </w:t>
            </w:r>
          </w:p>
        </w:tc>
        <w:tc>
          <w:tcPr>
            <w:tcW w:w="776" w:type="dxa"/>
            <w:gridSpan w:val="2"/>
            <w:shd w:val="clear" w:color="auto" w:fill="auto"/>
            <w:vAlign w:val="bottom"/>
            <w:hideMark/>
          </w:tcPr>
          <w:p w14:paraId="42F2548E" w14:textId="77777777" w:rsidR="007E365E" w:rsidRPr="00173B02" w:rsidRDefault="007E365E" w:rsidP="007D1D77">
            <w:pPr>
              <w:pStyle w:val="CGCTablerow"/>
              <w:jc w:val="right"/>
              <w:rPr>
                <w:lang w:eastAsia="en-AU"/>
              </w:rPr>
            </w:pPr>
            <w:r>
              <w:rPr>
                <w:rFonts w:cs="Open Sans Light"/>
                <w:szCs w:val="16"/>
              </w:rPr>
              <w:t xml:space="preserve">1,123 </w:t>
            </w:r>
          </w:p>
        </w:tc>
        <w:tc>
          <w:tcPr>
            <w:tcW w:w="679" w:type="dxa"/>
            <w:gridSpan w:val="2"/>
            <w:shd w:val="clear" w:color="auto" w:fill="auto"/>
            <w:vAlign w:val="bottom"/>
            <w:hideMark/>
          </w:tcPr>
          <w:p w14:paraId="65A2B54F" w14:textId="77777777" w:rsidR="007E365E" w:rsidRPr="00173B02" w:rsidRDefault="007E365E" w:rsidP="007D1D77">
            <w:pPr>
              <w:pStyle w:val="CGCTablerow"/>
              <w:jc w:val="right"/>
              <w:rPr>
                <w:lang w:eastAsia="en-AU"/>
              </w:rPr>
            </w:pPr>
            <w:r>
              <w:rPr>
                <w:rFonts w:cs="Open Sans Light"/>
                <w:szCs w:val="16"/>
              </w:rPr>
              <w:t xml:space="preserve">888 </w:t>
            </w:r>
          </w:p>
        </w:tc>
        <w:tc>
          <w:tcPr>
            <w:tcW w:w="776" w:type="dxa"/>
            <w:gridSpan w:val="2"/>
            <w:shd w:val="clear" w:color="auto" w:fill="auto"/>
            <w:vAlign w:val="bottom"/>
            <w:hideMark/>
          </w:tcPr>
          <w:p w14:paraId="2E127CDB" w14:textId="77777777" w:rsidR="007E365E" w:rsidRPr="00173B02" w:rsidRDefault="007E365E" w:rsidP="007D1D77">
            <w:pPr>
              <w:pStyle w:val="CGCTablerow"/>
              <w:jc w:val="right"/>
              <w:rPr>
                <w:lang w:eastAsia="en-AU"/>
              </w:rPr>
            </w:pPr>
            <w:r>
              <w:rPr>
                <w:rFonts w:cs="Open Sans Light"/>
                <w:szCs w:val="16"/>
              </w:rPr>
              <w:t xml:space="preserve">816 </w:t>
            </w:r>
          </w:p>
        </w:tc>
        <w:tc>
          <w:tcPr>
            <w:tcW w:w="795" w:type="dxa"/>
            <w:gridSpan w:val="2"/>
            <w:shd w:val="clear" w:color="auto" w:fill="auto"/>
            <w:vAlign w:val="bottom"/>
            <w:hideMark/>
          </w:tcPr>
          <w:p w14:paraId="164C9948" w14:textId="77777777" w:rsidR="007E365E" w:rsidRPr="00173B02" w:rsidRDefault="007E365E" w:rsidP="007D1D77">
            <w:pPr>
              <w:pStyle w:val="CGCTablerow"/>
              <w:jc w:val="right"/>
              <w:rPr>
                <w:lang w:eastAsia="en-AU"/>
              </w:rPr>
            </w:pPr>
            <w:r>
              <w:rPr>
                <w:rFonts w:cs="Open Sans Light"/>
                <w:szCs w:val="16"/>
              </w:rPr>
              <w:t xml:space="preserve">742 </w:t>
            </w:r>
          </w:p>
        </w:tc>
        <w:tc>
          <w:tcPr>
            <w:tcW w:w="698" w:type="dxa"/>
            <w:gridSpan w:val="2"/>
            <w:shd w:val="clear" w:color="auto" w:fill="auto"/>
            <w:vAlign w:val="bottom"/>
            <w:hideMark/>
          </w:tcPr>
          <w:p w14:paraId="13A109B8" w14:textId="77777777" w:rsidR="007E365E" w:rsidRPr="00173B02" w:rsidRDefault="007E365E" w:rsidP="007D1D77">
            <w:pPr>
              <w:pStyle w:val="CGCTablerow"/>
              <w:jc w:val="right"/>
              <w:rPr>
                <w:lang w:eastAsia="en-AU"/>
              </w:rPr>
            </w:pPr>
            <w:r>
              <w:rPr>
                <w:rFonts w:cs="Open Sans Light"/>
                <w:szCs w:val="16"/>
              </w:rPr>
              <w:t xml:space="preserve">2,549 </w:t>
            </w:r>
          </w:p>
        </w:tc>
        <w:tc>
          <w:tcPr>
            <w:tcW w:w="892" w:type="dxa"/>
            <w:gridSpan w:val="2"/>
            <w:shd w:val="clear" w:color="auto" w:fill="auto"/>
            <w:vAlign w:val="bottom"/>
            <w:hideMark/>
          </w:tcPr>
          <w:p w14:paraId="23FE91EA" w14:textId="77777777" w:rsidR="007E365E" w:rsidRPr="00173B02" w:rsidRDefault="007E365E" w:rsidP="007D1D77">
            <w:pPr>
              <w:pStyle w:val="CGCTablerow"/>
              <w:jc w:val="right"/>
              <w:rPr>
                <w:lang w:eastAsia="en-AU"/>
              </w:rPr>
            </w:pPr>
            <w:r>
              <w:rPr>
                <w:rFonts w:cs="Open Sans Light"/>
                <w:szCs w:val="16"/>
              </w:rPr>
              <w:t xml:space="preserve"> 878 </w:t>
            </w:r>
          </w:p>
        </w:tc>
      </w:tr>
      <w:tr w:rsidR="007E365E" w:rsidRPr="00173B02" w14:paraId="18730359" w14:textId="77777777" w:rsidTr="007D1D77">
        <w:trPr>
          <w:trHeight w:val="383"/>
        </w:trPr>
        <w:tc>
          <w:tcPr>
            <w:tcW w:w="1980" w:type="dxa"/>
            <w:shd w:val="clear" w:color="auto" w:fill="auto"/>
            <w:vAlign w:val="bottom"/>
            <w:hideMark/>
          </w:tcPr>
          <w:p w14:paraId="79EDE0A2" w14:textId="77777777" w:rsidR="007E365E" w:rsidRPr="00173B02" w:rsidRDefault="007E365E" w:rsidP="007D1D77">
            <w:pPr>
              <w:pStyle w:val="CGCTablerow"/>
              <w:rPr>
                <w:lang w:eastAsia="en-AU"/>
              </w:rPr>
            </w:pPr>
            <w:r w:rsidRPr="00173B02">
              <w:rPr>
                <w:lang w:eastAsia="en-AU"/>
              </w:rPr>
              <w:t>Proportion of operating expenses (%)</w:t>
            </w:r>
          </w:p>
        </w:tc>
        <w:tc>
          <w:tcPr>
            <w:tcW w:w="855" w:type="dxa"/>
            <w:shd w:val="clear" w:color="auto" w:fill="auto"/>
            <w:vAlign w:val="bottom"/>
            <w:hideMark/>
          </w:tcPr>
          <w:p w14:paraId="35CF961F" w14:textId="77777777" w:rsidR="007E365E" w:rsidRPr="00173B02" w:rsidRDefault="007E365E" w:rsidP="007D1D77">
            <w:pPr>
              <w:pStyle w:val="CGCTablerow"/>
              <w:jc w:val="right"/>
              <w:rPr>
                <w:lang w:eastAsia="en-AU"/>
              </w:rPr>
            </w:pPr>
            <w:r>
              <w:rPr>
                <w:rFonts w:cs="Open Sans Light"/>
                <w:szCs w:val="16"/>
              </w:rPr>
              <w:t>9.0</w:t>
            </w:r>
          </w:p>
        </w:tc>
        <w:tc>
          <w:tcPr>
            <w:tcW w:w="673" w:type="dxa"/>
            <w:shd w:val="clear" w:color="auto" w:fill="auto"/>
            <w:vAlign w:val="bottom"/>
            <w:hideMark/>
          </w:tcPr>
          <w:p w14:paraId="77BEF30F" w14:textId="77777777" w:rsidR="007E365E" w:rsidRPr="00173B02" w:rsidRDefault="007E365E" w:rsidP="007D1D77">
            <w:pPr>
              <w:pStyle w:val="CGCTablerow"/>
              <w:jc w:val="right"/>
              <w:rPr>
                <w:lang w:eastAsia="en-AU"/>
              </w:rPr>
            </w:pPr>
            <w:r>
              <w:rPr>
                <w:rFonts w:cs="Open Sans Light"/>
                <w:szCs w:val="16"/>
              </w:rPr>
              <w:t>13.2</w:t>
            </w:r>
          </w:p>
        </w:tc>
        <w:tc>
          <w:tcPr>
            <w:tcW w:w="795" w:type="dxa"/>
            <w:gridSpan w:val="2"/>
            <w:shd w:val="clear" w:color="auto" w:fill="auto"/>
            <w:vAlign w:val="bottom"/>
            <w:hideMark/>
          </w:tcPr>
          <w:p w14:paraId="737F7172" w14:textId="77777777" w:rsidR="007E365E" w:rsidRPr="00173B02" w:rsidRDefault="007E365E" w:rsidP="007D1D77">
            <w:pPr>
              <w:pStyle w:val="CGCTablerow"/>
              <w:jc w:val="right"/>
              <w:rPr>
                <w:lang w:eastAsia="en-AU"/>
              </w:rPr>
            </w:pPr>
            <w:r>
              <w:rPr>
                <w:rFonts w:cs="Open Sans Light"/>
                <w:szCs w:val="16"/>
              </w:rPr>
              <w:t>7.2</w:t>
            </w:r>
          </w:p>
        </w:tc>
        <w:tc>
          <w:tcPr>
            <w:tcW w:w="776" w:type="dxa"/>
            <w:gridSpan w:val="2"/>
            <w:shd w:val="clear" w:color="auto" w:fill="auto"/>
            <w:vAlign w:val="bottom"/>
            <w:hideMark/>
          </w:tcPr>
          <w:p w14:paraId="7B300AF0" w14:textId="77777777" w:rsidR="007E365E" w:rsidRPr="00173B02" w:rsidRDefault="007E365E" w:rsidP="007D1D77">
            <w:pPr>
              <w:pStyle w:val="CGCTablerow"/>
              <w:jc w:val="right"/>
              <w:rPr>
                <w:lang w:eastAsia="en-AU"/>
              </w:rPr>
            </w:pPr>
            <w:r>
              <w:rPr>
                <w:rFonts w:cs="Open Sans Light"/>
                <w:szCs w:val="16"/>
              </w:rPr>
              <w:t>11.2</w:t>
            </w:r>
          </w:p>
        </w:tc>
        <w:tc>
          <w:tcPr>
            <w:tcW w:w="679" w:type="dxa"/>
            <w:gridSpan w:val="2"/>
            <w:shd w:val="clear" w:color="auto" w:fill="auto"/>
            <w:vAlign w:val="bottom"/>
            <w:hideMark/>
          </w:tcPr>
          <w:p w14:paraId="7D208202" w14:textId="77777777" w:rsidR="007E365E" w:rsidRPr="00173B02" w:rsidRDefault="007E365E" w:rsidP="007D1D77">
            <w:pPr>
              <w:pStyle w:val="CGCTablerow"/>
              <w:jc w:val="right"/>
              <w:rPr>
                <w:lang w:eastAsia="en-AU"/>
              </w:rPr>
            </w:pPr>
            <w:r>
              <w:rPr>
                <w:rFonts w:cs="Open Sans Light"/>
                <w:szCs w:val="16"/>
              </w:rPr>
              <w:t>10.3</w:t>
            </w:r>
          </w:p>
        </w:tc>
        <w:tc>
          <w:tcPr>
            <w:tcW w:w="776" w:type="dxa"/>
            <w:gridSpan w:val="2"/>
            <w:shd w:val="clear" w:color="auto" w:fill="auto"/>
            <w:vAlign w:val="bottom"/>
            <w:hideMark/>
          </w:tcPr>
          <w:p w14:paraId="63288B6C" w14:textId="77777777" w:rsidR="007E365E" w:rsidRPr="00173B02" w:rsidRDefault="007E365E" w:rsidP="007D1D77">
            <w:pPr>
              <w:pStyle w:val="CGCTablerow"/>
              <w:jc w:val="right"/>
              <w:rPr>
                <w:lang w:eastAsia="en-AU"/>
              </w:rPr>
            </w:pPr>
            <w:r>
              <w:rPr>
                <w:rFonts w:cs="Open Sans Light"/>
                <w:szCs w:val="16"/>
              </w:rPr>
              <w:t>8.6</w:t>
            </w:r>
          </w:p>
        </w:tc>
        <w:tc>
          <w:tcPr>
            <w:tcW w:w="795" w:type="dxa"/>
            <w:gridSpan w:val="2"/>
            <w:shd w:val="clear" w:color="auto" w:fill="auto"/>
            <w:vAlign w:val="bottom"/>
            <w:hideMark/>
          </w:tcPr>
          <w:p w14:paraId="2579A273" w14:textId="77777777" w:rsidR="007E365E" w:rsidRPr="00173B02" w:rsidRDefault="007E365E" w:rsidP="007D1D77">
            <w:pPr>
              <w:pStyle w:val="CGCTablerow"/>
              <w:jc w:val="right"/>
              <w:rPr>
                <w:lang w:eastAsia="en-AU"/>
              </w:rPr>
            </w:pPr>
            <w:r>
              <w:rPr>
                <w:rFonts w:cs="Open Sans Light"/>
                <w:szCs w:val="16"/>
              </w:rPr>
              <w:t>6.8</w:t>
            </w:r>
          </w:p>
        </w:tc>
        <w:tc>
          <w:tcPr>
            <w:tcW w:w="698" w:type="dxa"/>
            <w:gridSpan w:val="2"/>
            <w:shd w:val="clear" w:color="auto" w:fill="auto"/>
            <w:vAlign w:val="bottom"/>
            <w:hideMark/>
          </w:tcPr>
          <w:p w14:paraId="4659E50D" w14:textId="77777777" w:rsidR="007E365E" w:rsidRPr="00173B02" w:rsidRDefault="007E365E" w:rsidP="007D1D77">
            <w:pPr>
              <w:pStyle w:val="CGCTablerow"/>
              <w:jc w:val="right"/>
              <w:rPr>
                <w:lang w:eastAsia="en-AU"/>
              </w:rPr>
            </w:pPr>
            <w:r>
              <w:rPr>
                <w:rFonts w:cs="Open Sans Light"/>
                <w:szCs w:val="16"/>
              </w:rPr>
              <w:t>11.5</w:t>
            </w:r>
          </w:p>
        </w:tc>
        <w:tc>
          <w:tcPr>
            <w:tcW w:w="892" w:type="dxa"/>
            <w:gridSpan w:val="2"/>
            <w:shd w:val="clear" w:color="auto" w:fill="auto"/>
            <w:vAlign w:val="bottom"/>
            <w:hideMark/>
          </w:tcPr>
          <w:p w14:paraId="01B5044F" w14:textId="77777777" w:rsidR="007E365E" w:rsidRPr="00173B02" w:rsidRDefault="007E365E" w:rsidP="007D1D77">
            <w:pPr>
              <w:pStyle w:val="CGCTablerow"/>
              <w:jc w:val="right"/>
              <w:rPr>
                <w:lang w:eastAsia="en-AU"/>
              </w:rPr>
            </w:pPr>
            <w:r>
              <w:rPr>
                <w:rFonts w:cs="Open Sans Light"/>
                <w:szCs w:val="16"/>
              </w:rPr>
              <w:t>9.8</w:t>
            </w:r>
          </w:p>
        </w:tc>
      </w:tr>
    </w:tbl>
    <w:p w14:paraId="0F542D1A" w14:textId="77777777" w:rsidR="007E365E" w:rsidRPr="00173B02" w:rsidRDefault="007E365E" w:rsidP="007E365E">
      <w:pPr>
        <w:pStyle w:val="CGCTablenote"/>
      </w:pPr>
      <w:r w:rsidRPr="00173B02">
        <w:t>Note:</w:t>
      </w:r>
      <w:r w:rsidRPr="00173B02">
        <w:tab/>
        <w:t xml:space="preserve">Expenses shown on a gross basis. </w:t>
      </w:r>
    </w:p>
    <w:p w14:paraId="2B52F8AB" w14:textId="77777777" w:rsidR="007E365E" w:rsidRPr="00173B02" w:rsidRDefault="007E365E" w:rsidP="007E365E">
      <w:pPr>
        <w:pStyle w:val="CGCTablenote"/>
      </w:pPr>
      <w:r w:rsidRPr="00173B02">
        <w:t>Source:</w:t>
      </w:r>
      <w:r w:rsidRPr="00173B02">
        <w:tab/>
        <w:t xml:space="preserve">Commission calculation using State budget data. </w:t>
      </w:r>
    </w:p>
    <w:p w14:paraId="291A70C5" w14:textId="77777777" w:rsidR="007E365E" w:rsidRPr="00562BE2" w:rsidRDefault="007E365E" w:rsidP="007E365E">
      <w:pPr>
        <w:pStyle w:val="CGCParaNumber"/>
      </w:pPr>
      <w:r w:rsidRPr="00562BE2">
        <w:t xml:space="preserve">The Justice category excludes public order and safety services related to: </w:t>
      </w:r>
    </w:p>
    <w:p w14:paraId="7664F554" w14:textId="77777777" w:rsidR="007E365E" w:rsidRPr="00850D12" w:rsidRDefault="007E365E" w:rsidP="007E365E">
      <w:pPr>
        <w:pStyle w:val="CGCBullet1"/>
        <w:numPr>
          <w:ilvl w:val="0"/>
          <w:numId w:val="18"/>
        </w:numPr>
        <w:ind w:left="924" w:hanging="357"/>
      </w:pPr>
      <w:r w:rsidRPr="00850D12">
        <w:t>fire protection services</w:t>
      </w:r>
    </w:p>
    <w:p w14:paraId="1A248776" w14:textId="77777777" w:rsidR="007E365E" w:rsidRPr="00850D12" w:rsidRDefault="007E365E" w:rsidP="007E365E">
      <w:pPr>
        <w:pStyle w:val="CGCBullet1"/>
        <w:numPr>
          <w:ilvl w:val="0"/>
          <w:numId w:val="18"/>
        </w:numPr>
        <w:ind w:left="924" w:hanging="357"/>
      </w:pPr>
      <w:r w:rsidRPr="00850D12">
        <w:t>control of domestic animals and livestock</w:t>
      </w:r>
    </w:p>
    <w:p w14:paraId="066D7BBC" w14:textId="77777777" w:rsidR="007E365E" w:rsidRPr="00850D12" w:rsidRDefault="007E365E" w:rsidP="007E365E">
      <w:pPr>
        <w:pStyle w:val="CGCBullet1"/>
        <w:numPr>
          <w:ilvl w:val="0"/>
          <w:numId w:val="18"/>
        </w:numPr>
        <w:ind w:left="924" w:hanging="357"/>
      </w:pPr>
      <w:r w:rsidRPr="00850D12">
        <w:t>public order and safety not elsewhere classified.</w:t>
      </w:r>
    </w:p>
    <w:p w14:paraId="313081D0" w14:textId="77777777" w:rsidR="007E365E" w:rsidRPr="00173B02" w:rsidRDefault="007E365E" w:rsidP="007E365E">
      <w:pPr>
        <w:pStyle w:val="CGCParaNumber"/>
      </w:pPr>
      <w:r w:rsidRPr="00173B02">
        <w:t>These expenses are assessed in the Other expenses category.</w:t>
      </w:r>
    </w:p>
    <w:p w14:paraId="2CF0C9FA" w14:textId="57277209" w:rsidR="007E365E" w:rsidRPr="00173B02" w:rsidRDefault="007E365E" w:rsidP="007E365E">
      <w:pPr>
        <w:pStyle w:val="CGCParaNumber"/>
      </w:pPr>
      <w:r>
        <w:fldChar w:fldCharType="begin"/>
      </w:r>
      <w:r>
        <w:instrText xml:space="preserve"> REF _Ref32846288 \h </w:instrText>
      </w:r>
      <w:r>
        <w:fldChar w:fldCharType="separate"/>
      </w:r>
      <w:r w:rsidR="007F721A" w:rsidRPr="00173B02">
        <w:t xml:space="preserve">Table </w:t>
      </w:r>
      <w:r w:rsidR="007F721A">
        <w:t>19-</w:t>
      </w:r>
      <w:r w:rsidR="007F721A">
        <w:rPr>
          <w:noProof/>
        </w:rPr>
        <w:t>2</w:t>
      </w:r>
      <w:r>
        <w:fldChar w:fldCharType="end"/>
      </w:r>
      <w:r w:rsidRPr="00173B02">
        <w:t xml:space="preserve"> shows the share of State expenses on Justice from 201</w:t>
      </w:r>
      <w:r>
        <w:t>5</w:t>
      </w:r>
      <w:r w:rsidRPr="00173B02">
        <w:noBreakHyphen/>
        <w:t>1</w:t>
      </w:r>
      <w:r>
        <w:t>6</w:t>
      </w:r>
      <w:r w:rsidRPr="00173B02">
        <w:t xml:space="preserve"> </w:t>
      </w:r>
      <w:r>
        <w:t>to 2018</w:t>
      </w:r>
      <w:r>
        <w:noBreakHyphen/>
        <w:t xml:space="preserve">19. </w:t>
      </w:r>
    </w:p>
    <w:p w14:paraId="2C814540" w14:textId="122598E0" w:rsidR="007E365E" w:rsidRPr="00173B02" w:rsidRDefault="007E365E" w:rsidP="007E365E">
      <w:pPr>
        <w:pStyle w:val="Caption"/>
      </w:pPr>
      <w:bookmarkStart w:id="5" w:name="_Ref32846288"/>
      <w:r w:rsidRPr="00173B02">
        <w:t xml:space="preserve">Table </w:t>
      </w:r>
      <w:r>
        <w:t>19-</w:t>
      </w:r>
      <w:fldSimple w:instr=" SEQ Table \* ARABIC ">
        <w:r w:rsidR="007F721A">
          <w:rPr>
            <w:noProof/>
          </w:rPr>
          <w:t>2</w:t>
        </w:r>
      </w:fldSimple>
      <w:bookmarkEnd w:id="5"/>
      <w:r>
        <w:rPr>
          <w:noProof/>
        </w:rPr>
        <w:tab/>
      </w:r>
      <w:r w:rsidRPr="00173B02">
        <w:t>Justice</w:t>
      </w:r>
      <w:r>
        <w:t xml:space="preserve"> expenses</w:t>
      </w:r>
      <w:r w:rsidRPr="00173B02">
        <w:t xml:space="preserve">, </w:t>
      </w:r>
      <w:r w:rsidR="003C39E9">
        <w:t xml:space="preserve">all States, </w:t>
      </w:r>
      <w:r w:rsidRPr="00173B02">
        <w:t>201</w:t>
      </w:r>
      <w:r>
        <w:t>5</w:t>
      </w:r>
      <w:r w:rsidRPr="00173B02">
        <w:noBreakHyphen/>
        <w:t>1</w:t>
      </w:r>
      <w:r>
        <w:t>6</w:t>
      </w:r>
      <w:r w:rsidRPr="00173B02">
        <w:t xml:space="preserve"> to 201</w:t>
      </w:r>
      <w:r>
        <w:t>8</w:t>
      </w:r>
      <w:r w:rsidRPr="00173B02">
        <w:noBreakHyphen/>
        <w:t>1</w:t>
      </w:r>
      <w:r>
        <w:t>9</w:t>
      </w:r>
    </w:p>
    <w:tbl>
      <w:tblPr>
        <w:tblW w:w="8902" w:type="dxa"/>
        <w:tblCellMar>
          <w:left w:w="28" w:type="dxa"/>
          <w:right w:w="28" w:type="dxa"/>
        </w:tblCellMar>
        <w:tblLook w:val="04A0" w:firstRow="1" w:lastRow="0" w:firstColumn="1" w:lastColumn="0" w:noHBand="0" w:noVBand="1"/>
      </w:tblPr>
      <w:tblGrid>
        <w:gridCol w:w="4182"/>
        <w:gridCol w:w="1180"/>
        <w:gridCol w:w="1180"/>
        <w:gridCol w:w="1180"/>
        <w:gridCol w:w="1180"/>
      </w:tblGrid>
      <w:tr w:rsidR="007E365E" w:rsidRPr="00C6748A" w14:paraId="02B8B413" w14:textId="77777777" w:rsidTr="007D1D77">
        <w:trPr>
          <w:trHeight w:val="390"/>
        </w:trPr>
        <w:tc>
          <w:tcPr>
            <w:tcW w:w="4260" w:type="dxa"/>
            <w:tcBorders>
              <w:top w:val="single" w:sz="4" w:space="0" w:color="ADD6EA"/>
              <w:left w:val="nil"/>
              <w:bottom w:val="single" w:sz="4" w:space="0" w:color="ADD6EA"/>
              <w:right w:val="nil"/>
            </w:tcBorders>
            <w:shd w:val="clear" w:color="000000" w:fill="006991"/>
            <w:vAlign w:val="center"/>
            <w:hideMark/>
          </w:tcPr>
          <w:p w14:paraId="764A8263" w14:textId="77777777" w:rsidR="007E365E" w:rsidRPr="00C6748A"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C6748A">
              <w:rPr>
                <w:rFonts w:ascii="Open Sans SemiBold" w:eastAsia="Times New Roman" w:hAnsi="Open Sans SemiBold" w:cs="Open Sans SemiBold"/>
                <w:color w:val="FFFFFF"/>
                <w:sz w:val="16"/>
                <w:szCs w:val="16"/>
                <w:lang w:eastAsia="en-AU"/>
              </w:rPr>
              <w:t> </w:t>
            </w:r>
          </w:p>
        </w:tc>
        <w:tc>
          <w:tcPr>
            <w:tcW w:w="1180" w:type="dxa"/>
            <w:tcBorders>
              <w:top w:val="single" w:sz="4" w:space="0" w:color="ADD6EA"/>
              <w:left w:val="nil"/>
              <w:bottom w:val="single" w:sz="4" w:space="0" w:color="ADD6EA"/>
              <w:right w:val="nil"/>
            </w:tcBorders>
            <w:shd w:val="clear" w:color="000000" w:fill="006991"/>
            <w:noWrap/>
            <w:vAlign w:val="center"/>
            <w:hideMark/>
          </w:tcPr>
          <w:p w14:paraId="2378FD83" w14:textId="77777777" w:rsidR="007E365E" w:rsidRPr="00C6748A"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748A">
              <w:rPr>
                <w:rFonts w:ascii="Open Sans SemiBold" w:eastAsia="Times New Roman" w:hAnsi="Open Sans SemiBold" w:cs="Open Sans SemiBold"/>
                <w:color w:val="FFFFFF"/>
                <w:sz w:val="16"/>
                <w:szCs w:val="16"/>
                <w:lang w:eastAsia="en-AU"/>
              </w:rPr>
              <w:t>2015-16</w:t>
            </w:r>
          </w:p>
        </w:tc>
        <w:tc>
          <w:tcPr>
            <w:tcW w:w="1180" w:type="dxa"/>
            <w:tcBorders>
              <w:top w:val="single" w:sz="4" w:space="0" w:color="ADD6EA"/>
              <w:left w:val="nil"/>
              <w:bottom w:val="single" w:sz="4" w:space="0" w:color="ADD6EA"/>
              <w:right w:val="nil"/>
            </w:tcBorders>
            <w:shd w:val="clear" w:color="000000" w:fill="006991"/>
            <w:noWrap/>
            <w:vAlign w:val="center"/>
            <w:hideMark/>
          </w:tcPr>
          <w:p w14:paraId="73A253A4" w14:textId="77777777" w:rsidR="007E365E" w:rsidRPr="00C6748A"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748A">
              <w:rPr>
                <w:rFonts w:ascii="Open Sans SemiBold" w:eastAsia="Times New Roman" w:hAnsi="Open Sans SemiBold" w:cs="Open Sans SemiBold"/>
                <w:color w:val="FFFFFF"/>
                <w:sz w:val="16"/>
                <w:szCs w:val="16"/>
                <w:lang w:eastAsia="en-AU"/>
              </w:rPr>
              <w:t>2016-17</w:t>
            </w:r>
          </w:p>
        </w:tc>
        <w:tc>
          <w:tcPr>
            <w:tcW w:w="1180" w:type="dxa"/>
            <w:tcBorders>
              <w:top w:val="single" w:sz="4" w:space="0" w:color="ADD6EA"/>
              <w:left w:val="nil"/>
              <w:bottom w:val="single" w:sz="4" w:space="0" w:color="ADD6EA"/>
              <w:right w:val="nil"/>
            </w:tcBorders>
            <w:shd w:val="clear" w:color="000000" w:fill="006991"/>
            <w:noWrap/>
            <w:vAlign w:val="center"/>
            <w:hideMark/>
          </w:tcPr>
          <w:p w14:paraId="356FBE9A" w14:textId="77777777" w:rsidR="007E365E" w:rsidRPr="00C6748A"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748A">
              <w:rPr>
                <w:rFonts w:ascii="Open Sans SemiBold" w:eastAsia="Times New Roman" w:hAnsi="Open Sans SemiBold" w:cs="Open Sans SemiBold"/>
                <w:color w:val="FFFFFF"/>
                <w:sz w:val="16"/>
                <w:szCs w:val="16"/>
                <w:lang w:eastAsia="en-AU"/>
              </w:rPr>
              <w:t>2017-18</w:t>
            </w:r>
          </w:p>
        </w:tc>
        <w:tc>
          <w:tcPr>
            <w:tcW w:w="1180" w:type="dxa"/>
            <w:tcBorders>
              <w:top w:val="single" w:sz="4" w:space="0" w:color="ADD6EA"/>
              <w:left w:val="nil"/>
              <w:bottom w:val="single" w:sz="4" w:space="0" w:color="ADD6EA"/>
              <w:right w:val="nil"/>
            </w:tcBorders>
            <w:shd w:val="clear" w:color="000000" w:fill="006991"/>
            <w:noWrap/>
            <w:vAlign w:val="center"/>
            <w:hideMark/>
          </w:tcPr>
          <w:p w14:paraId="1AEFF5E3" w14:textId="77777777" w:rsidR="007E365E" w:rsidRPr="00C6748A"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748A">
              <w:rPr>
                <w:rFonts w:ascii="Open Sans SemiBold" w:eastAsia="Times New Roman" w:hAnsi="Open Sans SemiBold" w:cs="Open Sans SemiBold"/>
                <w:color w:val="FFFFFF"/>
                <w:sz w:val="16"/>
                <w:szCs w:val="16"/>
                <w:lang w:eastAsia="en-AU"/>
              </w:rPr>
              <w:t>2018-19</w:t>
            </w:r>
          </w:p>
        </w:tc>
      </w:tr>
      <w:tr w:rsidR="007E365E" w:rsidRPr="00C6748A" w14:paraId="7A44ED93" w14:textId="77777777" w:rsidTr="007D1D77">
        <w:trPr>
          <w:trHeight w:val="263"/>
        </w:trPr>
        <w:tc>
          <w:tcPr>
            <w:tcW w:w="4260" w:type="dxa"/>
            <w:tcBorders>
              <w:top w:val="nil"/>
              <w:left w:val="nil"/>
              <w:bottom w:val="single" w:sz="4" w:space="0" w:color="ADD6EA"/>
              <w:right w:val="nil"/>
            </w:tcBorders>
            <w:shd w:val="clear" w:color="auto" w:fill="auto"/>
            <w:vAlign w:val="bottom"/>
            <w:hideMark/>
          </w:tcPr>
          <w:p w14:paraId="02E0EFA2" w14:textId="77777777" w:rsidR="007E365E" w:rsidRPr="00C6748A" w:rsidRDefault="007E365E" w:rsidP="007D1D77">
            <w:pPr>
              <w:tabs>
                <w:tab w:val="clear" w:pos="567"/>
              </w:tabs>
              <w:spacing w:before="0" w:line="240" w:lineRule="auto"/>
              <w:rPr>
                <w:rFonts w:eastAsia="Times New Roman" w:cs="Open Sans Light"/>
                <w:sz w:val="16"/>
                <w:szCs w:val="16"/>
                <w:lang w:eastAsia="en-AU"/>
              </w:rPr>
            </w:pPr>
            <w:r w:rsidRPr="00C6748A">
              <w:rPr>
                <w:rFonts w:eastAsia="Times New Roman" w:cs="Open Sans Light"/>
                <w:sz w:val="16"/>
                <w:szCs w:val="16"/>
                <w:lang w:eastAsia="en-AU"/>
              </w:rPr>
              <w:t>Total</w:t>
            </w:r>
            <w:r>
              <w:rPr>
                <w:rFonts w:eastAsia="Times New Roman" w:cs="Open Sans Light"/>
                <w:sz w:val="16"/>
                <w:szCs w:val="16"/>
                <w:lang w:eastAsia="en-AU"/>
              </w:rPr>
              <w:t xml:space="preserve"> </w:t>
            </w:r>
            <w:r w:rsidRPr="00C6748A">
              <w:rPr>
                <w:rFonts w:eastAsia="Times New Roman" w:cs="Open Sans Light"/>
                <w:sz w:val="16"/>
                <w:szCs w:val="16"/>
                <w:lang w:eastAsia="en-AU"/>
              </w:rPr>
              <w:t>expenses</w:t>
            </w:r>
            <w:r>
              <w:rPr>
                <w:rFonts w:eastAsia="Times New Roman" w:cs="Open Sans Light"/>
                <w:sz w:val="16"/>
                <w:szCs w:val="16"/>
                <w:lang w:eastAsia="en-AU"/>
              </w:rPr>
              <w:t xml:space="preserve"> </w:t>
            </w:r>
            <w:r w:rsidRPr="00C6748A">
              <w:rPr>
                <w:rFonts w:eastAsia="Times New Roman" w:cs="Open Sans Light"/>
                <w:sz w:val="16"/>
                <w:szCs w:val="16"/>
                <w:lang w:eastAsia="en-AU"/>
              </w:rPr>
              <w:t>($m)</w:t>
            </w:r>
          </w:p>
        </w:tc>
        <w:tc>
          <w:tcPr>
            <w:tcW w:w="1180" w:type="dxa"/>
            <w:tcBorders>
              <w:top w:val="nil"/>
              <w:left w:val="nil"/>
              <w:bottom w:val="single" w:sz="4" w:space="0" w:color="ADD6EA"/>
              <w:right w:val="nil"/>
            </w:tcBorders>
            <w:shd w:val="clear" w:color="auto" w:fill="auto"/>
            <w:vAlign w:val="bottom"/>
            <w:hideMark/>
          </w:tcPr>
          <w:p w14:paraId="0A55CC36" w14:textId="77777777" w:rsidR="007E365E" w:rsidRPr="00C6748A" w:rsidRDefault="007E365E" w:rsidP="007D1D77">
            <w:pPr>
              <w:tabs>
                <w:tab w:val="clear" w:pos="567"/>
              </w:tabs>
              <w:spacing w:before="0" w:line="240" w:lineRule="auto"/>
              <w:jc w:val="right"/>
              <w:rPr>
                <w:rFonts w:eastAsia="Times New Roman" w:cs="Open Sans Light"/>
                <w:sz w:val="16"/>
                <w:szCs w:val="16"/>
                <w:lang w:eastAsia="en-AU"/>
              </w:rPr>
            </w:pPr>
            <w:r w:rsidRPr="00C6748A">
              <w:rPr>
                <w:rFonts w:eastAsia="Times New Roman" w:cs="Open Sans Light"/>
                <w:sz w:val="16"/>
                <w:szCs w:val="16"/>
                <w:lang w:eastAsia="en-AU"/>
              </w:rPr>
              <w:t>18,154</w:t>
            </w:r>
          </w:p>
        </w:tc>
        <w:tc>
          <w:tcPr>
            <w:tcW w:w="1180" w:type="dxa"/>
            <w:tcBorders>
              <w:top w:val="nil"/>
              <w:left w:val="nil"/>
              <w:bottom w:val="single" w:sz="4" w:space="0" w:color="ADD6EA"/>
              <w:right w:val="nil"/>
            </w:tcBorders>
            <w:shd w:val="clear" w:color="auto" w:fill="auto"/>
            <w:vAlign w:val="bottom"/>
            <w:hideMark/>
          </w:tcPr>
          <w:p w14:paraId="1887DA21" w14:textId="77777777" w:rsidR="007E365E" w:rsidRPr="00C6748A" w:rsidRDefault="007E365E" w:rsidP="007D1D77">
            <w:pPr>
              <w:tabs>
                <w:tab w:val="clear" w:pos="567"/>
              </w:tabs>
              <w:spacing w:before="0" w:line="240" w:lineRule="auto"/>
              <w:jc w:val="right"/>
              <w:rPr>
                <w:rFonts w:eastAsia="Times New Roman" w:cs="Open Sans Light"/>
                <w:sz w:val="16"/>
                <w:szCs w:val="16"/>
                <w:lang w:eastAsia="en-AU"/>
              </w:rPr>
            </w:pPr>
            <w:r w:rsidRPr="00C6748A">
              <w:rPr>
                <w:rFonts w:eastAsia="Times New Roman" w:cs="Open Sans Light"/>
                <w:sz w:val="16"/>
                <w:szCs w:val="16"/>
                <w:lang w:eastAsia="en-AU"/>
              </w:rPr>
              <w:t>19,146</w:t>
            </w:r>
          </w:p>
        </w:tc>
        <w:tc>
          <w:tcPr>
            <w:tcW w:w="1180" w:type="dxa"/>
            <w:tcBorders>
              <w:top w:val="nil"/>
              <w:left w:val="nil"/>
              <w:bottom w:val="single" w:sz="4" w:space="0" w:color="ADD6EA"/>
              <w:right w:val="nil"/>
            </w:tcBorders>
            <w:shd w:val="clear" w:color="auto" w:fill="auto"/>
            <w:vAlign w:val="bottom"/>
            <w:hideMark/>
          </w:tcPr>
          <w:p w14:paraId="2EC7DDC7" w14:textId="77777777" w:rsidR="007E365E" w:rsidRPr="00C6748A" w:rsidRDefault="007E365E" w:rsidP="007D1D77">
            <w:pPr>
              <w:tabs>
                <w:tab w:val="clear" w:pos="567"/>
              </w:tabs>
              <w:spacing w:before="0" w:line="240" w:lineRule="auto"/>
              <w:jc w:val="right"/>
              <w:rPr>
                <w:rFonts w:eastAsia="Times New Roman" w:cs="Open Sans Light"/>
                <w:sz w:val="16"/>
                <w:szCs w:val="16"/>
                <w:lang w:eastAsia="en-AU"/>
              </w:rPr>
            </w:pPr>
            <w:r w:rsidRPr="00C6748A">
              <w:rPr>
                <w:rFonts w:eastAsia="Times New Roman" w:cs="Open Sans Light"/>
                <w:sz w:val="16"/>
                <w:szCs w:val="16"/>
                <w:lang w:eastAsia="en-AU"/>
              </w:rPr>
              <w:t>20,419</w:t>
            </w:r>
          </w:p>
        </w:tc>
        <w:tc>
          <w:tcPr>
            <w:tcW w:w="1180" w:type="dxa"/>
            <w:tcBorders>
              <w:top w:val="nil"/>
              <w:left w:val="nil"/>
              <w:bottom w:val="single" w:sz="4" w:space="0" w:color="ADD6EA"/>
              <w:right w:val="nil"/>
            </w:tcBorders>
            <w:shd w:val="clear" w:color="auto" w:fill="auto"/>
            <w:vAlign w:val="bottom"/>
            <w:hideMark/>
          </w:tcPr>
          <w:p w14:paraId="4493EF02" w14:textId="77777777" w:rsidR="007E365E" w:rsidRPr="00C6748A" w:rsidRDefault="007E365E" w:rsidP="007D1D77">
            <w:pPr>
              <w:tabs>
                <w:tab w:val="clear" w:pos="567"/>
              </w:tabs>
              <w:spacing w:before="0" w:line="240" w:lineRule="auto"/>
              <w:jc w:val="right"/>
              <w:rPr>
                <w:rFonts w:eastAsia="Times New Roman" w:cs="Open Sans Light"/>
                <w:sz w:val="16"/>
                <w:szCs w:val="16"/>
                <w:lang w:eastAsia="en-AU"/>
              </w:rPr>
            </w:pPr>
            <w:r w:rsidRPr="00C6748A">
              <w:rPr>
                <w:rFonts w:eastAsia="Times New Roman" w:cs="Open Sans Light"/>
                <w:sz w:val="16"/>
                <w:szCs w:val="16"/>
                <w:lang w:eastAsia="en-AU"/>
              </w:rPr>
              <w:t>22,087</w:t>
            </w:r>
          </w:p>
        </w:tc>
      </w:tr>
      <w:tr w:rsidR="007E365E" w:rsidRPr="00C6748A" w14:paraId="7BF3CD6D" w14:textId="77777777" w:rsidTr="007D1D77">
        <w:trPr>
          <w:trHeight w:val="315"/>
        </w:trPr>
        <w:tc>
          <w:tcPr>
            <w:tcW w:w="4260" w:type="dxa"/>
            <w:tcBorders>
              <w:top w:val="nil"/>
              <w:left w:val="nil"/>
              <w:bottom w:val="single" w:sz="4" w:space="0" w:color="ADD6EA"/>
              <w:right w:val="nil"/>
            </w:tcBorders>
            <w:shd w:val="clear" w:color="auto" w:fill="auto"/>
            <w:vAlign w:val="bottom"/>
            <w:hideMark/>
          </w:tcPr>
          <w:p w14:paraId="415B160A" w14:textId="77777777" w:rsidR="007E365E" w:rsidRPr="00C6748A" w:rsidRDefault="007E365E" w:rsidP="007D1D77">
            <w:pPr>
              <w:tabs>
                <w:tab w:val="clear" w:pos="567"/>
              </w:tabs>
              <w:spacing w:before="0" w:line="240" w:lineRule="auto"/>
              <w:rPr>
                <w:rFonts w:eastAsia="Times New Roman" w:cs="Open Sans Light"/>
                <w:sz w:val="16"/>
                <w:szCs w:val="16"/>
                <w:lang w:eastAsia="en-AU"/>
              </w:rPr>
            </w:pPr>
            <w:r w:rsidRPr="00C6748A">
              <w:rPr>
                <w:rFonts w:eastAsia="Times New Roman" w:cs="Open Sans Light"/>
                <w:sz w:val="16"/>
                <w:szCs w:val="16"/>
                <w:lang w:eastAsia="en-AU"/>
              </w:rPr>
              <w:t>Proportion of total operating expenses (%)</w:t>
            </w:r>
          </w:p>
        </w:tc>
        <w:tc>
          <w:tcPr>
            <w:tcW w:w="1180" w:type="dxa"/>
            <w:tcBorders>
              <w:top w:val="nil"/>
              <w:left w:val="nil"/>
              <w:bottom w:val="single" w:sz="4" w:space="0" w:color="ADD6EA"/>
              <w:right w:val="nil"/>
            </w:tcBorders>
            <w:shd w:val="clear" w:color="auto" w:fill="auto"/>
            <w:vAlign w:val="bottom"/>
            <w:hideMark/>
          </w:tcPr>
          <w:p w14:paraId="5E695E5D" w14:textId="77777777" w:rsidR="007E365E" w:rsidRPr="00C6748A" w:rsidRDefault="007E365E" w:rsidP="007D1D77">
            <w:pPr>
              <w:tabs>
                <w:tab w:val="clear" w:pos="567"/>
              </w:tabs>
              <w:spacing w:before="0" w:line="240" w:lineRule="auto"/>
              <w:jc w:val="right"/>
              <w:rPr>
                <w:rFonts w:eastAsia="Times New Roman" w:cs="Open Sans Light"/>
                <w:sz w:val="16"/>
                <w:szCs w:val="16"/>
                <w:lang w:eastAsia="en-AU"/>
              </w:rPr>
            </w:pPr>
            <w:r w:rsidRPr="00C6748A">
              <w:rPr>
                <w:rFonts w:eastAsia="Times New Roman" w:cs="Open Sans Light"/>
                <w:sz w:val="16"/>
                <w:szCs w:val="16"/>
                <w:lang w:eastAsia="en-AU"/>
              </w:rPr>
              <w:t>9.5</w:t>
            </w:r>
          </w:p>
        </w:tc>
        <w:tc>
          <w:tcPr>
            <w:tcW w:w="1180" w:type="dxa"/>
            <w:tcBorders>
              <w:top w:val="nil"/>
              <w:left w:val="nil"/>
              <w:bottom w:val="single" w:sz="4" w:space="0" w:color="ADD6EA"/>
              <w:right w:val="nil"/>
            </w:tcBorders>
            <w:shd w:val="clear" w:color="auto" w:fill="auto"/>
            <w:vAlign w:val="bottom"/>
            <w:hideMark/>
          </w:tcPr>
          <w:p w14:paraId="0B5602BC" w14:textId="77777777" w:rsidR="007E365E" w:rsidRPr="00C6748A" w:rsidRDefault="007E365E" w:rsidP="007D1D77">
            <w:pPr>
              <w:tabs>
                <w:tab w:val="clear" w:pos="567"/>
              </w:tabs>
              <w:spacing w:before="0" w:line="240" w:lineRule="auto"/>
              <w:jc w:val="right"/>
              <w:rPr>
                <w:rFonts w:eastAsia="Times New Roman" w:cs="Open Sans Light"/>
                <w:sz w:val="16"/>
                <w:szCs w:val="16"/>
                <w:lang w:eastAsia="en-AU"/>
              </w:rPr>
            </w:pPr>
            <w:r w:rsidRPr="00C6748A">
              <w:rPr>
                <w:rFonts w:eastAsia="Times New Roman" w:cs="Open Sans Light"/>
                <w:sz w:val="16"/>
                <w:szCs w:val="16"/>
                <w:lang w:eastAsia="en-AU"/>
              </w:rPr>
              <w:t>9.5</w:t>
            </w:r>
          </w:p>
        </w:tc>
        <w:tc>
          <w:tcPr>
            <w:tcW w:w="1180" w:type="dxa"/>
            <w:tcBorders>
              <w:top w:val="nil"/>
              <w:left w:val="nil"/>
              <w:bottom w:val="single" w:sz="4" w:space="0" w:color="ADD6EA"/>
              <w:right w:val="nil"/>
            </w:tcBorders>
            <w:shd w:val="clear" w:color="auto" w:fill="auto"/>
            <w:vAlign w:val="bottom"/>
            <w:hideMark/>
          </w:tcPr>
          <w:p w14:paraId="7DB39DD1" w14:textId="77777777" w:rsidR="007E365E" w:rsidRPr="00C6748A" w:rsidRDefault="007E365E" w:rsidP="007D1D77">
            <w:pPr>
              <w:tabs>
                <w:tab w:val="clear" w:pos="567"/>
              </w:tabs>
              <w:spacing w:before="0" w:line="240" w:lineRule="auto"/>
              <w:jc w:val="right"/>
              <w:rPr>
                <w:rFonts w:eastAsia="Times New Roman" w:cs="Open Sans Light"/>
                <w:sz w:val="16"/>
                <w:szCs w:val="16"/>
                <w:lang w:eastAsia="en-AU"/>
              </w:rPr>
            </w:pPr>
            <w:r w:rsidRPr="00C6748A">
              <w:rPr>
                <w:rFonts w:eastAsia="Times New Roman" w:cs="Open Sans Light"/>
                <w:sz w:val="16"/>
                <w:szCs w:val="16"/>
                <w:lang w:eastAsia="en-AU"/>
              </w:rPr>
              <w:t>9.5</w:t>
            </w:r>
          </w:p>
        </w:tc>
        <w:tc>
          <w:tcPr>
            <w:tcW w:w="1180" w:type="dxa"/>
            <w:tcBorders>
              <w:top w:val="nil"/>
              <w:left w:val="nil"/>
              <w:bottom w:val="single" w:sz="4" w:space="0" w:color="ADD6EA"/>
              <w:right w:val="nil"/>
            </w:tcBorders>
            <w:shd w:val="clear" w:color="auto" w:fill="auto"/>
            <w:vAlign w:val="bottom"/>
            <w:hideMark/>
          </w:tcPr>
          <w:p w14:paraId="6EBA4B9E" w14:textId="77777777" w:rsidR="007E365E" w:rsidRPr="00C6748A" w:rsidRDefault="007E365E" w:rsidP="007D1D77">
            <w:pPr>
              <w:tabs>
                <w:tab w:val="clear" w:pos="567"/>
              </w:tabs>
              <w:spacing w:before="0" w:line="240" w:lineRule="auto"/>
              <w:jc w:val="right"/>
              <w:rPr>
                <w:rFonts w:eastAsia="Times New Roman" w:cs="Open Sans Light"/>
                <w:sz w:val="16"/>
                <w:szCs w:val="16"/>
                <w:lang w:eastAsia="en-AU"/>
              </w:rPr>
            </w:pPr>
            <w:r w:rsidRPr="00C6748A">
              <w:rPr>
                <w:rFonts w:eastAsia="Times New Roman" w:cs="Open Sans Light"/>
                <w:sz w:val="16"/>
                <w:szCs w:val="16"/>
                <w:lang w:eastAsia="en-AU"/>
              </w:rPr>
              <w:t>9.8</w:t>
            </w:r>
          </w:p>
        </w:tc>
      </w:tr>
    </w:tbl>
    <w:p w14:paraId="531CD77E" w14:textId="77777777" w:rsidR="007E365E" w:rsidRPr="00173B02" w:rsidRDefault="007E365E" w:rsidP="007E365E">
      <w:pPr>
        <w:pStyle w:val="CGCTablenote"/>
      </w:pPr>
      <w:r w:rsidRPr="00173B02">
        <w:t>Note:</w:t>
      </w:r>
      <w:r w:rsidRPr="00173B02">
        <w:tab/>
        <w:t xml:space="preserve">Expenses shown on a gross basis. </w:t>
      </w:r>
    </w:p>
    <w:p w14:paraId="1483D138" w14:textId="77777777" w:rsidR="007E365E" w:rsidRPr="00173B02" w:rsidRDefault="007E365E" w:rsidP="007E365E">
      <w:pPr>
        <w:pStyle w:val="CGCTablenote"/>
      </w:pPr>
      <w:r w:rsidRPr="00173B02">
        <w:t>Source:</w:t>
      </w:r>
      <w:r w:rsidRPr="00173B02">
        <w:tab/>
        <w:t xml:space="preserve">Commission calculation using </w:t>
      </w:r>
      <w:r>
        <w:t>A</w:t>
      </w:r>
      <w:r w:rsidRPr="00302BC8">
        <w:t xml:space="preserve">ustralian </w:t>
      </w:r>
      <w:r>
        <w:t>B</w:t>
      </w:r>
      <w:r w:rsidRPr="00302BC8">
        <w:t xml:space="preserve">ureau of </w:t>
      </w:r>
      <w:r>
        <w:t>S</w:t>
      </w:r>
      <w:r w:rsidRPr="00302BC8">
        <w:t>tatistics</w:t>
      </w:r>
      <w:r>
        <w:t xml:space="preserve"> (</w:t>
      </w:r>
      <w:r w:rsidRPr="00F82513">
        <w:t>ABS</w:t>
      </w:r>
      <w:r>
        <w:t>)</w:t>
      </w:r>
      <w:r w:rsidRPr="00F82513">
        <w:t xml:space="preserve"> </w:t>
      </w:r>
      <w:r w:rsidRPr="00173B02">
        <w:t>Government Finance Statistics (GFS) and State budget data.</w:t>
      </w:r>
    </w:p>
    <w:p w14:paraId="1FFE2005" w14:textId="4A936B60" w:rsidR="007E365E" w:rsidRDefault="007E365E" w:rsidP="007E365E">
      <w:pPr>
        <w:pStyle w:val="CGCParaNumber"/>
      </w:pPr>
      <w:r w:rsidRPr="00562BE2">
        <w:t>User charges (</w:t>
      </w:r>
      <w:r w:rsidRPr="00562BE2">
        <w:fldChar w:fldCharType="begin"/>
      </w:r>
      <w:r w:rsidRPr="00562BE2">
        <w:instrText xml:space="preserve"> REF _Ref7598386 \h  \* MERGEFORMAT </w:instrText>
      </w:r>
      <w:r w:rsidRPr="00562BE2">
        <w:fldChar w:fldCharType="separate"/>
      </w:r>
      <w:r w:rsidR="007F721A" w:rsidRPr="00173B02">
        <w:t xml:space="preserve">Table </w:t>
      </w:r>
      <w:r w:rsidR="007F721A">
        <w:t>19-3</w:t>
      </w:r>
      <w:r w:rsidRPr="00562BE2">
        <w:fldChar w:fldCharType="end"/>
      </w:r>
      <w:r w:rsidRPr="00562BE2">
        <w:t>) were $1.</w:t>
      </w:r>
      <w:r>
        <w:t>4</w:t>
      </w:r>
      <w:r w:rsidRPr="00562BE2">
        <w:t> billion in 201</w:t>
      </w:r>
      <w:r>
        <w:t>8</w:t>
      </w:r>
      <w:r w:rsidRPr="00562BE2">
        <w:t>-1</w:t>
      </w:r>
      <w:r>
        <w:t>9</w:t>
      </w:r>
      <w:r w:rsidRPr="00562BE2">
        <w:t xml:space="preserve">. </w:t>
      </w:r>
      <w:r w:rsidRPr="00734BC1">
        <w:t>States cost-recover some expenses associated with justice services, predominantly within the other legal services component, but also to a lesser extent from some police provided services such as policing at special events.</w:t>
      </w:r>
    </w:p>
    <w:p w14:paraId="731F2F03" w14:textId="77777777" w:rsidR="007E365E" w:rsidRPr="00734BC1" w:rsidRDefault="007E365E" w:rsidP="007E365E">
      <w:pPr>
        <w:pStyle w:val="CGCParaNumber"/>
      </w:pPr>
      <w:r w:rsidRPr="00734BC1">
        <w:lastRenderedPageBreak/>
        <w:t>In this category, the expense disabilities are not appropriate to apply to the user charges, and there are no other reliable data available. Therefore, Justice user charges are assessed equal per capita (EPC) in the Other revenue category.</w:t>
      </w:r>
    </w:p>
    <w:p w14:paraId="0E5B8612" w14:textId="510C2826" w:rsidR="007E365E" w:rsidRPr="00173B02" w:rsidRDefault="007E365E" w:rsidP="007E365E">
      <w:pPr>
        <w:pStyle w:val="Caption"/>
      </w:pPr>
      <w:bookmarkStart w:id="6" w:name="_Ref7598386"/>
      <w:r w:rsidRPr="00173B02">
        <w:t xml:space="preserve">Table </w:t>
      </w:r>
      <w:r>
        <w:t>19-</w:t>
      </w:r>
      <w:fldSimple w:instr=" SEQ Table \* ARABIC ">
        <w:r w:rsidR="007F721A">
          <w:rPr>
            <w:noProof/>
          </w:rPr>
          <w:t>3</w:t>
        </w:r>
      </w:fldSimple>
      <w:bookmarkEnd w:id="6"/>
      <w:r w:rsidRPr="00173B02">
        <w:tab/>
        <w:t>Justice user charges, 201</w:t>
      </w:r>
      <w:r>
        <w:t>8</w:t>
      </w:r>
      <w:r w:rsidRPr="00173B02">
        <w:noBreakHyphen/>
        <w:t>1</w:t>
      </w:r>
      <w:r>
        <w:t>9</w:t>
      </w:r>
      <w:r w:rsidRPr="00173B02">
        <w:t xml:space="preserve"> </w:t>
      </w:r>
    </w:p>
    <w:tbl>
      <w:tblPr>
        <w:tblW w:w="8919" w:type="dxa"/>
        <w:tblBorders>
          <w:top w:val="single" w:sz="4" w:space="0" w:color="ADD6EA"/>
          <w:bottom w:val="single" w:sz="4" w:space="0" w:color="ADD6EA"/>
          <w:insideH w:val="single" w:sz="4" w:space="0" w:color="ADD6EA"/>
        </w:tblBorders>
        <w:tblLayout w:type="fixed"/>
        <w:tblCellMar>
          <w:left w:w="0" w:type="dxa"/>
          <w:right w:w="28" w:type="dxa"/>
        </w:tblCellMar>
        <w:tblLook w:val="0000" w:firstRow="0" w:lastRow="0" w:firstColumn="0" w:lastColumn="0" w:noHBand="0" w:noVBand="0"/>
      </w:tblPr>
      <w:tblGrid>
        <w:gridCol w:w="2827"/>
        <w:gridCol w:w="676"/>
        <w:gridCol w:w="678"/>
        <w:gridCol w:w="676"/>
        <w:gridCol w:w="678"/>
        <w:gridCol w:w="676"/>
        <w:gridCol w:w="678"/>
        <w:gridCol w:w="676"/>
        <w:gridCol w:w="678"/>
        <w:gridCol w:w="676"/>
      </w:tblGrid>
      <w:tr w:rsidR="007E365E" w:rsidRPr="00173B02" w14:paraId="50D5693D" w14:textId="77777777" w:rsidTr="007D1D77">
        <w:trPr>
          <w:trHeight w:val="344"/>
        </w:trPr>
        <w:tc>
          <w:tcPr>
            <w:tcW w:w="1585" w:type="pct"/>
            <w:shd w:val="clear" w:color="auto" w:fill="006991"/>
            <w:vAlign w:val="center"/>
          </w:tcPr>
          <w:p w14:paraId="68331D4E" w14:textId="77777777" w:rsidR="007E365E" w:rsidRPr="00173B02" w:rsidRDefault="007E365E" w:rsidP="007D1D77">
            <w:pPr>
              <w:pStyle w:val="CGCTableheader"/>
            </w:pPr>
          </w:p>
        </w:tc>
        <w:tc>
          <w:tcPr>
            <w:tcW w:w="379" w:type="pct"/>
            <w:shd w:val="clear" w:color="auto" w:fill="006991"/>
            <w:vAlign w:val="center"/>
          </w:tcPr>
          <w:p w14:paraId="0BF81F18" w14:textId="77777777" w:rsidR="007E365E" w:rsidRPr="00173B02" w:rsidRDefault="007E365E" w:rsidP="007D1D77">
            <w:pPr>
              <w:pStyle w:val="CGCTableheader"/>
              <w:jc w:val="right"/>
            </w:pPr>
            <w:r w:rsidRPr="00173B02">
              <w:t>NSW</w:t>
            </w:r>
          </w:p>
        </w:tc>
        <w:tc>
          <w:tcPr>
            <w:tcW w:w="380" w:type="pct"/>
            <w:shd w:val="clear" w:color="auto" w:fill="006991"/>
            <w:vAlign w:val="center"/>
          </w:tcPr>
          <w:p w14:paraId="48CD8275" w14:textId="77777777" w:rsidR="007E365E" w:rsidRPr="00173B02" w:rsidRDefault="007E365E" w:rsidP="007D1D77">
            <w:pPr>
              <w:pStyle w:val="CGCTableheader"/>
              <w:jc w:val="right"/>
            </w:pPr>
            <w:r w:rsidRPr="00173B02">
              <w:t>Vic</w:t>
            </w:r>
          </w:p>
        </w:tc>
        <w:tc>
          <w:tcPr>
            <w:tcW w:w="379" w:type="pct"/>
            <w:shd w:val="clear" w:color="auto" w:fill="006991"/>
            <w:vAlign w:val="center"/>
          </w:tcPr>
          <w:p w14:paraId="0F1298D3" w14:textId="77777777" w:rsidR="007E365E" w:rsidRPr="00173B02" w:rsidRDefault="007E365E" w:rsidP="007D1D77">
            <w:pPr>
              <w:pStyle w:val="CGCTableheader"/>
              <w:jc w:val="right"/>
            </w:pPr>
            <w:r w:rsidRPr="00173B02">
              <w:t>Qld</w:t>
            </w:r>
          </w:p>
        </w:tc>
        <w:tc>
          <w:tcPr>
            <w:tcW w:w="380" w:type="pct"/>
            <w:shd w:val="clear" w:color="auto" w:fill="006991"/>
            <w:vAlign w:val="center"/>
          </w:tcPr>
          <w:p w14:paraId="577D93B8" w14:textId="77777777" w:rsidR="007E365E" w:rsidRPr="00173B02" w:rsidRDefault="007E365E" w:rsidP="007D1D77">
            <w:pPr>
              <w:pStyle w:val="CGCTableheader"/>
              <w:jc w:val="right"/>
            </w:pPr>
            <w:r w:rsidRPr="00173B02">
              <w:t>WA</w:t>
            </w:r>
          </w:p>
        </w:tc>
        <w:tc>
          <w:tcPr>
            <w:tcW w:w="379" w:type="pct"/>
            <w:shd w:val="clear" w:color="auto" w:fill="006991"/>
            <w:vAlign w:val="center"/>
          </w:tcPr>
          <w:p w14:paraId="0798D51C" w14:textId="77777777" w:rsidR="007E365E" w:rsidRPr="00173B02" w:rsidRDefault="007E365E" w:rsidP="007D1D77">
            <w:pPr>
              <w:pStyle w:val="CGCTableheader"/>
              <w:jc w:val="right"/>
            </w:pPr>
            <w:r w:rsidRPr="00173B02">
              <w:t>SA</w:t>
            </w:r>
          </w:p>
        </w:tc>
        <w:tc>
          <w:tcPr>
            <w:tcW w:w="380" w:type="pct"/>
            <w:shd w:val="clear" w:color="auto" w:fill="006991"/>
            <w:vAlign w:val="center"/>
          </w:tcPr>
          <w:p w14:paraId="0D344FCB" w14:textId="77777777" w:rsidR="007E365E" w:rsidRPr="00173B02" w:rsidRDefault="007E365E" w:rsidP="007D1D77">
            <w:pPr>
              <w:pStyle w:val="CGCTableheader"/>
              <w:jc w:val="right"/>
            </w:pPr>
            <w:r w:rsidRPr="00173B02">
              <w:t>Tas</w:t>
            </w:r>
          </w:p>
        </w:tc>
        <w:tc>
          <w:tcPr>
            <w:tcW w:w="379" w:type="pct"/>
            <w:shd w:val="clear" w:color="auto" w:fill="006991"/>
            <w:vAlign w:val="center"/>
          </w:tcPr>
          <w:p w14:paraId="2AE5D033" w14:textId="77777777" w:rsidR="007E365E" w:rsidRPr="00173B02" w:rsidRDefault="007E365E" w:rsidP="007D1D77">
            <w:pPr>
              <w:pStyle w:val="CGCTableheader"/>
              <w:jc w:val="right"/>
            </w:pPr>
            <w:r w:rsidRPr="00173B02">
              <w:t>ACT</w:t>
            </w:r>
          </w:p>
        </w:tc>
        <w:tc>
          <w:tcPr>
            <w:tcW w:w="380" w:type="pct"/>
            <w:shd w:val="clear" w:color="auto" w:fill="006991"/>
            <w:vAlign w:val="center"/>
          </w:tcPr>
          <w:p w14:paraId="4D7109DF" w14:textId="77777777" w:rsidR="007E365E" w:rsidRPr="00173B02" w:rsidRDefault="007E365E" w:rsidP="007D1D77">
            <w:pPr>
              <w:pStyle w:val="CGCTableheader"/>
              <w:jc w:val="right"/>
            </w:pPr>
            <w:r w:rsidRPr="00173B02">
              <w:t>NT</w:t>
            </w:r>
          </w:p>
        </w:tc>
        <w:tc>
          <w:tcPr>
            <w:tcW w:w="379" w:type="pct"/>
            <w:shd w:val="clear" w:color="auto" w:fill="006991"/>
            <w:vAlign w:val="center"/>
          </w:tcPr>
          <w:p w14:paraId="04948595" w14:textId="77777777" w:rsidR="007E365E" w:rsidRPr="00173B02" w:rsidRDefault="007E365E" w:rsidP="007D1D77">
            <w:pPr>
              <w:pStyle w:val="CGCTableheader"/>
              <w:jc w:val="right"/>
            </w:pPr>
            <w:r w:rsidRPr="00173B02">
              <w:t>Total</w:t>
            </w:r>
          </w:p>
        </w:tc>
      </w:tr>
      <w:tr w:rsidR="007E365E" w:rsidRPr="00173B02" w14:paraId="14447731" w14:textId="77777777" w:rsidTr="007D1D77">
        <w:trPr>
          <w:trHeight w:val="317"/>
        </w:trPr>
        <w:tc>
          <w:tcPr>
            <w:tcW w:w="1585" w:type="pct"/>
            <w:vAlign w:val="bottom"/>
          </w:tcPr>
          <w:p w14:paraId="26332746" w14:textId="77777777" w:rsidR="007E365E" w:rsidRPr="00173B02" w:rsidRDefault="007E365E" w:rsidP="007D1D77">
            <w:pPr>
              <w:pStyle w:val="CGCTablerow"/>
              <w:rPr>
                <w:lang w:eastAsia="en-AU"/>
              </w:rPr>
            </w:pPr>
            <w:r w:rsidRPr="00173B02">
              <w:rPr>
                <w:lang w:eastAsia="en-AU"/>
              </w:rPr>
              <w:t>Revenue ($m)</w:t>
            </w:r>
          </w:p>
        </w:tc>
        <w:tc>
          <w:tcPr>
            <w:tcW w:w="379" w:type="pct"/>
            <w:vAlign w:val="bottom"/>
          </w:tcPr>
          <w:p w14:paraId="1376614E" w14:textId="77777777" w:rsidR="007E365E" w:rsidRPr="00173B02" w:rsidRDefault="007E365E" w:rsidP="007D1D77">
            <w:pPr>
              <w:pStyle w:val="CGCTablerow"/>
              <w:jc w:val="right"/>
              <w:rPr>
                <w:lang w:eastAsia="en-AU"/>
              </w:rPr>
            </w:pPr>
            <w:r>
              <w:rPr>
                <w:lang w:eastAsia="en-AU"/>
              </w:rPr>
              <w:t>398</w:t>
            </w:r>
          </w:p>
        </w:tc>
        <w:tc>
          <w:tcPr>
            <w:tcW w:w="380" w:type="pct"/>
            <w:vAlign w:val="bottom"/>
          </w:tcPr>
          <w:p w14:paraId="3F7F9BA4" w14:textId="77777777" w:rsidR="007E365E" w:rsidRPr="00173B02" w:rsidRDefault="007E365E" w:rsidP="007D1D77">
            <w:pPr>
              <w:pStyle w:val="CGCTablerow"/>
              <w:jc w:val="right"/>
              <w:rPr>
                <w:lang w:eastAsia="en-AU"/>
              </w:rPr>
            </w:pPr>
            <w:r w:rsidRPr="00173B02">
              <w:t xml:space="preserve"> </w:t>
            </w:r>
            <w:r>
              <w:t>377</w:t>
            </w:r>
          </w:p>
        </w:tc>
        <w:tc>
          <w:tcPr>
            <w:tcW w:w="379" w:type="pct"/>
            <w:vAlign w:val="bottom"/>
          </w:tcPr>
          <w:p w14:paraId="1D82C629" w14:textId="77777777" w:rsidR="007E365E" w:rsidRPr="00173B02" w:rsidRDefault="007E365E" w:rsidP="007D1D77">
            <w:pPr>
              <w:pStyle w:val="CGCTablerow"/>
              <w:jc w:val="right"/>
              <w:rPr>
                <w:lang w:eastAsia="en-AU"/>
              </w:rPr>
            </w:pPr>
            <w:r w:rsidRPr="00173B02">
              <w:t>2</w:t>
            </w:r>
            <w:r>
              <w:t>11</w:t>
            </w:r>
          </w:p>
        </w:tc>
        <w:tc>
          <w:tcPr>
            <w:tcW w:w="380" w:type="pct"/>
            <w:vAlign w:val="bottom"/>
          </w:tcPr>
          <w:p w14:paraId="3CF8D5BB" w14:textId="77777777" w:rsidR="007E365E" w:rsidRPr="00173B02" w:rsidRDefault="007E365E" w:rsidP="007D1D77">
            <w:pPr>
              <w:pStyle w:val="CGCTablerow"/>
              <w:jc w:val="right"/>
              <w:rPr>
                <w:lang w:eastAsia="en-AU"/>
              </w:rPr>
            </w:pPr>
            <w:r w:rsidRPr="00173B02">
              <w:t>19</w:t>
            </w:r>
            <w:r>
              <w:t>5</w:t>
            </w:r>
          </w:p>
        </w:tc>
        <w:tc>
          <w:tcPr>
            <w:tcW w:w="379" w:type="pct"/>
            <w:vAlign w:val="bottom"/>
          </w:tcPr>
          <w:p w14:paraId="312C41AC" w14:textId="77777777" w:rsidR="007E365E" w:rsidRPr="00173B02" w:rsidRDefault="007E365E" w:rsidP="007D1D77">
            <w:pPr>
              <w:pStyle w:val="CGCTablerow"/>
              <w:jc w:val="right"/>
              <w:rPr>
                <w:lang w:eastAsia="en-AU"/>
              </w:rPr>
            </w:pPr>
            <w:r w:rsidRPr="00173B02">
              <w:t>1</w:t>
            </w:r>
            <w:r>
              <w:t>95</w:t>
            </w:r>
          </w:p>
        </w:tc>
        <w:tc>
          <w:tcPr>
            <w:tcW w:w="380" w:type="pct"/>
            <w:vAlign w:val="bottom"/>
          </w:tcPr>
          <w:p w14:paraId="09E03C0E" w14:textId="77777777" w:rsidR="007E365E" w:rsidRPr="00173B02" w:rsidRDefault="007E365E" w:rsidP="007D1D77">
            <w:pPr>
              <w:pStyle w:val="CGCTablerow"/>
              <w:jc w:val="right"/>
              <w:rPr>
                <w:lang w:eastAsia="en-AU"/>
              </w:rPr>
            </w:pPr>
            <w:r w:rsidRPr="00173B02">
              <w:t>2</w:t>
            </w:r>
            <w:r>
              <w:t>6</w:t>
            </w:r>
          </w:p>
        </w:tc>
        <w:tc>
          <w:tcPr>
            <w:tcW w:w="379" w:type="pct"/>
            <w:vAlign w:val="bottom"/>
          </w:tcPr>
          <w:p w14:paraId="7A6C8D05" w14:textId="77777777" w:rsidR="007E365E" w:rsidRPr="00173B02" w:rsidRDefault="007E365E" w:rsidP="007D1D77">
            <w:pPr>
              <w:pStyle w:val="CGCTablerow"/>
              <w:jc w:val="right"/>
              <w:rPr>
                <w:lang w:eastAsia="en-AU"/>
              </w:rPr>
            </w:pPr>
            <w:r w:rsidRPr="00173B02">
              <w:t>1</w:t>
            </w:r>
            <w:r>
              <w:t>7</w:t>
            </w:r>
          </w:p>
        </w:tc>
        <w:tc>
          <w:tcPr>
            <w:tcW w:w="380" w:type="pct"/>
            <w:vAlign w:val="bottom"/>
          </w:tcPr>
          <w:p w14:paraId="316AF1E7" w14:textId="77777777" w:rsidR="007E365E" w:rsidRPr="00173B02" w:rsidRDefault="007E365E" w:rsidP="007D1D77">
            <w:pPr>
              <w:pStyle w:val="CGCTablerow"/>
              <w:jc w:val="right"/>
              <w:rPr>
                <w:lang w:eastAsia="en-AU"/>
              </w:rPr>
            </w:pPr>
            <w:r w:rsidRPr="00173B02">
              <w:t>2</w:t>
            </w:r>
            <w:r>
              <w:t>7</w:t>
            </w:r>
          </w:p>
        </w:tc>
        <w:tc>
          <w:tcPr>
            <w:tcW w:w="379" w:type="pct"/>
            <w:vAlign w:val="bottom"/>
          </w:tcPr>
          <w:p w14:paraId="6ECEF2C6" w14:textId="77777777" w:rsidR="007E365E" w:rsidRPr="00173B02" w:rsidRDefault="007E365E" w:rsidP="007D1D77">
            <w:pPr>
              <w:pStyle w:val="CGCTablerow"/>
              <w:jc w:val="right"/>
              <w:rPr>
                <w:lang w:eastAsia="en-AU"/>
              </w:rPr>
            </w:pPr>
            <w:r>
              <w:t>1,446</w:t>
            </w:r>
          </w:p>
        </w:tc>
      </w:tr>
      <w:tr w:rsidR="007E365E" w:rsidRPr="00173B02" w14:paraId="384C2D30" w14:textId="77777777" w:rsidTr="007D1D77">
        <w:trPr>
          <w:trHeight w:val="317"/>
        </w:trPr>
        <w:tc>
          <w:tcPr>
            <w:tcW w:w="1585" w:type="pct"/>
            <w:vAlign w:val="bottom"/>
          </w:tcPr>
          <w:p w14:paraId="219D3D96" w14:textId="77777777" w:rsidR="007E365E" w:rsidRPr="00173B02" w:rsidRDefault="007E365E" w:rsidP="007D1D77">
            <w:pPr>
              <w:pStyle w:val="CGCTablerow"/>
              <w:rPr>
                <w:lang w:eastAsia="en-AU"/>
              </w:rPr>
            </w:pPr>
            <w:r w:rsidRPr="00173B02">
              <w:rPr>
                <w:lang w:eastAsia="en-AU"/>
              </w:rPr>
              <w:t>Revenue ($pc)</w:t>
            </w:r>
          </w:p>
        </w:tc>
        <w:tc>
          <w:tcPr>
            <w:tcW w:w="379" w:type="pct"/>
            <w:vAlign w:val="bottom"/>
          </w:tcPr>
          <w:p w14:paraId="28507278" w14:textId="77777777" w:rsidR="007E365E" w:rsidRPr="00173B02" w:rsidRDefault="007E365E" w:rsidP="007D1D77">
            <w:pPr>
              <w:pStyle w:val="CGCTablerow"/>
              <w:jc w:val="right"/>
              <w:rPr>
                <w:lang w:eastAsia="en-AU"/>
              </w:rPr>
            </w:pPr>
            <w:r>
              <w:rPr>
                <w:rFonts w:cs="Open Sans Light"/>
                <w:szCs w:val="16"/>
              </w:rPr>
              <w:t xml:space="preserve">  50</w:t>
            </w:r>
          </w:p>
        </w:tc>
        <w:tc>
          <w:tcPr>
            <w:tcW w:w="380" w:type="pct"/>
            <w:vAlign w:val="bottom"/>
          </w:tcPr>
          <w:p w14:paraId="31442A4E" w14:textId="77777777" w:rsidR="007E365E" w:rsidRPr="00173B02" w:rsidRDefault="007E365E" w:rsidP="007D1D77">
            <w:pPr>
              <w:pStyle w:val="CGCTablerow"/>
              <w:jc w:val="right"/>
              <w:rPr>
                <w:lang w:eastAsia="en-AU"/>
              </w:rPr>
            </w:pPr>
            <w:r>
              <w:rPr>
                <w:rFonts w:cs="Open Sans Light"/>
                <w:szCs w:val="16"/>
              </w:rPr>
              <w:t xml:space="preserve">  58</w:t>
            </w:r>
          </w:p>
        </w:tc>
        <w:tc>
          <w:tcPr>
            <w:tcW w:w="379" w:type="pct"/>
            <w:vAlign w:val="bottom"/>
          </w:tcPr>
          <w:p w14:paraId="1F17BB78" w14:textId="77777777" w:rsidR="007E365E" w:rsidRPr="00173B02" w:rsidRDefault="007E365E" w:rsidP="007D1D77">
            <w:pPr>
              <w:pStyle w:val="CGCTablerow"/>
              <w:jc w:val="right"/>
              <w:rPr>
                <w:lang w:eastAsia="en-AU"/>
              </w:rPr>
            </w:pPr>
            <w:r>
              <w:rPr>
                <w:rFonts w:cs="Open Sans Light"/>
                <w:szCs w:val="16"/>
              </w:rPr>
              <w:t xml:space="preserve">  42</w:t>
            </w:r>
          </w:p>
        </w:tc>
        <w:tc>
          <w:tcPr>
            <w:tcW w:w="380" w:type="pct"/>
            <w:vAlign w:val="bottom"/>
          </w:tcPr>
          <w:p w14:paraId="6C7FA8DB" w14:textId="77777777" w:rsidR="007E365E" w:rsidRPr="00173B02" w:rsidRDefault="007E365E" w:rsidP="007D1D77">
            <w:pPr>
              <w:pStyle w:val="CGCTablerow"/>
              <w:jc w:val="right"/>
              <w:rPr>
                <w:lang w:eastAsia="en-AU"/>
              </w:rPr>
            </w:pPr>
            <w:r>
              <w:rPr>
                <w:rFonts w:cs="Open Sans Light"/>
                <w:szCs w:val="16"/>
              </w:rPr>
              <w:t xml:space="preserve">  75</w:t>
            </w:r>
          </w:p>
        </w:tc>
        <w:tc>
          <w:tcPr>
            <w:tcW w:w="379" w:type="pct"/>
            <w:vAlign w:val="bottom"/>
          </w:tcPr>
          <w:p w14:paraId="787DD796" w14:textId="77777777" w:rsidR="007E365E" w:rsidRPr="00173B02" w:rsidRDefault="007E365E" w:rsidP="007D1D77">
            <w:pPr>
              <w:pStyle w:val="CGCTablerow"/>
              <w:jc w:val="right"/>
              <w:rPr>
                <w:lang w:eastAsia="en-AU"/>
              </w:rPr>
            </w:pPr>
            <w:r>
              <w:rPr>
                <w:rFonts w:cs="Open Sans Light"/>
                <w:szCs w:val="16"/>
              </w:rPr>
              <w:t xml:space="preserve">  112</w:t>
            </w:r>
          </w:p>
        </w:tc>
        <w:tc>
          <w:tcPr>
            <w:tcW w:w="380" w:type="pct"/>
            <w:vAlign w:val="bottom"/>
          </w:tcPr>
          <w:p w14:paraId="0EC4836A" w14:textId="77777777" w:rsidR="007E365E" w:rsidRPr="00173B02" w:rsidRDefault="007E365E" w:rsidP="007D1D77">
            <w:pPr>
              <w:pStyle w:val="CGCTablerow"/>
              <w:jc w:val="right"/>
              <w:rPr>
                <w:lang w:eastAsia="en-AU"/>
              </w:rPr>
            </w:pPr>
            <w:r>
              <w:rPr>
                <w:rFonts w:cs="Open Sans Light"/>
                <w:szCs w:val="16"/>
              </w:rPr>
              <w:t xml:space="preserve">  49</w:t>
            </w:r>
          </w:p>
        </w:tc>
        <w:tc>
          <w:tcPr>
            <w:tcW w:w="379" w:type="pct"/>
            <w:vAlign w:val="bottom"/>
          </w:tcPr>
          <w:p w14:paraId="23F23EF8" w14:textId="77777777" w:rsidR="007E365E" w:rsidRPr="00173B02" w:rsidRDefault="007E365E" w:rsidP="007D1D77">
            <w:pPr>
              <w:pStyle w:val="CGCTablerow"/>
              <w:jc w:val="right"/>
              <w:rPr>
                <w:lang w:eastAsia="en-AU"/>
              </w:rPr>
            </w:pPr>
            <w:r>
              <w:rPr>
                <w:rFonts w:cs="Open Sans Light"/>
                <w:szCs w:val="16"/>
              </w:rPr>
              <w:t xml:space="preserve">  40</w:t>
            </w:r>
          </w:p>
        </w:tc>
        <w:tc>
          <w:tcPr>
            <w:tcW w:w="380" w:type="pct"/>
            <w:vAlign w:val="bottom"/>
          </w:tcPr>
          <w:p w14:paraId="1F66722F" w14:textId="77777777" w:rsidR="007E365E" w:rsidRPr="00173B02" w:rsidRDefault="007E365E" w:rsidP="007D1D77">
            <w:pPr>
              <w:pStyle w:val="CGCTablerow"/>
              <w:jc w:val="right"/>
              <w:rPr>
                <w:lang w:eastAsia="en-AU"/>
              </w:rPr>
            </w:pPr>
            <w:r>
              <w:rPr>
                <w:rFonts w:cs="Open Sans Light"/>
                <w:szCs w:val="16"/>
              </w:rPr>
              <w:t xml:space="preserve">  111</w:t>
            </w:r>
          </w:p>
        </w:tc>
        <w:tc>
          <w:tcPr>
            <w:tcW w:w="379" w:type="pct"/>
            <w:vAlign w:val="bottom"/>
          </w:tcPr>
          <w:p w14:paraId="3837307E" w14:textId="77777777" w:rsidR="007E365E" w:rsidRPr="00173B02" w:rsidRDefault="007E365E" w:rsidP="007D1D77">
            <w:pPr>
              <w:pStyle w:val="CGCTablerow"/>
              <w:jc w:val="right"/>
              <w:rPr>
                <w:lang w:eastAsia="en-AU"/>
              </w:rPr>
            </w:pPr>
            <w:r>
              <w:rPr>
                <w:rFonts w:cs="Open Sans Light"/>
                <w:szCs w:val="16"/>
              </w:rPr>
              <w:t xml:space="preserve">  57</w:t>
            </w:r>
          </w:p>
        </w:tc>
      </w:tr>
    </w:tbl>
    <w:p w14:paraId="5D6E54FD" w14:textId="77777777" w:rsidR="007E365E" w:rsidRPr="00173B02" w:rsidRDefault="007E365E" w:rsidP="007E365E">
      <w:pPr>
        <w:pStyle w:val="CGCTablenote"/>
      </w:pPr>
      <w:r w:rsidRPr="00173B02">
        <w:t>Note:</w:t>
      </w:r>
      <w:r w:rsidRPr="00173B02">
        <w:tab/>
        <w:t>User charges refer to revenue from the sale of goods and services classified in GFS to economic type framework (ETF) 112.</w:t>
      </w:r>
    </w:p>
    <w:p w14:paraId="6CBF63D8" w14:textId="77777777" w:rsidR="007E365E" w:rsidRPr="00173B02" w:rsidRDefault="007E365E" w:rsidP="007E365E">
      <w:pPr>
        <w:pStyle w:val="CGCTablenote"/>
      </w:pPr>
      <w:r w:rsidRPr="00173B02">
        <w:t>Source:</w:t>
      </w:r>
      <w:r w:rsidRPr="00173B02">
        <w:tab/>
        <w:t>Commission calculation using ABS GFS and State budget data.</w:t>
      </w:r>
    </w:p>
    <w:p w14:paraId="056651EE" w14:textId="77777777" w:rsidR="007E365E" w:rsidRPr="00173B02" w:rsidRDefault="007E365E" w:rsidP="007E365E">
      <w:pPr>
        <w:pStyle w:val="Heading4"/>
        <w:keepLines/>
      </w:pPr>
      <w:bookmarkStart w:id="7" w:name="_Toc5893813"/>
      <w:bookmarkStart w:id="8" w:name="_Toc6487578"/>
      <w:bookmarkStart w:id="9" w:name="_Toc6487616"/>
      <w:bookmarkStart w:id="10" w:name="_Toc7442870"/>
      <w:bookmarkStart w:id="11" w:name="_Toc23500148"/>
      <w:r w:rsidRPr="00173B02">
        <w:t>State and Commonwealth roles and responsibilities</w:t>
      </w:r>
      <w:bookmarkEnd w:id="7"/>
      <w:bookmarkEnd w:id="8"/>
      <w:bookmarkEnd w:id="9"/>
      <w:bookmarkEnd w:id="10"/>
      <w:bookmarkEnd w:id="11"/>
    </w:p>
    <w:p w14:paraId="4161BFB3" w14:textId="77777777" w:rsidR="007E365E" w:rsidRPr="00D5543D" w:rsidRDefault="007E365E" w:rsidP="007E365E">
      <w:pPr>
        <w:pStyle w:val="Heading5"/>
      </w:pPr>
      <w:r w:rsidRPr="00D5543D">
        <w:rPr>
          <w:rStyle w:val="Heading6Char"/>
        </w:rPr>
        <w:t>Policing</w:t>
      </w:r>
    </w:p>
    <w:p w14:paraId="5E03FE42" w14:textId="77777777" w:rsidR="007E365E" w:rsidRPr="00173B02" w:rsidRDefault="007E365E" w:rsidP="007E365E">
      <w:pPr>
        <w:pStyle w:val="CGCParaNumber"/>
      </w:pPr>
      <w:r w:rsidRPr="00173B02">
        <w:t xml:space="preserve">State police forces enforce the laws of their respective States. </w:t>
      </w:r>
    </w:p>
    <w:p w14:paraId="5A3E07B6" w14:textId="77777777" w:rsidR="007E365E" w:rsidRPr="00173B02" w:rsidRDefault="007E365E" w:rsidP="007E365E">
      <w:pPr>
        <w:pStyle w:val="CGCParaNumber"/>
      </w:pPr>
      <w:r w:rsidRPr="00173B02">
        <w:t xml:space="preserve">The </w:t>
      </w:r>
      <w:r>
        <w:t xml:space="preserve">AFP </w:t>
      </w:r>
      <w:r w:rsidRPr="00173B02">
        <w:t>enforces Commonwealth law and deals with issues affecting crime and security at the national level. This includes crimes like human trafficking, trafficking of drugs in and out of Australia, counterfeiting of currency, fraud against the Commonwealth and intellectual property crime. They patrol, and have exclusive jurisdiction, at most major airports.</w:t>
      </w:r>
    </w:p>
    <w:p w14:paraId="18BAB3E0" w14:textId="77777777" w:rsidR="007E365E" w:rsidRPr="00173B02" w:rsidRDefault="007E365E" w:rsidP="007E365E">
      <w:pPr>
        <w:pStyle w:val="CGCParaNumber"/>
      </w:pPr>
      <w:r w:rsidRPr="00173B02">
        <w:t xml:space="preserve">The AFP provides State-type policing services to the ACT on a cost-recovery basis. </w:t>
      </w:r>
    </w:p>
    <w:p w14:paraId="4D935B49" w14:textId="77777777" w:rsidR="007E365E" w:rsidRPr="00173B02" w:rsidRDefault="007E365E" w:rsidP="007E365E">
      <w:pPr>
        <w:pStyle w:val="CGCParaNumber"/>
      </w:pPr>
      <w:r w:rsidRPr="00173B02">
        <w:t xml:space="preserve">State and federal police may work together on certain investigations, as some incidents may involve both State and federal crimes. </w:t>
      </w:r>
    </w:p>
    <w:p w14:paraId="2921E13A" w14:textId="77777777" w:rsidR="007E365E" w:rsidRPr="00D5543D" w:rsidRDefault="007E365E" w:rsidP="007E365E">
      <w:pPr>
        <w:pStyle w:val="Heading5"/>
      </w:pPr>
      <w:r w:rsidRPr="00D5543D">
        <w:rPr>
          <w:rStyle w:val="Heading6Char"/>
        </w:rPr>
        <w:t>Criminal courts</w:t>
      </w:r>
    </w:p>
    <w:p w14:paraId="13CA4284" w14:textId="77777777" w:rsidR="007E365E" w:rsidRPr="00173B02" w:rsidRDefault="007E365E" w:rsidP="007E365E">
      <w:pPr>
        <w:pStyle w:val="CGCParaNumber"/>
      </w:pPr>
      <w:r w:rsidRPr="00173B02">
        <w:t>State criminal courts have almost exclusive jurisdiction to hear matters relating to indictable offences, whether the</w:t>
      </w:r>
      <w:r>
        <w:t>se</w:t>
      </w:r>
      <w:r w:rsidRPr="00173B02">
        <w:t xml:space="preserve"> occurred under Commonwealth or State law. The exceptions are matters dealing with making a contract containing a cartel provision and giving effect to a cartel provision, which are heard by the Federal Court. </w:t>
      </w:r>
    </w:p>
    <w:p w14:paraId="516690A1" w14:textId="77777777" w:rsidR="007E365E" w:rsidRPr="00173B02" w:rsidRDefault="007E365E" w:rsidP="007E365E">
      <w:pPr>
        <w:pStyle w:val="CGCParaNumber"/>
      </w:pPr>
      <w:r w:rsidRPr="00173B02">
        <w:t>Summary offences against a number of Commonwealth Acts are dealt with by the Federal Court. State courts deal with all matters relating to State law as well as some offences related to Commonwealth law not under the jurisdiction of the Federal Court.</w:t>
      </w:r>
    </w:p>
    <w:p w14:paraId="66C73FAF" w14:textId="77777777" w:rsidR="007E365E" w:rsidRPr="00D5543D" w:rsidRDefault="007E365E" w:rsidP="007E365E">
      <w:pPr>
        <w:pStyle w:val="Heading5"/>
      </w:pPr>
      <w:r w:rsidRPr="00D5543D">
        <w:rPr>
          <w:rStyle w:val="Heading6Char"/>
        </w:rPr>
        <w:t>Other legal services</w:t>
      </w:r>
    </w:p>
    <w:p w14:paraId="04E31C8E" w14:textId="77777777" w:rsidR="007E365E" w:rsidRPr="00173B02" w:rsidRDefault="007E365E" w:rsidP="007E365E">
      <w:pPr>
        <w:pStyle w:val="CGCParaNumber"/>
      </w:pPr>
      <w:r w:rsidRPr="00173B02">
        <w:t>States provide civil law court services to address civil disputes arising under State law while almost all civil matters arising under Australian federal law are under the Federal Court’s jurisdiction.</w:t>
      </w:r>
    </w:p>
    <w:p w14:paraId="17CB305B" w14:textId="77777777" w:rsidR="007E365E" w:rsidRPr="00173B02" w:rsidRDefault="007E365E" w:rsidP="007E365E">
      <w:pPr>
        <w:pStyle w:val="CGCParaNumber"/>
      </w:pPr>
      <w:r w:rsidRPr="00173B02">
        <w:t>Family court services are provided by the Commonwealth, except in Western Australia where the Family Court of Western Australia provides the service with funding from the Commonwealth.</w:t>
      </w:r>
    </w:p>
    <w:p w14:paraId="690AD272" w14:textId="77777777" w:rsidR="007E365E" w:rsidRPr="00173B02" w:rsidRDefault="007E365E" w:rsidP="007E365E">
      <w:pPr>
        <w:pStyle w:val="CGCParaNumber"/>
      </w:pPr>
      <w:r w:rsidRPr="00173B02">
        <w:t>A number of other legal-related services are provided by States, including registrars, law commissions and public prosecution.</w:t>
      </w:r>
    </w:p>
    <w:p w14:paraId="5F3852E1" w14:textId="77777777" w:rsidR="007E365E" w:rsidRPr="00173B02" w:rsidRDefault="007E365E" w:rsidP="007E365E">
      <w:pPr>
        <w:pStyle w:val="CGCParaNumber"/>
      </w:pPr>
      <w:r w:rsidRPr="00173B02">
        <w:t>States run legal aid commissions, which provide legal assistance to the community for both State and Commonwealth matters. The Commonwealth provides approximately one-third of legal aid funding.</w:t>
      </w:r>
    </w:p>
    <w:p w14:paraId="0ED0580F" w14:textId="77777777" w:rsidR="007E365E" w:rsidRPr="00D5543D" w:rsidRDefault="007E365E" w:rsidP="007E365E">
      <w:pPr>
        <w:pStyle w:val="Heading5"/>
      </w:pPr>
      <w:r w:rsidRPr="00D5543D">
        <w:rPr>
          <w:rStyle w:val="Heading6Char"/>
        </w:rPr>
        <w:lastRenderedPageBreak/>
        <w:t>Prisons</w:t>
      </w:r>
    </w:p>
    <w:p w14:paraId="69CEF483" w14:textId="77777777" w:rsidR="007E365E" w:rsidRPr="00173B02" w:rsidRDefault="007E365E" w:rsidP="007E365E">
      <w:pPr>
        <w:pStyle w:val="CGCParaNumber"/>
      </w:pPr>
      <w:r w:rsidRPr="00173B02">
        <w:t>There are no federal prisons in Australia. States are responsible for housing both State and federal prisoners.</w:t>
      </w:r>
    </w:p>
    <w:p w14:paraId="43874737" w14:textId="794B5FA0" w:rsidR="007E365E" w:rsidRPr="00173B02" w:rsidRDefault="007E365E" w:rsidP="007E365E">
      <w:pPr>
        <w:pStyle w:val="Heading4"/>
      </w:pPr>
      <w:bookmarkStart w:id="12" w:name="_Toc5893814"/>
      <w:bookmarkStart w:id="13" w:name="_Toc6487579"/>
      <w:bookmarkStart w:id="14" w:name="_Toc6487617"/>
      <w:bookmarkStart w:id="15" w:name="_Toc7442871"/>
      <w:bookmarkStart w:id="16" w:name="_Toc23500149"/>
      <w:r w:rsidRPr="00173B02">
        <w:t>Commonwealth payments</w:t>
      </w:r>
      <w:bookmarkEnd w:id="12"/>
      <w:bookmarkEnd w:id="13"/>
      <w:bookmarkEnd w:id="14"/>
      <w:bookmarkEnd w:id="15"/>
      <w:bookmarkEnd w:id="16"/>
    </w:p>
    <w:p w14:paraId="37C3EBF6" w14:textId="77777777" w:rsidR="007E365E" w:rsidRPr="00173B02" w:rsidRDefault="007E365E" w:rsidP="007E365E">
      <w:pPr>
        <w:pStyle w:val="CGCParaNumber"/>
      </w:pPr>
      <w:r w:rsidRPr="00173B02">
        <w:t>In addition to general revenue assistance, the Commonwealth provides funding to the States for justice services, comprising mainly legal aid services.</w:t>
      </w:r>
    </w:p>
    <w:p w14:paraId="7240142E" w14:textId="7DB0DC3E" w:rsidR="007E365E" w:rsidRPr="00173B02" w:rsidRDefault="007E365E" w:rsidP="007E365E">
      <w:pPr>
        <w:pStyle w:val="CGCParaNumber"/>
      </w:pPr>
      <w:r w:rsidRPr="00173B02">
        <w:fldChar w:fldCharType="begin"/>
      </w:r>
      <w:r w:rsidRPr="00173B02">
        <w:instrText xml:space="preserve"> REF _Ref3984173 \h </w:instrText>
      </w:r>
      <w:r>
        <w:instrText xml:space="preserve"> \* MERGEFORMAT </w:instrText>
      </w:r>
      <w:r w:rsidRPr="00173B02">
        <w:fldChar w:fldCharType="separate"/>
      </w:r>
      <w:r w:rsidR="007F721A" w:rsidRPr="00173B02">
        <w:t xml:space="preserve">Table </w:t>
      </w:r>
      <w:r w:rsidR="007F721A">
        <w:rPr>
          <w:noProof/>
        </w:rPr>
        <w:t>19-4</w:t>
      </w:r>
      <w:r w:rsidRPr="00173B02">
        <w:fldChar w:fldCharType="end"/>
      </w:r>
      <w:r w:rsidRPr="00173B02">
        <w:t xml:space="preserve"> shows that other than legal aid, the Commonwealth provides very little direct support to the States for justice services.</w:t>
      </w:r>
    </w:p>
    <w:p w14:paraId="1F53246B" w14:textId="4A34F3B2" w:rsidR="007E365E" w:rsidRDefault="007E365E" w:rsidP="007E365E">
      <w:pPr>
        <w:pStyle w:val="Caption"/>
      </w:pPr>
      <w:bookmarkStart w:id="17" w:name="_Ref3984173"/>
      <w:r w:rsidRPr="00173B02">
        <w:t xml:space="preserve">Table </w:t>
      </w:r>
      <w:r>
        <w:t>19-</w:t>
      </w:r>
      <w:fldSimple w:instr=" SEQ Table \* ARABIC ">
        <w:r w:rsidR="007F721A">
          <w:rPr>
            <w:noProof/>
          </w:rPr>
          <w:t>4</w:t>
        </w:r>
      </w:fldSimple>
      <w:bookmarkEnd w:id="17"/>
      <w:r>
        <w:rPr>
          <w:noProof/>
        </w:rPr>
        <w:tab/>
      </w:r>
      <w:r w:rsidRPr="00173B02">
        <w:t>Commonwealth payments to the States for Justice, 201</w:t>
      </w:r>
      <w:r>
        <w:t>8</w:t>
      </w:r>
      <w:r w:rsidRPr="00173B02">
        <w:noBreakHyphen/>
        <w:t>1</w:t>
      </w:r>
      <w:r>
        <w:t>9</w:t>
      </w:r>
    </w:p>
    <w:tbl>
      <w:tblPr>
        <w:tblW w:w="8960" w:type="dxa"/>
        <w:tblCellMar>
          <w:left w:w="28" w:type="dxa"/>
          <w:right w:w="28" w:type="dxa"/>
        </w:tblCellMar>
        <w:tblLook w:val="04A0" w:firstRow="1" w:lastRow="0" w:firstColumn="1" w:lastColumn="0" w:noHBand="0" w:noVBand="1"/>
      </w:tblPr>
      <w:tblGrid>
        <w:gridCol w:w="2200"/>
        <w:gridCol w:w="860"/>
        <w:gridCol w:w="700"/>
        <w:gridCol w:w="740"/>
        <w:gridCol w:w="760"/>
        <w:gridCol w:w="660"/>
        <w:gridCol w:w="720"/>
        <w:gridCol w:w="760"/>
        <w:gridCol w:w="680"/>
        <w:gridCol w:w="880"/>
      </w:tblGrid>
      <w:tr w:rsidR="007E365E" w:rsidRPr="004870A5" w14:paraId="15401559" w14:textId="77777777" w:rsidTr="007D1D77">
        <w:trPr>
          <w:trHeight w:val="315"/>
        </w:trPr>
        <w:tc>
          <w:tcPr>
            <w:tcW w:w="2200" w:type="dxa"/>
            <w:tcBorders>
              <w:top w:val="single" w:sz="4" w:space="0" w:color="ADD6EA"/>
              <w:left w:val="nil"/>
              <w:bottom w:val="single" w:sz="4" w:space="0" w:color="ADD6EA"/>
              <w:right w:val="nil"/>
            </w:tcBorders>
            <w:shd w:val="clear" w:color="000000" w:fill="006991"/>
            <w:noWrap/>
            <w:vAlign w:val="center"/>
            <w:hideMark/>
          </w:tcPr>
          <w:p w14:paraId="53A8F283"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70A5">
              <w:rPr>
                <w:rFonts w:ascii="Open Sans SemiBold" w:eastAsia="Times New Roman" w:hAnsi="Open Sans SemiBold" w:cs="Open Sans SemiBold"/>
                <w:color w:val="FFFFFF"/>
                <w:sz w:val="16"/>
                <w:szCs w:val="16"/>
                <w:lang w:eastAsia="en-AU"/>
              </w:rPr>
              <w:t> </w:t>
            </w:r>
          </w:p>
        </w:tc>
        <w:tc>
          <w:tcPr>
            <w:tcW w:w="860" w:type="dxa"/>
            <w:tcBorders>
              <w:top w:val="single" w:sz="4" w:space="0" w:color="ADD6EA"/>
              <w:left w:val="nil"/>
              <w:bottom w:val="single" w:sz="4" w:space="0" w:color="ADD6EA"/>
              <w:right w:val="nil"/>
            </w:tcBorders>
            <w:shd w:val="clear" w:color="000000" w:fill="006991"/>
            <w:noWrap/>
            <w:vAlign w:val="center"/>
            <w:hideMark/>
          </w:tcPr>
          <w:p w14:paraId="136C7D09"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70A5">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noWrap/>
            <w:vAlign w:val="center"/>
            <w:hideMark/>
          </w:tcPr>
          <w:p w14:paraId="440575E5"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70A5">
              <w:rPr>
                <w:rFonts w:ascii="Open Sans SemiBold" w:eastAsia="Times New Roman" w:hAnsi="Open Sans SemiBold" w:cs="Open Sans SemiBold"/>
                <w:color w:val="FFFFFF"/>
                <w:sz w:val="16"/>
                <w:szCs w:val="16"/>
                <w:lang w:eastAsia="en-AU"/>
              </w:rPr>
              <w:t>Vic</w:t>
            </w:r>
          </w:p>
        </w:tc>
        <w:tc>
          <w:tcPr>
            <w:tcW w:w="740" w:type="dxa"/>
            <w:tcBorders>
              <w:top w:val="single" w:sz="4" w:space="0" w:color="ADD6EA"/>
              <w:left w:val="nil"/>
              <w:bottom w:val="single" w:sz="4" w:space="0" w:color="ADD6EA"/>
              <w:right w:val="nil"/>
            </w:tcBorders>
            <w:shd w:val="clear" w:color="000000" w:fill="006991"/>
            <w:noWrap/>
            <w:vAlign w:val="center"/>
            <w:hideMark/>
          </w:tcPr>
          <w:p w14:paraId="2088B1CD"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70A5">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3719D69F"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70A5">
              <w:rPr>
                <w:rFonts w:ascii="Open Sans SemiBold" w:eastAsia="Times New Roman" w:hAnsi="Open Sans SemiBold" w:cs="Open Sans SemiBold"/>
                <w:color w:val="FFFFFF"/>
                <w:sz w:val="16"/>
                <w:szCs w:val="16"/>
                <w:lang w:eastAsia="en-AU"/>
              </w:rPr>
              <w:t>WA</w:t>
            </w:r>
          </w:p>
        </w:tc>
        <w:tc>
          <w:tcPr>
            <w:tcW w:w="660" w:type="dxa"/>
            <w:tcBorders>
              <w:top w:val="single" w:sz="4" w:space="0" w:color="ADD6EA"/>
              <w:left w:val="nil"/>
              <w:bottom w:val="single" w:sz="4" w:space="0" w:color="ADD6EA"/>
              <w:right w:val="nil"/>
            </w:tcBorders>
            <w:shd w:val="clear" w:color="000000" w:fill="006991"/>
            <w:noWrap/>
            <w:vAlign w:val="center"/>
            <w:hideMark/>
          </w:tcPr>
          <w:p w14:paraId="754B60BC"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70A5">
              <w:rPr>
                <w:rFonts w:ascii="Open Sans SemiBold" w:eastAsia="Times New Roman" w:hAnsi="Open Sans SemiBold" w:cs="Open Sans SemiBold"/>
                <w:color w:val="FFFFFF"/>
                <w:sz w:val="16"/>
                <w:szCs w:val="16"/>
                <w:lang w:eastAsia="en-AU"/>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67CAF75E"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70A5">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noWrap/>
            <w:vAlign w:val="center"/>
            <w:hideMark/>
          </w:tcPr>
          <w:p w14:paraId="7080C0B7"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70A5">
              <w:rPr>
                <w:rFonts w:ascii="Open Sans SemiBold" w:eastAsia="Times New Roman" w:hAnsi="Open Sans SemiBold" w:cs="Open Sans SemiBold"/>
                <w:color w:val="FFFFFF"/>
                <w:sz w:val="16"/>
                <w:szCs w:val="16"/>
                <w:lang w:eastAsia="en-AU"/>
              </w:rPr>
              <w:t>ACT</w:t>
            </w:r>
          </w:p>
        </w:tc>
        <w:tc>
          <w:tcPr>
            <w:tcW w:w="680" w:type="dxa"/>
            <w:tcBorders>
              <w:top w:val="single" w:sz="4" w:space="0" w:color="ADD6EA"/>
              <w:left w:val="nil"/>
              <w:bottom w:val="single" w:sz="4" w:space="0" w:color="ADD6EA"/>
              <w:right w:val="nil"/>
            </w:tcBorders>
            <w:shd w:val="clear" w:color="000000" w:fill="006991"/>
            <w:noWrap/>
            <w:vAlign w:val="center"/>
            <w:hideMark/>
          </w:tcPr>
          <w:p w14:paraId="166E1815"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70A5">
              <w:rPr>
                <w:rFonts w:ascii="Open Sans SemiBold" w:eastAsia="Times New Roman" w:hAnsi="Open Sans SemiBold" w:cs="Open Sans SemiBold"/>
                <w:color w:val="FFFFFF"/>
                <w:sz w:val="16"/>
                <w:szCs w:val="16"/>
                <w:lang w:eastAsia="en-AU"/>
              </w:rPr>
              <w:t>NT</w:t>
            </w:r>
          </w:p>
        </w:tc>
        <w:tc>
          <w:tcPr>
            <w:tcW w:w="880" w:type="dxa"/>
            <w:tcBorders>
              <w:top w:val="single" w:sz="4" w:space="0" w:color="ADD6EA"/>
              <w:left w:val="nil"/>
              <w:bottom w:val="single" w:sz="4" w:space="0" w:color="ADD6EA"/>
              <w:right w:val="nil"/>
            </w:tcBorders>
            <w:shd w:val="clear" w:color="000000" w:fill="006991"/>
            <w:noWrap/>
            <w:vAlign w:val="center"/>
            <w:hideMark/>
          </w:tcPr>
          <w:p w14:paraId="189E8AD0"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70A5">
              <w:rPr>
                <w:rFonts w:ascii="Open Sans SemiBold" w:eastAsia="Times New Roman" w:hAnsi="Open Sans SemiBold" w:cs="Open Sans SemiBold"/>
                <w:color w:val="FFFFFF"/>
                <w:sz w:val="16"/>
                <w:szCs w:val="16"/>
                <w:lang w:eastAsia="en-AU"/>
              </w:rPr>
              <w:t>Total</w:t>
            </w:r>
          </w:p>
        </w:tc>
      </w:tr>
      <w:tr w:rsidR="007E365E" w:rsidRPr="004870A5" w14:paraId="18822B2A" w14:textId="77777777" w:rsidTr="007D1D77">
        <w:trPr>
          <w:trHeight w:val="315"/>
        </w:trPr>
        <w:tc>
          <w:tcPr>
            <w:tcW w:w="2200" w:type="dxa"/>
            <w:tcBorders>
              <w:top w:val="nil"/>
              <w:left w:val="nil"/>
              <w:bottom w:val="single" w:sz="4" w:space="0" w:color="ADD6EA"/>
              <w:right w:val="nil"/>
            </w:tcBorders>
            <w:shd w:val="clear" w:color="auto" w:fill="auto"/>
            <w:vAlign w:val="bottom"/>
            <w:hideMark/>
          </w:tcPr>
          <w:p w14:paraId="567FAB42" w14:textId="77777777" w:rsidR="007E365E" w:rsidRPr="004870A5" w:rsidRDefault="007E365E" w:rsidP="007D1D77">
            <w:pPr>
              <w:tabs>
                <w:tab w:val="clear" w:pos="567"/>
              </w:tabs>
              <w:spacing w:before="0" w:line="240" w:lineRule="auto"/>
              <w:rPr>
                <w:rFonts w:eastAsia="Times New Roman" w:cs="Open Sans Light"/>
                <w:sz w:val="16"/>
                <w:szCs w:val="16"/>
                <w:lang w:eastAsia="en-AU"/>
              </w:rPr>
            </w:pPr>
            <w:r w:rsidRPr="004870A5">
              <w:rPr>
                <w:rFonts w:eastAsia="Times New Roman" w:cs="Open Sans Light"/>
                <w:sz w:val="16"/>
                <w:szCs w:val="16"/>
                <w:lang w:eastAsia="en-AU"/>
              </w:rPr>
              <w:t>Legal Aid ($m)</w:t>
            </w:r>
          </w:p>
        </w:tc>
        <w:tc>
          <w:tcPr>
            <w:tcW w:w="860" w:type="dxa"/>
            <w:tcBorders>
              <w:top w:val="nil"/>
              <w:left w:val="nil"/>
              <w:bottom w:val="single" w:sz="4" w:space="0" w:color="ADD6EA"/>
              <w:right w:val="nil"/>
            </w:tcBorders>
            <w:shd w:val="clear" w:color="auto" w:fill="auto"/>
            <w:vAlign w:val="bottom"/>
            <w:hideMark/>
          </w:tcPr>
          <w:p w14:paraId="7AD9D818"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79</w:t>
            </w:r>
          </w:p>
        </w:tc>
        <w:tc>
          <w:tcPr>
            <w:tcW w:w="700" w:type="dxa"/>
            <w:tcBorders>
              <w:top w:val="nil"/>
              <w:left w:val="nil"/>
              <w:bottom w:val="single" w:sz="4" w:space="0" w:color="ADD6EA"/>
              <w:right w:val="nil"/>
            </w:tcBorders>
            <w:shd w:val="clear" w:color="auto" w:fill="auto"/>
            <w:vAlign w:val="bottom"/>
            <w:hideMark/>
          </w:tcPr>
          <w:p w14:paraId="1243F7C0"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61</w:t>
            </w:r>
          </w:p>
        </w:tc>
        <w:tc>
          <w:tcPr>
            <w:tcW w:w="740" w:type="dxa"/>
            <w:tcBorders>
              <w:top w:val="nil"/>
              <w:left w:val="nil"/>
              <w:bottom w:val="single" w:sz="4" w:space="0" w:color="ADD6EA"/>
              <w:right w:val="nil"/>
            </w:tcBorders>
            <w:shd w:val="clear" w:color="auto" w:fill="auto"/>
            <w:vAlign w:val="bottom"/>
            <w:hideMark/>
          </w:tcPr>
          <w:p w14:paraId="54842AEF"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53</w:t>
            </w:r>
          </w:p>
        </w:tc>
        <w:tc>
          <w:tcPr>
            <w:tcW w:w="760" w:type="dxa"/>
            <w:tcBorders>
              <w:top w:val="nil"/>
              <w:left w:val="nil"/>
              <w:bottom w:val="single" w:sz="4" w:space="0" w:color="ADD6EA"/>
              <w:right w:val="nil"/>
            </w:tcBorders>
            <w:shd w:val="clear" w:color="auto" w:fill="auto"/>
            <w:vAlign w:val="bottom"/>
            <w:hideMark/>
          </w:tcPr>
          <w:p w14:paraId="6D6FF6C7"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31</w:t>
            </w:r>
          </w:p>
        </w:tc>
        <w:tc>
          <w:tcPr>
            <w:tcW w:w="660" w:type="dxa"/>
            <w:tcBorders>
              <w:top w:val="nil"/>
              <w:left w:val="nil"/>
              <w:bottom w:val="single" w:sz="4" w:space="0" w:color="ADD6EA"/>
              <w:right w:val="nil"/>
            </w:tcBorders>
            <w:shd w:val="clear" w:color="auto" w:fill="auto"/>
            <w:vAlign w:val="bottom"/>
            <w:hideMark/>
          </w:tcPr>
          <w:p w14:paraId="7B5B15F8"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20</w:t>
            </w:r>
          </w:p>
        </w:tc>
        <w:tc>
          <w:tcPr>
            <w:tcW w:w="720" w:type="dxa"/>
            <w:tcBorders>
              <w:top w:val="nil"/>
              <w:left w:val="nil"/>
              <w:bottom w:val="single" w:sz="4" w:space="0" w:color="ADD6EA"/>
              <w:right w:val="nil"/>
            </w:tcBorders>
            <w:shd w:val="clear" w:color="auto" w:fill="auto"/>
            <w:vAlign w:val="bottom"/>
            <w:hideMark/>
          </w:tcPr>
          <w:p w14:paraId="7066B7AA"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7</w:t>
            </w:r>
          </w:p>
        </w:tc>
        <w:tc>
          <w:tcPr>
            <w:tcW w:w="760" w:type="dxa"/>
            <w:tcBorders>
              <w:top w:val="nil"/>
              <w:left w:val="nil"/>
              <w:bottom w:val="single" w:sz="4" w:space="0" w:color="ADD6EA"/>
              <w:right w:val="nil"/>
            </w:tcBorders>
            <w:shd w:val="clear" w:color="auto" w:fill="auto"/>
            <w:vAlign w:val="bottom"/>
            <w:hideMark/>
          </w:tcPr>
          <w:p w14:paraId="2FA0D63E"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6</w:t>
            </w:r>
          </w:p>
        </w:tc>
        <w:tc>
          <w:tcPr>
            <w:tcW w:w="680" w:type="dxa"/>
            <w:tcBorders>
              <w:top w:val="nil"/>
              <w:left w:val="nil"/>
              <w:bottom w:val="single" w:sz="4" w:space="0" w:color="ADD6EA"/>
              <w:right w:val="nil"/>
            </w:tcBorders>
            <w:shd w:val="clear" w:color="auto" w:fill="auto"/>
            <w:vAlign w:val="bottom"/>
            <w:hideMark/>
          </w:tcPr>
          <w:p w14:paraId="4847C823"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7</w:t>
            </w:r>
          </w:p>
        </w:tc>
        <w:tc>
          <w:tcPr>
            <w:tcW w:w="880" w:type="dxa"/>
            <w:tcBorders>
              <w:top w:val="nil"/>
              <w:left w:val="nil"/>
              <w:bottom w:val="single" w:sz="4" w:space="0" w:color="ADD6EA"/>
              <w:right w:val="nil"/>
            </w:tcBorders>
            <w:shd w:val="clear" w:color="auto" w:fill="auto"/>
            <w:vAlign w:val="bottom"/>
            <w:hideMark/>
          </w:tcPr>
          <w:p w14:paraId="04D5C8BA"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266</w:t>
            </w:r>
          </w:p>
        </w:tc>
      </w:tr>
      <w:tr w:rsidR="007E365E" w:rsidRPr="004870A5" w14:paraId="7FDA28D2" w14:textId="77777777" w:rsidTr="007D1D77">
        <w:trPr>
          <w:trHeight w:val="555"/>
        </w:trPr>
        <w:tc>
          <w:tcPr>
            <w:tcW w:w="2200" w:type="dxa"/>
            <w:tcBorders>
              <w:top w:val="nil"/>
              <w:left w:val="nil"/>
              <w:bottom w:val="single" w:sz="4" w:space="0" w:color="ADD6EA"/>
              <w:right w:val="nil"/>
            </w:tcBorders>
            <w:shd w:val="clear" w:color="auto" w:fill="auto"/>
            <w:vAlign w:val="bottom"/>
            <w:hideMark/>
          </w:tcPr>
          <w:p w14:paraId="54BEA873" w14:textId="77777777" w:rsidR="007E365E" w:rsidRPr="004870A5" w:rsidRDefault="007E365E" w:rsidP="007D1D77">
            <w:pPr>
              <w:tabs>
                <w:tab w:val="clear" w:pos="567"/>
              </w:tabs>
              <w:spacing w:before="0" w:line="240" w:lineRule="auto"/>
              <w:rPr>
                <w:rFonts w:eastAsia="Times New Roman" w:cs="Open Sans Light"/>
                <w:sz w:val="16"/>
                <w:szCs w:val="16"/>
                <w:lang w:eastAsia="en-AU"/>
              </w:rPr>
            </w:pPr>
            <w:r w:rsidRPr="004870A5">
              <w:rPr>
                <w:rFonts w:eastAsia="Times New Roman" w:cs="Open Sans Light"/>
                <w:sz w:val="16"/>
                <w:szCs w:val="16"/>
                <w:lang w:eastAsia="en-AU"/>
              </w:rPr>
              <w:t>Family Advocacy and Support Services ($m)</w:t>
            </w:r>
          </w:p>
        </w:tc>
        <w:tc>
          <w:tcPr>
            <w:tcW w:w="860" w:type="dxa"/>
            <w:tcBorders>
              <w:top w:val="nil"/>
              <w:left w:val="nil"/>
              <w:bottom w:val="single" w:sz="4" w:space="0" w:color="ADD6EA"/>
              <w:right w:val="nil"/>
            </w:tcBorders>
            <w:shd w:val="clear" w:color="auto" w:fill="auto"/>
            <w:vAlign w:val="bottom"/>
            <w:hideMark/>
          </w:tcPr>
          <w:p w14:paraId="3151147A"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2</w:t>
            </w:r>
          </w:p>
        </w:tc>
        <w:tc>
          <w:tcPr>
            <w:tcW w:w="700" w:type="dxa"/>
            <w:tcBorders>
              <w:top w:val="nil"/>
              <w:left w:val="nil"/>
              <w:bottom w:val="single" w:sz="4" w:space="0" w:color="ADD6EA"/>
              <w:right w:val="nil"/>
            </w:tcBorders>
            <w:shd w:val="clear" w:color="auto" w:fill="auto"/>
            <w:vAlign w:val="bottom"/>
            <w:hideMark/>
          </w:tcPr>
          <w:p w14:paraId="0E8B57DA"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1</w:t>
            </w:r>
          </w:p>
        </w:tc>
        <w:tc>
          <w:tcPr>
            <w:tcW w:w="740" w:type="dxa"/>
            <w:tcBorders>
              <w:top w:val="nil"/>
              <w:left w:val="nil"/>
              <w:bottom w:val="single" w:sz="4" w:space="0" w:color="ADD6EA"/>
              <w:right w:val="nil"/>
            </w:tcBorders>
            <w:shd w:val="clear" w:color="auto" w:fill="auto"/>
            <w:vAlign w:val="bottom"/>
            <w:hideMark/>
          </w:tcPr>
          <w:p w14:paraId="12B5FD45"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1</w:t>
            </w:r>
          </w:p>
        </w:tc>
        <w:tc>
          <w:tcPr>
            <w:tcW w:w="760" w:type="dxa"/>
            <w:tcBorders>
              <w:top w:val="nil"/>
              <w:left w:val="nil"/>
              <w:bottom w:val="single" w:sz="4" w:space="0" w:color="ADD6EA"/>
              <w:right w:val="nil"/>
            </w:tcBorders>
            <w:shd w:val="clear" w:color="auto" w:fill="auto"/>
            <w:vAlign w:val="bottom"/>
            <w:hideMark/>
          </w:tcPr>
          <w:p w14:paraId="6AC206F2"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1</w:t>
            </w:r>
          </w:p>
        </w:tc>
        <w:tc>
          <w:tcPr>
            <w:tcW w:w="660" w:type="dxa"/>
            <w:tcBorders>
              <w:top w:val="nil"/>
              <w:left w:val="nil"/>
              <w:bottom w:val="single" w:sz="4" w:space="0" w:color="ADD6EA"/>
              <w:right w:val="nil"/>
            </w:tcBorders>
            <w:shd w:val="clear" w:color="auto" w:fill="auto"/>
            <w:vAlign w:val="bottom"/>
            <w:hideMark/>
          </w:tcPr>
          <w:p w14:paraId="30916BAC"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1</w:t>
            </w:r>
          </w:p>
        </w:tc>
        <w:tc>
          <w:tcPr>
            <w:tcW w:w="720" w:type="dxa"/>
            <w:tcBorders>
              <w:top w:val="nil"/>
              <w:left w:val="nil"/>
              <w:bottom w:val="single" w:sz="4" w:space="0" w:color="ADD6EA"/>
              <w:right w:val="nil"/>
            </w:tcBorders>
            <w:shd w:val="clear" w:color="auto" w:fill="auto"/>
            <w:vAlign w:val="bottom"/>
            <w:hideMark/>
          </w:tcPr>
          <w:p w14:paraId="55DC85B1"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1</w:t>
            </w:r>
          </w:p>
        </w:tc>
        <w:tc>
          <w:tcPr>
            <w:tcW w:w="760" w:type="dxa"/>
            <w:tcBorders>
              <w:top w:val="nil"/>
              <w:left w:val="nil"/>
              <w:bottom w:val="single" w:sz="4" w:space="0" w:color="ADD6EA"/>
              <w:right w:val="nil"/>
            </w:tcBorders>
            <w:shd w:val="clear" w:color="auto" w:fill="auto"/>
            <w:vAlign w:val="bottom"/>
            <w:hideMark/>
          </w:tcPr>
          <w:p w14:paraId="0801B9D6"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1</w:t>
            </w:r>
          </w:p>
        </w:tc>
        <w:tc>
          <w:tcPr>
            <w:tcW w:w="680" w:type="dxa"/>
            <w:tcBorders>
              <w:top w:val="nil"/>
              <w:left w:val="nil"/>
              <w:bottom w:val="single" w:sz="4" w:space="0" w:color="ADD6EA"/>
              <w:right w:val="nil"/>
            </w:tcBorders>
            <w:shd w:val="clear" w:color="auto" w:fill="auto"/>
            <w:vAlign w:val="bottom"/>
            <w:hideMark/>
          </w:tcPr>
          <w:p w14:paraId="4542F4C0"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1</w:t>
            </w:r>
          </w:p>
        </w:tc>
        <w:tc>
          <w:tcPr>
            <w:tcW w:w="880" w:type="dxa"/>
            <w:tcBorders>
              <w:top w:val="nil"/>
              <w:left w:val="nil"/>
              <w:bottom w:val="single" w:sz="4" w:space="0" w:color="ADD6EA"/>
              <w:right w:val="nil"/>
            </w:tcBorders>
            <w:shd w:val="clear" w:color="auto" w:fill="auto"/>
            <w:vAlign w:val="bottom"/>
            <w:hideMark/>
          </w:tcPr>
          <w:p w14:paraId="34B43175" w14:textId="77777777" w:rsidR="007E365E" w:rsidRPr="004870A5" w:rsidRDefault="007E365E" w:rsidP="007D1D77">
            <w:pPr>
              <w:tabs>
                <w:tab w:val="clear" w:pos="567"/>
              </w:tabs>
              <w:spacing w:before="0" w:line="240" w:lineRule="auto"/>
              <w:jc w:val="right"/>
              <w:rPr>
                <w:rFonts w:eastAsia="Times New Roman" w:cs="Open Sans Light"/>
                <w:sz w:val="16"/>
                <w:szCs w:val="16"/>
                <w:lang w:eastAsia="en-AU"/>
              </w:rPr>
            </w:pPr>
            <w:r w:rsidRPr="004870A5">
              <w:rPr>
                <w:rFonts w:eastAsia="Times New Roman" w:cs="Open Sans Light"/>
                <w:sz w:val="16"/>
                <w:szCs w:val="16"/>
                <w:lang w:eastAsia="en-AU"/>
              </w:rPr>
              <w:t xml:space="preserve">  7</w:t>
            </w:r>
          </w:p>
        </w:tc>
      </w:tr>
      <w:tr w:rsidR="007E365E" w:rsidRPr="004870A5" w14:paraId="30AE02BE" w14:textId="77777777" w:rsidTr="007D1D77">
        <w:trPr>
          <w:trHeight w:val="315"/>
        </w:trPr>
        <w:tc>
          <w:tcPr>
            <w:tcW w:w="2200" w:type="dxa"/>
            <w:tcBorders>
              <w:top w:val="nil"/>
              <w:left w:val="nil"/>
              <w:bottom w:val="nil"/>
              <w:right w:val="nil"/>
            </w:tcBorders>
            <w:shd w:val="clear" w:color="000000" w:fill="D6E7F0"/>
            <w:vAlign w:val="bottom"/>
            <w:hideMark/>
          </w:tcPr>
          <w:p w14:paraId="6F5CFFE4" w14:textId="77777777" w:rsidR="007E365E" w:rsidRPr="004870A5" w:rsidRDefault="007E365E" w:rsidP="007D1D77">
            <w:pPr>
              <w:tabs>
                <w:tab w:val="clear" w:pos="567"/>
              </w:tabs>
              <w:spacing w:before="0" w:line="240" w:lineRule="auto"/>
              <w:rPr>
                <w:rFonts w:eastAsia="Times New Roman" w:cs="Open Sans Light"/>
                <w:sz w:val="16"/>
                <w:szCs w:val="16"/>
                <w:lang w:eastAsia="en-AU"/>
              </w:rPr>
            </w:pPr>
            <w:r w:rsidRPr="004870A5">
              <w:rPr>
                <w:rFonts w:eastAsia="Times New Roman" w:cs="Open Sans Light"/>
                <w:sz w:val="16"/>
                <w:szCs w:val="16"/>
                <w:lang w:eastAsia="en-AU"/>
              </w:rPr>
              <w:t>Total ($m)</w:t>
            </w:r>
          </w:p>
        </w:tc>
        <w:tc>
          <w:tcPr>
            <w:tcW w:w="860" w:type="dxa"/>
            <w:tcBorders>
              <w:top w:val="nil"/>
              <w:left w:val="nil"/>
              <w:bottom w:val="nil"/>
              <w:right w:val="nil"/>
            </w:tcBorders>
            <w:shd w:val="clear" w:color="000000" w:fill="D6E7F0"/>
            <w:vAlign w:val="bottom"/>
            <w:hideMark/>
          </w:tcPr>
          <w:p w14:paraId="5DD1B48E"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81</w:t>
            </w:r>
          </w:p>
        </w:tc>
        <w:tc>
          <w:tcPr>
            <w:tcW w:w="700" w:type="dxa"/>
            <w:tcBorders>
              <w:top w:val="nil"/>
              <w:left w:val="nil"/>
              <w:bottom w:val="nil"/>
              <w:right w:val="nil"/>
            </w:tcBorders>
            <w:shd w:val="clear" w:color="000000" w:fill="D6E7F0"/>
            <w:vAlign w:val="bottom"/>
            <w:hideMark/>
          </w:tcPr>
          <w:p w14:paraId="510886A0"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62</w:t>
            </w:r>
          </w:p>
        </w:tc>
        <w:tc>
          <w:tcPr>
            <w:tcW w:w="740" w:type="dxa"/>
            <w:tcBorders>
              <w:top w:val="nil"/>
              <w:left w:val="nil"/>
              <w:bottom w:val="nil"/>
              <w:right w:val="nil"/>
            </w:tcBorders>
            <w:shd w:val="clear" w:color="000000" w:fill="D6E7F0"/>
            <w:vAlign w:val="bottom"/>
            <w:hideMark/>
          </w:tcPr>
          <w:p w14:paraId="4F217633"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54</w:t>
            </w:r>
          </w:p>
        </w:tc>
        <w:tc>
          <w:tcPr>
            <w:tcW w:w="760" w:type="dxa"/>
            <w:tcBorders>
              <w:top w:val="nil"/>
              <w:left w:val="nil"/>
              <w:bottom w:val="nil"/>
              <w:right w:val="nil"/>
            </w:tcBorders>
            <w:shd w:val="clear" w:color="000000" w:fill="D6E7F0"/>
            <w:vAlign w:val="bottom"/>
            <w:hideMark/>
          </w:tcPr>
          <w:p w14:paraId="51C066B5"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32</w:t>
            </w:r>
          </w:p>
        </w:tc>
        <w:tc>
          <w:tcPr>
            <w:tcW w:w="660" w:type="dxa"/>
            <w:tcBorders>
              <w:top w:val="nil"/>
              <w:left w:val="nil"/>
              <w:bottom w:val="nil"/>
              <w:right w:val="nil"/>
            </w:tcBorders>
            <w:shd w:val="clear" w:color="000000" w:fill="D6E7F0"/>
            <w:vAlign w:val="bottom"/>
            <w:hideMark/>
          </w:tcPr>
          <w:p w14:paraId="5D3101F9"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21</w:t>
            </w:r>
          </w:p>
        </w:tc>
        <w:tc>
          <w:tcPr>
            <w:tcW w:w="720" w:type="dxa"/>
            <w:tcBorders>
              <w:top w:val="nil"/>
              <w:left w:val="nil"/>
              <w:bottom w:val="nil"/>
              <w:right w:val="nil"/>
            </w:tcBorders>
            <w:shd w:val="clear" w:color="000000" w:fill="D6E7F0"/>
            <w:vAlign w:val="bottom"/>
            <w:hideMark/>
          </w:tcPr>
          <w:p w14:paraId="3C258D97"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8</w:t>
            </w:r>
          </w:p>
        </w:tc>
        <w:tc>
          <w:tcPr>
            <w:tcW w:w="760" w:type="dxa"/>
            <w:tcBorders>
              <w:top w:val="nil"/>
              <w:left w:val="nil"/>
              <w:bottom w:val="nil"/>
              <w:right w:val="nil"/>
            </w:tcBorders>
            <w:shd w:val="clear" w:color="000000" w:fill="D6E7F0"/>
            <w:vAlign w:val="bottom"/>
            <w:hideMark/>
          </w:tcPr>
          <w:p w14:paraId="07B5B56C"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7</w:t>
            </w:r>
          </w:p>
        </w:tc>
        <w:tc>
          <w:tcPr>
            <w:tcW w:w="680" w:type="dxa"/>
            <w:tcBorders>
              <w:top w:val="nil"/>
              <w:left w:val="nil"/>
              <w:bottom w:val="nil"/>
              <w:right w:val="nil"/>
            </w:tcBorders>
            <w:shd w:val="clear" w:color="000000" w:fill="D6E7F0"/>
            <w:vAlign w:val="bottom"/>
            <w:hideMark/>
          </w:tcPr>
          <w:p w14:paraId="60FDA25C"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8</w:t>
            </w:r>
          </w:p>
        </w:tc>
        <w:tc>
          <w:tcPr>
            <w:tcW w:w="880" w:type="dxa"/>
            <w:tcBorders>
              <w:top w:val="nil"/>
              <w:left w:val="nil"/>
              <w:bottom w:val="nil"/>
              <w:right w:val="nil"/>
            </w:tcBorders>
            <w:shd w:val="clear" w:color="000000" w:fill="D6E7F0"/>
            <w:vAlign w:val="bottom"/>
            <w:hideMark/>
          </w:tcPr>
          <w:p w14:paraId="7D4A911D"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273</w:t>
            </w:r>
          </w:p>
        </w:tc>
      </w:tr>
      <w:tr w:rsidR="007E365E" w:rsidRPr="004870A5" w14:paraId="74443D13" w14:textId="77777777" w:rsidTr="007D1D77">
        <w:trPr>
          <w:trHeight w:val="315"/>
        </w:trPr>
        <w:tc>
          <w:tcPr>
            <w:tcW w:w="2200" w:type="dxa"/>
            <w:tcBorders>
              <w:top w:val="single" w:sz="4" w:space="0" w:color="ADD6EA"/>
              <w:left w:val="nil"/>
              <w:bottom w:val="single" w:sz="4" w:space="0" w:color="ADD6EA"/>
              <w:right w:val="nil"/>
            </w:tcBorders>
            <w:shd w:val="clear" w:color="000000" w:fill="D6E7F0"/>
            <w:vAlign w:val="bottom"/>
            <w:hideMark/>
          </w:tcPr>
          <w:p w14:paraId="1EABFA95" w14:textId="77777777" w:rsidR="007E365E" w:rsidRPr="004870A5" w:rsidRDefault="007E365E" w:rsidP="007D1D77">
            <w:pPr>
              <w:tabs>
                <w:tab w:val="clear" w:pos="567"/>
              </w:tabs>
              <w:spacing w:before="0" w:line="240" w:lineRule="auto"/>
              <w:rPr>
                <w:rFonts w:eastAsia="Times New Roman" w:cs="Open Sans Light"/>
                <w:sz w:val="16"/>
                <w:szCs w:val="16"/>
                <w:lang w:eastAsia="en-AU"/>
              </w:rPr>
            </w:pPr>
            <w:r w:rsidRPr="004870A5">
              <w:rPr>
                <w:rFonts w:eastAsia="Times New Roman" w:cs="Open Sans Light"/>
                <w:sz w:val="16"/>
                <w:szCs w:val="16"/>
                <w:lang w:eastAsia="en-AU"/>
              </w:rPr>
              <w:t>Total ($pc)</w:t>
            </w:r>
          </w:p>
        </w:tc>
        <w:tc>
          <w:tcPr>
            <w:tcW w:w="860" w:type="dxa"/>
            <w:tcBorders>
              <w:top w:val="single" w:sz="4" w:space="0" w:color="ADD6EA"/>
              <w:left w:val="nil"/>
              <w:bottom w:val="single" w:sz="4" w:space="0" w:color="ADD6EA"/>
              <w:right w:val="nil"/>
            </w:tcBorders>
            <w:shd w:val="clear" w:color="000000" w:fill="D6E7F0"/>
            <w:vAlign w:val="bottom"/>
            <w:hideMark/>
          </w:tcPr>
          <w:p w14:paraId="46B8EB83"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10</w:t>
            </w:r>
          </w:p>
        </w:tc>
        <w:tc>
          <w:tcPr>
            <w:tcW w:w="700" w:type="dxa"/>
            <w:tcBorders>
              <w:top w:val="single" w:sz="4" w:space="0" w:color="ADD6EA"/>
              <w:left w:val="nil"/>
              <w:bottom w:val="single" w:sz="4" w:space="0" w:color="ADD6EA"/>
              <w:right w:val="nil"/>
            </w:tcBorders>
            <w:shd w:val="clear" w:color="000000" w:fill="D6E7F0"/>
            <w:vAlign w:val="bottom"/>
            <w:hideMark/>
          </w:tcPr>
          <w:p w14:paraId="3F2FE212"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10</w:t>
            </w:r>
          </w:p>
        </w:tc>
        <w:tc>
          <w:tcPr>
            <w:tcW w:w="740" w:type="dxa"/>
            <w:tcBorders>
              <w:top w:val="single" w:sz="4" w:space="0" w:color="ADD6EA"/>
              <w:left w:val="nil"/>
              <w:bottom w:val="single" w:sz="4" w:space="0" w:color="ADD6EA"/>
              <w:right w:val="nil"/>
            </w:tcBorders>
            <w:shd w:val="clear" w:color="000000" w:fill="D6E7F0"/>
            <w:vAlign w:val="bottom"/>
            <w:hideMark/>
          </w:tcPr>
          <w:p w14:paraId="2B00B271"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11</w:t>
            </w:r>
          </w:p>
        </w:tc>
        <w:tc>
          <w:tcPr>
            <w:tcW w:w="760" w:type="dxa"/>
            <w:tcBorders>
              <w:top w:val="single" w:sz="4" w:space="0" w:color="ADD6EA"/>
              <w:left w:val="nil"/>
              <w:bottom w:val="single" w:sz="4" w:space="0" w:color="ADD6EA"/>
              <w:right w:val="nil"/>
            </w:tcBorders>
            <w:shd w:val="clear" w:color="000000" w:fill="D6E7F0"/>
            <w:vAlign w:val="bottom"/>
            <w:hideMark/>
          </w:tcPr>
          <w:p w14:paraId="54CA7416"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12</w:t>
            </w:r>
          </w:p>
        </w:tc>
        <w:tc>
          <w:tcPr>
            <w:tcW w:w="660" w:type="dxa"/>
            <w:tcBorders>
              <w:top w:val="single" w:sz="4" w:space="0" w:color="ADD6EA"/>
              <w:left w:val="nil"/>
              <w:bottom w:val="single" w:sz="4" w:space="0" w:color="ADD6EA"/>
              <w:right w:val="nil"/>
            </w:tcBorders>
            <w:shd w:val="clear" w:color="000000" w:fill="D6E7F0"/>
            <w:vAlign w:val="bottom"/>
            <w:hideMark/>
          </w:tcPr>
          <w:p w14:paraId="75D4646E"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12</w:t>
            </w:r>
          </w:p>
        </w:tc>
        <w:tc>
          <w:tcPr>
            <w:tcW w:w="720" w:type="dxa"/>
            <w:tcBorders>
              <w:top w:val="single" w:sz="4" w:space="0" w:color="ADD6EA"/>
              <w:left w:val="nil"/>
              <w:bottom w:val="single" w:sz="4" w:space="0" w:color="ADD6EA"/>
              <w:right w:val="nil"/>
            </w:tcBorders>
            <w:shd w:val="clear" w:color="000000" w:fill="D6E7F0"/>
            <w:vAlign w:val="bottom"/>
            <w:hideMark/>
          </w:tcPr>
          <w:p w14:paraId="701DB423"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15</w:t>
            </w:r>
          </w:p>
        </w:tc>
        <w:tc>
          <w:tcPr>
            <w:tcW w:w="760" w:type="dxa"/>
            <w:tcBorders>
              <w:top w:val="single" w:sz="4" w:space="0" w:color="ADD6EA"/>
              <w:left w:val="nil"/>
              <w:bottom w:val="single" w:sz="4" w:space="0" w:color="ADD6EA"/>
              <w:right w:val="nil"/>
            </w:tcBorders>
            <w:shd w:val="clear" w:color="000000" w:fill="D6E7F0"/>
            <w:vAlign w:val="bottom"/>
            <w:hideMark/>
          </w:tcPr>
          <w:p w14:paraId="3E949D5F"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16</w:t>
            </w:r>
          </w:p>
        </w:tc>
        <w:tc>
          <w:tcPr>
            <w:tcW w:w="680" w:type="dxa"/>
            <w:tcBorders>
              <w:top w:val="single" w:sz="4" w:space="0" w:color="ADD6EA"/>
              <w:left w:val="nil"/>
              <w:bottom w:val="single" w:sz="4" w:space="0" w:color="ADD6EA"/>
              <w:right w:val="nil"/>
            </w:tcBorders>
            <w:shd w:val="clear" w:color="000000" w:fill="D6E7F0"/>
            <w:vAlign w:val="bottom"/>
            <w:hideMark/>
          </w:tcPr>
          <w:p w14:paraId="66662CB0"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33</w:t>
            </w:r>
          </w:p>
        </w:tc>
        <w:tc>
          <w:tcPr>
            <w:tcW w:w="880" w:type="dxa"/>
            <w:tcBorders>
              <w:top w:val="single" w:sz="4" w:space="0" w:color="ADD6EA"/>
              <w:left w:val="nil"/>
              <w:bottom w:val="single" w:sz="4" w:space="0" w:color="ADD6EA"/>
              <w:right w:val="nil"/>
            </w:tcBorders>
            <w:shd w:val="clear" w:color="000000" w:fill="D6E7F0"/>
            <w:vAlign w:val="bottom"/>
            <w:hideMark/>
          </w:tcPr>
          <w:p w14:paraId="78CD3A58" w14:textId="77777777" w:rsidR="007E365E" w:rsidRPr="004870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4870A5">
              <w:rPr>
                <w:rFonts w:ascii="Open Sans SemiBold" w:eastAsia="Times New Roman" w:hAnsi="Open Sans SemiBold" w:cs="Open Sans SemiBold"/>
                <w:sz w:val="16"/>
                <w:szCs w:val="16"/>
                <w:lang w:eastAsia="en-AU"/>
              </w:rPr>
              <w:t xml:space="preserve">  11</w:t>
            </w:r>
          </w:p>
        </w:tc>
      </w:tr>
    </w:tbl>
    <w:p w14:paraId="78E7EC86" w14:textId="77777777" w:rsidR="007E365E" w:rsidRPr="00173B02" w:rsidRDefault="007E365E" w:rsidP="007E365E">
      <w:pPr>
        <w:pStyle w:val="CGCTablenote"/>
      </w:pPr>
      <w:r w:rsidRPr="00173B02">
        <w:t>Note:</w:t>
      </w:r>
      <w:r w:rsidRPr="00173B02">
        <w:tab/>
      </w:r>
      <w:r>
        <w:t xml:space="preserve">Table shows major payments only. </w:t>
      </w:r>
      <w:r w:rsidRPr="00173B02">
        <w:t>Commonwealth own purpose expenses (COPEs) are not included. Payments that the Commission treats as ‘no impact’ are included in the table.</w:t>
      </w:r>
    </w:p>
    <w:p w14:paraId="7469BCCC" w14:textId="77777777" w:rsidR="007E365E" w:rsidRPr="00173B02" w:rsidRDefault="007E365E" w:rsidP="007E365E">
      <w:pPr>
        <w:pStyle w:val="CGCTablenote"/>
      </w:pPr>
      <w:r w:rsidRPr="00173B02">
        <w:t>Source:</w:t>
      </w:r>
      <w:r w:rsidRPr="00173B02">
        <w:tab/>
        <w:t>Commonwealth Final Budget Outcome, 201</w:t>
      </w:r>
      <w:r>
        <w:t>8</w:t>
      </w:r>
      <w:r w:rsidRPr="00173B02">
        <w:noBreakHyphen/>
        <w:t>1</w:t>
      </w:r>
      <w:r>
        <w:t>9</w:t>
      </w:r>
      <w:r w:rsidRPr="00173B02">
        <w:t>.</w:t>
      </w:r>
    </w:p>
    <w:p w14:paraId="177CE283" w14:textId="77777777" w:rsidR="007E365E" w:rsidRPr="00173B02" w:rsidRDefault="007E365E" w:rsidP="007E365E">
      <w:pPr>
        <w:pStyle w:val="CGCParaNumber"/>
      </w:pPr>
      <w:r w:rsidRPr="00173B02">
        <w:t>Legal aid and family advocacy payments have no effect on State fiscal capacities.</w:t>
      </w:r>
      <w:r>
        <w:t xml:space="preserve"> T</w:t>
      </w:r>
      <w:r w:rsidRPr="000C4987">
        <w:t>he complete list of Commonwealth payments and their treatment</w:t>
      </w:r>
      <w:r>
        <w:t xml:space="preserve"> is available on the </w:t>
      </w:r>
      <w:hyperlink r:id="rId11" w:history="1">
        <w:r w:rsidRPr="000C4987">
          <w:rPr>
            <w:rStyle w:val="Hyperlink"/>
          </w:rPr>
          <w:t>Commission website</w:t>
        </w:r>
      </w:hyperlink>
      <w:r>
        <w:t>, (https://cgc.gov.au</w:t>
      </w:r>
      <w:r w:rsidRPr="000C4987">
        <w:t>).</w:t>
      </w:r>
      <w:r w:rsidRPr="000C4987">
        <w:rPr>
          <w:rStyle w:val="FootnoteReference"/>
        </w:rPr>
        <w:footnoteReference w:id="2"/>
      </w:r>
    </w:p>
    <w:p w14:paraId="2D0A6D92" w14:textId="51079910" w:rsidR="007E365E" w:rsidRPr="00173B02" w:rsidRDefault="007E365E" w:rsidP="007E365E">
      <w:pPr>
        <w:pStyle w:val="Heading3"/>
      </w:pPr>
      <w:bookmarkStart w:id="18" w:name="_Toc23500150"/>
      <w:r w:rsidRPr="00173B02">
        <w:t xml:space="preserve">Category </w:t>
      </w:r>
      <w:r>
        <w:t>s</w:t>
      </w:r>
      <w:r w:rsidRPr="00173B02">
        <w:t>tructure</w:t>
      </w:r>
      <w:bookmarkEnd w:id="18"/>
    </w:p>
    <w:p w14:paraId="041A3370" w14:textId="77777777" w:rsidR="007E365E" w:rsidRPr="00173B02" w:rsidRDefault="007E365E" w:rsidP="007E365E">
      <w:pPr>
        <w:pStyle w:val="CGCParaNumber"/>
      </w:pPr>
      <w:r w:rsidRPr="00173B02">
        <w:t>The assessment of the Justice category is undertaken in four components:</w:t>
      </w:r>
    </w:p>
    <w:p w14:paraId="7C340868" w14:textId="77777777" w:rsidR="007E365E" w:rsidRPr="00850D12" w:rsidRDefault="007E365E" w:rsidP="007E365E">
      <w:pPr>
        <w:pStyle w:val="CGCBullet1"/>
        <w:numPr>
          <w:ilvl w:val="0"/>
          <w:numId w:val="18"/>
        </w:numPr>
        <w:ind w:left="924" w:hanging="357"/>
      </w:pPr>
      <w:r w:rsidRPr="00850D12">
        <w:t>police</w:t>
      </w:r>
    </w:p>
    <w:p w14:paraId="73336AE0" w14:textId="77777777" w:rsidR="007E365E" w:rsidRPr="00850D12" w:rsidRDefault="007E365E" w:rsidP="007E365E">
      <w:pPr>
        <w:pStyle w:val="CGCBullet1"/>
        <w:numPr>
          <w:ilvl w:val="0"/>
          <w:numId w:val="18"/>
        </w:numPr>
        <w:ind w:left="924" w:hanging="357"/>
      </w:pPr>
      <w:r w:rsidRPr="00850D12">
        <w:t>criminal courts</w:t>
      </w:r>
    </w:p>
    <w:p w14:paraId="1697FF33" w14:textId="77777777" w:rsidR="007E365E" w:rsidRPr="00850D12" w:rsidRDefault="007E365E" w:rsidP="007E365E">
      <w:pPr>
        <w:pStyle w:val="CGCBullet1"/>
        <w:numPr>
          <w:ilvl w:val="0"/>
          <w:numId w:val="18"/>
        </w:numPr>
        <w:ind w:left="924" w:hanging="357"/>
      </w:pPr>
      <w:r w:rsidRPr="00850D12">
        <w:t>other legal services</w:t>
      </w:r>
    </w:p>
    <w:p w14:paraId="602609B0" w14:textId="77777777" w:rsidR="007E365E" w:rsidRPr="00850D12" w:rsidRDefault="007E365E" w:rsidP="007E365E">
      <w:pPr>
        <w:pStyle w:val="CGCBullet1"/>
        <w:numPr>
          <w:ilvl w:val="0"/>
          <w:numId w:val="18"/>
        </w:numPr>
        <w:ind w:left="924" w:hanging="357"/>
      </w:pPr>
      <w:r w:rsidRPr="00850D12">
        <w:t>prisons.</w:t>
      </w:r>
    </w:p>
    <w:p w14:paraId="2E4E8DB0" w14:textId="77777777" w:rsidR="007E365E" w:rsidRPr="00173B02" w:rsidRDefault="007E365E" w:rsidP="007E365E">
      <w:pPr>
        <w:pStyle w:val="CGCParaNumber"/>
      </w:pPr>
      <w:r w:rsidRPr="00173B02">
        <w:t xml:space="preserve">Components allow different disability assessments to apply to sub-functions. </w:t>
      </w:r>
    </w:p>
    <w:p w14:paraId="169E703B" w14:textId="46274862" w:rsidR="007E365E" w:rsidRPr="00173B02" w:rsidRDefault="007E365E" w:rsidP="007E365E">
      <w:pPr>
        <w:pStyle w:val="CGCParaNumber"/>
      </w:pPr>
      <w:r>
        <w:fldChar w:fldCharType="begin"/>
      </w:r>
      <w:r>
        <w:instrText xml:space="preserve"> REF _Ref32832188 \h </w:instrText>
      </w:r>
      <w:r>
        <w:fldChar w:fldCharType="separate"/>
      </w:r>
      <w:r w:rsidR="007F721A" w:rsidRPr="00173B02">
        <w:t xml:space="preserve">Table </w:t>
      </w:r>
      <w:r w:rsidR="007F721A">
        <w:t>19-</w:t>
      </w:r>
      <w:r w:rsidR="007F721A">
        <w:rPr>
          <w:noProof/>
        </w:rPr>
        <w:t>5</w:t>
      </w:r>
      <w:r>
        <w:fldChar w:fldCharType="end"/>
      </w:r>
      <w:r w:rsidRPr="00173B02">
        <w:t xml:space="preserve"> shows the category’s assessment structure, the size of each component and the disabilities that apply. </w:t>
      </w:r>
    </w:p>
    <w:p w14:paraId="5744525C" w14:textId="482384F2" w:rsidR="007E365E" w:rsidRDefault="007E365E" w:rsidP="007E365E">
      <w:pPr>
        <w:pStyle w:val="Caption"/>
      </w:pPr>
      <w:bookmarkStart w:id="19" w:name="_Ref32832188"/>
      <w:r w:rsidRPr="00173B02">
        <w:lastRenderedPageBreak/>
        <w:t xml:space="preserve">Table </w:t>
      </w:r>
      <w:r>
        <w:t>19-</w:t>
      </w:r>
      <w:fldSimple w:instr=" SEQ Table \* ARABIC ">
        <w:r w:rsidR="007F721A">
          <w:rPr>
            <w:noProof/>
          </w:rPr>
          <w:t>5</w:t>
        </w:r>
      </w:fldSimple>
      <w:bookmarkEnd w:id="19"/>
      <w:r>
        <w:rPr>
          <w:noProof/>
        </w:rPr>
        <w:tab/>
      </w:r>
      <w:r w:rsidRPr="00173B02">
        <w:t>Category structure, Justice, 201</w:t>
      </w:r>
      <w:r>
        <w:t>8</w:t>
      </w:r>
      <w:r w:rsidRPr="00173B02">
        <w:t>-1</w:t>
      </w:r>
      <w:r>
        <w:t>9</w:t>
      </w:r>
    </w:p>
    <w:tbl>
      <w:tblPr>
        <w:tblW w:w="9114" w:type="dxa"/>
        <w:tblCellMar>
          <w:left w:w="28" w:type="dxa"/>
        </w:tblCellMar>
        <w:tblLook w:val="04A0" w:firstRow="1" w:lastRow="0" w:firstColumn="1" w:lastColumn="0" w:noHBand="0" w:noVBand="1"/>
      </w:tblPr>
      <w:tblGrid>
        <w:gridCol w:w="1124"/>
        <w:gridCol w:w="1124"/>
        <w:gridCol w:w="266"/>
        <w:gridCol w:w="1980"/>
        <w:gridCol w:w="4620"/>
      </w:tblGrid>
      <w:tr w:rsidR="007E365E" w:rsidRPr="00DD6053" w14:paraId="6B5EA9BF" w14:textId="77777777" w:rsidTr="007D1D77">
        <w:trPr>
          <w:trHeight w:val="510"/>
        </w:trPr>
        <w:tc>
          <w:tcPr>
            <w:tcW w:w="1124" w:type="dxa"/>
            <w:tcBorders>
              <w:top w:val="single" w:sz="8" w:space="0" w:color="ADD6EA"/>
              <w:left w:val="nil"/>
              <w:bottom w:val="single" w:sz="4" w:space="0" w:color="ADD6EA"/>
              <w:right w:val="nil"/>
            </w:tcBorders>
            <w:shd w:val="clear" w:color="000000" w:fill="006991"/>
            <w:vAlign w:val="center"/>
            <w:hideMark/>
          </w:tcPr>
          <w:p w14:paraId="731885D6" w14:textId="77777777" w:rsidR="007E365E" w:rsidRPr="00DD6053" w:rsidRDefault="007E365E" w:rsidP="007D1D77">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DD6053">
              <w:rPr>
                <w:rFonts w:ascii="Open Sans SemiBold" w:eastAsia="Times New Roman" w:hAnsi="Open Sans SemiBold" w:cs="Open Sans SemiBold"/>
                <w:color w:val="FFFFFF"/>
                <w:sz w:val="16"/>
                <w:szCs w:val="16"/>
                <w:lang w:eastAsia="en-AU"/>
              </w:rPr>
              <w:t>Component</w:t>
            </w:r>
          </w:p>
        </w:tc>
        <w:tc>
          <w:tcPr>
            <w:tcW w:w="1124" w:type="dxa"/>
            <w:tcBorders>
              <w:top w:val="single" w:sz="8" w:space="0" w:color="ADD6EA"/>
              <w:left w:val="nil"/>
              <w:bottom w:val="single" w:sz="4" w:space="0" w:color="ADD6EA"/>
              <w:right w:val="nil"/>
            </w:tcBorders>
            <w:shd w:val="clear" w:color="000000" w:fill="006991"/>
            <w:vAlign w:val="center"/>
            <w:hideMark/>
          </w:tcPr>
          <w:p w14:paraId="0ED34A99" w14:textId="77777777" w:rsidR="007E365E" w:rsidRPr="00DD6053"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6053">
              <w:rPr>
                <w:rFonts w:ascii="Open Sans SemiBold" w:eastAsia="Times New Roman" w:hAnsi="Open Sans SemiBold" w:cs="Open Sans SemiBold"/>
                <w:color w:val="FFFFFF"/>
                <w:sz w:val="16"/>
                <w:szCs w:val="16"/>
                <w:lang w:eastAsia="en-AU"/>
              </w:rPr>
              <w:t>Component expense</w:t>
            </w:r>
          </w:p>
        </w:tc>
        <w:tc>
          <w:tcPr>
            <w:tcW w:w="266" w:type="dxa"/>
            <w:tcBorders>
              <w:top w:val="single" w:sz="8" w:space="0" w:color="ADD6EA"/>
              <w:left w:val="nil"/>
              <w:bottom w:val="single" w:sz="4" w:space="0" w:color="ADD6EA"/>
              <w:right w:val="nil"/>
            </w:tcBorders>
            <w:shd w:val="clear" w:color="000000" w:fill="006991"/>
            <w:vAlign w:val="center"/>
            <w:hideMark/>
          </w:tcPr>
          <w:p w14:paraId="5AE179C4" w14:textId="77777777" w:rsidR="007E365E" w:rsidRPr="00DD6053"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6053">
              <w:rPr>
                <w:rFonts w:ascii="Open Sans SemiBold" w:eastAsia="Times New Roman" w:hAnsi="Open Sans SemiBold" w:cs="Open Sans SemiBold"/>
                <w:color w:val="FFFFFF"/>
                <w:sz w:val="16"/>
                <w:szCs w:val="16"/>
                <w:lang w:eastAsia="en-AU"/>
              </w:rPr>
              <w:t> </w:t>
            </w:r>
          </w:p>
        </w:tc>
        <w:tc>
          <w:tcPr>
            <w:tcW w:w="1980" w:type="dxa"/>
            <w:tcBorders>
              <w:top w:val="single" w:sz="8" w:space="0" w:color="ADD6EA"/>
              <w:left w:val="nil"/>
              <w:bottom w:val="single" w:sz="4" w:space="0" w:color="ADD6EA"/>
              <w:right w:val="nil"/>
            </w:tcBorders>
            <w:shd w:val="clear" w:color="000000" w:fill="006991"/>
            <w:vAlign w:val="center"/>
            <w:hideMark/>
          </w:tcPr>
          <w:p w14:paraId="17093829" w14:textId="77777777" w:rsidR="007E365E" w:rsidRPr="00DD6053" w:rsidRDefault="007E365E" w:rsidP="007D1D77">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DD6053">
              <w:rPr>
                <w:rFonts w:ascii="Open Sans SemiBold" w:eastAsia="Times New Roman" w:hAnsi="Open Sans SemiBold" w:cs="Open Sans SemiBold"/>
                <w:color w:val="FFFFFF"/>
                <w:sz w:val="16"/>
                <w:szCs w:val="16"/>
                <w:lang w:eastAsia="en-AU"/>
              </w:rPr>
              <w:t>Disability</w:t>
            </w:r>
          </w:p>
        </w:tc>
        <w:tc>
          <w:tcPr>
            <w:tcW w:w="4620" w:type="dxa"/>
            <w:tcBorders>
              <w:top w:val="single" w:sz="8" w:space="0" w:color="ADD6EA"/>
              <w:left w:val="nil"/>
              <w:bottom w:val="single" w:sz="4" w:space="0" w:color="ADD6EA"/>
              <w:right w:val="nil"/>
            </w:tcBorders>
            <w:shd w:val="clear" w:color="000000" w:fill="006991"/>
            <w:vAlign w:val="center"/>
            <w:hideMark/>
          </w:tcPr>
          <w:p w14:paraId="57BC3C35" w14:textId="77777777" w:rsidR="007E365E" w:rsidRPr="00DD6053" w:rsidRDefault="007E365E" w:rsidP="007D1D77">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DD6053">
              <w:rPr>
                <w:rFonts w:ascii="Open Sans SemiBold" w:eastAsia="Times New Roman" w:hAnsi="Open Sans SemiBold" w:cs="Open Sans SemiBold"/>
                <w:color w:val="FFFFFF"/>
                <w:sz w:val="16"/>
                <w:szCs w:val="16"/>
                <w:lang w:eastAsia="en-AU"/>
              </w:rPr>
              <w:t>Influence measured by disability</w:t>
            </w:r>
          </w:p>
        </w:tc>
      </w:tr>
      <w:tr w:rsidR="007E365E" w:rsidRPr="00DD6053" w14:paraId="3CA7DB33" w14:textId="77777777" w:rsidTr="007D1D77">
        <w:trPr>
          <w:trHeight w:val="300"/>
        </w:trPr>
        <w:tc>
          <w:tcPr>
            <w:tcW w:w="1124" w:type="dxa"/>
            <w:tcBorders>
              <w:top w:val="nil"/>
              <w:left w:val="nil"/>
              <w:bottom w:val="single" w:sz="4" w:space="0" w:color="ADD6EA"/>
              <w:right w:val="nil"/>
            </w:tcBorders>
            <w:shd w:val="clear" w:color="000000" w:fill="B6D5E4"/>
            <w:noWrap/>
            <w:vAlign w:val="bottom"/>
            <w:hideMark/>
          </w:tcPr>
          <w:p w14:paraId="29A30531" w14:textId="77777777" w:rsidR="007E365E" w:rsidRPr="003D6312"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3D6312">
              <w:rPr>
                <w:rFonts w:ascii="Open Sans SemiBold" w:eastAsia="Times New Roman" w:hAnsi="Open Sans SemiBold" w:cs="Open Sans SemiBold"/>
                <w:sz w:val="16"/>
                <w:szCs w:val="16"/>
                <w:lang w:eastAsia="en-AU"/>
              </w:rPr>
              <w:t> </w:t>
            </w:r>
          </w:p>
        </w:tc>
        <w:tc>
          <w:tcPr>
            <w:tcW w:w="1124" w:type="dxa"/>
            <w:tcBorders>
              <w:top w:val="nil"/>
              <w:left w:val="nil"/>
              <w:bottom w:val="single" w:sz="4" w:space="0" w:color="ADD6EA"/>
              <w:right w:val="nil"/>
            </w:tcBorders>
            <w:shd w:val="clear" w:color="000000" w:fill="B6D5E4"/>
            <w:noWrap/>
            <w:vAlign w:val="center"/>
            <w:hideMark/>
          </w:tcPr>
          <w:p w14:paraId="6E0AE591" w14:textId="77777777" w:rsidR="007E365E" w:rsidRPr="00DD6053"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D6053">
              <w:rPr>
                <w:rFonts w:ascii="Open Sans SemiBold" w:eastAsia="Times New Roman" w:hAnsi="Open Sans SemiBold" w:cs="Open Sans SemiBold"/>
                <w:color w:val="000000"/>
                <w:sz w:val="16"/>
                <w:szCs w:val="16"/>
                <w:lang w:eastAsia="en-AU"/>
              </w:rPr>
              <w:t>$m</w:t>
            </w:r>
          </w:p>
        </w:tc>
        <w:tc>
          <w:tcPr>
            <w:tcW w:w="266" w:type="dxa"/>
            <w:tcBorders>
              <w:top w:val="nil"/>
              <w:left w:val="nil"/>
              <w:bottom w:val="single" w:sz="4" w:space="0" w:color="ADD6EA"/>
              <w:right w:val="nil"/>
            </w:tcBorders>
            <w:shd w:val="clear" w:color="000000" w:fill="B6D5E4"/>
            <w:noWrap/>
            <w:vAlign w:val="bottom"/>
            <w:hideMark/>
          </w:tcPr>
          <w:p w14:paraId="3315D16E" w14:textId="77777777" w:rsidR="007E365E" w:rsidRPr="003D6312"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p>
        </w:tc>
        <w:tc>
          <w:tcPr>
            <w:tcW w:w="1980" w:type="dxa"/>
            <w:tcBorders>
              <w:top w:val="nil"/>
              <w:left w:val="nil"/>
              <w:bottom w:val="nil"/>
              <w:right w:val="nil"/>
            </w:tcBorders>
            <w:shd w:val="clear" w:color="000000" w:fill="B6D5E4"/>
            <w:noWrap/>
            <w:vAlign w:val="bottom"/>
            <w:hideMark/>
          </w:tcPr>
          <w:p w14:paraId="67103636" w14:textId="77777777" w:rsidR="007E365E" w:rsidRPr="003D6312"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p>
        </w:tc>
        <w:tc>
          <w:tcPr>
            <w:tcW w:w="4620" w:type="dxa"/>
            <w:tcBorders>
              <w:top w:val="nil"/>
              <w:left w:val="nil"/>
              <w:bottom w:val="nil"/>
              <w:right w:val="nil"/>
            </w:tcBorders>
            <w:shd w:val="clear" w:color="000000" w:fill="B6D5E4"/>
            <w:noWrap/>
            <w:hideMark/>
          </w:tcPr>
          <w:p w14:paraId="73FC99DE" w14:textId="77777777" w:rsidR="007E365E" w:rsidRPr="003D6312"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p>
        </w:tc>
      </w:tr>
      <w:tr w:rsidR="007E365E" w:rsidRPr="00DD6053" w14:paraId="3D9C9E1D" w14:textId="77777777" w:rsidTr="007D1D77">
        <w:trPr>
          <w:trHeight w:val="510"/>
        </w:trPr>
        <w:tc>
          <w:tcPr>
            <w:tcW w:w="1124" w:type="dxa"/>
            <w:tcBorders>
              <w:top w:val="nil"/>
              <w:left w:val="nil"/>
              <w:bottom w:val="nil"/>
              <w:right w:val="nil"/>
            </w:tcBorders>
            <w:shd w:val="clear" w:color="auto" w:fill="auto"/>
            <w:hideMark/>
          </w:tcPr>
          <w:p w14:paraId="0E910F9E" w14:textId="77777777" w:rsidR="007E365E" w:rsidRPr="00DD6053"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DD6053">
              <w:rPr>
                <w:rFonts w:ascii="Open Sans SemiBold" w:eastAsia="Times New Roman" w:hAnsi="Open Sans SemiBold" w:cs="Open Sans SemiBold"/>
                <w:sz w:val="16"/>
                <w:szCs w:val="16"/>
                <w:lang w:eastAsia="en-AU"/>
              </w:rPr>
              <w:t>Police</w:t>
            </w:r>
          </w:p>
        </w:tc>
        <w:tc>
          <w:tcPr>
            <w:tcW w:w="1124" w:type="dxa"/>
            <w:tcBorders>
              <w:top w:val="nil"/>
              <w:left w:val="nil"/>
              <w:bottom w:val="nil"/>
              <w:right w:val="nil"/>
            </w:tcBorders>
            <w:shd w:val="clear" w:color="auto" w:fill="auto"/>
            <w:hideMark/>
          </w:tcPr>
          <w:p w14:paraId="6E10DCF0" w14:textId="77777777" w:rsidR="007E365E" w:rsidRPr="00DD6053" w:rsidRDefault="007E365E" w:rsidP="007D1D77">
            <w:pPr>
              <w:keepNext/>
              <w:tabs>
                <w:tab w:val="clear" w:pos="567"/>
              </w:tabs>
              <w:spacing w:before="0" w:line="240" w:lineRule="auto"/>
              <w:jc w:val="right"/>
              <w:rPr>
                <w:rFonts w:eastAsia="Times New Roman" w:cs="Open Sans Light"/>
                <w:sz w:val="16"/>
                <w:szCs w:val="16"/>
                <w:lang w:eastAsia="en-AU"/>
              </w:rPr>
            </w:pPr>
            <w:r w:rsidRPr="00DD6053">
              <w:rPr>
                <w:rFonts w:eastAsia="Times New Roman" w:cs="Open Sans Light"/>
                <w:sz w:val="16"/>
                <w:szCs w:val="16"/>
                <w:lang w:eastAsia="en-AU"/>
              </w:rPr>
              <w:t>11,337</w:t>
            </w:r>
          </w:p>
        </w:tc>
        <w:tc>
          <w:tcPr>
            <w:tcW w:w="266" w:type="dxa"/>
            <w:tcBorders>
              <w:top w:val="nil"/>
              <w:left w:val="nil"/>
              <w:bottom w:val="nil"/>
              <w:right w:val="nil"/>
            </w:tcBorders>
            <w:shd w:val="clear" w:color="auto" w:fill="auto"/>
            <w:vAlign w:val="bottom"/>
            <w:hideMark/>
          </w:tcPr>
          <w:p w14:paraId="17F8DA67" w14:textId="77777777" w:rsidR="007E365E" w:rsidRPr="00DD6053" w:rsidRDefault="007E365E" w:rsidP="007D1D77">
            <w:pPr>
              <w:keepNext/>
              <w:tabs>
                <w:tab w:val="clear" w:pos="567"/>
              </w:tabs>
              <w:spacing w:before="0" w:line="240" w:lineRule="auto"/>
              <w:jc w:val="right"/>
              <w:rPr>
                <w:rFonts w:eastAsia="Times New Roman" w:cs="Open Sans Light"/>
                <w:sz w:val="16"/>
                <w:szCs w:val="16"/>
                <w:lang w:eastAsia="en-AU"/>
              </w:rPr>
            </w:pPr>
          </w:p>
        </w:tc>
        <w:tc>
          <w:tcPr>
            <w:tcW w:w="1980" w:type="dxa"/>
            <w:tcBorders>
              <w:top w:val="single" w:sz="4" w:space="0" w:color="ADD6EA"/>
              <w:left w:val="nil"/>
              <w:bottom w:val="single" w:sz="4" w:space="0" w:color="ADD6EA"/>
              <w:right w:val="nil"/>
            </w:tcBorders>
            <w:shd w:val="clear" w:color="auto" w:fill="auto"/>
            <w:hideMark/>
          </w:tcPr>
          <w:p w14:paraId="40DF5498" w14:textId="77777777" w:rsidR="007E365E" w:rsidRPr="00DD6053" w:rsidRDefault="007E365E" w:rsidP="007D1D77">
            <w:pPr>
              <w:keepNext/>
              <w:tabs>
                <w:tab w:val="clear" w:pos="567"/>
              </w:tabs>
              <w:spacing w:before="0" w:line="240" w:lineRule="auto"/>
              <w:rPr>
                <w:rFonts w:eastAsia="Times New Roman" w:cs="Open Sans Light"/>
                <w:sz w:val="16"/>
                <w:szCs w:val="16"/>
                <w:lang w:eastAsia="en-AU"/>
              </w:rPr>
            </w:pPr>
            <w:r w:rsidRPr="00DD6053">
              <w:rPr>
                <w:rFonts w:eastAsia="Times New Roman" w:cs="Open Sans Light"/>
                <w:sz w:val="16"/>
                <w:szCs w:val="16"/>
                <w:lang w:eastAsia="en-AU"/>
              </w:rPr>
              <w:t>Regional costs</w:t>
            </w:r>
          </w:p>
        </w:tc>
        <w:tc>
          <w:tcPr>
            <w:tcW w:w="4620" w:type="dxa"/>
            <w:tcBorders>
              <w:top w:val="single" w:sz="4" w:space="0" w:color="ADD6EA"/>
              <w:left w:val="nil"/>
              <w:bottom w:val="single" w:sz="4" w:space="0" w:color="ADD6EA"/>
              <w:right w:val="nil"/>
            </w:tcBorders>
            <w:shd w:val="clear" w:color="auto" w:fill="auto"/>
            <w:hideMark/>
          </w:tcPr>
          <w:p w14:paraId="52BD2761" w14:textId="77777777" w:rsidR="007E365E" w:rsidRPr="00DD6053" w:rsidRDefault="007E365E" w:rsidP="007D1D77">
            <w:pPr>
              <w:keepNext/>
              <w:tabs>
                <w:tab w:val="clear" w:pos="567"/>
              </w:tabs>
              <w:spacing w:before="0" w:line="240" w:lineRule="auto"/>
              <w:rPr>
                <w:rFonts w:eastAsia="Times New Roman" w:cs="Open Sans Light"/>
                <w:color w:val="000000"/>
                <w:sz w:val="16"/>
                <w:szCs w:val="16"/>
                <w:lang w:eastAsia="en-AU"/>
              </w:rPr>
            </w:pPr>
            <w:r w:rsidRPr="00DD6053">
              <w:rPr>
                <w:rFonts w:eastAsia="Times New Roman" w:cs="Open Sans Light"/>
                <w:color w:val="000000"/>
                <w:sz w:val="16"/>
                <w:szCs w:val="16"/>
                <w:lang w:eastAsia="en-AU"/>
              </w:rPr>
              <w:t>Recognises that the cost of providing policing services increases as the level of remoteness increases.</w:t>
            </w:r>
          </w:p>
        </w:tc>
      </w:tr>
      <w:tr w:rsidR="007E365E" w:rsidRPr="00DD6053" w14:paraId="0749C942" w14:textId="77777777" w:rsidTr="007D1D77">
        <w:trPr>
          <w:trHeight w:val="567"/>
        </w:trPr>
        <w:tc>
          <w:tcPr>
            <w:tcW w:w="1124" w:type="dxa"/>
            <w:tcBorders>
              <w:top w:val="nil"/>
              <w:left w:val="nil"/>
              <w:bottom w:val="nil"/>
              <w:right w:val="nil"/>
            </w:tcBorders>
            <w:shd w:val="clear" w:color="auto" w:fill="auto"/>
            <w:hideMark/>
          </w:tcPr>
          <w:p w14:paraId="3C6A8B43" w14:textId="77777777" w:rsidR="007E365E" w:rsidRPr="003D6312" w:rsidRDefault="007E365E" w:rsidP="007D1D77">
            <w:pPr>
              <w:keepNext/>
              <w:tabs>
                <w:tab w:val="clear" w:pos="567"/>
              </w:tabs>
              <w:spacing w:before="0" w:line="240" w:lineRule="auto"/>
              <w:rPr>
                <w:rFonts w:ascii="Open Sans SemiBold" w:eastAsia="Times New Roman" w:hAnsi="Open Sans SemiBold" w:cs="Open Sans SemiBold"/>
                <w:color w:val="000000"/>
                <w:sz w:val="16"/>
                <w:szCs w:val="16"/>
                <w:lang w:eastAsia="en-AU"/>
              </w:rPr>
            </w:pPr>
          </w:p>
        </w:tc>
        <w:tc>
          <w:tcPr>
            <w:tcW w:w="1124" w:type="dxa"/>
            <w:tcBorders>
              <w:top w:val="nil"/>
              <w:left w:val="nil"/>
              <w:bottom w:val="nil"/>
              <w:right w:val="nil"/>
            </w:tcBorders>
            <w:shd w:val="clear" w:color="auto" w:fill="auto"/>
            <w:hideMark/>
          </w:tcPr>
          <w:p w14:paraId="5E6D632D" w14:textId="77777777" w:rsidR="007E365E" w:rsidRPr="003D6312" w:rsidRDefault="007E365E" w:rsidP="007D1D77">
            <w:pPr>
              <w:keepNext/>
              <w:tabs>
                <w:tab w:val="clear" w:pos="567"/>
              </w:tabs>
              <w:spacing w:before="0" w:line="240" w:lineRule="auto"/>
              <w:rPr>
                <w:rFonts w:eastAsia="Times New Roman" w:cs="Open Sans Light"/>
                <w:sz w:val="16"/>
                <w:szCs w:val="16"/>
                <w:lang w:eastAsia="en-AU"/>
              </w:rPr>
            </w:pPr>
          </w:p>
        </w:tc>
        <w:tc>
          <w:tcPr>
            <w:tcW w:w="266" w:type="dxa"/>
            <w:tcBorders>
              <w:top w:val="nil"/>
              <w:left w:val="nil"/>
              <w:bottom w:val="nil"/>
              <w:right w:val="nil"/>
            </w:tcBorders>
            <w:shd w:val="clear" w:color="auto" w:fill="auto"/>
            <w:vAlign w:val="bottom"/>
            <w:hideMark/>
          </w:tcPr>
          <w:p w14:paraId="2582AD62" w14:textId="77777777" w:rsidR="007E365E" w:rsidRPr="003D6312" w:rsidRDefault="007E365E" w:rsidP="007D1D77">
            <w:pPr>
              <w:keepNext/>
              <w:tabs>
                <w:tab w:val="clear" w:pos="567"/>
              </w:tabs>
              <w:spacing w:before="0" w:line="240" w:lineRule="auto"/>
              <w:rPr>
                <w:rFonts w:eastAsia="Times New Roman" w:cs="Open Sans Light"/>
                <w:sz w:val="16"/>
                <w:szCs w:val="16"/>
                <w:lang w:eastAsia="en-AU"/>
              </w:rPr>
            </w:pPr>
          </w:p>
        </w:tc>
        <w:tc>
          <w:tcPr>
            <w:tcW w:w="1980" w:type="dxa"/>
            <w:tcBorders>
              <w:top w:val="nil"/>
              <w:left w:val="nil"/>
              <w:bottom w:val="nil"/>
              <w:right w:val="nil"/>
            </w:tcBorders>
            <w:shd w:val="clear" w:color="auto" w:fill="auto"/>
            <w:hideMark/>
          </w:tcPr>
          <w:p w14:paraId="214261FE" w14:textId="77777777" w:rsidR="007E365E" w:rsidRPr="00DD6053" w:rsidRDefault="007E365E" w:rsidP="007D1D77">
            <w:pPr>
              <w:keepNext/>
              <w:tabs>
                <w:tab w:val="clear" w:pos="567"/>
              </w:tabs>
              <w:spacing w:before="0" w:line="240" w:lineRule="auto"/>
              <w:rPr>
                <w:rFonts w:eastAsia="Times New Roman" w:cs="Open Sans Light"/>
                <w:sz w:val="16"/>
                <w:szCs w:val="16"/>
                <w:lang w:eastAsia="en-AU"/>
              </w:rPr>
            </w:pPr>
            <w:r w:rsidRPr="00DD6053">
              <w:rPr>
                <w:rFonts w:eastAsia="Times New Roman" w:cs="Open Sans Light"/>
                <w:sz w:val="16"/>
                <w:szCs w:val="16"/>
                <w:lang w:eastAsia="en-AU"/>
              </w:rPr>
              <w:t>Socio-demographic composition</w:t>
            </w:r>
          </w:p>
        </w:tc>
        <w:tc>
          <w:tcPr>
            <w:tcW w:w="4620" w:type="dxa"/>
            <w:tcBorders>
              <w:top w:val="nil"/>
              <w:left w:val="nil"/>
              <w:bottom w:val="nil"/>
              <w:right w:val="nil"/>
            </w:tcBorders>
            <w:shd w:val="clear" w:color="auto" w:fill="auto"/>
            <w:hideMark/>
          </w:tcPr>
          <w:p w14:paraId="0AB61B81" w14:textId="77777777" w:rsidR="007E365E" w:rsidRPr="00DD6053" w:rsidRDefault="007E365E" w:rsidP="007D1D77">
            <w:pPr>
              <w:keepNext/>
              <w:tabs>
                <w:tab w:val="clear" w:pos="567"/>
              </w:tabs>
              <w:spacing w:before="0" w:line="240" w:lineRule="auto"/>
              <w:rPr>
                <w:rFonts w:eastAsia="Times New Roman" w:cs="Open Sans Light"/>
                <w:color w:val="000000"/>
                <w:sz w:val="16"/>
                <w:szCs w:val="16"/>
                <w:lang w:eastAsia="en-AU"/>
              </w:rPr>
            </w:pPr>
            <w:r w:rsidRPr="00DD6053">
              <w:rPr>
                <w:rFonts w:eastAsia="Times New Roman" w:cs="Open Sans Light"/>
                <w:color w:val="000000"/>
                <w:sz w:val="16"/>
                <w:szCs w:val="16"/>
                <w:lang w:eastAsia="en-AU"/>
              </w:rPr>
              <w:t xml:space="preserve">Recognises that certain population characteristics (Indigenous status, age, and SES) affect the degree of police attention. </w:t>
            </w:r>
          </w:p>
        </w:tc>
      </w:tr>
      <w:tr w:rsidR="007E365E" w:rsidRPr="00DD6053" w14:paraId="31F5A2B4" w14:textId="77777777" w:rsidTr="007D1D77">
        <w:trPr>
          <w:trHeight w:val="330"/>
        </w:trPr>
        <w:tc>
          <w:tcPr>
            <w:tcW w:w="1124" w:type="dxa"/>
            <w:tcBorders>
              <w:top w:val="nil"/>
              <w:left w:val="nil"/>
              <w:bottom w:val="nil"/>
              <w:right w:val="nil"/>
            </w:tcBorders>
            <w:shd w:val="clear" w:color="auto" w:fill="auto"/>
            <w:hideMark/>
          </w:tcPr>
          <w:p w14:paraId="34BA8E97" w14:textId="77777777" w:rsidR="007E365E" w:rsidRPr="003D6312" w:rsidRDefault="007E365E" w:rsidP="007D1D77">
            <w:pPr>
              <w:keepNext/>
              <w:tabs>
                <w:tab w:val="clear" w:pos="567"/>
              </w:tabs>
              <w:spacing w:before="0" w:line="240" w:lineRule="auto"/>
              <w:rPr>
                <w:rFonts w:ascii="Open Sans SemiBold" w:eastAsia="Times New Roman" w:hAnsi="Open Sans SemiBold" w:cs="Open Sans SemiBold"/>
                <w:color w:val="000000"/>
                <w:sz w:val="16"/>
                <w:szCs w:val="16"/>
                <w:lang w:eastAsia="en-AU"/>
              </w:rPr>
            </w:pPr>
          </w:p>
        </w:tc>
        <w:tc>
          <w:tcPr>
            <w:tcW w:w="1124" w:type="dxa"/>
            <w:tcBorders>
              <w:top w:val="nil"/>
              <w:left w:val="nil"/>
              <w:bottom w:val="nil"/>
              <w:right w:val="nil"/>
            </w:tcBorders>
            <w:shd w:val="clear" w:color="auto" w:fill="auto"/>
            <w:hideMark/>
          </w:tcPr>
          <w:p w14:paraId="73FD17BC" w14:textId="77777777" w:rsidR="007E365E" w:rsidRPr="003D6312" w:rsidRDefault="007E365E" w:rsidP="007D1D77">
            <w:pPr>
              <w:keepNext/>
              <w:tabs>
                <w:tab w:val="clear" w:pos="567"/>
              </w:tabs>
              <w:spacing w:before="0" w:line="240" w:lineRule="auto"/>
              <w:rPr>
                <w:rFonts w:eastAsia="Times New Roman" w:cs="Open Sans Light"/>
                <w:sz w:val="16"/>
                <w:szCs w:val="16"/>
                <w:lang w:eastAsia="en-AU"/>
              </w:rPr>
            </w:pPr>
          </w:p>
        </w:tc>
        <w:tc>
          <w:tcPr>
            <w:tcW w:w="266" w:type="dxa"/>
            <w:tcBorders>
              <w:top w:val="nil"/>
              <w:left w:val="nil"/>
              <w:bottom w:val="nil"/>
              <w:right w:val="nil"/>
            </w:tcBorders>
            <w:shd w:val="clear" w:color="auto" w:fill="auto"/>
            <w:vAlign w:val="bottom"/>
            <w:hideMark/>
          </w:tcPr>
          <w:p w14:paraId="4F84822E" w14:textId="77777777" w:rsidR="007E365E" w:rsidRPr="003D6312" w:rsidRDefault="007E365E" w:rsidP="007D1D77">
            <w:pPr>
              <w:keepNext/>
              <w:tabs>
                <w:tab w:val="clear" w:pos="567"/>
              </w:tabs>
              <w:spacing w:before="0" w:line="240" w:lineRule="auto"/>
              <w:rPr>
                <w:rFonts w:eastAsia="Times New Roman" w:cs="Open Sans Light"/>
                <w:sz w:val="16"/>
                <w:szCs w:val="16"/>
                <w:lang w:eastAsia="en-AU"/>
              </w:rPr>
            </w:pPr>
          </w:p>
        </w:tc>
        <w:tc>
          <w:tcPr>
            <w:tcW w:w="1980" w:type="dxa"/>
            <w:tcBorders>
              <w:top w:val="single" w:sz="4" w:space="0" w:color="ADD6EA"/>
              <w:left w:val="nil"/>
              <w:bottom w:val="single" w:sz="4" w:space="0" w:color="ADD6EA"/>
              <w:right w:val="nil"/>
            </w:tcBorders>
            <w:shd w:val="clear" w:color="auto" w:fill="auto"/>
            <w:hideMark/>
          </w:tcPr>
          <w:p w14:paraId="2982F45B" w14:textId="77777777" w:rsidR="007E365E" w:rsidRPr="00DD6053" w:rsidRDefault="007E365E" w:rsidP="007D1D77">
            <w:pPr>
              <w:keepNext/>
              <w:tabs>
                <w:tab w:val="clear" w:pos="567"/>
              </w:tabs>
              <w:spacing w:before="0" w:line="240" w:lineRule="auto"/>
              <w:rPr>
                <w:rFonts w:eastAsia="Times New Roman" w:cs="Open Sans Light"/>
                <w:sz w:val="16"/>
                <w:szCs w:val="16"/>
                <w:lang w:eastAsia="en-AU"/>
              </w:rPr>
            </w:pPr>
            <w:r w:rsidRPr="00DD6053">
              <w:rPr>
                <w:rFonts w:eastAsia="Times New Roman" w:cs="Open Sans Light"/>
                <w:sz w:val="16"/>
                <w:szCs w:val="16"/>
                <w:lang w:eastAsia="en-AU"/>
              </w:rPr>
              <w:t>Wage costs</w:t>
            </w:r>
          </w:p>
        </w:tc>
        <w:tc>
          <w:tcPr>
            <w:tcW w:w="4620" w:type="dxa"/>
            <w:tcBorders>
              <w:top w:val="single" w:sz="4" w:space="0" w:color="ADD6EA"/>
              <w:left w:val="nil"/>
              <w:bottom w:val="single" w:sz="4" w:space="0" w:color="ADD6EA"/>
              <w:right w:val="nil"/>
            </w:tcBorders>
            <w:shd w:val="clear" w:color="auto" w:fill="auto"/>
            <w:hideMark/>
          </w:tcPr>
          <w:p w14:paraId="1FE51224" w14:textId="77777777" w:rsidR="007E365E" w:rsidRPr="00DD6053" w:rsidRDefault="007E365E" w:rsidP="007D1D77">
            <w:pPr>
              <w:keepNext/>
              <w:tabs>
                <w:tab w:val="clear" w:pos="567"/>
              </w:tabs>
              <w:spacing w:before="0" w:line="240" w:lineRule="auto"/>
              <w:rPr>
                <w:rFonts w:eastAsia="Times New Roman" w:cs="Open Sans Light"/>
                <w:color w:val="000000"/>
                <w:sz w:val="16"/>
                <w:szCs w:val="16"/>
                <w:lang w:eastAsia="en-AU"/>
              </w:rPr>
            </w:pPr>
            <w:r w:rsidRPr="00DD6053">
              <w:rPr>
                <w:rFonts w:eastAsia="Times New Roman" w:cs="Open Sans Light"/>
                <w:color w:val="000000"/>
                <w:sz w:val="16"/>
                <w:szCs w:val="16"/>
                <w:lang w:eastAsia="en-AU"/>
              </w:rPr>
              <w:t>Recognises the difference in wage costs between States.</w:t>
            </w:r>
          </w:p>
        </w:tc>
      </w:tr>
      <w:tr w:rsidR="007E365E" w:rsidRPr="00DD6053" w14:paraId="32D2C86C" w14:textId="77777777" w:rsidTr="007D1D77">
        <w:trPr>
          <w:trHeight w:val="765"/>
        </w:trPr>
        <w:tc>
          <w:tcPr>
            <w:tcW w:w="1124" w:type="dxa"/>
            <w:tcBorders>
              <w:top w:val="nil"/>
              <w:left w:val="nil"/>
              <w:bottom w:val="single" w:sz="4" w:space="0" w:color="ADD6EA"/>
              <w:right w:val="nil"/>
            </w:tcBorders>
            <w:shd w:val="clear" w:color="auto" w:fill="auto"/>
            <w:hideMark/>
          </w:tcPr>
          <w:p w14:paraId="376FB300" w14:textId="77777777" w:rsidR="007E365E" w:rsidRPr="003D6312"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3D6312">
              <w:rPr>
                <w:rFonts w:ascii="Open Sans SemiBold" w:eastAsia="Times New Roman" w:hAnsi="Open Sans SemiBold" w:cs="Open Sans SemiBold"/>
                <w:sz w:val="16"/>
                <w:szCs w:val="16"/>
                <w:lang w:eastAsia="en-AU"/>
              </w:rPr>
              <w:t> </w:t>
            </w:r>
          </w:p>
        </w:tc>
        <w:tc>
          <w:tcPr>
            <w:tcW w:w="1124" w:type="dxa"/>
            <w:tcBorders>
              <w:top w:val="nil"/>
              <w:left w:val="nil"/>
              <w:bottom w:val="single" w:sz="4" w:space="0" w:color="ADD6EA"/>
              <w:right w:val="nil"/>
            </w:tcBorders>
            <w:shd w:val="clear" w:color="auto" w:fill="auto"/>
            <w:hideMark/>
          </w:tcPr>
          <w:p w14:paraId="5332D826" w14:textId="77777777" w:rsidR="007E365E" w:rsidRPr="003D6312" w:rsidRDefault="007E365E" w:rsidP="007D1D77">
            <w:pPr>
              <w:keepNext/>
              <w:tabs>
                <w:tab w:val="clear" w:pos="567"/>
              </w:tabs>
              <w:spacing w:before="0" w:line="240" w:lineRule="auto"/>
              <w:rPr>
                <w:rFonts w:eastAsia="Times New Roman" w:cs="Open Sans Light"/>
                <w:sz w:val="16"/>
                <w:szCs w:val="16"/>
                <w:lang w:eastAsia="en-AU"/>
              </w:rPr>
            </w:pPr>
          </w:p>
        </w:tc>
        <w:tc>
          <w:tcPr>
            <w:tcW w:w="266" w:type="dxa"/>
            <w:tcBorders>
              <w:top w:val="nil"/>
              <w:left w:val="nil"/>
              <w:bottom w:val="single" w:sz="4" w:space="0" w:color="ADD6EA"/>
              <w:right w:val="nil"/>
            </w:tcBorders>
            <w:shd w:val="clear" w:color="auto" w:fill="auto"/>
            <w:vAlign w:val="bottom"/>
            <w:hideMark/>
          </w:tcPr>
          <w:p w14:paraId="609AF8C7" w14:textId="77777777" w:rsidR="007E365E" w:rsidRPr="003D6312" w:rsidRDefault="007E365E" w:rsidP="007D1D77">
            <w:pPr>
              <w:keepNext/>
              <w:tabs>
                <w:tab w:val="clear" w:pos="567"/>
              </w:tabs>
              <w:spacing w:before="0" w:line="240" w:lineRule="auto"/>
              <w:rPr>
                <w:rFonts w:eastAsia="Times New Roman" w:cs="Open Sans Light"/>
                <w:sz w:val="16"/>
                <w:szCs w:val="16"/>
                <w:lang w:eastAsia="en-AU"/>
              </w:rPr>
            </w:pPr>
          </w:p>
        </w:tc>
        <w:tc>
          <w:tcPr>
            <w:tcW w:w="1980" w:type="dxa"/>
            <w:tcBorders>
              <w:top w:val="nil"/>
              <w:left w:val="nil"/>
              <w:bottom w:val="single" w:sz="4" w:space="0" w:color="ADD6EA"/>
              <w:right w:val="nil"/>
            </w:tcBorders>
            <w:shd w:val="clear" w:color="auto" w:fill="auto"/>
            <w:hideMark/>
          </w:tcPr>
          <w:p w14:paraId="3446D55E" w14:textId="77777777" w:rsidR="007E365E" w:rsidRPr="00DD6053" w:rsidRDefault="007E365E" w:rsidP="007D1D77">
            <w:pPr>
              <w:keepNext/>
              <w:tabs>
                <w:tab w:val="clear" w:pos="567"/>
              </w:tabs>
              <w:spacing w:before="0" w:line="240" w:lineRule="auto"/>
              <w:rPr>
                <w:rFonts w:eastAsia="Times New Roman" w:cs="Open Sans Light"/>
                <w:sz w:val="16"/>
                <w:szCs w:val="16"/>
                <w:lang w:eastAsia="en-AU"/>
              </w:rPr>
            </w:pPr>
            <w:r w:rsidRPr="00DD6053">
              <w:rPr>
                <w:rFonts w:eastAsia="Times New Roman" w:cs="Open Sans Light"/>
                <w:sz w:val="16"/>
                <w:szCs w:val="16"/>
                <w:lang w:eastAsia="en-AU"/>
              </w:rPr>
              <w:t>National capital</w:t>
            </w:r>
          </w:p>
        </w:tc>
        <w:tc>
          <w:tcPr>
            <w:tcW w:w="4620" w:type="dxa"/>
            <w:tcBorders>
              <w:top w:val="nil"/>
              <w:left w:val="nil"/>
              <w:bottom w:val="single" w:sz="4" w:space="0" w:color="ADD6EA"/>
              <w:right w:val="nil"/>
            </w:tcBorders>
            <w:shd w:val="clear" w:color="auto" w:fill="auto"/>
            <w:hideMark/>
          </w:tcPr>
          <w:p w14:paraId="1C744048" w14:textId="77777777" w:rsidR="007E365E" w:rsidRPr="00DD6053" w:rsidRDefault="007E365E" w:rsidP="007D1D77">
            <w:pPr>
              <w:keepNext/>
              <w:tabs>
                <w:tab w:val="clear" w:pos="567"/>
              </w:tabs>
              <w:spacing w:before="0" w:line="240" w:lineRule="auto"/>
              <w:rPr>
                <w:rFonts w:eastAsia="Times New Roman" w:cs="Open Sans Light"/>
                <w:color w:val="000000"/>
                <w:sz w:val="16"/>
                <w:szCs w:val="16"/>
                <w:lang w:eastAsia="en-AU"/>
              </w:rPr>
            </w:pPr>
            <w:r w:rsidRPr="00DD6053">
              <w:rPr>
                <w:rFonts w:eastAsia="Times New Roman" w:cs="Open Sans Light"/>
                <w:color w:val="000000"/>
                <w:sz w:val="16"/>
                <w:szCs w:val="16"/>
                <w:lang w:eastAsia="en-AU"/>
              </w:rPr>
              <w:t>Recognises the additional costs incurred by the ACT as a result of its reliance on the AFP as the provider of its policing services.</w:t>
            </w:r>
          </w:p>
        </w:tc>
      </w:tr>
      <w:tr w:rsidR="007E365E" w:rsidRPr="00DD6053" w14:paraId="37090F86" w14:textId="77777777" w:rsidTr="007D1D77">
        <w:trPr>
          <w:trHeight w:val="765"/>
        </w:trPr>
        <w:tc>
          <w:tcPr>
            <w:tcW w:w="1124" w:type="dxa"/>
            <w:tcBorders>
              <w:top w:val="nil"/>
              <w:left w:val="nil"/>
              <w:bottom w:val="nil"/>
              <w:right w:val="nil"/>
            </w:tcBorders>
            <w:shd w:val="clear" w:color="auto" w:fill="auto"/>
            <w:hideMark/>
          </w:tcPr>
          <w:p w14:paraId="5B5FAEE6" w14:textId="77777777" w:rsidR="007E365E" w:rsidRPr="00DD6053"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DD6053">
              <w:rPr>
                <w:rFonts w:ascii="Open Sans SemiBold" w:eastAsia="Times New Roman" w:hAnsi="Open Sans SemiBold" w:cs="Open Sans SemiBold"/>
                <w:sz w:val="16"/>
                <w:szCs w:val="16"/>
                <w:lang w:eastAsia="en-AU"/>
              </w:rPr>
              <w:t>Criminal courts</w:t>
            </w:r>
          </w:p>
        </w:tc>
        <w:tc>
          <w:tcPr>
            <w:tcW w:w="1124" w:type="dxa"/>
            <w:tcBorders>
              <w:top w:val="nil"/>
              <w:left w:val="nil"/>
              <w:bottom w:val="nil"/>
              <w:right w:val="nil"/>
            </w:tcBorders>
            <w:shd w:val="clear" w:color="auto" w:fill="auto"/>
            <w:hideMark/>
          </w:tcPr>
          <w:p w14:paraId="00C59B54" w14:textId="77777777" w:rsidR="007E365E" w:rsidRPr="00DD6053" w:rsidRDefault="007E365E" w:rsidP="007D1D77">
            <w:pPr>
              <w:keepNext/>
              <w:tabs>
                <w:tab w:val="clear" w:pos="567"/>
              </w:tabs>
              <w:spacing w:before="0" w:line="240" w:lineRule="auto"/>
              <w:jc w:val="right"/>
              <w:rPr>
                <w:rFonts w:eastAsia="Times New Roman" w:cs="Open Sans Light"/>
                <w:sz w:val="16"/>
                <w:szCs w:val="16"/>
                <w:lang w:eastAsia="en-AU"/>
              </w:rPr>
            </w:pPr>
            <w:r w:rsidRPr="00DD6053">
              <w:rPr>
                <w:rFonts w:eastAsia="Times New Roman" w:cs="Open Sans Light"/>
                <w:sz w:val="16"/>
                <w:szCs w:val="16"/>
                <w:lang w:eastAsia="en-AU"/>
              </w:rPr>
              <w:t>2,869</w:t>
            </w:r>
          </w:p>
        </w:tc>
        <w:tc>
          <w:tcPr>
            <w:tcW w:w="266" w:type="dxa"/>
            <w:tcBorders>
              <w:top w:val="nil"/>
              <w:left w:val="nil"/>
              <w:bottom w:val="nil"/>
              <w:right w:val="nil"/>
            </w:tcBorders>
            <w:shd w:val="clear" w:color="auto" w:fill="auto"/>
            <w:vAlign w:val="bottom"/>
            <w:hideMark/>
          </w:tcPr>
          <w:p w14:paraId="37E49CF7" w14:textId="77777777" w:rsidR="007E365E" w:rsidRPr="00DD6053" w:rsidRDefault="007E365E" w:rsidP="007D1D77">
            <w:pPr>
              <w:keepNext/>
              <w:tabs>
                <w:tab w:val="clear" w:pos="567"/>
              </w:tabs>
              <w:spacing w:before="0" w:line="240" w:lineRule="auto"/>
              <w:jc w:val="right"/>
              <w:rPr>
                <w:rFonts w:eastAsia="Times New Roman" w:cs="Open Sans Light"/>
                <w:sz w:val="16"/>
                <w:szCs w:val="16"/>
                <w:lang w:eastAsia="en-AU"/>
              </w:rPr>
            </w:pPr>
          </w:p>
        </w:tc>
        <w:tc>
          <w:tcPr>
            <w:tcW w:w="1980" w:type="dxa"/>
            <w:tcBorders>
              <w:top w:val="nil"/>
              <w:left w:val="nil"/>
              <w:bottom w:val="nil"/>
              <w:right w:val="nil"/>
            </w:tcBorders>
            <w:shd w:val="clear" w:color="auto" w:fill="auto"/>
            <w:hideMark/>
          </w:tcPr>
          <w:p w14:paraId="58667317" w14:textId="77777777" w:rsidR="007E365E" w:rsidRPr="00DD6053" w:rsidRDefault="007E365E" w:rsidP="007D1D77">
            <w:pPr>
              <w:keepNext/>
              <w:tabs>
                <w:tab w:val="clear" w:pos="567"/>
              </w:tabs>
              <w:spacing w:before="0" w:line="240" w:lineRule="auto"/>
              <w:rPr>
                <w:rFonts w:eastAsia="Times New Roman" w:cs="Open Sans Light"/>
                <w:sz w:val="16"/>
                <w:szCs w:val="16"/>
                <w:lang w:eastAsia="en-AU"/>
              </w:rPr>
            </w:pPr>
            <w:r w:rsidRPr="00DD6053">
              <w:rPr>
                <w:rFonts w:eastAsia="Times New Roman" w:cs="Open Sans Light"/>
                <w:sz w:val="16"/>
                <w:szCs w:val="16"/>
                <w:lang w:eastAsia="en-AU"/>
              </w:rPr>
              <w:t>Socio-demographic composition</w:t>
            </w:r>
          </w:p>
        </w:tc>
        <w:tc>
          <w:tcPr>
            <w:tcW w:w="4620" w:type="dxa"/>
            <w:tcBorders>
              <w:top w:val="nil"/>
              <w:left w:val="nil"/>
              <w:bottom w:val="nil"/>
              <w:right w:val="nil"/>
            </w:tcBorders>
            <w:shd w:val="clear" w:color="auto" w:fill="auto"/>
            <w:hideMark/>
          </w:tcPr>
          <w:p w14:paraId="6D5A29F8" w14:textId="77777777" w:rsidR="007E365E" w:rsidRPr="00DD6053" w:rsidRDefault="007E365E" w:rsidP="007D1D77">
            <w:pPr>
              <w:keepNext/>
              <w:tabs>
                <w:tab w:val="clear" w:pos="567"/>
              </w:tabs>
              <w:spacing w:before="0" w:line="240" w:lineRule="auto"/>
              <w:rPr>
                <w:rFonts w:eastAsia="Times New Roman" w:cs="Open Sans Light"/>
                <w:color w:val="000000"/>
                <w:sz w:val="16"/>
                <w:szCs w:val="16"/>
                <w:lang w:eastAsia="en-AU"/>
              </w:rPr>
            </w:pPr>
            <w:r w:rsidRPr="00DD6053">
              <w:rPr>
                <w:rFonts w:eastAsia="Times New Roman" w:cs="Open Sans Light"/>
                <w:color w:val="000000"/>
                <w:sz w:val="16"/>
                <w:szCs w:val="16"/>
                <w:lang w:eastAsia="en-AU"/>
              </w:rPr>
              <w:t>Recognises that certain population characteristics (Indigenous status, age, and SES) affect the use of criminal court services.</w:t>
            </w:r>
          </w:p>
        </w:tc>
      </w:tr>
      <w:tr w:rsidR="007E365E" w:rsidRPr="00DD6053" w14:paraId="61891763" w14:textId="77777777" w:rsidTr="007D1D77">
        <w:trPr>
          <w:trHeight w:val="510"/>
        </w:trPr>
        <w:tc>
          <w:tcPr>
            <w:tcW w:w="1124" w:type="dxa"/>
            <w:tcBorders>
              <w:top w:val="nil"/>
              <w:left w:val="nil"/>
              <w:bottom w:val="nil"/>
              <w:right w:val="nil"/>
            </w:tcBorders>
            <w:shd w:val="clear" w:color="auto" w:fill="auto"/>
            <w:hideMark/>
          </w:tcPr>
          <w:p w14:paraId="71A5480A" w14:textId="77777777" w:rsidR="007E365E" w:rsidRPr="003D6312" w:rsidRDefault="007E365E" w:rsidP="007D1D77">
            <w:pPr>
              <w:keepNext/>
              <w:tabs>
                <w:tab w:val="clear" w:pos="567"/>
              </w:tabs>
              <w:spacing w:before="0" w:line="240" w:lineRule="auto"/>
              <w:rPr>
                <w:rFonts w:ascii="Open Sans SemiBold" w:eastAsia="Times New Roman" w:hAnsi="Open Sans SemiBold" w:cs="Open Sans SemiBold"/>
                <w:color w:val="000000"/>
                <w:sz w:val="16"/>
                <w:szCs w:val="16"/>
                <w:lang w:eastAsia="en-AU"/>
              </w:rPr>
            </w:pPr>
          </w:p>
        </w:tc>
        <w:tc>
          <w:tcPr>
            <w:tcW w:w="1124" w:type="dxa"/>
            <w:tcBorders>
              <w:top w:val="nil"/>
              <w:left w:val="nil"/>
              <w:bottom w:val="nil"/>
              <w:right w:val="nil"/>
            </w:tcBorders>
            <w:shd w:val="clear" w:color="auto" w:fill="auto"/>
            <w:hideMark/>
          </w:tcPr>
          <w:p w14:paraId="6CC9A8F5" w14:textId="77777777" w:rsidR="007E365E" w:rsidRPr="003D6312" w:rsidRDefault="007E365E" w:rsidP="007D1D77">
            <w:pPr>
              <w:keepNext/>
              <w:tabs>
                <w:tab w:val="clear" w:pos="567"/>
              </w:tabs>
              <w:spacing w:before="0" w:line="240" w:lineRule="auto"/>
              <w:rPr>
                <w:rFonts w:eastAsia="Times New Roman" w:cs="Open Sans Light"/>
                <w:sz w:val="16"/>
                <w:szCs w:val="16"/>
                <w:lang w:eastAsia="en-AU"/>
              </w:rPr>
            </w:pPr>
          </w:p>
        </w:tc>
        <w:tc>
          <w:tcPr>
            <w:tcW w:w="266" w:type="dxa"/>
            <w:tcBorders>
              <w:top w:val="nil"/>
              <w:left w:val="nil"/>
              <w:bottom w:val="nil"/>
              <w:right w:val="nil"/>
            </w:tcBorders>
            <w:shd w:val="clear" w:color="auto" w:fill="auto"/>
            <w:vAlign w:val="bottom"/>
            <w:hideMark/>
          </w:tcPr>
          <w:p w14:paraId="0F63ACA1" w14:textId="77777777" w:rsidR="007E365E" w:rsidRPr="003D6312" w:rsidRDefault="007E365E" w:rsidP="007D1D77">
            <w:pPr>
              <w:keepNext/>
              <w:tabs>
                <w:tab w:val="clear" w:pos="567"/>
              </w:tabs>
              <w:spacing w:before="0" w:line="240" w:lineRule="auto"/>
              <w:rPr>
                <w:rFonts w:eastAsia="Times New Roman" w:cs="Open Sans Light"/>
                <w:sz w:val="16"/>
                <w:szCs w:val="16"/>
                <w:lang w:eastAsia="en-AU"/>
              </w:rPr>
            </w:pPr>
          </w:p>
        </w:tc>
        <w:tc>
          <w:tcPr>
            <w:tcW w:w="1980" w:type="dxa"/>
            <w:tcBorders>
              <w:top w:val="single" w:sz="4" w:space="0" w:color="ADD6EA"/>
              <w:left w:val="nil"/>
              <w:bottom w:val="single" w:sz="4" w:space="0" w:color="ADD6EA"/>
              <w:right w:val="nil"/>
            </w:tcBorders>
            <w:shd w:val="clear" w:color="auto" w:fill="auto"/>
            <w:hideMark/>
          </w:tcPr>
          <w:p w14:paraId="7DE24612" w14:textId="77777777" w:rsidR="007E365E" w:rsidRPr="00DD6053" w:rsidRDefault="007E365E" w:rsidP="007D1D77">
            <w:pPr>
              <w:keepNext/>
              <w:tabs>
                <w:tab w:val="clear" w:pos="567"/>
              </w:tabs>
              <w:spacing w:before="0" w:line="240" w:lineRule="auto"/>
              <w:rPr>
                <w:rFonts w:eastAsia="Times New Roman" w:cs="Open Sans Light"/>
                <w:sz w:val="16"/>
                <w:szCs w:val="16"/>
                <w:lang w:eastAsia="en-AU"/>
              </w:rPr>
            </w:pPr>
            <w:r w:rsidRPr="00DD6053">
              <w:rPr>
                <w:rFonts w:eastAsia="Times New Roman" w:cs="Open Sans Light"/>
                <w:sz w:val="16"/>
                <w:szCs w:val="16"/>
                <w:lang w:eastAsia="en-AU"/>
              </w:rPr>
              <w:t>Regional costs</w:t>
            </w:r>
          </w:p>
        </w:tc>
        <w:tc>
          <w:tcPr>
            <w:tcW w:w="4620" w:type="dxa"/>
            <w:tcBorders>
              <w:top w:val="single" w:sz="4" w:space="0" w:color="ADD6EA"/>
              <w:left w:val="nil"/>
              <w:bottom w:val="single" w:sz="4" w:space="0" w:color="ADD6EA"/>
              <w:right w:val="nil"/>
            </w:tcBorders>
            <w:shd w:val="clear" w:color="auto" w:fill="auto"/>
            <w:hideMark/>
          </w:tcPr>
          <w:p w14:paraId="6CA71979" w14:textId="77777777" w:rsidR="007E365E" w:rsidRPr="00DD6053" w:rsidRDefault="007E365E" w:rsidP="007D1D77">
            <w:pPr>
              <w:keepNext/>
              <w:tabs>
                <w:tab w:val="clear" w:pos="567"/>
              </w:tabs>
              <w:spacing w:before="0" w:line="240" w:lineRule="auto"/>
              <w:rPr>
                <w:rFonts w:eastAsia="Times New Roman" w:cs="Open Sans Light"/>
                <w:color w:val="000000"/>
                <w:sz w:val="16"/>
                <w:szCs w:val="16"/>
                <w:lang w:eastAsia="en-AU"/>
              </w:rPr>
            </w:pPr>
            <w:r w:rsidRPr="00DD6053">
              <w:rPr>
                <w:rFonts w:eastAsia="Times New Roman" w:cs="Open Sans Light"/>
                <w:color w:val="000000"/>
                <w:sz w:val="16"/>
                <w:szCs w:val="16"/>
                <w:lang w:eastAsia="en-AU"/>
              </w:rPr>
              <w:t>Recognises the additional costs of providing services in sparsely populated and remote areas.</w:t>
            </w:r>
          </w:p>
        </w:tc>
      </w:tr>
      <w:tr w:rsidR="007E365E" w:rsidRPr="00DD6053" w14:paraId="715FBCAA" w14:textId="77777777" w:rsidTr="007D1D77">
        <w:trPr>
          <w:trHeight w:val="330"/>
        </w:trPr>
        <w:tc>
          <w:tcPr>
            <w:tcW w:w="1124" w:type="dxa"/>
            <w:tcBorders>
              <w:top w:val="nil"/>
              <w:left w:val="nil"/>
              <w:bottom w:val="single" w:sz="4" w:space="0" w:color="ADD6EA"/>
              <w:right w:val="nil"/>
            </w:tcBorders>
            <w:shd w:val="clear" w:color="auto" w:fill="auto"/>
            <w:hideMark/>
          </w:tcPr>
          <w:p w14:paraId="63532879" w14:textId="77777777" w:rsidR="007E365E" w:rsidRPr="003D6312"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p>
        </w:tc>
        <w:tc>
          <w:tcPr>
            <w:tcW w:w="1124" w:type="dxa"/>
            <w:tcBorders>
              <w:top w:val="nil"/>
              <w:left w:val="nil"/>
              <w:bottom w:val="single" w:sz="4" w:space="0" w:color="ADD6EA"/>
              <w:right w:val="nil"/>
            </w:tcBorders>
            <w:shd w:val="clear" w:color="auto" w:fill="auto"/>
            <w:hideMark/>
          </w:tcPr>
          <w:p w14:paraId="08449F4C" w14:textId="77777777" w:rsidR="007E365E" w:rsidRPr="003D6312" w:rsidRDefault="007E365E" w:rsidP="007D1D77">
            <w:pPr>
              <w:keepNext/>
              <w:tabs>
                <w:tab w:val="clear" w:pos="567"/>
              </w:tabs>
              <w:spacing w:before="0" w:line="240" w:lineRule="auto"/>
              <w:rPr>
                <w:rFonts w:eastAsia="Times New Roman" w:cs="Open Sans Light"/>
                <w:sz w:val="16"/>
                <w:szCs w:val="16"/>
                <w:lang w:eastAsia="en-AU"/>
              </w:rPr>
            </w:pPr>
          </w:p>
        </w:tc>
        <w:tc>
          <w:tcPr>
            <w:tcW w:w="266" w:type="dxa"/>
            <w:tcBorders>
              <w:top w:val="nil"/>
              <w:left w:val="nil"/>
              <w:bottom w:val="single" w:sz="4" w:space="0" w:color="ADD6EA"/>
              <w:right w:val="nil"/>
            </w:tcBorders>
            <w:shd w:val="clear" w:color="auto" w:fill="auto"/>
            <w:vAlign w:val="bottom"/>
            <w:hideMark/>
          </w:tcPr>
          <w:p w14:paraId="4B9FEB51" w14:textId="77777777" w:rsidR="007E365E" w:rsidRPr="003D6312" w:rsidRDefault="007E365E" w:rsidP="007D1D77">
            <w:pPr>
              <w:keepNext/>
              <w:tabs>
                <w:tab w:val="clear" w:pos="567"/>
              </w:tabs>
              <w:spacing w:before="0" w:line="240" w:lineRule="auto"/>
              <w:rPr>
                <w:rFonts w:eastAsia="Times New Roman" w:cs="Open Sans Light"/>
                <w:sz w:val="16"/>
                <w:szCs w:val="16"/>
                <w:lang w:eastAsia="en-AU"/>
              </w:rPr>
            </w:pPr>
          </w:p>
        </w:tc>
        <w:tc>
          <w:tcPr>
            <w:tcW w:w="1980" w:type="dxa"/>
            <w:tcBorders>
              <w:top w:val="nil"/>
              <w:left w:val="nil"/>
              <w:bottom w:val="nil"/>
              <w:right w:val="nil"/>
            </w:tcBorders>
            <w:shd w:val="clear" w:color="auto" w:fill="auto"/>
            <w:hideMark/>
          </w:tcPr>
          <w:p w14:paraId="511371EB" w14:textId="77777777" w:rsidR="007E365E" w:rsidRPr="00DD6053" w:rsidRDefault="007E365E" w:rsidP="007D1D77">
            <w:pPr>
              <w:keepNext/>
              <w:tabs>
                <w:tab w:val="clear" w:pos="567"/>
              </w:tabs>
              <w:spacing w:before="0" w:line="240" w:lineRule="auto"/>
              <w:rPr>
                <w:rFonts w:eastAsia="Times New Roman" w:cs="Open Sans Light"/>
                <w:sz w:val="16"/>
                <w:szCs w:val="16"/>
                <w:lang w:eastAsia="en-AU"/>
              </w:rPr>
            </w:pPr>
            <w:r w:rsidRPr="00DD6053">
              <w:rPr>
                <w:rFonts w:eastAsia="Times New Roman" w:cs="Open Sans Light"/>
                <w:sz w:val="16"/>
                <w:szCs w:val="16"/>
                <w:lang w:eastAsia="en-AU"/>
              </w:rPr>
              <w:t>Wage costs</w:t>
            </w:r>
          </w:p>
        </w:tc>
        <w:tc>
          <w:tcPr>
            <w:tcW w:w="4620" w:type="dxa"/>
            <w:tcBorders>
              <w:top w:val="nil"/>
              <w:left w:val="nil"/>
              <w:bottom w:val="nil"/>
              <w:right w:val="nil"/>
            </w:tcBorders>
            <w:shd w:val="clear" w:color="auto" w:fill="auto"/>
            <w:hideMark/>
          </w:tcPr>
          <w:p w14:paraId="720628FF" w14:textId="77777777" w:rsidR="007E365E" w:rsidRPr="00DD6053" w:rsidRDefault="007E365E" w:rsidP="007D1D77">
            <w:pPr>
              <w:keepNext/>
              <w:tabs>
                <w:tab w:val="clear" w:pos="567"/>
              </w:tabs>
              <w:spacing w:before="0" w:line="240" w:lineRule="auto"/>
              <w:rPr>
                <w:rFonts w:eastAsia="Times New Roman" w:cs="Open Sans Light"/>
                <w:color w:val="000000"/>
                <w:sz w:val="16"/>
                <w:szCs w:val="16"/>
                <w:lang w:eastAsia="en-AU"/>
              </w:rPr>
            </w:pPr>
            <w:r w:rsidRPr="00DD6053">
              <w:rPr>
                <w:rFonts w:eastAsia="Times New Roman" w:cs="Open Sans Light"/>
                <w:color w:val="000000"/>
                <w:sz w:val="16"/>
                <w:szCs w:val="16"/>
                <w:lang w:eastAsia="en-AU"/>
              </w:rPr>
              <w:t>Recognises the difference in wage costs between States.</w:t>
            </w:r>
          </w:p>
        </w:tc>
      </w:tr>
      <w:tr w:rsidR="007E365E" w:rsidRPr="00DD6053" w14:paraId="483BE219" w14:textId="77777777" w:rsidTr="007D1D77">
        <w:trPr>
          <w:trHeight w:val="510"/>
        </w:trPr>
        <w:tc>
          <w:tcPr>
            <w:tcW w:w="1124" w:type="dxa"/>
            <w:tcBorders>
              <w:top w:val="nil"/>
              <w:left w:val="nil"/>
              <w:bottom w:val="nil"/>
              <w:right w:val="nil"/>
            </w:tcBorders>
            <w:shd w:val="clear" w:color="auto" w:fill="auto"/>
            <w:hideMark/>
          </w:tcPr>
          <w:p w14:paraId="00D5B3AF" w14:textId="77777777" w:rsidR="007E365E" w:rsidRPr="00DD6053"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DD6053">
              <w:rPr>
                <w:rFonts w:ascii="Open Sans SemiBold" w:eastAsia="Times New Roman" w:hAnsi="Open Sans SemiBold" w:cs="Open Sans SemiBold"/>
                <w:sz w:val="16"/>
                <w:szCs w:val="16"/>
                <w:lang w:eastAsia="en-AU"/>
              </w:rPr>
              <w:t>Other legal services</w:t>
            </w:r>
          </w:p>
        </w:tc>
        <w:tc>
          <w:tcPr>
            <w:tcW w:w="1124" w:type="dxa"/>
            <w:tcBorders>
              <w:top w:val="nil"/>
              <w:left w:val="nil"/>
              <w:bottom w:val="nil"/>
              <w:right w:val="nil"/>
            </w:tcBorders>
            <w:shd w:val="clear" w:color="auto" w:fill="auto"/>
            <w:hideMark/>
          </w:tcPr>
          <w:p w14:paraId="215ADFAC" w14:textId="77777777" w:rsidR="007E365E" w:rsidRPr="00DD6053" w:rsidRDefault="007E365E" w:rsidP="007D1D77">
            <w:pPr>
              <w:keepNext/>
              <w:tabs>
                <w:tab w:val="clear" w:pos="567"/>
              </w:tabs>
              <w:spacing w:before="0" w:line="240" w:lineRule="auto"/>
              <w:jc w:val="right"/>
              <w:rPr>
                <w:rFonts w:eastAsia="Times New Roman" w:cs="Open Sans Light"/>
                <w:sz w:val="16"/>
                <w:szCs w:val="16"/>
                <w:lang w:eastAsia="en-AU"/>
              </w:rPr>
            </w:pPr>
            <w:r w:rsidRPr="00DD6053">
              <w:rPr>
                <w:rFonts w:eastAsia="Times New Roman" w:cs="Open Sans Light"/>
                <w:sz w:val="16"/>
                <w:szCs w:val="16"/>
                <w:lang w:eastAsia="en-AU"/>
              </w:rPr>
              <w:t>2,388</w:t>
            </w:r>
          </w:p>
        </w:tc>
        <w:tc>
          <w:tcPr>
            <w:tcW w:w="266" w:type="dxa"/>
            <w:tcBorders>
              <w:top w:val="nil"/>
              <w:left w:val="nil"/>
              <w:bottom w:val="nil"/>
              <w:right w:val="nil"/>
            </w:tcBorders>
            <w:shd w:val="clear" w:color="auto" w:fill="auto"/>
            <w:vAlign w:val="bottom"/>
            <w:hideMark/>
          </w:tcPr>
          <w:p w14:paraId="36438B93" w14:textId="77777777" w:rsidR="007E365E" w:rsidRPr="00DD6053" w:rsidRDefault="007E365E" w:rsidP="007D1D77">
            <w:pPr>
              <w:keepNext/>
              <w:tabs>
                <w:tab w:val="clear" w:pos="567"/>
              </w:tabs>
              <w:spacing w:before="0" w:line="240" w:lineRule="auto"/>
              <w:jc w:val="right"/>
              <w:rPr>
                <w:rFonts w:eastAsia="Times New Roman" w:cs="Open Sans Light"/>
                <w:sz w:val="16"/>
                <w:szCs w:val="16"/>
                <w:lang w:eastAsia="en-AU"/>
              </w:rPr>
            </w:pPr>
          </w:p>
        </w:tc>
        <w:tc>
          <w:tcPr>
            <w:tcW w:w="1980" w:type="dxa"/>
            <w:tcBorders>
              <w:top w:val="single" w:sz="4" w:space="0" w:color="ADD6EA"/>
              <w:left w:val="nil"/>
              <w:bottom w:val="single" w:sz="4" w:space="0" w:color="ADD6EA"/>
              <w:right w:val="nil"/>
            </w:tcBorders>
            <w:shd w:val="clear" w:color="auto" w:fill="auto"/>
            <w:hideMark/>
          </w:tcPr>
          <w:p w14:paraId="584E4D52" w14:textId="77777777" w:rsidR="007E365E" w:rsidRPr="00DD6053" w:rsidRDefault="007E365E" w:rsidP="007D1D77">
            <w:pPr>
              <w:keepNext/>
              <w:tabs>
                <w:tab w:val="clear" w:pos="567"/>
              </w:tabs>
              <w:spacing w:before="0" w:line="240" w:lineRule="auto"/>
              <w:rPr>
                <w:rFonts w:eastAsia="Times New Roman" w:cs="Open Sans Light"/>
                <w:sz w:val="16"/>
                <w:szCs w:val="16"/>
                <w:lang w:eastAsia="en-AU"/>
              </w:rPr>
            </w:pPr>
            <w:r w:rsidRPr="00DD6053">
              <w:rPr>
                <w:rFonts w:eastAsia="Times New Roman" w:cs="Open Sans Light"/>
                <w:sz w:val="16"/>
                <w:szCs w:val="16"/>
                <w:lang w:eastAsia="en-AU"/>
              </w:rPr>
              <w:t>Regional costs</w:t>
            </w:r>
          </w:p>
        </w:tc>
        <w:tc>
          <w:tcPr>
            <w:tcW w:w="4620" w:type="dxa"/>
            <w:tcBorders>
              <w:top w:val="single" w:sz="4" w:space="0" w:color="ADD6EA"/>
              <w:left w:val="nil"/>
              <w:bottom w:val="single" w:sz="4" w:space="0" w:color="ADD6EA"/>
              <w:right w:val="nil"/>
            </w:tcBorders>
            <w:shd w:val="clear" w:color="auto" w:fill="auto"/>
            <w:hideMark/>
          </w:tcPr>
          <w:p w14:paraId="4EF92CE3" w14:textId="77777777" w:rsidR="007E365E" w:rsidRPr="00DD6053" w:rsidRDefault="007E365E" w:rsidP="007D1D77">
            <w:pPr>
              <w:keepNext/>
              <w:tabs>
                <w:tab w:val="clear" w:pos="567"/>
              </w:tabs>
              <w:spacing w:before="0" w:line="240" w:lineRule="auto"/>
              <w:rPr>
                <w:rFonts w:eastAsia="Times New Roman" w:cs="Open Sans Light"/>
                <w:color w:val="000000"/>
                <w:sz w:val="16"/>
                <w:szCs w:val="16"/>
                <w:lang w:eastAsia="en-AU"/>
              </w:rPr>
            </w:pPr>
            <w:r w:rsidRPr="00DD6053">
              <w:rPr>
                <w:rFonts w:eastAsia="Times New Roman" w:cs="Open Sans Light"/>
                <w:color w:val="000000"/>
                <w:sz w:val="16"/>
                <w:szCs w:val="16"/>
                <w:lang w:eastAsia="en-AU"/>
              </w:rPr>
              <w:t>Recognises the additional costs of providing some services in sparsely populated and remote areas.</w:t>
            </w:r>
          </w:p>
        </w:tc>
      </w:tr>
      <w:tr w:rsidR="007E365E" w:rsidRPr="00DD6053" w14:paraId="6E01A9CB" w14:textId="77777777" w:rsidTr="007D1D77">
        <w:trPr>
          <w:trHeight w:val="255"/>
        </w:trPr>
        <w:tc>
          <w:tcPr>
            <w:tcW w:w="1124" w:type="dxa"/>
            <w:tcBorders>
              <w:top w:val="nil"/>
              <w:left w:val="nil"/>
              <w:bottom w:val="single" w:sz="4" w:space="0" w:color="ADD6EA"/>
              <w:right w:val="nil"/>
            </w:tcBorders>
            <w:shd w:val="clear" w:color="auto" w:fill="auto"/>
            <w:hideMark/>
          </w:tcPr>
          <w:p w14:paraId="3C5DA68F" w14:textId="77777777" w:rsidR="007E365E" w:rsidRPr="00DD6053" w:rsidRDefault="007E365E" w:rsidP="007D1D77">
            <w:pPr>
              <w:keepNext/>
              <w:tabs>
                <w:tab w:val="clear" w:pos="567"/>
              </w:tabs>
              <w:spacing w:before="0" w:line="240" w:lineRule="auto"/>
              <w:rPr>
                <w:rFonts w:ascii="Open Sans SemiBold" w:eastAsia="Times New Roman" w:hAnsi="Open Sans SemiBold" w:cs="Open Sans SemiBold"/>
                <w:color w:val="000000"/>
                <w:sz w:val="16"/>
                <w:szCs w:val="16"/>
                <w:lang w:eastAsia="en-AU"/>
              </w:rPr>
            </w:pPr>
          </w:p>
        </w:tc>
        <w:tc>
          <w:tcPr>
            <w:tcW w:w="1124" w:type="dxa"/>
            <w:tcBorders>
              <w:top w:val="nil"/>
              <w:left w:val="nil"/>
              <w:bottom w:val="single" w:sz="4" w:space="0" w:color="ADD6EA"/>
              <w:right w:val="nil"/>
            </w:tcBorders>
            <w:shd w:val="clear" w:color="auto" w:fill="auto"/>
            <w:hideMark/>
          </w:tcPr>
          <w:p w14:paraId="6FCB8EBE" w14:textId="77777777" w:rsidR="007E365E" w:rsidRPr="003D6312" w:rsidRDefault="007E365E" w:rsidP="007D1D77">
            <w:pPr>
              <w:keepNext/>
              <w:tabs>
                <w:tab w:val="clear" w:pos="567"/>
              </w:tabs>
              <w:spacing w:before="0" w:line="240" w:lineRule="auto"/>
              <w:rPr>
                <w:rFonts w:eastAsia="Times New Roman" w:cs="Open Sans Light"/>
                <w:sz w:val="16"/>
                <w:szCs w:val="16"/>
                <w:lang w:eastAsia="en-AU"/>
              </w:rPr>
            </w:pPr>
          </w:p>
        </w:tc>
        <w:tc>
          <w:tcPr>
            <w:tcW w:w="266" w:type="dxa"/>
            <w:tcBorders>
              <w:top w:val="nil"/>
              <w:left w:val="nil"/>
              <w:bottom w:val="single" w:sz="4" w:space="0" w:color="ADD6EA"/>
              <w:right w:val="nil"/>
            </w:tcBorders>
            <w:shd w:val="clear" w:color="auto" w:fill="auto"/>
            <w:vAlign w:val="center"/>
            <w:hideMark/>
          </w:tcPr>
          <w:p w14:paraId="6F300435" w14:textId="77777777" w:rsidR="007E365E" w:rsidRPr="003D6312" w:rsidRDefault="007E365E" w:rsidP="007D1D77">
            <w:pPr>
              <w:keepNext/>
              <w:tabs>
                <w:tab w:val="clear" w:pos="567"/>
              </w:tabs>
              <w:spacing w:before="0" w:line="240" w:lineRule="auto"/>
              <w:jc w:val="right"/>
              <w:rPr>
                <w:rFonts w:eastAsia="Times New Roman" w:cs="Open Sans Light"/>
                <w:sz w:val="16"/>
                <w:szCs w:val="16"/>
                <w:lang w:eastAsia="en-AU"/>
              </w:rPr>
            </w:pPr>
            <w:r w:rsidRPr="003D6312">
              <w:rPr>
                <w:rFonts w:eastAsia="Times New Roman" w:cs="Open Sans Light"/>
                <w:sz w:val="16"/>
                <w:szCs w:val="16"/>
                <w:lang w:eastAsia="en-AU"/>
              </w:rPr>
              <w:t> </w:t>
            </w:r>
          </w:p>
        </w:tc>
        <w:tc>
          <w:tcPr>
            <w:tcW w:w="1980" w:type="dxa"/>
            <w:tcBorders>
              <w:top w:val="nil"/>
              <w:left w:val="nil"/>
              <w:bottom w:val="single" w:sz="4" w:space="0" w:color="ADD6EA"/>
              <w:right w:val="nil"/>
            </w:tcBorders>
            <w:shd w:val="clear" w:color="auto" w:fill="auto"/>
            <w:hideMark/>
          </w:tcPr>
          <w:p w14:paraId="201E68C1" w14:textId="77777777" w:rsidR="007E365E" w:rsidRPr="00DD6053" w:rsidRDefault="007E365E" w:rsidP="007D1D77">
            <w:pPr>
              <w:keepNext/>
              <w:tabs>
                <w:tab w:val="clear" w:pos="567"/>
              </w:tabs>
              <w:spacing w:before="0" w:line="240" w:lineRule="auto"/>
              <w:rPr>
                <w:rFonts w:eastAsia="Times New Roman" w:cs="Open Sans Light"/>
                <w:sz w:val="16"/>
                <w:szCs w:val="16"/>
                <w:lang w:eastAsia="en-AU"/>
              </w:rPr>
            </w:pPr>
            <w:r w:rsidRPr="00DD6053">
              <w:rPr>
                <w:rFonts w:eastAsia="Times New Roman" w:cs="Open Sans Light"/>
                <w:sz w:val="16"/>
                <w:szCs w:val="16"/>
                <w:lang w:eastAsia="en-AU"/>
              </w:rPr>
              <w:t>Wage costs</w:t>
            </w:r>
          </w:p>
        </w:tc>
        <w:tc>
          <w:tcPr>
            <w:tcW w:w="4620" w:type="dxa"/>
            <w:tcBorders>
              <w:top w:val="nil"/>
              <w:left w:val="nil"/>
              <w:bottom w:val="single" w:sz="4" w:space="0" w:color="ADD6EA"/>
              <w:right w:val="nil"/>
            </w:tcBorders>
            <w:shd w:val="clear" w:color="auto" w:fill="auto"/>
            <w:hideMark/>
          </w:tcPr>
          <w:p w14:paraId="49A5858F" w14:textId="77777777" w:rsidR="007E365E" w:rsidRPr="00DD6053" w:rsidRDefault="007E365E" w:rsidP="007D1D77">
            <w:pPr>
              <w:keepNext/>
              <w:tabs>
                <w:tab w:val="clear" w:pos="567"/>
              </w:tabs>
              <w:spacing w:before="0" w:line="240" w:lineRule="auto"/>
              <w:rPr>
                <w:rFonts w:eastAsia="Times New Roman" w:cs="Open Sans Light"/>
                <w:color w:val="000000"/>
                <w:sz w:val="16"/>
                <w:szCs w:val="16"/>
                <w:lang w:eastAsia="en-AU"/>
              </w:rPr>
            </w:pPr>
            <w:r w:rsidRPr="00DD6053">
              <w:rPr>
                <w:rFonts w:eastAsia="Times New Roman" w:cs="Open Sans Light"/>
                <w:color w:val="000000"/>
                <w:sz w:val="16"/>
                <w:szCs w:val="16"/>
                <w:lang w:eastAsia="en-AU"/>
              </w:rPr>
              <w:t>Recognises the difference in wage costs between States.</w:t>
            </w:r>
          </w:p>
        </w:tc>
      </w:tr>
      <w:tr w:rsidR="007E365E" w:rsidRPr="00DD6053" w14:paraId="39184E67" w14:textId="77777777" w:rsidTr="007D1D77">
        <w:trPr>
          <w:trHeight w:val="581"/>
        </w:trPr>
        <w:tc>
          <w:tcPr>
            <w:tcW w:w="1124" w:type="dxa"/>
            <w:tcBorders>
              <w:top w:val="nil"/>
              <w:left w:val="nil"/>
              <w:bottom w:val="nil"/>
              <w:right w:val="nil"/>
            </w:tcBorders>
            <w:shd w:val="clear" w:color="auto" w:fill="auto"/>
            <w:hideMark/>
          </w:tcPr>
          <w:p w14:paraId="50DBD1B2" w14:textId="77777777" w:rsidR="007E365E" w:rsidRPr="00DD6053"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DD6053">
              <w:rPr>
                <w:rFonts w:ascii="Open Sans SemiBold" w:eastAsia="Times New Roman" w:hAnsi="Open Sans SemiBold" w:cs="Open Sans SemiBold"/>
                <w:sz w:val="16"/>
                <w:szCs w:val="16"/>
                <w:lang w:eastAsia="en-AU"/>
              </w:rPr>
              <w:t>Prisons</w:t>
            </w:r>
          </w:p>
        </w:tc>
        <w:tc>
          <w:tcPr>
            <w:tcW w:w="1124" w:type="dxa"/>
            <w:tcBorders>
              <w:top w:val="nil"/>
              <w:left w:val="nil"/>
              <w:bottom w:val="nil"/>
              <w:right w:val="nil"/>
            </w:tcBorders>
            <w:shd w:val="clear" w:color="auto" w:fill="auto"/>
            <w:hideMark/>
          </w:tcPr>
          <w:p w14:paraId="1C088ABC" w14:textId="77777777" w:rsidR="007E365E" w:rsidRPr="00DD6053" w:rsidRDefault="007E365E" w:rsidP="007D1D77">
            <w:pPr>
              <w:keepNext/>
              <w:tabs>
                <w:tab w:val="clear" w:pos="567"/>
              </w:tabs>
              <w:spacing w:before="0" w:line="240" w:lineRule="auto"/>
              <w:jc w:val="right"/>
              <w:rPr>
                <w:rFonts w:eastAsia="Times New Roman" w:cs="Open Sans Light"/>
                <w:sz w:val="16"/>
                <w:szCs w:val="16"/>
                <w:lang w:eastAsia="en-AU"/>
              </w:rPr>
            </w:pPr>
            <w:r w:rsidRPr="00DD6053">
              <w:rPr>
                <w:rFonts w:eastAsia="Times New Roman" w:cs="Open Sans Light"/>
                <w:sz w:val="16"/>
                <w:szCs w:val="16"/>
                <w:lang w:eastAsia="en-AU"/>
              </w:rPr>
              <w:t>5,493</w:t>
            </w:r>
          </w:p>
        </w:tc>
        <w:tc>
          <w:tcPr>
            <w:tcW w:w="266" w:type="dxa"/>
            <w:tcBorders>
              <w:top w:val="nil"/>
              <w:left w:val="nil"/>
              <w:bottom w:val="nil"/>
              <w:right w:val="nil"/>
            </w:tcBorders>
            <w:shd w:val="clear" w:color="auto" w:fill="auto"/>
            <w:vAlign w:val="bottom"/>
            <w:hideMark/>
          </w:tcPr>
          <w:p w14:paraId="0EBF0573" w14:textId="77777777" w:rsidR="007E365E" w:rsidRPr="00DD6053" w:rsidRDefault="007E365E" w:rsidP="007D1D77">
            <w:pPr>
              <w:keepNext/>
              <w:tabs>
                <w:tab w:val="clear" w:pos="567"/>
              </w:tabs>
              <w:spacing w:before="0" w:line="240" w:lineRule="auto"/>
              <w:jc w:val="right"/>
              <w:rPr>
                <w:rFonts w:eastAsia="Times New Roman" w:cs="Open Sans Light"/>
                <w:sz w:val="16"/>
                <w:szCs w:val="16"/>
                <w:lang w:eastAsia="en-AU"/>
              </w:rPr>
            </w:pPr>
          </w:p>
        </w:tc>
        <w:tc>
          <w:tcPr>
            <w:tcW w:w="1980" w:type="dxa"/>
            <w:tcBorders>
              <w:top w:val="nil"/>
              <w:left w:val="nil"/>
              <w:bottom w:val="nil"/>
              <w:right w:val="nil"/>
            </w:tcBorders>
            <w:shd w:val="clear" w:color="auto" w:fill="auto"/>
            <w:hideMark/>
          </w:tcPr>
          <w:p w14:paraId="5140B444" w14:textId="77777777" w:rsidR="007E365E" w:rsidRPr="00DD6053" w:rsidRDefault="007E365E" w:rsidP="007D1D77">
            <w:pPr>
              <w:keepNext/>
              <w:tabs>
                <w:tab w:val="clear" w:pos="567"/>
              </w:tabs>
              <w:spacing w:before="0" w:line="240" w:lineRule="auto"/>
              <w:rPr>
                <w:rFonts w:eastAsia="Times New Roman" w:cs="Open Sans Light"/>
                <w:sz w:val="16"/>
                <w:szCs w:val="16"/>
                <w:lang w:eastAsia="en-AU"/>
              </w:rPr>
            </w:pPr>
            <w:r w:rsidRPr="00DD6053">
              <w:rPr>
                <w:rFonts w:eastAsia="Times New Roman" w:cs="Open Sans Light"/>
                <w:sz w:val="16"/>
                <w:szCs w:val="16"/>
                <w:lang w:eastAsia="en-AU"/>
              </w:rPr>
              <w:t>Socio-demographic composition</w:t>
            </w:r>
          </w:p>
        </w:tc>
        <w:tc>
          <w:tcPr>
            <w:tcW w:w="4620" w:type="dxa"/>
            <w:tcBorders>
              <w:top w:val="nil"/>
              <w:left w:val="nil"/>
              <w:bottom w:val="nil"/>
              <w:right w:val="nil"/>
            </w:tcBorders>
            <w:shd w:val="clear" w:color="auto" w:fill="auto"/>
            <w:hideMark/>
          </w:tcPr>
          <w:p w14:paraId="3A5063FA" w14:textId="77777777" w:rsidR="007E365E" w:rsidRPr="00DD6053" w:rsidRDefault="007E365E" w:rsidP="007D1D77">
            <w:pPr>
              <w:keepNext/>
              <w:tabs>
                <w:tab w:val="clear" w:pos="567"/>
              </w:tabs>
              <w:spacing w:before="0" w:line="240" w:lineRule="auto"/>
              <w:rPr>
                <w:rFonts w:eastAsia="Times New Roman" w:cs="Open Sans Light"/>
                <w:color w:val="000000"/>
                <w:sz w:val="16"/>
                <w:szCs w:val="16"/>
                <w:lang w:eastAsia="en-AU"/>
              </w:rPr>
            </w:pPr>
            <w:r w:rsidRPr="00DD6053">
              <w:rPr>
                <w:rFonts w:eastAsia="Times New Roman" w:cs="Open Sans Light"/>
                <w:color w:val="000000"/>
                <w:sz w:val="16"/>
                <w:szCs w:val="16"/>
                <w:lang w:eastAsia="en-AU"/>
              </w:rPr>
              <w:t>Recognises that certain population characteristics affect the use of services, for example, Indigenous status, age, and SES.</w:t>
            </w:r>
          </w:p>
        </w:tc>
      </w:tr>
      <w:tr w:rsidR="007E365E" w:rsidRPr="00DD6053" w14:paraId="28D035EE" w14:textId="77777777" w:rsidTr="007D1D77">
        <w:trPr>
          <w:trHeight w:val="510"/>
        </w:trPr>
        <w:tc>
          <w:tcPr>
            <w:tcW w:w="1124" w:type="dxa"/>
            <w:tcBorders>
              <w:top w:val="nil"/>
              <w:left w:val="nil"/>
              <w:bottom w:val="nil"/>
              <w:right w:val="nil"/>
            </w:tcBorders>
            <w:shd w:val="clear" w:color="auto" w:fill="auto"/>
            <w:hideMark/>
          </w:tcPr>
          <w:p w14:paraId="7484A46D" w14:textId="77777777" w:rsidR="007E365E" w:rsidRPr="003D6312" w:rsidRDefault="007E365E" w:rsidP="007D1D77">
            <w:pPr>
              <w:keepNext/>
              <w:tabs>
                <w:tab w:val="clear" w:pos="567"/>
              </w:tabs>
              <w:spacing w:before="0" w:line="240" w:lineRule="auto"/>
              <w:rPr>
                <w:rFonts w:ascii="Open Sans SemiBold" w:eastAsia="Times New Roman" w:hAnsi="Open Sans SemiBold" w:cs="Open Sans SemiBold"/>
                <w:color w:val="000000"/>
                <w:sz w:val="16"/>
                <w:szCs w:val="16"/>
                <w:lang w:eastAsia="en-AU"/>
              </w:rPr>
            </w:pPr>
          </w:p>
        </w:tc>
        <w:tc>
          <w:tcPr>
            <w:tcW w:w="1124" w:type="dxa"/>
            <w:tcBorders>
              <w:top w:val="nil"/>
              <w:left w:val="nil"/>
              <w:bottom w:val="nil"/>
              <w:right w:val="nil"/>
            </w:tcBorders>
            <w:shd w:val="clear" w:color="auto" w:fill="auto"/>
            <w:hideMark/>
          </w:tcPr>
          <w:p w14:paraId="1FA4CFBA" w14:textId="77777777" w:rsidR="007E365E" w:rsidRPr="003D6312" w:rsidRDefault="007E365E" w:rsidP="007D1D77">
            <w:pPr>
              <w:keepNext/>
              <w:tabs>
                <w:tab w:val="clear" w:pos="567"/>
              </w:tabs>
              <w:spacing w:before="0" w:line="240" w:lineRule="auto"/>
              <w:rPr>
                <w:rFonts w:eastAsia="Times New Roman" w:cs="Open Sans Light"/>
                <w:sz w:val="16"/>
                <w:szCs w:val="16"/>
                <w:lang w:eastAsia="en-AU"/>
              </w:rPr>
            </w:pPr>
          </w:p>
        </w:tc>
        <w:tc>
          <w:tcPr>
            <w:tcW w:w="266" w:type="dxa"/>
            <w:tcBorders>
              <w:top w:val="nil"/>
              <w:left w:val="nil"/>
              <w:bottom w:val="nil"/>
              <w:right w:val="nil"/>
            </w:tcBorders>
            <w:shd w:val="clear" w:color="auto" w:fill="auto"/>
            <w:vAlign w:val="bottom"/>
            <w:hideMark/>
          </w:tcPr>
          <w:p w14:paraId="10C1DC3A" w14:textId="77777777" w:rsidR="007E365E" w:rsidRPr="003D6312" w:rsidRDefault="007E365E" w:rsidP="007D1D77">
            <w:pPr>
              <w:keepNext/>
              <w:tabs>
                <w:tab w:val="clear" w:pos="567"/>
              </w:tabs>
              <w:spacing w:before="0" w:line="240" w:lineRule="auto"/>
              <w:rPr>
                <w:rFonts w:eastAsia="Times New Roman" w:cs="Open Sans Light"/>
                <w:sz w:val="16"/>
                <w:szCs w:val="16"/>
                <w:lang w:eastAsia="en-AU"/>
              </w:rPr>
            </w:pPr>
          </w:p>
        </w:tc>
        <w:tc>
          <w:tcPr>
            <w:tcW w:w="1980" w:type="dxa"/>
            <w:tcBorders>
              <w:top w:val="single" w:sz="4" w:space="0" w:color="ADD6EA"/>
              <w:left w:val="nil"/>
              <w:bottom w:val="single" w:sz="4" w:space="0" w:color="ADD6EA"/>
              <w:right w:val="nil"/>
            </w:tcBorders>
            <w:shd w:val="clear" w:color="auto" w:fill="auto"/>
            <w:hideMark/>
          </w:tcPr>
          <w:p w14:paraId="782A65BF" w14:textId="77777777" w:rsidR="007E365E" w:rsidRPr="00DD6053" w:rsidRDefault="007E365E" w:rsidP="007D1D77">
            <w:pPr>
              <w:keepNext/>
              <w:tabs>
                <w:tab w:val="clear" w:pos="567"/>
              </w:tabs>
              <w:spacing w:before="0" w:line="240" w:lineRule="auto"/>
              <w:rPr>
                <w:rFonts w:eastAsia="Times New Roman" w:cs="Open Sans Light"/>
                <w:sz w:val="16"/>
                <w:szCs w:val="16"/>
                <w:lang w:eastAsia="en-AU"/>
              </w:rPr>
            </w:pPr>
            <w:r w:rsidRPr="00DD6053">
              <w:rPr>
                <w:rFonts w:eastAsia="Times New Roman" w:cs="Open Sans Light"/>
                <w:sz w:val="16"/>
                <w:szCs w:val="16"/>
                <w:lang w:eastAsia="en-AU"/>
              </w:rPr>
              <w:t>Regional costs</w:t>
            </w:r>
          </w:p>
        </w:tc>
        <w:tc>
          <w:tcPr>
            <w:tcW w:w="4620" w:type="dxa"/>
            <w:tcBorders>
              <w:top w:val="single" w:sz="4" w:space="0" w:color="ADD6EA"/>
              <w:left w:val="nil"/>
              <w:bottom w:val="single" w:sz="4" w:space="0" w:color="ADD6EA"/>
              <w:right w:val="nil"/>
            </w:tcBorders>
            <w:shd w:val="clear" w:color="auto" w:fill="auto"/>
            <w:hideMark/>
          </w:tcPr>
          <w:p w14:paraId="0D8E57EF" w14:textId="77777777" w:rsidR="007E365E" w:rsidRPr="00DD6053" w:rsidRDefault="007E365E" w:rsidP="007D1D77">
            <w:pPr>
              <w:keepNext/>
              <w:tabs>
                <w:tab w:val="clear" w:pos="567"/>
              </w:tabs>
              <w:spacing w:before="0" w:line="240" w:lineRule="auto"/>
              <w:rPr>
                <w:rFonts w:eastAsia="Times New Roman" w:cs="Open Sans Light"/>
                <w:color w:val="000000"/>
                <w:sz w:val="16"/>
                <w:szCs w:val="16"/>
                <w:lang w:eastAsia="en-AU"/>
              </w:rPr>
            </w:pPr>
            <w:r w:rsidRPr="00DD6053">
              <w:rPr>
                <w:rFonts w:eastAsia="Times New Roman" w:cs="Open Sans Light"/>
                <w:color w:val="000000"/>
                <w:sz w:val="16"/>
                <w:szCs w:val="16"/>
                <w:lang w:eastAsia="en-AU"/>
              </w:rPr>
              <w:t>Recognises the additional costs of providing services in remote areas.</w:t>
            </w:r>
          </w:p>
        </w:tc>
      </w:tr>
      <w:tr w:rsidR="007E365E" w:rsidRPr="00DD6053" w14:paraId="6F9D2931" w14:textId="77777777" w:rsidTr="007D1D77">
        <w:trPr>
          <w:trHeight w:val="255"/>
        </w:trPr>
        <w:tc>
          <w:tcPr>
            <w:tcW w:w="1124" w:type="dxa"/>
            <w:tcBorders>
              <w:top w:val="nil"/>
              <w:left w:val="nil"/>
              <w:bottom w:val="single" w:sz="4" w:space="0" w:color="ADD6EA"/>
              <w:right w:val="nil"/>
            </w:tcBorders>
            <w:shd w:val="clear" w:color="auto" w:fill="auto"/>
            <w:vAlign w:val="center"/>
            <w:hideMark/>
          </w:tcPr>
          <w:p w14:paraId="56B1B796" w14:textId="77777777" w:rsidR="007E365E" w:rsidRPr="00DD6053"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p>
        </w:tc>
        <w:tc>
          <w:tcPr>
            <w:tcW w:w="1124" w:type="dxa"/>
            <w:tcBorders>
              <w:top w:val="nil"/>
              <w:left w:val="nil"/>
              <w:bottom w:val="single" w:sz="4" w:space="0" w:color="ADD6EA"/>
              <w:right w:val="nil"/>
            </w:tcBorders>
            <w:shd w:val="clear" w:color="auto" w:fill="auto"/>
            <w:noWrap/>
            <w:vAlign w:val="center"/>
            <w:hideMark/>
          </w:tcPr>
          <w:p w14:paraId="7ADCE44F" w14:textId="77777777" w:rsidR="007E365E" w:rsidRPr="00DD6053" w:rsidRDefault="007E365E" w:rsidP="007D1D77">
            <w:pPr>
              <w:keepNext/>
              <w:tabs>
                <w:tab w:val="clear" w:pos="567"/>
              </w:tabs>
              <w:spacing w:before="0" w:line="240" w:lineRule="auto"/>
              <w:rPr>
                <w:rFonts w:eastAsia="Times New Roman" w:cs="Open Sans Light"/>
                <w:sz w:val="16"/>
                <w:szCs w:val="16"/>
                <w:lang w:eastAsia="en-AU"/>
              </w:rPr>
            </w:pPr>
          </w:p>
        </w:tc>
        <w:tc>
          <w:tcPr>
            <w:tcW w:w="266" w:type="dxa"/>
            <w:tcBorders>
              <w:top w:val="nil"/>
              <w:left w:val="nil"/>
              <w:bottom w:val="single" w:sz="4" w:space="0" w:color="ADD6EA"/>
              <w:right w:val="nil"/>
            </w:tcBorders>
            <w:shd w:val="clear" w:color="auto" w:fill="auto"/>
            <w:vAlign w:val="center"/>
            <w:hideMark/>
          </w:tcPr>
          <w:p w14:paraId="072F9D58" w14:textId="77777777" w:rsidR="007E365E" w:rsidRPr="00DD6053" w:rsidRDefault="007E365E" w:rsidP="007D1D77">
            <w:pPr>
              <w:keepNext/>
              <w:tabs>
                <w:tab w:val="clear" w:pos="567"/>
              </w:tabs>
              <w:spacing w:before="0" w:line="240" w:lineRule="auto"/>
              <w:rPr>
                <w:rFonts w:eastAsia="Times New Roman" w:cs="Open Sans Light"/>
                <w:sz w:val="16"/>
                <w:szCs w:val="16"/>
                <w:lang w:eastAsia="en-AU"/>
              </w:rPr>
            </w:pPr>
          </w:p>
        </w:tc>
        <w:tc>
          <w:tcPr>
            <w:tcW w:w="1980" w:type="dxa"/>
            <w:tcBorders>
              <w:top w:val="nil"/>
              <w:left w:val="nil"/>
              <w:bottom w:val="single" w:sz="4" w:space="0" w:color="ADD6EA"/>
              <w:right w:val="nil"/>
            </w:tcBorders>
            <w:shd w:val="clear" w:color="auto" w:fill="auto"/>
            <w:hideMark/>
          </w:tcPr>
          <w:p w14:paraId="48B3E926" w14:textId="77777777" w:rsidR="007E365E" w:rsidRPr="00DD6053" w:rsidRDefault="007E365E" w:rsidP="007D1D77">
            <w:pPr>
              <w:keepNext/>
              <w:tabs>
                <w:tab w:val="clear" w:pos="567"/>
              </w:tabs>
              <w:spacing w:before="0" w:line="240" w:lineRule="auto"/>
              <w:rPr>
                <w:rFonts w:eastAsia="Times New Roman" w:cs="Open Sans Light"/>
                <w:sz w:val="16"/>
                <w:szCs w:val="16"/>
                <w:lang w:eastAsia="en-AU"/>
              </w:rPr>
            </w:pPr>
            <w:r w:rsidRPr="00DD6053">
              <w:rPr>
                <w:rFonts w:eastAsia="Times New Roman" w:cs="Open Sans Light"/>
                <w:sz w:val="16"/>
                <w:szCs w:val="16"/>
                <w:lang w:eastAsia="en-AU"/>
              </w:rPr>
              <w:t>Wage costs</w:t>
            </w:r>
          </w:p>
        </w:tc>
        <w:tc>
          <w:tcPr>
            <w:tcW w:w="4620" w:type="dxa"/>
            <w:tcBorders>
              <w:top w:val="nil"/>
              <w:left w:val="nil"/>
              <w:bottom w:val="single" w:sz="4" w:space="0" w:color="ADD6EA"/>
              <w:right w:val="nil"/>
            </w:tcBorders>
            <w:shd w:val="clear" w:color="auto" w:fill="auto"/>
            <w:hideMark/>
          </w:tcPr>
          <w:p w14:paraId="390428C7" w14:textId="77777777" w:rsidR="007E365E" w:rsidRPr="00DD6053" w:rsidRDefault="007E365E" w:rsidP="007D1D77">
            <w:pPr>
              <w:keepNext/>
              <w:tabs>
                <w:tab w:val="clear" w:pos="567"/>
              </w:tabs>
              <w:spacing w:before="0" w:line="240" w:lineRule="auto"/>
              <w:rPr>
                <w:rFonts w:eastAsia="Times New Roman" w:cs="Open Sans Light"/>
                <w:color w:val="000000"/>
                <w:sz w:val="16"/>
                <w:szCs w:val="16"/>
                <w:lang w:eastAsia="en-AU"/>
              </w:rPr>
            </w:pPr>
            <w:r w:rsidRPr="00DD6053">
              <w:rPr>
                <w:rFonts w:eastAsia="Times New Roman" w:cs="Open Sans Light"/>
                <w:color w:val="000000"/>
                <w:sz w:val="16"/>
                <w:szCs w:val="16"/>
                <w:lang w:eastAsia="en-AU"/>
              </w:rPr>
              <w:t>Recognises the difference in wage costs between States.</w:t>
            </w:r>
          </w:p>
        </w:tc>
      </w:tr>
    </w:tbl>
    <w:p w14:paraId="7B4220E7" w14:textId="77777777" w:rsidR="007E365E" w:rsidRPr="00173B02" w:rsidRDefault="007E365E" w:rsidP="007E365E">
      <w:pPr>
        <w:pStyle w:val="CGCTablenote"/>
        <w:keepNext/>
        <w:keepLines/>
      </w:pPr>
      <w:r w:rsidRPr="00173B02">
        <w:t>Source:</w:t>
      </w:r>
      <w:r w:rsidRPr="00173B02">
        <w:tab/>
        <w:t>Commission calculation using ABS GFS and State budget data.</w:t>
      </w:r>
    </w:p>
    <w:p w14:paraId="32F53189" w14:textId="77777777" w:rsidR="007E365E" w:rsidRPr="00173B02" w:rsidRDefault="007E365E" w:rsidP="007E365E">
      <w:pPr>
        <w:pStyle w:val="Heading4"/>
      </w:pPr>
      <w:bookmarkStart w:id="20" w:name="_Toc23500151"/>
      <w:r w:rsidRPr="00173B02">
        <w:t>Category and component expenses</w:t>
      </w:r>
      <w:bookmarkEnd w:id="20"/>
    </w:p>
    <w:p w14:paraId="037A12BD" w14:textId="77777777" w:rsidR="007E365E" w:rsidRPr="00173B02" w:rsidRDefault="007E365E" w:rsidP="007E365E">
      <w:pPr>
        <w:pStyle w:val="CGCParaNumber"/>
      </w:pPr>
      <w:r w:rsidRPr="00173B02">
        <w:t xml:space="preserve">The main data sources for calculating category and component expenses are </w:t>
      </w:r>
      <w:r>
        <w:t>A</w:t>
      </w:r>
      <w:r w:rsidRPr="00302BC8">
        <w:t xml:space="preserve">ustralian </w:t>
      </w:r>
      <w:r>
        <w:t>B</w:t>
      </w:r>
      <w:r w:rsidRPr="00302BC8">
        <w:t xml:space="preserve">ureau of </w:t>
      </w:r>
      <w:r>
        <w:t>S</w:t>
      </w:r>
      <w:r w:rsidRPr="00302BC8">
        <w:t>tatistics</w:t>
      </w:r>
      <w:r>
        <w:t xml:space="preserve"> (</w:t>
      </w:r>
      <w:r w:rsidRPr="00F82513">
        <w:t>ABS</w:t>
      </w:r>
      <w:r>
        <w:t>)</w:t>
      </w:r>
      <w:r w:rsidRPr="00173B02">
        <w:t xml:space="preserve"> Government Finance Statistics (GFS) and State budget data.</w:t>
      </w:r>
      <w:r w:rsidRPr="00173B02">
        <w:rPr>
          <w:rStyle w:val="FootnoteReference"/>
        </w:rPr>
        <w:footnoteReference w:id="3"/>
      </w:r>
    </w:p>
    <w:p w14:paraId="7D2D9873" w14:textId="77777777" w:rsidR="007E365E" w:rsidRPr="00173B02" w:rsidRDefault="007E365E" w:rsidP="007E365E">
      <w:pPr>
        <w:pStyle w:val="CGCParaNumber"/>
      </w:pPr>
      <w:r w:rsidRPr="00173B02">
        <w:t>A split of GFS estimates of court and legal services expenses, into criminal courts and other legal services, is derived from expense data received from States. This split is calculated using 2016-17 data and is intended to be applied in all updates</w:t>
      </w:r>
      <w:r>
        <w:t xml:space="preserve"> that use</w:t>
      </w:r>
      <w:r w:rsidRPr="00173B02">
        <w:t xml:space="preserve"> the 2020 Review methods.</w:t>
      </w:r>
    </w:p>
    <w:p w14:paraId="593E7208" w14:textId="5741F3DA" w:rsidR="007E365E" w:rsidRPr="00173B02" w:rsidRDefault="007E365E" w:rsidP="007E365E">
      <w:pPr>
        <w:pStyle w:val="Heading3"/>
      </w:pPr>
      <w:bookmarkStart w:id="21" w:name="_Toc23500152"/>
      <w:r w:rsidRPr="00173B02">
        <w:t xml:space="preserve">Assessment </w:t>
      </w:r>
      <w:r>
        <w:t>a</w:t>
      </w:r>
      <w:r w:rsidRPr="00173B02">
        <w:t>pproach</w:t>
      </w:r>
      <w:bookmarkEnd w:id="21"/>
    </w:p>
    <w:p w14:paraId="4BA9794B" w14:textId="77777777" w:rsidR="007E365E" w:rsidRPr="00173B02" w:rsidRDefault="007E365E" w:rsidP="007E365E">
      <w:pPr>
        <w:pStyle w:val="Heading4"/>
      </w:pPr>
      <w:bookmarkStart w:id="22" w:name="_Toc5893818"/>
      <w:bookmarkStart w:id="23" w:name="_Toc6487583"/>
      <w:bookmarkStart w:id="24" w:name="_Toc6487621"/>
      <w:bookmarkStart w:id="25" w:name="_Toc7442875"/>
      <w:bookmarkStart w:id="26" w:name="_Toc23500153"/>
      <w:r w:rsidRPr="00173B02">
        <w:t>Police</w:t>
      </w:r>
      <w:bookmarkEnd w:id="22"/>
      <w:bookmarkEnd w:id="23"/>
      <w:bookmarkEnd w:id="24"/>
      <w:bookmarkEnd w:id="25"/>
      <w:bookmarkEnd w:id="26"/>
    </w:p>
    <w:p w14:paraId="3F9F0AA9" w14:textId="77777777" w:rsidR="007E365E" w:rsidRPr="00173B02" w:rsidRDefault="007E365E" w:rsidP="007E365E">
      <w:pPr>
        <w:pStyle w:val="CGCParaNumber"/>
      </w:pPr>
      <w:r w:rsidRPr="00173B02">
        <w:t>Expenses for this component include:</w:t>
      </w:r>
    </w:p>
    <w:p w14:paraId="5368DC1F" w14:textId="77777777" w:rsidR="007E365E" w:rsidRPr="00850D12" w:rsidRDefault="007E365E" w:rsidP="007E365E">
      <w:pPr>
        <w:pStyle w:val="CGCBullet1"/>
        <w:numPr>
          <w:ilvl w:val="0"/>
          <w:numId w:val="18"/>
        </w:numPr>
        <w:ind w:left="924" w:hanging="357"/>
      </w:pPr>
      <w:r w:rsidRPr="00850D12">
        <w:t>police services</w:t>
      </w:r>
    </w:p>
    <w:p w14:paraId="78D16C39" w14:textId="77777777" w:rsidR="007E365E" w:rsidRPr="009D66AD" w:rsidRDefault="007E365E" w:rsidP="007E365E">
      <w:pPr>
        <w:pStyle w:val="CGCBullet1"/>
        <w:numPr>
          <w:ilvl w:val="0"/>
          <w:numId w:val="18"/>
        </w:numPr>
        <w:ind w:left="924" w:hanging="357"/>
      </w:pPr>
      <w:r w:rsidRPr="009D66AD">
        <w:t>research and development – public order and safety.</w:t>
      </w:r>
    </w:p>
    <w:p w14:paraId="1531B42E" w14:textId="77777777" w:rsidR="007E365E" w:rsidRPr="00173B02" w:rsidRDefault="007E365E" w:rsidP="007E365E">
      <w:pPr>
        <w:pStyle w:val="CGCParaNumber"/>
      </w:pPr>
      <w:r w:rsidRPr="00173B02">
        <w:lastRenderedPageBreak/>
        <w:t>The police assessment is based upon the geographic distribution of State populations and the number of assessed offenders in a jurisdiction, with adjustments for wage costs and a national capital allowance for the ACT.</w:t>
      </w:r>
    </w:p>
    <w:p w14:paraId="2EDA0AB9" w14:textId="77777777" w:rsidR="007E365E" w:rsidRPr="00173B02" w:rsidRDefault="007E365E" w:rsidP="007E365E">
      <w:pPr>
        <w:pStyle w:val="CGCParaNumber"/>
      </w:pPr>
      <w:r w:rsidRPr="00173B02">
        <w:t>The 2015 Review police assessment divided police expenses into those targeting criminal activity and those targeting community policing on a 50:50 basis, following the Commission’s interpretation of State expense data. States expressed concern over this method, with different States advocating for a greater or lesser proportion of costs directed towards the criminal population.</w:t>
      </w:r>
    </w:p>
    <w:p w14:paraId="7DDA3604" w14:textId="77777777" w:rsidR="007E365E" w:rsidRPr="00173B02" w:rsidRDefault="007E365E" w:rsidP="007E365E">
      <w:pPr>
        <w:pStyle w:val="CGCParaNumber"/>
      </w:pPr>
      <w:r w:rsidRPr="00173B02">
        <w:t>For the 2020 Review, the Commission has produced a more empirical assessment. States generally welcomed the new assessment as representing a more reliable framework and improvement on the previous 2015 Review approach, though Tasmania cautioned against chang</w:t>
      </w:r>
      <w:r>
        <w:t>ing</w:t>
      </w:r>
      <w:r w:rsidRPr="00173B02">
        <w:t xml:space="preserve"> the existing model, noting that the Commission considered the 2015 Review approach as sufficiently reliable. </w:t>
      </w:r>
    </w:p>
    <w:p w14:paraId="37573D5A" w14:textId="77777777" w:rsidR="007E365E" w:rsidRPr="00173B02" w:rsidRDefault="007E365E" w:rsidP="007E365E">
      <w:pPr>
        <w:pStyle w:val="Heading5"/>
      </w:pPr>
      <w:r w:rsidRPr="00173B02">
        <w:t>Policing task – population</w:t>
      </w:r>
    </w:p>
    <w:p w14:paraId="28D96FF3" w14:textId="77777777" w:rsidR="007E365E" w:rsidRPr="00173B02" w:rsidRDefault="007E365E" w:rsidP="007E365E">
      <w:pPr>
        <w:pStyle w:val="CGCParaNumber"/>
      </w:pPr>
      <w:bookmarkStart w:id="27" w:name="_Ref9239706"/>
      <w:r w:rsidRPr="00173B02">
        <w:t xml:space="preserve">Spending on the policing task increases the more remote the geographic distribution of a State’s population. Additional loadings (or cost weights), derived from Commission modelling using regression techniques, are applied to State populations depending on their level of remoteness: </w:t>
      </w:r>
      <w:bookmarkEnd w:id="27"/>
    </w:p>
    <w:p w14:paraId="38A89758" w14:textId="77777777" w:rsidR="007E365E" w:rsidRPr="00850D12" w:rsidRDefault="007E365E" w:rsidP="007E365E">
      <w:pPr>
        <w:pStyle w:val="CGCBullet1"/>
        <w:numPr>
          <w:ilvl w:val="0"/>
          <w:numId w:val="18"/>
        </w:numPr>
        <w:ind w:left="924" w:hanging="357"/>
      </w:pPr>
      <w:r w:rsidRPr="00850D12">
        <w:t xml:space="preserve">people living in major cities — 1.0 </w:t>
      </w:r>
    </w:p>
    <w:p w14:paraId="36C2CB2F" w14:textId="77777777" w:rsidR="007E365E" w:rsidRPr="00850D12" w:rsidRDefault="007E365E" w:rsidP="007E365E">
      <w:pPr>
        <w:pStyle w:val="CGCBullet1"/>
        <w:numPr>
          <w:ilvl w:val="0"/>
          <w:numId w:val="18"/>
        </w:numPr>
        <w:ind w:left="924" w:hanging="357"/>
      </w:pPr>
      <w:r w:rsidRPr="00850D12">
        <w:t xml:space="preserve">people living in inner regional areas — 1.5 </w:t>
      </w:r>
    </w:p>
    <w:p w14:paraId="69F99719" w14:textId="77777777" w:rsidR="007E365E" w:rsidRPr="00850D12" w:rsidRDefault="007E365E" w:rsidP="007E365E">
      <w:pPr>
        <w:pStyle w:val="CGCBullet1"/>
        <w:numPr>
          <w:ilvl w:val="0"/>
          <w:numId w:val="18"/>
        </w:numPr>
        <w:ind w:left="924" w:hanging="357"/>
      </w:pPr>
      <w:r w:rsidRPr="00850D12">
        <w:t xml:space="preserve">people living in outer regional areas — 1.7 </w:t>
      </w:r>
    </w:p>
    <w:p w14:paraId="27268FCC" w14:textId="77777777" w:rsidR="007E365E" w:rsidRPr="00850D12" w:rsidRDefault="007E365E" w:rsidP="007E365E">
      <w:pPr>
        <w:pStyle w:val="CGCBullet1"/>
        <w:numPr>
          <w:ilvl w:val="0"/>
          <w:numId w:val="18"/>
        </w:numPr>
        <w:ind w:left="924" w:hanging="357"/>
      </w:pPr>
      <w:r w:rsidRPr="00850D12">
        <w:t xml:space="preserve">people living in remote areas — 5.4 </w:t>
      </w:r>
    </w:p>
    <w:p w14:paraId="0D67464D" w14:textId="77777777" w:rsidR="007E365E" w:rsidRPr="00AE492A" w:rsidRDefault="007E365E" w:rsidP="007E365E">
      <w:pPr>
        <w:pStyle w:val="CGCBullet1"/>
        <w:numPr>
          <w:ilvl w:val="0"/>
          <w:numId w:val="18"/>
        </w:numPr>
        <w:ind w:left="924" w:hanging="357"/>
      </w:pPr>
      <w:r w:rsidRPr="009D66AD">
        <w:t>people living in very remote areas — 6.</w:t>
      </w:r>
      <w:r>
        <w:t>9.</w:t>
      </w:r>
    </w:p>
    <w:p w14:paraId="4E00AC7F" w14:textId="645DF63A" w:rsidR="007E365E" w:rsidRPr="00173B02" w:rsidRDefault="007E365E" w:rsidP="007E365E">
      <w:pPr>
        <w:pStyle w:val="CGCParaNumber"/>
      </w:pPr>
      <w:r w:rsidRPr="00173B02">
        <w:t xml:space="preserve">Data provided by States show that police costs per capita are much higher for remote areas compared to non-remote areas. These data are mapped in </w:t>
      </w:r>
      <w:r>
        <w:fldChar w:fldCharType="begin"/>
      </w:r>
      <w:r>
        <w:instrText xml:space="preserve"> REF _Ref32832243 \h </w:instrText>
      </w:r>
      <w:r>
        <w:fldChar w:fldCharType="separate"/>
      </w:r>
      <w:r w:rsidR="007F721A" w:rsidRPr="00173B02">
        <w:t xml:space="preserve">Figure </w:t>
      </w:r>
      <w:r w:rsidR="007F721A">
        <w:t>19-</w:t>
      </w:r>
      <w:r w:rsidR="007F721A">
        <w:rPr>
          <w:noProof/>
        </w:rPr>
        <w:t>1</w:t>
      </w:r>
      <w:r>
        <w:fldChar w:fldCharType="end"/>
      </w:r>
      <w:r w:rsidRPr="00173B02">
        <w:t>. This shows that the high costs of policing in remote areas are experienced across the country. All States with remote populations demonstrate significantly higher costs per capita in remote than non</w:t>
      </w:r>
      <w:r>
        <w:noBreakHyphen/>
      </w:r>
      <w:r w:rsidRPr="00173B02">
        <w:t xml:space="preserve">remote areas. </w:t>
      </w:r>
    </w:p>
    <w:p w14:paraId="0AE66AA4" w14:textId="5BCCE29A" w:rsidR="007E365E" w:rsidRPr="00173B02" w:rsidRDefault="007E365E" w:rsidP="007E365E">
      <w:pPr>
        <w:pStyle w:val="Caption"/>
      </w:pPr>
      <w:bookmarkStart w:id="28" w:name="_Ref3881971"/>
      <w:bookmarkStart w:id="29" w:name="_Ref32832243"/>
      <w:r w:rsidRPr="00173B02">
        <w:lastRenderedPageBreak/>
        <w:t xml:space="preserve">Figure </w:t>
      </w:r>
      <w:r>
        <w:t>19-</w:t>
      </w:r>
      <w:bookmarkEnd w:id="28"/>
      <w:r>
        <w:fldChar w:fldCharType="begin"/>
      </w:r>
      <w:r>
        <w:instrText xml:space="preserve"> SEQ Figure \* ARABIC \r 1 </w:instrText>
      </w:r>
      <w:r>
        <w:fldChar w:fldCharType="separate"/>
      </w:r>
      <w:r w:rsidR="007F721A">
        <w:rPr>
          <w:noProof/>
        </w:rPr>
        <w:t>1</w:t>
      </w:r>
      <w:r>
        <w:fldChar w:fldCharType="end"/>
      </w:r>
      <w:bookmarkEnd w:id="29"/>
      <w:r>
        <w:rPr>
          <w:noProof/>
        </w:rPr>
        <w:tab/>
      </w:r>
      <w:r>
        <w:rPr>
          <w:noProof/>
        </w:rPr>
        <w:tab/>
      </w:r>
      <w:r w:rsidRPr="00173B02">
        <w:t>Actual cost per capita by police district,</w:t>
      </w:r>
      <w:r>
        <w:t xml:space="preserve"> average of </w:t>
      </w:r>
      <w:r w:rsidRPr="00173B02">
        <w:t>2015-1</w:t>
      </w:r>
      <w:r>
        <w:t>6 and 2016-17</w:t>
      </w:r>
    </w:p>
    <w:p w14:paraId="4495DBA3" w14:textId="77777777" w:rsidR="007E365E" w:rsidRPr="004678A3" w:rsidRDefault="007E365E" w:rsidP="007E365E">
      <w:r w:rsidRPr="00173B02">
        <w:rPr>
          <w:noProof/>
          <w:lang w:eastAsia="en-AU"/>
        </w:rPr>
        <w:drawing>
          <wp:inline distT="0" distB="0" distL="0" distR="0" wp14:anchorId="7DB80175" wp14:editId="171CDDD7">
            <wp:extent cx="5683885" cy="5434965"/>
            <wp:effectExtent l="0" t="0" r="0" b="0"/>
            <wp:docPr id="28" name="Picture 28" descr="A map of police districts across Australia based on five different ranges of actual costs per cap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tuals per capita map with Vic.BMP"/>
                    <pic:cNvPicPr/>
                  </pic:nvPicPr>
                  <pic:blipFill>
                    <a:blip r:embed="rId12">
                      <a:extLst>
                        <a:ext uri="{28A0092B-C50C-407E-A947-70E740481C1C}">
                          <a14:useLocalDpi xmlns:a14="http://schemas.microsoft.com/office/drawing/2010/main" val="0"/>
                        </a:ext>
                      </a:extLst>
                    </a:blip>
                    <a:stretch>
                      <a:fillRect/>
                    </a:stretch>
                  </pic:blipFill>
                  <pic:spPr>
                    <a:xfrm>
                      <a:off x="0" y="0"/>
                      <a:ext cx="5683885" cy="5434965"/>
                    </a:xfrm>
                    <a:prstGeom prst="rect">
                      <a:avLst/>
                    </a:prstGeom>
                  </pic:spPr>
                </pic:pic>
              </a:graphicData>
            </a:graphic>
          </wp:inline>
        </w:drawing>
      </w:r>
    </w:p>
    <w:p w14:paraId="4417CFAF" w14:textId="77777777" w:rsidR="007E365E" w:rsidRPr="004678A3" w:rsidRDefault="007E365E" w:rsidP="007E365E">
      <w:pPr>
        <w:pStyle w:val="CGCTablenote"/>
      </w:pPr>
      <w:r w:rsidRPr="004678A3">
        <w:t>Source:</w:t>
      </w:r>
      <w:r w:rsidRPr="004678A3">
        <w:tab/>
        <w:t>Commission calculation based on State data.</w:t>
      </w:r>
    </w:p>
    <w:p w14:paraId="608753C0" w14:textId="77777777" w:rsidR="007E365E" w:rsidRDefault="007E365E" w:rsidP="007E365E">
      <w:pPr>
        <w:pStyle w:val="CGCParaNumber"/>
      </w:pPr>
      <w:r w:rsidRPr="00F73054">
        <w:t>The increases in costs with remoteness reflect that, in addition to the increases in costs experienced similarly in other services with increasing remoteness (usually captured by regional costs in other categories), police provide a more permanent presence in a much wider range of locations compared to other State service delivery staff. During the State visits, several States told the Commission that in some communities police represent the primary face of government service delivery, thus providing a wider range of services than just policing. In contrast, in major cities and regional centres, these roles are usually provided by staff from other agencies.</w:t>
      </w:r>
    </w:p>
    <w:p w14:paraId="42A4CB29" w14:textId="77777777" w:rsidR="007E365E" w:rsidRPr="00173B02" w:rsidRDefault="007E365E" w:rsidP="007E365E">
      <w:pPr>
        <w:pStyle w:val="Heading5"/>
      </w:pPr>
      <w:r w:rsidRPr="00173B02">
        <w:t>Policing task – assessed offenders</w:t>
      </w:r>
    </w:p>
    <w:p w14:paraId="4712B8A3" w14:textId="77777777" w:rsidR="007E365E" w:rsidRPr="00A16B5B" w:rsidRDefault="007E365E" w:rsidP="007E365E">
      <w:pPr>
        <w:pStyle w:val="CGCParaNumber"/>
      </w:pPr>
      <w:r w:rsidRPr="00A16B5B">
        <w:t xml:space="preserve">Offender numbers are also a significant driver of police expenses.  A cost weight, derived from Commission modelling, of 20 per offender is applied to the number of assessed offenders for each assessment year. </w:t>
      </w:r>
    </w:p>
    <w:p w14:paraId="34422FC4" w14:textId="77777777" w:rsidR="007E365E" w:rsidRPr="00173B02" w:rsidRDefault="007E365E" w:rsidP="007E365E">
      <w:pPr>
        <w:pStyle w:val="CGCParaNumber"/>
      </w:pPr>
      <w:r w:rsidRPr="00173B02">
        <w:t xml:space="preserve">New South Wales argued that, conceptually, the level of remoteness should affect the cost associated with offenders as well as the costs associated with the general population. While this approach may be conceptually valid, analysis using such an approach did not bear this </w:t>
      </w:r>
      <w:r w:rsidRPr="00173B02">
        <w:lastRenderedPageBreak/>
        <w:t>out. The Commission’s view is that any increase in costs in dealing with offenders is better explained through the relationship between remoteness and population, rather than between remoteness and offender numbers.</w:t>
      </w:r>
    </w:p>
    <w:p w14:paraId="6A2F30EA" w14:textId="718B4839" w:rsidR="007E365E" w:rsidRPr="00173B02" w:rsidRDefault="007E365E" w:rsidP="007E365E">
      <w:pPr>
        <w:pStyle w:val="CGCParaNumber"/>
      </w:pPr>
      <w:r w:rsidRPr="00173B02">
        <w:t>Offending rates are higher among some population groups than others. The number of assessed offenders is derived by applying the national average offender rate for a given socio-demographic sub-population to a State’s share of such populations. The socio</w:t>
      </w:r>
      <w:r>
        <w:noBreakHyphen/>
      </w:r>
      <w:r w:rsidRPr="00173B02">
        <w:t xml:space="preserve">demographic groups include a cross-classification of Indigenous status, SES and age. In total, there are 40 socio-demographic groups based on the </w:t>
      </w:r>
      <w:r>
        <w:t>groups</w:t>
      </w:r>
      <w:r w:rsidRPr="00173B02">
        <w:t xml:space="preserve"> shown in </w:t>
      </w:r>
      <w:r w:rsidRPr="00173B02">
        <w:fldChar w:fldCharType="begin"/>
      </w:r>
      <w:r w:rsidRPr="00173B02">
        <w:instrText xml:space="preserve"> REF _Ref2593754 \h </w:instrText>
      </w:r>
      <w:r>
        <w:instrText xml:space="preserve"> \* MERGEFORMAT </w:instrText>
      </w:r>
      <w:r w:rsidRPr="00173B02">
        <w:fldChar w:fldCharType="separate"/>
      </w:r>
      <w:r w:rsidR="007F721A" w:rsidRPr="00173B02">
        <w:t xml:space="preserve">Table </w:t>
      </w:r>
      <w:r w:rsidR="007F721A">
        <w:rPr>
          <w:noProof/>
        </w:rPr>
        <w:t>19-6</w:t>
      </w:r>
      <w:r w:rsidRPr="00173B02">
        <w:fldChar w:fldCharType="end"/>
      </w:r>
      <w:r w:rsidRPr="00173B02">
        <w:t>.</w:t>
      </w:r>
    </w:p>
    <w:p w14:paraId="2F74827C" w14:textId="3C59E05E" w:rsidR="007E365E" w:rsidRPr="00173B02" w:rsidRDefault="007E365E" w:rsidP="007E365E">
      <w:pPr>
        <w:pStyle w:val="Caption"/>
      </w:pPr>
      <w:bookmarkStart w:id="30" w:name="_Ref2593754"/>
      <w:bookmarkStart w:id="31" w:name="_Ref2593750"/>
      <w:r w:rsidRPr="00173B02">
        <w:t xml:space="preserve">Table </w:t>
      </w:r>
      <w:r>
        <w:t>19-</w:t>
      </w:r>
      <w:fldSimple w:instr=" SEQ Table \* ARABIC ">
        <w:r w:rsidR="007F721A">
          <w:rPr>
            <w:noProof/>
          </w:rPr>
          <w:t>6</w:t>
        </w:r>
      </w:fldSimple>
      <w:bookmarkEnd w:id="30"/>
      <w:r w:rsidRPr="00173B02">
        <w:tab/>
        <w:t>Socio-demographic groups used in police – assessed offender calculation</w:t>
      </w:r>
      <w:bookmarkEnd w:id="31"/>
    </w:p>
    <w:tbl>
      <w:tblPr>
        <w:tblW w:w="8860" w:type="dxa"/>
        <w:tblBorders>
          <w:top w:val="single" w:sz="4" w:space="0" w:color="ADD6EA"/>
          <w:bottom w:val="single" w:sz="4" w:space="0" w:color="ADD6EA"/>
          <w:insideH w:val="single" w:sz="4" w:space="0" w:color="ADD6EA"/>
        </w:tblBorders>
        <w:tblLayout w:type="fixed"/>
        <w:tblCellMar>
          <w:left w:w="0" w:type="dxa"/>
          <w:right w:w="0" w:type="dxa"/>
        </w:tblCellMar>
        <w:tblLook w:val="04A0" w:firstRow="1" w:lastRow="0" w:firstColumn="1" w:lastColumn="0" w:noHBand="0" w:noVBand="1"/>
      </w:tblPr>
      <w:tblGrid>
        <w:gridCol w:w="2900"/>
        <w:gridCol w:w="3100"/>
        <w:gridCol w:w="946"/>
        <w:gridCol w:w="1914"/>
      </w:tblGrid>
      <w:tr w:rsidR="007E365E" w:rsidRPr="00E41532" w14:paraId="00DCD310" w14:textId="77777777" w:rsidTr="007D1D77">
        <w:trPr>
          <w:trHeight w:val="380"/>
        </w:trPr>
        <w:tc>
          <w:tcPr>
            <w:tcW w:w="6000" w:type="dxa"/>
            <w:gridSpan w:val="2"/>
            <w:tcBorders>
              <w:bottom w:val="single" w:sz="4" w:space="0" w:color="ADD6EA"/>
              <w:right w:val="single" w:sz="4" w:space="0" w:color="ADD6EA"/>
            </w:tcBorders>
            <w:shd w:val="clear" w:color="auto" w:fill="006991"/>
            <w:noWrap/>
            <w:vAlign w:val="center"/>
            <w:hideMark/>
          </w:tcPr>
          <w:p w14:paraId="23BEA418" w14:textId="77777777" w:rsidR="007E365E" w:rsidRPr="00E41532" w:rsidRDefault="007E365E" w:rsidP="007D1D77">
            <w:pPr>
              <w:pStyle w:val="CGCTableheader"/>
              <w:rPr>
                <w:bCs/>
                <w:lang w:eastAsia="en-AU"/>
              </w:rPr>
            </w:pPr>
            <w:r w:rsidRPr="00E41532">
              <w:rPr>
                <w:bCs/>
                <w:lang w:eastAsia="en-AU"/>
              </w:rPr>
              <w:t>Indigenous status and socio-economic status (a)</w:t>
            </w:r>
          </w:p>
        </w:tc>
        <w:tc>
          <w:tcPr>
            <w:tcW w:w="946" w:type="dxa"/>
            <w:tcBorders>
              <w:left w:val="single" w:sz="4" w:space="0" w:color="ADD6EA"/>
              <w:bottom w:val="single" w:sz="4" w:space="0" w:color="ADD6EA"/>
            </w:tcBorders>
            <w:shd w:val="clear" w:color="auto" w:fill="006991"/>
            <w:noWrap/>
            <w:vAlign w:val="center"/>
            <w:hideMark/>
          </w:tcPr>
          <w:p w14:paraId="63A9E669" w14:textId="77777777" w:rsidR="007E365E" w:rsidRPr="00E41532" w:rsidRDefault="007E365E" w:rsidP="007D1D77">
            <w:pPr>
              <w:pStyle w:val="CGCTableheader"/>
              <w:rPr>
                <w:bCs/>
                <w:lang w:eastAsia="en-AU"/>
              </w:rPr>
            </w:pPr>
            <w:r w:rsidRPr="00E41532">
              <w:rPr>
                <w:bCs/>
                <w:lang w:eastAsia="en-AU"/>
              </w:rPr>
              <w:t xml:space="preserve"> </w:t>
            </w:r>
          </w:p>
        </w:tc>
        <w:tc>
          <w:tcPr>
            <w:tcW w:w="1914" w:type="dxa"/>
            <w:tcBorders>
              <w:bottom w:val="single" w:sz="4" w:space="0" w:color="ADD6EA"/>
            </w:tcBorders>
            <w:shd w:val="clear" w:color="auto" w:fill="006991"/>
            <w:noWrap/>
            <w:vAlign w:val="center"/>
            <w:hideMark/>
          </w:tcPr>
          <w:p w14:paraId="07F9451B" w14:textId="77777777" w:rsidR="007E365E" w:rsidRPr="00E41532" w:rsidRDefault="007E365E" w:rsidP="007D1D77">
            <w:pPr>
              <w:pStyle w:val="CGCTableheader"/>
              <w:rPr>
                <w:bCs/>
                <w:lang w:eastAsia="en-AU"/>
              </w:rPr>
            </w:pPr>
            <w:r w:rsidRPr="00E41532">
              <w:rPr>
                <w:bCs/>
                <w:lang w:eastAsia="en-AU"/>
              </w:rPr>
              <w:t>Age</w:t>
            </w:r>
          </w:p>
        </w:tc>
      </w:tr>
      <w:tr w:rsidR="007E365E" w:rsidRPr="00173B02" w14:paraId="035DFE48" w14:textId="77777777" w:rsidTr="007D1D77">
        <w:trPr>
          <w:trHeight w:val="317"/>
        </w:trPr>
        <w:tc>
          <w:tcPr>
            <w:tcW w:w="2900" w:type="dxa"/>
            <w:tcBorders>
              <w:bottom w:val="nil"/>
            </w:tcBorders>
            <w:shd w:val="clear" w:color="auto" w:fill="auto"/>
            <w:noWrap/>
            <w:vAlign w:val="bottom"/>
            <w:hideMark/>
          </w:tcPr>
          <w:p w14:paraId="3299AD68" w14:textId="77777777" w:rsidR="007E365E" w:rsidRPr="00173B02" w:rsidRDefault="007E365E" w:rsidP="007D1D77">
            <w:pPr>
              <w:pStyle w:val="CGCTablerow"/>
              <w:rPr>
                <w:lang w:eastAsia="en-AU"/>
              </w:rPr>
            </w:pPr>
            <w:r w:rsidRPr="00173B02">
              <w:rPr>
                <w:lang w:eastAsia="en-AU"/>
              </w:rPr>
              <w:t>Indigenous (IRSEO)</w:t>
            </w:r>
          </w:p>
        </w:tc>
        <w:tc>
          <w:tcPr>
            <w:tcW w:w="3100" w:type="dxa"/>
            <w:tcBorders>
              <w:bottom w:val="nil"/>
              <w:right w:val="single" w:sz="4" w:space="0" w:color="ADD6EA"/>
            </w:tcBorders>
            <w:shd w:val="clear" w:color="auto" w:fill="auto"/>
            <w:noWrap/>
            <w:vAlign w:val="bottom"/>
            <w:hideMark/>
          </w:tcPr>
          <w:p w14:paraId="4C9E4925" w14:textId="77777777" w:rsidR="007E365E" w:rsidRPr="00173B02" w:rsidRDefault="007E365E" w:rsidP="007D1D77">
            <w:pPr>
              <w:pStyle w:val="CGCTablerow"/>
              <w:rPr>
                <w:lang w:eastAsia="en-AU"/>
              </w:rPr>
            </w:pPr>
            <w:r w:rsidRPr="00173B02">
              <w:rPr>
                <w:lang w:eastAsia="en-AU"/>
              </w:rPr>
              <w:t>Most disadvantaged (40%)</w:t>
            </w:r>
          </w:p>
        </w:tc>
        <w:tc>
          <w:tcPr>
            <w:tcW w:w="946" w:type="dxa"/>
            <w:tcBorders>
              <w:left w:val="single" w:sz="4" w:space="0" w:color="ADD6EA"/>
              <w:bottom w:val="nil"/>
            </w:tcBorders>
            <w:shd w:val="clear" w:color="auto" w:fill="auto"/>
            <w:noWrap/>
            <w:vAlign w:val="bottom"/>
            <w:hideMark/>
          </w:tcPr>
          <w:p w14:paraId="6F68F807" w14:textId="77777777" w:rsidR="007E365E" w:rsidRPr="00173B02" w:rsidRDefault="007E365E" w:rsidP="007D1D77">
            <w:pPr>
              <w:pStyle w:val="CGCTablerow"/>
              <w:rPr>
                <w:lang w:eastAsia="en-AU"/>
              </w:rPr>
            </w:pPr>
          </w:p>
        </w:tc>
        <w:tc>
          <w:tcPr>
            <w:tcW w:w="1914" w:type="dxa"/>
            <w:tcBorders>
              <w:bottom w:val="nil"/>
            </w:tcBorders>
            <w:shd w:val="clear" w:color="auto" w:fill="auto"/>
            <w:noWrap/>
            <w:vAlign w:val="bottom"/>
            <w:hideMark/>
          </w:tcPr>
          <w:p w14:paraId="29001623" w14:textId="77777777" w:rsidR="007E365E" w:rsidRPr="00173B02" w:rsidRDefault="007E365E" w:rsidP="007D1D77">
            <w:pPr>
              <w:pStyle w:val="CGCTablerow"/>
              <w:rPr>
                <w:lang w:eastAsia="en-AU"/>
              </w:rPr>
            </w:pPr>
            <w:r w:rsidRPr="00173B02">
              <w:rPr>
                <w:lang w:eastAsia="en-AU"/>
              </w:rPr>
              <w:t>0-14</w:t>
            </w:r>
          </w:p>
        </w:tc>
      </w:tr>
      <w:tr w:rsidR="007E365E" w:rsidRPr="00173B02" w14:paraId="551E70DA" w14:textId="77777777" w:rsidTr="007D1D77">
        <w:trPr>
          <w:trHeight w:val="317"/>
        </w:trPr>
        <w:tc>
          <w:tcPr>
            <w:tcW w:w="2900" w:type="dxa"/>
            <w:tcBorders>
              <w:top w:val="nil"/>
              <w:bottom w:val="nil"/>
            </w:tcBorders>
            <w:shd w:val="clear" w:color="auto" w:fill="auto"/>
            <w:noWrap/>
            <w:vAlign w:val="bottom"/>
            <w:hideMark/>
          </w:tcPr>
          <w:p w14:paraId="47F0C129" w14:textId="77777777" w:rsidR="007E365E" w:rsidRPr="00173B02" w:rsidRDefault="007E365E" w:rsidP="007D1D77">
            <w:pPr>
              <w:pStyle w:val="CGCTablerow"/>
              <w:rPr>
                <w:lang w:eastAsia="en-AU"/>
              </w:rPr>
            </w:pPr>
          </w:p>
        </w:tc>
        <w:tc>
          <w:tcPr>
            <w:tcW w:w="3100" w:type="dxa"/>
            <w:tcBorders>
              <w:top w:val="nil"/>
              <w:bottom w:val="nil"/>
              <w:right w:val="single" w:sz="4" w:space="0" w:color="ADD6EA"/>
            </w:tcBorders>
            <w:shd w:val="clear" w:color="auto" w:fill="auto"/>
            <w:noWrap/>
            <w:vAlign w:val="bottom"/>
            <w:hideMark/>
          </w:tcPr>
          <w:p w14:paraId="7A2F13CA" w14:textId="77777777" w:rsidR="007E365E" w:rsidRPr="00173B02" w:rsidRDefault="007E365E" w:rsidP="007D1D77">
            <w:pPr>
              <w:pStyle w:val="CGCTablerow"/>
              <w:rPr>
                <w:lang w:eastAsia="en-AU"/>
              </w:rPr>
            </w:pPr>
            <w:r w:rsidRPr="00173B02">
              <w:rPr>
                <w:lang w:eastAsia="en-AU"/>
              </w:rPr>
              <w:t>Middle quintile (20%)</w:t>
            </w:r>
          </w:p>
        </w:tc>
        <w:tc>
          <w:tcPr>
            <w:tcW w:w="946" w:type="dxa"/>
            <w:tcBorders>
              <w:top w:val="nil"/>
              <w:left w:val="single" w:sz="4" w:space="0" w:color="ADD6EA"/>
              <w:bottom w:val="nil"/>
            </w:tcBorders>
            <w:shd w:val="clear" w:color="auto" w:fill="auto"/>
            <w:noWrap/>
            <w:vAlign w:val="bottom"/>
            <w:hideMark/>
          </w:tcPr>
          <w:p w14:paraId="7B171AAD" w14:textId="77777777" w:rsidR="007E365E" w:rsidRPr="00173B02" w:rsidRDefault="007E365E" w:rsidP="007D1D77">
            <w:pPr>
              <w:pStyle w:val="CGCTablerow"/>
              <w:rPr>
                <w:lang w:eastAsia="en-AU"/>
              </w:rPr>
            </w:pPr>
          </w:p>
        </w:tc>
        <w:tc>
          <w:tcPr>
            <w:tcW w:w="1914" w:type="dxa"/>
            <w:tcBorders>
              <w:top w:val="nil"/>
              <w:bottom w:val="nil"/>
            </w:tcBorders>
            <w:shd w:val="clear" w:color="auto" w:fill="auto"/>
            <w:noWrap/>
            <w:vAlign w:val="bottom"/>
            <w:hideMark/>
          </w:tcPr>
          <w:p w14:paraId="40674713" w14:textId="77777777" w:rsidR="007E365E" w:rsidRPr="00173B02" w:rsidRDefault="007E365E" w:rsidP="007D1D77">
            <w:pPr>
              <w:pStyle w:val="CGCTablerow"/>
              <w:rPr>
                <w:lang w:eastAsia="en-AU"/>
              </w:rPr>
            </w:pPr>
            <w:r w:rsidRPr="00173B02">
              <w:rPr>
                <w:lang w:eastAsia="en-AU"/>
              </w:rPr>
              <w:t>15-24</w:t>
            </w:r>
          </w:p>
        </w:tc>
      </w:tr>
      <w:tr w:rsidR="007E365E" w:rsidRPr="00173B02" w14:paraId="1F5CF1FF" w14:textId="77777777" w:rsidTr="007D1D77">
        <w:trPr>
          <w:trHeight w:val="317"/>
        </w:trPr>
        <w:tc>
          <w:tcPr>
            <w:tcW w:w="2900" w:type="dxa"/>
            <w:tcBorders>
              <w:top w:val="nil"/>
              <w:bottom w:val="nil"/>
            </w:tcBorders>
            <w:shd w:val="clear" w:color="auto" w:fill="auto"/>
            <w:noWrap/>
            <w:vAlign w:val="bottom"/>
            <w:hideMark/>
          </w:tcPr>
          <w:p w14:paraId="0BDC49F1" w14:textId="77777777" w:rsidR="007E365E" w:rsidRPr="00173B02" w:rsidRDefault="007E365E" w:rsidP="007D1D77">
            <w:pPr>
              <w:pStyle w:val="CGCTablerow"/>
              <w:rPr>
                <w:lang w:eastAsia="en-AU"/>
              </w:rPr>
            </w:pPr>
          </w:p>
        </w:tc>
        <w:tc>
          <w:tcPr>
            <w:tcW w:w="3100" w:type="dxa"/>
            <w:tcBorders>
              <w:top w:val="nil"/>
              <w:bottom w:val="nil"/>
              <w:right w:val="single" w:sz="4" w:space="0" w:color="ADD6EA"/>
            </w:tcBorders>
            <w:shd w:val="clear" w:color="auto" w:fill="auto"/>
            <w:noWrap/>
            <w:vAlign w:val="bottom"/>
            <w:hideMark/>
          </w:tcPr>
          <w:p w14:paraId="1D0D67DD" w14:textId="77777777" w:rsidR="007E365E" w:rsidRPr="00173B02" w:rsidRDefault="007E365E" w:rsidP="007D1D77">
            <w:pPr>
              <w:pStyle w:val="CGCTablerow"/>
              <w:rPr>
                <w:lang w:eastAsia="en-AU"/>
              </w:rPr>
            </w:pPr>
            <w:r w:rsidRPr="00173B02">
              <w:rPr>
                <w:lang w:eastAsia="en-AU"/>
              </w:rPr>
              <w:t>Least disadvantaged (40%)</w:t>
            </w:r>
          </w:p>
        </w:tc>
        <w:tc>
          <w:tcPr>
            <w:tcW w:w="946" w:type="dxa"/>
            <w:tcBorders>
              <w:top w:val="nil"/>
              <w:left w:val="single" w:sz="4" w:space="0" w:color="ADD6EA"/>
              <w:bottom w:val="nil"/>
            </w:tcBorders>
            <w:shd w:val="clear" w:color="auto" w:fill="auto"/>
            <w:noWrap/>
            <w:vAlign w:val="bottom"/>
            <w:hideMark/>
          </w:tcPr>
          <w:p w14:paraId="26563D70" w14:textId="77777777" w:rsidR="007E365E" w:rsidRPr="00173B02" w:rsidRDefault="007E365E" w:rsidP="007D1D77">
            <w:pPr>
              <w:pStyle w:val="CGCTablerow"/>
              <w:rPr>
                <w:lang w:eastAsia="en-AU"/>
              </w:rPr>
            </w:pPr>
          </w:p>
        </w:tc>
        <w:tc>
          <w:tcPr>
            <w:tcW w:w="1914" w:type="dxa"/>
            <w:tcBorders>
              <w:top w:val="nil"/>
              <w:bottom w:val="nil"/>
            </w:tcBorders>
            <w:shd w:val="clear" w:color="auto" w:fill="auto"/>
            <w:noWrap/>
            <w:vAlign w:val="bottom"/>
            <w:hideMark/>
          </w:tcPr>
          <w:p w14:paraId="557FB559" w14:textId="77777777" w:rsidR="007E365E" w:rsidRPr="00173B02" w:rsidRDefault="007E365E" w:rsidP="007D1D77">
            <w:pPr>
              <w:pStyle w:val="CGCTablerow"/>
              <w:rPr>
                <w:lang w:eastAsia="en-AU"/>
              </w:rPr>
            </w:pPr>
            <w:r w:rsidRPr="00173B02">
              <w:rPr>
                <w:lang w:eastAsia="en-AU"/>
              </w:rPr>
              <w:t>25-44</w:t>
            </w:r>
          </w:p>
        </w:tc>
      </w:tr>
      <w:tr w:rsidR="007E365E" w:rsidRPr="00173B02" w14:paraId="5BD06AB5" w14:textId="77777777" w:rsidTr="007D1D77">
        <w:trPr>
          <w:trHeight w:val="317"/>
        </w:trPr>
        <w:tc>
          <w:tcPr>
            <w:tcW w:w="2900" w:type="dxa"/>
            <w:tcBorders>
              <w:top w:val="nil"/>
              <w:bottom w:val="nil"/>
            </w:tcBorders>
            <w:shd w:val="clear" w:color="auto" w:fill="auto"/>
            <w:noWrap/>
            <w:vAlign w:val="bottom"/>
            <w:hideMark/>
          </w:tcPr>
          <w:p w14:paraId="4BBC953C" w14:textId="77777777" w:rsidR="007E365E" w:rsidRPr="00173B02" w:rsidRDefault="007E365E" w:rsidP="007D1D77">
            <w:pPr>
              <w:pStyle w:val="CGCTablerow"/>
              <w:rPr>
                <w:lang w:eastAsia="en-AU"/>
              </w:rPr>
            </w:pPr>
            <w:r w:rsidRPr="00173B02">
              <w:rPr>
                <w:lang w:eastAsia="en-AU"/>
              </w:rPr>
              <w:t>Non-Indigenous (NISEIFA)</w:t>
            </w:r>
          </w:p>
        </w:tc>
        <w:tc>
          <w:tcPr>
            <w:tcW w:w="3100" w:type="dxa"/>
            <w:tcBorders>
              <w:top w:val="nil"/>
              <w:bottom w:val="nil"/>
              <w:right w:val="single" w:sz="4" w:space="0" w:color="ADD6EA"/>
            </w:tcBorders>
            <w:shd w:val="clear" w:color="auto" w:fill="auto"/>
            <w:noWrap/>
            <w:vAlign w:val="bottom"/>
            <w:hideMark/>
          </w:tcPr>
          <w:p w14:paraId="1CB5F138" w14:textId="77777777" w:rsidR="007E365E" w:rsidRPr="00173B02" w:rsidRDefault="007E365E" w:rsidP="007D1D77">
            <w:pPr>
              <w:pStyle w:val="CGCTablerow"/>
              <w:rPr>
                <w:lang w:eastAsia="en-AU"/>
              </w:rPr>
            </w:pPr>
            <w:r w:rsidRPr="00173B02">
              <w:rPr>
                <w:lang w:eastAsia="en-AU"/>
              </w:rPr>
              <w:t>Most disadvantaged (20%)</w:t>
            </w:r>
          </w:p>
        </w:tc>
        <w:tc>
          <w:tcPr>
            <w:tcW w:w="946" w:type="dxa"/>
            <w:tcBorders>
              <w:top w:val="nil"/>
              <w:left w:val="single" w:sz="4" w:space="0" w:color="ADD6EA"/>
              <w:bottom w:val="nil"/>
            </w:tcBorders>
            <w:shd w:val="clear" w:color="auto" w:fill="auto"/>
            <w:noWrap/>
            <w:vAlign w:val="bottom"/>
            <w:hideMark/>
          </w:tcPr>
          <w:p w14:paraId="0AF3C3B2" w14:textId="77777777" w:rsidR="007E365E" w:rsidRPr="00173B02" w:rsidRDefault="007E365E" w:rsidP="007D1D77">
            <w:pPr>
              <w:pStyle w:val="CGCTablerow"/>
              <w:rPr>
                <w:lang w:eastAsia="en-AU"/>
              </w:rPr>
            </w:pPr>
          </w:p>
        </w:tc>
        <w:tc>
          <w:tcPr>
            <w:tcW w:w="1914" w:type="dxa"/>
            <w:tcBorders>
              <w:top w:val="nil"/>
              <w:bottom w:val="nil"/>
            </w:tcBorders>
            <w:shd w:val="clear" w:color="auto" w:fill="auto"/>
            <w:noWrap/>
            <w:vAlign w:val="bottom"/>
            <w:hideMark/>
          </w:tcPr>
          <w:p w14:paraId="44A728AE" w14:textId="77777777" w:rsidR="007E365E" w:rsidRPr="00173B02" w:rsidRDefault="007E365E" w:rsidP="007D1D77">
            <w:pPr>
              <w:pStyle w:val="CGCTablerow"/>
              <w:rPr>
                <w:lang w:eastAsia="en-AU"/>
              </w:rPr>
            </w:pPr>
            <w:r w:rsidRPr="00173B02">
              <w:rPr>
                <w:lang w:eastAsia="en-AU"/>
              </w:rPr>
              <w:t>45-64</w:t>
            </w:r>
          </w:p>
        </w:tc>
      </w:tr>
      <w:tr w:rsidR="007E365E" w:rsidRPr="00173B02" w14:paraId="48098CB1" w14:textId="77777777" w:rsidTr="007D1D77">
        <w:trPr>
          <w:trHeight w:val="317"/>
        </w:trPr>
        <w:tc>
          <w:tcPr>
            <w:tcW w:w="2900" w:type="dxa"/>
            <w:tcBorders>
              <w:top w:val="nil"/>
              <w:bottom w:val="nil"/>
            </w:tcBorders>
            <w:shd w:val="clear" w:color="auto" w:fill="auto"/>
            <w:noWrap/>
            <w:vAlign w:val="bottom"/>
            <w:hideMark/>
          </w:tcPr>
          <w:p w14:paraId="659A973D" w14:textId="77777777" w:rsidR="007E365E" w:rsidRPr="00173B02" w:rsidRDefault="007E365E" w:rsidP="007D1D77">
            <w:pPr>
              <w:pStyle w:val="CGCTablerow"/>
              <w:rPr>
                <w:lang w:eastAsia="en-AU"/>
              </w:rPr>
            </w:pPr>
          </w:p>
        </w:tc>
        <w:tc>
          <w:tcPr>
            <w:tcW w:w="3100" w:type="dxa"/>
            <w:tcBorders>
              <w:top w:val="nil"/>
              <w:bottom w:val="nil"/>
              <w:right w:val="single" w:sz="4" w:space="0" w:color="ADD6EA"/>
            </w:tcBorders>
            <w:shd w:val="clear" w:color="auto" w:fill="auto"/>
            <w:noWrap/>
            <w:vAlign w:val="bottom"/>
            <w:hideMark/>
          </w:tcPr>
          <w:p w14:paraId="76A8F82B" w14:textId="77777777" w:rsidR="007E365E" w:rsidRPr="00173B02" w:rsidRDefault="007E365E" w:rsidP="007D1D77">
            <w:pPr>
              <w:pStyle w:val="CGCTablerow"/>
              <w:rPr>
                <w:lang w:eastAsia="en-AU"/>
              </w:rPr>
            </w:pPr>
            <w:r w:rsidRPr="00173B02">
              <w:rPr>
                <w:lang w:eastAsia="en-AU"/>
              </w:rPr>
              <w:t>2nd most disadvantaged (20%)</w:t>
            </w:r>
          </w:p>
        </w:tc>
        <w:tc>
          <w:tcPr>
            <w:tcW w:w="946" w:type="dxa"/>
            <w:tcBorders>
              <w:top w:val="nil"/>
              <w:left w:val="single" w:sz="4" w:space="0" w:color="ADD6EA"/>
              <w:bottom w:val="nil"/>
            </w:tcBorders>
            <w:shd w:val="clear" w:color="auto" w:fill="auto"/>
            <w:noWrap/>
            <w:vAlign w:val="bottom"/>
            <w:hideMark/>
          </w:tcPr>
          <w:p w14:paraId="4B4570DF" w14:textId="77777777" w:rsidR="007E365E" w:rsidRPr="00173B02" w:rsidRDefault="007E365E" w:rsidP="007D1D77">
            <w:pPr>
              <w:pStyle w:val="CGCTablerow"/>
              <w:rPr>
                <w:lang w:eastAsia="en-AU"/>
              </w:rPr>
            </w:pPr>
          </w:p>
        </w:tc>
        <w:tc>
          <w:tcPr>
            <w:tcW w:w="1914" w:type="dxa"/>
            <w:tcBorders>
              <w:top w:val="nil"/>
              <w:bottom w:val="nil"/>
            </w:tcBorders>
            <w:shd w:val="clear" w:color="auto" w:fill="auto"/>
            <w:noWrap/>
            <w:vAlign w:val="bottom"/>
            <w:hideMark/>
          </w:tcPr>
          <w:p w14:paraId="4208008A" w14:textId="77777777" w:rsidR="007E365E" w:rsidRPr="00173B02" w:rsidRDefault="007E365E" w:rsidP="007D1D77">
            <w:pPr>
              <w:pStyle w:val="CGCTablerow"/>
              <w:rPr>
                <w:lang w:eastAsia="en-AU"/>
              </w:rPr>
            </w:pPr>
            <w:r w:rsidRPr="00173B02">
              <w:rPr>
                <w:lang w:eastAsia="en-AU"/>
              </w:rPr>
              <w:t>65+</w:t>
            </w:r>
          </w:p>
        </w:tc>
      </w:tr>
      <w:tr w:rsidR="007E365E" w:rsidRPr="00173B02" w14:paraId="037229A2" w14:textId="77777777" w:rsidTr="007D1D77">
        <w:trPr>
          <w:trHeight w:val="317"/>
        </w:trPr>
        <w:tc>
          <w:tcPr>
            <w:tcW w:w="2900" w:type="dxa"/>
            <w:tcBorders>
              <w:top w:val="nil"/>
              <w:bottom w:val="nil"/>
            </w:tcBorders>
            <w:shd w:val="clear" w:color="auto" w:fill="auto"/>
            <w:noWrap/>
            <w:vAlign w:val="bottom"/>
            <w:hideMark/>
          </w:tcPr>
          <w:p w14:paraId="316744FC" w14:textId="77777777" w:rsidR="007E365E" w:rsidRPr="00173B02" w:rsidRDefault="007E365E" w:rsidP="007D1D77">
            <w:pPr>
              <w:pStyle w:val="CGCTablerow"/>
              <w:rPr>
                <w:lang w:eastAsia="en-AU"/>
              </w:rPr>
            </w:pPr>
          </w:p>
        </w:tc>
        <w:tc>
          <w:tcPr>
            <w:tcW w:w="3100" w:type="dxa"/>
            <w:tcBorders>
              <w:top w:val="nil"/>
              <w:bottom w:val="nil"/>
              <w:right w:val="single" w:sz="4" w:space="0" w:color="ADD6EA"/>
            </w:tcBorders>
            <w:shd w:val="clear" w:color="auto" w:fill="auto"/>
            <w:noWrap/>
            <w:vAlign w:val="bottom"/>
            <w:hideMark/>
          </w:tcPr>
          <w:p w14:paraId="61CE337D" w14:textId="77777777" w:rsidR="007E365E" w:rsidRPr="00173B02" w:rsidRDefault="007E365E" w:rsidP="007D1D77">
            <w:pPr>
              <w:pStyle w:val="CGCTablerow"/>
              <w:rPr>
                <w:lang w:eastAsia="en-AU"/>
              </w:rPr>
            </w:pPr>
            <w:r w:rsidRPr="00173B02">
              <w:rPr>
                <w:lang w:eastAsia="en-AU"/>
              </w:rPr>
              <w:t>Middle quintile (20%)</w:t>
            </w:r>
          </w:p>
        </w:tc>
        <w:tc>
          <w:tcPr>
            <w:tcW w:w="946" w:type="dxa"/>
            <w:tcBorders>
              <w:top w:val="nil"/>
              <w:left w:val="single" w:sz="4" w:space="0" w:color="ADD6EA"/>
              <w:bottom w:val="nil"/>
            </w:tcBorders>
            <w:shd w:val="clear" w:color="auto" w:fill="auto"/>
            <w:noWrap/>
            <w:vAlign w:val="bottom"/>
            <w:hideMark/>
          </w:tcPr>
          <w:p w14:paraId="3E9A283D" w14:textId="77777777" w:rsidR="007E365E" w:rsidRPr="00173B02" w:rsidRDefault="007E365E" w:rsidP="007D1D77">
            <w:pPr>
              <w:pStyle w:val="CGCTablerow"/>
              <w:rPr>
                <w:lang w:eastAsia="en-AU"/>
              </w:rPr>
            </w:pPr>
          </w:p>
        </w:tc>
        <w:tc>
          <w:tcPr>
            <w:tcW w:w="1914" w:type="dxa"/>
            <w:tcBorders>
              <w:top w:val="nil"/>
              <w:bottom w:val="nil"/>
            </w:tcBorders>
            <w:shd w:val="clear" w:color="auto" w:fill="auto"/>
            <w:noWrap/>
            <w:vAlign w:val="bottom"/>
            <w:hideMark/>
          </w:tcPr>
          <w:p w14:paraId="3B06803B" w14:textId="77777777" w:rsidR="007E365E" w:rsidRPr="00173B02" w:rsidRDefault="007E365E" w:rsidP="007D1D77">
            <w:pPr>
              <w:pStyle w:val="CGCTablerow"/>
              <w:rPr>
                <w:rFonts w:ascii="Times New Roman" w:hAnsi="Times New Roman" w:cs="Times New Roman"/>
                <w:lang w:eastAsia="en-AU"/>
              </w:rPr>
            </w:pPr>
          </w:p>
        </w:tc>
      </w:tr>
      <w:tr w:rsidR="007E365E" w:rsidRPr="00173B02" w14:paraId="5518525A" w14:textId="77777777" w:rsidTr="007D1D77">
        <w:trPr>
          <w:trHeight w:val="317"/>
        </w:trPr>
        <w:tc>
          <w:tcPr>
            <w:tcW w:w="2900" w:type="dxa"/>
            <w:tcBorders>
              <w:top w:val="nil"/>
              <w:bottom w:val="nil"/>
            </w:tcBorders>
            <w:shd w:val="clear" w:color="auto" w:fill="auto"/>
            <w:noWrap/>
            <w:vAlign w:val="bottom"/>
            <w:hideMark/>
          </w:tcPr>
          <w:p w14:paraId="4DB3E94B" w14:textId="77777777" w:rsidR="007E365E" w:rsidRPr="00173B02" w:rsidRDefault="007E365E" w:rsidP="007D1D77">
            <w:pPr>
              <w:pStyle w:val="CGCTablerow"/>
              <w:rPr>
                <w:rFonts w:ascii="Times New Roman" w:hAnsi="Times New Roman" w:cs="Times New Roman"/>
                <w:lang w:eastAsia="en-AU"/>
              </w:rPr>
            </w:pPr>
          </w:p>
        </w:tc>
        <w:tc>
          <w:tcPr>
            <w:tcW w:w="3100" w:type="dxa"/>
            <w:tcBorders>
              <w:top w:val="nil"/>
              <w:bottom w:val="nil"/>
              <w:right w:val="single" w:sz="4" w:space="0" w:color="ADD6EA"/>
            </w:tcBorders>
            <w:shd w:val="clear" w:color="auto" w:fill="auto"/>
            <w:noWrap/>
            <w:vAlign w:val="bottom"/>
            <w:hideMark/>
          </w:tcPr>
          <w:p w14:paraId="0A09B9FE" w14:textId="77777777" w:rsidR="007E365E" w:rsidRPr="00173B02" w:rsidRDefault="007E365E" w:rsidP="007D1D77">
            <w:pPr>
              <w:pStyle w:val="CGCTablerow"/>
              <w:rPr>
                <w:lang w:eastAsia="en-AU"/>
              </w:rPr>
            </w:pPr>
            <w:r w:rsidRPr="00173B02">
              <w:rPr>
                <w:lang w:eastAsia="en-AU"/>
              </w:rPr>
              <w:t>2nd least disadvantaged (20%)</w:t>
            </w:r>
          </w:p>
        </w:tc>
        <w:tc>
          <w:tcPr>
            <w:tcW w:w="946" w:type="dxa"/>
            <w:tcBorders>
              <w:top w:val="nil"/>
              <w:left w:val="single" w:sz="4" w:space="0" w:color="ADD6EA"/>
              <w:bottom w:val="nil"/>
            </w:tcBorders>
            <w:shd w:val="clear" w:color="auto" w:fill="auto"/>
            <w:noWrap/>
            <w:vAlign w:val="bottom"/>
            <w:hideMark/>
          </w:tcPr>
          <w:p w14:paraId="3230ED49" w14:textId="77777777" w:rsidR="007E365E" w:rsidRPr="00173B02" w:rsidRDefault="007E365E" w:rsidP="007D1D77">
            <w:pPr>
              <w:pStyle w:val="CGCTablerow"/>
              <w:rPr>
                <w:lang w:eastAsia="en-AU"/>
              </w:rPr>
            </w:pPr>
          </w:p>
        </w:tc>
        <w:tc>
          <w:tcPr>
            <w:tcW w:w="1914" w:type="dxa"/>
            <w:tcBorders>
              <w:top w:val="nil"/>
              <w:bottom w:val="nil"/>
            </w:tcBorders>
            <w:shd w:val="clear" w:color="auto" w:fill="auto"/>
            <w:noWrap/>
            <w:vAlign w:val="bottom"/>
            <w:hideMark/>
          </w:tcPr>
          <w:p w14:paraId="1A0BE336" w14:textId="77777777" w:rsidR="007E365E" w:rsidRPr="00173B02" w:rsidRDefault="007E365E" w:rsidP="007D1D77">
            <w:pPr>
              <w:pStyle w:val="CGCTablerow"/>
              <w:rPr>
                <w:rFonts w:ascii="Times New Roman" w:hAnsi="Times New Roman" w:cs="Times New Roman"/>
                <w:lang w:eastAsia="en-AU"/>
              </w:rPr>
            </w:pPr>
          </w:p>
        </w:tc>
      </w:tr>
      <w:tr w:rsidR="007E365E" w:rsidRPr="00173B02" w14:paraId="58597BEB" w14:textId="77777777" w:rsidTr="007D1D77">
        <w:trPr>
          <w:trHeight w:val="317"/>
        </w:trPr>
        <w:tc>
          <w:tcPr>
            <w:tcW w:w="2900" w:type="dxa"/>
            <w:tcBorders>
              <w:top w:val="nil"/>
            </w:tcBorders>
            <w:shd w:val="clear" w:color="auto" w:fill="auto"/>
            <w:noWrap/>
            <w:vAlign w:val="bottom"/>
            <w:hideMark/>
          </w:tcPr>
          <w:p w14:paraId="211C2854" w14:textId="77777777" w:rsidR="007E365E" w:rsidRPr="00173B02" w:rsidRDefault="007E365E" w:rsidP="007D1D77">
            <w:pPr>
              <w:pStyle w:val="CGCTablerow"/>
              <w:rPr>
                <w:lang w:eastAsia="en-AU"/>
              </w:rPr>
            </w:pPr>
            <w:r w:rsidRPr="00173B02">
              <w:rPr>
                <w:lang w:eastAsia="en-AU"/>
              </w:rPr>
              <w:t> </w:t>
            </w:r>
          </w:p>
        </w:tc>
        <w:tc>
          <w:tcPr>
            <w:tcW w:w="3100" w:type="dxa"/>
            <w:tcBorders>
              <w:top w:val="nil"/>
              <w:right w:val="single" w:sz="4" w:space="0" w:color="ADD6EA"/>
            </w:tcBorders>
            <w:shd w:val="clear" w:color="auto" w:fill="auto"/>
            <w:noWrap/>
            <w:vAlign w:val="bottom"/>
            <w:hideMark/>
          </w:tcPr>
          <w:p w14:paraId="5043EBFE" w14:textId="77777777" w:rsidR="007E365E" w:rsidRPr="00173B02" w:rsidRDefault="007E365E" w:rsidP="007D1D77">
            <w:pPr>
              <w:pStyle w:val="CGCTablerow"/>
              <w:rPr>
                <w:lang w:eastAsia="en-AU"/>
              </w:rPr>
            </w:pPr>
            <w:r w:rsidRPr="00173B02">
              <w:rPr>
                <w:lang w:eastAsia="en-AU"/>
              </w:rPr>
              <w:t>Least disadvantaged (20%)</w:t>
            </w:r>
          </w:p>
        </w:tc>
        <w:tc>
          <w:tcPr>
            <w:tcW w:w="946" w:type="dxa"/>
            <w:tcBorders>
              <w:top w:val="nil"/>
              <w:left w:val="single" w:sz="4" w:space="0" w:color="ADD6EA"/>
            </w:tcBorders>
            <w:shd w:val="clear" w:color="auto" w:fill="auto"/>
            <w:noWrap/>
            <w:vAlign w:val="bottom"/>
            <w:hideMark/>
          </w:tcPr>
          <w:p w14:paraId="58C14211" w14:textId="77777777" w:rsidR="007E365E" w:rsidRPr="00173B02" w:rsidRDefault="007E365E" w:rsidP="007D1D77">
            <w:pPr>
              <w:pStyle w:val="CGCTablerow"/>
              <w:rPr>
                <w:lang w:eastAsia="en-AU"/>
              </w:rPr>
            </w:pPr>
            <w:r w:rsidRPr="00173B02">
              <w:rPr>
                <w:lang w:eastAsia="en-AU"/>
              </w:rPr>
              <w:t> </w:t>
            </w:r>
          </w:p>
        </w:tc>
        <w:tc>
          <w:tcPr>
            <w:tcW w:w="1914" w:type="dxa"/>
            <w:tcBorders>
              <w:top w:val="nil"/>
            </w:tcBorders>
            <w:shd w:val="clear" w:color="auto" w:fill="auto"/>
            <w:noWrap/>
            <w:vAlign w:val="bottom"/>
            <w:hideMark/>
          </w:tcPr>
          <w:p w14:paraId="09107B5E" w14:textId="77777777" w:rsidR="007E365E" w:rsidRPr="00173B02" w:rsidRDefault="007E365E" w:rsidP="007D1D77">
            <w:pPr>
              <w:pStyle w:val="CGCTablerow"/>
              <w:rPr>
                <w:lang w:eastAsia="en-AU"/>
              </w:rPr>
            </w:pPr>
            <w:r w:rsidRPr="00173B02">
              <w:rPr>
                <w:lang w:eastAsia="en-AU"/>
              </w:rPr>
              <w:t> </w:t>
            </w:r>
          </w:p>
        </w:tc>
      </w:tr>
    </w:tbl>
    <w:p w14:paraId="7BF3DE1A" w14:textId="77777777" w:rsidR="007E365E" w:rsidRPr="00173B02" w:rsidRDefault="007E365E" w:rsidP="007E365E">
      <w:pPr>
        <w:pStyle w:val="CGCTablenote"/>
      </w:pPr>
      <w:r w:rsidRPr="008577E5">
        <w:t>(a</w:t>
      </w:r>
      <w:r>
        <w:t>)</w:t>
      </w:r>
      <w:r>
        <w:tab/>
      </w:r>
      <w:r w:rsidRPr="00173B02">
        <w:t>SES is measured using Indigenous Relative Socioeconomic Outcomes (IRSEO) for the Indigenous population and Non-Indigenous Socio-Economic Index for Areas (NISEIFA) for the non-Indigenous population.</w:t>
      </w:r>
    </w:p>
    <w:p w14:paraId="559C95B0" w14:textId="77777777" w:rsidR="007E365E" w:rsidRPr="00173B02" w:rsidRDefault="007E365E" w:rsidP="007E365E">
      <w:pPr>
        <w:pStyle w:val="CGCTablenote"/>
      </w:pPr>
      <w:r w:rsidRPr="00173B02">
        <w:t>Source:</w:t>
      </w:r>
      <w:r w:rsidRPr="00173B02">
        <w:tab/>
        <w:t>Commission decision.</w:t>
      </w:r>
    </w:p>
    <w:p w14:paraId="73275FB8" w14:textId="77777777" w:rsidR="007E365E" w:rsidRPr="00173B02" w:rsidRDefault="007E365E" w:rsidP="007E365E">
      <w:pPr>
        <w:pStyle w:val="Heading5"/>
      </w:pPr>
      <w:r w:rsidRPr="00173B02">
        <w:t>Indigenous status and SES</w:t>
      </w:r>
    </w:p>
    <w:p w14:paraId="48900D6E" w14:textId="77777777" w:rsidR="007E365E" w:rsidRPr="00A16B5B" w:rsidRDefault="007E365E" w:rsidP="007E365E">
      <w:pPr>
        <w:pStyle w:val="CGCParaNumber"/>
      </w:pPr>
      <w:r w:rsidRPr="00A16B5B">
        <w:t>Police proceedings against the Indigenous people are eight times more per capita than non</w:t>
      </w:r>
      <w:r w:rsidRPr="00A16B5B">
        <w:noBreakHyphen/>
        <w:t>Indigenous people. Therefore, Indigeneity is an important factor to consider when assessing disabilities related to the number of offenders.</w:t>
      </w:r>
    </w:p>
    <w:p w14:paraId="59600AE7" w14:textId="269363AB" w:rsidR="007E365E" w:rsidRPr="00A16B5B" w:rsidRDefault="007E365E" w:rsidP="007E365E">
      <w:pPr>
        <w:pStyle w:val="CGCParaNumber"/>
      </w:pPr>
      <w:r w:rsidRPr="00A16B5B">
        <w:t xml:space="preserve">While generally, offender rates for Indigenous people are lower for Indigenous people from less disadvantaged areas, the available data did not identify a uniform decrease in offender rates, as shown in </w:t>
      </w:r>
      <w:r w:rsidRPr="00A16B5B">
        <w:fldChar w:fldCharType="begin"/>
      </w:r>
      <w:r w:rsidRPr="00A16B5B">
        <w:instrText xml:space="preserve"> REF _Ref536007382 \h  \* MERGEFORMAT </w:instrText>
      </w:r>
      <w:r w:rsidRPr="00A16B5B">
        <w:fldChar w:fldCharType="separate"/>
      </w:r>
      <w:r w:rsidR="007F721A" w:rsidRPr="00173B02">
        <w:t xml:space="preserve">Figure </w:t>
      </w:r>
      <w:r w:rsidR="007F721A">
        <w:t>19-2</w:t>
      </w:r>
      <w:r w:rsidRPr="00A16B5B">
        <w:fldChar w:fldCharType="end"/>
      </w:r>
      <w:r w:rsidRPr="00A16B5B">
        <w:t>. A simplified three-group set of Indigenous SES groups (Indigenous Relative Socioeconomic Outcomes — IRSEO) appears to assess the SES of the Indigenous population as accurately as the available data will allow.</w:t>
      </w:r>
    </w:p>
    <w:p w14:paraId="548F26DE" w14:textId="77777777" w:rsidR="007E365E" w:rsidRPr="00A16B5B" w:rsidRDefault="007E365E" w:rsidP="007E365E">
      <w:pPr>
        <w:pStyle w:val="CGCParaNumber"/>
      </w:pPr>
      <w:r w:rsidRPr="00A16B5B">
        <w:t>For the non-Indigenous population, a clearer relationship of lower offender rates in less disadvantaged areas is observable. As such the Commission is using five non</w:t>
      </w:r>
      <w:r w:rsidRPr="00A16B5B">
        <w:noBreakHyphen/>
        <w:t>Indigenous socio-economic index for areas (NISEIFA) quintiles to assess the non</w:t>
      </w:r>
      <w:r w:rsidRPr="00A16B5B">
        <w:noBreakHyphen/>
        <w:t>Indigenous offending population to capture the effect of SES on offender rates.</w:t>
      </w:r>
    </w:p>
    <w:p w14:paraId="12D30285" w14:textId="6D0ED7B1" w:rsidR="007E365E" w:rsidRPr="00173B02" w:rsidRDefault="007E365E" w:rsidP="007E365E">
      <w:pPr>
        <w:pStyle w:val="Caption"/>
      </w:pPr>
      <w:bookmarkStart w:id="32" w:name="_Ref536007382"/>
      <w:r w:rsidRPr="00173B02">
        <w:lastRenderedPageBreak/>
        <w:t xml:space="preserve">Figure </w:t>
      </w:r>
      <w:r>
        <w:t>19-</w:t>
      </w:r>
      <w:fldSimple w:instr=" SEQ Figure \* ARABIC ">
        <w:r w:rsidR="007F721A">
          <w:rPr>
            <w:noProof/>
          </w:rPr>
          <w:t>2</w:t>
        </w:r>
      </w:fldSimple>
      <w:bookmarkEnd w:id="32"/>
      <w:r>
        <w:rPr>
          <w:noProof/>
        </w:rPr>
        <w:tab/>
      </w:r>
      <w:r w:rsidRPr="00173B02">
        <w:t>Offence rates by SES, average of 2015-16 and 2016-17</w:t>
      </w:r>
    </w:p>
    <w:p w14:paraId="4414630F" w14:textId="77777777" w:rsidR="007E365E" w:rsidRPr="00173B02" w:rsidRDefault="007E365E" w:rsidP="007E365E">
      <w:pPr>
        <w:pStyle w:val="NoSpacing"/>
      </w:pPr>
      <w:r w:rsidRPr="00312F42">
        <w:rPr>
          <w:noProof/>
        </w:rPr>
        <w:drawing>
          <wp:inline distT="0" distB="0" distL="0" distR="0" wp14:anchorId="49775028" wp14:editId="014ADA37">
            <wp:extent cx="5677535" cy="3434715"/>
            <wp:effectExtent l="0" t="0" r="0" b="0"/>
            <wp:docPr id="29" name="Picture 29" descr="A column graph showing offence rates for SES quintiles for the Indigenous and non-Indigenou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7535" cy="3434715"/>
                    </a:xfrm>
                    <a:prstGeom prst="rect">
                      <a:avLst/>
                    </a:prstGeom>
                    <a:noFill/>
                    <a:ln>
                      <a:noFill/>
                    </a:ln>
                  </pic:spPr>
                </pic:pic>
              </a:graphicData>
            </a:graphic>
          </wp:inline>
        </w:drawing>
      </w:r>
    </w:p>
    <w:p w14:paraId="5D291FDF" w14:textId="77777777" w:rsidR="007E365E" w:rsidRPr="00607A5A" w:rsidRDefault="007E365E" w:rsidP="007E365E">
      <w:pPr>
        <w:pStyle w:val="CGCTablenote"/>
      </w:pPr>
      <w:r w:rsidRPr="00607A5A">
        <w:t>Source:</w:t>
      </w:r>
      <w:r w:rsidRPr="00607A5A">
        <w:tab/>
        <w:t>Commission calculation based on State provided data.</w:t>
      </w:r>
    </w:p>
    <w:p w14:paraId="0DB89DA9" w14:textId="77777777" w:rsidR="007E365E" w:rsidRPr="00173B02" w:rsidRDefault="007E365E" w:rsidP="007E365E">
      <w:pPr>
        <w:pStyle w:val="Heading5"/>
      </w:pPr>
      <w:r w:rsidRPr="00173B02">
        <w:t>Age</w:t>
      </w:r>
    </w:p>
    <w:p w14:paraId="7E85023B" w14:textId="216E1822" w:rsidR="007E365E" w:rsidRPr="00173B02" w:rsidRDefault="007E365E" w:rsidP="007E365E">
      <w:pPr>
        <w:pStyle w:val="CGCParaNumber"/>
      </w:pPr>
      <w:r w:rsidRPr="00173B02">
        <w:t xml:space="preserve">The offender rate varies significantly by age, with 15-44 year olds having considerably higher offender rates than other age groups as shown in </w:t>
      </w:r>
      <w:r w:rsidRPr="00173B02">
        <w:fldChar w:fldCharType="begin"/>
      </w:r>
      <w:r w:rsidRPr="00173B02">
        <w:instrText xml:space="preserve"> REF _Ref3795505 \h </w:instrText>
      </w:r>
      <w:r>
        <w:instrText xml:space="preserve"> \* MERGEFORMAT </w:instrText>
      </w:r>
      <w:r w:rsidRPr="00173B02">
        <w:fldChar w:fldCharType="separate"/>
      </w:r>
      <w:r w:rsidR="007F721A" w:rsidRPr="00173B02">
        <w:t xml:space="preserve">Figure </w:t>
      </w:r>
      <w:r w:rsidR="007F721A">
        <w:rPr>
          <w:noProof/>
        </w:rPr>
        <w:t>19-3</w:t>
      </w:r>
      <w:r w:rsidRPr="00173B02">
        <w:fldChar w:fldCharType="end"/>
      </w:r>
      <w:r w:rsidRPr="00173B02">
        <w:t>, with very low rates for the 0</w:t>
      </w:r>
      <w:r>
        <w:noBreakHyphen/>
      </w:r>
      <w:r w:rsidRPr="00173B02">
        <w:t>14 and 65+ age groups.</w:t>
      </w:r>
      <w:r w:rsidRPr="00173B02">
        <w:rPr>
          <w:rStyle w:val="FootnoteReference"/>
        </w:rPr>
        <w:footnoteReference w:id="4"/>
      </w:r>
    </w:p>
    <w:p w14:paraId="4FB38738" w14:textId="7AC10800" w:rsidR="007E365E" w:rsidRPr="00173B02" w:rsidRDefault="007E365E" w:rsidP="007E365E">
      <w:pPr>
        <w:pStyle w:val="Caption"/>
      </w:pPr>
      <w:bookmarkStart w:id="33" w:name="_Ref3795505"/>
      <w:r w:rsidRPr="00173B02">
        <w:lastRenderedPageBreak/>
        <w:t xml:space="preserve">Figure </w:t>
      </w:r>
      <w:r>
        <w:t>19-</w:t>
      </w:r>
      <w:fldSimple w:instr=" SEQ Figure \* ARABIC ">
        <w:r w:rsidR="007F721A">
          <w:rPr>
            <w:noProof/>
          </w:rPr>
          <w:t>3</w:t>
        </w:r>
      </w:fldSimple>
      <w:bookmarkEnd w:id="33"/>
      <w:r w:rsidRPr="00173B02">
        <w:tab/>
        <w:t>Offence rates by age and Indigenous status, average of 2015-16 and 2016</w:t>
      </w:r>
      <w:r w:rsidRPr="00173B02">
        <w:noBreakHyphen/>
        <w:t>17</w:t>
      </w:r>
    </w:p>
    <w:p w14:paraId="35575DDD" w14:textId="77777777" w:rsidR="007E365E" w:rsidRPr="00173B02" w:rsidRDefault="007E365E" w:rsidP="007E365E">
      <w:r w:rsidRPr="00893FC4">
        <w:rPr>
          <w:noProof/>
        </w:rPr>
        <w:drawing>
          <wp:inline distT="0" distB="0" distL="0" distR="0" wp14:anchorId="2FA20EA1" wp14:editId="7717F520">
            <wp:extent cx="5683885" cy="3419475"/>
            <wp:effectExtent l="0" t="0" r="0" b="9525"/>
            <wp:docPr id="30" name="Picture 30" descr="A column graphs showing offence rate for five age groups for the Indigenous and non-Indigenou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3885" cy="3419475"/>
                    </a:xfrm>
                    <a:prstGeom prst="rect">
                      <a:avLst/>
                    </a:prstGeom>
                    <a:noFill/>
                    <a:ln>
                      <a:noFill/>
                    </a:ln>
                  </pic:spPr>
                </pic:pic>
              </a:graphicData>
            </a:graphic>
          </wp:inline>
        </w:drawing>
      </w:r>
    </w:p>
    <w:p w14:paraId="73B8BE0D" w14:textId="77777777" w:rsidR="007E365E" w:rsidRPr="00173B02" w:rsidRDefault="007E365E" w:rsidP="007E365E">
      <w:pPr>
        <w:pStyle w:val="CGCTablenote"/>
      </w:pPr>
      <w:r w:rsidRPr="00173B02">
        <w:t>Source:</w:t>
      </w:r>
      <w:r w:rsidRPr="00173B02">
        <w:tab/>
        <w:t>Commission calculation based on State provided data.</w:t>
      </w:r>
    </w:p>
    <w:p w14:paraId="115FDF9A" w14:textId="77777777" w:rsidR="007E365E" w:rsidRPr="00173B02" w:rsidRDefault="007E365E" w:rsidP="007E365E">
      <w:pPr>
        <w:pStyle w:val="Heading5"/>
      </w:pPr>
      <w:r w:rsidRPr="00173B02">
        <w:t>Remote service use</w:t>
      </w:r>
    </w:p>
    <w:p w14:paraId="2611D98F" w14:textId="4FB5204F" w:rsidR="007E365E" w:rsidRPr="00BE65FD" w:rsidRDefault="007E365E" w:rsidP="007E365E">
      <w:pPr>
        <w:pStyle w:val="CGCParaNumber"/>
      </w:pPr>
      <w:r w:rsidRPr="00BE65FD">
        <w:t xml:space="preserve">There is no clear or consistent relation between remoteness and offender rates, as shown in </w:t>
      </w:r>
      <w:r w:rsidRPr="00BE65FD">
        <w:fldChar w:fldCharType="begin"/>
      </w:r>
      <w:r w:rsidRPr="00BE65FD">
        <w:instrText xml:space="preserve"> REF _Ref529344143 \h  \* MERGEFORMAT </w:instrText>
      </w:r>
      <w:r w:rsidRPr="00BE65FD">
        <w:fldChar w:fldCharType="separate"/>
      </w:r>
      <w:r w:rsidR="007F721A" w:rsidRPr="00173B02">
        <w:t xml:space="preserve">Figure </w:t>
      </w:r>
      <w:r w:rsidR="007F721A">
        <w:t>19-4</w:t>
      </w:r>
      <w:r w:rsidRPr="00BE65FD">
        <w:fldChar w:fldCharType="end"/>
      </w:r>
      <w:r w:rsidRPr="00BE65FD">
        <w:t xml:space="preserve"> and </w:t>
      </w:r>
      <w:r w:rsidRPr="00BE65FD">
        <w:fldChar w:fldCharType="begin"/>
      </w:r>
      <w:r w:rsidRPr="00BE65FD">
        <w:instrText xml:space="preserve"> REF _Ref529344148 \h  \* MERGEFORMAT </w:instrText>
      </w:r>
      <w:r w:rsidRPr="00BE65FD">
        <w:fldChar w:fldCharType="separate"/>
      </w:r>
      <w:r w:rsidR="007F721A" w:rsidRPr="00173B02">
        <w:t xml:space="preserve">Figure </w:t>
      </w:r>
      <w:r w:rsidR="007F721A">
        <w:t>19-5</w:t>
      </w:r>
      <w:r w:rsidRPr="00BE65FD">
        <w:fldChar w:fldCharType="end"/>
      </w:r>
      <w:r w:rsidRPr="00BE65FD">
        <w:t xml:space="preserve">. For the Indigenous population, even at the national level, it is not clear whether offender rates increase or decrease with remoteness. For the non-Indigenous population, there is some support in the data that remote areas probably have marginally lower offender rates than non-remote areas, although this pattern is far from clear or consistent across the country. In the absence of compelling evidence that offender rates vary with remoteness, remoteness has not been included in the offender use rate profile. </w:t>
      </w:r>
    </w:p>
    <w:p w14:paraId="15D408C9" w14:textId="77777777" w:rsidR="007E365E" w:rsidRPr="00173B02" w:rsidRDefault="007E365E" w:rsidP="007E365E"/>
    <w:p w14:paraId="0261C597" w14:textId="1239612F" w:rsidR="007E365E" w:rsidRPr="00173B02" w:rsidRDefault="007E365E" w:rsidP="007E365E">
      <w:pPr>
        <w:pStyle w:val="Caption"/>
      </w:pPr>
      <w:bookmarkStart w:id="34" w:name="_Ref529344143"/>
      <w:r w:rsidRPr="00173B02">
        <w:lastRenderedPageBreak/>
        <w:t xml:space="preserve">Figure </w:t>
      </w:r>
      <w:r>
        <w:t>19-</w:t>
      </w:r>
      <w:fldSimple w:instr=" SEQ Figure \* ARABIC ">
        <w:r w:rsidR="007F721A">
          <w:rPr>
            <w:noProof/>
          </w:rPr>
          <w:t>4</w:t>
        </w:r>
      </w:fldSimple>
      <w:bookmarkEnd w:id="34"/>
      <w:r>
        <w:rPr>
          <w:noProof/>
        </w:rPr>
        <w:tab/>
      </w:r>
      <w:r w:rsidRPr="00173B02">
        <w:t>Indigenous offence rates by remoteness, average of 2015-16 and 2016-17</w:t>
      </w:r>
    </w:p>
    <w:p w14:paraId="7BE5D8AA" w14:textId="77777777" w:rsidR="007E365E" w:rsidRPr="00173B02" w:rsidRDefault="007E365E" w:rsidP="007E365E">
      <w:pPr>
        <w:pStyle w:val="NoSpacing"/>
      </w:pPr>
      <w:r w:rsidRPr="00F0170E">
        <w:rPr>
          <w:noProof/>
        </w:rPr>
        <w:drawing>
          <wp:inline distT="0" distB="0" distL="0" distR="0" wp14:anchorId="6D23D2A2" wp14:editId="125478C8">
            <wp:extent cx="5683885" cy="3434080"/>
            <wp:effectExtent l="0" t="0" r="0" b="0"/>
            <wp:docPr id="31" name="Picture 31" descr="A column graph showing offence rates for the Indigenous population broken down by remoteness area for each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3885" cy="3434080"/>
                    </a:xfrm>
                    <a:prstGeom prst="rect">
                      <a:avLst/>
                    </a:prstGeom>
                    <a:noFill/>
                    <a:ln>
                      <a:noFill/>
                    </a:ln>
                  </pic:spPr>
                </pic:pic>
              </a:graphicData>
            </a:graphic>
          </wp:inline>
        </w:drawing>
      </w:r>
    </w:p>
    <w:p w14:paraId="3BB5F569" w14:textId="77777777" w:rsidR="007E365E" w:rsidRPr="00173B02" w:rsidRDefault="007E365E" w:rsidP="007E365E">
      <w:pPr>
        <w:pStyle w:val="CGCTablenote"/>
      </w:pPr>
      <w:r w:rsidRPr="00173B02">
        <w:t>Source:</w:t>
      </w:r>
      <w:r w:rsidRPr="00173B02">
        <w:tab/>
        <w:t>Commission calculation based on State provided data.</w:t>
      </w:r>
    </w:p>
    <w:p w14:paraId="4E948D18" w14:textId="103161A2" w:rsidR="007E365E" w:rsidRPr="00173B02" w:rsidRDefault="007E365E" w:rsidP="007E365E">
      <w:pPr>
        <w:pStyle w:val="Caption"/>
      </w:pPr>
      <w:bookmarkStart w:id="35" w:name="_Ref529344148"/>
      <w:r w:rsidRPr="00173B02">
        <w:t xml:space="preserve">Figure </w:t>
      </w:r>
      <w:r>
        <w:t>19-</w:t>
      </w:r>
      <w:fldSimple w:instr=" SEQ Figure \* ARABIC ">
        <w:r w:rsidR="007F721A">
          <w:rPr>
            <w:noProof/>
          </w:rPr>
          <w:t>5</w:t>
        </w:r>
      </w:fldSimple>
      <w:bookmarkEnd w:id="35"/>
      <w:r>
        <w:rPr>
          <w:noProof/>
        </w:rPr>
        <w:tab/>
      </w:r>
      <w:r w:rsidRPr="00173B02">
        <w:tab/>
        <w:t xml:space="preserve">Non-Indigenous offence rates by remoteness, average of 2015-16 </w:t>
      </w:r>
      <w:r>
        <w:t>&amp;</w:t>
      </w:r>
      <w:r w:rsidRPr="00173B02">
        <w:t xml:space="preserve"> 2016-17</w:t>
      </w:r>
    </w:p>
    <w:p w14:paraId="33F5A44A" w14:textId="77777777" w:rsidR="007E365E" w:rsidRPr="00173B02" w:rsidRDefault="007E365E" w:rsidP="007E365E">
      <w:pPr>
        <w:pStyle w:val="NoSpacing"/>
      </w:pPr>
      <w:r w:rsidRPr="00457EAB">
        <w:rPr>
          <w:noProof/>
        </w:rPr>
        <w:drawing>
          <wp:inline distT="0" distB="0" distL="0" distR="0" wp14:anchorId="4DAA41BC" wp14:editId="17A8A22A">
            <wp:extent cx="5683885" cy="3429000"/>
            <wp:effectExtent l="0" t="0" r="0" b="0"/>
            <wp:docPr id="32" name="Picture 32" descr="A column graph showing offence rates for the non-Indigenous population broken down by remoteness area for each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3885" cy="3429000"/>
                    </a:xfrm>
                    <a:prstGeom prst="rect">
                      <a:avLst/>
                    </a:prstGeom>
                    <a:noFill/>
                    <a:ln>
                      <a:noFill/>
                    </a:ln>
                  </pic:spPr>
                </pic:pic>
              </a:graphicData>
            </a:graphic>
          </wp:inline>
        </w:drawing>
      </w:r>
    </w:p>
    <w:p w14:paraId="71AC8B2A" w14:textId="77777777" w:rsidR="007E365E" w:rsidRPr="00173B02" w:rsidRDefault="007E365E" w:rsidP="007E365E">
      <w:pPr>
        <w:pStyle w:val="CGCTablenote"/>
      </w:pPr>
      <w:r w:rsidRPr="00173B02">
        <w:t>Source:</w:t>
      </w:r>
      <w:r w:rsidRPr="00173B02">
        <w:tab/>
        <w:t>Commission calculation based on State provided data.</w:t>
      </w:r>
    </w:p>
    <w:p w14:paraId="0363B3C3" w14:textId="77777777" w:rsidR="007E365E" w:rsidRPr="00173B02" w:rsidRDefault="007E365E" w:rsidP="007E365E">
      <w:pPr>
        <w:pStyle w:val="Heading5"/>
      </w:pPr>
      <w:r w:rsidRPr="00173B02">
        <w:t>Wage costs</w:t>
      </w:r>
    </w:p>
    <w:p w14:paraId="22F3E9BA" w14:textId="77777777" w:rsidR="007E365E" w:rsidRPr="00173B02" w:rsidRDefault="007E365E" w:rsidP="007E365E">
      <w:pPr>
        <w:pStyle w:val="CGCParaNumber"/>
      </w:pPr>
      <w:r w:rsidRPr="00173B02">
        <w:t>Differences in wage costs between States have a differential effect on the cost of providing services. There is a general method for measuring the influence of wage costs in components where the disability applies. For a description of the method, see Chapter 27 Wage costs.</w:t>
      </w:r>
    </w:p>
    <w:p w14:paraId="025A4CA8" w14:textId="77777777" w:rsidR="007E365E" w:rsidRPr="00173B02" w:rsidRDefault="007E365E" w:rsidP="007E365E">
      <w:pPr>
        <w:pStyle w:val="Heading5"/>
      </w:pPr>
      <w:r w:rsidRPr="00173B02">
        <w:lastRenderedPageBreak/>
        <w:t>National capital</w:t>
      </w:r>
    </w:p>
    <w:p w14:paraId="5D3B7277" w14:textId="77777777" w:rsidR="007E365E" w:rsidRPr="00173B02" w:rsidRDefault="007E365E" w:rsidP="007E365E">
      <w:pPr>
        <w:pStyle w:val="CGCParaNumber"/>
      </w:pPr>
      <w:r w:rsidRPr="00173B02">
        <w:t xml:space="preserve">The police assessment includes a national capital allowance for police services, recognising the higher salaries paid to </w:t>
      </w:r>
      <w:r>
        <w:t>AFP</w:t>
      </w:r>
      <w:r w:rsidRPr="00173B02">
        <w:t xml:space="preserve"> staff compared to staff of State police forces and the legislated use of this service by the ACT (see Chapter 29 Other disabilities).</w:t>
      </w:r>
    </w:p>
    <w:p w14:paraId="4CA32A3B" w14:textId="77777777" w:rsidR="007E365E" w:rsidRPr="00173B02" w:rsidRDefault="007E365E" w:rsidP="007E365E">
      <w:pPr>
        <w:pStyle w:val="Heading5"/>
      </w:pPr>
      <w:r w:rsidRPr="00173B02">
        <w:t>Data and methods</w:t>
      </w:r>
    </w:p>
    <w:p w14:paraId="2A97F29A" w14:textId="77777777" w:rsidR="007E365E" w:rsidRPr="00173B02" w:rsidRDefault="007E365E" w:rsidP="007E365E">
      <w:pPr>
        <w:pStyle w:val="CGCParaNumber"/>
      </w:pPr>
      <w:r w:rsidRPr="00173B02">
        <w:t>The policing task is based upon cost-weighted populations and cost-weighted assessed offenders. The cost weights were derived from regression analysis of a model of police spending patterns developed by the Commission based upon State provided data.</w:t>
      </w:r>
    </w:p>
    <w:p w14:paraId="2242B745" w14:textId="77777777" w:rsidR="007E365E" w:rsidRPr="00173B02" w:rsidRDefault="007E365E" w:rsidP="007E365E">
      <w:pPr>
        <w:pStyle w:val="CGCParaNumber"/>
        <w:rPr>
          <w:noProof/>
          <w:lang w:eastAsia="en-AU"/>
        </w:rPr>
      </w:pPr>
      <w:r w:rsidRPr="00173B02">
        <w:t xml:space="preserve">The number of assessed offenders is calculated by applying the national offending rates of the population, cross-classified by Indigenous status, SES and age, to those population groups in each State. The weighted policing task is assessed by applying different cost weights per capita for each remoteness area, plus an additional cost weight for each assessed offender. Total national </w:t>
      </w:r>
      <w:r>
        <w:t>government finance statistics (</w:t>
      </w:r>
      <w:r w:rsidRPr="00173B02">
        <w:t>GFS</w:t>
      </w:r>
      <w:r>
        <w:t>)</w:t>
      </w:r>
      <w:r w:rsidRPr="00173B02">
        <w:t xml:space="preserve"> spending is then allocated between the States in proportion to their share of the </w:t>
      </w:r>
      <w:r w:rsidRPr="00173B02">
        <w:rPr>
          <w:noProof/>
          <w:lang w:eastAsia="en-AU"/>
        </w:rPr>
        <w:t>weighted policing task.</w:t>
      </w:r>
    </w:p>
    <w:p w14:paraId="747D83D1" w14:textId="79D173D2" w:rsidR="007E365E" w:rsidRPr="00173B02" w:rsidRDefault="007E365E" w:rsidP="007E365E">
      <w:pPr>
        <w:pStyle w:val="CGCParaNumber"/>
        <w:rPr>
          <w:noProof/>
          <w:lang w:eastAsia="en-AU"/>
        </w:rPr>
      </w:pPr>
      <w:r w:rsidRPr="00173B02">
        <w:fldChar w:fldCharType="begin"/>
      </w:r>
      <w:r w:rsidRPr="00173B02">
        <w:instrText xml:space="preserve"> REF _Ref2351999 \h </w:instrText>
      </w:r>
      <w:r>
        <w:instrText xml:space="preserve"> \* MERGEFORMAT </w:instrText>
      </w:r>
      <w:r w:rsidRPr="00173B02">
        <w:fldChar w:fldCharType="separate"/>
      </w:r>
      <w:r w:rsidR="007F721A" w:rsidRPr="00173B02">
        <w:t xml:space="preserve">Table </w:t>
      </w:r>
      <w:r w:rsidR="007F721A">
        <w:rPr>
          <w:noProof/>
        </w:rPr>
        <w:t>19-7</w:t>
      </w:r>
      <w:r w:rsidRPr="00173B02">
        <w:fldChar w:fldCharType="end"/>
      </w:r>
      <w:r w:rsidRPr="00173B02">
        <w:t xml:space="preserve"> shows the calculation of the policing task for 201</w:t>
      </w:r>
      <w:r>
        <w:t>8</w:t>
      </w:r>
      <w:r w:rsidRPr="00173B02">
        <w:noBreakHyphen/>
        <w:t>1</w:t>
      </w:r>
      <w:r>
        <w:t>9</w:t>
      </w:r>
      <w:r w:rsidRPr="00173B02">
        <w:t xml:space="preserve">. The per capita cost weights are applied to the population of each remoteness area for the assessment year. The offender cost weight of </w:t>
      </w:r>
      <w:r>
        <w:t>20</w:t>
      </w:r>
      <w:r w:rsidRPr="00173B02">
        <w:t xml:space="preserve"> is applied to the number of assessed offenders for the assessment year. Together these sum to the total weighted policing task. This weighted policing task of 4</w:t>
      </w:r>
      <w:r>
        <w:t>6 </w:t>
      </w:r>
      <w:r w:rsidRPr="00173B02">
        <w:t>million units is scaled to match the $1</w:t>
      </w:r>
      <w:r>
        <w:t>1</w:t>
      </w:r>
      <w:r w:rsidRPr="00173B02">
        <w:t>.</w:t>
      </w:r>
      <w:r>
        <w:t>3</w:t>
      </w:r>
      <w:r w:rsidRPr="00173B02">
        <w:t xml:space="preserve"> billion of GFS State police expenses to derive the policing task assessed expenses (prior to the allocation of the wage costs and national capital disabilities).</w:t>
      </w:r>
    </w:p>
    <w:p w14:paraId="0E36DA25" w14:textId="244785B1" w:rsidR="007E365E" w:rsidRPr="0032582C" w:rsidRDefault="007E365E" w:rsidP="007E365E">
      <w:pPr>
        <w:pStyle w:val="Caption"/>
      </w:pPr>
      <w:bookmarkStart w:id="36" w:name="_Ref2351999"/>
      <w:r w:rsidRPr="00173B02">
        <w:t xml:space="preserve">Table </w:t>
      </w:r>
      <w:r>
        <w:t>19-</w:t>
      </w:r>
      <w:fldSimple w:instr=" SEQ Table \* ARABIC ">
        <w:r w:rsidR="007F721A">
          <w:rPr>
            <w:noProof/>
          </w:rPr>
          <w:t>7</w:t>
        </w:r>
      </w:fldSimple>
      <w:bookmarkEnd w:id="36"/>
      <w:r>
        <w:rPr>
          <w:noProof/>
        </w:rPr>
        <w:tab/>
      </w:r>
      <w:r>
        <w:t>Police</w:t>
      </w:r>
      <w:r w:rsidRPr="00173B02">
        <w:t xml:space="preserve"> assessment, policing task calculations, 201</w:t>
      </w:r>
      <w:r>
        <w:t>8</w:t>
      </w:r>
      <w:r w:rsidRPr="00173B02">
        <w:t>-1</w:t>
      </w:r>
      <w:r>
        <w:t>9</w:t>
      </w:r>
    </w:p>
    <w:tbl>
      <w:tblPr>
        <w:tblW w:w="9411" w:type="dxa"/>
        <w:tblLayout w:type="fixed"/>
        <w:tblCellMar>
          <w:left w:w="0" w:type="dxa"/>
          <w:right w:w="0" w:type="dxa"/>
        </w:tblCellMar>
        <w:tblLook w:val="04A0" w:firstRow="1" w:lastRow="0" w:firstColumn="1" w:lastColumn="0" w:noHBand="0" w:noVBand="1"/>
      </w:tblPr>
      <w:tblGrid>
        <w:gridCol w:w="2740"/>
        <w:gridCol w:w="737"/>
        <w:gridCol w:w="716"/>
        <w:gridCol w:w="716"/>
        <w:gridCol w:w="631"/>
        <w:gridCol w:w="631"/>
        <w:gridCol w:w="631"/>
        <w:gridCol w:w="631"/>
        <w:gridCol w:w="631"/>
        <w:gridCol w:w="631"/>
        <w:gridCol w:w="716"/>
      </w:tblGrid>
      <w:tr w:rsidR="007E365E" w:rsidRPr="00600D3F" w14:paraId="2609C2FE" w14:textId="77777777" w:rsidTr="007D1D77">
        <w:trPr>
          <w:trHeight w:val="555"/>
        </w:trPr>
        <w:tc>
          <w:tcPr>
            <w:tcW w:w="2740" w:type="dxa"/>
            <w:tcBorders>
              <w:top w:val="single" w:sz="4" w:space="0" w:color="ADD6EA"/>
              <w:left w:val="nil"/>
              <w:bottom w:val="single" w:sz="4" w:space="0" w:color="ADD6EA"/>
              <w:right w:val="nil"/>
            </w:tcBorders>
            <w:shd w:val="clear" w:color="000000" w:fill="006991"/>
            <w:noWrap/>
            <w:vAlign w:val="center"/>
            <w:hideMark/>
          </w:tcPr>
          <w:p w14:paraId="695B8299" w14:textId="77777777" w:rsidR="007E365E" w:rsidRPr="00600D3F" w:rsidRDefault="007E365E" w:rsidP="007D1D77">
            <w:pPr>
              <w:keepNext/>
              <w:keepLines/>
              <w:tabs>
                <w:tab w:val="clear" w:pos="567"/>
              </w:tabs>
              <w:spacing w:before="0" w:line="240" w:lineRule="auto"/>
              <w:ind w:left="193" w:hanging="142"/>
              <w:jc w:val="right"/>
              <w:rPr>
                <w:rFonts w:ascii="Open Sans SemiBold" w:eastAsia="Times New Roman" w:hAnsi="Open Sans SemiBold" w:cs="Open Sans SemiBold"/>
                <w:color w:val="FFFFFF"/>
                <w:sz w:val="16"/>
                <w:szCs w:val="16"/>
                <w:lang w:eastAsia="en-AU"/>
              </w:rPr>
            </w:pPr>
            <w:r w:rsidRPr="00600D3F">
              <w:rPr>
                <w:rFonts w:ascii="Open Sans SemiBold" w:eastAsia="Times New Roman" w:hAnsi="Open Sans SemiBold" w:cs="Open Sans SemiBold"/>
                <w:color w:val="FFFFFF"/>
                <w:sz w:val="16"/>
                <w:szCs w:val="16"/>
                <w:lang w:eastAsia="en-AU"/>
              </w:rPr>
              <w:t> </w:t>
            </w:r>
          </w:p>
        </w:tc>
        <w:tc>
          <w:tcPr>
            <w:tcW w:w="737" w:type="dxa"/>
            <w:tcBorders>
              <w:top w:val="single" w:sz="4" w:space="0" w:color="ADD6EA"/>
              <w:left w:val="nil"/>
              <w:bottom w:val="single" w:sz="4" w:space="0" w:color="ADD6EA"/>
              <w:right w:val="nil"/>
            </w:tcBorders>
            <w:shd w:val="clear" w:color="000000" w:fill="006991"/>
            <w:vAlign w:val="center"/>
            <w:hideMark/>
          </w:tcPr>
          <w:p w14:paraId="76AE1A85" w14:textId="77777777" w:rsidR="007E365E" w:rsidRPr="00600D3F" w:rsidRDefault="007E365E" w:rsidP="007D1D77">
            <w:pPr>
              <w:keepNext/>
              <w:keepLines/>
              <w:tabs>
                <w:tab w:val="clear" w:pos="567"/>
              </w:tabs>
              <w:spacing w:before="0" w:line="240" w:lineRule="auto"/>
              <w:rPr>
                <w:rFonts w:ascii="Open Sans SemiBold" w:eastAsia="Times New Roman" w:hAnsi="Open Sans SemiBold" w:cs="Open Sans SemiBold"/>
                <w:color w:val="FFFFFF"/>
                <w:sz w:val="16"/>
                <w:szCs w:val="16"/>
                <w:lang w:eastAsia="en-AU"/>
              </w:rPr>
            </w:pPr>
            <w:r w:rsidRPr="00600D3F">
              <w:rPr>
                <w:rFonts w:ascii="Open Sans SemiBold" w:eastAsia="Times New Roman" w:hAnsi="Open Sans SemiBold" w:cs="Open Sans SemiBold"/>
                <w:color w:val="FFFFFF"/>
                <w:sz w:val="16"/>
                <w:szCs w:val="16"/>
                <w:lang w:eastAsia="en-AU"/>
              </w:rPr>
              <w:t>Cost weight</w:t>
            </w:r>
          </w:p>
        </w:tc>
        <w:tc>
          <w:tcPr>
            <w:tcW w:w="716" w:type="dxa"/>
            <w:tcBorders>
              <w:top w:val="single" w:sz="4" w:space="0" w:color="ADD6EA"/>
              <w:left w:val="nil"/>
              <w:bottom w:val="single" w:sz="4" w:space="0" w:color="ADD6EA"/>
              <w:right w:val="nil"/>
            </w:tcBorders>
            <w:shd w:val="clear" w:color="000000" w:fill="006991"/>
            <w:noWrap/>
            <w:vAlign w:val="center"/>
            <w:hideMark/>
          </w:tcPr>
          <w:p w14:paraId="103C5296" w14:textId="77777777" w:rsidR="007E365E" w:rsidRPr="00600D3F"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0D3F">
              <w:rPr>
                <w:rFonts w:ascii="Open Sans SemiBold" w:eastAsia="Times New Roman" w:hAnsi="Open Sans SemiBold" w:cs="Open Sans SemiBold"/>
                <w:color w:val="FFFFFF"/>
                <w:sz w:val="16"/>
                <w:szCs w:val="16"/>
                <w:lang w:eastAsia="en-AU"/>
              </w:rPr>
              <w:t>NSW</w:t>
            </w:r>
          </w:p>
        </w:tc>
        <w:tc>
          <w:tcPr>
            <w:tcW w:w="716" w:type="dxa"/>
            <w:tcBorders>
              <w:top w:val="single" w:sz="4" w:space="0" w:color="ADD6EA"/>
              <w:left w:val="nil"/>
              <w:bottom w:val="single" w:sz="4" w:space="0" w:color="ADD6EA"/>
              <w:right w:val="nil"/>
            </w:tcBorders>
            <w:shd w:val="clear" w:color="000000" w:fill="006991"/>
            <w:noWrap/>
            <w:vAlign w:val="center"/>
            <w:hideMark/>
          </w:tcPr>
          <w:p w14:paraId="7538F81D" w14:textId="77777777" w:rsidR="007E365E" w:rsidRPr="00600D3F"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0D3F">
              <w:rPr>
                <w:rFonts w:ascii="Open Sans SemiBold" w:eastAsia="Times New Roman" w:hAnsi="Open Sans SemiBold" w:cs="Open Sans SemiBold"/>
                <w:color w:val="FFFFFF"/>
                <w:sz w:val="16"/>
                <w:szCs w:val="16"/>
                <w:lang w:eastAsia="en-AU"/>
              </w:rPr>
              <w:t>Vic</w:t>
            </w:r>
          </w:p>
        </w:tc>
        <w:tc>
          <w:tcPr>
            <w:tcW w:w="631" w:type="dxa"/>
            <w:tcBorders>
              <w:top w:val="single" w:sz="4" w:space="0" w:color="ADD6EA"/>
              <w:left w:val="nil"/>
              <w:bottom w:val="single" w:sz="4" w:space="0" w:color="ADD6EA"/>
              <w:right w:val="nil"/>
            </w:tcBorders>
            <w:shd w:val="clear" w:color="000000" w:fill="006991"/>
            <w:noWrap/>
            <w:vAlign w:val="center"/>
            <w:hideMark/>
          </w:tcPr>
          <w:p w14:paraId="25937682" w14:textId="77777777" w:rsidR="007E365E" w:rsidRPr="00600D3F"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0D3F">
              <w:rPr>
                <w:rFonts w:ascii="Open Sans SemiBold" w:eastAsia="Times New Roman" w:hAnsi="Open Sans SemiBold" w:cs="Open Sans SemiBold"/>
                <w:color w:val="FFFFFF"/>
                <w:sz w:val="16"/>
                <w:szCs w:val="16"/>
                <w:lang w:eastAsia="en-AU"/>
              </w:rPr>
              <w:t>Qld</w:t>
            </w:r>
          </w:p>
        </w:tc>
        <w:tc>
          <w:tcPr>
            <w:tcW w:w="631" w:type="dxa"/>
            <w:tcBorders>
              <w:top w:val="single" w:sz="4" w:space="0" w:color="ADD6EA"/>
              <w:left w:val="nil"/>
              <w:bottom w:val="single" w:sz="4" w:space="0" w:color="ADD6EA"/>
              <w:right w:val="nil"/>
            </w:tcBorders>
            <w:shd w:val="clear" w:color="000000" w:fill="006991"/>
            <w:noWrap/>
            <w:vAlign w:val="center"/>
            <w:hideMark/>
          </w:tcPr>
          <w:p w14:paraId="25362A60" w14:textId="77777777" w:rsidR="007E365E" w:rsidRPr="00600D3F"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0D3F">
              <w:rPr>
                <w:rFonts w:ascii="Open Sans SemiBold" w:eastAsia="Times New Roman" w:hAnsi="Open Sans SemiBold" w:cs="Open Sans SemiBold"/>
                <w:color w:val="FFFFFF"/>
                <w:sz w:val="16"/>
                <w:szCs w:val="16"/>
                <w:lang w:eastAsia="en-AU"/>
              </w:rPr>
              <w:t>WA</w:t>
            </w:r>
          </w:p>
        </w:tc>
        <w:tc>
          <w:tcPr>
            <w:tcW w:w="631" w:type="dxa"/>
            <w:tcBorders>
              <w:top w:val="single" w:sz="4" w:space="0" w:color="ADD6EA"/>
              <w:left w:val="nil"/>
              <w:bottom w:val="single" w:sz="4" w:space="0" w:color="ADD6EA"/>
              <w:right w:val="nil"/>
            </w:tcBorders>
            <w:shd w:val="clear" w:color="000000" w:fill="006991"/>
            <w:noWrap/>
            <w:vAlign w:val="center"/>
            <w:hideMark/>
          </w:tcPr>
          <w:p w14:paraId="2A0473DA" w14:textId="77777777" w:rsidR="007E365E" w:rsidRPr="00600D3F"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0D3F">
              <w:rPr>
                <w:rFonts w:ascii="Open Sans SemiBold" w:eastAsia="Times New Roman" w:hAnsi="Open Sans SemiBold" w:cs="Open Sans SemiBold"/>
                <w:color w:val="FFFFFF"/>
                <w:sz w:val="16"/>
                <w:szCs w:val="16"/>
                <w:lang w:eastAsia="en-AU"/>
              </w:rPr>
              <w:t>SA</w:t>
            </w:r>
          </w:p>
        </w:tc>
        <w:tc>
          <w:tcPr>
            <w:tcW w:w="631" w:type="dxa"/>
            <w:tcBorders>
              <w:top w:val="single" w:sz="4" w:space="0" w:color="ADD6EA"/>
              <w:left w:val="nil"/>
              <w:bottom w:val="single" w:sz="4" w:space="0" w:color="ADD6EA"/>
              <w:right w:val="nil"/>
            </w:tcBorders>
            <w:shd w:val="clear" w:color="000000" w:fill="006991"/>
            <w:noWrap/>
            <w:vAlign w:val="center"/>
            <w:hideMark/>
          </w:tcPr>
          <w:p w14:paraId="07DD36E9" w14:textId="77777777" w:rsidR="007E365E" w:rsidRPr="00600D3F"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0D3F">
              <w:rPr>
                <w:rFonts w:ascii="Open Sans SemiBold" w:eastAsia="Times New Roman" w:hAnsi="Open Sans SemiBold" w:cs="Open Sans SemiBold"/>
                <w:color w:val="FFFFFF"/>
                <w:sz w:val="16"/>
                <w:szCs w:val="16"/>
                <w:lang w:eastAsia="en-AU"/>
              </w:rPr>
              <w:t>Tas</w:t>
            </w:r>
          </w:p>
        </w:tc>
        <w:tc>
          <w:tcPr>
            <w:tcW w:w="631" w:type="dxa"/>
            <w:tcBorders>
              <w:top w:val="single" w:sz="4" w:space="0" w:color="ADD6EA"/>
              <w:left w:val="nil"/>
              <w:bottom w:val="single" w:sz="4" w:space="0" w:color="ADD6EA"/>
              <w:right w:val="nil"/>
            </w:tcBorders>
            <w:shd w:val="clear" w:color="000000" w:fill="006991"/>
            <w:noWrap/>
            <w:vAlign w:val="center"/>
            <w:hideMark/>
          </w:tcPr>
          <w:p w14:paraId="4C902B69" w14:textId="77777777" w:rsidR="007E365E" w:rsidRPr="00600D3F"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0D3F">
              <w:rPr>
                <w:rFonts w:ascii="Open Sans SemiBold" w:eastAsia="Times New Roman" w:hAnsi="Open Sans SemiBold" w:cs="Open Sans SemiBold"/>
                <w:color w:val="FFFFFF"/>
                <w:sz w:val="16"/>
                <w:szCs w:val="16"/>
                <w:lang w:eastAsia="en-AU"/>
              </w:rPr>
              <w:t>ACT</w:t>
            </w:r>
          </w:p>
        </w:tc>
        <w:tc>
          <w:tcPr>
            <w:tcW w:w="631" w:type="dxa"/>
            <w:tcBorders>
              <w:top w:val="single" w:sz="4" w:space="0" w:color="ADD6EA"/>
              <w:left w:val="nil"/>
              <w:bottom w:val="single" w:sz="4" w:space="0" w:color="ADD6EA"/>
              <w:right w:val="nil"/>
            </w:tcBorders>
            <w:shd w:val="clear" w:color="000000" w:fill="006991"/>
            <w:noWrap/>
            <w:vAlign w:val="center"/>
            <w:hideMark/>
          </w:tcPr>
          <w:p w14:paraId="51DE3FC6" w14:textId="77777777" w:rsidR="007E365E" w:rsidRPr="00600D3F"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0D3F">
              <w:rPr>
                <w:rFonts w:ascii="Open Sans SemiBold" w:eastAsia="Times New Roman" w:hAnsi="Open Sans SemiBold" w:cs="Open Sans SemiBold"/>
                <w:color w:val="FFFFFF"/>
                <w:sz w:val="16"/>
                <w:szCs w:val="16"/>
                <w:lang w:eastAsia="en-AU"/>
              </w:rPr>
              <w:t>NT</w:t>
            </w:r>
          </w:p>
        </w:tc>
        <w:tc>
          <w:tcPr>
            <w:tcW w:w="716" w:type="dxa"/>
            <w:tcBorders>
              <w:top w:val="single" w:sz="4" w:space="0" w:color="ADD6EA"/>
              <w:left w:val="nil"/>
              <w:bottom w:val="single" w:sz="4" w:space="0" w:color="ADD6EA"/>
              <w:right w:val="nil"/>
            </w:tcBorders>
            <w:shd w:val="clear" w:color="000000" w:fill="006991"/>
            <w:noWrap/>
            <w:vAlign w:val="center"/>
            <w:hideMark/>
          </w:tcPr>
          <w:p w14:paraId="56416698" w14:textId="77777777" w:rsidR="007E365E" w:rsidRPr="00600D3F"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00D3F">
              <w:rPr>
                <w:rFonts w:ascii="Open Sans SemiBold" w:eastAsia="Times New Roman" w:hAnsi="Open Sans SemiBold" w:cs="Open Sans SemiBold"/>
                <w:color w:val="FFFFFF"/>
                <w:sz w:val="16"/>
                <w:szCs w:val="16"/>
                <w:lang w:eastAsia="en-AU"/>
              </w:rPr>
              <w:t>Total</w:t>
            </w:r>
          </w:p>
        </w:tc>
      </w:tr>
      <w:tr w:rsidR="007E365E" w:rsidRPr="00600D3F" w14:paraId="1690F5CA" w14:textId="77777777" w:rsidTr="007D1D77">
        <w:trPr>
          <w:trHeight w:val="259"/>
        </w:trPr>
        <w:tc>
          <w:tcPr>
            <w:tcW w:w="2740" w:type="dxa"/>
            <w:tcBorders>
              <w:top w:val="nil"/>
              <w:left w:val="nil"/>
              <w:bottom w:val="nil"/>
              <w:right w:val="nil"/>
            </w:tcBorders>
            <w:shd w:val="clear" w:color="000000" w:fill="B6D5E4"/>
            <w:noWrap/>
            <w:vAlign w:val="center"/>
            <w:hideMark/>
          </w:tcPr>
          <w:p w14:paraId="5F8A41B8" w14:textId="77777777" w:rsidR="007E365E" w:rsidRPr="00600D3F" w:rsidRDefault="007E365E" w:rsidP="007D1D77">
            <w:pPr>
              <w:keepNext/>
              <w:keepLines/>
              <w:tabs>
                <w:tab w:val="clear" w:pos="567"/>
              </w:tabs>
              <w:spacing w:before="0" w:line="240" w:lineRule="auto"/>
              <w:ind w:left="193" w:hanging="142"/>
              <w:jc w:val="right"/>
              <w:rPr>
                <w:rFonts w:ascii="Open Sans SemiBold" w:eastAsia="Times New Roman" w:hAnsi="Open Sans SemiBold" w:cs="Open Sans SemiBold"/>
                <w:sz w:val="16"/>
                <w:szCs w:val="16"/>
                <w:lang w:eastAsia="en-AU"/>
              </w:rPr>
            </w:pPr>
            <w:r w:rsidRPr="00600D3F">
              <w:rPr>
                <w:rFonts w:ascii="Open Sans SemiBold" w:eastAsia="Times New Roman" w:hAnsi="Open Sans SemiBold" w:cs="Open Sans SemiBold"/>
                <w:sz w:val="16"/>
                <w:szCs w:val="16"/>
                <w:lang w:eastAsia="en-AU"/>
              </w:rPr>
              <w:t> </w:t>
            </w:r>
          </w:p>
        </w:tc>
        <w:tc>
          <w:tcPr>
            <w:tcW w:w="737" w:type="dxa"/>
            <w:tcBorders>
              <w:top w:val="nil"/>
              <w:left w:val="nil"/>
              <w:bottom w:val="nil"/>
              <w:right w:val="nil"/>
            </w:tcBorders>
            <w:shd w:val="clear" w:color="000000" w:fill="B6D5E4"/>
            <w:noWrap/>
            <w:vAlign w:val="center"/>
            <w:hideMark/>
          </w:tcPr>
          <w:p w14:paraId="56081991" w14:textId="77777777" w:rsidR="007E365E" w:rsidRPr="00600D3F"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600D3F">
              <w:rPr>
                <w:rFonts w:ascii="Open Sans SemiBold" w:eastAsia="Times New Roman" w:hAnsi="Open Sans SemiBold" w:cs="Open Sans SemiBold"/>
                <w:sz w:val="16"/>
                <w:szCs w:val="16"/>
                <w:lang w:eastAsia="en-AU"/>
              </w:rPr>
              <w:t> </w:t>
            </w:r>
          </w:p>
        </w:tc>
        <w:tc>
          <w:tcPr>
            <w:tcW w:w="716" w:type="dxa"/>
            <w:tcBorders>
              <w:top w:val="nil"/>
              <w:left w:val="nil"/>
              <w:bottom w:val="nil"/>
              <w:right w:val="nil"/>
            </w:tcBorders>
            <w:shd w:val="clear" w:color="000000" w:fill="B6D5E4"/>
            <w:noWrap/>
            <w:vAlign w:val="center"/>
            <w:hideMark/>
          </w:tcPr>
          <w:p w14:paraId="0FC9B4D5"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'000</w:t>
            </w:r>
          </w:p>
        </w:tc>
        <w:tc>
          <w:tcPr>
            <w:tcW w:w="716" w:type="dxa"/>
            <w:tcBorders>
              <w:top w:val="nil"/>
              <w:left w:val="nil"/>
              <w:bottom w:val="nil"/>
              <w:right w:val="nil"/>
            </w:tcBorders>
            <w:shd w:val="clear" w:color="000000" w:fill="B6D5E4"/>
            <w:noWrap/>
            <w:vAlign w:val="center"/>
            <w:hideMark/>
          </w:tcPr>
          <w:p w14:paraId="482B0B19"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'000</w:t>
            </w:r>
          </w:p>
        </w:tc>
        <w:tc>
          <w:tcPr>
            <w:tcW w:w="631" w:type="dxa"/>
            <w:tcBorders>
              <w:top w:val="nil"/>
              <w:left w:val="nil"/>
              <w:bottom w:val="nil"/>
              <w:right w:val="nil"/>
            </w:tcBorders>
            <w:shd w:val="clear" w:color="000000" w:fill="B6D5E4"/>
            <w:noWrap/>
            <w:vAlign w:val="center"/>
            <w:hideMark/>
          </w:tcPr>
          <w:p w14:paraId="36558F01"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'000</w:t>
            </w:r>
          </w:p>
        </w:tc>
        <w:tc>
          <w:tcPr>
            <w:tcW w:w="631" w:type="dxa"/>
            <w:tcBorders>
              <w:top w:val="nil"/>
              <w:left w:val="nil"/>
              <w:bottom w:val="nil"/>
              <w:right w:val="nil"/>
            </w:tcBorders>
            <w:shd w:val="clear" w:color="000000" w:fill="B6D5E4"/>
            <w:noWrap/>
            <w:vAlign w:val="center"/>
            <w:hideMark/>
          </w:tcPr>
          <w:p w14:paraId="0B5BF9CD"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'000</w:t>
            </w:r>
          </w:p>
        </w:tc>
        <w:tc>
          <w:tcPr>
            <w:tcW w:w="631" w:type="dxa"/>
            <w:tcBorders>
              <w:top w:val="nil"/>
              <w:left w:val="nil"/>
              <w:bottom w:val="nil"/>
              <w:right w:val="nil"/>
            </w:tcBorders>
            <w:shd w:val="clear" w:color="000000" w:fill="B6D5E4"/>
            <w:noWrap/>
            <w:vAlign w:val="center"/>
            <w:hideMark/>
          </w:tcPr>
          <w:p w14:paraId="628AD82E"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'000</w:t>
            </w:r>
          </w:p>
        </w:tc>
        <w:tc>
          <w:tcPr>
            <w:tcW w:w="631" w:type="dxa"/>
            <w:tcBorders>
              <w:top w:val="nil"/>
              <w:left w:val="nil"/>
              <w:bottom w:val="nil"/>
              <w:right w:val="nil"/>
            </w:tcBorders>
            <w:shd w:val="clear" w:color="000000" w:fill="B6D5E4"/>
            <w:noWrap/>
            <w:vAlign w:val="center"/>
            <w:hideMark/>
          </w:tcPr>
          <w:p w14:paraId="03944B16"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'000</w:t>
            </w:r>
          </w:p>
        </w:tc>
        <w:tc>
          <w:tcPr>
            <w:tcW w:w="631" w:type="dxa"/>
            <w:tcBorders>
              <w:top w:val="nil"/>
              <w:left w:val="nil"/>
              <w:bottom w:val="nil"/>
              <w:right w:val="nil"/>
            </w:tcBorders>
            <w:shd w:val="clear" w:color="000000" w:fill="B6D5E4"/>
            <w:noWrap/>
            <w:vAlign w:val="center"/>
            <w:hideMark/>
          </w:tcPr>
          <w:p w14:paraId="6B112D75"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'000</w:t>
            </w:r>
          </w:p>
        </w:tc>
        <w:tc>
          <w:tcPr>
            <w:tcW w:w="631" w:type="dxa"/>
            <w:tcBorders>
              <w:top w:val="nil"/>
              <w:left w:val="nil"/>
              <w:bottom w:val="nil"/>
              <w:right w:val="nil"/>
            </w:tcBorders>
            <w:shd w:val="clear" w:color="000000" w:fill="B6D5E4"/>
            <w:noWrap/>
            <w:vAlign w:val="center"/>
            <w:hideMark/>
          </w:tcPr>
          <w:p w14:paraId="0D09D0A0"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'000</w:t>
            </w:r>
          </w:p>
        </w:tc>
        <w:tc>
          <w:tcPr>
            <w:tcW w:w="716" w:type="dxa"/>
            <w:tcBorders>
              <w:top w:val="nil"/>
              <w:left w:val="nil"/>
              <w:bottom w:val="nil"/>
              <w:right w:val="nil"/>
            </w:tcBorders>
            <w:shd w:val="clear" w:color="000000" w:fill="B6D5E4"/>
            <w:noWrap/>
            <w:vAlign w:val="center"/>
            <w:hideMark/>
          </w:tcPr>
          <w:p w14:paraId="4C954BFD"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'000</w:t>
            </w:r>
          </w:p>
        </w:tc>
      </w:tr>
      <w:tr w:rsidR="007E365E" w:rsidRPr="00600D3F" w14:paraId="5938D066" w14:textId="77777777" w:rsidTr="007D1D77">
        <w:trPr>
          <w:trHeight w:val="315"/>
        </w:trPr>
        <w:tc>
          <w:tcPr>
            <w:tcW w:w="2740" w:type="dxa"/>
            <w:tcBorders>
              <w:top w:val="single" w:sz="4" w:space="0" w:color="ADD6EA"/>
              <w:left w:val="nil"/>
              <w:bottom w:val="single" w:sz="4" w:space="0" w:color="ADD6EA"/>
              <w:right w:val="nil"/>
            </w:tcBorders>
            <w:shd w:val="clear" w:color="auto" w:fill="auto"/>
            <w:vAlign w:val="bottom"/>
            <w:hideMark/>
          </w:tcPr>
          <w:p w14:paraId="523207CB" w14:textId="77777777" w:rsidR="007E365E" w:rsidRPr="00600D3F" w:rsidRDefault="007E365E" w:rsidP="007D1D77">
            <w:pPr>
              <w:keepNext/>
              <w:keepLines/>
              <w:tabs>
                <w:tab w:val="clear" w:pos="567"/>
              </w:tabs>
              <w:spacing w:before="0" w:line="240" w:lineRule="auto"/>
              <w:ind w:left="193" w:hanging="142"/>
              <w:rPr>
                <w:rFonts w:eastAsia="Times New Roman" w:cs="Open Sans Light"/>
                <w:sz w:val="16"/>
                <w:szCs w:val="16"/>
                <w:lang w:eastAsia="en-AU"/>
              </w:rPr>
            </w:pPr>
            <w:r w:rsidRPr="00600D3F">
              <w:rPr>
                <w:rFonts w:eastAsia="Times New Roman" w:cs="Open Sans Light"/>
                <w:sz w:val="16"/>
                <w:szCs w:val="16"/>
                <w:lang w:eastAsia="en-AU"/>
              </w:rPr>
              <w:t>Major city population</w:t>
            </w:r>
          </w:p>
        </w:tc>
        <w:tc>
          <w:tcPr>
            <w:tcW w:w="737" w:type="dxa"/>
            <w:tcBorders>
              <w:top w:val="single" w:sz="4" w:space="0" w:color="ADD6EA"/>
              <w:left w:val="nil"/>
              <w:bottom w:val="single" w:sz="4" w:space="0" w:color="ADD6EA"/>
              <w:right w:val="nil"/>
            </w:tcBorders>
            <w:shd w:val="clear" w:color="auto" w:fill="auto"/>
            <w:vAlign w:val="bottom"/>
            <w:hideMark/>
          </w:tcPr>
          <w:p w14:paraId="6461E68A" w14:textId="77777777" w:rsidR="007E365E" w:rsidRPr="00600D3F" w:rsidRDefault="007E365E" w:rsidP="007D1D77">
            <w:pPr>
              <w:keepNext/>
              <w:keepLines/>
              <w:tabs>
                <w:tab w:val="clear" w:pos="567"/>
              </w:tabs>
              <w:spacing w:before="0" w:line="240" w:lineRule="auto"/>
              <w:rPr>
                <w:rFonts w:eastAsia="Times New Roman" w:cs="Open Sans Light"/>
                <w:sz w:val="16"/>
                <w:szCs w:val="16"/>
                <w:lang w:eastAsia="en-AU"/>
              </w:rPr>
            </w:pPr>
            <w:r w:rsidRPr="00600D3F">
              <w:rPr>
                <w:rFonts w:eastAsia="Times New Roman" w:cs="Open Sans Light"/>
                <w:sz w:val="16"/>
                <w:szCs w:val="16"/>
                <w:lang w:eastAsia="en-AU"/>
              </w:rPr>
              <w:t>1.0</w:t>
            </w:r>
          </w:p>
        </w:tc>
        <w:tc>
          <w:tcPr>
            <w:tcW w:w="716" w:type="dxa"/>
            <w:tcBorders>
              <w:top w:val="single" w:sz="4" w:space="0" w:color="ADD6EA"/>
              <w:left w:val="nil"/>
              <w:bottom w:val="single" w:sz="4" w:space="0" w:color="ADD6EA"/>
              <w:right w:val="nil"/>
            </w:tcBorders>
            <w:shd w:val="clear" w:color="auto" w:fill="auto"/>
            <w:vAlign w:val="bottom"/>
            <w:hideMark/>
          </w:tcPr>
          <w:p w14:paraId="1AD61646"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6,061 </w:t>
            </w:r>
          </w:p>
        </w:tc>
        <w:tc>
          <w:tcPr>
            <w:tcW w:w="716" w:type="dxa"/>
            <w:tcBorders>
              <w:top w:val="single" w:sz="4" w:space="0" w:color="ADD6EA"/>
              <w:left w:val="nil"/>
              <w:bottom w:val="single" w:sz="4" w:space="0" w:color="ADD6EA"/>
              <w:right w:val="nil"/>
            </w:tcBorders>
            <w:shd w:val="clear" w:color="auto" w:fill="auto"/>
            <w:vAlign w:val="bottom"/>
            <w:hideMark/>
          </w:tcPr>
          <w:p w14:paraId="2221429D"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5,089 </w:t>
            </w:r>
          </w:p>
        </w:tc>
        <w:tc>
          <w:tcPr>
            <w:tcW w:w="631" w:type="dxa"/>
            <w:tcBorders>
              <w:top w:val="single" w:sz="4" w:space="0" w:color="ADD6EA"/>
              <w:left w:val="nil"/>
              <w:bottom w:val="single" w:sz="4" w:space="0" w:color="ADD6EA"/>
              <w:right w:val="nil"/>
            </w:tcBorders>
            <w:shd w:val="clear" w:color="auto" w:fill="auto"/>
            <w:vAlign w:val="bottom"/>
            <w:hideMark/>
          </w:tcPr>
          <w:p w14:paraId="710549F0"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3,239 </w:t>
            </w:r>
          </w:p>
        </w:tc>
        <w:tc>
          <w:tcPr>
            <w:tcW w:w="631" w:type="dxa"/>
            <w:tcBorders>
              <w:top w:val="single" w:sz="4" w:space="0" w:color="ADD6EA"/>
              <w:left w:val="nil"/>
              <w:bottom w:val="single" w:sz="4" w:space="0" w:color="ADD6EA"/>
              <w:right w:val="nil"/>
            </w:tcBorders>
            <w:shd w:val="clear" w:color="auto" w:fill="auto"/>
            <w:vAlign w:val="bottom"/>
            <w:hideMark/>
          </w:tcPr>
          <w:p w14:paraId="72F27246"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2,039 </w:t>
            </w:r>
          </w:p>
        </w:tc>
        <w:tc>
          <w:tcPr>
            <w:tcW w:w="631" w:type="dxa"/>
            <w:tcBorders>
              <w:top w:val="single" w:sz="4" w:space="0" w:color="ADD6EA"/>
              <w:left w:val="nil"/>
              <w:bottom w:val="single" w:sz="4" w:space="0" w:color="ADD6EA"/>
              <w:right w:val="nil"/>
            </w:tcBorders>
            <w:shd w:val="clear" w:color="auto" w:fill="auto"/>
            <w:vAlign w:val="bottom"/>
            <w:hideMark/>
          </w:tcPr>
          <w:p w14:paraId="5A16CB75"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1,282 </w:t>
            </w:r>
          </w:p>
        </w:tc>
        <w:tc>
          <w:tcPr>
            <w:tcW w:w="631" w:type="dxa"/>
            <w:tcBorders>
              <w:top w:val="single" w:sz="4" w:space="0" w:color="ADD6EA"/>
              <w:left w:val="nil"/>
              <w:bottom w:val="single" w:sz="4" w:space="0" w:color="ADD6EA"/>
              <w:right w:val="nil"/>
            </w:tcBorders>
            <w:shd w:val="clear" w:color="auto" w:fill="auto"/>
            <w:vAlign w:val="bottom"/>
            <w:hideMark/>
          </w:tcPr>
          <w:p w14:paraId="3788343A"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   </w:t>
            </w:r>
          </w:p>
        </w:tc>
        <w:tc>
          <w:tcPr>
            <w:tcW w:w="631" w:type="dxa"/>
            <w:tcBorders>
              <w:top w:val="single" w:sz="4" w:space="0" w:color="ADD6EA"/>
              <w:left w:val="nil"/>
              <w:bottom w:val="single" w:sz="4" w:space="0" w:color="ADD6EA"/>
              <w:right w:val="nil"/>
            </w:tcBorders>
            <w:shd w:val="clear" w:color="auto" w:fill="auto"/>
            <w:vAlign w:val="bottom"/>
            <w:hideMark/>
          </w:tcPr>
          <w:p w14:paraId="7F485E0C"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423 </w:t>
            </w:r>
          </w:p>
        </w:tc>
        <w:tc>
          <w:tcPr>
            <w:tcW w:w="631" w:type="dxa"/>
            <w:tcBorders>
              <w:top w:val="single" w:sz="4" w:space="0" w:color="ADD6EA"/>
              <w:left w:val="nil"/>
              <w:bottom w:val="single" w:sz="4" w:space="0" w:color="ADD6EA"/>
              <w:right w:val="nil"/>
            </w:tcBorders>
            <w:shd w:val="clear" w:color="auto" w:fill="auto"/>
            <w:vAlign w:val="bottom"/>
            <w:hideMark/>
          </w:tcPr>
          <w:p w14:paraId="164CEF6B"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   </w:t>
            </w:r>
          </w:p>
        </w:tc>
        <w:tc>
          <w:tcPr>
            <w:tcW w:w="716" w:type="dxa"/>
            <w:tcBorders>
              <w:top w:val="single" w:sz="4" w:space="0" w:color="ADD6EA"/>
              <w:left w:val="nil"/>
              <w:bottom w:val="single" w:sz="4" w:space="0" w:color="ADD6EA"/>
              <w:right w:val="nil"/>
            </w:tcBorders>
            <w:shd w:val="clear" w:color="auto" w:fill="auto"/>
            <w:vAlign w:val="bottom"/>
            <w:hideMark/>
          </w:tcPr>
          <w:p w14:paraId="2089957E"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18,134 </w:t>
            </w:r>
          </w:p>
        </w:tc>
      </w:tr>
      <w:tr w:rsidR="007E365E" w:rsidRPr="00600D3F" w14:paraId="67275728" w14:textId="77777777" w:rsidTr="007D1D77">
        <w:trPr>
          <w:trHeight w:val="315"/>
        </w:trPr>
        <w:tc>
          <w:tcPr>
            <w:tcW w:w="2740" w:type="dxa"/>
            <w:tcBorders>
              <w:top w:val="nil"/>
              <w:left w:val="nil"/>
              <w:bottom w:val="nil"/>
              <w:right w:val="nil"/>
            </w:tcBorders>
            <w:shd w:val="clear" w:color="auto" w:fill="auto"/>
            <w:vAlign w:val="bottom"/>
            <w:hideMark/>
          </w:tcPr>
          <w:p w14:paraId="739FB9C9" w14:textId="77777777" w:rsidR="007E365E" w:rsidRPr="00600D3F" w:rsidRDefault="007E365E" w:rsidP="007D1D77">
            <w:pPr>
              <w:keepNext/>
              <w:keepLines/>
              <w:tabs>
                <w:tab w:val="clear" w:pos="567"/>
              </w:tabs>
              <w:spacing w:before="0" w:line="240" w:lineRule="auto"/>
              <w:ind w:left="193" w:hanging="142"/>
              <w:rPr>
                <w:rFonts w:eastAsia="Times New Roman" w:cs="Open Sans Light"/>
                <w:sz w:val="16"/>
                <w:szCs w:val="16"/>
                <w:lang w:eastAsia="en-AU"/>
              </w:rPr>
            </w:pPr>
            <w:r w:rsidRPr="00600D3F">
              <w:rPr>
                <w:rFonts w:eastAsia="Times New Roman" w:cs="Open Sans Light"/>
                <w:sz w:val="16"/>
                <w:szCs w:val="16"/>
                <w:lang w:eastAsia="en-AU"/>
              </w:rPr>
              <w:t>Inner regional population</w:t>
            </w:r>
          </w:p>
        </w:tc>
        <w:tc>
          <w:tcPr>
            <w:tcW w:w="737" w:type="dxa"/>
            <w:tcBorders>
              <w:top w:val="nil"/>
              <w:left w:val="nil"/>
              <w:bottom w:val="nil"/>
              <w:right w:val="nil"/>
            </w:tcBorders>
            <w:shd w:val="clear" w:color="auto" w:fill="auto"/>
            <w:vAlign w:val="bottom"/>
            <w:hideMark/>
          </w:tcPr>
          <w:p w14:paraId="51A740F7" w14:textId="77777777" w:rsidR="007E365E" w:rsidRPr="00600D3F" w:rsidRDefault="007E365E" w:rsidP="007D1D77">
            <w:pPr>
              <w:keepNext/>
              <w:keepLines/>
              <w:tabs>
                <w:tab w:val="clear" w:pos="567"/>
              </w:tabs>
              <w:spacing w:before="0" w:line="240" w:lineRule="auto"/>
              <w:rPr>
                <w:rFonts w:eastAsia="Times New Roman" w:cs="Open Sans Light"/>
                <w:sz w:val="16"/>
                <w:szCs w:val="16"/>
                <w:lang w:eastAsia="en-AU"/>
              </w:rPr>
            </w:pPr>
            <w:r w:rsidRPr="00600D3F">
              <w:rPr>
                <w:rFonts w:eastAsia="Times New Roman" w:cs="Open Sans Light"/>
                <w:sz w:val="16"/>
                <w:szCs w:val="16"/>
                <w:lang w:eastAsia="en-AU"/>
              </w:rPr>
              <w:t>1.5</w:t>
            </w:r>
          </w:p>
        </w:tc>
        <w:tc>
          <w:tcPr>
            <w:tcW w:w="716" w:type="dxa"/>
            <w:tcBorders>
              <w:top w:val="nil"/>
              <w:left w:val="nil"/>
              <w:bottom w:val="nil"/>
              <w:right w:val="nil"/>
            </w:tcBorders>
            <w:shd w:val="clear" w:color="auto" w:fill="auto"/>
            <w:vAlign w:val="bottom"/>
            <w:hideMark/>
          </w:tcPr>
          <w:p w14:paraId="187421C5"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1,494 </w:t>
            </w:r>
          </w:p>
        </w:tc>
        <w:tc>
          <w:tcPr>
            <w:tcW w:w="716" w:type="dxa"/>
            <w:tcBorders>
              <w:top w:val="nil"/>
              <w:left w:val="nil"/>
              <w:bottom w:val="nil"/>
              <w:right w:val="nil"/>
            </w:tcBorders>
            <w:shd w:val="clear" w:color="auto" w:fill="auto"/>
            <w:vAlign w:val="bottom"/>
            <w:hideMark/>
          </w:tcPr>
          <w:p w14:paraId="3A403478"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1,184 </w:t>
            </w:r>
          </w:p>
        </w:tc>
        <w:tc>
          <w:tcPr>
            <w:tcW w:w="631" w:type="dxa"/>
            <w:tcBorders>
              <w:top w:val="nil"/>
              <w:left w:val="nil"/>
              <w:bottom w:val="nil"/>
              <w:right w:val="nil"/>
            </w:tcBorders>
            <w:shd w:val="clear" w:color="auto" w:fill="auto"/>
            <w:vAlign w:val="bottom"/>
            <w:hideMark/>
          </w:tcPr>
          <w:p w14:paraId="4C29B862"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988 </w:t>
            </w:r>
          </w:p>
        </w:tc>
        <w:tc>
          <w:tcPr>
            <w:tcW w:w="631" w:type="dxa"/>
            <w:tcBorders>
              <w:top w:val="nil"/>
              <w:left w:val="nil"/>
              <w:bottom w:val="nil"/>
              <w:right w:val="nil"/>
            </w:tcBorders>
            <w:shd w:val="clear" w:color="auto" w:fill="auto"/>
            <w:vAlign w:val="bottom"/>
            <w:hideMark/>
          </w:tcPr>
          <w:p w14:paraId="77936ACE"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226 </w:t>
            </w:r>
          </w:p>
        </w:tc>
        <w:tc>
          <w:tcPr>
            <w:tcW w:w="631" w:type="dxa"/>
            <w:tcBorders>
              <w:top w:val="nil"/>
              <w:left w:val="nil"/>
              <w:bottom w:val="nil"/>
              <w:right w:val="nil"/>
            </w:tcBorders>
            <w:shd w:val="clear" w:color="auto" w:fill="auto"/>
            <w:vAlign w:val="bottom"/>
            <w:hideMark/>
          </w:tcPr>
          <w:p w14:paraId="6D754D8E"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225 </w:t>
            </w:r>
          </w:p>
        </w:tc>
        <w:tc>
          <w:tcPr>
            <w:tcW w:w="631" w:type="dxa"/>
            <w:tcBorders>
              <w:top w:val="nil"/>
              <w:left w:val="nil"/>
              <w:bottom w:val="nil"/>
              <w:right w:val="nil"/>
            </w:tcBorders>
            <w:shd w:val="clear" w:color="auto" w:fill="auto"/>
            <w:vAlign w:val="bottom"/>
            <w:hideMark/>
          </w:tcPr>
          <w:p w14:paraId="482D3001"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361 </w:t>
            </w:r>
          </w:p>
        </w:tc>
        <w:tc>
          <w:tcPr>
            <w:tcW w:w="631" w:type="dxa"/>
            <w:tcBorders>
              <w:top w:val="nil"/>
              <w:left w:val="nil"/>
              <w:bottom w:val="nil"/>
              <w:right w:val="nil"/>
            </w:tcBorders>
            <w:shd w:val="clear" w:color="auto" w:fill="auto"/>
            <w:vAlign w:val="bottom"/>
            <w:hideMark/>
          </w:tcPr>
          <w:p w14:paraId="0897741A"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 </w:t>
            </w:r>
          </w:p>
        </w:tc>
        <w:tc>
          <w:tcPr>
            <w:tcW w:w="631" w:type="dxa"/>
            <w:tcBorders>
              <w:top w:val="nil"/>
              <w:left w:val="nil"/>
              <w:bottom w:val="nil"/>
              <w:right w:val="nil"/>
            </w:tcBorders>
            <w:shd w:val="clear" w:color="auto" w:fill="auto"/>
            <w:vAlign w:val="bottom"/>
            <w:hideMark/>
          </w:tcPr>
          <w:p w14:paraId="354DC5D7"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   </w:t>
            </w:r>
          </w:p>
        </w:tc>
        <w:tc>
          <w:tcPr>
            <w:tcW w:w="716" w:type="dxa"/>
            <w:tcBorders>
              <w:top w:val="nil"/>
              <w:left w:val="nil"/>
              <w:bottom w:val="nil"/>
              <w:right w:val="nil"/>
            </w:tcBorders>
            <w:shd w:val="clear" w:color="auto" w:fill="auto"/>
            <w:vAlign w:val="bottom"/>
            <w:hideMark/>
          </w:tcPr>
          <w:p w14:paraId="03AB8C05"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4,478 </w:t>
            </w:r>
          </w:p>
        </w:tc>
      </w:tr>
      <w:tr w:rsidR="007E365E" w:rsidRPr="00600D3F" w14:paraId="4C2109FD" w14:textId="77777777" w:rsidTr="007D1D77">
        <w:trPr>
          <w:trHeight w:val="315"/>
        </w:trPr>
        <w:tc>
          <w:tcPr>
            <w:tcW w:w="2740" w:type="dxa"/>
            <w:tcBorders>
              <w:top w:val="single" w:sz="4" w:space="0" w:color="ADD6EA"/>
              <w:left w:val="nil"/>
              <w:bottom w:val="single" w:sz="4" w:space="0" w:color="ADD6EA"/>
              <w:right w:val="nil"/>
            </w:tcBorders>
            <w:shd w:val="clear" w:color="auto" w:fill="auto"/>
            <w:vAlign w:val="bottom"/>
            <w:hideMark/>
          </w:tcPr>
          <w:p w14:paraId="6B479456" w14:textId="77777777" w:rsidR="007E365E" w:rsidRPr="00600D3F" w:rsidRDefault="007E365E" w:rsidP="007D1D77">
            <w:pPr>
              <w:keepNext/>
              <w:keepLines/>
              <w:tabs>
                <w:tab w:val="clear" w:pos="567"/>
              </w:tabs>
              <w:spacing w:before="0" w:line="240" w:lineRule="auto"/>
              <w:ind w:left="193" w:hanging="142"/>
              <w:rPr>
                <w:rFonts w:eastAsia="Times New Roman" w:cs="Open Sans Light"/>
                <w:sz w:val="16"/>
                <w:szCs w:val="16"/>
                <w:lang w:eastAsia="en-AU"/>
              </w:rPr>
            </w:pPr>
            <w:r w:rsidRPr="00600D3F">
              <w:rPr>
                <w:rFonts w:eastAsia="Times New Roman" w:cs="Open Sans Light"/>
                <w:sz w:val="16"/>
                <w:szCs w:val="16"/>
                <w:lang w:eastAsia="en-AU"/>
              </w:rPr>
              <w:t>Outer regional population</w:t>
            </w:r>
          </w:p>
        </w:tc>
        <w:tc>
          <w:tcPr>
            <w:tcW w:w="737" w:type="dxa"/>
            <w:tcBorders>
              <w:top w:val="single" w:sz="4" w:space="0" w:color="ADD6EA"/>
              <w:left w:val="nil"/>
              <w:bottom w:val="single" w:sz="4" w:space="0" w:color="ADD6EA"/>
              <w:right w:val="nil"/>
            </w:tcBorders>
            <w:shd w:val="clear" w:color="auto" w:fill="auto"/>
            <w:vAlign w:val="bottom"/>
            <w:hideMark/>
          </w:tcPr>
          <w:p w14:paraId="34129C48" w14:textId="77777777" w:rsidR="007E365E" w:rsidRPr="00600D3F" w:rsidRDefault="007E365E" w:rsidP="007D1D77">
            <w:pPr>
              <w:keepNext/>
              <w:keepLines/>
              <w:tabs>
                <w:tab w:val="clear" w:pos="567"/>
              </w:tabs>
              <w:spacing w:before="0" w:line="240" w:lineRule="auto"/>
              <w:rPr>
                <w:rFonts w:eastAsia="Times New Roman" w:cs="Open Sans Light"/>
                <w:sz w:val="16"/>
                <w:szCs w:val="16"/>
                <w:lang w:eastAsia="en-AU"/>
              </w:rPr>
            </w:pPr>
            <w:r w:rsidRPr="00600D3F">
              <w:rPr>
                <w:rFonts w:eastAsia="Times New Roman" w:cs="Open Sans Light"/>
                <w:sz w:val="16"/>
                <w:szCs w:val="16"/>
                <w:lang w:eastAsia="en-AU"/>
              </w:rPr>
              <w:t>1.7</w:t>
            </w:r>
          </w:p>
        </w:tc>
        <w:tc>
          <w:tcPr>
            <w:tcW w:w="716" w:type="dxa"/>
            <w:tcBorders>
              <w:top w:val="single" w:sz="4" w:space="0" w:color="ADD6EA"/>
              <w:left w:val="nil"/>
              <w:bottom w:val="single" w:sz="4" w:space="0" w:color="ADD6EA"/>
              <w:right w:val="nil"/>
            </w:tcBorders>
            <w:shd w:val="clear" w:color="auto" w:fill="auto"/>
            <w:vAlign w:val="bottom"/>
            <w:hideMark/>
          </w:tcPr>
          <w:p w14:paraId="49024581"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447 </w:t>
            </w:r>
          </w:p>
        </w:tc>
        <w:tc>
          <w:tcPr>
            <w:tcW w:w="716" w:type="dxa"/>
            <w:tcBorders>
              <w:top w:val="single" w:sz="4" w:space="0" w:color="ADD6EA"/>
              <w:left w:val="nil"/>
              <w:bottom w:val="single" w:sz="4" w:space="0" w:color="ADD6EA"/>
              <w:right w:val="nil"/>
            </w:tcBorders>
            <w:shd w:val="clear" w:color="auto" w:fill="auto"/>
            <w:vAlign w:val="bottom"/>
            <w:hideMark/>
          </w:tcPr>
          <w:p w14:paraId="77314D69"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251 </w:t>
            </w:r>
          </w:p>
        </w:tc>
        <w:tc>
          <w:tcPr>
            <w:tcW w:w="631" w:type="dxa"/>
            <w:tcBorders>
              <w:top w:val="single" w:sz="4" w:space="0" w:color="ADD6EA"/>
              <w:left w:val="nil"/>
              <w:bottom w:val="single" w:sz="4" w:space="0" w:color="ADD6EA"/>
              <w:right w:val="nil"/>
            </w:tcBorders>
            <w:shd w:val="clear" w:color="auto" w:fill="auto"/>
            <w:vAlign w:val="bottom"/>
            <w:hideMark/>
          </w:tcPr>
          <w:p w14:paraId="3973B666"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696 </w:t>
            </w:r>
          </w:p>
        </w:tc>
        <w:tc>
          <w:tcPr>
            <w:tcW w:w="631" w:type="dxa"/>
            <w:tcBorders>
              <w:top w:val="single" w:sz="4" w:space="0" w:color="ADD6EA"/>
              <w:left w:val="nil"/>
              <w:bottom w:val="single" w:sz="4" w:space="0" w:color="ADD6EA"/>
              <w:right w:val="nil"/>
            </w:tcBorders>
            <w:shd w:val="clear" w:color="auto" w:fill="auto"/>
            <w:vAlign w:val="bottom"/>
            <w:hideMark/>
          </w:tcPr>
          <w:p w14:paraId="27292745"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185 </w:t>
            </w:r>
          </w:p>
        </w:tc>
        <w:tc>
          <w:tcPr>
            <w:tcW w:w="631" w:type="dxa"/>
            <w:tcBorders>
              <w:top w:val="single" w:sz="4" w:space="0" w:color="ADD6EA"/>
              <w:left w:val="nil"/>
              <w:bottom w:val="single" w:sz="4" w:space="0" w:color="ADD6EA"/>
              <w:right w:val="nil"/>
            </w:tcBorders>
            <w:shd w:val="clear" w:color="auto" w:fill="auto"/>
            <w:vAlign w:val="bottom"/>
            <w:hideMark/>
          </w:tcPr>
          <w:p w14:paraId="70D44F17"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177 </w:t>
            </w:r>
          </w:p>
        </w:tc>
        <w:tc>
          <w:tcPr>
            <w:tcW w:w="631" w:type="dxa"/>
            <w:tcBorders>
              <w:top w:val="single" w:sz="4" w:space="0" w:color="ADD6EA"/>
              <w:left w:val="nil"/>
              <w:bottom w:val="single" w:sz="4" w:space="0" w:color="ADD6EA"/>
              <w:right w:val="nil"/>
            </w:tcBorders>
            <w:shd w:val="clear" w:color="auto" w:fill="auto"/>
            <w:vAlign w:val="bottom"/>
            <w:hideMark/>
          </w:tcPr>
          <w:p w14:paraId="1BEB1B12"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160 </w:t>
            </w:r>
          </w:p>
        </w:tc>
        <w:tc>
          <w:tcPr>
            <w:tcW w:w="631" w:type="dxa"/>
            <w:tcBorders>
              <w:top w:val="single" w:sz="4" w:space="0" w:color="ADD6EA"/>
              <w:left w:val="nil"/>
              <w:bottom w:val="single" w:sz="4" w:space="0" w:color="ADD6EA"/>
              <w:right w:val="nil"/>
            </w:tcBorders>
            <w:shd w:val="clear" w:color="auto" w:fill="auto"/>
            <w:vAlign w:val="bottom"/>
            <w:hideMark/>
          </w:tcPr>
          <w:p w14:paraId="257A42CE"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   </w:t>
            </w:r>
          </w:p>
        </w:tc>
        <w:tc>
          <w:tcPr>
            <w:tcW w:w="631" w:type="dxa"/>
            <w:tcBorders>
              <w:top w:val="single" w:sz="4" w:space="0" w:color="ADD6EA"/>
              <w:left w:val="nil"/>
              <w:bottom w:val="single" w:sz="4" w:space="0" w:color="ADD6EA"/>
              <w:right w:val="nil"/>
            </w:tcBorders>
            <w:shd w:val="clear" w:color="auto" w:fill="auto"/>
            <w:vAlign w:val="bottom"/>
            <w:hideMark/>
          </w:tcPr>
          <w:p w14:paraId="5E619454"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147 </w:t>
            </w:r>
          </w:p>
        </w:tc>
        <w:tc>
          <w:tcPr>
            <w:tcW w:w="716" w:type="dxa"/>
            <w:tcBorders>
              <w:top w:val="single" w:sz="4" w:space="0" w:color="ADD6EA"/>
              <w:left w:val="nil"/>
              <w:bottom w:val="single" w:sz="4" w:space="0" w:color="ADD6EA"/>
              <w:right w:val="nil"/>
            </w:tcBorders>
            <w:shd w:val="clear" w:color="auto" w:fill="auto"/>
            <w:vAlign w:val="bottom"/>
            <w:hideMark/>
          </w:tcPr>
          <w:p w14:paraId="60843CE5"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2,065 </w:t>
            </w:r>
          </w:p>
        </w:tc>
      </w:tr>
      <w:tr w:rsidR="007E365E" w:rsidRPr="00600D3F" w14:paraId="73A46939" w14:textId="77777777" w:rsidTr="007D1D77">
        <w:trPr>
          <w:trHeight w:val="315"/>
        </w:trPr>
        <w:tc>
          <w:tcPr>
            <w:tcW w:w="2740" w:type="dxa"/>
            <w:tcBorders>
              <w:top w:val="nil"/>
              <w:left w:val="nil"/>
              <w:bottom w:val="nil"/>
              <w:right w:val="nil"/>
            </w:tcBorders>
            <w:shd w:val="clear" w:color="auto" w:fill="auto"/>
            <w:vAlign w:val="bottom"/>
            <w:hideMark/>
          </w:tcPr>
          <w:p w14:paraId="2A88FEDC" w14:textId="77777777" w:rsidR="007E365E" w:rsidRPr="00600D3F" w:rsidRDefault="007E365E" w:rsidP="007D1D77">
            <w:pPr>
              <w:keepNext/>
              <w:keepLines/>
              <w:tabs>
                <w:tab w:val="clear" w:pos="567"/>
              </w:tabs>
              <w:spacing w:before="0" w:line="240" w:lineRule="auto"/>
              <w:ind w:left="193" w:hanging="142"/>
              <w:rPr>
                <w:rFonts w:eastAsia="Times New Roman" w:cs="Open Sans Light"/>
                <w:sz w:val="16"/>
                <w:szCs w:val="16"/>
                <w:lang w:eastAsia="en-AU"/>
              </w:rPr>
            </w:pPr>
            <w:r w:rsidRPr="00600D3F">
              <w:rPr>
                <w:rFonts w:eastAsia="Times New Roman" w:cs="Open Sans Light"/>
                <w:sz w:val="16"/>
                <w:szCs w:val="16"/>
                <w:lang w:eastAsia="en-AU"/>
              </w:rPr>
              <w:t>Remote population</w:t>
            </w:r>
          </w:p>
        </w:tc>
        <w:tc>
          <w:tcPr>
            <w:tcW w:w="737" w:type="dxa"/>
            <w:tcBorders>
              <w:top w:val="nil"/>
              <w:left w:val="nil"/>
              <w:bottom w:val="nil"/>
              <w:right w:val="nil"/>
            </w:tcBorders>
            <w:shd w:val="clear" w:color="auto" w:fill="auto"/>
            <w:vAlign w:val="bottom"/>
            <w:hideMark/>
          </w:tcPr>
          <w:p w14:paraId="64A6107E" w14:textId="77777777" w:rsidR="007E365E" w:rsidRPr="00600D3F" w:rsidRDefault="007E365E" w:rsidP="007D1D77">
            <w:pPr>
              <w:keepNext/>
              <w:keepLines/>
              <w:tabs>
                <w:tab w:val="clear" w:pos="567"/>
              </w:tabs>
              <w:spacing w:before="0" w:line="240" w:lineRule="auto"/>
              <w:rPr>
                <w:rFonts w:eastAsia="Times New Roman" w:cs="Open Sans Light"/>
                <w:sz w:val="16"/>
                <w:szCs w:val="16"/>
                <w:lang w:eastAsia="en-AU"/>
              </w:rPr>
            </w:pPr>
            <w:r w:rsidRPr="00600D3F">
              <w:rPr>
                <w:rFonts w:eastAsia="Times New Roman" w:cs="Open Sans Light"/>
                <w:sz w:val="16"/>
                <w:szCs w:val="16"/>
                <w:lang w:eastAsia="en-AU"/>
              </w:rPr>
              <w:t>5.4</w:t>
            </w:r>
          </w:p>
        </w:tc>
        <w:tc>
          <w:tcPr>
            <w:tcW w:w="716" w:type="dxa"/>
            <w:tcBorders>
              <w:top w:val="nil"/>
              <w:left w:val="nil"/>
              <w:bottom w:val="nil"/>
              <w:right w:val="nil"/>
            </w:tcBorders>
            <w:shd w:val="clear" w:color="auto" w:fill="auto"/>
            <w:vAlign w:val="bottom"/>
            <w:hideMark/>
          </w:tcPr>
          <w:p w14:paraId="51D3920E"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30 </w:t>
            </w:r>
          </w:p>
        </w:tc>
        <w:tc>
          <w:tcPr>
            <w:tcW w:w="716" w:type="dxa"/>
            <w:tcBorders>
              <w:top w:val="nil"/>
              <w:left w:val="nil"/>
              <w:bottom w:val="nil"/>
              <w:right w:val="nil"/>
            </w:tcBorders>
            <w:shd w:val="clear" w:color="auto" w:fill="auto"/>
            <w:vAlign w:val="bottom"/>
            <w:hideMark/>
          </w:tcPr>
          <w:p w14:paraId="3C970C96"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3 </w:t>
            </w:r>
          </w:p>
        </w:tc>
        <w:tc>
          <w:tcPr>
            <w:tcW w:w="631" w:type="dxa"/>
            <w:tcBorders>
              <w:top w:val="nil"/>
              <w:left w:val="nil"/>
              <w:bottom w:val="nil"/>
              <w:right w:val="nil"/>
            </w:tcBorders>
            <w:shd w:val="clear" w:color="auto" w:fill="auto"/>
            <w:vAlign w:val="bottom"/>
            <w:hideMark/>
          </w:tcPr>
          <w:p w14:paraId="09CAA6BE"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73 </w:t>
            </w:r>
          </w:p>
        </w:tc>
        <w:tc>
          <w:tcPr>
            <w:tcW w:w="631" w:type="dxa"/>
            <w:tcBorders>
              <w:top w:val="nil"/>
              <w:left w:val="nil"/>
              <w:bottom w:val="nil"/>
              <w:right w:val="nil"/>
            </w:tcBorders>
            <w:shd w:val="clear" w:color="auto" w:fill="auto"/>
            <w:vAlign w:val="bottom"/>
            <w:hideMark/>
          </w:tcPr>
          <w:p w14:paraId="3E6B8F1B"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86 </w:t>
            </w:r>
          </w:p>
        </w:tc>
        <w:tc>
          <w:tcPr>
            <w:tcW w:w="631" w:type="dxa"/>
            <w:tcBorders>
              <w:top w:val="nil"/>
              <w:left w:val="nil"/>
              <w:bottom w:val="nil"/>
              <w:right w:val="nil"/>
            </w:tcBorders>
            <w:shd w:val="clear" w:color="auto" w:fill="auto"/>
            <w:vAlign w:val="bottom"/>
            <w:hideMark/>
          </w:tcPr>
          <w:p w14:paraId="3F5DCE9C"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45 </w:t>
            </w:r>
          </w:p>
        </w:tc>
        <w:tc>
          <w:tcPr>
            <w:tcW w:w="631" w:type="dxa"/>
            <w:tcBorders>
              <w:top w:val="nil"/>
              <w:left w:val="nil"/>
              <w:bottom w:val="nil"/>
              <w:right w:val="nil"/>
            </w:tcBorders>
            <w:shd w:val="clear" w:color="auto" w:fill="auto"/>
            <w:vAlign w:val="bottom"/>
            <w:hideMark/>
          </w:tcPr>
          <w:p w14:paraId="0CCBFB4F"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8 </w:t>
            </w:r>
          </w:p>
        </w:tc>
        <w:tc>
          <w:tcPr>
            <w:tcW w:w="631" w:type="dxa"/>
            <w:tcBorders>
              <w:top w:val="nil"/>
              <w:left w:val="nil"/>
              <w:bottom w:val="nil"/>
              <w:right w:val="nil"/>
            </w:tcBorders>
            <w:shd w:val="clear" w:color="auto" w:fill="auto"/>
            <w:vAlign w:val="bottom"/>
            <w:hideMark/>
          </w:tcPr>
          <w:p w14:paraId="0874C7DD"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   </w:t>
            </w:r>
          </w:p>
        </w:tc>
        <w:tc>
          <w:tcPr>
            <w:tcW w:w="631" w:type="dxa"/>
            <w:tcBorders>
              <w:top w:val="nil"/>
              <w:left w:val="nil"/>
              <w:bottom w:val="nil"/>
              <w:right w:val="nil"/>
            </w:tcBorders>
            <w:shd w:val="clear" w:color="auto" w:fill="auto"/>
            <w:vAlign w:val="bottom"/>
            <w:hideMark/>
          </w:tcPr>
          <w:p w14:paraId="03242BAD"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48 </w:t>
            </w:r>
          </w:p>
        </w:tc>
        <w:tc>
          <w:tcPr>
            <w:tcW w:w="716" w:type="dxa"/>
            <w:tcBorders>
              <w:top w:val="nil"/>
              <w:left w:val="nil"/>
              <w:bottom w:val="nil"/>
              <w:right w:val="nil"/>
            </w:tcBorders>
            <w:shd w:val="clear" w:color="auto" w:fill="auto"/>
            <w:vAlign w:val="bottom"/>
            <w:hideMark/>
          </w:tcPr>
          <w:p w14:paraId="1DAC3CC7"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292 </w:t>
            </w:r>
          </w:p>
        </w:tc>
      </w:tr>
      <w:tr w:rsidR="007E365E" w:rsidRPr="00600D3F" w14:paraId="53442CD3" w14:textId="77777777" w:rsidTr="007D1D77">
        <w:trPr>
          <w:trHeight w:val="315"/>
        </w:trPr>
        <w:tc>
          <w:tcPr>
            <w:tcW w:w="2740" w:type="dxa"/>
            <w:tcBorders>
              <w:top w:val="single" w:sz="4" w:space="0" w:color="ADD6EA"/>
              <w:left w:val="nil"/>
              <w:bottom w:val="single" w:sz="4" w:space="0" w:color="ADD6EA"/>
              <w:right w:val="nil"/>
            </w:tcBorders>
            <w:shd w:val="clear" w:color="auto" w:fill="auto"/>
            <w:vAlign w:val="bottom"/>
            <w:hideMark/>
          </w:tcPr>
          <w:p w14:paraId="056592C4" w14:textId="77777777" w:rsidR="007E365E" w:rsidRPr="00600D3F" w:rsidRDefault="007E365E" w:rsidP="007D1D77">
            <w:pPr>
              <w:keepNext/>
              <w:keepLines/>
              <w:tabs>
                <w:tab w:val="clear" w:pos="567"/>
              </w:tabs>
              <w:spacing w:before="0" w:line="240" w:lineRule="auto"/>
              <w:ind w:left="193" w:hanging="142"/>
              <w:rPr>
                <w:rFonts w:eastAsia="Times New Roman" w:cs="Open Sans Light"/>
                <w:sz w:val="16"/>
                <w:szCs w:val="16"/>
                <w:lang w:eastAsia="en-AU"/>
              </w:rPr>
            </w:pPr>
            <w:r w:rsidRPr="00600D3F">
              <w:rPr>
                <w:rFonts w:eastAsia="Times New Roman" w:cs="Open Sans Light"/>
                <w:sz w:val="16"/>
                <w:szCs w:val="16"/>
                <w:lang w:eastAsia="en-AU"/>
              </w:rPr>
              <w:t>Very remote population</w:t>
            </w:r>
          </w:p>
        </w:tc>
        <w:tc>
          <w:tcPr>
            <w:tcW w:w="737" w:type="dxa"/>
            <w:tcBorders>
              <w:top w:val="single" w:sz="4" w:space="0" w:color="ADD6EA"/>
              <w:left w:val="nil"/>
              <w:bottom w:val="single" w:sz="4" w:space="0" w:color="ADD6EA"/>
              <w:right w:val="nil"/>
            </w:tcBorders>
            <w:shd w:val="clear" w:color="auto" w:fill="auto"/>
            <w:vAlign w:val="bottom"/>
            <w:hideMark/>
          </w:tcPr>
          <w:p w14:paraId="24BC21C7" w14:textId="77777777" w:rsidR="007E365E" w:rsidRPr="00600D3F" w:rsidRDefault="007E365E" w:rsidP="007D1D77">
            <w:pPr>
              <w:keepNext/>
              <w:keepLines/>
              <w:tabs>
                <w:tab w:val="clear" w:pos="567"/>
              </w:tabs>
              <w:spacing w:before="0" w:line="240" w:lineRule="auto"/>
              <w:rPr>
                <w:rFonts w:eastAsia="Times New Roman" w:cs="Open Sans Light"/>
                <w:sz w:val="16"/>
                <w:szCs w:val="16"/>
                <w:lang w:eastAsia="en-AU"/>
              </w:rPr>
            </w:pPr>
            <w:r w:rsidRPr="00600D3F">
              <w:rPr>
                <w:rFonts w:eastAsia="Times New Roman" w:cs="Open Sans Light"/>
                <w:sz w:val="16"/>
                <w:szCs w:val="16"/>
                <w:lang w:eastAsia="en-AU"/>
              </w:rPr>
              <w:t>6.9</w:t>
            </w:r>
          </w:p>
        </w:tc>
        <w:tc>
          <w:tcPr>
            <w:tcW w:w="716" w:type="dxa"/>
            <w:tcBorders>
              <w:top w:val="single" w:sz="4" w:space="0" w:color="ADD6EA"/>
              <w:left w:val="nil"/>
              <w:bottom w:val="single" w:sz="4" w:space="0" w:color="ADD6EA"/>
              <w:right w:val="nil"/>
            </w:tcBorders>
            <w:shd w:val="clear" w:color="auto" w:fill="auto"/>
            <w:vAlign w:val="bottom"/>
            <w:hideMark/>
          </w:tcPr>
          <w:p w14:paraId="60688816"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6 </w:t>
            </w:r>
          </w:p>
        </w:tc>
        <w:tc>
          <w:tcPr>
            <w:tcW w:w="716" w:type="dxa"/>
            <w:tcBorders>
              <w:top w:val="single" w:sz="4" w:space="0" w:color="ADD6EA"/>
              <w:left w:val="nil"/>
              <w:bottom w:val="single" w:sz="4" w:space="0" w:color="ADD6EA"/>
              <w:right w:val="nil"/>
            </w:tcBorders>
            <w:shd w:val="clear" w:color="auto" w:fill="auto"/>
            <w:vAlign w:val="bottom"/>
            <w:hideMark/>
          </w:tcPr>
          <w:p w14:paraId="2539A80F"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   </w:t>
            </w:r>
          </w:p>
        </w:tc>
        <w:tc>
          <w:tcPr>
            <w:tcW w:w="631" w:type="dxa"/>
            <w:tcBorders>
              <w:top w:val="single" w:sz="4" w:space="0" w:color="ADD6EA"/>
              <w:left w:val="nil"/>
              <w:bottom w:val="single" w:sz="4" w:space="0" w:color="ADD6EA"/>
              <w:right w:val="nil"/>
            </w:tcBorders>
            <w:shd w:val="clear" w:color="auto" w:fill="auto"/>
            <w:vAlign w:val="bottom"/>
            <w:hideMark/>
          </w:tcPr>
          <w:p w14:paraId="2FF108CA"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55 </w:t>
            </w:r>
          </w:p>
        </w:tc>
        <w:tc>
          <w:tcPr>
            <w:tcW w:w="631" w:type="dxa"/>
            <w:tcBorders>
              <w:top w:val="single" w:sz="4" w:space="0" w:color="ADD6EA"/>
              <w:left w:val="nil"/>
              <w:bottom w:val="single" w:sz="4" w:space="0" w:color="ADD6EA"/>
              <w:right w:val="nil"/>
            </w:tcBorders>
            <w:shd w:val="clear" w:color="auto" w:fill="auto"/>
            <w:vAlign w:val="bottom"/>
            <w:hideMark/>
          </w:tcPr>
          <w:p w14:paraId="4CEAEFD8"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69 </w:t>
            </w:r>
          </w:p>
        </w:tc>
        <w:tc>
          <w:tcPr>
            <w:tcW w:w="631" w:type="dxa"/>
            <w:tcBorders>
              <w:top w:val="single" w:sz="4" w:space="0" w:color="ADD6EA"/>
              <w:left w:val="nil"/>
              <w:bottom w:val="single" w:sz="4" w:space="0" w:color="ADD6EA"/>
              <w:right w:val="nil"/>
            </w:tcBorders>
            <w:shd w:val="clear" w:color="auto" w:fill="auto"/>
            <w:vAlign w:val="bottom"/>
            <w:hideMark/>
          </w:tcPr>
          <w:p w14:paraId="6C000FBA"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14 </w:t>
            </w:r>
          </w:p>
        </w:tc>
        <w:tc>
          <w:tcPr>
            <w:tcW w:w="631" w:type="dxa"/>
            <w:tcBorders>
              <w:top w:val="single" w:sz="4" w:space="0" w:color="ADD6EA"/>
              <w:left w:val="nil"/>
              <w:bottom w:val="single" w:sz="4" w:space="0" w:color="ADD6EA"/>
              <w:right w:val="nil"/>
            </w:tcBorders>
            <w:shd w:val="clear" w:color="auto" w:fill="auto"/>
            <w:vAlign w:val="bottom"/>
            <w:hideMark/>
          </w:tcPr>
          <w:p w14:paraId="59683FBD"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3 </w:t>
            </w:r>
          </w:p>
        </w:tc>
        <w:tc>
          <w:tcPr>
            <w:tcW w:w="631" w:type="dxa"/>
            <w:tcBorders>
              <w:top w:val="single" w:sz="4" w:space="0" w:color="ADD6EA"/>
              <w:left w:val="nil"/>
              <w:bottom w:val="single" w:sz="4" w:space="0" w:color="ADD6EA"/>
              <w:right w:val="nil"/>
            </w:tcBorders>
            <w:shd w:val="clear" w:color="auto" w:fill="auto"/>
            <w:vAlign w:val="bottom"/>
            <w:hideMark/>
          </w:tcPr>
          <w:p w14:paraId="0F622887"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   </w:t>
            </w:r>
          </w:p>
        </w:tc>
        <w:tc>
          <w:tcPr>
            <w:tcW w:w="631" w:type="dxa"/>
            <w:tcBorders>
              <w:top w:val="single" w:sz="4" w:space="0" w:color="ADD6EA"/>
              <w:left w:val="nil"/>
              <w:bottom w:val="single" w:sz="4" w:space="0" w:color="ADD6EA"/>
              <w:right w:val="nil"/>
            </w:tcBorders>
            <w:shd w:val="clear" w:color="auto" w:fill="auto"/>
            <w:vAlign w:val="bottom"/>
            <w:hideMark/>
          </w:tcPr>
          <w:p w14:paraId="43B987FA"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50 </w:t>
            </w:r>
          </w:p>
        </w:tc>
        <w:tc>
          <w:tcPr>
            <w:tcW w:w="716" w:type="dxa"/>
            <w:tcBorders>
              <w:top w:val="single" w:sz="4" w:space="0" w:color="ADD6EA"/>
              <w:left w:val="nil"/>
              <w:bottom w:val="single" w:sz="4" w:space="0" w:color="ADD6EA"/>
              <w:right w:val="nil"/>
            </w:tcBorders>
            <w:shd w:val="clear" w:color="auto" w:fill="auto"/>
            <w:vAlign w:val="bottom"/>
            <w:hideMark/>
          </w:tcPr>
          <w:p w14:paraId="3FA25FDB"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197 </w:t>
            </w:r>
          </w:p>
        </w:tc>
      </w:tr>
      <w:tr w:rsidR="007E365E" w:rsidRPr="00600D3F" w14:paraId="36CBB29D" w14:textId="77777777" w:rsidTr="007D1D77">
        <w:trPr>
          <w:trHeight w:val="315"/>
        </w:trPr>
        <w:tc>
          <w:tcPr>
            <w:tcW w:w="2740" w:type="dxa"/>
            <w:tcBorders>
              <w:top w:val="nil"/>
              <w:left w:val="nil"/>
              <w:bottom w:val="nil"/>
              <w:right w:val="nil"/>
            </w:tcBorders>
            <w:shd w:val="clear" w:color="000000" w:fill="D6E7F0"/>
            <w:vAlign w:val="bottom"/>
            <w:hideMark/>
          </w:tcPr>
          <w:p w14:paraId="79787370" w14:textId="77777777" w:rsidR="007E365E" w:rsidRPr="00CC7E66" w:rsidRDefault="007E365E" w:rsidP="007D1D77">
            <w:pPr>
              <w:keepNext/>
              <w:keepLines/>
              <w:tabs>
                <w:tab w:val="clear" w:pos="567"/>
              </w:tabs>
              <w:spacing w:before="0" w:line="240" w:lineRule="auto"/>
              <w:ind w:left="193" w:hanging="142"/>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Cost weighted population</w:t>
            </w:r>
          </w:p>
        </w:tc>
        <w:tc>
          <w:tcPr>
            <w:tcW w:w="737" w:type="dxa"/>
            <w:tcBorders>
              <w:top w:val="nil"/>
              <w:left w:val="nil"/>
              <w:bottom w:val="nil"/>
              <w:right w:val="nil"/>
            </w:tcBorders>
            <w:shd w:val="clear" w:color="000000" w:fill="D6E7F0"/>
            <w:vAlign w:val="bottom"/>
            <w:hideMark/>
          </w:tcPr>
          <w:p w14:paraId="1CF19942" w14:textId="77777777" w:rsidR="007E365E" w:rsidRPr="00600D3F" w:rsidRDefault="007E365E" w:rsidP="007D1D77">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600D3F">
              <w:rPr>
                <w:rFonts w:ascii="Open Sans SemiBold" w:eastAsia="Times New Roman" w:hAnsi="Open Sans SemiBold" w:cs="Open Sans SemiBold"/>
                <w:sz w:val="16"/>
                <w:szCs w:val="16"/>
                <w:lang w:eastAsia="en-AU"/>
              </w:rPr>
              <w:t> </w:t>
            </w:r>
          </w:p>
        </w:tc>
        <w:tc>
          <w:tcPr>
            <w:tcW w:w="716" w:type="dxa"/>
            <w:tcBorders>
              <w:top w:val="nil"/>
              <w:left w:val="nil"/>
              <w:bottom w:val="nil"/>
              <w:right w:val="nil"/>
            </w:tcBorders>
            <w:shd w:val="clear" w:color="000000" w:fill="D6E7F0"/>
            <w:vAlign w:val="bottom"/>
            <w:hideMark/>
          </w:tcPr>
          <w:p w14:paraId="7B913F55"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9,280 </w:t>
            </w:r>
          </w:p>
        </w:tc>
        <w:tc>
          <w:tcPr>
            <w:tcW w:w="716" w:type="dxa"/>
            <w:tcBorders>
              <w:top w:val="nil"/>
              <w:left w:val="nil"/>
              <w:bottom w:val="nil"/>
              <w:right w:val="nil"/>
            </w:tcBorders>
            <w:shd w:val="clear" w:color="000000" w:fill="D6E7F0"/>
            <w:vAlign w:val="bottom"/>
            <w:hideMark/>
          </w:tcPr>
          <w:p w14:paraId="0E378F3A"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7,319 </w:t>
            </w:r>
          </w:p>
        </w:tc>
        <w:tc>
          <w:tcPr>
            <w:tcW w:w="631" w:type="dxa"/>
            <w:tcBorders>
              <w:top w:val="nil"/>
              <w:left w:val="nil"/>
              <w:bottom w:val="nil"/>
              <w:right w:val="nil"/>
            </w:tcBorders>
            <w:shd w:val="clear" w:color="000000" w:fill="D6E7F0"/>
            <w:vAlign w:val="bottom"/>
            <w:hideMark/>
          </w:tcPr>
          <w:p w14:paraId="047E548E"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6,698 </w:t>
            </w:r>
          </w:p>
        </w:tc>
        <w:tc>
          <w:tcPr>
            <w:tcW w:w="631" w:type="dxa"/>
            <w:tcBorders>
              <w:top w:val="nil"/>
              <w:left w:val="nil"/>
              <w:bottom w:val="nil"/>
              <w:right w:val="nil"/>
            </w:tcBorders>
            <w:shd w:val="clear" w:color="000000" w:fill="D6E7F0"/>
            <w:vAlign w:val="bottom"/>
            <w:hideMark/>
          </w:tcPr>
          <w:p w14:paraId="7D7E6CB3"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3,642 </w:t>
            </w:r>
          </w:p>
        </w:tc>
        <w:tc>
          <w:tcPr>
            <w:tcW w:w="631" w:type="dxa"/>
            <w:tcBorders>
              <w:top w:val="nil"/>
              <w:left w:val="nil"/>
              <w:bottom w:val="nil"/>
              <w:right w:val="nil"/>
            </w:tcBorders>
            <w:shd w:val="clear" w:color="000000" w:fill="D6E7F0"/>
            <w:vAlign w:val="bottom"/>
            <w:hideMark/>
          </w:tcPr>
          <w:p w14:paraId="761D1A2B"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2,265 </w:t>
            </w:r>
          </w:p>
        </w:tc>
        <w:tc>
          <w:tcPr>
            <w:tcW w:w="631" w:type="dxa"/>
            <w:tcBorders>
              <w:top w:val="nil"/>
              <w:left w:val="nil"/>
              <w:bottom w:val="nil"/>
              <w:right w:val="nil"/>
            </w:tcBorders>
            <w:shd w:val="clear" w:color="000000" w:fill="D6E7F0"/>
            <w:vAlign w:val="bottom"/>
            <w:hideMark/>
          </w:tcPr>
          <w:p w14:paraId="5581C94C"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879 </w:t>
            </w:r>
          </w:p>
        </w:tc>
        <w:tc>
          <w:tcPr>
            <w:tcW w:w="631" w:type="dxa"/>
            <w:tcBorders>
              <w:top w:val="nil"/>
              <w:left w:val="nil"/>
              <w:bottom w:val="nil"/>
              <w:right w:val="nil"/>
            </w:tcBorders>
            <w:shd w:val="clear" w:color="000000" w:fill="D6E7F0"/>
            <w:vAlign w:val="bottom"/>
            <w:hideMark/>
          </w:tcPr>
          <w:p w14:paraId="6F14552E"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424 </w:t>
            </w:r>
          </w:p>
        </w:tc>
        <w:tc>
          <w:tcPr>
            <w:tcW w:w="631" w:type="dxa"/>
            <w:tcBorders>
              <w:top w:val="nil"/>
              <w:left w:val="nil"/>
              <w:bottom w:val="nil"/>
              <w:right w:val="nil"/>
            </w:tcBorders>
            <w:shd w:val="clear" w:color="000000" w:fill="D6E7F0"/>
            <w:vAlign w:val="bottom"/>
            <w:hideMark/>
          </w:tcPr>
          <w:p w14:paraId="7A14A71D"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860 </w:t>
            </w:r>
          </w:p>
        </w:tc>
        <w:tc>
          <w:tcPr>
            <w:tcW w:w="716" w:type="dxa"/>
            <w:tcBorders>
              <w:top w:val="nil"/>
              <w:left w:val="nil"/>
              <w:bottom w:val="nil"/>
              <w:right w:val="nil"/>
            </w:tcBorders>
            <w:shd w:val="clear" w:color="000000" w:fill="D6E7F0"/>
            <w:vAlign w:val="bottom"/>
            <w:hideMark/>
          </w:tcPr>
          <w:p w14:paraId="055C08D6"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31,367 </w:t>
            </w:r>
          </w:p>
        </w:tc>
      </w:tr>
      <w:tr w:rsidR="007E365E" w:rsidRPr="00600D3F" w14:paraId="6FDB1DBD" w14:textId="77777777" w:rsidTr="007D1D77">
        <w:trPr>
          <w:trHeight w:val="315"/>
        </w:trPr>
        <w:tc>
          <w:tcPr>
            <w:tcW w:w="2740" w:type="dxa"/>
            <w:tcBorders>
              <w:top w:val="nil"/>
              <w:left w:val="nil"/>
              <w:bottom w:val="nil"/>
              <w:right w:val="nil"/>
            </w:tcBorders>
            <w:shd w:val="clear" w:color="auto" w:fill="auto"/>
            <w:vAlign w:val="bottom"/>
            <w:hideMark/>
          </w:tcPr>
          <w:p w14:paraId="3F9005B4" w14:textId="77777777" w:rsidR="007E365E" w:rsidRPr="00600D3F" w:rsidRDefault="007E365E" w:rsidP="007D1D77">
            <w:pPr>
              <w:keepNext/>
              <w:keepLines/>
              <w:tabs>
                <w:tab w:val="clear" w:pos="567"/>
              </w:tabs>
              <w:spacing w:before="0" w:line="240" w:lineRule="auto"/>
              <w:ind w:left="193" w:hanging="142"/>
              <w:jc w:val="right"/>
              <w:rPr>
                <w:rFonts w:ascii="Open Sans SemiBold" w:eastAsia="Times New Roman" w:hAnsi="Open Sans SemiBold" w:cs="Open Sans SemiBold"/>
                <w:b/>
                <w:bCs/>
                <w:sz w:val="16"/>
                <w:szCs w:val="16"/>
                <w:lang w:eastAsia="en-AU"/>
              </w:rPr>
            </w:pPr>
          </w:p>
        </w:tc>
        <w:tc>
          <w:tcPr>
            <w:tcW w:w="737" w:type="dxa"/>
            <w:tcBorders>
              <w:top w:val="nil"/>
              <w:left w:val="nil"/>
              <w:bottom w:val="nil"/>
              <w:right w:val="nil"/>
            </w:tcBorders>
            <w:shd w:val="clear" w:color="auto" w:fill="auto"/>
            <w:vAlign w:val="bottom"/>
            <w:hideMark/>
          </w:tcPr>
          <w:p w14:paraId="1337ADF9" w14:textId="77777777" w:rsidR="007E365E" w:rsidRPr="00600D3F" w:rsidRDefault="007E365E" w:rsidP="007D1D77">
            <w:pPr>
              <w:keepNext/>
              <w:keepLines/>
              <w:tabs>
                <w:tab w:val="clear" w:pos="567"/>
              </w:tabs>
              <w:spacing w:before="0" w:line="240" w:lineRule="auto"/>
              <w:rPr>
                <w:rFonts w:ascii="Times New Roman" w:eastAsia="Times New Roman" w:hAnsi="Times New Roman" w:cs="Times New Roman"/>
                <w:szCs w:val="20"/>
                <w:lang w:eastAsia="en-AU"/>
              </w:rPr>
            </w:pPr>
          </w:p>
        </w:tc>
        <w:tc>
          <w:tcPr>
            <w:tcW w:w="716" w:type="dxa"/>
            <w:tcBorders>
              <w:top w:val="nil"/>
              <w:left w:val="nil"/>
              <w:bottom w:val="nil"/>
              <w:right w:val="nil"/>
            </w:tcBorders>
            <w:shd w:val="clear" w:color="auto" w:fill="auto"/>
            <w:noWrap/>
            <w:vAlign w:val="bottom"/>
            <w:hideMark/>
          </w:tcPr>
          <w:p w14:paraId="5A19EC4B" w14:textId="77777777" w:rsidR="007E365E" w:rsidRPr="00600D3F" w:rsidRDefault="007E365E" w:rsidP="007D1D77">
            <w:pPr>
              <w:keepNext/>
              <w:keepLines/>
              <w:tabs>
                <w:tab w:val="clear" w:pos="567"/>
              </w:tabs>
              <w:spacing w:before="0" w:line="240" w:lineRule="auto"/>
              <w:rPr>
                <w:rFonts w:ascii="Times New Roman" w:eastAsia="Times New Roman" w:hAnsi="Times New Roman" w:cs="Times New Roman"/>
                <w:szCs w:val="20"/>
                <w:lang w:eastAsia="en-AU"/>
              </w:rPr>
            </w:pPr>
          </w:p>
        </w:tc>
        <w:tc>
          <w:tcPr>
            <w:tcW w:w="716" w:type="dxa"/>
            <w:tcBorders>
              <w:top w:val="nil"/>
              <w:left w:val="nil"/>
              <w:bottom w:val="nil"/>
              <w:right w:val="nil"/>
            </w:tcBorders>
            <w:shd w:val="clear" w:color="auto" w:fill="auto"/>
            <w:noWrap/>
            <w:vAlign w:val="bottom"/>
            <w:hideMark/>
          </w:tcPr>
          <w:p w14:paraId="2F8AD3FC" w14:textId="77777777" w:rsidR="007E365E" w:rsidRPr="00600D3F" w:rsidRDefault="007E365E" w:rsidP="007D1D77">
            <w:pPr>
              <w:keepNext/>
              <w:keepLines/>
              <w:tabs>
                <w:tab w:val="clear" w:pos="567"/>
              </w:tabs>
              <w:spacing w:before="0" w:line="240" w:lineRule="auto"/>
              <w:rPr>
                <w:rFonts w:ascii="Times New Roman" w:eastAsia="Times New Roman" w:hAnsi="Times New Roman" w:cs="Times New Roman"/>
                <w:szCs w:val="20"/>
                <w:lang w:eastAsia="en-AU"/>
              </w:rPr>
            </w:pPr>
          </w:p>
        </w:tc>
        <w:tc>
          <w:tcPr>
            <w:tcW w:w="631" w:type="dxa"/>
            <w:tcBorders>
              <w:top w:val="nil"/>
              <w:left w:val="nil"/>
              <w:bottom w:val="nil"/>
              <w:right w:val="nil"/>
            </w:tcBorders>
            <w:shd w:val="clear" w:color="auto" w:fill="auto"/>
            <w:noWrap/>
            <w:vAlign w:val="bottom"/>
            <w:hideMark/>
          </w:tcPr>
          <w:p w14:paraId="7BF3431C" w14:textId="77777777" w:rsidR="007E365E" w:rsidRPr="00600D3F" w:rsidRDefault="007E365E" w:rsidP="007D1D77">
            <w:pPr>
              <w:keepNext/>
              <w:keepLines/>
              <w:tabs>
                <w:tab w:val="clear" w:pos="567"/>
              </w:tabs>
              <w:spacing w:before="0" w:line="240" w:lineRule="auto"/>
              <w:rPr>
                <w:rFonts w:ascii="Times New Roman" w:eastAsia="Times New Roman" w:hAnsi="Times New Roman" w:cs="Times New Roman"/>
                <w:szCs w:val="20"/>
                <w:lang w:eastAsia="en-AU"/>
              </w:rPr>
            </w:pPr>
          </w:p>
        </w:tc>
        <w:tc>
          <w:tcPr>
            <w:tcW w:w="631" w:type="dxa"/>
            <w:tcBorders>
              <w:top w:val="nil"/>
              <w:left w:val="nil"/>
              <w:bottom w:val="nil"/>
              <w:right w:val="nil"/>
            </w:tcBorders>
            <w:shd w:val="clear" w:color="auto" w:fill="auto"/>
            <w:noWrap/>
            <w:vAlign w:val="bottom"/>
            <w:hideMark/>
          </w:tcPr>
          <w:p w14:paraId="3E627DD6" w14:textId="77777777" w:rsidR="007E365E" w:rsidRPr="00600D3F" w:rsidRDefault="007E365E" w:rsidP="007D1D77">
            <w:pPr>
              <w:keepNext/>
              <w:keepLines/>
              <w:tabs>
                <w:tab w:val="clear" w:pos="567"/>
              </w:tabs>
              <w:spacing w:before="0" w:line="240" w:lineRule="auto"/>
              <w:rPr>
                <w:rFonts w:ascii="Times New Roman" w:eastAsia="Times New Roman" w:hAnsi="Times New Roman" w:cs="Times New Roman"/>
                <w:szCs w:val="20"/>
                <w:lang w:eastAsia="en-AU"/>
              </w:rPr>
            </w:pPr>
          </w:p>
        </w:tc>
        <w:tc>
          <w:tcPr>
            <w:tcW w:w="631" w:type="dxa"/>
            <w:tcBorders>
              <w:top w:val="nil"/>
              <w:left w:val="nil"/>
              <w:bottom w:val="nil"/>
              <w:right w:val="nil"/>
            </w:tcBorders>
            <w:shd w:val="clear" w:color="auto" w:fill="auto"/>
            <w:noWrap/>
            <w:vAlign w:val="bottom"/>
            <w:hideMark/>
          </w:tcPr>
          <w:p w14:paraId="63824D89" w14:textId="77777777" w:rsidR="007E365E" w:rsidRPr="00600D3F" w:rsidRDefault="007E365E" w:rsidP="007D1D77">
            <w:pPr>
              <w:keepNext/>
              <w:keepLines/>
              <w:tabs>
                <w:tab w:val="clear" w:pos="567"/>
              </w:tabs>
              <w:spacing w:before="0" w:line="240" w:lineRule="auto"/>
              <w:rPr>
                <w:rFonts w:ascii="Times New Roman" w:eastAsia="Times New Roman" w:hAnsi="Times New Roman" w:cs="Times New Roman"/>
                <w:szCs w:val="20"/>
                <w:lang w:eastAsia="en-AU"/>
              </w:rPr>
            </w:pPr>
          </w:p>
        </w:tc>
        <w:tc>
          <w:tcPr>
            <w:tcW w:w="631" w:type="dxa"/>
            <w:tcBorders>
              <w:top w:val="nil"/>
              <w:left w:val="nil"/>
              <w:bottom w:val="nil"/>
              <w:right w:val="nil"/>
            </w:tcBorders>
            <w:shd w:val="clear" w:color="auto" w:fill="auto"/>
            <w:noWrap/>
            <w:vAlign w:val="bottom"/>
            <w:hideMark/>
          </w:tcPr>
          <w:p w14:paraId="18E575F6" w14:textId="77777777" w:rsidR="007E365E" w:rsidRPr="00600D3F" w:rsidRDefault="007E365E" w:rsidP="007D1D77">
            <w:pPr>
              <w:keepNext/>
              <w:keepLines/>
              <w:tabs>
                <w:tab w:val="clear" w:pos="567"/>
              </w:tabs>
              <w:spacing w:before="0" w:line="240" w:lineRule="auto"/>
              <w:rPr>
                <w:rFonts w:ascii="Times New Roman" w:eastAsia="Times New Roman" w:hAnsi="Times New Roman" w:cs="Times New Roman"/>
                <w:szCs w:val="20"/>
                <w:lang w:eastAsia="en-AU"/>
              </w:rPr>
            </w:pPr>
          </w:p>
        </w:tc>
        <w:tc>
          <w:tcPr>
            <w:tcW w:w="631" w:type="dxa"/>
            <w:tcBorders>
              <w:top w:val="nil"/>
              <w:left w:val="nil"/>
              <w:bottom w:val="nil"/>
              <w:right w:val="nil"/>
            </w:tcBorders>
            <w:shd w:val="clear" w:color="auto" w:fill="auto"/>
            <w:noWrap/>
            <w:vAlign w:val="bottom"/>
            <w:hideMark/>
          </w:tcPr>
          <w:p w14:paraId="35EB1524" w14:textId="77777777" w:rsidR="007E365E" w:rsidRPr="00600D3F" w:rsidRDefault="007E365E" w:rsidP="007D1D77">
            <w:pPr>
              <w:keepNext/>
              <w:keepLines/>
              <w:tabs>
                <w:tab w:val="clear" w:pos="567"/>
              </w:tabs>
              <w:spacing w:before="0" w:line="240" w:lineRule="auto"/>
              <w:rPr>
                <w:rFonts w:ascii="Times New Roman" w:eastAsia="Times New Roman" w:hAnsi="Times New Roman" w:cs="Times New Roman"/>
                <w:szCs w:val="20"/>
                <w:lang w:eastAsia="en-AU"/>
              </w:rPr>
            </w:pPr>
          </w:p>
        </w:tc>
        <w:tc>
          <w:tcPr>
            <w:tcW w:w="631" w:type="dxa"/>
            <w:tcBorders>
              <w:top w:val="nil"/>
              <w:left w:val="nil"/>
              <w:bottom w:val="nil"/>
              <w:right w:val="nil"/>
            </w:tcBorders>
            <w:shd w:val="clear" w:color="auto" w:fill="auto"/>
            <w:noWrap/>
            <w:vAlign w:val="bottom"/>
            <w:hideMark/>
          </w:tcPr>
          <w:p w14:paraId="1696D774" w14:textId="77777777" w:rsidR="007E365E" w:rsidRPr="00600D3F" w:rsidRDefault="007E365E" w:rsidP="007D1D77">
            <w:pPr>
              <w:keepNext/>
              <w:keepLines/>
              <w:tabs>
                <w:tab w:val="clear" w:pos="567"/>
              </w:tabs>
              <w:spacing w:before="0" w:line="240" w:lineRule="auto"/>
              <w:rPr>
                <w:rFonts w:ascii="Times New Roman" w:eastAsia="Times New Roman" w:hAnsi="Times New Roman" w:cs="Times New Roman"/>
                <w:szCs w:val="20"/>
                <w:lang w:eastAsia="en-AU"/>
              </w:rPr>
            </w:pPr>
          </w:p>
        </w:tc>
        <w:tc>
          <w:tcPr>
            <w:tcW w:w="716" w:type="dxa"/>
            <w:tcBorders>
              <w:top w:val="nil"/>
              <w:left w:val="nil"/>
              <w:bottom w:val="nil"/>
              <w:right w:val="nil"/>
            </w:tcBorders>
            <w:shd w:val="clear" w:color="auto" w:fill="auto"/>
            <w:noWrap/>
            <w:vAlign w:val="bottom"/>
            <w:hideMark/>
          </w:tcPr>
          <w:p w14:paraId="33D43AA8" w14:textId="77777777" w:rsidR="007E365E" w:rsidRPr="00600D3F" w:rsidRDefault="007E365E" w:rsidP="007D1D77">
            <w:pPr>
              <w:keepNext/>
              <w:keepLines/>
              <w:tabs>
                <w:tab w:val="clear" w:pos="567"/>
              </w:tabs>
              <w:spacing w:before="0" w:line="240" w:lineRule="auto"/>
              <w:rPr>
                <w:rFonts w:ascii="Times New Roman" w:eastAsia="Times New Roman" w:hAnsi="Times New Roman" w:cs="Times New Roman"/>
                <w:szCs w:val="20"/>
                <w:lang w:eastAsia="en-AU"/>
              </w:rPr>
            </w:pPr>
          </w:p>
        </w:tc>
      </w:tr>
      <w:tr w:rsidR="007E365E" w:rsidRPr="00600D3F" w14:paraId="68E9537A" w14:textId="77777777" w:rsidTr="007D1D77">
        <w:trPr>
          <w:trHeight w:val="315"/>
        </w:trPr>
        <w:tc>
          <w:tcPr>
            <w:tcW w:w="2740" w:type="dxa"/>
            <w:tcBorders>
              <w:top w:val="single" w:sz="4" w:space="0" w:color="ADD6EA"/>
              <w:left w:val="nil"/>
              <w:bottom w:val="single" w:sz="4" w:space="0" w:color="ADD6EA"/>
              <w:right w:val="nil"/>
            </w:tcBorders>
            <w:shd w:val="clear" w:color="auto" w:fill="auto"/>
            <w:vAlign w:val="bottom"/>
            <w:hideMark/>
          </w:tcPr>
          <w:p w14:paraId="4410CC47" w14:textId="77777777" w:rsidR="007E365E" w:rsidRPr="00600D3F" w:rsidRDefault="007E365E" w:rsidP="007D1D77">
            <w:pPr>
              <w:keepNext/>
              <w:keepLines/>
              <w:tabs>
                <w:tab w:val="clear" w:pos="567"/>
              </w:tabs>
              <w:spacing w:before="0" w:line="240" w:lineRule="auto"/>
              <w:ind w:left="193" w:hanging="142"/>
              <w:rPr>
                <w:rFonts w:eastAsia="Times New Roman" w:cs="Open Sans Light"/>
                <w:sz w:val="16"/>
                <w:szCs w:val="16"/>
                <w:lang w:eastAsia="en-AU"/>
              </w:rPr>
            </w:pPr>
            <w:r w:rsidRPr="00600D3F">
              <w:rPr>
                <w:rFonts w:eastAsia="Times New Roman" w:cs="Open Sans Light"/>
                <w:sz w:val="16"/>
                <w:szCs w:val="16"/>
                <w:lang w:eastAsia="en-AU"/>
              </w:rPr>
              <w:t>Assessed offenders</w:t>
            </w:r>
          </w:p>
        </w:tc>
        <w:tc>
          <w:tcPr>
            <w:tcW w:w="737" w:type="dxa"/>
            <w:tcBorders>
              <w:top w:val="single" w:sz="4" w:space="0" w:color="ADD6EA"/>
              <w:left w:val="nil"/>
              <w:bottom w:val="single" w:sz="4" w:space="0" w:color="ADD6EA"/>
              <w:right w:val="nil"/>
            </w:tcBorders>
            <w:shd w:val="clear" w:color="auto" w:fill="auto"/>
            <w:vAlign w:val="bottom"/>
            <w:hideMark/>
          </w:tcPr>
          <w:p w14:paraId="537999EE" w14:textId="77777777" w:rsidR="007E365E" w:rsidRPr="00600D3F" w:rsidRDefault="007E365E" w:rsidP="007D1D77">
            <w:pPr>
              <w:keepNext/>
              <w:keepLines/>
              <w:tabs>
                <w:tab w:val="clear" w:pos="567"/>
              </w:tabs>
              <w:spacing w:before="0" w:line="240" w:lineRule="auto"/>
              <w:rPr>
                <w:rFonts w:eastAsia="Times New Roman" w:cs="Open Sans Light"/>
                <w:sz w:val="16"/>
                <w:szCs w:val="16"/>
                <w:lang w:eastAsia="en-AU"/>
              </w:rPr>
            </w:pPr>
            <w:r w:rsidRPr="00600D3F">
              <w:rPr>
                <w:rFonts w:eastAsia="Times New Roman" w:cs="Open Sans Light"/>
                <w:sz w:val="16"/>
                <w:szCs w:val="16"/>
                <w:lang w:eastAsia="en-AU"/>
              </w:rPr>
              <w:t>20.0</w:t>
            </w:r>
          </w:p>
        </w:tc>
        <w:tc>
          <w:tcPr>
            <w:tcW w:w="716" w:type="dxa"/>
            <w:tcBorders>
              <w:top w:val="single" w:sz="4" w:space="0" w:color="ADD6EA"/>
              <w:left w:val="nil"/>
              <w:bottom w:val="single" w:sz="4" w:space="0" w:color="ADD6EA"/>
              <w:right w:val="nil"/>
            </w:tcBorders>
            <w:shd w:val="clear" w:color="auto" w:fill="auto"/>
            <w:vAlign w:val="bottom"/>
            <w:hideMark/>
          </w:tcPr>
          <w:p w14:paraId="7B132D01"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232 </w:t>
            </w:r>
          </w:p>
        </w:tc>
        <w:tc>
          <w:tcPr>
            <w:tcW w:w="716" w:type="dxa"/>
            <w:tcBorders>
              <w:top w:val="single" w:sz="4" w:space="0" w:color="ADD6EA"/>
              <w:left w:val="nil"/>
              <w:bottom w:val="single" w:sz="4" w:space="0" w:color="ADD6EA"/>
              <w:right w:val="nil"/>
            </w:tcBorders>
            <w:shd w:val="clear" w:color="auto" w:fill="auto"/>
            <w:vAlign w:val="bottom"/>
            <w:hideMark/>
          </w:tcPr>
          <w:p w14:paraId="29B26EA2"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162 </w:t>
            </w:r>
          </w:p>
        </w:tc>
        <w:tc>
          <w:tcPr>
            <w:tcW w:w="631" w:type="dxa"/>
            <w:tcBorders>
              <w:top w:val="single" w:sz="4" w:space="0" w:color="ADD6EA"/>
              <w:left w:val="nil"/>
              <w:bottom w:val="single" w:sz="4" w:space="0" w:color="ADD6EA"/>
              <w:right w:val="nil"/>
            </w:tcBorders>
            <w:shd w:val="clear" w:color="auto" w:fill="auto"/>
            <w:vAlign w:val="bottom"/>
            <w:hideMark/>
          </w:tcPr>
          <w:p w14:paraId="3D4B0CA7"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156 </w:t>
            </w:r>
          </w:p>
        </w:tc>
        <w:tc>
          <w:tcPr>
            <w:tcW w:w="631" w:type="dxa"/>
            <w:tcBorders>
              <w:top w:val="single" w:sz="4" w:space="0" w:color="ADD6EA"/>
              <w:left w:val="nil"/>
              <w:bottom w:val="single" w:sz="4" w:space="0" w:color="ADD6EA"/>
              <w:right w:val="nil"/>
            </w:tcBorders>
            <w:shd w:val="clear" w:color="auto" w:fill="auto"/>
            <w:vAlign w:val="bottom"/>
            <w:hideMark/>
          </w:tcPr>
          <w:p w14:paraId="0331274E"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74 </w:t>
            </w:r>
          </w:p>
        </w:tc>
        <w:tc>
          <w:tcPr>
            <w:tcW w:w="631" w:type="dxa"/>
            <w:tcBorders>
              <w:top w:val="single" w:sz="4" w:space="0" w:color="ADD6EA"/>
              <w:left w:val="nil"/>
              <w:bottom w:val="single" w:sz="4" w:space="0" w:color="ADD6EA"/>
              <w:right w:val="nil"/>
            </w:tcBorders>
            <w:shd w:val="clear" w:color="auto" w:fill="auto"/>
            <w:vAlign w:val="bottom"/>
            <w:hideMark/>
          </w:tcPr>
          <w:p w14:paraId="0FBD9D80"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52 </w:t>
            </w:r>
          </w:p>
        </w:tc>
        <w:tc>
          <w:tcPr>
            <w:tcW w:w="631" w:type="dxa"/>
            <w:tcBorders>
              <w:top w:val="single" w:sz="4" w:space="0" w:color="ADD6EA"/>
              <w:left w:val="nil"/>
              <w:bottom w:val="single" w:sz="4" w:space="0" w:color="ADD6EA"/>
              <w:right w:val="nil"/>
            </w:tcBorders>
            <w:shd w:val="clear" w:color="auto" w:fill="auto"/>
            <w:vAlign w:val="bottom"/>
            <w:hideMark/>
          </w:tcPr>
          <w:p w14:paraId="784FF9E3"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18 </w:t>
            </w:r>
          </w:p>
        </w:tc>
        <w:tc>
          <w:tcPr>
            <w:tcW w:w="631" w:type="dxa"/>
            <w:tcBorders>
              <w:top w:val="single" w:sz="4" w:space="0" w:color="ADD6EA"/>
              <w:left w:val="nil"/>
              <w:bottom w:val="single" w:sz="4" w:space="0" w:color="ADD6EA"/>
              <w:right w:val="nil"/>
            </w:tcBorders>
            <w:shd w:val="clear" w:color="auto" w:fill="auto"/>
            <w:vAlign w:val="bottom"/>
            <w:hideMark/>
          </w:tcPr>
          <w:p w14:paraId="2F3267C3"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8 </w:t>
            </w:r>
          </w:p>
        </w:tc>
        <w:tc>
          <w:tcPr>
            <w:tcW w:w="631" w:type="dxa"/>
            <w:tcBorders>
              <w:top w:val="single" w:sz="4" w:space="0" w:color="ADD6EA"/>
              <w:left w:val="nil"/>
              <w:bottom w:val="single" w:sz="4" w:space="0" w:color="ADD6EA"/>
              <w:right w:val="nil"/>
            </w:tcBorders>
            <w:shd w:val="clear" w:color="auto" w:fill="auto"/>
            <w:vAlign w:val="bottom"/>
            <w:hideMark/>
          </w:tcPr>
          <w:p w14:paraId="3BC365B4"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20 </w:t>
            </w:r>
          </w:p>
        </w:tc>
        <w:tc>
          <w:tcPr>
            <w:tcW w:w="716" w:type="dxa"/>
            <w:tcBorders>
              <w:top w:val="single" w:sz="4" w:space="0" w:color="ADD6EA"/>
              <w:left w:val="nil"/>
              <w:bottom w:val="single" w:sz="4" w:space="0" w:color="ADD6EA"/>
              <w:right w:val="nil"/>
            </w:tcBorders>
            <w:shd w:val="clear" w:color="auto" w:fill="auto"/>
            <w:vAlign w:val="bottom"/>
            <w:hideMark/>
          </w:tcPr>
          <w:p w14:paraId="52217744"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722 </w:t>
            </w:r>
          </w:p>
        </w:tc>
      </w:tr>
      <w:tr w:rsidR="007E365E" w:rsidRPr="00600D3F" w14:paraId="5AADBFFA" w14:textId="77777777" w:rsidTr="007D1D77">
        <w:trPr>
          <w:trHeight w:val="315"/>
        </w:trPr>
        <w:tc>
          <w:tcPr>
            <w:tcW w:w="2740" w:type="dxa"/>
            <w:tcBorders>
              <w:top w:val="nil"/>
              <w:left w:val="nil"/>
              <w:bottom w:val="nil"/>
              <w:right w:val="nil"/>
            </w:tcBorders>
            <w:shd w:val="clear" w:color="auto" w:fill="auto"/>
            <w:vAlign w:val="bottom"/>
            <w:hideMark/>
          </w:tcPr>
          <w:p w14:paraId="5A345F1D" w14:textId="77777777" w:rsidR="007E365E" w:rsidRPr="00600D3F" w:rsidRDefault="007E365E" w:rsidP="007D1D77">
            <w:pPr>
              <w:keepNext/>
              <w:keepLines/>
              <w:tabs>
                <w:tab w:val="clear" w:pos="567"/>
              </w:tabs>
              <w:spacing w:before="0" w:line="240" w:lineRule="auto"/>
              <w:ind w:left="193" w:hanging="142"/>
              <w:rPr>
                <w:rFonts w:eastAsia="Times New Roman" w:cs="Open Sans Light"/>
                <w:sz w:val="16"/>
                <w:szCs w:val="16"/>
                <w:lang w:eastAsia="en-AU"/>
              </w:rPr>
            </w:pPr>
            <w:r w:rsidRPr="00600D3F">
              <w:rPr>
                <w:rFonts w:eastAsia="Times New Roman" w:cs="Open Sans Light"/>
                <w:sz w:val="16"/>
                <w:szCs w:val="16"/>
                <w:lang w:eastAsia="en-AU"/>
              </w:rPr>
              <w:t>Cost-weighted offenders</w:t>
            </w:r>
          </w:p>
        </w:tc>
        <w:tc>
          <w:tcPr>
            <w:tcW w:w="737" w:type="dxa"/>
            <w:tcBorders>
              <w:top w:val="nil"/>
              <w:left w:val="nil"/>
              <w:bottom w:val="nil"/>
              <w:right w:val="nil"/>
            </w:tcBorders>
            <w:shd w:val="clear" w:color="auto" w:fill="auto"/>
            <w:vAlign w:val="bottom"/>
            <w:hideMark/>
          </w:tcPr>
          <w:p w14:paraId="2631B5AD" w14:textId="77777777" w:rsidR="007E365E" w:rsidRPr="00600D3F" w:rsidRDefault="007E365E" w:rsidP="007D1D77">
            <w:pPr>
              <w:keepNext/>
              <w:keepLines/>
              <w:tabs>
                <w:tab w:val="clear" w:pos="567"/>
              </w:tabs>
              <w:spacing w:before="0" w:line="240" w:lineRule="auto"/>
              <w:rPr>
                <w:rFonts w:eastAsia="Times New Roman" w:cs="Open Sans Light"/>
                <w:sz w:val="16"/>
                <w:szCs w:val="16"/>
                <w:lang w:eastAsia="en-AU"/>
              </w:rPr>
            </w:pPr>
          </w:p>
        </w:tc>
        <w:tc>
          <w:tcPr>
            <w:tcW w:w="716" w:type="dxa"/>
            <w:tcBorders>
              <w:top w:val="nil"/>
              <w:left w:val="nil"/>
              <w:bottom w:val="nil"/>
              <w:right w:val="nil"/>
            </w:tcBorders>
            <w:shd w:val="clear" w:color="auto" w:fill="auto"/>
            <w:vAlign w:val="bottom"/>
            <w:hideMark/>
          </w:tcPr>
          <w:p w14:paraId="5C137507"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4,623 </w:t>
            </w:r>
          </w:p>
        </w:tc>
        <w:tc>
          <w:tcPr>
            <w:tcW w:w="716" w:type="dxa"/>
            <w:tcBorders>
              <w:top w:val="nil"/>
              <w:left w:val="nil"/>
              <w:bottom w:val="nil"/>
              <w:right w:val="nil"/>
            </w:tcBorders>
            <w:shd w:val="clear" w:color="auto" w:fill="auto"/>
            <w:vAlign w:val="bottom"/>
            <w:hideMark/>
          </w:tcPr>
          <w:p w14:paraId="717D7CCF"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3,227 </w:t>
            </w:r>
          </w:p>
        </w:tc>
        <w:tc>
          <w:tcPr>
            <w:tcW w:w="631" w:type="dxa"/>
            <w:tcBorders>
              <w:top w:val="nil"/>
              <w:left w:val="nil"/>
              <w:bottom w:val="nil"/>
              <w:right w:val="nil"/>
            </w:tcBorders>
            <w:shd w:val="clear" w:color="auto" w:fill="auto"/>
            <w:vAlign w:val="bottom"/>
            <w:hideMark/>
          </w:tcPr>
          <w:p w14:paraId="762A0749"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3,118 </w:t>
            </w:r>
          </w:p>
        </w:tc>
        <w:tc>
          <w:tcPr>
            <w:tcW w:w="631" w:type="dxa"/>
            <w:tcBorders>
              <w:top w:val="nil"/>
              <w:left w:val="nil"/>
              <w:bottom w:val="nil"/>
              <w:right w:val="nil"/>
            </w:tcBorders>
            <w:shd w:val="clear" w:color="auto" w:fill="auto"/>
            <w:vAlign w:val="bottom"/>
            <w:hideMark/>
          </w:tcPr>
          <w:p w14:paraId="45665F8C"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1,483 </w:t>
            </w:r>
          </w:p>
        </w:tc>
        <w:tc>
          <w:tcPr>
            <w:tcW w:w="631" w:type="dxa"/>
            <w:tcBorders>
              <w:top w:val="nil"/>
              <w:left w:val="nil"/>
              <w:bottom w:val="nil"/>
              <w:right w:val="nil"/>
            </w:tcBorders>
            <w:shd w:val="clear" w:color="auto" w:fill="auto"/>
            <w:vAlign w:val="bottom"/>
            <w:hideMark/>
          </w:tcPr>
          <w:p w14:paraId="036C6A96"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1,033 </w:t>
            </w:r>
          </w:p>
        </w:tc>
        <w:tc>
          <w:tcPr>
            <w:tcW w:w="631" w:type="dxa"/>
            <w:tcBorders>
              <w:top w:val="nil"/>
              <w:left w:val="nil"/>
              <w:bottom w:val="nil"/>
              <w:right w:val="nil"/>
            </w:tcBorders>
            <w:shd w:val="clear" w:color="auto" w:fill="auto"/>
            <w:vAlign w:val="bottom"/>
            <w:hideMark/>
          </w:tcPr>
          <w:p w14:paraId="71419F1B"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354 </w:t>
            </w:r>
          </w:p>
        </w:tc>
        <w:tc>
          <w:tcPr>
            <w:tcW w:w="631" w:type="dxa"/>
            <w:tcBorders>
              <w:top w:val="nil"/>
              <w:left w:val="nil"/>
              <w:bottom w:val="nil"/>
              <w:right w:val="nil"/>
            </w:tcBorders>
            <w:shd w:val="clear" w:color="auto" w:fill="auto"/>
            <w:vAlign w:val="bottom"/>
            <w:hideMark/>
          </w:tcPr>
          <w:p w14:paraId="7D81CBDC"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160 </w:t>
            </w:r>
          </w:p>
        </w:tc>
        <w:tc>
          <w:tcPr>
            <w:tcW w:w="631" w:type="dxa"/>
            <w:tcBorders>
              <w:top w:val="nil"/>
              <w:left w:val="nil"/>
              <w:bottom w:val="nil"/>
              <w:right w:val="nil"/>
            </w:tcBorders>
            <w:shd w:val="clear" w:color="auto" w:fill="auto"/>
            <w:vAlign w:val="bottom"/>
            <w:hideMark/>
          </w:tcPr>
          <w:p w14:paraId="7776BD44"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397 </w:t>
            </w:r>
          </w:p>
        </w:tc>
        <w:tc>
          <w:tcPr>
            <w:tcW w:w="716" w:type="dxa"/>
            <w:tcBorders>
              <w:top w:val="nil"/>
              <w:left w:val="nil"/>
              <w:bottom w:val="nil"/>
              <w:right w:val="nil"/>
            </w:tcBorders>
            <w:shd w:val="clear" w:color="auto" w:fill="auto"/>
            <w:vAlign w:val="bottom"/>
            <w:hideMark/>
          </w:tcPr>
          <w:p w14:paraId="2147CDC5"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14,395 </w:t>
            </w:r>
          </w:p>
        </w:tc>
      </w:tr>
      <w:tr w:rsidR="007E365E" w:rsidRPr="00600D3F" w14:paraId="1097088E" w14:textId="77777777" w:rsidTr="007D1D77">
        <w:trPr>
          <w:trHeight w:val="315"/>
        </w:trPr>
        <w:tc>
          <w:tcPr>
            <w:tcW w:w="2740" w:type="dxa"/>
            <w:tcBorders>
              <w:top w:val="single" w:sz="4" w:space="0" w:color="ADD6EA"/>
              <w:left w:val="nil"/>
              <w:bottom w:val="single" w:sz="4" w:space="0" w:color="ADD6EA"/>
              <w:right w:val="nil"/>
            </w:tcBorders>
            <w:shd w:val="clear" w:color="000000" w:fill="D6E7F0"/>
            <w:vAlign w:val="bottom"/>
            <w:hideMark/>
          </w:tcPr>
          <w:p w14:paraId="56AAC99D" w14:textId="77777777" w:rsidR="007E365E" w:rsidRPr="00CC7E66" w:rsidRDefault="007E365E" w:rsidP="007D1D77">
            <w:pPr>
              <w:keepNext/>
              <w:keepLines/>
              <w:tabs>
                <w:tab w:val="clear" w:pos="567"/>
              </w:tabs>
              <w:spacing w:before="0" w:line="240" w:lineRule="auto"/>
              <w:ind w:left="193" w:hanging="142"/>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Total cost-weighted policing task</w:t>
            </w:r>
          </w:p>
        </w:tc>
        <w:tc>
          <w:tcPr>
            <w:tcW w:w="737" w:type="dxa"/>
            <w:tcBorders>
              <w:top w:val="single" w:sz="4" w:space="0" w:color="ADD6EA"/>
              <w:left w:val="nil"/>
              <w:bottom w:val="single" w:sz="4" w:space="0" w:color="ADD6EA"/>
              <w:right w:val="nil"/>
            </w:tcBorders>
            <w:shd w:val="clear" w:color="000000" w:fill="D6E7F0"/>
            <w:vAlign w:val="bottom"/>
            <w:hideMark/>
          </w:tcPr>
          <w:p w14:paraId="7105662C" w14:textId="77777777" w:rsidR="007E365E" w:rsidRPr="00600D3F" w:rsidRDefault="007E365E" w:rsidP="007D1D77">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600D3F">
              <w:rPr>
                <w:rFonts w:ascii="Open Sans SemiBold" w:eastAsia="Times New Roman" w:hAnsi="Open Sans SemiBold" w:cs="Open Sans SemiBold"/>
                <w:sz w:val="16"/>
                <w:szCs w:val="16"/>
                <w:lang w:eastAsia="en-AU"/>
              </w:rPr>
              <w:t> </w:t>
            </w:r>
          </w:p>
        </w:tc>
        <w:tc>
          <w:tcPr>
            <w:tcW w:w="716" w:type="dxa"/>
            <w:tcBorders>
              <w:top w:val="single" w:sz="4" w:space="0" w:color="ADD6EA"/>
              <w:left w:val="nil"/>
              <w:bottom w:val="single" w:sz="4" w:space="0" w:color="ADD6EA"/>
              <w:right w:val="nil"/>
            </w:tcBorders>
            <w:shd w:val="clear" w:color="000000" w:fill="D6E7F0"/>
            <w:vAlign w:val="bottom"/>
            <w:hideMark/>
          </w:tcPr>
          <w:p w14:paraId="772D9387"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13,903 </w:t>
            </w:r>
          </w:p>
        </w:tc>
        <w:tc>
          <w:tcPr>
            <w:tcW w:w="716" w:type="dxa"/>
            <w:tcBorders>
              <w:top w:val="single" w:sz="4" w:space="0" w:color="ADD6EA"/>
              <w:left w:val="nil"/>
              <w:bottom w:val="single" w:sz="4" w:space="0" w:color="ADD6EA"/>
              <w:right w:val="nil"/>
            </w:tcBorders>
            <w:shd w:val="clear" w:color="000000" w:fill="D6E7F0"/>
            <w:vAlign w:val="bottom"/>
            <w:hideMark/>
          </w:tcPr>
          <w:p w14:paraId="2A819177"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10,546 </w:t>
            </w:r>
          </w:p>
        </w:tc>
        <w:tc>
          <w:tcPr>
            <w:tcW w:w="631" w:type="dxa"/>
            <w:tcBorders>
              <w:top w:val="single" w:sz="4" w:space="0" w:color="ADD6EA"/>
              <w:left w:val="nil"/>
              <w:bottom w:val="single" w:sz="4" w:space="0" w:color="ADD6EA"/>
              <w:right w:val="nil"/>
            </w:tcBorders>
            <w:shd w:val="clear" w:color="000000" w:fill="D6E7F0"/>
            <w:vAlign w:val="bottom"/>
            <w:hideMark/>
          </w:tcPr>
          <w:p w14:paraId="47B6399A"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9,816 </w:t>
            </w:r>
          </w:p>
        </w:tc>
        <w:tc>
          <w:tcPr>
            <w:tcW w:w="631" w:type="dxa"/>
            <w:tcBorders>
              <w:top w:val="single" w:sz="4" w:space="0" w:color="ADD6EA"/>
              <w:left w:val="nil"/>
              <w:bottom w:val="single" w:sz="4" w:space="0" w:color="ADD6EA"/>
              <w:right w:val="nil"/>
            </w:tcBorders>
            <w:shd w:val="clear" w:color="000000" w:fill="D6E7F0"/>
            <w:vAlign w:val="bottom"/>
            <w:hideMark/>
          </w:tcPr>
          <w:p w14:paraId="34CCABB4"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5,125 </w:t>
            </w:r>
          </w:p>
        </w:tc>
        <w:tc>
          <w:tcPr>
            <w:tcW w:w="631" w:type="dxa"/>
            <w:tcBorders>
              <w:top w:val="single" w:sz="4" w:space="0" w:color="ADD6EA"/>
              <w:left w:val="nil"/>
              <w:bottom w:val="single" w:sz="4" w:space="0" w:color="ADD6EA"/>
              <w:right w:val="nil"/>
            </w:tcBorders>
            <w:shd w:val="clear" w:color="000000" w:fill="D6E7F0"/>
            <w:vAlign w:val="bottom"/>
            <w:hideMark/>
          </w:tcPr>
          <w:p w14:paraId="2AE3DB4E"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3,298 </w:t>
            </w:r>
          </w:p>
        </w:tc>
        <w:tc>
          <w:tcPr>
            <w:tcW w:w="631" w:type="dxa"/>
            <w:tcBorders>
              <w:top w:val="single" w:sz="4" w:space="0" w:color="ADD6EA"/>
              <w:left w:val="nil"/>
              <w:bottom w:val="single" w:sz="4" w:space="0" w:color="ADD6EA"/>
              <w:right w:val="nil"/>
            </w:tcBorders>
            <w:shd w:val="clear" w:color="000000" w:fill="D6E7F0"/>
            <w:vAlign w:val="bottom"/>
            <w:hideMark/>
          </w:tcPr>
          <w:p w14:paraId="0260FAAF"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1,234 </w:t>
            </w:r>
          </w:p>
        </w:tc>
        <w:tc>
          <w:tcPr>
            <w:tcW w:w="631" w:type="dxa"/>
            <w:tcBorders>
              <w:top w:val="single" w:sz="4" w:space="0" w:color="ADD6EA"/>
              <w:left w:val="nil"/>
              <w:bottom w:val="single" w:sz="4" w:space="0" w:color="ADD6EA"/>
              <w:right w:val="nil"/>
            </w:tcBorders>
            <w:shd w:val="clear" w:color="000000" w:fill="D6E7F0"/>
            <w:vAlign w:val="bottom"/>
            <w:hideMark/>
          </w:tcPr>
          <w:p w14:paraId="5D7DB9A7"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583 </w:t>
            </w:r>
          </w:p>
        </w:tc>
        <w:tc>
          <w:tcPr>
            <w:tcW w:w="631" w:type="dxa"/>
            <w:tcBorders>
              <w:top w:val="single" w:sz="4" w:space="0" w:color="ADD6EA"/>
              <w:left w:val="nil"/>
              <w:bottom w:val="single" w:sz="4" w:space="0" w:color="ADD6EA"/>
              <w:right w:val="nil"/>
            </w:tcBorders>
            <w:shd w:val="clear" w:color="000000" w:fill="D6E7F0"/>
            <w:vAlign w:val="bottom"/>
            <w:hideMark/>
          </w:tcPr>
          <w:p w14:paraId="3B4830B5"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1,257 </w:t>
            </w:r>
          </w:p>
        </w:tc>
        <w:tc>
          <w:tcPr>
            <w:tcW w:w="716" w:type="dxa"/>
            <w:tcBorders>
              <w:top w:val="single" w:sz="4" w:space="0" w:color="ADD6EA"/>
              <w:left w:val="nil"/>
              <w:bottom w:val="single" w:sz="4" w:space="0" w:color="ADD6EA"/>
              <w:right w:val="nil"/>
            </w:tcBorders>
            <w:shd w:val="clear" w:color="000000" w:fill="D6E7F0"/>
            <w:vAlign w:val="bottom"/>
            <w:hideMark/>
          </w:tcPr>
          <w:p w14:paraId="5B8175F4"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 xml:space="preserve"> 45,762 </w:t>
            </w:r>
          </w:p>
        </w:tc>
      </w:tr>
      <w:tr w:rsidR="007E365E" w:rsidRPr="00600D3F" w14:paraId="34D3D5E3" w14:textId="77777777" w:rsidTr="007D1D77">
        <w:trPr>
          <w:trHeight w:val="236"/>
        </w:trPr>
        <w:tc>
          <w:tcPr>
            <w:tcW w:w="2740" w:type="dxa"/>
            <w:tcBorders>
              <w:top w:val="nil"/>
              <w:left w:val="nil"/>
              <w:bottom w:val="nil"/>
              <w:right w:val="nil"/>
            </w:tcBorders>
            <w:shd w:val="clear" w:color="000000" w:fill="B6D5E4"/>
            <w:vAlign w:val="center"/>
            <w:hideMark/>
          </w:tcPr>
          <w:p w14:paraId="0D2FED2E" w14:textId="77777777" w:rsidR="007E365E" w:rsidRPr="00600D3F" w:rsidRDefault="007E365E" w:rsidP="007D1D77">
            <w:pPr>
              <w:keepNext/>
              <w:keepLines/>
              <w:tabs>
                <w:tab w:val="clear" w:pos="567"/>
              </w:tabs>
              <w:spacing w:before="0" w:line="240" w:lineRule="auto"/>
              <w:ind w:left="193" w:hanging="142"/>
              <w:jc w:val="right"/>
              <w:rPr>
                <w:rFonts w:ascii="Open Sans SemiBold" w:eastAsia="Times New Roman" w:hAnsi="Open Sans SemiBold" w:cs="Open Sans SemiBold"/>
                <w:sz w:val="16"/>
                <w:szCs w:val="16"/>
                <w:lang w:eastAsia="en-AU"/>
              </w:rPr>
            </w:pPr>
            <w:r w:rsidRPr="00600D3F">
              <w:rPr>
                <w:rFonts w:ascii="Open Sans SemiBold" w:eastAsia="Times New Roman" w:hAnsi="Open Sans SemiBold" w:cs="Open Sans SemiBold"/>
                <w:sz w:val="16"/>
                <w:szCs w:val="16"/>
                <w:lang w:eastAsia="en-AU"/>
              </w:rPr>
              <w:t> </w:t>
            </w:r>
          </w:p>
        </w:tc>
        <w:tc>
          <w:tcPr>
            <w:tcW w:w="737" w:type="dxa"/>
            <w:tcBorders>
              <w:top w:val="nil"/>
              <w:left w:val="nil"/>
              <w:bottom w:val="nil"/>
              <w:right w:val="nil"/>
            </w:tcBorders>
            <w:shd w:val="clear" w:color="000000" w:fill="B6D5E4"/>
            <w:vAlign w:val="center"/>
            <w:hideMark/>
          </w:tcPr>
          <w:p w14:paraId="02AABD08" w14:textId="77777777" w:rsidR="007E365E" w:rsidRPr="00600D3F"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600D3F">
              <w:rPr>
                <w:rFonts w:ascii="Open Sans SemiBold" w:eastAsia="Times New Roman" w:hAnsi="Open Sans SemiBold" w:cs="Open Sans SemiBold"/>
                <w:sz w:val="16"/>
                <w:szCs w:val="16"/>
                <w:lang w:eastAsia="en-AU"/>
              </w:rPr>
              <w:t> </w:t>
            </w:r>
          </w:p>
        </w:tc>
        <w:tc>
          <w:tcPr>
            <w:tcW w:w="716" w:type="dxa"/>
            <w:tcBorders>
              <w:top w:val="nil"/>
              <w:left w:val="nil"/>
              <w:bottom w:val="nil"/>
              <w:right w:val="nil"/>
            </w:tcBorders>
            <w:shd w:val="clear" w:color="000000" w:fill="B6D5E4"/>
            <w:vAlign w:val="center"/>
            <w:hideMark/>
          </w:tcPr>
          <w:p w14:paraId="6B227BAC"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$m</w:t>
            </w:r>
          </w:p>
        </w:tc>
        <w:tc>
          <w:tcPr>
            <w:tcW w:w="716" w:type="dxa"/>
            <w:tcBorders>
              <w:top w:val="nil"/>
              <w:left w:val="nil"/>
              <w:bottom w:val="nil"/>
              <w:right w:val="nil"/>
            </w:tcBorders>
            <w:shd w:val="clear" w:color="000000" w:fill="B6D5E4"/>
            <w:vAlign w:val="center"/>
            <w:hideMark/>
          </w:tcPr>
          <w:p w14:paraId="24EF764A"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$m</w:t>
            </w:r>
          </w:p>
        </w:tc>
        <w:tc>
          <w:tcPr>
            <w:tcW w:w="631" w:type="dxa"/>
            <w:tcBorders>
              <w:top w:val="nil"/>
              <w:left w:val="nil"/>
              <w:bottom w:val="nil"/>
              <w:right w:val="nil"/>
            </w:tcBorders>
            <w:shd w:val="clear" w:color="000000" w:fill="B6D5E4"/>
            <w:vAlign w:val="center"/>
            <w:hideMark/>
          </w:tcPr>
          <w:p w14:paraId="1199C895"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$m</w:t>
            </w:r>
          </w:p>
        </w:tc>
        <w:tc>
          <w:tcPr>
            <w:tcW w:w="631" w:type="dxa"/>
            <w:tcBorders>
              <w:top w:val="nil"/>
              <w:left w:val="nil"/>
              <w:bottom w:val="nil"/>
              <w:right w:val="nil"/>
            </w:tcBorders>
            <w:shd w:val="clear" w:color="000000" w:fill="B6D5E4"/>
            <w:vAlign w:val="center"/>
            <w:hideMark/>
          </w:tcPr>
          <w:p w14:paraId="53B0AB7C"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$m</w:t>
            </w:r>
          </w:p>
        </w:tc>
        <w:tc>
          <w:tcPr>
            <w:tcW w:w="631" w:type="dxa"/>
            <w:tcBorders>
              <w:top w:val="nil"/>
              <w:left w:val="nil"/>
              <w:bottom w:val="nil"/>
              <w:right w:val="nil"/>
            </w:tcBorders>
            <w:shd w:val="clear" w:color="000000" w:fill="B6D5E4"/>
            <w:vAlign w:val="center"/>
            <w:hideMark/>
          </w:tcPr>
          <w:p w14:paraId="3BAF8618"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$m</w:t>
            </w:r>
          </w:p>
        </w:tc>
        <w:tc>
          <w:tcPr>
            <w:tcW w:w="631" w:type="dxa"/>
            <w:tcBorders>
              <w:top w:val="nil"/>
              <w:left w:val="nil"/>
              <w:bottom w:val="nil"/>
              <w:right w:val="nil"/>
            </w:tcBorders>
            <w:shd w:val="clear" w:color="000000" w:fill="B6D5E4"/>
            <w:vAlign w:val="center"/>
            <w:hideMark/>
          </w:tcPr>
          <w:p w14:paraId="57B81C96"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$m</w:t>
            </w:r>
          </w:p>
        </w:tc>
        <w:tc>
          <w:tcPr>
            <w:tcW w:w="631" w:type="dxa"/>
            <w:tcBorders>
              <w:top w:val="nil"/>
              <w:left w:val="nil"/>
              <w:bottom w:val="nil"/>
              <w:right w:val="nil"/>
            </w:tcBorders>
            <w:shd w:val="clear" w:color="000000" w:fill="B6D5E4"/>
            <w:vAlign w:val="center"/>
            <w:hideMark/>
          </w:tcPr>
          <w:p w14:paraId="4D2D867A"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$m</w:t>
            </w:r>
          </w:p>
        </w:tc>
        <w:tc>
          <w:tcPr>
            <w:tcW w:w="631" w:type="dxa"/>
            <w:tcBorders>
              <w:top w:val="nil"/>
              <w:left w:val="nil"/>
              <w:bottom w:val="nil"/>
              <w:right w:val="nil"/>
            </w:tcBorders>
            <w:shd w:val="clear" w:color="000000" w:fill="B6D5E4"/>
            <w:vAlign w:val="center"/>
            <w:hideMark/>
          </w:tcPr>
          <w:p w14:paraId="668CC3F2"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$m</w:t>
            </w:r>
          </w:p>
        </w:tc>
        <w:tc>
          <w:tcPr>
            <w:tcW w:w="716" w:type="dxa"/>
            <w:tcBorders>
              <w:top w:val="nil"/>
              <w:left w:val="nil"/>
              <w:bottom w:val="nil"/>
              <w:right w:val="nil"/>
            </w:tcBorders>
            <w:shd w:val="clear" w:color="000000" w:fill="B6D5E4"/>
            <w:vAlign w:val="center"/>
            <w:hideMark/>
          </w:tcPr>
          <w:p w14:paraId="4145FBA6" w14:textId="77777777" w:rsidR="007E365E" w:rsidRPr="00CC7E66"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CC7E66">
              <w:rPr>
                <w:rFonts w:ascii="Open Sans SemiBold" w:eastAsia="Times New Roman" w:hAnsi="Open Sans SemiBold" w:cs="Open Sans SemiBold"/>
                <w:sz w:val="16"/>
                <w:szCs w:val="16"/>
                <w:lang w:eastAsia="en-AU"/>
              </w:rPr>
              <w:t>$m</w:t>
            </w:r>
          </w:p>
        </w:tc>
      </w:tr>
      <w:tr w:rsidR="007E365E" w:rsidRPr="00600D3F" w14:paraId="1106026C" w14:textId="77777777" w:rsidTr="007D1D77">
        <w:trPr>
          <w:trHeight w:val="481"/>
        </w:trPr>
        <w:tc>
          <w:tcPr>
            <w:tcW w:w="2740" w:type="dxa"/>
            <w:tcBorders>
              <w:top w:val="single" w:sz="4" w:space="0" w:color="ADD6EA"/>
              <w:left w:val="nil"/>
              <w:bottom w:val="single" w:sz="4" w:space="0" w:color="ADD6EA"/>
              <w:right w:val="nil"/>
            </w:tcBorders>
            <w:shd w:val="clear" w:color="auto" w:fill="auto"/>
            <w:vAlign w:val="bottom"/>
            <w:hideMark/>
          </w:tcPr>
          <w:p w14:paraId="3DC1435A" w14:textId="77777777" w:rsidR="007E365E" w:rsidRPr="00600D3F" w:rsidRDefault="007E365E" w:rsidP="007D1D77">
            <w:pPr>
              <w:keepNext/>
              <w:keepLines/>
              <w:tabs>
                <w:tab w:val="clear" w:pos="567"/>
              </w:tabs>
              <w:spacing w:before="0" w:line="240" w:lineRule="auto"/>
              <w:ind w:left="193" w:hanging="142"/>
              <w:rPr>
                <w:rFonts w:eastAsia="Times New Roman" w:cs="Open Sans Light"/>
                <w:sz w:val="16"/>
                <w:szCs w:val="16"/>
                <w:lang w:eastAsia="en-AU"/>
              </w:rPr>
            </w:pPr>
            <w:r w:rsidRPr="00600D3F">
              <w:rPr>
                <w:rFonts w:eastAsia="Times New Roman" w:cs="Open Sans Light"/>
                <w:sz w:val="16"/>
                <w:szCs w:val="16"/>
                <w:lang w:eastAsia="en-AU"/>
              </w:rPr>
              <w:t>Policing tasks assessed expenses rescaled to GFS</w:t>
            </w:r>
          </w:p>
        </w:tc>
        <w:tc>
          <w:tcPr>
            <w:tcW w:w="737" w:type="dxa"/>
            <w:tcBorders>
              <w:top w:val="single" w:sz="4" w:space="0" w:color="ADD6EA"/>
              <w:left w:val="nil"/>
              <w:bottom w:val="single" w:sz="4" w:space="0" w:color="ADD6EA"/>
              <w:right w:val="nil"/>
            </w:tcBorders>
            <w:shd w:val="clear" w:color="auto" w:fill="auto"/>
            <w:vAlign w:val="bottom"/>
            <w:hideMark/>
          </w:tcPr>
          <w:p w14:paraId="3A419E06" w14:textId="77777777" w:rsidR="007E365E" w:rsidRPr="00600D3F" w:rsidRDefault="007E365E" w:rsidP="007D1D77">
            <w:pPr>
              <w:keepNext/>
              <w:keepLines/>
              <w:tabs>
                <w:tab w:val="clear" w:pos="567"/>
              </w:tabs>
              <w:spacing w:before="0" w:line="240" w:lineRule="auto"/>
              <w:rPr>
                <w:rFonts w:eastAsia="Times New Roman" w:cs="Open Sans Light"/>
                <w:sz w:val="16"/>
                <w:szCs w:val="16"/>
                <w:lang w:eastAsia="en-AU"/>
              </w:rPr>
            </w:pPr>
            <w:r w:rsidRPr="00600D3F">
              <w:rPr>
                <w:rFonts w:eastAsia="Times New Roman" w:cs="Open Sans Light"/>
                <w:sz w:val="16"/>
                <w:szCs w:val="16"/>
                <w:lang w:eastAsia="en-AU"/>
              </w:rPr>
              <w:t> </w:t>
            </w:r>
          </w:p>
        </w:tc>
        <w:tc>
          <w:tcPr>
            <w:tcW w:w="716" w:type="dxa"/>
            <w:tcBorders>
              <w:top w:val="single" w:sz="4" w:space="0" w:color="ADD6EA"/>
              <w:left w:val="nil"/>
              <w:bottom w:val="single" w:sz="4" w:space="0" w:color="ADD6EA"/>
              <w:right w:val="nil"/>
            </w:tcBorders>
            <w:shd w:val="clear" w:color="auto" w:fill="auto"/>
            <w:vAlign w:val="bottom"/>
            <w:hideMark/>
          </w:tcPr>
          <w:p w14:paraId="02582D37"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3,444 </w:t>
            </w:r>
          </w:p>
        </w:tc>
        <w:tc>
          <w:tcPr>
            <w:tcW w:w="716" w:type="dxa"/>
            <w:tcBorders>
              <w:top w:val="single" w:sz="4" w:space="0" w:color="ADD6EA"/>
              <w:left w:val="nil"/>
              <w:bottom w:val="single" w:sz="4" w:space="0" w:color="ADD6EA"/>
              <w:right w:val="nil"/>
            </w:tcBorders>
            <w:shd w:val="clear" w:color="auto" w:fill="auto"/>
            <w:vAlign w:val="bottom"/>
            <w:hideMark/>
          </w:tcPr>
          <w:p w14:paraId="0BCB5314"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2,613 </w:t>
            </w:r>
          </w:p>
        </w:tc>
        <w:tc>
          <w:tcPr>
            <w:tcW w:w="631" w:type="dxa"/>
            <w:tcBorders>
              <w:top w:val="single" w:sz="4" w:space="0" w:color="ADD6EA"/>
              <w:left w:val="nil"/>
              <w:bottom w:val="single" w:sz="4" w:space="0" w:color="ADD6EA"/>
              <w:right w:val="nil"/>
            </w:tcBorders>
            <w:shd w:val="clear" w:color="auto" w:fill="auto"/>
            <w:vAlign w:val="bottom"/>
            <w:hideMark/>
          </w:tcPr>
          <w:p w14:paraId="123ECD4F"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2,432 </w:t>
            </w:r>
          </w:p>
        </w:tc>
        <w:tc>
          <w:tcPr>
            <w:tcW w:w="631" w:type="dxa"/>
            <w:tcBorders>
              <w:top w:val="single" w:sz="4" w:space="0" w:color="ADD6EA"/>
              <w:left w:val="nil"/>
              <w:bottom w:val="single" w:sz="4" w:space="0" w:color="ADD6EA"/>
              <w:right w:val="nil"/>
            </w:tcBorders>
            <w:shd w:val="clear" w:color="auto" w:fill="auto"/>
            <w:vAlign w:val="bottom"/>
            <w:hideMark/>
          </w:tcPr>
          <w:p w14:paraId="0E570C29"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1,270 </w:t>
            </w:r>
          </w:p>
        </w:tc>
        <w:tc>
          <w:tcPr>
            <w:tcW w:w="631" w:type="dxa"/>
            <w:tcBorders>
              <w:top w:val="single" w:sz="4" w:space="0" w:color="ADD6EA"/>
              <w:left w:val="nil"/>
              <w:bottom w:val="single" w:sz="4" w:space="0" w:color="ADD6EA"/>
              <w:right w:val="nil"/>
            </w:tcBorders>
            <w:shd w:val="clear" w:color="auto" w:fill="auto"/>
            <w:vAlign w:val="bottom"/>
            <w:hideMark/>
          </w:tcPr>
          <w:p w14:paraId="3C7A3B87"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817 </w:t>
            </w:r>
          </w:p>
        </w:tc>
        <w:tc>
          <w:tcPr>
            <w:tcW w:w="631" w:type="dxa"/>
            <w:tcBorders>
              <w:top w:val="single" w:sz="4" w:space="0" w:color="ADD6EA"/>
              <w:left w:val="nil"/>
              <w:bottom w:val="single" w:sz="4" w:space="0" w:color="ADD6EA"/>
              <w:right w:val="nil"/>
            </w:tcBorders>
            <w:shd w:val="clear" w:color="auto" w:fill="auto"/>
            <w:vAlign w:val="bottom"/>
            <w:hideMark/>
          </w:tcPr>
          <w:p w14:paraId="384A75D5"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306 </w:t>
            </w:r>
          </w:p>
        </w:tc>
        <w:tc>
          <w:tcPr>
            <w:tcW w:w="631" w:type="dxa"/>
            <w:tcBorders>
              <w:top w:val="single" w:sz="4" w:space="0" w:color="ADD6EA"/>
              <w:left w:val="nil"/>
              <w:bottom w:val="single" w:sz="4" w:space="0" w:color="ADD6EA"/>
              <w:right w:val="nil"/>
            </w:tcBorders>
            <w:shd w:val="clear" w:color="auto" w:fill="auto"/>
            <w:vAlign w:val="bottom"/>
            <w:hideMark/>
          </w:tcPr>
          <w:p w14:paraId="1B974EFD"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144 </w:t>
            </w:r>
          </w:p>
        </w:tc>
        <w:tc>
          <w:tcPr>
            <w:tcW w:w="631" w:type="dxa"/>
            <w:tcBorders>
              <w:top w:val="single" w:sz="4" w:space="0" w:color="ADD6EA"/>
              <w:left w:val="nil"/>
              <w:bottom w:val="single" w:sz="4" w:space="0" w:color="ADD6EA"/>
              <w:right w:val="nil"/>
            </w:tcBorders>
            <w:shd w:val="clear" w:color="auto" w:fill="auto"/>
            <w:vAlign w:val="bottom"/>
            <w:hideMark/>
          </w:tcPr>
          <w:p w14:paraId="16BDF4E3"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311 </w:t>
            </w:r>
          </w:p>
        </w:tc>
        <w:tc>
          <w:tcPr>
            <w:tcW w:w="716" w:type="dxa"/>
            <w:tcBorders>
              <w:top w:val="single" w:sz="4" w:space="0" w:color="ADD6EA"/>
              <w:left w:val="nil"/>
              <w:bottom w:val="single" w:sz="4" w:space="0" w:color="ADD6EA"/>
              <w:right w:val="nil"/>
            </w:tcBorders>
            <w:shd w:val="clear" w:color="auto" w:fill="auto"/>
            <w:vAlign w:val="bottom"/>
            <w:hideMark/>
          </w:tcPr>
          <w:p w14:paraId="10686C0E" w14:textId="77777777" w:rsidR="007E365E" w:rsidRPr="00600D3F" w:rsidRDefault="007E365E" w:rsidP="007D1D77">
            <w:pPr>
              <w:keepNext/>
              <w:keepLines/>
              <w:tabs>
                <w:tab w:val="clear" w:pos="567"/>
              </w:tabs>
              <w:spacing w:before="0" w:line="240" w:lineRule="auto"/>
              <w:jc w:val="right"/>
              <w:rPr>
                <w:rFonts w:eastAsia="Times New Roman" w:cs="Open Sans Light"/>
                <w:sz w:val="16"/>
                <w:szCs w:val="16"/>
                <w:lang w:eastAsia="en-AU"/>
              </w:rPr>
            </w:pPr>
            <w:r w:rsidRPr="00600D3F">
              <w:rPr>
                <w:rFonts w:eastAsia="Times New Roman" w:cs="Open Sans Light"/>
                <w:sz w:val="16"/>
                <w:szCs w:val="16"/>
                <w:lang w:eastAsia="en-AU"/>
              </w:rPr>
              <w:t xml:space="preserve">  11,337 </w:t>
            </w:r>
          </w:p>
        </w:tc>
      </w:tr>
    </w:tbl>
    <w:p w14:paraId="2E979897" w14:textId="77777777" w:rsidR="007E365E" w:rsidRPr="00173B02" w:rsidRDefault="007E365E" w:rsidP="007E365E">
      <w:pPr>
        <w:pStyle w:val="CGCTablenote"/>
        <w:keepNext/>
        <w:keepLines/>
      </w:pPr>
      <w:r w:rsidRPr="00173B02">
        <w:t>Source:</w:t>
      </w:r>
      <w:r w:rsidRPr="00173B02">
        <w:tab/>
        <w:t>Commission calculation.</w:t>
      </w:r>
    </w:p>
    <w:p w14:paraId="08C5AAE8" w14:textId="77777777" w:rsidR="007E365E" w:rsidRPr="000A2130" w:rsidRDefault="007E365E" w:rsidP="007E365E">
      <w:pPr>
        <w:pStyle w:val="CGCParaNumber"/>
      </w:pPr>
      <w:r w:rsidRPr="00D44FD2">
        <w:t>The 2020 Review policing task model removes the need to apply a judgment based estimate on the split between community (EPC) driven costs, and specialised (offender driven) costs. It is worth considering how the implicit split in the model differs from the judgment based split of the 2015 Review methods</w:t>
      </w:r>
      <w:r w:rsidRPr="00600D3F">
        <w:rPr>
          <w:rStyle w:val="Heading6Char"/>
        </w:rPr>
        <w:t>.</w:t>
      </w:r>
    </w:p>
    <w:p w14:paraId="223A35CA" w14:textId="78A0E036" w:rsidR="007E365E" w:rsidRPr="00173B02" w:rsidRDefault="007E365E" w:rsidP="007E365E">
      <w:pPr>
        <w:pStyle w:val="CGCParaNumber"/>
      </w:pPr>
      <w:r w:rsidRPr="00173B02">
        <w:lastRenderedPageBreak/>
        <w:t>The results of applying the regression to the 201</w:t>
      </w:r>
      <w:r>
        <w:t>8</w:t>
      </w:r>
      <w:r w:rsidRPr="00173B02">
        <w:t>-1</w:t>
      </w:r>
      <w:r>
        <w:t>9</w:t>
      </w:r>
      <w:r w:rsidRPr="00173B02">
        <w:t xml:space="preserve"> assessment year (see </w:t>
      </w:r>
      <w:r w:rsidRPr="00173B02">
        <w:fldChar w:fldCharType="begin"/>
      </w:r>
      <w:r w:rsidRPr="00173B02">
        <w:instrText xml:space="preserve"> REF _Ref2351999 \h  \* MERGEFORMAT </w:instrText>
      </w:r>
      <w:r w:rsidRPr="00173B02">
        <w:fldChar w:fldCharType="separate"/>
      </w:r>
      <w:r w:rsidR="007F721A" w:rsidRPr="00173B02">
        <w:t xml:space="preserve">Table </w:t>
      </w:r>
      <w:r w:rsidR="007F721A">
        <w:rPr>
          <w:noProof/>
        </w:rPr>
        <w:t>19-7</w:t>
      </w:r>
      <w:r w:rsidRPr="00173B02">
        <w:fldChar w:fldCharType="end"/>
      </w:r>
      <w:r w:rsidRPr="00173B02">
        <w:t>) show offender based costs make up 31.5% of the policing task results</w:t>
      </w:r>
      <w:r>
        <w:t>,</w:t>
      </w:r>
      <w:r w:rsidRPr="00173B02">
        <w:t xml:space="preserve"> and regional based population costs make up 68.5%. This share of 68.5% should not be confused with the 50.0% of police costs assumed to be related to population in the 2015 Review, as it also incorporates the impact that geography has on the policing task. </w:t>
      </w:r>
      <w:r>
        <w:t>Similarly, i</w:t>
      </w:r>
      <w:r w:rsidRPr="00173B02">
        <w:t xml:space="preserve">t should not be interpreted as police using 31.5% of their resources to target offenders and 68.5% for other general work. Rather, </w:t>
      </w:r>
      <w:r>
        <w:t xml:space="preserve">it means that </w:t>
      </w:r>
      <w:r w:rsidRPr="00173B02">
        <w:t>68.5% of spending can be explained on an EPC basis or is correlated with remoteness and</w:t>
      </w:r>
      <w:r>
        <w:t xml:space="preserve"> the remaining </w:t>
      </w:r>
      <w:r w:rsidRPr="00173B02">
        <w:t>31.5% can be explained by differing levels of crime.</w:t>
      </w:r>
    </w:p>
    <w:p w14:paraId="2E2E4001" w14:textId="77777777" w:rsidR="007E365E" w:rsidRPr="00173B02" w:rsidRDefault="007E365E" w:rsidP="007E365E">
      <w:pPr>
        <w:pStyle w:val="CGCParaNumber"/>
      </w:pPr>
      <w:r w:rsidRPr="00173B02">
        <w:t xml:space="preserve">The difference between these concepts can be seen from a hypothetical example. If States allocated police resources across each State in an EPC manner, police could still spend 100% of their time targeting offenders. One possible outcome of this would be that in low crime areas, less severe crimes may attract more resourcing than they would in high crime areas. Alternatively, if police resources were allocated across each State in proportion to offender numbers, police could still spend time dealing with the general community in those areas, or preventing crime. </w:t>
      </w:r>
    </w:p>
    <w:p w14:paraId="3F5A33FD" w14:textId="77777777" w:rsidR="007E365E" w:rsidRPr="00173B02" w:rsidRDefault="007E365E" w:rsidP="007E365E">
      <w:pPr>
        <w:pStyle w:val="Heading5"/>
      </w:pPr>
      <w:r w:rsidRPr="00173B02">
        <w:t>Data concerns</w:t>
      </w:r>
    </w:p>
    <w:p w14:paraId="028951A6" w14:textId="77777777" w:rsidR="007E365E" w:rsidRPr="00173B02" w:rsidRDefault="007E365E" w:rsidP="007E365E">
      <w:pPr>
        <w:pStyle w:val="CGCParaNumber"/>
      </w:pPr>
      <w:r w:rsidRPr="00173B02">
        <w:t>New South Wales and Queensland raised concerns that costs associated with activities focused on prevention, disruption and community engagement are not accounted for and are poorly reflected in offender numbers or the SES of those offenders, creating bias in the data. The Commission does not consider that any such bias exists. Police districts with a large number of offenders have higher costs. While some of these costs are directly related to arresting or other forms of proceeding against those offenders, other costs relate to diversion or other strategies aimed at the same population group but not tied to resolving a particular offence. For example, police may spend significant resources checking on people on parole to discourage parole violations. This spending is not targeted at a particular offence or offender, but areas with high numbers of parolees are likely to have higher numbers of offenders. To the extent to which this is true, this spending will be allocated to offender related costs. That is, to the extent that variation in police spending between districts is correlated with, but not necessarily directly caused by, variation in offender numbers, it will be allocated to offender related spending.</w:t>
      </w:r>
    </w:p>
    <w:p w14:paraId="690DED86" w14:textId="77777777" w:rsidR="007E365E" w:rsidRPr="00173B02" w:rsidRDefault="007E365E" w:rsidP="007E365E">
      <w:pPr>
        <w:pStyle w:val="CGCParaNumber"/>
      </w:pPr>
      <w:r w:rsidRPr="00173B02">
        <w:t xml:space="preserve">Traffic and breach of bail offences have been excluded from the calculations. This was done to ensure data were more comparable between States. The Northern Territory expressed reservations that the exclusion of these offences could distort the regional costs gradient and Western Australia argued their inclusion would better describe State expenditure on offenders. Based on advice of the Australian Bureau of Statistics and data received from States, the varying quality of the information make traffic and breach of bail offences not comparable between States. The Commission understands that these offences tend to require fewer resources than other types of crime. As such, excluding these offences results in a more reliable model for predicting police expenses than including them. If the profile of these offenders is similar to that of other offenders, the model will attribute the associated costs to offender numbers. If the profile of these offenders is not similar to other offenders, the model will attribute the associated costs to the EPC regional cost element of the assessment. </w:t>
      </w:r>
    </w:p>
    <w:p w14:paraId="565E0B91" w14:textId="77777777" w:rsidR="007E365E" w:rsidRPr="00173B02" w:rsidRDefault="007E365E" w:rsidP="007E365E">
      <w:pPr>
        <w:pStyle w:val="Heading5"/>
      </w:pPr>
      <w:r w:rsidRPr="00173B02">
        <w:lastRenderedPageBreak/>
        <w:t>Component calculations</w:t>
      </w:r>
    </w:p>
    <w:p w14:paraId="70EE9B01" w14:textId="085C01B9" w:rsidR="007E365E" w:rsidRPr="00173B02" w:rsidRDefault="007E365E" w:rsidP="007E365E">
      <w:pPr>
        <w:pStyle w:val="CGCParaNumber"/>
      </w:pPr>
      <w:r w:rsidRPr="00173B02">
        <w:t xml:space="preserve">As shown in </w:t>
      </w:r>
      <w:r w:rsidRPr="00173B02">
        <w:fldChar w:fldCharType="begin"/>
      </w:r>
      <w:r w:rsidRPr="00173B02">
        <w:instrText xml:space="preserve"> REF _Ref2352001 \h </w:instrText>
      </w:r>
      <w:r>
        <w:instrText xml:space="preserve"> \* MERGEFORMAT </w:instrText>
      </w:r>
      <w:r w:rsidRPr="00173B02">
        <w:fldChar w:fldCharType="separate"/>
      </w:r>
      <w:r w:rsidR="007F721A" w:rsidRPr="00173B02">
        <w:t xml:space="preserve">Table </w:t>
      </w:r>
      <w:r w:rsidR="007F721A">
        <w:rPr>
          <w:noProof/>
        </w:rPr>
        <w:t>19-8</w:t>
      </w:r>
      <w:r w:rsidRPr="00173B02">
        <w:fldChar w:fldCharType="end"/>
      </w:r>
      <w:r w:rsidRPr="00173B02">
        <w:t>, a wage costs factor and national capital allowance are applied to the policing task assessed expenses to calculate assessed expenses for the police component in 201</w:t>
      </w:r>
      <w:r>
        <w:t>8</w:t>
      </w:r>
      <w:r w:rsidRPr="00173B02">
        <w:noBreakHyphen/>
        <w:t>1</w:t>
      </w:r>
      <w:r>
        <w:t>9</w:t>
      </w:r>
      <w:r w:rsidRPr="00173B02">
        <w:t>.</w:t>
      </w:r>
    </w:p>
    <w:p w14:paraId="0CBD73B2" w14:textId="1D99CF07" w:rsidR="007E365E" w:rsidRPr="0032582C" w:rsidRDefault="007E365E" w:rsidP="007E365E">
      <w:pPr>
        <w:pStyle w:val="Caption"/>
      </w:pPr>
      <w:bookmarkStart w:id="37" w:name="_Ref2352001"/>
      <w:r w:rsidRPr="00173B02">
        <w:t xml:space="preserve">Table </w:t>
      </w:r>
      <w:r>
        <w:t>19-</w:t>
      </w:r>
      <w:fldSimple w:instr=" SEQ Table \* ARABIC ">
        <w:r w:rsidR="007F721A">
          <w:rPr>
            <w:noProof/>
          </w:rPr>
          <w:t>8</w:t>
        </w:r>
      </w:fldSimple>
      <w:bookmarkEnd w:id="37"/>
      <w:r w:rsidRPr="00173B02">
        <w:tab/>
        <w:t>Police</w:t>
      </w:r>
      <w:r>
        <w:t xml:space="preserve"> assessment</w:t>
      </w:r>
      <w:r w:rsidRPr="00173B02">
        <w:t>, 201</w:t>
      </w:r>
      <w:r>
        <w:t>8</w:t>
      </w:r>
      <w:r w:rsidRPr="00173B02">
        <w:t>-1</w:t>
      </w:r>
      <w:r>
        <w:t>9</w:t>
      </w:r>
    </w:p>
    <w:tbl>
      <w:tblPr>
        <w:tblW w:w="8940" w:type="dxa"/>
        <w:tblCellMar>
          <w:left w:w="28" w:type="dxa"/>
          <w:right w:w="28" w:type="dxa"/>
        </w:tblCellMar>
        <w:tblLook w:val="04A0" w:firstRow="1" w:lastRow="0" w:firstColumn="1" w:lastColumn="0" w:noHBand="0" w:noVBand="1"/>
      </w:tblPr>
      <w:tblGrid>
        <w:gridCol w:w="2580"/>
        <w:gridCol w:w="540"/>
        <w:gridCol w:w="760"/>
        <w:gridCol w:w="760"/>
        <w:gridCol w:w="700"/>
        <w:gridCol w:w="640"/>
        <w:gridCol w:w="740"/>
        <w:gridCol w:w="660"/>
        <w:gridCol w:w="740"/>
        <w:gridCol w:w="820"/>
      </w:tblGrid>
      <w:tr w:rsidR="007E365E" w:rsidRPr="009E7B1D" w14:paraId="2945320D" w14:textId="77777777" w:rsidTr="007D1D77">
        <w:trPr>
          <w:trHeight w:val="364"/>
        </w:trPr>
        <w:tc>
          <w:tcPr>
            <w:tcW w:w="2580" w:type="dxa"/>
            <w:tcBorders>
              <w:top w:val="single" w:sz="4" w:space="0" w:color="ADD6EA"/>
              <w:left w:val="nil"/>
              <w:bottom w:val="single" w:sz="4" w:space="0" w:color="ADD6EA"/>
              <w:right w:val="nil"/>
            </w:tcBorders>
            <w:shd w:val="clear" w:color="000000" w:fill="006991"/>
            <w:noWrap/>
            <w:vAlign w:val="center"/>
            <w:hideMark/>
          </w:tcPr>
          <w:p w14:paraId="5B0C30BB" w14:textId="77777777" w:rsidR="007E365E" w:rsidRPr="008F3F3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3F3B">
              <w:rPr>
                <w:rFonts w:ascii="Open Sans SemiBold" w:eastAsia="Times New Roman" w:hAnsi="Open Sans SemiBold" w:cs="Open Sans SemiBold"/>
                <w:color w:val="FFFFFF"/>
                <w:sz w:val="16"/>
                <w:szCs w:val="16"/>
                <w:lang w:eastAsia="en-AU"/>
              </w:rPr>
              <w:t> </w:t>
            </w:r>
          </w:p>
        </w:tc>
        <w:tc>
          <w:tcPr>
            <w:tcW w:w="540" w:type="dxa"/>
            <w:tcBorders>
              <w:top w:val="single" w:sz="4" w:space="0" w:color="ADD6EA"/>
              <w:left w:val="nil"/>
              <w:bottom w:val="single" w:sz="4" w:space="0" w:color="ADD6EA"/>
              <w:right w:val="nil"/>
            </w:tcBorders>
            <w:shd w:val="clear" w:color="000000" w:fill="006991"/>
            <w:noWrap/>
            <w:vAlign w:val="center"/>
            <w:hideMark/>
          </w:tcPr>
          <w:p w14:paraId="7DB65131" w14:textId="77777777" w:rsidR="007E365E" w:rsidRPr="008F3F3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3F3B">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noWrap/>
            <w:vAlign w:val="center"/>
            <w:hideMark/>
          </w:tcPr>
          <w:p w14:paraId="5655CE25" w14:textId="77777777" w:rsidR="007E365E" w:rsidRPr="008F3F3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3F3B">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34D23955" w14:textId="77777777" w:rsidR="007E365E" w:rsidRPr="008F3F3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3F3B">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7FEE4E30" w14:textId="77777777" w:rsidR="007E365E" w:rsidRPr="008F3F3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3F3B">
              <w:rPr>
                <w:rFonts w:ascii="Open Sans SemiBold" w:eastAsia="Times New Roman" w:hAnsi="Open Sans SemiBold" w:cs="Open Sans SemiBold"/>
                <w:color w:val="FFFFFF"/>
                <w:sz w:val="16"/>
                <w:szCs w:val="16"/>
                <w:lang w:eastAsia="en-AU"/>
              </w:rPr>
              <w:t>WA</w:t>
            </w:r>
          </w:p>
        </w:tc>
        <w:tc>
          <w:tcPr>
            <w:tcW w:w="640" w:type="dxa"/>
            <w:tcBorders>
              <w:top w:val="single" w:sz="4" w:space="0" w:color="ADD6EA"/>
              <w:left w:val="nil"/>
              <w:bottom w:val="single" w:sz="4" w:space="0" w:color="ADD6EA"/>
              <w:right w:val="nil"/>
            </w:tcBorders>
            <w:shd w:val="clear" w:color="000000" w:fill="006991"/>
            <w:noWrap/>
            <w:vAlign w:val="center"/>
            <w:hideMark/>
          </w:tcPr>
          <w:p w14:paraId="743A7F3F" w14:textId="77777777" w:rsidR="007E365E" w:rsidRPr="008F3F3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3F3B">
              <w:rPr>
                <w:rFonts w:ascii="Open Sans SemiBold" w:eastAsia="Times New Roman" w:hAnsi="Open Sans SemiBold" w:cs="Open Sans SemiBold"/>
                <w:color w:val="FFFFFF"/>
                <w:sz w:val="16"/>
                <w:szCs w:val="16"/>
                <w:lang w:eastAsia="en-AU"/>
              </w:rPr>
              <w:t>SA</w:t>
            </w:r>
          </w:p>
        </w:tc>
        <w:tc>
          <w:tcPr>
            <w:tcW w:w="740" w:type="dxa"/>
            <w:tcBorders>
              <w:top w:val="single" w:sz="4" w:space="0" w:color="ADD6EA"/>
              <w:left w:val="nil"/>
              <w:bottom w:val="single" w:sz="4" w:space="0" w:color="ADD6EA"/>
              <w:right w:val="nil"/>
            </w:tcBorders>
            <w:shd w:val="clear" w:color="000000" w:fill="006991"/>
            <w:noWrap/>
            <w:vAlign w:val="center"/>
            <w:hideMark/>
          </w:tcPr>
          <w:p w14:paraId="03307ED0" w14:textId="77777777" w:rsidR="007E365E" w:rsidRPr="008F3F3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3F3B">
              <w:rPr>
                <w:rFonts w:ascii="Open Sans SemiBold" w:eastAsia="Times New Roman" w:hAnsi="Open Sans SemiBold" w:cs="Open Sans SemiBold"/>
                <w:color w:val="FFFFFF"/>
                <w:sz w:val="16"/>
                <w:szCs w:val="16"/>
                <w:lang w:eastAsia="en-AU"/>
              </w:rPr>
              <w:t>Tas</w:t>
            </w:r>
          </w:p>
        </w:tc>
        <w:tc>
          <w:tcPr>
            <w:tcW w:w="660" w:type="dxa"/>
            <w:tcBorders>
              <w:top w:val="single" w:sz="4" w:space="0" w:color="ADD6EA"/>
              <w:left w:val="nil"/>
              <w:bottom w:val="single" w:sz="4" w:space="0" w:color="ADD6EA"/>
              <w:right w:val="nil"/>
            </w:tcBorders>
            <w:shd w:val="clear" w:color="000000" w:fill="006991"/>
            <w:noWrap/>
            <w:vAlign w:val="center"/>
            <w:hideMark/>
          </w:tcPr>
          <w:p w14:paraId="767DACD4" w14:textId="77777777" w:rsidR="007E365E" w:rsidRPr="008F3F3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3F3B">
              <w:rPr>
                <w:rFonts w:ascii="Open Sans SemiBold" w:eastAsia="Times New Roman" w:hAnsi="Open Sans SemiBold" w:cs="Open Sans SemiBold"/>
                <w:color w:val="FFFFFF"/>
                <w:sz w:val="16"/>
                <w:szCs w:val="16"/>
                <w:lang w:eastAsia="en-AU"/>
              </w:rPr>
              <w:t>ACT</w:t>
            </w:r>
          </w:p>
        </w:tc>
        <w:tc>
          <w:tcPr>
            <w:tcW w:w="740" w:type="dxa"/>
            <w:tcBorders>
              <w:top w:val="single" w:sz="4" w:space="0" w:color="ADD6EA"/>
              <w:left w:val="nil"/>
              <w:bottom w:val="single" w:sz="4" w:space="0" w:color="ADD6EA"/>
              <w:right w:val="nil"/>
            </w:tcBorders>
            <w:shd w:val="clear" w:color="000000" w:fill="006991"/>
            <w:noWrap/>
            <w:vAlign w:val="center"/>
            <w:hideMark/>
          </w:tcPr>
          <w:p w14:paraId="4E5C34DB" w14:textId="77777777" w:rsidR="007E365E" w:rsidRPr="008F3F3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3F3B">
              <w:rPr>
                <w:rFonts w:ascii="Open Sans SemiBold" w:eastAsia="Times New Roman" w:hAnsi="Open Sans SemiBold" w:cs="Open Sans SemiBold"/>
                <w:color w:val="FFFFFF"/>
                <w:sz w:val="16"/>
                <w:szCs w:val="16"/>
                <w:lang w:eastAsia="en-AU"/>
              </w:rPr>
              <w:t>NT</w:t>
            </w:r>
          </w:p>
        </w:tc>
        <w:tc>
          <w:tcPr>
            <w:tcW w:w="820" w:type="dxa"/>
            <w:tcBorders>
              <w:top w:val="single" w:sz="4" w:space="0" w:color="ADD6EA"/>
              <w:left w:val="nil"/>
              <w:bottom w:val="single" w:sz="4" w:space="0" w:color="ADD6EA"/>
              <w:right w:val="nil"/>
            </w:tcBorders>
            <w:shd w:val="clear" w:color="000000" w:fill="006991"/>
            <w:noWrap/>
            <w:vAlign w:val="center"/>
            <w:hideMark/>
          </w:tcPr>
          <w:p w14:paraId="42649F6F" w14:textId="77777777" w:rsidR="007E365E" w:rsidRPr="008F3F3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3F3B">
              <w:rPr>
                <w:rFonts w:ascii="Open Sans SemiBold" w:eastAsia="Times New Roman" w:hAnsi="Open Sans SemiBold" w:cs="Open Sans SemiBold"/>
                <w:color w:val="FFFFFF"/>
                <w:sz w:val="16"/>
                <w:szCs w:val="16"/>
                <w:lang w:eastAsia="en-AU"/>
              </w:rPr>
              <w:t>Total</w:t>
            </w:r>
          </w:p>
        </w:tc>
      </w:tr>
      <w:tr w:rsidR="007E365E" w:rsidRPr="009E7B1D" w14:paraId="3D07C8D3" w14:textId="77777777" w:rsidTr="007D1D77">
        <w:trPr>
          <w:trHeight w:val="315"/>
        </w:trPr>
        <w:tc>
          <w:tcPr>
            <w:tcW w:w="2580" w:type="dxa"/>
            <w:tcBorders>
              <w:top w:val="nil"/>
              <w:left w:val="nil"/>
              <w:bottom w:val="nil"/>
              <w:right w:val="nil"/>
            </w:tcBorders>
            <w:shd w:val="clear" w:color="auto" w:fill="auto"/>
            <w:noWrap/>
            <w:vAlign w:val="center"/>
            <w:hideMark/>
          </w:tcPr>
          <w:p w14:paraId="5E9DF68F" w14:textId="77777777" w:rsidR="007E365E" w:rsidRPr="008F3F3B" w:rsidRDefault="007E365E" w:rsidP="007D1D77">
            <w:pPr>
              <w:tabs>
                <w:tab w:val="clear" w:pos="567"/>
              </w:tabs>
              <w:spacing w:before="0" w:line="240" w:lineRule="auto"/>
              <w:rPr>
                <w:rFonts w:eastAsia="Times New Roman" w:cs="Open Sans Light"/>
                <w:sz w:val="16"/>
                <w:szCs w:val="16"/>
                <w:lang w:eastAsia="en-AU"/>
              </w:rPr>
            </w:pPr>
            <w:r w:rsidRPr="008F3F3B">
              <w:rPr>
                <w:rFonts w:eastAsia="Times New Roman" w:cs="Open Sans Light"/>
                <w:sz w:val="16"/>
                <w:szCs w:val="16"/>
                <w:lang w:eastAsia="en-AU"/>
              </w:rPr>
              <w:t xml:space="preserve">Policing </w:t>
            </w:r>
            <w:r>
              <w:rPr>
                <w:rFonts w:eastAsia="Times New Roman" w:cs="Open Sans Light"/>
                <w:sz w:val="16"/>
                <w:szCs w:val="16"/>
                <w:lang w:eastAsia="en-AU"/>
              </w:rPr>
              <w:t>t</w:t>
            </w:r>
            <w:r w:rsidRPr="008F3F3B">
              <w:rPr>
                <w:rFonts w:eastAsia="Times New Roman" w:cs="Open Sans Light"/>
                <w:sz w:val="16"/>
                <w:szCs w:val="16"/>
                <w:lang w:eastAsia="en-AU"/>
              </w:rPr>
              <w:t>ask ($m)</w:t>
            </w:r>
          </w:p>
        </w:tc>
        <w:tc>
          <w:tcPr>
            <w:tcW w:w="540" w:type="dxa"/>
            <w:tcBorders>
              <w:top w:val="nil"/>
              <w:left w:val="nil"/>
              <w:bottom w:val="nil"/>
              <w:right w:val="nil"/>
            </w:tcBorders>
            <w:shd w:val="clear" w:color="auto" w:fill="auto"/>
            <w:noWrap/>
            <w:vAlign w:val="center"/>
            <w:hideMark/>
          </w:tcPr>
          <w:p w14:paraId="6D08C3FB"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3,444</w:t>
            </w:r>
          </w:p>
        </w:tc>
        <w:tc>
          <w:tcPr>
            <w:tcW w:w="760" w:type="dxa"/>
            <w:tcBorders>
              <w:top w:val="nil"/>
              <w:left w:val="nil"/>
              <w:bottom w:val="nil"/>
              <w:right w:val="nil"/>
            </w:tcBorders>
            <w:shd w:val="clear" w:color="auto" w:fill="auto"/>
            <w:noWrap/>
            <w:vAlign w:val="center"/>
            <w:hideMark/>
          </w:tcPr>
          <w:p w14:paraId="045373F1"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2,613</w:t>
            </w:r>
          </w:p>
        </w:tc>
        <w:tc>
          <w:tcPr>
            <w:tcW w:w="760" w:type="dxa"/>
            <w:tcBorders>
              <w:top w:val="nil"/>
              <w:left w:val="nil"/>
              <w:bottom w:val="nil"/>
              <w:right w:val="nil"/>
            </w:tcBorders>
            <w:shd w:val="clear" w:color="auto" w:fill="auto"/>
            <w:noWrap/>
            <w:vAlign w:val="center"/>
            <w:hideMark/>
          </w:tcPr>
          <w:p w14:paraId="10938C7E"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2,432</w:t>
            </w:r>
          </w:p>
        </w:tc>
        <w:tc>
          <w:tcPr>
            <w:tcW w:w="700" w:type="dxa"/>
            <w:tcBorders>
              <w:top w:val="nil"/>
              <w:left w:val="nil"/>
              <w:bottom w:val="nil"/>
              <w:right w:val="nil"/>
            </w:tcBorders>
            <w:shd w:val="clear" w:color="auto" w:fill="auto"/>
            <w:noWrap/>
            <w:vAlign w:val="center"/>
            <w:hideMark/>
          </w:tcPr>
          <w:p w14:paraId="07816A22"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1,270</w:t>
            </w:r>
          </w:p>
        </w:tc>
        <w:tc>
          <w:tcPr>
            <w:tcW w:w="640" w:type="dxa"/>
            <w:tcBorders>
              <w:top w:val="nil"/>
              <w:left w:val="nil"/>
              <w:bottom w:val="nil"/>
              <w:right w:val="nil"/>
            </w:tcBorders>
            <w:shd w:val="clear" w:color="auto" w:fill="auto"/>
            <w:noWrap/>
            <w:vAlign w:val="center"/>
            <w:hideMark/>
          </w:tcPr>
          <w:p w14:paraId="0AD16236"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817</w:t>
            </w:r>
          </w:p>
        </w:tc>
        <w:tc>
          <w:tcPr>
            <w:tcW w:w="740" w:type="dxa"/>
            <w:tcBorders>
              <w:top w:val="nil"/>
              <w:left w:val="nil"/>
              <w:bottom w:val="nil"/>
              <w:right w:val="nil"/>
            </w:tcBorders>
            <w:shd w:val="clear" w:color="auto" w:fill="auto"/>
            <w:noWrap/>
            <w:vAlign w:val="center"/>
            <w:hideMark/>
          </w:tcPr>
          <w:p w14:paraId="1DB16C83"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306</w:t>
            </w:r>
          </w:p>
        </w:tc>
        <w:tc>
          <w:tcPr>
            <w:tcW w:w="660" w:type="dxa"/>
            <w:tcBorders>
              <w:top w:val="nil"/>
              <w:left w:val="nil"/>
              <w:bottom w:val="nil"/>
              <w:right w:val="nil"/>
            </w:tcBorders>
            <w:shd w:val="clear" w:color="auto" w:fill="auto"/>
            <w:noWrap/>
            <w:vAlign w:val="center"/>
            <w:hideMark/>
          </w:tcPr>
          <w:p w14:paraId="3A9CAE97"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144</w:t>
            </w:r>
          </w:p>
        </w:tc>
        <w:tc>
          <w:tcPr>
            <w:tcW w:w="740" w:type="dxa"/>
            <w:tcBorders>
              <w:top w:val="nil"/>
              <w:left w:val="nil"/>
              <w:bottom w:val="nil"/>
              <w:right w:val="nil"/>
            </w:tcBorders>
            <w:shd w:val="clear" w:color="auto" w:fill="auto"/>
            <w:noWrap/>
            <w:vAlign w:val="center"/>
            <w:hideMark/>
          </w:tcPr>
          <w:p w14:paraId="27E297E5"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311</w:t>
            </w:r>
          </w:p>
        </w:tc>
        <w:tc>
          <w:tcPr>
            <w:tcW w:w="820" w:type="dxa"/>
            <w:tcBorders>
              <w:top w:val="nil"/>
              <w:left w:val="nil"/>
              <w:bottom w:val="nil"/>
              <w:right w:val="nil"/>
            </w:tcBorders>
            <w:shd w:val="clear" w:color="auto" w:fill="auto"/>
            <w:noWrap/>
            <w:vAlign w:val="center"/>
            <w:hideMark/>
          </w:tcPr>
          <w:p w14:paraId="3AE9F925"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11,337</w:t>
            </w:r>
          </w:p>
        </w:tc>
      </w:tr>
      <w:tr w:rsidR="007E365E" w:rsidRPr="009E7B1D" w14:paraId="1FB76210" w14:textId="77777777" w:rsidTr="007D1D77">
        <w:trPr>
          <w:trHeight w:val="315"/>
        </w:trPr>
        <w:tc>
          <w:tcPr>
            <w:tcW w:w="2580" w:type="dxa"/>
            <w:tcBorders>
              <w:top w:val="single" w:sz="4" w:space="0" w:color="ADD6EA"/>
              <w:left w:val="nil"/>
              <w:bottom w:val="single" w:sz="4" w:space="0" w:color="ADD6EA"/>
              <w:right w:val="nil"/>
            </w:tcBorders>
            <w:shd w:val="clear" w:color="auto" w:fill="auto"/>
            <w:vAlign w:val="bottom"/>
            <w:hideMark/>
          </w:tcPr>
          <w:p w14:paraId="6EB00BF5" w14:textId="7341E891" w:rsidR="007E365E" w:rsidRPr="008F3F3B" w:rsidRDefault="007E365E" w:rsidP="007D1D77">
            <w:pPr>
              <w:tabs>
                <w:tab w:val="clear" w:pos="567"/>
              </w:tabs>
              <w:spacing w:before="0" w:line="240" w:lineRule="auto"/>
              <w:rPr>
                <w:rFonts w:eastAsia="Times New Roman" w:cs="Open Sans Light"/>
                <w:sz w:val="16"/>
                <w:szCs w:val="16"/>
                <w:lang w:eastAsia="en-AU"/>
              </w:rPr>
            </w:pPr>
            <w:r w:rsidRPr="008F3F3B">
              <w:rPr>
                <w:rFonts w:eastAsia="Times New Roman" w:cs="Open Sans Light"/>
                <w:sz w:val="16"/>
                <w:szCs w:val="16"/>
                <w:lang w:eastAsia="en-AU"/>
              </w:rPr>
              <w:t>Wage cost</w:t>
            </w:r>
            <w:r w:rsidR="00845144">
              <w:rPr>
                <w:rFonts w:eastAsia="Times New Roman" w:cs="Open Sans Light"/>
                <w:sz w:val="16"/>
                <w:szCs w:val="16"/>
                <w:lang w:eastAsia="en-AU"/>
              </w:rPr>
              <w:t>s</w:t>
            </w:r>
            <w:r w:rsidRPr="008F3F3B">
              <w:rPr>
                <w:rFonts w:eastAsia="Times New Roman" w:cs="Open Sans Light"/>
                <w:sz w:val="16"/>
                <w:szCs w:val="16"/>
                <w:lang w:eastAsia="en-AU"/>
              </w:rPr>
              <w:t xml:space="preserve"> factor</w:t>
            </w:r>
          </w:p>
        </w:tc>
        <w:tc>
          <w:tcPr>
            <w:tcW w:w="540" w:type="dxa"/>
            <w:tcBorders>
              <w:top w:val="single" w:sz="4" w:space="0" w:color="ADD6EA"/>
              <w:left w:val="nil"/>
              <w:bottom w:val="single" w:sz="4" w:space="0" w:color="ADD6EA"/>
              <w:right w:val="nil"/>
            </w:tcBorders>
            <w:shd w:val="clear" w:color="auto" w:fill="auto"/>
            <w:vAlign w:val="bottom"/>
            <w:hideMark/>
          </w:tcPr>
          <w:p w14:paraId="72C7B6E1"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1.007</w:t>
            </w:r>
          </w:p>
        </w:tc>
        <w:tc>
          <w:tcPr>
            <w:tcW w:w="760" w:type="dxa"/>
            <w:tcBorders>
              <w:top w:val="single" w:sz="4" w:space="0" w:color="ADD6EA"/>
              <w:left w:val="nil"/>
              <w:bottom w:val="single" w:sz="4" w:space="0" w:color="ADD6EA"/>
              <w:right w:val="nil"/>
            </w:tcBorders>
            <w:shd w:val="clear" w:color="auto" w:fill="auto"/>
            <w:vAlign w:val="bottom"/>
            <w:hideMark/>
          </w:tcPr>
          <w:p w14:paraId="72BFBFC2"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0.993</w:t>
            </w:r>
          </w:p>
        </w:tc>
        <w:tc>
          <w:tcPr>
            <w:tcW w:w="760" w:type="dxa"/>
            <w:tcBorders>
              <w:top w:val="single" w:sz="4" w:space="0" w:color="ADD6EA"/>
              <w:left w:val="nil"/>
              <w:bottom w:val="single" w:sz="4" w:space="0" w:color="ADD6EA"/>
              <w:right w:val="nil"/>
            </w:tcBorders>
            <w:shd w:val="clear" w:color="auto" w:fill="auto"/>
            <w:vAlign w:val="bottom"/>
            <w:hideMark/>
          </w:tcPr>
          <w:p w14:paraId="412C7694"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0.995</w:t>
            </w:r>
          </w:p>
        </w:tc>
        <w:tc>
          <w:tcPr>
            <w:tcW w:w="700" w:type="dxa"/>
            <w:tcBorders>
              <w:top w:val="single" w:sz="4" w:space="0" w:color="ADD6EA"/>
              <w:left w:val="nil"/>
              <w:bottom w:val="single" w:sz="4" w:space="0" w:color="ADD6EA"/>
              <w:right w:val="nil"/>
            </w:tcBorders>
            <w:shd w:val="clear" w:color="auto" w:fill="auto"/>
            <w:vAlign w:val="bottom"/>
            <w:hideMark/>
          </w:tcPr>
          <w:p w14:paraId="61CDE467"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1.020</w:t>
            </w:r>
          </w:p>
        </w:tc>
        <w:tc>
          <w:tcPr>
            <w:tcW w:w="640" w:type="dxa"/>
            <w:tcBorders>
              <w:top w:val="single" w:sz="4" w:space="0" w:color="ADD6EA"/>
              <w:left w:val="nil"/>
              <w:bottom w:val="single" w:sz="4" w:space="0" w:color="ADD6EA"/>
              <w:right w:val="nil"/>
            </w:tcBorders>
            <w:shd w:val="clear" w:color="auto" w:fill="auto"/>
            <w:vAlign w:val="bottom"/>
            <w:hideMark/>
          </w:tcPr>
          <w:p w14:paraId="32C03F0D"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0.976</w:t>
            </w:r>
          </w:p>
        </w:tc>
        <w:tc>
          <w:tcPr>
            <w:tcW w:w="740" w:type="dxa"/>
            <w:tcBorders>
              <w:top w:val="single" w:sz="4" w:space="0" w:color="ADD6EA"/>
              <w:left w:val="nil"/>
              <w:bottom w:val="single" w:sz="4" w:space="0" w:color="ADD6EA"/>
              <w:right w:val="nil"/>
            </w:tcBorders>
            <w:shd w:val="clear" w:color="auto" w:fill="auto"/>
            <w:vAlign w:val="bottom"/>
            <w:hideMark/>
          </w:tcPr>
          <w:p w14:paraId="143FA453"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0.968</w:t>
            </w:r>
          </w:p>
        </w:tc>
        <w:tc>
          <w:tcPr>
            <w:tcW w:w="660" w:type="dxa"/>
            <w:tcBorders>
              <w:top w:val="single" w:sz="4" w:space="0" w:color="ADD6EA"/>
              <w:left w:val="nil"/>
              <w:bottom w:val="single" w:sz="4" w:space="0" w:color="ADD6EA"/>
              <w:right w:val="nil"/>
            </w:tcBorders>
            <w:shd w:val="clear" w:color="auto" w:fill="auto"/>
            <w:vAlign w:val="bottom"/>
            <w:hideMark/>
          </w:tcPr>
          <w:p w14:paraId="688FCC62"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1.022</w:t>
            </w:r>
          </w:p>
        </w:tc>
        <w:tc>
          <w:tcPr>
            <w:tcW w:w="740" w:type="dxa"/>
            <w:tcBorders>
              <w:top w:val="single" w:sz="4" w:space="0" w:color="ADD6EA"/>
              <w:left w:val="nil"/>
              <w:bottom w:val="single" w:sz="4" w:space="0" w:color="ADD6EA"/>
              <w:right w:val="nil"/>
            </w:tcBorders>
            <w:shd w:val="clear" w:color="auto" w:fill="auto"/>
            <w:vAlign w:val="bottom"/>
            <w:hideMark/>
          </w:tcPr>
          <w:p w14:paraId="6FA0A956"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1.033</w:t>
            </w:r>
          </w:p>
        </w:tc>
        <w:tc>
          <w:tcPr>
            <w:tcW w:w="820" w:type="dxa"/>
            <w:tcBorders>
              <w:top w:val="single" w:sz="4" w:space="0" w:color="ADD6EA"/>
              <w:left w:val="nil"/>
              <w:bottom w:val="single" w:sz="4" w:space="0" w:color="ADD6EA"/>
              <w:right w:val="nil"/>
            </w:tcBorders>
            <w:shd w:val="clear" w:color="auto" w:fill="auto"/>
            <w:vAlign w:val="bottom"/>
            <w:hideMark/>
          </w:tcPr>
          <w:p w14:paraId="018D2B00"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1.000</w:t>
            </w:r>
          </w:p>
        </w:tc>
      </w:tr>
      <w:tr w:rsidR="007E365E" w:rsidRPr="009E7B1D" w14:paraId="7044CCD9" w14:textId="77777777" w:rsidTr="007D1D77">
        <w:trPr>
          <w:trHeight w:val="315"/>
        </w:trPr>
        <w:tc>
          <w:tcPr>
            <w:tcW w:w="2580" w:type="dxa"/>
            <w:tcBorders>
              <w:top w:val="nil"/>
              <w:left w:val="nil"/>
              <w:bottom w:val="single" w:sz="4" w:space="0" w:color="ADD6EA"/>
              <w:right w:val="nil"/>
            </w:tcBorders>
            <w:shd w:val="clear" w:color="auto" w:fill="auto"/>
            <w:vAlign w:val="bottom"/>
            <w:hideMark/>
          </w:tcPr>
          <w:p w14:paraId="5939C918" w14:textId="77777777" w:rsidR="007E365E" w:rsidRPr="008F3F3B" w:rsidRDefault="007E365E" w:rsidP="007D1D77">
            <w:pPr>
              <w:tabs>
                <w:tab w:val="clear" w:pos="567"/>
              </w:tabs>
              <w:spacing w:before="0" w:line="240" w:lineRule="auto"/>
              <w:rPr>
                <w:rFonts w:eastAsia="Times New Roman" w:cs="Open Sans Light"/>
                <w:sz w:val="16"/>
                <w:szCs w:val="16"/>
                <w:lang w:eastAsia="en-AU"/>
              </w:rPr>
            </w:pPr>
            <w:r w:rsidRPr="008F3F3B">
              <w:rPr>
                <w:rFonts w:eastAsia="Times New Roman" w:cs="Open Sans Light"/>
                <w:sz w:val="16"/>
                <w:szCs w:val="16"/>
                <w:lang w:eastAsia="en-AU"/>
              </w:rPr>
              <w:t>National capital allow</w:t>
            </w:r>
            <w:r>
              <w:rPr>
                <w:rFonts w:eastAsia="Times New Roman" w:cs="Open Sans Light"/>
                <w:sz w:val="16"/>
                <w:szCs w:val="16"/>
                <w:lang w:eastAsia="en-AU"/>
              </w:rPr>
              <w:t>ance</w:t>
            </w:r>
            <w:r w:rsidRPr="008F3F3B">
              <w:rPr>
                <w:rFonts w:eastAsia="Times New Roman" w:cs="Open Sans Light"/>
                <w:sz w:val="16"/>
                <w:szCs w:val="16"/>
                <w:lang w:eastAsia="en-AU"/>
              </w:rPr>
              <w:t xml:space="preserve"> ($m)</w:t>
            </w:r>
          </w:p>
        </w:tc>
        <w:tc>
          <w:tcPr>
            <w:tcW w:w="540" w:type="dxa"/>
            <w:tcBorders>
              <w:top w:val="nil"/>
              <w:left w:val="nil"/>
              <w:bottom w:val="single" w:sz="4" w:space="0" w:color="ADD6EA"/>
              <w:right w:val="nil"/>
            </w:tcBorders>
            <w:shd w:val="clear" w:color="auto" w:fill="auto"/>
            <w:vAlign w:val="bottom"/>
            <w:hideMark/>
          </w:tcPr>
          <w:p w14:paraId="18E4756D"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0F798E59"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4556A534"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280C9090"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-1</w:t>
            </w:r>
          </w:p>
        </w:tc>
        <w:tc>
          <w:tcPr>
            <w:tcW w:w="640" w:type="dxa"/>
            <w:tcBorders>
              <w:top w:val="nil"/>
              <w:left w:val="nil"/>
              <w:bottom w:val="single" w:sz="4" w:space="0" w:color="ADD6EA"/>
              <w:right w:val="nil"/>
            </w:tcBorders>
            <w:shd w:val="clear" w:color="auto" w:fill="auto"/>
            <w:vAlign w:val="bottom"/>
            <w:hideMark/>
          </w:tcPr>
          <w:p w14:paraId="0512A188"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-1</w:t>
            </w:r>
          </w:p>
        </w:tc>
        <w:tc>
          <w:tcPr>
            <w:tcW w:w="740" w:type="dxa"/>
            <w:tcBorders>
              <w:top w:val="nil"/>
              <w:left w:val="nil"/>
              <w:bottom w:val="single" w:sz="4" w:space="0" w:color="ADD6EA"/>
              <w:right w:val="nil"/>
            </w:tcBorders>
            <w:shd w:val="clear" w:color="auto" w:fill="auto"/>
            <w:vAlign w:val="bottom"/>
            <w:hideMark/>
          </w:tcPr>
          <w:p w14:paraId="36CBA13E"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0</w:t>
            </w:r>
          </w:p>
        </w:tc>
        <w:tc>
          <w:tcPr>
            <w:tcW w:w="660" w:type="dxa"/>
            <w:tcBorders>
              <w:top w:val="nil"/>
              <w:left w:val="nil"/>
              <w:bottom w:val="single" w:sz="4" w:space="0" w:color="ADD6EA"/>
              <w:right w:val="nil"/>
            </w:tcBorders>
            <w:shd w:val="clear" w:color="auto" w:fill="auto"/>
            <w:vAlign w:val="bottom"/>
            <w:hideMark/>
          </w:tcPr>
          <w:p w14:paraId="3CF5A243"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9</w:t>
            </w:r>
          </w:p>
        </w:tc>
        <w:tc>
          <w:tcPr>
            <w:tcW w:w="740" w:type="dxa"/>
            <w:tcBorders>
              <w:top w:val="nil"/>
              <w:left w:val="nil"/>
              <w:bottom w:val="single" w:sz="4" w:space="0" w:color="ADD6EA"/>
              <w:right w:val="nil"/>
            </w:tcBorders>
            <w:shd w:val="clear" w:color="auto" w:fill="auto"/>
            <w:vAlign w:val="bottom"/>
            <w:hideMark/>
          </w:tcPr>
          <w:p w14:paraId="365EBCE8"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0</w:t>
            </w:r>
          </w:p>
        </w:tc>
        <w:tc>
          <w:tcPr>
            <w:tcW w:w="820" w:type="dxa"/>
            <w:tcBorders>
              <w:top w:val="nil"/>
              <w:left w:val="nil"/>
              <w:bottom w:val="single" w:sz="4" w:space="0" w:color="ADD6EA"/>
              <w:right w:val="nil"/>
            </w:tcBorders>
            <w:shd w:val="clear" w:color="auto" w:fill="auto"/>
            <w:vAlign w:val="bottom"/>
            <w:hideMark/>
          </w:tcPr>
          <w:p w14:paraId="6B81DE94" w14:textId="77777777" w:rsidR="007E365E" w:rsidRPr="008F3F3B" w:rsidRDefault="007E365E" w:rsidP="007D1D77">
            <w:pPr>
              <w:tabs>
                <w:tab w:val="clear" w:pos="567"/>
              </w:tabs>
              <w:spacing w:before="0" w:line="240" w:lineRule="auto"/>
              <w:jc w:val="right"/>
              <w:rPr>
                <w:rFonts w:eastAsia="Times New Roman" w:cs="Open Sans Light"/>
                <w:sz w:val="16"/>
                <w:szCs w:val="16"/>
                <w:lang w:eastAsia="en-AU"/>
              </w:rPr>
            </w:pPr>
            <w:r w:rsidRPr="008F3F3B">
              <w:rPr>
                <w:rFonts w:eastAsia="Times New Roman" w:cs="Open Sans Light"/>
                <w:sz w:val="16"/>
                <w:szCs w:val="16"/>
                <w:lang w:eastAsia="en-AU"/>
              </w:rPr>
              <w:t>0</w:t>
            </w:r>
          </w:p>
        </w:tc>
      </w:tr>
      <w:tr w:rsidR="007E365E" w:rsidRPr="009E7B1D" w14:paraId="5642A76B" w14:textId="77777777" w:rsidTr="007D1D77">
        <w:trPr>
          <w:trHeight w:val="315"/>
        </w:trPr>
        <w:tc>
          <w:tcPr>
            <w:tcW w:w="2580" w:type="dxa"/>
            <w:tcBorders>
              <w:top w:val="single" w:sz="4" w:space="0" w:color="ADD6EA"/>
              <w:left w:val="nil"/>
              <w:bottom w:val="single" w:sz="4" w:space="0" w:color="ADD6EA"/>
              <w:right w:val="nil"/>
            </w:tcBorders>
            <w:shd w:val="clear" w:color="auto" w:fill="D6E7F0"/>
            <w:vAlign w:val="bottom"/>
            <w:hideMark/>
          </w:tcPr>
          <w:p w14:paraId="1A738F0E" w14:textId="77777777" w:rsidR="007E365E" w:rsidRPr="00E7232F"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Assessed expenses ($m)</w:t>
            </w:r>
          </w:p>
        </w:tc>
        <w:tc>
          <w:tcPr>
            <w:tcW w:w="540" w:type="dxa"/>
            <w:tcBorders>
              <w:top w:val="single" w:sz="4" w:space="0" w:color="ADD6EA"/>
              <w:left w:val="nil"/>
              <w:bottom w:val="single" w:sz="4" w:space="0" w:color="ADD6EA"/>
              <w:right w:val="nil"/>
            </w:tcBorders>
            <w:shd w:val="clear" w:color="auto" w:fill="D6E7F0"/>
            <w:vAlign w:val="bottom"/>
            <w:hideMark/>
          </w:tcPr>
          <w:p w14:paraId="5E43C70E"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3,465</w:t>
            </w:r>
          </w:p>
        </w:tc>
        <w:tc>
          <w:tcPr>
            <w:tcW w:w="760" w:type="dxa"/>
            <w:tcBorders>
              <w:top w:val="single" w:sz="4" w:space="0" w:color="ADD6EA"/>
              <w:left w:val="nil"/>
              <w:bottom w:val="single" w:sz="4" w:space="0" w:color="ADD6EA"/>
              <w:right w:val="nil"/>
            </w:tcBorders>
            <w:shd w:val="clear" w:color="auto" w:fill="D6E7F0"/>
            <w:vAlign w:val="bottom"/>
            <w:hideMark/>
          </w:tcPr>
          <w:p w14:paraId="69383C0D"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2,592</w:t>
            </w:r>
          </w:p>
        </w:tc>
        <w:tc>
          <w:tcPr>
            <w:tcW w:w="760" w:type="dxa"/>
            <w:tcBorders>
              <w:top w:val="single" w:sz="4" w:space="0" w:color="ADD6EA"/>
              <w:left w:val="nil"/>
              <w:bottom w:val="single" w:sz="4" w:space="0" w:color="ADD6EA"/>
              <w:right w:val="nil"/>
            </w:tcBorders>
            <w:shd w:val="clear" w:color="auto" w:fill="D6E7F0"/>
            <w:vAlign w:val="bottom"/>
            <w:hideMark/>
          </w:tcPr>
          <w:p w14:paraId="2D64A201"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2,417</w:t>
            </w:r>
          </w:p>
        </w:tc>
        <w:tc>
          <w:tcPr>
            <w:tcW w:w="700" w:type="dxa"/>
            <w:tcBorders>
              <w:top w:val="single" w:sz="4" w:space="0" w:color="ADD6EA"/>
              <w:left w:val="nil"/>
              <w:bottom w:val="single" w:sz="4" w:space="0" w:color="ADD6EA"/>
              <w:right w:val="nil"/>
            </w:tcBorders>
            <w:shd w:val="clear" w:color="auto" w:fill="D6E7F0"/>
            <w:vAlign w:val="bottom"/>
            <w:hideMark/>
          </w:tcPr>
          <w:p w14:paraId="08A7CDB1"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1,294</w:t>
            </w:r>
          </w:p>
        </w:tc>
        <w:tc>
          <w:tcPr>
            <w:tcW w:w="640" w:type="dxa"/>
            <w:tcBorders>
              <w:top w:val="single" w:sz="4" w:space="0" w:color="ADD6EA"/>
              <w:left w:val="nil"/>
              <w:bottom w:val="single" w:sz="4" w:space="0" w:color="ADD6EA"/>
              <w:right w:val="nil"/>
            </w:tcBorders>
            <w:shd w:val="clear" w:color="auto" w:fill="D6E7F0"/>
            <w:vAlign w:val="bottom"/>
            <w:hideMark/>
          </w:tcPr>
          <w:p w14:paraId="288AC429"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796</w:t>
            </w:r>
          </w:p>
        </w:tc>
        <w:tc>
          <w:tcPr>
            <w:tcW w:w="740" w:type="dxa"/>
            <w:tcBorders>
              <w:top w:val="single" w:sz="4" w:space="0" w:color="ADD6EA"/>
              <w:left w:val="nil"/>
              <w:bottom w:val="single" w:sz="4" w:space="0" w:color="ADD6EA"/>
              <w:right w:val="nil"/>
            </w:tcBorders>
            <w:shd w:val="clear" w:color="auto" w:fill="D6E7F0"/>
            <w:vAlign w:val="bottom"/>
            <w:hideMark/>
          </w:tcPr>
          <w:p w14:paraId="6E942FF5"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295</w:t>
            </w:r>
          </w:p>
        </w:tc>
        <w:tc>
          <w:tcPr>
            <w:tcW w:w="660" w:type="dxa"/>
            <w:tcBorders>
              <w:top w:val="single" w:sz="4" w:space="0" w:color="ADD6EA"/>
              <w:left w:val="nil"/>
              <w:bottom w:val="single" w:sz="4" w:space="0" w:color="ADD6EA"/>
              <w:right w:val="nil"/>
            </w:tcBorders>
            <w:shd w:val="clear" w:color="auto" w:fill="D6E7F0"/>
            <w:vAlign w:val="bottom"/>
            <w:hideMark/>
          </w:tcPr>
          <w:p w14:paraId="4600CCC1"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157</w:t>
            </w:r>
          </w:p>
        </w:tc>
        <w:tc>
          <w:tcPr>
            <w:tcW w:w="740" w:type="dxa"/>
            <w:tcBorders>
              <w:top w:val="single" w:sz="4" w:space="0" w:color="ADD6EA"/>
              <w:left w:val="nil"/>
              <w:bottom w:val="single" w:sz="4" w:space="0" w:color="ADD6EA"/>
              <w:right w:val="nil"/>
            </w:tcBorders>
            <w:shd w:val="clear" w:color="auto" w:fill="D6E7F0"/>
            <w:vAlign w:val="bottom"/>
            <w:hideMark/>
          </w:tcPr>
          <w:p w14:paraId="27BBE09B"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321</w:t>
            </w:r>
          </w:p>
        </w:tc>
        <w:tc>
          <w:tcPr>
            <w:tcW w:w="820" w:type="dxa"/>
            <w:tcBorders>
              <w:top w:val="single" w:sz="4" w:space="0" w:color="ADD6EA"/>
              <w:left w:val="nil"/>
              <w:bottom w:val="single" w:sz="4" w:space="0" w:color="ADD6EA"/>
              <w:right w:val="nil"/>
            </w:tcBorders>
            <w:shd w:val="clear" w:color="auto" w:fill="D6E7F0"/>
            <w:vAlign w:val="bottom"/>
            <w:hideMark/>
          </w:tcPr>
          <w:p w14:paraId="6DA461A3"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11,337</w:t>
            </w:r>
          </w:p>
        </w:tc>
      </w:tr>
      <w:tr w:rsidR="007E365E" w:rsidRPr="009E7B1D" w14:paraId="04175A23" w14:textId="77777777" w:rsidTr="007D1D77">
        <w:trPr>
          <w:trHeight w:val="315"/>
        </w:trPr>
        <w:tc>
          <w:tcPr>
            <w:tcW w:w="2580" w:type="dxa"/>
            <w:tcBorders>
              <w:top w:val="single" w:sz="4" w:space="0" w:color="ADD6EA"/>
              <w:left w:val="nil"/>
              <w:bottom w:val="single" w:sz="4" w:space="0" w:color="ADD6EA"/>
              <w:right w:val="nil"/>
            </w:tcBorders>
            <w:shd w:val="clear" w:color="auto" w:fill="D6E7F0"/>
            <w:vAlign w:val="bottom"/>
            <w:hideMark/>
          </w:tcPr>
          <w:p w14:paraId="561DA1CA" w14:textId="77777777" w:rsidR="007E365E" w:rsidRPr="00E7232F"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Assessed expenses ($pc)</w:t>
            </w:r>
          </w:p>
        </w:tc>
        <w:tc>
          <w:tcPr>
            <w:tcW w:w="540" w:type="dxa"/>
            <w:tcBorders>
              <w:top w:val="single" w:sz="4" w:space="0" w:color="ADD6EA"/>
              <w:left w:val="nil"/>
              <w:bottom w:val="single" w:sz="4" w:space="0" w:color="ADD6EA"/>
              <w:right w:val="nil"/>
            </w:tcBorders>
            <w:shd w:val="clear" w:color="auto" w:fill="D6E7F0"/>
            <w:vAlign w:val="bottom"/>
            <w:hideMark/>
          </w:tcPr>
          <w:p w14:paraId="49D4AE21"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431</w:t>
            </w:r>
          </w:p>
        </w:tc>
        <w:tc>
          <w:tcPr>
            <w:tcW w:w="760" w:type="dxa"/>
            <w:tcBorders>
              <w:top w:val="single" w:sz="4" w:space="0" w:color="ADD6EA"/>
              <w:left w:val="nil"/>
              <w:bottom w:val="single" w:sz="4" w:space="0" w:color="ADD6EA"/>
              <w:right w:val="nil"/>
            </w:tcBorders>
            <w:shd w:val="clear" w:color="auto" w:fill="D6E7F0"/>
            <w:vAlign w:val="bottom"/>
            <w:hideMark/>
          </w:tcPr>
          <w:p w14:paraId="7F290977"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397</w:t>
            </w:r>
          </w:p>
        </w:tc>
        <w:tc>
          <w:tcPr>
            <w:tcW w:w="760" w:type="dxa"/>
            <w:tcBorders>
              <w:top w:val="single" w:sz="4" w:space="0" w:color="ADD6EA"/>
              <w:left w:val="nil"/>
              <w:bottom w:val="single" w:sz="4" w:space="0" w:color="ADD6EA"/>
              <w:right w:val="nil"/>
            </w:tcBorders>
            <w:shd w:val="clear" w:color="auto" w:fill="D6E7F0"/>
            <w:vAlign w:val="bottom"/>
            <w:hideMark/>
          </w:tcPr>
          <w:p w14:paraId="645D267F"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478</w:t>
            </w:r>
          </w:p>
        </w:tc>
        <w:tc>
          <w:tcPr>
            <w:tcW w:w="700" w:type="dxa"/>
            <w:tcBorders>
              <w:top w:val="single" w:sz="4" w:space="0" w:color="ADD6EA"/>
              <w:left w:val="nil"/>
              <w:bottom w:val="single" w:sz="4" w:space="0" w:color="ADD6EA"/>
              <w:right w:val="nil"/>
            </w:tcBorders>
            <w:shd w:val="clear" w:color="auto" w:fill="D6E7F0"/>
            <w:vAlign w:val="bottom"/>
            <w:hideMark/>
          </w:tcPr>
          <w:p w14:paraId="649AB12C"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497</w:t>
            </w:r>
          </w:p>
        </w:tc>
        <w:tc>
          <w:tcPr>
            <w:tcW w:w="640" w:type="dxa"/>
            <w:tcBorders>
              <w:top w:val="single" w:sz="4" w:space="0" w:color="ADD6EA"/>
              <w:left w:val="nil"/>
              <w:bottom w:val="single" w:sz="4" w:space="0" w:color="ADD6EA"/>
              <w:right w:val="nil"/>
            </w:tcBorders>
            <w:shd w:val="clear" w:color="auto" w:fill="D6E7F0"/>
            <w:vAlign w:val="bottom"/>
            <w:hideMark/>
          </w:tcPr>
          <w:p w14:paraId="1D8BD96D"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457</w:t>
            </w:r>
          </w:p>
        </w:tc>
        <w:tc>
          <w:tcPr>
            <w:tcW w:w="740" w:type="dxa"/>
            <w:tcBorders>
              <w:top w:val="single" w:sz="4" w:space="0" w:color="ADD6EA"/>
              <w:left w:val="nil"/>
              <w:bottom w:val="single" w:sz="4" w:space="0" w:color="ADD6EA"/>
              <w:right w:val="nil"/>
            </w:tcBorders>
            <w:shd w:val="clear" w:color="auto" w:fill="D6E7F0"/>
            <w:vAlign w:val="bottom"/>
            <w:hideMark/>
          </w:tcPr>
          <w:p w14:paraId="1920E86B"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556</w:t>
            </w:r>
          </w:p>
        </w:tc>
        <w:tc>
          <w:tcPr>
            <w:tcW w:w="660" w:type="dxa"/>
            <w:tcBorders>
              <w:top w:val="single" w:sz="4" w:space="0" w:color="ADD6EA"/>
              <w:left w:val="nil"/>
              <w:bottom w:val="single" w:sz="4" w:space="0" w:color="ADD6EA"/>
              <w:right w:val="nil"/>
            </w:tcBorders>
            <w:shd w:val="clear" w:color="auto" w:fill="D6E7F0"/>
            <w:vAlign w:val="bottom"/>
            <w:hideMark/>
          </w:tcPr>
          <w:p w14:paraId="1E80FEBB"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371</w:t>
            </w:r>
          </w:p>
        </w:tc>
        <w:tc>
          <w:tcPr>
            <w:tcW w:w="740" w:type="dxa"/>
            <w:tcBorders>
              <w:top w:val="single" w:sz="4" w:space="0" w:color="ADD6EA"/>
              <w:left w:val="nil"/>
              <w:bottom w:val="single" w:sz="4" w:space="0" w:color="ADD6EA"/>
              <w:right w:val="nil"/>
            </w:tcBorders>
            <w:shd w:val="clear" w:color="auto" w:fill="D6E7F0"/>
            <w:vAlign w:val="bottom"/>
            <w:hideMark/>
          </w:tcPr>
          <w:p w14:paraId="55B905B4"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1,309</w:t>
            </w:r>
          </w:p>
        </w:tc>
        <w:tc>
          <w:tcPr>
            <w:tcW w:w="820" w:type="dxa"/>
            <w:tcBorders>
              <w:top w:val="single" w:sz="4" w:space="0" w:color="ADD6EA"/>
              <w:left w:val="nil"/>
              <w:bottom w:val="single" w:sz="4" w:space="0" w:color="ADD6EA"/>
              <w:right w:val="nil"/>
            </w:tcBorders>
            <w:shd w:val="clear" w:color="auto" w:fill="D6E7F0"/>
            <w:vAlign w:val="bottom"/>
            <w:hideMark/>
          </w:tcPr>
          <w:p w14:paraId="361CA5F4" w14:textId="77777777" w:rsidR="007E365E" w:rsidRPr="00E7232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7232F">
              <w:rPr>
                <w:rFonts w:ascii="Open Sans SemiBold" w:eastAsia="Times New Roman" w:hAnsi="Open Sans SemiBold" w:cs="Open Sans SemiBold"/>
                <w:sz w:val="16"/>
                <w:szCs w:val="16"/>
                <w:lang w:eastAsia="en-AU"/>
              </w:rPr>
              <w:t>450</w:t>
            </w:r>
          </w:p>
        </w:tc>
      </w:tr>
    </w:tbl>
    <w:p w14:paraId="0EE991B0" w14:textId="77777777" w:rsidR="007E365E" w:rsidRPr="00173B02" w:rsidRDefault="007E365E" w:rsidP="007E365E">
      <w:pPr>
        <w:pStyle w:val="CGCTablenote"/>
      </w:pPr>
      <w:r w:rsidRPr="00173B02">
        <w:t>Source:</w:t>
      </w:r>
      <w:r w:rsidRPr="00173B02">
        <w:tab/>
        <w:t>Commission calculation</w:t>
      </w:r>
      <w:r>
        <w:t>.</w:t>
      </w:r>
    </w:p>
    <w:p w14:paraId="3186BD6B" w14:textId="77777777" w:rsidR="007E365E" w:rsidRPr="00173B02" w:rsidRDefault="007E365E" w:rsidP="007E365E">
      <w:pPr>
        <w:pStyle w:val="CGCParaNumber"/>
      </w:pPr>
      <w:r w:rsidRPr="00173B02">
        <w:t>Data for both the cost weights and the socio-demographic composition (SDC) calculations were provided by States for the years 2015-16 and 2016-17. Population data are as at 30</w:t>
      </w:r>
      <w:r>
        <w:t> </w:t>
      </w:r>
      <w:r w:rsidRPr="00173B02">
        <w:t>December 2016.</w:t>
      </w:r>
    </w:p>
    <w:p w14:paraId="191D795B" w14:textId="77777777" w:rsidR="007E365E" w:rsidRPr="00173B02" w:rsidRDefault="007E365E" w:rsidP="007E365E">
      <w:pPr>
        <w:pStyle w:val="Heading4"/>
        <w:keepLines/>
      </w:pPr>
      <w:bookmarkStart w:id="38" w:name="_Toc23500154"/>
      <w:bookmarkStart w:id="39" w:name="_Toc5893819"/>
      <w:bookmarkStart w:id="40" w:name="_Toc6487584"/>
      <w:bookmarkStart w:id="41" w:name="_Toc6487622"/>
      <w:bookmarkStart w:id="42" w:name="_Toc7442876"/>
      <w:r w:rsidRPr="00173B02">
        <w:t xml:space="preserve">Courts and legal </w:t>
      </w:r>
      <w:bookmarkEnd w:id="38"/>
      <w:r w:rsidRPr="00173B02">
        <w:t>services</w:t>
      </w:r>
    </w:p>
    <w:p w14:paraId="1AC5567A" w14:textId="77777777" w:rsidR="007E365E" w:rsidRPr="00173B02" w:rsidRDefault="007E365E" w:rsidP="007E365E">
      <w:pPr>
        <w:pStyle w:val="CGCParaNumber"/>
      </w:pPr>
      <w:r w:rsidRPr="00173B02">
        <w:t>For the 2020 Review, courts and legal services have been split into two components reflecting the differing methods of assessment for criminal courts and other legal services.</w:t>
      </w:r>
    </w:p>
    <w:p w14:paraId="1F934590" w14:textId="77777777" w:rsidR="007E365E" w:rsidRPr="00173B02" w:rsidRDefault="007E365E" w:rsidP="007E365E">
      <w:pPr>
        <w:pStyle w:val="CGCParaNumber"/>
      </w:pPr>
      <w:r w:rsidRPr="00173B02">
        <w:t xml:space="preserve">ABS </w:t>
      </w:r>
      <w:r>
        <w:t>GFS</w:t>
      </w:r>
      <w:r w:rsidRPr="00173B02">
        <w:t xml:space="preserve"> data identify total costs associated with courts and legal services. The criminal courts related proportion of this is calculated based on a one-off data request to States. The State data indicated that, on average, 51% of courts and legal services expenses relate to criminal courts.</w:t>
      </w:r>
    </w:p>
    <w:p w14:paraId="6FE06479" w14:textId="61A2C243" w:rsidR="007E365E" w:rsidRPr="00173B02" w:rsidRDefault="007E365E" w:rsidP="007E365E">
      <w:pPr>
        <w:pStyle w:val="CGCParaNumber"/>
      </w:pPr>
      <w:r w:rsidRPr="00173B02">
        <w:t>Queensland did not support the expenditure split as it claimed it was inconsistent with information in the Report o</w:t>
      </w:r>
      <w:r w:rsidR="007E2E79">
        <w:t>n</w:t>
      </w:r>
      <w:r w:rsidRPr="00173B02">
        <w:t xml:space="preserve"> Government Services (RoGS). However, RoGS data only cover court expenses which, as shown in </w:t>
      </w:r>
      <w:r w:rsidRPr="00173B02">
        <w:fldChar w:fldCharType="begin"/>
      </w:r>
      <w:r w:rsidRPr="00173B02">
        <w:instrText xml:space="preserve"> REF _Ref23864112 \h  \* MERGEFORMAT </w:instrText>
      </w:r>
      <w:r w:rsidRPr="00173B02">
        <w:fldChar w:fldCharType="separate"/>
      </w:r>
      <w:r w:rsidR="007F721A" w:rsidRPr="00173B02">
        <w:t xml:space="preserve">Table </w:t>
      </w:r>
      <w:r w:rsidR="007F721A">
        <w:rPr>
          <w:noProof/>
        </w:rPr>
        <w:t>19-9</w:t>
      </w:r>
      <w:r w:rsidRPr="00173B02">
        <w:fldChar w:fldCharType="end"/>
      </w:r>
      <w:r w:rsidRPr="00173B02">
        <w:t>, make up only $1.</w:t>
      </w:r>
      <w:r>
        <w:t>6</w:t>
      </w:r>
      <w:r w:rsidRPr="00173B02">
        <w:t xml:space="preserve"> billion of the $4.1 billion of GFS spending on all legal and court services. Therefore, the split of criminal and civil court expenditure in R</w:t>
      </w:r>
      <w:r>
        <w:t>o</w:t>
      </w:r>
      <w:r w:rsidRPr="00173B02">
        <w:t>GS is not reflective of all courts and legal services spending.</w:t>
      </w:r>
    </w:p>
    <w:p w14:paraId="0E7B7AE2" w14:textId="463073A7" w:rsidR="007E365E" w:rsidRPr="00173B02" w:rsidRDefault="007E365E" w:rsidP="007E365E">
      <w:pPr>
        <w:pStyle w:val="Caption"/>
      </w:pPr>
      <w:bookmarkStart w:id="43" w:name="_Ref23864112"/>
      <w:r w:rsidRPr="00173B02">
        <w:t xml:space="preserve">Table </w:t>
      </w:r>
      <w:r>
        <w:t>19-</w:t>
      </w:r>
      <w:fldSimple w:instr=" SEQ Table \* ARABIC ">
        <w:r w:rsidR="007F721A">
          <w:rPr>
            <w:noProof/>
          </w:rPr>
          <w:t>9</w:t>
        </w:r>
      </w:fldSimple>
      <w:bookmarkEnd w:id="43"/>
      <w:r>
        <w:rPr>
          <w:noProof/>
        </w:rPr>
        <w:tab/>
      </w:r>
      <w:r w:rsidRPr="00173B02">
        <w:t>Criminal and other legal services GFS splits, 2016-17</w:t>
      </w:r>
    </w:p>
    <w:tbl>
      <w:tblPr>
        <w:tblW w:w="9220" w:type="dxa"/>
        <w:tblBorders>
          <w:top w:val="single" w:sz="4" w:space="0" w:color="ADD6EA"/>
          <w:bottom w:val="single" w:sz="4" w:space="0" w:color="ADD6EA"/>
          <w:insideH w:val="single" w:sz="4" w:space="0" w:color="ADD6EA"/>
        </w:tblBorders>
        <w:tblCellMar>
          <w:left w:w="28" w:type="dxa"/>
          <w:right w:w="28" w:type="dxa"/>
        </w:tblCellMar>
        <w:tblLook w:val="04A0" w:firstRow="1" w:lastRow="0" w:firstColumn="1" w:lastColumn="0" w:noHBand="0" w:noVBand="1"/>
      </w:tblPr>
      <w:tblGrid>
        <w:gridCol w:w="4000"/>
        <w:gridCol w:w="1840"/>
        <w:gridCol w:w="1880"/>
        <w:gridCol w:w="1500"/>
      </w:tblGrid>
      <w:tr w:rsidR="007E365E" w:rsidRPr="00173B02" w14:paraId="07BB7AAE" w14:textId="77777777" w:rsidTr="007D1D77">
        <w:trPr>
          <w:trHeight w:val="350"/>
        </w:trPr>
        <w:tc>
          <w:tcPr>
            <w:tcW w:w="4000" w:type="dxa"/>
            <w:shd w:val="clear" w:color="auto" w:fill="006991"/>
            <w:noWrap/>
            <w:vAlign w:val="center"/>
            <w:hideMark/>
          </w:tcPr>
          <w:p w14:paraId="3225EC92" w14:textId="77777777" w:rsidR="007E365E" w:rsidRPr="00173B02" w:rsidRDefault="007E365E" w:rsidP="007D1D77">
            <w:pPr>
              <w:pStyle w:val="CGCTableheader"/>
              <w:rPr>
                <w:lang w:eastAsia="en-AU"/>
              </w:rPr>
            </w:pPr>
            <w:r w:rsidRPr="00173B02">
              <w:rPr>
                <w:lang w:eastAsia="en-AU"/>
              </w:rPr>
              <w:t> </w:t>
            </w:r>
          </w:p>
        </w:tc>
        <w:tc>
          <w:tcPr>
            <w:tcW w:w="1840" w:type="dxa"/>
            <w:shd w:val="clear" w:color="auto" w:fill="006991"/>
            <w:noWrap/>
            <w:vAlign w:val="center"/>
            <w:hideMark/>
          </w:tcPr>
          <w:p w14:paraId="73F166EA" w14:textId="77777777" w:rsidR="007E365E" w:rsidRPr="00173B02" w:rsidRDefault="007E365E" w:rsidP="007D1D77">
            <w:pPr>
              <w:pStyle w:val="CGCTableheader"/>
              <w:jc w:val="right"/>
              <w:rPr>
                <w:lang w:eastAsia="en-AU"/>
              </w:rPr>
            </w:pPr>
            <w:r w:rsidRPr="00173B02">
              <w:rPr>
                <w:lang w:eastAsia="en-AU"/>
              </w:rPr>
              <w:t>Courts</w:t>
            </w:r>
          </w:p>
        </w:tc>
        <w:tc>
          <w:tcPr>
            <w:tcW w:w="1880" w:type="dxa"/>
            <w:shd w:val="clear" w:color="auto" w:fill="006991"/>
            <w:noWrap/>
            <w:vAlign w:val="center"/>
            <w:hideMark/>
          </w:tcPr>
          <w:p w14:paraId="0F0622F6" w14:textId="77777777" w:rsidR="007E365E" w:rsidRPr="00173B02" w:rsidRDefault="007E365E" w:rsidP="007D1D77">
            <w:pPr>
              <w:pStyle w:val="CGCTableheader"/>
              <w:jc w:val="right"/>
              <w:rPr>
                <w:lang w:eastAsia="en-AU"/>
              </w:rPr>
            </w:pPr>
            <w:r w:rsidRPr="00173B02">
              <w:rPr>
                <w:lang w:eastAsia="en-AU"/>
              </w:rPr>
              <w:t>Non-court</w:t>
            </w:r>
          </w:p>
        </w:tc>
        <w:tc>
          <w:tcPr>
            <w:tcW w:w="1500" w:type="dxa"/>
            <w:shd w:val="clear" w:color="auto" w:fill="006991"/>
            <w:noWrap/>
            <w:vAlign w:val="center"/>
            <w:hideMark/>
          </w:tcPr>
          <w:p w14:paraId="7977E5E5" w14:textId="77777777" w:rsidR="007E365E" w:rsidRPr="00173B02" w:rsidRDefault="007E365E" w:rsidP="007D1D77">
            <w:pPr>
              <w:pStyle w:val="CGCTableheader"/>
              <w:jc w:val="right"/>
              <w:rPr>
                <w:lang w:eastAsia="en-AU"/>
              </w:rPr>
            </w:pPr>
            <w:r w:rsidRPr="00173B02">
              <w:rPr>
                <w:lang w:eastAsia="en-AU"/>
              </w:rPr>
              <w:t>Total</w:t>
            </w:r>
          </w:p>
        </w:tc>
      </w:tr>
      <w:tr w:rsidR="007E365E" w:rsidRPr="00173B02" w14:paraId="5E36ED25" w14:textId="77777777" w:rsidTr="007D1D77">
        <w:trPr>
          <w:trHeight w:val="276"/>
        </w:trPr>
        <w:tc>
          <w:tcPr>
            <w:tcW w:w="4000" w:type="dxa"/>
            <w:shd w:val="clear" w:color="auto" w:fill="auto"/>
            <w:vAlign w:val="center"/>
            <w:hideMark/>
          </w:tcPr>
          <w:p w14:paraId="3E5E1BAF" w14:textId="77777777" w:rsidR="007E365E" w:rsidRPr="00173B02" w:rsidRDefault="007E365E" w:rsidP="007D1D77">
            <w:pPr>
              <w:pStyle w:val="CGCTablerow"/>
              <w:rPr>
                <w:lang w:eastAsia="en-AU"/>
              </w:rPr>
            </w:pPr>
            <w:r w:rsidRPr="00173B02">
              <w:rPr>
                <w:lang w:eastAsia="en-AU"/>
              </w:rPr>
              <w:t>Criminal-related expenditure</w:t>
            </w:r>
          </w:p>
        </w:tc>
        <w:tc>
          <w:tcPr>
            <w:tcW w:w="1840" w:type="dxa"/>
            <w:shd w:val="clear" w:color="auto" w:fill="auto"/>
            <w:vAlign w:val="bottom"/>
            <w:hideMark/>
          </w:tcPr>
          <w:p w14:paraId="3B58E470" w14:textId="77777777" w:rsidR="007E365E" w:rsidRPr="00173B02" w:rsidRDefault="007E365E" w:rsidP="007D1D77">
            <w:pPr>
              <w:pStyle w:val="CGCTablerow"/>
              <w:jc w:val="right"/>
              <w:rPr>
                <w:lang w:eastAsia="en-AU"/>
              </w:rPr>
            </w:pPr>
            <w:r w:rsidRPr="00173B02">
              <w:t>57%</w:t>
            </w:r>
          </w:p>
        </w:tc>
        <w:tc>
          <w:tcPr>
            <w:tcW w:w="1880" w:type="dxa"/>
            <w:shd w:val="clear" w:color="auto" w:fill="auto"/>
            <w:vAlign w:val="bottom"/>
            <w:hideMark/>
          </w:tcPr>
          <w:p w14:paraId="5C406AB0" w14:textId="77777777" w:rsidR="007E365E" w:rsidRPr="00173B02" w:rsidRDefault="007E365E" w:rsidP="007D1D77">
            <w:pPr>
              <w:pStyle w:val="CGCTablerow"/>
              <w:jc w:val="right"/>
              <w:rPr>
                <w:lang w:eastAsia="en-AU"/>
              </w:rPr>
            </w:pPr>
            <w:r w:rsidRPr="00173B02">
              <w:t>47%</w:t>
            </w:r>
          </w:p>
        </w:tc>
        <w:tc>
          <w:tcPr>
            <w:tcW w:w="1500" w:type="dxa"/>
            <w:shd w:val="clear" w:color="auto" w:fill="auto"/>
            <w:vAlign w:val="bottom"/>
            <w:hideMark/>
          </w:tcPr>
          <w:p w14:paraId="2E49BF26" w14:textId="77777777" w:rsidR="007E365E" w:rsidRPr="00173B02" w:rsidRDefault="007E365E" w:rsidP="007D1D77">
            <w:pPr>
              <w:pStyle w:val="CGCTablerow"/>
              <w:jc w:val="right"/>
              <w:rPr>
                <w:lang w:eastAsia="en-AU"/>
              </w:rPr>
            </w:pPr>
            <w:r w:rsidRPr="00173B02">
              <w:t>51%</w:t>
            </w:r>
          </w:p>
        </w:tc>
      </w:tr>
      <w:tr w:rsidR="007E365E" w:rsidRPr="00173B02" w14:paraId="4CE73F85" w14:textId="77777777" w:rsidTr="007D1D77">
        <w:trPr>
          <w:trHeight w:val="276"/>
        </w:trPr>
        <w:tc>
          <w:tcPr>
            <w:tcW w:w="4000" w:type="dxa"/>
            <w:shd w:val="clear" w:color="auto" w:fill="auto"/>
            <w:vAlign w:val="center"/>
            <w:hideMark/>
          </w:tcPr>
          <w:p w14:paraId="7C348432" w14:textId="77777777" w:rsidR="007E365E" w:rsidRPr="00173B02" w:rsidRDefault="007E365E" w:rsidP="007D1D77">
            <w:pPr>
              <w:pStyle w:val="CGCTablerow"/>
              <w:rPr>
                <w:lang w:eastAsia="en-AU"/>
              </w:rPr>
            </w:pPr>
            <w:r w:rsidRPr="00173B02">
              <w:rPr>
                <w:lang w:eastAsia="en-AU"/>
              </w:rPr>
              <w:t>Other legal services related expenditure</w:t>
            </w:r>
          </w:p>
        </w:tc>
        <w:tc>
          <w:tcPr>
            <w:tcW w:w="1840" w:type="dxa"/>
            <w:shd w:val="clear" w:color="auto" w:fill="auto"/>
            <w:vAlign w:val="bottom"/>
            <w:hideMark/>
          </w:tcPr>
          <w:p w14:paraId="05C0779D" w14:textId="77777777" w:rsidR="007E365E" w:rsidRPr="00173B02" w:rsidRDefault="007E365E" w:rsidP="007D1D77">
            <w:pPr>
              <w:pStyle w:val="CGCTablerow"/>
              <w:jc w:val="right"/>
              <w:rPr>
                <w:lang w:eastAsia="en-AU"/>
              </w:rPr>
            </w:pPr>
            <w:r w:rsidRPr="00173B02">
              <w:t>43%</w:t>
            </w:r>
          </w:p>
        </w:tc>
        <w:tc>
          <w:tcPr>
            <w:tcW w:w="1880" w:type="dxa"/>
            <w:shd w:val="clear" w:color="auto" w:fill="auto"/>
            <w:vAlign w:val="bottom"/>
            <w:hideMark/>
          </w:tcPr>
          <w:p w14:paraId="43B988D8" w14:textId="77777777" w:rsidR="007E365E" w:rsidRPr="00173B02" w:rsidRDefault="007E365E" w:rsidP="007D1D77">
            <w:pPr>
              <w:pStyle w:val="CGCTablerow"/>
              <w:jc w:val="right"/>
              <w:rPr>
                <w:lang w:eastAsia="en-AU"/>
              </w:rPr>
            </w:pPr>
            <w:r w:rsidRPr="00173B02">
              <w:t>53%</w:t>
            </w:r>
          </w:p>
        </w:tc>
        <w:tc>
          <w:tcPr>
            <w:tcW w:w="1500" w:type="dxa"/>
            <w:shd w:val="clear" w:color="auto" w:fill="auto"/>
            <w:vAlign w:val="bottom"/>
            <w:hideMark/>
          </w:tcPr>
          <w:p w14:paraId="3FC392E5" w14:textId="77777777" w:rsidR="007E365E" w:rsidRPr="00173B02" w:rsidRDefault="007E365E" w:rsidP="007D1D77">
            <w:pPr>
              <w:pStyle w:val="CGCTablerow"/>
              <w:jc w:val="right"/>
              <w:rPr>
                <w:lang w:eastAsia="en-AU"/>
              </w:rPr>
            </w:pPr>
            <w:r w:rsidRPr="00173B02">
              <w:t>49%</w:t>
            </w:r>
          </w:p>
        </w:tc>
      </w:tr>
      <w:tr w:rsidR="007E365E" w:rsidRPr="00173B02" w14:paraId="05B68451" w14:textId="77777777" w:rsidTr="007D1D77">
        <w:trPr>
          <w:trHeight w:val="276"/>
        </w:trPr>
        <w:tc>
          <w:tcPr>
            <w:tcW w:w="4000" w:type="dxa"/>
            <w:shd w:val="clear" w:color="auto" w:fill="auto"/>
            <w:vAlign w:val="bottom"/>
            <w:hideMark/>
          </w:tcPr>
          <w:p w14:paraId="5E7CB379" w14:textId="77777777" w:rsidR="007E365E" w:rsidRPr="00173B02" w:rsidRDefault="007E365E" w:rsidP="007D1D77">
            <w:pPr>
              <w:pStyle w:val="CGCTablerow"/>
              <w:rPr>
                <w:lang w:eastAsia="en-AU"/>
              </w:rPr>
            </w:pPr>
            <w:r w:rsidRPr="00173B02">
              <w:rPr>
                <w:lang w:eastAsia="en-AU"/>
              </w:rPr>
              <w:t>Total spend ($b)</w:t>
            </w:r>
          </w:p>
        </w:tc>
        <w:tc>
          <w:tcPr>
            <w:tcW w:w="1840" w:type="dxa"/>
            <w:shd w:val="clear" w:color="auto" w:fill="auto"/>
            <w:vAlign w:val="bottom"/>
            <w:hideMark/>
          </w:tcPr>
          <w:p w14:paraId="70FE00D8" w14:textId="77777777" w:rsidR="007E365E" w:rsidRPr="00173B02" w:rsidRDefault="007E365E" w:rsidP="007D1D77">
            <w:pPr>
              <w:pStyle w:val="CGCTablerow"/>
              <w:jc w:val="right"/>
              <w:rPr>
                <w:lang w:eastAsia="en-AU"/>
              </w:rPr>
            </w:pPr>
            <w:r w:rsidRPr="00173B02">
              <w:t>1.6</w:t>
            </w:r>
          </w:p>
        </w:tc>
        <w:tc>
          <w:tcPr>
            <w:tcW w:w="1880" w:type="dxa"/>
            <w:shd w:val="clear" w:color="auto" w:fill="auto"/>
            <w:vAlign w:val="bottom"/>
            <w:hideMark/>
          </w:tcPr>
          <w:p w14:paraId="5B736124" w14:textId="77777777" w:rsidR="007E365E" w:rsidRPr="00173B02" w:rsidRDefault="007E365E" w:rsidP="007D1D77">
            <w:pPr>
              <w:pStyle w:val="CGCTablerow"/>
              <w:jc w:val="right"/>
              <w:rPr>
                <w:lang w:eastAsia="en-AU"/>
              </w:rPr>
            </w:pPr>
            <w:r w:rsidRPr="00173B02">
              <w:t>2.5</w:t>
            </w:r>
          </w:p>
        </w:tc>
        <w:tc>
          <w:tcPr>
            <w:tcW w:w="1500" w:type="dxa"/>
            <w:shd w:val="clear" w:color="auto" w:fill="auto"/>
            <w:vAlign w:val="bottom"/>
            <w:hideMark/>
          </w:tcPr>
          <w:p w14:paraId="746299E3" w14:textId="77777777" w:rsidR="007E365E" w:rsidRPr="00173B02" w:rsidRDefault="007E365E" w:rsidP="007D1D77">
            <w:pPr>
              <w:pStyle w:val="CGCTablerow"/>
              <w:jc w:val="right"/>
              <w:rPr>
                <w:lang w:eastAsia="en-AU"/>
              </w:rPr>
            </w:pPr>
            <w:r w:rsidRPr="00173B02">
              <w:t>4.1</w:t>
            </w:r>
          </w:p>
        </w:tc>
      </w:tr>
    </w:tbl>
    <w:p w14:paraId="45FECBCD" w14:textId="77777777" w:rsidR="007E365E" w:rsidRPr="00607A5A" w:rsidRDefault="007E365E" w:rsidP="007E365E">
      <w:pPr>
        <w:pStyle w:val="CGCTablenote"/>
      </w:pPr>
      <w:r w:rsidRPr="00607A5A">
        <w:t>Note:</w:t>
      </w:r>
      <w:r>
        <w:tab/>
      </w:r>
      <w:r w:rsidRPr="00607A5A">
        <w:t>Non-court criminal related expenditure include public prosecution and legal aid. Non-court other legal services include civil &amp; administrative tribunals, law commission, birth registries, etc.</w:t>
      </w:r>
    </w:p>
    <w:p w14:paraId="5ADD5009" w14:textId="77777777" w:rsidR="007E365E" w:rsidRDefault="007E365E" w:rsidP="007E365E">
      <w:pPr>
        <w:pStyle w:val="CGCTablenote"/>
      </w:pPr>
      <w:r w:rsidRPr="00607A5A">
        <w:t>Source:</w:t>
      </w:r>
      <w:r w:rsidRPr="00607A5A">
        <w:tab/>
        <w:t xml:space="preserve">Productivity Commission, </w:t>
      </w:r>
      <w:r w:rsidRPr="00766721">
        <w:rPr>
          <w:i/>
          <w:iCs/>
        </w:rPr>
        <w:t>Report on Government Services 2018</w:t>
      </w:r>
      <w:r w:rsidRPr="00607A5A">
        <w:t>, Chapter 7 Tables</w:t>
      </w:r>
      <w:r>
        <w:t xml:space="preserve"> 7A.9 and 7A.10.</w:t>
      </w:r>
    </w:p>
    <w:p w14:paraId="77545DEE" w14:textId="77777777" w:rsidR="007E365E" w:rsidRPr="00607A5A" w:rsidRDefault="007E365E" w:rsidP="007E365E">
      <w:pPr>
        <w:pStyle w:val="CGCTablenote"/>
      </w:pPr>
      <w:r>
        <w:tab/>
      </w:r>
      <w:r w:rsidRPr="00607A5A">
        <w:t xml:space="preserve">State provided data. </w:t>
      </w:r>
    </w:p>
    <w:p w14:paraId="7AA46C8B" w14:textId="062A12F8" w:rsidR="007E365E" w:rsidRPr="00173B02" w:rsidRDefault="007E365E" w:rsidP="007E365E">
      <w:pPr>
        <w:pStyle w:val="Heading4"/>
      </w:pPr>
      <w:bookmarkStart w:id="44" w:name="_Toc23500155"/>
      <w:r w:rsidRPr="00173B02">
        <w:t>Criminal courts</w:t>
      </w:r>
      <w:bookmarkEnd w:id="39"/>
      <w:bookmarkEnd w:id="40"/>
      <w:bookmarkEnd w:id="41"/>
      <w:bookmarkEnd w:id="42"/>
      <w:bookmarkEnd w:id="44"/>
    </w:p>
    <w:p w14:paraId="10E4FEB8" w14:textId="77777777" w:rsidR="007E365E" w:rsidRPr="00173B02" w:rsidRDefault="007E365E" w:rsidP="007E365E">
      <w:pPr>
        <w:pStyle w:val="CGCParaNumber"/>
      </w:pPr>
      <w:r w:rsidRPr="00173B02">
        <w:t>Expenses for this component include:</w:t>
      </w:r>
    </w:p>
    <w:p w14:paraId="3C0C93D0" w14:textId="77777777" w:rsidR="007E365E" w:rsidRPr="009D66AD" w:rsidRDefault="007E365E" w:rsidP="007E365E">
      <w:pPr>
        <w:pStyle w:val="CGCBullet1"/>
        <w:numPr>
          <w:ilvl w:val="0"/>
          <w:numId w:val="18"/>
        </w:numPr>
        <w:ind w:left="924" w:hanging="357"/>
      </w:pPr>
      <w:r w:rsidRPr="009D66AD">
        <w:t>criminal courts</w:t>
      </w:r>
    </w:p>
    <w:p w14:paraId="498F6A87" w14:textId="77777777" w:rsidR="007E365E" w:rsidRPr="009D66AD" w:rsidRDefault="007E365E" w:rsidP="007E365E">
      <w:pPr>
        <w:pStyle w:val="CGCBullet1"/>
        <w:numPr>
          <w:ilvl w:val="0"/>
          <w:numId w:val="18"/>
        </w:numPr>
        <w:ind w:left="924" w:hanging="357"/>
      </w:pPr>
      <w:r w:rsidRPr="009D66AD">
        <w:t>public prosecution</w:t>
      </w:r>
    </w:p>
    <w:p w14:paraId="1DF6A053" w14:textId="77777777" w:rsidR="007E365E" w:rsidRPr="009D66AD" w:rsidRDefault="007E365E" w:rsidP="007E365E">
      <w:pPr>
        <w:pStyle w:val="CGCBullet1"/>
        <w:numPr>
          <w:ilvl w:val="0"/>
          <w:numId w:val="18"/>
        </w:numPr>
        <w:ind w:left="924" w:hanging="357"/>
      </w:pPr>
      <w:r w:rsidRPr="009D66AD">
        <w:lastRenderedPageBreak/>
        <w:t>legal aid related to defendants in criminal courts</w:t>
      </w:r>
    </w:p>
    <w:p w14:paraId="19715D7B" w14:textId="77777777" w:rsidR="007E365E" w:rsidRPr="009D66AD" w:rsidRDefault="007E365E" w:rsidP="007E365E">
      <w:pPr>
        <w:pStyle w:val="CGCBullet1"/>
        <w:numPr>
          <w:ilvl w:val="0"/>
          <w:numId w:val="18"/>
        </w:numPr>
        <w:ind w:left="924" w:hanging="357"/>
      </w:pPr>
      <w:r w:rsidRPr="009D66AD">
        <w:t>other legal services associated with criminal courts.</w:t>
      </w:r>
    </w:p>
    <w:p w14:paraId="2D1BFC8B" w14:textId="77777777" w:rsidR="007E365E" w:rsidRPr="00173B02" w:rsidRDefault="007E365E" w:rsidP="007E365E">
      <w:pPr>
        <w:pStyle w:val="CGCParaNumber"/>
      </w:pPr>
      <w:r w:rsidRPr="00173B02">
        <w:t>The criminal court assessment is based on an SDC assessment of the number of defendants with adjustments for wage costs and regional costs.</w:t>
      </w:r>
    </w:p>
    <w:p w14:paraId="25B43791" w14:textId="77777777" w:rsidR="007E365E" w:rsidRPr="00173B02" w:rsidRDefault="007E365E" w:rsidP="007E365E">
      <w:pPr>
        <w:pStyle w:val="Heading5"/>
      </w:pPr>
      <w:r w:rsidRPr="00173B02">
        <w:t>Socio-demographic composition</w:t>
      </w:r>
    </w:p>
    <w:p w14:paraId="0DC46BB4" w14:textId="2A43A649" w:rsidR="007E365E" w:rsidRPr="00173B02" w:rsidRDefault="007E365E" w:rsidP="007E365E">
      <w:pPr>
        <w:pStyle w:val="CGCParaNumber"/>
      </w:pPr>
      <w:r w:rsidRPr="00173B02">
        <w:t>Spending by each State on criminal court services is affected by the size of its population and the relative size of those population groups that are more likely to appear before a court. The number of assessed defendants is derived by applying the national average defendant rate for a given socio-demographic sub-population to that population in each State. The socio</w:t>
      </w:r>
      <w:r>
        <w:noBreakHyphen/>
      </w:r>
      <w:r w:rsidRPr="00173B02">
        <w:t>demographic groups include a cross</w:t>
      </w:r>
      <w:r w:rsidRPr="00173B02">
        <w:noBreakHyphen/>
        <w:t>classification of Indigenous status, SES and age. There are 50 socio</w:t>
      </w:r>
      <w:r w:rsidRPr="00173B02">
        <w:noBreakHyphen/>
        <w:t xml:space="preserve">demographic groups based on the categories shown in </w:t>
      </w:r>
      <w:r w:rsidRPr="00173B02">
        <w:fldChar w:fldCharType="begin"/>
      </w:r>
      <w:r w:rsidRPr="00173B02">
        <w:instrText xml:space="preserve"> REF _Ref2593860 \h </w:instrText>
      </w:r>
      <w:r>
        <w:instrText xml:space="preserve"> \* MERGEFORMAT </w:instrText>
      </w:r>
      <w:r w:rsidRPr="00173B02">
        <w:fldChar w:fldCharType="separate"/>
      </w:r>
      <w:r w:rsidR="007F721A" w:rsidRPr="00173B02">
        <w:t>Table</w:t>
      </w:r>
      <w:r w:rsidR="007F721A">
        <w:t> 19</w:t>
      </w:r>
      <w:r w:rsidR="007F721A">
        <w:noBreakHyphen/>
        <w:t>10</w:t>
      </w:r>
      <w:r w:rsidRPr="00173B02">
        <w:fldChar w:fldCharType="end"/>
      </w:r>
      <w:r w:rsidRPr="00173B02">
        <w:t>.</w:t>
      </w:r>
    </w:p>
    <w:p w14:paraId="43648A71" w14:textId="028BCE15" w:rsidR="007E365E" w:rsidRPr="00173B02" w:rsidRDefault="007E365E" w:rsidP="007E365E">
      <w:pPr>
        <w:pStyle w:val="Caption"/>
        <w:ind w:left="1360" w:hanging="1360"/>
      </w:pPr>
      <w:bookmarkStart w:id="45" w:name="_Ref2593860"/>
      <w:r w:rsidRPr="00173B02">
        <w:t>Table</w:t>
      </w:r>
      <w:r>
        <w:t> 19</w:t>
      </w:r>
      <w:r>
        <w:noBreakHyphen/>
      </w:r>
      <w:fldSimple w:instr=" SEQ Table \* ARABIC ">
        <w:r w:rsidR="007F721A">
          <w:rPr>
            <w:noProof/>
          </w:rPr>
          <w:t>10</w:t>
        </w:r>
      </w:fldSimple>
      <w:bookmarkEnd w:id="45"/>
      <w:r>
        <w:rPr>
          <w:noProof/>
        </w:rPr>
        <w:tab/>
      </w:r>
      <w:r w:rsidRPr="00173B02">
        <w:t>Socio-demographic groups used in criminal courts and prisons assessments</w:t>
      </w:r>
    </w:p>
    <w:tbl>
      <w:tblPr>
        <w:tblW w:w="8919" w:type="dxa"/>
        <w:tblBorders>
          <w:top w:val="single" w:sz="4" w:space="0" w:color="ADD6EA"/>
          <w:bottom w:val="single" w:sz="4" w:space="0" w:color="ADD6EA"/>
          <w:insideH w:val="single" w:sz="4" w:space="0" w:color="ADD6EA"/>
        </w:tblBorders>
        <w:tblLayout w:type="fixed"/>
        <w:tblCellMar>
          <w:left w:w="0" w:type="dxa"/>
          <w:right w:w="0" w:type="dxa"/>
        </w:tblCellMar>
        <w:tblLook w:val="04A0" w:firstRow="1" w:lastRow="0" w:firstColumn="1" w:lastColumn="0" w:noHBand="0" w:noVBand="1"/>
      </w:tblPr>
      <w:tblGrid>
        <w:gridCol w:w="2919"/>
        <w:gridCol w:w="3121"/>
        <w:gridCol w:w="906"/>
        <w:gridCol w:w="1973"/>
      </w:tblGrid>
      <w:tr w:rsidR="007E365E" w:rsidRPr="00173B02" w14:paraId="5680EBEE" w14:textId="77777777" w:rsidTr="007D1D77">
        <w:trPr>
          <w:trHeight w:val="380"/>
        </w:trPr>
        <w:tc>
          <w:tcPr>
            <w:tcW w:w="6040" w:type="dxa"/>
            <w:gridSpan w:val="2"/>
            <w:tcBorders>
              <w:bottom w:val="single" w:sz="4" w:space="0" w:color="ADD6EA"/>
              <w:right w:val="single" w:sz="4" w:space="0" w:color="ADD6EA"/>
            </w:tcBorders>
            <w:shd w:val="clear" w:color="auto" w:fill="006991"/>
            <w:noWrap/>
            <w:vAlign w:val="center"/>
            <w:hideMark/>
          </w:tcPr>
          <w:p w14:paraId="031FF7C8" w14:textId="77777777" w:rsidR="007E365E" w:rsidRPr="00173B02" w:rsidRDefault="007E365E" w:rsidP="007D1D77">
            <w:pPr>
              <w:pStyle w:val="CGCTableheader"/>
              <w:keepNext/>
              <w:keepLines/>
              <w:rPr>
                <w:lang w:eastAsia="en-AU"/>
              </w:rPr>
            </w:pPr>
            <w:bookmarkStart w:id="46" w:name="RANGE!A2:D12"/>
            <w:r w:rsidRPr="00173B02">
              <w:rPr>
                <w:lang w:eastAsia="en-AU"/>
              </w:rPr>
              <w:t xml:space="preserve">Indigenous status and </w:t>
            </w:r>
            <w:bookmarkEnd w:id="46"/>
            <w:r w:rsidRPr="00173B02">
              <w:rPr>
                <w:lang w:eastAsia="en-AU"/>
              </w:rPr>
              <w:t>socio-economic status (a)</w:t>
            </w:r>
          </w:p>
        </w:tc>
        <w:tc>
          <w:tcPr>
            <w:tcW w:w="906" w:type="dxa"/>
            <w:tcBorders>
              <w:left w:val="single" w:sz="4" w:space="0" w:color="ADD6EA"/>
              <w:bottom w:val="single" w:sz="4" w:space="0" w:color="ADD6EA"/>
            </w:tcBorders>
            <w:shd w:val="clear" w:color="auto" w:fill="006991"/>
            <w:noWrap/>
            <w:vAlign w:val="center"/>
            <w:hideMark/>
          </w:tcPr>
          <w:p w14:paraId="7C716841" w14:textId="77777777" w:rsidR="007E365E" w:rsidRPr="00173B02" w:rsidRDefault="007E365E" w:rsidP="007D1D77">
            <w:pPr>
              <w:pStyle w:val="CGCTableheader"/>
              <w:keepNext/>
              <w:keepLines/>
              <w:rPr>
                <w:lang w:eastAsia="en-AU"/>
              </w:rPr>
            </w:pPr>
            <w:r w:rsidRPr="00173B02">
              <w:rPr>
                <w:lang w:eastAsia="en-AU"/>
              </w:rPr>
              <w:t xml:space="preserve"> </w:t>
            </w:r>
          </w:p>
        </w:tc>
        <w:tc>
          <w:tcPr>
            <w:tcW w:w="1973" w:type="dxa"/>
            <w:tcBorders>
              <w:bottom w:val="single" w:sz="4" w:space="0" w:color="ADD6EA"/>
            </w:tcBorders>
            <w:shd w:val="clear" w:color="auto" w:fill="006991"/>
            <w:noWrap/>
            <w:vAlign w:val="center"/>
            <w:hideMark/>
          </w:tcPr>
          <w:p w14:paraId="25B97316" w14:textId="77777777" w:rsidR="007E365E" w:rsidRPr="00173B02" w:rsidRDefault="007E365E" w:rsidP="007D1D77">
            <w:pPr>
              <w:pStyle w:val="CGCTableheader"/>
              <w:keepNext/>
              <w:keepLines/>
              <w:rPr>
                <w:lang w:eastAsia="en-AU"/>
              </w:rPr>
            </w:pPr>
            <w:r w:rsidRPr="00173B02">
              <w:rPr>
                <w:lang w:eastAsia="en-AU"/>
              </w:rPr>
              <w:t>Age</w:t>
            </w:r>
          </w:p>
        </w:tc>
      </w:tr>
      <w:tr w:rsidR="007E365E" w:rsidRPr="00173B02" w14:paraId="499E7F52" w14:textId="77777777" w:rsidTr="007D1D77">
        <w:trPr>
          <w:trHeight w:val="317"/>
        </w:trPr>
        <w:tc>
          <w:tcPr>
            <w:tcW w:w="2919" w:type="dxa"/>
            <w:tcBorders>
              <w:bottom w:val="nil"/>
            </w:tcBorders>
            <w:shd w:val="clear" w:color="auto" w:fill="auto"/>
            <w:noWrap/>
            <w:vAlign w:val="bottom"/>
            <w:hideMark/>
          </w:tcPr>
          <w:p w14:paraId="2AE7FA9B" w14:textId="77777777" w:rsidR="007E365E" w:rsidRPr="00173B02" w:rsidRDefault="007E365E" w:rsidP="007D1D77">
            <w:pPr>
              <w:pStyle w:val="CGCTablerow"/>
              <w:keepNext/>
              <w:keepLines/>
              <w:rPr>
                <w:lang w:eastAsia="en-AU"/>
              </w:rPr>
            </w:pPr>
            <w:r w:rsidRPr="00173B02">
              <w:rPr>
                <w:lang w:eastAsia="en-AU"/>
              </w:rPr>
              <w:t>Indigenous (IRSEO)</w:t>
            </w:r>
          </w:p>
        </w:tc>
        <w:tc>
          <w:tcPr>
            <w:tcW w:w="3121" w:type="dxa"/>
            <w:tcBorders>
              <w:bottom w:val="nil"/>
              <w:right w:val="single" w:sz="4" w:space="0" w:color="ADD6EA"/>
            </w:tcBorders>
            <w:shd w:val="clear" w:color="auto" w:fill="auto"/>
            <w:noWrap/>
            <w:vAlign w:val="bottom"/>
            <w:hideMark/>
          </w:tcPr>
          <w:p w14:paraId="2085CA6D" w14:textId="77777777" w:rsidR="007E365E" w:rsidRPr="00173B02" w:rsidRDefault="007E365E" w:rsidP="007D1D77">
            <w:pPr>
              <w:pStyle w:val="CGCTablerow"/>
              <w:keepNext/>
              <w:keepLines/>
              <w:rPr>
                <w:lang w:eastAsia="en-AU"/>
              </w:rPr>
            </w:pPr>
            <w:r w:rsidRPr="00173B02">
              <w:rPr>
                <w:lang w:eastAsia="en-AU"/>
              </w:rPr>
              <w:t>Most disadvantaged (20%)</w:t>
            </w:r>
          </w:p>
        </w:tc>
        <w:tc>
          <w:tcPr>
            <w:tcW w:w="906" w:type="dxa"/>
            <w:tcBorders>
              <w:left w:val="single" w:sz="4" w:space="0" w:color="ADD6EA"/>
              <w:bottom w:val="nil"/>
            </w:tcBorders>
            <w:shd w:val="clear" w:color="auto" w:fill="auto"/>
            <w:noWrap/>
            <w:vAlign w:val="bottom"/>
            <w:hideMark/>
          </w:tcPr>
          <w:p w14:paraId="47B38154" w14:textId="77777777" w:rsidR="007E365E" w:rsidRPr="00173B02" w:rsidRDefault="007E365E" w:rsidP="007D1D77">
            <w:pPr>
              <w:pStyle w:val="CGCTablerow"/>
              <w:keepNext/>
              <w:keepLines/>
              <w:rPr>
                <w:lang w:eastAsia="en-AU"/>
              </w:rPr>
            </w:pPr>
          </w:p>
        </w:tc>
        <w:tc>
          <w:tcPr>
            <w:tcW w:w="1973" w:type="dxa"/>
            <w:tcBorders>
              <w:bottom w:val="nil"/>
            </w:tcBorders>
            <w:shd w:val="clear" w:color="auto" w:fill="auto"/>
            <w:noWrap/>
            <w:vAlign w:val="bottom"/>
            <w:hideMark/>
          </w:tcPr>
          <w:p w14:paraId="4C75432A" w14:textId="77777777" w:rsidR="007E365E" w:rsidRPr="00173B02" w:rsidRDefault="007E365E" w:rsidP="007D1D77">
            <w:pPr>
              <w:pStyle w:val="CGCTablerow"/>
              <w:keepNext/>
              <w:keepLines/>
              <w:rPr>
                <w:lang w:eastAsia="en-AU"/>
              </w:rPr>
            </w:pPr>
            <w:r w:rsidRPr="00173B02">
              <w:rPr>
                <w:lang w:eastAsia="en-AU"/>
              </w:rPr>
              <w:t>0-14</w:t>
            </w:r>
          </w:p>
        </w:tc>
      </w:tr>
      <w:tr w:rsidR="007E365E" w:rsidRPr="00173B02" w14:paraId="43627120" w14:textId="77777777" w:rsidTr="007D1D77">
        <w:trPr>
          <w:trHeight w:val="317"/>
        </w:trPr>
        <w:tc>
          <w:tcPr>
            <w:tcW w:w="2919" w:type="dxa"/>
            <w:tcBorders>
              <w:top w:val="nil"/>
              <w:bottom w:val="nil"/>
            </w:tcBorders>
            <w:shd w:val="clear" w:color="auto" w:fill="auto"/>
            <w:noWrap/>
            <w:vAlign w:val="bottom"/>
            <w:hideMark/>
          </w:tcPr>
          <w:p w14:paraId="60873731" w14:textId="77777777" w:rsidR="007E365E" w:rsidRPr="00173B02" w:rsidRDefault="007E365E" w:rsidP="007D1D77">
            <w:pPr>
              <w:pStyle w:val="CGCTablerow"/>
              <w:keepNext/>
              <w:keepLines/>
              <w:rPr>
                <w:lang w:eastAsia="en-AU"/>
              </w:rPr>
            </w:pPr>
          </w:p>
        </w:tc>
        <w:tc>
          <w:tcPr>
            <w:tcW w:w="3121" w:type="dxa"/>
            <w:tcBorders>
              <w:top w:val="nil"/>
              <w:bottom w:val="nil"/>
              <w:right w:val="single" w:sz="4" w:space="0" w:color="ADD6EA"/>
            </w:tcBorders>
            <w:shd w:val="clear" w:color="auto" w:fill="auto"/>
            <w:noWrap/>
            <w:vAlign w:val="bottom"/>
            <w:hideMark/>
          </w:tcPr>
          <w:p w14:paraId="3E5D3ACD" w14:textId="77777777" w:rsidR="007E365E" w:rsidRPr="00173B02" w:rsidRDefault="007E365E" w:rsidP="007D1D77">
            <w:pPr>
              <w:pStyle w:val="CGCTablerow"/>
              <w:keepNext/>
              <w:keepLines/>
              <w:rPr>
                <w:lang w:eastAsia="en-AU"/>
              </w:rPr>
            </w:pPr>
            <w:r w:rsidRPr="00173B02">
              <w:rPr>
                <w:lang w:eastAsia="en-AU"/>
              </w:rPr>
              <w:t>2nd most disadvantaged (20%)</w:t>
            </w:r>
          </w:p>
        </w:tc>
        <w:tc>
          <w:tcPr>
            <w:tcW w:w="906" w:type="dxa"/>
            <w:tcBorders>
              <w:top w:val="nil"/>
              <w:left w:val="single" w:sz="4" w:space="0" w:color="ADD6EA"/>
              <w:bottom w:val="nil"/>
            </w:tcBorders>
            <w:shd w:val="clear" w:color="auto" w:fill="auto"/>
            <w:noWrap/>
            <w:vAlign w:val="bottom"/>
            <w:hideMark/>
          </w:tcPr>
          <w:p w14:paraId="19A5A8CF" w14:textId="77777777" w:rsidR="007E365E" w:rsidRPr="00173B02" w:rsidRDefault="007E365E" w:rsidP="007D1D77">
            <w:pPr>
              <w:pStyle w:val="CGCTablerow"/>
              <w:keepNext/>
              <w:keepLines/>
              <w:rPr>
                <w:lang w:eastAsia="en-AU"/>
              </w:rPr>
            </w:pPr>
            <w:r w:rsidRPr="00173B02">
              <w:rPr>
                <w:lang w:eastAsia="en-AU"/>
              </w:rPr>
              <w:t xml:space="preserve"> </w:t>
            </w:r>
          </w:p>
        </w:tc>
        <w:tc>
          <w:tcPr>
            <w:tcW w:w="1973" w:type="dxa"/>
            <w:tcBorders>
              <w:top w:val="nil"/>
              <w:bottom w:val="nil"/>
            </w:tcBorders>
            <w:shd w:val="clear" w:color="auto" w:fill="auto"/>
            <w:noWrap/>
            <w:vAlign w:val="bottom"/>
            <w:hideMark/>
          </w:tcPr>
          <w:p w14:paraId="0349DAFB" w14:textId="77777777" w:rsidR="007E365E" w:rsidRPr="00173B02" w:rsidRDefault="007E365E" w:rsidP="007D1D77">
            <w:pPr>
              <w:pStyle w:val="CGCTablerow"/>
              <w:keepNext/>
              <w:keepLines/>
              <w:rPr>
                <w:lang w:eastAsia="en-AU"/>
              </w:rPr>
            </w:pPr>
            <w:r w:rsidRPr="00173B02">
              <w:rPr>
                <w:lang w:eastAsia="en-AU"/>
              </w:rPr>
              <w:t>15-24</w:t>
            </w:r>
          </w:p>
        </w:tc>
      </w:tr>
      <w:tr w:rsidR="007E365E" w:rsidRPr="00173B02" w14:paraId="166EED7A" w14:textId="77777777" w:rsidTr="007D1D77">
        <w:trPr>
          <w:trHeight w:val="317"/>
        </w:trPr>
        <w:tc>
          <w:tcPr>
            <w:tcW w:w="2919" w:type="dxa"/>
            <w:tcBorders>
              <w:top w:val="nil"/>
              <w:bottom w:val="nil"/>
            </w:tcBorders>
            <w:shd w:val="clear" w:color="auto" w:fill="auto"/>
            <w:noWrap/>
            <w:vAlign w:val="bottom"/>
            <w:hideMark/>
          </w:tcPr>
          <w:p w14:paraId="329ABD55" w14:textId="77777777" w:rsidR="007E365E" w:rsidRPr="00173B02" w:rsidRDefault="007E365E" w:rsidP="007D1D77">
            <w:pPr>
              <w:pStyle w:val="CGCTablerow"/>
              <w:keepNext/>
              <w:keepLines/>
              <w:rPr>
                <w:lang w:eastAsia="en-AU"/>
              </w:rPr>
            </w:pPr>
          </w:p>
        </w:tc>
        <w:tc>
          <w:tcPr>
            <w:tcW w:w="3121" w:type="dxa"/>
            <w:tcBorders>
              <w:top w:val="nil"/>
              <w:bottom w:val="nil"/>
              <w:right w:val="single" w:sz="4" w:space="0" w:color="ADD6EA"/>
            </w:tcBorders>
            <w:shd w:val="clear" w:color="auto" w:fill="auto"/>
            <w:noWrap/>
            <w:vAlign w:val="bottom"/>
            <w:hideMark/>
          </w:tcPr>
          <w:p w14:paraId="755E3526" w14:textId="77777777" w:rsidR="007E365E" w:rsidRPr="00173B02" w:rsidRDefault="007E365E" w:rsidP="007D1D77">
            <w:pPr>
              <w:pStyle w:val="CGCTablerow"/>
              <w:keepNext/>
              <w:keepLines/>
              <w:rPr>
                <w:lang w:eastAsia="en-AU"/>
              </w:rPr>
            </w:pPr>
            <w:r w:rsidRPr="00173B02">
              <w:rPr>
                <w:lang w:eastAsia="en-AU"/>
              </w:rPr>
              <w:t>Middle quintile (20%)</w:t>
            </w:r>
          </w:p>
        </w:tc>
        <w:tc>
          <w:tcPr>
            <w:tcW w:w="906" w:type="dxa"/>
            <w:tcBorders>
              <w:top w:val="nil"/>
              <w:left w:val="single" w:sz="4" w:space="0" w:color="ADD6EA"/>
              <w:bottom w:val="nil"/>
            </w:tcBorders>
            <w:shd w:val="clear" w:color="auto" w:fill="auto"/>
            <w:noWrap/>
            <w:vAlign w:val="bottom"/>
            <w:hideMark/>
          </w:tcPr>
          <w:p w14:paraId="3A29F9C0" w14:textId="77777777" w:rsidR="007E365E" w:rsidRPr="00173B02" w:rsidRDefault="007E365E" w:rsidP="007D1D77">
            <w:pPr>
              <w:pStyle w:val="CGCTablerow"/>
              <w:keepNext/>
              <w:keepLines/>
              <w:rPr>
                <w:lang w:eastAsia="en-AU"/>
              </w:rPr>
            </w:pPr>
          </w:p>
        </w:tc>
        <w:tc>
          <w:tcPr>
            <w:tcW w:w="1973" w:type="dxa"/>
            <w:tcBorders>
              <w:top w:val="nil"/>
              <w:bottom w:val="nil"/>
            </w:tcBorders>
            <w:shd w:val="clear" w:color="auto" w:fill="auto"/>
            <w:noWrap/>
            <w:vAlign w:val="bottom"/>
            <w:hideMark/>
          </w:tcPr>
          <w:p w14:paraId="775F19D5" w14:textId="77777777" w:rsidR="007E365E" w:rsidRPr="00173B02" w:rsidRDefault="007E365E" w:rsidP="007D1D77">
            <w:pPr>
              <w:pStyle w:val="CGCTablerow"/>
              <w:keepNext/>
              <w:keepLines/>
              <w:rPr>
                <w:lang w:eastAsia="en-AU"/>
              </w:rPr>
            </w:pPr>
            <w:r w:rsidRPr="00173B02">
              <w:rPr>
                <w:lang w:eastAsia="en-AU"/>
              </w:rPr>
              <w:t>25-44</w:t>
            </w:r>
          </w:p>
        </w:tc>
      </w:tr>
      <w:tr w:rsidR="007E365E" w:rsidRPr="00173B02" w14:paraId="42F645CE" w14:textId="77777777" w:rsidTr="007D1D77">
        <w:trPr>
          <w:trHeight w:val="317"/>
        </w:trPr>
        <w:tc>
          <w:tcPr>
            <w:tcW w:w="2919" w:type="dxa"/>
            <w:tcBorders>
              <w:top w:val="nil"/>
              <w:bottom w:val="nil"/>
            </w:tcBorders>
            <w:shd w:val="clear" w:color="auto" w:fill="auto"/>
            <w:noWrap/>
            <w:vAlign w:val="bottom"/>
            <w:hideMark/>
          </w:tcPr>
          <w:p w14:paraId="389926C8" w14:textId="77777777" w:rsidR="007E365E" w:rsidRPr="00173B02" w:rsidRDefault="007E365E" w:rsidP="007D1D77">
            <w:pPr>
              <w:pStyle w:val="CGCTablerow"/>
              <w:keepNext/>
              <w:keepLines/>
              <w:rPr>
                <w:lang w:eastAsia="en-AU"/>
              </w:rPr>
            </w:pPr>
          </w:p>
        </w:tc>
        <w:tc>
          <w:tcPr>
            <w:tcW w:w="3121" w:type="dxa"/>
            <w:tcBorders>
              <w:top w:val="nil"/>
              <w:bottom w:val="nil"/>
              <w:right w:val="single" w:sz="4" w:space="0" w:color="ADD6EA"/>
            </w:tcBorders>
            <w:shd w:val="clear" w:color="auto" w:fill="auto"/>
            <w:noWrap/>
            <w:vAlign w:val="bottom"/>
            <w:hideMark/>
          </w:tcPr>
          <w:p w14:paraId="667188BE" w14:textId="77777777" w:rsidR="007E365E" w:rsidRPr="00173B02" w:rsidRDefault="007E365E" w:rsidP="007D1D77">
            <w:pPr>
              <w:pStyle w:val="CGCTablerow"/>
              <w:keepNext/>
              <w:keepLines/>
              <w:rPr>
                <w:lang w:eastAsia="en-AU"/>
              </w:rPr>
            </w:pPr>
            <w:r w:rsidRPr="00173B02">
              <w:rPr>
                <w:lang w:eastAsia="en-AU"/>
              </w:rPr>
              <w:t>2nd least disadvantaged (20%)</w:t>
            </w:r>
          </w:p>
        </w:tc>
        <w:tc>
          <w:tcPr>
            <w:tcW w:w="906" w:type="dxa"/>
            <w:tcBorders>
              <w:top w:val="nil"/>
              <w:left w:val="single" w:sz="4" w:space="0" w:color="ADD6EA"/>
              <w:bottom w:val="nil"/>
            </w:tcBorders>
            <w:shd w:val="clear" w:color="auto" w:fill="auto"/>
            <w:noWrap/>
            <w:vAlign w:val="bottom"/>
            <w:hideMark/>
          </w:tcPr>
          <w:p w14:paraId="2C97C2CE" w14:textId="77777777" w:rsidR="007E365E" w:rsidRPr="00173B02" w:rsidRDefault="007E365E" w:rsidP="007D1D77">
            <w:pPr>
              <w:pStyle w:val="CGCTablerow"/>
              <w:keepNext/>
              <w:keepLines/>
              <w:rPr>
                <w:lang w:eastAsia="en-AU"/>
              </w:rPr>
            </w:pPr>
          </w:p>
        </w:tc>
        <w:tc>
          <w:tcPr>
            <w:tcW w:w="1973" w:type="dxa"/>
            <w:tcBorders>
              <w:top w:val="nil"/>
              <w:bottom w:val="nil"/>
            </w:tcBorders>
            <w:shd w:val="clear" w:color="auto" w:fill="auto"/>
            <w:noWrap/>
            <w:vAlign w:val="bottom"/>
            <w:hideMark/>
          </w:tcPr>
          <w:p w14:paraId="5519343F" w14:textId="77777777" w:rsidR="007E365E" w:rsidRPr="00173B02" w:rsidRDefault="007E365E" w:rsidP="007D1D77">
            <w:pPr>
              <w:pStyle w:val="CGCTablerow"/>
              <w:keepNext/>
              <w:keepLines/>
              <w:rPr>
                <w:lang w:eastAsia="en-AU"/>
              </w:rPr>
            </w:pPr>
            <w:r w:rsidRPr="00173B02">
              <w:rPr>
                <w:lang w:eastAsia="en-AU"/>
              </w:rPr>
              <w:t>45-64</w:t>
            </w:r>
          </w:p>
        </w:tc>
      </w:tr>
      <w:tr w:rsidR="007E365E" w:rsidRPr="00173B02" w14:paraId="2B50B847" w14:textId="77777777" w:rsidTr="007D1D77">
        <w:trPr>
          <w:trHeight w:val="317"/>
        </w:trPr>
        <w:tc>
          <w:tcPr>
            <w:tcW w:w="2919" w:type="dxa"/>
            <w:tcBorders>
              <w:top w:val="nil"/>
              <w:bottom w:val="nil"/>
            </w:tcBorders>
            <w:shd w:val="clear" w:color="auto" w:fill="auto"/>
            <w:noWrap/>
            <w:vAlign w:val="bottom"/>
            <w:hideMark/>
          </w:tcPr>
          <w:p w14:paraId="7CE0BF68" w14:textId="77777777" w:rsidR="007E365E" w:rsidRPr="00173B02" w:rsidRDefault="007E365E" w:rsidP="007D1D77">
            <w:pPr>
              <w:pStyle w:val="CGCTablerow"/>
              <w:keepNext/>
              <w:keepLines/>
              <w:rPr>
                <w:lang w:eastAsia="en-AU"/>
              </w:rPr>
            </w:pPr>
          </w:p>
        </w:tc>
        <w:tc>
          <w:tcPr>
            <w:tcW w:w="3121" w:type="dxa"/>
            <w:tcBorders>
              <w:top w:val="nil"/>
              <w:bottom w:val="nil"/>
              <w:right w:val="single" w:sz="4" w:space="0" w:color="ADD6EA"/>
            </w:tcBorders>
            <w:shd w:val="clear" w:color="auto" w:fill="auto"/>
            <w:noWrap/>
            <w:vAlign w:val="bottom"/>
            <w:hideMark/>
          </w:tcPr>
          <w:p w14:paraId="551BF53C" w14:textId="77777777" w:rsidR="007E365E" w:rsidRPr="00173B02" w:rsidRDefault="007E365E" w:rsidP="007D1D77">
            <w:pPr>
              <w:pStyle w:val="CGCTablerow"/>
              <w:keepNext/>
              <w:keepLines/>
              <w:rPr>
                <w:lang w:eastAsia="en-AU"/>
              </w:rPr>
            </w:pPr>
            <w:r w:rsidRPr="00173B02">
              <w:rPr>
                <w:lang w:eastAsia="en-AU"/>
              </w:rPr>
              <w:t>Least disadvantaged (20%)</w:t>
            </w:r>
          </w:p>
        </w:tc>
        <w:tc>
          <w:tcPr>
            <w:tcW w:w="906" w:type="dxa"/>
            <w:tcBorders>
              <w:top w:val="nil"/>
              <w:left w:val="single" w:sz="4" w:space="0" w:color="ADD6EA"/>
              <w:bottom w:val="nil"/>
            </w:tcBorders>
            <w:shd w:val="clear" w:color="auto" w:fill="auto"/>
            <w:noWrap/>
            <w:vAlign w:val="bottom"/>
            <w:hideMark/>
          </w:tcPr>
          <w:p w14:paraId="2C9BF3C3" w14:textId="77777777" w:rsidR="007E365E" w:rsidRPr="00173B02" w:rsidRDefault="007E365E" w:rsidP="007D1D77">
            <w:pPr>
              <w:pStyle w:val="CGCTablerow"/>
              <w:keepNext/>
              <w:keepLines/>
              <w:rPr>
                <w:lang w:eastAsia="en-AU"/>
              </w:rPr>
            </w:pPr>
          </w:p>
        </w:tc>
        <w:tc>
          <w:tcPr>
            <w:tcW w:w="1973" w:type="dxa"/>
            <w:tcBorders>
              <w:top w:val="nil"/>
              <w:bottom w:val="nil"/>
            </w:tcBorders>
            <w:shd w:val="clear" w:color="auto" w:fill="auto"/>
            <w:noWrap/>
            <w:vAlign w:val="bottom"/>
            <w:hideMark/>
          </w:tcPr>
          <w:p w14:paraId="75E34811" w14:textId="77777777" w:rsidR="007E365E" w:rsidRPr="00173B02" w:rsidRDefault="007E365E" w:rsidP="007D1D77">
            <w:pPr>
              <w:pStyle w:val="CGCTablerow"/>
              <w:keepNext/>
              <w:keepLines/>
              <w:rPr>
                <w:lang w:eastAsia="en-AU"/>
              </w:rPr>
            </w:pPr>
            <w:r w:rsidRPr="00173B02">
              <w:rPr>
                <w:lang w:eastAsia="en-AU"/>
              </w:rPr>
              <w:t>65+</w:t>
            </w:r>
          </w:p>
        </w:tc>
      </w:tr>
      <w:tr w:rsidR="007E365E" w:rsidRPr="00173B02" w14:paraId="31DE9D4F" w14:textId="77777777" w:rsidTr="007D1D77">
        <w:trPr>
          <w:trHeight w:val="317"/>
        </w:trPr>
        <w:tc>
          <w:tcPr>
            <w:tcW w:w="2919" w:type="dxa"/>
            <w:tcBorders>
              <w:top w:val="nil"/>
              <w:bottom w:val="nil"/>
            </w:tcBorders>
            <w:shd w:val="clear" w:color="auto" w:fill="auto"/>
            <w:noWrap/>
            <w:vAlign w:val="bottom"/>
            <w:hideMark/>
          </w:tcPr>
          <w:p w14:paraId="52BA3842" w14:textId="77777777" w:rsidR="007E365E" w:rsidRPr="00173B02" w:rsidRDefault="007E365E" w:rsidP="007D1D77">
            <w:pPr>
              <w:pStyle w:val="CGCTablerow"/>
              <w:keepNext/>
              <w:keepLines/>
              <w:rPr>
                <w:lang w:eastAsia="en-AU"/>
              </w:rPr>
            </w:pPr>
            <w:r w:rsidRPr="00173B02">
              <w:rPr>
                <w:lang w:eastAsia="en-AU"/>
              </w:rPr>
              <w:t>Non-Indigenous (NISEIFA)</w:t>
            </w:r>
          </w:p>
        </w:tc>
        <w:tc>
          <w:tcPr>
            <w:tcW w:w="3121" w:type="dxa"/>
            <w:tcBorders>
              <w:top w:val="nil"/>
              <w:bottom w:val="nil"/>
              <w:right w:val="single" w:sz="4" w:space="0" w:color="ADD6EA"/>
            </w:tcBorders>
            <w:shd w:val="clear" w:color="auto" w:fill="auto"/>
            <w:noWrap/>
            <w:vAlign w:val="bottom"/>
            <w:hideMark/>
          </w:tcPr>
          <w:p w14:paraId="4D0D2C38" w14:textId="77777777" w:rsidR="007E365E" w:rsidRPr="00173B02" w:rsidRDefault="007E365E" w:rsidP="007D1D77">
            <w:pPr>
              <w:pStyle w:val="CGCTablerow"/>
              <w:keepNext/>
              <w:keepLines/>
              <w:rPr>
                <w:lang w:eastAsia="en-AU"/>
              </w:rPr>
            </w:pPr>
            <w:r w:rsidRPr="00173B02">
              <w:rPr>
                <w:lang w:eastAsia="en-AU"/>
              </w:rPr>
              <w:t>Most disadvantaged (20%)</w:t>
            </w:r>
          </w:p>
        </w:tc>
        <w:tc>
          <w:tcPr>
            <w:tcW w:w="906" w:type="dxa"/>
            <w:tcBorders>
              <w:top w:val="nil"/>
              <w:left w:val="single" w:sz="4" w:space="0" w:color="ADD6EA"/>
              <w:bottom w:val="nil"/>
            </w:tcBorders>
            <w:shd w:val="clear" w:color="auto" w:fill="auto"/>
            <w:noWrap/>
            <w:vAlign w:val="bottom"/>
            <w:hideMark/>
          </w:tcPr>
          <w:p w14:paraId="0D663DEF" w14:textId="77777777" w:rsidR="007E365E" w:rsidRPr="00173B02" w:rsidRDefault="007E365E" w:rsidP="007D1D77">
            <w:pPr>
              <w:pStyle w:val="CGCTablerow"/>
              <w:keepNext/>
              <w:keepLines/>
              <w:rPr>
                <w:lang w:eastAsia="en-AU"/>
              </w:rPr>
            </w:pPr>
          </w:p>
        </w:tc>
        <w:tc>
          <w:tcPr>
            <w:tcW w:w="1973" w:type="dxa"/>
            <w:tcBorders>
              <w:top w:val="nil"/>
              <w:bottom w:val="nil"/>
            </w:tcBorders>
            <w:shd w:val="clear" w:color="auto" w:fill="auto"/>
            <w:noWrap/>
            <w:vAlign w:val="bottom"/>
            <w:hideMark/>
          </w:tcPr>
          <w:p w14:paraId="2662A848" w14:textId="77777777" w:rsidR="007E365E" w:rsidRPr="00173B02" w:rsidRDefault="007E365E" w:rsidP="007D1D77">
            <w:pPr>
              <w:pStyle w:val="CGCTablerow"/>
              <w:keepNext/>
              <w:keepLines/>
              <w:rPr>
                <w:rFonts w:ascii="Times New Roman" w:hAnsi="Times New Roman" w:cs="Times New Roman"/>
                <w:lang w:eastAsia="en-AU"/>
              </w:rPr>
            </w:pPr>
          </w:p>
        </w:tc>
      </w:tr>
      <w:tr w:rsidR="007E365E" w:rsidRPr="00173B02" w14:paraId="46D73A7E" w14:textId="77777777" w:rsidTr="007D1D77">
        <w:trPr>
          <w:trHeight w:val="317"/>
        </w:trPr>
        <w:tc>
          <w:tcPr>
            <w:tcW w:w="2919" w:type="dxa"/>
            <w:tcBorders>
              <w:top w:val="nil"/>
              <w:bottom w:val="nil"/>
            </w:tcBorders>
            <w:shd w:val="clear" w:color="auto" w:fill="auto"/>
            <w:noWrap/>
            <w:vAlign w:val="bottom"/>
            <w:hideMark/>
          </w:tcPr>
          <w:p w14:paraId="4445C0A8" w14:textId="77777777" w:rsidR="007E365E" w:rsidRPr="00173B02" w:rsidRDefault="007E365E" w:rsidP="007D1D77">
            <w:pPr>
              <w:pStyle w:val="CGCTablerow"/>
              <w:keepNext/>
              <w:keepLines/>
              <w:rPr>
                <w:rFonts w:ascii="Times New Roman" w:hAnsi="Times New Roman" w:cs="Times New Roman"/>
                <w:lang w:eastAsia="en-AU"/>
              </w:rPr>
            </w:pPr>
          </w:p>
        </w:tc>
        <w:tc>
          <w:tcPr>
            <w:tcW w:w="3121" w:type="dxa"/>
            <w:tcBorders>
              <w:top w:val="nil"/>
              <w:bottom w:val="nil"/>
              <w:right w:val="single" w:sz="4" w:space="0" w:color="ADD6EA"/>
            </w:tcBorders>
            <w:shd w:val="clear" w:color="auto" w:fill="auto"/>
            <w:noWrap/>
            <w:vAlign w:val="bottom"/>
            <w:hideMark/>
          </w:tcPr>
          <w:p w14:paraId="42FCC885" w14:textId="77777777" w:rsidR="007E365E" w:rsidRPr="00173B02" w:rsidRDefault="007E365E" w:rsidP="007D1D77">
            <w:pPr>
              <w:pStyle w:val="CGCTablerow"/>
              <w:keepNext/>
              <w:keepLines/>
              <w:rPr>
                <w:lang w:eastAsia="en-AU"/>
              </w:rPr>
            </w:pPr>
            <w:r w:rsidRPr="00173B02">
              <w:rPr>
                <w:lang w:eastAsia="en-AU"/>
              </w:rPr>
              <w:t>2nd most disadvantaged (20%)</w:t>
            </w:r>
          </w:p>
        </w:tc>
        <w:tc>
          <w:tcPr>
            <w:tcW w:w="906" w:type="dxa"/>
            <w:tcBorders>
              <w:top w:val="nil"/>
              <w:left w:val="single" w:sz="4" w:space="0" w:color="ADD6EA"/>
              <w:bottom w:val="nil"/>
            </w:tcBorders>
            <w:shd w:val="clear" w:color="auto" w:fill="auto"/>
            <w:noWrap/>
            <w:vAlign w:val="bottom"/>
            <w:hideMark/>
          </w:tcPr>
          <w:p w14:paraId="76A567D6" w14:textId="77777777" w:rsidR="007E365E" w:rsidRPr="00173B02" w:rsidRDefault="007E365E" w:rsidP="007D1D77">
            <w:pPr>
              <w:pStyle w:val="CGCTablerow"/>
              <w:keepNext/>
              <w:keepLines/>
              <w:rPr>
                <w:lang w:eastAsia="en-AU"/>
              </w:rPr>
            </w:pPr>
          </w:p>
        </w:tc>
        <w:tc>
          <w:tcPr>
            <w:tcW w:w="1973" w:type="dxa"/>
            <w:tcBorders>
              <w:top w:val="nil"/>
              <w:bottom w:val="nil"/>
            </w:tcBorders>
            <w:shd w:val="clear" w:color="auto" w:fill="auto"/>
            <w:noWrap/>
            <w:vAlign w:val="bottom"/>
            <w:hideMark/>
          </w:tcPr>
          <w:p w14:paraId="428D6E8F" w14:textId="77777777" w:rsidR="007E365E" w:rsidRPr="00173B02" w:rsidRDefault="007E365E" w:rsidP="007D1D77">
            <w:pPr>
              <w:pStyle w:val="CGCTablerow"/>
              <w:keepNext/>
              <w:keepLines/>
              <w:rPr>
                <w:rFonts w:ascii="Times New Roman" w:hAnsi="Times New Roman" w:cs="Times New Roman"/>
                <w:lang w:eastAsia="en-AU"/>
              </w:rPr>
            </w:pPr>
          </w:p>
        </w:tc>
      </w:tr>
      <w:tr w:rsidR="007E365E" w:rsidRPr="00173B02" w14:paraId="5BB90121" w14:textId="77777777" w:rsidTr="007D1D77">
        <w:trPr>
          <w:trHeight w:val="317"/>
        </w:trPr>
        <w:tc>
          <w:tcPr>
            <w:tcW w:w="2919" w:type="dxa"/>
            <w:tcBorders>
              <w:top w:val="nil"/>
              <w:bottom w:val="nil"/>
            </w:tcBorders>
            <w:shd w:val="clear" w:color="auto" w:fill="auto"/>
            <w:noWrap/>
            <w:vAlign w:val="bottom"/>
            <w:hideMark/>
          </w:tcPr>
          <w:p w14:paraId="49EBC5BF" w14:textId="77777777" w:rsidR="007E365E" w:rsidRPr="00173B02" w:rsidRDefault="007E365E" w:rsidP="007D1D77">
            <w:pPr>
              <w:pStyle w:val="CGCTablerow"/>
              <w:keepNext/>
              <w:keepLines/>
              <w:rPr>
                <w:rFonts w:ascii="Times New Roman" w:hAnsi="Times New Roman" w:cs="Times New Roman"/>
                <w:lang w:eastAsia="en-AU"/>
              </w:rPr>
            </w:pPr>
          </w:p>
        </w:tc>
        <w:tc>
          <w:tcPr>
            <w:tcW w:w="3121" w:type="dxa"/>
            <w:tcBorders>
              <w:top w:val="nil"/>
              <w:bottom w:val="nil"/>
              <w:right w:val="single" w:sz="4" w:space="0" w:color="ADD6EA"/>
            </w:tcBorders>
            <w:shd w:val="clear" w:color="auto" w:fill="auto"/>
            <w:noWrap/>
            <w:vAlign w:val="bottom"/>
            <w:hideMark/>
          </w:tcPr>
          <w:p w14:paraId="750DFF49" w14:textId="77777777" w:rsidR="007E365E" w:rsidRPr="00173B02" w:rsidRDefault="007E365E" w:rsidP="007D1D77">
            <w:pPr>
              <w:pStyle w:val="CGCTablerow"/>
              <w:keepNext/>
              <w:keepLines/>
              <w:rPr>
                <w:lang w:eastAsia="en-AU"/>
              </w:rPr>
            </w:pPr>
            <w:r w:rsidRPr="00173B02">
              <w:rPr>
                <w:lang w:eastAsia="en-AU"/>
              </w:rPr>
              <w:t>Middle quintile (20%)</w:t>
            </w:r>
          </w:p>
        </w:tc>
        <w:tc>
          <w:tcPr>
            <w:tcW w:w="906" w:type="dxa"/>
            <w:tcBorders>
              <w:top w:val="nil"/>
              <w:left w:val="single" w:sz="4" w:space="0" w:color="ADD6EA"/>
              <w:bottom w:val="nil"/>
            </w:tcBorders>
            <w:shd w:val="clear" w:color="auto" w:fill="auto"/>
            <w:noWrap/>
            <w:vAlign w:val="bottom"/>
            <w:hideMark/>
          </w:tcPr>
          <w:p w14:paraId="350777A0" w14:textId="77777777" w:rsidR="007E365E" w:rsidRPr="00173B02" w:rsidRDefault="007E365E" w:rsidP="007D1D77">
            <w:pPr>
              <w:pStyle w:val="CGCTablerow"/>
              <w:keepNext/>
              <w:keepLines/>
              <w:rPr>
                <w:lang w:eastAsia="en-AU"/>
              </w:rPr>
            </w:pPr>
          </w:p>
        </w:tc>
        <w:tc>
          <w:tcPr>
            <w:tcW w:w="1973" w:type="dxa"/>
            <w:tcBorders>
              <w:top w:val="nil"/>
              <w:bottom w:val="nil"/>
            </w:tcBorders>
            <w:shd w:val="clear" w:color="auto" w:fill="auto"/>
            <w:noWrap/>
            <w:vAlign w:val="bottom"/>
            <w:hideMark/>
          </w:tcPr>
          <w:p w14:paraId="7A85025F" w14:textId="77777777" w:rsidR="007E365E" w:rsidRPr="00173B02" w:rsidRDefault="007E365E" w:rsidP="007D1D77">
            <w:pPr>
              <w:pStyle w:val="CGCTablerow"/>
              <w:keepNext/>
              <w:keepLines/>
              <w:rPr>
                <w:rFonts w:ascii="Times New Roman" w:hAnsi="Times New Roman" w:cs="Times New Roman"/>
                <w:lang w:eastAsia="en-AU"/>
              </w:rPr>
            </w:pPr>
          </w:p>
        </w:tc>
      </w:tr>
      <w:tr w:rsidR="007E365E" w:rsidRPr="00173B02" w14:paraId="20F3A307" w14:textId="77777777" w:rsidTr="007D1D77">
        <w:trPr>
          <w:trHeight w:val="317"/>
        </w:trPr>
        <w:tc>
          <w:tcPr>
            <w:tcW w:w="2919" w:type="dxa"/>
            <w:tcBorders>
              <w:top w:val="nil"/>
              <w:bottom w:val="nil"/>
            </w:tcBorders>
            <w:shd w:val="clear" w:color="auto" w:fill="auto"/>
            <w:noWrap/>
            <w:vAlign w:val="bottom"/>
            <w:hideMark/>
          </w:tcPr>
          <w:p w14:paraId="636D2A53" w14:textId="77777777" w:rsidR="007E365E" w:rsidRPr="00173B02" w:rsidRDefault="007E365E" w:rsidP="007D1D77">
            <w:pPr>
              <w:pStyle w:val="CGCTablerow"/>
              <w:keepNext/>
              <w:keepLines/>
              <w:rPr>
                <w:rFonts w:ascii="Times New Roman" w:hAnsi="Times New Roman" w:cs="Times New Roman"/>
                <w:lang w:eastAsia="en-AU"/>
              </w:rPr>
            </w:pPr>
          </w:p>
        </w:tc>
        <w:tc>
          <w:tcPr>
            <w:tcW w:w="3121" w:type="dxa"/>
            <w:tcBorders>
              <w:top w:val="nil"/>
              <w:bottom w:val="nil"/>
              <w:right w:val="single" w:sz="4" w:space="0" w:color="ADD6EA"/>
            </w:tcBorders>
            <w:shd w:val="clear" w:color="auto" w:fill="auto"/>
            <w:noWrap/>
            <w:vAlign w:val="bottom"/>
            <w:hideMark/>
          </w:tcPr>
          <w:p w14:paraId="6DFD9C19" w14:textId="77777777" w:rsidR="007E365E" w:rsidRPr="00173B02" w:rsidRDefault="007E365E" w:rsidP="007D1D77">
            <w:pPr>
              <w:pStyle w:val="CGCTablerow"/>
              <w:keepNext/>
              <w:keepLines/>
              <w:rPr>
                <w:lang w:eastAsia="en-AU"/>
              </w:rPr>
            </w:pPr>
            <w:r w:rsidRPr="00173B02">
              <w:rPr>
                <w:lang w:eastAsia="en-AU"/>
              </w:rPr>
              <w:t>2nd least disadvantaged (20%)</w:t>
            </w:r>
          </w:p>
        </w:tc>
        <w:tc>
          <w:tcPr>
            <w:tcW w:w="906" w:type="dxa"/>
            <w:tcBorders>
              <w:top w:val="nil"/>
              <w:left w:val="single" w:sz="4" w:space="0" w:color="ADD6EA"/>
              <w:bottom w:val="nil"/>
            </w:tcBorders>
            <w:shd w:val="clear" w:color="auto" w:fill="auto"/>
            <w:noWrap/>
            <w:vAlign w:val="bottom"/>
            <w:hideMark/>
          </w:tcPr>
          <w:p w14:paraId="355A6524" w14:textId="77777777" w:rsidR="007E365E" w:rsidRPr="00173B02" w:rsidRDefault="007E365E" w:rsidP="007D1D77">
            <w:pPr>
              <w:pStyle w:val="CGCTablerow"/>
              <w:keepNext/>
              <w:keepLines/>
              <w:rPr>
                <w:lang w:eastAsia="en-AU"/>
              </w:rPr>
            </w:pPr>
          </w:p>
        </w:tc>
        <w:tc>
          <w:tcPr>
            <w:tcW w:w="1973" w:type="dxa"/>
            <w:tcBorders>
              <w:top w:val="nil"/>
              <w:bottom w:val="nil"/>
            </w:tcBorders>
            <w:shd w:val="clear" w:color="auto" w:fill="auto"/>
            <w:noWrap/>
            <w:vAlign w:val="bottom"/>
            <w:hideMark/>
          </w:tcPr>
          <w:p w14:paraId="67E6EBDE" w14:textId="77777777" w:rsidR="007E365E" w:rsidRPr="00173B02" w:rsidRDefault="007E365E" w:rsidP="007D1D77">
            <w:pPr>
              <w:pStyle w:val="CGCTablerow"/>
              <w:keepNext/>
              <w:keepLines/>
              <w:rPr>
                <w:rFonts w:ascii="Times New Roman" w:hAnsi="Times New Roman" w:cs="Times New Roman"/>
                <w:lang w:eastAsia="en-AU"/>
              </w:rPr>
            </w:pPr>
          </w:p>
        </w:tc>
      </w:tr>
      <w:tr w:rsidR="007E365E" w:rsidRPr="00173B02" w14:paraId="6705DDDA" w14:textId="77777777" w:rsidTr="007D1D77">
        <w:trPr>
          <w:trHeight w:val="317"/>
        </w:trPr>
        <w:tc>
          <w:tcPr>
            <w:tcW w:w="2919" w:type="dxa"/>
            <w:tcBorders>
              <w:top w:val="nil"/>
            </w:tcBorders>
            <w:shd w:val="clear" w:color="auto" w:fill="auto"/>
            <w:noWrap/>
            <w:vAlign w:val="bottom"/>
            <w:hideMark/>
          </w:tcPr>
          <w:p w14:paraId="3DC2154A" w14:textId="77777777" w:rsidR="007E365E" w:rsidRPr="00173B02" w:rsidRDefault="007E365E" w:rsidP="007D1D77">
            <w:pPr>
              <w:pStyle w:val="CGCTablerow"/>
              <w:keepNext/>
              <w:keepLines/>
              <w:rPr>
                <w:lang w:eastAsia="en-AU"/>
              </w:rPr>
            </w:pPr>
            <w:r w:rsidRPr="00173B02">
              <w:rPr>
                <w:lang w:eastAsia="en-AU"/>
              </w:rPr>
              <w:t> </w:t>
            </w:r>
          </w:p>
        </w:tc>
        <w:tc>
          <w:tcPr>
            <w:tcW w:w="3121" w:type="dxa"/>
            <w:tcBorders>
              <w:top w:val="nil"/>
              <w:right w:val="single" w:sz="4" w:space="0" w:color="ADD6EA"/>
            </w:tcBorders>
            <w:shd w:val="clear" w:color="auto" w:fill="auto"/>
            <w:noWrap/>
            <w:vAlign w:val="bottom"/>
            <w:hideMark/>
          </w:tcPr>
          <w:p w14:paraId="59B7983D" w14:textId="77777777" w:rsidR="007E365E" w:rsidRPr="00173B02" w:rsidRDefault="007E365E" w:rsidP="007D1D77">
            <w:pPr>
              <w:pStyle w:val="CGCTablerow"/>
              <w:keepNext/>
              <w:keepLines/>
              <w:rPr>
                <w:lang w:eastAsia="en-AU"/>
              </w:rPr>
            </w:pPr>
            <w:r w:rsidRPr="00173B02">
              <w:rPr>
                <w:lang w:eastAsia="en-AU"/>
              </w:rPr>
              <w:t>Least disadvantaged (20%)</w:t>
            </w:r>
          </w:p>
        </w:tc>
        <w:tc>
          <w:tcPr>
            <w:tcW w:w="906" w:type="dxa"/>
            <w:tcBorders>
              <w:top w:val="nil"/>
              <w:left w:val="single" w:sz="4" w:space="0" w:color="ADD6EA"/>
            </w:tcBorders>
            <w:shd w:val="clear" w:color="auto" w:fill="auto"/>
            <w:noWrap/>
            <w:vAlign w:val="bottom"/>
            <w:hideMark/>
          </w:tcPr>
          <w:p w14:paraId="73584CA0" w14:textId="77777777" w:rsidR="007E365E" w:rsidRPr="00173B02" w:rsidRDefault="007E365E" w:rsidP="007D1D77">
            <w:pPr>
              <w:pStyle w:val="CGCTablerow"/>
              <w:keepNext/>
              <w:keepLines/>
              <w:rPr>
                <w:lang w:eastAsia="en-AU"/>
              </w:rPr>
            </w:pPr>
            <w:r w:rsidRPr="00173B02">
              <w:rPr>
                <w:lang w:eastAsia="en-AU"/>
              </w:rPr>
              <w:t> </w:t>
            </w:r>
          </w:p>
        </w:tc>
        <w:tc>
          <w:tcPr>
            <w:tcW w:w="1973" w:type="dxa"/>
            <w:tcBorders>
              <w:top w:val="nil"/>
            </w:tcBorders>
            <w:shd w:val="clear" w:color="auto" w:fill="auto"/>
            <w:noWrap/>
            <w:vAlign w:val="bottom"/>
            <w:hideMark/>
          </w:tcPr>
          <w:p w14:paraId="1D80889E" w14:textId="77777777" w:rsidR="007E365E" w:rsidRPr="00173B02" w:rsidRDefault="007E365E" w:rsidP="007D1D77">
            <w:pPr>
              <w:pStyle w:val="CGCTablerow"/>
              <w:keepNext/>
              <w:keepLines/>
              <w:rPr>
                <w:lang w:eastAsia="en-AU"/>
              </w:rPr>
            </w:pPr>
            <w:r w:rsidRPr="00173B02">
              <w:rPr>
                <w:lang w:eastAsia="en-AU"/>
              </w:rPr>
              <w:t> </w:t>
            </w:r>
          </w:p>
        </w:tc>
      </w:tr>
    </w:tbl>
    <w:p w14:paraId="671CE6D5" w14:textId="77777777" w:rsidR="007E365E" w:rsidRPr="00173B02" w:rsidRDefault="007E365E" w:rsidP="007E365E">
      <w:pPr>
        <w:pStyle w:val="CGCTablenote"/>
      </w:pPr>
      <w:r>
        <w:t>(a)</w:t>
      </w:r>
      <w:r>
        <w:tab/>
      </w:r>
      <w:r w:rsidRPr="00173B02">
        <w:t>SES is measured using IRSEO for the Indigenous population and NISEIFA for the non-Indigenous population.</w:t>
      </w:r>
    </w:p>
    <w:p w14:paraId="5AD07622" w14:textId="77777777" w:rsidR="007E365E" w:rsidRPr="00740E09" w:rsidRDefault="007E365E" w:rsidP="007E365E">
      <w:pPr>
        <w:pStyle w:val="CGCTablenote"/>
      </w:pPr>
      <w:r w:rsidRPr="00740E09">
        <w:t>Source:</w:t>
      </w:r>
      <w:r w:rsidRPr="00740E09">
        <w:tab/>
        <w:t>Commission decision.</w:t>
      </w:r>
    </w:p>
    <w:p w14:paraId="0A50E0C1" w14:textId="77777777" w:rsidR="007E365E" w:rsidRPr="00173B02" w:rsidRDefault="007E365E" w:rsidP="007E365E">
      <w:pPr>
        <w:pStyle w:val="CGCParaNumber"/>
      </w:pPr>
      <w:r w:rsidRPr="00173B02">
        <w:t>Data on the SDC profile of defendants include only New</w:t>
      </w:r>
      <w:r>
        <w:t> </w:t>
      </w:r>
      <w:r w:rsidRPr="00173B02">
        <w:t>South Wales, Queensland, Western</w:t>
      </w:r>
      <w:r>
        <w:t> </w:t>
      </w:r>
      <w:r w:rsidRPr="00173B02">
        <w:t>Australia, South Australia and Northern Territory as other States were unable to provide Indigenous status for their defendants.</w:t>
      </w:r>
    </w:p>
    <w:p w14:paraId="5BCAFCE4" w14:textId="77777777" w:rsidR="007E365E" w:rsidRPr="00173B02" w:rsidRDefault="007E365E" w:rsidP="007E365E">
      <w:pPr>
        <w:pStyle w:val="Heading5"/>
      </w:pPr>
      <w:r w:rsidRPr="00173B02">
        <w:t>Indigenous status</w:t>
      </w:r>
    </w:p>
    <w:p w14:paraId="15549A30" w14:textId="77777777" w:rsidR="007E365E" w:rsidRPr="00173B02" w:rsidRDefault="007E365E" w:rsidP="007E365E">
      <w:pPr>
        <w:pStyle w:val="CGCParaNumber"/>
      </w:pPr>
      <w:bookmarkStart w:id="47" w:name="_Ref5865129"/>
      <w:r w:rsidRPr="00173B02">
        <w:t>The Indigenous rate of defendants is much higher than that of the non-Indigenous population in all States, ranging from 3.</w:t>
      </w:r>
      <w:r>
        <w:t>8</w:t>
      </w:r>
      <w:r w:rsidRPr="00173B02">
        <w:t xml:space="preserve"> times the rate in New South Wales to 8.</w:t>
      </w:r>
      <w:r>
        <w:t>8</w:t>
      </w:r>
      <w:r w:rsidRPr="00173B02">
        <w:t xml:space="preserve"> in Western</w:t>
      </w:r>
      <w:r>
        <w:t> </w:t>
      </w:r>
      <w:r w:rsidRPr="00173B02">
        <w:t xml:space="preserve">Australia, with an average of </w:t>
      </w:r>
      <w:r>
        <w:t>5.4</w:t>
      </w:r>
      <w:r w:rsidRPr="00173B02">
        <w:t xml:space="preserve"> across the five States.</w:t>
      </w:r>
      <w:bookmarkEnd w:id="47"/>
    </w:p>
    <w:p w14:paraId="69ABD15E" w14:textId="50E7316E" w:rsidR="007E365E" w:rsidRPr="00173B02" w:rsidRDefault="007E365E" w:rsidP="007E365E">
      <w:pPr>
        <w:pStyle w:val="CGCParaNumber"/>
      </w:pPr>
      <w:bookmarkStart w:id="48" w:name="_Ref3298836"/>
      <w:r w:rsidRPr="00173B02">
        <w:rPr>
          <w:rStyle w:val="Heading6Char"/>
        </w:rPr>
        <w:t>Treatment of Indigenous status non-response.</w:t>
      </w:r>
      <w:r w:rsidRPr="00173B02">
        <w:t xml:space="preserve"> State provided data include </w:t>
      </w:r>
      <w:r>
        <w:t>20</w:t>
      </w:r>
      <w:r w:rsidRPr="00173B02">
        <w:t>% of defendants as having an Indigenous status of ‘not stated’. This is primarily because Indigenous status is not routinely collected for traffic offences.</w:t>
      </w:r>
      <w:bookmarkEnd w:id="48"/>
      <w:r w:rsidRPr="00173B02">
        <w:rPr>
          <w:rStyle w:val="FootnoteReference"/>
        </w:rPr>
        <w:footnoteReference w:id="5"/>
      </w:r>
      <w:r w:rsidRPr="00173B02">
        <w:t xml:space="preserve"> </w:t>
      </w:r>
    </w:p>
    <w:p w14:paraId="7F8BEA3F" w14:textId="69227B3E" w:rsidR="007E365E" w:rsidRPr="00173B02" w:rsidRDefault="007E365E" w:rsidP="007E365E">
      <w:pPr>
        <w:pStyle w:val="CGCParaNumber"/>
      </w:pPr>
      <w:bookmarkStart w:id="49" w:name="_Ref3298820"/>
      <w:r w:rsidRPr="00173B02">
        <w:t xml:space="preserve">Traffic defendant data provided by Western Australia show 60% provided an Indigenous status, with 40% not stated. </w:t>
      </w:r>
      <w:r w:rsidRPr="00173B02">
        <w:fldChar w:fldCharType="begin"/>
      </w:r>
      <w:r w:rsidRPr="00173B02">
        <w:instrText xml:space="preserve"> REF _Ref2700308 \h  \* MERGEFORMAT </w:instrText>
      </w:r>
      <w:r w:rsidRPr="00173B02">
        <w:fldChar w:fldCharType="separate"/>
      </w:r>
      <w:r w:rsidR="007F721A" w:rsidRPr="00173B02">
        <w:t xml:space="preserve">Figure </w:t>
      </w:r>
      <w:r w:rsidR="007F721A">
        <w:rPr>
          <w:noProof/>
        </w:rPr>
        <w:t>19-6</w:t>
      </w:r>
      <w:r w:rsidRPr="00173B02">
        <w:fldChar w:fldCharType="end"/>
      </w:r>
      <w:r w:rsidRPr="00173B02">
        <w:t xml:space="preserve"> shows that suburbs with a smaller proportion of Indigenous defendants based on responding persons (x axis) tend to have more defendants </w:t>
      </w:r>
      <w:r w:rsidRPr="00173B02">
        <w:lastRenderedPageBreak/>
        <w:t>not stating their Indigenous status (y axis) at all.</w:t>
      </w:r>
      <w:bookmarkEnd w:id="49"/>
      <w:r w:rsidRPr="00173B02">
        <w:t xml:space="preserve"> This is suggestive of police asking or inferring Indigenous status of Indigenous people, but recording a not-stated response for a significant number of non-Indigenous people. According to this interpretation, </w:t>
      </w:r>
      <w:bookmarkStart w:id="50" w:name="_Ref3298847"/>
      <w:r w:rsidRPr="00173B02">
        <w:t>the vast majority of actual Indigenous defendants have been identified, and the proportion of the not-stated population who are Indigenous is likely to be significantly less than the proportion of the stated population. That is, allocating not-stated responses on the basis of stated responses could substantially overstate Indigenous proportions. On this basis, the Commission intends to allocate the Indigeneity of not stated defendants in proportion to the Indigenous share of the total population.</w:t>
      </w:r>
      <w:bookmarkEnd w:id="50"/>
      <w:r w:rsidRPr="00173B02">
        <w:t xml:space="preserve"> Western Australia was not convinced by the logic underpinning this approach. </w:t>
      </w:r>
    </w:p>
    <w:p w14:paraId="35A670B1" w14:textId="739BEBFE" w:rsidR="007E365E" w:rsidRPr="00173B02" w:rsidRDefault="007E365E" w:rsidP="007E365E">
      <w:pPr>
        <w:pStyle w:val="Caption"/>
      </w:pPr>
      <w:bookmarkStart w:id="51" w:name="_Ref2700308"/>
      <w:bookmarkStart w:id="52" w:name="_Ref2700304"/>
      <w:r w:rsidRPr="00173B02">
        <w:t xml:space="preserve">Figure </w:t>
      </w:r>
      <w:r>
        <w:t>19-</w:t>
      </w:r>
      <w:fldSimple w:instr=" SEQ Figure \* ARABIC ">
        <w:r w:rsidR="007F721A">
          <w:rPr>
            <w:noProof/>
          </w:rPr>
          <w:t>6</w:t>
        </w:r>
      </w:fldSimple>
      <w:bookmarkEnd w:id="51"/>
      <w:r>
        <w:rPr>
          <w:noProof/>
        </w:rPr>
        <w:tab/>
      </w:r>
      <w:r w:rsidRPr="00173B02">
        <w:t>Western Australian traffic defendants: Indigenous status by suburb</w:t>
      </w:r>
      <w:bookmarkEnd w:id="52"/>
      <w:r w:rsidRPr="00173B02">
        <w:t>, 2016</w:t>
      </w:r>
      <w:r w:rsidRPr="00173B02">
        <w:noBreakHyphen/>
        <w:t>17</w:t>
      </w:r>
    </w:p>
    <w:p w14:paraId="4D3E0F3D" w14:textId="77777777" w:rsidR="007E365E" w:rsidRPr="00173B02" w:rsidRDefault="007E365E" w:rsidP="007E365E">
      <w:pPr>
        <w:keepNext/>
        <w:keepLines/>
      </w:pPr>
      <w:r w:rsidRPr="00B53883">
        <w:rPr>
          <w:noProof/>
        </w:rPr>
        <w:drawing>
          <wp:inline distT="0" distB="0" distL="0" distR="0" wp14:anchorId="3B61E912" wp14:editId="363719C7">
            <wp:extent cx="5661025" cy="3562350"/>
            <wp:effectExtent l="0" t="0" r="0" b="0"/>
            <wp:docPr id="33" name="Picture 33" descr="A scatter graph showing the proportion of Western Australian traffic defendants who did not State Indigenous status by the proportion of stated responses who were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1025" cy="3562350"/>
                    </a:xfrm>
                    <a:prstGeom prst="rect">
                      <a:avLst/>
                    </a:prstGeom>
                    <a:noFill/>
                    <a:ln>
                      <a:noFill/>
                    </a:ln>
                  </pic:spPr>
                </pic:pic>
              </a:graphicData>
            </a:graphic>
          </wp:inline>
        </w:drawing>
      </w:r>
    </w:p>
    <w:p w14:paraId="60DB884D" w14:textId="77777777" w:rsidR="007E365E" w:rsidRPr="00173B02" w:rsidRDefault="007E365E" w:rsidP="007E365E">
      <w:pPr>
        <w:pStyle w:val="CGCTablenote"/>
      </w:pPr>
      <w:r w:rsidRPr="00173B02">
        <w:t>Note:</w:t>
      </w:r>
      <w:r w:rsidRPr="00173B02">
        <w:tab/>
        <w:t>Only includes locations with 40 or more people.</w:t>
      </w:r>
    </w:p>
    <w:p w14:paraId="6108D673" w14:textId="77777777" w:rsidR="007E365E" w:rsidRPr="00173B02" w:rsidRDefault="007E365E" w:rsidP="007E365E">
      <w:pPr>
        <w:pStyle w:val="CGCTablenote"/>
      </w:pPr>
      <w:r w:rsidRPr="00173B02">
        <w:t>Source:</w:t>
      </w:r>
      <w:r w:rsidRPr="00173B02">
        <w:tab/>
        <w:t>Commission analysis of Western Australian Treasury data.</w:t>
      </w:r>
    </w:p>
    <w:p w14:paraId="2B17E9DF" w14:textId="77777777" w:rsidR="007E365E" w:rsidRPr="00562BE2" w:rsidRDefault="007E365E" w:rsidP="007E365E">
      <w:pPr>
        <w:pStyle w:val="CGCParaNumber"/>
      </w:pPr>
      <w:bookmarkStart w:id="53" w:name="_Ref2329395"/>
      <w:r w:rsidRPr="00562BE2">
        <w:t>This conclusion is not generalised to other areas. The Commission extrapolates on the basis of stated responses unless there is strong evidence for an alternative.</w:t>
      </w:r>
      <w:bookmarkEnd w:id="53"/>
      <w:r w:rsidRPr="00562BE2">
        <w:t xml:space="preserve"> </w:t>
      </w:r>
    </w:p>
    <w:p w14:paraId="4F73DFA9" w14:textId="77777777" w:rsidR="007E365E" w:rsidRPr="00173B02" w:rsidRDefault="007E365E" w:rsidP="007E365E">
      <w:pPr>
        <w:pStyle w:val="Heading5"/>
      </w:pPr>
      <w:r w:rsidRPr="00173B02">
        <w:t>Socio-economic status</w:t>
      </w:r>
    </w:p>
    <w:p w14:paraId="2B583375" w14:textId="5E8D9C8D" w:rsidR="007E365E" w:rsidRPr="00173B02" w:rsidRDefault="007E365E" w:rsidP="007E365E">
      <w:pPr>
        <w:pStyle w:val="CGCParaNumber"/>
      </w:pPr>
      <w:r w:rsidRPr="00173B02">
        <w:t xml:space="preserve">Defendant rates are higher among lower SES populations as shown in </w:t>
      </w:r>
      <w:r w:rsidRPr="00173B02">
        <w:fldChar w:fldCharType="begin"/>
      </w:r>
      <w:r w:rsidRPr="00173B02">
        <w:instrText xml:space="preserve"> REF _Ref536104396 \h  \* MERGEFORMAT </w:instrText>
      </w:r>
      <w:r w:rsidRPr="00173B02">
        <w:fldChar w:fldCharType="separate"/>
      </w:r>
      <w:r w:rsidR="007F721A" w:rsidRPr="00173B02">
        <w:t xml:space="preserve">Figure </w:t>
      </w:r>
      <w:r w:rsidR="007F721A">
        <w:rPr>
          <w:noProof/>
        </w:rPr>
        <w:t>19-7</w:t>
      </w:r>
      <w:r w:rsidRPr="00173B02">
        <w:fldChar w:fldCharType="end"/>
      </w:r>
      <w:r w:rsidRPr="00173B02">
        <w:t xml:space="preserve"> and </w:t>
      </w:r>
      <w:r w:rsidRPr="00173B02">
        <w:fldChar w:fldCharType="begin"/>
      </w:r>
      <w:r w:rsidRPr="00173B02">
        <w:instrText xml:space="preserve"> REF _Ref536104402 \h  \* MERGEFORMAT </w:instrText>
      </w:r>
      <w:r w:rsidRPr="00173B02">
        <w:fldChar w:fldCharType="separate"/>
      </w:r>
      <w:r w:rsidR="007F721A" w:rsidRPr="00173B02">
        <w:t>Figure</w:t>
      </w:r>
      <w:r w:rsidR="007F721A">
        <w:t> 19</w:t>
      </w:r>
      <w:r w:rsidR="007F721A">
        <w:noBreakHyphen/>
        <w:t>8</w:t>
      </w:r>
      <w:r w:rsidRPr="00173B02">
        <w:fldChar w:fldCharType="end"/>
      </w:r>
      <w:r w:rsidRPr="00173B02">
        <w:t>. The Commission has used five SES quintiles for both the Indigenous and non</w:t>
      </w:r>
      <w:r w:rsidRPr="00173B02">
        <w:noBreakHyphen/>
        <w:t xml:space="preserve">Indigenous populations. IRSEO </w:t>
      </w:r>
      <w:r>
        <w:t>is</w:t>
      </w:r>
      <w:r w:rsidRPr="00173B02">
        <w:t xml:space="preserve"> the SES measurement for the Indigenous population and NISE</w:t>
      </w:r>
      <w:r>
        <w:t>I</w:t>
      </w:r>
      <w:r w:rsidRPr="00173B02">
        <w:t xml:space="preserve">FA </w:t>
      </w:r>
      <w:r>
        <w:t>is</w:t>
      </w:r>
      <w:r w:rsidRPr="00173B02">
        <w:t xml:space="preserve"> used for the non-Indigenous population.</w:t>
      </w:r>
    </w:p>
    <w:p w14:paraId="71BAD9E8" w14:textId="34BAEE14" w:rsidR="007E365E" w:rsidRPr="00173B02" w:rsidRDefault="007E365E" w:rsidP="007E365E">
      <w:pPr>
        <w:pStyle w:val="Caption"/>
      </w:pPr>
      <w:bookmarkStart w:id="54" w:name="_Ref536104396"/>
      <w:r w:rsidRPr="00173B02">
        <w:lastRenderedPageBreak/>
        <w:t xml:space="preserve">Figure </w:t>
      </w:r>
      <w:r>
        <w:t>19-</w:t>
      </w:r>
      <w:fldSimple w:instr=" SEQ Figure \* ARABIC ">
        <w:r w:rsidR="007F721A">
          <w:rPr>
            <w:noProof/>
          </w:rPr>
          <w:t>7</w:t>
        </w:r>
      </w:fldSimple>
      <w:bookmarkEnd w:id="54"/>
      <w:r>
        <w:rPr>
          <w:noProof/>
        </w:rPr>
        <w:tab/>
      </w:r>
      <w:r w:rsidRPr="00173B02">
        <w:t xml:space="preserve">Indigenous defendant rates by SES (IRSEO), average </w:t>
      </w:r>
      <w:r>
        <w:t xml:space="preserve">of </w:t>
      </w:r>
      <w:r w:rsidRPr="00173B02">
        <w:t>2015-16 and 2016</w:t>
      </w:r>
      <w:r w:rsidRPr="00173B02">
        <w:noBreakHyphen/>
        <w:t>17</w:t>
      </w:r>
    </w:p>
    <w:p w14:paraId="28468149" w14:textId="77777777" w:rsidR="007E365E" w:rsidRPr="00173B02" w:rsidRDefault="007E365E" w:rsidP="007E365E">
      <w:r w:rsidRPr="00C649A4">
        <w:rPr>
          <w:noProof/>
        </w:rPr>
        <w:drawing>
          <wp:inline distT="0" distB="0" distL="0" distR="0" wp14:anchorId="7AE4B0A5" wp14:editId="3259A37A">
            <wp:extent cx="5460365" cy="3441700"/>
            <wp:effectExtent l="0" t="0" r="6985" b="6350"/>
            <wp:docPr id="34" name="Picture 34" descr="A column graph showing defendant rates for the Indigenous population broken down by five SES quintiles for the States of NSW, Qld, WA, SA &amp;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0365" cy="3441700"/>
                    </a:xfrm>
                    <a:prstGeom prst="rect">
                      <a:avLst/>
                    </a:prstGeom>
                    <a:noFill/>
                    <a:ln>
                      <a:noFill/>
                    </a:ln>
                  </pic:spPr>
                </pic:pic>
              </a:graphicData>
            </a:graphic>
          </wp:inline>
        </w:drawing>
      </w:r>
    </w:p>
    <w:p w14:paraId="33DA857E" w14:textId="77777777" w:rsidR="007E365E" w:rsidRPr="00173B02" w:rsidRDefault="007E365E" w:rsidP="007E365E">
      <w:pPr>
        <w:pStyle w:val="CGCTablenote"/>
      </w:pPr>
      <w:r w:rsidRPr="00173B02">
        <w:t>Source:</w:t>
      </w:r>
      <w:r w:rsidRPr="00173B02">
        <w:tab/>
        <w:t>Commission calculation based on State provided data.</w:t>
      </w:r>
    </w:p>
    <w:p w14:paraId="6140008C" w14:textId="17AA77A9" w:rsidR="007E365E" w:rsidRPr="00173B02" w:rsidRDefault="007E365E" w:rsidP="007E365E">
      <w:pPr>
        <w:pStyle w:val="Caption"/>
        <w:ind w:left="1360" w:hanging="1360"/>
      </w:pPr>
      <w:bookmarkStart w:id="55" w:name="_Ref536104402"/>
      <w:r w:rsidRPr="00173B02">
        <w:t>Figure</w:t>
      </w:r>
      <w:r>
        <w:t> 19</w:t>
      </w:r>
      <w:r>
        <w:noBreakHyphen/>
      </w:r>
      <w:fldSimple w:instr=" SEQ Figure \* ARABIC ">
        <w:r w:rsidR="007F721A">
          <w:rPr>
            <w:noProof/>
          </w:rPr>
          <w:t>8</w:t>
        </w:r>
      </w:fldSimple>
      <w:bookmarkEnd w:id="55"/>
      <w:r>
        <w:rPr>
          <w:noProof/>
        </w:rPr>
        <w:tab/>
      </w:r>
      <w:r w:rsidRPr="00173B02">
        <w:t xml:space="preserve">Non-Indigenous defendant rates by SES (NISEIFA), </w:t>
      </w:r>
      <w:r>
        <w:t xml:space="preserve">average of </w:t>
      </w:r>
      <w:r w:rsidRPr="00173B02">
        <w:t>2015-16 and 2016-17</w:t>
      </w:r>
    </w:p>
    <w:p w14:paraId="6F61E987" w14:textId="77777777" w:rsidR="007E365E" w:rsidRPr="00173B02" w:rsidRDefault="007E365E" w:rsidP="007E365E">
      <w:r w:rsidRPr="00254CBA">
        <w:rPr>
          <w:noProof/>
        </w:rPr>
        <w:drawing>
          <wp:inline distT="0" distB="0" distL="0" distR="0" wp14:anchorId="33E14AC6" wp14:editId="64FE6465">
            <wp:extent cx="5144770" cy="3434715"/>
            <wp:effectExtent l="0" t="0" r="0" b="0"/>
            <wp:docPr id="35" name="Picture 35" descr="A column graph showing defendant rates for the non-Indigenous population broken down by five SES quintiles for the States of NSW, Qld, WA, SA &amp;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4770" cy="3434715"/>
                    </a:xfrm>
                    <a:prstGeom prst="rect">
                      <a:avLst/>
                    </a:prstGeom>
                    <a:noFill/>
                    <a:ln>
                      <a:noFill/>
                    </a:ln>
                  </pic:spPr>
                </pic:pic>
              </a:graphicData>
            </a:graphic>
          </wp:inline>
        </w:drawing>
      </w:r>
    </w:p>
    <w:p w14:paraId="1A48C4C0" w14:textId="77777777" w:rsidR="007E365E" w:rsidRPr="00173B02" w:rsidRDefault="007E365E" w:rsidP="007E365E">
      <w:pPr>
        <w:pStyle w:val="CGCTablenote"/>
      </w:pPr>
      <w:r w:rsidRPr="00173B02">
        <w:t>Source:</w:t>
      </w:r>
      <w:r w:rsidRPr="00173B02">
        <w:tab/>
        <w:t>Commission calculation based on State provided data.</w:t>
      </w:r>
    </w:p>
    <w:p w14:paraId="74B0B205" w14:textId="77777777" w:rsidR="007E365E" w:rsidRPr="00173B02" w:rsidRDefault="007E365E" w:rsidP="007E365E">
      <w:pPr>
        <w:pStyle w:val="Heading5"/>
      </w:pPr>
      <w:r w:rsidRPr="00173B02">
        <w:t>Remote service use</w:t>
      </w:r>
    </w:p>
    <w:p w14:paraId="39AA5377" w14:textId="197D6410" w:rsidR="007E365E" w:rsidRPr="00173B02" w:rsidRDefault="007E365E" w:rsidP="007E365E">
      <w:pPr>
        <w:pStyle w:val="CGCParaNumber"/>
      </w:pPr>
      <w:r w:rsidRPr="00173B02">
        <w:t xml:space="preserve">No clear relationship was established between the rate of defendants and their remoteness location, as shown in </w:t>
      </w:r>
      <w:r w:rsidRPr="00173B02">
        <w:fldChar w:fldCharType="begin"/>
      </w:r>
      <w:r w:rsidRPr="00173B02">
        <w:instrText xml:space="preserve"> REF _Ref535848055 \h  \* MERGEFORMAT </w:instrText>
      </w:r>
      <w:r w:rsidRPr="00173B02">
        <w:fldChar w:fldCharType="separate"/>
      </w:r>
      <w:r w:rsidR="007F721A" w:rsidRPr="00173B02">
        <w:t xml:space="preserve">Figure </w:t>
      </w:r>
      <w:r w:rsidR="007F721A">
        <w:rPr>
          <w:noProof/>
        </w:rPr>
        <w:t>19-9</w:t>
      </w:r>
      <w:r w:rsidRPr="00173B02">
        <w:fldChar w:fldCharType="end"/>
      </w:r>
      <w:r w:rsidRPr="00173B02">
        <w:t>. Therefore</w:t>
      </w:r>
      <w:r>
        <w:t>,</w:t>
      </w:r>
      <w:r w:rsidRPr="00173B02">
        <w:t xml:space="preserve"> remoteness has not been used as a factor in assessing the number of defendants.</w:t>
      </w:r>
    </w:p>
    <w:p w14:paraId="5650DA90" w14:textId="3AE35E73" w:rsidR="007E365E" w:rsidRPr="00173B02" w:rsidRDefault="007E365E" w:rsidP="007E365E">
      <w:pPr>
        <w:pStyle w:val="Caption"/>
      </w:pPr>
      <w:bookmarkStart w:id="56" w:name="_Ref535848055"/>
      <w:r w:rsidRPr="00173B02">
        <w:lastRenderedPageBreak/>
        <w:t xml:space="preserve">Figure </w:t>
      </w:r>
      <w:r>
        <w:t>19-</w:t>
      </w:r>
      <w:fldSimple w:instr=" SEQ Figure \* ARABIC ">
        <w:r w:rsidR="007F721A">
          <w:rPr>
            <w:noProof/>
          </w:rPr>
          <w:t>9</w:t>
        </w:r>
      </w:fldSimple>
      <w:bookmarkEnd w:id="56"/>
      <w:r>
        <w:rPr>
          <w:noProof/>
        </w:rPr>
        <w:tab/>
      </w:r>
      <w:r w:rsidRPr="00173B02">
        <w:t>Defendant rate by remoteness, average of 2015-16 and 2016-17</w:t>
      </w:r>
    </w:p>
    <w:p w14:paraId="76DDBA73" w14:textId="77777777" w:rsidR="007E365E" w:rsidRPr="00173B02" w:rsidRDefault="007E365E" w:rsidP="007E365E">
      <w:pPr>
        <w:keepNext/>
        <w:keepLines/>
      </w:pPr>
      <w:r w:rsidRPr="007B2538">
        <w:rPr>
          <w:noProof/>
        </w:rPr>
        <w:drawing>
          <wp:inline distT="0" distB="0" distL="0" distR="0" wp14:anchorId="0E5E6810" wp14:editId="56CADA78">
            <wp:extent cx="5422900" cy="3522345"/>
            <wp:effectExtent l="0" t="0" r="6350" b="1905"/>
            <wp:docPr id="36" name="Picture 36" descr="A column graph showing defendant rates for each remoteness area for the Indigenous and non-Indigenou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22900" cy="3522345"/>
                    </a:xfrm>
                    <a:prstGeom prst="rect">
                      <a:avLst/>
                    </a:prstGeom>
                    <a:noFill/>
                    <a:ln>
                      <a:noFill/>
                    </a:ln>
                  </pic:spPr>
                </pic:pic>
              </a:graphicData>
            </a:graphic>
          </wp:inline>
        </w:drawing>
      </w:r>
    </w:p>
    <w:p w14:paraId="3346BC73" w14:textId="77777777" w:rsidR="007E365E" w:rsidRPr="00173B02" w:rsidRDefault="007E365E" w:rsidP="007E365E">
      <w:pPr>
        <w:pStyle w:val="CGCTablenote"/>
        <w:keepNext/>
        <w:keepLines/>
      </w:pPr>
      <w:r w:rsidRPr="00173B02">
        <w:t>Note:</w:t>
      </w:r>
      <w:r w:rsidRPr="00173B02">
        <w:tab/>
        <w:t>Total data include NSW, Qld, WA, SA and NT only.</w:t>
      </w:r>
    </w:p>
    <w:p w14:paraId="3BB84631" w14:textId="77777777" w:rsidR="007E365E" w:rsidRPr="00173B02" w:rsidRDefault="007E365E" w:rsidP="007E365E">
      <w:pPr>
        <w:pStyle w:val="CGCTablenote"/>
        <w:keepNext/>
        <w:keepLines/>
      </w:pPr>
      <w:r w:rsidRPr="00173B02">
        <w:t>Source:</w:t>
      </w:r>
      <w:r w:rsidRPr="00173B02">
        <w:tab/>
        <w:t>Commission calculation based on State provided data.</w:t>
      </w:r>
    </w:p>
    <w:p w14:paraId="2769AB68" w14:textId="77777777" w:rsidR="007E365E" w:rsidRPr="00173B02" w:rsidRDefault="007E365E" w:rsidP="007E365E">
      <w:pPr>
        <w:pStyle w:val="CGCParaNumber"/>
      </w:pPr>
      <w:r w:rsidRPr="00173B02">
        <w:t xml:space="preserve">Western Australia and the Northern Territory both argued that while all five remoteness areas do produce an inconsistent relationship, grouping remoteness areas (as is done elsewhere) is appropriate. </w:t>
      </w:r>
    </w:p>
    <w:p w14:paraId="1BE173F3" w14:textId="77777777" w:rsidR="007E365E" w:rsidRPr="00173B02" w:rsidRDefault="007E365E" w:rsidP="007E365E">
      <w:pPr>
        <w:pStyle w:val="CGCParaNumber"/>
      </w:pPr>
      <w:r w:rsidRPr="00173B02">
        <w:t>While at face value such a grouping would produce a remoteness gradient for the Indigenous population, it would not for the non-Indigenous population. Additionally, while the Indigenous population in remote areas have higher offender rates compared to non-remote areas, this is primarily driven by higher proportions of low SES populations in remote areas. After controlling for SES, Indigenous status and age, there is no consistent relationship with remoteness, with remote Indigenous people less likely to go to court than major city Indigenous people, but the reverse pattern holding for non-Indigenous people.</w:t>
      </w:r>
    </w:p>
    <w:p w14:paraId="3329E97A" w14:textId="77777777" w:rsidR="007E365E" w:rsidRPr="00173B02" w:rsidRDefault="007E365E" w:rsidP="007E365E">
      <w:pPr>
        <w:pStyle w:val="Heading5"/>
      </w:pPr>
      <w:r w:rsidRPr="00173B02">
        <w:t>Age</w:t>
      </w:r>
    </w:p>
    <w:p w14:paraId="69EEA9A3" w14:textId="7866DBB0" w:rsidR="007E365E" w:rsidRPr="00173B02" w:rsidRDefault="007E365E" w:rsidP="007E365E">
      <w:pPr>
        <w:pStyle w:val="CGCParaNumber"/>
      </w:pPr>
      <w:r w:rsidRPr="00173B02">
        <w:t xml:space="preserve">Defendant rates are particularly high among 15-44 year olds, as shown in </w:t>
      </w:r>
      <w:r w:rsidRPr="00173B02">
        <w:fldChar w:fldCharType="begin"/>
      </w:r>
      <w:r w:rsidRPr="00173B02">
        <w:instrText xml:space="preserve"> REF _Ref1378107 \h  \* MERGEFORMAT </w:instrText>
      </w:r>
      <w:r w:rsidRPr="00173B02">
        <w:fldChar w:fldCharType="separate"/>
      </w:r>
      <w:r w:rsidR="007F721A" w:rsidRPr="00173B02">
        <w:t xml:space="preserve">Figure </w:t>
      </w:r>
      <w:r w:rsidR="007F721A">
        <w:rPr>
          <w:noProof/>
        </w:rPr>
        <w:t>19-10</w:t>
      </w:r>
      <w:r w:rsidRPr="00173B02">
        <w:fldChar w:fldCharType="end"/>
      </w:r>
      <w:r w:rsidRPr="00173B02">
        <w:t xml:space="preserve">. There are also different age profiles between the Indigenous and non-Indigenous population. Generally Indigenous defendant rates are </w:t>
      </w:r>
      <w:r>
        <w:t>five</w:t>
      </w:r>
      <w:r w:rsidRPr="00173B02">
        <w:t xml:space="preserve"> times that of the non</w:t>
      </w:r>
      <w:r w:rsidRPr="00173B02">
        <w:noBreakHyphen/>
        <w:t>Indigenous population. However</w:t>
      </w:r>
      <w:r>
        <w:t>,</w:t>
      </w:r>
      <w:r w:rsidRPr="00173B02">
        <w:t xml:space="preserve"> for youth under 15, they are </w:t>
      </w:r>
      <w:r>
        <w:t>on average 18</w:t>
      </w:r>
      <w:r w:rsidRPr="00173B02">
        <w:t xml:space="preserve"> times</w:t>
      </w:r>
      <w:r>
        <w:t xml:space="preserve"> the rate</w:t>
      </w:r>
      <w:r w:rsidRPr="00173B02">
        <w:t>. These differing age profiles will be reflected when assessing the number of defendants in each State.</w:t>
      </w:r>
    </w:p>
    <w:p w14:paraId="03EEB486" w14:textId="77777777" w:rsidR="007E365E" w:rsidRPr="00173B02" w:rsidRDefault="007E365E" w:rsidP="007E365E">
      <w:pPr>
        <w:pStyle w:val="CGCParaNumber"/>
      </w:pPr>
      <w:r w:rsidRPr="00173B02">
        <w:t>As data are available, in this review the Commission intends to use the actual defendant rates for the 0-14 and 65+ age groups, in contrast to the 2015 approach when zero rates were applied to these age groups.</w:t>
      </w:r>
      <w:r w:rsidRPr="00173B02">
        <w:rPr>
          <w:rStyle w:val="FootnoteReference"/>
        </w:rPr>
        <w:footnoteReference w:id="6"/>
      </w:r>
    </w:p>
    <w:p w14:paraId="77903824" w14:textId="40EFA984" w:rsidR="007E365E" w:rsidRPr="00173B02" w:rsidRDefault="007E365E" w:rsidP="007E365E">
      <w:pPr>
        <w:pStyle w:val="Caption"/>
      </w:pPr>
      <w:bookmarkStart w:id="57" w:name="_Ref1378107"/>
      <w:r w:rsidRPr="00173B02">
        <w:lastRenderedPageBreak/>
        <w:t xml:space="preserve">Figure </w:t>
      </w:r>
      <w:r>
        <w:t>19-</w:t>
      </w:r>
      <w:fldSimple w:instr=" SEQ Figure \* ARABIC ">
        <w:r w:rsidR="007F721A">
          <w:rPr>
            <w:noProof/>
          </w:rPr>
          <w:t>10</w:t>
        </w:r>
      </w:fldSimple>
      <w:bookmarkEnd w:id="57"/>
      <w:r>
        <w:rPr>
          <w:noProof/>
        </w:rPr>
        <w:tab/>
      </w:r>
      <w:r w:rsidRPr="00173B02">
        <w:t xml:space="preserve">Defendant rates by age and Indigenous status, average of 2015-16 </w:t>
      </w:r>
      <w:r>
        <w:t>and</w:t>
      </w:r>
      <w:r w:rsidRPr="00173B02">
        <w:t xml:space="preserve"> 2016</w:t>
      </w:r>
      <w:r>
        <w:noBreakHyphen/>
      </w:r>
      <w:r w:rsidRPr="00173B02">
        <w:t>17</w:t>
      </w:r>
    </w:p>
    <w:p w14:paraId="72C6B782" w14:textId="77777777" w:rsidR="007E365E" w:rsidRPr="00173B02" w:rsidRDefault="007E365E" w:rsidP="007E365E">
      <w:r w:rsidRPr="003D030C">
        <w:rPr>
          <w:noProof/>
        </w:rPr>
        <w:drawing>
          <wp:inline distT="0" distB="0" distL="0" distR="0" wp14:anchorId="3F2C1153" wp14:editId="18A16DEE">
            <wp:extent cx="5351145" cy="3434715"/>
            <wp:effectExtent l="0" t="0" r="1905" b="0"/>
            <wp:docPr id="18" name="Picture 18" descr="A column graph showing defendant rates for five age groups for the Indigenous and non-Indigenou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1145" cy="3434715"/>
                    </a:xfrm>
                    <a:prstGeom prst="rect">
                      <a:avLst/>
                    </a:prstGeom>
                    <a:noFill/>
                    <a:ln>
                      <a:noFill/>
                    </a:ln>
                  </pic:spPr>
                </pic:pic>
              </a:graphicData>
            </a:graphic>
          </wp:inline>
        </w:drawing>
      </w:r>
    </w:p>
    <w:p w14:paraId="4C7AEEF0" w14:textId="77777777" w:rsidR="007E365E" w:rsidRPr="00173B02" w:rsidRDefault="007E365E" w:rsidP="007E365E">
      <w:pPr>
        <w:pStyle w:val="CGCTablenote"/>
      </w:pPr>
      <w:r w:rsidRPr="00173B02">
        <w:t>Note:</w:t>
      </w:r>
      <w:r w:rsidRPr="00173B02">
        <w:tab/>
        <w:t xml:space="preserve">Data include </w:t>
      </w:r>
      <w:r>
        <w:t>New South Wales</w:t>
      </w:r>
      <w:r w:rsidRPr="00173B02">
        <w:t xml:space="preserve">, </w:t>
      </w:r>
      <w:r>
        <w:t>Queensland</w:t>
      </w:r>
      <w:r w:rsidRPr="00173B02">
        <w:t xml:space="preserve">, </w:t>
      </w:r>
      <w:r>
        <w:t>Western Australia</w:t>
      </w:r>
      <w:r w:rsidRPr="00173B02">
        <w:t xml:space="preserve">, </w:t>
      </w:r>
      <w:r>
        <w:t>South Australia</w:t>
      </w:r>
      <w:r w:rsidRPr="00173B02">
        <w:t xml:space="preserve"> and </w:t>
      </w:r>
      <w:r>
        <w:t>the Northern Territory</w:t>
      </w:r>
      <w:r w:rsidRPr="00173B02">
        <w:t xml:space="preserve"> only.</w:t>
      </w:r>
    </w:p>
    <w:p w14:paraId="232D38A4" w14:textId="77777777" w:rsidR="007E365E" w:rsidRPr="00173B02" w:rsidRDefault="007E365E" w:rsidP="007E365E">
      <w:pPr>
        <w:pStyle w:val="CGCTablenote"/>
      </w:pPr>
      <w:r w:rsidRPr="00173B02">
        <w:t>Source:</w:t>
      </w:r>
      <w:r w:rsidRPr="00173B02">
        <w:tab/>
        <w:t>Commission calculation based on State provided data.</w:t>
      </w:r>
    </w:p>
    <w:p w14:paraId="18E2C20C" w14:textId="77777777" w:rsidR="007E365E" w:rsidRPr="00173B02" w:rsidRDefault="007E365E" w:rsidP="007E365E">
      <w:pPr>
        <w:pStyle w:val="Heading5"/>
      </w:pPr>
      <w:r w:rsidRPr="00173B02">
        <w:t>Regional costs</w:t>
      </w:r>
    </w:p>
    <w:p w14:paraId="4E3B115D" w14:textId="77777777" w:rsidR="007E365E" w:rsidRPr="00173B02" w:rsidRDefault="007E365E" w:rsidP="007E365E">
      <w:pPr>
        <w:pStyle w:val="CGCParaNumber"/>
      </w:pPr>
      <w:r w:rsidRPr="00173B02">
        <w:t>State provided data from New South Wales, Queensland, Western Australian and the Northern Territory along with data from the Productivity Commission were used to derive an additional 20.6% higher cost for courts in remote areas compared to non</w:t>
      </w:r>
      <w:r w:rsidRPr="00173B02">
        <w:noBreakHyphen/>
        <w:t>remote areas.</w:t>
      </w:r>
      <w:r w:rsidRPr="00173B02">
        <w:rPr>
          <w:rStyle w:val="FootnoteReference"/>
        </w:rPr>
        <w:footnoteReference w:id="7"/>
      </w:r>
    </w:p>
    <w:p w14:paraId="4B15EFCE" w14:textId="77777777" w:rsidR="007E365E" w:rsidRPr="00173B02" w:rsidRDefault="007E365E" w:rsidP="007E365E">
      <w:pPr>
        <w:pStyle w:val="CGCParaNumber"/>
      </w:pPr>
      <w:r w:rsidRPr="00173B02">
        <w:t>Most States have been unable to meaningfully attribute costs to different districts. Therefore</w:t>
      </w:r>
      <w:r>
        <w:t>,</w:t>
      </w:r>
      <w:r w:rsidRPr="00173B02">
        <w:t xml:space="preserve"> the Commission has restricted calculations to those data that both contained remote regions and where costs were not proportional to the number of cases. Data used were scaled to defendant numbers published by the Productivity Commission.</w:t>
      </w:r>
    </w:p>
    <w:p w14:paraId="239D9591" w14:textId="5C5176DA" w:rsidR="007E365E" w:rsidRPr="00173B02" w:rsidRDefault="007E365E" w:rsidP="007E365E">
      <w:pPr>
        <w:pStyle w:val="CGCParaNumber"/>
      </w:pPr>
      <w:r w:rsidRPr="00173B02">
        <w:fldChar w:fldCharType="begin"/>
      </w:r>
      <w:r w:rsidRPr="00173B02">
        <w:instrText xml:space="preserve"> REF _Ref23152745 \h  \* MERGEFORMAT </w:instrText>
      </w:r>
      <w:r w:rsidRPr="00173B02">
        <w:fldChar w:fldCharType="separate"/>
      </w:r>
      <w:r w:rsidR="007F721A" w:rsidRPr="00173B02">
        <w:t xml:space="preserve">Figure </w:t>
      </w:r>
      <w:r w:rsidR="007F721A">
        <w:rPr>
          <w:noProof/>
        </w:rPr>
        <w:t>19-11</w:t>
      </w:r>
      <w:r w:rsidRPr="00173B02">
        <w:fldChar w:fldCharType="end"/>
      </w:r>
      <w:r w:rsidRPr="00173B02">
        <w:t xml:space="preserve"> shows the cost per court case in different regions for these four States.</w:t>
      </w:r>
    </w:p>
    <w:p w14:paraId="6F7FAC72" w14:textId="1C990F6A" w:rsidR="007E365E" w:rsidRPr="00173B02" w:rsidRDefault="007E365E" w:rsidP="007E365E">
      <w:pPr>
        <w:pStyle w:val="Caption"/>
      </w:pPr>
      <w:bookmarkStart w:id="58" w:name="_Ref23152745"/>
      <w:r w:rsidRPr="00173B02">
        <w:lastRenderedPageBreak/>
        <w:t xml:space="preserve">Figure </w:t>
      </w:r>
      <w:r>
        <w:t>19-</w:t>
      </w:r>
      <w:fldSimple w:instr=" SEQ Figure \* ARABIC ">
        <w:r w:rsidR="007F721A">
          <w:rPr>
            <w:noProof/>
          </w:rPr>
          <w:t>11</w:t>
        </w:r>
      </w:fldSimple>
      <w:bookmarkEnd w:id="58"/>
      <w:r w:rsidRPr="00173B02">
        <w:tab/>
        <w:t>Cost per criminal court case, Magistrates</w:t>
      </w:r>
      <w:r>
        <w:t>’</w:t>
      </w:r>
      <w:r w:rsidRPr="00173B02">
        <w:t xml:space="preserve"> </w:t>
      </w:r>
      <w:r>
        <w:t>c</w:t>
      </w:r>
      <w:r w:rsidRPr="00173B02">
        <w:t>ourt</w:t>
      </w:r>
      <w:r>
        <w:t>s</w:t>
      </w:r>
      <w:r w:rsidRPr="00173B02">
        <w:t>, 2016-17</w:t>
      </w:r>
    </w:p>
    <w:p w14:paraId="10078A47" w14:textId="77777777" w:rsidR="007E365E" w:rsidRPr="00173B02" w:rsidRDefault="007E365E" w:rsidP="007E365E">
      <w:r w:rsidRPr="00B772EA">
        <w:rPr>
          <w:noProof/>
        </w:rPr>
        <w:drawing>
          <wp:inline distT="0" distB="0" distL="0" distR="0" wp14:anchorId="0402EF99" wp14:editId="7FAE7388">
            <wp:extent cx="5645150" cy="3562350"/>
            <wp:effectExtent l="0" t="0" r="0" b="0"/>
            <wp:docPr id="37" name="Picture 37" descr="A column graph showing the cost per a Magistrates' criminal court case by remoteness area for the States of NSW, Qld, WA and the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5150" cy="3562350"/>
                    </a:xfrm>
                    <a:prstGeom prst="rect">
                      <a:avLst/>
                    </a:prstGeom>
                    <a:noFill/>
                    <a:ln>
                      <a:noFill/>
                    </a:ln>
                  </pic:spPr>
                </pic:pic>
              </a:graphicData>
            </a:graphic>
          </wp:inline>
        </w:drawing>
      </w:r>
    </w:p>
    <w:p w14:paraId="0C5078D3" w14:textId="77777777" w:rsidR="007E365E" w:rsidRPr="00173B02" w:rsidRDefault="007E365E" w:rsidP="007E365E">
      <w:pPr>
        <w:pStyle w:val="CGCTablenote"/>
      </w:pPr>
      <w:r w:rsidRPr="00173B02">
        <w:t>Source:</w:t>
      </w:r>
      <w:r w:rsidRPr="00173B02">
        <w:tab/>
        <w:t>State treasuries.</w:t>
      </w:r>
    </w:p>
    <w:p w14:paraId="0637DE85" w14:textId="77777777" w:rsidR="007E365E" w:rsidRPr="00173B02" w:rsidRDefault="007E365E" w:rsidP="007E365E">
      <w:pPr>
        <w:pStyle w:val="CGCTablenote"/>
      </w:pPr>
      <w:r>
        <w:tab/>
      </w:r>
      <w:r w:rsidRPr="00173B02">
        <w:t xml:space="preserve">Productivity Commission, </w:t>
      </w:r>
      <w:r w:rsidRPr="00173B02">
        <w:rPr>
          <w:i/>
        </w:rPr>
        <w:t>Report on Government Services 2018</w:t>
      </w:r>
      <w:r w:rsidRPr="00173B02">
        <w:t xml:space="preserve">, Chapter 7, Tables 7A.5 &amp; 7A.9. </w:t>
      </w:r>
    </w:p>
    <w:p w14:paraId="286039B5" w14:textId="77777777" w:rsidR="007E365E" w:rsidRPr="00173B02" w:rsidRDefault="007E365E" w:rsidP="007E365E">
      <w:pPr>
        <w:pStyle w:val="CGCParaNumber"/>
      </w:pPr>
      <w:r w:rsidRPr="00173B02">
        <w:t>The relative spend was 40% higher in remote areas compared to non-remote areas. However, this was only applicable to Magistrates’ courts which, according to the Productivity Commission</w:t>
      </w:r>
      <w:r>
        <w:rPr>
          <w:iCs/>
        </w:rPr>
        <w:t xml:space="preserve"> RoGS</w:t>
      </w:r>
      <w:r w:rsidRPr="00173B02">
        <w:t>, make up about half the total court spend. Therefore</w:t>
      </w:r>
      <w:r>
        <w:t>,</w:t>
      </w:r>
      <w:r w:rsidRPr="00173B02">
        <w:t xml:space="preserve"> the regional cost will be applied to this proportion.</w:t>
      </w:r>
    </w:p>
    <w:p w14:paraId="0E92A0BC" w14:textId="77777777" w:rsidR="007E365E" w:rsidRPr="00173B02" w:rsidRDefault="007E365E" w:rsidP="007E365E">
      <w:pPr>
        <w:pStyle w:val="CGCParaNumber"/>
      </w:pPr>
      <w:r w:rsidRPr="00173B02">
        <w:t xml:space="preserve">Some higher court expenses (such as District Courts) are also applicable to remote areas. Using District court data from three States, and assuming Supreme courts have a similar remote use, the cost gradient could be increased from </w:t>
      </w:r>
      <w:r>
        <w:t>21</w:t>
      </w:r>
      <w:r w:rsidRPr="00173B02">
        <w:t>% to 25% to take into account higher court work in remote areas.</w:t>
      </w:r>
    </w:p>
    <w:p w14:paraId="2A2D06D1" w14:textId="77777777" w:rsidR="007E365E" w:rsidRPr="00173B02" w:rsidRDefault="007E365E" w:rsidP="007E365E">
      <w:pPr>
        <w:pStyle w:val="CGCParaNumber"/>
      </w:pPr>
      <w:r w:rsidRPr="00173B02">
        <w:t xml:space="preserve">However, this is offset by the situation, as argued by Victoria, that not all defendants from remote areas use remote courts. Comparing data on defendants’ residence to the location of criminal finalisation by State, it was found, on average, </w:t>
      </w:r>
      <w:r>
        <w:t xml:space="preserve">that </w:t>
      </w:r>
      <w:r w:rsidRPr="00173B02">
        <w:t>there were 17% fewer finalisations in remote courts than finalisations of remote resident defendants. Applying this factor to the regional cost gradient almost fully offsets the additional costs associated with higher courts.</w:t>
      </w:r>
    </w:p>
    <w:p w14:paraId="1C6B5473" w14:textId="77777777" w:rsidR="007E365E" w:rsidRPr="00173B02" w:rsidRDefault="007E365E" w:rsidP="007E365E">
      <w:pPr>
        <w:pStyle w:val="CGCParaNumber"/>
      </w:pPr>
      <w:r w:rsidRPr="00173B02">
        <w:t>Given the negligible change arising from adjustment for these competing factors, and the assumptions made with limited data, the Commission has decided on the simplified approach of measuring the gradient using Magistrates’ criminal court data and applying it to Magistrates</w:t>
      </w:r>
      <w:r>
        <w:t>’</w:t>
      </w:r>
      <w:r w:rsidRPr="00173B02">
        <w:t xml:space="preserve"> court expenses, without taking additional factors into account.</w:t>
      </w:r>
    </w:p>
    <w:p w14:paraId="5C936F0E" w14:textId="77777777" w:rsidR="007E365E" w:rsidRPr="00173B02" w:rsidRDefault="007E365E" w:rsidP="007E365E">
      <w:pPr>
        <w:pStyle w:val="Heading5"/>
      </w:pPr>
      <w:r w:rsidRPr="00173B02">
        <w:t>Wage costs</w:t>
      </w:r>
    </w:p>
    <w:p w14:paraId="1F185D88" w14:textId="77777777" w:rsidR="007E365E" w:rsidRPr="00173B02" w:rsidRDefault="007E365E" w:rsidP="007E365E">
      <w:pPr>
        <w:pStyle w:val="CGCParaNumber"/>
      </w:pPr>
      <w:r w:rsidRPr="00173B02">
        <w:t xml:space="preserve">Differences in wage costs between States have a differential effect on the cost of providing services. There is a general method for measuring the influence of wage costs in components where the disability applies. For a description of the method, see Chapter 27 Wage costs. </w:t>
      </w:r>
    </w:p>
    <w:p w14:paraId="04C8DE09" w14:textId="77777777" w:rsidR="007E365E" w:rsidRPr="00173B02" w:rsidRDefault="007E365E" w:rsidP="007E365E">
      <w:pPr>
        <w:pStyle w:val="Heading5"/>
      </w:pPr>
      <w:r w:rsidRPr="00173B02">
        <w:lastRenderedPageBreak/>
        <w:t xml:space="preserve">Data and </w:t>
      </w:r>
      <w:r>
        <w:t>m</w:t>
      </w:r>
      <w:r w:rsidRPr="00173B02">
        <w:t>ethods</w:t>
      </w:r>
    </w:p>
    <w:p w14:paraId="28FAB884" w14:textId="1C93C733" w:rsidR="007E365E" w:rsidRPr="00173B02" w:rsidRDefault="007E365E" w:rsidP="007E365E">
      <w:pPr>
        <w:pStyle w:val="CGCParaNumber"/>
      </w:pPr>
      <w:r w:rsidRPr="00173B02">
        <w:t>SDC groups are derived from State provided data</w:t>
      </w:r>
      <w:r w:rsidRPr="00173B02">
        <w:rPr>
          <w:rStyle w:val="FootnoteReference"/>
        </w:rPr>
        <w:footnoteReference w:id="8"/>
      </w:r>
      <w:r w:rsidRPr="00173B02">
        <w:t xml:space="preserve"> on the number of defendants by Indigenous status, SES, and age as described in </w:t>
      </w:r>
      <w:r w:rsidRPr="00173B02">
        <w:fldChar w:fldCharType="begin"/>
      </w:r>
      <w:r w:rsidRPr="00173B02">
        <w:instrText xml:space="preserve"> REF _Ref2593860 \h </w:instrText>
      </w:r>
      <w:r>
        <w:instrText xml:space="preserve"> \* MERGEFORMAT </w:instrText>
      </w:r>
      <w:r w:rsidRPr="00173B02">
        <w:fldChar w:fldCharType="separate"/>
      </w:r>
      <w:r w:rsidR="007F721A" w:rsidRPr="00173B02">
        <w:t>Table</w:t>
      </w:r>
      <w:r w:rsidR="007F721A">
        <w:t> 19</w:t>
      </w:r>
      <w:r w:rsidR="007F721A">
        <w:noBreakHyphen/>
        <w:t>10</w:t>
      </w:r>
      <w:r w:rsidRPr="00173B02">
        <w:fldChar w:fldCharType="end"/>
      </w:r>
      <w:r w:rsidRPr="00173B02">
        <w:t xml:space="preserve"> for the years 2015-16 and 2016</w:t>
      </w:r>
      <w:r>
        <w:noBreakHyphen/>
      </w:r>
      <w:r w:rsidRPr="00173B02">
        <w:t>17.</w:t>
      </w:r>
    </w:p>
    <w:p w14:paraId="3585711A" w14:textId="7564CBBD" w:rsidR="007E365E" w:rsidRPr="00173B02" w:rsidRDefault="007E365E" w:rsidP="007E365E">
      <w:pPr>
        <w:pStyle w:val="CGCParaNumber"/>
      </w:pPr>
      <w:r w:rsidRPr="00173B02">
        <w:t xml:space="preserve">A defendant rate for each Indigenous status/SES/age subgroup is calculated as the ratio of defendants to population. A summary of the patterns observed from the State provided data on defendants can be seen in </w:t>
      </w:r>
      <w:r w:rsidRPr="00173B02">
        <w:fldChar w:fldCharType="begin"/>
      </w:r>
      <w:r w:rsidRPr="00173B02">
        <w:instrText xml:space="preserve"> REF _Ref536104396 \h </w:instrText>
      </w:r>
      <w:r>
        <w:instrText xml:space="preserve"> \* MERGEFORMAT </w:instrText>
      </w:r>
      <w:r w:rsidRPr="00173B02">
        <w:fldChar w:fldCharType="separate"/>
      </w:r>
      <w:r w:rsidR="007F721A" w:rsidRPr="00173B02">
        <w:t xml:space="preserve">Figure </w:t>
      </w:r>
      <w:r w:rsidR="007F721A">
        <w:rPr>
          <w:noProof/>
        </w:rPr>
        <w:t>19-7</w:t>
      </w:r>
      <w:r w:rsidRPr="00173B02">
        <w:fldChar w:fldCharType="end"/>
      </w:r>
      <w:r w:rsidRPr="00173B02">
        <w:t xml:space="preserve"> to </w:t>
      </w:r>
      <w:r w:rsidRPr="00173B02">
        <w:fldChar w:fldCharType="begin"/>
      </w:r>
      <w:r w:rsidRPr="00173B02">
        <w:instrText xml:space="preserve"> REF _Ref1378107 \h </w:instrText>
      </w:r>
      <w:r>
        <w:instrText xml:space="preserve"> \* MERGEFORMAT </w:instrText>
      </w:r>
      <w:r w:rsidRPr="00173B02">
        <w:fldChar w:fldCharType="separate"/>
      </w:r>
      <w:r w:rsidR="007F721A" w:rsidRPr="00173B02">
        <w:t xml:space="preserve">Figure </w:t>
      </w:r>
      <w:r w:rsidR="007F721A">
        <w:rPr>
          <w:noProof/>
        </w:rPr>
        <w:t>19-10</w:t>
      </w:r>
      <w:r w:rsidRPr="00173B02">
        <w:fldChar w:fldCharType="end"/>
      </w:r>
      <w:r w:rsidRPr="00173B02">
        <w:t xml:space="preserve">. The Commission does not intend to collect these data again during the 2020 Review period. The defendant rates derived from the State data will be fixed for the period of the Review, and these fixed rates applied to each assessment year population, to generate assessed defendants for </w:t>
      </w:r>
      <w:r w:rsidRPr="00265F5F">
        <w:t>those</w:t>
      </w:r>
      <w:r w:rsidRPr="00173B02">
        <w:t xml:space="preserve"> years. </w:t>
      </w:r>
    </w:p>
    <w:p w14:paraId="5B50C16B" w14:textId="77777777" w:rsidR="007E365E" w:rsidRPr="00173B02" w:rsidRDefault="007E365E" w:rsidP="007E365E">
      <w:pPr>
        <w:pStyle w:val="CGCParaNumber"/>
      </w:pPr>
      <w:r w:rsidRPr="00173B02">
        <w:t>Data about the cost of courts in regional areas have been provided by the States. The cost weight derived from these data will be fixed for the period of the Review.</w:t>
      </w:r>
    </w:p>
    <w:p w14:paraId="441910F2" w14:textId="77777777" w:rsidR="007E365E" w:rsidRPr="00173B02" w:rsidRDefault="007E365E" w:rsidP="007E365E">
      <w:pPr>
        <w:pStyle w:val="Heading5"/>
      </w:pPr>
      <w:r w:rsidRPr="00173B02">
        <w:t>Component calculations</w:t>
      </w:r>
    </w:p>
    <w:p w14:paraId="10ABDD0C" w14:textId="2BECE13C" w:rsidR="007E365E" w:rsidRPr="00173B02" w:rsidRDefault="007E365E" w:rsidP="007E365E">
      <w:pPr>
        <w:pStyle w:val="CGCParaNumber"/>
      </w:pPr>
      <w:r>
        <w:fldChar w:fldCharType="begin"/>
      </w:r>
      <w:r>
        <w:instrText xml:space="preserve"> REF _Ref32837769 \h </w:instrText>
      </w:r>
      <w:r>
        <w:fldChar w:fldCharType="separate"/>
      </w:r>
      <w:r w:rsidR="007F721A" w:rsidRPr="00173B02">
        <w:t xml:space="preserve">Table </w:t>
      </w:r>
      <w:r w:rsidR="007F721A">
        <w:t>19-</w:t>
      </w:r>
      <w:r w:rsidR="007F721A">
        <w:rPr>
          <w:noProof/>
        </w:rPr>
        <w:t>11</w:t>
      </w:r>
      <w:r>
        <w:fldChar w:fldCharType="end"/>
      </w:r>
      <w:r w:rsidRPr="00173B02">
        <w:t xml:space="preserve"> shows the calculation of total assessed expenses for the component in 201</w:t>
      </w:r>
      <w:r>
        <w:t>8</w:t>
      </w:r>
      <w:r w:rsidRPr="00173B02">
        <w:noBreakHyphen/>
        <w:t>1</w:t>
      </w:r>
      <w:r>
        <w:t>9</w:t>
      </w:r>
      <w:r w:rsidRPr="00173B02">
        <w:t>.</w:t>
      </w:r>
    </w:p>
    <w:p w14:paraId="2C4BD3A0" w14:textId="08E4EA9A" w:rsidR="007E365E" w:rsidRPr="0032582C" w:rsidRDefault="007E365E" w:rsidP="007E365E">
      <w:pPr>
        <w:pStyle w:val="Caption"/>
      </w:pPr>
      <w:bookmarkStart w:id="59" w:name="_Ref32837769"/>
      <w:r w:rsidRPr="00173B02">
        <w:t xml:space="preserve">Table </w:t>
      </w:r>
      <w:r>
        <w:t>19-</w:t>
      </w:r>
      <w:fldSimple w:instr=" SEQ Table \* ARABIC ">
        <w:r w:rsidR="007F721A">
          <w:rPr>
            <w:noProof/>
          </w:rPr>
          <w:t>11</w:t>
        </w:r>
      </w:fldSimple>
      <w:bookmarkEnd w:id="59"/>
      <w:r>
        <w:rPr>
          <w:noProof/>
        </w:rPr>
        <w:tab/>
      </w:r>
      <w:r>
        <w:t xml:space="preserve">Criminal </w:t>
      </w:r>
      <w:r w:rsidRPr="00173B02">
        <w:t>courts</w:t>
      </w:r>
      <w:r>
        <w:t xml:space="preserve"> assessment</w:t>
      </w:r>
      <w:r w:rsidRPr="00173B02">
        <w:t>, 201</w:t>
      </w:r>
      <w:r>
        <w:t>8</w:t>
      </w:r>
      <w:r w:rsidRPr="00173B02">
        <w:noBreakHyphen/>
        <w:t>1</w:t>
      </w:r>
      <w:r>
        <w:t>9</w:t>
      </w:r>
    </w:p>
    <w:tbl>
      <w:tblPr>
        <w:tblW w:w="8940" w:type="dxa"/>
        <w:tblCellMar>
          <w:left w:w="28" w:type="dxa"/>
          <w:right w:w="28" w:type="dxa"/>
        </w:tblCellMar>
        <w:tblLook w:val="04A0" w:firstRow="1" w:lastRow="0" w:firstColumn="1" w:lastColumn="0" w:noHBand="0" w:noVBand="1"/>
      </w:tblPr>
      <w:tblGrid>
        <w:gridCol w:w="2360"/>
        <w:gridCol w:w="760"/>
        <w:gridCol w:w="760"/>
        <w:gridCol w:w="760"/>
        <w:gridCol w:w="700"/>
        <w:gridCol w:w="640"/>
        <w:gridCol w:w="740"/>
        <w:gridCol w:w="660"/>
        <w:gridCol w:w="740"/>
        <w:gridCol w:w="820"/>
      </w:tblGrid>
      <w:tr w:rsidR="007E365E" w:rsidRPr="000C0F91" w14:paraId="0796DFA4" w14:textId="77777777" w:rsidTr="007D1D77">
        <w:trPr>
          <w:trHeight w:val="381"/>
        </w:trPr>
        <w:tc>
          <w:tcPr>
            <w:tcW w:w="2360" w:type="dxa"/>
            <w:tcBorders>
              <w:top w:val="single" w:sz="4" w:space="0" w:color="ADD6EA"/>
              <w:left w:val="nil"/>
              <w:bottom w:val="single" w:sz="4" w:space="0" w:color="ADD6EA"/>
              <w:right w:val="nil"/>
            </w:tcBorders>
            <w:shd w:val="clear" w:color="000000" w:fill="006991"/>
            <w:noWrap/>
            <w:vAlign w:val="center"/>
            <w:hideMark/>
          </w:tcPr>
          <w:p w14:paraId="740278CA" w14:textId="77777777" w:rsidR="007E365E" w:rsidRPr="000C0F9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F91">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noWrap/>
            <w:vAlign w:val="center"/>
            <w:hideMark/>
          </w:tcPr>
          <w:p w14:paraId="1DE0CB28" w14:textId="77777777" w:rsidR="007E365E" w:rsidRPr="000C0F9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F91">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noWrap/>
            <w:vAlign w:val="center"/>
            <w:hideMark/>
          </w:tcPr>
          <w:p w14:paraId="53DE750D" w14:textId="77777777" w:rsidR="007E365E" w:rsidRPr="000C0F9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F91">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183D646B" w14:textId="77777777" w:rsidR="007E365E" w:rsidRPr="000C0F9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F91">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0642178B" w14:textId="77777777" w:rsidR="007E365E" w:rsidRPr="000C0F9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F91">
              <w:rPr>
                <w:rFonts w:ascii="Open Sans SemiBold" w:eastAsia="Times New Roman" w:hAnsi="Open Sans SemiBold" w:cs="Open Sans SemiBold"/>
                <w:color w:val="FFFFFF"/>
                <w:sz w:val="16"/>
                <w:szCs w:val="16"/>
                <w:lang w:eastAsia="en-AU"/>
              </w:rPr>
              <w:t>WA</w:t>
            </w:r>
          </w:p>
        </w:tc>
        <w:tc>
          <w:tcPr>
            <w:tcW w:w="640" w:type="dxa"/>
            <w:tcBorders>
              <w:top w:val="single" w:sz="4" w:space="0" w:color="ADD6EA"/>
              <w:left w:val="nil"/>
              <w:bottom w:val="single" w:sz="4" w:space="0" w:color="ADD6EA"/>
              <w:right w:val="nil"/>
            </w:tcBorders>
            <w:shd w:val="clear" w:color="000000" w:fill="006991"/>
            <w:noWrap/>
            <w:vAlign w:val="center"/>
            <w:hideMark/>
          </w:tcPr>
          <w:p w14:paraId="308DEB97" w14:textId="77777777" w:rsidR="007E365E" w:rsidRPr="000C0F9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F91">
              <w:rPr>
                <w:rFonts w:ascii="Open Sans SemiBold" w:eastAsia="Times New Roman" w:hAnsi="Open Sans SemiBold" w:cs="Open Sans SemiBold"/>
                <w:color w:val="FFFFFF"/>
                <w:sz w:val="16"/>
                <w:szCs w:val="16"/>
                <w:lang w:eastAsia="en-AU"/>
              </w:rPr>
              <w:t>SA</w:t>
            </w:r>
          </w:p>
        </w:tc>
        <w:tc>
          <w:tcPr>
            <w:tcW w:w="740" w:type="dxa"/>
            <w:tcBorders>
              <w:top w:val="single" w:sz="4" w:space="0" w:color="ADD6EA"/>
              <w:left w:val="nil"/>
              <w:bottom w:val="single" w:sz="4" w:space="0" w:color="ADD6EA"/>
              <w:right w:val="nil"/>
            </w:tcBorders>
            <w:shd w:val="clear" w:color="000000" w:fill="006991"/>
            <w:noWrap/>
            <w:vAlign w:val="center"/>
            <w:hideMark/>
          </w:tcPr>
          <w:p w14:paraId="4F93CD41" w14:textId="77777777" w:rsidR="007E365E" w:rsidRPr="000C0F9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F91">
              <w:rPr>
                <w:rFonts w:ascii="Open Sans SemiBold" w:eastAsia="Times New Roman" w:hAnsi="Open Sans SemiBold" w:cs="Open Sans SemiBold"/>
                <w:color w:val="FFFFFF"/>
                <w:sz w:val="16"/>
                <w:szCs w:val="16"/>
                <w:lang w:eastAsia="en-AU"/>
              </w:rPr>
              <w:t>Tas</w:t>
            </w:r>
          </w:p>
        </w:tc>
        <w:tc>
          <w:tcPr>
            <w:tcW w:w="660" w:type="dxa"/>
            <w:tcBorders>
              <w:top w:val="single" w:sz="4" w:space="0" w:color="ADD6EA"/>
              <w:left w:val="nil"/>
              <w:bottom w:val="single" w:sz="4" w:space="0" w:color="ADD6EA"/>
              <w:right w:val="nil"/>
            </w:tcBorders>
            <w:shd w:val="clear" w:color="000000" w:fill="006991"/>
            <w:noWrap/>
            <w:vAlign w:val="center"/>
            <w:hideMark/>
          </w:tcPr>
          <w:p w14:paraId="743628CD" w14:textId="77777777" w:rsidR="007E365E" w:rsidRPr="000C0F9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F91">
              <w:rPr>
                <w:rFonts w:ascii="Open Sans SemiBold" w:eastAsia="Times New Roman" w:hAnsi="Open Sans SemiBold" w:cs="Open Sans SemiBold"/>
                <w:color w:val="FFFFFF"/>
                <w:sz w:val="16"/>
                <w:szCs w:val="16"/>
                <w:lang w:eastAsia="en-AU"/>
              </w:rPr>
              <w:t>ACT</w:t>
            </w:r>
          </w:p>
        </w:tc>
        <w:tc>
          <w:tcPr>
            <w:tcW w:w="740" w:type="dxa"/>
            <w:tcBorders>
              <w:top w:val="single" w:sz="4" w:space="0" w:color="ADD6EA"/>
              <w:left w:val="nil"/>
              <w:bottom w:val="single" w:sz="4" w:space="0" w:color="ADD6EA"/>
              <w:right w:val="nil"/>
            </w:tcBorders>
            <w:shd w:val="clear" w:color="000000" w:fill="006991"/>
            <w:noWrap/>
            <w:vAlign w:val="center"/>
            <w:hideMark/>
          </w:tcPr>
          <w:p w14:paraId="5CC839C8" w14:textId="77777777" w:rsidR="007E365E" w:rsidRPr="000C0F9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F91">
              <w:rPr>
                <w:rFonts w:ascii="Open Sans SemiBold" w:eastAsia="Times New Roman" w:hAnsi="Open Sans SemiBold" w:cs="Open Sans SemiBold"/>
                <w:color w:val="FFFFFF"/>
                <w:sz w:val="16"/>
                <w:szCs w:val="16"/>
                <w:lang w:eastAsia="en-AU"/>
              </w:rPr>
              <w:t>NT</w:t>
            </w:r>
          </w:p>
        </w:tc>
        <w:tc>
          <w:tcPr>
            <w:tcW w:w="820" w:type="dxa"/>
            <w:tcBorders>
              <w:top w:val="single" w:sz="4" w:space="0" w:color="ADD6EA"/>
              <w:left w:val="nil"/>
              <w:bottom w:val="single" w:sz="4" w:space="0" w:color="ADD6EA"/>
              <w:right w:val="nil"/>
            </w:tcBorders>
            <w:shd w:val="clear" w:color="000000" w:fill="006991"/>
            <w:noWrap/>
            <w:vAlign w:val="center"/>
            <w:hideMark/>
          </w:tcPr>
          <w:p w14:paraId="085D8A7F" w14:textId="77777777" w:rsidR="007E365E" w:rsidRPr="000C0F9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C0F91">
              <w:rPr>
                <w:rFonts w:ascii="Open Sans SemiBold" w:eastAsia="Times New Roman" w:hAnsi="Open Sans SemiBold" w:cs="Open Sans SemiBold"/>
                <w:color w:val="FFFFFF"/>
                <w:sz w:val="16"/>
                <w:szCs w:val="16"/>
                <w:lang w:eastAsia="en-AU"/>
              </w:rPr>
              <w:t>Total</w:t>
            </w:r>
          </w:p>
        </w:tc>
      </w:tr>
      <w:tr w:rsidR="007E365E" w:rsidRPr="000C0F91" w14:paraId="15D04898" w14:textId="77777777" w:rsidTr="007D1D77">
        <w:trPr>
          <w:trHeight w:val="315"/>
        </w:trPr>
        <w:tc>
          <w:tcPr>
            <w:tcW w:w="2360" w:type="dxa"/>
            <w:tcBorders>
              <w:top w:val="nil"/>
              <w:left w:val="nil"/>
              <w:bottom w:val="single" w:sz="4" w:space="0" w:color="ADD6EA"/>
              <w:right w:val="nil"/>
            </w:tcBorders>
            <w:shd w:val="clear" w:color="auto" w:fill="auto"/>
            <w:vAlign w:val="bottom"/>
            <w:hideMark/>
          </w:tcPr>
          <w:p w14:paraId="420E3E37" w14:textId="77777777" w:rsidR="007E365E" w:rsidRPr="000C0F91" w:rsidRDefault="007E365E" w:rsidP="007D1D77">
            <w:pPr>
              <w:tabs>
                <w:tab w:val="clear" w:pos="567"/>
              </w:tabs>
              <w:spacing w:before="0" w:line="240" w:lineRule="auto"/>
              <w:rPr>
                <w:rFonts w:eastAsia="Times New Roman" w:cs="Open Sans Light"/>
                <w:sz w:val="16"/>
                <w:szCs w:val="16"/>
                <w:lang w:eastAsia="en-AU"/>
              </w:rPr>
            </w:pPr>
            <w:r w:rsidRPr="000C0F91">
              <w:rPr>
                <w:rFonts w:eastAsia="Times New Roman" w:cs="Open Sans Light"/>
                <w:sz w:val="16"/>
                <w:szCs w:val="16"/>
                <w:lang w:eastAsia="en-AU"/>
              </w:rPr>
              <w:t>SDC assessed ($m)</w:t>
            </w:r>
          </w:p>
        </w:tc>
        <w:tc>
          <w:tcPr>
            <w:tcW w:w="760" w:type="dxa"/>
            <w:tcBorders>
              <w:top w:val="nil"/>
              <w:left w:val="nil"/>
              <w:bottom w:val="single" w:sz="4" w:space="0" w:color="ADD6EA"/>
              <w:right w:val="nil"/>
            </w:tcBorders>
            <w:shd w:val="clear" w:color="auto" w:fill="auto"/>
            <w:vAlign w:val="bottom"/>
            <w:hideMark/>
          </w:tcPr>
          <w:p w14:paraId="3775A131"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904</w:t>
            </w:r>
          </w:p>
        </w:tc>
        <w:tc>
          <w:tcPr>
            <w:tcW w:w="760" w:type="dxa"/>
            <w:tcBorders>
              <w:top w:val="nil"/>
              <w:left w:val="nil"/>
              <w:bottom w:val="single" w:sz="4" w:space="0" w:color="ADD6EA"/>
              <w:right w:val="nil"/>
            </w:tcBorders>
            <w:shd w:val="clear" w:color="auto" w:fill="auto"/>
            <w:vAlign w:val="bottom"/>
            <w:hideMark/>
          </w:tcPr>
          <w:p w14:paraId="36B5AD24"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673</w:t>
            </w:r>
          </w:p>
        </w:tc>
        <w:tc>
          <w:tcPr>
            <w:tcW w:w="760" w:type="dxa"/>
            <w:tcBorders>
              <w:top w:val="nil"/>
              <w:left w:val="nil"/>
              <w:bottom w:val="single" w:sz="4" w:space="0" w:color="ADD6EA"/>
              <w:right w:val="nil"/>
            </w:tcBorders>
            <w:shd w:val="clear" w:color="auto" w:fill="auto"/>
            <w:vAlign w:val="bottom"/>
            <w:hideMark/>
          </w:tcPr>
          <w:p w14:paraId="72C01DD5"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604</w:t>
            </w:r>
          </w:p>
        </w:tc>
        <w:tc>
          <w:tcPr>
            <w:tcW w:w="700" w:type="dxa"/>
            <w:tcBorders>
              <w:top w:val="nil"/>
              <w:left w:val="nil"/>
              <w:bottom w:val="single" w:sz="4" w:space="0" w:color="ADD6EA"/>
              <w:right w:val="nil"/>
            </w:tcBorders>
            <w:shd w:val="clear" w:color="auto" w:fill="auto"/>
            <w:vAlign w:val="bottom"/>
            <w:hideMark/>
          </w:tcPr>
          <w:p w14:paraId="4F4579D3"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303</w:t>
            </w:r>
          </w:p>
        </w:tc>
        <w:tc>
          <w:tcPr>
            <w:tcW w:w="640" w:type="dxa"/>
            <w:tcBorders>
              <w:top w:val="nil"/>
              <w:left w:val="nil"/>
              <w:bottom w:val="single" w:sz="4" w:space="0" w:color="ADD6EA"/>
              <w:right w:val="nil"/>
            </w:tcBorders>
            <w:shd w:val="clear" w:color="auto" w:fill="auto"/>
            <w:vAlign w:val="bottom"/>
            <w:hideMark/>
          </w:tcPr>
          <w:p w14:paraId="375F80D3"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207</w:t>
            </w:r>
          </w:p>
        </w:tc>
        <w:tc>
          <w:tcPr>
            <w:tcW w:w="740" w:type="dxa"/>
            <w:tcBorders>
              <w:top w:val="nil"/>
              <w:left w:val="nil"/>
              <w:bottom w:val="single" w:sz="4" w:space="0" w:color="ADD6EA"/>
              <w:right w:val="nil"/>
            </w:tcBorders>
            <w:shd w:val="clear" w:color="auto" w:fill="auto"/>
            <w:vAlign w:val="bottom"/>
            <w:hideMark/>
          </w:tcPr>
          <w:p w14:paraId="65DDEB14"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65</w:t>
            </w:r>
          </w:p>
        </w:tc>
        <w:tc>
          <w:tcPr>
            <w:tcW w:w="660" w:type="dxa"/>
            <w:tcBorders>
              <w:top w:val="nil"/>
              <w:left w:val="nil"/>
              <w:bottom w:val="single" w:sz="4" w:space="0" w:color="ADD6EA"/>
              <w:right w:val="nil"/>
            </w:tcBorders>
            <w:shd w:val="clear" w:color="auto" w:fill="auto"/>
            <w:vAlign w:val="bottom"/>
            <w:hideMark/>
          </w:tcPr>
          <w:p w14:paraId="0D904299"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34</w:t>
            </w:r>
          </w:p>
        </w:tc>
        <w:tc>
          <w:tcPr>
            <w:tcW w:w="740" w:type="dxa"/>
            <w:tcBorders>
              <w:top w:val="nil"/>
              <w:left w:val="nil"/>
              <w:bottom w:val="single" w:sz="4" w:space="0" w:color="ADD6EA"/>
              <w:right w:val="nil"/>
            </w:tcBorders>
            <w:shd w:val="clear" w:color="auto" w:fill="auto"/>
            <w:vAlign w:val="bottom"/>
            <w:hideMark/>
          </w:tcPr>
          <w:p w14:paraId="7257A35F"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78</w:t>
            </w:r>
          </w:p>
        </w:tc>
        <w:tc>
          <w:tcPr>
            <w:tcW w:w="820" w:type="dxa"/>
            <w:tcBorders>
              <w:top w:val="nil"/>
              <w:left w:val="nil"/>
              <w:bottom w:val="single" w:sz="4" w:space="0" w:color="ADD6EA"/>
              <w:right w:val="nil"/>
            </w:tcBorders>
            <w:shd w:val="clear" w:color="auto" w:fill="auto"/>
            <w:vAlign w:val="bottom"/>
            <w:hideMark/>
          </w:tcPr>
          <w:p w14:paraId="272371C5"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2,869</w:t>
            </w:r>
          </w:p>
        </w:tc>
      </w:tr>
      <w:tr w:rsidR="007E365E" w:rsidRPr="000C0F91" w14:paraId="69DE77CD" w14:textId="77777777" w:rsidTr="007D1D77">
        <w:trPr>
          <w:trHeight w:val="315"/>
        </w:trPr>
        <w:tc>
          <w:tcPr>
            <w:tcW w:w="2360" w:type="dxa"/>
            <w:tcBorders>
              <w:top w:val="nil"/>
              <w:left w:val="nil"/>
              <w:bottom w:val="single" w:sz="4" w:space="0" w:color="ADD6EA"/>
              <w:right w:val="nil"/>
            </w:tcBorders>
            <w:shd w:val="clear" w:color="auto" w:fill="auto"/>
            <w:vAlign w:val="bottom"/>
            <w:hideMark/>
          </w:tcPr>
          <w:p w14:paraId="727DA145" w14:textId="77777777" w:rsidR="007E365E" w:rsidRPr="000C0F91" w:rsidRDefault="007E365E" w:rsidP="007D1D77">
            <w:pPr>
              <w:tabs>
                <w:tab w:val="clear" w:pos="567"/>
              </w:tabs>
              <w:spacing w:before="0" w:line="240" w:lineRule="auto"/>
              <w:rPr>
                <w:rFonts w:eastAsia="Times New Roman" w:cs="Open Sans Light"/>
                <w:sz w:val="16"/>
                <w:szCs w:val="16"/>
                <w:lang w:eastAsia="en-AU"/>
              </w:rPr>
            </w:pPr>
            <w:r w:rsidRPr="000C0F91">
              <w:rPr>
                <w:rFonts w:eastAsia="Times New Roman" w:cs="Open Sans Light"/>
                <w:sz w:val="16"/>
                <w:szCs w:val="16"/>
                <w:lang w:eastAsia="en-AU"/>
              </w:rPr>
              <w:t>Wages cost factor</w:t>
            </w:r>
          </w:p>
        </w:tc>
        <w:tc>
          <w:tcPr>
            <w:tcW w:w="760" w:type="dxa"/>
            <w:tcBorders>
              <w:top w:val="nil"/>
              <w:left w:val="nil"/>
              <w:bottom w:val="single" w:sz="4" w:space="0" w:color="ADD6EA"/>
              <w:right w:val="nil"/>
            </w:tcBorders>
            <w:shd w:val="clear" w:color="auto" w:fill="auto"/>
            <w:vAlign w:val="bottom"/>
            <w:hideMark/>
          </w:tcPr>
          <w:p w14:paraId="58A0BACB"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1.007</w:t>
            </w:r>
          </w:p>
        </w:tc>
        <w:tc>
          <w:tcPr>
            <w:tcW w:w="760" w:type="dxa"/>
            <w:tcBorders>
              <w:top w:val="nil"/>
              <w:left w:val="nil"/>
              <w:bottom w:val="single" w:sz="4" w:space="0" w:color="ADD6EA"/>
              <w:right w:val="nil"/>
            </w:tcBorders>
            <w:shd w:val="clear" w:color="auto" w:fill="auto"/>
            <w:vAlign w:val="bottom"/>
            <w:hideMark/>
          </w:tcPr>
          <w:p w14:paraId="292AD8C9"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0.993</w:t>
            </w:r>
          </w:p>
        </w:tc>
        <w:tc>
          <w:tcPr>
            <w:tcW w:w="760" w:type="dxa"/>
            <w:tcBorders>
              <w:top w:val="nil"/>
              <w:left w:val="nil"/>
              <w:bottom w:val="single" w:sz="4" w:space="0" w:color="ADD6EA"/>
              <w:right w:val="nil"/>
            </w:tcBorders>
            <w:shd w:val="clear" w:color="auto" w:fill="auto"/>
            <w:vAlign w:val="bottom"/>
            <w:hideMark/>
          </w:tcPr>
          <w:p w14:paraId="6BCB6518"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0.995</w:t>
            </w:r>
          </w:p>
        </w:tc>
        <w:tc>
          <w:tcPr>
            <w:tcW w:w="700" w:type="dxa"/>
            <w:tcBorders>
              <w:top w:val="nil"/>
              <w:left w:val="nil"/>
              <w:bottom w:val="single" w:sz="4" w:space="0" w:color="ADD6EA"/>
              <w:right w:val="nil"/>
            </w:tcBorders>
            <w:shd w:val="clear" w:color="auto" w:fill="auto"/>
            <w:vAlign w:val="bottom"/>
            <w:hideMark/>
          </w:tcPr>
          <w:p w14:paraId="74F22DE5"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1.020</w:t>
            </w:r>
          </w:p>
        </w:tc>
        <w:tc>
          <w:tcPr>
            <w:tcW w:w="640" w:type="dxa"/>
            <w:tcBorders>
              <w:top w:val="nil"/>
              <w:left w:val="nil"/>
              <w:bottom w:val="single" w:sz="4" w:space="0" w:color="ADD6EA"/>
              <w:right w:val="nil"/>
            </w:tcBorders>
            <w:shd w:val="clear" w:color="auto" w:fill="auto"/>
            <w:vAlign w:val="bottom"/>
            <w:hideMark/>
          </w:tcPr>
          <w:p w14:paraId="09D7A4DA"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0.976</w:t>
            </w:r>
          </w:p>
        </w:tc>
        <w:tc>
          <w:tcPr>
            <w:tcW w:w="740" w:type="dxa"/>
            <w:tcBorders>
              <w:top w:val="nil"/>
              <w:left w:val="nil"/>
              <w:bottom w:val="single" w:sz="4" w:space="0" w:color="ADD6EA"/>
              <w:right w:val="nil"/>
            </w:tcBorders>
            <w:shd w:val="clear" w:color="auto" w:fill="auto"/>
            <w:vAlign w:val="bottom"/>
            <w:hideMark/>
          </w:tcPr>
          <w:p w14:paraId="30DC0002"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0.968</w:t>
            </w:r>
          </w:p>
        </w:tc>
        <w:tc>
          <w:tcPr>
            <w:tcW w:w="660" w:type="dxa"/>
            <w:tcBorders>
              <w:top w:val="nil"/>
              <w:left w:val="nil"/>
              <w:bottom w:val="single" w:sz="4" w:space="0" w:color="ADD6EA"/>
              <w:right w:val="nil"/>
            </w:tcBorders>
            <w:shd w:val="clear" w:color="auto" w:fill="auto"/>
            <w:vAlign w:val="bottom"/>
            <w:hideMark/>
          </w:tcPr>
          <w:p w14:paraId="02F92B24"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1.022</w:t>
            </w:r>
          </w:p>
        </w:tc>
        <w:tc>
          <w:tcPr>
            <w:tcW w:w="740" w:type="dxa"/>
            <w:tcBorders>
              <w:top w:val="nil"/>
              <w:left w:val="nil"/>
              <w:bottom w:val="single" w:sz="4" w:space="0" w:color="ADD6EA"/>
              <w:right w:val="nil"/>
            </w:tcBorders>
            <w:shd w:val="clear" w:color="auto" w:fill="auto"/>
            <w:vAlign w:val="bottom"/>
            <w:hideMark/>
          </w:tcPr>
          <w:p w14:paraId="2BF8B276"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1.033</w:t>
            </w:r>
          </w:p>
        </w:tc>
        <w:tc>
          <w:tcPr>
            <w:tcW w:w="820" w:type="dxa"/>
            <w:tcBorders>
              <w:top w:val="nil"/>
              <w:left w:val="nil"/>
              <w:bottom w:val="single" w:sz="4" w:space="0" w:color="ADD6EA"/>
              <w:right w:val="nil"/>
            </w:tcBorders>
            <w:shd w:val="clear" w:color="auto" w:fill="auto"/>
            <w:vAlign w:val="bottom"/>
            <w:hideMark/>
          </w:tcPr>
          <w:p w14:paraId="7EE31D0D" w14:textId="77777777" w:rsidR="007E365E" w:rsidRPr="000C0F91" w:rsidRDefault="007E365E" w:rsidP="007D1D77">
            <w:pPr>
              <w:tabs>
                <w:tab w:val="clear" w:pos="567"/>
              </w:tabs>
              <w:spacing w:before="0" w:line="240" w:lineRule="auto"/>
              <w:jc w:val="right"/>
              <w:rPr>
                <w:rFonts w:eastAsia="Times New Roman" w:cs="Open Sans Light"/>
                <w:sz w:val="16"/>
                <w:szCs w:val="16"/>
                <w:lang w:eastAsia="en-AU"/>
              </w:rPr>
            </w:pPr>
            <w:r w:rsidRPr="000C0F91">
              <w:rPr>
                <w:rFonts w:eastAsia="Times New Roman" w:cs="Open Sans Light"/>
                <w:sz w:val="16"/>
                <w:szCs w:val="16"/>
                <w:lang w:eastAsia="en-AU"/>
              </w:rPr>
              <w:t>1.000</w:t>
            </w:r>
          </w:p>
        </w:tc>
      </w:tr>
      <w:tr w:rsidR="007E365E" w:rsidRPr="000C0F91" w14:paraId="0D464B29" w14:textId="77777777" w:rsidTr="007D1D77">
        <w:trPr>
          <w:trHeight w:val="315"/>
        </w:trPr>
        <w:tc>
          <w:tcPr>
            <w:tcW w:w="2360" w:type="dxa"/>
            <w:tcBorders>
              <w:top w:val="single" w:sz="4" w:space="0" w:color="ADD6EA"/>
              <w:left w:val="nil"/>
              <w:bottom w:val="single" w:sz="4" w:space="0" w:color="ADD6EA"/>
              <w:right w:val="nil"/>
            </w:tcBorders>
            <w:shd w:val="clear" w:color="auto" w:fill="D6E7F0"/>
            <w:vAlign w:val="bottom"/>
            <w:hideMark/>
          </w:tcPr>
          <w:p w14:paraId="16A6EBE3" w14:textId="77777777" w:rsidR="007E365E" w:rsidRPr="002A68C5"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Assessed expenses ($m)</w:t>
            </w:r>
          </w:p>
        </w:tc>
        <w:tc>
          <w:tcPr>
            <w:tcW w:w="760" w:type="dxa"/>
            <w:tcBorders>
              <w:top w:val="single" w:sz="4" w:space="0" w:color="ADD6EA"/>
              <w:left w:val="nil"/>
              <w:bottom w:val="single" w:sz="4" w:space="0" w:color="ADD6EA"/>
              <w:right w:val="nil"/>
            </w:tcBorders>
            <w:shd w:val="clear" w:color="auto" w:fill="D6E7F0"/>
            <w:vAlign w:val="bottom"/>
            <w:hideMark/>
          </w:tcPr>
          <w:p w14:paraId="1CB412F9"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911</w:t>
            </w:r>
          </w:p>
        </w:tc>
        <w:tc>
          <w:tcPr>
            <w:tcW w:w="760" w:type="dxa"/>
            <w:tcBorders>
              <w:top w:val="single" w:sz="4" w:space="0" w:color="ADD6EA"/>
              <w:left w:val="nil"/>
              <w:bottom w:val="single" w:sz="4" w:space="0" w:color="ADD6EA"/>
              <w:right w:val="nil"/>
            </w:tcBorders>
            <w:shd w:val="clear" w:color="auto" w:fill="D6E7F0"/>
            <w:vAlign w:val="bottom"/>
            <w:hideMark/>
          </w:tcPr>
          <w:p w14:paraId="43489414"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668</w:t>
            </w:r>
          </w:p>
        </w:tc>
        <w:tc>
          <w:tcPr>
            <w:tcW w:w="760" w:type="dxa"/>
            <w:tcBorders>
              <w:top w:val="single" w:sz="4" w:space="0" w:color="ADD6EA"/>
              <w:left w:val="nil"/>
              <w:bottom w:val="single" w:sz="4" w:space="0" w:color="ADD6EA"/>
              <w:right w:val="nil"/>
            </w:tcBorders>
            <w:shd w:val="clear" w:color="auto" w:fill="D6E7F0"/>
            <w:vAlign w:val="bottom"/>
            <w:hideMark/>
          </w:tcPr>
          <w:p w14:paraId="526590E4"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601</w:t>
            </w:r>
          </w:p>
        </w:tc>
        <w:tc>
          <w:tcPr>
            <w:tcW w:w="700" w:type="dxa"/>
            <w:tcBorders>
              <w:top w:val="single" w:sz="4" w:space="0" w:color="ADD6EA"/>
              <w:left w:val="nil"/>
              <w:bottom w:val="single" w:sz="4" w:space="0" w:color="ADD6EA"/>
              <w:right w:val="nil"/>
            </w:tcBorders>
            <w:shd w:val="clear" w:color="auto" w:fill="D6E7F0"/>
            <w:vAlign w:val="bottom"/>
            <w:hideMark/>
          </w:tcPr>
          <w:p w14:paraId="1D745B90"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310</w:t>
            </w:r>
          </w:p>
        </w:tc>
        <w:tc>
          <w:tcPr>
            <w:tcW w:w="640" w:type="dxa"/>
            <w:tcBorders>
              <w:top w:val="single" w:sz="4" w:space="0" w:color="ADD6EA"/>
              <w:left w:val="nil"/>
              <w:bottom w:val="single" w:sz="4" w:space="0" w:color="ADD6EA"/>
              <w:right w:val="nil"/>
            </w:tcBorders>
            <w:shd w:val="clear" w:color="auto" w:fill="D6E7F0"/>
            <w:vAlign w:val="bottom"/>
            <w:hideMark/>
          </w:tcPr>
          <w:p w14:paraId="13E969E6"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201</w:t>
            </w:r>
          </w:p>
        </w:tc>
        <w:tc>
          <w:tcPr>
            <w:tcW w:w="740" w:type="dxa"/>
            <w:tcBorders>
              <w:top w:val="single" w:sz="4" w:space="0" w:color="ADD6EA"/>
              <w:left w:val="nil"/>
              <w:bottom w:val="single" w:sz="4" w:space="0" w:color="ADD6EA"/>
              <w:right w:val="nil"/>
            </w:tcBorders>
            <w:shd w:val="clear" w:color="auto" w:fill="D6E7F0"/>
            <w:vAlign w:val="bottom"/>
            <w:hideMark/>
          </w:tcPr>
          <w:p w14:paraId="7C905413"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63</w:t>
            </w:r>
          </w:p>
        </w:tc>
        <w:tc>
          <w:tcPr>
            <w:tcW w:w="660" w:type="dxa"/>
            <w:tcBorders>
              <w:top w:val="single" w:sz="4" w:space="0" w:color="ADD6EA"/>
              <w:left w:val="nil"/>
              <w:bottom w:val="single" w:sz="4" w:space="0" w:color="ADD6EA"/>
              <w:right w:val="nil"/>
            </w:tcBorders>
            <w:shd w:val="clear" w:color="auto" w:fill="D6E7F0"/>
            <w:vAlign w:val="bottom"/>
            <w:hideMark/>
          </w:tcPr>
          <w:p w14:paraId="47F64D98"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35</w:t>
            </w:r>
          </w:p>
        </w:tc>
        <w:tc>
          <w:tcPr>
            <w:tcW w:w="740" w:type="dxa"/>
            <w:tcBorders>
              <w:top w:val="single" w:sz="4" w:space="0" w:color="ADD6EA"/>
              <w:left w:val="nil"/>
              <w:bottom w:val="single" w:sz="4" w:space="0" w:color="ADD6EA"/>
              <w:right w:val="nil"/>
            </w:tcBorders>
            <w:shd w:val="clear" w:color="auto" w:fill="D6E7F0"/>
            <w:vAlign w:val="bottom"/>
            <w:hideMark/>
          </w:tcPr>
          <w:p w14:paraId="4F0BA140"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81</w:t>
            </w:r>
          </w:p>
        </w:tc>
        <w:tc>
          <w:tcPr>
            <w:tcW w:w="820" w:type="dxa"/>
            <w:tcBorders>
              <w:top w:val="single" w:sz="4" w:space="0" w:color="ADD6EA"/>
              <w:left w:val="nil"/>
              <w:bottom w:val="single" w:sz="4" w:space="0" w:color="ADD6EA"/>
              <w:right w:val="nil"/>
            </w:tcBorders>
            <w:shd w:val="clear" w:color="auto" w:fill="D6E7F0"/>
            <w:vAlign w:val="bottom"/>
            <w:hideMark/>
          </w:tcPr>
          <w:p w14:paraId="0C35F6B6"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2,869</w:t>
            </w:r>
          </w:p>
        </w:tc>
      </w:tr>
      <w:tr w:rsidR="007E365E" w:rsidRPr="000C0F91" w14:paraId="5F6A4BC3" w14:textId="77777777" w:rsidTr="007D1D77">
        <w:trPr>
          <w:trHeight w:val="315"/>
        </w:trPr>
        <w:tc>
          <w:tcPr>
            <w:tcW w:w="2360" w:type="dxa"/>
            <w:tcBorders>
              <w:top w:val="single" w:sz="4" w:space="0" w:color="ADD6EA"/>
              <w:left w:val="nil"/>
              <w:bottom w:val="single" w:sz="4" w:space="0" w:color="ADD6EA"/>
              <w:right w:val="nil"/>
            </w:tcBorders>
            <w:shd w:val="clear" w:color="auto" w:fill="D6E7F0"/>
            <w:vAlign w:val="bottom"/>
            <w:hideMark/>
          </w:tcPr>
          <w:p w14:paraId="5CBE095B" w14:textId="77777777" w:rsidR="007E365E" w:rsidRPr="002A68C5"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Assessed expenses ($pc)</w:t>
            </w:r>
          </w:p>
        </w:tc>
        <w:tc>
          <w:tcPr>
            <w:tcW w:w="760" w:type="dxa"/>
            <w:tcBorders>
              <w:top w:val="single" w:sz="4" w:space="0" w:color="ADD6EA"/>
              <w:left w:val="nil"/>
              <w:bottom w:val="single" w:sz="4" w:space="0" w:color="ADD6EA"/>
              <w:right w:val="nil"/>
            </w:tcBorders>
            <w:shd w:val="clear" w:color="auto" w:fill="D6E7F0"/>
            <w:vAlign w:val="bottom"/>
            <w:hideMark/>
          </w:tcPr>
          <w:p w14:paraId="0179E15F"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113</w:t>
            </w:r>
          </w:p>
        </w:tc>
        <w:tc>
          <w:tcPr>
            <w:tcW w:w="760" w:type="dxa"/>
            <w:tcBorders>
              <w:top w:val="single" w:sz="4" w:space="0" w:color="ADD6EA"/>
              <w:left w:val="nil"/>
              <w:bottom w:val="single" w:sz="4" w:space="0" w:color="ADD6EA"/>
              <w:right w:val="nil"/>
            </w:tcBorders>
            <w:shd w:val="clear" w:color="auto" w:fill="D6E7F0"/>
            <w:vAlign w:val="bottom"/>
            <w:hideMark/>
          </w:tcPr>
          <w:p w14:paraId="3BC7AFE9"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102</w:t>
            </w:r>
          </w:p>
        </w:tc>
        <w:tc>
          <w:tcPr>
            <w:tcW w:w="760" w:type="dxa"/>
            <w:tcBorders>
              <w:top w:val="single" w:sz="4" w:space="0" w:color="ADD6EA"/>
              <w:left w:val="nil"/>
              <w:bottom w:val="single" w:sz="4" w:space="0" w:color="ADD6EA"/>
              <w:right w:val="nil"/>
            </w:tcBorders>
            <w:shd w:val="clear" w:color="auto" w:fill="D6E7F0"/>
            <w:vAlign w:val="bottom"/>
            <w:hideMark/>
          </w:tcPr>
          <w:p w14:paraId="76B45289"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119</w:t>
            </w:r>
          </w:p>
        </w:tc>
        <w:tc>
          <w:tcPr>
            <w:tcW w:w="700" w:type="dxa"/>
            <w:tcBorders>
              <w:top w:val="single" w:sz="4" w:space="0" w:color="ADD6EA"/>
              <w:left w:val="nil"/>
              <w:bottom w:val="single" w:sz="4" w:space="0" w:color="ADD6EA"/>
              <w:right w:val="nil"/>
            </w:tcBorders>
            <w:shd w:val="clear" w:color="auto" w:fill="D6E7F0"/>
            <w:vAlign w:val="bottom"/>
            <w:hideMark/>
          </w:tcPr>
          <w:p w14:paraId="7ECF55B7"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119</w:t>
            </w:r>
          </w:p>
        </w:tc>
        <w:tc>
          <w:tcPr>
            <w:tcW w:w="640" w:type="dxa"/>
            <w:tcBorders>
              <w:top w:val="single" w:sz="4" w:space="0" w:color="ADD6EA"/>
              <w:left w:val="nil"/>
              <w:bottom w:val="single" w:sz="4" w:space="0" w:color="ADD6EA"/>
              <w:right w:val="nil"/>
            </w:tcBorders>
            <w:shd w:val="clear" w:color="auto" w:fill="D6E7F0"/>
            <w:vAlign w:val="bottom"/>
            <w:hideMark/>
          </w:tcPr>
          <w:p w14:paraId="731848BC"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116</w:t>
            </w:r>
          </w:p>
        </w:tc>
        <w:tc>
          <w:tcPr>
            <w:tcW w:w="740" w:type="dxa"/>
            <w:tcBorders>
              <w:top w:val="single" w:sz="4" w:space="0" w:color="ADD6EA"/>
              <w:left w:val="nil"/>
              <w:bottom w:val="single" w:sz="4" w:space="0" w:color="ADD6EA"/>
              <w:right w:val="nil"/>
            </w:tcBorders>
            <w:shd w:val="clear" w:color="auto" w:fill="D6E7F0"/>
            <w:vAlign w:val="bottom"/>
            <w:hideMark/>
          </w:tcPr>
          <w:p w14:paraId="05AB4CDC"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119</w:t>
            </w:r>
          </w:p>
        </w:tc>
        <w:tc>
          <w:tcPr>
            <w:tcW w:w="660" w:type="dxa"/>
            <w:tcBorders>
              <w:top w:val="single" w:sz="4" w:space="0" w:color="ADD6EA"/>
              <w:left w:val="nil"/>
              <w:bottom w:val="single" w:sz="4" w:space="0" w:color="ADD6EA"/>
              <w:right w:val="nil"/>
            </w:tcBorders>
            <w:shd w:val="clear" w:color="auto" w:fill="D6E7F0"/>
            <w:vAlign w:val="bottom"/>
            <w:hideMark/>
          </w:tcPr>
          <w:p w14:paraId="17B05171"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82</w:t>
            </w:r>
          </w:p>
        </w:tc>
        <w:tc>
          <w:tcPr>
            <w:tcW w:w="740" w:type="dxa"/>
            <w:tcBorders>
              <w:top w:val="single" w:sz="4" w:space="0" w:color="ADD6EA"/>
              <w:left w:val="nil"/>
              <w:bottom w:val="single" w:sz="4" w:space="0" w:color="ADD6EA"/>
              <w:right w:val="nil"/>
            </w:tcBorders>
            <w:shd w:val="clear" w:color="auto" w:fill="D6E7F0"/>
            <w:vAlign w:val="bottom"/>
            <w:hideMark/>
          </w:tcPr>
          <w:p w14:paraId="62311465"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329</w:t>
            </w:r>
          </w:p>
        </w:tc>
        <w:tc>
          <w:tcPr>
            <w:tcW w:w="820" w:type="dxa"/>
            <w:tcBorders>
              <w:top w:val="single" w:sz="4" w:space="0" w:color="ADD6EA"/>
              <w:left w:val="nil"/>
              <w:bottom w:val="single" w:sz="4" w:space="0" w:color="ADD6EA"/>
              <w:right w:val="nil"/>
            </w:tcBorders>
            <w:shd w:val="clear" w:color="auto" w:fill="D6E7F0"/>
            <w:vAlign w:val="bottom"/>
            <w:hideMark/>
          </w:tcPr>
          <w:p w14:paraId="0FE85750"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114</w:t>
            </w:r>
          </w:p>
        </w:tc>
      </w:tr>
    </w:tbl>
    <w:p w14:paraId="0BE95E6C" w14:textId="77777777" w:rsidR="007E365E" w:rsidRPr="00173B02" w:rsidRDefault="007E365E" w:rsidP="007E365E">
      <w:pPr>
        <w:pStyle w:val="CGCTablenote"/>
      </w:pPr>
      <w:r w:rsidRPr="00173B02">
        <w:t>Note:</w:t>
      </w:r>
      <w:r w:rsidRPr="00173B02">
        <w:tab/>
        <w:t xml:space="preserve">Regional cost effects are included in the SDC assessed expenses. </w:t>
      </w:r>
    </w:p>
    <w:p w14:paraId="12D7FBE7" w14:textId="77777777" w:rsidR="007E365E" w:rsidRPr="00173B02" w:rsidRDefault="007E365E" w:rsidP="007E365E">
      <w:pPr>
        <w:pStyle w:val="CGCTablenote"/>
      </w:pPr>
      <w:r w:rsidRPr="00173B02">
        <w:t>Source:</w:t>
      </w:r>
      <w:r w:rsidRPr="00173B02">
        <w:tab/>
        <w:t>Commission calculation.</w:t>
      </w:r>
    </w:p>
    <w:p w14:paraId="02E775E8" w14:textId="77777777" w:rsidR="007E365E" w:rsidRPr="00173B02" w:rsidRDefault="007E365E" w:rsidP="007E365E">
      <w:pPr>
        <w:pStyle w:val="Heading4"/>
      </w:pPr>
      <w:bookmarkStart w:id="60" w:name="_Toc5893820"/>
      <w:bookmarkStart w:id="61" w:name="_Toc6487585"/>
      <w:bookmarkStart w:id="62" w:name="_Toc6487623"/>
      <w:bookmarkStart w:id="63" w:name="_Toc7442877"/>
      <w:bookmarkStart w:id="64" w:name="_Toc23500156"/>
      <w:r w:rsidRPr="00173B02">
        <w:t>Other legal services</w:t>
      </w:r>
      <w:bookmarkEnd w:id="60"/>
      <w:bookmarkEnd w:id="61"/>
      <w:bookmarkEnd w:id="62"/>
      <w:bookmarkEnd w:id="63"/>
      <w:bookmarkEnd w:id="64"/>
    </w:p>
    <w:p w14:paraId="04A30679" w14:textId="77777777" w:rsidR="007E365E" w:rsidRPr="00173B02" w:rsidRDefault="007E365E" w:rsidP="007E365E">
      <w:pPr>
        <w:pStyle w:val="CGCParaNumber"/>
      </w:pPr>
      <w:r w:rsidRPr="00173B02">
        <w:t>Other legal services entail court and legal expenses not included in criminal courts. Expenses for this component include those legal services not associated with the prosecution or defence of criminal legal cases. This covers a wide range of functions, including:</w:t>
      </w:r>
    </w:p>
    <w:p w14:paraId="7D3C047B" w14:textId="77777777" w:rsidR="007E365E" w:rsidRPr="009D66AD" w:rsidRDefault="007E365E" w:rsidP="007E365E">
      <w:pPr>
        <w:pStyle w:val="CGCBullet1"/>
        <w:numPr>
          <w:ilvl w:val="0"/>
          <w:numId w:val="18"/>
        </w:numPr>
        <w:ind w:left="924" w:hanging="357"/>
      </w:pPr>
      <w:r w:rsidRPr="009D66AD">
        <w:t>civil courts</w:t>
      </w:r>
    </w:p>
    <w:p w14:paraId="0284E02F" w14:textId="77777777" w:rsidR="007E365E" w:rsidRPr="009D66AD" w:rsidRDefault="007E365E" w:rsidP="007E365E">
      <w:pPr>
        <w:pStyle w:val="CGCBullet1"/>
        <w:numPr>
          <w:ilvl w:val="0"/>
          <w:numId w:val="18"/>
        </w:numPr>
        <w:ind w:left="924" w:hanging="357"/>
      </w:pPr>
      <w:r w:rsidRPr="009D66AD">
        <w:t>Attorney-General departments</w:t>
      </w:r>
    </w:p>
    <w:p w14:paraId="3E9918DB" w14:textId="77777777" w:rsidR="007E365E" w:rsidRPr="009D66AD" w:rsidRDefault="007E365E" w:rsidP="007E365E">
      <w:pPr>
        <w:pStyle w:val="CGCBullet1"/>
        <w:numPr>
          <w:ilvl w:val="0"/>
          <w:numId w:val="18"/>
        </w:numPr>
        <w:ind w:left="924" w:hanging="357"/>
      </w:pPr>
      <w:r w:rsidRPr="009D66AD">
        <w:t>crown solicitors</w:t>
      </w:r>
    </w:p>
    <w:p w14:paraId="125B62BB" w14:textId="77777777" w:rsidR="007E365E" w:rsidRPr="009D66AD" w:rsidRDefault="007E365E" w:rsidP="007E365E">
      <w:pPr>
        <w:pStyle w:val="CGCBullet1"/>
        <w:numPr>
          <w:ilvl w:val="0"/>
          <w:numId w:val="18"/>
        </w:numPr>
        <w:ind w:left="924" w:hanging="357"/>
      </w:pPr>
      <w:r w:rsidRPr="009D66AD">
        <w:t>law reform commissions.</w:t>
      </w:r>
    </w:p>
    <w:p w14:paraId="56E749E4" w14:textId="77777777" w:rsidR="007E365E" w:rsidRPr="00173B02" w:rsidRDefault="007E365E" w:rsidP="007E365E">
      <w:pPr>
        <w:pStyle w:val="CGCParaNumber"/>
      </w:pPr>
      <w:r w:rsidRPr="00173B02">
        <w:t xml:space="preserve">Expenses within other legal services will be assessed on an EPC basis, as neither the Commission nor States have identified any conceptual basis for certain groups to be higher users of these services. </w:t>
      </w:r>
    </w:p>
    <w:p w14:paraId="020AA53F" w14:textId="77777777" w:rsidR="007E365E" w:rsidRPr="00173B02" w:rsidRDefault="007E365E" w:rsidP="007E365E">
      <w:pPr>
        <w:pStyle w:val="Heading5"/>
      </w:pPr>
      <w:r w:rsidRPr="00173B02">
        <w:t>Regional costs</w:t>
      </w:r>
    </w:p>
    <w:p w14:paraId="6D720733" w14:textId="77777777" w:rsidR="007E365E" w:rsidRPr="00173B02" w:rsidRDefault="007E365E" w:rsidP="007E365E">
      <w:pPr>
        <w:pStyle w:val="CGCParaNumber"/>
      </w:pPr>
      <w:r w:rsidRPr="00173B02">
        <w:t xml:space="preserve">The regional cost gradient for criminal courts has been extrapolated and applied to the civil court part of other legal services. As most other legal services are provided from a centralised </w:t>
      </w:r>
      <w:r w:rsidRPr="00173B02">
        <w:lastRenderedPageBreak/>
        <w:t xml:space="preserve">location, the regional factor will only apply to </w:t>
      </w:r>
      <w:r w:rsidRPr="003E6A2A">
        <w:t xml:space="preserve">the </w:t>
      </w:r>
      <w:r>
        <w:t>civil</w:t>
      </w:r>
      <w:r w:rsidRPr="00B856F0">
        <w:t xml:space="preserve"> court</w:t>
      </w:r>
      <w:r w:rsidRPr="00173B02">
        <w:t xml:space="preserve">-related costs which are about </w:t>
      </w:r>
      <w:r>
        <w:t>30</w:t>
      </w:r>
      <w:r w:rsidRPr="00173B02">
        <w:t>% of other legal services expenses.</w:t>
      </w:r>
    </w:p>
    <w:p w14:paraId="4A8B1AE7" w14:textId="77777777" w:rsidR="007E365E" w:rsidRPr="00173B02" w:rsidRDefault="007E365E" w:rsidP="007E365E">
      <w:pPr>
        <w:pStyle w:val="CGCParaNumber"/>
      </w:pPr>
      <w:r w:rsidRPr="00173B02">
        <w:t xml:space="preserve">Some State data suggested that the cost gradient for civil cases is steeper than for criminal cases. However, this is largely due to the lower throughput. Given that the assessment assumes </w:t>
      </w:r>
      <w:r>
        <w:t>EPC</w:t>
      </w:r>
      <w:r w:rsidRPr="00173B02">
        <w:t xml:space="preserve"> cases, the effect of lower throughput on use is not assessed, and therefore should not be assessed for countervailing the cost effect. The gradient measured for criminal cases is applied to civil cases, but not to other legal services. </w:t>
      </w:r>
    </w:p>
    <w:p w14:paraId="5593E58F" w14:textId="77777777" w:rsidR="007E365E" w:rsidRPr="00173B02" w:rsidRDefault="007E365E" w:rsidP="007E365E">
      <w:pPr>
        <w:pStyle w:val="Heading5"/>
      </w:pPr>
      <w:r w:rsidRPr="00173B02">
        <w:t>Wage costs</w:t>
      </w:r>
    </w:p>
    <w:p w14:paraId="25DA9064" w14:textId="77777777" w:rsidR="007E365E" w:rsidRPr="00173B02" w:rsidRDefault="007E365E" w:rsidP="007E365E">
      <w:pPr>
        <w:pStyle w:val="CGCParaNumber"/>
      </w:pPr>
      <w:r w:rsidRPr="00173B02">
        <w:t xml:space="preserve">Differences in wage costs between States have a differential effect on the cost of providing services. There is a general method for measuring the influence of wage costs in components where the disability applies. For a description of the method, see Chapter 27 Wage costs. </w:t>
      </w:r>
    </w:p>
    <w:p w14:paraId="4CE22651" w14:textId="77777777" w:rsidR="007E365E" w:rsidRPr="00173B02" w:rsidRDefault="007E365E" w:rsidP="007E365E">
      <w:pPr>
        <w:pStyle w:val="Heading5"/>
      </w:pPr>
      <w:r w:rsidRPr="00173B02">
        <w:t>Data and methods</w:t>
      </w:r>
    </w:p>
    <w:p w14:paraId="1AE4D109" w14:textId="77777777" w:rsidR="007E365E" w:rsidRPr="00173B02" w:rsidRDefault="007E365E" w:rsidP="007E365E">
      <w:pPr>
        <w:pStyle w:val="CGCParaNumber"/>
      </w:pPr>
      <w:r w:rsidRPr="00173B02">
        <w:t xml:space="preserve">Other legal services are assessed on an EPC basis, with an adjustment for the higher cost of providing civil courts in regional areas, and an adjustment for wage costs. </w:t>
      </w:r>
    </w:p>
    <w:p w14:paraId="5734176A" w14:textId="77777777" w:rsidR="007E365E" w:rsidRPr="00173B02" w:rsidRDefault="007E365E" w:rsidP="007E365E">
      <w:pPr>
        <w:pStyle w:val="Heading5"/>
      </w:pPr>
      <w:r w:rsidRPr="00173B02">
        <w:t>Component calculations</w:t>
      </w:r>
    </w:p>
    <w:p w14:paraId="047332D9" w14:textId="0A2CC610" w:rsidR="007E365E" w:rsidRPr="00173B02" w:rsidRDefault="007E365E" w:rsidP="007E365E">
      <w:pPr>
        <w:pStyle w:val="CGCParaNumber"/>
      </w:pPr>
      <w:r w:rsidRPr="00173B02">
        <w:fldChar w:fldCharType="begin"/>
      </w:r>
      <w:r w:rsidRPr="00173B02">
        <w:instrText xml:space="preserve"> REF _Ref7534724 \h </w:instrText>
      </w:r>
      <w:r>
        <w:instrText xml:space="preserve"> \* MERGEFORMAT </w:instrText>
      </w:r>
      <w:r w:rsidRPr="00173B02">
        <w:fldChar w:fldCharType="separate"/>
      </w:r>
      <w:r w:rsidR="007F721A" w:rsidRPr="00173B02">
        <w:t xml:space="preserve">Table </w:t>
      </w:r>
      <w:r w:rsidR="007F721A">
        <w:rPr>
          <w:noProof/>
        </w:rPr>
        <w:t>19-12</w:t>
      </w:r>
      <w:r w:rsidRPr="00173B02">
        <w:fldChar w:fldCharType="end"/>
      </w:r>
      <w:r w:rsidRPr="00173B02">
        <w:t xml:space="preserve"> shows the calculation of total assessed expenses for the component in 201</w:t>
      </w:r>
      <w:r>
        <w:t>8</w:t>
      </w:r>
      <w:r w:rsidRPr="00173B02">
        <w:noBreakHyphen/>
        <w:t>1</w:t>
      </w:r>
      <w:r>
        <w:t>9</w:t>
      </w:r>
      <w:r w:rsidRPr="00173B02">
        <w:t>.</w:t>
      </w:r>
    </w:p>
    <w:p w14:paraId="5272738A" w14:textId="4038F273" w:rsidR="007E365E" w:rsidRPr="00173B02" w:rsidRDefault="007E365E" w:rsidP="007E365E">
      <w:pPr>
        <w:pStyle w:val="Caption"/>
      </w:pPr>
      <w:bookmarkStart w:id="65" w:name="_Ref7534724"/>
      <w:r w:rsidRPr="00173B02">
        <w:t xml:space="preserve">Table </w:t>
      </w:r>
      <w:r>
        <w:t>19-</w:t>
      </w:r>
      <w:fldSimple w:instr=" SEQ Table \* ARABIC ">
        <w:r w:rsidR="007F721A">
          <w:rPr>
            <w:noProof/>
          </w:rPr>
          <w:t>12</w:t>
        </w:r>
      </w:fldSimple>
      <w:bookmarkEnd w:id="65"/>
      <w:r>
        <w:rPr>
          <w:noProof/>
        </w:rPr>
        <w:tab/>
      </w:r>
      <w:r>
        <w:t>O</w:t>
      </w:r>
      <w:r w:rsidRPr="00173B02">
        <w:t>ther legal services</w:t>
      </w:r>
      <w:r>
        <w:t xml:space="preserve"> assessment</w:t>
      </w:r>
      <w:r w:rsidRPr="00173B02">
        <w:t>, 201</w:t>
      </w:r>
      <w:r>
        <w:t>8</w:t>
      </w:r>
      <w:r w:rsidRPr="00173B02">
        <w:noBreakHyphen/>
        <w:t>1</w:t>
      </w:r>
      <w:r>
        <w:t>9</w:t>
      </w:r>
      <w:r w:rsidRPr="00173B02">
        <w:t xml:space="preserve"> </w:t>
      </w:r>
    </w:p>
    <w:tbl>
      <w:tblPr>
        <w:tblW w:w="8940" w:type="dxa"/>
        <w:tblCellMar>
          <w:left w:w="28" w:type="dxa"/>
          <w:right w:w="28" w:type="dxa"/>
        </w:tblCellMar>
        <w:tblLook w:val="04A0" w:firstRow="1" w:lastRow="0" w:firstColumn="1" w:lastColumn="0" w:noHBand="0" w:noVBand="1"/>
      </w:tblPr>
      <w:tblGrid>
        <w:gridCol w:w="2360"/>
        <w:gridCol w:w="760"/>
        <w:gridCol w:w="760"/>
        <w:gridCol w:w="760"/>
        <w:gridCol w:w="700"/>
        <w:gridCol w:w="640"/>
        <w:gridCol w:w="740"/>
        <w:gridCol w:w="660"/>
        <w:gridCol w:w="740"/>
        <w:gridCol w:w="820"/>
      </w:tblGrid>
      <w:tr w:rsidR="007E365E" w:rsidRPr="001343C9" w14:paraId="6065DB45" w14:textId="77777777" w:rsidTr="007D1D77">
        <w:trPr>
          <w:trHeight w:val="373"/>
        </w:trPr>
        <w:tc>
          <w:tcPr>
            <w:tcW w:w="2360" w:type="dxa"/>
            <w:tcBorders>
              <w:top w:val="single" w:sz="4" w:space="0" w:color="ADD6EA"/>
              <w:left w:val="nil"/>
              <w:bottom w:val="single" w:sz="4" w:space="0" w:color="ADD6EA"/>
              <w:right w:val="nil"/>
            </w:tcBorders>
            <w:shd w:val="clear" w:color="000000" w:fill="006991"/>
            <w:noWrap/>
            <w:vAlign w:val="center"/>
            <w:hideMark/>
          </w:tcPr>
          <w:p w14:paraId="0BC764A1" w14:textId="77777777" w:rsidR="007E365E" w:rsidRPr="001343C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43C9">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noWrap/>
            <w:vAlign w:val="center"/>
            <w:hideMark/>
          </w:tcPr>
          <w:p w14:paraId="7B6C32C0" w14:textId="77777777" w:rsidR="007E365E" w:rsidRPr="001343C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43C9">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noWrap/>
            <w:vAlign w:val="center"/>
            <w:hideMark/>
          </w:tcPr>
          <w:p w14:paraId="00E3EDC9" w14:textId="77777777" w:rsidR="007E365E" w:rsidRPr="001343C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43C9">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4325D937" w14:textId="77777777" w:rsidR="007E365E" w:rsidRPr="001343C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43C9">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1E0AD85E" w14:textId="77777777" w:rsidR="007E365E" w:rsidRPr="001343C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43C9">
              <w:rPr>
                <w:rFonts w:ascii="Open Sans SemiBold" w:eastAsia="Times New Roman" w:hAnsi="Open Sans SemiBold" w:cs="Open Sans SemiBold"/>
                <w:color w:val="FFFFFF"/>
                <w:sz w:val="16"/>
                <w:szCs w:val="16"/>
                <w:lang w:eastAsia="en-AU"/>
              </w:rPr>
              <w:t>WA</w:t>
            </w:r>
          </w:p>
        </w:tc>
        <w:tc>
          <w:tcPr>
            <w:tcW w:w="640" w:type="dxa"/>
            <w:tcBorders>
              <w:top w:val="single" w:sz="4" w:space="0" w:color="ADD6EA"/>
              <w:left w:val="nil"/>
              <w:bottom w:val="single" w:sz="4" w:space="0" w:color="ADD6EA"/>
              <w:right w:val="nil"/>
            </w:tcBorders>
            <w:shd w:val="clear" w:color="000000" w:fill="006991"/>
            <w:noWrap/>
            <w:vAlign w:val="center"/>
            <w:hideMark/>
          </w:tcPr>
          <w:p w14:paraId="211B54BC" w14:textId="77777777" w:rsidR="007E365E" w:rsidRPr="001343C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43C9">
              <w:rPr>
                <w:rFonts w:ascii="Open Sans SemiBold" w:eastAsia="Times New Roman" w:hAnsi="Open Sans SemiBold" w:cs="Open Sans SemiBold"/>
                <w:color w:val="FFFFFF"/>
                <w:sz w:val="16"/>
                <w:szCs w:val="16"/>
                <w:lang w:eastAsia="en-AU"/>
              </w:rPr>
              <w:t>SA</w:t>
            </w:r>
          </w:p>
        </w:tc>
        <w:tc>
          <w:tcPr>
            <w:tcW w:w="740" w:type="dxa"/>
            <w:tcBorders>
              <w:top w:val="single" w:sz="4" w:space="0" w:color="ADD6EA"/>
              <w:left w:val="nil"/>
              <w:bottom w:val="single" w:sz="4" w:space="0" w:color="ADD6EA"/>
              <w:right w:val="nil"/>
            </w:tcBorders>
            <w:shd w:val="clear" w:color="000000" w:fill="006991"/>
            <w:noWrap/>
            <w:vAlign w:val="center"/>
            <w:hideMark/>
          </w:tcPr>
          <w:p w14:paraId="308E67D2" w14:textId="77777777" w:rsidR="007E365E" w:rsidRPr="001343C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43C9">
              <w:rPr>
                <w:rFonts w:ascii="Open Sans SemiBold" w:eastAsia="Times New Roman" w:hAnsi="Open Sans SemiBold" w:cs="Open Sans SemiBold"/>
                <w:color w:val="FFFFFF"/>
                <w:sz w:val="16"/>
                <w:szCs w:val="16"/>
                <w:lang w:eastAsia="en-AU"/>
              </w:rPr>
              <w:t>Tas</w:t>
            </w:r>
          </w:p>
        </w:tc>
        <w:tc>
          <w:tcPr>
            <w:tcW w:w="660" w:type="dxa"/>
            <w:tcBorders>
              <w:top w:val="single" w:sz="4" w:space="0" w:color="ADD6EA"/>
              <w:left w:val="nil"/>
              <w:bottom w:val="single" w:sz="4" w:space="0" w:color="ADD6EA"/>
              <w:right w:val="nil"/>
            </w:tcBorders>
            <w:shd w:val="clear" w:color="000000" w:fill="006991"/>
            <w:noWrap/>
            <w:vAlign w:val="center"/>
            <w:hideMark/>
          </w:tcPr>
          <w:p w14:paraId="6231AD9E" w14:textId="77777777" w:rsidR="007E365E" w:rsidRPr="001343C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43C9">
              <w:rPr>
                <w:rFonts w:ascii="Open Sans SemiBold" w:eastAsia="Times New Roman" w:hAnsi="Open Sans SemiBold" w:cs="Open Sans SemiBold"/>
                <w:color w:val="FFFFFF"/>
                <w:sz w:val="16"/>
                <w:szCs w:val="16"/>
                <w:lang w:eastAsia="en-AU"/>
              </w:rPr>
              <w:t>ACT</w:t>
            </w:r>
          </w:p>
        </w:tc>
        <w:tc>
          <w:tcPr>
            <w:tcW w:w="740" w:type="dxa"/>
            <w:tcBorders>
              <w:top w:val="single" w:sz="4" w:space="0" w:color="ADD6EA"/>
              <w:left w:val="nil"/>
              <w:bottom w:val="single" w:sz="4" w:space="0" w:color="ADD6EA"/>
              <w:right w:val="nil"/>
            </w:tcBorders>
            <w:shd w:val="clear" w:color="000000" w:fill="006991"/>
            <w:noWrap/>
            <w:vAlign w:val="center"/>
            <w:hideMark/>
          </w:tcPr>
          <w:p w14:paraId="26DE676F" w14:textId="77777777" w:rsidR="007E365E" w:rsidRPr="001343C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43C9">
              <w:rPr>
                <w:rFonts w:ascii="Open Sans SemiBold" w:eastAsia="Times New Roman" w:hAnsi="Open Sans SemiBold" w:cs="Open Sans SemiBold"/>
                <w:color w:val="FFFFFF"/>
                <w:sz w:val="16"/>
                <w:szCs w:val="16"/>
                <w:lang w:eastAsia="en-AU"/>
              </w:rPr>
              <w:t>NT</w:t>
            </w:r>
          </w:p>
        </w:tc>
        <w:tc>
          <w:tcPr>
            <w:tcW w:w="820" w:type="dxa"/>
            <w:tcBorders>
              <w:top w:val="single" w:sz="4" w:space="0" w:color="ADD6EA"/>
              <w:left w:val="nil"/>
              <w:bottom w:val="single" w:sz="4" w:space="0" w:color="ADD6EA"/>
              <w:right w:val="nil"/>
            </w:tcBorders>
            <w:shd w:val="clear" w:color="000000" w:fill="006991"/>
            <w:noWrap/>
            <w:vAlign w:val="center"/>
            <w:hideMark/>
          </w:tcPr>
          <w:p w14:paraId="3D32C96B" w14:textId="77777777" w:rsidR="007E365E" w:rsidRPr="001343C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43C9">
              <w:rPr>
                <w:rFonts w:ascii="Open Sans SemiBold" w:eastAsia="Times New Roman" w:hAnsi="Open Sans SemiBold" w:cs="Open Sans SemiBold"/>
                <w:color w:val="FFFFFF"/>
                <w:sz w:val="16"/>
                <w:szCs w:val="16"/>
                <w:lang w:eastAsia="en-AU"/>
              </w:rPr>
              <w:t>Total</w:t>
            </w:r>
          </w:p>
        </w:tc>
      </w:tr>
      <w:tr w:rsidR="007E365E" w:rsidRPr="001343C9" w14:paraId="0F64D866" w14:textId="77777777" w:rsidTr="007D1D77">
        <w:trPr>
          <w:trHeight w:val="315"/>
        </w:trPr>
        <w:tc>
          <w:tcPr>
            <w:tcW w:w="2360" w:type="dxa"/>
            <w:tcBorders>
              <w:top w:val="nil"/>
              <w:left w:val="nil"/>
              <w:bottom w:val="nil"/>
              <w:right w:val="nil"/>
            </w:tcBorders>
            <w:shd w:val="clear" w:color="auto" w:fill="auto"/>
            <w:noWrap/>
            <w:vAlign w:val="center"/>
            <w:hideMark/>
          </w:tcPr>
          <w:p w14:paraId="3E99D842" w14:textId="77777777" w:rsidR="007E365E" w:rsidRPr="001343C9" w:rsidRDefault="007E365E" w:rsidP="007D1D77">
            <w:pPr>
              <w:tabs>
                <w:tab w:val="clear" w:pos="567"/>
              </w:tabs>
              <w:spacing w:before="0" w:line="240" w:lineRule="auto"/>
              <w:rPr>
                <w:rFonts w:eastAsia="Times New Roman" w:cs="Open Sans Light"/>
                <w:sz w:val="16"/>
                <w:szCs w:val="16"/>
                <w:lang w:eastAsia="en-AU"/>
              </w:rPr>
            </w:pPr>
            <w:r w:rsidRPr="001343C9">
              <w:rPr>
                <w:rFonts w:eastAsia="Times New Roman" w:cs="Open Sans Light"/>
                <w:sz w:val="16"/>
                <w:szCs w:val="16"/>
                <w:lang w:eastAsia="en-AU"/>
              </w:rPr>
              <w:t>Other Legal Services</w:t>
            </w:r>
          </w:p>
        </w:tc>
        <w:tc>
          <w:tcPr>
            <w:tcW w:w="760" w:type="dxa"/>
            <w:tcBorders>
              <w:top w:val="nil"/>
              <w:left w:val="nil"/>
              <w:bottom w:val="nil"/>
              <w:right w:val="nil"/>
            </w:tcBorders>
            <w:shd w:val="clear" w:color="auto" w:fill="auto"/>
            <w:noWrap/>
            <w:vAlign w:val="center"/>
            <w:hideMark/>
          </w:tcPr>
          <w:p w14:paraId="2F0A2EEC" w14:textId="77777777" w:rsidR="007E365E" w:rsidRPr="001343C9" w:rsidRDefault="007E365E" w:rsidP="007D1D77">
            <w:pPr>
              <w:tabs>
                <w:tab w:val="clear" w:pos="567"/>
              </w:tabs>
              <w:spacing w:before="0" w:line="240" w:lineRule="auto"/>
              <w:rPr>
                <w:rFonts w:eastAsia="Times New Roman" w:cs="Open Sans Light"/>
                <w:sz w:val="16"/>
                <w:szCs w:val="16"/>
                <w:lang w:eastAsia="en-AU"/>
              </w:rPr>
            </w:pPr>
          </w:p>
        </w:tc>
        <w:tc>
          <w:tcPr>
            <w:tcW w:w="760" w:type="dxa"/>
            <w:tcBorders>
              <w:top w:val="nil"/>
              <w:left w:val="nil"/>
              <w:bottom w:val="nil"/>
              <w:right w:val="nil"/>
            </w:tcBorders>
            <w:shd w:val="clear" w:color="auto" w:fill="auto"/>
            <w:noWrap/>
            <w:vAlign w:val="center"/>
            <w:hideMark/>
          </w:tcPr>
          <w:p w14:paraId="34B6F07F" w14:textId="77777777" w:rsidR="007E365E" w:rsidRPr="001343C9" w:rsidRDefault="007E365E" w:rsidP="007D1D77">
            <w:pPr>
              <w:tabs>
                <w:tab w:val="clear" w:pos="567"/>
              </w:tabs>
              <w:spacing w:before="0" w:line="240" w:lineRule="auto"/>
              <w:jc w:val="right"/>
              <w:rPr>
                <w:rFonts w:ascii="Times New Roman" w:eastAsia="Times New Roman" w:hAnsi="Times New Roman" w:cs="Times New Roman"/>
                <w:szCs w:val="20"/>
                <w:lang w:eastAsia="en-AU"/>
              </w:rPr>
            </w:pPr>
          </w:p>
        </w:tc>
        <w:tc>
          <w:tcPr>
            <w:tcW w:w="760" w:type="dxa"/>
            <w:tcBorders>
              <w:top w:val="nil"/>
              <w:left w:val="nil"/>
              <w:bottom w:val="nil"/>
              <w:right w:val="nil"/>
            </w:tcBorders>
            <w:shd w:val="clear" w:color="auto" w:fill="auto"/>
            <w:noWrap/>
            <w:vAlign w:val="center"/>
            <w:hideMark/>
          </w:tcPr>
          <w:p w14:paraId="69350D07" w14:textId="77777777" w:rsidR="007E365E" w:rsidRPr="001343C9" w:rsidRDefault="007E365E" w:rsidP="007D1D77">
            <w:pPr>
              <w:tabs>
                <w:tab w:val="clear" w:pos="567"/>
              </w:tabs>
              <w:spacing w:before="0" w:line="240" w:lineRule="auto"/>
              <w:jc w:val="right"/>
              <w:rPr>
                <w:rFonts w:ascii="Times New Roman" w:eastAsia="Times New Roman" w:hAnsi="Times New Roman" w:cs="Times New Roman"/>
                <w:szCs w:val="20"/>
                <w:lang w:eastAsia="en-AU"/>
              </w:rPr>
            </w:pPr>
          </w:p>
        </w:tc>
        <w:tc>
          <w:tcPr>
            <w:tcW w:w="700" w:type="dxa"/>
            <w:tcBorders>
              <w:top w:val="nil"/>
              <w:left w:val="nil"/>
              <w:bottom w:val="nil"/>
              <w:right w:val="nil"/>
            </w:tcBorders>
            <w:shd w:val="clear" w:color="auto" w:fill="auto"/>
            <w:noWrap/>
            <w:vAlign w:val="center"/>
            <w:hideMark/>
          </w:tcPr>
          <w:p w14:paraId="3341BE07" w14:textId="77777777" w:rsidR="007E365E" w:rsidRPr="001343C9" w:rsidRDefault="007E365E" w:rsidP="007D1D77">
            <w:pPr>
              <w:tabs>
                <w:tab w:val="clear" w:pos="567"/>
              </w:tabs>
              <w:spacing w:before="0" w:line="240" w:lineRule="auto"/>
              <w:jc w:val="right"/>
              <w:rPr>
                <w:rFonts w:ascii="Times New Roman" w:eastAsia="Times New Roman" w:hAnsi="Times New Roman" w:cs="Times New Roman"/>
                <w:szCs w:val="20"/>
                <w:lang w:eastAsia="en-AU"/>
              </w:rPr>
            </w:pPr>
          </w:p>
        </w:tc>
        <w:tc>
          <w:tcPr>
            <w:tcW w:w="640" w:type="dxa"/>
            <w:tcBorders>
              <w:top w:val="nil"/>
              <w:left w:val="nil"/>
              <w:bottom w:val="nil"/>
              <w:right w:val="nil"/>
            </w:tcBorders>
            <w:shd w:val="clear" w:color="auto" w:fill="auto"/>
            <w:noWrap/>
            <w:vAlign w:val="center"/>
            <w:hideMark/>
          </w:tcPr>
          <w:p w14:paraId="7C23EF60" w14:textId="77777777" w:rsidR="007E365E" w:rsidRPr="001343C9" w:rsidRDefault="007E365E" w:rsidP="007D1D77">
            <w:pPr>
              <w:tabs>
                <w:tab w:val="clear" w:pos="567"/>
              </w:tabs>
              <w:spacing w:before="0" w:line="240" w:lineRule="auto"/>
              <w:jc w:val="right"/>
              <w:rPr>
                <w:rFonts w:ascii="Times New Roman" w:eastAsia="Times New Roman" w:hAnsi="Times New Roman" w:cs="Times New Roman"/>
                <w:szCs w:val="20"/>
                <w:lang w:eastAsia="en-AU"/>
              </w:rPr>
            </w:pPr>
          </w:p>
        </w:tc>
        <w:tc>
          <w:tcPr>
            <w:tcW w:w="740" w:type="dxa"/>
            <w:tcBorders>
              <w:top w:val="nil"/>
              <w:left w:val="nil"/>
              <w:bottom w:val="nil"/>
              <w:right w:val="nil"/>
            </w:tcBorders>
            <w:shd w:val="clear" w:color="auto" w:fill="auto"/>
            <w:noWrap/>
            <w:vAlign w:val="center"/>
            <w:hideMark/>
          </w:tcPr>
          <w:p w14:paraId="09A3381B" w14:textId="77777777" w:rsidR="007E365E" w:rsidRPr="001343C9" w:rsidRDefault="007E365E" w:rsidP="007D1D77">
            <w:pPr>
              <w:tabs>
                <w:tab w:val="clear" w:pos="567"/>
              </w:tabs>
              <w:spacing w:before="0" w:line="240" w:lineRule="auto"/>
              <w:jc w:val="right"/>
              <w:rPr>
                <w:rFonts w:ascii="Times New Roman" w:eastAsia="Times New Roman" w:hAnsi="Times New Roman" w:cs="Times New Roman"/>
                <w:szCs w:val="20"/>
                <w:lang w:eastAsia="en-AU"/>
              </w:rPr>
            </w:pPr>
          </w:p>
        </w:tc>
        <w:tc>
          <w:tcPr>
            <w:tcW w:w="660" w:type="dxa"/>
            <w:tcBorders>
              <w:top w:val="nil"/>
              <w:left w:val="nil"/>
              <w:bottom w:val="nil"/>
              <w:right w:val="nil"/>
            </w:tcBorders>
            <w:shd w:val="clear" w:color="auto" w:fill="auto"/>
            <w:noWrap/>
            <w:vAlign w:val="center"/>
            <w:hideMark/>
          </w:tcPr>
          <w:p w14:paraId="55AC0B98" w14:textId="77777777" w:rsidR="007E365E" w:rsidRPr="001343C9" w:rsidRDefault="007E365E" w:rsidP="007D1D77">
            <w:pPr>
              <w:tabs>
                <w:tab w:val="clear" w:pos="567"/>
              </w:tabs>
              <w:spacing w:before="0" w:line="240" w:lineRule="auto"/>
              <w:jc w:val="right"/>
              <w:rPr>
                <w:rFonts w:ascii="Times New Roman" w:eastAsia="Times New Roman" w:hAnsi="Times New Roman" w:cs="Times New Roman"/>
                <w:szCs w:val="20"/>
                <w:lang w:eastAsia="en-AU"/>
              </w:rPr>
            </w:pPr>
          </w:p>
        </w:tc>
        <w:tc>
          <w:tcPr>
            <w:tcW w:w="740" w:type="dxa"/>
            <w:tcBorders>
              <w:top w:val="nil"/>
              <w:left w:val="nil"/>
              <w:bottom w:val="nil"/>
              <w:right w:val="nil"/>
            </w:tcBorders>
            <w:shd w:val="clear" w:color="auto" w:fill="auto"/>
            <w:noWrap/>
            <w:vAlign w:val="center"/>
            <w:hideMark/>
          </w:tcPr>
          <w:p w14:paraId="4445B15E" w14:textId="77777777" w:rsidR="007E365E" w:rsidRPr="001343C9" w:rsidRDefault="007E365E" w:rsidP="007D1D77">
            <w:pPr>
              <w:tabs>
                <w:tab w:val="clear" w:pos="567"/>
              </w:tabs>
              <w:spacing w:before="0" w:line="240" w:lineRule="auto"/>
              <w:jc w:val="right"/>
              <w:rPr>
                <w:rFonts w:ascii="Times New Roman" w:eastAsia="Times New Roman" w:hAnsi="Times New Roman" w:cs="Times New Roman"/>
                <w:szCs w:val="20"/>
                <w:lang w:eastAsia="en-AU"/>
              </w:rPr>
            </w:pPr>
          </w:p>
        </w:tc>
        <w:tc>
          <w:tcPr>
            <w:tcW w:w="820" w:type="dxa"/>
            <w:tcBorders>
              <w:top w:val="nil"/>
              <w:left w:val="nil"/>
              <w:bottom w:val="nil"/>
              <w:right w:val="nil"/>
            </w:tcBorders>
            <w:shd w:val="clear" w:color="auto" w:fill="auto"/>
            <w:noWrap/>
            <w:vAlign w:val="center"/>
            <w:hideMark/>
          </w:tcPr>
          <w:p w14:paraId="40B2333F" w14:textId="77777777" w:rsidR="007E365E" w:rsidRPr="001343C9" w:rsidRDefault="007E365E" w:rsidP="007D1D77">
            <w:pPr>
              <w:tabs>
                <w:tab w:val="clear" w:pos="567"/>
              </w:tabs>
              <w:spacing w:before="0" w:line="240" w:lineRule="auto"/>
              <w:jc w:val="right"/>
              <w:rPr>
                <w:rFonts w:ascii="Times New Roman" w:eastAsia="Times New Roman" w:hAnsi="Times New Roman" w:cs="Times New Roman"/>
                <w:szCs w:val="20"/>
                <w:lang w:eastAsia="en-AU"/>
              </w:rPr>
            </w:pPr>
          </w:p>
        </w:tc>
      </w:tr>
      <w:tr w:rsidR="007E365E" w:rsidRPr="001343C9" w14:paraId="1FDDD679" w14:textId="77777777" w:rsidTr="007D1D77">
        <w:trPr>
          <w:trHeight w:val="315"/>
        </w:trPr>
        <w:tc>
          <w:tcPr>
            <w:tcW w:w="2360" w:type="dxa"/>
            <w:tcBorders>
              <w:top w:val="single" w:sz="4" w:space="0" w:color="ADD6EA"/>
              <w:left w:val="nil"/>
              <w:bottom w:val="single" w:sz="4" w:space="0" w:color="ADD6EA"/>
              <w:right w:val="nil"/>
            </w:tcBorders>
            <w:shd w:val="clear" w:color="auto" w:fill="auto"/>
            <w:vAlign w:val="bottom"/>
            <w:hideMark/>
          </w:tcPr>
          <w:p w14:paraId="2ACE72BC" w14:textId="77777777" w:rsidR="007E365E" w:rsidRPr="001343C9" w:rsidRDefault="007E365E" w:rsidP="007D1D77">
            <w:pPr>
              <w:tabs>
                <w:tab w:val="clear" w:pos="567"/>
              </w:tabs>
              <w:spacing w:before="0" w:line="240" w:lineRule="auto"/>
              <w:ind w:firstLineChars="200" w:firstLine="320"/>
              <w:rPr>
                <w:rFonts w:eastAsia="Times New Roman" w:cs="Open Sans Light"/>
                <w:sz w:val="16"/>
                <w:szCs w:val="16"/>
                <w:lang w:eastAsia="en-AU"/>
              </w:rPr>
            </w:pPr>
            <w:r w:rsidRPr="001343C9">
              <w:rPr>
                <w:rFonts w:eastAsia="Times New Roman" w:cs="Open Sans Light"/>
                <w:sz w:val="16"/>
                <w:szCs w:val="16"/>
                <w:lang w:eastAsia="en-AU"/>
              </w:rPr>
              <w:t>Civil courts (a) ($m)</w:t>
            </w:r>
          </w:p>
        </w:tc>
        <w:tc>
          <w:tcPr>
            <w:tcW w:w="760" w:type="dxa"/>
            <w:tcBorders>
              <w:top w:val="single" w:sz="4" w:space="0" w:color="ADD6EA"/>
              <w:left w:val="nil"/>
              <w:bottom w:val="single" w:sz="4" w:space="0" w:color="ADD6EA"/>
              <w:right w:val="nil"/>
            </w:tcBorders>
            <w:shd w:val="clear" w:color="auto" w:fill="auto"/>
            <w:vAlign w:val="bottom"/>
            <w:hideMark/>
          </w:tcPr>
          <w:p w14:paraId="4D145A2E"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212</w:t>
            </w:r>
          </w:p>
        </w:tc>
        <w:tc>
          <w:tcPr>
            <w:tcW w:w="760" w:type="dxa"/>
            <w:tcBorders>
              <w:top w:val="single" w:sz="4" w:space="0" w:color="ADD6EA"/>
              <w:left w:val="nil"/>
              <w:bottom w:val="single" w:sz="4" w:space="0" w:color="ADD6EA"/>
              <w:right w:val="nil"/>
            </w:tcBorders>
            <w:shd w:val="clear" w:color="auto" w:fill="auto"/>
            <w:vAlign w:val="bottom"/>
            <w:hideMark/>
          </w:tcPr>
          <w:p w14:paraId="20D48648"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172</w:t>
            </w:r>
          </w:p>
        </w:tc>
        <w:tc>
          <w:tcPr>
            <w:tcW w:w="760" w:type="dxa"/>
            <w:tcBorders>
              <w:top w:val="single" w:sz="4" w:space="0" w:color="ADD6EA"/>
              <w:left w:val="nil"/>
              <w:bottom w:val="single" w:sz="4" w:space="0" w:color="ADD6EA"/>
              <w:right w:val="nil"/>
            </w:tcBorders>
            <w:shd w:val="clear" w:color="auto" w:fill="auto"/>
            <w:vAlign w:val="bottom"/>
            <w:hideMark/>
          </w:tcPr>
          <w:p w14:paraId="14303D65"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134</w:t>
            </w:r>
          </w:p>
        </w:tc>
        <w:tc>
          <w:tcPr>
            <w:tcW w:w="700" w:type="dxa"/>
            <w:tcBorders>
              <w:top w:val="single" w:sz="4" w:space="0" w:color="ADD6EA"/>
              <w:left w:val="nil"/>
              <w:bottom w:val="single" w:sz="4" w:space="0" w:color="ADD6EA"/>
              <w:right w:val="nil"/>
            </w:tcBorders>
            <w:shd w:val="clear" w:color="auto" w:fill="auto"/>
            <w:vAlign w:val="bottom"/>
            <w:hideMark/>
          </w:tcPr>
          <w:p w14:paraId="19AFF8E0"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69</w:t>
            </w:r>
          </w:p>
        </w:tc>
        <w:tc>
          <w:tcPr>
            <w:tcW w:w="640" w:type="dxa"/>
            <w:tcBorders>
              <w:top w:val="single" w:sz="4" w:space="0" w:color="ADD6EA"/>
              <w:left w:val="nil"/>
              <w:bottom w:val="single" w:sz="4" w:space="0" w:color="ADD6EA"/>
              <w:right w:val="nil"/>
            </w:tcBorders>
            <w:shd w:val="clear" w:color="auto" w:fill="auto"/>
            <w:vAlign w:val="bottom"/>
            <w:hideMark/>
          </w:tcPr>
          <w:p w14:paraId="0EEB7129"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46</w:t>
            </w:r>
          </w:p>
        </w:tc>
        <w:tc>
          <w:tcPr>
            <w:tcW w:w="740" w:type="dxa"/>
            <w:tcBorders>
              <w:top w:val="single" w:sz="4" w:space="0" w:color="ADD6EA"/>
              <w:left w:val="nil"/>
              <w:bottom w:val="single" w:sz="4" w:space="0" w:color="ADD6EA"/>
              <w:right w:val="nil"/>
            </w:tcBorders>
            <w:shd w:val="clear" w:color="auto" w:fill="auto"/>
            <w:vAlign w:val="bottom"/>
            <w:hideMark/>
          </w:tcPr>
          <w:p w14:paraId="7960E5D1"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14</w:t>
            </w:r>
          </w:p>
        </w:tc>
        <w:tc>
          <w:tcPr>
            <w:tcW w:w="660" w:type="dxa"/>
            <w:tcBorders>
              <w:top w:val="single" w:sz="4" w:space="0" w:color="ADD6EA"/>
              <w:left w:val="nil"/>
              <w:bottom w:val="single" w:sz="4" w:space="0" w:color="ADD6EA"/>
              <w:right w:val="nil"/>
            </w:tcBorders>
            <w:shd w:val="clear" w:color="auto" w:fill="auto"/>
            <w:vAlign w:val="bottom"/>
            <w:hideMark/>
          </w:tcPr>
          <w:p w14:paraId="155D7E69"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11</w:t>
            </w:r>
          </w:p>
        </w:tc>
        <w:tc>
          <w:tcPr>
            <w:tcW w:w="740" w:type="dxa"/>
            <w:tcBorders>
              <w:top w:val="single" w:sz="4" w:space="0" w:color="ADD6EA"/>
              <w:left w:val="nil"/>
              <w:bottom w:val="single" w:sz="4" w:space="0" w:color="ADD6EA"/>
              <w:right w:val="nil"/>
            </w:tcBorders>
            <w:shd w:val="clear" w:color="auto" w:fill="auto"/>
            <w:vAlign w:val="bottom"/>
            <w:hideMark/>
          </w:tcPr>
          <w:p w14:paraId="3EC742CF"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7</w:t>
            </w:r>
          </w:p>
        </w:tc>
        <w:tc>
          <w:tcPr>
            <w:tcW w:w="820" w:type="dxa"/>
            <w:tcBorders>
              <w:top w:val="single" w:sz="4" w:space="0" w:color="ADD6EA"/>
              <w:left w:val="nil"/>
              <w:bottom w:val="single" w:sz="4" w:space="0" w:color="ADD6EA"/>
              <w:right w:val="nil"/>
            </w:tcBorders>
            <w:shd w:val="clear" w:color="auto" w:fill="auto"/>
            <w:vAlign w:val="bottom"/>
            <w:hideMark/>
          </w:tcPr>
          <w:p w14:paraId="7D5ACFAB"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665</w:t>
            </w:r>
          </w:p>
        </w:tc>
      </w:tr>
      <w:tr w:rsidR="007E365E" w:rsidRPr="001343C9" w14:paraId="28AE5F63" w14:textId="77777777" w:rsidTr="007D1D77">
        <w:trPr>
          <w:trHeight w:val="315"/>
        </w:trPr>
        <w:tc>
          <w:tcPr>
            <w:tcW w:w="2360" w:type="dxa"/>
            <w:tcBorders>
              <w:top w:val="nil"/>
              <w:left w:val="nil"/>
              <w:bottom w:val="nil"/>
              <w:right w:val="nil"/>
            </w:tcBorders>
            <w:shd w:val="clear" w:color="auto" w:fill="auto"/>
            <w:vAlign w:val="bottom"/>
            <w:hideMark/>
          </w:tcPr>
          <w:p w14:paraId="1C79A378" w14:textId="77777777" w:rsidR="007E365E" w:rsidRPr="001343C9" w:rsidRDefault="007E365E" w:rsidP="007D1D77">
            <w:pPr>
              <w:tabs>
                <w:tab w:val="clear" w:pos="567"/>
              </w:tabs>
              <w:spacing w:before="0" w:line="240" w:lineRule="auto"/>
              <w:ind w:firstLineChars="200" w:firstLine="320"/>
              <w:rPr>
                <w:rFonts w:eastAsia="Times New Roman" w:cs="Open Sans Light"/>
                <w:sz w:val="16"/>
                <w:szCs w:val="16"/>
                <w:lang w:eastAsia="en-AU"/>
              </w:rPr>
            </w:pPr>
            <w:r w:rsidRPr="001343C9">
              <w:rPr>
                <w:rFonts w:eastAsia="Times New Roman" w:cs="Open Sans Light"/>
                <w:sz w:val="16"/>
                <w:szCs w:val="16"/>
                <w:lang w:eastAsia="en-AU"/>
              </w:rPr>
              <w:t>Other ($m)</w:t>
            </w:r>
          </w:p>
        </w:tc>
        <w:tc>
          <w:tcPr>
            <w:tcW w:w="760" w:type="dxa"/>
            <w:tcBorders>
              <w:top w:val="nil"/>
              <w:left w:val="nil"/>
              <w:bottom w:val="nil"/>
              <w:right w:val="nil"/>
            </w:tcBorders>
            <w:shd w:val="clear" w:color="auto" w:fill="auto"/>
            <w:vAlign w:val="bottom"/>
            <w:hideMark/>
          </w:tcPr>
          <w:p w14:paraId="0180FF53"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550</w:t>
            </w:r>
          </w:p>
        </w:tc>
        <w:tc>
          <w:tcPr>
            <w:tcW w:w="760" w:type="dxa"/>
            <w:tcBorders>
              <w:top w:val="nil"/>
              <w:left w:val="nil"/>
              <w:bottom w:val="nil"/>
              <w:right w:val="nil"/>
            </w:tcBorders>
            <w:shd w:val="clear" w:color="auto" w:fill="auto"/>
            <w:vAlign w:val="bottom"/>
            <w:hideMark/>
          </w:tcPr>
          <w:p w14:paraId="4CCFC6A1"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447</w:t>
            </w:r>
          </w:p>
        </w:tc>
        <w:tc>
          <w:tcPr>
            <w:tcW w:w="760" w:type="dxa"/>
            <w:tcBorders>
              <w:top w:val="nil"/>
              <w:left w:val="nil"/>
              <w:bottom w:val="nil"/>
              <w:right w:val="nil"/>
            </w:tcBorders>
            <w:shd w:val="clear" w:color="auto" w:fill="auto"/>
            <w:vAlign w:val="bottom"/>
            <w:hideMark/>
          </w:tcPr>
          <w:p w14:paraId="5A03E029"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346</w:t>
            </w:r>
          </w:p>
        </w:tc>
        <w:tc>
          <w:tcPr>
            <w:tcW w:w="700" w:type="dxa"/>
            <w:tcBorders>
              <w:top w:val="nil"/>
              <w:left w:val="nil"/>
              <w:bottom w:val="nil"/>
              <w:right w:val="nil"/>
            </w:tcBorders>
            <w:shd w:val="clear" w:color="auto" w:fill="auto"/>
            <w:vAlign w:val="bottom"/>
            <w:hideMark/>
          </w:tcPr>
          <w:p w14:paraId="61BB69BF"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178</w:t>
            </w:r>
          </w:p>
        </w:tc>
        <w:tc>
          <w:tcPr>
            <w:tcW w:w="640" w:type="dxa"/>
            <w:tcBorders>
              <w:top w:val="nil"/>
              <w:left w:val="nil"/>
              <w:bottom w:val="nil"/>
              <w:right w:val="nil"/>
            </w:tcBorders>
            <w:shd w:val="clear" w:color="auto" w:fill="auto"/>
            <w:vAlign w:val="bottom"/>
            <w:hideMark/>
          </w:tcPr>
          <w:p w14:paraId="6DD4B0F5"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119</w:t>
            </w:r>
          </w:p>
        </w:tc>
        <w:tc>
          <w:tcPr>
            <w:tcW w:w="740" w:type="dxa"/>
            <w:tcBorders>
              <w:top w:val="nil"/>
              <w:left w:val="nil"/>
              <w:bottom w:val="nil"/>
              <w:right w:val="nil"/>
            </w:tcBorders>
            <w:shd w:val="clear" w:color="auto" w:fill="auto"/>
            <w:vAlign w:val="bottom"/>
            <w:hideMark/>
          </w:tcPr>
          <w:p w14:paraId="1395886A"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36</w:t>
            </w:r>
          </w:p>
        </w:tc>
        <w:tc>
          <w:tcPr>
            <w:tcW w:w="660" w:type="dxa"/>
            <w:tcBorders>
              <w:top w:val="nil"/>
              <w:left w:val="nil"/>
              <w:bottom w:val="nil"/>
              <w:right w:val="nil"/>
            </w:tcBorders>
            <w:shd w:val="clear" w:color="auto" w:fill="auto"/>
            <w:vAlign w:val="bottom"/>
            <w:hideMark/>
          </w:tcPr>
          <w:p w14:paraId="6A9F0314"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29</w:t>
            </w:r>
          </w:p>
        </w:tc>
        <w:tc>
          <w:tcPr>
            <w:tcW w:w="740" w:type="dxa"/>
            <w:tcBorders>
              <w:top w:val="nil"/>
              <w:left w:val="nil"/>
              <w:bottom w:val="nil"/>
              <w:right w:val="nil"/>
            </w:tcBorders>
            <w:shd w:val="clear" w:color="auto" w:fill="auto"/>
            <w:vAlign w:val="bottom"/>
            <w:hideMark/>
          </w:tcPr>
          <w:p w14:paraId="7145F56C"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17</w:t>
            </w:r>
          </w:p>
        </w:tc>
        <w:tc>
          <w:tcPr>
            <w:tcW w:w="820" w:type="dxa"/>
            <w:tcBorders>
              <w:top w:val="nil"/>
              <w:left w:val="nil"/>
              <w:bottom w:val="nil"/>
              <w:right w:val="nil"/>
            </w:tcBorders>
            <w:shd w:val="clear" w:color="auto" w:fill="auto"/>
            <w:vAlign w:val="bottom"/>
            <w:hideMark/>
          </w:tcPr>
          <w:p w14:paraId="23E5244D"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1,722</w:t>
            </w:r>
          </w:p>
        </w:tc>
      </w:tr>
      <w:tr w:rsidR="007E365E" w:rsidRPr="001343C9" w14:paraId="589286FC" w14:textId="77777777" w:rsidTr="007D1D77">
        <w:trPr>
          <w:trHeight w:val="315"/>
        </w:trPr>
        <w:tc>
          <w:tcPr>
            <w:tcW w:w="2360" w:type="dxa"/>
            <w:tcBorders>
              <w:top w:val="single" w:sz="4" w:space="0" w:color="ADD6EA"/>
              <w:left w:val="nil"/>
              <w:bottom w:val="single" w:sz="4" w:space="0" w:color="ADD6EA"/>
              <w:right w:val="nil"/>
            </w:tcBorders>
            <w:shd w:val="clear" w:color="auto" w:fill="auto"/>
            <w:vAlign w:val="bottom"/>
            <w:hideMark/>
          </w:tcPr>
          <w:p w14:paraId="448E2265" w14:textId="77777777" w:rsidR="007E365E" w:rsidRPr="001343C9" w:rsidRDefault="007E365E" w:rsidP="007D1D77">
            <w:pPr>
              <w:tabs>
                <w:tab w:val="clear" w:pos="567"/>
              </w:tabs>
              <w:spacing w:before="0" w:line="240" w:lineRule="auto"/>
              <w:ind w:firstLineChars="200" w:firstLine="320"/>
              <w:rPr>
                <w:rFonts w:eastAsia="Times New Roman" w:cs="Open Sans Light"/>
                <w:sz w:val="16"/>
                <w:szCs w:val="16"/>
                <w:lang w:eastAsia="en-AU"/>
              </w:rPr>
            </w:pPr>
            <w:r w:rsidRPr="001343C9">
              <w:rPr>
                <w:rFonts w:eastAsia="Times New Roman" w:cs="Open Sans Light"/>
                <w:sz w:val="16"/>
                <w:szCs w:val="16"/>
                <w:lang w:eastAsia="en-AU"/>
              </w:rPr>
              <w:t>Total ($m)</w:t>
            </w:r>
          </w:p>
        </w:tc>
        <w:tc>
          <w:tcPr>
            <w:tcW w:w="760" w:type="dxa"/>
            <w:tcBorders>
              <w:top w:val="single" w:sz="4" w:space="0" w:color="ADD6EA"/>
              <w:left w:val="nil"/>
              <w:bottom w:val="single" w:sz="4" w:space="0" w:color="ADD6EA"/>
              <w:right w:val="nil"/>
            </w:tcBorders>
            <w:shd w:val="clear" w:color="auto" w:fill="auto"/>
            <w:vAlign w:val="bottom"/>
            <w:hideMark/>
          </w:tcPr>
          <w:p w14:paraId="1BCA56D5"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762</w:t>
            </w:r>
          </w:p>
        </w:tc>
        <w:tc>
          <w:tcPr>
            <w:tcW w:w="760" w:type="dxa"/>
            <w:tcBorders>
              <w:top w:val="single" w:sz="4" w:space="0" w:color="ADD6EA"/>
              <w:left w:val="nil"/>
              <w:bottom w:val="single" w:sz="4" w:space="0" w:color="ADD6EA"/>
              <w:right w:val="nil"/>
            </w:tcBorders>
            <w:shd w:val="clear" w:color="auto" w:fill="auto"/>
            <w:vAlign w:val="bottom"/>
            <w:hideMark/>
          </w:tcPr>
          <w:p w14:paraId="3C71F090"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619</w:t>
            </w:r>
          </w:p>
        </w:tc>
        <w:tc>
          <w:tcPr>
            <w:tcW w:w="760" w:type="dxa"/>
            <w:tcBorders>
              <w:top w:val="single" w:sz="4" w:space="0" w:color="ADD6EA"/>
              <w:left w:val="nil"/>
              <w:bottom w:val="single" w:sz="4" w:space="0" w:color="ADD6EA"/>
              <w:right w:val="nil"/>
            </w:tcBorders>
            <w:shd w:val="clear" w:color="auto" w:fill="auto"/>
            <w:vAlign w:val="bottom"/>
            <w:hideMark/>
          </w:tcPr>
          <w:p w14:paraId="7A268D37"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479</w:t>
            </w:r>
          </w:p>
        </w:tc>
        <w:tc>
          <w:tcPr>
            <w:tcW w:w="700" w:type="dxa"/>
            <w:tcBorders>
              <w:top w:val="single" w:sz="4" w:space="0" w:color="ADD6EA"/>
              <w:left w:val="nil"/>
              <w:bottom w:val="single" w:sz="4" w:space="0" w:color="ADD6EA"/>
              <w:right w:val="nil"/>
            </w:tcBorders>
            <w:shd w:val="clear" w:color="auto" w:fill="auto"/>
            <w:vAlign w:val="bottom"/>
            <w:hideMark/>
          </w:tcPr>
          <w:p w14:paraId="34046D12"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248</w:t>
            </w:r>
          </w:p>
        </w:tc>
        <w:tc>
          <w:tcPr>
            <w:tcW w:w="640" w:type="dxa"/>
            <w:tcBorders>
              <w:top w:val="single" w:sz="4" w:space="0" w:color="ADD6EA"/>
              <w:left w:val="nil"/>
              <w:bottom w:val="single" w:sz="4" w:space="0" w:color="ADD6EA"/>
              <w:right w:val="nil"/>
            </w:tcBorders>
            <w:shd w:val="clear" w:color="auto" w:fill="auto"/>
            <w:vAlign w:val="bottom"/>
            <w:hideMark/>
          </w:tcPr>
          <w:p w14:paraId="28D90935"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166</w:t>
            </w:r>
          </w:p>
        </w:tc>
        <w:tc>
          <w:tcPr>
            <w:tcW w:w="740" w:type="dxa"/>
            <w:tcBorders>
              <w:top w:val="single" w:sz="4" w:space="0" w:color="ADD6EA"/>
              <w:left w:val="nil"/>
              <w:bottom w:val="single" w:sz="4" w:space="0" w:color="ADD6EA"/>
              <w:right w:val="nil"/>
            </w:tcBorders>
            <w:shd w:val="clear" w:color="auto" w:fill="auto"/>
            <w:vAlign w:val="bottom"/>
            <w:hideMark/>
          </w:tcPr>
          <w:p w14:paraId="2942FC8A"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50</w:t>
            </w:r>
          </w:p>
        </w:tc>
        <w:tc>
          <w:tcPr>
            <w:tcW w:w="660" w:type="dxa"/>
            <w:tcBorders>
              <w:top w:val="single" w:sz="4" w:space="0" w:color="ADD6EA"/>
              <w:left w:val="nil"/>
              <w:bottom w:val="single" w:sz="4" w:space="0" w:color="ADD6EA"/>
              <w:right w:val="nil"/>
            </w:tcBorders>
            <w:shd w:val="clear" w:color="auto" w:fill="auto"/>
            <w:vAlign w:val="bottom"/>
            <w:hideMark/>
          </w:tcPr>
          <w:p w14:paraId="09DEFC26"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40</w:t>
            </w:r>
          </w:p>
        </w:tc>
        <w:tc>
          <w:tcPr>
            <w:tcW w:w="740" w:type="dxa"/>
            <w:tcBorders>
              <w:top w:val="single" w:sz="4" w:space="0" w:color="ADD6EA"/>
              <w:left w:val="nil"/>
              <w:bottom w:val="single" w:sz="4" w:space="0" w:color="ADD6EA"/>
              <w:right w:val="nil"/>
            </w:tcBorders>
            <w:shd w:val="clear" w:color="auto" w:fill="auto"/>
            <w:vAlign w:val="bottom"/>
            <w:hideMark/>
          </w:tcPr>
          <w:p w14:paraId="4A7BF241"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24</w:t>
            </w:r>
          </w:p>
        </w:tc>
        <w:tc>
          <w:tcPr>
            <w:tcW w:w="820" w:type="dxa"/>
            <w:tcBorders>
              <w:top w:val="single" w:sz="4" w:space="0" w:color="ADD6EA"/>
              <w:left w:val="nil"/>
              <w:bottom w:val="single" w:sz="4" w:space="0" w:color="ADD6EA"/>
              <w:right w:val="nil"/>
            </w:tcBorders>
            <w:shd w:val="clear" w:color="auto" w:fill="auto"/>
            <w:vAlign w:val="bottom"/>
            <w:hideMark/>
          </w:tcPr>
          <w:p w14:paraId="10098726"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2,388</w:t>
            </w:r>
          </w:p>
        </w:tc>
      </w:tr>
      <w:tr w:rsidR="007E365E" w:rsidRPr="001343C9" w14:paraId="3044E4E4" w14:textId="77777777" w:rsidTr="007D1D77">
        <w:trPr>
          <w:trHeight w:val="315"/>
        </w:trPr>
        <w:tc>
          <w:tcPr>
            <w:tcW w:w="2360" w:type="dxa"/>
            <w:tcBorders>
              <w:top w:val="nil"/>
              <w:left w:val="nil"/>
              <w:bottom w:val="single" w:sz="4" w:space="0" w:color="ADD6EA"/>
              <w:right w:val="nil"/>
            </w:tcBorders>
            <w:shd w:val="clear" w:color="auto" w:fill="auto"/>
            <w:vAlign w:val="bottom"/>
            <w:hideMark/>
          </w:tcPr>
          <w:p w14:paraId="085144A5" w14:textId="77777777" w:rsidR="007E365E" w:rsidRPr="001343C9" w:rsidRDefault="007E365E" w:rsidP="007D1D77">
            <w:pPr>
              <w:tabs>
                <w:tab w:val="clear" w:pos="567"/>
              </w:tabs>
              <w:spacing w:before="0" w:line="240" w:lineRule="auto"/>
              <w:rPr>
                <w:rFonts w:eastAsia="Times New Roman" w:cs="Open Sans Light"/>
                <w:sz w:val="16"/>
                <w:szCs w:val="16"/>
                <w:lang w:eastAsia="en-AU"/>
              </w:rPr>
            </w:pPr>
            <w:r w:rsidRPr="001343C9">
              <w:rPr>
                <w:rFonts w:eastAsia="Times New Roman" w:cs="Open Sans Light"/>
                <w:sz w:val="16"/>
                <w:szCs w:val="16"/>
                <w:lang w:eastAsia="en-AU"/>
              </w:rPr>
              <w:t>Wages costs factor</w:t>
            </w:r>
          </w:p>
        </w:tc>
        <w:tc>
          <w:tcPr>
            <w:tcW w:w="760" w:type="dxa"/>
            <w:tcBorders>
              <w:top w:val="nil"/>
              <w:left w:val="nil"/>
              <w:bottom w:val="single" w:sz="4" w:space="0" w:color="ADD6EA"/>
              <w:right w:val="nil"/>
            </w:tcBorders>
            <w:shd w:val="clear" w:color="auto" w:fill="auto"/>
            <w:vAlign w:val="bottom"/>
            <w:hideMark/>
          </w:tcPr>
          <w:p w14:paraId="30C33247"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1.007</w:t>
            </w:r>
          </w:p>
        </w:tc>
        <w:tc>
          <w:tcPr>
            <w:tcW w:w="760" w:type="dxa"/>
            <w:tcBorders>
              <w:top w:val="nil"/>
              <w:left w:val="nil"/>
              <w:bottom w:val="single" w:sz="4" w:space="0" w:color="ADD6EA"/>
              <w:right w:val="nil"/>
            </w:tcBorders>
            <w:shd w:val="clear" w:color="auto" w:fill="auto"/>
            <w:vAlign w:val="bottom"/>
            <w:hideMark/>
          </w:tcPr>
          <w:p w14:paraId="4B6C9A72"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0.993</w:t>
            </w:r>
          </w:p>
        </w:tc>
        <w:tc>
          <w:tcPr>
            <w:tcW w:w="760" w:type="dxa"/>
            <w:tcBorders>
              <w:top w:val="nil"/>
              <w:left w:val="nil"/>
              <w:bottom w:val="single" w:sz="4" w:space="0" w:color="ADD6EA"/>
              <w:right w:val="nil"/>
            </w:tcBorders>
            <w:shd w:val="clear" w:color="auto" w:fill="auto"/>
            <w:vAlign w:val="bottom"/>
            <w:hideMark/>
          </w:tcPr>
          <w:p w14:paraId="206DDA49"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0.995</w:t>
            </w:r>
          </w:p>
        </w:tc>
        <w:tc>
          <w:tcPr>
            <w:tcW w:w="700" w:type="dxa"/>
            <w:tcBorders>
              <w:top w:val="nil"/>
              <w:left w:val="nil"/>
              <w:bottom w:val="single" w:sz="4" w:space="0" w:color="ADD6EA"/>
              <w:right w:val="nil"/>
            </w:tcBorders>
            <w:shd w:val="clear" w:color="auto" w:fill="auto"/>
            <w:vAlign w:val="bottom"/>
            <w:hideMark/>
          </w:tcPr>
          <w:p w14:paraId="315BF850"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1.020</w:t>
            </w:r>
          </w:p>
        </w:tc>
        <w:tc>
          <w:tcPr>
            <w:tcW w:w="640" w:type="dxa"/>
            <w:tcBorders>
              <w:top w:val="nil"/>
              <w:left w:val="nil"/>
              <w:bottom w:val="single" w:sz="4" w:space="0" w:color="ADD6EA"/>
              <w:right w:val="nil"/>
            </w:tcBorders>
            <w:shd w:val="clear" w:color="auto" w:fill="auto"/>
            <w:vAlign w:val="bottom"/>
            <w:hideMark/>
          </w:tcPr>
          <w:p w14:paraId="3051EE14"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0.976</w:t>
            </w:r>
          </w:p>
        </w:tc>
        <w:tc>
          <w:tcPr>
            <w:tcW w:w="740" w:type="dxa"/>
            <w:tcBorders>
              <w:top w:val="nil"/>
              <w:left w:val="nil"/>
              <w:bottom w:val="single" w:sz="4" w:space="0" w:color="ADD6EA"/>
              <w:right w:val="nil"/>
            </w:tcBorders>
            <w:shd w:val="clear" w:color="auto" w:fill="auto"/>
            <w:vAlign w:val="bottom"/>
            <w:hideMark/>
          </w:tcPr>
          <w:p w14:paraId="52274703"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0.968</w:t>
            </w:r>
          </w:p>
        </w:tc>
        <w:tc>
          <w:tcPr>
            <w:tcW w:w="660" w:type="dxa"/>
            <w:tcBorders>
              <w:top w:val="nil"/>
              <w:left w:val="nil"/>
              <w:bottom w:val="single" w:sz="4" w:space="0" w:color="ADD6EA"/>
              <w:right w:val="nil"/>
            </w:tcBorders>
            <w:shd w:val="clear" w:color="auto" w:fill="auto"/>
            <w:vAlign w:val="bottom"/>
            <w:hideMark/>
          </w:tcPr>
          <w:p w14:paraId="47DC1E73"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1.022</w:t>
            </w:r>
          </w:p>
        </w:tc>
        <w:tc>
          <w:tcPr>
            <w:tcW w:w="740" w:type="dxa"/>
            <w:tcBorders>
              <w:top w:val="nil"/>
              <w:left w:val="nil"/>
              <w:bottom w:val="single" w:sz="4" w:space="0" w:color="ADD6EA"/>
              <w:right w:val="nil"/>
            </w:tcBorders>
            <w:shd w:val="clear" w:color="auto" w:fill="auto"/>
            <w:vAlign w:val="bottom"/>
            <w:hideMark/>
          </w:tcPr>
          <w:p w14:paraId="6288EBE1"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1.033</w:t>
            </w:r>
          </w:p>
        </w:tc>
        <w:tc>
          <w:tcPr>
            <w:tcW w:w="820" w:type="dxa"/>
            <w:tcBorders>
              <w:top w:val="nil"/>
              <w:left w:val="nil"/>
              <w:bottom w:val="single" w:sz="4" w:space="0" w:color="ADD6EA"/>
              <w:right w:val="nil"/>
            </w:tcBorders>
            <w:shd w:val="clear" w:color="auto" w:fill="auto"/>
            <w:vAlign w:val="bottom"/>
            <w:hideMark/>
          </w:tcPr>
          <w:p w14:paraId="39CE093B" w14:textId="77777777" w:rsidR="007E365E" w:rsidRPr="001343C9" w:rsidRDefault="007E365E" w:rsidP="007D1D77">
            <w:pPr>
              <w:tabs>
                <w:tab w:val="clear" w:pos="567"/>
              </w:tabs>
              <w:spacing w:before="0" w:line="240" w:lineRule="auto"/>
              <w:jc w:val="right"/>
              <w:rPr>
                <w:rFonts w:eastAsia="Times New Roman" w:cs="Open Sans Light"/>
                <w:sz w:val="16"/>
                <w:szCs w:val="16"/>
                <w:lang w:eastAsia="en-AU"/>
              </w:rPr>
            </w:pPr>
            <w:r w:rsidRPr="001343C9">
              <w:rPr>
                <w:rFonts w:eastAsia="Times New Roman" w:cs="Open Sans Light"/>
                <w:sz w:val="16"/>
                <w:szCs w:val="16"/>
                <w:lang w:eastAsia="en-AU"/>
              </w:rPr>
              <w:t>1.000</w:t>
            </w:r>
          </w:p>
        </w:tc>
      </w:tr>
      <w:tr w:rsidR="007E365E" w:rsidRPr="001343C9" w14:paraId="3B4A5785" w14:textId="77777777" w:rsidTr="007D1D77">
        <w:trPr>
          <w:trHeight w:val="315"/>
        </w:trPr>
        <w:tc>
          <w:tcPr>
            <w:tcW w:w="2360" w:type="dxa"/>
            <w:tcBorders>
              <w:top w:val="single" w:sz="4" w:space="0" w:color="ADD6EA"/>
              <w:left w:val="nil"/>
              <w:bottom w:val="single" w:sz="4" w:space="0" w:color="ADD6EA"/>
              <w:right w:val="nil"/>
            </w:tcBorders>
            <w:shd w:val="clear" w:color="auto" w:fill="D6E7F0"/>
            <w:vAlign w:val="bottom"/>
            <w:hideMark/>
          </w:tcPr>
          <w:p w14:paraId="5E0DCB1B" w14:textId="77777777" w:rsidR="007E365E" w:rsidRPr="002A68C5"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Assessed expenses ($m)</w:t>
            </w:r>
          </w:p>
        </w:tc>
        <w:tc>
          <w:tcPr>
            <w:tcW w:w="760" w:type="dxa"/>
            <w:tcBorders>
              <w:top w:val="single" w:sz="4" w:space="0" w:color="ADD6EA"/>
              <w:left w:val="nil"/>
              <w:bottom w:val="single" w:sz="4" w:space="0" w:color="ADD6EA"/>
              <w:right w:val="nil"/>
            </w:tcBorders>
            <w:shd w:val="clear" w:color="auto" w:fill="D6E7F0"/>
            <w:vAlign w:val="bottom"/>
            <w:hideMark/>
          </w:tcPr>
          <w:p w14:paraId="5235A133"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768</w:t>
            </w:r>
          </w:p>
        </w:tc>
        <w:tc>
          <w:tcPr>
            <w:tcW w:w="760" w:type="dxa"/>
            <w:tcBorders>
              <w:top w:val="single" w:sz="4" w:space="0" w:color="ADD6EA"/>
              <w:left w:val="nil"/>
              <w:bottom w:val="single" w:sz="4" w:space="0" w:color="ADD6EA"/>
              <w:right w:val="nil"/>
            </w:tcBorders>
            <w:shd w:val="clear" w:color="auto" w:fill="D6E7F0"/>
            <w:vAlign w:val="bottom"/>
            <w:hideMark/>
          </w:tcPr>
          <w:p w14:paraId="6E760BEC"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614</w:t>
            </w:r>
          </w:p>
        </w:tc>
        <w:tc>
          <w:tcPr>
            <w:tcW w:w="760" w:type="dxa"/>
            <w:tcBorders>
              <w:top w:val="single" w:sz="4" w:space="0" w:color="ADD6EA"/>
              <w:left w:val="nil"/>
              <w:bottom w:val="single" w:sz="4" w:space="0" w:color="ADD6EA"/>
              <w:right w:val="nil"/>
            </w:tcBorders>
            <w:shd w:val="clear" w:color="auto" w:fill="D6E7F0"/>
            <w:vAlign w:val="bottom"/>
            <w:hideMark/>
          </w:tcPr>
          <w:p w14:paraId="41B45A3D"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477</w:t>
            </w:r>
          </w:p>
        </w:tc>
        <w:tc>
          <w:tcPr>
            <w:tcW w:w="700" w:type="dxa"/>
            <w:tcBorders>
              <w:top w:val="single" w:sz="4" w:space="0" w:color="ADD6EA"/>
              <w:left w:val="nil"/>
              <w:bottom w:val="single" w:sz="4" w:space="0" w:color="ADD6EA"/>
              <w:right w:val="nil"/>
            </w:tcBorders>
            <w:shd w:val="clear" w:color="auto" w:fill="D6E7F0"/>
            <w:vAlign w:val="bottom"/>
            <w:hideMark/>
          </w:tcPr>
          <w:p w14:paraId="3EF6B997"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253</w:t>
            </w:r>
          </w:p>
        </w:tc>
        <w:tc>
          <w:tcPr>
            <w:tcW w:w="640" w:type="dxa"/>
            <w:tcBorders>
              <w:top w:val="single" w:sz="4" w:space="0" w:color="ADD6EA"/>
              <w:left w:val="nil"/>
              <w:bottom w:val="single" w:sz="4" w:space="0" w:color="ADD6EA"/>
              <w:right w:val="nil"/>
            </w:tcBorders>
            <w:shd w:val="clear" w:color="auto" w:fill="D6E7F0"/>
            <w:vAlign w:val="bottom"/>
            <w:hideMark/>
          </w:tcPr>
          <w:p w14:paraId="1A3AB11F"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161</w:t>
            </w:r>
          </w:p>
        </w:tc>
        <w:tc>
          <w:tcPr>
            <w:tcW w:w="740" w:type="dxa"/>
            <w:tcBorders>
              <w:top w:val="single" w:sz="4" w:space="0" w:color="ADD6EA"/>
              <w:left w:val="nil"/>
              <w:bottom w:val="single" w:sz="4" w:space="0" w:color="ADD6EA"/>
              <w:right w:val="nil"/>
            </w:tcBorders>
            <w:shd w:val="clear" w:color="auto" w:fill="D6E7F0"/>
            <w:vAlign w:val="bottom"/>
            <w:hideMark/>
          </w:tcPr>
          <w:p w14:paraId="58A9AEE1"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49</w:t>
            </w:r>
          </w:p>
        </w:tc>
        <w:tc>
          <w:tcPr>
            <w:tcW w:w="660" w:type="dxa"/>
            <w:tcBorders>
              <w:top w:val="single" w:sz="4" w:space="0" w:color="ADD6EA"/>
              <w:left w:val="nil"/>
              <w:bottom w:val="single" w:sz="4" w:space="0" w:color="ADD6EA"/>
              <w:right w:val="nil"/>
            </w:tcBorders>
            <w:shd w:val="clear" w:color="auto" w:fill="D6E7F0"/>
            <w:vAlign w:val="bottom"/>
            <w:hideMark/>
          </w:tcPr>
          <w:p w14:paraId="00A6C58F"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41</w:t>
            </w:r>
          </w:p>
        </w:tc>
        <w:tc>
          <w:tcPr>
            <w:tcW w:w="740" w:type="dxa"/>
            <w:tcBorders>
              <w:top w:val="single" w:sz="4" w:space="0" w:color="ADD6EA"/>
              <w:left w:val="nil"/>
              <w:bottom w:val="single" w:sz="4" w:space="0" w:color="ADD6EA"/>
              <w:right w:val="nil"/>
            </w:tcBorders>
            <w:shd w:val="clear" w:color="auto" w:fill="D6E7F0"/>
            <w:vAlign w:val="bottom"/>
            <w:hideMark/>
          </w:tcPr>
          <w:p w14:paraId="18F5ADEF"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25</w:t>
            </w:r>
          </w:p>
        </w:tc>
        <w:tc>
          <w:tcPr>
            <w:tcW w:w="820" w:type="dxa"/>
            <w:tcBorders>
              <w:top w:val="single" w:sz="4" w:space="0" w:color="ADD6EA"/>
              <w:left w:val="nil"/>
              <w:bottom w:val="single" w:sz="4" w:space="0" w:color="ADD6EA"/>
              <w:right w:val="nil"/>
            </w:tcBorders>
            <w:shd w:val="clear" w:color="auto" w:fill="D6E7F0"/>
            <w:vAlign w:val="bottom"/>
            <w:hideMark/>
          </w:tcPr>
          <w:p w14:paraId="241E5908"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2,388</w:t>
            </w:r>
          </w:p>
        </w:tc>
      </w:tr>
      <w:tr w:rsidR="007E365E" w:rsidRPr="001343C9" w14:paraId="6B1C4EE9" w14:textId="77777777" w:rsidTr="007D1D77">
        <w:trPr>
          <w:trHeight w:val="315"/>
        </w:trPr>
        <w:tc>
          <w:tcPr>
            <w:tcW w:w="2360" w:type="dxa"/>
            <w:tcBorders>
              <w:top w:val="single" w:sz="4" w:space="0" w:color="ADD6EA"/>
              <w:left w:val="nil"/>
              <w:bottom w:val="single" w:sz="4" w:space="0" w:color="ADD6EA"/>
              <w:right w:val="nil"/>
            </w:tcBorders>
            <w:shd w:val="clear" w:color="auto" w:fill="D6E7F0"/>
            <w:vAlign w:val="bottom"/>
            <w:hideMark/>
          </w:tcPr>
          <w:p w14:paraId="2E0C4FB7" w14:textId="77777777" w:rsidR="007E365E" w:rsidRPr="002A68C5"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Assessed expenses ($pc)</w:t>
            </w:r>
          </w:p>
        </w:tc>
        <w:tc>
          <w:tcPr>
            <w:tcW w:w="760" w:type="dxa"/>
            <w:tcBorders>
              <w:top w:val="single" w:sz="4" w:space="0" w:color="ADD6EA"/>
              <w:left w:val="nil"/>
              <w:bottom w:val="single" w:sz="4" w:space="0" w:color="ADD6EA"/>
              <w:right w:val="nil"/>
            </w:tcBorders>
            <w:shd w:val="clear" w:color="auto" w:fill="D6E7F0"/>
            <w:vAlign w:val="bottom"/>
            <w:hideMark/>
          </w:tcPr>
          <w:p w14:paraId="295AD8BA"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95</w:t>
            </w:r>
          </w:p>
        </w:tc>
        <w:tc>
          <w:tcPr>
            <w:tcW w:w="760" w:type="dxa"/>
            <w:tcBorders>
              <w:top w:val="single" w:sz="4" w:space="0" w:color="ADD6EA"/>
              <w:left w:val="nil"/>
              <w:bottom w:val="single" w:sz="4" w:space="0" w:color="ADD6EA"/>
              <w:right w:val="nil"/>
            </w:tcBorders>
            <w:shd w:val="clear" w:color="auto" w:fill="D6E7F0"/>
            <w:vAlign w:val="bottom"/>
            <w:hideMark/>
          </w:tcPr>
          <w:p w14:paraId="1D3928B8"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94</w:t>
            </w:r>
          </w:p>
        </w:tc>
        <w:tc>
          <w:tcPr>
            <w:tcW w:w="760" w:type="dxa"/>
            <w:tcBorders>
              <w:top w:val="single" w:sz="4" w:space="0" w:color="ADD6EA"/>
              <w:left w:val="nil"/>
              <w:bottom w:val="single" w:sz="4" w:space="0" w:color="ADD6EA"/>
              <w:right w:val="nil"/>
            </w:tcBorders>
            <w:shd w:val="clear" w:color="auto" w:fill="D6E7F0"/>
            <w:vAlign w:val="bottom"/>
            <w:hideMark/>
          </w:tcPr>
          <w:p w14:paraId="34DBE9D2"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94</w:t>
            </w:r>
          </w:p>
        </w:tc>
        <w:tc>
          <w:tcPr>
            <w:tcW w:w="700" w:type="dxa"/>
            <w:tcBorders>
              <w:top w:val="single" w:sz="4" w:space="0" w:color="ADD6EA"/>
              <w:left w:val="nil"/>
              <w:bottom w:val="single" w:sz="4" w:space="0" w:color="ADD6EA"/>
              <w:right w:val="nil"/>
            </w:tcBorders>
            <w:shd w:val="clear" w:color="auto" w:fill="D6E7F0"/>
            <w:vAlign w:val="bottom"/>
            <w:hideMark/>
          </w:tcPr>
          <w:p w14:paraId="73A5E1FF"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97</w:t>
            </w:r>
          </w:p>
        </w:tc>
        <w:tc>
          <w:tcPr>
            <w:tcW w:w="640" w:type="dxa"/>
            <w:tcBorders>
              <w:top w:val="single" w:sz="4" w:space="0" w:color="ADD6EA"/>
              <w:left w:val="nil"/>
              <w:bottom w:val="single" w:sz="4" w:space="0" w:color="ADD6EA"/>
              <w:right w:val="nil"/>
            </w:tcBorders>
            <w:shd w:val="clear" w:color="auto" w:fill="D6E7F0"/>
            <w:vAlign w:val="bottom"/>
            <w:hideMark/>
          </w:tcPr>
          <w:p w14:paraId="3DDBE321"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93</w:t>
            </w:r>
          </w:p>
        </w:tc>
        <w:tc>
          <w:tcPr>
            <w:tcW w:w="740" w:type="dxa"/>
            <w:tcBorders>
              <w:top w:val="single" w:sz="4" w:space="0" w:color="ADD6EA"/>
              <w:left w:val="nil"/>
              <w:bottom w:val="single" w:sz="4" w:space="0" w:color="ADD6EA"/>
              <w:right w:val="nil"/>
            </w:tcBorders>
            <w:shd w:val="clear" w:color="auto" w:fill="D6E7F0"/>
            <w:vAlign w:val="bottom"/>
            <w:hideMark/>
          </w:tcPr>
          <w:p w14:paraId="37A54D9E"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92</w:t>
            </w:r>
          </w:p>
        </w:tc>
        <w:tc>
          <w:tcPr>
            <w:tcW w:w="660" w:type="dxa"/>
            <w:tcBorders>
              <w:top w:val="single" w:sz="4" w:space="0" w:color="ADD6EA"/>
              <w:left w:val="nil"/>
              <w:bottom w:val="single" w:sz="4" w:space="0" w:color="ADD6EA"/>
              <w:right w:val="nil"/>
            </w:tcBorders>
            <w:shd w:val="clear" w:color="auto" w:fill="D6E7F0"/>
            <w:vAlign w:val="bottom"/>
            <w:hideMark/>
          </w:tcPr>
          <w:p w14:paraId="5B9F7E10"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97</w:t>
            </w:r>
          </w:p>
        </w:tc>
        <w:tc>
          <w:tcPr>
            <w:tcW w:w="740" w:type="dxa"/>
            <w:tcBorders>
              <w:top w:val="single" w:sz="4" w:space="0" w:color="ADD6EA"/>
              <w:left w:val="nil"/>
              <w:bottom w:val="single" w:sz="4" w:space="0" w:color="ADD6EA"/>
              <w:right w:val="nil"/>
            </w:tcBorders>
            <w:shd w:val="clear" w:color="auto" w:fill="D6E7F0"/>
            <w:vAlign w:val="bottom"/>
            <w:hideMark/>
          </w:tcPr>
          <w:p w14:paraId="10B41996"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100</w:t>
            </w:r>
          </w:p>
        </w:tc>
        <w:tc>
          <w:tcPr>
            <w:tcW w:w="820" w:type="dxa"/>
            <w:tcBorders>
              <w:top w:val="single" w:sz="4" w:space="0" w:color="ADD6EA"/>
              <w:left w:val="nil"/>
              <w:bottom w:val="single" w:sz="4" w:space="0" w:color="ADD6EA"/>
              <w:right w:val="nil"/>
            </w:tcBorders>
            <w:shd w:val="clear" w:color="auto" w:fill="D6E7F0"/>
            <w:vAlign w:val="bottom"/>
            <w:hideMark/>
          </w:tcPr>
          <w:p w14:paraId="684646F0"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95</w:t>
            </w:r>
          </w:p>
        </w:tc>
      </w:tr>
    </w:tbl>
    <w:p w14:paraId="380C25CC" w14:textId="77777777" w:rsidR="007E365E" w:rsidRPr="00173B02" w:rsidRDefault="007E365E" w:rsidP="007E365E">
      <w:pPr>
        <w:pStyle w:val="CGCTablenote"/>
      </w:pPr>
      <w:r w:rsidRPr="00DA791E">
        <w:t xml:space="preserve"> (a</w:t>
      </w:r>
      <w:r>
        <w:t xml:space="preserve">) </w:t>
      </w:r>
      <w:r>
        <w:tab/>
      </w:r>
      <w:r w:rsidRPr="00173B02">
        <w:t xml:space="preserve">Regional costs is applied to 51% of civil courts, representing the magistrate’s court share of civil courts. </w:t>
      </w:r>
    </w:p>
    <w:p w14:paraId="4512E557" w14:textId="77777777" w:rsidR="007E365E" w:rsidRPr="00173B02" w:rsidRDefault="007E365E" w:rsidP="007E365E">
      <w:pPr>
        <w:pStyle w:val="CGCTablenote"/>
      </w:pPr>
      <w:r w:rsidRPr="00173B02">
        <w:t>Source:</w:t>
      </w:r>
      <w:r w:rsidRPr="00173B02">
        <w:tab/>
        <w:t>Commission calculation.</w:t>
      </w:r>
    </w:p>
    <w:p w14:paraId="00F51978" w14:textId="77777777" w:rsidR="007E365E" w:rsidRPr="00173B02" w:rsidRDefault="007E365E" w:rsidP="007E365E">
      <w:pPr>
        <w:pStyle w:val="Heading4"/>
      </w:pPr>
      <w:bookmarkStart w:id="66" w:name="_Toc6487586"/>
      <w:bookmarkStart w:id="67" w:name="_Toc6487624"/>
      <w:bookmarkStart w:id="68" w:name="_Toc7442878"/>
      <w:bookmarkStart w:id="69" w:name="_Toc23500157"/>
      <w:r w:rsidRPr="00173B02">
        <w:t>Prisons</w:t>
      </w:r>
      <w:bookmarkEnd w:id="66"/>
      <w:bookmarkEnd w:id="67"/>
      <w:bookmarkEnd w:id="68"/>
      <w:bookmarkEnd w:id="69"/>
    </w:p>
    <w:p w14:paraId="55DEC26C" w14:textId="77777777" w:rsidR="007E365E" w:rsidRPr="00173B02" w:rsidRDefault="007E365E" w:rsidP="007E365E">
      <w:pPr>
        <w:pStyle w:val="CGCParaNumber"/>
      </w:pPr>
      <w:r w:rsidRPr="00173B02">
        <w:t>Expenses for this component include:</w:t>
      </w:r>
    </w:p>
    <w:p w14:paraId="5DD57B0E" w14:textId="77777777" w:rsidR="007E365E" w:rsidRPr="009D66AD" w:rsidRDefault="007E365E" w:rsidP="007E365E">
      <w:pPr>
        <w:pStyle w:val="CGCBullet1"/>
        <w:numPr>
          <w:ilvl w:val="0"/>
          <w:numId w:val="18"/>
        </w:numPr>
        <w:ind w:left="924" w:hanging="357"/>
      </w:pPr>
      <w:r w:rsidRPr="009D66AD">
        <w:t>expenses associated with prisons</w:t>
      </w:r>
    </w:p>
    <w:p w14:paraId="61DEBAE0" w14:textId="77777777" w:rsidR="007E365E" w:rsidRPr="009D66AD" w:rsidRDefault="007E365E" w:rsidP="007E365E">
      <w:pPr>
        <w:pStyle w:val="CGCBullet1"/>
        <w:numPr>
          <w:ilvl w:val="0"/>
          <w:numId w:val="18"/>
        </w:numPr>
        <w:ind w:left="924" w:hanging="357"/>
      </w:pPr>
      <w:r w:rsidRPr="009D66AD">
        <w:t>expenses associated with juvenile detention</w:t>
      </w:r>
    </w:p>
    <w:p w14:paraId="38B407B4" w14:textId="77777777" w:rsidR="007E365E" w:rsidRPr="009D66AD" w:rsidRDefault="007E365E" w:rsidP="007E365E">
      <w:pPr>
        <w:pStyle w:val="CGCBullet1"/>
        <w:numPr>
          <w:ilvl w:val="0"/>
          <w:numId w:val="18"/>
        </w:numPr>
        <w:ind w:left="924" w:hanging="357"/>
      </w:pPr>
      <w:r w:rsidRPr="009D66AD">
        <w:t>expenses associated with community corrections which may include</w:t>
      </w:r>
    </w:p>
    <w:p w14:paraId="6D98668B" w14:textId="77777777" w:rsidR="007E365E" w:rsidRPr="00173B02" w:rsidRDefault="007E365E" w:rsidP="007E365E">
      <w:pPr>
        <w:pStyle w:val="CGCBullet2"/>
        <w:numPr>
          <w:ilvl w:val="0"/>
          <w:numId w:val="3"/>
        </w:numPr>
        <w:tabs>
          <w:tab w:val="left" w:pos="680"/>
        </w:tabs>
        <w:ind w:left="1208" w:hanging="357"/>
      </w:pPr>
      <w:r w:rsidRPr="00173B02">
        <w:t>supervision through home detention, parole or bail</w:t>
      </w:r>
    </w:p>
    <w:p w14:paraId="0AA2E0C1" w14:textId="77777777" w:rsidR="007E365E" w:rsidRPr="00173B02" w:rsidRDefault="007E365E" w:rsidP="007E365E">
      <w:pPr>
        <w:pStyle w:val="CGCBullet2"/>
        <w:numPr>
          <w:ilvl w:val="0"/>
          <w:numId w:val="3"/>
        </w:numPr>
        <w:tabs>
          <w:tab w:val="left" w:pos="680"/>
        </w:tabs>
        <w:ind w:left="1208" w:hanging="357"/>
      </w:pPr>
      <w:r w:rsidRPr="00173B02">
        <w:t>program participation</w:t>
      </w:r>
    </w:p>
    <w:p w14:paraId="25950223" w14:textId="77777777" w:rsidR="007E365E" w:rsidRPr="00173B02" w:rsidRDefault="007E365E" w:rsidP="007E365E">
      <w:pPr>
        <w:pStyle w:val="CGCBullet2"/>
        <w:numPr>
          <w:ilvl w:val="0"/>
          <w:numId w:val="3"/>
        </w:numPr>
        <w:tabs>
          <w:tab w:val="left" w:pos="680"/>
        </w:tabs>
        <w:ind w:left="1208" w:hanging="357"/>
      </w:pPr>
      <w:r w:rsidRPr="00173B02">
        <w:t>community work orders.</w:t>
      </w:r>
    </w:p>
    <w:p w14:paraId="607FD121" w14:textId="77777777" w:rsidR="007E365E" w:rsidRPr="00173B02" w:rsidRDefault="007E365E" w:rsidP="007E365E">
      <w:pPr>
        <w:pStyle w:val="CGCParaNumber"/>
      </w:pPr>
      <w:r w:rsidRPr="00173B02">
        <w:t>The prison assessment is based on an SDC assessment of the number of prisoners with adjustments for wage costs and regional costs.</w:t>
      </w:r>
    </w:p>
    <w:p w14:paraId="2286C5B8" w14:textId="77777777" w:rsidR="007E365E" w:rsidRPr="00173B02" w:rsidRDefault="007E365E" w:rsidP="007E365E">
      <w:pPr>
        <w:pStyle w:val="Heading5"/>
      </w:pPr>
      <w:r w:rsidRPr="00173B02">
        <w:lastRenderedPageBreak/>
        <w:t>Socio-demographic composition</w:t>
      </w:r>
    </w:p>
    <w:p w14:paraId="275BD872" w14:textId="0D2F9C28" w:rsidR="007E365E" w:rsidRPr="00173B02" w:rsidRDefault="007E365E" w:rsidP="007E365E">
      <w:pPr>
        <w:pStyle w:val="CGCParaNumber"/>
      </w:pPr>
      <w:r w:rsidRPr="00173B02">
        <w:t>Assessed spending by each State on prisons is affected by the size of its population and the relative size of those population groups that are more likely to be in prison. The number of assessed prisoners is derived by applying the national average prisoner rate for a given socio</w:t>
      </w:r>
      <w:r>
        <w:noBreakHyphen/>
      </w:r>
      <w:r w:rsidRPr="00173B02">
        <w:t>demographic sub-population to that sub-population resident in each State. The socio</w:t>
      </w:r>
      <w:r>
        <w:noBreakHyphen/>
      </w:r>
      <w:r w:rsidRPr="00173B02">
        <w:t xml:space="preserve">demographic groups include a cross-classification by Indigenous status, SES and age. There are 50 SDC groups with the same composition as that of criminal courts (see </w:t>
      </w:r>
      <w:r w:rsidRPr="00173B02">
        <w:fldChar w:fldCharType="begin"/>
      </w:r>
      <w:r w:rsidRPr="00173B02">
        <w:instrText xml:space="preserve"> REF _Ref2593860 \h </w:instrText>
      </w:r>
      <w:r>
        <w:instrText xml:space="preserve"> \* MERGEFORMAT </w:instrText>
      </w:r>
      <w:r w:rsidRPr="00173B02">
        <w:fldChar w:fldCharType="separate"/>
      </w:r>
      <w:r w:rsidR="007F721A" w:rsidRPr="00173B02">
        <w:t>Table</w:t>
      </w:r>
      <w:r w:rsidR="007F721A">
        <w:t> 19</w:t>
      </w:r>
      <w:r w:rsidR="007F721A">
        <w:noBreakHyphen/>
        <w:t>10</w:t>
      </w:r>
      <w:r w:rsidRPr="00173B02">
        <w:fldChar w:fldCharType="end"/>
      </w:r>
      <w:r w:rsidRPr="00173B02">
        <w:t>). SES data are extrapolated from defendant data.</w:t>
      </w:r>
    </w:p>
    <w:p w14:paraId="098B5486" w14:textId="77777777" w:rsidR="007E365E" w:rsidRPr="00173B02" w:rsidRDefault="007E365E" w:rsidP="007E365E">
      <w:pPr>
        <w:pStyle w:val="Heading5"/>
      </w:pPr>
      <w:r w:rsidRPr="00173B02">
        <w:t>Indigenous status and socio-economic status</w:t>
      </w:r>
    </w:p>
    <w:p w14:paraId="41365A9E" w14:textId="77777777" w:rsidR="007E365E" w:rsidRPr="00173B02" w:rsidRDefault="007E365E" w:rsidP="007E365E">
      <w:pPr>
        <w:pStyle w:val="CGCParaNumber"/>
      </w:pPr>
      <w:r w:rsidRPr="00173B02">
        <w:t>In 20</w:t>
      </w:r>
      <w:r>
        <w:t>17-18</w:t>
      </w:r>
      <w:r w:rsidRPr="00173B02">
        <w:t xml:space="preserve"> Indigenous people were, on average, 1</w:t>
      </w:r>
      <w:r>
        <w:t>1</w:t>
      </w:r>
      <w:r w:rsidRPr="00173B02">
        <w:t xml:space="preserve"> times more likely to be in prison than non-Indigenous people. Indigenous status is accordingly included as a disability when assessing prisoner numbers.</w:t>
      </w:r>
    </w:p>
    <w:p w14:paraId="5D3F333E" w14:textId="6D6556D9" w:rsidR="007E365E" w:rsidRPr="00EA39FE" w:rsidRDefault="007E365E" w:rsidP="007E365E">
      <w:pPr>
        <w:pStyle w:val="CGCParaNumber"/>
      </w:pPr>
      <w:bookmarkStart w:id="70" w:name="_Ref2329881"/>
      <w:r w:rsidRPr="00EA39FE">
        <w:t xml:space="preserve">It is not possible to measure directly an SES disability for prisoners, as SES data are not available for prisoners. Therefore, the Commission uses the SES profile of criminal court defendants as a proxy for the SES profile of prisoners. </w:t>
      </w:r>
      <w:bookmarkEnd w:id="70"/>
    </w:p>
    <w:p w14:paraId="5C9DB52D" w14:textId="77777777" w:rsidR="007E365E" w:rsidRPr="00EA39FE" w:rsidRDefault="007E365E" w:rsidP="007E365E">
      <w:pPr>
        <w:pStyle w:val="CGCParaNumber"/>
      </w:pPr>
      <w:r w:rsidRPr="00EA39FE">
        <w:t>The ACT argued that as the police regional costs factor applied to the courts and prison assessments was discounted by 25% in the 2015 Review, for consistency, the defendants’ SES data used as a proxy for prison SES should also be discounted by 25%.</w:t>
      </w:r>
    </w:p>
    <w:p w14:paraId="293C6F84" w14:textId="77777777" w:rsidR="007E365E" w:rsidRPr="00EA39FE" w:rsidRDefault="007E365E" w:rsidP="007E365E">
      <w:pPr>
        <w:pStyle w:val="CGCParaNumber"/>
      </w:pPr>
      <w:bookmarkStart w:id="71" w:name="_Ref2329886"/>
      <w:r w:rsidRPr="00EA39FE">
        <w:t>Both Indigenous and low SES people are overrepresented in the justice system, and Indigenous people are more overrepresented in the prison system than in the criminal court system. It seems likely that prisons may also have a greater overrepresentation of other disadvantaged groups, such as low SES. The Commission considered a mark-up of this disability, rather than a discount, but the level of mark</w:t>
      </w:r>
      <w:r w:rsidRPr="00EA39FE">
        <w:noBreakHyphen/>
        <w:t xml:space="preserve">up could not be reliably measured, and likely values for such a mark-up would not be material. </w:t>
      </w:r>
    </w:p>
    <w:bookmarkEnd w:id="71"/>
    <w:p w14:paraId="0E8EF193" w14:textId="77777777" w:rsidR="007E365E" w:rsidRPr="00EA39FE" w:rsidRDefault="007E365E" w:rsidP="007E365E">
      <w:pPr>
        <w:pStyle w:val="Heading5"/>
      </w:pPr>
      <w:r w:rsidRPr="00173B02">
        <w:t>Remote service use</w:t>
      </w:r>
    </w:p>
    <w:p w14:paraId="1CD646FB" w14:textId="77777777" w:rsidR="007E365E" w:rsidRPr="00173B02" w:rsidRDefault="007E365E" w:rsidP="007E365E">
      <w:pPr>
        <w:pStyle w:val="CGCParaNumber"/>
      </w:pPr>
      <w:r w:rsidRPr="00173B02">
        <w:t xml:space="preserve">There are no available data on place of residence of the imprisoned population prior to their imprisonment, and therefore no capacity to ascertain a relationship between remoteness and imprisonment rates. Additionally, in the absence of a clear relationship between remoteness and rates of crime for offenders or defendants there is no basis to assume any relationship. </w:t>
      </w:r>
    </w:p>
    <w:p w14:paraId="636DD5F6" w14:textId="77777777" w:rsidR="007E365E" w:rsidRPr="00173B02" w:rsidRDefault="007E365E" w:rsidP="007E365E">
      <w:pPr>
        <w:pStyle w:val="Heading5"/>
      </w:pPr>
      <w:r w:rsidRPr="00173B02">
        <w:t>Age</w:t>
      </w:r>
    </w:p>
    <w:p w14:paraId="07B622DA" w14:textId="1FE745EE" w:rsidR="007E365E" w:rsidRPr="00173B02" w:rsidRDefault="007E365E" w:rsidP="007E365E">
      <w:pPr>
        <w:pStyle w:val="CGCParaNumber"/>
      </w:pPr>
      <w:r w:rsidRPr="00173B02">
        <w:fldChar w:fldCharType="begin"/>
      </w:r>
      <w:r w:rsidRPr="00173B02">
        <w:instrText xml:space="preserve"> REF _Ref1482149 \h  \* MERGEFORMAT </w:instrText>
      </w:r>
      <w:r w:rsidRPr="00173B02">
        <w:fldChar w:fldCharType="separate"/>
      </w:r>
      <w:r w:rsidR="007F721A" w:rsidRPr="00173B02">
        <w:t xml:space="preserve">Figure </w:t>
      </w:r>
      <w:r w:rsidR="007F721A">
        <w:rPr>
          <w:noProof/>
        </w:rPr>
        <w:t>19-12</w:t>
      </w:r>
      <w:r w:rsidRPr="00173B02">
        <w:fldChar w:fldCharType="end"/>
      </w:r>
      <w:r w:rsidRPr="00173B02">
        <w:t xml:space="preserve"> shows the imprisonment rate of prisoners in Australia by age and Indigenous status, including those in juvenile detention. The data show imprisonment rates are highest for people age</w:t>
      </w:r>
      <w:r>
        <w:t>d</w:t>
      </w:r>
      <w:r w:rsidRPr="00173B02">
        <w:t xml:space="preserve"> 25-44 than for other age groups. These age profiles will be reflected when assessing the number of prisoners.</w:t>
      </w:r>
    </w:p>
    <w:p w14:paraId="7163A88F" w14:textId="77777777" w:rsidR="007E365E" w:rsidRPr="00173B02" w:rsidRDefault="007E365E" w:rsidP="007E365E">
      <w:pPr>
        <w:pStyle w:val="CGCParaNumber"/>
      </w:pPr>
      <w:r w:rsidRPr="00173B02">
        <w:t>In contrast to the 2015 approach when 0-14 and 65+ age groups were assumed to have zero use of justice services, in this review the Commission considers it simpler and more appropriate to use the actual imprisonment rates of these groups.</w:t>
      </w:r>
    </w:p>
    <w:p w14:paraId="17466BF7" w14:textId="34B2F215" w:rsidR="007E365E" w:rsidRPr="00173B02" w:rsidRDefault="007E365E" w:rsidP="007E365E">
      <w:pPr>
        <w:pStyle w:val="Caption"/>
      </w:pPr>
      <w:bookmarkStart w:id="72" w:name="_Ref1482149"/>
      <w:r w:rsidRPr="00173B02">
        <w:lastRenderedPageBreak/>
        <w:t xml:space="preserve">Figure </w:t>
      </w:r>
      <w:r>
        <w:t>19-</w:t>
      </w:r>
      <w:fldSimple w:instr=" SEQ Figure \* ARABIC ">
        <w:r w:rsidR="007F721A">
          <w:rPr>
            <w:noProof/>
          </w:rPr>
          <w:t>12</w:t>
        </w:r>
      </w:fldSimple>
      <w:bookmarkEnd w:id="72"/>
      <w:r w:rsidRPr="00173B02">
        <w:tab/>
        <w:t>Imprisonment rates by age and Indigenous status, 2017-18</w:t>
      </w:r>
    </w:p>
    <w:p w14:paraId="03A89982" w14:textId="77777777" w:rsidR="007E365E" w:rsidRPr="00173B02" w:rsidRDefault="007E365E" w:rsidP="007E365E">
      <w:r w:rsidRPr="0005409B">
        <w:rPr>
          <w:noProof/>
        </w:rPr>
        <w:drawing>
          <wp:inline distT="0" distB="0" distL="0" distR="0" wp14:anchorId="62931606" wp14:editId="3FC0DA7E">
            <wp:extent cx="5645150" cy="3339465"/>
            <wp:effectExtent l="0" t="0" r="0" b="0"/>
            <wp:docPr id="24" name="Picture 24" descr="Column graph showing imprisonment rates by five age groups for the Indigenous and non-Indigenou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5150" cy="3339465"/>
                    </a:xfrm>
                    <a:prstGeom prst="rect">
                      <a:avLst/>
                    </a:prstGeom>
                    <a:noFill/>
                    <a:ln>
                      <a:noFill/>
                    </a:ln>
                  </pic:spPr>
                </pic:pic>
              </a:graphicData>
            </a:graphic>
          </wp:inline>
        </w:drawing>
      </w:r>
    </w:p>
    <w:p w14:paraId="7615BB3C" w14:textId="77777777" w:rsidR="007E365E" w:rsidRPr="00173B02" w:rsidRDefault="007E365E" w:rsidP="007E365E">
      <w:pPr>
        <w:pStyle w:val="CGCTablenote"/>
      </w:pPr>
      <w:r w:rsidRPr="00173B02">
        <w:t>Source:</w:t>
      </w:r>
      <w:r w:rsidRPr="00173B02">
        <w:tab/>
        <w:t xml:space="preserve">Commission calculation based on ABS 2018, </w:t>
      </w:r>
      <w:r w:rsidRPr="00173B02">
        <w:rPr>
          <w:i/>
        </w:rPr>
        <w:t>Prisoners in Australia</w:t>
      </w:r>
      <w:r>
        <w:rPr>
          <w:i/>
        </w:rPr>
        <w:t>, 2018</w:t>
      </w:r>
      <w:r w:rsidRPr="00173B02">
        <w:t xml:space="preserve">, cat. no. 4517.0, Table 21 and AIHW, 2017-18, </w:t>
      </w:r>
      <w:r w:rsidRPr="00173B02">
        <w:rPr>
          <w:i/>
        </w:rPr>
        <w:t>Youth Justice in Australia</w:t>
      </w:r>
      <w:r w:rsidRPr="00173B02">
        <w:t>, Table S78a.</w:t>
      </w:r>
    </w:p>
    <w:p w14:paraId="3ABCD0AD" w14:textId="77777777" w:rsidR="007E365E" w:rsidRPr="00173B02" w:rsidRDefault="007E365E" w:rsidP="007E365E">
      <w:pPr>
        <w:pStyle w:val="Heading5"/>
      </w:pPr>
      <w:r w:rsidRPr="00173B02">
        <w:t>Regional costs</w:t>
      </w:r>
    </w:p>
    <w:p w14:paraId="789E5BA1" w14:textId="77777777" w:rsidR="007E365E" w:rsidRPr="00173B02" w:rsidRDefault="007E365E" w:rsidP="007E365E">
      <w:pPr>
        <w:pStyle w:val="CGCParaNumber"/>
      </w:pPr>
      <w:r w:rsidRPr="00173B02">
        <w:t>The Commission has developed a model based on State provided data that allocates regional costs and service delivery scale costs. Small prisons are more expensive per prisoner than large prisons. Prisons in non-remote areas contain, on average, four times as many prisoners as prisons in remote areas. Given the fixed and variable costs, States spend about 45% more per prisoner in remote prisons than those in non-remote prisons.</w:t>
      </w:r>
    </w:p>
    <w:p w14:paraId="6E2E2712" w14:textId="77777777" w:rsidR="007E365E" w:rsidRPr="00173B02" w:rsidRDefault="007E365E" w:rsidP="007E365E">
      <w:pPr>
        <w:pStyle w:val="CGCParaNumber"/>
      </w:pPr>
      <w:r w:rsidRPr="00173B02">
        <w:t>However, only about 40% of remote residents who go to prison end up in a remote prison. While 8.</w:t>
      </w:r>
      <w:r>
        <w:t>7</w:t>
      </w:r>
      <w:r w:rsidRPr="00173B02">
        <w:t>% of assessed prisoners originate in remote areas, only 3.3% of prisoners are in remote prisons.</w:t>
      </w:r>
    </w:p>
    <w:p w14:paraId="7B9DD9D7" w14:textId="77777777" w:rsidR="007E365E" w:rsidRPr="00173B02" w:rsidRDefault="007E365E" w:rsidP="007E365E">
      <w:pPr>
        <w:pStyle w:val="CGCParaNumber"/>
      </w:pPr>
      <w:r w:rsidRPr="00173B02">
        <w:t>For practicality reasons, the Commission has distributed the additional service delivery scale and regional costs expenses of the 3.3% of actual prisoners in remote areas amongst the 8.</w:t>
      </w:r>
      <w:r>
        <w:t>7</w:t>
      </w:r>
      <w:r w:rsidRPr="00173B02">
        <w:t>% of prisoners who originate from remote areas. Allocating the costs in this way leads to prisoners assessed to originate from remote areas being 1</w:t>
      </w:r>
      <w:r>
        <w:t>7</w:t>
      </w:r>
      <w:r w:rsidRPr="00173B02">
        <w:t>% more expensive than prisoners assessed to originate from non-remote areas.</w:t>
      </w:r>
    </w:p>
    <w:p w14:paraId="71BB1A7E" w14:textId="77777777" w:rsidR="007E365E" w:rsidRPr="00173B02" w:rsidRDefault="007E365E" w:rsidP="007E365E">
      <w:pPr>
        <w:pStyle w:val="CGCParaNumber"/>
      </w:pPr>
      <w:r w:rsidRPr="00173B02">
        <w:t>New South Wales, Victoria, and the Northern Territory expressed concern given the low explanatory power of the model used. The Commission would prefer a model that had greater explanatory power. However</w:t>
      </w:r>
      <w:r>
        <w:t>,</w:t>
      </w:r>
      <w:r w:rsidRPr="00173B02">
        <w:t xml:space="preserve"> the Commission considers that there is a strong conceptual case that regional costs do apply to prisons and that, while not perfect, the regression approach represents the most reliable available measure of the likely magnitude. As such it has decided to use the regression based approach. It is worth noting that one reason for the low explanatory power of the model is major differences between States in the cost per prisoner. However, whether this reflects different levels of efficiency, or different accounting treatment and data standards, cannot be determined. A State identifier has not been included in the model.</w:t>
      </w:r>
    </w:p>
    <w:p w14:paraId="31F44AB0" w14:textId="77777777" w:rsidR="007E365E" w:rsidRPr="00173B02" w:rsidRDefault="007E365E" w:rsidP="007E365E">
      <w:pPr>
        <w:pStyle w:val="CGCParaNumber"/>
      </w:pPr>
      <w:r w:rsidRPr="00173B02">
        <w:lastRenderedPageBreak/>
        <w:t xml:space="preserve">Western Australia considers this ratio may reflect a national average tendency to house prisoners originating in remote areas in more accessible prisons, but given the large distances involved in Western Australia, such a policy is unfeasible. However, analysis shows that Western Australia actually appears less prone to house remote resident prisoners in remote prisons. In Western Australia </w:t>
      </w:r>
      <w:r>
        <w:t>20</w:t>
      </w:r>
      <w:r w:rsidRPr="00173B02">
        <w:t>% of assessed prisoners originated in remote areas. This is three times the proportion of prisoners actually imprisoned in remote areas, which is a higher ratio than the national average.</w:t>
      </w:r>
    </w:p>
    <w:p w14:paraId="03E1FF9C" w14:textId="77777777" w:rsidR="007E365E" w:rsidRPr="00173B02" w:rsidRDefault="007E365E" w:rsidP="007E365E">
      <w:pPr>
        <w:pStyle w:val="Heading5"/>
      </w:pPr>
      <w:r w:rsidRPr="00173B02">
        <w:t>Wage costs</w:t>
      </w:r>
    </w:p>
    <w:p w14:paraId="1017A398" w14:textId="77777777" w:rsidR="007E365E" w:rsidRPr="00173B02" w:rsidRDefault="007E365E" w:rsidP="007E365E">
      <w:pPr>
        <w:pStyle w:val="CGCParaNumber"/>
      </w:pPr>
      <w:r w:rsidRPr="00173B02">
        <w:t>Differences in wage costs between States have a differential effect on the cost of providing services. There is a general method for measuring the influence of wage costs in components where the disability applies. For a description of the method, see Chapter 27 Wage costs.</w:t>
      </w:r>
    </w:p>
    <w:p w14:paraId="75EBC03A" w14:textId="77777777" w:rsidR="007E365E" w:rsidRPr="00173B02" w:rsidRDefault="007E365E" w:rsidP="007E365E">
      <w:pPr>
        <w:pStyle w:val="Heading5"/>
      </w:pPr>
      <w:r w:rsidRPr="00173B02">
        <w:t>Data and method</w:t>
      </w:r>
    </w:p>
    <w:p w14:paraId="703A723E" w14:textId="77777777" w:rsidR="007E365E" w:rsidRPr="00173B02" w:rsidRDefault="007E365E" w:rsidP="007E365E">
      <w:pPr>
        <w:pStyle w:val="CGCParaNumber"/>
      </w:pPr>
      <w:r w:rsidRPr="00173B02">
        <w:t>SDC groups are derived from a combination of ABS and State provided data. ABS data provide the number of prisoners by Indigenous status and age (five groups), updated on an annual basis.</w:t>
      </w:r>
    </w:p>
    <w:p w14:paraId="0D3DBA6C" w14:textId="77777777" w:rsidR="007E365E" w:rsidRPr="00173B02" w:rsidRDefault="007E365E" w:rsidP="007E365E">
      <w:pPr>
        <w:pStyle w:val="CGCParaNumber"/>
      </w:pPr>
      <w:r w:rsidRPr="00173B02">
        <w:t>Socio-economic status is derived from State court defendant data, which uses five IRSEO groups for the Indigenous population, and five NISEIFA groups for the non</w:t>
      </w:r>
      <w:r w:rsidRPr="00173B02">
        <w:noBreakHyphen/>
        <w:t>Indigenous population.</w:t>
      </w:r>
      <w:r w:rsidRPr="00173B02">
        <w:rPr>
          <w:rStyle w:val="FootnoteReference"/>
        </w:rPr>
        <w:footnoteReference w:id="9"/>
      </w:r>
    </w:p>
    <w:p w14:paraId="14258B7E" w14:textId="77777777" w:rsidR="007E365E" w:rsidRPr="00173B02" w:rsidRDefault="007E365E" w:rsidP="007E365E">
      <w:pPr>
        <w:pStyle w:val="CGCParaNumber"/>
      </w:pPr>
      <w:r w:rsidRPr="00173B02">
        <w:t>SES is imputed by splitting the number of prisoners for each Indigenous and age group combination on a weighted population basis according to the relative SES rates for Indigenous and non-Indigenous defendants.</w:t>
      </w:r>
    </w:p>
    <w:p w14:paraId="7F651478" w14:textId="77777777" w:rsidR="007E365E" w:rsidRPr="00173B02" w:rsidRDefault="007E365E" w:rsidP="007E365E">
      <w:pPr>
        <w:pStyle w:val="CGCParaNumber"/>
      </w:pPr>
      <w:r w:rsidRPr="00173B02">
        <w:t>The regional costs weight is derived from prisoner cost data provided by States.</w:t>
      </w:r>
    </w:p>
    <w:p w14:paraId="63CF4C88" w14:textId="77777777" w:rsidR="007E365E" w:rsidRPr="00173B02" w:rsidRDefault="007E365E" w:rsidP="007E365E">
      <w:pPr>
        <w:pStyle w:val="Heading5"/>
      </w:pPr>
      <w:r w:rsidRPr="00173B02">
        <w:t>Component calculations</w:t>
      </w:r>
    </w:p>
    <w:p w14:paraId="22B7F0DF" w14:textId="5AAE0D6A" w:rsidR="007E365E" w:rsidRPr="00173B02" w:rsidRDefault="007E365E" w:rsidP="007E365E">
      <w:pPr>
        <w:pStyle w:val="CGCParaNumber"/>
      </w:pPr>
      <w:r w:rsidRPr="00173B02">
        <w:fldChar w:fldCharType="begin"/>
      </w:r>
      <w:r w:rsidRPr="00173B02">
        <w:instrText xml:space="preserve"> REF _Ref7534913 \h </w:instrText>
      </w:r>
      <w:r>
        <w:instrText xml:space="preserve"> \* MERGEFORMAT </w:instrText>
      </w:r>
      <w:r w:rsidRPr="00173B02">
        <w:fldChar w:fldCharType="separate"/>
      </w:r>
      <w:r w:rsidR="007F721A" w:rsidRPr="00173B02">
        <w:t xml:space="preserve">Table </w:t>
      </w:r>
      <w:r w:rsidR="007F721A">
        <w:rPr>
          <w:noProof/>
        </w:rPr>
        <w:t>19-13</w:t>
      </w:r>
      <w:r w:rsidRPr="00173B02">
        <w:fldChar w:fldCharType="end"/>
      </w:r>
      <w:r w:rsidRPr="00173B02">
        <w:t xml:space="preserve"> shows the calculation of total assessed expenses for the component in 201</w:t>
      </w:r>
      <w:r>
        <w:t>8</w:t>
      </w:r>
      <w:r w:rsidRPr="00173B02">
        <w:noBreakHyphen/>
        <w:t>1</w:t>
      </w:r>
      <w:r>
        <w:t>9</w:t>
      </w:r>
      <w:r w:rsidRPr="00173B02">
        <w:t>.</w:t>
      </w:r>
    </w:p>
    <w:p w14:paraId="05A07155" w14:textId="49266EF0" w:rsidR="007E365E" w:rsidRPr="0032582C" w:rsidRDefault="007E365E" w:rsidP="007E365E">
      <w:pPr>
        <w:pStyle w:val="Caption"/>
      </w:pPr>
      <w:bookmarkStart w:id="73" w:name="_Ref7534913"/>
      <w:r w:rsidRPr="00173B02">
        <w:t xml:space="preserve">Table </w:t>
      </w:r>
      <w:r>
        <w:t>19-</w:t>
      </w:r>
      <w:fldSimple w:instr=" SEQ Table \* ARABIC ">
        <w:r w:rsidR="007F721A">
          <w:rPr>
            <w:noProof/>
          </w:rPr>
          <w:t>13</w:t>
        </w:r>
      </w:fldSimple>
      <w:bookmarkEnd w:id="73"/>
      <w:r w:rsidRPr="00173B02">
        <w:tab/>
        <w:t xml:space="preserve">Prison </w:t>
      </w:r>
      <w:r>
        <w:t>assessment,</w:t>
      </w:r>
      <w:r w:rsidRPr="00173B02">
        <w:t xml:space="preserve"> 201</w:t>
      </w:r>
      <w:r>
        <w:t>8</w:t>
      </w:r>
      <w:r w:rsidRPr="00173B02">
        <w:noBreakHyphen/>
        <w:t>1</w:t>
      </w:r>
      <w:r>
        <w:t>9</w:t>
      </w:r>
    </w:p>
    <w:tbl>
      <w:tblPr>
        <w:tblW w:w="8940" w:type="dxa"/>
        <w:tblCellMar>
          <w:left w:w="28" w:type="dxa"/>
          <w:right w:w="28" w:type="dxa"/>
        </w:tblCellMar>
        <w:tblLook w:val="04A0" w:firstRow="1" w:lastRow="0" w:firstColumn="1" w:lastColumn="0" w:noHBand="0" w:noVBand="1"/>
      </w:tblPr>
      <w:tblGrid>
        <w:gridCol w:w="2360"/>
        <w:gridCol w:w="760"/>
        <w:gridCol w:w="760"/>
        <w:gridCol w:w="760"/>
        <w:gridCol w:w="700"/>
        <w:gridCol w:w="640"/>
        <w:gridCol w:w="740"/>
        <w:gridCol w:w="660"/>
        <w:gridCol w:w="740"/>
        <w:gridCol w:w="820"/>
      </w:tblGrid>
      <w:tr w:rsidR="007E365E" w:rsidRPr="00271680" w14:paraId="623FFC81" w14:textId="77777777" w:rsidTr="007D1D77">
        <w:trPr>
          <w:trHeight w:val="405"/>
        </w:trPr>
        <w:tc>
          <w:tcPr>
            <w:tcW w:w="2360" w:type="dxa"/>
            <w:tcBorders>
              <w:top w:val="single" w:sz="4" w:space="0" w:color="ADD6EA"/>
              <w:left w:val="nil"/>
              <w:bottom w:val="single" w:sz="4" w:space="0" w:color="ADD6EA"/>
              <w:right w:val="nil"/>
            </w:tcBorders>
            <w:shd w:val="clear" w:color="000000" w:fill="006991"/>
            <w:noWrap/>
            <w:vAlign w:val="center"/>
            <w:hideMark/>
          </w:tcPr>
          <w:p w14:paraId="772886F1" w14:textId="77777777" w:rsidR="007E365E" w:rsidRPr="0027168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1680">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noWrap/>
            <w:vAlign w:val="center"/>
            <w:hideMark/>
          </w:tcPr>
          <w:p w14:paraId="68CDCD2D" w14:textId="77777777" w:rsidR="007E365E" w:rsidRPr="0027168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1680">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noWrap/>
            <w:vAlign w:val="center"/>
            <w:hideMark/>
          </w:tcPr>
          <w:p w14:paraId="3A451A7A" w14:textId="77777777" w:rsidR="007E365E" w:rsidRPr="0027168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1680">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0815A014" w14:textId="77777777" w:rsidR="007E365E" w:rsidRPr="0027168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1680">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noWrap/>
            <w:vAlign w:val="center"/>
            <w:hideMark/>
          </w:tcPr>
          <w:p w14:paraId="40AAC601" w14:textId="77777777" w:rsidR="007E365E" w:rsidRPr="0027168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1680">
              <w:rPr>
                <w:rFonts w:ascii="Open Sans SemiBold" w:eastAsia="Times New Roman" w:hAnsi="Open Sans SemiBold" w:cs="Open Sans SemiBold"/>
                <w:color w:val="FFFFFF"/>
                <w:sz w:val="16"/>
                <w:szCs w:val="16"/>
                <w:lang w:eastAsia="en-AU"/>
              </w:rPr>
              <w:t>WA</w:t>
            </w:r>
          </w:p>
        </w:tc>
        <w:tc>
          <w:tcPr>
            <w:tcW w:w="640" w:type="dxa"/>
            <w:tcBorders>
              <w:top w:val="single" w:sz="4" w:space="0" w:color="ADD6EA"/>
              <w:left w:val="nil"/>
              <w:bottom w:val="single" w:sz="4" w:space="0" w:color="ADD6EA"/>
              <w:right w:val="nil"/>
            </w:tcBorders>
            <w:shd w:val="clear" w:color="000000" w:fill="006991"/>
            <w:noWrap/>
            <w:vAlign w:val="center"/>
            <w:hideMark/>
          </w:tcPr>
          <w:p w14:paraId="727AEAAE" w14:textId="77777777" w:rsidR="007E365E" w:rsidRPr="0027168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1680">
              <w:rPr>
                <w:rFonts w:ascii="Open Sans SemiBold" w:eastAsia="Times New Roman" w:hAnsi="Open Sans SemiBold" w:cs="Open Sans SemiBold"/>
                <w:color w:val="FFFFFF"/>
                <w:sz w:val="16"/>
                <w:szCs w:val="16"/>
                <w:lang w:eastAsia="en-AU"/>
              </w:rPr>
              <w:t>SA</w:t>
            </w:r>
          </w:p>
        </w:tc>
        <w:tc>
          <w:tcPr>
            <w:tcW w:w="740" w:type="dxa"/>
            <w:tcBorders>
              <w:top w:val="single" w:sz="4" w:space="0" w:color="ADD6EA"/>
              <w:left w:val="nil"/>
              <w:bottom w:val="single" w:sz="4" w:space="0" w:color="ADD6EA"/>
              <w:right w:val="nil"/>
            </w:tcBorders>
            <w:shd w:val="clear" w:color="000000" w:fill="006991"/>
            <w:noWrap/>
            <w:vAlign w:val="center"/>
            <w:hideMark/>
          </w:tcPr>
          <w:p w14:paraId="7089F8A3" w14:textId="77777777" w:rsidR="007E365E" w:rsidRPr="0027168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1680">
              <w:rPr>
                <w:rFonts w:ascii="Open Sans SemiBold" w:eastAsia="Times New Roman" w:hAnsi="Open Sans SemiBold" w:cs="Open Sans SemiBold"/>
                <w:color w:val="FFFFFF"/>
                <w:sz w:val="16"/>
                <w:szCs w:val="16"/>
                <w:lang w:eastAsia="en-AU"/>
              </w:rPr>
              <w:t>Tas</w:t>
            </w:r>
          </w:p>
        </w:tc>
        <w:tc>
          <w:tcPr>
            <w:tcW w:w="660" w:type="dxa"/>
            <w:tcBorders>
              <w:top w:val="single" w:sz="4" w:space="0" w:color="ADD6EA"/>
              <w:left w:val="nil"/>
              <w:bottom w:val="single" w:sz="4" w:space="0" w:color="ADD6EA"/>
              <w:right w:val="nil"/>
            </w:tcBorders>
            <w:shd w:val="clear" w:color="000000" w:fill="006991"/>
            <w:noWrap/>
            <w:vAlign w:val="center"/>
            <w:hideMark/>
          </w:tcPr>
          <w:p w14:paraId="781486EA" w14:textId="77777777" w:rsidR="007E365E" w:rsidRPr="0027168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1680">
              <w:rPr>
                <w:rFonts w:ascii="Open Sans SemiBold" w:eastAsia="Times New Roman" w:hAnsi="Open Sans SemiBold" w:cs="Open Sans SemiBold"/>
                <w:color w:val="FFFFFF"/>
                <w:sz w:val="16"/>
                <w:szCs w:val="16"/>
                <w:lang w:eastAsia="en-AU"/>
              </w:rPr>
              <w:t>ACT</w:t>
            </w:r>
          </w:p>
        </w:tc>
        <w:tc>
          <w:tcPr>
            <w:tcW w:w="740" w:type="dxa"/>
            <w:tcBorders>
              <w:top w:val="single" w:sz="4" w:space="0" w:color="ADD6EA"/>
              <w:left w:val="nil"/>
              <w:bottom w:val="single" w:sz="4" w:space="0" w:color="ADD6EA"/>
              <w:right w:val="nil"/>
            </w:tcBorders>
            <w:shd w:val="clear" w:color="000000" w:fill="006991"/>
            <w:noWrap/>
            <w:vAlign w:val="center"/>
            <w:hideMark/>
          </w:tcPr>
          <w:p w14:paraId="4688A908" w14:textId="77777777" w:rsidR="007E365E" w:rsidRPr="0027168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1680">
              <w:rPr>
                <w:rFonts w:ascii="Open Sans SemiBold" w:eastAsia="Times New Roman" w:hAnsi="Open Sans SemiBold" w:cs="Open Sans SemiBold"/>
                <w:color w:val="FFFFFF"/>
                <w:sz w:val="16"/>
                <w:szCs w:val="16"/>
                <w:lang w:eastAsia="en-AU"/>
              </w:rPr>
              <w:t>NT</w:t>
            </w:r>
          </w:p>
        </w:tc>
        <w:tc>
          <w:tcPr>
            <w:tcW w:w="820" w:type="dxa"/>
            <w:tcBorders>
              <w:top w:val="single" w:sz="4" w:space="0" w:color="ADD6EA"/>
              <w:left w:val="nil"/>
              <w:bottom w:val="single" w:sz="4" w:space="0" w:color="ADD6EA"/>
              <w:right w:val="nil"/>
            </w:tcBorders>
            <w:shd w:val="clear" w:color="000000" w:fill="006991"/>
            <w:noWrap/>
            <w:vAlign w:val="center"/>
            <w:hideMark/>
          </w:tcPr>
          <w:p w14:paraId="03C972A6" w14:textId="77777777" w:rsidR="007E365E" w:rsidRPr="0027168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71680">
              <w:rPr>
                <w:rFonts w:ascii="Open Sans SemiBold" w:eastAsia="Times New Roman" w:hAnsi="Open Sans SemiBold" w:cs="Open Sans SemiBold"/>
                <w:color w:val="FFFFFF"/>
                <w:sz w:val="16"/>
                <w:szCs w:val="16"/>
                <w:lang w:eastAsia="en-AU"/>
              </w:rPr>
              <w:t>Total</w:t>
            </w:r>
          </w:p>
        </w:tc>
      </w:tr>
      <w:tr w:rsidR="007E365E" w:rsidRPr="00271680" w14:paraId="5FEF7925" w14:textId="77777777" w:rsidTr="007D1D77">
        <w:trPr>
          <w:trHeight w:val="315"/>
        </w:trPr>
        <w:tc>
          <w:tcPr>
            <w:tcW w:w="2360" w:type="dxa"/>
            <w:tcBorders>
              <w:top w:val="nil"/>
              <w:left w:val="nil"/>
              <w:bottom w:val="nil"/>
              <w:right w:val="nil"/>
            </w:tcBorders>
            <w:shd w:val="clear" w:color="auto" w:fill="auto"/>
            <w:vAlign w:val="bottom"/>
            <w:hideMark/>
          </w:tcPr>
          <w:p w14:paraId="4BC6D587" w14:textId="77777777" w:rsidR="007E365E" w:rsidRPr="00271680" w:rsidRDefault="007E365E" w:rsidP="007D1D77">
            <w:pPr>
              <w:tabs>
                <w:tab w:val="clear" w:pos="567"/>
              </w:tabs>
              <w:spacing w:before="0" w:line="240" w:lineRule="auto"/>
              <w:rPr>
                <w:rFonts w:eastAsia="Times New Roman" w:cs="Open Sans Light"/>
                <w:sz w:val="16"/>
                <w:szCs w:val="16"/>
                <w:lang w:eastAsia="en-AU"/>
              </w:rPr>
            </w:pPr>
            <w:r w:rsidRPr="00271680">
              <w:rPr>
                <w:rFonts w:eastAsia="Times New Roman" w:cs="Open Sans Light"/>
                <w:sz w:val="16"/>
                <w:szCs w:val="16"/>
                <w:lang w:eastAsia="en-AU"/>
              </w:rPr>
              <w:t>SDC assessed ($m)</w:t>
            </w:r>
          </w:p>
        </w:tc>
        <w:tc>
          <w:tcPr>
            <w:tcW w:w="760" w:type="dxa"/>
            <w:tcBorders>
              <w:top w:val="nil"/>
              <w:left w:val="nil"/>
              <w:bottom w:val="nil"/>
              <w:right w:val="nil"/>
            </w:tcBorders>
            <w:shd w:val="clear" w:color="auto" w:fill="auto"/>
            <w:vAlign w:val="bottom"/>
            <w:hideMark/>
          </w:tcPr>
          <w:p w14:paraId="25FA6EC4"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1,700</w:t>
            </w:r>
          </w:p>
        </w:tc>
        <w:tc>
          <w:tcPr>
            <w:tcW w:w="760" w:type="dxa"/>
            <w:tcBorders>
              <w:top w:val="nil"/>
              <w:left w:val="nil"/>
              <w:bottom w:val="nil"/>
              <w:right w:val="nil"/>
            </w:tcBorders>
            <w:shd w:val="clear" w:color="auto" w:fill="auto"/>
            <w:vAlign w:val="bottom"/>
            <w:hideMark/>
          </w:tcPr>
          <w:p w14:paraId="13781D10"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1,130</w:t>
            </w:r>
          </w:p>
        </w:tc>
        <w:tc>
          <w:tcPr>
            <w:tcW w:w="760" w:type="dxa"/>
            <w:tcBorders>
              <w:top w:val="nil"/>
              <w:left w:val="nil"/>
              <w:bottom w:val="nil"/>
              <w:right w:val="nil"/>
            </w:tcBorders>
            <w:shd w:val="clear" w:color="auto" w:fill="auto"/>
            <w:vAlign w:val="bottom"/>
            <w:hideMark/>
          </w:tcPr>
          <w:p w14:paraId="01FFA9B6"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1,209</w:t>
            </w:r>
          </w:p>
        </w:tc>
        <w:tc>
          <w:tcPr>
            <w:tcW w:w="700" w:type="dxa"/>
            <w:tcBorders>
              <w:top w:val="nil"/>
              <w:left w:val="nil"/>
              <w:bottom w:val="nil"/>
              <w:right w:val="nil"/>
            </w:tcBorders>
            <w:shd w:val="clear" w:color="auto" w:fill="auto"/>
            <w:vAlign w:val="bottom"/>
            <w:hideMark/>
          </w:tcPr>
          <w:p w14:paraId="481E55C0"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630</w:t>
            </w:r>
          </w:p>
        </w:tc>
        <w:tc>
          <w:tcPr>
            <w:tcW w:w="640" w:type="dxa"/>
            <w:tcBorders>
              <w:top w:val="nil"/>
              <w:left w:val="nil"/>
              <w:bottom w:val="nil"/>
              <w:right w:val="nil"/>
            </w:tcBorders>
            <w:shd w:val="clear" w:color="auto" w:fill="auto"/>
            <w:vAlign w:val="bottom"/>
            <w:hideMark/>
          </w:tcPr>
          <w:p w14:paraId="4ECC8E27"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379</w:t>
            </w:r>
          </w:p>
        </w:tc>
        <w:tc>
          <w:tcPr>
            <w:tcW w:w="740" w:type="dxa"/>
            <w:tcBorders>
              <w:top w:val="nil"/>
              <w:left w:val="nil"/>
              <w:bottom w:val="nil"/>
              <w:right w:val="nil"/>
            </w:tcBorders>
            <w:shd w:val="clear" w:color="auto" w:fill="auto"/>
            <w:vAlign w:val="bottom"/>
            <w:hideMark/>
          </w:tcPr>
          <w:p w14:paraId="18765220"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126</w:t>
            </w:r>
          </w:p>
        </w:tc>
        <w:tc>
          <w:tcPr>
            <w:tcW w:w="660" w:type="dxa"/>
            <w:tcBorders>
              <w:top w:val="nil"/>
              <w:left w:val="nil"/>
              <w:bottom w:val="nil"/>
              <w:right w:val="nil"/>
            </w:tcBorders>
            <w:shd w:val="clear" w:color="auto" w:fill="auto"/>
            <w:vAlign w:val="bottom"/>
            <w:hideMark/>
          </w:tcPr>
          <w:p w14:paraId="0E3954F1"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62</w:t>
            </w:r>
          </w:p>
        </w:tc>
        <w:tc>
          <w:tcPr>
            <w:tcW w:w="740" w:type="dxa"/>
            <w:tcBorders>
              <w:top w:val="nil"/>
              <w:left w:val="nil"/>
              <w:bottom w:val="nil"/>
              <w:right w:val="nil"/>
            </w:tcBorders>
            <w:shd w:val="clear" w:color="auto" w:fill="auto"/>
            <w:vAlign w:val="bottom"/>
            <w:hideMark/>
          </w:tcPr>
          <w:p w14:paraId="487C67AF"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255</w:t>
            </w:r>
          </w:p>
        </w:tc>
        <w:tc>
          <w:tcPr>
            <w:tcW w:w="820" w:type="dxa"/>
            <w:tcBorders>
              <w:top w:val="nil"/>
              <w:left w:val="nil"/>
              <w:bottom w:val="nil"/>
              <w:right w:val="nil"/>
            </w:tcBorders>
            <w:shd w:val="clear" w:color="auto" w:fill="auto"/>
            <w:vAlign w:val="bottom"/>
            <w:hideMark/>
          </w:tcPr>
          <w:p w14:paraId="67A27F03"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5,493</w:t>
            </w:r>
          </w:p>
        </w:tc>
      </w:tr>
      <w:tr w:rsidR="007E365E" w:rsidRPr="00271680" w14:paraId="75B26C64" w14:textId="77777777" w:rsidTr="007D1D77">
        <w:trPr>
          <w:trHeight w:val="315"/>
        </w:trPr>
        <w:tc>
          <w:tcPr>
            <w:tcW w:w="2360" w:type="dxa"/>
            <w:tcBorders>
              <w:top w:val="single" w:sz="4" w:space="0" w:color="ADD6EA"/>
              <w:left w:val="nil"/>
              <w:bottom w:val="single" w:sz="4" w:space="0" w:color="ADD6EA"/>
              <w:right w:val="nil"/>
            </w:tcBorders>
            <w:shd w:val="clear" w:color="auto" w:fill="auto"/>
            <w:vAlign w:val="bottom"/>
            <w:hideMark/>
          </w:tcPr>
          <w:p w14:paraId="01075F3B" w14:textId="77777777" w:rsidR="007E365E" w:rsidRPr="00271680" w:rsidRDefault="007E365E" w:rsidP="007D1D77">
            <w:pPr>
              <w:tabs>
                <w:tab w:val="clear" w:pos="567"/>
              </w:tabs>
              <w:spacing w:before="0" w:line="240" w:lineRule="auto"/>
              <w:rPr>
                <w:rFonts w:eastAsia="Times New Roman" w:cs="Open Sans Light"/>
                <w:sz w:val="16"/>
                <w:szCs w:val="16"/>
                <w:lang w:eastAsia="en-AU"/>
              </w:rPr>
            </w:pPr>
            <w:r w:rsidRPr="00271680">
              <w:rPr>
                <w:rFonts w:eastAsia="Times New Roman" w:cs="Open Sans Light"/>
                <w:sz w:val="16"/>
                <w:szCs w:val="16"/>
                <w:lang w:eastAsia="en-AU"/>
              </w:rPr>
              <w:t>Wages cost factor</w:t>
            </w:r>
          </w:p>
        </w:tc>
        <w:tc>
          <w:tcPr>
            <w:tcW w:w="760" w:type="dxa"/>
            <w:tcBorders>
              <w:top w:val="single" w:sz="4" w:space="0" w:color="ADD6EA"/>
              <w:left w:val="nil"/>
              <w:bottom w:val="single" w:sz="4" w:space="0" w:color="ADD6EA"/>
              <w:right w:val="nil"/>
            </w:tcBorders>
            <w:shd w:val="clear" w:color="auto" w:fill="auto"/>
            <w:vAlign w:val="bottom"/>
            <w:hideMark/>
          </w:tcPr>
          <w:p w14:paraId="12DD054C"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1.007</w:t>
            </w:r>
          </w:p>
        </w:tc>
        <w:tc>
          <w:tcPr>
            <w:tcW w:w="760" w:type="dxa"/>
            <w:tcBorders>
              <w:top w:val="single" w:sz="4" w:space="0" w:color="ADD6EA"/>
              <w:left w:val="nil"/>
              <w:bottom w:val="single" w:sz="4" w:space="0" w:color="ADD6EA"/>
              <w:right w:val="nil"/>
            </w:tcBorders>
            <w:shd w:val="clear" w:color="auto" w:fill="auto"/>
            <w:vAlign w:val="bottom"/>
            <w:hideMark/>
          </w:tcPr>
          <w:p w14:paraId="4420E431"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0.993</w:t>
            </w:r>
          </w:p>
        </w:tc>
        <w:tc>
          <w:tcPr>
            <w:tcW w:w="760" w:type="dxa"/>
            <w:tcBorders>
              <w:top w:val="single" w:sz="4" w:space="0" w:color="ADD6EA"/>
              <w:left w:val="nil"/>
              <w:bottom w:val="single" w:sz="4" w:space="0" w:color="ADD6EA"/>
              <w:right w:val="nil"/>
            </w:tcBorders>
            <w:shd w:val="clear" w:color="auto" w:fill="auto"/>
            <w:vAlign w:val="bottom"/>
            <w:hideMark/>
          </w:tcPr>
          <w:p w14:paraId="3CDEF7E4"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0.995</w:t>
            </w:r>
          </w:p>
        </w:tc>
        <w:tc>
          <w:tcPr>
            <w:tcW w:w="700" w:type="dxa"/>
            <w:tcBorders>
              <w:top w:val="single" w:sz="4" w:space="0" w:color="ADD6EA"/>
              <w:left w:val="nil"/>
              <w:bottom w:val="single" w:sz="4" w:space="0" w:color="ADD6EA"/>
              <w:right w:val="nil"/>
            </w:tcBorders>
            <w:shd w:val="clear" w:color="auto" w:fill="auto"/>
            <w:vAlign w:val="bottom"/>
            <w:hideMark/>
          </w:tcPr>
          <w:p w14:paraId="50D8BDF1"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1.020</w:t>
            </w:r>
          </w:p>
        </w:tc>
        <w:tc>
          <w:tcPr>
            <w:tcW w:w="640" w:type="dxa"/>
            <w:tcBorders>
              <w:top w:val="single" w:sz="4" w:space="0" w:color="ADD6EA"/>
              <w:left w:val="nil"/>
              <w:bottom w:val="single" w:sz="4" w:space="0" w:color="ADD6EA"/>
              <w:right w:val="nil"/>
            </w:tcBorders>
            <w:shd w:val="clear" w:color="auto" w:fill="auto"/>
            <w:vAlign w:val="bottom"/>
            <w:hideMark/>
          </w:tcPr>
          <w:p w14:paraId="25FBB7C5"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0.976</w:t>
            </w:r>
          </w:p>
        </w:tc>
        <w:tc>
          <w:tcPr>
            <w:tcW w:w="740" w:type="dxa"/>
            <w:tcBorders>
              <w:top w:val="single" w:sz="4" w:space="0" w:color="ADD6EA"/>
              <w:left w:val="nil"/>
              <w:bottom w:val="single" w:sz="4" w:space="0" w:color="ADD6EA"/>
              <w:right w:val="nil"/>
            </w:tcBorders>
            <w:shd w:val="clear" w:color="auto" w:fill="auto"/>
            <w:vAlign w:val="bottom"/>
            <w:hideMark/>
          </w:tcPr>
          <w:p w14:paraId="44C5C5A6"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0.968</w:t>
            </w:r>
          </w:p>
        </w:tc>
        <w:tc>
          <w:tcPr>
            <w:tcW w:w="660" w:type="dxa"/>
            <w:tcBorders>
              <w:top w:val="single" w:sz="4" w:space="0" w:color="ADD6EA"/>
              <w:left w:val="nil"/>
              <w:bottom w:val="single" w:sz="4" w:space="0" w:color="ADD6EA"/>
              <w:right w:val="nil"/>
            </w:tcBorders>
            <w:shd w:val="clear" w:color="auto" w:fill="auto"/>
            <w:vAlign w:val="bottom"/>
            <w:hideMark/>
          </w:tcPr>
          <w:p w14:paraId="723C5D46"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1.022</w:t>
            </w:r>
          </w:p>
        </w:tc>
        <w:tc>
          <w:tcPr>
            <w:tcW w:w="740" w:type="dxa"/>
            <w:tcBorders>
              <w:top w:val="single" w:sz="4" w:space="0" w:color="ADD6EA"/>
              <w:left w:val="nil"/>
              <w:bottom w:val="single" w:sz="4" w:space="0" w:color="ADD6EA"/>
              <w:right w:val="nil"/>
            </w:tcBorders>
            <w:shd w:val="clear" w:color="auto" w:fill="auto"/>
            <w:vAlign w:val="bottom"/>
            <w:hideMark/>
          </w:tcPr>
          <w:p w14:paraId="10D33CD2"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1.033</w:t>
            </w:r>
          </w:p>
        </w:tc>
        <w:tc>
          <w:tcPr>
            <w:tcW w:w="820" w:type="dxa"/>
            <w:tcBorders>
              <w:top w:val="single" w:sz="4" w:space="0" w:color="ADD6EA"/>
              <w:left w:val="nil"/>
              <w:bottom w:val="single" w:sz="4" w:space="0" w:color="ADD6EA"/>
              <w:right w:val="nil"/>
            </w:tcBorders>
            <w:shd w:val="clear" w:color="auto" w:fill="auto"/>
            <w:vAlign w:val="bottom"/>
            <w:hideMark/>
          </w:tcPr>
          <w:p w14:paraId="12D0F778" w14:textId="77777777" w:rsidR="007E365E" w:rsidRPr="00271680" w:rsidRDefault="007E365E" w:rsidP="007D1D77">
            <w:pPr>
              <w:tabs>
                <w:tab w:val="clear" w:pos="567"/>
              </w:tabs>
              <w:spacing w:before="0" w:line="240" w:lineRule="auto"/>
              <w:jc w:val="right"/>
              <w:rPr>
                <w:rFonts w:eastAsia="Times New Roman" w:cs="Open Sans Light"/>
                <w:sz w:val="16"/>
                <w:szCs w:val="16"/>
                <w:lang w:eastAsia="en-AU"/>
              </w:rPr>
            </w:pPr>
            <w:r w:rsidRPr="00271680">
              <w:rPr>
                <w:rFonts w:eastAsia="Times New Roman" w:cs="Open Sans Light"/>
                <w:sz w:val="16"/>
                <w:szCs w:val="16"/>
                <w:lang w:eastAsia="en-AU"/>
              </w:rPr>
              <w:t>1.000</w:t>
            </w:r>
          </w:p>
        </w:tc>
      </w:tr>
      <w:tr w:rsidR="007E365E" w:rsidRPr="00271680" w14:paraId="272A9F92" w14:textId="77777777" w:rsidTr="007D1D77">
        <w:trPr>
          <w:trHeight w:val="315"/>
        </w:trPr>
        <w:tc>
          <w:tcPr>
            <w:tcW w:w="2360" w:type="dxa"/>
            <w:tcBorders>
              <w:top w:val="single" w:sz="4" w:space="0" w:color="ADD6EA"/>
              <w:left w:val="nil"/>
              <w:bottom w:val="single" w:sz="4" w:space="0" w:color="ADD6EA"/>
              <w:right w:val="nil"/>
            </w:tcBorders>
            <w:shd w:val="clear" w:color="auto" w:fill="D6E7F0"/>
            <w:vAlign w:val="bottom"/>
            <w:hideMark/>
          </w:tcPr>
          <w:p w14:paraId="58F52233" w14:textId="77777777" w:rsidR="007E365E" w:rsidRPr="002A68C5"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Assessed expenses ($m)</w:t>
            </w:r>
          </w:p>
        </w:tc>
        <w:tc>
          <w:tcPr>
            <w:tcW w:w="760" w:type="dxa"/>
            <w:tcBorders>
              <w:top w:val="single" w:sz="4" w:space="0" w:color="ADD6EA"/>
              <w:left w:val="nil"/>
              <w:bottom w:val="single" w:sz="4" w:space="0" w:color="ADD6EA"/>
              <w:right w:val="nil"/>
            </w:tcBorders>
            <w:shd w:val="clear" w:color="auto" w:fill="D6E7F0"/>
            <w:vAlign w:val="bottom"/>
            <w:hideMark/>
          </w:tcPr>
          <w:p w14:paraId="4F2DF1B1"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1,710</w:t>
            </w:r>
          </w:p>
        </w:tc>
        <w:tc>
          <w:tcPr>
            <w:tcW w:w="760" w:type="dxa"/>
            <w:tcBorders>
              <w:top w:val="single" w:sz="4" w:space="0" w:color="ADD6EA"/>
              <w:left w:val="nil"/>
              <w:bottom w:val="single" w:sz="4" w:space="0" w:color="ADD6EA"/>
              <w:right w:val="nil"/>
            </w:tcBorders>
            <w:shd w:val="clear" w:color="auto" w:fill="D6E7F0"/>
            <w:vAlign w:val="bottom"/>
            <w:hideMark/>
          </w:tcPr>
          <w:p w14:paraId="309DF41C"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1,121</w:t>
            </w:r>
          </w:p>
        </w:tc>
        <w:tc>
          <w:tcPr>
            <w:tcW w:w="760" w:type="dxa"/>
            <w:tcBorders>
              <w:top w:val="single" w:sz="4" w:space="0" w:color="ADD6EA"/>
              <w:left w:val="nil"/>
              <w:bottom w:val="single" w:sz="4" w:space="0" w:color="ADD6EA"/>
              <w:right w:val="nil"/>
            </w:tcBorders>
            <w:shd w:val="clear" w:color="auto" w:fill="D6E7F0"/>
            <w:vAlign w:val="bottom"/>
            <w:hideMark/>
          </w:tcPr>
          <w:p w14:paraId="36AAA3B9"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1,202</w:t>
            </w:r>
          </w:p>
        </w:tc>
        <w:tc>
          <w:tcPr>
            <w:tcW w:w="700" w:type="dxa"/>
            <w:tcBorders>
              <w:top w:val="single" w:sz="4" w:space="0" w:color="ADD6EA"/>
              <w:left w:val="nil"/>
              <w:bottom w:val="single" w:sz="4" w:space="0" w:color="ADD6EA"/>
              <w:right w:val="nil"/>
            </w:tcBorders>
            <w:shd w:val="clear" w:color="auto" w:fill="D6E7F0"/>
            <w:vAlign w:val="bottom"/>
            <w:hideMark/>
          </w:tcPr>
          <w:p w14:paraId="4B57C9F9"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642</w:t>
            </w:r>
          </w:p>
        </w:tc>
        <w:tc>
          <w:tcPr>
            <w:tcW w:w="640" w:type="dxa"/>
            <w:tcBorders>
              <w:top w:val="single" w:sz="4" w:space="0" w:color="ADD6EA"/>
              <w:left w:val="nil"/>
              <w:bottom w:val="single" w:sz="4" w:space="0" w:color="ADD6EA"/>
              <w:right w:val="nil"/>
            </w:tcBorders>
            <w:shd w:val="clear" w:color="auto" w:fill="D6E7F0"/>
            <w:vAlign w:val="bottom"/>
            <w:hideMark/>
          </w:tcPr>
          <w:p w14:paraId="01EC202A"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370</w:t>
            </w:r>
          </w:p>
        </w:tc>
        <w:tc>
          <w:tcPr>
            <w:tcW w:w="740" w:type="dxa"/>
            <w:tcBorders>
              <w:top w:val="single" w:sz="4" w:space="0" w:color="ADD6EA"/>
              <w:left w:val="nil"/>
              <w:bottom w:val="single" w:sz="4" w:space="0" w:color="ADD6EA"/>
              <w:right w:val="nil"/>
            </w:tcBorders>
            <w:shd w:val="clear" w:color="auto" w:fill="D6E7F0"/>
            <w:vAlign w:val="bottom"/>
            <w:hideMark/>
          </w:tcPr>
          <w:p w14:paraId="5A9AA267"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122</w:t>
            </w:r>
          </w:p>
        </w:tc>
        <w:tc>
          <w:tcPr>
            <w:tcW w:w="660" w:type="dxa"/>
            <w:tcBorders>
              <w:top w:val="single" w:sz="4" w:space="0" w:color="ADD6EA"/>
              <w:left w:val="nil"/>
              <w:bottom w:val="single" w:sz="4" w:space="0" w:color="ADD6EA"/>
              <w:right w:val="nil"/>
            </w:tcBorders>
            <w:shd w:val="clear" w:color="auto" w:fill="D6E7F0"/>
            <w:vAlign w:val="bottom"/>
            <w:hideMark/>
          </w:tcPr>
          <w:p w14:paraId="79553DA2"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63</w:t>
            </w:r>
          </w:p>
        </w:tc>
        <w:tc>
          <w:tcPr>
            <w:tcW w:w="740" w:type="dxa"/>
            <w:tcBorders>
              <w:top w:val="single" w:sz="4" w:space="0" w:color="ADD6EA"/>
              <w:left w:val="nil"/>
              <w:bottom w:val="single" w:sz="4" w:space="0" w:color="ADD6EA"/>
              <w:right w:val="nil"/>
            </w:tcBorders>
            <w:shd w:val="clear" w:color="auto" w:fill="D6E7F0"/>
            <w:vAlign w:val="bottom"/>
            <w:hideMark/>
          </w:tcPr>
          <w:p w14:paraId="562A5621"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263</w:t>
            </w:r>
          </w:p>
        </w:tc>
        <w:tc>
          <w:tcPr>
            <w:tcW w:w="820" w:type="dxa"/>
            <w:tcBorders>
              <w:top w:val="single" w:sz="4" w:space="0" w:color="ADD6EA"/>
              <w:left w:val="nil"/>
              <w:bottom w:val="single" w:sz="4" w:space="0" w:color="ADD6EA"/>
              <w:right w:val="nil"/>
            </w:tcBorders>
            <w:shd w:val="clear" w:color="auto" w:fill="D6E7F0"/>
            <w:vAlign w:val="bottom"/>
            <w:hideMark/>
          </w:tcPr>
          <w:p w14:paraId="31370795"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5,493</w:t>
            </w:r>
          </w:p>
        </w:tc>
      </w:tr>
      <w:tr w:rsidR="007E365E" w:rsidRPr="00271680" w14:paraId="66EAB590" w14:textId="77777777" w:rsidTr="007D1D77">
        <w:trPr>
          <w:trHeight w:val="315"/>
        </w:trPr>
        <w:tc>
          <w:tcPr>
            <w:tcW w:w="2360" w:type="dxa"/>
            <w:tcBorders>
              <w:top w:val="single" w:sz="4" w:space="0" w:color="ADD6EA"/>
              <w:left w:val="nil"/>
              <w:bottom w:val="single" w:sz="4" w:space="0" w:color="ADD6EA"/>
              <w:right w:val="nil"/>
            </w:tcBorders>
            <w:shd w:val="clear" w:color="auto" w:fill="D6E7F0"/>
            <w:vAlign w:val="bottom"/>
            <w:hideMark/>
          </w:tcPr>
          <w:p w14:paraId="29385F9C" w14:textId="77777777" w:rsidR="007E365E" w:rsidRPr="002A68C5"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Assessed expenses ($pc)</w:t>
            </w:r>
          </w:p>
        </w:tc>
        <w:tc>
          <w:tcPr>
            <w:tcW w:w="760" w:type="dxa"/>
            <w:tcBorders>
              <w:top w:val="single" w:sz="4" w:space="0" w:color="ADD6EA"/>
              <w:left w:val="nil"/>
              <w:bottom w:val="single" w:sz="4" w:space="0" w:color="ADD6EA"/>
              <w:right w:val="nil"/>
            </w:tcBorders>
            <w:shd w:val="clear" w:color="auto" w:fill="D6E7F0"/>
            <w:vAlign w:val="bottom"/>
            <w:hideMark/>
          </w:tcPr>
          <w:p w14:paraId="72B8A6A8"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213</w:t>
            </w:r>
          </w:p>
        </w:tc>
        <w:tc>
          <w:tcPr>
            <w:tcW w:w="760" w:type="dxa"/>
            <w:tcBorders>
              <w:top w:val="single" w:sz="4" w:space="0" w:color="ADD6EA"/>
              <w:left w:val="nil"/>
              <w:bottom w:val="single" w:sz="4" w:space="0" w:color="ADD6EA"/>
              <w:right w:val="nil"/>
            </w:tcBorders>
            <w:shd w:val="clear" w:color="auto" w:fill="D6E7F0"/>
            <w:vAlign w:val="bottom"/>
            <w:hideMark/>
          </w:tcPr>
          <w:p w14:paraId="30DE63B5"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172</w:t>
            </w:r>
          </w:p>
        </w:tc>
        <w:tc>
          <w:tcPr>
            <w:tcW w:w="760" w:type="dxa"/>
            <w:tcBorders>
              <w:top w:val="single" w:sz="4" w:space="0" w:color="ADD6EA"/>
              <w:left w:val="nil"/>
              <w:bottom w:val="single" w:sz="4" w:space="0" w:color="ADD6EA"/>
              <w:right w:val="nil"/>
            </w:tcBorders>
            <w:shd w:val="clear" w:color="auto" w:fill="D6E7F0"/>
            <w:vAlign w:val="bottom"/>
            <w:hideMark/>
          </w:tcPr>
          <w:p w14:paraId="5EA3E727"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238</w:t>
            </w:r>
          </w:p>
        </w:tc>
        <w:tc>
          <w:tcPr>
            <w:tcW w:w="700" w:type="dxa"/>
            <w:tcBorders>
              <w:top w:val="single" w:sz="4" w:space="0" w:color="ADD6EA"/>
              <w:left w:val="nil"/>
              <w:bottom w:val="single" w:sz="4" w:space="0" w:color="ADD6EA"/>
              <w:right w:val="nil"/>
            </w:tcBorders>
            <w:shd w:val="clear" w:color="auto" w:fill="D6E7F0"/>
            <w:vAlign w:val="bottom"/>
            <w:hideMark/>
          </w:tcPr>
          <w:p w14:paraId="50E7992F"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247</w:t>
            </w:r>
          </w:p>
        </w:tc>
        <w:tc>
          <w:tcPr>
            <w:tcW w:w="640" w:type="dxa"/>
            <w:tcBorders>
              <w:top w:val="single" w:sz="4" w:space="0" w:color="ADD6EA"/>
              <w:left w:val="nil"/>
              <w:bottom w:val="single" w:sz="4" w:space="0" w:color="ADD6EA"/>
              <w:right w:val="nil"/>
            </w:tcBorders>
            <w:shd w:val="clear" w:color="auto" w:fill="D6E7F0"/>
            <w:vAlign w:val="bottom"/>
            <w:hideMark/>
          </w:tcPr>
          <w:p w14:paraId="5FEC8DFE"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212</w:t>
            </w:r>
          </w:p>
        </w:tc>
        <w:tc>
          <w:tcPr>
            <w:tcW w:w="740" w:type="dxa"/>
            <w:tcBorders>
              <w:top w:val="single" w:sz="4" w:space="0" w:color="ADD6EA"/>
              <w:left w:val="nil"/>
              <w:bottom w:val="single" w:sz="4" w:space="0" w:color="ADD6EA"/>
              <w:right w:val="nil"/>
            </w:tcBorders>
            <w:shd w:val="clear" w:color="auto" w:fill="D6E7F0"/>
            <w:vAlign w:val="bottom"/>
            <w:hideMark/>
          </w:tcPr>
          <w:p w14:paraId="11103506"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230</w:t>
            </w:r>
          </w:p>
        </w:tc>
        <w:tc>
          <w:tcPr>
            <w:tcW w:w="660" w:type="dxa"/>
            <w:tcBorders>
              <w:top w:val="single" w:sz="4" w:space="0" w:color="ADD6EA"/>
              <w:left w:val="nil"/>
              <w:bottom w:val="single" w:sz="4" w:space="0" w:color="ADD6EA"/>
              <w:right w:val="nil"/>
            </w:tcBorders>
            <w:shd w:val="clear" w:color="auto" w:fill="D6E7F0"/>
            <w:vAlign w:val="bottom"/>
            <w:hideMark/>
          </w:tcPr>
          <w:p w14:paraId="35CEE24D"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148</w:t>
            </w:r>
          </w:p>
        </w:tc>
        <w:tc>
          <w:tcPr>
            <w:tcW w:w="740" w:type="dxa"/>
            <w:tcBorders>
              <w:top w:val="single" w:sz="4" w:space="0" w:color="ADD6EA"/>
              <w:left w:val="nil"/>
              <w:bottom w:val="single" w:sz="4" w:space="0" w:color="ADD6EA"/>
              <w:right w:val="nil"/>
            </w:tcBorders>
            <w:shd w:val="clear" w:color="auto" w:fill="D6E7F0"/>
            <w:vAlign w:val="bottom"/>
            <w:hideMark/>
          </w:tcPr>
          <w:p w14:paraId="5CCC6383"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1,073</w:t>
            </w:r>
          </w:p>
        </w:tc>
        <w:tc>
          <w:tcPr>
            <w:tcW w:w="820" w:type="dxa"/>
            <w:tcBorders>
              <w:top w:val="single" w:sz="4" w:space="0" w:color="ADD6EA"/>
              <w:left w:val="nil"/>
              <w:bottom w:val="single" w:sz="4" w:space="0" w:color="ADD6EA"/>
              <w:right w:val="nil"/>
            </w:tcBorders>
            <w:shd w:val="clear" w:color="auto" w:fill="D6E7F0"/>
            <w:vAlign w:val="bottom"/>
            <w:hideMark/>
          </w:tcPr>
          <w:p w14:paraId="281273A1" w14:textId="77777777" w:rsidR="007E365E" w:rsidRPr="002A68C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2A68C5">
              <w:rPr>
                <w:rFonts w:ascii="Open Sans SemiBold" w:eastAsia="Times New Roman" w:hAnsi="Open Sans SemiBold" w:cs="Open Sans SemiBold"/>
                <w:sz w:val="16"/>
                <w:szCs w:val="16"/>
                <w:lang w:eastAsia="en-AU"/>
              </w:rPr>
              <w:t>218</w:t>
            </w:r>
          </w:p>
        </w:tc>
      </w:tr>
    </w:tbl>
    <w:p w14:paraId="5544397E" w14:textId="77777777" w:rsidR="007E365E" w:rsidRPr="00173B02" w:rsidRDefault="007E365E" w:rsidP="007E365E">
      <w:pPr>
        <w:pStyle w:val="CGCTablenote"/>
      </w:pPr>
      <w:r w:rsidRPr="00173B02">
        <w:t>Note:</w:t>
      </w:r>
      <w:r w:rsidRPr="00173B02">
        <w:tab/>
        <w:t>Regional costs effects are included in SDC assessed expenses.</w:t>
      </w:r>
    </w:p>
    <w:p w14:paraId="355E6AFE" w14:textId="77777777" w:rsidR="007E365E" w:rsidRPr="00173B02" w:rsidRDefault="007E365E" w:rsidP="007E365E">
      <w:pPr>
        <w:pStyle w:val="CGCTablenote"/>
      </w:pPr>
      <w:r w:rsidRPr="00173B02">
        <w:t>Source:</w:t>
      </w:r>
      <w:r w:rsidRPr="00173B02">
        <w:tab/>
        <w:t>Commission calculation.</w:t>
      </w:r>
    </w:p>
    <w:p w14:paraId="023B7269" w14:textId="77777777" w:rsidR="007E365E" w:rsidRPr="00173B02" w:rsidRDefault="007E365E" w:rsidP="007E365E">
      <w:pPr>
        <w:pStyle w:val="Heading3"/>
      </w:pPr>
      <w:bookmarkStart w:id="74" w:name="_Toc5893822"/>
      <w:bookmarkStart w:id="75" w:name="_Toc6487587"/>
      <w:bookmarkStart w:id="76" w:name="_Toc6487625"/>
      <w:bookmarkStart w:id="77" w:name="_Toc7442879"/>
      <w:bookmarkStart w:id="78" w:name="_Toc23500158"/>
      <w:r w:rsidRPr="00173B02">
        <w:t>Category calculations</w:t>
      </w:r>
      <w:bookmarkEnd w:id="74"/>
      <w:bookmarkEnd w:id="75"/>
      <w:bookmarkEnd w:id="76"/>
      <w:bookmarkEnd w:id="77"/>
      <w:bookmarkEnd w:id="78"/>
    </w:p>
    <w:p w14:paraId="3DA0DB58" w14:textId="5B37EAB5" w:rsidR="007E365E" w:rsidRPr="0032582C" w:rsidRDefault="007E365E" w:rsidP="007E365E">
      <w:pPr>
        <w:pStyle w:val="CGCParaNumber"/>
      </w:pPr>
      <w:r w:rsidRPr="00173B02">
        <w:fldChar w:fldCharType="begin"/>
      </w:r>
      <w:r w:rsidRPr="00173B02">
        <w:instrText xml:space="preserve"> REF _Ref6301420 \h </w:instrText>
      </w:r>
      <w:r>
        <w:instrText xml:space="preserve"> \* MERGEFORMAT </w:instrText>
      </w:r>
      <w:r w:rsidRPr="00173B02">
        <w:fldChar w:fldCharType="separate"/>
      </w:r>
      <w:r w:rsidR="007F721A" w:rsidRPr="00173B02">
        <w:t xml:space="preserve">Table </w:t>
      </w:r>
      <w:r w:rsidR="007F721A">
        <w:rPr>
          <w:noProof/>
        </w:rPr>
        <w:t>19-14</w:t>
      </w:r>
      <w:r w:rsidRPr="00173B02">
        <w:fldChar w:fldCharType="end"/>
      </w:r>
      <w:r w:rsidRPr="00173B02">
        <w:t xml:space="preserve"> brings the assessed expenses for each component together to derive the total assessed expenses for each State for the category. It shows at the component level how each disability assessment moves expenses away from an EPC distribution to obtain assessed expenses.</w:t>
      </w:r>
    </w:p>
    <w:p w14:paraId="5F0B9776" w14:textId="70F29FFE" w:rsidR="007E365E" w:rsidRPr="0032582C" w:rsidRDefault="007E365E" w:rsidP="007E365E">
      <w:pPr>
        <w:pStyle w:val="Caption"/>
      </w:pPr>
      <w:bookmarkStart w:id="79" w:name="_Ref6301420"/>
      <w:r w:rsidRPr="00173B02">
        <w:lastRenderedPageBreak/>
        <w:t xml:space="preserve">Table </w:t>
      </w:r>
      <w:r>
        <w:t>19-</w:t>
      </w:r>
      <w:fldSimple w:instr=" SEQ Table \* ARABIC ">
        <w:r w:rsidR="007F721A">
          <w:rPr>
            <w:noProof/>
          </w:rPr>
          <w:t>14</w:t>
        </w:r>
      </w:fldSimple>
      <w:bookmarkEnd w:id="79"/>
      <w:r>
        <w:rPr>
          <w:noProof/>
        </w:rPr>
        <w:tab/>
      </w:r>
      <w:r w:rsidRPr="00173B02">
        <w:t>Justice</w:t>
      </w:r>
      <w:r>
        <w:t xml:space="preserve"> assessment</w:t>
      </w:r>
      <w:r w:rsidRPr="00173B02">
        <w:t>, 201</w:t>
      </w:r>
      <w:r>
        <w:t>8</w:t>
      </w:r>
      <w:r w:rsidRPr="00173B02">
        <w:noBreakHyphen/>
        <w:t>1</w:t>
      </w:r>
      <w:r>
        <w:t>9</w:t>
      </w:r>
    </w:p>
    <w:tbl>
      <w:tblPr>
        <w:tblW w:w="9020" w:type="dxa"/>
        <w:tblBorders>
          <w:top w:val="single" w:sz="4" w:space="0" w:color="ADD6EA"/>
          <w:bottom w:val="single" w:sz="4" w:space="0" w:color="ADD6EA"/>
          <w:insideH w:val="single" w:sz="4" w:space="0" w:color="ADD6EA"/>
        </w:tblBorders>
        <w:tblCellMar>
          <w:left w:w="28" w:type="dxa"/>
          <w:right w:w="28" w:type="dxa"/>
        </w:tblCellMar>
        <w:tblLook w:val="04A0" w:firstRow="1" w:lastRow="0" w:firstColumn="1" w:lastColumn="0" w:noHBand="0" w:noVBand="1"/>
      </w:tblPr>
      <w:tblGrid>
        <w:gridCol w:w="2580"/>
        <w:gridCol w:w="640"/>
        <w:gridCol w:w="720"/>
        <w:gridCol w:w="720"/>
        <w:gridCol w:w="720"/>
        <w:gridCol w:w="720"/>
        <w:gridCol w:w="720"/>
        <w:gridCol w:w="720"/>
        <w:gridCol w:w="720"/>
        <w:gridCol w:w="760"/>
      </w:tblGrid>
      <w:tr w:rsidR="007E365E" w:rsidRPr="00902595" w14:paraId="13E2BB64" w14:textId="77777777" w:rsidTr="007D1D77">
        <w:trPr>
          <w:trHeight w:val="375"/>
        </w:trPr>
        <w:tc>
          <w:tcPr>
            <w:tcW w:w="2580" w:type="dxa"/>
            <w:shd w:val="clear" w:color="000000" w:fill="006991"/>
            <w:noWrap/>
            <w:vAlign w:val="center"/>
            <w:hideMark/>
          </w:tcPr>
          <w:p w14:paraId="5ABE6833" w14:textId="77777777" w:rsidR="007E365E" w:rsidRPr="00902595" w:rsidRDefault="007E365E" w:rsidP="007D1D77">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902595">
              <w:rPr>
                <w:rFonts w:ascii="Open Sans SemiBold" w:eastAsia="Times New Roman" w:hAnsi="Open Sans SemiBold" w:cs="Open Sans SemiBold"/>
                <w:color w:val="FFFFFF"/>
                <w:sz w:val="16"/>
                <w:szCs w:val="16"/>
                <w:lang w:eastAsia="en-AU"/>
              </w:rPr>
              <w:t> </w:t>
            </w:r>
          </w:p>
        </w:tc>
        <w:tc>
          <w:tcPr>
            <w:tcW w:w="640" w:type="dxa"/>
            <w:shd w:val="clear" w:color="000000" w:fill="006991"/>
            <w:noWrap/>
            <w:vAlign w:val="center"/>
            <w:hideMark/>
          </w:tcPr>
          <w:p w14:paraId="55B060AA"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02595">
              <w:rPr>
                <w:rFonts w:ascii="Open Sans SemiBold" w:eastAsia="Times New Roman" w:hAnsi="Open Sans SemiBold" w:cs="Open Sans SemiBold"/>
                <w:color w:val="FFFFFF"/>
                <w:sz w:val="16"/>
                <w:szCs w:val="16"/>
                <w:lang w:eastAsia="en-AU"/>
              </w:rPr>
              <w:t>NSW</w:t>
            </w:r>
          </w:p>
        </w:tc>
        <w:tc>
          <w:tcPr>
            <w:tcW w:w="720" w:type="dxa"/>
            <w:shd w:val="clear" w:color="000000" w:fill="006991"/>
            <w:noWrap/>
            <w:vAlign w:val="center"/>
            <w:hideMark/>
          </w:tcPr>
          <w:p w14:paraId="6A79486D"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02595">
              <w:rPr>
                <w:rFonts w:ascii="Open Sans SemiBold" w:eastAsia="Times New Roman" w:hAnsi="Open Sans SemiBold" w:cs="Open Sans SemiBold"/>
                <w:color w:val="FFFFFF"/>
                <w:sz w:val="16"/>
                <w:szCs w:val="16"/>
                <w:lang w:eastAsia="en-AU"/>
              </w:rPr>
              <w:t>Vic</w:t>
            </w:r>
          </w:p>
        </w:tc>
        <w:tc>
          <w:tcPr>
            <w:tcW w:w="720" w:type="dxa"/>
            <w:shd w:val="clear" w:color="000000" w:fill="006991"/>
            <w:noWrap/>
            <w:vAlign w:val="center"/>
            <w:hideMark/>
          </w:tcPr>
          <w:p w14:paraId="49DC624D"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02595">
              <w:rPr>
                <w:rFonts w:ascii="Open Sans SemiBold" w:eastAsia="Times New Roman" w:hAnsi="Open Sans SemiBold" w:cs="Open Sans SemiBold"/>
                <w:color w:val="FFFFFF"/>
                <w:sz w:val="16"/>
                <w:szCs w:val="16"/>
                <w:lang w:eastAsia="en-AU"/>
              </w:rPr>
              <w:t>Qld</w:t>
            </w:r>
          </w:p>
        </w:tc>
        <w:tc>
          <w:tcPr>
            <w:tcW w:w="720" w:type="dxa"/>
            <w:shd w:val="clear" w:color="000000" w:fill="006991"/>
            <w:noWrap/>
            <w:vAlign w:val="center"/>
            <w:hideMark/>
          </w:tcPr>
          <w:p w14:paraId="26B4029C"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02595">
              <w:rPr>
                <w:rFonts w:ascii="Open Sans SemiBold" w:eastAsia="Times New Roman" w:hAnsi="Open Sans SemiBold" w:cs="Open Sans SemiBold"/>
                <w:color w:val="FFFFFF"/>
                <w:sz w:val="16"/>
                <w:szCs w:val="16"/>
                <w:lang w:eastAsia="en-AU"/>
              </w:rPr>
              <w:t>WA</w:t>
            </w:r>
          </w:p>
        </w:tc>
        <w:tc>
          <w:tcPr>
            <w:tcW w:w="720" w:type="dxa"/>
            <w:shd w:val="clear" w:color="000000" w:fill="006991"/>
            <w:noWrap/>
            <w:vAlign w:val="center"/>
            <w:hideMark/>
          </w:tcPr>
          <w:p w14:paraId="62D4DDF5"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02595">
              <w:rPr>
                <w:rFonts w:ascii="Open Sans SemiBold" w:eastAsia="Times New Roman" w:hAnsi="Open Sans SemiBold" w:cs="Open Sans SemiBold"/>
                <w:color w:val="FFFFFF"/>
                <w:sz w:val="16"/>
                <w:szCs w:val="16"/>
                <w:lang w:eastAsia="en-AU"/>
              </w:rPr>
              <w:t>SA</w:t>
            </w:r>
          </w:p>
        </w:tc>
        <w:tc>
          <w:tcPr>
            <w:tcW w:w="720" w:type="dxa"/>
            <w:shd w:val="clear" w:color="000000" w:fill="006991"/>
            <w:noWrap/>
            <w:vAlign w:val="center"/>
            <w:hideMark/>
          </w:tcPr>
          <w:p w14:paraId="1B53DE31"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02595">
              <w:rPr>
                <w:rFonts w:ascii="Open Sans SemiBold" w:eastAsia="Times New Roman" w:hAnsi="Open Sans SemiBold" w:cs="Open Sans SemiBold"/>
                <w:color w:val="FFFFFF"/>
                <w:sz w:val="16"/>
                <w:szCs w:val="16"/>
                <w:lang w:eastAsia="en-AU"/>
              </w:rPr>
              <w:t>Tas</w:t>
            </w:r>
          </w:p>
        </w:tc>
        <w:tc>
          <w:tcPr>
            <w:tcW w:w="720" w:type="dxa"/>
            <w:shd w:val="clear" w:color="000000" w:fill="006991"/>
            <w:noWrap/>
            <w:vAlign w:val="center"/>
            <w:hideMark/>
          </w:tcPr>
          <w:p w14:paraId="7B7FBDA3"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02595">
              <w:rPr>
                <w:rFonts w:ascii="Open Sans SemiBold" w:eastAsia="Times New Roman" w:hAnsi="Open Sans SemiBold" w:cs="Open Sans SemiBold"/>
                <w:color w:val="FFFFFF"/>
                <w:sz w:val="16"/>
                <w:szCs w:val="16"/>
                <w:lang w:eastAsia="en-AU"/>
              </w:rPr>
              <w:t>ACT</w:t>
            </w:r>
          </w:p>
        </w:tc>
        <w:tc>
          <w:tcPr>
            <w:tcW w:w="720" w:type="dxa"/>
            <w:shd w:val="clear" w:color="000000" w:fill="006991"/>
            <w:noWrap/>
            <w:vAlign w:val="center"/>
            <w:hideMark/>
          </w:tcPr>
          <w:p w14:paraId="6E9B0D20"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02595">
              <w:rPr>
                <w:rFonts w:ascii="Open Sans SemiBold" w:eastAsia="Times New Roman" w:hAnsi="Open Sans SemiBold" w:cs="Open Sans SemiBold"/>
                <w:color w:val="FFFFFF"/>
                <w:sz w:val="16"/>
                <w:szCs w:val="16"/>
                <w:lang w:eastAsia="en-AU"/>
              </w:rPr>
              <w:t>NT</w:t>
            </w:r>
          </w:p>
        </w:tc>
        <w:tc>
          <w:tcPr>
            <w:tcW w:w="760" w:type="dxa"/>
            <w:shd w:val="clear" w:color="000000" w:fill="006991"/>
            <w:noWrap/>
            <w:vAlign w:val="center"/>
            <w:hideMark/>
          </w:tcPr>
          <w:p w14:paraId="4D5368A7"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02595">
              <w:rPr>
                <w:rFonts w:ascii="Open Sans SemiBold" w:eastAsia="Times New Roman" w:hAnsi="Open Sans SemiBold" w:cs="Open Sans SemiBold"/>
                <w:color w:val="FFFFFF"/>
                <w:sz w:val="16"/>
                <w:szCs w:val="16"/>
                <w:lang w:eastAsia="en-AU"/>
              </w:rPr>
              <w:t>Total</w:t>
            </w:r>
          </w:p>
        </w:tc>
      </w:tr>
      <w:tr w:rsidR="007E365E" w:rsidRPr="00902595" w14:paraId="0D5454A1" w14:textId="77777777" w:rsidTr="007D1D77">
        <w:trPr>
          <w:trHeight w:val="255"/>
        </w:trPr>
        <w:tc>
          <w:tcPr>
            <w:tcW w:w="2580" w:type="dxa"/>
            <w:shd w:val="clear" w:color="000000" w:fill="B6D5E4"/>
            <w:noWrap/>
            <w:vAlign w:val="center"/>
            <w:hideMark/>
          </w:tcPr>
          <w:p w14:paraId="7C3BB44E" w14:textId="77777777" w:rsidR="007E365E" w:rsidRPr="00902595"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 </w:t>
            </w:r>
          </w:p>
        </w:tc>
        <w:tc>
          <w:tcPr>
            <w:tcW w:w="640" w:type="dxa"/>
            <w:shd w:val="clear" w:color="000000" w:fill="B6D5E4"/>
            <w:noWrap/>
            <w:vAlign w:val="center"/>
            <w:hideMark/>
          </w:tcPr>
          <w:p w14:paraId="19811165"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$pc</w:t>
            </w:r>
          </w:p>
        </w:tc>
        <w:tc>
          <w:tcPr>
            <w:tcW w:w="720" w:type="dxa"/>
            <w:shd w:val="clear" w:color="000000" w:fill="B6D5E4"/>
            <w:noWrap/>
            <w:vAlign w:val="center"/>
            <w:hideMark/>
          </w:tcPr>
          <w:p w14:paraId="07850951"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$pc</w:t>
            </w:r>
          </w:p>
        </w:tc>
        <w:tc>
          <w:tcPr>
            <w:tcW w:w="720" w:type="dxa"/>
            <w:shd w:val="clear" w:color="000000" w:fill="B6D5E4"/>
            <w:noWrap/>
            <w:vAlign w:val="center"/>
            <w:hideMark/>
          </w:tcPr>
          <w:p w14:paraId="15C30FB1"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$pc</w:t>
            </w:r>
          </w:p>
        </w:tc>
        <w:tc>
          <w:tcPr>
            <w:tcW w:w="720" w:type="dxa"/>
            <w:shd w:val="clear" w:color="000000" w:fill="B6D5E4"/>
            <w:noWrap/>
            <w:vAlign w:val="center"/>
            <w:hideMark/>
          </w:tcPr>
          <w:p w14:paraId="773DB3AB"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$pc</w:t>
            </w:r>
          </w:p>
        </w:tc>
        <w:tc>
          <w:tcPr>
            <w:tcW w:w="720" w:type="dxa"/>
            <w:shd w:val="clear" w:color="000000" w:fill="B6D5E4"/>
            <w:noWrap/>
            <w:vAlign w:val="center"/>
            <w:hideMark/>
          </w:tcPr>
          <w:p w14:paraId="15229412"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$pc</w:t>
            </w:r>
          </w:p>
        </w:tc>
        <w:tc>
          <w:tcPr>
            <w:tcW w:w="720" w:type="dxa"/>
            <w:shd w:val="clear" w:color="000000" w:fill="B6D5E4"/>
            <w:noWrap/>
            <w:vAlign w:val="center"/>
            <w:hideMark/>
          </w:tcPr>
          <w:p w14:paraId="6A972E35"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$pc</w:t>
            </w:r>
          </w:p>
        </w:tc>
        <w:tc>
          <w:tcPr>
            <w:tcW w:w="720" w:type="dxa"/>
            <w:shd w:val="clear" w:color="000000" w:fill="B6D5E4"/>
            <w:noWrap/>
            <w:vAlign w:val="center"/>
            <w:hideMark/>
          </w:tcPr>
          <w:p w14:paraId="44D4A5E2"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$pc</w:t>
            </w:r>
          </w:p>
        </w:tc>
        <w:tc>
          <w:tcPr>
            <w:tcW w:w="720" w:type="dxa"/>
            <w:shd w:val="clear" w:color="000000" w:fill="B6D5E4"/>
            <w:noWrap/>
            <w:vAlign w:val="center"/>
            <w:hideMark/>
          </w:tcPr>
          <w:p w14:paraId="2CECA7E5"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$pc</w:t>
            </w:r>
          </w:p>
        </w:tc>
        <w:tc>
          <w:tcPr>
            <w:tcW w:w="760" w:type="dxa"/>
            <w:shd w:val="clear" w:color="000000" w:fill="B6D5E4"/>
            <w:noWrap/>
            <w:vAlign w:val="center"/>
            <w:hideMark/>
          </w:tcPr>
          <w:p w14:paraId="0DF1B909"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$pc</w:t>
            </w:r>
          </w:p>
        </w:tc>
      </w:tr>
      <w:tr w:rsidR="007E365E" w:rsidRPr="00902595" w14:paraId="0F06ED30" w14:textId="77777777" w:rsidTr="007D1D77">
        <w:trPr>
          <w:trHeight w:val="315"/>
        </w:trPr>
        <w:tc>
          <w:tcPr>
            <w:tcW w:w="2580" w:type="dxa"/>
            <w:shd w:val="clear" w:color="auto" w:fill="auto"/>
            <w:vAlign w:val="bottom"/>
            <w:hideMark/>
          </w:tcPr>
          <w:p w14:paraId="773F6D77" w14:textId="77777777" w:rsidR="007E365E" w:rsidRPr="00902595" w:rsidRDefault="007E365E" w:rsidP="007D1D77">
            <w:pPr>
              <w:keepNext/>
              <w:tabs>
                <w:tab w:val="clear" w:pos="567"/>
              </w:tabs>
              <w:spacing w:before="0" w:line="240" w:lineRule="auto"/>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Police</w:t>
            </w:r>
          </w:p>
        </w:tc>
        <w:tc>
          <w:tcPr>
            <w:tcW w:w="640" w:type="dxa"/>
            <w:shd w:val="clear" w:color="auto" w:fill="auto"/>
            <w:vAlign w:val="bottom"/>
            <w:hideMark/>
          </w:tcPr>
          <w:p w14:paraId="57576B4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20" w:type="dxa"/>
            <w:shd w:val="clear" w:color="auto" w:fill="auto"/>
            <w:vAlign w:val="bottom"/>
            <w:hideMark/>
          </w:tcPr>
          <w:p w14:paraId="4FBBAF81"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20" w:type="dxa"/>
            <w:shd w:val="clear" w:color="auto" w:fill="auto"/>
            <w:vAlign w:val="bottom"/>
            <w:hideMark/>
          </w:tcPr>
          <w:p w14:paraId="6E48B57D"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20" w:type="dxa"/>
            <w:shd w:val="clear" w:color="auto" w:fill="auto"/>
            <w:vAlign w:val="bottom"/>
            <w:hideMark/>
          </w:tcPr>
          <w:p w14:paraId="76675D2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20" w:type="dxa"/>
            <w:shd w:val="clear" w:color="auto" w:fill="auto"/>
            <w:vAlign w:val="bottom"/>
            <w:hideMark/>
          </w:tcPr>
          <w:p w14:paraId="766D1B1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20" w:type="dxa"/>
            <w:shd w:val="clear" w:color="auto" w:fill="auto"/>
            <w:vAlign w:val="bottom"/>
            <w:hideMark/>
          </w:tcPr>
          <w:p w14:paraId="52B57302"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20" w:type="dxa"/>
            <w:shd w:val="clear" w:color="auto" w:fill="auto"/>
            <w:vAlign w:val="bottom"/>
            <w:hideMark/>
          </w:tcPr>
          <w:p w14:paraId="160A0758"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20" w:type="dxa"/>
            <w:shd w:val="clear" w:color="auto" w:fill="auto"/>
            <w:vAlign w:val="bottom"/>
            <w:hideMark/>
          </w:tcPr>
          <w:p w14:paraId="19C878DD"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60" w:type="dxa"/>
            <w:shd w:val="clear" w:color="auto" w:fill="auto"/>
            <w:vAlign w:val="bottom"/>
            <w:hideMark/>
          </w:tcPr>
          <w:p w14:paraId="3AD16B1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r>
      <w:tr w:rsidR="007E365E" w:rsidRPr="00902595" w14:paraId="5F6B49FC" w14:textId="77777777" w:rsidTr="007D1D77">
        <w:trPr>
          <w:trHeight w:val="315"/>
        </w:trPr>
        <w:tc>
          <w:tcPr>
            <w:tcW w:w="2580" w:type="dxa"/>
            <w:shd w:val="clear" w:color="auto" w:fill="auto"/>
            <w:vAlign w:val="bottom"/>
            <w:hideMark/>
          </w:tcPr>
          <w:p w14:paraId="17C60004"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Equal per capita</w:t>
            </w:r>
          </w:p>
        </w:tc>
        <w:tc>
          <w:tcPr>
            <w:tcW w:w="640" w:type="dxa"/>
            <w:shd w:val="clear" w:color="auto" w:fill="auto"/>
            <w:vAlign w:val="bottom"/>
            <w:hideMark/>
          </w:tcPr>
          <w:p w14:paraId="21FB4810"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450</w:t>
            </w:r>
          </w:p>
        </w:tc>
        <w:tc>
          <w:tcPr>
            <w:tcW w:w="720" w:type="dxa"/>
            <w:shd w:val="clear" w:color="auto" w:fill="auto"/>
            <w:vAlign w:val="bottom"/>
            <w:hideMark/>
          </w:tcPr>
          <w:p w14:paraId="4008408A"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450</w:t>
            </w:r>
          </w:p>
        </w:tc>
        <w:tc>
          <w:tcPr>
            <w:tcW w:w="720" w:type="dxa"/>
            <w:shd w:val="clear" w:color="auto" w:fill="auto"/>
            <w:vAlign w:val="bottom"/>
            <w:hideMark/>
          </w:tcPr>
          <w:p w14:paraId="17A0C6DA"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450</w:t>
            </w:r>
          </w:p>
        </w:tc>
        <w:tc>
          <w:tcPr>
            <w:tcW w:w="720" w:type="dxa"/>
            <w:shd w:val="clear" w:color="auto" w:fill="auto"/>
            <w:vAlign w:val="bottom"/>
            <w:hideMark/>
          </w:tcPr>
          <w:p w14:paraId="0DF94F12"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450</w:t>
            </w:r>
          </w:p>
        </w:tc>
        <w:tc>
          <w:tcPr>
            <w:tcW w:w="720" w:type="dxa"/>
            <w:shd w:val="clear" w:color="auto" w:fill="auto"/>
            <w:vAlign w:val="bottom"/>
            <w:hideMark/>
          </w:tcPr>
          <w:p w14:paraId="305B300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450</w:t>
            </w:r>
          </w:p>
        </w:tc>
        <w:tc>
          <w:tcPr>
            <w:tcW w:w="720" w:type="dxa"/>
            <w:shd w:val="clear" w:color="auto" w:fill="auto"/>
            <w:vAlign w:val="bottom"/>
            <w:hideMark/>
          </w:tcPr>
          <w:p w14:paraId="354DF86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450</w:t>
            </w:r>
          </w:p>
        </w:tc>
        <w:tc>
          <w:tcPr>
            <w:tcW w:w="720" w:type="dxa"/>
            <w:shd w:val="clear" w:color="auto" w:fill="auto"/>
            <w:vAlign w:val="bottom"/>
            <w:hideMark/>
          </w:tcPr>
          <w:p w14:paraId="0B40217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450</w:t>
            </w:r>
          </w:p>
        </w:tc>
        <w:tc>
          <w:tcPr>
            <w:tcW w:w="720" w:type="dxa"/>
            <w:shd w:val="clear" w:color="auto" w:fill="auto"/>
            <w:vAlign w:val="bottom"/>
            <w:hideMark/>
          </w:tcPr>
          <w:p w14:paraId="365006E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450</w:t>
            </w:r>
          </w:p>
        </w:tc>
        <w:tc>
          <w:tcPr>
            <w:tcW w:w="760" w:type="dxa"/>
            <w:shd w:val="clear" w:color="auto" w:fill="auto"/>
            <w:vAlign w:val="bottom"/>
            <w:hideMark/>
          </w:tcPr>
          <w:p w14:paraId="37269D3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450</w:t>
            </w:r>
          </w:p>
        </w:tc>
      </w:tr>
      <w:tr w:rsidR="007E365E" w:rsidRPr="00902595" w14:paraId="36C94FFD" w14:textId="77777777" w:rsidTr="007D1D77">
        <w:trPr>
          <w:trHeight w:val="315"/>
        </w:trPr>
        <w:tc>
          <w:tcPr>
            <w:tcW w:w="2580" w:type="dxa"/>
            <w:shd w:val="clear" w:color="auto" w:fill="auto"/>
            <w:vAlign w:val="bottom"/>
            <w:hideMark/>
          </w:tcPr>
          <w:p w14:paraId="3202290E"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Indigenous status</w:t>
            </w:r>
          </w:p>
        </w:tc>
        <w:tc>
          <w:tcPr>
            <w:tcW w:w="640" w:type="dxa"/>
            <w:shd w:val="clear" w:color="auto" w:fill="auto"/>
            <w:noWrap/>
            <w:vAlign w:val="bottom"/>
            <w:hideMark/>
          </w:tcPr>
          <w:p w14:paraId="17EDD621"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1A3C73E0"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-20</w:t>
            </w:r>
          </w:p>
        </w:tc>
        <w:tc>
          <w:tcPr>
            <w:tcW w:w="720" w:type="dxa"/>
            <w:shd w:val="clear" w:color="auto" w:fill="auto"/>
            <w:noWrap/>
            <w:vAlign w:val="bottom"/>
            <w:hideMark/>
          </w:tcPr>
          <w:p w14:paraId="1C36219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11</w:t>
            </w:r>
          </w:p>
        </w:tc>
        <w:tc>
          <w:tcPr>
            <w:tcW w:w="720" w:type="dxa"/>
            <w:shd w:val="clear" w:color="auto" w:fill="auto"/>
            <w:noWrap/>
            <w:vAlign w:val="bottom"/>
            <w:hideMark/>
          </w:tcPr>
          <w:p w14:paraId="63B3165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6</w:t>
            </w:r>
          </w:p>
        </w:tc>
        <w:tc>
          <w:tcPr>
            <w:tcW w:w="720" w:type="dxa"/>
            <w:shd w:val="clear" w:color="auto" w:fill="auto"/>
            <w:noWrap/>
            <w:vAlign w:val="bottom"/>
            <w:hideMark/>
          </w:tcPr>
          <w:p w14:paraId="686DC15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-7</w:t>
            </w:r>
          </w:p>
        </w:tc>
        <w:tc>
          <w:tcPr>
            <w:tcW w:w="720" w:type="dxa"/>
            <w:shd w:val="clear" w:color="auto" w:fill="auto"/>
            <w:noWrap/>
            <w:vAlign w:val="bottom"/>
            <w:hideMark/>
          </w:tcPr>
          <w:p w14:paraId="559EA1A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19</w:t>
            </w:r>
          </w:p>
        </w:tc>
        <w:tc>
          <w:tcPr>
            <w:tcW w:w="720" w:type="dxa"/>
            <w:shd w:val="clear" w:color="auto" w:fill="auto"/>
            <w:noWrap/>
            <w:vAlign w:val="bottom"/>
            <w:hideMark/>
          </w:tcPr>
          <w:p w14:paraId="41ACAAA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-12</w:t>
            </w:r>
          </w:p>
        </w:tc>
        <w:tc>
          <w:tcPr>
            <w:tcW w:w="720" w:type="dxa"/>
            <w:shd w:val="clear" w:color="auto" w:fill="auto"/>
            <w:noWrap/>
            <w:vAlign w:val="bottom"/>
            <w:hideMark/>
          </w:tcPr>
          <w:p w14:paraId="181CD0B2"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231</w:t>
            </w:r>
          </w:p>
        </w:tc>
        <w:tc>
          <w:tcPr>
            <w:tcW w:w="760" w:type="dxa"/>
            <w:shd w:val="clear" w:color="auto" w:fill="auto"/>
            <w:noWrap/>
            <w:vAlign w:val="bottom"/>
            <w:hideMark/>
          </w:tcPr>
          <w:p w14:paraId="247EFD5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4E8C0770" w14:textId="77777777" w:rsidTr="007D1D77">
        <w:trPr>
          <w:trHeight w:val="315"/>
        </w:trPr>
        <w:tc>
          <w:tcPr>
            <w:tcW w:w="2580" w:type="dxa"/>
            <w:shd w:val="clear" w:color="auto" w:fill="auto"/>
            <w:vAlign w:val="bottom"/>
            <w:hideMark/>
          </w:tcPr>
          <w:p w14:paraId="640E79E5"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Population dispersion</w:t>
            </w:r>
          </w:p>
        </w:tc>
        <w:tc>
          <w:tcPr>
            <w:tcW w:w="640" w:type="dxa"/>
            <w:shd w:val="clear" w:color="auto" w:fill="auto"/>
            <w:noWrap/>
            <w:vAlign w:val="bottom"/>
            <w:hideMark/>
          </w:tcPr>
          <w:p w14:paraId="1A672FF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-23</w:t>
            </w:r>
          </w:p>
        </w:tc>
        <w:tc>
          <w:tcPr>
            <w:tcW w:w="720" w:type="dxa"/>
            <w:shd w:val="clear" w:color="auto" w:fill="auto"/>
            <w:noWrap/>
            <w:vAlign w:val="bottom"/>
            <w:hideMark/>
          </w:tcPr>
          <w:p w14:paraId="03A8E90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-31</w:t>
            </w:r>
          </w:p>
        </w:tc>
        <w:tc>
          <w:tcPr>
            <w:tcW w:w="720" w:type="dxa"/>
            <w:shd w:val="clear" w:color="auto" w:fill="auto"/>
            <w:noWrap/>
            <w:vAlign w:val="bottom"/>
            <w:hideMark/>
          </w:tcPr>
          <w:p w14:paraId="0200B5D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20</w:t>
            </w:r>
          </w:p>
        </w:tc>
        <w:tc>
          <w:tcPr>
            <w:tcW w:w="720" w:type="dxa"/>
            <w:shd w:val="clear" w:color="auto" w:fill="auto"/>
            <w:noWrap/>
            <w:vAlign w:val="bottom"/>
            <w:hideMark/>
          </w:tcPr>
          <w:p w14:paraId="704DD6F1"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37</w:t>
            </w:r>
          </w:p>
        </w:tc>
        <w:tc>
          <w:tcPr>
            <w:tcW w:w="720" w:type="dxa"/>
            <w:shd w:val="clear" w:color="auto" w:fill="auto"/>
            <w:noWrap/>
            <w:vAlign w:val="bottom"/>
            <w:hideMark/>
          </w:tcPr>
          <w:p w14:paraId="753BDED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13</w:t>
            </w:r>
          </w:p>
        </w:tc>
        <w:tc>
          <w:tcPr>
            <w:tcW w:w="720" w:type="dxa"/>
            <w:shd w:val="clear" w:color="auto" w:fill="auto"/>
            <w:noWrap/>
            <w:vAlign w:val="bottom"/>
            <w:hideMark/>
          </w:tcPr>
          <w:p w14:paraId="14E03E90"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101</w:t>
            </w:r>
          </w:p>
        </w:tc>
        <w:tc>
          <w:tcPr>
            <w:tcW w:w="720" w:type="dxa"/>
            <w:shd w:val="clear" w:color="auto" w:fill="auto"/>
            <w:noWrap/>
            <w:vAlign w:val="bottom"/>
            <w:hideMark/>
          </w:tcPr>
          <w:p w14:paraId="79CCE22A"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-61</w:t>
            </w:r>
          </w:p>
        </w:tc>
        <w:tc>
          <w:tcPr>
            <w:tcW w:w="720" w:type="dxa"/>
            <w:shd w:val="clear" w:color="auto" w:fill="auto"/>
            <w:noWrap/>
            <w:vAlign w:val="bottom"/>
            <w:hideMark/>
          </w:tcPr>
          <w:p w14:paraId="440D6CE1"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559</w:t>
            </w:r>
          </w:p>
        </w:tc>
        <w:tc>
          <w:tcPr>
            <w:tcW w:w="760" w:type="dxa"/>
            <w:shd w:val="clear" w:color="auto" w:fill="auto"/>
            <w:noWrap/>
            <w:vAlign w:val="bottom"/>
            <w:hideMark/>
          </w:tcPr>
          <w:p w14:paraId="5216C4E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32AD139F" w14:textId="77777777" w:rsidTr="007D1D77">
        <w:trPr>
          <w:trHeight w:val="315"/>
        </w:trPr>
        <w:tc>
          <w:tcPr>
            <w:tcW w:w="2580" w:type="dxa"/>
            <w:shd w:val="clear" w:color="auto" w:fill="auto"/>
            <w:vAlign w:val="bottom"/>
            <w:hideMark/>
          </w:tcPr>
          <w:p w14:paraId="6D063EC2"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Indigenous disadvantage</w:t>
            </w:r>
          </w:p>
        </w:tc>
        <w:tc>
          <w:tcPr>
            <w:tcW w:w="640" w:type="dxa"/>
            <w:shd w:val="clear" w:color="auto" w:fill="auto"/>
            <w:noWrap/>
            <w:vAlign w:val="bottom"/>
            <w:hideMark/>
          </w:tcPr>
          <w:p w14:paraId="23A287F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2D4719B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1BB2A5E0"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2F9249C8"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1A255B78"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2632CDF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-7</w:t>
            </w:r>
          </w:p>
        </w:tc>
        <w:tc>
          <w:tcPr>
            <w:tcW w:w="720" w:type="dxa"/>
            <w:shd w:val="clear" w:color="auto" w:fill="auto"/>
            <w:noWrap/>
            <w:vAlign w:val="bottom"/>
            <w:hideMark/>
          </w:tcPr>
          <w:p w14:paraId="0613EEC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45BCC3D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30</w:t>
            </w:r>
          </w:p>
        </w:tc>
        <w:tc>
          <w:tcPr>
            <w:tcW w:w="760" w:type="dxa"/>
            <w:shd w:val="clear" w:color="auto" w:fill="auto"/>
            <w:noWrap/>
            <w:vAlign w:val="bottom"/>
            <w:hideMark/>
          </w:tcPr>
          <w:p w14:paraId="75B16CE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45E01770" w14:textId="77777777" w:rsidTr="007D1D77">
        <w:trPr>
          <w:trHeight w:val="315"/>
        </w:trPr>
        <w:tc>
          <w:tcPr>
            <w:tcW w:w="2580" w:type="dxa"/>
            <w:shd w:val="clear" w:color="auto" w:fill="auto"/>
            <w:vAlign w:val="bottom"/>
            <w:hideMark/>
          </w:tcPr>
          <w:p w14:paraId="34D68BE9"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Non-Indigenous disadvantage</w:t>
            </w:r>
          </w:p>
        </w:tc>
        <w:tc>
          <w:tcPr>
            <w:tcW w:w="640" w:type="dxa"/>
            <w:shd w:val="clear" w:color="auto" w:fill="auto"/>
            <w:noWrap/>
            <w:vAlign w:val="bottom"/>
            <w:hideMark/>
          </w:tcPr>
          <w:p w14:paraId="25C2389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2702F07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36D01B17"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68ABFF9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-10</w:t>
            </w:r>
          </w:p>
        </w:tc>
        <w:tc>
          <w:tcPr>
            <w:tcW w:w="720" w:type="dxa"/>
            <w:shd w:val="clear" w:color="auto" w:fill="auto"/>
            <w:noWrap/>
            <w:vAlign w:val="bottom"/>
            <w:hideMark/>
          </w:tcPr>
          <w:p w14:paraId="297A4E6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15</w:t>
            </w:r>
          </w:p>
        </w:tc>
        <w:tc>
          <w:tcPr>
            <w:tcW w:w="720" w:type="dxa"/>
            <w:shd w:val="clear" w:color="auto" w:fill="auto"/>
            <w:noWrap/>
            <w:vAlign w:val="bottom"/>
            <w:hideMark/>
          </w:tcPr>
          <w:p w14:paraId="541F995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24</w:t>
            </w:r>
          </w:p>
        </w:tc>
        <w:tc>
          <w:tcPr>
            <w:tcW w:w="720" w:type="dxa"/>
            <w:shd w:val="clear" w:color="auto" w:fill="auto"/>
            <w:noWrap/>
            <w:vAlign w:val="bottom"/>
            <w:hideMark/>
          </w:tcPr>
          <w:p w14:paraId="5B4B88F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-38</w:t>
            </w:r>
          </w:p>
        </w:tc>
        <w:tc>
          <w:tcPr>
            <w:tcW w:w="720" w:type="dxa"/>
            <w:shd w:val="clear" w:color="auto" w:fill="auto"/>
            <w:noWrap/>
            <w:vAlign w:val="bottom"/>
            <w:hideMark/>
          </w:tcPr>
          <w:p w14:paraId="7BD208B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-21</w:t>
            </w:r>
          </w:p>
        </w:tc>
        <w:tc>
          <w:tcPr>
            <w:tcW w:w="760" w:type="dxa"/>
            <w:shd w:val="clear" w:color="auto" w:fill="auto"/>
            <w:noWrap/>
            <w:vAlign w:val="bottom"/>
            <w:hideMark/>
          </w:tcPr>
          <w:p w14:paraId="43A5ACB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1BC42FEB" w14:textId="77777777" w:rsidTr="007D1D77">
        <w:trPr>
          <w:trHeight w:val="315"/>
        </w:trPr>
        <w:tc>
          <w:tcPr>
            <w:tcW w:w="2580" w:type="dxa"/>
            <w:shd w:val="clear" w:color="auto" w:fill="auto"/>
            <w:vAlign w:val="bottom"/>
            <w:hideMark/>
          </w:tcPr>
          <w:p w14:paraId="40F0028C"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Age</w:t>
            </w:r>
          </w:p>
        </w:tc>
        <w:tc>
          <w:tcPr>
            <w:tcW w:w="640" w:type="dxa"/>
            <w:shd w:val="clear" w:color="auto" w:fill="auto"/>
            <w:noWrap/>
            <w:vAlign w:val="bottom"/>
            <w:hideMark/>
          </w:tcPr>
          <w:p w14:paraId="529E8D0D"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2795FD8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402CA4D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0BBBF8A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453E51B7"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w:t>
            </w:r>
          </w:p>
        </w:tc>
        <w:tc>
          <w:tcPr>
            <w:tcW w:w="720" w:type="dxa"/>
            <w:shd w:val="clear" w:color="auto" w:fill="auto"/>
            <w:noWrap/>
            <w:vAlign w:val="bottom"/>
            <w:hideMark/>
          </w:tcPr>
          <w:p w14:paraId="02D1C4C8"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-12</w:t>
            </w:r>
          </w:p>
        </w:tc>
        <w:tc>
          <w:tcPr>
            <w:tcW w:w="720" w:type="dxa"/>
            <w:shd w:val="clear" w:color="auto" w:fill="auto"/>
            <w:noWrap/>
            <w:vAlign w:val="bottom"/>
            <w:hideMark/>
          </w:tcPr>
          <w:p w14:paraId="4476E45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5</w:t>
            </w:r>
          </w:p>
        </w:tc>
        <w:tc>
          <w:tcPr>
            <w:tcW w:w="720" w:type="dxa"/>
            <w:shd w:val="clear" w:color="auto" w:fill="auto"/>
            <w:noWrap/>
            <w:vAlign w:val="bottom"/>
            <w:hideMark/>
          </w:tcPr>
          <w:p w14:paraId="202242C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20</w:t>
            </w:r>
          </w:p>
        </w:tc>
        <w:tc>
          <w:tcPr>
            <w:tcW w:w="760" w:type="dxa"/>
            <w:shd w:val="clear" w:color="auto" w:fill="auto"/>
            <w:noWrap/>
            <w:vAlign w:val="bottom"/>
            <w:hideMark/>
          </w:tcPr>
          <w:p w14:paraId="5D68E27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41001E38" w14:textId="77777777" w:rsidTr="007D1D77">
        <w:trPr>
          <w:trHeight w:val="315"/>
        </w:trPr>
        <w:tc>
          <w:tcPr>
            <w:tcW w:w="2580" w:type="dxa"/>
            <w:shd w:val="clear" w:color="auto" w:fill="auto"/>
            <w:vAlign w:val="bottom"/>
            <w:hideMark/>
          </w:tcPr>
          <w:p w14:paraId="506F118D"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Wages</w:t>
            </w:r>
          </w:p>
        </w:tc>
        <w:tc>
          <w:tcPr>
            <w:tcW w:w="640" w:type="dxa"/>
            <w:shd w:val="clear" w:color="auto" w:fill="auto"/>
            <w:noWrap/>
            <w:vAlign w:val="bottom"/>
            <w:hideMark/>
          </w:tcPr>
          <w:p w14:paraId="50013D7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5AA0DA7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67EB1E2A"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41F11DE7"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10</w:t>
            </w:r>
          </w:p>
        </w:tc>
        <w:tc>
          <w:tcPr>
            <w:tcW w:w="720" w:type="dxa"/>
            <w:shd w:val="clear" w:color="auto" w:fill="auto"/>
            <w:noWrap/>
            <w:vAlign w:val="bottom"/>
            <w:hideMark/>
          </w:tcPr>
          <w:p w14:paraId="5A150F4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-12</w:t>
            </w:r>
          </w:p>
        </w:tc>
        <w:tc>
          <w:tcPr>
            <w:tcW w:w="720" w:type="dxa"/>
            <w:shd w:val="clear" w:color="auto" w:fill="auto"/>
            <w:noWrap/>
            <w:vAlign w:val="bottom"/>
            <w:hideMark/>
          </w:tcPr>
          <w:p w14:paraId="74F88B0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-19</w:t>
            </w:r>
          </w:p>
        </w:tc>
        <w:tc>
          <w:tcPr>
            <w:tcW w:w="720" w:type="dxa"/>
            <w:shd w:val="clear" w:color="auto" w:fill="auto"/>
            <w:noWrap/>
            <w:vAlign w:val="bottom"/>
            <w:hideMark/>
          </w:tcPr>
          <w:p w14:paraId="7DFB9DF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7</w:t>
            </w:r>
          </w:p>
        </w:tc>
        <w:tc>
          <w:tcPr>
            <w:tcW w:w="720" w:type="dxa"/>
            <w:shd w:val="clear" w:color="auto" w:fill="auto"/>
            <w:noWrap/>
            <w:vAlign w:val="bottom"/>
            <w:hideMark/>
          </w:tcPr>
          <w:p w14:paraId="38E896CD"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42</w:t>
            </w:r>
          </w:p>
        </w:tc>
        <w:tc>
          <w:tcPr>
            <w:tcW w:w="760" w:type="dxa"/>
            <w:shd w:val="clear" w:color="auto" w:fill="auto"/>
            <w:noWrap/>
            <w:vAlign w:val="bottom"/>
            <w:hideMark/>
          </w:tcPr>
          <w:p w14:paraId="4DEE109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4D522BBA" w14:textId="77777777" w:rsidTr="007D1D77">
        <w:trPr>
          <w:trHeight w:val="315"/>
        </w:trPr>
        <w:tc>
          <w:tcPr>
            <w:tcW w:w="2580" w:type="dxa"/>
            <w:shd w:val="clear" w:color="auto" w:fill="auto"/>
            <w:vAlign w:val="bottom"/>
            <w:hideMark/>
          </w:tcPr>
          <w:p w14:paraId="3C941340"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National capital</w:t>
            </w:r>
          </w:p>
        </w:tc>
        <w:tc>
          <w:tcPr>
            <w:tcW w:w="640" w:type="dxa"/>
            <w:shd w:val="clear" w:color="auto" w:fill="auto"/>
            <w:noWrap/>
            <w:vAlign w:val="bottom"/>
            <w:hideMark/>
          </w:tcPr>
          <w:p w14:paraId="17B34DFA"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54C32D7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5EB4DAB1"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5B36A0AD"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59BEE7A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0BCA1DE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63EAFDA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22</w:t>
            </w:r>
          </w:p>
        </w:tc>
        <w:tc>
          <w:tcPr>
            <w:tcW w:w="720" w:type="dxa"/>
            <w:shd w:val="clear" w:color="auto" w:fill="auto"/>
            <w:noWrap/>
            <w:vAlign w:val="bottom"/>
            <w:hideMark/>
          </w:tcPr>
          <w:p w14:paraId="49114FA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60" w:type="dxa"/>
            <w:shd w:val="clear" w:color="auto" w:fill="auto"/>
            <w:noWrap/>
            <w:vAlign w:val="bottom"/>
            <w:hideMark/>
          </w:tcPr>
          <w:p w14:paraId="382A642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1967E356" w14:textId="77777777" w:rsidTr="007D1D77">
        <w:trPr>
          <w:trHeight w:val="315"/>
        </w:trPr>
        <w:tc>
          <w:tcPr>
            <w:tcW w:w="2580" w:type="dxa"/>
            <w:shd w:val="clear" w:color="000000" w:fill="B6D5E4"/>
            <w:vAlign w:val="bottom"/>
            <w:hideMark/>
          </w:tcPr>
          <w:p w14:paraId="64645170" w14:textId="77777777" w:rsidR="007E365E" w:rsidRPr="00902595" w:rsidRDefault="007E365E" w:rsidP="007D1D77">
            <w:pPr>
              <w:keepNext/>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Assessed police expenses</w:t>
            </w:r>
          </w:p>
        </w:tc>
        <w:tc>
          <w:tcPr>
            <w:tcW w:w="640" w:type="dxa"/>
            <w:shd w:val="clear" w:color="000000" w:fill="B6D5E4"/>
            <w:vAlign w:val="bottom"/>
            <w:hideMark/>
          </w:tcPr>
          <w:p w14:paraId="779531D7"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431</w:t>
            </w:r>
          </w:p>
        </w:tc>
        <w:tc>
          <w:tcPr>
            <w:tcW w:w="720" w:type="dxa"/>
            <w:shd w:val="clear" w:color="000000" w:fill="B6D5E4"/>
            <w:vAlign w:val="bottom"/>
            <w:hideMark/>
          </w:tcPr>
          <w:p w14:paraId="31A6047C"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397</w:t>
            </w:r>
          </w:p>
        </w:tc>
        <w:tc>
          <w:tcPr>
            <w:tcW w:w="720" w:type="dxa"/>
            <w:shd w:val="clear" w:color="000000" w:fill="B6D5E4"/>
            <w:vAlign w:val="bottom"/>
            <w:hideMark/>
          </w:tcPr>
          <w:p w14:paraId="4906DACB"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478</w:t>
            </w:r>
          </w:p>
        </w:tc>
        <w:tc>
          <w:tcPr>
            <w:tcW w:w="720" w:type="dxa"/>
            <w:shd w:val="clear" w:color="000000" w:fill="B6D5E4"/>
            <w:vAlign w:val="bottom"/>
            <w:hideMark/>
          </w:tcPr>
          <w:p w14:paraId="27047E1B"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497</w:t>
            </w:r>
          </w:p>
        </w:tc>
        <w:tc>
          <w:tcPr>
            <w:tcW w:w="720" w:type="dxa"/>
            <w:shd w:val="clear" w:color="000000" w:fill="B6D5E4"/>
            <w:vAlign w:val="bottom"/>
            <w:hideMark/>
          </w:tcPr>
          <w:p w14:paraId="72669BE9"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457</w:t>
            </w:r>
          </w:p>
        </w:tc>
        <w:tc>
          <w:tcPr>
            <w:tcW w:w="720" w:type="dxa"/>
            <w:shd w:val="clear" w:color="000000" w:fill="B6D5E4"/>
            <w:vAlign w:val="bottom"/>
            <w:hideMark/>
          </w:tcPr>
          <w:p w14:paraId="65782C22"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556</w:t>
            </w:r>
          </w:p>
        </w:tc>
        <w:tc>
          <w:tcPr>
            <w:tcW w:w="720" w:type="dxa"/>
            <w:shd w:val="clear" w:color="000000" w:fill="B6D5E4"/>
            <w:vAlign w:val="bottom"/>
            <w:hideMark/>
          </w:tcPr>
          <w:p w14:paraId="4E42032C"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371</w:t>
            </w:r>
          </w:p>
        </w:tc>
        <w:tc>
          <w:tcPr>
            <w:tcW w:w="720" w:type="dxa"/>
            <w:shd w:val="clear" w:color="000000" w:fill="B6D5E4"/>
            <w:vAlign w:val="bottom"/>
            <w:hideMark/>
          </w:tcPr>
          <w:p w14:paraId="55807B43"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1,309</w:t>
            </w:r>
          </w:p>
        </w:tc>
        <w:tc>
          <w:tcPr>
            <w:tcW w:w="760" w:type="dxa"/>
            <w:shd w:val="clear" w:color="000000" w:fill="B6D5E4"/>
            <w:vAlign w:val="bottom"/>
            <w:hideMark/>
          </w:tcPr>
          <w:p w14:paraId="3D058FBC"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450</w:t>
            </w:r>
          </w:p>
        </w:tc>
      </w:tr>
      <w:tr w:rsidR="007E365E" w:rsidRPr="00902595" w14:paraId="7FE70F15" w14:textId="77777777" w:rsidTr="007D1D77">
        <w:trPr>
          <w:trHeight w:val="315"/>
        </w:trPr>
        <w:tc>
          <w:tcPr>
            <w:tcW w:w="2580" w:type="dxa"/>
            <w:shd w:val="clear" w:color="auto" w:fill="auto"/>
            <w:vAlign w:val="bottom"/>
            <w:hideMark/>
          </w:tcPr>
          <w:p w14:paraId="41890B05" w14:textId="77777777" w:rsidR="007E365E" w:rsidRPr="00902595" w:rsidRDefault="007E365E" w:rsidP="007D1D77">
            <w:pPr>
              <w:keepNext/>
              <w:tabs>
                <w:tab w:val="clear" w:pos="567"/>
              </w:tabs>
              <w:spacing w:before="0" w:line="240" w:lineRule="auto"/>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Criminal courts</w:t>
            </w:r>
          </w:p>
        </w:tc>
        <w:tc>
          <w:tcPr>
            <w:tcW w:w="640" w:type="dxa"/>
            <w:shd w:val="clear" w:color="auto" w:fill="auto"/>
            <w:vAlign w:val="bottom"/>
            <w:hideMark/>
          </w:tcPr>
          <w:p w14:paraId="4178A22C" w14:textId="77777777" w:rsidR="007E365E" w:rsidRPr="00902595" w:rsidRDefault="007E365E" w:rsidP="007D1D77">
            <w:pPr>
              <w:keepNext/>
              <w:tabs>
                <w:tab w:val="clear" w:pos="567"/>
              </w:tabs>
              <w:spacing w:before="0" w:line="240" w:lineRule="auto"/>
              <w:rPr>
                <w:rFonts w:ascii="Open Sans SemiBold" w:eastAsia="Times New Roman" w:hAnsi="Open Sans SemiBold" w:cs="Open Sans SemiBold"/>
                <w:color w:val="000000"/>
                <w:sz w:val="16"/>
                <w:szCs w:val="16"/>
                <w:lang w:eastAsia="en-AU"/>
              </w:rPr>
            </w:pPr>
          </w:p>
        </w:tc>
        <w:tc>
          <w:tcPr>
            <w:tcW w:w="720" w:type="dxa"/>
            <w:shd w:val="clear" w:color="auto" w:fill="auto"/>
            <w:vAlign w:val="bottom"/>
            <w:hideMark/>
          </w:tcPr>
          <w:p w14:paraId="4BF24647"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c>
          <w:tcPr>
            <w:tcW w:w="720" w:type="dxa"/>
            <w:shd w:val="clear" w:color="auto" w:fill="auto"/>
            <w:vAlign w:val="bottom"/>
            <w:hideMark/>
          </w:tcPr>
          <w:p w14:paraId="287EF8E5"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c>
          <w:tcPr>
            <w:tcW w:w="720" w:type="dxa"/>
            <w:shd w:val="clear" w:color="auto" w:fill="auto"/>
            <w:vAlign w:val="bottom"/>
            <w:hideMark/>
          </w:tcPr>
          <w:p w14:paraId="2A1F40A2"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c>
          <w:tcPr>
            <w:tcW w:w="720" w:type="dxa"/>
            <w:shd w:val="clear" w:color="auto" w:fill="auto"/>
            <w:vAlign w:val="bottom"/>
            <w:hideMark/>
          </w:tcPr>
          <w:p w14:paraId="0BFF5FB8"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c>
          <w:tcPr>
            <w:tcW w:w="720" w:type="dxa"/>
            <w:shd w:val="clear" w:color="auto" w:fill="auto"/>
            <w:vAlign w:val="bottom"/>
            <w:hideMark/>
          </w:tcPr>
          <w:p w14:paraId="5F07D9A7"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c>
          <w:tcPr>
            <w:tcW w:w="720" w:type="dxa"/>
            <w:shd w:val="clear" w:color="auto" w:fill="auto"/>
            <w:vAlign w:val="bottom"/>
            <w:hideMark/>
          </w:tcPr>
          <w:p w14:paraId="4B35C444"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c>
          <w:tcPr>
            <w:tcW w:w="720" w:type="dxa"/>
            <w:shd w:val="clear" w:color="auto" w:fill="auto"/>
            <w:vAlign w:val="bottom"/>
            <w:hideMark/>
          </w:tcPr>
          <w:p w14:paraId="68B7546B"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c>
          <w:tcPr>
            <w:tcW w:w="760" w:type="dxa"/>
            <w:shd w:val="clear" w:color="auto" w:fill="auto"/>
            <w:vAlign w:val="bottom"/>
            <w:hideMark/>
          </w:tcPr>
          <w:p w14:paraId="5C2E8667"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r>
      <w:tr w:rsidR="007E365E" w:rsidRPr="00902595" w14:paraId="43E0D8C8" w14:textId="77777777" w:rsidTr="007D1D77">
        <w:trPr>
          <w:trHeight w:val="315"/>
        </w:trPr>
        <w:tc>
          <w:tcPr>
            <w:tcW w:w="2580" w:type="dxa"/>
            <w:shd w:val="clear" w:color="auto" w:fill="auto"/>
            <w:vAlign w:val="bottom"/>
            <w:hideMark/>
          </w:tcPr>
          <w:p w14:paraId="5E3A8785"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Equal per capita</w:t>
            </w:r>
          </w:p>
        </w:tc>
        <w:tc>
          <w:tcPr>
            <w:tcW w:w="640" w:type="dxa"/>
            <w:shd w:val="clear" w:color="auto" w:fill="auto"/>
            <w:vAlign w:val="bottom"/>
            <w:hideMark/>
          </w:tcPr>
          <w:p w14:paraId="066DF2E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114</w:t>
            </w:r>
          </w:p>
        </w:tc>
        <w:tc>
          <w:tcPr>
            <w:tcW w:w="720" w:type="dxa"/>
            <w:shd w:val="clear" w:color="auto" w:fill="auto"/>
            <w:vAlign w:val="bottom"/>
            <w:hideMark/>
          </w:tcPr>
          <w:p w14:paraId="430D405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114</w:t>
            </w:r>
          </w:p>
        </w:tc>
        <w:tc>
          <w:tcPr>
            <w:tcW w:w="720" w:type="dxa"/>
            <w:shd w:val="clear" w:color="auto" w:fill="auto"/>
            <w:vAlign w:val="bottom"/>
            <w:hideMark/>
          </w:tcPr>
          <w:p w14:paraId="6E6B40E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114</w:t>
            </w:r>
          </w:p>
        </w:tc>
        <w:tc>
          <w:tcPr>
            <w:tcW w:w="720" w:type="dxa"/>
            <w:shd w:val="clear" w:color="auto" w:fill="auto"/>
            <w:vAlign w:val="bottom"/>
            <w:hideMark/>
          </w:tcPr>
          <w:p w14:paraId="23A6715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114</w:t>
            </w:r>
          </w:p>
        </w:tc>
        <w:tc>
          <w:tcPr>
            <w:tcW w:w="720" w:type="dxa"/>
            <w:shd w:val="clear" w:color="auto" w:fill="auto"/>
            <w:vAlign w:val="bottom"/>
            <w:hideMark/>
          </w:tcPr>
          <w:p w14:paraId="43577EC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114</w:t>
            </w:r>
          </w:p>
        </w:tc>
        <w:tc>
          <w:tcPr>
            <w:tcW w:w="720" w:type="dxa"/>
            <w:shd w:val="clear" w:color="auto" w:fill="auto"/>
            <w:vAlign w:val="bottom"/>
            <w:hideMark/>
          </w:tcPr>
          <w:p w14:paraId="0EA8A15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114</w:t>
            </w:r>
          </w:p>
        </w:tc>
        <w:tc>
          <w:tcPr>
            <w:tcW w:w="720" w:type="dxa"/>
            <w:shd w:val="clear" w:color="auto" w:fill="auto"/>
            <w:vAlign w:val="bottom"/>
            <w:hideMark/>
          </w:tcPr>
          <w:p w14:paraId="764368A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114</w:t>
            </w:r>
          </w:p>
        </w:tc>
        <w:tc>
          <w:tcPr>
            <w:tcW w:w="720" w:type="dxa"/>
            <w:shd w:val="clear" w:color="auto" w:fill="auto"/>
            <w:vAlign w:val="bottom"/>
            <w:hideMark/>
          </w:tcPr>
          <w:p w14:paraId="13123F16"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114</w:t>
            </w:r>
          </w:p>
        </w:tc>
        <w:tc>
          <w:tcPr>
            <w:tcW w:w="760" w:type="dxa"/>
            <w:shd w:val="clear" w:color="auto" w:fill="auto"/>
            <w:vAlign w:val="bottom"/>
            <w:hideMark/>
          </w:tcPr>
          <w:p w14:paraId="3E0AEAD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114</w:t>
            </w:r>
          </w:p>
        </w:tc>
      </w:tr>
      <w:tr w:rsidR="007E365E" w:rsidRPr="00902595" w14:paraId="2F0A9FAA" w14:textId="77777777" w:rsidTr="007D1D77">
        <w:trPr>
          <w:trHeight w:val="315"/>
        </w:trPr>
        <w:tc>
          <w:tcPr>
            <w:tcW w:w="2580" w:type="dxa"/>
            <w:shd w:val="clear" w:color="auto" w:fill="auto"/>
            <w:vAlign w:val="bottom"/>
            <w:hideMark/>
          </w:tcPr>
          <w:p w14:paraId="23E948D9"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Indigenous status</w:t>
            </w:r>
          </w:p>
        </w:tc>
        <w:tc>
          <w:tcPr>
            <w:tcW w:w="640" w:type="dxa"/>
            <w:shd w:val="clear" w:color="auto" w:fill="auto"/>
            <w:noWrap/>
            <w:vAlign w:val="bottom"/>
            <w:hideMark/>
          </w:tcPr>
          <w:p w14:paraId="479C7EA7"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59B3B3F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-11</w:t>
            </w:r>
          </w:p>
        </w:tc>
        <w:tc>
          <w:tcPr>
            <w:tcW w:w="720" w:type="dxa"/>
            <w:shd w:val="clear" w:color="auto" w:fill="auto"/>
            <w:noWrap/>
            <w:vAlign w:val="bottom"/>
            <w:hideMark/>
          </w:tcPr>
          <w:p w14:paraId="5E0D039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6</w:t>
            </w:r>
          </w:p>
        </w:tc>
        <w:tc>
          <w:tcPr>
            <w:tcW w:w="720" w:type="dxa"/>
            <w:shd w:val="clear" w:color="auto" w:fill="auto"/>
            <w:noWrap/>
            <w:vAlign w:val="bottom"/>
            <w:hideMark/>
          </w:tcPr>
          <w:p w14:paraId="3450B74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179370A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0E54FB41"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10</w:t>
            </w:r>
          </w:p>
        </w:tc>
        <w:tc>
          <w:tcPr>
            <w:tcW w:w="720" w:type="dxa"/>
            <w:shd w:val="clear" w:color="auto" w:fill="auto"/>
            <w:noWrap/>
            <w:vAlign w:val="bottom"/>
            <w:hideMark/>
          </w:tcPr>
          <w:p w14:paraId="6D379E8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-6</w:t>
            </w:r>
          </w:p>
        </w:tc>
        <w:tc>
          <w:tcPr>
            <w:tcW w:w="720" w:type="dxa"/>
            <w:shd w:val="clear" w:color="auto" w:fill="auto"/>
            <w:noWrap/>
            <w:vAlign w:val="bottom"/>
            <w:hideMark/>
          </w:tcPr>
          <w:p w14:paraId="09C906B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123</w:t>
            </w:r>
          </w:p>
        </w:tc>
        <w:tc>
          <w:tcPr>
            <w:tcW w:w="760" w:type="dxa"/>
            <w:shd w:val="clear" w:color="auto" w:fill="auto"/>
            <w:noWrap/>
            <w:vAlign w:val="bottom"/>
            <w:hideMark/>
          </w:tcPr>
          <w:p w14:paraId="00148A4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713A2F93" w14:textId="77777777" w:rsidTr="007D1D77">
        <w:trPr>
          <w:trHeight w:val="315"/>
        </w:trPr>
        <w:tc>
          <w:tcPr>
            <w:tcW w:w="2580" w:type="dxa"/>
            <w:shd w:val="clear" w:color="auto" w:fill="auto"/>
            <w:vAlign w:val="bottom"/>
            <w:hideMark/>
          </w:tcPr>
          <w:p w14:paraId="459C019E"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Population dispersion</w:t>
            </w:r>
          </w:p>
        </w:tc>
        <w:tc>
          <w:tcPr>
            <w:tcW w:w="640" w:type="dxa"/>
            <w:shd w:val="clear" w:color="auto" w:fill="auto"/>
            <w:noWrap/>
            <w:vAlign w:val="bottom"/>
            <w:hideMark/>
          </w:tcPr>
          <w:p w14:paraId="0CF6EF1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783F971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3A93C3EA"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51CFC657"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2AF8EBB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2A78C6B2"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766B5900"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0F425A00"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85</w:t>
            </w:r>
          </w:p>
        </w:tc>
        <w:tc>
          <w:tcPr>
            <w:tcW w:w="760" w:type="dxa"/>
            <w:shd w:val="clear" w:color="auto" w:fill="auto"/>
            <w:noWrap/>
            <w:vAlign w:val="bottom"/>
            <w:hideMark/>
          </w:tcPr>
          <w:p w14:paraId="7F83755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1B1E7953" w14:textId="77777777" w:rsidTr="007D1D77">
        <w:trPr>
          <w:trHeight w:val="315"/>
        </w:trPr>
        <w:tc>
          <w:tcPr>
            <w:tcW w:w="2580" w:type="dxa"/>
            <w:shd w:val="clear" w:color="auto" w:fill="auto"/>
            <w:vAlign w:val="bottom"/>
            <w:hideMark/>
          </w:tcPr>
          <w:p w14:paraId="603FFCA2"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Indigenous disadvantage</w:t>
            </w:r>
          </w:p>
        </w:tc>
        <w:tc>
          <w:tcPr>
            <w:tcW w:w="640" w:type="dxa"/>
            <w:shd w:val="clear" w:color="auto" w:fill="auto"/>
            <w:noWrap/>
            <w:vAlign w:val="bottom"/>
            <w:hideMark/>
          </w:tcPr>
          <w:p w14:paraId="11CBB1CA"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4E704B2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4500F16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503A30D8"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6370B74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76349681"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-8</w:t>
            </w:r>
          </w:p>
        </w:tc>
        <w:tc>
          <w:tcPr>
            <w:tcW w:w="720" w:type="dxa"/>
            <w:shd w:val="clear" w:color="auto" w:fill="auto"/>
            <w:noWrap/>
            <w:vAlign w:val="bottom"/>
            <w:hideMark/>
          </w:tcPr>
          <w:p w14:paraId="5A7EC008"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4B99E5C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-5</w:t>
            </w:r>
          </w:p>
        </w:tc>
        <w:tc>
          <w:tcPr>
            <w:tcW w:w="760" w:type="dxa"/>
            <w:shd w:val="clear" w:color="auto" w:fill="auto"/>
            <w:noWrap/>
            <w:vAlign w:val="bottom"/>
            <w:hideMark/>
          </w:tcPr>
          <w:p w14:paraId="6A10A1DD"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5F55D08A" w14:textId="77777777" w:rsidTr="007D1D77">
        <w:trPr>
          <w:trHeight w:val="315"/>
        </w:trPr>
        <w:tc>
          <w:tcPr>
            <w:tcW w:w="2580" w:type="dxa"/>
            <w:shd w:val="clear" w:color="auto" w:fill="auto"/>
            <w:vAlign w:val="bottom"/>
            <w:hideMark/>
          </w:tcPr>
          <w:p w14:paraId="7B21170D"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Non-Indigenous disadvantage</w:t>
            </w:r>
          </w:p>
        </w:tc>
        <w:tc>
          <w:tcPr>
            <w:tcW w:w="640" w:type="dxa"/>
            <w:shd w:val="clear" w:color="auto" w:fill="auto"/>
            <w:noWrap/>
            <w:vAlign w:val="bottom"/>
            <w:hideMark/>
          </w:tcPr>
          <w:p w14:paraId="3F7E4CE0"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6B5810A7"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2C83CA5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56F6F048"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-5</w:t>
            </w:r>
          </w:p>
        </w:tc>
        <w:tc>
          <w:tcPr>
            <w:tcW w:w="720" w:type="dxa"/>
            <w:shd w:val="clear" w:color="auto" w:fill="auto"/>
            <w:noWrap/>
            <w:vAlign w:val="bottom"/>
            <w:hideMark/>
          </w:tcPr>
          <w:p w14:paraId="5A6CD13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11</w:t>
            </w:r>
          </w:p>
        </w:tc>
        <w:tc>
          <w:tcPr>
            <w:tcW w:w="720" w:type="dxa"/>
            <w:shd w:val="clear" w:color="auto" w:fill="auto"/>
            <w:noWrap/>
            <w:vAlign w:val="bottom"/>
            <w:hideMark/>
          </w:tcPr>
          <w:p w14:paraId="1BA3541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w:t>
            </w:r>
          </w:p>
        </w:tc>
        <w:tc>
          <w:tcPr>
            <w:tcW w:w="720" w:type="dxa"/>
            <w:shd w:val="clear" w:color="auto" w:fill="auto"/>
            <w:noWrap/>
            <w:vAlign w:val="bottom"/>
            <w:hideMark/>
          </w:tcPr>
          <w:p w14:paraId="63DDF522"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-25</w:t>
            </w:r>
          </w:p>
        </w:tc>
        <w:tc>
          <w:tcPr>
            <w:tcW w:w="720" w:type="dxa"/>
            <w:shd w:val="clear" w:color="auto" w:fill="auto"/>
            <w:noWrap/>
            <w:vAlign w:val="bottom"/>
            <w:hideMark/>
          </w:tcPr>
          <w:p w14:paraId="5512001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-17</w:t>
            </w:r>
          </w:p>
        </w:tc>
        <w:tc>
          <w:tcPr>
            <w:tcW w:w="760" w:type="dxa"/>
            <w:shd w:val="clear" w:color="auto" w:fill="auto"/>
            <w:noWrap/>
            <w:vAlign w:val="bottom"/>
            <w:hideMark/>
          </w:tcPr>
          <w:p w14:paraId="2E99DA3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1E83CB3B" w14:textId="77777777" w:rsidTr="007D1D77">
        <w:trPr>
          <w:trHeight w:val="315"/>
        </w:trPr>
        <w:tc>
          <w:tcPr>
            <w:tcW w:w="2580" w:type="dxa"/>
            <w:shd w:val="clear" w:color="auto" w:fill="auto"/>
            <w:vAlign w:val="bottom"/>
            <w:hideMark/>
          </w:tcPr>
          <w:p w14:paraId="7A2E266E"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Age</w:t>
            </w:r>
          </w:p>
        </w:tc>
        <w:tc>
          <w:tcPr>
            <w:tcW w:w="640" w:type="dxa"/>
            <w:shd w:val="clear" w:color="auto" w:fill="auto"/>
            <w:noWrap/>
            <w:vAlign w:val="bottom"/>
            <w:hideMark/>
          </w:tcPr>
          <w:p w14:paraId="5785442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2E95095A"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26949278"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2CC3D817"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7045C3A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w:t>
            </w:r>
          </w:p>
        </w:tc>
        <w:tc>
          <w:tcPr>
            <w:tcW w:w="720" w:type="dxa"/>
            <w:shd w:val="clear" w:color="auto" w:fill="auto"/>
            <w:noWrap/>
            <w:vAlign w:val="bottom"/>
            <w:hideMark/>
          </w:tcPr>
          <w:p w14:paraId="3F7064B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55D59CF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7EF3CF06"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18</w:t>
            </w:r>
          </w:p>
        </w:tc>
        <w:tc>
          <w:tcPr>
            <w:tcW w:w="760" w:type="dxa"/>
            <w:shd w:val="clear" w:color="auto" w:fill="auto"/>
            <w:noWrap/>
            <w:vAlign w:val="bottom"/>
            <w:hideMark/>
          </w:tcPr>
          <w:p w14:paraId="6A5A1FD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64D6084A" w14:textId="77777777" w:rsidTr="007D1D77">
        <w:trPr>
          <w:trHeight w:val="315"/>
        </w:trPr>
        <w:tc>
          <w:tcPr>
            <w:tcW w:w="2580" w:type="dxa"/>
            <w:shd w:val="clear" w:color="auto" w:fill="auto"/>
            <w:vAlign w:val="bottom"/>
            <w:hideMark/>
          </w:tcPr>
          <w:p w14:paraId="41184749"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Wages</w:t>
            </w:r>
          </w:p>
        </w:tc>
        <w:tc>
          <w:tcPr>
            <w:tcW w:w="640" w:type="dxa"/>
            <w:shd w:val="clear" w:color="auto" w:fill="auto"/>
            <w:vAlign w:val="bottom"/>
            <w:hideMark/>
          </w:tcPr>
          <w:p w14:paraId="5B73A5D7"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vAlign w:val="bottom"/>
            <w:hideMark/>
          </w:tcPr>
          <w:p w14:paraId="7EAE1FA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vAlign w:val="bottom"/>
            <w:hideMark/>
          </w:tcPr>
          <w:p w14:paraId="7900BE0D"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vAlign w:val="bottom"/>
            <w:hideMark/>
          </w:tcPr>
          <w:p w14:paraId="2C87F31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vAlign w:val="bottom"/>
            <w:hideMark/>
          </w:tcPr>
          <w:p w14:paraId="768537E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vAlign w:val="bottom"/>
            <w:hideMark/>
          </w:tcPr>
          <w:p w14:paraId="6FBF945A"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w:t>
            </w:r>
          </w:p>
        </w:tc>
        <w:tc>
          <w:tcPr>
            <w:tcW w:w="720" w:type="dxa"/>
            <w:shd w:val="clear" w:color="auto" w:fill="auto"/>
            <w:vAlign w:val="bottom"/>
            <w:hideMark/>
          </w:tcPr>
          <w:p w14:paraId="23AB3A4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vAlign w:val="bottom"/>
            <w:hideMark/>
          </w:tcPr>
          <w:p w14:paraId="7AE894A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10</w:t>
            </w:r>
          </w:p>
        </w:tc>
        <w:tc>
          <w:tcPr>
            <w:tcW w:w="760" w:type="dxa"/>
            <w:shd w:val="clear" w:color="auto" w:fill="auto"/>
            <w:vAlign w:val="bottom"/>
            <w:hideMark/>
          </w:tcPr>
          <w:p w14:paraId="479CC8F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218C6C94" w14:textId="77777777" w:rsidTr="007D1D77">
        <w:trPr>
          <w:trHeight w:val="315"/>
        </w:trPr>
        <w:tc>
          <w:tcPr>
            <w:tcW w:w="2580" w:type="dxa"/>
            <w:shd w:val="clear" w:color="000000" w:fill="B6D5E4"/>
            <w:vAlign w:val="bottom"/>
            <w:hideMark/>
          </w:tcPr>
          <w:p w14:paraId="0208DBF3" w14:textId="77777777" w:rsidR="007E365E" w:rsidRPr="00902595" w:rsidRDefault="007E365E" w:rsidP="007D1D77">
            <w:pPr>
              <w:keepNext/>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Assessed expenses</w:t>
            </w:r>
          </w:p>
        </w:tc>
        <w:tc>
          <w:tcPr>
            <w:tcW w:w="640" w:type="dxa"/>
            <w:shd w:val="clear" w:color="000000" w:fill="B6D5E4"/>
            <w:vAlign w:val="bottom"/>
            <w:hideMark/>
          </w:tcPr>
          <w:p w14:paraId="28EA9D52"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113</w:t>
            </w:r>
          </w:p>
        </w:tc>
        <w:tc>
          <w:tcPr>
            <w:tcW w:w="720" w:type="dxa"/>
            <w:shd w:val="clear" w:color="000000" w:fill="B6D5E4"/>
            <w:vAlign w:val="bottom"/>
            <w:hideMark/>
          </w:tcPr>
          <w:p w14:paraId="4BA2146E"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102</w:t>
            </w:r>
          </w:p>
        </w:tc>
        <w:tc>
          <w:tcPr>
            <w:tcW w:w="720" w:type="dxa"/>
            <w:shd w:val="clear" w:color="000000" w:fill="B6D5E4"/>
            <w:vAlign w:val="bottom"/>
            <w:hideMark/>
          </w:tcPr>
          <w:p w14:paraId="23F68EF0"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119</w:t>
            </w:r>
          </w:p>
        </w:tc>
        <w:tc>
          <w:tcPr>
            <w:tcW w:w="720" w:type="dxa"/>
            <w:shd w:val="clear" w:color="000000" w:fill="B6D5E4"/>
            <w:vAlign w:val="bottom"/>
            <w:hideMark/>
          </w:tcPr>
          <w:p w14:paraId="44D651E6"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119</w:t>
            </w:r>
          </w:p>
        </w:tc>
        <w:tc>
          <w:tcPr>
            <w:tcW w:w="720" w:type="dxa"/>
            <w:shd w:val="clear" w:color="000000" w:fill="B6D5E4"/>
            <w:vAlign w:val="bottom"/>
            <w:hideMark/>
          </w:tcPr>
          <w:p w14:paraId="6D10ADAF"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116</w:t>
            </w:r>
          </w:p>
        </w:tc>
        <w:tc>
          <w:tcPr>
            <w:tcW w:w="720" w:type="dxa"/>
            <w:shd w:val="clear" w:color="000000" w:fill="B6D5E4"/>
            <w:vAlign w:val="bottom"/>
            <w:hideMark/>
          </w:tcPr>
          <w:p w14:paraId="33E3F734"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119</w:t>
            </w:r>
          </w:p>
        </w:tc>
        <w:tc>
          <w:tcPr>
            <w:tcW w:w="720" w:type="dxa"/>
            <w:shd w:val="clear" w:color="000000" w:fill="B6D5E4"/>
            <w:vAlign w:val="bottom"/>
            <w:hideMark/>
          </w:tcPr>
          <w:p w14:paraId="4B8F5DA2"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82</w:t>
            </w:r>
          </w:p>
        </w:tc>
        <w:tc>
          <w:tcPr>
            <w:tcW w:w="720" w:type="dxa"/>
            <w:shd w:val="clear" w:color="000000" w:fill="B6D5E4"/>
            <w:vAlign w:val="bottom"/>
            <w:hideMark/>
          </w:tcPr>
          <w:p w14:paraId="5607DE3A"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329</w:t>
            </w:r>
          </w:p>
        </w:tc>
        <w:tc>
          <w:tcPr>
            <w:tcW w:w="760" w:type="dxa"/>
            <w:shd w:val="clear" w:color="000000" w:fill="B6D5E4"/>
            <w:vAlign w:val="bottom"/>
            <w:hideMark/>
          </w:tcPr>
          <w:p w14:paraId="06E530C3"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114</w:t>
            </w:r>
          </w:p>
        </w:tc>
      </w:tr>
      <w:tr w:rsidR="007E365E" w:rsidRPr="00902595" w14:paraId="2BFB62E6" w14:textId="77777777" w:rsidTr="007D1D77">
        <w:trPr>
          <w:trHeight w:val="315"/>
        </w:trPr>
        <w:tc>
          <w:tcPr>
            <w:tcW w:w="2580" w:type="dxa"/>
            <w:shd w:val="clear" w:color="auto" w:fill="auto"/>
            <w:vAlign w:val="bottom"/>
            <w:hideMark/>
          </w:tcPr>
          <w:p w14:paraId="232E2509" w14:textId="77777777" w:rsidR="007E365E" w:rsidRPr="00902595" w:rsidRDefault="007E365E" w:rsidP="007D1D77">
            <w:pPr>
              <w:keepNext/>
              <w:tabs>
                <w:tab w:val="clear" w:pos="567"/>
              </w:tabs>
              <w:spacing w:before="0" w:line="240" w:lineRule="auto"/>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Other legal services</w:t>
            </w:r>
          </w:p>
        </w:tc>
        <w:tc>
          <w:tcPr>
            <w:tcW w:w="640" w:type="dxa"/>
            <w:shd w:val="clear" w:color="auto" w:fill="auto"/>
            <w:vAlign w:val="bottom"/>
            <w:hideMark/>
          </w:tcPr>
          <w:p w14:paraId="3C4F97B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20" w:type="dxa"/>
            <w:shd w:val="clear" w:color="auto" w:fill="auto"/>
            <w:vAlign w:val="bottom"/>
            <w:hideMark/>
          </w:tcPr>
          <w:p w14:paraId="547D4D2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20" w:type="dxa"/>
            <w:shd w:val="clear" w:color="auto" w:fill="auto"/>
            <w:vAlign w:val="bottom"/>
            <w:hideMark/>
          </w:tcPr>
          <w:p w14:paraId="6606D2E6"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20" w:type="dxa"/>
            <w:shd w:val="clear" w:color="auto" w:fill="auto"/>
            <w:vAlign w:val="bottom"/>
            <w:hideMark/>
          </w:tcPr>
          <w:p w14:paraId="2ED59EB1"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20" w:type="dxa"/>
            <w:shd w:val="clear" w:color="auto" w:fill="auto"/>
            <w:vAlign w:val="bottom"/>
            <w:hideMark/>
          </w:tcPr>
          <w:p w14:paraId="5435BDA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20" w:type="dxa"/>
            <w:shd w:val="clear" w:color="auto" w:fill="auto"/>
            <w:vAlign w:val="bottom"/>
            <w:hideMark/>
          </w:tcPr>
          <w:p w14:paraId="2CBA535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20" w:type="dxa"/>
            <w:shd w:val="clear" w:color="auto" w:fill="auto"/>
            <w:vAlign w:val="bottom"/>
            <w:hideMark/>
          </w:tcPr>
          <w:p w14:paraId="031CF580"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20" w:type="dxa"/>
            <w:shd w:val="clear" w:color="auto" w:fill="auto"/>
            <w:vAlign w:val="bottom"/>
            <w:hideMark/>
          </w:tcPr>
          <w:p w14:paraId="0902D36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c>
          <w:tcPr>
            <w:tcW w:w="760" w:type="dxa"/>
            <w:shd w:val="clear" w:color="auto" w:fill="auto"/>
            <w:vAlign w:val="bottom"/>
            <w:hideMark/>
          </w:tcPr>
          <w:p w14:paraId="4C747D6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 </w:t>
            </w:r>
          </w:p>
        </w:tc>
      </w:tr>
      <w:tr w:rsidR="007E365E" w:rsidRPr="00902595" w14:paraId="58F74682" w14:textId="77777777" w:rsidTr="007D1D77">
        <w:trPr>
          <w:trHeight w:val="315"/>
        </w:trPr>
        <w:tc>
          <w:tcPr>
            <w:tcW w:w="2580" w:type="dxa"/>
            <w:shd w:val="clear" w:color="auto" w:fill="auto"/>
            <w:vAlign w:val="bottom"/>
            <w:hideMark/>
          </w:tcPr>
          <w:p w14:paraId="660DEC97"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Equal per capita</w:t>
            </w:r>
          </w:p>
        </w:tc>
        <w:tc>
          <w:tcPr>
            <w:tcW w:w="640" w:type="dxa"/>
            <w:shd w:val="clear" w:color="auto" w:fill="auto"/>
            <w:vAlign w:val="bottom"/>
            <w:hideMark/>
          </w:tcPr>
          <w:p w14:paraId="3F3A514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95</w:t>
            </w:r>
          </w:p>
        </w:tc>
        <w:tc>
          <w:tcPr>
            <w:tcW w:w="720" w:type="dxa"/>
            <w:shd w:val="clear" w:color="auto" w:fill="auto"/>
            <w:vAlign w:val="bottom"/>
            <w:hideMark/>
          </w:tcPr>
          <w:p w14:paraId="3B4D8E6D"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95</w:t>
            </w:r>
          </w:p>
        </w:tc>
        <w:tc>
          <w:tcPr>
            <w:tcW w:w="720" w:type="dxa"/>
            <w:shd w:val="clear" w:color="auto" w:fill="auto"/>
            <w:vAlign w:val="bottom"/>
            <w:hideMark/>
          </w:tcPr>
          <w:p w14:paraId="295DBFD2"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95</w:t>
            </w:r>
          </w:p>
        </w:tc>
        <w:tc>
          <w:tcPr>
            <w:tcW w:w="720" w:type="dxa"/>
            <w:shd w:val="clear" w:color="auto" w:fill="auto"/>
            <w:vAlign w:val="bottom"/>
            <w:hideMark/>
          </w:tcPr>
          <w:p w14:paraId="0C949510"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95</w:t>
            </w:r>
          </w:p>
        </w:tc>
        <w:tc>
          <w:tcPr>
            <w:tcW w:w="720" w:type="dxa"/>
            <w:shd w:val="clear" w:color="auto" w:fill="auto"/>
            <w:vAlign w:val="bottom"/>
            <w:hideMark/>
          </w:tcPr>
          <w:p w14:paraId="3B273C0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95</w:t>
            </w:r>
          </w:p>
        </w:tc>
        <w:tc>
          <w:tcPr>
            <w:tcW w:w="720" w:type="dxa"/>
            <w:shd w:val="clear" w:color="auto" w:fill="auto"/>
            <w:vAlign w:val="bottom"/>
            <w:hideMark/>
          </w:tcPr>
          <w:p w14:paraId="6B36179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95</w:t>
            </w:r>
          </w:p>
        </w:tc>
        <w:tc>
          <w:tcPr>
            <w:tcW w:w="720" w:type="dxa"/>
            <w:shd w:val="clear" w:color="auto" w:fill="auto"/>
            <w:vAlign w:val="bottom"/>
            <w:hideMark/>
          </w:tcPr>
          <w:p w14:paraId="15337677"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95</w:t>
            </w:r>
          </w:p>
        </w:tc>
        <w:tc>
          <w:tcPr>
            <w:tcW w:w="720" w:type="dxa"/>
            <w:shd w:val="clear" w:color="auto" w:fill="auto"/>
            <w:vAlign w:val="bottom"/>
            <w:hideMark/>
          </w:tcPr>
          <w:p w14:paraId="725463B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95</w:t>
            </w:r>
          </w:p>
        </w:tc>
        <w:tc>
          <w:tcPr>
            <w:tcW w:w="760" w:type="dxa"/>
            <w:shd w:val="clear" w:color="auto" w:fill="auto"/>
            <w:vAlign w:val="bottom"/>
            <w:hideMark/>
          </w:tcPr>
          <w:p w14:paraId="2A82049A"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95</w:t>
            </w:r>
          </w:p>
        </w:tc>
      </w:tr>
      <w:tr w:rsidR="007E365E" w:rsidRPr="00902595" w14:paraId="50B98849" w14:textId="77777777" w:rsidTr="007D1D77">
        <w:trPr>
          <w:trHeight w:val="315"/>
        </w:trPr>
        <w:tc>
          <w:tcPr>
            <w:tcW w:w="2580" w:type="dxa"/>
            <w:shd w:val="clear" w:color="auto" w:fill="auto"/>
            <w:vAlign w:val="bottom"/>
            <w:hideMark/>
          </w:tcPr>
          <w:p w14:paraId="2158DCC5"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Population dispersion</w:t>
            </w:r>
          </w:p>
        </w:tc>
        <w:tc>
          <w:tcPr>
            <w:tcW w:w="640" w:type="dxa"/>
            <w:shd w:val="clear" w:color="auto" w:fill="auto"/>
            <w:noWrap/>
            <w:vAlign w:val="bottom"/>
            <w:hideMark/>
          </w:tcPr>
          <w:p w14:paraId="691A287D"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2B9022B8"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5390C87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7467F62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535AACA7"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589E59F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4DEDFD4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3E1B18A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60" w:type="dxa"/>
            <w:shd w:val="clear" w:color="auto" w:fill="auto"/>
            <w:noWrap/>
            <w:vAlign w:val="bottom"/>
            <w:hideMark/>
          </w:tcPr>
          <w:p w14:paraId="308DF33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78AC8B54" w14:textId="77777777" w:rsidTr="007D1D77">
        <w:trPr>
          <w:trHeight w:val="315"/>
        </w:trPr>
        <w:tc>
          <w:tcPr>
            <w:tcW w:w="2580" w:type="dxa"/>
            <w:shd w:val="clear" w:color="auto" w:fill="auto"/>
            <w:vAlign w:val="bottom"/>
            <w:hideMark/>
          </w:tcPr>
          <w:p w14:paraId="78AE2E89"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Wages</w:t>
            </w:r>
          </w:p>
        </w:tc>
        <w:tc>
          <w:tcPr>
            <w:tcW w:w="640" w:type="dxa"/>
            <w:shd w:val="clear" w:color="auto" w:fill="auto"/>
            <w:noWrap/>
            <w:vAlign w:val="bottom"/>
            <w:hideMark/>
          </w:tcPr>
          <w:p w14:paraId="4D3C2BB0"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1864EAC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728EFCED"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7289F1E0"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3111203A"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790E22AA"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2E54CC8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0637C2D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60" w:type="dxa"/>
            <w:shd w:val="clear" w:color="auto" w:fill="auto"/>
            <w:noWrap/>
            <w:vAlign w:val="bottom"/>
            <w:hideMark/>
          </w:tcPr>
          <w:p w14:paraId="243AA3D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6E9B8D51" w14:textId="77777777" w:rsidTr="007D1D77">
        <w:trPr>
          <w:trHeight w:val="315"/>
        </w:trPr>
        <w:tc>
          <w:tcPr>
            <w:tcW w:w="2580" w:type="dxa"/>
            <w:shd w:val="clear" w:color="000000" w:fill="B6D5E4"/>
            <w:vAlign w:val="bottom"/>
            <w:hideMark/>
          </w:tcPr>
          <w:p w14:paraId="0E6A0B02" w14:textId="77777777" w:rsidR="007E365E" w:rsidRPr="00902595" w:rsidRDefault="007E365E" w:rsidP="007D1D77">
            <w:pPr>
              <w:keepNext/>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Assessed expenses</w:t>
            </w:r>
          </w:p>
        </w:tc>
        <w:tc>
          <w:tcPr>
            <w:tcW w:w="640" w:type="dxa"/>
            <w:shd w:val="clear" w:color="000000" w:fill="B6D5E4"/>
            <w:vAlign w:val="bottom"/>
            <w:hideMark/>
          </w:tcPr>
          <w:p w14:paraId="1534F803"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95</w:t>
            </w:r>
          </w:p>
        </w:tc>
        <w:tc>
          <w:tcPr>
            <w:tcW w:w="720" w:type="dxa"/>
            <w:shd w:val="clear" w:color="000000" w:fill="B6D5E4"/>
            <w:vAlign w:val="bottom"/>
            <w:hideMark/>
          </w:tcPr>
          <w:p w14:paraId="2C1B4BFB"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94</w:t>
            </w:r>
          </w:p>
        </w:tc>
        <w:tc>
          <w:tcPr>
            <w:tcW w:w="720" w:type="dxa"/>
            <w:shd w:val="clear" w:color="000000" w:fill="B6D5E4"/>
            <w:vAlign w:val="bottom"/>
            <w:hideMark/>
          </w:tcPr>
          <w:p w14:paraId="2E3E9B33"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94</w:t>
            </w:r>
          </w:p>
        </w:tc>
        <w:tc>
          <w:tcPr>
            <w:tcW w:w="720" w:type="dxa"/>
            <w:shd w:val="clear" w:color="000000" w:fill="B6D5E4"/>
            <w:vAlign w:val="bottom"/>
            <w:hideMark/>
          </w:tcPr>
          <w:p w14:paraId="32D4C427"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97</w:t>
            </w:r>
          </w:p>
        </w:tc>
        <w:tc>
          <w:tcPr>
            <w:tcW w:w="720" w:type="dxa"/>
            <w:shd w:val="clear" w:color="000000" w:fill="B6D5E4"/>
            <w:vAlign w:val="bottom"/>
            <w:hideMark/>
          </w:tcPr>
          <w:p w14:paraId="2775D0BB"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93</w:t>
            </w:r>
          </w:p>
        </w:tc>
        <w:tc>
          <w:tcPr>
            <w:tcW w:w="720" w:type="dxa"/>
            <w:shd w:val="clear" w:color="000000" w:fill="B6D5E4"/>
            <w:vAlign w:val="bottom"/>
            <w:hideMark/>
          </w:tcPr>
          <w:p w14:paraId="6DD55120"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92</w:t>
            </w:r>
          </w:p>
        </w:tc>
        <w:tc>
          <w:tcPr>
            <w:tcW w:w="720" w:type="dxa"/>
            <w:shd w:val="clear" w:color="000000" w:fill="B6D5E4"/>
            <w:vAlign w:val="bottom"/>
            <w:hideMark/>
          </w:tcPr>
          <w:p w14:paraId="2B96257F"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97</w:t>
            </w:r>
          </w:p>
        </w:tc>
        <w:tc>
          <w:tcPr>
            <w:tcW w:w="720" w:type="dxa"/>
            <w:shd w:val="clear" w:color="000000" w:fill="B6D5E4"/>
            <w:vAlign w:val="bottom"/>
            <w:hideMark/>
          </w:tcPr>
          <w:p w14:paraId="3A295021"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100</w:t>
            </w:r>
          </w:p>
        </w:tc>
        <w:tc>
          <w:tcPr>
            <w:tcW w:w="760" w:type="dxa"/>
            <w:shd w:val="clear" w:color="000000" w:fill="B6D5E4"/>
            <w:vAlign w:val="bottom"/>
            <w:hideMark/>
          </w:tcPr>
          <w:p w14:paraId="5DF3D768"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95</w:t>
            </w:r>
          </w:p>
        </w:tc>
      </w:tr>
      <w:tr w:rsidR="007E365E" w:rsidRPr="00902595" w14:paraId="689C622F" w14:textId="77777777" w:rsidTr="007D1D77">
        <w:trPr>
          <w:trHeight w:val="315"/>
        </w:trPr>
        <w:tc>
          <w:tcPr>
            <w:tcW w:w="2580" w:type="dxa"/>
            <w:shd w:val="clear" w:color="auto" w:fill="auto"/>
            <w:vAlign w:val="bottom"/>
            <w:hideMark/>
          </w:tcPr>
          <w:p w14:paraId="608942C7" w14:textId="77777777" w:rsidR="007E365E" w:rsidRPr="00902595" w:rsidRDefault="007E365E" w:rsidP="007D1D77">
            <w:pPr>
              <w:keepNext/>
              <w:tabs>
                <w:tab w:val="clear" w:pos="567"/>
              </w:tabs>
              <w:spacing w:before="0" w:line="240" w:lineRule="auto"/>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Prisons</w:t>
            </w:r>
          </w:p>
        </w:tc>
        <w:tc>
          <w:tcPr>
            <w:tcW w:w="640" w:type="dxa"/>
            <w:shd w:val="clear" w:color="auto" w:fill="auto"/>
            <w:vAlign w:val="bottom"/>
            <w:hideMark/>
          </w:tcPr>
          <w:p w14:paraId="0CD3AAEE" w14:textId="77777777" w:rsidR="007E365E" w:rsidRPr="00902595" w:rsidRDefault="007E365E" w:rsidP="007D1D77">
            <w:pPr>
              <w:keepNext/>
              <w:tabs>
                <w:tab w:val="clear" w:pos="567"/>
              </w:tabs>
              <w:spacing w:before="0" w:line="240" w:lineRule="auto"/>
              <w:rPr>
                <w:rFonts w:ascii="Open Sans SemiBold" w:eastAsia="Times New Roman" w:hAnsi="Open Sans SemiBold" w:cs="Open Sans SemiBold"/>
                <w:color w:val="000000"/>
                <w:sz w:val="16"/>
                <w:szCs w:val="16"/>
                <w:lang w:eastAsia="en-AU"/>
              </w:rPr>
            </w:pPr>
          </w:p>
        </w:tc>
        <w:tc>
          <w:tcPr>
            <w:tcW w:w="720" w:type="dxa"/>
            <w:shd w:val="clear" w:color="auto" w:fill="auto"/>
            <w:vAlign w:val="bottom"/>
            <w:hideMark/>
          </w:tcPr>
          <w:p w14:paraId="2F512FBF"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c>
          <w:tcPr>
            <w:tcW w:w="720" w:type="dxa"/>
            <w:shd w:val="clear" w:color="auto" w:fill="auto"/>
            <w:vAlign w:val="bottom"/>
            <w:hideMark/>
          </w:tcPr>
          <w:p w14:paraId="58A19092"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c>
          <w:tcPr>
            <w:tcW w:w="720" w:type="dxa"/>
            <w:shd w:val="clear" w:color="auto" w:fill="auto"/>
            <w:vAlign w:val="bottom"/>
            <w:hideMark/>
          </w:tcPr>
          <w:p w14:paraId="4934173E"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c>
          <w:tcPr>
            <w:tcW w:w="720" w:type="dxa"/>
            <w:shd w:val="clear" w:color="auto" w:fill="auto"/>
            <w:vAlign w:val="bottom"/>
            <w:hideMark/>
          </w:tcPr>
          <w:p w14:paraId="6E6C7612"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c>
          <w:tcPr>
            <w:tcW w:w="720" w:type="dxa"/>
            <w:shd w:val="clear" w:color="auto" w:fill="auto"/>
            <w:vAlign w:val="bottom"/>
            <w:hideMark/>
          </w:tcPr>
          <w:p w14:paraId="51FA747E"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c>
          <w:tcPr>
            <w:tcW w:w="720" w:type="dxa"/>
            <w:shd w:val="clear" w:color="auto" w:fill="auto"/>
            <w:vAlign w:val="bottom"/>
            <w:hideMark/>
          </w:tcPr>
          <w:p w14:paraId="1053EB9B"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c>
          <w:tcPr>
            <w:tcW w:w="720" w:type="dxa"/>
            <w:shd w:val="clear" w:color="auto" w:fill="auto"/>
            <w:vAlign w:val="bottom"/>
            <w:hideMark/>
          </w:tcPr>
          <w:p w14:paraId="7E824703"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c>
          <w:tcPr>
            <w:tcW w:w="760" w:type="dxa"/>
            <w:shd w:val="clear" w:color="auto" w:fill="auto"/>
            <w:vAlign w:val="bottom"/>
            <w:hideMark/>
          </w:tcPr>
          <w:p w14:paraId="66EB36A6" w14:textId="77777777" w:rsidR="007E365E" w:rsidRPr="00902595" w:rsidRDefault="007E365E" w:rsidP="007D1D77">
            <w:pPr>
              <w:keepNext/>
              <w:tabs>
                <w:tab w:val="clear" w:pos="567"/>
              </w:tabs>
              <w:spacing w:before="0" w:line="240" w:lineRule="auto"/>
              <w:jc w:val="right"/>
              <w:rPr>
                <w:rFonts w:ascii="Times New Roman" w:eastAsia="Times New Roman" w:hAnsi="Times New Roman" w:cs="Times New Roman"/>
                <w:szCs w:val="20"/>
                <w:lang w:eastAsia="en-AU"/>
              </w:rPr>
            </w:pPr>
          </w:p>
        </w:tc>
      </w:tr>
      <w:tr w:rsidR="007E365E" w:rsidRPr="00902595" w14:paraId="0516912F" w14:textId="77777777" w:rsidTr="007D1D77">
        <w:trPr>
          <w:trHeight w:val="315"/>
        </w:trPr>
        <w:tc>
          <w:tcPr>
            <w:tcW w:w="2580" w:type="dxa"/>
            <w:shd w:val="clear" w:color="auto" w:fill="auto"/>
            <w:vAlign w:val="bottom"/>
            <w:hideMark/>
          </w:tcPr>
          <w:p w14:paraId="526F83C8"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Equal per capita</w:t>
            </w:r>
          </w:p>
        </w:tc>
        <w:tc>
          <w:tcPr>
            <w:tcW w:w="640" w:type="dxa"/>
            <w:shd w:val="clear" w:color="auto" w:fill="auto"/>
            <w:vAlign w:val="bottom"/>
            <w:hideMark/>
          </w:tcPr>
          <w:p w14:paraId="1B1F8047"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218</w:t>
            </w:r>
          </w:p>
        </w:tc>
        <w:tc>
          <w:tcPr>
            <w:tcW w:w="720" w:type="dxa"/>
            <w:shd w:val="clear" w:color="auto" w:fill="auto"/>
            <w:vAlign w:val="bottom"/>
            <w:hideMark/>
          </w:tcPr>
          <w:p w14:paraId="2288D77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218</w:t>
            </w:r>
          </w:p>
        </w:tc>
        <w:tc>
          <w:tcPr>
            <w:tcW w:w="720" w:type="dxa"/>
            <w:shd w:val="clear" w:color="auto" w:fill="auto"/>
            <w:vAlign w:val="bottom"/>
            <w:hideMark/>
          </w:tcPr>
          <w:p w14:paraId="76BFE35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218</w:t>
            </w:r>
          </w:p>
        </w:tc>
        <w:tc>
          <w:tcPr>
            <w:tcW w:w="720" w:type="dxa"/>
            <w:shd w:val="clear" w:color="auto" w:fill="auto"/>
            <w:vAlign w:val="bottom"/>
            <w:hideMark/>
          </w:tcPr>
          <w:p w14:paraId="3A81C0B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218</w:t>
            </w:r>
          </w:p>
        </w:tc>
        <w:tc>
          <w:tcPr>
            <w:tcW w:w="720" w:type="dxa"/>
            <w:shd w:val="clear" w:color="auto" w:fill="auto"/>
            <w:vAlign w:val="bottom"/>
            <w:hideMark/>
          </w:tcPr>
          <w:p w14:paraId="1ECB488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218</w:t>
            </w:r>
          </w:p>
        </w:tc>
        <w:tc>
          <w:tcPr>
            <w:tcW w:w="720" w:type="dxa"/>
            <w:shd w:val="clear" w:color="auto" w:fill="auto"/>
            <w:vAlign w:val="bottom"/>
            <w:hideMark/>
          </w:tcPr>
          <w:p w14:paraId="77AB5722"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218</w:t>
            </w:r>
          </w:p>
        </w:tc>
        <w:tc>
          <w:tcPr>
            <w:tcW w:w="720" w:type="dxa"/>
            <w:shd w:val="clear" w:color="auto" w:fill="auto"/>
            <w:vAlign w:val="bottom"/>
            <w:hideMark/>
          </w:tcPr>
          <w:p w14:paraId="033AB49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218</w:t>
            </w:r>
          </w:p>
        </w:tc>
        <w:tc>
          <w:tcPr>
            <w:tcW w:w="720" w:type="dxa"/>
            <w:shd w:val="clear" w:color="auto" w:fill="auto"/>
            <w:vAlign w:val="bottom"/>
            <w:hideMark/>
          </w:tcPr>
          <w:p w14:paraId="7E2F5E8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218</w:t>
            </w:r>
          </w:p>
        </w:tc>
        <w:tc>
          <w:tcPr>
            <w:tcW w:w="760" w:type="dxa"/>
            <w:shd w:val="clear" w:color="auto" w:fill="auto"/>
            <w:vAlign w:val="bottom"/>
            <w:hideMark/>
          </w:tcPr>
          <w:p w14:paraId="7A4A07B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218</w:t>
            </w:r>
          </w:p>
        </w:tc>
      </w:tr>
      <w:tr w:rsidR="007E365E" w:rsidRPr="00902595" w14:paraId="59947BA0" w14:textId="77777777" w:rsidTr="007D1D77">
        <w:trPr>
          <w:trHeight w:val="315"/>
        </w:trPr>
        <w:tc>
          <w:tcPr>
            <w:tcW w:w="2580" w:type="dxa"/>
            <w:shd w:val="clear" w:color="auto" w:fill="auto"/>
            <w:vAlign w:val="bottom"/>
            <w:hideMark/>
          </w:tcPr>
          <w:p w14:paraId="4DCC773D"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Indigenous status</w:t>
            </w:r>
          </w:p>
        </w:tc>
        <w:tc>
          <w:tcPr>
            <w:tcW w:w="640" w:type="dxa"/>
            <w:shd w:val="clear" w:color="auto" w:fill="auto"/>
            <w:noWrap/>
            <w:vAlign w:val="bottom"/>
            <w:hideMark/>
          </w:tcPr>
          <w:p w14:paraId="38073DB8"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08D79E87"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-42</w:t>
            </w:r>
          </w:p>
        </w:tc>
        <w:tc>
          <w:tcPr>
            <w:tcW w:w="720" w:type="dxa"/>
            <w:shd w:val="clear" w:color="auto" w:fill="auto"/>
            <w:noWrap/>
            <w:vAlign w:val="bottom"/>
            <w:hideMark/>
          </w:tcPr>
          <w:p w14:paraId="52E95CF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23</w:t>
            </w:r>
          </w:p>
        </w:tc>
        <w:tc>
          <w:tcPr>
            <w:tcW w:w="720" w:type="dxa"/>
            <w:shd w:val="clear" w:color="auto" w:fill="auto"/>
            <w:noWrap/>
            <w:vAlign w:val="bottom"/>
            <w:hideMark/>
          </w:tcPr>
          <w:p w14:paraId="5DA1155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13</w:t>
            </w:r>
          </w:p>
        </w:tc>
        <w:tc>
          <w:tcPr>
            <w:tcW w:w="720" w:type="dxa"/>
            <w:shd w:val="clear" w:color="auto" w:fill="auto"/>
            <w:noWrap/>
            <w:vAlign w:val="bottom"/>
            <w:hideMark/>
          </w:tcPr>
          <w:p w14:paraId="07BDD7F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-14</w:t>
            </w:r>
          </w:p>
        </w:tc>
        <w:tc>
          <w:tcPr>
            <w:tcW w:w="720" w:type="dxa"/>
            <w:shd w:val="clear" w:color="auto" w:fill="auto"/>
            <w:noWrap/>
            <w:vAlign w:val="bottom"/>
            <w:hideMark/>
          </w:tcPr>
          <w:p w14:paraId="1912311D"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40</w:t>
            </w:r>
          </w:p>
        </w:tc>
        <w:tc>
          <w:tcPr>
            <w:tcW w:w="720" w:type="dxa"/>
            <w:shd w:val="clear" w:color="auto" w:fill="auto"/>
            <w:noWrap/>
            <w:vAlign w:val="bottom"/>
            <w:hideMark/>
          </w:tcPr>
          <w:p w14:paraId="69F2E2F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-25</w:t>
            </w:r>
          </w:p>
        </w:tc>
        <w:tc>
          <w:tcPr>
            <w:tcW w:w="720" w:type="dxa"/>
            <w:shd w:val="clear" w:color="auto" w:fill="auto"/>
            <w:noWrap/>
            <w:vAlign w:val="bottom"/>
            <w:hideMark/>
          </w:tcPr>
          <w:p w14:paraId="25FA6890"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484</w:t>
            </w:r>
          </w:p>
        </w:tc>
        <w:tc>
          <w:tcPr>
            <w:tcW w:w="760" w:type="dxa"/>
            <w:shd w:val="clear" w:color="auto" w:fill="auto"/>
            <w:noWrap/>
            <w:vAlign w:val="bottom"/>
            <w:hideMark/>
          </w:tcPr>
          <w:p w14:paraId="128A2AB1"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59F9D0CA" w14:textId="77777777" w:rsidTr="007D1D77">
        <w:trPr>
          <w:trHeight w:val="315"/>
        </w:trPr>
        <w:tc>
          <w:tcPr>
            <w:tcW w:w="2580" w:type="dxa"/>
            <w:shd w:val="clear" w:color="auto" w:fill="auto"/>
            <w:vAlign w:val="bottom"/>
            <w:hideMark/>
          </w:tcPr>
          <w:p w14:paraId="3057933A"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Population dispersion</w:t>
            </w:r>
          </w:p>
        </w:tc>
        <w:tc>
          <w:tcPr>
            <w:tcW w:w="640" w:type="dxa"/>
            <w:shd w:val="clear" w:color="auto" w:fill="auto"/>
            <w:noWrap/>
            <w:vAlign w:val="bottom"/>
            <w:hideMark/>
          </w:tcPr>
          <w:p w14:paraId="2AB7D357"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-9</w:t>
            </w:r>
          </w:p>
        </w:tc>
        <w:tc>
          <w:tcPr>
            <w:tcW w:w="720" w:type="dxa"/>
            <w:shd w:val="clear" w:color="auto" w:fill="auto"/>
            <w:noWrap/>
            <w:vAlign w:val="bottom"/>
            <w:hideMark/>
          </w:tcPr>
          <w:p w14:paraId="69337E1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w:t>
            </w:r>
          </w:p>
        </w:tc>
        <w:tc>
          <w:tcPr>
            <w:tcW w:w="720" w:type="dxa"/>
            <w:shd w:val="clear" w:color="auto" w:fill="auto"/>
            <w:noWrap/>
            <w:vAlign w:val="bottom"/>
            <w:hideMark/>
          </w:tcPr>
          <w:p w14:paraId="7778BE6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6E2E2A6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11</w:t>
            </w:r>
          </w:p>
        </w:tc>
        <w:tc>
          <w:tcPr>
            <w:tcW w:w="720" w:type="dxa"/>
            <w:shd w:val="clear" w:color="auto" w:fill="auto"/>
            <w:noWrap/>
            <w:vAlign w:val="bottom"/>
            <w:hideMark/>
          </w:tcPr>
          <w:p w14:paraId="7C1E4E5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31B163F6"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7D5498E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-10</w:t>
            </w:r>
          </w:p>
        </w:tc>
        <w:tc>
          <w:tcPr>
            <w:tcW w:w="720" w:type="dxa"/>
            <w:shd w:val="clear" w:color="auto" w:fill="auto"/>
            <w:noWrap/>
            <w:vAlign w:val="bottom"/>
            <w:hideMark/>
          </w:tcPr>
          <w:p w14:paraId="317B9DA8"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315</w:t>
            </w:r>
          </w:p>
        </w:tc>
        <w:tc>
          <w:tcPr>
            <w:tcW w:w="760" w:type="dxa"/>
            <w:shd w:val="clear" w:color="auto" w:fill="auto"/>
            <w:noWrap/>
            <w:vAlign w:val="bottom"/>
            <w:hideMark/>
          </w:tcPr>
          <w:p w14:paraId="6E5BFCB0"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613131F7" w14:textId="77777777" w:rsidTr="007D1D77">
        <w:trPr>
          <w:trHeight w:val="315"/>
        </w:trPr>
        <w:tc>
          <w:tcPr>
            <w:tcW w:w="2580" w:type="dxa"/>
            <w:shd w:val="clear" w:color="auto" w:fill="auto"/>
            <w:vAlign w:val="bottom"/>
            <w:hideMark/>
          </w:tcPr>
          <w:p w14:paraId="5FCBC21A"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Indigenous disadvantage</w:t>
            </w:r>
          </w:p>
        </w:tc>
        <w:tc>
          <w:tcPr>
            <w:tcW w:w="640" w:type="dxa"/>
            <w:shd w:val="clear" w:color="auto" w:fill="auto"/>
            <w:noWrap/>
            <w:vAlign w:val="bottom"/>
            <w:hideMark/>
          </w:tcPr>
          <w:p w14:paraId="26E24ECA"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52F5721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2D2622D0"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c>
          <w:tcPr>
            <w:tcW w:w="720" w:type="dxa"/>
            <w:shd w:val="clear" w:color="auto" w:fill="auto"/>
            <w:noWrap/>
            <w:vAlign w:val="bottom"/>
            <w:hideMark/>
          </w:tcPr>
          <w:p w14:paraId="2B124C3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6</w:t>
            </w:r>
          </w:p>
        </w:tc>
        <w:tc>
          <w:tcPr>
            <w:tcW w:w="720" w:type="dxa"/>
            <w:shd w:val="clear" w:color="auto" w:fill="auto"/>
            <w:noWrap/>
            <w:vAlign w:val="bottom"/>
            <w:hideMark/>
          </w:tcPr>
          <w:p w14:paraId="7802E532"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4</w:t>
            </w:r>
          </w:p>
        </w:tc>
        <w:tc>
          <w:tcPr>
            <w:tcW w:w="720" w:type="dxa"/>
            <w:shd w:val="clear" w:color="auto" w:fill="auto"/>
            <w:noWrap/>
            <w:vAlign w:val="bottom"/>
            <w:hideMark/>
          </w:tcPr>
          <w:p w14:paraId="221F9BBD"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-27</w:t>
            </w:r>
          </w:p>
        </w:tc>
        <w:tc>
          <w:tcPr>
            <w:tcW w:w="720" w:type="dxa"/>
            <w:shd w:val="clear" w:color="auto" w:fill="auto"/>
            <w:noWrap/>
            <w:vAlign w:val="bottom"/>
            <w:hideMark/>
          </w:tcPr>
          <w:p w14:paraId="31A65CC8"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56422432"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-8</w:t>
            </w:r>
          </w:p>
        </w:tc>
        <w:tc>
          <w:tcPr>
            <w:tcW w:w="760" w:type="dxa"/>
            <w:shd w:val="clear" w:color="auto" w:fill="auto"/>
            <w:noWrap/>
            <w:vAlign w:val="bottom"/>
            <w:hideMark/>
          </w:tcPr>
          <w:p w14:paraId="42736D3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1975D192" w14:textId="77777777" w:rsidTr="007D1D77">
        <w:trPr>
          <w:trHeight w:val="315"/>
        </w:trPr>
        <w:tc>
          <w:tcPr>
            <w:tcW w:w="2580" w:type="dxa"/>
            <w:shd w:val="clear" w:color="auto" w:fill="auto"/>
            <w:vAlign w:val="bottom"/>
            <w:hideMark/>
          </w:tcPr>
          <w:p w14:paraId="3756B4E9"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Non-Indigenous disadvantage</w:t>
            </w:r>
          </w:p>
        </w:tc>
        <w:tc>
          <w:tcPr>
            <w:tcW w:w="640" w:type="dxa"/>
            <w:shd w:val="clear" w:color="auto" w:fill="auto"/>
            <w:noWrap/>
            <w:vAlign w:val="bottom"/>
            <w:hideMark/>
          </w:tcPr>
          <w:p w14:paraId="146722D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53B1586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5599DC6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0AAA66D1"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-7</w:t>
            </w:r>
          </w:p>
        </w:tc>
        <w:tc>
          <w:tcPr>
            <w:tcW w:w="720" w:type="dxa"/>
            <w:shd w:val="clear" w:color="auto" w:fill="auto"/>
            <w:noWrap/>
            <w:vAlign w:val="bottom"/>
            <w:hideMark/>
          </w:tcPr>
          <w:p w14:paraId="46372742"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16</w:t>
            </w:r>
          </w:p>
        </w:tc>
        <w:tc>
          <w:tcPr>
            <w:tcW w:w="720" w:type="dxa"/>
            <w:shd w:val="clear" w:color="auto" w:fill="auto"/>
            <w:noWrap/>
            <w:vAlign w:val="bottom"/>
            <w:hideMark/>
          </w:tcPr>
          <w:p w14:paraId="4CE9E5D1"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6</w:t>
            </w:r>
          </w:p>
        </w:tc>
        <w:tc>
          <w:tcPr>
            <w:tcW w:w="720" w:type="dxa"/>
            <w:shd w:val="clear" w:color="auto" w:fill="auto"/>
            <w:noWrap/>
            <w:vAlign w:val="bottom"/>
            <w:hideMark/>
          </w:tcPr>
          <w:p w14:paraId="442270C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-38</w:t>
            </w:r>
          </w:p>
        </w:tc>
        <w:tc>
          <w:tcPr>
            <w:tcW w:w="720" w:type="dxa"/>
            <w:shd w:val="clear" w:color="auto" w:fill="auto"/>
            <w:noWrap/>
            <w:vAlign w:val="bottom"/>
            <w:hideMark/>
          </w:tcPr>
          <w:p w14:paraId="784D1A58"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-27</w:t>
            </w:r>
          </w:p>
        </w:tc>
        <w:tc>
          <w:tcPr>
            <w:tcW w:w="760" w:type="dxa"/>
            <w:shd w:val="clear" w:color="auto" w:fill="auto"/>
            <w:noWrap/>
            <w:vAlign w:val="bottom"/>
            <w:hideMark/>
          </w:tcPr>
          <w:p w14:paraId="40F88792"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6B254581" w14:textId="77777777" w:rsidTr="007D1D77">
        <w:trPr>
          <w:trHeight w:val="315"/>
        </w:trPr>
        <w:tc>
          <w:tcPr>
            <w:tcW w:w="2580" w:type="dxa"/>
            <w:shd w:val="clear" w:color="auto" w:fill="auto"/>
            <w:vAlign w:val="bottom"/>
            <w:hideMark/>
          </w:tcPr>
          <w:p w14:paraId="57F5863C"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Age</w:t>
            </w:r>
          </w:p>
        </w:tc>
        <w:tc>
          <w:tcPr>
            <w:tcW w:w="640" w:type="dxa"/>
            <w:shd w:val="clear" w:color="auto" w:fill="auto"/>
            <w:noWrap/>
            <w:vAlign w:val="bottom"/>
            <w:hideMark/>
          </w:tcPr>
          <w:p w14:paraId="012B8E7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7F05C09F"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1ABB9FF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2AF4335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7561CF4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-5</w:t>
            </w:r>
          </w:p>
        </w:tc>
        <w:tc>
          <w:tcPr>
            <w:tcW w:w="720" w:type="dxa"/>
            <w:shd w:val="clear" w:color="auto" w:fill="auto"/>
            <w:noWrap/>
            <w:vAlign w:val="bottom"/>
            <w:hideMark/>
          </w:tcPr>
          <w:p w14:paraId="445954EB"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321BA6E5"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69DE6BC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58</w:t>
            </w:r>
          </w:p>
        </w:tc>
        <w:tc>
          <w:tcPr>
            <w:tcW w:w="760" w:type="dxa"/>
            <w:shd w:val="clear" w:color="auto" w:fill="auto"/>
            <w:noWrap/>
            <w:vAlign w:val="bottom"/>
            <w:hideMark/>
          </w:tcPr>
          <w:p w14:paraId="14D93079"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6BFC5748" w14:textId="77777777" w:rsidTr="007D1D77">
        <w:trPr>
          <w:trHeight w:val="315"/>
        </w:trPr>
        <w:tc>
          <w:tcPr>
            <w:tcW w:w="2580" w:type="dxa"/>
            <w:shd w:val="clear" w:color="auto" w:fill="auto"/>
            <w:vAlign w:val="bottom"/>
            <w:hideMark/>
          </w:tcPr>
          <w:p w14:paraId="0FE864DF" w14:textId="77777777" w:rsidR="007E365E" w:rsidRPr="00902595" w:rsidRDefault="007E365E" w:rsidP="007D1D77">
            <w:pPr>
              <w:keepNext/>
              <w:tabs>
                <w:tab w:val="clear" w:pos="567"/>
              </w:tabs>
              <w:spacing w:before="0" w:line="240" w:lineRule="auto"/>
              <w:ind w:firstLineChars="100" w:firstLine="160"/>
              <w:rPr>
                <w:rFonts w:eastAsia="Times New Roman" w:cs="Open Sans Light"/>
                <w:color w:val="000000"/>
                <w:sz w:val="16"/>
                <w:szCs w:val="16"/>
                <w:lang w:eastAsia="en-AU"/>
              </w:rPr>
            </w:pPr>
            <w:r w:rsidRPr="00902595">
              <w:rPr>
                <w:rFonts w:eastAsia="Times New Roman" w:cs="Open Sans Light"/>
                <w:color w:val="000000"/>
                <w:sz w:val="16"/>
                <w:szCs w:val="16"/>
                <w:lang w:eastAsia="en-AU"/>
              </w:rPr>
              <w:t>Wages</w:t>
            </w:r>
          </w:p>
        </w:tc>
        <w:tc>
          <w:tcPr>
            <w:tcW w:w="640" w:type="dxa"/>
            <w:shd w:val="clear" w:color="auto" w:fill="auto"/>
            <w:noWrap/>
            <w:vAlign w:val="bottom"/>
            <w:hideMark/>
          </w:tcPr>
          <w:p w14:paraId="61726DFD"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7DF27ED7"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-1</w:t>
            </w:r>
          </w:p>
        </w:tc>
        <w:tc>
          <w:tcPr>
            <w:tcW w:w="720" w:type="dxa"/>
            <w:shd w:val="clear" w:color="auto" w:fill="auto"/>
            <w:noWrap/>
            <w:vAlign w:val="bottom"/>
            <w:hideMark/>
          </w:tcPr>
          <w:p w14:paraId="5AF8E89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-2</w:t>
            </w:r>
          </w:p>
        </w:tc>
        <w:tc>
          <w:tcPr>
            <w:tcW w:w="720" w:type="dxa"/>
            <w:shd w:val="clear" w:color="auto" w:fill="auto"/>
            <w:noWrap/>
            <w:vAlign w:val="bottom"/>
            <w:hideMark/>
          </w:tcPr>
          <w:p w14:paraId="19FF53F4"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5</w:t>
            </w:r>
          </w:p>
        </w:tc>
        <w:tc>
          <w:tcPr>
            <w:tcW w:w="720" w:type="dxa"/>
            <w:shd w:val="clear" w:color="auto" w:fill="auto"/>
            <w:noWrap/>
            <w:vAlign w:val="bottom"/>
            <w:hideMark/>
          </w:tcPr>
          <w:p w14:paraId="7344777A"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-6</w:t>
            </w:r>
          </w:p>
        </w:tc>
        <w:tc>
          <w:tcPr>
            <w:tcW w:w="720" w:type="dxa"/>
            <w:shd w:val="clear" w:color="auto" w:fill="auto"/>
            <w:noWrap/>
            <w:vAlign w:val="bottom"/>
            <w:hideMark/>
          </w:tcPr>
          <w:p w14:paraId="24A87A3C"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-8</w:t>
            </w:r>
          </w:p>
        </w:tc>
        <w:tc>
          <w:tcPr>
            <w:tcW w:w="720" w:type="dxa"/>
            <w:shd w:val="clear" w:color="auto" w:fill="auto"/>
            <w:noWrap/>
            <w:vAlign w:val="bottom"/>
            <w:hideMark/>
          </w:tcPr>
          <w:p w14:paraId="6E660D76"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w:t>
            </w:r>
          </w:p>
        </w:tc>
        <w:tc>
          <w:tcPr>
            <w:tcW w:w="720" w:type="dxa"/>
            <w:shd w:val="clear" w:color="auto" w:fill="auto"/>
            <w:noWrap/>
            <w:vAlign w:val="bottom"/>
            <w:hideMark/>
          </w:tcPr>
          <w:p w14:paraId="5C1F5483"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33</w:t>
            </w:r>
          </w:p>
        </w:tc>
        <w:tc>
          <w:tcPr>
            <w:tcW w:w="760" w:type="dxa"/>
            <w:shd w:val="clear" w:color="auto" w:fill="auto"/>
            <w:noWrap/>
            <w:vAlign w:val="bottom"/>
            <w:hideMark/>
          </w:tcPr>
          <w:p w14:paraId="38FA0E1E" w14:textId="77777777" w:rsidR="007E365E" w:rsidRPr="00902595"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902595">
              <w:rPr>
                <w:rFonts w:eastAsia="Times New Roman" w:cs="Open Sans Light"/>
                <w:color w:val="000000"/>
                <w:sz w:val="16"/>
                <w:szCs w:val="16"/>
                <w:lang w:eastAsia="en-AU"/>
              </w:rPr>
              <w:t>0</w:t>
            </w:r>
          </w:p>
        </w:tc>
      </w:tr>
      <w:tr w:rsidR="007E365E" w:rsidRPr="00902595" w14:paraId="008F536A" w14:textId="77777777" w:rsidTr="007D1D77">
        <w:trPr>
          <w:trHeight w:val="315"/>
        </w:trPr>
        <w:tc>
          <w:tcPr>
            <w:tcW w:w="2580" w:type="dxa"/>
            <w:shd w:val="clear" w:color="000000" w:fill="B6D5E4"/>
            <w:vAlign w:val="bottom"/>
            <w:hideMark/>
          </w:tcPr>
          <w:p w14:paraId="4AAD62D0" w14:textId="77777777" w:rsidR="007E365E" w:rsidRPr="00902595" w:rsidRDefault="007E365E" w:rsidP="007D1D77">
            <w:pPr>
              <w:keepNext/>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Assessed expenses</w:t>
            </w:r>
          </w:p>
        </w:tc>
        <w:tc>
          <w:tcPr>
            <w:tcW w:w="640" w:type="dxa"/>
            <w:shd w:val="clear" w:color="000000" w:fill="B6D5E4"/>
            <w:vAlign w:val="bottom"/>
            <w:hideMark/>
          </w:tcPr>
          <w:p w14:paraId="78B49090"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213</w:t>
            </w:r>
          </w:p>
        </w:tc>
        <w:tc>
          <w:tcPr>
            <w:tcW w:w="720" w:type="dxa"/>
            <w:shd w:val="clear" w:color="000000" w:fill="B6D5E4"/>
            <w:vAlign w:val="bottom"/>
            <w:hideMark/>
          </w:tcPr>
          <w:p w14:paraId="421ADDB2"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172</w:t>
            </w:r>
          </w:p>
        </w:tc>
        <w:tc>
          <w:tcPr>
            <w:tcW w:w="720" w:type="dxa"/>
            <w:shd w:val="clear" w:color="000000" w:fill="B6D5E4"/>
            <w:vAlign w:val="bottom"/>
            <w:hideMark/>
          </w:tcPr>
          <w:p w14:paraId="1BB7D965"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238</w:t>
            </w:r>
          </w:p>
        </w:tc>
        <w:tc>
          <w:tcPr>
            <w:tcW w:w="720" w:type="dxa"/>
            <w:shd w:val="clear" w:color="000000" w:fill="B6D5E4"/>
            <w:vAlign w:val="bottom"/>
            <w:hideMark/>
          </w:tcPr>
          <w:p w14:paraId="771BC876"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247</w:t>
            </w:r>
          </w:p>
        </w:tc>
        <w:tc>
          <w:tcPr>
            <w:tcW w:w="720" w:type="dxa"/>
            <w:shd w:val="clear" w:color="000000" w:fill="B6D5E4"/>
            <w:vAlign w:val="bottom"/>
            <w:hideMark/>
          </w:tcPr>
          <w:p w14:paraId="7FE64FB9"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212</w:t>
            </w:r>
          </w:p>
        </w:tc>
        <w:tc>
          <w:tcPr>
            <w:tcW w:w="720" w:type="dxa"/>
            <w:shd w:val="clear" w:color="000000" w:fill="B6D5E4"/>
            <w:vAlign w:val="bottom"/>
            <w:hideMark/>
          </w:tcPr>
          <w:p w14:paraId="418D6BF6"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230</w:t>
            </w:r>
          </w:p>
        </w:tc>
        <w:tc>
          <w:tcPr>
            <w:tcW w:w="720" w:type="dxa"/>
            <w:shd w:val="clear" w:color="000000" w:fill="B6D5E4"/>
            <w:vAlign w:val="bottom"/>
            <w:hideMark/>
          </w:tcPr>
          <w:p w14:paraId="69738AAA"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148</w:t>
            </w:r>
          </w:p>
        </w:tc>
        <w:tc>
          <w:tcPr>
            <w:tcW w:w="720" w:type="dxa"/>
            <w:shd w:val="clear" w:color="000000" w:fill="B6D5E4"/>
            <w:vAlign w:val="bottom"/>
            <w:hideMark/>
          </w:tcPr>
          <w:p w14:paraId="109B94D8"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1,073</w:t>
            </w:r>
          </w:p>
        </w:tc>
        <w:tc>
          <w:tcPr>
            <w:tcW w:w="760" w:type="dxa"/>
            <w:shd w:val="clear" w:color="000000" w:fill="B6D5E4"/>
            <w:vAlign w:val="bottom"/>
            <w:hideMark/>
          </w:tcPr>
          <w:p w14:paraId="3BA9EA53"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02595">
              <w:rPr>
                <w:rFonts w:ascii="Open Sans SemiBold" w:eastAsia="Times New Roman" w:hAnsi="Open Sans SemiBold" w:cs="Open Sans SemiBold"/>
                <w:color w:val="000000"/>
                <w:sz w:val="16"/>
                <w:szCs w:val="16"/>
                <w:lang w:eastAsia="en-AU"/>
              </w:rPr>
              <w:t>218</w:t>
            </w:r>
          </w:p>
        </w:tc>
      </w:tr>
      <w:tr w:rsidR="007E365E" w:rsidRPr="00902595" w14:paraId="379B9BE6" w14:textId="77777777" w:rsidTr="007D1D77">
        <w:trPr>
          <w:trHeight w:val="315"/>
        </w:trPr>
        <w:tc>
          <w:tcPr>
            <w:tcW w:w="2580" w:type="dxa"/>
            <w:shd w:val="clear" w:color="000000" w:fill="D6E7F0"/>
            <w:vAlign w:val="bottom"/>
            <w:hideMark/>
          </w:tcPr>
          <w:p w14:paraId="157FB425" w14:textId="77777777" w:rsidR="007E365E" w:rsidRPr="00902595"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Total assessed expenses</w:t>
            </w:r>
          </w:p>
        </w:tc>
        <w:tc>
          <w:tcPr>
            <w:tcW w:w="640" w:type="dxa"/>
            <w:shd w:val="clear" w:color="000000" w:fill="D6E7F0"/>
            <w:vAlign w:val="bottom"/>
            <w:hideMark/>
          </w:tcPr>
          <w:p w14:paraId="5F2EB07B"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853</w:t>
            </w:r>
          </w:p>
        </w:tc>
        <w:tc>
          <w:tcPr>
            <w:tcW w:w="720" w:type="dxa"/>
            <w:shd w:val="clear" w:color="000000" w:fill="D6E7F0"/>
            <w:vAlign w:val="bottom"/>
            <w:hideMark/>
          </w:tcPr>
          <w:p w14:paraId="1D353724"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765</w:t>
            </w:r>
          </w:p>
        </w:tc>
        <w:tc>
          <w:tcPr>
            <w:tcW w:w="720" w:type="dxa"/>
            <w:shd w:val="clear" w:color="000000" w:fill="D6E7F0"/>
            <w:vAlign w:val="bottom"/>
            <w:hideMark/>
          </w:tcPr>
          <w:p w14:paraId="1D9110C9"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930</w:t>
            </w:r>
          </w:p>
        </w:tc>
        <w:tc>
          <w:tcPr>
            <w:tcW w:w="720" w:type="dxa"/>
            <w:shd w:val="clear" w:color="000000" w:fill="D6E7F0"/>
            <w:vAlign w:val="bottom"/>
            <w:hideMark/>
          </w:tcPr>
          <w:p w14:paraId="613DA50B"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959</w:t>
            </w:r>
          </w:p>
        </w:tc>
        <w:tc>
          <w:tcPr>
            <w:tcW w:w="720" w:type="dxa"/>
            <w:shd w:val="clear" w:color="000000" w:fill="D6E7F0"/>
            <w:vAlign w:val="bottom"/>
            <w:hideMark/>
          </w:tcPr>
          <w:p w14:paraId="14F16F6A"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877</w:t>
            </w:r>
          </w:p>
        </w:tc>
        <w:tc>
          <w:tcPr>
            <w:tcW w:w="720" w:type="dxa"/>
            <w:shd w:val="clear" w:color="000000" w:fill="D6E7F0"/>
            <w:vAlign w:val="bottom"/>
            <w:hideMark/>
          </w:tcPr>
          <w:p w14:paraId="0D4BF5E0"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996</w:t>
            </w:r>
          </w:p>
        </w:tc>
        <w:tc>
          <w:tcPr>
            <w:tcW w:w="720" w:type="dxa"/>
            <w:shd w:val="clear" w:color="000000" w:fill="D6E7F0"/>
            <w:vAlign w:val="bottom"/>
            <w:hideMark/>
          </w:tcPr>
          <w:p w14:paraId="362446FA"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698</w:t>
            </w:r>
          </w:p>
        </w:tc>
        <w:tc>
          <w:tcPr>
            <w:tcW w:w="720" w:type="dxa"/>
            <w:shd w:val="clear" w:color="000000" w:fill="D6E7F0"/>
            <w:vAlign w:val="bottom"/>
            <w:hideMark/>
          </w:tcPr>
          <w:p w14:paraId="28C3ABEE"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2,811</w:t>
            </w:r>
          </w:p>
        </w:tc>
        <w:tc>
          <w:tcPr>
            <w:tcW w:w="760" w:type="dxa"/>
            <w:shd w:val="clear" w:color="000000" w:fill="D6E7F0"/>
            <w:vAlign w:val="bottom"/>
            <w:hideMark/>
          </w:tcPr>
          <w:p w14:paraId="75A78B65" w14:textId="77777777" w:rsidR="007E365E" w:rsidRPr="00902595"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902595">
              <w:rPr>
                <w:rFonts w:ascii="Open Sans SemiBold" w:eastAsia="Times New Roman" w:hAnsi="Open Sans SemiBold" w:cs="Open Sans SemiBold"/>
                <w:sz w:val="16"/>
                <w:szCs w:val="16"/>
                <w:lang w:eastAsia="en-AU"/>
              </w:rPr>
              <w:t>878</w:t>
            </w:r>
          </w:p>
        </w:tc>
      </w:tr>
    </w:tbl>
    <w:p w14:paraId="67B8AA48" w14:textId="77777777" w:rsidR="007E365E" w:rsidRPr="00173B02" w:rsidRDefault="007E365E" w:rsidP="007E365E">
      <w:pPr>
        <w:pStyle w:val="CGCTablenote"/>
        <w:keepNext/>
      </w:pPr>
      <w:r w:rsidRPr="00173B02">
        <w:t>Note:</w:t>
      </w:r>
      <w:r w:rsidRPr="00173B02">
        <w:tab/>
        <w:t>The EPC expenses and assessed expenses are total spending per capita. The amounts for each disability are redistributions from an EPC assessment.</w:t>
      </w:r>
    </w:p>
    <w:p w14:paraId="3269834B" w14:textId="77777777" w:rsidR="007E365E" w:rsidRPr="00173B02" w:rsidRDefault="007E365E" w:rsidP="007E365E">
      <w:pPr>
        <w:pStyle w:val="CGCTablenote"/>
        <w:keepNext/>
      </w:pPr>
      <w:r w:rsidRPr="00173B02">
        <w:t>Source:</w:t>
      </w:r>
      <w:r w:rsidRPr="00173B02">
        <w:tab/>
        <w:t>Commission calculation.</w:t>
      </w:r>
    </w:p>
    <w:p w14:paraId="14DEA6BF" w14:textId="77777777" w:rsidR="007E365E" w:rsidRDefault="007E365E" w:rsidP="007E365E">
      <w:bookmarkStart w:id="80" w:name="_Toc5893823"/>
      <w:bookmarkStart w:id="81" w:name="_Toc6487588"/>
      <w:bookmarkStart w:id="82" w:name="_Toc6487626"/>
      <w:bookmarkStart w:id="83" w:name="_Toc7442880"/>
      <w:bookmarkStart w:id="84" w:name="_Toc23500159"/>
      <w:r>
        <w:br w:type="page"/>
      </w:r>
    </w:p>
    <w:p w14:paraId="3CAFA057" w14:textId="77777777" w:rsidR="007E365E" w:rsidRPr="00173B02" w:rsidRDefault="007E365E" w:rsidP="007E365E">
      <w:pPr>
        <w:pStyle w:val="Heading3"/>
      </w:pPr>
      <w:r w:rsidRPr="00173B02">
        <w:lastRenderedPageBreak/>
        <w:t xml:space="preserve">Infrastructure </w:t>
      </w:r>
      <w:r>
        <w:t>a</w:t>
      </w:r>
      <w:r w:rsidRPr="00173B02">
        <w:t>ssessment</w:t>
      </w:r>
      <w:bookmarkEnd w:id="80"/>
      <w:bookmarkEnd w:id="81"/>
      <w:bookmarkEnd w:id="82"/>
      <w:bookmarkEnd w:id="83"/>
      <w:bookmarkEnd w:id="84"/>
    </w:p>
    <w:p w14:paraId="38A6F0DD" w14:textId="77777777" w:rsidR="007E365E" w:rsidRPr="00173B02" w:rsidRDefault="007E365E" w:rsidP="007E365E">
      <w:pPr>
        <w:pStyle w:val="CGCParaNumber"/>
      </w:pPr>
      <w:r w:rsidRPr="00173B02">
        <w:t>States require infrastructure to support service delivery. State infrastructure requirements are assessed in the Investment category. The main driver of investment in Justice related infrastructure is growth in the weighted number of justice service</w:t>
      </w:r>
      <w:r>
        <w:t xml:space="preserve"> </w:t>
      </w:r>
      <w:r w:rsidRPr="00173B02">
        <w:t xml:space="preserve">users, which is a combination of offenders, defendants and prisoners, and the general population using police services and other legal services. It is calculated </w:t>
      </w:r>
      <w:r>
        <w:t>using State’s shares of</w:t>
      </w:r>
      <w:r w:rsidRPr="00173B02">
        <w:t xml:space="preserve"> Justice assessed expenses excluding court and prison regional costs, wage costs and national capital influences.</w:t>
      </w:r>
    </w:p>
    <w:p w14:paraId="77731E28" w14:textId="77777777" w:rsidR="007E365E" w:rsidRPr="00173B02" w:rsidRDefault="007E365E" w:rsidP="007E365E">
      <w:pPr>
        <w:pStyle w:val="CGCParaNumber"/>
      </w:pPr>
      <w:r w:rsidRPr="00173B02">
        <w:t xml:space="preserve">Interstate differences in construction costs are also recognised. </w:t>
      </w:r>
    </w:p>
    <w:p w14:paraId="1658D680" w14:textId="77777777" w:rsidR="007E365E" w:rsidRPr="00173B02" w:rsidRDefault="007E365E" w:rsidP="007E365E">
      <w:pPr>
        <w:pStyle w:val="CGCParaNumber"/>
      </w:pPr>
      <w:r w:rsidRPr="00173B02">
        <w:t>For a description of the Investment assessment, see Chapter 24 Investment.</w:t>
      </w:r>
    </w:p>
    <w:p w14:paraId="6929AA9D" w14:textId="16D4A9FE" w:rsidR="007E365E" w:rsidRPr="00173B02" w:rsidRDefault="007E365E" w:rsidP="007E365E">
      <w:pPr>
        <w:pStyle w:val="Heading3"/>
      </w:pPr>
      <w:bookmarkStart w:id="85" w:name="_Toc23500160"/>
      <w:r w:rsidRPr="00173B02">
        <w:t>Other issues considered by the Commission</w:t>
      </w:r>
      <w:bookmarkEnd w:id="85"/>
    </w:p>
    <w:p w14:paraId="7E833920" w14:textId="77777777" w:rsidR="007E365E" w:rsidRPr="00173B02" w:rsidRDefault="007E365E" w:rsidP="007E365E">
      <w:pPr>
        <w:pStyle w:val="CGCParaNumber"/>
      </w:pPr>
      <w:r w:rsidRPr="00173B02">
        <w:t>There were a number of other issues considered by the Commission, largely in response to concerns raised by States. These issues related to the method for measuring existing disabilities or requests for new disabilities that were not included in the 2015 Review assessment. The main reasons for not assessing certain disabilities identified by States are:</w:t>
      </w:r>
    </w:p>
    <w:p w14:paraId="0B3376A4" w14:textId="77777777" w:rsidR="007E365E" w:rsidRPr="00850D12" w:rsidRDefault="007E365E" w:rsidP="007E365E">
      <w:pPr>
        <w:pStyle w:val="CGCBullet1"/>
        <w:numPr>
          <w:ilvl w:val="0"/>
          <w:numId w:val="18"/>
        </w:numPr>
        <w:ind w:left="924" w:hanging="357"/>
      </w:pPr>
      <w:r w:rsidRPr="00850D12">
        <w:t xml:space="preserve">the conceptual case for a disability has not been established </w:t>
      </w:r>
    </w:p>
    <w:p w14:paraId="505B285A" w14:textId="77777777" w:rsidR="007E365E" w:rsidRPr="00850D12" w:rsidRDefault="007E365E" w:rsidP="007E365E">
      <w:pPr>
        <w:pStyle w:val="CGCBullet1"/>
        <w:numPr>
          <w:ilvl w:val="0"/>
          <w:numId w:val="18"/>
        </w:numPr>
        <w:ind w:left="924" w:hanging="357"/>
      </w:pPr>
      <w:r w:rsidRPr="00850D12">
        <w:t>an assessment would not be material, that is, redistribute more than $35 per capita for any State</w:t>
      </w:r>
      <w:r w:rsidRPr="00A77844">
        <w:rPr>
          <w:rStyle w:val="FootnoteReference"/>
        </w:rPr>
        <w:footnoteReference w:id="10"/>
      </w:r>
    </w:p>
    <w:p w14:paraId="5427D611" w14:textId="77777777" w:rsidR="007E365E" w:rsidRPr="00850D12" w:rsidRDefault="007E365E" w:rsidP="007E365E">
      <w:pPr>
        <w:pStyle w:val="CGCBullet1"/>
        <w:numPr>
          <w:ilvl w:val="0"/>
          <w:numId w:val="18"/>
        </w:numPr>
        <w:ind w:left="924" w:hanging="357"/>
      </w:pPr>
      <w:r w:rsidRPr="00850D12">
        <w:t>data are not available to make a reliable assessment.</w:t>
      </w:r>
    </w:p>
    <w:p w14:paraId="174C2E0F" w14:textId="77777777" w:rsidR="007E365E" w:rsidRPr="00173B02" w:rsidRDefault="007E365E" w:rsidP="007E365E">
      <w:pPr>
        <w:pStyle w:val="Heading4"/>
      </w:pPr>
      <w:bookmarkStart w:id="86" w:name="_Toc5893829"/>
      <w:bookmarkStart w:id="87" w:name="_Toc6487594"/>
      <w:bookmarkStart w:id="88" w:name="_Toc6487632"/>
      <w:bookmarkStart w:id="89" w:name="_Toc7442886"/>
      <w:bookmarkStart w:id="90" w:name="_Toc23500161"/>
      <w:r w:rsidRPr="00173B02">
        <w:t>Major city effects</w:t>
      </w:r>
      <w:bookmarkEnd w:id="86"/>
      <w:bookmarkEnd w:id="87"/>
      <w:bookmarkEnd w:id="88"/>
      <w:bookmarkEnd w:id="89"/>
      <w:bookmarkEnd w:id="90"/>
    </w:p>
    <w:p w14:paraId="608FADCB" w14:textId="77777777" w:rsidR="007E365E" w:rsidRPr="00173B02" w:rsidRDefault="007E365E" w:rsidP="007E365E">
      <w:pPr>
        <w:pStyle w:val="CGCParaNumber"/>
      </w:pPr>
      <w:bookmarkStart w:id="91" w:name="_Ref528931284"/>
      <w:r w:rsidRPr="00173B02">
        <w:t>New South Wales identified three areas where it sought to have disabilities recognised. It argued that Sydney’s status as Australia’s most globalised city and largest financial hub makes it a target for terrorism as well as complex crime, especially organised crime and cybercrime. It also houses a disproportionate number of federal prisoners.</w:t>
      </w:r>
    </w:p>
    <w:p w14:paraId="030B355E" w14:textId="16AF0968" w:rsidR="007E365E" w:rsidRPr="00173B02" w:rsidRDefault="007E365E" w:rsidP="007E365E">
      <w:pPr>
        <w:pStyle w:val="CGCParaNumber"/>
      </w:pPr>
      <w:r w:rsidRPr="00173B02">
        <w:t>New South Wales argued it is the State most exposed to threats of terrorism and there are material costs associated with providing the necessary infrastructure and intelligence across police, courts and corrections to combat terrorism threats.</w:t>
      </w:r>
      <w:bookmarkEnd w:id="91"/>
    </w:p>
    <w:p w14:paraId="600B0AD9" w14:textId="77777777" w:rsidR="007E365E" w:rsidRPr="00173B02" w:rsidRDefault="007E365E" w:rsidP="007E365E">
      <w:pPr>
        <w:pStyle w:val="CGCParaNumber"/>
      </w:pPr>
      <w:r w:rsidRPr="00173B02">
        <w:t xml:space="preserve">The Commission considers that New South Wales needs to provide an above average level of service in providing counter-terrorism services, but that such a case might be made for the other States with large cities, such as Victoria and perhaps Queensland, as well as arguably by the ACT due to the co-location of national government institutions. </w:t>
      </w:r>
    </w:p>
    <w:p w14:paraId="22AC0D6A" w14:textId="77777777" w:rsidR="007E365E" w:rsidRPr="00173B02" w:rsidRDefault="007E365E" w:rsidP="007E365E">
      <w:pPr>
        <w:pStyle w:val="CGCParaNumber"/>
      </w:pPr>
      <w:bookmarkStart w:id="92" w:name="_Ref528931289"/>
      <w:r w:rsidRPr="00173B02">
        <w:t>Expense data provided by New South Wales showed their Investigation and Counter Terrorism unit within the New South Wales Police spent an average of $22</w:t>
      </w:r>
      <w:r>
        <w:t>7</w:t>
      </w:r>
      <w:r w:rsidRPr="00173B02">
        <w:t> million per year in 2015</w:t>
      </w:r>
      <w:r w:rsidRPr="00173B02">
        <w:noBreakHyphen/>
        <w:t>16 and 2016</w:t>
      </w:r>
      <w:r w:rsidRPr="00173B02">
        <w:noBreakHyphen/>
        <w:t>17. Even if all work in this cost centre was dedicated to counter</w:t>
      </w:r>
      <w:r>
        <w:noBreakHyphen/>
      </w:r>
      <w:r w:rsidRPr="00173B02">
        <w:t>terrorism and no other State had any counter-terrorism related needs, this would only redistribute $29 per capita, which is not material.</w:t>
      </w:r>
    </w:p>
    <w:p w14:paraId="3D8B592D" w14:textId="3BDC45BC" w:rsidR="007E365E" w:rsidRPr="00173B02" w:rsidRDefault="007E365E" w:rsidP="007E365E">
      <w:pPr>
        <w:pStyle w:val="CGCParaNumber"/>
      </w:pPr>
      <w:r w:rsidRPr="00173B02">
        <w:lastRenderedPageBreak/>
        <w:t xml:space="preserve">In the absence of reliable data on the relative risk of terrorism between States and on expenditure regarding counter-terrorism activities, the Commission cannot make an assessment. The available evidence indicates that even if an assessment could be made it is unlikely to be material. </w:t>
      </w:r>
      <w:bookmarkEnd w:id="92"/>
    </w:p>
    <w:p w14:paraId="25E8D9A2" w14:textId="77777777" w:rsidR="007E365E" w:rsidRPr="00173B02" w:rsidRDefault="007E365E" w:rsidP="007E365E">
      <w:pPr>
        <w:pStyle w:val="CGCParaNumber"/>
      </w:pPr>
      <w:r w:rsidRPr="00173B02">
        <w:t>Likewise, the Commission has no way of ascertaining what constitutes a complex crime or measuring it. For example, two crimes recorded under the same offence classification may use vastly different resources to collect evidence and identify the offender, depending on the circumstances of the crime. With increasing complexity of crime there is also the likelihood of no offender being proceeded against, thereby creating a bias in recorded data towards crimes that are simpler to solve.</w:t>
      </w:r>
    </w:p>
    <w:p w14:paraId="70F1DDDC" w14:textId="6E47D47F" w:rsidR="007E365E" w:rsidRPr="00173B02" w:rsidRDefault="007E365E" w:rsidP="007E365E">
      <w:pPr>
        <w:pStyle w:val="CGCParaNumber"/>
      </w:pPr>
      <w:r w:rsidRPr="00173B02">
        <w:t xml:space="preserve">While the presence of cybercrime and organised crime units in a police force may be an indication of the presence of complex crime, most States have at least some level of resource dedicated to these functions and, following the logic in paragraph </w:t>
      </w:r>
      <w:r w:rsidRPr="00173B02">
        <w:fldChar w:fldCharType="begin"/>
      </w:r>
      <w:r w:rsidRPr="00173B02">
        <w:instrText xml:space="preserve"> REF _Ref528931289 \r \h </w:instrText>
      </w:r>
      <w:r>
        <w:instrText xml:space="preserve"> \* MERGEFORMAT </w:instrText>
      </w:r>
      <w:r w:rsidRPr="00173B02">
        <w:fldChar w:fldCharType="separate"/>
      </w:r>
      <w:r w:rsidR="007F721A">
        <w:t>118</w:t>
      </w:r>
      <w:r w:rsidRPr="00173B02">
        <w:fldChar w:fldCharType="end"/>
      </w:r>
      <w:r w:rsidRPr="00173B02">
        <w:t>, it appears unlikely that this would be material, even after aggregating these different drivers for more complex policing.</w:t>
      </w:r>
    </w:p>
    <w:p w14:paraId="09D9421A" w14:textId="77777777" w:rsidR="007E365E" w:rsidRPr="004B4794" w:rsidRDefault="007E365E" w:rsidP="007E365E">
      <w:pPr>
        <w:pStyle w:val="CGCParaNumber"/>
      </w:pPr>
      <w:r w:rsidRPr="004B4794">
        <w:t xml:space="preserve">In regard to corrections, federal prisoners nationally represent only 2% of total prisoners. ABS data suggest that New South Wales has nearly 60% more federal prisoners per capita than the national average. Assuming federal prisoners cost the same as other prisoners, and that the Commonwealth contributes no funding, an assessment would redistribute less than $3 per capita towards New South Wales. </w:t>
      </w:r>
    </w:p>
    <w:p w14:paraId="6EC9989D" w14:textId="77777777" w:rsidR="007E365E" w:rsidRPr="004B4794" w:rsidRDefault="007E365E" w:rsidP="007E365E">
      <w:pPr>
        <w:pStyle w:val="CGCParaNumber"/>
      </w:pPr>
      <w:r w:rsidRPr="004B4794">
        <w:t xml:space="preserve">Other than on federal prisoners, there is no reliable assessment of the relative impacts that these factors have on different States, or the amount of money involved. However, it appears very unlikely that any assessment would be material, even in aggregate. </w:t>
      </w:r>
    </w:p>
    <w:p w14:paraId="46F0AF94" w14:textId="07D9787F" w:rsidR="007E365E" w:rsidRPr="00173B02" w:rsidRDefault="007E365E" w:rsidP="007E365E">
      <w:pPr>
        <w:pStyle w:val="Heading4"/>
      </w:pPr>
      <w:bookmarkStart w:id="93" w:name="_Toc5893830"/>
      <w:bookmarkStart w:id="94" w:name="_Toc6487595"/>
      <w:bookmarkStart w:id="95" w:name="_Toc6487633"/>
      <w:bookmarkStart w:id="96" w:name="_Toc7442887"/>
      <w:bookmarkStart w:id="97" w:name="_Toc23500162"/>
      <w:r w:rsidRPr="00173B02">
        <w:t>Border patrol</w:t>
      </w:r>
      <w:bookmarkEnd w:id="93"/>
      <w:bookmarkEnd w:id="94"/>
      <w:bookmarkEnd w:id="95"/>
      <w:bookmarkEnd w:id="96"/>
      <w:bookmarkEnd w:id="97"/>
    </w:p>
    <w:p w14:paraId="1A8C9403" w14:textId="77777777" w:rsidR="007E365E" w:rsidRPr="00173B02" w:rsidRDefault="007E365E" w:rsidP="007E365E">
      <w:pPr>
        <w:pStyle w:val="CGCParaNumber"/>
      </w:pPr>
      <w:r w:rsidRPr="00173B02">
        <w:t xml:space="preserve">Queensland was concerned that not all service delivery challenges are captured in the current or proposed model, in particular the additional border patrol duties required in the Torres Strait. Queensland argued for the Commission to investigate border protection requirements and costs involved in meeting these obligations. Western Australia expressed similar concerns regarding the length of coastline it is required to police and argues these costs stem from a failure of delivery of Commonwealth services, particularly the work of the </w:t>
      </w:r>
      <w:r>
        <w:t>AFP</w:t>
      </w:r>
      <w:r w:rsidRPr="00173B02">
        <w:t>.</w:t>
      </w:r>
    </w:p>
    <w:p w14:paraId="1E17095D" w14:textId="77777777" w:rsidR="007E365E" w:rsidRPr="00173B02" w:rsidRDefault="007E365E" w:rsidP="007E365E">
      <w:pPr>
        <w:pStyle w:val="CGCParaNumber"/>
      </w:pPr>
      <w:r w:rsidRPr="00173B02">
        <w:t>Police costs data provided by Queensland allocate less than $3 million to aircraft and boat expenses in Far North Queensland. The costs of providing aircraft and boat expenses in Far</w:t>
      </w:r>
      <w:r>
        <w:t> </w:t>
      </w:r>
      <w:r w:rsidRPr="00173B02">
        <w:t xml:space="preserve">North Queensland, or any other similar costs, are part of the expenses that are used to measure the effect that remote populations have on policing costs. While not all such areas are coastal, State shares of borders needing patrolling are likely to be broadly similar to State shares of remote regions, and given the relatively small amounts of money involved are unlikely to be materially different. </w:t>
      </w:r>
    </w:p>
    <w:p w14:paraId="74CEF931" w14:textId="77777777" w:rsidR="007E365E" w:rsidRPr="00173B02" w:rsidRDefault="007E365E" w:rsidP="007E365E">
      <w:pPr>
        <w:pStyle w:val="CGCParaNumber"/>
      </w:pPr>
      <w:r w:rsidRPr="00173B02">
        <w:t xml:space="preserve">Western Australia has not provided evidence of the amount of money it spends on border patrol. It has not provided evidence that the Commonwealth provides a lower standard of service along its coastline than along the coastline of other States. As such, the Commission is not in a position to consider a disability, other than that already measured by the effect of remoteness on police costs. </w:t>
      </w:r>
    </w:p>
    <w:p w14:paraId="433AC6C9" w14:textId="4949EA7F" w:rsidR="007E365E" w:rsidRPr="00173B02" w:rsidRDefault="007E365E" w:rsidP="007E365E">
      <w:pPr>
        <w:pStyle w:val="Heading4"/>
      </w:pPr>
      <w:bookmarkStart w:id="98" w:name="_Toc5893831"/>
      <w:bookmarkStart w:id="99" w:name="_Toc6487596"/>
      <w:bookmarkStart w:id="100" w:name="_Toc6487634"/>
      <w:bookmarkStart w:id="101" w:name="_Toc7442888"/>
      <w:bookmarkStart w:id="102" w:name="_Toc23500163"/>
      <w:r w:rsidRPr="00173B02">
        <w:lastRenderedPageBreak/>
        <w:t>Cross-border</w:t>
      </w:r>
      <w:bookmarkEnd w:id="98"/>
      <w:bookmarkEnd w:id="99"/>
      <w:bookmarkEnd w:id="100"/>
      <w:bookmarkEnd w:id="101"/>
      <w:bookmarkEnd w:id="102"/>
    </w:p>
    <w:p w14:paraId="40E8DBC5" w14:textId="77777777" w:rsidR="007E365E" w:rsidRPr="00173B02" w:rsidRDefault="007E365E" w:rsidP="007E365E">
      <w:pPr>
        <w:pStyle w:val="CGCParaNumber"/>
      </w:pPr>
      <w:r w:rsidRPr="00173B02">
        <w:t xml:space="preserve">The ACT argued that it provides cross-border policing services to other States, particularly New South Wales. </w:t>
      </w:r>
    </w:p>
    <w:p w14:paraId="4043EABC" w14:textId="6BEC0603" w:rsidR="007E365E" w:rsidRPr="00173B02" w:rsidRDefault="007E365E" w:rsidP="007E365E">
      <w:pPr>
        <w:pStyle w:val="CGCParaNumber"/>
      </w:pPr>
      <w:r w:rsidRPr="00173B02">
        <w:fldChar w:fldCharType="begin"/>
      </w:r>
      <w:r w:rsidRPr="00173B02">
        <w:instrText xml:space="preserve"> REF _Ref528675155 \h  \* MERGEFORMAT </w:instrText>
      </w:r>
      <w:r w:rsidRPr="00173B02">
        <w:fldChar w:fldCharType="separate"/>
      </w:r>
      <w:r w:rsidR="007F721A" w:rsidRPr="00173B02">
        <w:t xml:space="preserve">Table </w:t>
      </w:r>
      <w:r w:rsidR="007F721A">
        <w:rPr>
          <w:noProof/>
        </w:rPr>
        <w:t>19-15</w:t>
      </w:r>
      <w:r w:rsidRPr="00173B02">
        <w:fldChar w:fldCharType="end"/>
      </w:r>
      <w:r w:rsidRPr="00173B02">
        <w:t xml:space="preserve"> shows fewer New South Wales residents committed offences or are defendants in the ACT than the number of ACT residents offending or being defendants in New</w:t>
      </w:r>
      <w:r>
        <w:t> </w:t>
      </w:r>
      <w:r w:rsidRPr="00173B02">
        <w:t>South</w:t>
      </w:r>
      <w:r>
        <w:t> </w:t>
      </w:r>
      <w:r w:rsidRPr="00173B02">
        <w:t>Wales. Therefore</w:t>
      </w:r>
      <w:r>
        <w:t>,</w:t>
      </w:r>
      <w:r w:rsidRPr="00173B02">
        <w:t xml:space="preserve"> the Commission has concluded that there is no case for a cross-border assessment. </w:t>
      </w:r>
    </w:p>
    <w:p w14:paraId="089103CB" w14:textId="40187508" w:rsidR="007E365E" w:rsidRPr="00173B02" w:rsidRDefault="007E365E" w:rsidP="007E365E">
      <w:pPr>
        <w:pStyle w:val="Caption"/>
      </w:pPr>
      <w:bookmarkStart w:id="103" w:name="_Ref528675155"/>
      <w:r w:rsidRPr="00173B02">
        <w:t xml:space="preserve">Table </w:t>
      </w:r>
      <w:r>
        <w:t>19-</w:t>
      </w:r>
      <w:fldSimple w:instr=" SEQ Table \* ARABIC ">
        <w:r w:rsidR="007F721A">
          <w:rPr>
            <w:noProof/>
          </w:rPr>
          <w:t>15</w:t>
        </w:r>
      </w:fldSimple>
      <w:bookmarkEnd w:id="103"/>
      <w:r w:rsidRPr="00173B02">
        <w:tab/>
        <w:t>Cross-border proceedings and defendants, New South Wales and ACT</w:t>
      </w:r>
    </w:p>
    <w:tbl>
      <w:tblPr>
        <w:tblW w:w="8920" w:type="dxa"/>
        <w:tblBorders>
          <w:top w:val="single" w:sz="4" w:space="0" w:color="ADD6EA"/>
          <w:bottom w:val="single" w:sz="4" w:space="0" w:color="ADD6EA"/>
          <w:insideH w:val="single" w:sz="4" w:space="0" w:color="ADD6EA"/>
        </w:tblBorders>
        <w:tblCellMar>
          <w:left w:w="28" w:type="dxa"/>
          <w:right w:w="28" w:type="dxa"/>
        </w:tblCellMar>
        <w:tblLook w:val="04A0" w:firstRow="1" w:lastRow="0" w:firstColumn="1" w:lastColumn="0" w:noHBand="0" w:noVBand="1"/>
      </w:tblPr>
      <w:tblGrid>
        <w:gridCol w:w="6120"/>
        <w:gridCol w:w="1400"/>
        <w:gridCol w:w="1400"/>
      </w:tblGrid>
      <w:tr w:rsidR="007E365E" w:rsidRPr="00173B02" w14:paraId="56713CDF" w14:textId="77777777" w:rsidTr="007D1D77">
        <w:trPr>
          <w:trHeight w:val="375"/>
        </w:trPr>
        <w:tc>
          <w:tcPr>
            <w:tcW w:w="6120" w:type="dxa"/>
            <w:tcBorders>
              <w:bottom w:val="single" w:sz="4" w:space="0" w:color="ADD6EA"/>
            </w:tcBorders>
            <w:shd w:val="clear" w:color="auto" w:fill="006991"/>
            <w:noWrap/>
            <w:vAlign w:val="center"/>
            <w:hideMark/>
          </w:tcPr>
          <w:p w14:paraId="3E4B3FE3" w14:textId="77777777" w:rsidR="007E365E" w:rsidRPr="00173B02" w:rsidRDefault="007E365E" w:rsidP="007D1D77">
            <w:pPr>
              <w:pStyle w:val="CGCTableheader"/>
              <w:rPr>
                <w:lang w:eastAsia="en-AU"/>
              </w:rPr>
            </w:pPr>
          </w:p>
        </w:tc>
        <w:tc>
          <w:tcPr>
            <w:tcW w:w="1400" w:type="dxa"/>
            <w:tcBorders>
              <w:bottom w:val="single" w:sz="4" w:space="0" w:color="ADD6EA"/>
            </w:tcBorders>
            <w:shd w:val="clear" w:color="auto" w:fill="006991"/>
            <w:noWrap/>
            <w:vAlign w:val="center"/>
            <w:hideMark/>
          </w:tcPr>
          <w:p w14:paraId="67DEC9B2" w14:textId="77777777" w:rsidR="007E365E" w:rsidRPr="00173B02" w:rsidRDefault="007E365E" w:rsidP="007D1D77">
            <w:pPr>
              <w:pStyle w:val="CGCTableheader"/>
              <w:jc w:val="right"/>
              <w:rPr>
                <w:lang w:eastAsia="en-AU"/>
              </w:rPr>
            </w:pPr>
            <w:r w:rsidRPr="00173B02">
              <w:rPr>
                <w:lang w:eastAsia="en-AU"/>
              </w:rPr>
              <w:t>2015-16</w:t>
            </w:r>
          </w:p>
        </w:tc>
        <w:tc>
          <w:tcPr>
            <w:tcW w:w="1400" w:type="dxa"/>
            <w:tcBorders>
              <w:bottom w:val="single" w:sz="4" w:space="0" w:color="ADD6EA"/>
            </w:tcBorders>
            <w:shd w:val="clear" w:color="auto" w:fill="006991"/>
            <w:noWrap/>
            <w:vAlign w:val="center"/>
            <w:hideMark/>
          </w:tcPr>
          <w:p w14:paraId="68EC9085" w14:textId="77777777" w:rsidR="007E365E" w:rsidRPr="00173B02" w:rsidRDefault="007E365E" w:rsidP="007D1D77">
            <w:pPr>
              <w:pStyle w:val="CGCTableheader"/>
              <w:jc w:val="right"/>
              <w:rPr>
                <w:lang w:eastAsia="en-AU"/>
              </w:rPr>
            </w:pPr>
            <w:r w:rsidRPr="00173B02">
              <w:rPr>
                <w:lang w:eastAsia="en-AU"/>
              </w:rPr>
              <w:t>2016-17</w:t>
            </w:r>
          </w:p>
        </w:tc>
      </w:tr>
      <w:tr w:rsidR="007E365E" w:rsidRPr="00173B02" w14:paraId="3C3D5A2A" w14:textId="77777777" w:rsidTr="007D1D77">
        <w:trPr>
          <w:trHeight w:val="259"/>
        </w:trPr>
        <w:tc>
          <w:tcPr>
            <w:tcW w:w="6120" w:type="dxa"/>
            <w:tcBorders>
              <w:bottom w:val="single" w:sz="4" w:space="0" w:color="ADD6EA"/>
            </w:tcBorders>
            <w:shd w:val="clear" w:color="auto" w:fill="B6D5E4"/>
            <w:noWrap/>
            <w:vAlign w:val="center"/>
            <w:hideMark/>
          </w:tcPr>
          <w:p w14:paraId="513908D5" w14:textId="77777777" w:rsidR="007E365E" w:rsidRPr="00173B02" w:rsidRDefault="007E365E" w:rsidP="007D1D77">
            <w:pPr>
              <w:pStyle w:val="CGCTablesubhead1"/>
            </w:pPr>
          </w:p>
        </w:tc>
        <w:tc>
          <w:tcPr>
            <w:tcW w:w="1400" w:type="dxa"/>
            <w:tcBorders>
              <w:bottom w:val="single" w:sz="4" w:space="0" w:color="ADD6EA"/>
            </w:tcBorders>
            <w:shd w:val="clear" w:color="auto" w:fill="B6D5E4"/>
            <w:noWrap/>
            <w:vAlign w:val="center"/>
            <w:hideMark/>
          </w:tcPr>
          <w:p w14:paraId="1414BAB5" w14:textId="77777777" w:rsidR="007E365E" w:rsidRPr="00173B02" w:rsidRDefault="007E365E" w:rsidP="007D1D77">
            <w:pPr>
              <w:pStyle w:val="CGCTablesubhead1"/>
              <w:jc w:val="right"/>
            </w:pPr>
            <w:r w:rsidRPr="00173B02">
              <w:t>No.</w:t>
            </w:r>
          </w:p>
        </w:tc>
        <w:tc>
          <w:tcPr>
            <w:tcW w:w="1400" w:type="dxa"/>
            <w:tcBorders>
              <w:bottom w:val="single" w:sz="4" w:space="0" w:color="ADD6EA"/>
            </w:tcBorders>
            <w:shd w:val="clear" w:color="auto" w:fill="B6D5E4"/>
            <w:noWrap/>
            <w:vAlign w:val="center"/>
            <w:hideMark/>
          </w:tcPr>
          <w:p w14:paraId="7A4B77BC" w14:textId="77777777" w:rsidR="007E365E" w:rsidRPr="00173B02" w:rsidRDefault="007E365E" w:rsidP="007D1D77">
            <w:pPr>
              <w:pStyle w:val="CGCTablesubhead1"/>
              <w:jc w:val="right"/>
            </w:pPr>
            <w:r w:rsidRPr="00173B02">
              <w:t>No.</w:t>
            </w:r>
          </w:p>
        </w:tc>
      </w:tr>
      <w:tr w:rsidR="007E365E" w:rsidRPr="00173B02" w14:paraId="1A90DEB9" w14:textId="77777777" w:rsidTr="007D1D77">
        <w:trPr>
          <w:trHeight w:val="315"/>
        </w:trPr>
        <w:tc>
          <w:tcPr>
            <w:tcW w:w="6120" w:type="dxa"/>
            <w:shd w:val="clear" w:color="auto" w:fill="D6E7F0"/>
            <w:noWrap/>
            <w:vAlign w:val="bottom"/>
            <w:hideMark/>
          </w:tcPr>
          <w:p w14:paraId="18B8C245" w14:textId="77777777" w:rsidR="007E365E" w:rsidRPr="00173B02" w:rsidRDefault="007E365E" w:rsidP="007D1D77">
            <w:pPr>
              <w:pStyle w:val="CGCTablesubhead2"/>
              <w:rPr>
                <w:lang w:eastAsia="en-AU"/>
              </w:rPr>
            </w:pPr>
            <w:r w:rsidRPr="00173B02">
              <w:rPr>
                <w:lang w:eastAsia="en-AU"/>
              </w:rPr>
              <w:t>Count of proceedings</w:t>
            </w:r>
          </w:p>
        </w:tc>
        <w:tc>
          <w:tcPr>
            <w:tcW w:w="1400" w:type="dxa"/>
            <w:shd w:val="clear" w:color="auto" w:fill="D6E7F0"/>
            <w:noWrap/>
            <w:vAlign w:val="bottom"/>
            <w:hideMark/>
          </w:tcPr>
          <w:p w14:paraId="03018FB6" w14:textId="77777777" w:rsidR="007E365E" w:rsidRPr="00173B02" w:rsidRDefault="007E365E" w:rsidP="007D1D77">
            <w:pPr>
              <w:pStyle w:val="CGCTablesubhead2"/>
              <w:jc w:val="right"/>
              <w:rPr>
                <w:lang w:eastAsia="en-AU"/>
              </w:rPr>
            </w:pPr>
          </w:p>
        </w:tc>
        <w:tc>
          <w:tcPr>
            <w:tcW w:w="1400" w:type="dxa"/>
            <w:shd w:val="clear" w:color="auto" w:fill="D6E7F0"/>
            <w:noWrap/>
            <w:vAlign w:val="bottom"/>
            <w:hideMark/>
          </w:tcPr>
          <w:p w14:paraId="6DF2E6E5" w14:textId="77777777" w:rsidR="007E365E" w:rsidRPr="00173B02" w:rsidRDefault="007E365E" w:rsidP="007D1D77">
            <w:pPr>
              <w:pStyle w:val="CGCTablesubhead2"/>
              <w:jc w:val="right"/>
              <w:rPr>
                <w:rFonts w:ascii="Times New Roman" w:hAnsi="Times New Roman" w:cs="Times New Roman"/>
                <w:lang w:eastAsia="en-AU"/>
              </w:rPr>
            </w:pPr>
          </w:p>
        </w:tc>
      </w:tr>
      <w:tr w:rsidR="007E365E" w:rsidRPr="00173B02" w14:paraId="6DC53F5C" w14:textId="77777777" w:rsidTr="007D1D77">
        <w:trPr>
          <w:trHeight w:val="315"/>
        </w:trPr>
        <w:tc>
          <w:tcPr>
            <w:tcW w:w="6120" w:type="dxa"/>
            <w:shd w:val="clear" w:color="auto" w:fill="auto"/>
            <w:noWrap/>
            <w:vAlign w:val="bottom"/>
            <w:hideMark/>
          </w:tcPr>
          <w:p w14:paraId="42BD2F9B" w14:textId="77777777" w:rsidR="007E365E" w:rsidRPr="00173B02" w:rsidRDefault="007E365E" w:rsidP="007D1D77">
            <w:pPr>
              <w:pStyle w:val="CGCTablerow"/>
              <w:ind w:left="113"/>
              <w:rPr>
                <w:lang w:eastAsia="en-AU"/>
              </w:rPr>
            </w:pPr>
            <w:r w:rsidRPr="00173B02">
              <w:rPr>
                <w:lang w:eastAsia="en-AU"/>
              </w:rPr>
              <w:t>NSW residents offending in the ACT, excl breach of bail and traffic</w:t>
            </w:r>
          </w:p>
        </w:tc>
        <w:tc>
          <w:tcPr>
            <w:tcW w:w="1400" w:type="dxa"/>
            <w:shd w:val="clear" w:color="auto" w:fill="auto"/>
            <w:noWrap/>
            <w:vAlign w:val="bottom"/>
            <w:hideMark/>
          </w:tcPr>
          <w:p w14:paraId="6ED82353" w14:textId="77777777" w:rsidR="007E365E" w:rsidRPr="00173B02" w:rsidRDefault="007E365E" w:rsidP="007D1D77">
            <w:pPr>
              <w:pStyle w:val="CGCTablerow"/>
              <w:jc w:val="right"/>
              <w:rPr>
                <w:lang w:eastAsia="en-AU"/>
              </w:rPr>
            </w:pPr>
            <w:r w:rsidRPr="00173B02">
              <w:rPr>
                <w:lang w:eastAsia="en-AU"/>
              </w:rPr>
              <w:t>244</w:t>
            </w:r>
          </w:p>
        </w:tc>
        <w:tc>
          <w:tcPr>
            <w:tcW w:w="1400" w:type="dxa"/>
            <w:shd w:val="clear" w:color="auto" w:fill="auto"/>
            <w:noWrap/>
            <w:vAlign w:val="bottom"/>
            <w:hideMark/>
          </w:tcPr>
          <w:p w14:paraId="74D01512" w14:textId="77777777" w:rsidR="007E365E" w:rsidRPr="00173B02" w:rsidRDefault="007E365E" w:rsidP="007D1D77">
            <w:pPr>
              <w:pStyle w:val="CGCTablerow"/>
              <w:jc w:val="right"/>
              <w:rPr>
                <w:lang w:eastAsia="en-AU"/>
              </w:rPr>
            </w:pPr>
            <w:r w:rsidRPr="00173B02">
              <w:rPr>
                <w:lang w:eastAsia="en-AU"/>
              </w:rPr>
              <w:t xml:space="preserve">  238</w:t>
            </w:r>
          </w:p>
        </w:tc>
      </w:tr>
      <w:tr w:rsidR="007E365E" w:rsidRPr="00173B02" w14:paraId="308D048B" w14:textId="77777777" w:rsidTr="007D1D77">
        <w:trPr>
          <w:trHeight w:val="315"/>
        </w:trPr>
        <w:tc>
          <w:tcPr>
            <w:tcW w:w="6120" w:type="dxa"/>
            <w:shd w:val="clear" w:color="auto" w:fill="auto"/>
            <w:noWrap/>
            <w:vAlign w:val="bottom"/>
            <w:hideMark/>
          </w:tcPr>
          <w:p w14:paraId="431C94F2" w14:textId="77777777" w:rsidR="007E365E" w:rsidRPr="00173B02" w:rsidRDefault="007E365E" w:rsidP="007D1D77">
            <w:pPr>
              <w:pStyle w:val="CGCTablerow"/>
              <w:ind w:left="113"/>
              <w:rPr>
                <w:lang w:eastAsia="en-AU"/>
              </w:rPr>
            </w:pPr>
            <w:r w:rsidRPr="00173B02">
              <w:rPr>
                <w:lang w:eastAsia="en-AU"/>
              </w:rPr>
              <w:t>NSW residents offending in the ACT, all offences</w:t>
            </w:r>
          </w:p>
        </w:tc>
        <w:tc>
          <w:tcPr>
            <w:tcW w:w="1400" w:type="dxa"/>
            <w:shd w:val="clear" w:color="auto" w:fill="auto"/>
            <w:noWrap/>
            <w:vAlign w:val="bottom"/>
            <w:hideMark/>
          </w:tcPr>
          <w:p w14:paraId="3A8AF0BD" w14:textId="77777777" w:rsidR="007E365E" w:rsidRPr="00173B02" w:rsidRDefault="007E365E" w:rsidP="007D1D77">
            <w:pPr>
              <w:pStyle w:val="CGCTablerow"/>
              <w:jc w:val="right"/>
              <w:rPr>
                <w:lang w:eastAsia="en-AU"/>
              </w:rPr>
            </w:pPr>
            <w:r w:rsidRPr="00173B02">
              <w:rPr>
                <w:lang w:eastAsia="en-AU"/>
              </w:rPr>
              <w:t>458</w:t>
            </w:r>
          </w:p>
        </w:tc>
        <w:tc>
          <w:tcPr>
            <w:tcW w:w="1400" w:type="dxa"/>
            <w:shd w:val="clear" w:color="auto" w:fill="auto"/>
            <w:noWrap/>
            <w:vAlign w:val="bottom"/>
            <w:hideMark/>
          </w:tcPr>
          <w:p w14:paraId="7F4260EB" w14:textId="77777777" w:rsidR="007E365E" w:rsidRPr="00173B02" w:rsidRDefault="007E365E" w:rsidP="007D1D77">
            <w:pPr>
              <w:pStyle w:val="CGCTablerow"/>
              <w:jc w:val="right"/>
              <w:rPr>
                <w:lang w:eastAsia="en-AU"/>
              </w:rPr>
            </w:pPr>
            <w:r w:rsidRPr="00173B02">
              <w:rPr>
                <w:lang w:eastAsia="en-AU"/>
              </w:rPr>
              <w:t xml:space="preserve">  443</w:t>
            </w:r>
          </w:p>
        </w:tc>
      </w:tr>
      <w:tr w:rsidR="007E365E" w:rsidRPr="00173B02" w14:paraId="7B97532F" w14:textId="77777777" w:rsidTr="007D1D77">
        <w:trPr>
          <w:trHeight w:val="315"/>
        </w:trPr>
        <w:tc>
          <w:tcPr>
            <w:tcW w:w="6120" w:type="dxa"/>
            <w:tcBorders>
              <w:bottom w:val="single" w:sz="4" w:space="0" w:color="ADD6EA"/>
            </w:tcBorders>
            <w:shd w:val="clear" w:color="auto" w:fill="auto"/>
            <w:noWrap/>
            <w:vAlign w:val="bottom"/>
            <w:hideMark/>
          </w:tcPr>
          <w:p w14:paraId="2CF41500" w14:textId="77777777" w:rsidR="007E365E" w:rsidRPr="00173B02" w:rsidRDefault="007E365E" w:rsidP="007D1D77">
            <w:pPr>
              <w:pStyle w:val="CGCTablerow"/>
              <w:ind w:left="113"/>
              <w:rPr>
                <w:lang w:eastAsia="en-AU"/>
              </w:rPr>
            </w:pPr>
            <w:r w:rsidRPr="00173B02">
              <w:rPr>
                <w:lang w:eastAsia="en-AU"/>
              </w:rPr>
              <w:t>ACT residents offending in NSW, excl breach of bail and traffic</w:t>
            </w:r>
          </w:p>
        </w:tc>
        <w:tc>
          <w:tcPr>
            <w:tcW w:w="1400" w:type="dxa"/>
            <w:tcBorders>
              <w:bottom w:val="single" w:sz="4" w:space="0" w:color="ADD6EA"/>
            </w:tcBorders>
            <w:shd w:val="clear" w:color="auto" w:fill="auto"/>
            <w:noWrap/>
            <w:vAlign w:val="bottom"/>
            <w:hideMark/>
          </w:tcPr>
          <w:p w14:paraId="2AD665F0" w14:textId="77777777" w:rsidR="007E365E" w:rsidRPr="00173B02" w:rsidRDefault="007E365E" w:rsidP="007D1D77">
            <w:pPr>
              <w:pStyle w:val="CGCTablerow"/>
              <w:jc w:val="right"/>
              <w:rPr>
                <w:lang w:eastAsia="en-AU"/>
              </w:rPr>
            </w:pPr>
            <w:r w:rsidRPr="00173B02">
              <w:rPr>
                <w:lang w:eastAsia="en-AU"/>
              </w:rPr>
              <w:t xml:space="preserve">  686</w:t>
            </w:r>
          </w:p>
        </w:tc>
        <w:tc>
          <w:tcPr>
            <w:tcW w:w="1400" w:type="dxa"/>
            <w:tcBorders>
              <w:bottom w:val="single" w:sz="4" w:space="0" w:color="ADD6EA"/>
            </w:tcBorders>
            <w:shd w:val="clear" w:color="auto" w:fill="auto"/>
            <w:noWrap/>
            <w:vAlign w:val="bottom"/>
            <w:hideMark/>
          </w:tcPr>
          <w:p w14:paraId="7E115FDB" w14:textId="77777777" w:rsidR="007E365E" w:rsidRPr="00173B02" w:rsidRDefault="007E365E" w:rsidP="007D1D77">
            <w:pPr>
              <w:pStyle w:val="CGCTablerow"/>
              <w:jc w:val="right"/>
              <w:rPr>
                <w:lang w:eastAsia="en-AU"/>
              </w:rPr>
            </w:pPr>
            <w:r w:rsidRPr="00173B02">
              <w:rPr>
                <w:lang w:eastAsia="en-AU"/>
              </w:rPr>
              <w:t xml:space="preserve">  658</w:t>
            </w:r>
          </w:p>
        </w:tc>
      </w:tr>
      <w:tr w:rsidR="007E365E" w:rsidRPr="00173B02" w14:paraId="158B3651" w14:textId="77777777" w:rsidTr="007D1D77">
        <w:trPr>
          <w:trHeight w:val="315"/>
        </w:trPr>
        <w:tc>
          <w:tcPr>
            <w:tcW w:w="6120" w:type="dxa"/>
            <w:shd w:val="clear" w:color="auto" w:fill="D6E7F0"/>
            <w:noWrap/>
            <w:vAlign w:val="bottom"/>
            <w:hideMark/>
          </w:tcPr>
          <w:p w14:paraId="775F3160" w14:textId="77777777" w:rsidR="007E365E" w:rsidRPr="00173B02" w:rsidRDefault="007E365E" w:rsidP="007D1D77">
            <w:pPr>
              <w:pStyle w:val="CGCTablesubhead2"/>
              <w:rPr>
                <w:lang w:eastAsia="en-AU"/>
              </w:rPr>
            </w:pPr>
            <w:r w:rsidRPr="00173B02">
              <w:rPr>
                <w:lang w:eastAsia="en-AU"/>
              </w:rPr>
              <w:t>Count of defendants</w:t>
            </w:r>
          </w:p>
        </w:tc>
        <w:tc>
          <w:tcPr>
            <w:tcW w:w="1400" w:type="dxa"/>
            <w:shd w:val="clear" w:color="auto" w:fill="D6E7F0"/>
            <w:noWrap/>
            <w:vAlign w:val="bottom"/>
            <w:hideMark/>
          </w:tcPr>
          <w:p w14:paraId="19F62118" w14:textId="77777777" w:rsidR="007E365E" w:rsidRPr="00173B02" w:rsidRDefault="007E365E" w:rsidP="007D1D77">
            <w:pPr>
              <w:pStyle w:val="CGCTablesubhead2"/>
              <w:jc w:val="right"/>
              <w:rPr>
                <w:lang w:eastAsia="en-AU"/>
              </w:rPr>
            </w:pPr>
          </w:p>
        </w:tc>
        <w:tc>
          <w:tcPr>
            <w:tcW w:w="1400" w:type="dxa"/>
            <w:shd w:val="clear" w:color="auto" w:fill="D6E7F0"/>
            <w:noWrap/>
            <w:vAlign w:val="bottom"/>
            <w:hideMark/>
          </w:tcPr>
          <w:p w14:paraId="12605AE1" w14:textId="77777777" w:rsidR="007E365E" w:rsidRPr="00173B02" w:rsidRDefault="007E365E" w:rsidP="007D1D77">
            <w:pPr>
              <w:pStyle w:val="CGCTablesubhead2"/>
              <w:jc w:val="right"/>
              <w:rPr>
                <w:rFonts w:ascii="Times New Roman" w:hAnsi="Times New Roman" w:cs="Times New Roman"/>
                <w:lang w:eastAsia="en-AU"/>
              </w:rPr>
            </w:pPr>
          </w:p>
        </w:tc>
      </w:tr>
      <w:tr w:rsidR="007E365E" w:rsidRPr="00173B02" w14:paraId="46821E37" w14:textId="77777777" w:rsidTr="007D1D77">
        <w:trPr>
          <w:trHeight w:val="315"/>
        </w:trPr>
        <w:tc>
          <w:tcPr>
            <w:tcW w:w="6120" w:type="dxa"/>
            <w:shd w:val="clear" w:color="auto" w:fill="auto"/>
            <w:noWrap/>
            <w:vAlign w:val="bottom"/>
            <w:hideMark/>
          </w:tcPr>
          <w:p w14:paraId="18AF8D55" w14:textId="77777777" w:rsidR="007E365E" w:rsidRPr="00173B02" w:rsidRDefault="007E365E" w:rsidP="007D1D77">
            <w:pPr>
              <w:pStyle w:val="CGCTablerow"/>
              <w:ind w:left="113"/>
              <w:rPr>
                <w:lang w:eastAsia="en-AU"/>
              </w:rPr>
            </w:pPr>
            <w:r w:rsidRPr="00173B02">
              <w:rPr>
                <w:lang w:eastAsia="en-AU"/>
              </w:rPr>
              <w:t>NSW residents appearing as defendants in the ACT</w:t>
            </w:r>
          </w:p>
        </w:tc>
        <w:tc>
          <w:tcPr>
            <w:tcW w:w="1400" w:type="dxa"/>
            <w:shd w:val="clear" w:color="auto" w:fill="auto"/>
            <w:noWrap/>
            <w:vAlign w:val="bottom"/>
            <w:hideMark/>
          </w:tcPr>
          <w:p w14:paraId="21CDA96F" w14:textId="77777777" w:rsidR="007E365E" w:rsidRPr="00173B02" w:rsidRDefault="007E365E" w:rsidP="007D1D77">
            <w:pPr>
              <w:pStyle w:val="CGCTablerow"/>
              <w:jc w:val="right"/>
              <w:rPr>
                <w:lang w:eastAsia="en-AU"/>
              </w:rPr>
            </w:pPr>
            <w:r w:rsidRPr="00173B02">
              <w:rPr>
                <w:lang w:eastAsia="en-AU"/>
              </w:rPr>
              <w:t xml:space="preserve">  624</w:t>
            </w:r>
          </w:p>
        </w:tc>
        <w:tc>
          <w:tcPr>
            <w:tcW w:w="1400" w:type="dxa"/>
            <w:shd w:val="clear" w:color="auto" w:fill="auto"/>
            <w:noWrap/>
            <w:vAlign w:val="bottom"/>
            <w:hideMark/>
          </w:tcPr>
          <w:p w14:paraId="69E9B999" w14:textId="77777777" w:rsidR="007E365E" w:rsidRPr="00173B02" w:rsidRDefault="007E365E" w:rsidP="007D1D77">
            <w:pPr>
              <w:pStyle w:val="CGCTablerow"/>
              <w:jc w:val="right"/>
              <w:rPr>
                <w:lang w:eastAsia="en-AU"/>
              </w:rPr>
            </w:pPr>
            <w:r w:rsidRPr="00173B02">
              <w:rPr>
                <w:lang w:eastAsia="en-AU"/>
              </w:rPr>
              <w:t xml:space="preserve">  681</w:t>
            </w:r>
          </w:p>
        </w:tc>
      </w:tr>
      <w:tr w:rsidR="007E365E" w:rsidRPr="00173B02" w14:paraId="0DDE424A" w14:textId="77777777" w:rsidTr="007D1D77">
        <w:trPr>
          <w:trHeight w:val="315"/>
        </w:trPr>
        <w:tc>
          <w:tcPr>
            <w:tcW w:w="6120" w:type="dxa"/>
            <w:shd w:val="clear" w:color="auto" w:fill="auto"/>
            <w:noWrap/>
            <w:vAlign w:val="bottom"/>
            <w:hideMark/>
          </w:tcPr>
          <w:p w14:paraId="08CDF295" w14:textId="77777777" w:rsidR="007E365E" w:rsidRPr="00173B02" w:rsidRDefault="007E365E" w:rsidP="007D1D77">
            <w:pPr>
              <w:pStyle w:val="CGCTablerow"/>
              <w:ind w:left="113"/>
              <w:rPr>
                <w:lang w:eastAsia="en-AU"/>
              </w:rPr>
            </w:pPr>
            <w:r w:rsidRPr="00173B02">
              <w:rPr>
                <w:lang w:eastAsia="en-AU"/>
              </w:rPr>
              <w:t>ACT residents appearing as defendants in NSW</w:t>
            </w:r>
          </w:p>
        </w:tc>
        <w:tc>
          <w:tcPr>
            <w:tcW w:w="1400" w:type="dxa"/>
            <w:shd w:val="clear" w:color="auto" w:fill="auto"/>
            <w:noWrap/>
            <w:vAlign w:val="bottom"/>
            <w:hideMark/>
          </w:tcPr>
          <w:p w14:paraId="5FE0065C" w14:textId="77777777" w:rsidR="007E365E" w:rsidRPr="00173B02" w:rsidRDefault="007E365E" w:rsidP="007D1D77">
            <w:pPr>
              <w:pStyle w:val="CGCTablerow"/>
              <w:jc w:val="right"/>
              <w:rPr>
                <w:lang w:eastAsia="en-AU"/>
              </w:rPr>
            </w:pPr>
            <w:r w:rsidRPr="00173B02">
              <w:rPr>
                <w:lang w:eastAsia="en-AU"/>
              </w:rPr>
              <w:t xml:space="preserve">  863</w:t>
            </w:r>
          </w:p>
        </w:tc>
        <w:tc>
          <w:tcPr>
            <w:tcW w:w="1400" w:type="dxa"/>
            <w:shd w:val="clear" w:color="auto" w:fill="auto"/>
            <w:noWrap/>
            <w:vAlign w:val="bottom"/>
            <w:hideMark/>
          </w:tcPr>
          <w:p w14:paraId="3060D529" w14:textId="77777777" w:rsidR="007E365E" w:rsidRPr="00173B02" w:rsidRDefault="007E365E" w:rsidP="007D1D77">
            <w:pPr>
              <w:pStyle w:val="CGCTablerow"/>
              <w:jc w:val="right"/>
              <w:rPr>
                <w:lang w:eastAsia="en-AU"/>
              </w:rPr>
            </w:pPr>
            <w:r w:rsidRPr="00173B02">
              <w:rPr>
                <w:lang w:eastAsia="en-AU"/>
              </w:rPr>
              <w:t xml:space="preserve">  744</w:t>
            </w:r>
          </w:p>
        </w:tc>
      </w:tr>
    </w:tbl>
    <w:p w14:paraId="22A1D3CC" w14:textId="77777777" w:rsidR="007E365E" w:rsidRPr="00173B02" w:rsidRDefault="007E365E" w:rsidP="007E365E">
      <w:pPr>
        <w:pStyle w:val="CGCTablenote"/>
      </w:pPr>
      <w:r w:rsidRPr="00173B02">
        <w:t>Source:</w:t>
      </w:r>
      <w:r w:rsidRPr="00173B02">
        <w:tab/>
        <w:t>New South Wales Treasury and ACT Treasury.</w:t>
      </w:r>
    </w:p>
    <w:p w14:paraId="3546F474" w14:textId="77777777" w:rsidR="007E365E" w:rsidRPr="00173B02" w:rsidRDefault="007E365E" w:rsidP="007E365E">
      <w:pPr>
        <w:pStyle w:val="Heading4"/>
      </w:pPr>
      <w:bookmarkStart w:id="104" w:name="_Toc5893832"/>
      <w:bookmarkStart w:id="105" w:name="_Toc6487597"/>
      <w:bookmarkStart w:id="106" w:name="_Toc6487635"/>
      <w:bookmarkStart w:id="107" w:name="_Toc7442889"/>
      <w:bookmarkStart w:id="108" w:name="_Toc23500164"/>
      <w:r w:rsidRPr="00173B02">
        <w:t>Split of lower and higher courts</w:t>
      </w:r>
      <w:bookmarkEnd w:id="104"/>
      <w:bookmarkEnd w:id="105"/>
      <w:bookmarkEnd w:id="106"/>
      <w:bookmarkEnd w:id="107"/>
      <w:bookmarkEnd w:id="108"/>
    </w:p>
    <w:p w14:paraId="7E1CDA95" w14:textId="77777777" w:rsidR="007E365E" w:rsidRPr="00173B02" w:rsidRDefault="007E365E" w:rsidP="007E365E">
      <w:pPr>
        <w:pStyle w:val="CGCParaNumber"/>
      </w:pPr>
      <w:r w:rsidRPr="00173B02">
        <w:t>Victoria suggested that higher and lower courts could be assessed separately to account for the differing Indigenous profiles.</w:t>
      </w:r>
    </w:p>
    <w:p w14:paraId="33FA7B2B" w14:textId="3176901D" w:rsidR="007E365E" w:rsidRPr="00173B02" w:rsidRDefault="007E365E" w:rsidP="007E365E">
      <w:pPr>
        <w:pStyle w:val="CGCParaNumber"/>
      </w:pPr>
      <w:r w:rsidRPr="00173B02">
        <w:fldChar w:fldCharType="begin"/>
      </w:r>
      <w:r w:rsidRPr="00173B02">
        <w:instrText xml:space="preserve"> REF _Ref2955255 \h  \* MERGEFORMAT </w:instrText>
      </w:r>
      <w:r w:rsidRPr="00173B02">
        <w:fldChar w:fldCharType="separate"/>
      </w:r>
      <w:r w:rsidR="007F721A" w:rsidRPr="00173B02">
        <w:t xml:space="preserve">Table </w:t>
      </w:r>
      <w:r w:rsidR="007F721A">
        <w:rPr>
          <w:noProof/>
        </w:rPr>
        <w:t>19-16</w:t>
      </w:r>
      <w:r w:rsidRPr="00173B02">
        <w:fldChar w:fldCharType="end"/>
      </w:r>
      <w:r w:rsidRPr="00173B02">
        <w:t xml:space="preserve"> shows that the proportion of defendants who do not state (or are not asked) their Indigenous status is very high in the lower courts. Using the approach described in paragraphs </w:t>
      </w:r>
      <w:r w:rsidRPr="00173B02">
        <w:fldChar w:fldCharType="begin"/>
      </w:r>
      <w:r w:rsidRPr="00173B02">
        <w:instrText xml:space="preserve"> REF _Ref3298836 \r \h </w:instrText>
      </w:r>
      <w:r>
        <w:instrText xml:space="preserve"> \* MERGEFORMAT </w:instrText>
      </w:r>
      <w:r w:rsidRPr="00173B02">
        <w:fldChar w:fldCharType="separate"/>
      </w:r>
      <w:r w:rsidR="007F721A">
        <w:t>61</w:t>
      </w:r>
      <w:r w:rsidRPr="00173B02">
        <w:fldChar w:fldCharType="end"/>
      </w:r>
      <w:r w:rsidRPr="00173B02">
        <w:t>-</w:t>
      </w:r>
      <w:r w:rsidRPr="00173B02">
        <w:fldChar w:fldCharType="begin"/>
      </w:r>
      <w:r w:rsidRPr="00173B02">
        <w:instrText xml:space="preserve"> REF _Ref3298847 \r \h </w:instrText>
      </w:r>
      <w:r>
        <w:instrText xml:space="preserve"> \* MERGEFORMAT </w:instrText>
      </w:r>
      <w:r w:rsidRPr="00173B02">
        <w:fldChar w:fldCharType="separate"/>
      </w:r>
      <w:r w:rsidR="007F721A">
        <w:t>62</w:t>
      </w:r>
      <w:r w:rsidRPr="00173B02">
        <w:fldChar w:fldCharType="end"/>
      </w:r>
      <w:r w:rsidRPr="00173B02">
        <w:t xml:space="preserve"> to distribute non-response on a population basis, there is very little difference in the Indigenous status profile of higher and lower courts, and allowing for differentiation is not material.</w:t>
      </w:r>
    </w:p>
    <w:p w14:paraId="2B53EFF9" w14:textId="24CC6EE9" w:rsidR="007E365E" w:rsidRPr="00173B02" w:rsidRDefault="007E365E" w:rsidP="007E365E">
      <w:pPr>
        <w:pStyle w:val="Caption"/>
      </w:pPr>
      <w:bookmarkStart w:id="109" w:name="_Ref2955255"/>
      <w:bookmarkStart w:id="110" w:name="_Ref2955246"/>
      <w:r w:rsidRPr="00173B02">
        <w:t xml:space="preserve">Table </w:t>
      </w:r>
      <w:r>
        <w:t>19-</w:t>
      </w:r>
      <w:fldSimple w:instr=" SEQ Table \* ARABIC ">
        <w:r w:rsidR="007F721A">
          <w:rPr>
            <w:noProof/>
          </w:rPr>
          <w:t>16</w:t>
        </w:r>
      </w:fldSimple>
      <w:bookmarkEnd w:id="109"/>
      <w:r w:rsidRPr="00173B02">
        <w:tab/>
        <w:t>Indigenous status response, selected States, 2016-17</w:t>
      </w:r>
      <w:bookmarkEnd w:id="110"/>
    </w:p>
    <w:tbl>
      <w:tblPr>
        <w:tblW w:w="8900" w:type="dxa"/>
        <w:tblBorders>
          <w:top w:val="single" w:sz="4" w:space="0" w:color="ADD6EA"/>
          <w:bottom w:val="single" w:sz="4" w:space="0" w:color="ADD6EA"/>
          <w:insideH w:val="single" w:sz="4" w:space="0" w:color="ADD6EA"/>
        </w:tblBorders>
        <w:tblLayout w:type="fixed"/>
        <w:tblCellMar>
          <w:left w:w="0" w:type="dxa"/>
          <w:right w:w="28" w:type="dxa"/>
        </w:tblCellMar>
        <w:tblLook w:val="04A0" w:firstRow="1" w:lastRow="0" w:firstColumn="1" w:lastColumn="0" w:noHBand="0" w:noVBand="1"/>
      </w:tblPr>
      <w:tblGrid>
        <w:gridCol w:w="2400"/>
        <w:gridCol w:w="1620"/>
        <w:gridCol w:w="2020"/>
        <w:gridCol w:w="1600"/>
        <w:gridCol w:w="1260"/>
      </w:tblGrid>
      <w:tr w:rsidR="007E365E" w:rsidRPr="00173B02" w14:paraId="7A7E2803" w14:textId="77777777" w:rsidTr="007D1D77">
        <w:trPr>
          <w:trHeight w:val="375"/>
        </w:trPr>
        <w:tc>
          <w:tcPr>
            <w:tcW w:w="2400" w:type="dxa"/>
            <w:tcBorders>
              <w:bottom w:val="single" w:sz="4" w:space="0" w:color="ADD6EA"/>
            </w:tcBorders>
            <w:shd w:val="clear" w:color="auto" w:fill="006991"/>
            <w:noWrap/>
            <w:vAlign w:val="center"/>
            <w:hideMark/>
          </w:tcPr>
          <w:p w14:paraId="4E29E4A5" w14:textId="77777777" w:rsidR="007E365E" w:rsidRPr="00173B02" w:rsidRDefault="007E365E" w:rsidP="007D1D77">
            <w:pPr>
              <w:pStyle w:val="CGCTableheader"/>
              <w:rPr>
                <w:lang w:eastAsia="en-AU"/>
              </w:rPr>
            </w:pPr>
            <w:bookmarkStart w:id="111" w:name="RANGE!A143:E150"/>
            <w:r w:rsidRPr="00173B02">
              <w:rPr>
                <w:lang w:eastAsia="en-AU"/>
              </w:rPr>
              <w:t> </w:t>
            </w:r>
            <w:bookmarkEnd w:id="111"/>
          </w:p>
        </w:tc>
        <w:tc>
          <w:tcPr>
            <w:tcW w:w="1620" w:type="dxa"/>
            <w:tcBorders>
              <w:bottom w:val="single" w:sz="4" w:space="0" w:color="ADD6EA"/>
            </w:tcBorders>
            <w:shd w:val="clear" w:color="auto" w:fill="006991"/>
            <w:noWrap/>
            <w:vAlign w:val="center"/>
            <w:hideMark/>
          </w:tcPr>
          <w:p w14:paraId="383568D5" w14:textId="77777777" w:rsidR="007E365E" w:rsidRPr="00173B02" w:rsidRDefault="007E365E" w:rsidP="007D1D77">
            <w:pPr>
              <w:pStyle w:val="CGCTableheader"/>
              <w:jc w:val="right"/>
              <w:rPr>
                <w:lang w:eastAsia="en-AU"/>
              </w:rPr>
            </w:pPr>
            <w:r w:rsidRPr="00173B02">
              <w:rPr>
                <w:lang w:eastAsia="en-AU"/>
              </w:rPr>
              <w:t>Indigenous</w:t>
            </w:r>
          </w:p>
        </w:tc>
        <w:tc>
          <w:tcPr>
            <w:tcW w:w="2020" w:type="dxa"/>
            <w:tcBorders>
              <w:bottom w:val="single" w:sz="4" w:space="0" w:color="ADD6EA"/>
            </w:tcBorders>
            <w:shd w:val="clear" w:color="auto" w:fill="006991"/>
            <w:noWrap/>
            <w:vAlign w:val="center"/>
            <w:hideMark/>
          </w:tcPr>
          <w:p w14:paraId="74037384" w14:textId="77777777" w:rsidR="007E365E" w:rsidRPr="00173B02" w:rsidRDefault="007E365E" w:rsidP="007D1D77">
            <w:pPr>
              <w:pStyle w:val="CGCTableheader"/>
              <w:jc w:val="right"/>
              <w:rPr>
                <w:lang w:eastAsia="en-AU"/>
              </w:rPr>
            </w:pPr>
            <w:r w:rsidRPr="00173B02">
              <w:rPr>
                <w:lang w:eastAsia="en-AU"/>
              </w:rPr>
              <w:t>Non-Indigenous</w:t>
            </w:r>
          </w:p>
        </w:tc>
        <w:tc>
          <w:tcPr>
            <w:tcW w:w="1600" w:type="dxa"/>
            <w:tcBorders>
              <w:bottom w:val="single" w:sz="4" w:space="0" w:color="ADD6EA"/>
            </w:tcBorders>
            <w:shd w:val="clear" w:color="auto" w:fill="006991"/>
            <w:noWrap/>
            <w:vAlign w:val="center"/>
            <w:hideMark/>
          </w:tcPr>
          <w:p w14:paraId="43737B60" w14:textId="77777777" w:rsidR="007E365E" w:rsidRPr="00173B02" w:rsidRDefault="007E365E" w:rsidP="007D1D77">
            <w:pPr>
              <w:pStyle w:val="CGCTableheader"/>
              <w:jc w:val="right"/>
              <w:rPr>
                <w:lang w:eastAsia="en-AU"/>
              </w:rPr>
            </w:pPr>
            <w:r w:rsidRPr="00173B02">
              <w:rPr>
                <w:lang w:eastAsia="en-AU"/>
              </w:rPr>
              <w:t>Not stated</w:t>
            </w:r>
          </w:p>
        </w:tc>
        <w:tc>
          <w:tcPr>
            <w:tcW w:w="1260" w:type="dxa"/>
            <w:tcBorders>
              <w:bottom w:val="single" w:sz="4" w:space="0" w:color="ADD6EA"/>
            </w:tcBorders>
            <w:shd w:val="clear" w:color="auto" w:fill="006991"/>
            <w:noWrap/>
            <w:vAlign w:val="center"/>
            <w:hideMark/>
          </w:tcPr>
          <w:p w14:paraId="4050E56C" w14:textId="77777777" w:rsidR="007E365E" w:rsidRPr="00173B02" w:rsidRDefault="007E365E" w:rsidP="007D1D77">
            <w:pPr>
              <w:pStyle w:val="CGCTableheader"/>
              <w:jc w:val="right"/>
              <w:rPr>
                <w:lang w:eastAsia="en-AU"/>
              </w:rPr>
            </w:pPr>
            <w:r w:rsidRPr="00173B02">
              <w:rPr>
                <w:lang w:eastAsia="en-AU"/>
              </w:rPr>
              <w:t>Total</w:t>
            </w:r>
          </w:p>
        </w:tc>
      </w:tr>
      <w:tr w:rsidR="007E365E" w:rsidRPr="00173B02" w14:paraId="294FF61E" w14:textId="77777777" w:rsidTr="007D1D77">
        <w:trPr>
          <w:trHeight w:val="259"/>
        </w:trPr>
        <w:tc>
          <w:tcPr>
            <w:tcW w:w="2400" w:type="dxa"/>
            <w:shd w:val="clear" w:color="auto" w:fill="B6D5E4"/>
            <w:noWrap/>
            <w:vAlign w:val="center"/>
            <w:hideMark/>
          </w:tcPr>
          <w:p w14:paraId="54D1FBBE" w14:textId="77777777" w:rsidR="007E365E" w:rsidRPr="00173B02" w:rsidRDefault="007E365E" w:rsidP="007D1D77">
            <w:pPr>
              <w:pStyle w:val="CGCTablesubhead1"/>
            </w:pPr>
          </w:p>
        </w:tc>
        <w:tc>
          <w:tcPr>
            <w:tcW w:w="1620" w:type="dxa"/>
            <w:shd w:val="clear" w:color="auto" w:fill="B6D5E4"/>
            <w:noWrap/>
            <w:vAlign w:val="center"/>
            <w:hideMark/>
          </w:tcPr>
          <w:p w14:paraId="16B37D38" w14:textId="77777777" w:rsidR="007E365E" w:rsidRPr="00173B02" w:rsidRDefault="007E365E" w:rsidP="007D1D77">
            <w:pPr>
              <w:pStyle w:val="CGCTablesubhead1"/>
              <w:jc w:val="right"/>
            </w:pPr>
            <w:r w:rsidRPr="00173B02">
              <w:t>%</w:t>
            </w:r>
          </w:p>
        </w:tc>
        <w:tc>
          <w:tcPr>
            <w:tcW w:w="2020" w:type="dxa"/>
            <w:shd w:val="clear" w:color="auto" w:fill="B6D5E4"/>
            <w:noWrap/>
            <w:vAlign w:val="center"/>
            <w:hideMark/>
          </w:tcPr>
          <w:p w14:paraId="7ED794F9" w14:textId="77777777" w:rsidR="007E365E" w:rsidRPr="00173B02" w:rsidRDefault="007E365E" w:rsidP="007D1D77">
            <w:pPr>
              <w:pStyle w:val="CGCTablesubhead1"/>
              <w:jc w:val="right"/>
            </w:pPr>
            <w:r w:rsidRPr="00173B02">
              <w:t>%</w:t>
            </w:r>
          </w:p>
        </w:tc>
        <w:tc>
          <w:tcPr>
            <w:tcW w:w="1600" w:type="dxa"/>
            <w:shd w:val="clear" w:color="auto" w:fill="B6D5E4"/>
            <w:noWrap/>
            <w:vAlign w:val="center"/>
            <w:hideMark/>
          </w:tcPr>
          <w:p w14:paraId="2F7B072C" w14:textId="77777777" w:rsidR="007E365E" w:rsidRPr="00173B02" w:rsidRDefault="007E365E" w:rsidP="007D1D77">
            <w:pPr>
              <w:pStyle w:val="CGCTablesubhead1"/>
              <w:jc w:val="right"/>
            </w:pPr>
            <w:r w:rsidRPr="00173B02">
              <w:t>%</w:t>
            </w:r>
          </w:p>
        </w:tc>
        <w:tc>
          <w:tcPr>
            <w:tcW w:w="1260" w:type="dxa"/>
            <w:shd w:val="clear" w:color="auto" w:fill="B6D5E4"/>
            <w:noWrap/>
            <w:vAlign w:val="center"/>
            <w:hideMark/>
          </w:tcPr>
          <w:p w14:paraId="1DCF006C" w14:textId="77777777" w:rsidR="007E365E" w:rsidRPr="00173B02" w:rsidRDefault="007E365E" w:rsidP="007D1D77">
            <w:pPr>
              <w:pStyle w:val="CGCTablesubhead1"/>
              <w:jc w:val="right"/>
            </w:pPr>
            <w:r w:rsidRPr="00173B02">
              <w:t>‘000</w:t>
            </w:r>
          </w:p>
        </w:tc>
      </w:tr>
      <w:tr w:rsidR="007E365E" w:rsidRPr="00173B02" w14:paraId="73607418" w14:textId="77777777" w:rsidTr="007D1D77">
        <w:trPr>
          <w:trHeight w:val="315"/>
        </w:trPr>
        <w:tc>
          <w:tcPr>
            <w:tcW w:w="2400" w:type="dxa"/>
            <w:shd w:val="clear" w:color="auto" w:fill="auto"/>
            <w:noWrap/>
            <w:vAlign w:val="bottom"/>
            <w:hideMark/>
          </w:tcPr>
          <w:p w14:paraId="7BA1B04A" w14:textId="77777777" w:rsidR="007E365E" w:rsidRPr="00173B02" w:rsidRDefault="007E365E" w:rsidP="007D1D77">
            <w:pPr>
              <w:pStyle w:val="CGCTablerow"/>
              <w:rPr>
                <w:lang w:eastAsia="en-AU"/>
              </w:rPr>
            </w:pPr>
            <w:r w:rsidRPr="00173B02">
              <w:rPr>
                <w:lang w:eastAsia="en-AU"/>
              </w:rPr>
              <w:t>Higher courts</w:t>
            </w:r>
          </w:p>
        </w:tc>
        <w:tc>
          <w:tcPr>
            <w:tcW w:w="1620" w:type="dxa"/>
            <w:shd w:val="clear" w:color="auto" w:fill="auto"/>
            <w:noWrap/>
            <w:vAlign w:val="bottom"/>
            <w:hideMark/>
          </w:tcPr>
          <w:p w14:paraId="04F50D75" w14:textId="77777777" w:rsidR="007E365E" w:rsidRPr="00173B02" w:rsidRDefault="007E365E" w:rsidP="007D1D77">
            <w:pPr>
              <w:pStyle w:val="CGCTablerow"/>
              <w:jc w:val="right"/>
              <w:rPr>
                <w:lang w:eastAsia="en-AU"/>
              </w:rPr>
            </w:pPr>
            <w:r w:rsidRPr="00173B02">
              <w:rPr>
                <w:lang w:eastAsia="en-AU"/>
              </w:rPr>
              <w:t xml:space="preserve">      15 </w:t>
            </w:r>
          </w:p>
        </w:tc>
        <w:tc>
          <w:tcPr>
            <w:tcW w:w="2020" w:type="dxa"/>
            <w:shd w:val="clear" w:color="auto" w:fill="auto"/>
            <w:noWrap/>
            <w:vAlign w:val="bottom"/>
            <w:hideMark/>
          </w:tcPr>
          <w:p w14:paraId="4811FDAC" w14:textId="77777777" w:rsidR="007E365E" w:rsidRPr="00173B02" w:rsidRDefault="007E365E" w:rsidP="007D1D77">
            <w:pPr>
              <w:pStyle w:val="CGCTablerow"/>
              <w:jc w:val="right"/>
              <w:rPr>
                <w:lang w:eastAsia="en-AU"/>
              </w:rPr>
            </w:pPr>
            <w:r w:rsidRPr="00173B02">
              <w:rPr>
                <w:lang w:eastAsia="en-AU"/>
              </w:rPr>
              <w:t xml:space="preserve">     7</w:t>
            </w:r>
            <w:r>
              <w:rPr>
                <w:lang w:eastAsia="en-AU"/>
              </w:rPr>
              <w:t>9</w:t>
            </w:r>
            <w:r w:rsidRPr="00173B02">
              <w:rPr>
                <w:lang w:eastAsia="en-AU"/>
              </w:rPr>
              <w:t xml:space="preserve"> </w:t>
            </w:r>
          </w:p>
        </w:tc>
        <w:tc>
          <w:tcPr>
            <w:tcW w:w="1600" w:type="dxa"/>
            <w:shd w:val="clear" w:color="auto" w:fill="auto"/>
            <w:noWrap/>
            <w:vAlign w:val="bottom"/>
            <w:hideMark/>
          </w:tcPr>
          <w:p w14:paraId="753D83DA" w14:textId="77777777" w:rsidR="007E365E" w:rsidRPr="00173B02" w:rsidRDefault="007E365E" w:rsidP="007D1D77">
            <w:pPr>
              <w:pStyle w:val="CGCTablerow"/>
              <w:jc w:val="right"/>
              <w:rPr>
                <w:lang w:eastAsia="en-AU"/>
              </w:rPr>
            </w:pPr>
            <w:r w:rsidRPr="00173B02">
              <w:rPr>
                <w:lang w:eastAsia="en-AU"/>
              </w:rPr>
              <w:t xml:space="preserve">   </w:t>
            </w:r>
            <w:r>
              <w:rPr>
                <w:lang w:eastAsia="en-AU"/>
              </w:rPr>
              <w:t>5</w:t>
            </w:r>
            <w:r w:rsidRPr="00173B02">
              <w:rPr>
                <w:lang w:eastAsia="en-AU"/>
              </w:rPr>
              <w:t xml:space="preserve"> </w:t>
            </w:r>
          </w:p>
        </w:tc>
        <w:tc>
          <w:tcPr>
            <w:tcW w:w="1260" w:type="dxa"/>
            <w:shd w:val="clear" w:color="auto" w:fill="auto"/>
            <w:noWrap/>
            <w:vAlign w:val="bottom"/>
            <w:hideMark/>
          </w:tcPr>
          <w:p w14:paraId="53F83044" w14:textId="77777777" w:rsidR="007E365E" w:rsidRPr="00173B02" w:rsidRDefault="007E365E" w:rsidP="007D1D77">
            <w:pPr>
              <w:pStyle w:val="CGCTablerow"/>
              <w:jc w:val="right"/>
              <w:rPr>
                <w:lang w:eastAsia="en-AU"/>
              </w:rPr>
            </w:pPr>
            <w:r w:rsidRPr="00173B02">
              <w:rPr>
                <w:lang w:eastAsia="en-AU"/>
              </w:rPr>
              <w:t xml:space="preserve">12 </w:t>
            </w:r>
          </w:p>
        </w:tc>
      </w:tr>
      <w:tr w:rsidR="007E365E" w:rsidRPr="00173B02" w14:paraId="690E6289" w14:textId="77777777" w:rsidTr="007D1D77">
        <w:trPr>
          <w:trHeight w:val="315"/>
        </w:trPr>
        <w:tc>
          <w:tcPr>
            <w:tcW w:w="2400" w:type="dxa"/>
            <w:shd w:val="clear" w:color="auto" w:fill="auto"/>
            <w:noWrap/>
            <w:vAlign w:val="bottom"/>
            <w:hideMark/>
          </w:tcPr>
          <w:p w14:paraId="5652C34A" w14:textId="77777777" w:rsidR="007E365E" w:rsidRPr="00173B02" w:rsidRDefault="007E365E" w:rsidP="007D1D77">
            <w:pPr>
              <w:pStyle w:val="CGCTablerow"/>
              <w:rPr>
                <w:lang w:eastAsia="en-AU"/>
              </w:rPr>
            </w:pPr>
            <w:r w:rsidRPr="00173B02">
              <w:rPr>
                <w:lang w:eastAsia="en-AU"/>
              </w:rPr>
              <w:t>Lower courts</w:t>
            </w:r>
          </w:p>
        </w:tc>
        <w:tc>
          <w:tcPr>
            <w:tcW w:w="1620" w:type="dxa"/>
            <w:shd w:val="clear" w:color="auto" w:fill="auto"/>
            <w:noWrap/>
            <w:vAlign w:val="bottom"/>
            <w:hideMark/>
          </w:tcPr>
          <w:p w14:paraId="401AD06A" w14:textId="77777777" w:rsidR="007E365E" w:rsidRPr="00173B02" w:rsidRDefault="007E365E" w:rsidP="007D1D77">
            <w:pPr>
              <w:pStyle w:val="CGCTablerow"/>
              <w:jc w:val="right"/>
              <w:rPr>
                <w:lang w:eastAsia="en-AU"/>
              </w:rPr>
            </w:pPr>
          </w:p>
        </w:tc>
        <w:tc>
          <w:tcPr>
            <w:tcW w:w="2020" w:type="dxa"/>
            <w:shd w:val="clear" w:color="auto" w:fill="auto"/>
            <w:noWrap/>
            <w:vAlign w:val="bottom"/>
            <w:hideMark/>
          </w:tcPr>
          <w:p w14:paraId="5FBA46E0" w14:textId="77777777" w:rsidR="007E365E" w:rsidRPr="00173B02" w:rsidRDefault="007E365E" w:rsidP="007D1D77">
            <w:pPr>
              <w:pStyle w:val="CGCTablerow"/>
              <w:jc w:val="right"/>
              <w:rPr>
                <w:rFonts w:ascii="Times New Roman" w:hAnsi="Times New Roman" w:cs="Times New Roman"/>
                <w:lang w:eastAsia="en-AU"/>
              </w:rPr>
            </w:pPr>
          </w:p>
        </w:tc>
        <w:tc>
          <w:tcPr>
            <w:tcW w:w="1600" w:type="dxa"/>
            <w:shd w:val="clear" w:color="auto" w:fill="auto"/>
            <w:noWrap/>
            <w:vAlign w:val="bottom"/>
            <w:hideMark/>
          </w:tcPr>
          <w:p w14:paraId="083DED73" w14:textId="77777777" w:rsidR="007E365E" w:rsidRPr="00173B02" w:rsidRDefault="007E365E" w:rsidP="007D1D77">
            <w:pPr>
              <w:pStyle w:val="CGCTablerow"/>
              <w:jc w:val="right"/>
              <w:rPr>
                <w:rFonts w:ascii="Times New Roman" w:hAnsi="Times New Roman" w:cs="Times New Roman"/>
                <w:lang w:eastAsia="en-AU"/>
              </w:rPr>
            </w:pPr>
          </w:p>
        </w:tc>
        <w:tc>
          <w:tcPr>
            <w:tcW w:w="1260" w:type="dxa"/>
            <w:shd w:val="clear" w:color="auto" w:fill="auto"/>
            <w:noWrap/>
            <w:vAlign w:val="bottom"/>
            <w:hideMark/>
          </w:tcPr>
          <w:p w14:paraId="4ACB01BC" w14:textId="77777777" w:rsidR="007E365E" w:rsidRPr="00173B02" w:rsidRDefault="007E365E" w:rsidP="007D1D77">
            <w:pPr>
              <w:pStyle w:val="CGCTablerow"/>
              <w:jc w:val="right"/>
              <w:rPr>
                <w:lang w:eastAsia="en-AU"/>
              </w:rPr>
            </w:pPr>
            <w:r w:rsidRPr="00173B02">
              <w:rPr>
                <w:lang w:eastAsia="en-AU"/>
              </w:rPr>
              <w:t xml:space="preserve">  </w:t>
            </w:r>
          </w:p>
        </w:tc>
      </w:tr>
      <w:tr w:rsidR="007E365E" w:rsidRPr="00173B02" w14:paraId="2B50256E" w14:textId="77777777" w:rsidTr="007D1D77">
        <w:trPr>
          <w:trHeight w:val="315"/>
        </w:trPr>
        <w:tc>
          <w:tcPr>
            <w:tcW w:w="2400" w:type="dxa"/>
            <w:shd w:val="clear" w:color="auto" w:fill="auto"/>
            <w:noWrap/>
            <w:vAlign w:val="bottom"/>
            <w:hideMark/>
          </w:tcPr>
          <w:p w14:paraId="67E7086B" w14:textId="77777777" w:rsidR="007E365E" w:rsidRPr="00173B02" w:rsidRDefault="007E365E" w:rsidP="007D1D77">
            <w:pPr>
              <w:pStyle w:val="CGCTablerow"/>
              <w:rPr>
                <w:lang w:eastAsia="en-AU"/>
              </w:rPr>
            </w:pPr>
            <w:r w:rsidRPr="00173B02">
              <w:rPr>
                <w:lang w:eastAsia="en-AU"/>
              </w:rPr>
              <w:t xml:space="preserve">  Traffic offences</w:t>
            </w:r>
          </w:p>
        </w:tc>
        <w:tc>
          <w:tcPr>
            <w:tcW w:w="1620" w:type="dxa"/>
            <w:shd w:val="clear" w:color="auto" w:fill="auto"/>
            <w:noWrap/>
            <w:vAlign w:val="bottom"/>
            <w:hideMark/>
          </w:tcPr>
          <w:p w14:paraId="253AEB3B" w14:textId="77777777" w:rsidR="007E365E" w:rsidRPr="00173B02" w:rsidRDefault="007E365E" w:rsidP="007D1D77">
            <w:pPr>
              <w:pStyle w:val="CGCTablerow"/>
              <w:jc w:val="right"/>
              <w:rPr>
                <w:lang w:eastAsia="en-AU"/>
              </w:rPr>
            </w:pPr>
            <w:r w:rsidRPr="00173B02">
              <w:rPr>
                <w:lang w:eastAsia="en-AU"/>
              </w:rPr>
              <w:t xml:space="preserve"> — </w:t>
            </w:r>
          </w:p>
        </w:tc>
        <w:tc>
          <w:tcPr>
            <w:tcW w:w="2020" w:type="dxa"/>
            <w:shd w:val="clear" w:color="auto" w:fill="auto"/>
            <w:noWrap/>
            <w:vAlign w:val="bottom"/>
            <w:hideMark/>
          </w:tcPr>
          <w:p w14:paraId="605F01A9" w14:textId="77777777" w:rsidR="007E365E" w:rsidRPr="00173B02" w:rsidRDefault="007E365E" w:rsidP="007D1D77">
            <w:pPr>
              <w:pStyle w:val="CGCTablerow"/>
              <w:jc w:val="right"/>
              <w:rPr>
                <w:lang w:eastAsia="en-AU"/>
              </w:rPr>
            </w:pPr>
            <w:r w:rsidRPr="00173B02">
              <w:rPr>
                <w:lang w:eastAsia="en-AU"/>
              </w:rPr>
              <w:t xml:space="preserve"> — </w:t>
            </w:r>
          </w:p>
        </w:tc>
        <w:tc>
          <w:tcPr>
            <w:tcW w:w="1600" w:type="dxa"/>
            <w:shd w:val="clear" w:color="auto" w:fill="auto"/>
            <w:noWrap/>
            <w:vAlign w:val="bottom"/>
            <w:hideMark/>
          </w:tcPr>
          <w:p w14:paraId="37CF9852" w14:textId="77777777" w:rsidR="007E365E" w:rsidRPr="00173B02" w:rsidRDefault="007E365E" w:rsidP="007D1D77">
            <w:pPr>
              <w:pStyle w:val="CGCTablerow"/>
              <w:jc w:val="right"/>
              <w:rPr>
                <w:lang w:eastAsia="en-AU"/>
              </w:rPr>
            </w:pPr>
            <w:r w:rsidRPr="00173B02">
              <w:rPr>
                <w:lang w:eastAsia="en-AU"/>
              </w:rPr>
              <w:t xml:space="preserve">100 </w:t>
            </w:r>
          </w:p>
        </w:tc>
        <w:tc>
          <w:tcPr>
            <w:tcW w:w="1260" w:type="dxa"/>
            <w:shd w:val="clear" w:color="auto" w:fill="auto"/>
            <w:noWrap/>
            <w:vAlign w:val="bottom"/>
            <w:hideMark/>
          </w:tcPr>
          <w:p w14:paraId="32135928" w14:textId="77777777" w:rsidR="007E365E" w:rsidRPr="00173B02" w:rsidRDefault="007E365E" w:rsidP="007D1D77">
            <w:pPr>
              <w:pStyle w:val="CGCTablerow"/>
              <w:jc w:val="right"/>
              <w:rPr>
                <w:lang w:eastAsia="en-AU"/>
              </w:rPr>
            </w:pPr>
            <w:r w:rsidRPr="00173B02">
              <w:rPr>
                <w:lang w:eastAsia="en-AU"/>
              </w:rPr>
              <w:t xml:space="preserve">138 </w:t>
            </w:r>
          </w:p>
        </w:tc>
      </w:tr>
      <w:tr w:rsidR="007E365E" w:rsidRPr="00173B02" w14:paraId="5B481626" w14:textId="77777777" w:rsidTr="007D1D77">
        <w:trPr>
          <w:trHeight w:val="315"/>
        </w:trPr>
        <w:tc>
          <w:tcPr>
            <w:tcW w:w="2400" w:type="dxa"/>
            <w:shd w:val="clear" w:color="auto" w:fill="auto"/>
            <w:noWrap/>
            <w:vAlign w:val="bottom"/>
            <w:hideMark/>
          </w:tcPr>
          <w:p w14:paraId="3CB8B4E5" w14:textId="77777777" w:rsidR="007E365E" w:rsidRPr="00173B02" w:rsidRDefault="007E365E" w:rsidP="007D1D77">
            <w:pPr>
              <w:pStyle w:val="CGCTablerow"/>
              <w:rPr>
                <w:lang w:eastAsia="en-AU"/>
              </w:rPr>
            </w:pPr>
            <w:r w:rsidRPr="00173B02">
              <w:rPr>
                <w:lang w:eastAsia="en-AU"/>
              </w:rPr>
              <w:t xml:space="preserve">  Other offences</w:t>
            </w:r>
          </w:p>
        </w:tc>
        <w:tc>
          <w:tcPr>
            <w:tcW w:w="1620" w:type="dxa"/>
            <w:shd w:val="clear" w:color="auto" w:fill="auto"/>
            <w:noWrap/>
            <w:vAlign w:val="bottom"/>
            <w:hideMark/>
          </w:tcPr>
          <w:p w14:paraId="1500770E" w14:textId="77777777" w:rsidR="007E365E" w:rsidRPr="00173B02" w:rsidRDefault="007E365E" w:rsidP="007D1D77">
            <w:pPr>
              <w:pStyle w:val="CGCTablerow"/>
              <w:jc w:val="right"/>
              <w:rPr>
                <w:lang w:eastAsia="en-AU"/>
              </w:rPr>
            </w:pPr>
            <w:r w:rsidRPr="00173B02">
              <w:rPr>
                <w:lang w:eastAsia="en-AU"/>
              </w:rPr>
              <w:t xml:space="preserve">21 </w:t>
            </w:r>
          </w:p>
        </w:tc>
        <w:tc>
          <w:tcPr>
            <w:tcW w:w="2020" w:type="dxa"/>
            <w:shd w:val="clear" w:color="auto" w:fill="auto"/>
            <w:noWrap/>
            <w:vAlign w:val="bottom"/>
            <w:hideMark/>
          </w:tcPr>
          <w:p w14:paraId="4DE420F6" w14:textId="77777777" w:rsidR="007E365E" w:rsidRPr="00173B02" w:rsidRDefault="007E365E" w:rsidP="007D1D77">
            <w:pPr>
              <w:pStyle w:val="CGCTablerow"/>
              <w:jc w:val="right"/>
              <w:rPr>
                <w:lang w:eastAsia="en-AU"/>
              </w:rPr>
            </w:pPr>
            <w:r w:rsidRPr="00173B02">
              <w:rPr>
                <w:lang w:eastAsia="en-AU"/>
              </w:rPr>
              <w:t xml:space="preserve">71 </w:t>
            </w:r>
          </w:p>
        </w:tc>
        <w:tc>
          <w:tcPr>
            <w:tcW w:w="1600" w:type="dxa"/>
            <w:shd w:val="clear" w:color="auto" w:fill="auto"/>
            <w:noWrap/>
            <w:vAlign w:val="bottom"/>
            <w:hideMark/>
          </w:tcPr>
          <w:p w14:paraId="43D16525" w14:textId="77777777" w:rsidR="007E365E" w:rsidRPr="00173B02" w:rsidRDefault="007E365E" w:rsidP="007D1D77">
            <w:pPr>
              <w:pStyle w:val="CGCTablerow"/>
              <w:jc w:val="right"/>
              <w:rPr>
                <w:lang w:eastAsia="en-AU"/>
              </w:rPr>
            </w:pPr>
            <w:r w:rsidRPr="00173B02">
              <w:rPr>
                <w:lang w:eastAsia="en-AU"/>
              </w:rPr>
              <w:t xml:space="preserve">7 </w:t>
            </w:r>
          </w:p>
        </w:tc>
        <w:tc>
          <w:tcPr>
            <w:tcW w:w="1260" w:type="dxa"/>
            <w:shd w:val="clear" w:color="auto" w:fill="auto"/>
            <w:noWrap/>
            <w:vAlign w:val="bottom"/>
            <w:hideMark/>
          </w:tcPr>
          <w:p w14:paraId="532205DF" w14:textId="77777777" w:rsidR="007E365E" w:rsidRPr="00173B02" w:rsidRDefault="007E365E" w:rsidP="007D1D77">
            <w:pPr>
              <w:pStyle w:val="CGCTablerow"/>
              <w:jc w:val="right"/>
              <w:rPr>
                <w:lang w:eastAsia="en-AU"/>
              </w:rPr>
            </w:pPr>
            <w:r w:rsidRPr="00173B02">
              <w:rPr>
                <w:lang w:eastAsia="en-AU"/>
              </w:rPr>
              <w:t xml:space="preserve">223 </w:t>
            </w:r>
          </w:p>
        </w:tc>
      </w:tr>
      <w:tr w:rsidR="007E365E" w:rsidRPr="00173B02" w14:paraId="2CF213A7" w14:textId="77777777" w:rsidTr="007D1D77">
        <w:trPr>
          <w:trHeight w:val="315"/>
        </w:trPr>
        <w:tc>
          <w:tcPr>
            <w:tcW w:w="2400" w:type="dxa"/>
            <w:tcBorders>
              <w:bottom w:val="single" w:sz="4" w:space="0" w:color="ADD6EA"/>
            </w:tcBorders>
            <w:shd w:val="clear" w:color="auto" w:fill="auto"/>
            <w:noWrap/>
            <w:vAlign w:val="bottom"/>
            <w:hideMark/>
          </w:tcPr>
          <w:p w14:paraId="77869D59" w14:textId="77777777" w:rsidR="007E365E" w:rsidRPr="00173B02" w:rsidRDefault="007E365E" w:rsidP="007D1D77">
            <w:pPr>
              <w:pStyle w:val="CGCTablerow"/>
              <w:rPr>
                <w:lang w:eastAsia="en-AU"/>
              </w:rPr>
            </w:pPr>
            <w:r w:rsidRPr="00173B02">
              <w:rPr>
                <w:lang w:eastAsia="en-AU"/>
              </w:rPr>
              <w:t xml:space="preserve">  Total lower courts</w:t>
            </w:r>
          </w:p>
        </w:tc>
        <w:tc>
          <w:tcPr>
            <w:tcW w:w="1620" w:type="dxa"/>
            <w:tcBorders>
              <w:bottom w:val="single" w:sz="4" w:space="0" w:color="ADD6EA"/>
            </w:tcBorders>
            <w:shd w:val="clear" w:color="auto" w:fill="auto"/>
            <w:noWrap/>
            <w:vAlign w:val="bottom"/>
            <w:hideMark/>
          </w:tcPr>
          <w:p w14:paraId="024F4E9B" w14:textId="77777777" w:rsidR="007E365E" w:rsidRPr="00173B02" w:rsidRDefault="007E365E" w:rsidP="007D1D77">
            <w:pPr>
              <w:pStyle w:val="CGCTablerow"/>
              <w:jc w:val="right"/>
              <w:rPr>
                <w:lang w:eastAsia="en-AU"/>
              </w:rPr>
            </w:pPr>
            <w:r w:rsidRPr="00173B02">
              <w:rPr>
                <w:lang w:eastAsia="en-AU"/>
              </w:rPr>
              <w:t xml:space="preserve">   13 </w:t>
            </w:r>
          </w:p>
        </w:tc>
        <w:tc>
          <w:tcPr>
            <w:tcW w:w="2020" w:type="dxa"/>
            <w:tcBorders>
              <w:bottom w:val="single" w:sz="4" w:space="0" w:color="ADD6EA"/>
            </w:tcBorders>
            <w:shd w:val="clear" w:color="auto" w:fill="auto"/>
            <w:noWrap/>
            <w:vAlign w:val="bottom"/>
            <w:hideMark/>
          </w:tcPr>
          <w:p w14:paraId="378739BF" w14:textId="77777777" w:rsidR="007E365E" w:rsidRPr="00173B02" w:rsidRDefault="007E365E" w:rsidP="007D1D77">
            <w:pPr>
              <w:pStyle w:val="CGCTablerow"/>
              <w:jc w:val="right"/>
              <w:rPr>
                <w:lang w:eastAsia="en-AU"/>
              </w:rPr>
            </w:pPr>
            <w:r w:rsidRPr="00173B02">
              <w:rPr>
                <w:lang w:eastAsia="en-AU"/>
              </w:rPr>
              <w:t xml:space="preserve">44 </w:t>
            </w:r>
          </w:p>
        </w:tc>
        <w:tc>
          <w:tcPr>
            <w:tcW w:w="1600" w:type="dxa"/>
            <w:tcBorders>
              <w:bottom w:val="single" w:sz="4" w:space="0" w:color="ADD6EA"/>
            </w:tcBorders>
            <w:shd w:val="clear" w:color="auto" w:fill="auto"/>
            <w:noWrap/>
            <w:vAlign w:val="bottom"/>
            <w:hideMark/>
          </w:tcPr>
          <w:p w14:paraId="59BF1906" w14:textId="77777777" w:rsidR="007E365E" w:rsidRPr="00173B02" w:rsidRDefault="007E365E" w:rsidP="007D1D77">
            <w:pPr>
              <w:pStyle w:val="CGCTablerow"/>
              <w:jc w:val="right"/>
              <w:rPr>
                <w:lang w:eastAsia="en-AU"/>
              </w:rPr>
            </w:pPr>
            <w:r w:rsidRPr="00173B02">
              <w:rPr>
                <w:lang w:eastAsia="en-AU"/>
              </w:rPr>
              <w:t xml:space="preserve">43 </w:t>
            </w:r>
          </w:p>
        </w:tc>
        <w:tc>
          <w:tcPr>
            <w:tcW w:w="1260" w:type="dxa"/>
            <w:tcBorders>
              <w:bottom w:val="single" w:sz="4" w:space="0" w:color="ADD6EA"/>
            </w:tcBorders>
            <w:shd w:val="clear" w:color="auto" w:fill="auto"/>
            <w:noWrap/>
            <w:vAlign w:val="bottom"/>
            <w:hideMark/>
          </w:tcPr>
          <w:p w14:paraId="132FD459" w14:textId="77777777" w:rsidR="007E365E" w:rsidRPr="00173B02" w:rsidRDefault="007E365E" w:rsidP="007D1D77">
            <w:pPr>
              <w:pStyle w:val="CGCTablerow"/>
              <w:jc w:val="right"/>
              <w:rPr>
                <w:lang w:eastAsia="en-AU"/>
              </w:rPr>
            </w:pPr>
            <w:r w:rsidRPr="00173B02">
              <w:rPr>
                <w:lang w:eastAsia="en-AU"/>
              </w:rPr>
              <w:t xml:space="preserve">361 </w:t>
            </w:r>
          </w:p>
        </w:tc>
      </w:tr>
      <w:tr w:rsidR="007E365E" w:rsidRPr="00173B02" w14:paraId="5B8C1D82" w14:textId="77777777" w:rsidTr="007D1D77">
        <w:trPr>
          <w:trHeight w:val="315"/>
        </w:trPr>
        <w:tc>
          <w:tcPr>
            <w:tcW w:w="2400" w:type="dxa"/>
            <w:shd w:val="clear" w:color="auto" w:fill="D6E7F0"/>
            <w:noWrap/>
            <w:vAlign w:val="bottom"/>
            <w:hideMark/>
          </w:tcPr>
          <w:p w14:paraId="5DE8C5C8" w14:textId="77777777" w:rsidR="007E365E" w:rsidRPr="00173B02" w:rsidRDefault="007E365E" w:rsidP="007D1D77">
            <w:pPr>
              <w:pStyle w:val="CGCTablesubhead2"/>
              <w:rPr>
                <w:lang w:eastAsia="en-AU"/>
              </w:rPr>
            </w:pPr>
            <w:r w:rsidRPr="00173B02">
              <w:rPr>
                <w:lang w:eastAsia="en-AU"/>
              </w:rPr>
              <w:t>Total courts</w:t>
            </w:r>
          </w:p>
        </w:tc>
        <w:tc>
          <w:tcPr>
            <w:tcW w:w="1620" w:type="dxa"/>
            <w:shd w:val="clear" w:color="auto" w:fill="D6E7F0"/>
            <w:noWrap/>
            <w:vAlign w:val="bottom"/>
            <w:hideMark/>
          </w:tcPr>
          <w:p w14:paraId="45F87ADF" w14:textId="77777777" w:rsidR="007E365E" w:rsidRPr="00173B02" w:rsidRDefault="007E365E" w:rsidP="007D1D77">
            <w:pPr>
              <w:pStyle w:val="CGCTablesubhead2"/>
              <w:jc w:val="right"/>
              <w:rPr>
                <w:lang w:eastAsia="en-AU"/>
              </w:rPr>
            </w:pPr>
            <w:r w:rsidRPr="00173B02">
              <w:rPr>
                <w:lang w:eastAsia="en-AU"/>
              </w:rPr>
              <w:t xml:space="preserve">13 </w:t>
            </w:r>
          </w:p>
        </w:tc>
        <w:tc>
          <w:tcPr>
            <w:tcW w:w="2020" w:type="dxa"/>
            <w:shd w:val="clear" w:color="auto" w:fill="D6E7F0"/>
            <w:noWrap/>
            <w:vAlign w:val="bottom"/>
            <w:hideMark/>
          </w:tcPr>
          <w:p w14:paraId="688EA875" w14:textId="77777777" w:rsidR="007E365E" w:rsidRPr="00173B02" w:rsidRDefault="007E365E" w:rsidP="007D1D77">
            <w:pPr>
              <w:pStyle w:val="CGCTablesubhead2"/>
              <w:jc w:val="right"/>
              <w:rPr>
                <w:lang w:eastAsia="en-AU"/>
              </w:rPr>
            </w:pPr>
            <w:r w:rsidRPr="00173B02">
              <w:rPr>
                <w:lang w:eastAsia="en-AU"/>
              </w:rPr>
              <w:t xml:space="preserve">45 </w:t>
            </w:r>
          </w:p>
        </w:tc>
        <w:tc>
          <w:tcPr>
            <w:tcW w:w="1600" w:type="dxa"/>
            <w:shd w:val="clear" w:color="auto" w:fill="D6E7F0"/>
            <w:noWrap/>
            <w:vAlign w:val="bottom"/>
            <w:hideMark/>
          </w:tcPr>
          <w:p w14:paraId="43E17C7A" w14:textId="77777777" w:rsidR="007E365E" w:rsidRPr="00173B02" w:rsidRDefault="007E365E" w:rsidP="007D1D77">
            <w:pPr>
              <w:pStyle w:val="CGCTablesubhead2"/>
              <w:jc w:val="right"/>
              <w:rPr>
                <w:lang w:eastAsia="en-AU"/>
              </w:rPr>
            </w:pPr>
            <w:r w:rsidRPr="00173B02">
              <w:rPr>
                <w:lang w:eastAsia="en-AU"/>
              </w:rPr>
              <w:t>4</w:t>
            </w:r>
            <w:r>
              <w:rPr>
                <w:lang w:eastAsia="en-AU"/>
              </w:rPr>
              <w:t>1</w:t>
            </w:r>
            <w:r w:rsidRPr="00173B02">
              <w:rPr>
                <w:lang w:eastAsia="en-AU"/>
              </w:rPr>
              <w:t xml:space="preserve"> </w:t>
            </w:r>
          </w:p>
        </w:tc>
        <w:tc>
          <w:tcPr>
            <w:tcW w:w="1260" w:type="dxa"/>
            <w:shd w:val="clear" w:color="auto" w:fill="D6E7F0"/>
            <w:noWrap/>
            <w:vAlign w:val="bottom"/>
            <w:hideMark/>
          </w:tcPr>
          <w:p w14:paraId="3C712458" w14:textId="77777777" w:rsidR="007E365E" w:rsidRPr="00173B02" w:rsidRDefault="007E365E" w:rsidP="007D1D77">
            <w:pPr>
              <w:pStyle w:val="CGCTablesubhead2"/>
              <w:jc w:val="right"/>
              <w:rPr>
                <w:lang w:eastAsia="en-AU"/>
              </w:rPr>
            </w:pPr>
            <w:r w:rsidRPr="00173B02">
              <w:rPr>
                <w:lang w:eastAsia="en-AU"/>
              </w:rPr>
              <w:t xml:space="preserve">374 </w:t>
            </w:r>
          </w:p>
        </w:tc>
      </w:tr>
    </w:tbl>
    <w:p w14:paraId="2954E064" w14:textId="77777777" w:rsidR="007E365E" w:rsidRPr="00173B02" w:rsidRDefault="007E365E" w:rsidP="007E365E">
      <w:pPr>
        <w:pStyle w:val="CGCTablenote"/>
      </w:pPr>
      <w:r w:rsidRPr="00173B02">
        <w:t xml:space="preserve">Note: </w:t>
      </w:r>
      <w:r w:rsidRPr="00173B02">
        <w:tab/>
        <w:t>Data from New South Wales, Queensland, South Australia and the Northern Territory.</w:t>
      </w:r>
    </w:p>
    <w:p w14:paraId="38311FD7" w14:textId="77777777" w:rsidR="007E365E" w:rsidRPr="00173B02" w:rsidRDefault="007E365E" w:rsidP="007E365E">
      <w:pPr>
        <w:pStyle w:val="CGCTablenote"/>
      </w:pPr>
      <w:r w:rsidRPr="00173B02">
        <w:t xml:space="preserve">Source: </w:t>
      </w:r>
      <w:r w:rsidRPr="00173B02">
        <w:tab/>
        <w:t>ABS</w:t>
      </w:r>
      <w:r>
        <w:t xml:space="preserve"> 2018</w:t>
      </w:r>
      <w:r w:rsidRPr="00173B02">
        <w:t xml:space="preserve">, </w:t>
      </w:r>
      <w:r w:rsidRPr="00173B02">
        <w:rPr>
          <w:i/>
        </w:rPr>
        <w:t>Criminal Courts</w:t>
      </w:r>
      <w:r>
        <w:rPr>
          <w:i/>
        </w:rPr>
        <w:t>, Australia, 2016-17</w:t>
      </w:r>
      <w:r w:rsidRPr="00173B02">
        <w:t>, cat. no. 4513.0. Tables 2 &amp; 13.</w:t>
      </w:r>
    </w:p>
    <w:p w14:paraId="4F9F47D5" w14:textId="77777777" w:rsidR="007E365E" w:rsidRPr="00173B02" w:rsidRDefault="007E365E" w:rsidP="007E365E">
      <w:pPr>
        <w:pStyle w:val="Heading4"/>
      </w:pPr>
      <w:bookmarkStart w:id="112" w:name="_Toc5893833"/>
      <w:bookmarkStart w:id="113" w:name="_Toc6487598"/>
      <w:bookmarkStart w:id="114" w:name="_Toc6487636"/>
      <w:bookmarkStart w:id="115" w:name="_Toc7442890"/>
      <w:bookmarkStart w:id="116" w:name="_Toc23500165"/>
      <w:r w:rsidRPr="00173B02">
        <w:lastRenderedPageBreak/>
        <w:t>Culturally and linguistically diverse prisoners</w:t>
      </w:r>
      <w:bookmarkEnd w:id="112"/>
      <w:bookmarkEnd w:id="113"/>
      <w:bookmarkEnd w:id="114"/>
      <w:bookmarkEnd w:id="115"/>
      <w:bookmarkEnd w:id="116"/>
    </w:p>
    <w:p w14:paraId="2C939038" w14:textId="77777777" w:rsidR="007E365E" w:rsidRPr="00173B02" w:rsidRDefault="007E365E" w:rsidP="007E365E">
      <w:pPr>
        <w:pStyle w:val="CGCParaNumber"/>
      </w:pPr>
      <w:r w:rsidRPr="00173B02">
        <w:t xml:space="preserve">New South Wales argued that it has a higher than average </w:t>
      </w:r>
      <w:r>
        <w:t xml:space="preserve">proportion of </w:t>
      </w:r>
      <w:r w:rsidRPr="00173B02">
        <w:t xml:space="preserve">culturally and linguistically diverse (CALD) population and this adds complexity and cost to the provision of corrective and other justice services. </w:t>
      </w:r>
    </w:p>
    <w:p w14:paraId="34108604" w14:textId="77777777" w:rsidR="007E365E" w:rsidRPr="00173B02" w:rsidRDefault="007E365E" w:rsidP="007E365E">
      <w:pPr>
        <w:pStyle w:val="CGCParaNumber"/>
      </w:pPr>
      <w:r w:rsidRPr="00173B02">
        <w:t>There are difficulties in collecting information that both define a CALD prisoner and a relative cost weight. The only known CALD information on prisoners is country of birth.</w:t>
      </w:r>
      <w:r w:rsidRPr="00173B02">
        <w:rPr>
          <w:rStyle w:val="FootnoteReference"/>
        </w:rPr>
        <w:footnoteReference w:id="11"/>
      </w:r>
      <w:r w:rsidRPr="00173B02">
        <w:t xml:space="preserve"> The Commission considers being born overseas is not an adequate way to define the CALD population, as many people born overseas have good English and do not require an interpreter. Likewise, there are many people born in Australia, particularly the Indigenous population in the Northern Territory, who require additional resources due to cultural and linguistic differences. </w:t>
      </w:r>
    </w:p>
    <w:p w14:paraId="78F220D7" w14:textId="77777777" w:rsidR="007E365E" w:rsidRPr="00173B02" w:rsidRDefault="007E365E" w:rsidP="007E365E">
      <w:pPr>
        <w:pStyle w:val="CGCParaNumber"/>
      </w:pPr>
      <w:r w:rsidRPr="00173B02">
        <w:t xml:space="preserve">Additionally, the Commission would need access to detailed prisoner cost information to determine any cost weight. </w:t>
      </w:r>
    </w:p>
    <w:p w14:paraId="7BE2CCB1" w14:textId="77777777" w:rsidR="007E365E" w:rsidRPr="00173B02" w:rsidRDefault="007E365E" w:rsidP="007E365E">
      <w:pPr>
        <w:pStyle w:val="CGCParaNumber"/>
      </w:pPr>
      <w:r w:rsidRPr="00173B02">
        <w:t>The data indicate that those born in a non-main English speaking country offend at a rate that is lower than the non-Indigenous Australian born population.</w:t>
      </w:r>
      <w:r w:rsidRPr="00173B02">
        <w:rPr>
          <w:rStyle w:val="FootnoteReference"/>
        </w:rPr>
        <w:footnoteReference w:id="12"/>
      </w:r>
      <w:r w:rsidRPr="00173B02">
        <w:t xml:space="preserve"> This lower use rate will most likely offset, to some degree, any additional cost of CALD prisoners. This offsetting of lower use and higher cost is comparable to that seen in other services, such as hospitals. </w:t>
      </w:r>
    </w:p>
    <w:p w14:paraId="46D3946B" w14:textId="15477ADC" w:rsidR="007E365E" w:rsidRPr="00AE492A" w:rsidRDefault="007E365E" w:rsidP="007E365E">
      <w:pPr>
        <w:pStyle w:val="Heading4"/>
      </w:pPr>
      <w:bookmarkStart w:id="117" w:name="_Toc5893834"/>
      <w:bookmarkStart w:id="118" w:name="_Toc6487599"/>
      <w:bookmarkStart w:id="119" w:name="_Toc6487637"/>
      <w:bookmarkStart w:id="120" w:name="_Toc7442891"/>
      <w:bookmarkStart w:id="121" w:name="_Toc23500166"/>
      <w:r w:rsidRPr="00AE492A">
        <w:t>Separate assessment of non-custodial corrective services</w:t>
      </w:r>
      <w:bookmarkEnd w:id="117"/>
      <w:bookmarkEnd w:id="118"/>
      <w:bookmarkEnd w:id="119"/>
      <w:bookmarkEnd w:id="120"/>
      <w:bookmarkEnd w:id="121"/>
    </w:p>
    <w:p w14:paraId="3DF198EC" w14:textId="77777777" w:rsidR="007E365E" w:rsidRPr="00173B02" w:rsidRDefault="007E365E" w:rsidP="007E365E">
      <w:pPr>
        <w:pStyle w:val="CGCParaNumber"/>
      </w:pPr>
      <w:bookmarkStart w:id="122" w:name="_Ref528750639"/>
      <w:r w:rsidRPr="00173B02">
        <w:t>Non-custodial corrective service recipients, such as those undergoing parole or community service orders, have a different SDC profile from prisoners, and represent about 6</w:t>
      </w:r>
      <w:r>
        <w:t>2</w:t>
      </w:r>
      <w:r w:rsidRPr="00173B02">
        <w:t xml:space="preserve">% of people in the corrective services system, but only 15% of total corrective service costs. </w:t>
      </w:r>
      <w:bookmarkEnd w:id="122"/>
      <w:r w:rsidRPr="00173B02">
        <w:t xml:space="preserve">Queensland and Victoria recommended a different assessment of the two groups, rather than using the prison population profile for both. </w:t>
      </w:r>
    </w:p>
    <w:p w14:paraId="78847D95" w14:textId="77777777" w:rsidR="007E365E" w:rsidRPr="00173B02" w:rsidRDefault="007E365E" w:rsidP="007E365E">
      <w:pPr>
        <w:pStyle w:val="CGCParaNumber"/>
      </w:pPr>
      <w:r w:rsidRPr="00173B02">
        <w:t>The Commission used ABS published data</w:t>
      </w:r>
      <w:r w:rsidRPr="00173B02">
        <w:rPr>
          <w:rStyle w:val="FootnoteReference"/>
        </w:rPr>
        <w:footnoteReference w:id="13"/>
      </w:r>
      <w:r w:rsidRPr="00173B02">
        <w:t xml:space="preserve"> to determine the age and Indigenous profile of the non-custodial population. The same SES weights (based on defendant data) were used as there is no other practical alternative. Productivity Commission data</w:t>
      </w:r>
      <w:r w:rsidRPr="00173B02">
        <w:rPr>
          <w:rStyle w:val="FootnoteReference"/>
        </w:rPr>
        <w:footnoteReference w:id="14"/>
      </w:r>
      <w:r w:rsidRPr="00173B02">
        <w:t xml:space="preserve"> were used to determine the proportional split of custodial and non-custodial operating expenses.</w:t>
      </w:r>
    </w:p>
    <w:p w14:paraId="0DD2B3E5" w14:textId="3CDA96DB" w:rsidR="007E365E" w:rsidRPr="00173B02" w:rsidRDefault="007E365E" w:rsidP="007E365E">
      <w:pPr>
        <w:pStyle w:val="CGCParaNumber"/>
      </w:pPr>
      <w:bookmarkStart w:id="123" w:name="_Ref528750678"/>
      <w:r w:rsidRPr="00173B02">
        <w:t xml:space="preserve">A split assessment would redistribute $27 per capita less to the Northern Territory, which is not material. </w:t>
      </w:r>
      <w:bookmarkEnd w:id="123"/>
    </w:p>
    <w:p w14:paraId="674C07EB" w14:textId="7D098C86" w:rsidR="007E365E" w:rsidRPr="00173B02" w:rsidRDefault="007E365E" w:rsidP="007E365E">
      <w:pPr>
        <w:pStyle w:val="Heading4"/>
      </w:pPr>
      <w:bookmarkStart w:id="124" w:name="_Toc5893835"/>
      <w:bookmarkStart w:id="125" w:name="_Toc6487600"/>
      <w:bookmarkStart w:id="126" w:name="_Toc6487638"/>
      <w:bookmarkStart w:id="127" w:name="_Toc7442892"/>
      <w:bookmarkStart w:id="128" w:name="_Toc23500167"/>
      <w:r w:rsidRPr="00173B02">
        <w:t>Illicit drug consumption as a driver of crime</w:t>
      </w:r>
      <w:bookmarkEnd w:id="124"/>
      <w:bookmarkEnd w:id="125"/>
      <w:bookmarkEnd w:id="126"/>
      <w:bookmarkEnd w:id="127"/>
      <w:bookmarkEnd w:id="128"/>
      <w:r w:rsidRPr="00173B02">
        <w:t xml:space="preserve"> </w:t>
      </w:r>
    </w:p>
    <w:p w14:paraId="6AD8B742" w14:textId="77777777" w:rsidR="007E365E" w:rsidRPr="00173B02" w:rsidRDefault="007E365E" w:rsidP="007E365E">
      <w:pPr>
        <w:pStyle w:val="CGCParaNumber"/>
      </w:pPr>
      <w:r w:rsidRPr="00173B02">
        <w:t xml:space="preserve">Western Australia asked for community drug consumption, specifically methamphetamine, to be included as an additional disability as a driver of crime. It said it has some of the highest methamphetamine consumption in the country which is implicated in increasing family violence cases. </w:t>
      </w:r>
    </w:p>
    <w:p w14:paraId="16FB469B" w14:textId="77777777" w:rsidR="007E365E" w:rsidRPr="00173B02" w:rsidRDefault="007E365E" w:rsidP="007E365E">
      <w:pPr>
        <w:pStyle w:val="CGCParaNumber"/>
      </w:pPr>
      <w:r w:rsidRPr="00173B02">
        <w:t xml:space="preserve">The Commission has not made an adjustment for this because, while Western Australia has methamphetamine use above the national average, it is not clear: </w:t>
      </w:r>
    </w:p>
    <w:p w14:paraId="40D063E0" w14:textId="77777777" w:rsidR="007E365E" w:rsidRPr="00DC0BE4" w:rsidRDefault="007E365E" w:rsidP="007E365E">
      <w:pPr>
        <w:pStyle w:val="CGCBullet1"/>
        <w:numPr>
          <w:ilvl w:val="0"/>
          <w:numId w:val="18"/>
        </w:numPr>
        <w:ind w:left="924" w:hanging="357"/>
      </w:pPr>
      <w:r w:rsidRPr="00DC0BE4">
        <w:lastRenderedPageBreak/>
        <w:t>that given methamphetamine prices in Western Australia are very similar to other States,</w:t>
      </w:r>
      <w:r w:rsidRPr="00C649A4">
        <w:rPr>
          <w:rStyle w:val="FootnoteReference"/>
        </w:rPr>
        <w:footnoteReference w:id="15"/>
      </w:r>
      <w:r w:rsidRPr="00DC0BE4">
        <w:t xml:space="preserve"> supply and access to methamphetamine is different from other States</w:t>
      </w:r>
    </w:p>
    <w:p w14:paraId="159471BA" w14:textId="77777777" w:rsidR="007E365E" w:rsidRPr="00850D12" w:rsidRDefault="007E365E" w:rsidP="007E365E">
      <w:pPr>
        <w:pStyle w:val="CGCBullet1"/>
        <w:numPr>
          <w:ilvl w:val="0"/>
          <w:numId w:val="18"/>
        </w:numPr>
        <w:ind w:left="924" w:hanging="357"/>
      </w:pPr>
      <w:r w:rsidRPr="00850D12">
        <w:t>whether policy differences between States have contributed to the consumption of methamphetamine including, but not limited to, use of drug courts, funding of drug rehabilitation centres, housing and other social welfare policies, and funding of mental</w:t>
      </w:r>
      <w:r>
        <w:t xml:space="preserve"> </w:t>
      </w:r>
      <w:r w:rsidRPr="00850D12">
        <w:t>health services</w:t>
      </w:r>
    </w:p>
    <w:p w14:paraId="7ADBAEE1" w14:textId="77777777" w:rsidR="007E365E" w:rsidRPr="00850D12" w:rsidRDefault="007E365E" w:rsidP="007E365E">
      <w:pPr>
        <w:pStyle w:val="CGCBullet1"/>
        <w:numPr>
          <w:ilvl w:val="0"/>
          <w:numId w:val="18"/>
        </w:numPr>
        <w:ind w:left="924" w:hanging="357"/>
      </w:pPr>
      <w:r w:rsidRPr="00850D12">
        <w:t xml:space="preserve">the extent to which the socio-demographic profile used in the assessment captures differences in methamphetamine use </w:t>
      </w:r>
    </w:p>
    <w:p w14:paraId="58D0E46C" w14:textId="77777777" w:rsidR="007E365E" w:rsidRPr="00850D12" w:rsidRDefault="007E365E" w:rsidP="007E365E">
      <w:pPr>
        <w:pStyle w:val="CGCBullet1"/>
        <w:numPr>
          <w:ilvl w:val="0"/>
          <w:numId w:val="18"/>
        </w:numPr>
        <w:ind w:left="924" w:hanging="357"/>
      </w:pPr>
      <w:r w:rsidRPr="00850D12">
        <w:t xml:space="preserve">whether other States face similar justice-related issues with other drugs, or with other aspects of policing </w:t>
      </w:r>
    </w:p>
    <w:p w14:paraId="60D7F8A5" w14:textId="77777777" w:rsidR="007E365E" w:rsidRPr="00850D12" w:rsidRDefault="007E365E" w:rsidP="007E365E">
      <w:pPr>
        <w:pStyle w:val="CGCBullet1"/>
        <w:numPr>
          <w:ilvl w:val="0"/>
          <w:numId w:val="18"/>
        </w:numPr>
        <w:ind w:left="924" w:hanging="357"/>
      </w:pPr>
      <w:r w:rsidRPr="00850D12">
        <w:t>how to determine how much crime is a result of methamphetamine use and how this compares to the national average.</w:t>
      </w:r>
    </w:p>
    <w:p w14:paraId="586AC3FB" w14:textId="77777777" w:rsidR="007E365E" w:rsidRPr="00173B02" w:rsidRDefault="007E365E" w:rsidP="007E365E">
      <w:pPr>
        <w:pStyle w:val="CGCParaNumber"/>
      </w:pPr>
      <w:r w:rsidRPr="00173B02">
        <w:t>Western Australia budgeted $</w:t>
      </w:r>
      <w:r>
        <w:t>42.5</w:t>
      </w:r>
      <w:r w:rsidRPr="00173B02">
        <w:t xml:space="preserve"> million </w:t>
      </w:r>
      <w:r>
        <w:t>in 2019-20 for the</w:t>
      </w:r>
      <w:r w:rsidRPr="00173B02">
        <w:t xml:space="preserve"> Methamphetamine Action Plan, a cost of about $1</w:t>
      </w:r>
      <w:r>
        <w:t>6</w:t>
      </w:r>
      <w:r w:rsidRPr="00173B02">
        <w:t xml:space="preserve"> per capita. While this may not represent the total cost of methamphetamine to the Western Australian budget, it is the only available guide to expenditure. Based on that expenditure, even if no other State had any methamphetamine related costs, and none of Western Australia’s high use was related to either its socio</w:t>
      </w:r>
      <w:r>
        <w:noBreakHyphen/>
      </w:r>
      <w:r w:rsidRPr="00173B02">
        <w:t>demographic profile or policy decisions, Western Australia does not face materially higher costs than other States.</w:t>
      </w:r>
    </w:p>
    <w:p w14:paraId="12ED5F8F" w14:textId="2698FA62" w:rsidR="007E365E" w:rsidRPr="00173B02" w:rsidRDefault="007E365E" w:rsidP="007E365E">
      <w:pPr>
        <w:pStyle w:val="Heading3"/>
      </w:pPr>
      <w:bookmarkStart w:id="129" w:name="_Toc23500168"/>
      <w:r w:rsidRPr="00173B02">
        <w:t>Effect on the GST distribution</w:t>
      </w:r>
      <w:bookmarkEnd w:id="129"/>
    </w:p>
    <w:p w14:paraId="3777AF97" w14:textId="10E998F8" w:rsidR="007E365E" w:rsidRPr="00173B02" w:rsidRDefault="007E365E" w:rsidP="007E365E">
      <w:pPr>
        <w:pStyle w:val="CGCParaNumber"/>
      </w:pPr>
      <w:r>
        <w:fldChar w:fldCharType="begin"/>
      </w:r>
      <w:r>
        <w:instrText xml:space="preserve"> REF _Ref32837952 \h </w:instrText>
      </w:r>
      <w:r>
        <w:fldChar w:fldCharType="separate"/>
      </w:r>
      <w:r w:rsidR="007F721A" w:rsidRPr="00173B02">
        <w:t xml:space="preserve">Table </w:t>
      </w:r>
      <w:r w:rsidR="007F721A">
        <w:t>19-</w:t>
      </w:r>
      <w:r w:rsidR="007F721A">
        <w:rPr>
          <w:noProof/>
        </w:rPr>
        <w:t>17</w:t>
      </w:r>
      <w:r>
        <w:fldChar w:fldCharType="end"/>
      </w:r>
      <w:r w:rsidRPr="00173B02">
        <w:t xml:space="preserve"> shows the extent to which the assessment for this category differs from an EPC assessment of Justice expenses. States with a positive redistribution are assessed to have above average spending requirements and States with a negative redistribution are assessed to have below average spending requirements. In per capita terms, the largest negative redistributions affect the ACT followed by Victoria and the largest positive redistribution is the Northern Territory.</w:t>
      </w:r>
    </w:p>
    <w:p w14:paraId="05980801" w14:textId="2339BBC6" w:rsidR="007E365E" w:rsidRPr="00173B02" w:rsidRDefault="007E365E" w:rsidP="007E365E">
      <w:pPr>
        <w:pStyle w:val="Caption"/>
        <w:ind w:left="1360" w:hanging="1360"/>
      </w:pPr>
      <w:bookmarkStart w:id="130" w:name="_Ref32837952"/>
      <w:r w:rsidRPr="00173B02">
        <w:t xml:space="preserve">Table </w:t>
      </w:r>
      <w:r>
        <w:t>19-</w:t>
      </w:r>
      <w:fldSimple w:instr=" SEQ Table \* ARABIC ">
        <w:r w:rsidR="007F721A">
          <w:rPr>
            <w:noProof/>
          </w:rPr>
          <w:t>17</w:t>
        </w:r>
      </w:fldSimple>
      <w:bookmarkEnd w:id="130"/>
      <w:r w:rsidRPr="00173B02">
        <w:tab/>
      </w:r>
      <w:r>
        <w:t>Illustrative r</w:t>
      </w:r>
      <w:r w:rsidRPr="00E23377">
        <w:t xml:space="preserve">edistribution from an EPC assessment, </w:t>
      </w:r>
      <w:r>
        <w:t>Justice,</w:t>
      </w:r>
      <w:r w:rsidRPr="00E23377">
        <w:t xml:space="preserve"> </w:t>
      </w:r>
      <w:r>
        <w:t>2020-21</w:t>
      </w:r>
    </w:p>
    <w:tbl>
      <w:tblPr>
        <w:tblW w:w="9200" w:type="dxa"/>
        <w:tblBorders>
          <w:top w:val="single" w:sz="4" w:space="0" w:color="ADD6EA"/>
          <w:bottom w:val="single" w:sz="4" w:space="0" w:color="ADD6EA"/>
          <w:insideH w:val="single" w:sz="4" w:space="0" w:color="ADD6EA"/>
        </w:tblBorders>
        <w:tblLayout w:type="fixed"/>
        <w:tblCellMar>
          <w:left w:w="0" w:type="dxa"/>
          <w:right w:w="0" w:type="dxa"/>
        </w:tblCellMar>
        <w:tblLook w:val="04A0" w:firstRow="1" w:lastRow="0" w:firstColumn="1" w:lastColumn="0" w:noHBand="0" w:noVBand="1"/>
      </w:tblPr>
      <w:tblGrid>
        <w:gridCol w:w="1580"/>
        <w:gridCol w:w="940"/>
        <w:gridCol w:w="800"/>
        <w:gridCol w:w="860"/>
        <w:gridCol w:w="820"/>
        <w:gridCol w:w="740"/>
        <w:gridCol w:w="820"/>
        <w:gridCol w:w="860"/>
        <w:gridCol w:w="760"/>
        <w:gridCol w:w="1020"/>
      </w:tblGrid>
      <w:tr w:rsidR="007E365E" w:rsidRPr="00173B02" w14:paraId="769ABFF6" w14:textId="77777777" w:rsidTr="007D1D77">
        <w:trPr>
          <w:trHeight w:val="378"/>
        </w:trPr>
        <w:tc>
          <w:tcPr>
            <w:tcW w:w="1580" w:type="dxa"/>
            <w:shd w:val="clear" w:color="auto" w:fill="006991"/>
            <w:noWrap/>
            <w:vAlign w:val="center"/>
            <w:hideMark/>
          </w:tcPr>
          <w:p w14:paraId="3477C12A" w14:textId="77777777" w:rsidR="007E365E" w:rsidRPr="00173B02" w:rsidRDefault="007E365E" w:rsidP="007D1D77">
            <w:pPr>
              <w:pStyle w:val="CGCTableheader"/>
              <w:rPr>
                <w:lang w:eastAsia="en-AU"/>
              </w:rPr>
            </w:pPr>
            <w:r w:rsidRPr="00173B02">
              <w:rPr>
                <w:lang w:eastAsia="en-AU"/>
              </w:rPr>
              <w:t> </w:t>
            </w:r>
          </w:p>
        </w:tc>
        <w:tc>
          <w:tcPr>
            <w:tcW w:w="940" w:type="dxa"/>
            <w:shd w:val="clear" w:color="auto" w:fill="006991"/>
            <w:noWrap/>
            <w:vAlign w:val="center"/>
            <w:hideMark/>
          </w:tcPr>
          <w:p w14:paraId="713A47F0" w14:textId="77777777" w:rsidR="007E365E" w:rsidRPr="00173B02" w:rsidRDefault="007E365E" w:rsidP="007D1D77">
            <w:pPr>
              <w:pStyle w:val="CGCTableheader"/>
              <w:jc w:val="right"/>
              <w:rPr>
                <w:lang w:eastAsia="en-AU"/>
              </w:rPr>
            </w:pPr>
            <w:r w:rsidRPr="00173B02">
              <w:rPr>
                <w:lang w:eastAsia="en-AU"/>
              </w:rPr>
              <w:t>NSW</w:t>
            </w:r>
          </w:p>
        </w:tc>
        <w:tc>
          <w:tcPr>
            <w:tcW w:w="800" w:type="dxa"/>
            <w:shd w:val="clear" w:color="auto" w:fill="006991"/>
            <w:noWrap/>
            <w:vAlign w:val="center"/>
            <w:hideMark/>
          </w:tcPr>
          <w:p w14:paraId="63E6C0AA" w14:textId="77777777" w:rsidR="007E365E" w:rsidRPr="00173B02" w:rsidRDefault="007E365E" w:rsidP="007D1D77">
            <w:pPr>
              <w:pStyle w:val="CGCTableheader"/>
              <w:jc w:val="right"/>
              <w:rPr>
                <w:lang w:eastAsia="en-AU"/>
              </w:rPr>
            </w:pPr>
            <w:r w:rsidRPr="00173B02">
              <w:rPr>
                <w:lang w:eastAsia="en-AU"/>
              </w:rPr>
              <w:t>Vic</w:t>
            </w:r>
          </w:p>
        </w:tc>
        <w:tc>
          <w:tcPr>
            <w:tcW w:w="860" w:type="dxa"/>
            <w:shd w:val="clear" w:color="auto" w:fill="006991"/>
            <w:noWrap/>
            <w:vAlign w:val="center"/>
            <w:hideMark/>
          </w:tcPr>
          <w:p w14:paraId="267A2AFA" w14:textId="77777777" w:rsidR="007E365E" w:rsidRPr="00173B02" w:rsidRDefault="007E365E" w:rsidP="007D1D77">
            <w:pPr>
              <w:pStyle w:val="CGCTableheader"/>
              <w:jc w:val="right"/>
              <w:rPr>
                <w:lang w:eastAsia="en-AU"/>
              </w:rPr>
            </w:pPr>
            <w:r w:rsidRPr="00173B02">
              <w:rPr>
                <w:lang w:eastAsia="en-AU"/>
              </w:rPr>
              <w:t>Qld</w:t>
            </w:r>
          </w:p>
        </w:tc>
        <w:tc>
          <w:tcPr>
            <w:tcW w:w="820" w:type="dxa"/>
            <w:shd w:val="clear" w:color="auto" w:fill="006991"/>
            <w:noWrap/>
            <w:vAlign w:val="center"/>
            <w:hideMark/>
          </w:tcPr>
          <w:p w14:paraId="37CF7DE8" w14:textId="77777777" w:rsidR="007E365E" w:rsidRPr="00173B02" w:rsidRDefault="007E365E" w:rsidP="007D1D77">
            <w:pPr>
              <w:pStyle w:val="CGCTableheader"/>
              <w:jc w:val="right"/>
              <w:rPr>
                <w:lang w:eastAsia="en-AU"/>
              </w:rPr>
            </w:pPr>
            <w:r w:rsidRPr="00173B02">
              <w:rPr>
                <w:lang w:eastAsia="en-AU"/>
              </w:rPr>
              <w:t>WA</w:t>
            </w:r>
          </w:p>
        </w:tc>
        <w:tc>
          <w:tcPr>
            <w:tcW w:w="740" w:type="dxa"/>
            <w:shd w:val="clear" w:color="auto" w:fill="006991"/>
            <w:noWrap/>
            <w:vAlign w:val="center"/>
            <w:hideMark/>
          </w:tcPr>
          <w:p w14:paraId="2E1DF2E4" w14:textId="77777777" w:rsidR="007E365E" w:rsidRPr="00173B02" w:rsidRDefault="007E365E" w:rsidP="007D1D77">
            <w:pPr>
              <w:pStyle w:val="CGCTableheader"/>
              <w:jc w:val="right"/>
              <w:rPr>
                <w:lang w:eastAsia="en-AU"/>
              </w:rPr>
            </w:pPr>
            <w:r w:rsidRPr="00173B02">
              <w:rPr>
                <w:lang w:eastAsia="en-AU"/>
              </w:rPr>
              <w:t>SA</w:t>
            </w:r>
          </w:p>
        </w:tc>
        <w:tc>
          <w:tcPr>
            <w:tcW w:w="820" w:type="dxa"/>
            <w:shd w:val="clear" w:color="auto" w:fill="006991"/>
            <w:noWrap/>
            <w:vAlign w:val="center"/>
            <w:hideMark/>
          </w:tcPr>
          <w:p w14:paraId="4DFBE4DA" w14:textId="77777777" w:rsidR="007E365E" w:rsidRPr="00173B02" w:rsidRDefault="007E365E" w:rsidP="007D1D77">
            <w:pPr>
              <w:pStyle w:val="CGCTableheader"/>
              <w:jc w:val="right"/>
              <w:rPr>
                <w:lang w:eastAsia="en-AU"/>
              </w:rPr>
            </w:pPr>
            <w:r w:rsidRPr="00173B02">
              <w:rPr>
                <w:lang w:eastAsia="en-AU"/>
              </w:rPr>
              <w:t>Tas</w:t>
            </w:r>
          </w:p>
        </w:tc>
        <w:tc>
          <w:tcPr>
            <w:tcW w:w="860" w:type="dxa"/>
            <w:shd w:val="clear" w:color="auto" w:fill="006991"/>
            <w:noWrap/>
            <w:vAlign w:val="center"/>
            <w:hideMark/>
          </w:tcPr>
          <w:p w14:paraId="538758BC" w14:textId="77777777" w:rsidR="007E365E" w:rsidRPr="00173B02" w:rsidRDefault="007E365E" w:rsidP="007D1D77">
            <w:pPr>
              <w:pStyle w:val="CGCTableheader"/>
              <w:jc w:val="right"/>
              <w:rPr>
                <w:lang w:eastAsia="en-AU"/>
              </w:rPr>
            </w:pPr>
            <w:r w:rsidRPr="00173B02">
              <w:rPr>
                <w:lang w:eastAsia="en-AU"/>
              </w:rPr>
              <w:t>ACT</w:t>
            </w:r>
          </w:p>
        </w:tc>
        <w:tc>
          <w:tcPr>
            <w:tcW w:w="760" w:type="dxa"/>
            <w:shd w:val="clear" w:color="auto" w:fill="006991"/>
            <w:noWrap/>
            <w:vAlign w:val="center"/>
            <w:hideMark/>
          </w:tcPr>
          <w:p w14:paraId="0A640076" w14:textId="77777777" w:rsidR="007E365E" w:rsidRPr="00173B02" w:rsidRDefault="007E365E" w:rsidP="007D1D77">
            <w:pPr>
              <w:pStyle w:val="CGCTableheader"/>
              <w:jc w:val="right"/>
              <w:rPr>
                <w:lang w:eastAsia="en-AU"/>
              </w:rPr>
            </w:pPr>
            <w:r w:rsidRPr="00173B02">
              <w:rPr>
                <w:lang w:eastAsia="en-AU"/>
              </w:rPr>
              <w:t>NT</w:t>
            </w:r>
          </w:p>
        </w:tc>
        <w:tc>
          <w:tcPr>
            <w:tcW w:w="1020" w:type="dxa"/>
            <w:shd w:val="clear" w:color="auto" w:fill="006991"/>
            <w:noWrap/>
            <w:vAlign w:val="center"/>
            <w:hideMark/>
          </w:tcPr>
          <w:p w14:paraId="39727261" w14:textId="77777777" w:rsidR="007E365E" w:rsidRPr="00173B02" w:rsidRDefault="007E365E" w:rsidP="007D1D77">
            <w:pPr>
              <w:pStyle w:val="CGCTableheader"/>
              <w:jc w:val="right"/>
              <w:rPr>
                <w:lang w:eastAsia="en-AU"/>
              </w:rPr>
            </w:pPr>
            <w:r w:rsidRPr="00173B02">
              <w:rPr>
                <w:lang w:eastAsia="en-AU"/>
              </w:rPr>
              <w:t>Redist</w:t>
            </w:r>
          </w:p>
        </w:tc>
      </w:tr>
      <w:tr w:rsidR="007E365E" w:rsidRPr="00173B02" w14:paraId="2C8F2932" w14:textId="77777777" w:rsidTr="007D1D77">
        <w:trPr>
          <w:trHeight w:val="315"/>
        </w:trPr>
        <w:tc>
          <w:tcPr>
            <w:tcW w:w="1580" w:type="dxa"/>
            <w:shd w:val="clear" w:color="auto" w:fill="auto"/>
            <w:vAlign w:val="bottom"/>
            <w:hideMark/>
          </w:tcPr>
          <w:p w14:paraId="29C34092" w14:textId="77777777" w:rsidR="007E365E" w:rsidRPr="00173B02" w:rsidRDefault="007E365E" w:rsidP="007D1D77">
            <w:pPr>
              <w:pStyle w:val="CGCTablerow"/>
              <w:rPr>
                <w:lang w:eastAsia="en-AU"/>
              </w:rPr>
            </w:pPr>
            <w:r w:rsidRPr="00173B02">
              <w:rPr>
                <w:lang w:eastAsia="en-AU"/>
              </w:rPr>
              <w:t>$ million</w:t>
            </w:r>
          </w:p>
        </w:tc>
        <w:tc>
          <w:tcPr>
            <w:tcW w:w="940" w:type="dxa"/>
            <w:shd w:val="clear" w:color="auto" w:fill="auto"/>
            <w:vAlign w:val="bottom"/>
            <w:hideMark/>
          </w:tcPr>
          <w:p w14:paraId="4290F2C9" w14:textId="77777777" w:rsidR="007E365E" w:rsidRPr="00173B02" w:rsidRDefault="007E365E" w:rsidP="007D1D77">
            <w:pPr>
              <w:pStyle w:val="CGCTablerow"/>
              <w:jc w:val="right"/>
              <w:rPr>
                <w:lang w:eastAsia="en-AU"/>
              </w:rPr>
            </w:pPr>
            <w:r w:rsidRPr="00173B02">
              <w:rPr>
                <w:rFonts w:cs="Calibri"/>
              </w:rPr>
              <w:t>-</w:t>
            </w:r>
            <w:r>
              <w:rPr>
                <w:rFonts w:cs="Open Sans Light"/>
                <w:szCs w:val="16"/>
              </w:rPr>
              <w:t>202</w:t>
            </w:r>
          </w:p>
        </w:tc>
        <w:tc>
          <w:tcPr>
            <w:tcW w:w="800" w:type="dxa"/>
            <w:shd w:val="clear" w:color="auto" w:fill="auto"/>
            <w:vAlign w:val="bottom"/>
            <w:hideMark/>
          </w:tcPr>
          <w:p w14:paraId="4DBEE960" w14:textId="77777777" w:rsidR="007E365E" w:rsidRPr="00173B02" w:rsidRDefault="007E365E" w:rsidP="007D1D77">
            <w:pPr>
              <w:pStyle w:val="CGCTablerow"/>
              <w:jc w:val="right"/>
              <w:rPr>
                <w:lang w:eastAsia="en-AU"/>
              </w:rPr>
            </w:pPr>
            <w:r w:rsidRPr="00173B02">
              <w:rPr>
                <w:rFonts w:cs="Calibri"/>
              </w:rPr>
              <w:t>-</w:t>
            </w:r>
            <w:r>
              <w:rPr>
                <w:rFonts w:cs="Open Sans Light"/>
                <w:szCs w:val="16"/>
              </w:rPr>
              <w:t>733</w:t>
            </w:r>
          </w:p>
        </w:tc>
        <w:tc>
          <w:tcPr>
            <w:tcW w:w="860" w:type="dxa"/>
            <w:shd w:val="clear" w:color="auto" w:fill="auto"/>
            <w:vAlign w:val="bottom"/>
            <w:hideMark/>
          </w:tcPr>
          <w:p w14:paraId="300BF858" w14:textId="77777777" w:rsidR="007E365E" w:rsidRPr="00173B02" w:rsidRDefault="007E365E" w:rsidP="007D1D77">
            <w:pPr>
              <w:pStyle w:val="CGCTablerow"/>
              <w:jc w:val="right"/>
              <w:rPr>
                <w:lang w:eastAsia="en-AU"/>
              </w:rPr>
            </w:pPr>
            <w:r>
              <w:rPr>
                <w:rFonts w:cs="Open Sans Light"/>
                <w:szCs w:val="16"/>
              </w:rPr>
              <w:t>263</w:t>
            </w:r>
          </w:p>
        </w:tc>
        <w:tc>
          <w:tcPr>
            <w:tcW w:w="820" w:type="dxa"/>
            <w:shd w:val="clear" w:color="auto" w:fill="auto"/>
            <w:vAlign w:val="bottom"/>
            <w:hideMark/>
          </w:tcPr>
          <w:p w14:paraId="56431418" w14:textId="77777777" w:rsidR="007E365E" w:rsidRPr="00173B02" w:rsidRDefault="007E365E" w:rsidP="007D1D77">
            <w:pPr>
              <w:pStyle w:val="CGCTablerow"/>
              <w:jc w:val="right"/>
              <w:rPr>
                <w:lang w:eastAsia="en-AU"/>
              </w:rPr>
            </w:pPr>
            <w:r>
              <w:rPr>
                <w:rFonts w:cs="Open Sans Light"/>
                <w:szCs w:val="16"/>
              </w:rPr>
              <w:t>212</w:t>
            </w:r>
          </w:p>
        </w:tc>
        <w:tc>
          <w:tcPr>
            <w:tcW w:w="740" w:type="dxa"/>
            <w:shd w:val="clear" w:color="auto" w:fill="auto"/>
            <w:vAlign w:val="bottom"/>
            <w:hideMark/>
          </w:tcPr>
          <w:p w14:paraId="6666CB89" w14:textId="77777777" w:rsidR="007E365E" w:rsidRPr="00173B02" w:rsidRDefault="007E365E" w:rsidP="007D1D77">
            <w:pPr>
              <w:pStyle w:val="CGCTablerow"/>
              <w:jc w:val="right"/>
              <w:rPr>
                <w:lang w:eastAsia="en-AU"/>
              </w:rPr>
            </w:pPr>
            <w:r w:rsidRPr="00173B02">
              <w:rPr>
                <w:rFonts w:cs="Calibri"/>
              </w:rPr>
              <w:t>-</w:t>
            </w:r>
            <w:r>
              <w:rPr>
                <w:rFonts w:cs="Open Sans Light"/>
                <w:szCs w:val="16"/>
              </w:rPr>
              <w:t>1</w:t>
            </w:r>
          </w:p>
        </w:tc>
        <w:tc>
          <w:tcPr>
            <w:tcW w:w="820" w:type="dxa"/>
            <w:shd w:val="clear" w:color="auto" w:fill="auto"/>
            <w:vAlign w:val="bottom"/>
            <w:hideMark/>
          </w:tcPr>
          <w:p w14:paraId="109B396A" w14:textId="77777777" w:rsidR="007E365E" w:rsidRPr="00173B02" w:rsidRDefault="007E365E" w:rsidP="007D1D77">
            <w:pPr>
              <w:pStyle w:val="CGCTablerow"/>
              <w:jc w:val="right"/>
              <w:rPr>
                <w:lang w:eastAsia="en-AU"/>
              </w:rPr>
            </w:pPr>
            <w:r>
              <w:rPr>
                <w:rFonts w:cs="Open Sans Light"/>
                <w:szCs w:val="16"/>
              </w:rPr>
              <w:t>63</w:t>
            </w:r>
          </w:p>
        </w:tc>
        <w:tc>
          <w:tcPr>
            <w:tcW w:w="860" w:type="dxa"/>
            <w:shd w:val="clear" w:color="auto" w:fill="auto"/>
            <w:vAlign w:val="bottom"/>
            <w:hideMark/>
          </w:tcPr>
          <w:p w14:paraId="2DF6478A" w14:textId="77777777" w:rsidR="007E365E" w:rsidRPr="00173B02" w:rsidRDefault="007E365E" w:rsidP="007D1D77">
            <w:pPr>
              <w:pStyle w:val="CGCTablerow"/>
              <w:jc w:val="right"/>
              <w:rPr>
                <w:lang w:eastAsia="en-AU"/>
              </w:rPr>
            </w:pPr>
            <w:r w:rsidRPr="00173B02">
              <w:rPr>
                <w:rFonts w:cs="Calibri"/>
              </w:rPr>
              <w:t>-</w:t>
            </w:r>
            <w:r>
              <w:rPr>
                <w:rFonts w:cs="Open Sans Light"/>
                <w:szCs w:val="16"/>
              </w:rPr>
              <w:t>76</w:t>
            </w:r>
          </w:p>
        </w:tc>
        <w:tc>
          <w:tcPr>
            <w:tcW w:w="760" w:type="dxa"/>
            <w:shd w:val="clear" w:color="auto" w:fill="auto"/>
            <w:vAlign w:val="bottom"/>
            <w:hideMark/>
          </w:tcPr>
          <w:p w14:paraId="5C233D2B" w14:textId="77777777" w:rsidR="007E365E" w:rsidRPr="00173B02" w:rsidRDefault="007E365E" w:rsidP="007D1D77">
            <w:pPr>
              <w:pStyle w:val="CGCTablerow"/>
              <w:jc w:val="right"/>
              <w:rPr>
                <w:lang w:eastAsia="en-AU"/>
              </w:rPr>
            </w:pPr>
            <w:r>
              <w:rPr>
                <w:rFonts w:cs="Open Sans Light"/>
                <w:szCs w:val="16"/>
              </w:rPr>
              <w:t>475</w:t>
            </w:r>
          </w:p>
        </w:tc>
        <w:tc>
          <w:tcPr>
            <w:tcW w:w="1020" w:type="dxa"/>
            <w:shd w:val="clear" w:color="auto" w:fill="auto"/>
            <w:vAlign w:val="bottom"/>
            <w:hideMark/>
          </w:tcPr>
          <w:p w14:paraId="4EEE71C3" w14:textId="77777777" w:rsidR="007E365E" w:rsidRPr="00173B02" w:rsidRDefault="007E365E" w:rsidP="007D1D77">
            <w:pPr>
              <w:pStyle w:val="CGCTablerow"/>
              <w:jc w:val="right"/>
              <w:rPr>
                <w:lang w:eastAsia="en-AU"/>
              </w:rPr>
            </w:pPr>
            <w:r>
              <w:rPr>
                <w:rFonts w:cs="Open Sans Light"/>
                <w:szCs w:val="16"/>
              </w:rPr>
              <w:t>1,013</w:t>
            </w:r>
          </w:p>
        </w:tc>
      </w:tr>
      <w:tr w:rsidR="007E365E" w:rsidRPr="00173B02" w14:paraId="3DDF564E" w14:textId="77777777" w:rsidTr="007D1D77">
        <w:trPr>
          <w:trHeight w:val="315"/>
        </w:trPr>
        <w:tc>
          <w:tcPr>
            <w:tcW w:w="1580" w:type="dxa"/>
            <w:shd w:val="clear" w:color="auto" w:fill="auto"/>
            <w:vAlign w:val="bottom"/>
            <w:hideMark/>
          </w:tcPr>
          <w:p w14:paraId="0B2C3776" w14:textId="77777777" w:rsidR="007E365E" w:rsidRPr="00173B02" w:rsidRDefault="007E365E" w:rsidP="007D1D77">
            <w:pPr>
              <w:pStyle w:val="CGCTablerow"/>
              <w:rPr>
                <w:lang w:eastAsia="en-AU"/>
              </w:rPr>
            </w:pPr>
            <w:r w:rsidRPr="00173B02">
              <w:rPr>
                <w:lang w:eastAsia="en-AU"/>
              </w:rPr>
              <w:t>$ per capita</w:t>
            </w:r>
          </w:p>
        </w:tc>
        <w:tc>
          <w:tcPr>
            <w:tcW w:w="940" w:type="dxa"/>
            <w:shd w:val="clear" w:color="auto" w:fill="auto"/>
            <w:vAlign w:val="bottom"/>
            <w:hideMark/>
          </w:tcPr>
          <w:p w14:paraId="3A586A9B" w14:textId="77777777" w:rsidR="007E365E" w:rsidRPr="00173B02" w:rsidRDefault="007E365E" w:rsidP="007D1D77">
            <w:pPr>
              <w:pStyle w:val="CGCTablerow"/>
              <w:jc w:val="right"/>
              <w:rPr>
                <w:lang w:eastAsia="en-AU"/>
              </w:rPr>
            </w:pPr>
            <w:r w:rsidRPr="00173B02">
              <w:rPr>
                <w:rFonts w:cs="Calibri"/>
              </w:rPr>
              <w:t>-</w:t>
            </w:r>
            <w:r>
              <w:rPr>
                <w:rFonts w:cs="Open Sans Light"/>
                <w:szCs w:val="16"/>
              </w:rPr>
              <w:t>25</w:t>
            </w:r>
          </w:p>
        </w:tc>
        <w:tc>
          <w:tcPr>
            <w:tcW w:w="800" w:type="dxa"/>
            <w:shd w:val="clear" w:color="auto" w:fill="auto"/>
            <w:vAlign w:val="bottom"/>
            <w:hideMark/>
          </w:tcPr>
          <w:p w14:paraId="6CFE93BF" w14:textId="77777777" w:rsidR="007E365E" w:rsidRPr="00173B02" w:rsidRDefault="007E365E" w:rsidP="007D1D77">
            <w:pPr>
              <w:pStyle w:val="CGCTablerow"/>
              <w:jc w:val="right"/>
              <w:rPr>
                <w:lang w:eastAsia="en-AU"/>
              </w:rPr>
            </w:pPr>
            <w:r w:rsidRPr="00173B02">
              <w:rPr>
                <w:rFonts w:cs="Calibri"/>
              </w:rPr>
              <w:t>-</w:t>
            </w:r>
            <w:r>
              <w:rPr>
                <w:rFonts w:cs="Open Sans Light"/>
                <w:szCs w:val="16"/>
              </w:rPr>
              <w:t>112</w:t>
            </w:r>
          </w:p>
        </w:tc>
        <w:tc>
          <w:tcPr>
            <w:tcW w:w="860" w:type="dxa"/>
            <w:shd w:val="clear" w:color="auto" w:fill="auto"/>
            <w:vAlign w:val="bottom"/>
            <w:hideMark/>
          </w:tcPr>
          <w:p w14:paraId="7D77059D" w14:textId="77777777" w:rsidR="007E365E" w:rsidRPr="00173B02" w:rsidRDefault="007E365E" w:rsidP="007D1D77">
            <w:pPr>
              <w:pStyle w:val="CGCTablerow"/>
              <w:jc w:val="right"/>
              <w:rPr>
                <w:lang w:eastAsia="en-AU"/>
              </w:rPr>
            </w:pPr>
            <w:r>
              <w:rPr>
                <w:rFonts w:cs="Open Sans Light"/>
                <w:szCs w:val="16"/>
              </w:rPr>
              <w:t>52</w:t>
            </w:r>
          </w:p>
        </w:tc>
        <w:tc>
          <w:tcPr>
            <w:tcW w:w="820" w:type="dxa"/>
            <w:shd w:val="clear" w:color="auto" w:fill="auto"/>
            <w:vAlign w:val="bottom"/>
            <w:hideMark/>
          </w:tcPr>
          <w:p w14:paraId="5A1F425B" w14:textId="77777777" w:rsidR="007E365E" w:rsidRPr="00173B02" w:rsidRDefault="007E365E" w:rsidP="007D1D77">
            <w:pPr>
              <w:pStyle w:val="CGCTablerow"/>
              <w:jc w:val="right"/>
              <w:rPr>
                <w:lang w:eastAsia="en-AU"/>
              </w:rPr>
            </w:pPr>
            <w:r>
              <w:rPr>
                <w:rFonts w:cs="Open Sans Light"/>
                <w:szCs w:val="16"/>
              </w:rPr>
              <w:t>81</w:t>
            </w:r>
          </w:p>
        </w:tc>
        <w:tc>
          <w:tcPr>
            <w:tcW w:w="740" w:type="dxa"/>
            <w:shd w:val="clear" w:color="auto" w:fill="auto"/>
            <w:vAlign w:val="bottom"/>
            <w:hideMark/>
          </w:tcPr>
          <w:p w14:paraId="7C4193AB" w14:textId="77777777" w:rsidR="007E365E" w:rsidRPr="00173B02" w:rsidRDefault="007E365E" w:rsidP="007D1D77">
            <w:pPr>
              <w:pStyle w:val="CGCTablerow"/>
              <w:jc w:val="right"/>
              <w:rPr>
                <w:lang w:eastAsia="en-AU"/>
              </w:rPr>
            </w:pPr>
            <w:r w:rsidRPr="00173B02">
              <w:rPr>
                <w:rFonts w:cs="Calibri"/>
              </w:rPr>
              <w:t>-</w:t>
            </w:r>
            <w:r>
              <w:rPr>
                <w:rFonts w:cs="Open Sans Light"/>
                <w:szCs w:val="16"/>
              </w:rPr>
              <w:t>1</w:t>
            </w:r>
          </w:p>
        </w:tc>
        <w:tc>
          <w:tcPr>
            <w:tcW w:w="820" w:type="dxa"/>
            <w:shd w:val="clear" w:color="auto" w:fill="auto"/>
            <w:vAlign w:val="bottom"/>
            <w:hideMark/>
          </w:tcPr>
          <w:p w14:paraId="7ACAF590" w14:textId="77777777" w:rsidR="007E365E" w:rsidRPr="00173B02" w:rsidRDefault="007E365E" w:rsidP="007D1D77">
            <w:pPr>
              <w:pStyle w:val="CGCTablerow"/>
              <w:jc w:val="right"/>
              <w:rPr>
                <w:lang w:eastAsia="en-AU"/>
              </w:rPr>
            </w:pPr>
            <w:r>
              <w:rPr>
                <w:rFonts w:cs="Open Sans Light"/>
                <w:szCs w:val="16"/>
              </w:rPr>
              <w:t>118</w:t>
            </w:r>
          </w:p>
        </w:tc>
        <w:tc>
          <w:tcPr>
            <w:tcW w:w="860" w:type="dxa"/>
            <w:shd w:val="clear" w:color="auto" w:fill="auto"/>
            <w:vAlign w:val="bottom"/>
            <w:hideMark/>
          </w:tcPr>
          <w:p w14:paraId="573B8BA0" w14:textId="77777777" w:rsidR="007E365E" w:rsidRPr="00173B02" w:rsidRDefault="007E365E" w:rsidP="007D1D77">
            <w:pPr>
              <w:pStyle w:val="CGCTablerow"/>
              <w:jc w:val="right"/>
              <w:rPr>
                <w:lang w:eastAsia="en-AU"/>
              </w:rPr>
            </w:pPr>
            <w:r w:rsidRPr="00173B02">
              <w:rPr>
                <w:rFonts w:cs="Calibri"/>
              </w:rPr>
              <w:t>-</w:t>
            </w:r>
            <w:r>
              <w:rPr>
                <w:rFonts w:cs="Open Sans Light"/>
                <w:szCs w:val="16"/>
              </w:rPr>
              <w:t>180</w:t>
            </w:r>
          </w:p>
        </w:tc>
        <w:tc>
          <w:tcPr>
            <w:tcW w:w="760" w:type="dxa"/>
            <w:shd w:val="clear" w:color="auto" w:fill="auto"/>
            <w:vAlign w:val="bottom"/>
            <w:hideMark/>
          </w:tcPr>
          <w:p w14:paraId="22684BC6" w14:textId="77777777" w:rsidR="007E365E" w:rsidRPr="00173B02" w:rsidRDefault="007E365E" w:rsidP="007D1D77">
            <w:pPr>
              <w:pStyle w:val="CGCTablerow"/>
              <w:jc w:val="right"/>
              <w:rPr>
                <w:lang w:eastAsia="en-AU"/>
              </w:rPr>
            </w:pPr>
            <w:r>
              <w:rPr>
                <w:rFonts w:cs="Open Sans Light"/>
                <w:szCs w:val="16"/>
              </w:rPr>
              <w:t>1,933</w:t>
            </w:r>
          </w:p>
        </w:tc>
        <w:tc>
          <w:tcPr>
            <w:tcW w:w="1020" w:type="dxa"/>
            <w:shd w:val="clear" w:color="auto" w:fill="auto"/>
            <w:vAlign w:val="bottom"/>
            <w:hideMark/>
          </w:tcPr>
          <w:p w14:paraId="162FABD2" w14:textId="77777777" w:rsidR="007E365E" w:rsidRPr="00173B02" w:rsidRDefault="007E365E" w:rsidP="007D1D77">
            <w:pPr>
              <w:pStyle w:val="CGCTablerow"/>
              <w:jc w:val="right"/>
              <w:rPr>
                <w:lang w:eastAsia="en-AU"/>
              </w:rPr>
            </w:pPr>
            <w:r>
              <w:rPr>
                <w:rFonts w:cs="Open Sans Light"/>
                <w:szCs w:val="16"/>
              </w:rPr>
              <w:t>40</w:t>
            </w:r>
          </w:p>
        </w:tc>
      </w:tr>
    </w:tbl>
    <w:p w14:paraId="3BFEBEF6" w14:textId="77777777" w:rsidR="007E365E" w:rsidRPr="00173B02" w:rsidRDefault="007E365E" w:rsidP="007E365E">
      <w:pPr>
        <w:pStyle w:val="CGCTablenote"/>
      </w:pPr>
      <w:r w:rsidRPr="00173B02">
        <w:t>Note:</w:t>
      </w:r>
      <w:r w:rsidRPr="00173B02">
        <w:tab/>
        <w:t>The redistribution is the difference from an EPC assessment of category expenses.</w:t>
      </w:r>
    </w:p>
    <w:p w14:paraId="36F0A7ED" w14:textId="77777777" w:rsidR="007E365E" w:rsidRPr="00173B02" w:rsidRDefault="007E365E" w:rsidP="007E365E">
      <w:pPr>
        <w:pStyle w:val="CGCTablenote"/>
      </w:pPr>
      <w:r w:rsidRPr="00173B02">
        <w:t>Source:</w:t>
      </w:r>
      <w:r w:rsidRPr="00173B02">
        <w:tab/>
        <w:t>Commission calculation.</w:t>
      </w:r>
    </w:p>
    <w:p w14:paraId="496710A7" w14:textId="1C69F9A5" w:rsidR="007E365E" w:rsidRPr="00173B02" w:rsidRDefault="007E365E" w:rsidP="007E365E">
      <w:pPr>
        <w:pStyle w:val="CGCParaNumber"/>
      </w:pPr>
      <w:r>
        <w:fldChar w:fldCharType="begin"/>
      </w:r>
      <w:r>
        <w:instrText xml:space="preserve"> REF _Ref32838012 \h </w:instrText>
      </w:r>
      <w:r>
        <w:fldChar w:fldCharType="separate"/>
      </w:r>
      <w:r w:rsidR="007F721A" w:rsidRPr="00173B02">
        <w:t xml:space="preserve">Table </w:t>
      </w:r>
      <w:r w:rsidR="007F721A">
        <w:t>19-</w:t>
      </w:r>
      <w:r w:rsidR="007F721A">
        <w:rPr>
          <w:noProof/>
        </w:rPr>
        <w:t>18</w:t>
      </w:r>
      <w:r>
        <w:fldChar w:fldCharType="end"/>
      </w:r>
      <w:r w:rsidRPr="00173B02">
        <w:t xml:space="preserve"> shows the main reasons for the redistributions for each State</w:t>
      </w:r>
      <w:r>
        <w:t xml:space="preserve">. </w:t>
      </w:r>
      <w:r w:rsidRPr="00173B02">
        <w:t>New</w:t>
      </w:r>
      <w:r>
        <w:t> </w:t>
      </w:r>
      <w:r w:rsidRPr="00173B02">
        <w:t>South</w:t>
      </w:r>
      <w:r>
        <w:t> </w:t>
      </w:r>
      <w:r w:rsidRPr="00173B02">
        <w:t>Wales, Victoria and the ACT have below average shares of people in remote areas where policing costs are most expensive</w:t>
      </w:r>
      <w:r>
        <w:t>.</w:t>
      </w:r>
      <w:r w:rsidRPr="00173B02">
        <w:t xml:space="preserve"> </w:t>
      </w:r>
      <w:r>
        <w:t xml:space="preserve">They also </w:t>
      </w:r>
      <w:r w:rsidRPr="00173B02">
        <w:t>have below average shares of population groups who attract more attention from justice services, especially Indigenous people</w:t>
      </w:r>
      <w:r>
        <w:t xml:space="preserve"> in the case of Victoria and the ACT</w:t>
      </w:r>
      <w:r w:rsidRPr="00173B02">
        <w:t xml:space="preserve">. </w:t>
      </w:r>
      <w:r>
        <w:t>T</w:t>
      </w:r>
      <w:r w:rsidRPr="00173B02">
        <w:t xml:space="preserve">he other States generally have an above average share of </w:t>
      </w:r>
      <w:r>
        <w:t xml:space="preserve">at least some of </w:t>
      </w:r>
      <w:r w:rsidRPr="00173B02">
        <w:t xml:space="preserve">these </w:t>
      </w:r>
      <w:r>
        <w:t xml:space="preserve">higher cost </w:t>
      </w:r>
      <w:r w:rsidRPr="00173B02">
        <w:t>population groups</w:t>
      </w:r>
      <w:r>
        <w:t>, leading to higher than average costs overall</w:t>
      </w:r>
      <w:r w:rsidRPr="00173B02">
        <w:t xml:space="preserve">. </w:t>
      </w:r>
    </w:p>
    <w:p w14:paraId="11F6C38B" w14:textId="640AA64D" w:rsidR="007E365E" w:rsidRPr="0032582C" w:rsidRDefault="007E365E" w:rsidP="007E365E">
      <w:pPr>
        <w:pStyle w:val="Caption"/>
        <w:ind w:left="1360" w:hanging="1360"/>
      </w:pPr>
      <w:bookmarkStart w:id="131" w:name="_Ref32838012"/>
      <w:r w:rsidRPr="00173B02">
        <w:lastRenderedPageBreak/>
        <w:t xml:space="preserve">Table </w:t>
      </w:r>
      <w:r>
        <w:t>19-</w:t>
      </w:r>
      <w:fldSimple w:instr=" SEQ Table \* ARABIC ">
        <w:r w:rsidR="007F721A">
          <w:rPr>
            <w:noProof/>
          </w:rPr>
          <w:t>18</w:t>
        </w:r>
      </w:fldSimple>
      <w:bookmarkEnd w:id="131"/>
      <w:r>
        <w:rPr>
          <w:noProof/>
        </w:rPr>
        <w:tab/>
      </w:r>
      <w:r w:rsidRPr="00E23377">
        <w:t xml:space="preserve">Major reasons for the </w:t>
      </w:r>
      <w:r>
        <w:t xml:space="preserve">illustrative </w:t>
      </w:r>
      <w:r w:rsidRPr="00E23377">
        <w:t xml:space="preserve">redistribution, </w:t>
      </w:r>
      <w:r>
        <w:t>Justice</w:t>
      </w:r>
      <w:r w:rsidRPr="00E23377">
        <w:t xml:space="preserve">, </w:t>
      </w:r>
      <w:r>
        <w:t>2020-21</w:t>
      </w:r>
    </w:p>
    <w:tbl>
      <w:tblPr>
        <w:tblW w:w="8960" w:type="dxa"/>
        <w:tblCellMar>
          <w:left w:w="28" w:type="dxa"/>
          <w:right w:w="28" w:type="dxa"/>
        </w:tblCellMar>
        <w:tblLook w:val="04A0" w:firstRow="1" w:lastRow="0" w:firstColumn="1" w:lastColumn="0" w:noHBand="0" w:noVBand="1"/>
      </w:tblPr>
      <w:tblGrid>
        <w:gridCol w:w="2410"/>
        <w:gridCol w:w="670"/>
        <w:gridCol w:w="780"/>
        <w:gridCol w:w="700"/>
        <w:gridCol w:w="740"/>
        <w:gridCol w:w="700"/>
        <w:gridCol w:w="620"/>
        <w:gridCol w:w="760"/>
        <w:gridCol w:w="740"/>
        <w:gridCol w:w="840"/>
      </w:tblGrid>
      <w:tr w:rsidR="007E365E" w:rsidRPr="00936D9F" w14:paraId="2F36C944" w14:textId="77777777" w:rsidTr="007D1D77">
        <w:trPr>
          <w:trHeight w:val="375"/>
        </w:trPr>
        <w:tc>
          <w:tcPr>
            <w:tcW w:w="2410" w:type="dxa"/>
            <w:tcBorders>
              <w:top w:val="single" w:sz="4" w:space="0" w:color="ADD6EA"/>
              <w:left w:val="nil"/>
              <w:bottom w:val="nil"/>
              <w:right w:val="nil"/>
            </w:tcBorders>
            <w:shd w:val="clear" w:color="000000" w:fill="006991"/>
            <w:noWrap/>
            <w:vAlign w:val="center"/>
            <w:hideMark/>
          </w:tcPr>
          <w:p w14:paraId="42B85C0D" w14:textId="77777777" w:rsidR="007E365E" w:rsidRPr="00936D9F" w:rsidRDefault="007E365E" w:rsidP="007D1D77">
            <w:pPr>
              <w:tabs>
                <w:tab w:val="clear" w:pos="567"/>
              </w:tabs>
              <w:spacing w:before="0" w:line="240" w:lineRule="auto"/>
              <w:rPr>
                <w:rFonts w:eastAsia="Times New Roman" w:cs="Open Sans Light"/>
                <w:color w:val="FFFFFF"/>
                <w:sz w:val="16"/>
                <w:szCs w:val="16"/>
                <w:lang w:eastAsia="en-AU"/>
              </w:rPr>
            </w:pPr>
            <w:r w:rsidRPr="00936D9F">
              <w:rPr>
                <w:rFonts w:eastAsia="Times New Roman" w:cs="Open Sans Light"/>
                <w:color w:val="FFFFFF"/>
                <w:sz w:val="16"/>
                <w:szCs w:val="16"/>
                <w:lang w:eastAsia="en-AU"/>
              </w:rPr>
              <w:t> </w:t>
            </w:r>
          </w:p>
        </w:tc>
        <w:tc>
          <w:tcPr>
            <w:tcW w:w="670" w:type="dxa"/>
            <w:tcBorders>
              <w:top w:val="single" w:sz="4" w:space="0" w:color="ADD6EA"/>
              <w:left w:val="nil"/>
              <w:bottom w:val="nil"/>
              <w:right w:val="nil"/>
            </w:tcBorders>
            <w:shd w:val="clear" w:color="000000" w:fill="006991"/>
            <w:noWrap/>
            <w:vAlign w:val="center"/>
            <w:hideMark/>
          </w:tcPr>
          <w:p w14:paraId="35B02D2C"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36D9F">
              <w:rPr>
                <w:rFonts w:ascii="Open Sans SemiBold" w:eastAsia="Times New Roman" w:hAnsi="Open Sans SemiBold" w:cs="Open Sans SemiBold"/>
                <w:color w:val="FFFFFF"/>
                <w:sz w:val="16"/>
                <w:szCs w:val="16"/>
                <w:lang w:eastAsia="en-AU"/>
              </w:rPr>
              <w:t>NSW</w:t>
            </w:r>
          </w:p>
        </w:tc>
        <w:tc>
          <w:tcPr>
            <w:tcW w:w="780" w:type="dxa"/>
            <w:tcBorders>
              <w:top w:val="single" w:sz="4" w:space="0" w:color="ADD6EA"/>
              <w:left w:val="nil"/>
              <w:bottom w:val="nil"/>
              <w:right w:val="nil"/>
            </w:tcBorders>
            <w:shd w:val="clear" w:color="000000" w:fill="006991"/>
            <w:noWrap/>
            <w:vAlign w:val="center"/>
            <w:hideMark/>
          </w:tcPr>
          <w:p w14:paraId="42C1D1A4"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36D9F">
              <w:rPr>
                <w:rFonts w:ascii="Open Sans SemiBold" w:eastAsia="Times New Roman" w:hAnsi="Open Sans SemiBold" w:cs="Open Sans SemiBold"/>
                <w:color w:val="FFFFFF"/>
                <w:sz w:val="16"/>
                <w:szCs w:val="16"/>
                <w:lang w:eastAsia="en-AU"/>
              </w:rPr>
              <w:t>Vic</w:t>
            </w:r>
          </w:p>
        </w:tc>
        <w:tc>
          <w:tcPr>
            <w:tcW w:w="700" w:type="dxa"/>
            <w:tcBorders>
              <w:top w:val="single" w:sz="4" w:space="0" w:color="ADD6EA"/>
              <w:left w:val="nil"/>
              <w:bottom w:val="nil"/>
              <w:right w:val="nil"/>
            </w:tcBorders>
            <w:shd w:val="clear" w:color="000000" w:fill="006991"/>
            <w:noWrap/>
            <w:vAlign w:val="center"/>
            <w:hideMark/>
          </w:tcPr>
          <w:p w14:paraId="2094668F"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36D9F">
              <w:rPr>
                <w:rFonts w:ascii="Open Sans SemiBold" w:eastAsia="Times New Roman" w:hAnsi="Open Sans SemiBold" w:cs="Open Sans SemiBold"/>
                <w:color w:val="FFFFFF"/>
                <w:sz w:val="16"/>
                <w:szCs w:val="16"/>
                <w:lang w:eastAsia="en-AU"/>
              </w:rPr>
              <w:t>Qld</w:t>
            </w:r>
          </w:p>
        </w:tc>
        <w:tc>
          <w:tcPr>
            <w:tcW w:w="740" w:type="dxa"/>
            <w:tcBorders>
              <w:top w:val="single" w:sz="4" w:space="0" w:color="ADD6EA"/>
              <w:left w:val="nil"/>
              <w:bottom w:val="nil"/>
              <w:right w:val="nil"/>
            </w:tcBorders>
            <w:shd w:val="clear" w:color="000000" w:fill="006991"/>
            <w:noWrap/>
            <w:vAlign w:val="center"/>
            <w:hideMark/>
          </w:tcPr>
          <w:p w14:paraId="782F3797"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36D9F">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nil"/>
              <w:right w:val="nil"/>
            </w:tcBorders>
            <w:shd w:val="clear" w:color="000000" w:fill="006991"/>
            <w:noWrap/>
            <w:vAlign w:val="center"/>
            <w:hideMark/>
          </w:tcPr>
          <w:p w14:paraId="46748C2C"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36D9F">
              <w:rPr>
                <w:rFonts w:ascii="Open Sans SemiBold" w:eastAsia="Times New Roman" w:hAnsi="Open Sans SemiBold" w:cs="Open Sans SemiBold"/>
                <w:color w:val="FFFFFF"/>
                <w:sz w:val="16"/>
                <w:szCs w:val="16"/>
                <w:lang w:eastAsia="en-AU"/>
              </w:rPr>
              <w:t>SA</w:t>
            </w:r>
          </w:p>
        </w:tc>
        <w:tc>
          <w:tcPr>
            <w:tcW w:w="620" w:type="dxa"/>
            <w:tcBorders>
              <w:top w:val="single" w:sz="4" w:space="0" w:color="ADD6EA"/>
              <w:left w:val="nil"/>
              <w:bottom w:val="nil"/>
              <w:right w:val="nil"/>
            </w:tcBorders>
            <w:shd w:val="clear" w:color="000000" w:fill="006991"/>
            <w:noWrap/>
            <w:vAlign w:val="center"/>
            <w:hideMark/>
          </w:tcPr>
          <w:p w14:paraId="0032589E"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36D9F">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nil"/>
              <w:right w:val="nil"/>
            </w:tcBorders>
            <w:shd w:val="clear" w:color="000000" w:fill="006991"/>
            <w:noWrap/>
            <w:vAlign w:val="center"/>
            <w:hideMark/>
          </w:tcPr>
          <w:p w14:paraId="267E56B4"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36D9F">
              <w:rPr>
                <w:rFonts w:ascii="Open Sans SemiBold" w:eastAsia="Times New Roman" w:hAnsi="Open Sans SemiBold" w:cs="Open Sans SemiBold"/>
                <w:color w:val="FFFFFF"/>
                <w:sz w:val="16"/>
                <w:szCs w:val="16"/>
                <w:lang w:eastAsia="en-AU"/>
              </w:rPr>
              <w:t>ACT</w:t>
            </w:r>
          </w:p>
        </w:tc>
        <w:tc>
          <w:tcPr>
            <w:tcW w:w="740" w:type="dxa"/>
            <w:tcBorders>
              <w:top w:val="single" w:sz="4" w:space="0" w:color="ADD6EA"/>
              <w:left w:val="nil"/>
              <w:bottom w:val="nil"/>
              <w:right w:val="nil"/>
            </w:tcBorders>
            <w:shd w:val="clear" w:color="000000" w:fill="006991"/>
            <w:noWrap/>
            <w:vAlign w:val="center"/>
            <w:hideMark/>
          </w:tcPr>
          <w:p w14:paraId="57D0FECC"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36D9F">
              <w:rPr>
                <w:rFonts w:ascii="Open Sans SemiBold" w:eastAsia="Times New Roman" w:hAnsi="Open Sans SemiBold" w:cs="Open Sans SemiBold"/>
                <w:color w:val="FFFFFF"/>
                <w:sz w:val="16"/>
                <w:szCs w:val="16"/>
                <w:lang w:eastAsia="en-AU"/>
              </w:rPr>
              <w:t>NT</w:t>
            </w:r>
          </w:p>
        </w:tc>
        <w:tc>
          <w:tcPr>
            <w:tcW w:w="840" w:type="dxa"/>
            <w:tcBorders>
              <w:top w:val="single" w:sz="4" w:space="0" w:color="ADD6EA"/>
              <w:left w:val="nil"/>
              <w:bottom w:val="nil"/>
              <w:right w:val="nil"/>
            </w:tcBorders>
            <w:shd w:val="clear" w:color="000000" w:fill="006991"/>
            <w:noWrap/>
            <w:vAlign w:val="center"/>
            <w:hideMark/>
          </w:tcPr>
          <w:p w14:paraId="07CBC44F"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Redist</w:t>
            </w:r>
          </w:p>
        </w:tc>
      </w:tr>
      <w:tr w:rsidR="007E365E" w:rsidRPr="00936D9F" w14:paraId="5006998D" w14:textId="77777777" w:rsidTr="007D1D77">
        <w:trPr>
          <w:trHeight w:val="259"/>
        </w:trPr>
        <w:tc>
          <w:tcPr>
            <w:tcW w:w="2410" w:type="dxa"/>
            <w:tcBorders>
              <w:top w:val="nil"/>
              <w:left w:val="nil"/>
              <w:bottom w:val="nil"/>
              <w:right w:val="nil"/>
            </w:tcBorders>
            <w:shd w:val="clear" w:color="000000" w:fill="B6D5E4"/>
            <w:noWrap/>
            <w:vAlign w:val="bottom"/>
            <w:hideMark/>
          </w:tcPr>
          <w:p w14:paraId="63D402E1" w14:textId="77777777" w:rsidR="007E365E" w:rsidRPr="00EF1D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F1DE1">
              <w:rPr>
                <w:rFonts w:ascii="Open Sans SemiBold" w:eastAsia="Times New Roman" w:hAnsi="Open Sans SemiBold" w:cs="Open Sans SemiBold"/>
                <w:sz w:val="16"/>
                <w:szCs w:val="16"/>
                <w:lang w:eastAsia="en-AU"/>
              </w:rPr>
              <w:t> </w:t>
            </w:r>
          </w:p>
        </w:tc>
        <w:tc>
          <w:tcPr>
            <w:tcW w:w="670" w:type="dxa"/>
            <w:tcBorders>
              <w:top w:val="nil"/>
              <w:left w:val="nil"/>
              <w:bottom w:val="nil"/>
              <w:right w:val="nil"/>
            </w:tcBorders>
            <w:shd w:val="clear" w:color="000000" w:fill="B6D5E4"/>
            <w:noWrap/>
            <w:vAlign w:val="bottom"/>
            <w:hideMark/>
          </w:tcPr>
          <w:p w14:paraId="577F4F06"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36D9F">
              <w:rPr>
                <w:rFonts w:ascii="Open Sans SemiBold" w:eastAsia="Times New Roman" w:hAnsi="Open Sans SemiBold" w:cs="Open Sans SemiBold"/>
                <w:sz w:val="16"/>
                <w:szCs w:val="16"/>
                <w:lang w:eastAsia="en-AU"/>
              </w:rPr>
              <w:t>$m</w:t>
            </w:r>
          </w:p>
        </w:tc>
        <w:tc>
          <w:tcPr>
            <w:tcW w:w="780" w:type="dxa"/>
            <w:tcBorders>
              <w:top w:val="nil"/>
              <w:left w:val="nil"/>
              <w:bottom w:val="nil"/>
              <w:right w:val="nil"/>
            </w:tcBorders>
            <w:shd w:val="clear" w:color="000000" w:fill="B6D5E4"/>
            <w:noWrap/>
            <w:vAlign w:val="bottom"/>
            <w:hideMark/>
          </w:tcPr>
          <w:p w14:paraId="4A07787D"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36D9F">
              <w:rPr>
                <w:rFonts w:ascii="Open Sans SemiBold" w:eastAsia="Times New Roman" w:hAnsi="Open Sans SemiBold" w:cs="Open Sans SemiBold"/>
                <w:sz w:val="16"/>
                <w:szCs w:val="16"/>
                <w:lang w:eastAsia="en-AU"/>
              </w:rPr>
              <w:t>$m</w:t>
            </w:r>
          </w:p>
        </w:tc>
        <w:tc>
          <w:tcPr>
            <w:tcW w:w="700" w:type="dxa"/>
            <w:tcBorders>
              <w:top w:val="nil"/>
              <w:left w:val="nil"/>
              <w:bottom w:val="nil"/>
              <w:right w:val="nil"/>
            </w:tcBorders>
            <w:shd w:val="clear" w:color="000000" w:fill="B6D5E4"/>
            <w:noWrap/>
            <w:vAlign w:val="bottom"/>
            <w:hideMark/>
          </w:tcPr>
          <w:p w14:paraId="1BA62F0D"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36D9F">
              <w:rPr>
                <w:rFonts w:ascii="Open Sans SemiBold" w:eastAsia="Times New Roman" w:hAnsi="Open Sans SemiBold" w:cs="Open Sans SemiBold"/>
                <w:sz w:val="16"/>
                <w:szCs w:val="16"/>
                <w:lang w:eastAsia="en-AU"/>
              </w:rPr>
              <w:t>$m</w:t>
            </w:r>
          </w:p>
        </w:tc>
        <w:tc>
          <w:tcPr>
            <w:tcW w:w="740" w:type="dxa"/>
            <w:tcBorders>
              <w:top w:val="nil"/>
              <w:left w:val="nil"/>
              <w:bottom w:val="nil"/>
              <w:right w:val="nil"/>
            </w:tcBorders>
            <w:shd w:val="clear" w:color="000000" w:fill="B6D5E4"/>
            <w:noWrap/>
            <w:vAlign w:val="bottom"/>
            <w:hideMark/>
          </w:tcPr>
          <w:p w14:paraId="5167BED1"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36D9F">
              <w:rPr>
                <w:rFonts w:ascii="Open Sans SemiBold" w:eastAsia="Times New Roman" w:hAnsi="Open Sans SemiBold" w:cs="Open Sans SemiBold"/>
                <w:sz w:val="16"/>
                <w:szCs w:val="16"/>
                <w:lang w:eastAsia="en-AU"/>
              </w:rPr>
              <w:t>$m</w:t>
            </w:r>
          </w:p>
        </w:tc>
        <w:tc>
          <w:tcPr>
            <w:tcW w:w="700" w:type="dxa"/>
            <w:tcBorders>
              <w:top w:val="nil"/>
              <w:left w:val="nil"/>
              <w:bottom w:val="nil"/>
              <w:right w:val="nil"/>
            </w:tcBorders>
            <w:shd w:val="clear" w:color="000000" w:fill="B6D5E4"/>
            <w:noWrap/>
            <w:vAlign w:val="bottom"/>
            <w:hideMark/>
          </w:tcPr>
          <w:p w14:paraId="14104181"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36D9F">
              <w:rPr>
                <w:rFonts w:ascii="Open Sans SemiBold" w:eastAsia="Times New Roman" w:hAnsi="Open Sans SemiBold" w:cs="Open Sans SemiBold"/>
                <w:sz w:val="16"/>
                <w:szCs w:val="16"/>
                <w:lang w:eastAsia="en-AU"/>
              </w:rPr>
              <w:t>$m</w:t>
            </w:r>
          </w:p>
        </w:tc>
        <w:tc>
          <w:tcPr>
            <w:tcW w:w="620" w:type="dxa"/>
            <w:tcBorders>
              <w:top w:val="nil"/>
              <w:left w:val="nil"/>
              <w:bottom w:val="nil"/>
              <w:right w:val="nil"/>
            </w:tcBorders>
            <w:shd w:val="clear" w:color="000000" w:fill="B6D5E4"/>
            <w:noWrap/>
            <w:vAlign w:val="bottom"/>
            <w:hideMark/>
          </w:tcPr>
          <w:p w14:paraId="4EADA2B7"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36D9F">
              <w:rPr>
                <w:rFonts w:ascii="Open Sans SemiBold" w:eastAsia="Times New Roman" w:hAnsi="Open Sans SemiBold" w:cs="Open Sans SemiBold"/>
                <w:sz w:val="16"/>
                <w:szCs w:val="16"/>
                <w:lang w:eastAsia="en-AU"/>
              </w:rPr>
              <w:t>$m</w:t>
            </w:r>
          </w:p>
        </w:tc>
        <w:tc>
          <w:tcPr>
            <w:tcW w:w="760" w:type="dxa"/>
            <w:tcBorders>
              <w:top w:val="nil"/>
              <w:left w:val="nil"/>
              <w:bottom w:val="nil"/>
              <w:right w:val="nil"/>
            </w:tcBorders>
            <w:shd w:val="clear" w:color="000000" w:fill="B6D5E4"/>
            <w:noWrap/>
            <w:vAlign w:val="bottom"/>
            <w:hideMark/>
          </w:tcPr>
          <w:p w14:paraId="764830CD"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36D9F">
              <w:rPr>
                <w:rFonts w:ascii="Open Sans SemiBold" w:eastAsia="Times New Roman" w:hAnsi="Open Sans SemiBold" w:cs="Open Sans SemiBold"/>
                <w:sz w:val="16"/>
                <w:szCs w:val="16"/>
                <w:lang w:eastAsia="en-AU"/>
              </w:rPr>
              <w:t>$m</w:t>
            </w:r>
          </w:p>
        </w:tc>
        <w:tc>
          <w:tcPr>
            <w:tcW w:w="740" w:type="dxa"/>
            <w:tcBorders>
              <w:top w:val="nil"/>
              <w:left w:val="nil"/>
              <w:bottom w:val="nil"/>
              <w:right w:val="nil"/>
            </w:tcBorders>
            <w:shd w:val="clear" w:color="000000" w:fill="B6D5E4"/>
            <w:noWrap/>
            <w:vAlign w:val="bottom"/>
            <w:hideMark/>
          </w:tcPr>
          <w:p w14:paraId="4A851F02"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36D9F">
              <w:rPr>
                <w:rFonts w:ascii="Open Sans SemiBold" w:eastAsia="Times New Roman" w:hAnsi="Open Sans SemiBold" w:cs="Open Sans SemiBold"/>
                <w:sz w:val="16"/>
                <w:szCs w:val="16"/>
                <w:lang w:eastAsia="en-AU"/>
              </w:rPr>
              <w:t>$m</w:t>
            </w:r>
          </w:p>
        </w:tc>
        <w:tc>
          <w:tcPr>
            <w:tcW w:w="840" w:type="dxa"/>
            <w:tcBorders>
              <w:top w:val="nil"/>
              <w:left w:val="nil"/>
              <w:bottom w:val="nil"/>
              <w:right w:val="nil"/>
            </w:tcBorders>
            <w:shd w:val="clear" w:color="000000" w:fill="B6D5E4"/>
            <w:noWrap/>
            <w:vAlign w:val="bottom"/>
            <w:hideMark/>
          </w:tcPr>
          <w:p w14:paraId="7003775A" w14:textId="77777777" w:rsidR="007E365E" w:rsidRPr="00936D9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36D9F">
              <w:rPr>
                <w:rFonts w:ascii="Open Sans SemiBold" w:eastAsia="Times New Roman" w:hAnsi="Open Sans SemiBold" w:cs="Open Sans SemiBold"/>
                <w:sz w:val="16"/>
                <w:szCs w:val="16"/>
                <w:lang w:eastAsia="en-AU"/>
              </w:rPr>
              <w:t>$m</w:t>
            </w:r>
          </w:p>
        </w:tc>
      </w:tr>
      <w:tr w:rsidR="007E365E" w:rsidRPr="00936D9F" w14:paraId="0A66E61D" w14:textId="77777777" w:rsidTr="007D1D77">
        <w:trPr>
          <w:trHeight w:val="315"/>
        </w:trPr>
        <w:tc>
          <w:tcPr>
            <w:tcW w:w="2410" w:type="dxa"/>
            <w:tcBorders>
              <w:top w:val="nil"/>
              <w:left w:val="nil"/>
              <w:bottom w:val="nil"/>
              <w:right w:val="nil"/>
            </w:tcBorders>
            <w:shd w:val="clear" w:color="auto" w:fill="auto"/>
            <w:noWrap/>
            <w:vAlign w:val="bottom"/>
            <w:hideMark/>
          </w:tcPr>
          <w:p w14:paraId="283D98C1" w14:textId="77777777" w:rsidR="007E365E" w:rsidRPr="00936D9F" w:rsidRDefault="007E365E" w:rsidP="007D1D77">
            <w:pPr>
              <w:tabs>
                <w:tab w:val="clear" w:pos="567"/>
              </w:tabs>
              <w:spacing w:before="0" w:line="240" w:lineRule="auto"/>
              <w:rPr>
                <w:rFonts w:eastAsia="Times New Roman" w:cs="Open Sans Light"/>
                <w:color w:val="000000"/>
                <w:sz w:val="16"/>
                <w:szCs w:val="16"/>
                <w:lang w:eastAsia="en-AU"/>
              </w:rPr>
            </w:pPr>
            <w:r w:rsidRPr="00936D9F">
              <w:rPr>
                <w:rFonts w:eastAsia="Times New Roman" w:cs="Open Sans Light"/>
                <w:color w:val="000000"/>
                <w:sz w:val="16"/>
                <w:szCs w:val="16"/>
                <w:lang w:eastAsia="en-AU"/>
              </w:rPr>
              <w:t>Indigenous status</w:t>
            </w:r>
          </w:p>
        </w:tc>
        <w:tc>
          <w:tcPr>
            <w:tcW w:w="670" w:type="dxa"/>
            <w:tcBorders>
              <w:top w:val="nil"/>
              <w:left w:val="nil"/>
              <w:bottom w:val="single" w:sz="4" w:space="0" w:color="ADD6EA"/>
              <w:right w:val="nil"/>
            </w:tcBorders>
            <w:shd w:val="clear" w:color="auto" w:fill="auto"/>
            <w:vAlign w:val="bottom"/>
            <w:hideMark/>
          </w:tcPr>
          <w:p w14:paraId="5E19F87B"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33</w:t>
            </w:r>
          </w:p>
        </w:tc>
        <w:tc>
          <w:tcPr>
            <w:tcW w:w="780" w:type="dxa"/>
            <w:tcBorders>
              <w:top w:val="nil"/>
              <w:left w:val="nil"/>
              <w:bottom w:val="single" w:sz="4" w:space="0" w:color="ADD6EA"/>
              <w:right w:val="nil"/>
            </w:tcBorders>
            <w:shd w:val="clear" w:color="auto" w:fill="auto"/>
            <w:vAlign w:val="bottom"/>
            <w:hideMark/>
          </w:tcPr>
          <w:p w14:paraId="255E74C1"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-471</w:t>
            </w:r>
          </w:p>
        </w:tc>
        <w:tc>
          <w:tcPr>
            <w:tcW w:w="700" w:type="dxa"/>
            <w:tcBorders>
              <w:top w:val="nil"/>
              <w:left w:val="nil"/>
              <w:bottom w:val="single" w:sz="4" w:space="0" w:color="ADD6EA"/>
              <w:right w:val="nil"/>
            </w:tcBorders>
            <w:shd w:val="clear" w:color="auto" w:fill="auto"/>
            <w:vAlign w:val="bottom"/>
            <w:hideMark/>
          </w:tcPr>
          <w:p w14:paraId="33B1E36F"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198</w:t>
            </w:r>
          </w:p>
        </w:tc>
        <w:tc>
          <w:tcPr>
            <w:tcW w:w="740" w:type="dxa"/>
            <w:tcBorders>
              <w:top w:val="nil"/>
              <w:left w:val="nil"/>
              <w:bottom w:val="single" w:sz="4" w:space="0" w:color="ADD6EA"/>
              <w:right w:val="nil"/>
            </w:tcBorders>
            <w:shd w:val="clear" w:color="auto" w:fill="auto"/>
            <w:vAlign w:val="bottom"/>
            <w:hideMark/>
          </w:tcPr>
          <w:p w14:paraId="4A6EF290"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57</w:t>
            </w:r>
          </w:p>
        </w:tc>
        <w:tc>
          <w:tcPr>
            <w:tcW w:w="700" w:type="dxa"/>
            <w:tcBorders>
              <w:top w:val="nil"/>
              <w:left w:val="nil"/>
              <w:bottom w:val="single" w:sz="4" w:space="0" w:color="ADD6EA"/>
              <w:right w:val="nil"/>
            </w:tcBorders>
            <w:shd w:val="clear" w:color="auto" w:fill="auto"/>
            <w:vAlign w:val="bottom"/>
            <w:hideMark/>
          </w:tcPr>
          <w:p w14:paraId="1D5C64F7"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-41</w:t>
            </w:r>
          </w:p>
        </w:tc>
        <w:tc>
          <w:tcPr>
            <w:tcW w:w="620" w:type="dxa"/>
            <w:tcBorders>
              <w:top w:val="nil"/>
              <w:left w:val="nil"/>
              <w:bottom w:val="single" w:sz="4" w:space="0" w:color="ADD6EA"/>
              <w:right w:val="nil"/>
            </w:tcBorders>
            <w:shd w:val="clear" w:color="auto" w:fill="auto"/>
            <w:vAlign w:val="bottom"/>
            <w:hideMark/>
          </w:tcPr>
          <w:p w14:paraId="7C9A2BB9"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37</w:t>
            </w:r>
          </w:p>
        </w:tc>
        <w:tc>
          <w:tcPr>
            <w:tcW w:w="760" w:type="dxa"/>
            <w:tcBorders>
              <w:top w:val="nil"/>
              <w:left w:val="nil"/>
              <w:bottom w:val="single" w:sz="4" w:space="0" w:color="ADD6EA"/>
              <w:right w:val="nil"/>
            </w:tcBorders>
            <w:shd w:val="clear" w:color="auto" w:fill="auto"/>
            <w:vAlign w:val="bottom"/>
            <w:hideMark/>
          </w:tcPr>
          <w:p w14:paraId="418C49CC"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-18</w:t>
            </w:r>
          </w:p>
        </w:tc>
        <w:tc>
          <w:tcPr>
            <w:tcW w:w="740" w:type="dxa"/>
            <w:tcBorders>
              <w:top w:val="nil"/>
              <w:left w:val="nil"/>
              <w:bottom w:val="single" w:sz="4" w:space="0" w:color="ADD6EA"/>
              <w:right w:val="nil"/>
            </w:tcBorders>
            <w:shd w:val="clear" w:color="auto" w:fill="auto"/>
            <w:vAlign w:val="bottom"/>
            <w:hideMark/>
          </w:tcPr>
          <w:p w14:paraId="3DF7FF09"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206</w:t>
            </w:r>
          </w:p>
        </w:tc>
        <w:tc>
          <w:tcPr>
            <w:tcW w:w="840" w:type="dxa"/>
            <w:tcBorders>
              <w:top w:val="nil"/>
              <w:left w:val="nil"/>
              <w:bottom w:val="single" w:sz="4" w:space="0" w:color="ADD6EA"/>
              <w:right w:val="nil"/>
            </w:tcBorders>
            <w:shd w:val="clear" w:color="auto" w:fill="auto"/>
            <w:vAlign w:val="bottom"/>
            <w:hideMark/>
          </w:tcPr>
          <w:p w14:paraId="6DFFD3A2"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530</w:t>
            </w:r>
          </w:p>
        </w:tc>
      </w:tr>
      <w:tr w:rsidR="007E365E" w:rsidRPr="00936D9F" w14:paraId="05A8A2B3" w14:textId="77777777" w:rsidTr="007D1D77">
        <w:trPr>
          <w:trHeight w:val="315"/>
        </w:trPr>
        <w:tc>
          <w:tcPr>
            <w:tcW w:w="2410" w:type="dxa"/>
            <w:tcBorders>
              <w:top w:val="single" w:sz="4" w:space="0" w:color="ADD6EA"/>
              <w:left w:val="nil"/>
              <w:bottom w:val="single" w:sz="4" w:space="0" w:color="ADD6EA"/>
              <w:right w:val="nil"/>
            </w:tcBorders>
            <w:shd w:val="clear" w:color="auto" w:fill="auto"/>
            <w:noWrap/>
            <w:vAlign w:val="bottom"/>
            <w:hideMark/>
          </w:tcPr>
          <w:p w14:paraId="2896AE8B" w14:textId="77777777" w:rsidR="007E365E" w:rsidRPr="00936D9F" w:rsidRDefault="007E365E" w:rsidP="007D1D77">
            <w:pPr>
              <w:tabs>
                <w:tab w:val="clear" w:pos="567"/>
              </w:tabs>
              <w:spacing w:before="0" w:line="240" w:lineRule="auto"/>
              <w:rPr>
                <w:rFonts w:eastAsia="Times New Roman" w:cs="Open Sans Light"/>
                <w:color w:val="000000"/>
                <w:sz w:val="16"/>
                <w:szCs w:val="16"/>
                <w:lang w:eastAsia="en-AU"/>
              </w:rPr>
            </w:pPr>
            <w:r w:rsidRPr="00936D9F">
              <w:rPr>
                <w:rFonts w:eastAsia="Times New Roman" w:cs="Open Sans Light"/>
                <w:color w:val="000000"/>
                <w:sz w:val="16"/>
                <w:szCs w:val="16"/>
                <w:lang w:eastAsia="en-AU"/>
              </w:rPr>
              <w:t>Population dispersion</w:t>
            </w:r>
          </w:p>
        </w:tc>
        <w:tc>
          <w:tcPr>
            <w:tcW w:w="670" w:type="dxa"/>
            <w:tcBorders>
              <w:top w:val="nil"/>
              <w:left w:val="nil"/>
              <w:bottom w:val="nil"/>
              <w:right w:val="nil"/>
            </w:tcBorders>
            <w:shd w:val="clear" w:color="auto" w:fill="auto"/>
            <w:vAlign w:val="bottom"/>
            <w:hideMark/>
          </w:tcPr>
          <w:p w14:paraId="37B2D354"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-281</w:t>
            </w:r>
          </w:p>
        </w:tc>
        <w:tc>
          <w:tcPr>
            <w:tcW w:w="780" w:type="dxa"/>
            <w:tcBorders>
              <w:top w:val="nil"/>
              <w:left w:val="nil"/>
              <w:bottom w:val="nil"/>
              <w:right w:val="nil"/>
            </w:tcBorders>
            <w:shd w:val="clear" w:color="auto" w:fill="auto"/>
            <w:vAlign w:val="bottom"/>
            <w:hideMark/>
          </w:tcPr>
          <w:p w14:paraId="62620645"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-234</w:t>
            </w:r>
          </w:p>
        </w:tc>
        <w:tc>
          <w:tcPr>
            <w:tcW w:w="700" w:type="dxa"/>
            <w:tcBorders>
              <w:top w:val="nil"/>
              <w:left w:val="nil"/>
              <w:bottom w:val="nil"/>
              <w:right w:val="nil"/>
            </w:tcBorders>
            <w:shd w:val="clear" w:color="auto" w:fill="auto"/>
            <w:vAlign w:val="bottom"/>
            <w:hideMark/>
          </w:tcPr>
          <w:p w14:paraId="65976D37"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103</w:t>
            </w:r>
          </w:p>
        </w:tc>
        <w:tc>
          <w:tcPr>
            <w:tcW w:w="740" w:type="dxa"/>
            <w:tcBorders>
              <w:top w:val="nil"/>
              <w:left w:val="nil"/>
              <w:bottom w:val="nil"/>
              <w:right w:val="nil"/>
            </w:tcBorders>
            <w:shd w:val="clear" w:color="auto" w:fill="auto"/>
            <w:vAlign w:val="bottom"/>
            <w:hideMark/>
          </w:tcPr>
          <w:p w14:paraId="7D45C340"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135</w:t>
            </w:r>
          </w:p>
        </w:tc>
        <w:tc>
          <w:tcPr>
            <w:tcW w:w="700" w:type="dxa"/>
            <w:tcBorders>
              <w:top w:val="nil"/>
              <w:left w:val="nil"/>
              <w:bottom w:val="nil"/>
              <w:right w:val="nil"/>
            </w:tcBorders>
            <w:shd w:val="clear" w:color="auto" w:fill="auto"/>
            <w:vAlign w:val="bottom"/>
            <w:hideMark/>
          </w:tcPr>
          <w:p w14:paraId="78605A25"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20</w:t>
            </w:r>
          </w:p>
        </w:tc>
        <w:tc>
          <w:tcPr>
            <w:tcW w:w="620" w:type="dxa"/>
            <w:tcBorders>
              <w:top w:val="nil"/>
              <w:left w:val="nil"/>
              <w:bottom w:val="nil"/>
              <w:right w:val="nil"/>
            </w:tcBorders>
            <w:shd w:val="clear" w:color="auto" w:fill="auto"/>
            <w:vAlign w:val="bottom"/>
            <w:hideMark/>
          </w:tcPr>
          <w:p w14:paraId="236F2CDD"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52</w:t>
            </w:r>
          </w:p>
        </w:tc>
        <w:tc>
          <w:tcPr>
            <w:tcW w:w="760" w:type="dxa"/>
            <w:tcBorders>
              <w:top w:val="nil"/>
              <w:left w:val="nil"/>
              <w:bottom w:val="nil"/>
              <w:right w:val="nil"/>
            </w:tcBorders>
            <w:shd w:val="clear" w:color="auto" w:fill="auto"/>
            <w:vAlign w:val="bottom"/>
            <w:hideMark/>
          </w:tcPr>
          <w:p w14:paraId="7B18D1A7"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-31</w:t>
            </w:r>
          </w:p>
        </w:tc>
        <w:tc>
          <w:tcPr>
            <w:tcW w:w="740" w:type="dxa"/>
            <w:tcBorders>
              <w:top w:val="nil"/>
              <w:left w:val="nil"/>
              <w:bottom w:val="nil"/>
              <w:right w:val="nil"/>
            </w:tcBorders>
            <w:shd w:val="clear" w:color="auto" w:fill="auto"/>
            <w:vAlign w:val="bottom"/>
            <w:hideMark/>
          </w:tcPr>
          <w:p w14:paraId="022FFCCA"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236</w:t>
            </w:r>
          </w:p>
        </w:tc>
        <w:tc>
          <w:tcPr>
            <w:tcW w:w="840" w:type="dxa"/>
            <w:tcBorders>
              <w:top w:val="nil"/>
              <w:left w:val="nil"/>
              <w:bottom w:val="nil"/>
              <w:right w:val="nil"/>
            </w:tcBorders>
            <w:shd w:val="clear" w:color="auto" w:fill="auto"/>
            <w:vAlign w:val="bottom"/>
            <w:hideMark/>
          </w:tcPr>
          <w:p w14:paraId="06019473"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546</w:t>
            </w:r>
          </w:p>
        </w:tc>
      </w:tr>
      <w:tr w:rsidR="007E365E" w:rsidRPr="00936D9F" w14:paraId="3A28F90E" w14:textId="77777777" w:rsidTr="007D1D77">
        <w:trPr>
          <w:trHeight w:val="315"/>
        </w:trPr>
        <w:tc>
          <w:tcPr>
            <w:tcW w:w="2410" w:type="dxa"/>
            <w:tcBorders>
              <w:top w:val="nil"/>
              <w:left w:val="nil"/>
              <w:bottom w:val="nil"/>
              <w:right w:val="nil"/>
            </w:tcBorders>
            <w:shd w:val="clear" w:color="auto" w:fill="auto"/>
            <w:noWrap/>
            <w:vAlign w:val="bottom"/>
            <w:hideMark/>
          </w:tcPr>
          <w:p w14:paraId="317669DC" w14:textId="77777777" w:rsidR="007E365E" w:rsidRPr="00936D9F" w:rsidRDefault="007E365E" w:rsidP="007D1D77">
            <w:pPr>
              <w:tabs>
                <w:tab w:val="clear" w:pos="567"/>
              </w:tabs>
              <w:spacing w:before="0" w:line="240" w:lineRule="auto"/>
              <w:rPr>
                <w:rFonts w:eastAsia="Times New Roman" w:cs="Open Sans Light"/>
                <w:color w:val="000000"/>
                <w:sz w:val="16"/>
                <w:szCs w:val="16"/>
                <w:lang w:eastAsia="en-AU"/>
              </w:rPr>
            </w:pPr>
            <w:r w:rsidRPr="00936D9F">
              <w:rPr>
                <w:rFonts w:eastAsia="Times New Roman" w:cs="Open Sans Light"/>
                <w:color w:val="000000"/>
                <w:sz w:val="16"/>
                <w:szCs w:val="16"/>
                <w:lang w:eastAsia="en-AU"/>
              </w:rPr>
              <w:t>Indigenous disadvantage</w:t>
            </w:r>
          </w:p>
        </w:tc>
        <w:tc>
          <w:tcPr>
            <w:tcW w:w="670" w:type="dxa"/>
            <w:tcBorders>
              <w:top w:val="single" w:sz="4" w:space="0" w:color="ADD6EA"/>
              <w:left w:val="nil"/>
              <w:bottom w:val="single" w:sz="4" w:space="0" w:color="ADD6EA"/>
              <w:right w:val="nil"/>
            </w:tcBorders>
            <w:shd w:val="clear" w:color="auto" w:fill="auto"/>
            <w:vAlign w:val="bottom"/>
            <w:hideMark/>
          </w:tcPr>
          <w:p w14:paraId="26C7FA63"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-3</w:t>
            </w:r>
          </w:p>
        </w:tc>
        <w:tc>
          <w:tcPr>
            <w:tcW w:w="780" w:type="dxa"/>
            <w:tcBorders>
              <w:top w:val="single" w:sz="4" w:space="0" w:color="ADD6EA"/>
              <w:left w:val="nil"/>
              <w:bottom w:val="single" w:sz="4" w:space="0" w:color="ADD6EA"/>
              <w:right w:val="nil"/>
            </w:tcBorders>
            <w:shd w:val="clear" w:color="auto" w:fill="auto"/>
            <w:vAlign w:val="bottom"/>
            <w:hideMark/>
          </w:tcPr>
          <w:p w14:paraId="60DD7643"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-17</w:t>
            </w:r>
          </w:p>
        </w:tc>
        <w:tc>
          <w:tcPr>
            <w:tcW w:w="700" w:type="dxa"/>
            <w:tcBorders>
              <w:top w:val="single" w:sz="4" w:space="0" w:color="ADD6EA"/>
              <w:left w:val="nil"/>
              <w:bottom w:val="single" w:sz="4" w:space="0" w:color="ADD6EA"/>
              <w:right w:val="nil"/>
            </w:tcBorders>
            <w:shd w:val="clear" w:color="auto" w:fill="auto"/>
            <w:vAlign w:val="bottom"/>
            <w:hideMark/>
          </w:tcPr>
          <w:p w14:paraId="2B0EE16D"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5</w:t>
            </w:r>
          </w:p>
        </w:tc>
        <w:tc>
          <w:tcPr>
            <w:tcW w:w="740" w:type="dxa"/>
            <w:tcBorders>
              <w:top w:val="single" w:sz="4" w:space="0" w:color="ADD6EA"/>
              <w:left w:val="nil"/>
              <w:bottom w:val="single" w:sz="4" w:space="0" w:color="ADD6EA"/>
              <w:right w:val="nil"/>
            </w:tcBorders>
            <w:shd w:val="clear" w:color="auto" w:fill="auto"/>
            <w:vAlign w:val="bottom"/>
            <w:hideMark/>
          </w:tcPr>
          <w:p w14:paraId="74EADA73"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26</w:t>
            </w:r>
          </w:p>
        </w:tc>
        <w:tc>
          <w:tcPr>
            <w:tcW w:w="700" w:type="dxa"/>
            <w:tcBorders>
              <w:top w:val="single" w:sz="4" w:space="0" w:color="ADD6EA"/>
              <w:left w:val="nil"/>
              <w:bottom w:val="single" w:sz="4" w:space="0" w:color="ADD6EA"/>
              <w:right w:val="nil"/>
            </w:tcBorders>
            <w:shd w:val="clear" w:color="auto" w:fill="auto"/>
            <w:vAlign w:val="bottom"/>
            <w:hideMark/>
          </w:tcPr>
          <w:p w14:paraId="70CB7565"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10</w:t>
            </w:r>
          </w:p>
        </w:tc>
        <w:tc>
          <w:tcPr>
            <w:tcW w:w="620" w:type="dxa"/>
            <w:tcBorders>
              <w:top w:val="single" w:sz="4" w:space="0" w:color="ADD6EA"/>
              <w:left w:val="nil"/>
              <w:bottom w:val="single" w:sz="4" w:space="0" w:color="ADD6EA"/>
              <w:right w:val="nil"/>
            </w:tcBorders>
            <w:shd w:val="clear" w:color="auto" w:fill="auto"/>
            <w:vAlign w:val="bottom"/>
            <w:hideMark/>
          </w:tcPr>
          <w:p w14:paraId="48639B34"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-23</w:t>
            </w:r>
          </w:p>
        </w:tc>
        <w:tc>
          <w:tcPr>
            <w:tcW w:w="760" w:type="dxa"/>
            <w:tcBorders>
              <w:top w:val="single" w:sz="4" w:space="0" w:color="ADD6EA"/>
              <w:left w:val="nil"/>
              <w:bottom w:val="single" w:sz="4" w:space="0" w:color="ADD6EA"/>
              <w:right w:val="nil"/>
            </w:tcBorders>
            <w:shd w:val="clear" w:color="auto" w:fill="auto"/>
            <w:vAlign w:val="bottom"/>
            <w:hideMark/>
          </w:tcPr>
          <w:p w14:paraId="3045E8F1"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-3</w:t>
            </w:r>
          </w:p>
        </w:tc>
        <w:tc>
          <w:tcPr>
            <w:tcW w:w="740" w:type="dxa"/>
            <w:tcBorders>
              <w:top w:val="single" w:sz="4" w:space="0" w:color="ADD6EA"/>
              <w:left w:val="nil"/>
              <w:bottom w:val="single" w:sz="4" w:space="0" w:color="ADD6EA"/>
              <w:right w:val="nil"/>
            </w:tcBorders>
            <w:shd w:val="clear" w:color="auto" w:fill="auto"/>
            <w:vAlign w:val="bottom"/>
            <w:hideMark/>
          </w:tcPr>
          <w:p w14:paraId="0506313B"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4</w:t>
            </w:r>
          </w:p>
        </w:tc>
        <w:tc>
          <w:tcPr>
            <w:tcW w:w="840" w:type="dxa"/>
            <w:tcBorders>
              <w:top w:val="single" w:sz="4" w:space="0" w:color="ADD6EA"/>
              <w:left w:val="nil"/>
              <w:bottom w:val="single" w:sz="4" w:space="0" w:color="ADD6EA"/>
              <w:right w:val="nil"/>
            </w:tcBorders>
            <w:shd w:val="clear" w:color="auto" w:fill="auto"/>
            <w:vAlign w:val="bottom"/>
            <w:hideMark/>
          </w:tcPr>
          <w:p w14:paraId="599B6971"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45</w:t>
            </w:r>
          </w:p>
        </w:tc>
      </w:tr>
      <w:tr w:rsidR="007E365E" w:rsidRPr="00936D9F" w14:paraId="7EB66FB8" w14:textId="77777777" w:rsidTr="007D1D77">
        <w:trPr>
          <w:trHeight w:val="315"/>
        </w:trPr>
        <w:tc>
          <w:tcPr>
            <w:tcW w:w="2410" w:type="dxa"/>
            <w:tcBorders>
              <w:top w:val="single" w:sz="4" w:space="0" w:color="ADD6EA"/>
              <w:left w:val="nil"/>
              <w:bottom w:val="single" w:sz="4" w:space="0" w:color="ADD6EA"/>
              <w:right w:val="nil"/>
            </w:tcBorders>
            <w:shd w:val="clear" w:color="auto" w:fill="auto"/>
            <w:noWrap/>
            <w:vAlign w:val="bottom"/>
            <w:hideMark/>
          </w:tcPr>
          <w:p w14:paraId="50E7623B" w14:textId="77777777" w:rsidR="007E365E" w:rsidRPr="00936D9F" w:rsidRDefault="007E365E" w:rsidP="007D1D77">
            <w:pPr>
              <w:tabs>
                <w:tab w:val="clear" w:pos="567"/>
              </w:tabs>
              <w:spacing w:before="0" w:line="240" w:lineRule="auto"/>
              <w:rPr>
                <w:rFonts w:eastAsia="Times New Roman" w:cs="Open Sans Light"/>
                <w:color w:val="000000"/>
                <w:sz w:val="16"/>
                <w:szCs w:val="16"/>
                <w:lang w:eastAsia="en-AU"/>
              </w:rPr>
            </w:pPr>
            <w:r w:rsidRPr="00936D9F">
              <w:rPr>
                <w:rFonts w:eastAsia="Times New Roman" w:cs="Open Sans Light"/>
                <w:color w:val="000000"/>
                <w:sz w:val="16"/>
                <w:szCs w:val="16"/>
                <w:lang w:eastAsia="en-AU"/>
              </w:rPr>
              <w:t>Non-Indigenous disadvantage</w:t>
            </w:r>
          </w:p>
        </w:tc>
        <w:tc>
          <w:tcPr>
            <w:tcW w:w="670" w:type="dxa"/>
            <w:tcBorders>
              <w:top w:val="nil"/>
              <w:left w:val="nil"/>
              <w:bottom w:val="nil"/>
              <w:right w:val="nil"/>
            </w:tcBorders>
            <w:shd w:val="clear" w:color="auto" w:fill="auto"/>
            <w:vAlign w:val="bottom"/>
            <w:hideMark/>
          </w:tcPr>
          <w:p w14:paraId="57B04A99"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31</w:t>
            </w:r>
          </w:p>
        </w:tc>
        <w:tc>
          <w:tcPr>
            <w:tcW w:w="780" w:type="dxa"/>
            <w:tcBorders>
              <w:top w:val="nil"/>
              <w:left w:val="nil"/>
              <w:bottom w:val="nil"/>
              <w:right w:val="nil"/>
            </w:tcBorders>
            <w:shd w:val="clear" w:color="auto" w:fill="auto"/>
            <w:vAlign w:val="bottom"/>
            <w:hideMark/>
          </w:tcPr>
          <w:p w14:paraId="212AAF45"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-21</w:t>
            </w:r>
          </w:p>
        </w:tc>
        <w:tc>
          <w:tcPr>
            <w:tcW w:w="700" w:type="dxa"/>
            <w:tcBorders>
              <w:top w:val="nil"/>
              <w:left w:val="nil"/>
              <w:bottom w:val="nil"/>
              <w:right w:val="nil"/>
            </w:tcBorders>
            <w:shd w:val="clear" w:color="auto" w:fill="auto"/>
            <w:vAlign w:val="bottom"/>
            <w:hideMark/>
          </w:tcPr>
          <w:p w14:paraId="7D929BD1"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15</w:t>
            </w:r>
          </w:p>
        </w:tc>
        <w:tc>
          <w:tcPr>
            <w:tcW w:w="740" w:type="dxa"/>
            <w:tcBorders>
              <w:top w:val="nil"/>
              <w:left w:val="nil"/>
              <w:bottom w:val="nil"/>
              <w:right w:val="nil"/>
            </w:tcBorders>
            <w:shd w:val="clear" w:color="auto" w:fill="auto"/>
            <w:vAlign w:val="bottom"/>
            <w:hideMark/>
          </w:tcPr>
          <w:p w14:paraId="7C709224"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-56</w:t>
            </w:r>
          </w:p>
        </w:tc>
        <w:tc>
          <w:tcPr>
            <w:tcW w:w="700" w:type="dxa"/>
            <w:tcBorders>
              <w:top w:val="nil"/>
              <w:left w:val="nil"/>
              <w:bottom w:val="nil"/>
              <w:right w:val="nil"/>
            </w:tcBorders>
            <w:shd w:val="clear" w:color="auto" w:fill="auto"/>
            <w:vAlign w:val="bottom"/>
            <w:hideMark/>
          </w:tcPr>
          <w:p w14:paraId="05A35A9B"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73</w:t>
            </w:r>
          </w:p>
        </w:tc>
        <w:tc>
          <w:tcPr>
            <w:tcW w:w="620" w:type="dxa"/>
            <w:tcBorders>
              <w:top w:val="nil"/>
              <w:left w:val="nil"/>
              <w:bottom w:val="nil"/>
              <w:right w:val="nil"/>
            </w:tcBorders>
            <w:shd w:val="clear" w:color="auto" w:fill="auto"/>
            <w:vAlign w:val="bottom"/>
            <w:hideMark/>
          </w:tcPr>
          <w:p w14:paraId="66D79298"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18</w:t>
            </w:r>
          </w:p>
        </w:tc>
        <w:tc>
          <w:tcPr>
            <w:tcW w:w="760" w:type="dxa"/>
            <w:tcBorders>
              <w:top w:val="nil"/>
              <w:left w:val="nil"/>
              <w:bottom w:val="nil"/>
              <w:right w:val="nil"/>
            </w:tcBorders>
            <w:shd w:val="clear" w:color="auto" w:fill="auto"/>
            <w:vAlign w:val="bottom"/>
            <w:hideMark/>
          </w:tcPr>
          <w:p w14:paraId="771FCA73"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-43</w:t>
            </w:r>
          </w:p>
        </w:tc>
        <w:tc>
          <w:tcPr>
            <w:tcW w:w="740" w:type="dxa"/>
            <w:tcBorders>
              <w:top w:val="nil"/>
              <w:left w:val="nil"/>
              <w:bottom w:val="nil"/>
              <w:right w:val="nil"/>
            </w:tcBorders>
            <w:shd w:val="clear" w:color="auto" w:fill="auto"/>
            <w:vAlign w:val="bottom"/>
            <w:hideMark/>
          </w:tcPr>
          <w:p w14:paraId="19A699F0"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-16</w:t>
            </w:r>
          </w:p>
        </w:tc>
        <w:tc>
          <w:tcPr>
            <w:tcW w:w="840" w:type="dxa"/>
            <w:tcBorders>
              <w:top w:val="nil"/>
              <w:left w:val="nil"/>
              <w:bottom w:val="nil"/>
              <w:right w:val="nil"/>
            </w:tcBorders>
            <w:shd w:val="clear" w:color="auto" w:fill="auto"/>
            <w:vAlign w:val="bottom"/>
            <w:hideMark/>
          </w:tcPr>
          <w:p w14:paraId="276C3EEA"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136</w:t>
            </w:r>
          </w:p>
        </w:tc>
      </w:tr>
      <w:tr w:rsidR="007E365E" w:rsidRPr="00936D9F" w14:paraId="4845CE9B" w14:textId="77777777" w:rsidTr="007D1D77">
        <w:trPr>
          <w:trHeight w:val="315"/>
        </w:trPr>
        <w:tc>
          <w:tcPr>
            <w:tcW w:w="2410" w:type="dxa"/>
            <w:tcBorders>
              <w:top w:val="nil"/>
              <w:left w:val="nil"/>
              <w:bottom w:val="single" w:sz="4" w:space="0" w:color="ADD6EA"/>
              <w:right w:val="nil"/>
            </w:tcBorders>
            <w:shd w:val="clear" w:color="auto" w:fill="auto"/>
            <w:noWrap/>
            <w:vAlign w:val="bottom"/>
            <w:hideMark/>
          </w:tcPr>
          <w:p w14:paraId="37E8E872" w14:textId="77777777" w:rsidR="007E365E" w:rsidRPr="00936D9F" w:rsidRDefault="007E365E" w:rsidP="007D1D77">
            <w:pPr>
              <w:tabs>
                <w:tab w:val="clear" w:pos="567"/>
              </w:tabs>
              <w:spacing w:before="0" w:line="240" w:lineRule="auto"/>
              <w:rPr>
                <w:rFonts w:eastAsia="Times New Roman" w:cs="Open Sans Light"/>
                <w:color w:val="000000"/>
                <w:sz w:val="16"/>
                <w:szCs w:val="16"/>
                <w:lang w:eastAsia="en-AU"/>
              </w:rPr>
            </w:pPr>
            <w:r w:rsidRPr="00936D9F">
              <w:rPr>
                <w:rFonts w:eastAsia="Times New Roman" w:cs="Open Sans Light"/>
                <w:color w:val="000000"/>
                <w:sz w:val="16"/>
                <w:szCs w:val="16"/>
                <w:lang w:eastAsia="en-AU"/>
              </w:rPr>
              <w:t>Age</w:t>
            </w:r>
          </w:p>
        </w:tc>
        <w:tc>
          <w:tcPr>
            <w:tcW w:w="670" w:type="dxa"/>
            <w:tcBorders>
              <w:top w:val="single" w:sz="4" w:space="0" w:color="ADD6EA"/>
              <w:left w:val="nil"/>
              <w:bottom w:val="single" w:sz="4" w:space="0" w:color="ADD6EA"/>
              <w:right w:val="nil"/>
            </w:tcBorders>
            <w:shd w:val="clear" w:color="auto" w:fill="auto"/>
            <w:vAlign w:val="bottom"/>
            <w:hideMark/>
          </w:tcPr>
          <w:p w14:paraId="7D2A27F7"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-25</w:t>
            </w:r>
          </w:p>
        </w:tc>
        <w:tc>
          <w:tcPr>
            <w:tcW w:w="780" w:type="dxa"/>
            <w:tcBorders>
              <w:top w:val="single" w:sz="4" w:space="0" w:color="ADD6EA"/>
              <w:left w:val="nil"/>
              <w:bottom w:val="single" w:sz="4" w:space="0" w:color="ADD6EA"/>
              <w:right w:val="nil"/>
            </w:tcBorders>
            <w:shd w:val="clear" w:color="auto" w:fill="auto"/>
            <w:vAlign w:val="bottom"/>
            <w:hideMark/>
          </w:tcPr>
          <w:p w14:paraId="554C24AB"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49</w:t>
            </w:r>
          </w:p>
        </w:tc>
        <w:tc>
          <w:tcPr>
            <w:tcW w:w="700" w:type="dxa"/>
            <w:tcBorders>
              <w:top w:val="single" w:sz="4" w:space="0" w:color="ADD6EA"/>
              <w:left w:val="nil"/>
              <w:bottom w:val="single" w:sz="4" w:space="0" w:color="ADD6EA"/>
              <w:right w:val="nil"/>
            </w:tcBorders>
            <w:shd w:val="clear" w:color="auto" w:fill="auto"/>
            <w:vAlign w:val="bottom"/>
            <w:hideMark/>
          </w:tcPr>
          <w:p w14:paraId="65278A5D"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-29</w:t>
            </w:r>
          </w:p>
        </w:tc>
        <w:tc>
          <w:tcPr>
            <w:tcW w:w="740" w:type="dxa"/>
            <w:tcBorders>
              <w:top w:val="single" w:sz="4" w:space="0" w:color="ADD6EA"/>
              <w:left w:val="nil"/>
              <w:bottom w:val="single" w:sz="4" w:space="0" w:color="ADD6EA"/>
              <w:right w:val="nil"/>
            </w:tcBorders>
            <w:shd w:val="clear" w:color="auto" w:fill="auto"/>
            <w:vAlign w:val="bottom"/>
            <w:hideMark/>
          </w:tcPr>
          <w:p w14:paraId="38F3EE3F"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3</w:t>
            </w:r>
          </w:p>
        </w:tc>
        <w:tc>
          <w:tcPr>
            <w:tcW w:w="700" w:type="dxa"/>
            <w:tcBorders>
              <w:top w:val="single" w:sz="4" w:space="0" w:color="ADD6EA"/>
              <w:left w:val="nil"/>
              <w:bottom w:val="single" w:sz="4" w:space="0" w:color="ADD6EA"/>
              <w:right w:val="nil"/>
            </w:tcBorders>
            <w:shd w:val="clear" w:color="auto" w:fill="auto"/>
            <w:vAlign w:val="bottom"/>
            <w:hideMark/>
          </w:tcPr>
          <w:p w14:paraId="0107C646"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-22</w:t>
            </w:r>
          </w:p>
        </w:tc>
        <w:tc>
          <w:tcPr>
            <w:tcW w:w="620" w:type="dxa"/>
            <w:tcBorders>
              <w:top w:val="single" w:sz="4" w:space="0" w:color="ADD6EA"/>
              <w:left w:val="nil"/>
              <w:bottom w:val="single" w:sz="4" w:space="0" w:color="ADD6EA"/>
              <w:right w:val="nil"/>
            </w:tcBorders>
            <w:shd w:val="clear" w:color="auto" w:fill="auto"/>
            <w:vAlign w:val="bottom"/>
            <w:hideMark/>
          </w:tcPr>
          <w:p w14:paraId="224E27AD"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-3</w:t>
            </w:r>
          </w:p>
        </w:tc>
        <w:tc>
          <w:tcPr>
            <w:tcW w:w="760" w:type="dxa"/>
            <w:tcBorders>
              <w:top w:val="single" w:sz="4" w:space="0" w:color="ADD6EA"/>
              <w:left w:val="nil"/>
              <w:bottom w:val="single" w:sz="4" w:space="0" w:color="ADD6EA"/>
              <w:right w:val="nil"/>
            </w:tcBorders>
            <w:shd w:val="clear" w:color="auto" w:fill="auto"/>
            <w:vAlign w:val="bottom"/>
            <w:hideMark/>
          </w:tcPr>
          <w:p w14:paraId="2B54CCD3"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4</w:t>
            </w:r>
          </w:p>
        </w:tc>
        <w:tc>
          <w:tcPr>
            <w:tcW w:w="740" w:type="dxa"/>
            <w:tcBorders>
              <w:top w:val="single" w:sz="4" w:space="0" w:color="ADD6EA"/>
              <w:left w:val="nil"/>
              <w:bottom w:val="single" w:sz="4" w:space="0" w:color="ADD6EA"/>
              <w:right w:val="nil"/>
            </w:tcBorders>
            <w:shd w:val="clear" w:color="auto" w:fill="auto"/>
            <w:vAlign w:val="bottom"/>
            <w:hideMark/>
          </w:tcPr>
          <w:p w14:paraId="6F4289BD"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24</w:t>
            </w:r>
          </w:p>
        </w:tc>
        <w:tc>
          <w:tcPr>
            <w:tcW w:w="840" w:type="dxa"/>
            <w:tcBorders>
              <w:top w:val="single" w:sz="4" w:space="0" w:color="ADD6EA"/>
              <w:left w:val="nil"/>
              <w:bottom w:val="single" w:sz="4" w:space="0" w:color="ADD6EA"/>
              <w:right w:val="nil"/>
            </w:tcBorders>
            <w:shd w:val="clear" w:color="auto" w:fill="auto"/>
            <w:vAlign w:val="bottom"/>
            <w:hideMark/>
          </w:tcPr>
          <w:p w14:paraId="66AAFA00"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936D9F">
              <w:rPr>
                <w:rFonts w:eastAsia="Times New Roman" w:cs="Open Sans Light"/>
                <w:sz w:val="16"/>
                <w:szCs w:val="16"/>
                <w:lang w:eastAsia="en-AU"/>
              </w:rPr>
              <w:t>79</w:t>
            </w:r>
          </w:p>
        </w:tc>
      </w:tr>
      <w:tr w:rsidR="007E365E" w:rsidRPr="00936D9F" w14:paraId="39A591B7" w14:textId="77777777" w:rsidTr="007D1D77">
        <w:trPr>
          <w:trHeight w:val="315"/>
        </w:trPr>
        <w:tc>
          <w:tcPr>
            <w:tcW w:w="2410" w:type="dxa"/>
            <w:tcBorders>
              <w:top w:val="nil"/>
              <w:left w:val="nil"/>
              <w:bottom w:val="nil"/>
              <w:right w:val="nil"/>
            </w:tcBorders>
            <w:shd w:val="clear" w:color="auto" w:fill="auto"/>
            <w:noWrap/>
            <w:vAlign w:val="bottom"/>
            <w:hideMark/>
          </w:tcPr>
          <w:p w14:paraId="3913ECC5" w14:textId="77777777" w:rsidR="007E365E" w:rsidRPr="00936D9F" w:rsidRDefault="007E365E" w:rsidP="007D1D77">
            <w:pPr>
              <w:tabs>
                <w:tab w:val="clear" w:pos="567"/>
              </w:tabs>
              <w:spacing w:before="0" w:line="240" w:lineRule="auto"/>
              <w:rPr>
                <w:rFonts w:eastAsia="Times New Roman" w:cs="Open Sans Light"/>
                <w:color w:val="000000"/>
                <w:sz w:val="16"/>
                <w:szCs w:val="16"/>
                <w:lang w:eastAsia="en-AU"/>
              </w:rPr>
            </w:pPr>
            <w:r w:rsidRPr="00936D9F">
              <w:rPr>
                <w:rFonts w:eastAsia="Times New Roman" w:cs="Open Sans Light"/>
                <w:color w:val="000000"/>
                <w:sz w:val="16"/>
                <w:szCs w:val="16"/>
                <w:lang w:eastAsia="en-AU"/>
              </w:rPr>
              <w:t>Wages</w:t>
            </w:r>
          </w:p>
        </w:tc>
        <w:tc>
          <w:tcPr>
            <w:tcW w:w="670" w:type="dxa"/>
            <w:tcBorders>
              <w:top w:val="nil"/>
              <w:left w:val="nil"/>
              <w:bottom w:val="nil"/>
              <w:right w:val="nil"/>
            </w:tcBorders>
            <w:shd w:val="clear" w:color="auto" w:fill="auto"/>
            <w:vAlign w:val="bottom"/>
            <w:hideMark/>
          </w:tcPr>
          <w:p w14:paraId="4C6F20F3"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45</w:t>
            </w:r>
          </w:p>
        </w:tc>
        <w:tc>
          <w:tcPr>
            <w:tcW w:w="780" w:type="dxa"/>
            <w:tcBorders>
              <w:top w:val="nil"/>
              <w:left w:val="nil"/>
              <w:bottom w:val="nil"/>
              <w:right w:val="nil"/>
            </w:tcBorders>
            <w:shd w:val="clear" w:color="auto" w:fill="auto"/>
            <w:vAlign w:val="bottom"/>
            <w:hideMark/>
          </w:tcPr>
          <w:p w14:paraId="5E4FECE2"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-37</w:t>
            </w:r>
          </w:p>
        </w:tc>
        <w:tc>
          <w:tcPr>
            <w:tcW w:w="700" w:type="dxa"/>
            <w:tcBorders>
              <w:top w:val="nil"/>
              <w:left w:val="nil"/>
              <w:bottom w:val="nil"/>
              <w:right w:val="nil"/>
            </w:tcBorders>
            <w:shd w:val="clear" w:color="auto" w:fill="auto"/>
            <w:vAlign w:val="bottom"/>
            <w:hideMark/>
          </w:tcPr>
          <w:p w14:paraId="3B3F7571"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-27</w:t>
            </w:r>
          </w:p>
        </w:tc>
        <w:tc>
          <w:tcPr>
            <w:tcW w:w="740" w:type="dxa"/>
            <w:tcBorders>
              <w:top w:val="nil"/>
              <w:left w:val="nil"/>
              <w:bottom w:val="nil"/>
              <w:right w:val="nil"/>
            </w:tcBorders>
            <w:shd w:val="clear" w:color="auto" w:fill="auto"/>
            <w:vAlign w:val="bottom"/>
            <w:hideMark/>
          </w:tcPr>
          <w:p w14:paraId="0C8933A4"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48</w:t>
            </w:r>
          </w:p>
        </w:tc>
        <w:tc>
          <w:tcPr>
            <w:tcW w:w="700" w:type="dxa"/>
            <w:tcBorders>
              <w:top w:val="nil"/>
              <w:left w:val="nil"/>
              <w:bottom w:val="nil"/>
              <w:right w:val="nil"/>
            </w:tcBorders>
            <w:shd w:val="clear" w:color="auto" w:fill="auto"/>
            <w:vAlign w:val="bottom"/>
            <w:hideMark/>
          </w:tcPr>
          <w:p w14:paraId="068EC7EA"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-39</w:t>
            </w:r>
          </w:p>
        </w:tc>
        <w:tc>
          <w:tcPr>
            <w:tcW w:w="620" w:type="dxa"/>
            <w:tcBorders>
              <w:top w:val="nil"/>
              <w:left w:val="nil"/>
              <w:bottom w:val="nil"/>
              <w:right w:val="nil"/>
            </w:tcBorders>
            <w:shd w:val="clear" w:color="auto" w:fill="auto"/>
            <w:vAlign w:val="bottom"/>
            <w:hideMark/>
          </w:tcPr>
          <w:p w14:paraId="2E980B5D"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-18</w:t>
            </w:r>
          </w:p>
        </w:tc>
        <w:tc>
          <w:tcPr>
            <w:tcW w:w="760" w:type="dxa"/>
            <w:tcBorders>
              <w:top w:val="nil"/>
              <w:left w:val="nil"/>
              <w:bottom w:val="nil"/>
              <w:right w:val="nil"/>
            </w:tcBorders>
            <w:shd w:val="clear" w:color="auto" w:fill="auto"/>
            <w:vAlign w:val="bottom"/>
            <w:hideMark/>
          </w:tcPr>
          <w:p w14:paraId="19F8C0D6"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6</w:t>
            </w:r>
          </w:p>
        </w:tc>
        <w:tc>
          <w:tcPr>
            <w:tcW w:w="740" w:type="dxa"/>
            <w:tcBorders>
              <w:top w:val="nil"/>
              <w:left w:val="nil"/>
              <w:bottom w:val="nil"/>
              <w:right w:val="nil"/>
            </w:tcBorders>
            <w:shd w:val="clear" w:color="auto" w:fill="auto"/>
            <w:vAlign w:val="bottom"/>
            <w:hideMark/>
          </w:tcPr>
          <w:p w14:paraId="770A813E"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22</w:t>
            </w:r>
          </w:p>
        </w:tc>
        <w:tc>
          <w:tcPr>
            <w:tcW w:w="840" w:type="dxa"/>
            <w:tcBorders>
              <w:top w:val="nil"/>
              <w:left w:val="nil"/>
              <w:bottom w:val="nil"/>
              <w:right w:val="nil"/>
            </w:tcBorders>
            <w:shd w:val="clear" w:color="auto" w:fill="auto"/>
            <w:vAlign w:val="bottom"/>
            <w:hideMark/>
          </w:tcPr>
          <w:p w14:paraId="690D2DDE"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121</w:t>
            </w:r>
          </w:p>
        </w:tc>
      </w:tr>
      <w:tr w:rsidR="007E365E" w:rsidRPr="00936D9F" w14:paraId="1EA23C77" w14:textId="77777777" w:rsidTr="007D1D77">
        <w:trPr>
          <w:trHeight w:val="315"/>
        </w:trPr>
        <w:tc>
          <w:tcPr>
            <w:tcW w:w="2410" w:type="dxa"/>
            <w:tcBorders>
              <w:top w:val="single" w:sz="4" w:space="0" w:color="ADD6EA"/>
              <w:left w:val="nil"/>
              <w:bottom w:val="single" w:sz="4" w:space="0" w:color="ADD6EA"/>
              <w:right w:val="nil"/>
            </w:tcBorders>
            <w:shd w:val="clear" w:color="auto" w:fill="auto"/>
            <w:vAlign w:val="bottom"/>
            <w:hideMark/>
          </w:tcPr>
          <w:p w14:paraId="1FD3DAD2" w14:textId="77777777" w:rsidR="007E365E" w:rsidRPr="00936D9F" w:rsidRDefault="007E365E" w:rsidP="007D1D77">
            <w:pPr>
              <w:tabs>
                <w:tab w:val="clear" w:pos="567"/>
              </w:tabs>
              <w:spacing w:before="0" w:line="240" w:lineRule="auto"/>
              <w:rPr>
                <w:rFonts w:eastAsia="Times New Roman" w:cs="Open Sans Light"/>
                <w:color w:val="000000"/>
                <w:sz w:val="16"/>
                <w:szCs w:val="16"/>
                <w:lang w:eastAsia="en-AU"/>
              </w:rPr>
            </w:pPr>
            <w:r w:rsidRPr="00936D9F">
              <w:rPr>
                <w:rFonts w:eastAsia="Times New Roman" w:cs="Open Sans Light"/>
                <w:color w:val="000000"/>
                <w:sz w:val="16"/>
                <w:szCs w:val="16"/>
                <w:lang w:eastAsia="en-AU"/>
              </w:rPr>
              <w:t>National capital</w:t>
            </w:r>
          </w:p>
        </w:tc>
        <w:tc>
          <w:tcPr>
            <w:tcW w:w="670" w:type="dxa"/>
            <w:tcBorders>
              <w:top w:val="single" w:sz="4" w:space="0" w:color="ADD6EA"/>
              <w:left w:val="nil"/>
              <w:bottom w:val="single" w:sz="4" w:space="0" w:color="ADD6EA"/>
              <w:right w:val="nil"/>
            </w:tcBorders>
            <w:shd w:val="clear" w:color="auto" w:fill="auto"/>
            <w:vAlign w:val="bottom"/>
            <w:hideMark/>
          </w:tcPr>
          <w:p w14:paraId="1D7E6CC1"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-3</w:t>
            </w:r>
          </w:p>
        </w:tc>
        <w:tc>
          <w:tcPr>
            <w:tcW w:w="780" w:type="dxa"/>
            <w:tcBorders>
              <w:top w:val="single" w:sz="4" w:space="0" w:color="ADD6EA"/>
              <w:left w:val="nil"/>
              <w:bottom w:val="single" w:sz="4" w:space="0" w:color="ADD6EA"/>
              <w:right w:val="nil"/>
            </w:tcBorders>
            <w:shd w:val="clear" w:color="auto" w:fill="auto"/>
            <w:vAlign w:val="bottom"/>
            <w:hideMark/>
          </w:tcPr>
          <w:p w14:paraId="161EE003"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-2</w:t>
            </w:r>
          </w:p>
        </w:tc>
        <w:tc>
          <w:tcPr>
            <w:tcW w:w="700" w:type="dxa"/>
            <w:tcBorders>
              <w:top w:val="single" w:sz="4" w:space="0" w:color="ADD6EA"/>
              <w:left w:val="nil"/>
              <w:bottom w:val="single" w:sz="4" w:space="0" w:color="ADD6EA"/>
              <w:right w:val="nil"/>
            </w:tcBorders>
            <w:shd w:val="clear" w:color="auto" w:fill="auto"/>
            <w:vAlign w:val="bottom"/>
            <w:hideMark/>
          </w:tcPr>
          <w:p w14:paraId="398499E6"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-2</w:t>
            </w:r>
          </w:p>
        </w:tc>
        <w:tc>
          <w:tcPr>
            <w:tcW w:w="740" w:type="dxa"/>
            <w:tcBorders>
              <w:top w:val="single" w:sz="4" w:space="0" w:color="ADD6EA"/>
              <w:left w:val="nil"/>
              <w:bottom w:val="single" w:sz="4" w:space="0" w:color="ADD6EA"/>
              <w:right w:val="nil"/>
            </w:tcBorders>
            <w:shd w:val="clear" w:color="auto" w:fill="auto"/>
            <w:vAlign w:val="bottom"/>
            <w:hideMark/>
          </w:tcPr>
          <w:p w14:paraId="2F10D8FC"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-1</w:t>
            </w:r>
          </w:p>
        </w:tc>
        <w:tc>
          <w:tcPr>
            <w:tcW w:w="700" w:type="dxa"/>
            <w:tcBorders>
              <w:top w:val="single" w:sz="4" w:space="0" w:color="ADD6EA"/>
              <w:left w:val="nil"/>
              <w:bottom w:val="single" w:sz="4" w:space="0" w:color="ADD6EA"/>
              <w:right w:val="nil"/>
            </w:tcBorders>
            <w:shd w:val="clear" w:color="auto" w:fill="auto"/>
            <w:vAlign w:val="bottom"/>
            <w:hideMark/>
          </w:tcPr>
          <w:p w14:paraId="3460F983"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-1</w:t>
            </w:r>
          </w:p>
        </w:tc>
        <w:tc>
          <w:tcPr>
            <w:tcW w:w="620" w:type="dxa"/>
            <w:tcBorders>
              <w:top w:val="single" w:sz="4" w:space="0" w:color="ADD6EA"/>
              <w:left w:val="nil"/>
              <w:bottom w:val="single" w:sz="4" w:space="0" w:color="ADD6EA"/>
              <w:right w:val="nil"/>
            </w:tcBorders>
            <w:shd w:val="clear" w:color="auto" w:fill="auto"/>
            <w:vAlign w:val="bottom"/>
            <w:hideMark/>
          </w:tcPr>
          <w:p w14:paraId="0750F8C0"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0</w:t>
            </w:r>
          </w:p>
        </w:tc>
        <w:tc>
          <w:tcPr>
            <w:tcW w:w="760" w:type="dxa"/>
            <w:tcBorders>
              <w:top w:val="single" w:sz="4" w:space="0" w:color="ADD6EA"/>
              <w:left w:val="nil"/>
              <w:bottom w:val="single" w:sz="4" w:space="0" w:color="ADD6EA"/>
              <w:right w:val="nil"/>
            </w:tcBorders>
            <w:shd w:val="clear" w:color="auto" w:fill="auto"/>
            <w:vAlign w:val="bottom"/>
            <w:hideMark/>
          </w:tcPr>
          <w:p w14:paraId="48638F47"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9</w:t>
            </w:r>
          </w:p>
        </w:tc>
        <w:tc>
          <w:tcPr>
            <w:tcW w:w="740" w:type="dxa"/>
            <w:tcBorders>
              <w:top w:val="single" w:sz="4" w:space="0" w:color="ADD6EA"/>
              <w:left w:val="nil"/>
              <w:bottom w:val="single" w:sz="4" w:space="0" w:color="ADD6EA"/>
              <w:right w:val="nil"/>
            </w:tcBorders>
            <w:shd w:val="clear" w:color="auto" w:fill="auto"/>
            <w:vAlign w:val="bottom"/>
            <w:hideMark/>
          </w:tcPr>
          <w:p w14:paraId="2E7C731B"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0</w:t>
            </w:r>
          </w:p>
        </w:tc>
        <w:tc>
          <w:tcPr>
            <w:tcW w:w="840" w:type="dxa"/>
            <w:tcBorders>
              <w:top w:val="single" w:sz="4" w:space="0" w:color="ADD6EA"/>
              <w:left w:val="nil"/>
              <w:bottom w:val="single" w:sz="4" w:space="0" w:color="ADD6EA"/>
              <w:right w:val="nil"/>
            </w:tcBorders>
            <w:shd w:val="clear" w:color="auto" w:fill="auto"/>
            <w:vAlign w:val="bottom"/>
            <w:hideMark/>
          </w:tcPr>
          <w:p w14:paraId="7758A441" w14:textId="77777777" w:rsidR="007E365E" w:rsidRPr="00936D9F" w:rsidRDefault="007E365E" w:rsidP="007D1D77">
            <w:pPr>
              <w:tabs>
                <w:tab w:val="clear" w:pos="567"/>
              </w:tabs>
              <w:spacing w:before="0" w:line="240" w:lineRule="auto"/>
              <w:jc w:val="right"/>
              <w:rPr>
                <w:rFonts w:eastAsia="Times New Roman" w:cs="Open Sans Light"/>
                <w:sz w:val="16"/>
                <w:szCs w:val="16"/>
                <w:lang w:eastAsia="en-AU"/>
              </w:rPr>
            </w:pPr>
            <w:r w:rsidRPr="00EF1DE1">
              <w:rPr>
                <w:rFonts w:eastAsia="Times New Roman" w:cs="Open Sans Light"/>
                <w:sz w:val="16"/>
                <w:szCs w:val="16"/>
                <w:lang w:eastAsia="en-AU"/>
              </w:rPr>
              <w:t>9</w:t>
            </w:r>
          </w:p>
        </w:tc>
      </w:tr>
      <w:tr w:rsidR="007E365E" w:rsidRPr="00936D9F" w14:paraId="68F40425" w14:textId="77777777" w:rsidTr="007D1D77">
        <w:trPr>
          <w:trHeight w:val="315"/>
        </w:trPr>
        <w:tc>
          <w:tcPr>
            <w:tcW w:w="2410" w:type="dxa"/>
            <w:tcBorders>
              <w:top w:val="nil"/>
              <w:left w:val="nil"/>
              <w:bottom w:val="single" w:sz="4" w:space="0" w:color="ADD6EA"/>
              <w:right w:val="nil"/>
            </w:tcBorders>
            <w:shd w:val="clear" w:color="000000" w:fill="D6E7F0"/>
            <w:noWrap/>
            <w:vAlign w:val="bottom"/>
            <w:hideMark/>
          </w:tcPr>
          <w:p w14:paraId="50F6559B" w14:textId="77777777" w:rsidR="007E365E" w:rsidRPr="00EF1DE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F1DE1">
              <w:rPr>
                <w:rFonts w:ascii="Open Sans SemiBold" w:eastAsia="Times New Roman" w:hAnsi="Open Sans SemiBold" w:cs="Open Sans SemiBold"/>
                <w:sz w:val="16"/>
                <w:szCs w:val="16"/>
                <w:lang w:eastAsia="en-AU"/>
              </w:rPr>
              <w:t>Total</w:t>
            </w:r>
          </w:p>
        </w:tc>
        <w:tc>
          <w:tcPr>
            <w:tcW w:w="670" w:type="dxa"/>
            <w:tcBorders>
              <w:top w:val="nil"/>
              <w:left w:val="nil"/>
              <w:bottom w:val="single" w:sz="4" w:space="0" w:color="ADD6EA"/>
              <w:right w:val="nil"/>
            </w:tcBorders>
            <w:shd w:val="clear" w:color="000000" w:fill="D6E7F0"/>
            <w:noWrap/>
            <w:vAlign w:val="bottom"/>
            <w:hideMark/>
          </w:tcPr>
          <w:p w14:paraId="153EF3E0" w14:textId="77777777" w:rsidR="007E365E" w:rsidRPr="00EF1D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F1DE1">
              <w:rPr>
                <w:rFonts w:ascii="Open Sans SemiBold" w:eastAsia="Times New Roman" w:hAnsi="Open Sans SemiBold" w:cs="Open Sans SemiBold"/>
                <w:sz w:val="16"/>
                <w:szCs w:val="16"/>
                <w:lang w:eastAsia="en-AU"/>
              </w:rPr>
              <w:t>-202</w:t>
            </w:r>
          </w:p>
        </w:tc>
        <w:tc>
          <w:tcPr>
            <w:tcW w:w="780" w:type="dxa"/>
            <w:tcBorders>
              <w:top w:val="nil"/>
              <w:left w:val="nil"/>
              <w:bottom w:val="single" w:sz="4" w:space="0" w:color="ADD6EA"/>
              <w:right w:val="nil"/>
            </w:tcBorders>
            <w:shd w:val="clear" w:color="000000" w:fill="D6E7F0"/>
            <w:noWrap/>
            <w:vAlign w:val="bottom"/>
            <w:hideMark/>
          </w:tcPr>
          <w:p w14:paraId="2B1EA6AD" w14:textId="77777777" w:rsidR="007E365E" w:rsidRPr="00EF1D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F1DE1">
              <w:rPr>
                <w:rFonts w:ascii="Open Sans SemiBold" w:eastAsia="Times New Roman" w:hAnsi="Open Sans SemiBold" w:cs="Open Sans SemiBold"/>
                <w:sz w:val="16"/>
                <w:szCs w:val="16"/>
                <w:lang w:eastAsia="en-AU"/>
              </w:rPr>
              <w:t>-733</w:t>
            </w:r>
          </w:p>
        </w:tc>
        <w:tc>
          <w:tcPr>
            <w:tcW w:w="700" w:type="dxa"/>
            <w:tcBorders>
              <w:top w:val="nil"/>
              <w:left w:val="nil"/>
              <w:bottom w:val="single" w:sz="4" w:space="0" w:color="ADD6EA"/>
              <w:right w:val="nil"/>
            </w:tcBorders>
            <w:shd w:val="clear" w:color="000000" w:fill="D6E7F0"/>
            <w:noWrap/>
            <w:vAlign w:val="bottom"/>
            <w:hideMark/>
          </w:tcPr>
          <w:p w14:paraId="51ED0D91" w14:textId="77777777" w:rsidR="007E365E" w:rsidRPr="00EF1D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F1DE1">
              <w:rPr>
                <w:rFonts w:ascii="Open Sans SemiBold" w:eastAsia="Times New Roman" w:hAnsi="Open Sans SemiBold" w:cs="Open Sans SemiBold"/>
                <w:sz w:val="16"/>
                <w:szCs w:val="16"/>
                <w:lang w:eastAsia="en-AU"/>
              </w:rPr>
              <w:t>263</w:t>
            </w:r>
          </w:p>
        </w:tc>
        <w:tc>
          <w:tcPr>
            <w:tcW w:w="740" w:type="dxa"/>
            <w:tcBorders>
              <w:top w:val="nil"/>
              <w:left w:val="nil"/>
              <w:bottom w:val="single" w:sz="4" w:space="0" w:color="ADD6EA"/>
              <w:right w:val="nil"/>
            </w:tcBorders>
            <w:shd w:val="clear" w:color="000000" w:fill="D6E7F0"/>
            <w:noWrap/>
            <w:vAlign w:val="bottom"/>
            <w:hideMark/>
          </w:tcPr>
          <w:p w14:paraId="0E2E61E6" w14:textId="77777777" w:rsidR="007E365E" w:rsidRPr="00EF1D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F1DE1">
              <w:rPr>
                <w:rFonts w:ascii="Open Sans SemiBold" w:eastAsia="Times New Roman" w:hAnsi="Open Sans SemiBold" w:cs="Open Sans SemiBold"/>
                <w:sz w:val="16"/>
                <w:szCs w:val="16"/>
                <w:lang w:eastAsia="en-AU"/>
              </w:rPr>
              <w:t>212</w:t>
            </w:r>
          </w:p>
        </w:tc>
        <w:tc>
          <w:tcPr>
            <w:tcW w:w="700" w:type="dxa"/>
            <w:tcBorders>
              <w:top w:val="nil"/>
              <w:left w:val="nil"/>
              <w:bottom w:val="single" w:sz="4" w:space="0" w:color="ADD6EA"/>
              <w:right w:val="nil"/>
            </w:tcBorders>
            <w:shd w:val="clear" w:color="000000" w:fill="D6E7F0"/>
            <w:noWrap/>
            <w:vAlign w:val="bottom"/>
            <w:hideMark/>
          </w:tcPr>
          <w:p w14:paraId="246E6F73" w14:textId="77777777" w:rsidR="007E365E" w:rsidRPr="00EF1D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F1DE1">
              <w:rPr>
                <w:rFonts w:ascii="Open Sans SemiBold" w:eastAsia="Times New Roman" w:hAnsi="Open Sans SemiBold" w:cs="Open Sans SemiBold"/>
                <w:sz w:val="16"/>
                <w:szCs w:val="16"/>
                <w:lang w:eastAsia="en-AU"/>
              </w:rPr>
              <w:t>-1</w:t>
            </w:r>
          </w:p>
        </w:tc>
        <w:tc>
          <w:tcPr>
            <w:tcW w:w="620" w:type="dxa"/>
            <w:tcBorders>
              <w:top w:val="nil"/>
              <w:left w:val="nil"/>
              <w:bottom w:val="single" w:sz="4" w:space="0" w:color="ADD6EA"/>
              <w:right w:val="nil"/>
            </w:tcBorders>
            <w:shd w:val="clear" w:color="000000" w:fill="D6E7F0"/>
            <w:noWrap/>
            <w:vAlign w:val="bottom"/>
            <w:hideMark/>
          </w:tcPr>
          <w:p w14:paraId="3BB65FC7" w14:textId="77777777" w:rsidR="007E365E" w:rsidRPr="00EF1D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F1DE1">
              <w:rPr>
                <w:rFonts w:ascii="Open Sans SemiBold" w:eastAsia="Times New Roman" w:hAnsi="Open Sans SemiBold" w:cs="Open Sans SemiBold"/>
                <w:sz w:val="16"/>
                <w:szCs w:val="16"/>
                <w:lang w:eastAsia="en-AU"/>
              </w:rPr>
              <w:t>63</w:t>
            </w:r>
          </w:p>
        </w:tc>
        <w:tc>
          <w:tcPr>
            <w:tcW w:w="760" w:type="dxa"/>
            <w:tcBorders>
              <w:top w:val="nil"/>
              <w:left w:val="nil"/>
              <w:bottom w:val="single" w:sz="4" w:space="0" w:color="ADD6EA"/>
              <w:right w:val="nil"/>
            </w:tcBorders>
            <w:shd w:val="clear" w:color="000000" w:fill="D6E7F0"/>
            <w:noWrap/>
            <w:vAlign w:val="bottom"/>
            <w:hideMark/>
          </w:tcPr>
          <w:p w14:paraId="5E851654" w14:textId="77777777" w:rsidR="007E365E" w:rsidRPr="00EF1D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F1DE1">
              <w:rPr>
                <w:rFonts w:ascii="Open Sans SemiBold" w:eastAsia="Times New Roman" w:hAnsi="Open Sans SemiBold" w:cs="Open Sans SemiBold"/>
                <w:sz w:val="16"/>
                <w:szCs w:val="16"/>
                <w:lang w:eastAsia="en-AU"/>
              </w:rPr>
              <w:t>-76</w:t>
            </w:r>
          </w:p>
        </w:tc>
        <w:tc>
          <w:tcPr>
            <w:tcW w:w="740" w:type="dxa"/>
            <w:tcBorders>
              <w:top w:val="nil"/>
              <w:left w:val="nil"/>
              <w:bottom w:val="single" w:sz="4" w:space="0" w:color="ADD6EA"/>
              <w:right w:val="nil"/>
            </w:tcBorders>
            <w:shd w:val="clear" w:color="000000" w:fill="D6E7F0"/>
            <w:noWrap/>
            <w:vAlign w:val="bottom"/>
            <w:hideMark/>
          </w:tcPr>
          <w:p w14:paraId="32B687D5" w14:textId="77777777" w:rsidR="007E365E" w:rsidRPr="00EF1D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F1DE1">
              <w:rPr>
                <w:rFonts w:ascii="Open Sans SemiBold" w:eastAsia="Times New Roman" w:hAnsi="Open Sans SemiBold" w:cs="Open Sans SemiBold"/>
                <w:sz w:val="16"/>
                <w:szCs w:val="16"/>
                <w:lang w:eastAsia="en-AU"/>
              </w:rPr>
              <w:t>475</w:t>
            </w:r>
          </w:p>
        </w:tc>
        <w:tc>
          <w:tcPr>
            <w:tcW w:w="840" w:type="dxa"/>
            <w:tcBorders>
              <w:top w:val="nil"/>
              <w:left w:val="nil"/>
              <w:bottom w:val="single" w:sz="4" w:space="0" w:color="ADD6EA"/>
              <w:right w:val="nil"/>
            </w:tcBorders>
            <w:shd w:val="clear" w:color="000000" w:fill="D6E7F0"/>
            <w:noWrap/>
            <w:vAlign w:val="bottom"/>
            <w:hideMark/>
          </w:tcPr>
          <w:p w14:paraId="1F85BEC3" w14:textId="77777777" w:rsidR="007E365E" w:rsidRPr="00EF1D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F1DE1">
              <w:rPr>
                <w:rFonts w:ascii="Open Sans SemiBold" w:eastAsia="Times New Roman" w:hAnsi="Open Sans SemiBold" w:cs="Open Sans SemiBold"/>
                <w:sz w:val="16"/>
                <w:szCs w:val="16"/>
                <w:lang w:eastAsia="en-AU"/>
              </w:rPr>
              <w:t>1</w:t>
            </w:r>
            <w:r>
              <w:rPr>
                <w:rFonts w:ascii="Open Sans SemiBold" w:eastAsia="Times New Roman" w:hAnsi="Open Sans SemiBold" w:cs="Open Sans SemiBold"/>
                <w:sz w:val="16"/>
                <w:szCs w:val="16"/>
                <w:lang w:eastAsia="en-AU"/>
              </w:rPr>
              <w:t>,</w:t>
            </w:r>
            <w:r w:rsidRPr="00EF1DE1">
              <w:rPr>
                <w:rFonts w:ascii="Open Sans SemiBold" w:eastAsia="Times New Roman" w:hAnsi="Open Sans SemiBold" w:cs="Open Sans SemiBold"/>
                <w:sz w:val="16"/>
                <w:szCs w:val="16"/>
                <w:lang w:eastAsia="en-AU"/>
              </w:rPr>
              <w:t>013</w:t>
            </w:r>
          </w:p>
        </w:tc>
      </w:tr>
    </w:tbl>
    <w:p w14:paraId="74500051" w14:textId="77777777" w:rsidR="007E365E" w:rsidRPr="00F71B55" w:rsidRDefault="007E365E" w:rsidP="007E365E">
      <w:pPr>
        <w:pStyle w:val="CGCTablenote"/>
        <w:keepNext/>
        <w:keepLines/>
      </w:pPr>
      <w:r w:rsidRPr="00F71B55">
        <w:t>Source:</w:t>
      </w:r>
      <w:r w:rsidRPr="00F71B55">
        <w:tab/>
        <w:t>Commission calculation.</w:t>
      </w:r>
    </w:p>
    <w:p w14:paraId="3C290D73" w14:textId="77777777" w:rsidR="007E365E" w:rsidRPr="00173B02" w:rsidRDefault="007E365E" w:rsidP="007E365E">
      <w:pPr>
        <w:pStyle w:val="Heading3"/>
      </w:pPr>
      <w:bookmarkStart w:id="132" w:name="_Toc23500169"/>
      <w:r w:rsidRPr="00173B02">
        <w:t>Changes since the 2019 update</w:t>
      </w:r>
      <w:bookmarkEnd w:id="132"/>
    </w:p>
    <w:p w14:paraId="0DF5CF85" w14:textId="2C591A76" w:rsidR="007E365E" w:rsidRPr="00173B02" w:rsidRDefault="007E365E" w:rsidP="007E365E">
      <w:pPr>
        <w:pStyle w:val="CGCParaNumber"/>
      </w:pPr>
      <w:r w:rsidRPr="00173B02">
        <w:fldChar w:fldCharType="begin"/>
      </w:r>
      <w:r w:rsidRPr="00173B02">
        <w:instrText xml:space="preserve"> REF _Ref23488775 \h </w:instrText>
      </w:r>
      <w:r>
        <w:instrText xml:space="preserve"> \* MERGEFORMAT </w:instrText>
      </w:r>
      <w:r w:rsidRPr="00173B02">
        <w:fldChar w:fldCharType="separate"/>
      </w:r>
      <w:r w:rsidR="007F721A" w:rsidRPr="00173B02">
        <w:t xml:space="preserve">Table </w:t>
      </w:r>
      <w:r w:rsidR="007F721A">
        <w:rPr>
          <w:noProof/>
        </w:rPr>
        <w:t>19-19</w:t>
      </w:r>
      <w:r w:rsidRPr="00173B02">
        <w:fldChar w:fldCharType="end"/>
      </w:r>
      <w:r w:rsidRPr="00173B02">
        <w:t xml:space="preserve"> breaks down the total changes since the 2019 Update into the source of change. </w:t>
      </w:r>
    </w:p>
    <w:p w14:paraId="2A26D385" w14:textId="14B63564" w:rsidR="007E365E" w:rsidRDefault="007E365E" w:rsidP="007E365E">
      <w:pPr>
        <w:pStyle w:val="Caption"/>
        <w:ind w:left="1360" w:hanging="1360"/>
      </w:pPr>
      <w:bookmarkStart w:id="133" w:name="_Ref23488775"/>
      <w:r w:rsidRPr="00173B02">
        <w:t xml:space="preserve">Table </w:t>
      </w:r>
      <w:r>
        <w:t>19-</w:t>
      </w:r>
      <w:fldSimple w:instr=" SEQ Table \* ARABIC ">
        <w:r w:rsidR="007F721A">
          <w:rPr>
            <w:noProof/>
          </w:rPr>
          <w:t>19</w:t>
        </w:r>
      </w:fldSimple>
      <w:bookmarkEnd w:id="133"/>
      <w:r w:rsidRPr="00173B02">
        <w:tab/>
      </w:r>
      <w:r>
        <w:t>Changes to the GST redistribution between the 2019 Update and the 2020 Review</w:t>
      </w:r>
    </w:p>
    <w:tbl>
      <w:tblPr>
        <w:tblW w:w="8980" w:type="dxa"/>
        <w:tblCellMar>
          <w:left w:w="28" w:type="dxa"/>
          <w:right w:w="28" w:type="dxa"/>
        </w:tblCellMar>
        <w:tblLook w:val="04A0" w:firstRow="1" w:lastRow="0" w:firstColumn="1" w:lastColumn="0" w:noHBand="0" w:noVBand="1"/>
      </w:tblPr>
      <w:tblGrid>
        <w:gridCol w:w="2740"/>
        <w:gridCol w:w="760"/>
        <w:gridCol w:w="700"/>
        <w:gridCol w:w="640"/>
        <w:gridCol w:w="660"/>
        <w:gridCol w:w="660"/>
        <w:gridCol w:w="660"/>
        <w:gridCol w:w="600"/>
        <w:gridCol w:w="760"/>
        <w:gridCol w:w="800"/>
      </w:tblGrid>
      <w:tr w:rsidR="007E365E" w:rsidRPr="00CC2F0B" w14:paraId="2C75F8AA" w14:textId="77777777" w:rsidTr="007D1D77">
        <w:trPr>
          <w:trHeight w:val="383"/>
        </w:trPr>
        <w:tc>
          <w:tcPr>
            <w:tcW w:w="2740" w:type="dxa"/>
            <w:tcBorders>
              <w:top w:val="single" w:sz="4" w:space="0" w:color="ADD6EA"/>
              <w:left w:val="nil"/>
              <w:bottom w:val="single" w:sz="4" w:space="0" w:color="ADD6EA"/>
              <w:right w:val="nil"/>
            </w:tcBorders>
            <w:shd w:val="clear" w:color="000000" w:fill="006991"/>
            <w:noWrap/>
            <w:vAlign w:val="center"/>
            <w:hideMark/>
          </w:tcPr>
          <w:p w14:paraId="2E8D639E"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134" w:name="RANGE!A2:J7"/>
            <w:r w:rsidRPr="00CC2F0B">
              <w:rPr>
                <w:rFonts w:ascii="Open Sans SemiBold" w:eastAsia="Times New Roman" w:hAnsi="Open Sans SemiBold" w:cs="Open Sans SemiBold"/>
                <w:color w:val="FFFFFF"/>
                <w:sz w:val="16"/>
                <w:szCs w:val="16"/>
                <w:lang w:eastAsia="en-AU"/>
              </w:rPr>
              <w:t> </w:t>
            </w:r>
            <w:bookmarkEnd w:id="134"/>
          </w:p>
        </w:tc>
        <w:tc>
          <w:tcPr>
            <w:tcW w:w="760" w:type="dxa"/>
            <w:tcBorders>
              <w:top w:val="single" w:sz="4" w:space="0" w:color="ADD6EA"/>
              <w:left w:val="nil"/>
              <w:bottom w:val="single" w:sz="4" w:space="0" w:color="ADD6EA"/>
              <w:right w:val="nil"/>
            </w:tcBorders>
            <w:shd w:val="clear" w:color="000000" w:fill="006991"/>
            <w:noWrap/>
            <w:vAlign w:val="center"/>
            <w:hideMark/>
          </w:tcPr>
          <w:p w14:paraId="01337720"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F0B">
              <w:rPr>
                <w:rFonts w:ascii="Open Sans SemiBold" w:eastAsia="Times New Roman" w:hAnsi="Open Sans SemiBold" w:cs="Open Sans SemiBold"/>
                <w:color w:val="FFFFFF"/>
                <w:sz w:val="16"/>
                <w:szCs w:val="16"/>
                <w:lang w:eastAsia="en-AU"/>
              </w:rPr>
              <w:t>NSW</w:t>
            </w:r>
          </w:p>
        </w:tc>
        <w:tc>
          <w:tcPr>
            <w:tcW w:w="700" w:type="dxa"/>
            <w:tcBorders>
              <w:top w:val="single" w:sz="4" w:space="0" w:color="ADD6EA"/>
              <w:left w:val="nil"/>
              <w:bottom w:val="single" w:sz="4" w:space="0" w:color="ADD6EA"/>
              <w:right w:val="nil"/>
            </w:tcBorders>
            <w:shd w:val="clear" w:color="000000" w:fill="006991"/>
            <w:noWrap/>
            <w:vAlign w:val="center"/>
            <w:hideMark/>
          </w:tcPr>
          <w:p w14:paraId="2E6DA81F"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F0B">
              <w:rPr>
                <w:rFonts w:ascii="Open Sans SemiBold" w:eastAsia="Times New Roman" w:hAnsi="Open Sans SemiBold" w:cs="Open Sans SemiBold"/>
                <w:color w:val="FFFFFF"/>
                <w:sz w:val="16"/>
                <w:szCs w:val="16"/>
                <w:lang w:eastAsia="en-AU"/>
              </w:rPr>
              <w:t>Vic</w:t>
            </w:r>
          </w:p>
        </w:tc>
        <w:tc>
          <w:tcPr>
            <w:tcW w:w="640" w:type="dxa"/>
            <w:tcBorders>
              <w:top w:val="single" w:sz="4" w:space="0" w:color="ADD6EA"/>
              <w:left w:val="nil"/>
              <w:bottom w:val="single" w:sz="4" w:space="0" w:color="ADD6EA"/>
              <w:right w:val="nil"/>
            </w:tcBorders>
            <w:shd w:val="clear" w:color="000000" w:fill="006991"/>
            <w:noWrap/>
            <w:vAlign w:val="center"/>
            <w:hideMark/>
          </w:tcPr>
          <w:p w14:paraId="3FD76828"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F0B">
              <w:rPr>
                <w:rFonts w:ascii="Open Sans SemiBold" w:eastAsia="Times New Roman" w:hAnsi="Open Sans SemiBold" w:cs="Open Sans SemiBold"/>
                <w:color w:val="FFFFFF"/>
                <w:sz w:val="16"/>
                <w:szCs w:val="16"/>
                <w:lang w:eastAsia="en-AU"/>
              </w:rPr>
              <w:t>Qld</w:t>
            </w:r>
          </w:p>
        </w:tc>
        <w:tc>
          <w:tcPr>
            <w:tcW w:w="660" w:type="dxa"/>
            <w:tcBorders>
              <w:top w:val="single" w:sz="4" w:space="0" w:color="ADD6EA"/>
              <w:left w:val="nil"/>
              <w:bottom w:val="single" w:sz="4" w:space="0" w:color="ADD6EA"/>
              <w:right w:val="nil"/>
            </w:tcBorders>
            <w:shd w:val="clear" w:color="000000" w:fill="006991"/>
            <w:noWrap/>
            <w:vAlign w:val="center"/>
            <w:hideMark/>
          </w:tcPr>
          <w:p w14:paraId="45C3A308"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F0B">
              <w:rPr>
                <w:rFonts w:ascii="Open Sans SemiBold" w:eastAsia="Times New Roman" w:hAnsi="Open Sans SemiBold" w:cs="Open Sans SemiBold"/>
                <w:color w:val="FFFFFF"/>
                <w:sz w:val="16"/>
                <w:szCs w:val="16"/>
                <w:lang w:eastAsia="en-AU"/>
              </w:rPr>
              <w:t>WA</w:t>
            </w:r>
          </w:p>
        </w:tc>
        <w:tc>
          <w:tcPr>
            <w:tcW w:w="660" w:type="dxa"/>
            <w:tcBorders>
              <w:top w:val="single" w:sz="4" w:space="0" w:color="ADD6EA"/>
              <w:left w:val="nil"/>
              <w:bottom w:val="single" w:sz="4" w:space="0" w:color="ADD6EA"/>
              <w:right w:val="nil"/>
            </w:tcBorders>
            <w:shd w:val="clear" w:color="000000" w:fill="006991"/>
            <w:noWrap/>
            <w:vAlign w:val="center"/>
            <w:hideMark/>
          </w:tcPr>
          <w:p w14:paraId="7D5239A0"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F0B">
              <w:rPr>
                <w:rFonts w:ascii="Open Sans SemiBold" w:eastAsia="Times New Roman" w:hAnsi="Open Sans SemiBold" w:cs="Open Sans SemiBold"/>
                <w:color w:val="FFFFFF"/>
                <w:sz w:val="16"/>
                <w:szCs w:val="16"/>
                <w:lang w:eastAsia="en-AU"/>
              </w:rPr>
              <w:t>SA</w:t>
            </w:r>
          </w:p>
        </w:tc>
        <w:tc>
          <w:tcPr>
            <w:tcW w:w="660" w:type="dxa"/>
            <w:tcBorders>
              <w:top w:val="single" w:sz="4" w:space="0" w:color="ADD6EA"/>
              <w:left w:val="nil"/>
              <w:bottom w:val="single" w:sz="4" w:space="0" w:color="ADD6EA"/>
              <w:right w:val="nil"/>
            </w:tcBorders>
            <w:shd w:val="clear" w:color="000000" w:fill="006991"/>
            <w:noWrap/>
            <w:vAlign w:val="center"/>
            <w:hideMark/>
          </w:tcPr>
          <w:p w14:paraId="5679B984"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F0B">
              <w:rPr>
                <w:rFonts w:ascii="Open Sans SemiBold" w:eastAsia="Times New Roman" w:hAnsi="Open Sans SemiBold" w:cs="Open Sans SemiBold"/>
                <w:color w:val="FFFFFF"/>
                <w:sz w:val="16"/>
                <w:szCs w:val="16"/>
                <w:lang w:eastAsia="en-AU"/>
              </w:rPr>
              <w:t>Tas</w:t>
            </w:r>
          </w:p>
        </w:tc>
        <w:tc>
          <w:tcPr>
            <w:tcW w:w="600" w:type="dxa"/>
            <w:tcBorders>
              <w:top w:val="single" w:sz="4" w:space="0" w:color="ADD6EA"/>
              <w:left w:val="nil"/>
              <w:bottom w:val="single" w:sz="4" w:space="0" w:color="ADD6EA"/>
              <w:right w:val="nil"/>
            </w:tcBorders>
            <w:shd w:val="clear" w:color="000000" w:fill="006991"/>
            <w:noWrap/>
            <w:vAlign w:val="center"/>
            <w:hideMark/>
          </w:tcPr>
          <w:p w14:paraId="16CEE9AD"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F0B">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noWrap/>
            <w:vAlign w:val="center"/>
            <w:hideMark/>
          </w:tcPr>
          <w:p w14:paraId="1AE75AD5"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F0B">
              <w:rPr>
                <w:rFonts w:ascii="Open Sans SemiBold" w:eastAsia="Times New Roman" w:hAnsi="Open Sans SemiBold" w:cs="Open Sans SemiBold"/>
                <w:color w:val="FFFFFF"/>
                <w:sz w:val="16"/>
                <w:szCs w:val="16"/>
                <w:lang w:eastAsia="en-AU"/>
              </w:rPr>
              <w:t>NT</w:t>
            </w:r>
          </w:p>
        </w:tc>
        <w:tc>
          <w:tcPr>
            <w:tcW w:w="800" w:type="dxa"/>
            <w:tcBorders>
              <w:top w:val="single" w:sz="4" w:space="0" w:color="ADD6EA"/>
              <w:left w:val="nil"/>
              <w:bottom w:val="single" w:sz="4" w:space="0" w:color="ADD6EA"/>
              <w:right w:val="nil"/>
            </w:tcBorders>
            <w:shd w:val="clear" w:color="000000" w:fill="006991"/>
            <w:noWrap/>
            <w:vAlign w:val="center"/>
            <w:hideMark/>
          </w:tcPr>
          <w:p w14:paraId="38944DB5"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C2F0B">
              <w:rPr>
                <w:rFonts w:ascii="Open Sans SemiBold" w:eastAsia="Times New Roman" w:hAnsi="Open Sans SemiBold" w:cs="Open Sans SemiBold"/>
                <w:color w:val="FFFFFF"/>
                <w:sz w:val="16"/>
                <w:szCs w:val="16"/>
                <w:lang w:eastAsia="en-AU"/>
              </w:rPr>
              <w:t>Redist</w:t>
            </w:r>
          </w:p>
        </w:tc>
      </w:tr>
      <w:tr w:rsidR="007E365E" w:rsidRPr="00CC2F0B" w14:paraId="7175F64B" w14:textId="77777777" w:rsidTr="007D1D77">
        <w:trPr>
          <w:trHeight w:val="263"/>
        </w:trPr>
        <w:tc>
          <w:tcPr>
            <w:tcW w:w="2740" w:type="dxa"/>
            <w:tcBorders>
              <w:top w:val="nil"/>
              <w:left w:val="nil"/>
              <w:bottom w:val="nil"/>
              <w:right w:val="nil"/>
            </w:tcBorders>
            <w:shd w:val="clear" w:color="000000" w:fill="B6D5E4"/>
            <w:noWrap/>
            <w:vAlign w:val="bottom"/>
            <w:hideMark/>
          </w:tcPr>
          <w:p w14:paraId="44D1586A"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C2F0B">
              <w:rPr>
                <w:rFonts w:ascii="Open Sans SemiBold" w:eastAsia="Times New Roman" w:hAnsi="Open Sans SemiBold" w:cs="Open Sans SemiBold"/>
                <w:sz w:val="16"/>
                <w:szCs w:val="16"/>
                <w:lang w:eastAsia="en-AU"/>
              </w:rPr>
              <w:t> </w:t>
            </w:r>
          </w:p>
        </w:tc>
        <w:tc>
          <w:tcPr>
            <w:tcW w:w="760" w:type="dxa"/>
            <w:tcBorders>
              <w:top w:val="nil"/>
              <w:left w:val="nil"/>
              <w:bottom w:val="nil"/>
              <w:right w:val="nil"/>
            </w:tcBorders>
            <w:shd w:val="clear" w:color="000000" w:fill="B6D5E4"/>
            <w:noWrap/>
            <w:vAlign w:val="bottom"/>
            <w:hideMark/>
          </w:tcPr>
          <w:p w14:paraId="2E39BF5D"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C2F0B">
              <w:rPr>
                <w:rFonts w:ascii="Open Sans SemiBold" w:eastAsia="Times New Roman" w:hAnsi="Open Sans SemiBold" w:cs="Open Sans SemiBold"/>
                <w:sz w:val="16"/>
                <w:szCs w:val="16"/>
                <w:lang w:eastAsia="en-AU"/>
              </w:rPr>
              <w:t>$m</w:t>
            </w:r>
          </w:p>
        </w:tc>
        <w:tc>
          <w:tcPr>
            <w:tcW w:w="700" w:type="dxa"/>
            <w:tcBorders>
              <w:top w:val="nil"/>
              <w:left w:val="nil"/>
              <w:bottom w:val="nil"/>
              <w:right w:val="nil"/>
            </w:tcBorders>
            <w:shd w:val="clear" w:color="000000" w:fill="B6D5E4"/>
            <w:noWrap/>
            <w:vAlign w:val="bottom"/>
            <w:hideMark/>
          </w:tcPr>
          <w:p w14:paraId="786F18FD"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C2F0B">
              <w:rPr>
                <w:rFonts w:ascii="Open Sans SemiBold" w:eastAsia="Times New Roman" w:hAnsi="Open Sans SemiBold" w:cs="Open Sans SemiBold"/>
                <w:sz w:val="16"/>
                <w:szCs w:val="16"/>
                <w:lang w:eastAsia="en-AU"/>
              </w:rPr>
              <w:t>$m</w:t>
            </w:r>
          </w:p>
        </w:tc>
        <w:tc>
          <w:tcPr>
            <w:tcW w:w="640" w:type="dxa"/>
            <w:tcBorders>
              <w:top w:val="nil"/>
              <w:left w:val="nil"/>
              <w:bottom w:val="nil"/>
              <w:right w:val="nil"/>
            </w:tcBorders>
            <w:shd w:val="clear" w:color="000000" w:fill="B6D5E4"/>
            <w:noWrap/>
            <w:vAlign w:val="bottom"/>
            <w:hideMark/>
          </w:tcPr>
          <w:p w14:paraId="591EA9AE"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C2F0B">
              <w:rPr>
                <w:rFonts w:ascii="Open Sans SemiBold" w:eastAsia="Times New Roman" w:hAnsi="Open Sans SemiBold" w:cs="Open Sans SemiBold"/>
                <w:sz w:val="16"/>
                <w:szCs w:val="16"/>
                <w:lang w:eastAsia="en-AU"/>
              </w:rPr>
              <w:t>$m</w:t>
            </w:r>
          </w:p>
        </w:tc>
        <w:tc>
          <w:tcPr>
            <w:tcW w:w="660" w:type="dxa"/>
            <w:tcBorders>
              <w:top w:val="nil"/>
              <w:left w:val="nil"/>
              <w:bottom w:val="nil"/>
              <w:right w:val="nil"/>
            </w:tcBorders>
            <w:shd w:val="clear" w:color="000000" w:fill="B6D5E4"/>
            <w:noWrap/>
            <w:vAlign w:val="bottom"/>
            <w:hideMark/>
          </w:tcPr>
          <w:p w14:paraId="08605726"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C2F0B">
              <w:rPr>
                <w:rFonts w:ascii="Open Sans SemiBold" w:eastAsia="Times New Roman" w:hAnsi="Open Sans SemiBold" w:cs="Open Sans SemiBold"/>
                <w:sz w:val="16"/>
                <w:szCs w:val="16"/>
                <w:lang w:eastAsia="en-AU"/>
              </w:rPr>
              <w:t>$m</w:t>
            </w:r>
          </w:p>
        </w:tc>
        <w:tc>
          <w:tcPr>
            <w:tcW w:w="660" w:type="dxa"/>
            <w:tcBorders>
              <w:top w:val="nil"/>
              <w:left w:val="nil"/>
              <w:bottom w:val="nil"/>
              <w:right w:val="nil"/>
            </w:tcBorders>
            <w:shd w:val="clear" w:color="000000" w:fill="B6D5E4"/>
            <w:noWrap/>
            <w:vAlign w:val="bottom"/>
            <w:hideMark/>
          </w:tcPr>
          <w:p w14:paraId="72FC0599"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C2F0B">
              <w:rPr>
                <w:rFonts w:ascii="Open Sans SemiBold" w:eastAsia="Times New Roman" w:hAnsi="Open Sans SemiBold" w:cs="Open Sans SemiBold"/>
                <w:sz w:val="16"/>
                <w:szCs w:val="16"/>
                <w:lang w:eastAsia="en-AU"/>
              </w:rPr>
              <w:t>$m</w:t>
            </w:r>
          </w:p>
        </w:tc>
        <w:tc>
          <w:tcPr>
            <w:tcW w:w="660" w:type="dxa"/>
            <w:tcBorders>
              <w:top w:val="nil"/>
              <w:left w:val="nil"/>
              <w:bottom w:val="nil"/>
              <w:right w:val="nil"/>
            </w:tcBorders>
            <w:shd w:val="clear" w:color="000000" w:fill="B6D5E4"/>
            <w:noWrap/>
            <w:vAlign w:val="bottom"/>
            <w:hideMark/>
          </w:tcPr>
          <w:p w14:paraId="496FB2A5"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C2F0B">
              <w:rPr>
                <w:rFonts w:ascii="Open Sans SemiBold" w:eastAsia="Times New Roman" w:hAnsi="Open Sans SemiBold" w:cs="Open Sans SemiBold"/>
                <w:sz w:val="16"/>
                <w:szCs w:val="16"/>
                <w:lang w:eastAsia="en-AU"/>
              </w:rPr>
              <w:t>$m</w:t>
            </w:r>
          </w:p>
        </w:tc>
        <w:tc>
          <w:tcPr>
            <w:tcW w:w="600" w:type="dxa"/>
            <w:tcBorders>
              <w:top w:val="nil"/>
              <w:left w:val="nil"/>
              <w:bottom w:val="nil"/>
              <w:right w:val="nil"/>
            </w:tcBorders>
            <w:shd w:val="clear" w:color="000000" w:fill="B6D5E4"/>
            <w:noWrap/>
            <w:vAlign w:val="bottom"/>
            <w:hideMark/>
          </w:tcPr>
          <w:p w14:paraId="5D254BB7"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C2F0B">
              <w:rPr>
                <w:rFonts w:ascii="Open Sans SemiBold" w:eastAsia="Times New Roman" w:hAnsi="Open Sans SemiBold" w:cs="Open Sans SemiBold"/>
                <w:sz w:val="16"/>
                <w:szCs w:val="16"/>
                <w:lang w:eastAsia="en-AU"/>
              </w:rPr>
              <w:t>$m</w:t>
            </w:r>
          </w:p>
        </w:tc>
        <w:tc>
          <w:tcPr>
            <w:tcW w:w="760" w:type="dxa"/>
            <w:tcBorders>
              <w:top w:val="nil"/>
              <w:left w:val="nil"/>
              <w:bottom w:val="nil"/>
              <w:right w:val="nil"/>
            </w:tcBorders>
            <w:shd w:val="clear" w:color="000000" w:fill="B6D5E4"/>
            <w:noWrap/>
            <w:vAlign w:val="bottom"/>
            <w:hideMark/>
          </w:tcPr>
          <w:p w14:paraId="7AD69B45"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C2F0B">
              <w:rPr>
                <w:rFonts w:ascii="Open Sans SemiBold" w:eastAsia="Times New Roman" w:hAnsi="Open Sans SemiBold" w:cs="Open Sans SemiBold"/>
                <w:sz w:val="16"/>
                <w:szCs w:val="16"/>
                <w:lang w:eastAsia="en-AU"/>
              </w:rPr>
              <w:t>$m</w:t>
            </w:r>
          </w:p>
        </w:tc>
        <w:tc>
          <w:tcPr>
            <w:tcW w:w="800" w:type="dxa"/>
            <w:tcBorders>
              <w:top w:val="nil"/>
              <w:left w:val="nil"/>
              <w:bottom w:val="nil"/>
              <w:right w:val="nil"/>
            </w:tcBorders>
            <w:shd w:val="clear" w:color="000000" w:fill="B6D5E4"/>
            <w:noWrap/>
            <w:vAlign w:val="bottom"/>
            <w:hideMark/>
          </w:tcPr>
          <w:p w14:paraId="160FA692" w14:textId="77777777" w:rsidR="007E365E" w:rsidRPr="00CC2F0B"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C2F0B">
              <w:rPr>
                <w:rFonts w:ascii="Open Sans SemiBold" w:eastAsia="Times New Roman" w:hAnsi="Open Sans SemiBold" w:cs="Open Sans SemiBold"/>
                <w:sz w:val="16"/>
                <w:szCs w:val="16"/>
                <w:lang w:eastAsia="en-AU"/>
              </w:rPr>
              <w:t>$m</w:t>
            </w:r>
          </w:p>
        </w:tc>
      </w:tr>
      <w:tr w:rsidR="007E365E" w:rsidRPr="00CC2F0B" w14:paraId="663E514A" w14:textId="77777777" w:rsidTr="007D1D77">
        <w:trPr>
          <w:trHeight w:val="315"/>
        </w:trPr>
        <w:tc>
          <w:tcPr>
            <w:tcW w:w="2740" w:type="dxa"/>
            <w:tcBorders>
              <w:top w:val="single" w:sz="4" w:space="0" w:color="ADD6EA"/>
              <w:left w:val="nil"/>
              <w:bottom w:val="single" w:sz="4" w:space="0" w:color="ADD6EA"/>
              <w:right w:val="nil"/>
            </w:tcBorders>
            <w:shd w:val="clear" w:color="auto" w:fill="auto"/>
            <w:noWrap/>
            <w:vAlign w:val="bottom"/>
            <w:hideMark/>
          </w:tcPr>
          <w:p w14:paraId="5576917B" w14:textId="77777777" w:rsidR="007E365E" w:rsidRPr="00CC2F0B" w:rsidRDefault="007E365E" w:rsidP="007D1D77">
            <w:pPr>
              <w:tabs>
                <w:tab w:val="clear" w:pos="567"/>
              </w:tabs>
              <w:spacing w:before="0" w:line="240" w:lineRule="auto"/>
              <w:rPr>
                <w:rFonts w:eastAsia="Times New Roman" w:cs="Open Sans Light"/>
                <w:sz w:val="16"/>
                <w:szCs w:val="16"/>
                <w:lang w:eastAsia="en-AU"/>
              </w:rPr>
            </w:pPr>
            <w:r w:rsidRPr="00CC2F0B">
              <w:rPr>
                <w:rFonts w:eastAsia="Times New Roman" w:cs="Open Sans Light"/>
                <w:sz w:val="16"/>
                <w:szCs w:val="16"/>
                <w:lang w:eastAsia="en-AU"/>
              </w:rPr>
              <w:t xml:space="preserve">Method </w:t>
            </w:r>
            <w:r>
              <w:rPr>
                <w:rFonts w:eastAsia="Times New Roman" w:cs="Open Sans Light"/>
                <w:sz w:val="16"/>
                <w:szCs w:val="16"/>
                <w:lang w:eastAsia="en-AU"/>
              </w:rPr>
              <w:t>and data c</w:t>
            </w:r>
            <w:r w:rsidRPr="00CC2F0B">
              <w:rPr>
                <w:rFonts w:eastAsia="Times New Roman" w:cs="Open Sans Light"/>
                <w:sz w:val="16"/>
                <w:szCs w:val="16"/>
                <w:lang w:eastAsia="en-AU"/>
              </w:rPr>
              <w:t>hanges</w:t>
            </w:r>
          </w:p>
        </w:tc>
        <w:tc>
          <w:tcPr>
            <w:tcW w:w="760" w:type="dxa"/>
            <w:tcBorders>
              <w:top w:val="single" w:sz="4" w:space="0" w:color="ADD6EA"/>
              <w:left w:val="nil"/>
              <w:bottom w:val="single" w:sz="4" w:space="0" w:color="ADD6EA"/>
              <w:right w:val="nil"/>
            </w:tcBorders>
            <w:shd w:val="clear" w:color="auto" w:fill="auto"/>
            <w:noWrap/>
            <w:vAlign w:val="bottom"/>
            <w:hideMark/>
          </w:tcPr>
          <w:p w14:paraId="40B80DCD"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4</w:t>
            </w:r>
          </w:p>
        </w:tc>
        <w:tc>
          <w:tcPr>
            <w:tcW w:w="700" w:type="dxa"/>
            <w:tcBorders>
              <w:top w:val="single" w:sz="4" w:space="0" w:color="ADD6EA"/>
              <w:left w:val="nil"/>
              <w:bottom w:val="single" w:sz="4" w:space="0" w:color="ADD6EA"/>
              <w:right w:val="nil"/>
            </w:tcBorders>
            <w:shd w:val="clear" w:color="auto" w:fill="auto"/>
            <w:noWrap/>
            <w:vAlign w:val="bottom"/>
            <w:hideMark/>
          </w:tcPr>
          <w:p w14:paraId="6FF63D73"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-53</w:t>
            </w:r>
          </w:p>
        </w:tc>
        <w:tc>
          <w:tcPr>
            <w:tcW w:w="640" w:type="dxa"/>
            <w:tcBorders>
              <w:top w:val="single" w:sz="4" w:space="0" w:color="ADD6EA"/>
              <w:left w:val="nil"/>
              <w:bottom w:val="single" w:sz="4" w:space="0" w:color="ADD6EA"/>
              <w:right w:val="nil"/>
            </w:tcBorders>
            <w:shd w:val="clear" w:color="auto" w:fill="auto"/>
            <w:noWrap/>
            <w:vAlign w:val="bottom"/>
            <w:hideMark/>
          </w:tcPr>
          <w:p w14:paraId="54A045A9"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5</w:t>
            </w:r>
          </w:p>
        </w:tc>
        <w:tc>
          <w:tcPr>
            <w:tcW w:w="660" w:type="dxa"/>
            <w:tcBorders>
              <w:top w:val="single" w:sz="4" w:space="0" w:color="ADD6EA"/>
              <w:left w:val="nil"/>
              <w:bottom w:val="single" w:sz="4" w:space="0" w:color="ADD6EA"/>
              <w:right w:val="nil"/>
            </w:tcBorders>
            <w:shd w:val="clear" w:color="auto" w:fill="auto"/>
            <w:noWrap/>
            <w:vAlign w:val="bottom"/>
            <w:hideMark/>
          </w:tcPr>
          <w:p w14:paraId="239D38FE"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4</w:t>
            </w:r>
          </w:p>
        </w:tc>
        <w:tc>
          <w:tcPr>
            <w:tcW w:w="660" w:type="dxa"/>
            <w:tcBorders>
              <w:top w:val="single" w:sz="4" w:space="0" w:color="ADD6EA"/>
              <w:left w:val="nil"/>
              <w:bottom w:val="single" w:sz="4" w:space="0" w:color="ADD6EA"/>
              <w:right w:val="nil"/>
            </w:tcBorders>
            <w:shd w:val="clear" w:color="auto" w:fill="auto"/>
            <w:noWrap/>
            <w:vAlign w:val="bottom"/>
            <w:hideMark/>
          </w:tcPr>
          <w:p w14:paraId="61A01E85"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25</w:t>
            </w:r>
          </w:p>
        </w:tc>
        <w:tc>
          <w:tcPr>
            <w:tcW w:w="660" w:type="dxa"/>
            <w:tcBorders>
              <w:top w:val="single" w:sz="4" w:space="0" w:color="ADD6EA"/>
              <w:left w:val="nil"/>
              <w:bottom w:val="single" w:sz="4" w:space="0" w:color="ADD6EA"/>
              <w:right w:val="nil"/>
            </w:tcBorders>
            <w:shd w:val="clear" w:color="auto" w:fill="auto"/>
            <w:noWrap/>
            <w:vAlign w:val="bottom"/>
            <w:hideMark/>
          </w:tcPr>
          <w:p w14:paraId="56BFC1A3"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33</w:t>
            </w:r>
          </w:p>
        </w:tc>
        <w:tc>
          <w:tcPr>
            <w:tcW w:w="600" w:type="dxa"/>
            <w:tcBorders>
              <w:top w:val="single" w:sz="4" w:space="0" w:color="ADD6EA"/>
              <w:left w:val="nil"/>
              <w:bottom w:val="single" w:sz="4" w:space="0" w:color="ADD6EA"/>
              <w:right w:val="nil"/>
            </w:tcBorders>
            <w:shd w:val="clear" w:color="auto" w:fill="auto"/>
            <w:noWrap/>
            <w:vAlign w:val="bottom"/>
            <w:hideMark/>
          </w:tcPr>
          <w:p w14:paraId="15746495"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-23</w:t>
            </w:r>
          </w:p>
        </w:tc>
        <w:tc>
          <w:tcPr>
            <w:tcW w:w="760" w:type="dxa"/>
            <w:tcBorders>
              <w:top w:val="single" w:sz="4" w:space="0" w:color="ADD6EA"/>
              <w:left w:val="nil"/>
              <w:bottom w:val="single" w:sz="4" w:space="0" w:color="ADD6EA"/>
              <w:right w:val="nil"/>
            </w:tcBorders>
            <w:shd w:val="clear" w:color="auto" w:fill="auto"/>
            <w:noWrap/>
            <w:vAlign w:val="bottom"/>
            <w:hideMark/>
          </w:tcPr>
          <w:p w14:paraId="2D435DDB"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6</w:t>
            </w:r>
          </w:p>
        </w:tc>
        <w:tc>
          <w:tcPr>
            <w:tcW w:w="800" w:type="dxa"/>
            <w:tcBorders>
              <w:top w:val="single" w:sz="4" w:space="0" w:color="ADD6EA"/>
              <w:left w:val="nil"/>
              <w:bottom w:val="single" w:sz="4" w:space="0" w:color="ADD6EA"/>
              <w:right w:val="nil"/>
            </w:tcBorders>
            <w:shd w:val="clear" w:color="auto" w:fill="auto"/>
            <w:noWrap/>
            <w:vAlign w:val="bottom"/>
            <w:hideMark/>
          </w:tcPr>
          <w:p w14:paraId="0C74571B"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76</w:t>
            </w:r>
          </w:p>
        </w:tc>
      </w:tr>
      <w:tr w:rsidR="007E365E" w:rsidRPr="00CC2F0B" w14:paraId="6ED2627F" w14:textId="77777777" w:rsidTr="007D1D77">
        <w:trPr>
          <w:trHeight w:val="315"/>
        </w:trPr>
        <w:tc>
          <w:tcPr>
            <w:tcW w:w="2740" w:type="dxa"/>
            <w:tcBorders>
              <w:top w:val="nil"/>
              <w:left w:val="nil"/>
              <w:bottom w:val="nil"/>
              <w:right w:val="nil"/>
            </w:tcBorders>
            <w:shd w:val="clear" w:color="auto" w:fill="auto"/>
            <w:noWrap/>
            <w:vAlign w:val="bottom"/>
            <w:hideMark/>
          </w:tcPr>
          <w:p w14:paraId="7FC183B5" w14:textId="77777777" w:rsidR="007E365E" w:rsidRPr="00CC2F0B" w:rsidRDefault="007E365E" w:rsidP="007D1D77">
            <w:pPr>
              <w:tabs>
                <w:tab w:val="clear" w:pos="567"/>
              </w:tabs>
              <w:spacing w:before="0" w:line="240" w:lineRule="auto"/>
              <w:rPr>
                <w:rFonts w:eastAsia="Times New Roman" w:cs="Open Sans Light"/>
                <w:sz w:val="16"/>
                <w:szCs w:val="16"/>
                <w:lang w:eastAsia="en-AU"/>
              </w:rPr>
            </w:pPr>
            <w:r w:rsidRPr="00CC2F0B">
              <w:rPr>
                <w:rFonts w:eastAsia="Times New Roman" w:cs="Open Sans Light"/>
                <w:sz w:val="16"/>
                <w:szCs w:val="16"/>
                <w:lang w:eastAsia="en-AU"/>
              </w:rPr>
              <w:t>Data revisions</w:t>
            </w:r>
          </w:p>
        </w:tc>
        <w:tc>
          <w:tcPr>
            <w:tcW w:w="760" w:type="dxa"/>
            <w:tcBorders>
              <w:top w:val="nil"/>
              <w:left w:val="nil"/>
              <w:bottom w:val="nil"/>
              <w:right w:val="nil"/>
            </w:tcBorders>
            <w:shd w:val="clear" w:color="auto" w:fill="auto"/>
            <w:noWrap/>
            <w:vAlign w:val="bottom"/>
            <w:hideMark/>
          </w:tcPr>
          <w:p w14:paraId="3DE6B250"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2</w:t>
            </w:r>
          </w:p>
        </w:tc>
        <w:tc>
          <w:tcPr>
            <w:tcW w:w="700" w:type="dxa"/>
            <w:tcBorders>
              <w:top w:val="nil"/>
              <w:left w:val="nil"/>
              <w:bottom w:val="nil"/>
              <w:right w:val="nil"/>
            </w:tcBorders>
            <w:shd w:val="clear" w:color="auto" w:fill="auto"/>
            <w:noWrap/>
            <w:vAlign w:val="bottom"/>
            <w:hideMark/>
          </w:tcPr>
          <w:p w14:paraId="56536EC5"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2</w:t>
            </w:r>
          </w:p>
        </w:tc>
        <w:tc>
          <w:tcPr>
            <w:tcW w:w="640" w:type="dxa"/>
            <w:tcBorders>
              <w:top w:val="nil"/>
              <w:left w:val="nil"/>
              <w:bottom w:val="nil"/>
              <w:right w:val="nil"/>
            </w:tcBorders>
            <w:shd w:val="clear" w:color="auto" w:fill="auto"/>
            <w:noWrap/>
            <w:vAlign w:val="bottom"/>
            <w:hideMark/>
          </w:tcPr>
          <w:p w14:paraId="59CD4EE3"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-1</w:t>
            </w:r>
          </w:p>
        </w:tc>
        <w:tc>
          <w:tcPr>
            <w:tcW w:w="660" w:type="dxa"/>
            <w:tcBorders>
              <w:top w:val="nil"/>
              <w:left w:val="nil"/>
              <w:bottom w:val="nil"/>
              <w:right w:val="nil"/>
            </w:tcBorders>
            <w:shd w:val="clear" w:color="auto" w:fill="auto"/>
            <w:noWrap/>
            <w:vAlign w:val="bottom"/>
            <w:hideMark/>
          </w:tcPr>
          <w:p w14:paraId="345833B5"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-1</w:t>
            </w:r>
          </w:p>
        </w:tc>
        <w:tc>
          <w:tcPr>
            <w:tcW w:w="660" w:type="dxa"/>
            <w:tcBorders>
              <w:top w:val="nil"/>
              <w:left w:val="nil"/>
              <w:bottom w:val="nil"/>
              <w:right w:val="nil"/>
            </w:tcBorders>
            <w:shd w:val="clear" w:color="auto" w:fill="auto"/>
            <w:noWrap/>
            <w:vAlign w:val="bottom"/>
            <w:hideMark/>
          </w:tcPr>
          <w:p w14:paraId="36C4670B"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0</w:t>
            </w:r>
          </w:p>
        </w:tc>
        <w:tc>
          <w:tcPr>
            <w:tcW w:w="660" w:type="dxa"/>
            <w:tcBorders>
              <w:top w:val="nil"/>
              <w:left w:val="nil"/>
              <w:bottom w:val="nil"/>
              <w:right w:val="nil"/>
            </w:tcBorders>
            <w:shd w:val="clear" w:color="auto" w:fill="auto"/>
            <w:noWrap/>
            <w:vAlign w:val="bottom"/>
            <w:hideMark/>
          </w:tcPr>
          <w:p w14:paraId="27B1E4FE"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-1</w:t>
            </w:r>
          </w:p>
        </w:tc>
        <w:tc>
          <w:tcPr>
            <w:tcW w:w="600" w:type="dxa"/>
            <w:tcBorders>
              <w:top w:val="nil"/>
              <w:left w:val="nil"/>
              <w:bottom w:val="nil"/>
              <w:right w:val="nil"/>
            </w:tcBorders>
            <w:shd w:val="clear" w:color="auto" w:fill="auto"/>
            <w:noWrap/>
            <w:vAlign w:val="bottom"/>
            <w:hideMark/>
          </w:tcPr>
          <w:p w14:paraId="6EAAAF80"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-1</w:t>
            </w:r>
          </w:p>
        </w:tc>
        <w:tc>
          <w:tcPr>
            <w:tcW w:w="760" w:type="dxa"/>
            <w:tcBorders>
              <w:top w:val="nil"/>
              <w:left w:val="nil"/>
              <w:bottom w:val="nil"/>
              <w:right w:val="nil"/>
            </w:tcBorders>
            <w:shd w:val="clear" w:color="auto" w:fill="auto"/>
            <w:noWrap/>
            <w:vAlign w:val="bottom"/>
            <w:hideMark/>
          </w:tcPr>
          <w:p w14:paraId="251BA96D"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-1</w:t>
            </w:r>
          </w:p>
        </w:tc>
        <w:tc>
          <w:tcPr>
            <w:tcW w:w="800" w:type="dxa"/>
            <w:tcBorders>
              <w:top w:val="nil"/>
              <w:left w:val="nil"/>
              <w:bottom w:val="nil"/>
              <w:right w:val="nil"/>
            </w:tcBorders>
            <w:shd w:val="clear" w:color="auto" w:fill="auto"/>
            <w:noWrap/>
            <w:vAlign w:val="bottom"/>
            <w:hideMark/>
          </w:tcPr>
          <w:p w14:paraId="313F920A"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5</w:t>
            </w:r>
          </w:p>
        </w:tc>
      </w:tr>
      <w:tr w:rsidR="007E365E" w:rsidRPr="00CC2F0B" w14:paraId="36117415" w14:textId="77777777" w:rsidTr="007D1D77">
        <w:trPr>
          <w:trHeight w:val="270"/>
        </w:trPr>
        <w:tc>
          <w:tcPr>
            <w:tcW w:w="2740" w:type="dxa"/>
            <w:tcBorders>
              <w:top w:val="single" w:sz="4" w:space="0" w:color="ADD6EA"/>
              <w:left w:val="nil"/>
              <w:bottom w:val="single" w:sz="4" w:space="0" w:color="ADD6EA"/>
              <w:right w:val="nil"/>
            </w:tcBorders>
            <w:shd w:val="clear" w:color="auto" w:fill="auto"/>
            <w:vAlign w:val="bottom"/>
            <w:hideMark/>
          </w:tcPr>
          <w:p w14:paraId="18198C50" w14:textId="77777777" w:rsidR="007E365E" w:rsidRPr="00CC2F0B" w:rsidRDefault="007E365E" w:rsidP="007D1D77">
            <w:pPr>
              <w:tabs>
                <w:tab w:val="clear" w:pos="567"/>
              </w:tabs>
              <w:spacing w:before="0" w:line="240" w:lineRule="auto"/>
              <w:rPr>
                <w:rFonts w:eastAsia="Times New Roman" w:cs="Open Sans Light"/>
                <w:sz w:val="16"/>
                <w:szCs w:val="16"/>
                <w:lang w:eastAsia="en-AU"/>
              </w:rPr>
            </w:pPr>
            <w:r w:rsidRPr="00CC2F0B">
              <w:rPr>
                <w:rFonts w:eastAsia="Times New Roman" w:cs="Open Sans Light"/>
                <w:sz w:val="16"/>
                <w:szCs w:val="16"/>
                <w:lang w:eastAsia="en-AU"/>
              </w:rPr>
              <w:t>State circumstances</w:t>
            </w:r>
          </w:p>
        </w:tc>
        <w:tc>
          <w:tcPr>
            <w:tcW w:w="760" w:type="dxa"/>
            <w:tcBorders>
              <w:top w:val="single" w:sz="4" w:space="0" w:color="ADD6EA"/>
              <w:left w:val="nil"/>
              <w:bottom w:val="single" w:sz="4" w:space="0" w:color="ADD6EA"/>
              <w:right w:val="nil"/>
            </w:tcBorders>
            <w:shd w:val="clear" w:color="auto" w:fill="auto"/>
            <w:vAlign w:val="bottom"/>
            <w:hideMark/>
          </w:tcPr>
          <w:p w14:paraId="27289B60"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15</w:t>
            </w:r>
          </w:p>
        </w:tc>
        <w:tc>
          <w:tcPr>
            <w:tcW w:w="700" w:type="dxa"/>
            <w:tcBorders>
              <w:top w:val="single" w:sz="4" w:space="0" w:color="ADD6EA"/>
              <w:left w:val="nil"/>
              <w:bottom w:val="single" w:sz="4" w:space="0" w:color="ADD6EA"/>
              <w:right w:val="nil"/>
            </w:tcBorders>
            <w:shd w:val="clear" w:color="auto" w:fill="auto"/>
            <w:vAlign w:val="bottom"/>
            <w:hideMark/>
          </w:tcPr>
          <w:p w14:paraId="5BDD8232"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-8</w:t>
            </w:r>
          </w:p>
        </w:tc>
        <w:tc>
          <w:tcPr>
            <w:tcW w:w="640" w:type="dxa"/>
            <w:tcBorders>
              <w:top w:val="single" w:sz="4" w:space="0" w:color="ADD6EA"/>
              <w:left w:val="nil"/>
              <w:bottom w:val="single" w:sz="4" w:space="0" w:color="ADD6EA"/>
              <w:right w:val="nil"/>
            </w:tcBorders>
            <w:shd w:val="clear" w:color="auto" w:fill="auto"/>
            <w:vAlign w:val="bottom"/>
            <w:hideMark/>
          </w:tcPr>
          <w:p w14:paraId="5BD8AD93"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-6</w:t>
            </w:r>
          </w:p>
        </w:tc>
        <w:tc>
          <w:tcPr>
            <w:tcW w:w="660" w:type="dxa"/>
            <w:tcBorders>
              <w:top w:val="single" w:sz="4" w:space="0" w:color="ADD6EA"/>
              <w:left w:val="nil"/>
              <w:bottom w:val="single" w:sz="4" w:space="0" w:color="ADD6EA"/>
              <w:right w:val="nil"/>
            </w:tcBorders>
            <w:shd w:val="clear" w:color="auto" w:fill="auto"/>
            <w:vAlign w:val="bottom"/>
            <w:hideMark/>
          </w:tcPr>
          <w:p w14:paraId="2287D272"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-14</w:t>
            </w:r>
          </w:p>
        </w:tc>
        <w:tc>
          <w:tcPr>
            <w:tcW w:w="660" w:type="dxa"/>
            <w:tcBorders>
              <w:top w:val="single" w:sz="4" w:space="0" w:color="ADD6EA"/>
              <w:left w:val="nil"/>
              <w:bottom w:val="single" w:sz="4" w:space="0" w:color="ADD6EA"/>
              <w:right w:val="nil"/>
            </w:tcBorders>
            <w:shd w:val="clear" w:color="auto" w:fill="auto"/>
            <w:vAlign w:val="bottom"/>
            <w:hideMark/>
          </w:tcPr>
          <w:p w14:paraId="4FA1246C"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-4</w:t>
            </w:r>
          </w:p>
        </w:tc>
        <w:tc>
          <w:tcPr>
            <w:tcW w:w="660" w:type="dxa"/>
            <w:tcBorders>
              <w:top w:val="single" w:sz="4" w:space="0" w:color="ADD6EA"/>
              <w:left w:val="nil"/>
              <w:bottom w:val="single" w:sz="4" w:space="0" w:color="ADD6EA"/>
              <w:right w:val="nil"/>
            </w:tcBorders>
            <w:shd w:val="clear" w:color="auto" w:fill="auto"/>
            <w:vAlign w:val="bottom"/>
            <w:hideMark/>
          </w:tcPr>
          <w:p w14:paraId="73FF283C"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4</w:t>
            </w:r>
          </w:p>
        </w:tc>
        <w:tc>
          <w:tcPr>
            <w:tcW w:w="600" w:type="dxa"/>
            <w:tcBorders>
              <w:top w:val="single" w:sz="4" w:space="0" w:color="ADD6EA"/>
              <w:left w:val="nil"/>
              <w:bottom w:val="single" w:sz="4" w:space="0" w:color="ADD6EA"/>
              <w:right w:val="nil"/>
            </w:tcBorders>
            <w:shd w:val="clear" w:color="auto" w:fill="auto"/>
            <w:vAlign w:val="bottom"/>
            <w:hideMark/>
          </w:tcPr>
          <w:p w14:paraId="1EB7804F"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-2</w:t>
            </w:r>
          </w:p>
        </w:tc>
        <w:tc>
          <w:tcPr>
            <w:tcW w:w="760" w:type="dxa"/>
            <w:tcBorders>
              <w:top w:val="single" w:sz="4" w:space="0" w:color="ADD6EA"/>
              <w:left w:val="nil"/>
              <w:bottom w:val="single" w:sz="4" w:space="0" w:color="ADD6EA"/>
              <w:right w:val="nil"/>
            </w:tcBorders>
            <w:shd w:val="clear" w:color="auto" w:fill="auto"/>
            <w:vAlign w:val="bottom"/>
            <w:hideMark/>
          </w:tcPr>
          <w:p w14:paraId="00C20994"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14</w:t>
            </w:r>
          </w:p>
        </w:tc>
        <w:tc>
          <w:tcPr>
            <w:tcW w:w="800" w:type="dxa"/>
            <w:tcBorders>
              <w:top w:val="single" w:sz="4" w:space="0" w:color="ADD6EA"/>
              <w:left w:val="nil"/>
              <w:bottom w:val="single" w:sz="4" w:space="0" w:color="ADD6EA"/>
              <w:right w:val="nil"/>
            </w:tcBorders>
            <w:shd w:val="clear" w:color="auto" w:fill="auto"/>
            <w:vAlign w:val="bottom"/>
            <w:hideMark/>
          </w:tcPr>
          <w:p w14:paraId="2EF6330E" w14:textId="77777777" w:rsidR="007E365E" w:rsidRPr="00CC2F0B" w:rsidRDefault="007E365E" w:rsidP="007D1D77">
            <w:pPr>
              <w:tabs>
                <w:tab w:val="clear" w:pos="567"/>
              </w:tabs>
              <w:spacing w:before="0" w:line="240" w:lineRule="auto"/>
              <w:jc w:val="right"/>
              <w:rPr>
                <w:rFonts w:eastAsia="Times New Roman" w:cs="Open Sans Light"/>
                <w:sz w:val="16"/>
                <w:szCs w:val="16"/>
                <w:lang w:eastAsia="en-AU"/>
              </w:rPr>
            </w:pPr>
            <w:r w:rsidRPr="00CC2F0B">
              <w:rPr>
                <w:rFonts w:eastAsia="Times New Roman" w:cs="Open Sans Light"/>
                <w:sz w:val="16"/>
                <w:szCs w:val="16"/>
                <w:lang w:eastAsia="en-AU"/>
              </w:rPr>
              <w:t>33</w:t>
            </w:r>
          </w:p>
        </w:tc>
      </w:tr>
      <w:tr w:rsidR="007E365E" w:rsidRPr="00CC2F0B" w14:paraId="2A5499CD" w14:textId="77777777" w:rsidTr="007D1D77">
        <w:trPr>
          <w:trHeight w:val="315"/>
        </w:trPr>
        <w:tc>
          <w:tcPr>
            <w:tcW w:w="2740" w:type="dxa"/>
            <w:tcBorders>
              <w:top w:val="nil"/>
              <w:left w:val="nil"/>
              <w:bottom w:val="single" w:sz="4" w:space="0" w:color="ADD6EA"/>
              <w:right w:val="nil"/>
            </w:tcBorders>
            <w:shd w:val="clear" w:color="000000" w:fill="D6E7F0"/>
            <w:noWrap/>
            <w:vAlign w:val="bottom"/>
            <w:hideMark/>
          </w:tcPr>
          <w:p w14:paraId="569F205B" w14:textId="77777777" w:rsidR="007E365E" w:rsidRPr="00565C85"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565C85">
              <w:rPr>
                <w:rFonts w:ascii="Open Sans SemiBold" w:eastAsia="Times New Roman" w:hAnsi="Open Sans SemiBold" w:cs="Open Sans SemiBold"/>
                <w:sz w:val="16"/>
                <w:szCs w:val="16"/>
                <w:lang w:eastAsia="en-AU"/>
              </w:rPr>
              <w:t>Total</w:t>
            </w:r>
          </w:p>
        </w:tc>
        <w:tc>
          <w:tcPr>
            <w:tcW w:w="760" w:type="dxa"/>
            <w:tcBorders>
              <w:top w:val="nil"/>
              <w:left w:val="nil"/>
              <w:bottom w:val="single" w:sz="4" w:space="0" w:color="ADD6EA"/>
              <w:right w:val="nil"/>
            </w:tcBorders>
            <w:shd w:val="clear" w:color="000000" w:fill="D6E7F0"/>
            <w:noWrap/>
            <w:vAlign w:val="bottom"/>
            <w:hideMark/>
          </w:tcPr>
          <w:p w14:paraId="31A93999" w14:textId="77777777" w:rsidR="007E365E" w:rsidRPr="00565C8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565C85">
              <w:rPr>
                <w:rFonts w:ascii="Open Sans SemiBold" w:eastAsia="Times New Roman" w:hAnsi="Open Sans SemiBold" w:cs="Open Sans SemiBold"/>
                <w:sz w:val="16"/>
                <w:szCs w:val="16"/>
                <w:lang w:eastAsia="en-AU"/>
              </w:rPr>
              <w:t>21</w:t>
            </w:r>
          </w:p>
        </w:tc>
        <w:tc>
          <w:tcPr>
            <w:tcW w:w="700" w:type="dxa"/>
            <w:tcBorders>
              <w:top w:val="nil"/>
              <w:left w:val="nil"/>
              <w:bottom w:val="single" w:sz="4" w:space="0" w:color="ADD6EA"/>
              <w:right w:val="nil"/>
            </w:tcBorders>
            <w:shd w:val="clear" w:color="000000" w:fill="D6E7F0"/>
            <w:noWrap/>
            <w:vAlign w:val="bottom"/>
            <w:hideMark/>
          </w:tcPr>
          <w:p w14:paraId="441363B2" w14:textId="77777777" w:rsidR="007E365E" w:rsidRPr="00565C8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565C85">
              <w:rPr>
                <w:rFonts w:ascii="Open Sans SemiBold" w:eastAsia="Times New Roman" w:hAnsi="Open Sans SemiBold" w:cs="Open Sans SemiBold"/>
                <w:sz w:val="16"/>
                <w:szCs w:val="16"/>
                <w:lang w:eastAsia="en-AU"/>
              </w:rPr>
              <w:t>-59</w:t>
            </w:r>
          </w:p>
        </w:tc>
        <w:tc>
          <w:tcPr>
            <w:tcW w:w="640" w:type="dxa"/>
            <w:tcBorders>
              <w:top w:val="nil"/>
              <w:left w:val="nil"/>
              <w:bottom w:val="single" w:sz="4" w:space="0" w:color="ADD6EA"/>
              <w:right w:val="nil"/>
            </w:tcBorders>
            <w:shd w:val="clear" w:color="000000" w:fill="D6E7F0"/>
            <w:noWrap/>
            <w:vAlign w:val="bottom"/>
            <w:hideMark/>
          </w:tcPr>
          <w:p w14:paraId="36E47796" w14:textId="77777777" w:rsidR="007E365E" w:rsidRPr="00565C8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565C85">
              <w:rPr>
                <w:rFonts w:ascii="Open Sans SemiBold" w:eastAsia="Times New Roman" w:hAnsi="Open Sans SemiBold" w:cs="Open Sans SemiBold"/>
                <w:sz w:val="16"/>
                <w:szCs w:val="16"/>
                <w:lang w:eastAsia="en-AU"/>
              </w:rPr>
              <w:t>-1</w:t>
            </w:r>
          </w:p>
        </w:tc>
        <w:tc>
          <w:tcPr>
            <w:tcW w:w="660" w:type="dxa"/>
            <w:tcBorders>
              <w:top w:val="nil"/>
              <w:left w:val="nil"/>
              <w:bottom w:val="single" w:sz="4" w:space="0" w:color="ADD6EA"/>
              <w:right w:val="nil"/>
            </w:tcBorders>
            <w:shd w:val="clear" w:color="000000" w:fill="D6E7F0"/>
            <w:noWrap/>
            <w:vAlign w:val="bottom"/>
            <w:hideMark/>
          </w:tcPr>
          <w:p w14:paraId="75CC79C0" w14:textId="77777777" w:rsidR="007E365E" w:rsidRPr="00565C8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565C85">
              <w:rPr>
                <w:rFonts w:ascii="Open Sans SemiBold" w:eastAsia="Times New Roman" w:hAnsi="Open Sans SemiBold" w:cs="Open Sans SemiBold"/>
                <w:sz w:val="16"/>
                <w:szCs w:val="16"/>
                <w:lang w:eastAsia="en-AU"/>
              </w:rPr>
              <w:t>-10</w:t>
            </w:r>
          </w:p>
        </w:tc>
        <w:tc>
          <w:tcPr>
            <w:tcW w:w="660" w:type="dxa"/>
            <w:tcBorders>
              <w:top w:val="nil"/>
              <w:left w:val="nil"/>
              <w:bottom w:val="single" w:sz="4" w:space="0" w:color="ADD6EA"/>
              <w:right w:val="nil"/>
            </w:tcBorders>
            <w:shd w:val="clear" w:color="000000" w:fill="D6E7F0"/>
            <w:noWrap/>
            <w:vAlign w:val="bottom"/>
            <w:hideMark/>
          </w:tcPr>
          <w:p w14:paraId="4067A6CC" w14:textId="77777777" w:rsidR="007E365E" w:rsidRPr="00565C8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565C85">
              <w:rPr>
                <w:rFonts w:ascii="Open Sans SemiBold" w:eastAsia="Times New Roman" w:hAnsi="Open Sans SemiBold" w:cs="Open Sans SemiBold"/>
                <w:sz w:val="16"/>
                <w:szCs w:val="16"/>
                <w:lang w:eastAsia="en-AU"/>
              </w:rPr>
              <w:t>21</w:t>
            </w:r>
          </w:p>
        </w:tc>
        <w:tc>
          <w:tcPr>
            <w:tcW w:w="660" w:type="dxa"/>
            <w:tcBorders>
              <w:top w:val="nil"/>
              <w:left w:val="nil"/>
              <w:bottom w:val="single" w:sz="4" w:space="0" w:color="ADD6EA"/>
              <w:right w:val="nil"/>
            </w:tcBorders>
            <w:shd w:val="clear" w:color="000000" w:fill="D6E7F0"/>
            <w:noWrap/>
            <w:vAlign w:val="bottom"/>
            <w:hideMark/>
          </w:tcPr>
          <w:p w14:paraId="6376B740" w14:textId="77777777" w:rsidR="007E365E" w:rsidRPr="00565C8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565C85">
              <w:rPr>
                <w:rFonts w:ascii="Open Sans SemiBold" w:eastAsia="Times New Roman" w:hAnsi="Open Sans SemiBold" w:cs="Open Sans SemiBold"/>
                <w:sz w:val="16"/>
                <w:szCs w:val="16"/>
                <w:lang w:eastAsia="en-AU"/>
              </w:rPr>
              <w:t>36</w:t>
            </w:r>
          </w:p>
        </w:tc>
        <w:tc>
          <w:tcPr>
            <w:tcW w:w="600" w:type="dxa"/>
            <w:tcBorders>
              <w:top w:val="nil"/>
              <w:left w:val="nil"/>
              <w:bottom w:val="single" w:sz="4" w:space="0" w:color="ADD6EA"/>
              <w:right w:val="nil"/>
            </w:tcBorders>
            <w:shd w:val="clear" w:color="000000" w:fill="D6E7F0"/>
            <w:noWrap/>
            <w:vAlign w:val="bottom"/>
            <w:hideMark/>
          </w:tcPr>
          <w:p w14:paraId="5C60F59A" w14:textId="77777777" w:rsidR="007E365E" w:rsidRPr="00565C8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565C85">
              <w:rPr>
                <w:rFonts w:ascii="Open Sans SemiBold" w:eastAsia="Times New Roman" w:hAnsi="Open Sans SemiBold" w:cs="Open Sans SemiBold"/>
                <w:sz w:val="16"/>
                <w:szCs w:val="16"/>
                <w:lang w:eastAsia="en-AU"/>
              </w:rPr>
              <w:t>-26</w:t>
            </w:r>
          </w:p>
        </w:tc>
        <w:tc>
          <w:tcPr>
            <w:tcW w:w="760" w:type="dxa"/>
            <w:tcBorders>
              <w:top w:val="nil"/>
              <w:left w:val="nil"/>
              <w:bottom w:val="single" w:sz="4" w:space="0" w:color="ADD6EA"/>
              <w:right w:val="nil"/>
            </w:tcBorders>
            <w:shd w:val="clear" w:color="000000" w:fill="D6E7F0"/>
            <w:noWrap/>
            <w:vAlign w:val="bottom"/>
            <w:hideMark/>
          </w:tcPr>
          <w:p w14:paraId="0EBB0F9B" w14:textId="77777777" w:rsidR="007E365E" w:rsidRPr="00565C8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565C85">
              <w:rPr>
                <w:rFonts w:ascii="Open Sans SemiBold" w:eastAsia="Times New Roman" w:hAnsi="Open Sans SemiBold" w:cs="Open Sans SemiBold"/>
                <w:sz w:val="16"/>
                <w:szCs w:val="16"/>
                <w:lang w:eastAsia="en-AU"/>
              </w:rPr>
              <w:t>19</w:t>
            </w:r>
          </w:p>
        </w:tc>
        <w:tc>
          <w:tcPr>
            <w:tcW w:w="800" w:type="dxa"/>
            <w:tcBorders>
              <w:top w:val="nil"/>
              <w:left w:val="nil"/>
              <w:bottom w:val="single" w:sz="4" w:space="0" w:color="ADD6EA"/>
              <w:right w:val="nil"/>
            </w:tcBorders>
            <w:shd w:val="clear" w:color="000000" w:fill="D6E7F0"/>
            <w:noWrap/>
            <w:vAlign w:val="bottom"/>
            <w:hideMark/>
          </w:tcPr>
          <w:p w14:paraId="39526E0C" w14:textId="77777777" w:rsidR="007E365E" w:rsidRPr="00565C8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565C85">
              <w:rPr>
                <w:rFonts w:ascii="Open Sans SemiBold" w:eastAsia="Times New Roman" w:hAnsi="Open Sans SemiBold" w:cs="Open Sans SemiBold"/>
                <w:sz w:val="16"/>
                <w:szCs w:val="16"/>
                <w:lang w:eastAsia="en-AU"/>
              </w:rPr>
              <w:t>114</w:t>
            </w:r>
          </w:p>
        </w:tc>
      </w:tr>
    </w:tbl>
    <w:p w14:paraId="0A9D2657" w14:textId="77777777" w:rsidR="007E365E" w:rsidRPr="00173B02" w:rsidRDefault="007E365E" w:rsidP="007E365E">
      <w:pPr>
        <w:pStyle w:val="CGCTablenote"/>
      </w:pPr>
      <w:r w:rsidRPr="00173B02">
        <w:t>Source:</w:t>
      </w:r>
      <w:r w:rsidRPr="00173B02">
        <w:tab/>
        <w:t>Commission calculation</w:t>
      </w:r>
      <w:r>
        <w:t>.</w:t>
      </w:r>
    </w:p>
    <w:p w14:paraId="49D49B6A" w14:textId="77777777" w:rsidR="007E365E" w:rsidRPr="00173B02" w:rsidRDefault="007E365E" w:rsidP="007E365E">
      <w:pPr>
        <w:pStyle w:val="Heading4"/>
      </w:pPr>
      <w:bookmarkStart w:id="135" w:name="_Toc23500171"/>
      <w:r w:rsidRPr="00173B02">
        <w:t>Method</w:t>
      </w:r>
      <w:r>
        <w:t xml:space="preserve"> and data</w:t>
      </w:r>
      <w:r w:rsidRPr="00173B02">
        <w:t xml:space="preserve"> changes</w:t>
      </w:r>
      <w:bookmarkEnd w:id="135"/>
    </w:p>
    <w:p w14:paraId="7C5B1A1B" w14:textId="77777777" w:rsidR="007E365E" w:rsidRPr="00173B02" w:rsidRDefault="007E365E" w:rsidP="007E365E">
      <w:pPr>
        <w:pStyle w:val="CGCParaNumber"/>
      </w:pPr>
      <w:r w:rsidRPr="00173B02">
        <w:t xml:space="preserve">There have been a number </w:t>
      </w:r>
      <w:r>
        <w:t xml:space="preserve">of </w:t>
      </w:r>
      <w:r w:rsidRPr="00173B02">
        <w:t>method changes associated with this category since the 2015</w:t>
      </w:r>
      <w:r>
        <w:t> </w:t>
      </w:r>
      <w:r w:rsidRPr="00173B02">
        <w:t>Review. These are:</w:t>
      </w:r>
    </w:p>
    <w:p w14:paraId="4E056D87" w14:textId="77777777" w:rsidR="007E365E" w:rsidRPr="00850D12" w:rsidRDefault="007E365E" w:rsidP="007E365E">
      <w:pPr>
        <w:pStyle w:val="CGCBullet1"/>
        <w:numPr>
          <w:ilvl w:val="0"/>
          <w:numId w:val="18"/>
        </w:numPr>
        <w:ind w:left="924" w:hanging="357"/>
      </w:pPr>
      <w:r w:rsidRPr="00850D12">
        <w:t>In police,</w:t>
      </w:r>
    </w:p>
    <w:p w14:paraId="4147A74A" w14:textId="77777777" w:rsidR="007E365E" w:rsidRPr="00DC0BE4" w:rsidRDefault="007E365E" w:rsidP="007E365E">
      <w:pPr>
        <w:pStyle w:val="CGCBullet2"/>
        <w:numPr>
          <w:ilvl w:val="0"/>
          <w:numId w:val="3"/>
        </w:numPr>
        <w:tabs>
          <w:tab w:val="left" w:pos="680"/>
        </w:tabs>
        <w:ind w:left="1208" w:hanging="357"/>
      </w:pPr>
      <w:r w:rsidRPr="00DC0BE4">
        <w:t>the split between ‘specialised’ and ‘community’ expenses has been removed, including the discount previously applied to specialised policing expenses</w:t>
      </w:r>
    </w:p>
    <w:p w14:paraId="74E99427" w14:textId="77777777" w:rsidR="007E365E" w:rsidRPr="00173B02" w:rsidRDefault="007E365E" w:rsidP="007E365E">
      <w:pPr>
        <w:pStyle w:val="CGCBullet2"/>
        <w:numPr>
          <w:ilvl w:val="0"/>
          <w:numId w:val="3"/>
        </w:numPr>
        <w:tabs>
          <w:tab w:val="left" w:pos="680"/>
        </w:tabs>
        <w:ind w:left="1208" w:hanging="357"/>
      </w:pPr>
      <w:r w:rsidRPr="00173B02">
        <w:t>police costs are assessed using cost weights derived from a regression analysis of police districts predicting police costs per capita, and incorporating an assessed offenders measure using age, SES and Indigenous status</w:t>
      </w:r>
    </w:p>
    <w:p w14:paraId="3FE586F1" w14:textId="77777777" w:rsidR="007E365E" w:rsidRPr="00173B02" w:rsidRDefault="007E365E" w:rsidP="007E365E">
      <w:pPr>
        <w:pStyle w:val="CGCBullet2"/>
        <w:numPr>
          <w:ilvl w:val="0"/>
          <w:numId w:val="3"/>
        </w:numPr>
        <w:tabs>
          <w:tab w:val="left" w:pos="680"/>
        </w:tabs>
        <w:ind w:left="1208" w:hanging="357"/>
      </w:pPr>
      <w:r w:rsidRPr="00173B02">
        <w:t>no separate regional costs factor has been applied, as regional costs are implicitly captured within the model</w:t>
      </w:r>
    </w:p>
    <w:p w14:paraId="63769F3E" w14:textId="77777777" w:rsidR="007E365E" w:rsidRPr="00173B02" w:rsidRDefault="007E365E" w:rsidP="007E365E">
      <w:pPr>
        <w:pStyle w:val="CGCBullet2"/>
        <w:numPr>
          <w:ilvl w:val="0"/>
          <w:numId w:val="3"/>
        </w:numPr>
        <w:tabs>
          <w:tab w:val="left" w:pos="680"/>
        </w:tabs>
        <w:ind w:left="1208" w:hanging="357"/>
      </w:pPr>
      <w:r w:rsidRPr="00173B02">
        <w:t>new offender data underpins the police assessment including replacing Australian Institute of Criminology sourced age data with State-sourced data</w:t>
      </w:r>
    </w:p>
    <w:p w14:paraId="58C8099A" w14:textId="77777777" w:rsidR="007E365E" w:rsidRPr="00173B02" w:rsidRDefault="007E365E" w:rsidP="007E365E">
      <w:pPr>
        <w:pStyle w:val="CGCBullet2"/>
        <w:numPr>
          <w:ilvl w:val="0"/>
          <w:numId w:val="3"/>
        </w:numPr>
        <w:tabs>
          <w:tab w:val="left" w:pos="680"/>
        </w:tabs>
        <w:ind w:left="1208" w:hanging="357"/>
      </w:pPr>
      <w:r w:rsidRPr="00173B02">
        <w:t>there are minor changes to the way the number of offenders are assessed. The non</w:t>
      </w:r>
      <w:r>
        <w:noBreakHyphen/>
      </w:r>
      <w:r w:rsidRPr="00173B02">
        <w:t xml:space="preserve">Indigenous population will be assessed against five SES groups, rather than three, and offender rates have now been assessed for the 0-14 and 65+ year age groups, rather than assessing a zero offender rate for these age groups. </w:t>
      </w:r>
    </w:p>
    <w:p w14:paraId="0D25515C" w14:textId="77777777" w:rsidR="007E365E" w:rsidRDefault="007E365E" w:rsidP="007E365E">
      <w:pPr>
        <w:pStyle w:val="CGCBullet1"/>
        <w:numPr>
          <w:ilvl w:val="0"/>
          <w:numId w:val="18"/>
        </w:numPr>
        <w:ind w:left="924" w:hanging="357"/>
      </w:pPr>
      <w:r w:rsidRPr="00C215E8">
        <w:lastRenderedPageBreak/>
        <w:t>In courts and other legal services,</w:t>
      </w:r>
    </w:p>
    <w:p w14:paraId="6BAEE5ED" w14:textId="77777777" w:rsidR="007E365E" w:rsidRPr="00173B02" w:rsidRDefault="007E365E" w:rsidP="007E365E">
      <w:pPr>
        <w:pStyle w:val="CGCBullet2"/>
        <w:numPr>
          <w:ilvl w:val="0"/>
          <w:numId w:val="3"/>
        </w:numPr>
        <w:tabs>
          <w:tab w:val="left" w:pos="680"/>
        </w:tabs>
        <w:ind w:left="1208" w:hanging="357"/>
      </w:pPr>
      <w:r w:rsidRPr="00173B02">
        <w:t>in place of having a Courts component split into criminal and civil courts sub</w:t>
      </w:r>
      <w:r>
        <w:noBreakHyphen/>
      </w:r>
      <w:r w:rsidRPr="00173B02">
        <w:t>components, two separate components have been identified</w:t>
      </w:r>
      <w:r>
        <w:t xml:space="preserve"> —</w:t>
      </w:r>
      <w:r w:rsidRPr="00173B02">
        <w:t xml:space="preserve"> criminal courts and other legal services</w:t>
      </w:r>
    </w:p>
    <w:p w14:paraId="2FB79515" w14:textId="77777777" w:rsidR="007E365E" w:rsidRPr="00173B02" w:rsidRDefault="007E365E" w:rsidP="007E365E">
      <w:pPr>
        <w:pStyle w:val="CGCBullet2"/>
        <w:numPr>
          <w:ilvl w:val="0"/>
          <w:numId w:val="3"/>
        </w:numPr>
        <w:tabs>
          <w:tab w:val="left" w:pos="680"/>
        </w:tabs>
        <w:ind w:left="1208" w:hanging="357"/>
      </w:pPr>
      <w:r w:rsidRPr="00173B02">
        <w:t>the split between disability-assessed criminal courts and EPC-assessed other legal services has been revised with an increase to the weight of other legal services</w:t>
      </w:r>
    </w:p>
    <w:p w14:paraId="30DF1455" w14:textId="77777777" w:rsidR="007E365E" w:rsidRPr="00173B02" w:rsidRDefault="007E365E" w:rsidP="007E365E">
      <w:pPr>
        <w:pStyle w:val="CGCBullet2"/>
        <w:numPr>
          <w:ilvl w:val="0"/>
          <w:numId w:val="3"/>
        </w:numPr>
        <w:tabs>
          <w:tab w:val="left" w:pos="680"/>
        </w:tabs>
        <w:ind w:left="1208" w:hanging="357"/>
      </w:pPr>
      <w:r w:rsidRPr="00173B02">
        <w:t>within the criminal court assessment, Indigenous status non-response has been allocated in proportion to population shares, rather than responding criminal court defendant shares</w:t>
      </w:r>
    </w:p>
    <w:p w14:paraId="791BC237" w14:textId="77777777" w:rsidR="007E365E" w:rsidRPr="00173B02" w:rsidRDefault="007E365E" w:rsidP="007E365E">
      <w:pPr>
        <w:pStyle w:val="CGCBullet2"/>
        <w:numPr>
          <w:ilvl w:val="0"/>
          <w:numId w:val="3"/>
        </w:numPr>
        <w:tabs>
          <w:tab w:val="left" w:pos="680"/>
        </w:tabs>
        <w:ind w:left="1208" w:hanging="357"/>
      </w:pPr>
      <w:r w:rsidRPr="00173B02">
        <w:t>new defendant data underpins the criminal court assessment including replacing ABS sourced-age and Indigenous data with State-sourced age and Indigenous data</w:t>
      </w:r>
    </w:p>
    <w:p w14:paraId="38F6A0CE" w14:textId="77777777" w:rsidR="007E365E" w:rsidRPr="00173B02" w:rsidRDefault="007E365E" w:rsidP="007E365E">
      <w:pPr>
        <w:pStyle w:val="CGCBullet2"/>
        <w:numPr>
          <w:ilvl w:val="0"/>
          <w:numId w:val="3"/>
        </w:numPr>
        <w:tabs>
          <w:tab w:val="left" w:pos="680"/>
        </w:tabs>
        <w:ind w:left="1208" w:hanging="357"/>
      </w:pPr>
      <w:r w:rsidRPr="00173B02">
        <w:t>defendant rates have now been assessed for the 0-14 and 65+ year age groups, rather than assessing a zero defendant rate for these age groups</w:t>
      </w:r>
    </w:p>
    <w:p w14:paraId="6883DD2B" w14:textId="77777777" w:rsidR="007E365E" w:rsidRPr="00173B02" w:rsidRDefault="007E365E" w:rsidP="007E365E">
      <w:pPr>
        <w:pStyle w:val="CGCBullet2"/>
        <w:numPr>
          <w:ilvl w:val="0"/>
          <w:numId w:val="3"/>
        </w:numPr>
        <w:tabs>
          <w:tab w:val="left" w:pos="680"/>
        </w:tabs>
        <w:ind w:left="1208" w:hanging="357"/>
      </w:pPr>
      <w:r w:rsidRPr="00173B02">
        <w:t>regional costs have been measured directly from court cost data, rather than extrapolated on the basis of police regional costs.</w:t>
      </w:r>
    </w:p>
    <w:p w14:paraId="25C8AEC3" w14:textId="77777777" w:rsidR="007E365E" w:rsidRPr="00850D12" w:rsidRDefault="007E365E" w:rsidP="007E365E">
      <w:pPr>
        <w:pStyle w:val="CGCBullet1"/>
        <w:numPr>
          <w:ilvl w:val="0"/>
          <w:numId w:val="18"/>
        </w:numPr>
        <w:ind w:left="924" w:hanging="357"/>
      </w:pPr>
      <w:r w:rsidRPr="00850D12">
        <w:t>In prisons,</w:t>
      </w:r>
    </w:p>
    <w:p w14:paraId="1EE53726" w14:textId="77777777" w:rsidR="007E365E" w:rsidRPr="001F4F79" w:rsidRDefault="007E365E" w:rsidP="007E365E">
      <w:pPr>
        <w:pStyle w:val="CGCBullet2"/>
        <w:numPr>
          <w:ilvl w:val="0"/>
          <w:numId w:val="3"/>
        </w:numPr>
        <w:tabs>
          <w:tab w:val="left" w:pos="680"/>
        </w:tabs>
        <w:ind w:left="1208" w:hanging="357"/>
      </w:pPr>
      <w:r w:rsidRPr="001F4F79">
        <w:t>regional costs have been measured directly from prison cost data, rather than using police regional costs</w:t>
      </w:r>
    </w:p>
    <w:p w14:paraId="5A816B25" w14:textId="77777777" w:rsidR="007E365E" w:rsidRPr="00173B02" w:rsidRDefault="007E365E" w:rsidP="007E365E">
      <w:pPr>
        <w:pStyle w:val="CGCBullet2"/>
        <w:numPr>
          <w:ilvl w:val="0"/>
          <w:numId w:val="3"/>
        </w:numPr>
        <w:tabs>
          <w:tab w:val="left" w:pos="680"/>
        </w:tabs>
        <w:ind w:left="1208" w:hanging="357"/>
      </w:pPr>
      <w:r w:rsidRPr="00173B02">
        <w:t>imprisonment rates have now been assessed for the 0-14 and 65+ year age groups, rather than assessing a zero offence rate for these age groups</w:t>
      </w:r>
    </w:p>
    <w:p w14:paraId="31F84914" w14:textId="77777777" w:rsidR="007E365E" w:rsidRDefault="007E365E" w:rsidP="007E365E">
      <w:pPr>
        <w:pStyle w:val="CGCBullet2"/>
        <w:numPr>
          <w:ilvl w:val="0"/>
          <w:numId w:val="3"/>
        </w:numPr>
        <w:tabs>
          <w:tab w:val="left" w:pos="680"/>
        </w:tabs>
        <w:ind w:left="1208" w:hanging="357"/>
      </w:pPr>
      <w:r w:rsidRPr="00173B02">
        <w:t>the defendant data used to impute SES for prisons is based on a new set of revised State-sourced data.</w:t>
      </w:r>
    </w:p>
    <w:p w14:paraId="1D18478E" w14:textId="77777777" w:rsidR="007E365E" w:rsidRPr="00A04190" w:rsidRDefault="007E365E" w:rsidP="007E365E">
      <w:pPr>
        <w:pStyle w:val="CGCParaNumber"/>
      </w:pPr>
      <w:r>
        <w:t>Collectively, these changes have reduced the GST requirement for Victoria and the ACT, increasing it for the other States.</w:t>
      </w:r>
    </w:p>
    <w:p w14:paraId="477DCA68" w14:textId="77777777" w:rsidR="007E365E" w:rsidRPr="00173B02" w:rsidRDefault="007E365E" w:rsidP="007E365E">
      <w:pPr>
        <w:pStyle w:val="Heading4"/>
      </w:pPr>
      <w:bookmarkStart w:id="136" w:name="_Toc23500170"/>
      <w:bookmarkStart w:id="137" w:name="_Toc23500172"/>
      <w:r w:rsidRPr="00173B02">
        <w:t xml:space="preserve">Data </w:t>
      </w:r>
      <w:bookmarkEnd w:id="136"/>
      <w:r>
        <w:t>revisions</w:t>
      </w:r>
    </w:p>
    <w:p w14:paraId="3FCADDFC" w14:textId="77777777" w:rsidR="007E365E" w:rsidRPr="002A70C2" w:rsidRDefault="007E365E" w:rsidP="007E365E">
      <w:pPr>
        <w:pStyle w:val="CGCParaNumber"/>
      </w:pPr>
      <w:r>
        <w:t xml:space="preserve">Data revisions had a small effect on the GST redistribution. </w:t>
      </w:r>
    </w:p>
    <w:p w14:paraId="64B2DD18" w14:textId="15D8E2CC" w:rsidR="007E365E" w:rsidRPr="00173B02" w:rsidRDefault="007E365E" w:rsidP="007E365E">
      <w:pPr>
        <w:pStyle w:val="Heading4"/>
      </w:pPr>
      <w:r w:rsidRPr="00173B02">
        <w:t>Changes in State circumstances</w:t>
      </w:r>
      <w:bookmarkEnd w:id="137"/>
    </w:p>
    <w:p w14:paraId="3CD8C5AC" w14:textId="77777777" w:rsidR="007E365E" w:rsidRPr="002A70C2" w:rsidRDefault="007E365E" w:rsidP="007E365E">
      <w:pPr>
        <w:pStyle w:val="CGCParaNumber"/>
      </w:pPr>
      <w:r w:rsidRPr="002A70C2">
        <w:t>Between 2015-16 and 2018-19</w:t>
      </w:r>
      <w:r>
        <w:t>,</w:t>
      </w:r>
      <w:r w:rsidRPr="002A70C2">
        <w:t xml:space="preserve"> incarceration rates for the Indigenous population have risen faster than for the non-Indigenous population. Changes in wage costs have also affected State circumstances. </w:t>
      </w:r>
    </w:p>
    <w:p w14:paraId="63243D29" w14:textId="5153E988" w:rsidR="007E365E" w:rsidRPr="00173B02" w:rsidRDefault="007E365E" w:rsidP="007E365E">
      <w:pPr>
        <w:pStyle w:val="Heading3"/>
      </w:pPr>
      <w:bookmarkStart w:id="138" w:name="_Toc23500173"/>
      <w:r w:rsidRPr="00173B02">
        <w:t>Updating the assessment</w:t>
      </w:r>
      <w:bookmarkEnd w:id="138"/>
    </w:p>
    <w:p w14:paraId="004B3A65" w14:textId="77777777" w:rsidR="007E365E" w:rsidRPr="00173B02" w:rsidRDefault="007E365E" w:rsidP="007E365E">
      <w:pPr>
        <w:pStyle w:val="CGCParaNumber"/>
      </w:pPr>
      <w:r w:rsidRPr="00173B02">
        <w:t xml:space="preserve">As required by the terms of reference, the assessment will incorporate the latest available data in each annual update. This will allow the assessment to reflect changes in State circumstances. </w:t>
      </w:r>
    </w:p>
    <w:p w14:paraId="610BE8C4" w14:textId="77777777" w:rsidR="007E365E" w:rsidRPr="00850D12" w:rsidRDefault="007E365E" w:rsidP="007E365E">
      <w:pPr>
        <w:pStyle w:val="CGCBullet1"/>
        <w:numPr>
          <w:ilvl w:val="0"/>
          <w:numId w:val="18"/>
        </w:numPr>
        <w:ind w:left="924" w:hanging="357"/>
      </w:pPr>
      <w:r w:rsidRPr="00850D12">
        <w:t>The Commission will update the following data annually:</w:t>
      </w:r>
    </w:p>
    <w:p w14:paraId="20ED8A43" w14:textId="77777777" w:rsidR="007E365E" w:rsidRPr="00DC0BE4" w:rsidRDefault="007E365E" w:rsidP="007E365E">
      <w:pPr>
        <w:pStyle w:val="CGCBullet2"/>
        <w:numPr>
          <w:ilvl w:val="0"/>
          <w:numId w:val="3"/>
        </w:numPr>
        <w:tabs>
          <w:tab w:val="left" w:pos="680"/>
        </w:tabs>
        <w:ind w:left="1208" w:hanging="357"/>
      </w:pPr>
      <w:r w:rsidRPr="00DC0BE4">
        <w:t>prisoner data sourced from the ABS Prison Census</w:t>
      </w:r>
    </w:p>
    <w:p w14:paraId="53DDF325" w14:textId="77777777" w:rsidR="007E365E" w:rsidRPr="00DC0BE4" w:rsidRDefault="007E365E" w:rsidP="007E365E">
      <w:pPr>
        <w:pStyle w:val="CGCBullet2"/>
        <w:numPr>
          <w:ilvl w:val="0"/>
          <w:numId w:val="3"/>
        </w:numPr>
        <w:tabs>
          <w:tab w:val="left" w:pos="680"/>
        </w:tabs>
        <w:ind w:left="1208" w:hanging="357"/>
      </w:pPr>
      <w:r w:rsidRPr="00DC0BE4">
        <w:t>juvenile detention data sourced from AIHW</w:t>
      </w:r>
    </w:p>
    <w:p w14:paraId="04C5C53C" w14:textId="77777777" w:rsidR="007E365E" w:rsidRPr="00DC0BE4" w:rsidRDefault="007E365E" w:rsidP="007E365E">
      <w:pPr>
        <w:pStyle w:val="CGCBullet2"/>
        <w:numPr>
          <w:ilvl w:val="0"/>
          <w:numId w:val="3"/>
        </w:numPr>
        <w:tabs>
          <w:tab w:val="left" w:pos="680"/>
        </w:tabs>
        <w:ind w:left="1208" w:hanging="357"/>
      </w:pPr>
      <w:r w:rsidRPr="00DC0BE4">
        <w:lastRenderedPageBreak/>
        <w:t>estimated resident population data sourced from the ABS.</w:t>
      </w:r>
    </w:p>
    <w:p w14:paraId="322C4CC4" w14:textId="77777777" w:rsidR="007E365E" w:rsidRPr="00850D12" w:rsidRDefault="007E365E" w:rsidP="007E365E">
      <w:pPr>
        <w:pStyle w:val="CGCBullet1"/>
        <w:numPr>
          <w:ilvl w:val="0"/>
          <w:numId w:val="18"/>
        </w:numPr>
        <w:ind w:left="924" w:hanging="357"/>
      </w:pPr>
      <w:r w:rsidRPr="00850D12">
        <w:t xml:space="preserve">Some of the assessment data are not readily available on an annual basis or remain stable over time. During the review period, the Commission will not be updating: </w:t>
      </w:r>
    </w:p>
    <w:p w14:paraId="6889B6FE" w14:textId="77777777" w:rsidR="007E365E" w:rsidRPr="00173B02" w:rsidRDefault="007E365E" w:rsidP="007E365E">
      <w:pPr>
        <w:pStyle w:val="CGCBullet2"/>
        <w:numPr>
          <w:ilvl w:val="0"/>
          <w:numId w:val="3"/>
        </w:numPr>
        <w:tabs>
          <w:tab w:val="left" w:pos="680"/>
        </w:tabs>
        <w:ind w:left="1208" w:hanging="357"/>
      </w:pPr>
      <w:r w:rsidRPr="00173B02">
        <w:t>offender data used in the police assessment</w:t>
      </w:r>
    </w:p>
    <w:p w14:paraId="063E2C88" w14:textId="77777777" w:rsidR="007E365E" w:rsidRPr="00173B02" w:rsidRDefault="007E365E" w:rsidP="007E365E">
      <w:pPr>
        <w:pStyle w:val="CGCBullet2"/>
        <w:numPr>
          <w:ilvl w:val="0"/>
          <w:numId w:val="3"/>
        </w:numPr>
        <w:tabs>
          <w:tab w:val="left" w:pos="680"/>
        </w:tabs>
        <w:ind w:left="1208" w:hanging="357"/>
      </w:pPr>
      <w:r w:rsidRPr="00173B02">
        <w:t>police cost data used in the police assessment</w:t>
      </w:r>
    </w:p>
    <w:p w14:paraId="1A3F135B" w14:textId="77777777" w:rsidR="007E365E" w:rsidRPr="00173B02" w:rsidRDefault="007E365E" w:rsidP="007E365E">
      <w:pPr>
        <w:pStyle w:val="CGCBullet2"/>
        <w:numPr>
          <w:ilvl w:val="0"/>
          <w:numId w:val="3"/>
        </w:numPr>
        <w:tabs>
          <w:tab w:val="left" w:pos="680"/>
        </w:tabs>
        <w:ind w:left="1208" w:hanging="357"/>
      </w:pPr>
      <w:r w:rsidRPr="00173B02">
        <w:t>defendant data used in the criminal court and prison assessment</w:t>
      </w:r>
    </w:p>
    <w:p w14:paraId="00D65B83" w14:textId="77777777" w:rsidR="007E365E" w:rsidRPr="006F20CF" w:rsidRDefault="007E365E" w:rsidP="007E365E">
      <w:pPr>
        <w:pStyle w:val="CGCBullet2"/>
        <w:numPr>
          <w:ilvl w:val="0"/>
          <w:numId w:val="3"/>
        </w:numPr>
        <w:tabs>
          <w:tab w:val="left" w:pos="680"/>
        </w:tabs>
        <w:ind w:left="1208" w:hanging="357"/>
      </w:pPr>
      <w:r w:rsidRPr="00173B02">
        <w:t>expense data to determine the GFS split of criminal courts and other legal services.</w:t>
      </w:r>
    </w:p>
    <w:p w14:paraId="3A814EB6" w14:textId="77777777" w:rsidR="007E365E" w:rsidRDefault="007E365E" w:rsidP="007E365E"/>
    <w:p w14:paraId="0DB576B6" w14:textId="77777777" w:rsidR="007E365E" w:rsidRDefault="007E365E" w:rsidP="007E365E">
      <w:pPr>
        <w:sectPr w:rsidR="007E365E" w:rsidSect="007C4B6D">
          <w:footerReference w:type="default" r:id="rId24"/>
          <w:footerReference w:type="first" r:id="rId25"/>
          <w:footnotePr>
            <w:numRestart w:val="eachSect"/>
          </w:footnotePr>
          <w:pgSz w:w="11899" w:h="16838" w:code="9"/>
          <w:pgMar w:top="1418" w:right="1474" w:bottom="1418" w:left="1474" w:header="709" w:footer="567" w:gutter="0"/>
          <w:pgNumType w:start="255"/>
          <w:cols w:space="708"/>
          <w:titlePg/>
          <w:docGrid w:linePitch="299"/>
        </w:sectPr>
      </w:pPr>
    </w:p>
    <w:p w14:paraId="0597D3DA" w14:textId="447E57B3" w:rsidR="007E365E" w:rsidRPr="00B053C9" w:rsidRDefault="007E365E" w:rsidP="008B0B87">
      <w:pPr>
        <w:pStyle w:val="Heading1"/>
      </w:pPr>
      <w:bookmarkStart w:id="139" w:name="_Toc32922484"/>
      <w:r w:rsidRPr="00B053C9">
        <w:lastRenderedPageBreak/>
        <w:t>2</w:t>
      </w:r>
      <w:bookmarkStart w:id="140" w:name="_Toc4754253"/>
      <w:bookmarkStart w:id="141" w:name="_Toc5030057"/>
      <w:r w:rsidR="000A4835">
        <w:t>0</w:t>
      </w:r>
      <w:r w:rsidR="000A4835">
        <w:tab/>
      </w:r>
      <w:r w:rsidRPr="00B053C9">
        <w:t>Roads</w:t>
      </w:r>
      <w:bookmarkEnd w:id="139"/>
      <w:bookmarkEnd w:id="140"/>
      <w:bookmarkEnd w:id="14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ayout w:type="fixed"/>
        <w:tblCellMar>
          <w:left w:w="113" w:type="dxa"/>
          <w:right w:w="0" w:type="dxa"/>
        </w:tblCellMar>
        <w:tblLook w:val="04A0" w:firstRow="1" w:lastRow="0" w:firstColumn="1" w:lastColumn="0" w:noHBand="0" w:noVBand="1"/>
      </w:tblPr>
      <w:tblGrid>
        <w:gridCol w:w="8951"/>
      </w:tblGrid>
      <w:tr w:rsidR="007E365E" w:rsidRPr="00E23377" w14:paraId="4BC89DDF" w14:textId="77777777" w:rsidTr="007D1D77">
        <w:tc>
          <w:tcPr>
            <w:tcW w:w="8951" w:type="dxa"/>
            <w:shd w:val="clear" w:color="auto" w:fill="EBF3F5"/>
            <w:vAlign w:val="center"/>
          </w:tcPr>
          <w:p w14:paraId="2CA6FA5C" w14:textId="77777777" w:rsidR="007E365E" w:rsidRPr="00E23377" w:rsidRDefault="007E365E" w:rsidP="007D1D77">
            <w:pPr>
              <w:pStyle w:val="Heading4"/>
              <w:outlineLvl w:val="3"/>
            </w:pPr>
            <w:bookmarkStart w:id="142" w:name="_Toc4754254"/>
            <w:bookmarkStart w:id="143" w:name="_Toc5030058"/>
            <w:r w:rsidRPr="00E23377">
              <w:t xml:space="preserve">Summary of </w:t>
            </w:r>
            <w:bookmarkEnd w:id="142"/>
            <w:bookmarkEnd w:id="143"/>
            <w:r w:rsidRPr="00E23377">
              <w:t xml:space="preserve">the assessment </w:t>
            </w:r>
          </w:p>
          <w:p w14:paraId="1CDF5CB0" w14:textId="77777777" w:rsidR="007E365E" w:rsidRPr="00E23377" w:rsidRDefault="007E365E" w:rsidP="007D1D77">
            <w:r w:rsidRPr="00E23377">
              <w:t>The Roads assessments cover State spending on the maintenance and construction of roads, bridges and tunnels, and other related services. State roads expenses and investment in road infrastructure are assessed separately.</w:t>
            </w:r>
          </w:p>
          <w:p w14:paraId="3FF3876E" w14:textId="77777777" w:rsidR="007E365E" w:rsidRPr="00E23377" w:rsidRDefault="007E365E" w:rsidP="007D1D77">
            <w:r w:rsidRPr="00E23377">
              <w:t>The Commission has made separate assessments of State expenses on rural roads, urban roads, and bridges and tunnels. The Commission has assessed higher costs for States with:</w:t>
            </w:r>
          </w:p>
          <w:p w14:paraId="7C9F6957" w14:textId="77777777" w:rsidR="007E365E" w:rsidRPr="00E23377" w:rsidRDefault="007E365E" w:rsidP="00226E8B">
            <w:pPr>
              <w:pStyle w:val="CGCBullet1"/>
            </w:pPr>
            <w:r w:rsidRPr="00E23377">
              <w:t xml:space="preserve">longer road networks — </w:t>
            </w:r>
            <w:r>
              <w:t xml:space="preserve">for example, </w:t>
            </w:r>
            <w:r w:rsidRPr="00E23377">
              <w:t>those with larger rural areas need to spend more on maintenance and repairs than other States</w:t>
            </w:r>
          </w:p>
          <w:p w14:paraId="0A991B68" w14:textId="77777777" w:rsidR="007E365E" w:rsidRPr="00E23377" w:rsidRDefault="007E365E" w:rsidP="00226E8B">
            <w:pPr>
              <w:pStyle w:val="CGCBullet1"/>
            </w:pPr>
            <w:r w:rsidRPr="00E23377">
              <w:t xml:space="preserve">greater traffic volumes, as they require greater spending on traffic control and safety measures (such as signage and traffic lights) </w:t>
            </w:r>
          </w:p>
          <w:p w14:paraId="2EBD0E5E" w14:textId="77777777" w:rsidR="007E365E" w:rsidRPr="00E23377" w:rsidRDefault="007E365E" w:rsidP="00226E8B">
            <w:pPr>
              <w:pStyle w:val="CGCBullet1"/>
            </w:pPr>
            <w:r w:rsidRPr="00E23377">
              <w:t>greater heavy vehicle use, which causes greater pavement wear and tear that increases maintenance to restore the pavement to acceptable service standards</w:t>
            </w:r>
          </w:p>
          <w:p w14:paraId="25DCFEB9" w14:textId="77777777" w:rsidR="007E365E" w:rsidRPr="00E23377" w:rsidRDefault="007E365E" w:rsidP="00226E8B">
            <w:pPr>
              <w:pStyle w:val="CGCBullet1"/>
            </w:pPr>
            <w:r w:rsidRPr="00E23377">
              <w:t>longer bridge and tunnel length — those with greater length need to spend more on maintenance and repairs than other States.</w:t>
            </w:r>
          </w:p>
          <w:p w14:paraId="2A24B921" w14:textId="77777777" w:rsidR="007E365E" w:rsidRPr="00E23377" w:rsidRDefault="007E365E" w:rsidP="007D1D77">
            <w:r w:rsidRPr="00E23377">
              <w:t>The Commission has made a similar assessment for roads investment. Urban population growth also drives investment in urban roads. For a description of the investment assessments, see Chapter 24 Investment.</w:t>
            </w:r>
          </w:p>
          <w:p w14:paraId="5DDEEA1F" w14:textId="77777777" w:rsidR="007E365E" w:rsidRPr="00E23377" w:rsidRDefault="007E365E" w:rsidP="007D1D77">
            <w:pPr>
              <w:spacing w:after="120"/>
            </w:pPr>
            <w:r w:rsidRPr="00E23377">
              <w:t>The Roads expenses assessment also recognises the differences between States in wage costs and, for bridges, tunnels and rural roads, the higher costs of providing services in more remote locations. In the Investment assessment, interstate differences in construction costs are also recognised.</w:t>
            </w:r>
          </w:p>
        </w:tc>
      </w:tr>
    </w:tbl>
    <w:p w14:paraId="6A5D6274" w14:textId="77777777" w:rsidR="007E365E" w:rsidRPr="00E23377" w:rsidRDefault="007E365E" w:rsidP="007E365E">
      <w:pPr>
        <w:pStyle w:val="Heading3"/>
      </w:pPr>
      <w:bookmarkStart w:id="144" w:name="_Toc4754255"/>
      <w:bookmarkStart w:id="145" w:name="_Toc5030059"/>
      <w:r w:rsidRPr="00E23377">
        <w:t>Service overview</w:t>
      </w:r>
      <w:bookmarkEnd w:id="144"/>
      <w:bookmarkEnd w:id="145"/>
    </w:p>
    <w:p w14:paraId="1B96F24E" w14:textId="72D3F7D8" w:rsidR="007E365E" w:rsidRPr="00E23377" w:rsidRDefault="007E365E" w:rsidP="00F756C8">
      <w:pPr>
        <w:pStyle w:val="CGCParaNumber"/>
        <w:numPr>
          <w:ilvl w:val="0"/>
          <w:numId w:val="58"/>
        </w:numPr>
        <w:ind w:left="567" w:hanging="567"/>
      </w:pPr>
      <w:r w:rsidRPr="00E23377">
        <w:t>State expenditure on roads was $</w:t>
      </w:r>
      <w:r>
        <w:t>18.7</w:t>
      </w:r>
      <w:r w:rsidRPr="00E23377">
        <w:t> billion in 201</w:t>
      </w:r>
      <w:r>
        <w:t>8</w:t>
      </w:r>
      <w:r w:rsidRPr="00E23377">
        <w:noBreakHyphen/>
        <w:t>1</w:t>
      </w:r>
      <w:r>
        <w:t>9</w:t>
      </w:r>
      <w:r w:rsidRPr="00E23377">
        <w:t xml:space="preserve">, representing </w:t>
      </w:r>
      <w:r>
        <w:t>7.3</w:t>
      </w:r>
      <w:r w:rsidRPr="00E23377">
        <w:t>% of total State expenditure (</w:t>
      </w:r>
      <w:r>
        <w:fldChar w:fldCharType="begin"/>
      </w:r>
      <w:r>
        <w:instrText xml:space="preserve"> REF _Ref32838278 \h </w:instrText>
      </w:r>
      <w:r>
        <w:fldChar w:fldCharType="separate"/>
      </w:r>
      <w:r w:rsidR="007F721A" w:rsidRPr="00E23377">
        <w:t xml:space="preserve">Table </w:t>
      </w:r>
      <w:r w:rsidR="007F721A">
        <w:t>20-</w:t>
      </w:r>
      <w:r w:rsidR="007F721A">
        <w:rPr>
          <w:noProof/>
        </w:rPr>
        <w:t>1</w:t>
      </w:r>
      <w:r>
        <w:fldChar w:fldCharType="end"/>
      </w:r>
      <w:r w:rsidRPr="00E23377">
        <w:t>). State spending on this function is based on the National Transport Commission (NTC) expenditure reporting categories and comprises expenses for:</w:t>
      </w:r>
    </w:p>
    <w:p w14:paraId="08DA5EF9" w14:textId="77777777" w:rsidR="007E365E" w:rsidRPr="00E23377" w:rsidRDefault="007E365E" w:rsidP="007E365E">
      <w:pPr>
        <w:pStyle w:val="CGCBullet1"/>
      </w:pPr>
      <w:r w:rsidRPr="00E23377">
        <w:t xml:space="preserve">road maintenance, which corresponds to NTC categories A and B </w:t>
      </w:r>
    </w:p>
    <w:p w14:paraId="3C7A389F" w14:textId="77777777" w:rsidR="007E365E" w:rsidRPr="00E23377" w:rsidRDefault="007E365E" w:rsidP="007E365E">
      <w:pPr>
        <w:pStyle w:val="CGCBullet1"/>
      </w:pPr>
      <w:r w:rsidRPr="00E23377">
        <w:t>bridges and tunnels maintenance and rehabilitation, which corresponds to NTC category</w:t>
      </w:r>
      <w:r>
        <w:t> </w:t>
      </w:r>
      <w:r w:rsidRPr="00E23377">
        <w:t>C</w:t>
      </w:r>
    </w:p>
    <w:p w14:paraId="37DAEE26" w14:textId="77777777" w:rsidR="007E365E" w:rsidRPr="00E23377" w:rsidRDefault="007E365E" w:rsidP="007E365E">
      <w:pPr>
        <w:pStyle w:val="CGCBullet1"/>
      </w:pPr>
      <w:r w:rsidRPr="00E23377">
        <w:t>road rehabilitation, which corresponds to NTC category D</w:t>
      </w:r>
    </w:p>
    <w:p w14:paraId="64EEFF18" w14:textId="77777777" w:rsidR="007E365E" w:rsidRPr="00E23377" w:rsidRDefault="007E365E" w:rsidP="007E365E">
      <w:pPr>
        <w:pStyle w:val="CGCBullet1"/>
      </w:pPr>
      <w:r w:rsidRPr="00E23377">
        <w:t>road and bridges/tunnels construction, which corresponds to NTC category F</w:t>
      </w:r>
    </w:p>
    <w:p w14:paraId="3FBD2D03" w14:textId="77777777" w:rsidR="007E365E" w:rsidRPr="00E23377" w:rsidRDefault="007E365E" w:rsidP="007E365E">
      <w:pPr>
        <w:pStyle w:val="CGCBullet1"/>
      </w:pPr>
      <w:r w:rsidRPr="00E23377">
        <w:t>other road related expenses, which correspond to NTC categories E, G and H.</w:t>
      </w:r>
    </w:p>
    <w:p w14:paraId="57749824" w14:textId="77777777" w:rsidR="007E365E" w:rsidRPr="00E23377" w:rsidRDefault="007E365E" w:rsidP="007E365E">
      <w:pPr>
        <w:pStyle w:val="CGCParaNumber"/>
      </w:pPr>
      <w:r w:rsidRPr="00E23377">
        <w:t>Other road related expenses cover road safety, traffic management and other transport activities (such as the administration of driver licensing, motor vehicle registration, heavy vehicle regulation and road transport planning administration).</w:t>
      </w:r>
    </w:p>
    <w:p w14:paraId="2EFD84EE" w14:textId="77777777" w:rsidR="007E365E" w:rsidRPr="00E23377" w:rsidRDefault="007E365E" w:rsidP="007E365E">
      <w:pPr>
        <w:pStyle w:val="CGCParaNumber"/>
      </w:pPr>
      <w:r w:rsidRPr="00E23377">
        <w:t>State recurrent roads expenses and investment in roads infrastructure are assessed separately.</w:t>
      </w:r>
    </w:p>
    <w:p w14:paraId="4EE16EDC" w14:textId="1193FDA8" w:rsidR="007E365E" w:rsidRPr="007B5C63" w:rsidRDefault="007E365E" w:rsidP="007E365E">
      <w:pPr>
        <w:pStyle w:val="Caption"/>
      </w:pPr>
      <w:bookmarkStart w:id="146" w:name="_Ref32838278"/>
      <w:r w:rsidRPr="00E23377">
        <w:lastRenderedPageBreak/>
        <w:t xml:space="preserve">Table </w:t>
      </w:r>
      <w:r>
        <w:t>20-</w:t>
      </w:r>
      <w:fldSimple w:instr=" SEQ Table \r1 \* ARABIC ">
        <w:r w:rsidR="007F721A">
          <w:rPr>
            <w:noProof/>
          </w:rPr>
          <w:t>1</w:t>
        </w:r>
      </w:fldSimple>
      <w:bookmarkEnd w:id="146"/>
      <w:r w:rsidRPr="00E23377">
        <w:tab/>
        <w:t>Roads ex</w:t>
      </w:r>
      <w:r w:rsidR="003C39E9">
        <w:t>pen</w:t>
      </w:r>
      <w:r w:rsidR="005E26CB">
        <w:t>diture</w:t>
      </w:r>
      <w:r w:rsidRPr="00E23377">
        <w:t xml:space="preserve"> by State, 201</w:t>
      </w:r>
      <w:r>
        <w:t>8</w:t>
      </w:r>
      <w:r w:rsidRPr="00E23377">
        <w:noBreakHyphen/>
        <w:t>1</w:t>
      </w:r>
      <w:r>
        <w:t>9</w:t>
      </w:r>
    </w:p>
    <w:tbl>
      <w:tblPr>
        <w:tblW w:w="8940" w:type="dxa"/>
        <w:tblBorders>
          <w:top w:val="single" w:sz="4" w:space="0" w:color="ADD6EA"/>
          <w:bottom w:val="single" w:sz="4" w:space="0" w:color="ADD6EA"/>
          <w:insideH w:val="single" w:sz="4" w:space="0" w:color="ADD6EA"/>
        </w:tblBorders>
        <w:tblCellMar>
          <w:left w:w="0" w:type="dxa"/>
          <w:right w:w="28" w:type="dxa"/>
        </w:tblCellMar>
        <w:tblLook w:val="04A0" w:firstRow="1" w:lastRow="0" w:firstColumn="1" w:lastColumn="0" w:noHBand="0" w:noVBand="1"/>
      </w:tblPr>
      <w:tblGrid>
        <w:gridCol w:w="2880"/>
        <w:gridCol w:w="700"/>
        <w:gridCol w:w="700"/>
        <w:gridCol w:w="700"/>
        <w:gridCol w:w="700"/>
        <w:gridCol w:w="580"/>
        <w:gridCol w:w="580"/>
        <w:gridCol w:w="600"/>
        <w:gridCol w:w="700"/>
        <w:gridCol w:w="800"/>
      </w:tblGrid>
      <w:tr w:rsidR="007E365E" w:rsidRPr="00A83B37" w14:paraId="173FE158" w14:textId="77777777" w:rsidTr="007D1D77">
        <w:trPr>
          <w:trHeight w:val="379"/>
        </w:trPr>
        <w:tc>
          <w:tcPr>
            <w:tcW w:w="2880" w:type="dxa"/>
            <w:shd w:val="clear" w:color="000000" w:fill="006991"/>
            <w:tcMar>
              <w:top w:w="15" w:type="dxa"/>
              <w:left w:w="15" w:type="dxa"/>
              <w:bottom w:w="0" w:type="dxa"/>
              <w:right w:w="15" w:type="dxa"/>
            </w:tcMar>
            <w:vAlign w:val="center"/>
            <w:hideMark/>
          </w:tcPr>
          <w:p w14:paraId="3966C3F1" w14:textId="77777777" w:rsidR="007E365E" w:rsidRDefault="007E365E" w:rsidP="007D1D77">
            <w:pPr>
              <w:tabs>
                <w:tab w:val="clear" w:pos="567"/>
              </w:tabs>
              <w:spacing w:before="0" w:line="240" w:lineRule="auto"/>
              <w:jc w:val="right"/>
              <w:rPr>
                <w:rFonts w:ascii="Open Sans SemiBold" w:hAnsi="Open Sans SemiBold" w:cs="Open Sans SemiBold"/>
                <w:color w:val="FFFFFF"/>
                <w:sz w:val="16"/>
                <w:szCs w:val="16"/>
              </w:rPr>
            </w:pPr>
            <w:bookmarkStart w:id="147" w:name="RANGE!A5:J12"/>
            <w:r>
              <w:rPr>
                <w:rFonts w:ascii="Open Sans SemiBold" w:hAnsi="Open Sans SemiBold" w:cs="Open Sans SemiBold"/>
                <w:color w:val="FFFFFF"/>
                <w:sz w:val="16"/>
                <w:szCs w:val="16"/>
              </w:rPr>
              <w:t> </w:t>
            </w:r>
            <w:bookmarkEnd w:id="147"/>
          </w:p>
        </w:tc>
        <w:tc>
          <w:tcPr>
            <w:tcW w:w="700" w:type="dxa"/>
            <w:shd w:val="clear" w:color="000000" w:fill="006991"/>
            <w:tcMar>
              <w:top w:w="15" w:type="dxa"/>
              <w:left w:w="15" w:type="dxa"/>
              <w:bottom w:w="0" w:type="dxa"/>
              <w:right w:w="15" w:type="dxa"/>
            </w:tcMar>
            <w:vAlign w:val="center"/>
            <w:hideMark/>
          </w:tcPr>
          <w:p w14:paraId="3677BC1C"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shd w:val="clear" w:color="000000" w:fill="006991"/>
            <w:tcMar>
              <w:top w:w="15" w:type="dxa"/>
              <w:left w:w="15" w:type="dxa"/>
              <w:bottom w:w="0" w:type="dxa"/>
              <w:right w:w="15" w:type="dxa"/>
            </w:tcMar>
            <w:vAlign w:val="center"/>
            <w:hideMark/>
          </w:tcPr>
          <w:p w14:paraId="2A78438F"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shd w:val="clear" w:color="000000" w:fill="006991"/>
            <w:tcMar>
              <w:top w:w="15" w:type="dxa"/>
              <w:left w:w="15" w:type="dxa"/>
              <w:bottom w:w="0" w:type="dxa"/>
              <w:right w:w="15" w:type="dxa"/>
            </w:tcMar>
            <w:vAlign w:val="center"/>
            <w:hideMark/>
          </w:tcPr>
          <w:p w14:paraId="62C48011"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shd w:val="clear" w:color="000000" w:fill="006991"/>
            <w:tcMar>
              <w:top w:w="15" w:type="dxa"/>
              <w:left w:w="15" w:type="dxa"/>
              <w:bottom w:w="0" w:type="dxa"/>
              <w:right w:w="15" w:type="dxa"/>
            </w:tcMar>
            <w:vAlign w:val="center"/>
            <w:hideMark/>
          </w:tcPr>
          <w:p w14:paraId="2771F215"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580" w:type="dxa"/>
            <w:shd w:val="clear" w:color="000000" w:fill="006991"/>
            <w:tcMar>
              <w:top w:w="15" w:type="dxa"/>
              <w:left w:w="15" w:type="dxa"/>
              <w:bottom w:w="0" w:type="dxa"/>
              <w:right w:w="15" w:type="dxa"/>
            </w:tcMar>
            <w:vAlign w:val="center"/>
            <w:hideMark/>
          </w:tcPr>
          <w:p w14:paraId="5960C44D"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580" w:type="dxa"/>
            <w:shd w:val="clear" w:color="000000" w:fill="006991"/>
            <w:tcMar>
              <w:top w:w="15" w:type="dxa"/>
              <w:left w:w="15" w:type="dxa"/>
              <w:bottom w:w="0" w:type="dxa"/>
              <w:right w:w="15" w:type="dxa"/>
            </w:tcMar>
            <w:vAlign w:val="center"/>
            <w:hideMark/>
          </w:tcPr>
          <w:p w14:paraId="7057B269"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600" w:type="dxa"/>
            <w:shd w:val="clear" w:color="000000" w:fill="006991"/>
            <w:tcMar>
              <w:top w:w="15" w:type="dxa"/>
              <w:left w:w="15" w:type="dxa"/>
              <w:bottom w:w="0" w:type="dxa"/>
              <w:right w:w="15" w:type="dxa"/>
            </w:tcMar>
            <w:vAlign w:val="center"/>
            <w:hideMark/>
          </w:tcPr>
          <w:p w14:paraId="6F644A52"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00" w:type="dxa"/>
            <w:shd w:val="clear" w:color="000000" w:fill="006991"/>
            <w:tcMar>
              <w:top w:w="15" w:type="dxa"/>
              <w:left w:w="15" w:type="dxa"/>
              <w:bottom w:w="0" w:type="dxa"/>
              <w:right w:w="15" w:type="dxa"/>
            </w:tcMar>
            <w:vAlign w:val="center"/>
            <w:hideMark/>
          </w:tcPr>
          <w:p w14:paraId="75842672"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800" w:type="dxa"/>
            <w:shd w:val="clear" w:color="000000" w:fill="006991"/>
            <w:tcMar>
              <w:top w:w="15" w:type="dxa"/>
              <w:left w:w="15" w:type="dxa"/>
              <w:bottom w:w="0" w:type="dxa"/>
              <w:right w:w="15" w:type="dxa"/>
            </w:tcMar>
            <w:vAlign w:val="center"/>
            <w:hideMark/>
          </w:tcPr>
          <w:p w14:paraId="69C3CA97"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7E365E" w:rsidRPr="00A83B37" w14:paraId="7AC42935"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08B4A252" w14:textId="77777777" w:rsidR="007E365E" w:rsidRDefault="007E365E" w:rsidP="007D1D77">
            <w:pPr>
              <w:spacing w:before="0"/>
              <w:rPr>
                <w:rFonts w:cs="Open Sans Light"/>
                <w:sz w:val="16"/>
                <w:szCs w:val="16"/>
              </w:rPr>
            </w:pPr>
            <w:r>
              <w:rPr>
                <w:rFonts w:cs="Open Sans Light"/>
                <w:sz w:val="16"/>
                <w:szCs w:val="16"/>
              </w:rPr>
              <w:t>Expenses ($m)</w:t>
            </w:r>
          </w:p>
        </w:tc>
        <w:tc>
          <w:tcPr>
            <w:tcW w:w="0" w:type="auto"/>
            <w:shd w:val="clear" w:color="auto" w:fill="auto"/>
            <w:noWrap/>
            <w:tcMar>
              <w:top w:w="15" w:type="dxa"/>
              <w:left w:w="15" w:type="dxa"/>
              <w:bottom w:w="0" w:type="dxa"/>
              <w:right w:w="15" w:type="dxa"/>
            </w:tcMar>
            <w:vAlign w:val="bottom"/>
            <w:hideMark/>
          </w:tcPr>
          <w:p w14:paraId="14C3E3DB" w14:textId="77777777" w:rsidR="007E365E" w:rsidRDefault="007E365E" w:rsidP="007D1D77">
            <w:pPr>
              <w:spacing w:before="0"/>
              <w:jc w:val="right"/>
              <w:rPr>
                <w:rFonts w:cs="Open Sans Light"/>
                <w:sz w:val="16"/>
                <w:szCs w:val="16"/>
              </w:rPr>
            </w:pPr>
            <w:r>
              <w:rPr>
                <w:rFonts w:cs="Open Sans Light"/>
                <w:sz w:val="16"/>
                <w:szCs w:val="16"/>
              </w:rPr>
              <w:t>2,479</w:t>
            </w:r>
          </w:p>
        </w:tc>
        <w:tc>
          <w:tcPr>
            <w:tcW w:w="0" w:type="auto"/>
            <w:shd w:val="clear" w:color="auto" w:fill="auto"/>
            <w:noWrap/>
            <w:tcMar>
              <w:top w:w="15" w:type="dxa"/>
              <w:left w:w="15" w:type="dxa"/>
              <w:bottom w:w="0" w:type="dxa"/>
              <w:right w:w="15" w:type="dxa"/>
            </w:tcMar>
            <w:vAlign w:val="bottom"/>
            <w:hideMark/>
          </w:tcPr>
          <w:p w14:paraId="3A0907A6" w14:textId="77777777" w:rsidR="007E365E" w:rsidRDefault="007E365E" w:rsidP="007D1D77">
            <w:pPr>
              <w:spacing w:before="0"/>
              <w:jc w:val="right"/>
              <w:rPr>
                <w:rFonts w:cs="Open Sans Light"/>
                <w:sz w:val="16"/>
                <w:szCs w:val="16"/>
              </w:rPr>
            </w:pPr>
            <w:r>
              <w:rPr>
                <w:rFonts w:cs="Open Sans Light"/>
                <w:sz w:val="16"/>
                <w:szCs w:val="16"/>
              </w:rPr>
              <w:t>2,039</w:t>
            </w:r>
          </w:p>
        </w:tc>
        <w:tc>
          <w:tcPr>
            <w:tcW w:w="0" w:type="auto"/>
            <w:shd w:val="clear" w:color="auto" w:fill="auto"/>
            <w:noWrap/>
            <w:tcMar>
              <w:top w:w="15" w:type="dxa"/>
              <w:left w:w="15" w:type="dxa"/>
              <w:bottom w:w="0" w:type="dxa"/>
              <w:right w:w="15" w:type="dxa"/>
            </w:tcMar>
            <w:vAlign w:val="bottom"/>
            <w:hideMark/>
          </w:tcPr>
          <w:p w14:paraId="077742E6" w14:textId="77777777" w:rsidR="007E365E" w:rsidRDefault="007E365E" w:rsidP="007D1D77">
            <w:pPr>
              <w:spacing w:before="0"/>
              <w:jc w:val="right"/>
              <w:rPr>
                <w:rFonts w:cs="Open Sans Light"/>
                <w:sz w:val="16"/>
                <w:szCs w:val="16"/>
              </w:rPr>
            </w:pPr>
            <w:r>
              <w:rPr>
                <w:rFonts w:cs="Open Sans Light"/>
                <w:sz w:val="16"/>
                <w:szCs w:val="16"/>
              </w:rPr>
              <w:t>1,152</w:t>
            </w:r>
          </w:p>
        </w:tc>
        <w:tc>
          <w:tcPr>
            <w:tcW w:w="0" w:type="auto"/>
            <w:shd w:val="clear" w:color="auto" w:fill="auto"/>
            <w:noWrap/>
            <w:tcMar>
              <w:top w:w="15" w:type="dxa"/>
              <w:left w:w="15" w:type="dxa"/>
              <w:bottom w:w="0" w:type="dxa"/>
              <w:right w:w="15" w:type="dxa"/>
            </w:tcMar>
            <w:vAlign w:val="bottom"/>
            <w:hideMark/>
          </w:tcPr>
          <w:p w14:paraId="054E31FF" w14:textId="77777777" w:rsidR="007E365E" w:rsidRDefault="007E365E" w:rsidP="007D1D77">
            <w:pPr>
              <w:spacing w:before="0"/>
              <w:jc w:val="right"/>
              <w:rPr>
                <w:rFonts w:cs="Open Sans Light"/>
                <w:sz w:val="16"/>
                <w:szCs w:val="16"/>
              </w:rPr>
            </w:pPr>
            <w:r>
              <w:rPr>
                <w:rFonts w:cs="Open Sans Light"/>
                <w:sz w:val="16"/>
                <w:szCs w:val="16"/>
              </w:rPr>
              <w:t>1,141</w:t>
            </w:r>
          </w:p>
        </w:tc>
        <w:tc>
          <w:tcPr>
            <w:tcW w:w="0" w:type="auto"/>
            <w:shd w:val="clear" w:color="auto" w:fill="auto"/>
            <w:noWrap/>
            <w:tcMar>
              <w:top w:w="15" w:type="dxa"/>
              <w:left w:w="15" w:type="dxa"/>
              <w:bottom w:w="0" w:type="dxa"/>
              <w:right w:w="15" w:type="dxa"/>
            </w:tcMar>
            <w:vAlign w:val="bottom"/>
            <w:hideMark/>
          </w:tcPr>
          <w:p w14:paraId="23E0BF35" w14:textId="77777777" w:rsidR="007E365E" w:rsidRDefault="007E365E" w:rsidP="007D1D77">
            <w:pPr>
              <w:spacing w:before="0"/>
              <w:jc w:val="right"/>
              <w:rPr>
                <w:rFonts w:cs="Open Sans Light"/>
                <w:sz w:val="16"/>
                <w:szCs w:val="16"/>
              </w:rPr>
            </w:pPr>
            <w:r>
              <w:rPr>
                <w:rFonts w:cs="Open Sans Light"/>
                <w:sz w:val="16"/>
                <w:szCs w:val="16"/>
              </w:rPr>
              <w:t>418</w:t>
            </w:r>
          </w:p>
        </w:tc>
        <w:tc>
          <w:tcPr>
            <w:tcW w:w="0" w:type="auto"/>
            <w:shd w:val="clear" w:color="auto" w:fill="auto"/>
            <w:noWrap/>
            <w:tcMar>
              <w:top w:w="15" w:type="dxa"/>
              <w:left w:w="15" w:type="dxa"/>
              <w:bottom w:w="0" w:type="dxa"/>
              <w:right w:w="15" w:type="dxa"/>
            </w:tcMar>
            <w:vAlign w:val="bottom"/>
            <w:hideMark/>
          </w:tcPr>
          <w:p w14:paraId="0014173E" w14:textId="77777777" w:rsidR="007E365E" w:rsidRDefault="007E365E" w:rsidP="007D1D77">
            <w:pPr>
              <w:spacing w:before="0"/>
              <w:jc w:val="right"/>
              <w:rPr>
                <w:rFonts w:cs="Open Sans Light"/>
                <w:sz w:val="16"/>
                <w:szCs w:val="16"/>
              </w:rPr>
            </w:pPr>
            <w:r>
              <w:rPr>
                <w:rFonts w:cs="Open Sans Light"/>
                <w:sz w:val="16"/>
                <w:szCs w:val="16"/>
              </w:rPr>
              <w:t>158</w:t>
            </w:r>
          </w:p>
        </w:tc>
        <w:tc>
          <w:tcPr>
            <w:tcW w:w="0" w:type="auto"/>
            <w:shd w:val="clear" w:color="auto" w:fill="auto"/>
            <w:noWrap/>
            <w:tcMar>
              <w:top w:w="15" w:type="dxa"/>
              <w:left w:w="15" w:type="dxa"/>
              <w:bottom w:w="0" w:type="dxa"/>
              <w:right w:w="15" w:type="dxa"/>
            </w:tcMar>
            <w:vAlign w:val="bottom"/>
            <w:hideMark/>
          </w:tcPr>
          <w:p w14:paraId="1DCC67D6" w14:textId="77777777" w:rsidR="007E365E" w:rsidRDefault="007E365E" w:rsidP="007D1D77">
            <w:pPr>
              <w:spacing w:before="0"/>
              <w:jc w:val="right"/>
              <w:rPr>
                <w:rFonts w:cs="Open Sans Light"/>
                <w:sz w:val="16"/>
                <w:szCs w:val="16"/>
              </w:rPr>
            </w:pPr>
            <w:r>
              <w:rPr>
                <w:rFonts w:cs="Open Sans Light"/>
                <w:sz w:val="16"/>
                <w:szCs w:val="16"/>
              </w:rPr>
              <w:t>58</w:t>
            </w:r>
          </w:p>
        </w:tc>
        <w:tc>
          <w:tcPr>
            <w:tcW w:w="0" w:type="auto"/>
            <w:shd w:val="clear" w:color="auto" w:fill="auto"/>
            <w:noWrap/>
            <w:tcMar>
              <w:top w:w="15" w:type="dxa"/>
              <w:left w:w="15" w:type="dxa"/>
              <w:bottom w:w="0" w:type="dxa"/>
              <w:right w:w="15" w:type="dxa"/>
            </w:tcMar>
            <w:vAlign w:val="bottom"/>
            <w:hideMark/>
          </w:tcPr>
          <w:p w14:paraId="45B84D11" w14:textId="77777777" w:rsidR="007E365E" w:rsidRDefault="007E365E" w:rsidP="007D1D77">
            <w:pPr>
              <w:spacing w:before="0"/>
              <w:jc w:val="right"/>
              <w:rPr>
                <w:rFonts w:cs="Open Sans Light"/>
                <w:sz w:val="16"/>
                <w:szCs w:val="16"/>
              </w:rPr>
            </w:pPr>
            <w:r>
              <w:rPr>
                <w:rFonts w:cs="Open Sans Light"/>
                <w:sz w:val="16"/>
                <w:szCs w:val="16"/>
              </w:rPr>
              <w:t>201</w:t>
            </w:r>
          </w:p>
        </w:tc>
        <w:tc>
          <w:tcPr>
            <w:tcW w:w="0" w:type="auto"/>
            <w:shd w:val="clear" w:color="auto" w:fill="auto"/>
            <w:noWrap/>
            <w:tcMar>
              <w:top w:w="15" w:type="dxa"/>
              <w:left w:w="15" w:type="dxa"/>
              <w:bottom w:w="0" w:type="dxa"/>
              <w:right w:w="15" w:type="dxa"/>
            </w:tcMar>
            <w:vAlign w:val="bottom"/>
            <w:hideMark/>
          </w:tcPr>
          <w:p w14:paraId="4A7161DD" w14:textId="77777777" w:rsidR="007E365E" w:rsidRDefault="007E365E" w:rsidP="007D1D77">
            <w:pPr>
              <w:spacing w:before="0"/>
              <w:jc w:val="right"/>
              <w:rPr>
                <w:rFonts w:cs="Open Sans Light"/>
                <w:sz w:val="16"/>
                <w:szCs w:val="16"/>
              </w:rPr>
            </w:pPr>
            <w:r>
              <w:rPr>
                <w:rFonts w:cs="Open Sans Light"/>
                <w:sz w:val="16"/>
                <w:szCs w:val="16"/>
              </w:rPr>
              <w:t>7,646</w:t>
            </w:r>
          </w:p>
        </w:tc>
      </w:tr>
      <w:tr w:rsidR="007E365E" w:rsidRPr="00A83B37" w14:paraId="30F46C02"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526DD2DC" w14:textId="77777777" w:rsidR="007E365E" w:rsidRDefault="007E365E" w:rsidP="007D1D77">
            <w:pPr>
              <w:spacing w:before="0"/>
              <w:rPr>
                <w:rFonts w:cs="Open Sans Light"/>
                <w:sz w:val="16"/>
                <w:szCs w:val="16"/>
              </w:rPr>
            </w:pPr>
            <w:r>
              <w:rPr>
                <w:rFonts w:cs="Open Sans Light"/>
                <w:sz w:val="16"/>
                <w:szCs w:val="16"/>
              </w:rPr>
              <w:t>Investment ($m)</w:t>
            </w:r>
          </w:p>
        </w:tc>
        <w:tc>
          <w:tcPr>
            <w:tcW w:w="0" w:type="auto"/>
            <w:shd w:val="clear" w:color="auto" w:fill="auto"/>
            <w:noWrap/>
            <w:tcMar>
              <w:top w:w="15" w:type="dxa"/>
              <w:left w:w="15" w:type="dxa"/>
              <w:bottom w:w="0" w:type="dxa"/>
              <w:right w:w="15" w:type="dxa"/>
            </w:tcMar>
            <w:vAlign w:val="bottom"/>
            <w:hideMark/>
          </w:tcPr>
          <w:p w14:paraId="5A3F1E75" w14:textId="77777777" w:rsidR="007E365E" w:rsidRDefault="007E365E" w:rsidP="007D1D77">
            <w:pPr>
              <w:spacing w:before="0"/>
              <w:jc w:val="right"/>
              <w:rPr>
                <w:rFonts w:cs="Open Sans Light"/>
                <w:sz w:val="16"/>
                <w:szCs w:val="16"/>
              </w:rPr>
            </w:pPr>
            <w:r>
              <w:rPr>
                <w:rFonts w:cs="Open Sans Light"/>
                <w:sz w:val="16"/>
                <w:szCs w:val="16"/>
              </w:rPr>
              <w:t>4,894</w:t>
            </w:r>
          </w:p>
        </w:tc>
        <w:tc>
          <w:tcPr>
            <w:tcW w:w="0" w:type="auto"/>
            <w:shd w:val="clear" w:color="auto" w:fill="auto"/>
            <w:noWrap/>
            <w:tcMar>
              <w:top w:w="15" w:type="dxa"/>
              <w:left w:w="15" w:type="dxa"/>
              <w:bottom w:w="0" w:type="dxa"/>
              <w:right w:w="15" w:type="dxa"/>
            </w:tcMar>
            <w:vAlign w:val="bottom"/>
            <w:hideMark/>
          </w:tcPr>
          <w:p w14:paraId="428054DB" w14:textId="77777777" w:rsidR="007E365E" w:rsidRDefault="007E365E" w:rsidP="007D1D77">
            <w:pPr>
              <w:spacing w:before="0"/>
              <w:jc w:val="right"/>
              <w:rPr>
                <w:rFonts w:cs="Open Sans Light"/>
                <w:sz w:val="16"/>
                <w:szCs w:val="16"/>
              </w:rPr>
            </w:pPr>
            <w:r>
              <w:rPr>
                <w:rFonts w:cs="Open Sans Light"/>
                <w:sz w:val="16"/>
                <w:szCs w:val="16"/>
              </w:rPr>
              <w:t>1,820</w:t>
            </w:r>
          </w:p>
        </w:tc>
        <w:tc>
          <w:tcPr>
            <w:tcW w:w="0" w:type="auto"/>
            <w:shd w:val="clear" w:color="auto" w:fill="auto"/>
            <w:noWrap/>
            <w:tcMar>
              <w:top w:w="15" w:type="dxa"/>
              <w:left w:w="15" w:type="dxa"/>
              <w:bottom w:w="0" w:type="dxa"/>
              <w:right w:w="15" w:type="dxa"/>
            </w:tcMar>
            <w:vAlign w:val="bottom"/>
            <w:hideMark/>
          </w:tcPr>
          <w:p w14:paraId="5044340B" w14:textId="77777777" w:rsidR="007E365E" w:rsidRDefault="007E365E" w:rsidP="007D1D77">
            <w:pPr>
              <w:spacing w:before="0"/>
              <w:jc w:val="right"/>
              <w:rPr>
                <w:rFonts w:cs="Open Sans Light"/>
                <w:sz w:val="16"/>
                <w:szCs w:val="16"/>
              </w:rPr>
            </w:pPr>
            <w:r>
              <w:rPr>
                <w:rFonts w:cs="Open Sans Light"/>
                <w:sz w:val="16"/>
                <w:szCs w:val="16"/>
              </w:rPr>
              <w:t>2,392</w:t>
            </w:r>
          </w:p>
        </w:tc>
        <w:tc>
          <w:tcPr>
            <w:tcW w:w="0" w:type="auto"/>
            <w:shd w:val="clear" w:color="auto" w:fill="auto"/>
            <w:noWrap/>
            <w:tcMar>
              <w:top w:w="15" w:type="dxa"/>
              <w:left w:w="15" w:type="dxa"/>
              <w:bottom w:w="0" w:type="dxa"/>
              <w:right w:w="15" w:type="dxa"/>
            </w:tcMar>
            <w:vAlign w:val="bottom"/>
            <w:hideMark/>
          </w:tcPr>
          <w:p w14:paraId="638D65B5" w14:textId="77777777" w:rsidR="007E365E" w:rsidRDefault="007E365E" w:rsidP="007D1D77">
            <w:pPr>
              <w:spacing w:before="0"/>
              <w:jc w:val="right"/>
              <w:rPr>
                <w:rFonts w:cs="Open Sans Light"/>
                <w:sz w:val="16"/>
                <w:szCs w:val="16"/>
              </w:rPr>
            </w:pPr>
            <w:r>
              <w:rPr>
                <w:rFonts w:cs="Open Sans Light"/>
                <w:sz w:val="16"/>
                <w:szCs w:val="16"/>
              </w:rPr>
              <w:t>938</w:t>
            </w:r>
          </w:p>
        </w:tc>
        <w:tc>
          <w:tcPr>
            <w:tcW w:w="0" w:type="auto"/>
            <w:shd w:val="clear" w:color="auto" w:fill="auto"/>
            <w:noWrap/>
            <w:tcMar>
              <w:top w:w="15" w:type="dxa"/>
              <w:left w:w="15" w:type="dxa"/>
              <w:bottom w:w="0" w:type="dxa"/>
              <w:right w:w="15" w:type="dxa"/>
            </w:tcMar>
            <w:vAlign w:val="bottom"/>
            <w:hideMark/>
          </w:tcPr>
          <w:p w14:paraId="4283B72E" w14:textId="77777777" w:rsidR="007E365E" w:rsidRDefault="007E365E" w:rsidP="007D1D77">
            <w:pPr>
              <w:spacing w:before="0"/>
              <w:jc w:val="right"/>
              <w:rPr>
                <w:rFonts w:cs="Open Sans Light"/>
                <w:sz w:val="16"/>
                <w:szCs w:val="16"/>
              </w:rPr>
            </w:pPr>
            <w:r>
              <w:rPr>
                <w:rFonts w:cs="Open Sans Light"/>
                <w:sz w:val="16"/>
                <w:szCs w:val="16"/>
              </w:rPr>
              <w:t>396</w:t>
            </w:r>
          </w:p>
        </w:tc>
        <w:tc>
          <w:tcPr>
            <w:tcW w:w="0" w:type="auto"/>
            <w:shd w:val="clear" w:color="auto" w:fill="auto"/>
            <w:noWrap/>
            <w:tcMar>
              <w:top w:w="15" w:type="dxa"/>
              <w:left w:w="15" w:type="dxa"/>
              <w:bottom w:w="0" w:type="dxa"/>
              <w:right w:w="15" w:type="dxa"/>
            </w:tcMar>
            <w:vAlign w:val="bottom"/>
            <w:hideMark/>
          </w:tcPr>
          <w:p w14:paraId="5217452A" w14:textId="77777777" w:rsidR="007E365E" w:rsidRDefault="007E365E" w:rsidP="007D1D77">
            <w:pPr>
              <w:spacing w:before="0"/>
              <w:jc w:val="right"/>
              <w:rPr>
                <w:rFonts w:cs="Open Sans Light"/>
                <w:sz w:val="16"/>
                <w:szCs w:val="16"/>
              </w:rPr>
            </w:pPr>
            <w:r>
              <w:rPr>
                <w:rFonts w:cs="Open Sans Light"/>
                <w:sz w:val="16"/>
                <w:szCs w:val="16"/>
              </w:rPr>
              <w:t>120</w:t>
            </w:r>
          </w:p>
        </w:tc>
        <w:tc>
          <w:tcPr>
            <w:tcW w:w="0" w:type="auto"/>
            <w:shd w:val="clear" w:color="auto" w:fill="auto"/>
            <w:noWrap/>
            <w:tcMar>
              <w:top w:w="15" w:type="dxa"/>
              <w:left w:w="15" w:type="dxa"/>
              <w:bottom w:w="0" w:type="dxa"/>
              <w:right w:w="15" w:type="dxa"/>
            </w:tcMar>
            <w:vAlign w:val="bottom"/>
            <w:hideMark/>
          </w:tcPr>
          <w:p w14:paraId="61C533D9" w14:textId="77777777" w:rsidR="007E365E" w:rsidRDefault="007E365E" w:rsidP="007D1D77">
            <w:pPr>
              <w:spacing w:before="0"/>
              <w:jc w:val="right"/>
              <w:rPr>
                <w:rFonts w:cs="Open Sans Light"/>
                <w:sz w:val="16"/>
                <w:szCs w:val="16"/>
              </w:rPr>
            </w:pPr>
            <w:r>
              <w:rPr>
                <w:rFonts w:cs="Open Sans Light"/>
                <w:sz w:val="16"/>
                <w:szCs w:val="16"/>
              </w:rPr>
              <w:t>151</w:t>
            </w:r>
          </w:p>
        </w:tc>
        <w:tc>
          <w:tcPr>
            <w:tcW w:w="0" w:type="auto"/>
            <w:shd w:val="clear" w:color="auto" w:fill="auto"/>
            <w:noWrap/>
            <w:tcMar>
              <w:top w:w="15" w:type="dxa"/>
              <w:left w:w="15" w:type="dxa"/>
              <w:bottom w:w="0" w:type="dxa"/>
              <w:right w:w="15" w:type="dxa"/>
            </w:tcMar>
            <w:vAlign w:val="bottom"/>
            <w:hideMark/>
          </w:tcPr>
          <w:p w14:paraId="6562F2A2" w14:textId="77777777" w:rsidR="007E365E" w:rsidRDefault="007E365E" w:rsidP="007D1D77">
            <w:pPr>
              <w:spacing w:before="0"/>
              <w:jc w:val="right"/>
              <w:rPr>
                <w:rFonts w:cs="Open Sans Light"/>
                <w:sz w:val="16"/>
                <w:szCs w:val="16"/>
              </w:rPr>
            </w:pPr>
            <w:r>
              <w:rPr>
                <w:rFonts w:cs="Open Sans Light"/>
                <w:sz w:val="16"/>
                <w:szCs w:val="16"/>
              </w:rPr>
              <w:t>351</w:t>
            </w:r>
          </w:p>
        </w:tc>
        <w:tc>
          <w:tcPr>
            <w:tcW w:w="0" w:type="auto"/>
            <w:shd w:val="clear" w:color="auto" w:fill="auto"/>
            <w:noWrap/>
            <w:tcMar>
              <w:top w:w="15" w:type="dxa"/>
              <w:left w:w="15" w:type="dxa"/>
              <w:bottom w:w="0" w:type="dxa"/>
              <w:right w:w="15" w:type="dxa"/>
            </w:tcMar>
            <w:vAlign w:val="bottom"/>
            <w:hideMark/>
          </w:tcPr>
          <w:p w14:paraId="200312C9" w14:textId="77777777" w:rsidR="007E365E" w:rsidRDefault="007E365E" w:rsidP="007D1D77">
            <w:pPr>
              <w:spacing w:before="0"/>
              <w:jc w:val="right"/>
              <w:rPr>
                <w:rFonts w:cs="Open Sans Light"/>
                <w:sz w:val="16"/>
                <w:szCs w:val="16"/>
              </w:rPr>
            </w:pPr>
            <w:r>
              <w:rPr>
                <w:rFonts w:cs="Open Sans Light"/>
                <w:sz w:val="16"/>
                <w:szCs w:val="16"/>
              </w:rPr>
              <w:t>11,062</w:t>
            </w:r>
          </w:p>
        </w:tc>
      </w:tr>
      <w:tr w:rsidR="007E365E" w:rsidRPr="00A83B37" w14:paraId="39BE724A" w14:textId="77777777" w:rsidTr="007D1D77">
        <w:trPr>
          <w:trHeight w:val="315"/>
        </w:trPr>
        <w:tc>
          <w:tcPr>
            <w:tcW w:w="0" w:type="auto"/>
            <w:shd w:val="clear" w:color="000000" w:fill="D6E7F0"/>
            <w:noWrap/>
            <w:tcMar>
              <w:top w:w="15" w:type="dxa"/>
              <w:left w:w="15" w:type="dxa"/>
              <w:bottom w:w="0" w:type="dxa"/>
              <w:right w:w="15" w:type="dxa"/>
            </w:tcMar>
            <w:vAlign w:val="bottom"/>
            <w:hideMark/>
          </w:tcPr>
          <w:p w14:paraId="2BE04B0A" w14:textId="77777777" w:rsidR="007E365E" w:rsidRDefault="007E365E" w:rsidP="007D1D77">
            <w:pPr>
              <w:spacing w:before="0"/>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 roads expenditure ($m)</w:t>
            </w:r>
          </w:p>
        </w:tc>
        <w:tc>
          <w:tcPr>
            <w:tcW w:w="0" w:type="auto"/>
            <w:shd w:val="clear" w:color="000000" w:fill="D6E7F0"/>
            <w:noWrap/>
            <w:tcMar>
              <w:top w:w="15" w:type="dxa"/>
              <w:left w:w="15" w:type="dxa"/>
              <w:bottom w:w="0" w:type="dxa"/>
              <w:right w:w="15" w:type="dxa"/>
            </w:tcMar>
            <w:vAlign w:val="bottom"/>
            <w:hideMark/>
          </w:tcPr>
          <w:p w14:paraId="56AB8EF4"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7,373</w:t>
            </w:r>
          </w:p>
        </w:tc>
        <w:tc>
          <w:tcPr>
            <w:tcW w:w="0" w:type="auto"/>
            <w:shd w:val="clear" w:color="000000" w:fill="D6E7F0"/>
            <w:noWrap/>
            <w:tcMar>
              <w:top w:w="15" w:type="dxa"/>
              <w:left w:w="15" w:type="dxa"/>
              <w:bottom w:w="0" w:type="dxa"/>
              <w:right w:w="15" w:type="dxa"/>
            </w:tcMar>
            <w:vAlign w:val="bottom"/>
            <w:hideMark/>
          </w:tcPr>
          <w:p w14:paraId="0E981C0E"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3,860</w:t>
            </w:r>
          </w:p>
        </w:tc>
        <w:tc>
          <w:tcPr>
            <w:tcW w:w="0" w:type="auto"/>
            <w:shd w:val="clear" w:color="000000" w:fill="D6E7F0"/>
            <w:noWrap/>
            <w:tcMar>
              <w:top w:w="15" w:type="dxa"/>
              <w:left w:w="15" w:type="dxa"/>
              <w:bottom w:w="0" w:type="dxa"/>
              <w:right w:w="15" w:type="dxa"/>
            </w:tcMar>
            <w:vAlign w:val="bottom"/>
            <w:hideMark/>
          </w:tcPr>
          <w:p w14:paraId="7C7910C3"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3,545</w:t>
            </w:r>
          </w:p>
        </w:tc>
        <w:tc>
          <w:tcPr>
            <w:tcW w:w="0" w:type="auto"/>
            <w:shd w:val="clear" w:color="000000" w:fill="D6E7F0"/>
            <w:noWrap/>
            <w:tcMar>
              <w:top w:w="15" w:type="dxa"/>
              <w:left w:w="15" w:type="dxa"/>
              <w:bottom w:w="0" w:type="dxa"/>
              <w:right w:w="15" w:type="dxa"/>
            </w:tcMar>
            <w:vAlign w:val="bottom"/>
            <w:hideMark/>
          </w:tcPr>
          <w:p w14:paraId="4B84F436"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2,078</w:t>
            </w:r>
          </w:p>
        </w:tc>
        <w:tc>
          <w:tcPr>
            <w:tcW w:w="0" w:type="auto"/>
            <w:shd w:val="clear" w:color="000000" w:fill="D6E7F0"/>
            <w:noWrap/>
            <w:tcMar>
              <w:top w:w="15" w:type="dxa"/>
              <w:left w:w="15" w:type="dxa"/>
              <w:bottom w:w="0" w:type="dxa"/>
              <w:right w:w="15" w:type="dxa"/>
            </w:tcMar>
            <w:vAlign w:val="bottom"/>
            <w:hideMark/>
          </w:tcPr>
          <w:p w14:paraId="4699A0B2"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815</w:t>
            </w:r>
          </w:p>
        </w:tc>
        <w:tc>
          <w:tcPr>
            <w:tcW w:w="0" w:type="auto"/>
            <w:shd w:val="clear" w:color="000000" w:fill="D6E7F0"/>
            <w:noWrap/>
            <w:tcMar>
              <w:top w:w="15" w:type="dxa"/>
              <w:left w:w="15" w:type="dxa"/>
              <w:bottom w:w="0" w:type="dxa"/>
              <w:right w:w="15" w:type="dxa"/>
            </w:tcMar>
            <w:vAlign w:val="bottom"/>
            <w:hideMark/>
          </w:tcPr>
          <w:p w14:paraId="0EB6A7C8"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278</w:t>
            </w:r>
          </w:p>
        </w:tc>
        <w:tc>
          <w:tcPr>
            <w:tcW w:w="0" w:type="auto"/>
            <w:shd w:val="clear" w:color="000000" w:fill="D6E7F0"/>
            <w:noWrap/>
            <w:tcMar>
              <w:top w:w="15" w:type="dxa"/>
              <w:left w:w="15" w:type="dxa"/>
              <w:bottom w:w="0" w:type="dxa"/>
              <w:right w:w="15" w:type="dxa"/>
            </w:tcMar>
            <w:vAlign w:val="bottom"/>
            <w:hideMark/>
          </w:tcPr>
          <w:p w14:paraId="104F5257"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209</w:t>
            </w:r>
          </w:p>
        </w:tc>
        <w:tc>
          <w:tcPr>
            <w:tcW w:w="0" w:type="auto"/>
            <w:shd w:val="clear" w:color="000000" w:fill="D6E7F0"/>
            <w:noWrap/>
            <w:tcMar>
              <w:top w:w="15" w:type="dxa"/>
              <w:left w:w="15" w:type="dxa"/>
              <w:bottom w:w="0" w:type="dxa"/>
              <w:right w:w="15" w:type="dxa"/>
            </w:tcMar>
            <w:vAlign w:val="bottom"/>
            <w:hideMark/>
          </w:tcPr>
          <w:p w14:paraId="4E168D4D"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551</w:t>
            </w:r>
          </w:p>
        </w:tc>
        <w:tc>
          <w:tcPr>
            <w:tcW w:w="0" w:type="auto"/>
            <w:shd w:val="clear" w:color="000000" w:fill="D6E7F0"/>
            <w:noWrap/>
            <w:tcMar>
              <w:top w:w="15" w:type="dxa"/>
              <w:left w:w="15" w:type="dxa"/>
              <w:bottom w:w="0" w:type="dxa"/>
              <w:right w:w="15" w:type="dxa"/>
            </w:tcMar>
            <w:vAlign w:val="bottom"/>
            <w:hideMark/>
          </w:tcPr>
          <w:p w14:paraId="52379791"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18,708</w:t>
            </w:r>
          </w:p>
        </w:tc>
      </w:tr>
      <w:tr w:rsidR="007E365E" w:rsidRPr="00A83B37" w14:paraId="72CE0275"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5A3347D7" w14:textId="77777777" w:rsidR="007E365E" w:rsidRDefault="007E365E" w:rsidP="007D1D77">
            <w:pPr>
              <w:spacing w:before="0"/>
              <w:rPr>
                <w:rFonts w:cs="Open Sans Light"/>
                <w:sz w:val="16"/>
                <w:szCs w:val="16"/>
              </w:rPr>
            </w:pPr>
            <w:r>
              <w:rPr>
                <w:rFonts w:cs="Open Sans Light"/>
                <w:sz w:val="16"/>
                <w:szCs w:val="16"/>
              </w:rPr>
              <w:t>Expenses ($pc)</w:t>
            </w:r>
          </w:p>
        </w:tc>
        <w:tc>
          <w:tcPr>
            <w:tcW w:w="0" w:type="auto"/>
            <w:shd w:val="clear" w:color="auto" w:fill="auto"/>
            <w:noWrap/>
            <w:tcMar>
              <w:top w:w="15" w:type="dxa"/>
              <w:left w:w="15" w:type="dxa"/>
              <w:bottom w:w="0" w:type="dxa"/>
              <w:right w:w="15" w:type="dxa"/>
            </w:tcMar>
            <w:vAlign w:val="bottom"/>
            <w:hideMark/>
          </w:tcPr>
          <w:p w14:paraId="7C57DD77" w14:textId="77777777" w:rsidR="007E365E" w:rsidRDefault="007E365E" w:rsidP="007D1D77">
            <w:pPr>
              <w:spacing w:before="0"/>
              <w:jc w:val="right"/>
              <w:rPr>
                <w:rFonts w:cs="Open Sans Light"/>
                <w:sz w:val="16"/>
                <w:szCs w:val="16"/>
              </w:rPr>
            </w:pPr>
            <w:r>
              <w:rPr>
                <w:rFonts w:cs="Open Sans Light"/>
                <w:sz w:val="16"/>
                <w:szCs w:val="16"/>
              </w:rPr>
              <w:t>308</w:t>
            </w:r>
          </w:p>
        </w:tc>
        <w:tc>
          <w:tcPr>
            <w:tcW w:w="0" w:type="auto"/>
            <w:shd w:val="clear" w:color="auto" w:fill="auto"/>
            <w:noWrap/>
            <w:tcMar>
              <w:top w:w="15" w:type="dxa"/>
              <w:left w:w="15" w:type="dxa"/>
              <w:bottom w:w="0" w:type="dxa"/>
              <w:right w:w="15" w:type="dxa"/>
            </w:tcMar>
            <w:vAlign w:val="bottom"/>
            <w:hideMark/>
          </w:tcPr>
          <w:p w14:paraId="51D820AE" w14:textId="77777777" w:rsidR="007E365E" w:rsidRDefault="007E365E" w:rsidP="007D1D77">
            <w:pPr>
              <w:spacing w:before="0"/>
              <w:jc w:val="right"/>
              <w:rPr>
                <w:rFonts w:cs="Open Sans Light"/>
                <w:sz w:val="16"/>
                <w:szCs w:val="16"/>
              </w:rPr>
            </w:pPr>
            <w:r>
              <w:rPr>
                <w:rFonts w:cs="Open Sans Light"/>
                <w:sz w:val="16"/>
                <w:szCs w:val="16"/>
              </w:rPr>
              <w:t>312</w:t>
            </w:r>
          </w:p>
        </w:tc>
        <w:tc>
          <w:tcPr>
            <w:tcW w:w="0" w:type="auto"/>
            <w:shd w:val="clear" w:color="auto" w:fill="auto"/>
            <w:noWrap/>
            <w:tcMar>
              <w:top w:w="15" w:type="dxa"/>
              <w:left w:w="15" w:type="dxa"/>
              <w:bottom w:w="0" w:type="dxa"/>
              <w:right w:w="15" w:type="dxa"/>
            </w:tcMar>
            <w:vAlign w:val="bottom"/>
            <w:hideMark/>
          </w:tcPr>
          <w:p w14:paraId="6B6A9630" w14:textId="77777777" w:rsidR="007E365E" w:rsidRDefault="007E365E" w:rsidP="007D1D77">
            <w:pPr>
              <w:spacing w:before="0"/>
              <w:jc w:val="right"/>
              <w:rPr>
                <w:rFonts w:cs="Open Sans Light"/>
                <w:sz w:val="16"/>
                <w:szCs w:val="16"/>
              </w:rPr>
            </w:pPr>
            <w:r>
              <w:rPr>
                <w:rFonts w:cs="Open Sans Light"/>
                <w:sz w:val="16"/>
                <w:szCs w:val="16"/>
              </w:rPr>
              <w:t>228</w:t>
            </w:r>
          </w:p>
        </w:tc>
        <w:tc>
          <w:tcPr>
            <w:tcW w:w="0" w:type="auto"/>
            <w:shd w:val="clear" w:color="auto" w:fill="auto"/>
            <w:noWrap/>
            <w:tcMar>
              <w:top w:w="15" w:type="dxa"/>
              <w:left w:w="15" w:type="dxa"/>
              <w:bottom w:w="0" w:type="dxa"/>
              <w:right w:w="15" w:type="dxa"/>
            </w:tcMar>
            <w:vAlign w:val="bottom"/>
            <w:hideMark/>
          </w:tcPr>
          <w:p w14:paraId="7310AD9D" w14:textId="77777777" w:rsidR="007E365E" w:rsidRDefault="007E365E" w:rsidP="007D1D77">
            <w:pPr>
              <w:spacing w:before="0"/>
              <w:jc w:val="right"/>
              <w:rPr>
                <w:rFonts w:cs="Open Sans Light"/>
                <w:sz w:val="16"/>
                <w:szCs w:val="16"/>
              </w:rPr>
            </w:pPr>
            <w:r>
              <w:rPr>
                <w:rFonts w:cs="Open Sans Light"/>
                <w:sz w:val="16"/>
                <w:szCs w:val="16"/>
              </w:rPr>
              <w:t>438</w:t>
            </w:r>
          </w:p>
        </w:tc>
        <w:tc>
          <w:tcPr>
            <w:tcW w:w="0" w:type="auto"/>
            <w:shd w:val="clear" w:color="auto" w:fill="auto"/>
            <w:noWrap/>
            <w:tcMar>
              <w:top w:w="15" w:type="dxa"/>
              <w:left w:w="15" w:type="dxa"/>
              <w:bottom w:w="0" w:type="dxa"/>
              <w:right w:w="15" w:type="dxa"/>
            </w:tcMar>
            <w:vAlign w:val="bottom"/>
            <w:hideMark/>
          </w:tcPr>
          <w:p w14:paraId="61E15BBD" w14:textId="77777777" w:rsidR="007E365E" w:rsidRDefault="007E365E" w:rsidP="007D1D77">
            <w:pPr>
              <w:spacing w:before="0"/>
              <w:jc w:val="right"/>
              <w:rPr>
                <w:rFonts w:cs="Open Sans Light"/>
                <w:sz w:val="16"/>
                <w:szCs w:val="16"/>
              </w:rPr>
            </w:pPr>
            <w:r>
              <w:rPr>
                <w:rFonts w:cs="Open Sans Light"/>
                <w:sz w:val="16"/>
                <w:szCs w:val="16"/>
              </w:rPr>
              <w:t>240</w:t>
            </w:r>
          </w:p>
        </w:tc>
        <w:tc>
          <w:tcPr>
            <w:tcW w:w="0" w:type="auto"/>
            <w:shd w:val="clear" w:color="auto" w:fill="auto"/>
            <w:noWrap/>
            <w:tcMar>
              <w:top w:w="15" w:type="dxa"/>
              <w:left w:w="15" w:type="dxa"/>
              <w:bottom w:w="0" w:type="dxa"/>
              <w:right w:w="15" w:type="dxa"/>
            </w:tcMar>
            <w:vAlign w:val="bottom"/>
            <w:hideMark/>
          </w:tcPr>
          <w:p w14:paraId="1D895DAB" w14:textId="77777777" w:rsidR="007E365E" w:rsidRDefault="007E365E" w:rsidP="007D1D77">
            <w:pPr>
              <w:spacing w:before="0"/>
              <w:jc w:val="right"/>
              <w:rPr>
                <w:rFonts w:cs="Open Sans Light"/>
                <w:sz w:val="16"/>
                <w:szCs w:val="16"/>
              </w:rPr>
            </w:pPr>
            <w:r>
              <w:rPr>
                <w:rFonts w:cs="Open Sans Light"/>
                <w:sz w:val="16"/>
                <w:szCs w:val="16"/>
              </w:rPr>
              <w:t>298</w:t>
            </w:r>
          </w:p>
        </w:tc>
        <w:tc>
          <w:tcPr>
            <w:tcW w:w="0" w:type="auto"/>
            <w:shd w:val="clear" w:color="auto" w:fill="auto"/>
            <w:noWrap/>
            <w:tcMar>
              <w:top w:w="15" w:type="dxa"/>
              <w:left w:w="15" w:type="dxa"/>
              <w:bottom w:w="0" w:type="dxa"/>
              <w:right w:w="15" w:type="dxa"/>
            </w:tcMar>
            <w:vAlign w:val="bottom"/>
            <w:hideMark/>
          </w:tcPr>
          <w:p w14:paraId="39DB3433" w14:textId="77777777" w:rsidR="007E365E" w:rsidRDefault="007E365E" w:rsidP="007D1D77">
            <w:pPr>
              <w:spacing w:before="0"/>
              <w:jc w:val="right"/>
              <w:rPr>
                <w:rFonts w:cs="Open Sans Light"/>
                <w:sz w:val="16"/>
                <w:szCs w:val="16"/>
              </w:rPr>
            </w:pPr>
            <w:r>
              <w:rPr>
                <w:rFonts w:cs="Open Sans Light"/>
                <w:sz w:val="16"/>
                <w:szCs w:val="16"/>
              </w:rPr>
              <w:t>137</w:t>
            </w:r>
          </w:p>
        </w:tc>
        <w:tc>
          <w:tcPr>
            <w:tcW w:w="0" w:type="auto"/>
            <w:shd w:val="clear" w:color="auto" w:fill="auto"/>
            <w:noWrap/>
            <w:tcMar>
              <w:top w:w="15" w:type="dxa"/>
              <w:left w:w="15" w:type="dxa"/>
              <w:bottom w:w="0" w:type="dxa"/>
              <w:right w:w="15" w:type="dxa"/>
            </w:tcMar>
            <w:vAlign w:val="bottom"/>
            <w:hideMark/>
          </w:tcPr>
          <w:p w14:paraId="296E6285" w14:textId="77777777" w:rsidR="007E365E" w:rsidRDefault="007E365E" w:rsidP="007D1D77">
            <w:pPr>
              <w:spacing w:before="0"/>
              <w:jc w:val="right"/>
              <w:rPr>
                <w:rFonts w:cs="Open Sans Light"/>
                <w:sz w:val="16"/>
                <w:szCs w:val="16"/>
              </w:rPr>
            </w:pPr>
            <w:r>
              <w:rPr>
                <w:rFonts w:cs="Open Sans Light"/>
                <w:sz w:val="16"/>
                <w:szCs w:val="16"/>
              </w:rPr>
              <w:t>817</w:t>
            </w:r>
          </w:p>
        </w:tc>
        <w:tc>
          <w:tcPr>
            <w:tcW w:w="0" w:type="auto"/>
            <w:shd w:val="clear" w:color="auto" w:fill="auto"/>
            <w:noWrap/>
            <w:tcMar>
              <w:top w:w="15" w:type="dxa"/>
              <w:left w:w="15" w:type="dxa"/>
              <w:bottom w:w="0" w:type="dxa"/>
              <w:right w:w="15" w:type="dxa"/>
            </w:tcMar>
            <w:vAlign w:val="bottom"/>
            <w:hideMark/>
          </w:tcPr>
          <w:p w14:paraId="0AC64191" w14:textId="77777777" w:rsidR="007E365E" w:rsidRDefault="007E365E" w:rsidP="007D1D77">
            <w:pPr>
              <w:spacing w:before="0"/>
              <w:jc w:val="right"/>
              <w:rPr>
                <w:rFonts w:cs="Open Sans Light"/>
                <w:sz w:val="16"/>
                <w:szCs w:val="16"/>
              </w:rPr>
            </w:pPr>
            <w:r>
              <w:rPr>
                <w:rFonts w:cs="Open Sans Light"/>
                <w:sz w:val="16"/>
                <w:szCs w:val="16"/>
              </w:rPr>
              <w:t>304</w:t>
            </w:r>
          </w:p>
        </w:tc>
      </w:tr>
      <w:tr w:rsidR="007E365E" w:rsidRPr="00A83B37" w14:paraId="066C5129"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644137D7" w14:textId="77777777" w:rsidR="007E365E" w:rsidRDefault="007E365E" w:rsidP="007D1D77">
            <w:pPr>
              <w:spacing w:before="0"/>
              <w:rPr>
                <w:rFonts w:cs="Open Sans Light"/>
                <w:sz w:val="16"/>
                <w:szCs w:val="16"/>
              </w:rPr>
            </w:pPr>
            <w:r>
              <w:rPr>
                <w:rFonts w:cs="Open Sans Light"/>
                <w:sz w:val="16"/>
                <w:szCs w:val="16"/>
              </w:rPr>
              <w:t>Investment ($pc)</w:t>
            </w:r>
          </w:p>
        </w:tc>
        <w:tc>
          <w:tcPr>
            <w:tcW w:w="0" w:type="auto"/>
            <w:shd w:val="clear" w:color="auto" w:fill="auto"/>
            <w:noWrap/>
            <w:tcMar>
              <w:top w:w="15" w:type="dxa"/>
              <w:left w:w="15" w:type="dxa"/>
              <w:bottom w:w="0" w:type="dxa"/>
              <w:right w:w="15" w:type="dxa"/>
            </w:tcMar>
            <w:vAlign w:val="bottom"/>
            <w:hideMark/>
          </w:tcPr>
          <w:p w14:paraId="35081E54" w14:textId="77777777" w:rsidR="007E365E" w:rsidRDefault="007E365E" w:rsidP="007D1D77">
            <w:pPr>
              <w:spacing w:before="0"/>
              <w:jc w:val="right"/>
              <w:rPr>
                <w:rFonts w:cs="Open Sans Light"/>
                <w:sz w:val="16"/>
                <w:szCs w:val="16"/>
              </w:rPr>
            </w:pPr>
            <w:r>
              <w:rPr>
                <w:rFonts w:cs="Open Sans Light"/>
                <w:sz w:val="16"/>
                <w:szCs w:val="16"/>
              </w:rPr>
              <w:t>609</w:t>
            </w:r>
          </w:p>
        </w:tc>
        <w:tc>
          <w:tcPr>
            <w:tcW w:w="0" w:type="auto"/>
            <w:shd w:val="clear" w:color="auto" w:fill="auto"/>
            <w:noWrap/>
            <w:tcMar>
              <w:top w:w="15" w:type="dxa"/>
              <w:left w:w="15" w:type="dxa"/>
              <w:bottom w:w="0" w:type="dxa"/>
              <w:right w:w="15" w:type="dxa"/>
            </w:tcMar>
            <w:vAlign w:val="bottom"/>
            <w:hideMark/>
          </w:tcPr>
          <w:p w14:paraId="13805396" w14:textId="77777777" w:rsidR="007E365E" w:rsidRDefault="007E365E" w:rsidP="007D1D77">
            <w:pPr>
              <w:spacing w:before="0"/>
              <w:jc w:val="right"/>
              <w:rPr>
                <w:rFonts w:cs="Open Sans Light"/>
                <w:sz w:val="16"/>
                <w:szCs w:val="16"/>
              </w:rPr>
            </w:pPr>
            <w:r>
              <w:rPr>
                <w:rFonts w:cs="Open Sans Light"/>
                <w:sz w:val="16"/>
                <w:szCs w:val="16"/>
              </w:rPr>
              <w:t>279</w:t>
            </w:r>
          </w:p>
        </w:tc>
        <w:tc>
          <w:tcPr>
            <w:tcW w:w="0" w:type="auto"/>
            <w:shd w:val="clear" w:color="auto" w:fill="auto"/>
            <w:noWrap/>
            <w:tcMar>
              <w:top w:w="15" w:type="dxa"/>
              <w:left w:w="15" w:type="dxa"/>
              <w:bottom w:w="0" w:type="dxa"/>
              <w:right w:w="15" w:type="dxa"/>
            </w:tcMar>
            <w:vAlign w:val="bottom"/>
            <w:hideMark/>
          </w:tcPr>
          <w:p w14:paraId="3D135784" w14:textId="77777777" w:rsidR="007E365E" w:rsidRDefault="007E365E" w:rsidP="007D1D77">
            <w:pPr>
              <w:spacing w:before="0"/>
              <w:jc w:val="right"/>
              <w:rPr>
                <w:rFonts w:cs="Open Sans Light"/>
                <w:sz w:val="16"/>
                <w:szCs w:val="16"/>
              </w:rPr>
            </w:pPr>
            <w:r>
              <w:rPr>
                <w:rFonts w:cs="Open Sans Light"/>
                <w:sz w:val="16"/>
                <w:szCs w:val="16"/>
              </w:rPr>
              <w:t>474</w:t>
            </w:r>
          </w:p>
        </w:tc>
        <w:tc>
          <w:tcPr>
            <w:tcW w:w="0" w:type="auto"/>
            <w:shd w:val="clear" w:color="auto" w:fill="auto"/>
            <w:noWrap/>
            <w:tcMar>
              <w:top w:w="15" w:type="dxa"/>
              <w:left w:w="15" w:type="dxa"/>
              <w:bottom w:w="0" w:type="dxa"/>
              <w:right w:w="15" w:type="dxa"/>
            </w:tcMar>
            <w:vAlign w:val="bottom"/>
            <w:hideMark/>
          </w:tcPr>
          <w:p w14:paraId="2A113B5F" w14:textId="77777777" w:rsidR="007E365E" w:rsidRDefault="007E365E" w:rsidP="007D1D77">
            <w:pPr>
              <w:spacing w:before="0"/>
              <w:jc w:val="right"/>
              <w:rPr>
                <w:rFonts w:cs="Open Sans Light"/>
                <w:sz w:val="16"/>
                <w:szCs w:val="16"/>
              </w:rPr>
            </w:pPr>
            <w:r>
              <w:rPr>
                <w:rFonts w:cs="Open Sans Light"/>
                <w:sz w:val="16"/>
                <w:szCs w:val="16"/>
              </w:rPr>
              <w:t>360</w:t>
            </w:r>
          </w:p>
        </w:tc>
        <w:tc>
          <w:tcPr>
            <w:tcW w:w="0" w:type="auto"/>
            <w:shd w:val="clear" w:color="auto" w:fill="auto"/>
            <w:noWrap/>
            <w:tcMar>
              <w:top w:w="15" w:type="dxa"/>
              <w:left w:w="15" w:type="dxa"/>
              <w:bottom w:w="0" w:type="dxa"/>
              <w:right w:w="15" w:type="dxa"/>
            </w:tcMar>
            <w:vAlign w:val="bottom"/>
            <w:hideMark/>
          </w:tcPr>
          <w:p w14:paraId="721F6BDF" w14:textId="77777777" w:rsidR="007E365E" w:rsidRDefault="007E365E" w:rsidP="007D1D77">
            <w:pPr>
              <w:spacing w:before="0"/>
              <w:jc w:val="right"/>
              <w:rPr>
                <w:rFonts w:cs="Open Sans Light"/>
                <w:sz w:val="16"/>
                <w:szCs w:val="16"/>
              </w:rPr>
            </w:pPr>
            <w:r>
              <w:rPr>
                <w:rFonts w:cs="Open Sans Light"/>
                <w:sz w:val="16"/>
                <w:szCs w:val="16"/>
              </w:rPr>
              <w:t>227</w:t>
            </w:r>
          </w:p>
        </w:tc>
        <w:tc>
          <w:tcPr>
            <w:tcW w:w="0" w:type="auto"/>
            <w:shd w:val="clear" w:color="auto" w:fill="auto"/>
            <w:noWrap/>
            <w:tcMar>
              <w:top w:w="15" w:type="dxa"/>
              <w:left w:w="15" w:type="dxa"/>
              <w:bottom w:w="0" w:type="dxa"/>
              <w:right w:w="15" w:type="dxa"/>
            </w:tcMar>
            <w:vAlign w:val="bottom"/>
            <w:hideMark/>
          </w:tcPr>
          <w:p w14:paraId="3A7A4B57" w14:textId="77777777" w:rsidR="007E365E" w:rsidRDefault="007E365E" w:rsidP="007D1D77">
            <w:pPr>
              <w:spacing w:before="0"/>
              <w:jc w:val="right"/>
              <w:rPr>
                <w:rFonts w:cs="Open Sans Light"/>
                <w:sz w:val="16"/>
                <w:szCs w:val="16"/>
              </w:rPr>
            </w:pPr>
            <w:r>
              <w:rPr>
                <w:rFonts w:cs="Open Sans Light"/>
                <w:sz w:val="16"/>
                <w:szCs w:val="16"/>
              </w:rPr>
              <w:t>226</w:t>
            </w:r>
          </w:p>
        </w:tc>
        <w:tc>
          <w:tcPr>
            <w:tcW w:w="0" w:type="auto"/>
            <w:shd w:val="clear" w:color="auto" w:fill="auto"/>
            <w:noWrap/>
            <w:tcMar>
              <w:top w:w="15" w:type="dxa"/>
              <w:left w:w="15" w:type="dxa"/>
              <w:bottom w:w="0" w:type="dxa"/>
              <w:right w:w="15" w:type="dxa"/>
            </w:tcMar>
            <w:vAlign w:val="bottom"/>
            <w:hideMark/>
          </w:tcPr>
          <w:p w14:paraId="00A90FDE" w14:textId="77777777" w:rsidR="007E365E" w:rsidRDefault="007E365E" w:rsidP="007D1D77">
            <w:pPr>
              <w:spacing w:before="0"/>
              <w:jc w:val="right"/>
              <w:rPr>
                <w:rFonts w:cs="Open Sans Light"/>
                <w:sz w:val="16"/>
                <w:szCs w:val="16"/>
              </w:rPr>
            </w:pPr>
            <w:r>
              <w:rPr>
                <w:rFonts w:cs="Open Sans Light"/>
                <w:sz w:val="16"/>
                <w:szCs w:val="16"/>
              </w:rPr>
              <w:t>357</w:t>
            </w:r>
          </w:p>
        </w:tc>
        <w:tc>
          <w:tcPr>
            <w:tcW w:w="0" w:type="auto"/>
            <w:shd w:val="clear" w:color="auto" w:fill="auto"/>
            <w:noWrap/>
            <w:tcMar>
              <w:top w:w="15" w:type="dxa"/>
              <w:left w:w="15" w:type="dxa"/>
              <w:bottom w:w="0" w:type="dxa"/>
              <w:right w:w="15" w:type="dxa"/>
            </w:tcMar>
            <w:vAlign w:val="bottom"/>
            <w:hideMark/>
          </w:tcPr>
          <w:p w14:paraId="70D26128" w14:textId="77777777" w:rsidR="007E365E" w:rsidRDefault="007E365E" w:rsidP="007D1D77">
            <w:pPr>
              <w:spacing w:before="0"/>
              <w:jc w:val="right"/>
              <w:rPr>
                <w:rFonts w:cs="Open Sans Light"/>
                <w:sz w:val="16"/>
                <w:szCs w:val="16"/>
              </w:rPr>
            </w:pPr>
            <w:r>
              <w:rPr>
                <w:rFonts w:cs="Open Sans Light"/>
                <w:sz w:val="16"/>
                <w:szCs w:val="16"/>
              </w:rPr>
              <w:t>1,428</w:t>
            </w:r>
          </w:p>
        </w:tc>
        <w:tc>
          <w:tcPr>
            <w:tcW w:w="0" w:type="auto"/>
            <w:shd w:val="clear" w:color="auto" w:fill="auto"/>
            <w:noWrap/>
            <w:tcMar>
              <w:top w:w="15" w:type="dxa"/>
              <w:left w:w="15" w:type="dxa"/>
              <w:bottom w:w="0" w:type="dxa"/>
              <w:right w:w="15" w:type="dxa"/>
            </w:tcMar>
            <w:vAlign w:val="bottom"/>
            <w:hideMark/>
          </w:tcPr>
          <w:p w14:paraId="51E62D7F" w14:textId="77777777" w:rsidR="007E365E" w:rsidRDefault="007E365E" w:rsidP="007D1D77">
            <w:pPr>
              <w:spacing w:before="0"/>
              <w:jc w:val="right"/>
              <w:rPr>
                <w:rFonts w:cs="Open Sans Light"/>
                <w:sz w:val="16"/>
                <w:szCs w:val="16"/>
              </w:rPr>
            </w:pPr>
            <w:r>
              <w:rPr>
                <w:rFonts w:cs="Open Sans Light"/>
                <w:sz w:val="16"/>
                <w:szCs w:val="16"/>
              </w:rPr>
              <w:t>440</w:t>
            </w:r>
          </w:p>
        </w:tc>
      </w:tr>
      <w:tr w:rsidR="007E365E" w:rsidRPr="00A83B37" w14:paraId="2FD44D79" w14:textId="77777777" w:rsidTr="007D1D77">
        <w:trPr>
          <w:trHeight w:val="315"/>
        </w:trPr>
        <w:tc>
          <w:tcPr>
            <w:tcW w:w="0" w:type="auto"/>
            <w:shd w:val="clear" w:color="000000" w:fill="D6E7F0"/>
            <w:noWrap/>
            <w:tcMar>
              <w:top w:w="15" w:type="dxa"/>
              <w:left w:w="15" w:type="dxa"/>
              <w:bottom w:w="0" w:type="dxa"/>
              <w:right w:w="15" w:type="dxa"/>
            </w:tcMar>
            <w:vAlign w:val="bottom"/>
            <w:hideMark/>
          </w:tcPr>
          <w:p w14:paraId="04723437" w14:textId="77777777" w:rsidR="007E365E" w:rsidRDefault="007E365E" w:rsidP="007D1D77">
            <w:pPr>
              <w:spacing w:before="0"/>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 roads expenditure ($pc)</w:t>
            </w:r>
          </w:p>
        </w:tc>
        <w:tc>
          <w:tcPr>
            <w:tcW w:w="0" w:type="auto"/>
            <w:shd w:val="clear" w:color="000000" w:fill="D6E7F0"/>
            <w:noWrap/>
            <w:tcMar>
              <w:top w:w="15" w:type="dxa"/>
              <w:left w:w="15" w:type="dxa"/>
              <w:bottom w:w="0" w:type="dxa"/>
              <w:right w:w="15" w:type="dxa"/>
            </w:tcMar>
            <w:vAlign w:val="bottom"/>
            <w:hideMark/>
          </w:tcPr>
          <w:p w14:paraId="2C49DCCD"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917</w:t>
            </w:r>
          </w:p>
        </w:tc>
        <w:tc>
          <w:tcPr>
            <w:tcW w:w="0" w:type="auto"/>
            <w:shd w:val="clear" w:color="000000" w:fill="D6E7F0"/>
            <w:noWrap/>
            <w:tcMar>
              <w:top w:w="15" w:type="dxa"/>
              <w:left w:w="15" w:type="dxa"/>
              <w:bottom w:w="0" w:type="dxa"/>
              <w:right w:w="15" w:type="dxa"/>
            </w:tcMar>
            <w:vAlign w:val="bottom"/>
            <w:hideMark/>
          </w:tcPr>
          <w:p w14:paraId="28A86E81"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591</w:t>
            </w:r>
          </w:p>
        </w:tc>
        <w:tc>
          <w:tcPr>
            <w:tcW w:w="0" w:type="auto"/>
            <w:shd w:val="clear" w:color="000000" w:fill="D6E7F0"/>
            <w:noWrap/>
            <w:tcMar>
              <w:top w:w="15" w:type="dxa"/>
              <w:left w:w="15" w:type="dxa"/>
              <w:bottom w:w="0" w:type="dxa"/>
              <w:right w:w="15" w:type="dxa"/>
            </w:tcMar>
            <w:vAlign w:val="bottom"/>
            <w:hideMark/>
          </w:tcPr>
          <w:p w14:paraId="60A41005"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702</w:t>
            </w:r>
          </w:p>
        </w:tc>
        <w:tc>
          <w:tcPr>
            <w:tcW w:w="0" w:type="auto"/>
            <w:shd w:val="clear" w:color="000000" w:fill="D6E7F0"/>
            <w:noWrap/>
            <w:tcMar>
              <w:top w:w="15" w:type="dxa"/>
              <w:left w:w="15" w:type="dxa"/>
              <w:bottom w:w="0" w:type="dxa"/>
              <w:right w:w="15" w:type="dxa"/>
            </w:tcMar>
            <w:vAlign w:val="bottom"/>
            <w:hideMark/>
          </w:tcPr>
          <w:p w14:paraId="110782C2"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798</w:t>
            </w:r>
          </w:p>
        </w:tc>
        <w:tc>
          <w:tcPr>
            <w:tcW w:w="0" w:type="auto"/>
            <w:shd w:val="clear" w:color="000000" w:fill="D6E7F0"/>
            <w:noWrap/>
            <w:tcMar>
              <w:top w:w="15" w:type="dxa"/>
              <w:left w:w="15" w:type="dxa"/>
              <w:bottom w:w="0" w:type="dxa"/>
              <w:right w:w="15" w:type="dxa"/>
            </w:tcMar>
            <w:vAlign w:val="bottom"/>
            <w:hideMark/>
          </w:tcPr>
          <w:p w14:paraId="68301860"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467</w:t>
            </w:r>
          </w:p>
        </w:tc>
        <w:tc>
          <w:tcPr>
            <w:tcW w:w="0" w:type="auto"/>
            <w:shd w:val="clear" w:color="000000" w:fill="D6E7F0"/>
            <w:noWrap/>
            <w:tcMar>
              <w:top w:w="15" w:type="dxa"/>
              <w:left w:w="15" w:type="dxa"/>
              <w:bottom w:w="0" w:type="dxa"/>
              <w:right w:w="15" w:type="dxa"/>
            </w:tcMar>
            <w:vAlign w:val="bottom"/>
            <w:hideMark/>
          </w:tcPr>
          <w:p w14:paraId="18241B28"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523</w:t>
            </w:r>
          </w:p>
        </w:tc>
        <w:tc>
          <w:tcPr>
            <w:tcW w:w="0" w:type="auto"/>
            <w:shd w:val="clear" w:color="000000" w:fill="D6E7F0"/>
            <w:noWrap/>
            <w:tcMar>
              <w:top w:w="15" w:type="dxa"/>
              <w:left w:w="15" w:type="dxa"/>
              <w:bottom w:w="0" w:type="dxa"/>
              <w:right w:w="15" w:type="dxa"/>
            </w:tcMar>
            <w:vAlign w:val="bottom"/>
            <w:hideMark/>
          </w:tcPr>
          <w:p w14:paraId="3C327FCF"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493</w:t>
            </w:r>
          </w:p>
        </w:tc>
        <w:tc>
          <w:tcPr>
            <w:tcW w:w="0" w:type="auto"/>
            <w:shd w:val="clear" w:color="000000" w:fill="D6E7F0"/>
            <w:noWrap/>
            <w:tcMar>
              <w:top w:w="15" w:type="dxa"/>
              <w:left w:w="15" w:type="dxa"/>
              <w:bottom w:w="0" w:type="dxa"/>
              <w:right w:w="15" w:type="dxa"/>
            </w:tcMar>
            <w:vAlign w:val="bottom"/>
            <w:hideMark/>
          </w:tcPr>
          <w:p w14:paraId="785DFD77"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2,245</w:t>
            </w:r>
          </w:p>
        </w:tc>
        <w:tc>
          <w:tcPr>
            <w:tcW w:w="0" w:type="auto"/>
            <w:shd w:val="clear" w:color="000000" w:fill="D6E7F0"/>
            <w:noWrap/>
            <w:tcMar>
              <w:top w:w="15" w:type="dxa"/>
              <w:left w:w="15" w:type="dxa"/>
              <w:bottom w:w="0" w:type="dxa"/>
              <w:right w:w="15" w:type="dxa"/>
            </w:tcMar>
            <w:vAlign w:val="bottom"/>
            <w:hideMark/>
          </w:tcPr>
          <w:p w14:paraId="48D1B331"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743</w:t>
            </w:r>
          </w:p>
        </w:tc>
      </w:tr>
      <w:tr w:rsidR="007E365E" w:rsidRPr="00A83B37" w14:paraId="10D1A30E"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7EACD94B" w14:textId="77777777" w:rsidR="007E365E" w:rsidRDefault="007E365E" w:rsidP="007D1D77">
            <w:pPr>
              <w:rPr>
                <w:rFonts w:cs="Open Sans Light"/>
                <w:sz w:val="16"/>
                <w:szCs w:val="16"/>
              </w:rPr>
            </w:pPr>
            <w:r>
              <w:rPr>
                <w:rFonts w:cs="Open Sans Light"/>
                <w:sz w:val="16"/>
                <w:szCs w:val="16"/>
              </w:rPr>
              <w:t>Proportion of total expenditure (%)</w:t>
            </w:r>
          </w:p>
        </w:tc>
        <w:tc>
          <w:tcPr>
            <w:tcW w:w="0" w:type="auto"/>
            <w:shd w:val="clear" w:color="auto" w:fill="auto"/>
            <w:noWrap/>
            <w:tcMar>
              <w:top w:w="15" w:type="dxa"/>
              <w:left w:w="15" w:type="dxa"/>
              <w:bottom w:w="0" w:type="dxa"/>
              <w:right w:w="15" w:type="dxa"/>
            </w:tcMar>
            <w:vAlign w:val="bottom"/>
            <w:hideMark/>
          </w:tcPr>
          <w:p w14:paraId="4819173E" w14:textId="77777777" w:rsidR="007E365E" w:rsidRDefault="007E365E" w:rsidP="007D1D77">
            <w:pPr>
              <w:jc w:val="right"/>
              <w:rPr>
                <w:rFonts w:cs="Open Sans Light"/>
                <w:sz w:val="16"/>
                <w:szCs w:val="16"/>
              </w:rPr>
            </w:pPr>
            <w:r>
              <w:rPr>
                <w:rFonts w:cs="Open Sans Light"/>
                <w:sz w:val="16"/>
                <w:szCs w:val="16"/>
              </w:rPr>
              <w:t>8.7</w:t>
            </w:r>
          </w:p>
        </w:tc>
        <w:tc>
          <w:tcPr>
            <w:tcW w:w="0" w:type="auto"/>
            <w:shd w:val="clear" w:color="auto" w:fill="auto"/>
            <w:noWrap/>
            <w:tcMar>
              <w:top w:w="15" w:type="dxa"/>
              <w:left w:w="15" w:type="dxa"/>
              <w:bottom w:w="0" w:type="dxa"/>
              <w:right w:w="15" w:type="dxa"/>
            </w:tcMar>
            <w:vAlign w:val="bottom"/>
            <w:hideMark/>
          </w:tcPr>
          <w:p w14:paraId="059D8F40" w14:textId="77777777" w:rsidR="007E365E" w:rsidRDefault="007E365E" w:rsidP="007D1D77">
            <w:pPr>
              <w:jc w:val="right"/>
              <w:rPr>
                <w:rFonts w:cs="Open Sans Light"/>
                <w:sz w:val="16"/>
                <w:szCs w:val="16"/>
              </w:rPr>
            </w:pPr>
            <w:r>
              <w:rPr>
                <w:rFonts w:cs="Open Sans Light"/>
                <w:sz w:val="16"/>
                <w:szCs w:val="16"/>
              </w:rPr>
              <w:t>6.5</w:t>
            </w:r>
          </w:p>
        </w:tc>
        <w:tc>
          <w:tcPr>
            <w:tcW w:w="0" w:type="auto"/>
            <w:shd w:val="clear" w:color="auto" w:fill="auto"/>
            <w:noWrap/>
            <w:tcMar>
              <w:top w:w="15" w:type="dxa"/>
              <w:left w:w="15" w:type="dxa"/>
              <w:bottom w:w="0" w:type="dxa"/>
              <w:right w:w="15" w:type="dxa"/>
            </w:tcMar>
            <w:vAlign w:val="bottom"/>
            <w:hideMark/>
          </w:tcPr>
          <w:p w14:paraId="088D490B" w14:textId="77777777" w:rsidR="007E365E" w:rsidRDefault="007E365E" w:rsidP="007D1D77">
            <w:pPr>
              <w:jc w:val="right"/>
              <w:rPr>
                <w:rFonts w:cs="Open Sans Light"/>
                <w:sz w:val="16"/>
                <w:szCs w:val="16"/>
              </w:rPr>
            </w:pPr>
            <w:r>
              <w:rPr>
                <w:rFonts w:cs="Open Sans Light"/>
                <w:sz w:val="16"/>
                <w:szCs w:val="16"/>
              </w:rPr>
              <w:t>6.8</w:t>
            </w:r>
          </w:p>
        </w:tc>
        <w:tc>
          <w:tcPr>
            <w:tcW w:w="0" w:type="auto"/>
            <w:shd w:val="clear" w:color="auto" w:fill="auto"/>
            <w:noWrap/>
            <w:tcMar>
              <w:top w:w="15" w:type="dxa"/>
              <w:left w:w="15" w:type="dxa"/>
              <w:bottom w:w="0" w:type="dxa"/>
              <w:right w:w="15" w:type="dxa"/>
            </w:tcMar>
            <w:vAlign w:val="bottom"/>
            <w:hideMark/>
          </w:tcPr>
          <w:p w14:paraId="2F37E6B7" w14:textId="77777777" w:rsidR="007E365E" w:rsidRDefault="007E365E" w:rsidP="007D1D77">
            <w:pPr>
              <w:jc w:val="right"/>
              <w:rPr>
                <w:rFonts w:cs="Open Sans Light"/>
                <w:sz w:val="16"/>
                <w:szCs w:val="16"/>
              </w:rPr>
            </w:pPr>
            <w:r>
              <w:rPr>
                <w:rFonts w:cs="Open Sans Light"/>
                <w:sz w:val="16"/>
                <w:szCs w:val="16"/>
              </w:rPr>
              <w:t>7.3</w:t>
            </w:r>
          </w:p>
        </w:tc>
        <w:tc>
          <w:tcPr>
            <w:tcW w:w="0" w:type="auto"/>
            <w:shd w:val="clear" w:color="auto" w:fill="auto"/>
            <w:noWrap/>
            <w:tcMar>
              <w:top w:w="15" w:type="dxa"/>
              <w:left w:w="15" w:type="dxa"/>
              <w:bottom w:w="0" w:type="dxa"/>
              <w:right w:w="15" w:type="dxa"/>
            </w:tcMar>
            <w:vAlign w:val="bottom"/>
            <w:hideMark/>
          </w:tcPr>
          <w:p w14:paraId="0E9ACB68" w14:textId="77777777" w:rsidR="007E365E" w:rsidRDefault="007E365E" w:rsidP="007D1D77">
            <w:pPr>
              <w:jc w:val="right"/>
              <w:rPr>
                <w:rFonts w:cs="Open Sans Light"/>
                <w:sz w:val="16"/>
                <w:szCs w:val="16"/>
              </w:rPr>
            </w:pPr>
            <w:r>
              <w:rPr>
                <w:rFonts w:cs="Open Sans Light"/>
                <w:sz w:val="16"/>
                <w:szCs w:val="16"/>
              </w:rPr>
              <w:t>5.0</w:t>
            </w:r>
          </w:p>
        </w:tc>
        <w:tc>
          <w:tcPr>
            <w:tcW w:w="0" w:type="auto"/>
            <w:shd w:val="clear" w:color="auto" w:fill="auto"/>
            <w:noWrap/>
            <w:tcMar>
              <w:top w:w="15" w:type="dxa"/>
              <w:left w:w="15" w:type="dxa"/>
              <w:bottom w:w="0" w:type="dxa"/>
              <w:right w:w="15" w:type="dxa"/>
            </w:tcMar>
            <w:vAlign w:val="bottom"/>
            <w:hideMark/>
          </w:tcPr>
          <w:p w14:paraId="637A0ED9" w14:textId="77777777" w:rsidR="007E365E" w:rsidRDefault="007E365E" w:rsidP="007D1D77">
            <w:pPr>
              <w:jc w:val="right"/>
              <w:rPr>
                <w:rFonts w:cs="Open Sans Light"/>
                <w:sz w:val="16"/>
                <w:szCs w:val="16"/>
              </w:rPr>
            </w:pPr>
            <w:r>
              <w:rPr>
                <w:rFonts w:cs="Open Sans Light"/>
                <w:sz w:val="16"/>
                <w:szCs w:val="16"/>
              </w:rPr>
              <w:t>5.0</w:t>
            </w:r>
          </w:p>
        </w:tc>
        <w:tc>
          <w:tcPr>
            <w:tcW w:w="0" w:type="auto"/>
            <w:shd w:val="clear" w:color="auto" w:fill="auto"/>
            <w:noWrap/>
            <w:tcMar>
              <w:top w:w="15" w:type="dxa"/>
              <w:left w:w="15" w:type="dxa"/>
              <w:bottom w:w="0" w:type="dxa"/>
              <w:right w:w="15" w:type="dxa"/>
            </w:tcMar>
            <w:vAlign w:val="bottom"/>
            <w:hideMark/>
          </w:tcPr>
          <w:p w14:paraId="5C989244" w14:textId="77777777" w:rsidR="007E365E" w:rsidRDefault="007E365E" w:rsidP="007D1D77">
            <w:pPr>
              <w:jc w:val="right"/>
              <w:rPr>
                <w:rFonts w:cs="Open Sans Light"/>
                <w:sz w:val="16"/>
                <w:szCs w:val="16"/>
              </w:rPr>
            </w:pPr>
            <w:r>
              <w:rPr>
                <w:rFonts w:cs="Open Sans Light"/>
                <w:sz w:val="16"/>
                <w:szCs w:val="16"/>
              </w:rPr>
              <w:t>3.9</w:t>
            </w:r>
          </w:p>
        </w:tc>
        <w:tc>
          <w:tcPr>
            <w:tcW w:w="0" w:type="auto"/>
            <w:shd w:val="clear" w:color="auto" w:fill="auto"/>
            <w:noWrap/>
            <w:tcMar>
              <w:top w:w="15" w:type="dxa"/>
              <w:left w:w="15" w:type="dxa"/>
              <w:bottom w:w="0" w:type="dxa"/>
              <w:right w:w="15" w:type="dxa"/>
            </w:tcMar>
            <w:vAlign w:val="bottom"/>
            <w:hideMark/>
          </w:tcPr>
          <w:p w14:paraId="64302912" w14:textId="77777777" w:rsidR="007E365E" w:rsidRDefault="007E365E" w:rsidP="007D1D77">
            <w:pPr>
              <w:jc w:val="right"/>
              <w:rPr>
                <w:rFonts w:cs="Open Sans Light"/>
                <w:sz w:val="16"/>
                <w:szCs w:val="16"/>
              </w:rPr>
            </w:pPr>
            <w:r>
              <w:rPr>
                <w:rFonts w:cs="Open Sans Light"/>
                <w:sz w:val="16"/>
                <w:szCs w:val="16"/>
              </w:rPr>
              <w:t>8.8</w:t>
            </w:r>
          </w:p>
        </w:tc>
        <w:tc>
          <w:tcPr>
            <w:tcW w:w="0" w:type="auto"/>
            <w:shd w:val="clear" w:color="auto" w:fill="auto"/>
            <w:noWrap/>
            <w:tcMar>
              <w:top w:w="15" w:type="dxa"/>
              <w:left w:w="15" w:type="dxa"/>
              <w:bottom w:w="0" w:type="dxa"/>
              <w:right w:w="15" w:type="dxa"/>
            </w:tcMar>
            <w:vAlign w:val="bottom"/>
            <w:hideMark/>
          </w:tcPr>
          <w:p w14:paraId="26A486BC" w14:textId="77777777" w:rsidR="007E365E" w:rsidRDefault="007E365E" w:rsidP="007D1D77">
            <w:pPr>
              <w:jc w:val="right"/>
              <w:rPr>
                <w:rFonts w:cs="Open Sans Light"/>
                <w:sz w:val="16"/>
                <w:szCs w:val="16"/>
              </w:rPr>
            </w:pPr>
            <w:r>
              <w:rPr>
                <w:rFonts w:cs="Open Sans Light"/>
                <w:sz w:val="16"/>
                <w:szCs w:val="16"/>
              </w:rPr>
              <w:t>7.3</w:t>
            </w:r>
          </w:p>
        </w:tc>
      </w:tr>
    </w:tbl>
    <w:p w14:paraId="556911DF" w14:textId="77777777" w:rsidR="007E365E" w:rsidRPr="00E23377" w:rsidRDefault="007E365E" w:rsidP="007E365E">
      <w:pPr>
        <w:pStyle w:val="CGCTablenote"/>
      </w:pPr>
      <w:r w:rsidRPr="00E23377">
        <w:t>Note:</w:t>
      </w:r>
      <w:r w:rsidRPr="00E23377">
        <w:tab/>
        <w:t xml:space="preserve">Expenditure shown on a gross basis. </w:t>
      </w:r>
    </w:p>
    <w:p w14:paraId="3ADF8449" w14:textId="77777777" w:rsidR="007E365E" w:rsidRPr="00E23377" w:rsidRDefault="007E365E" w:rsidP="007E365E">
      <w:pPr>
        <w:pStyle w:val="CGCTablenote"/>
      </w:pPr>
      <w:r w:rsidRPr="00E23377">
        <w:t>Source:</w:t>
      </w:r>
      <w:r w:rsidRPr="00E23377">
        <w:tab/>
        <w:t xml:space="preserve">Commission calculation using State budget data. </w:t>
      </w:r>
    </w:p>
    <w:p w14:paraId="2BE2AA0E" w14:textId="365E0F7A" w:rsidR="007E365E" w:rsidRPr="00E23377" w:rsidRDefault="007E365E" w:rsidP="007E365E">
      <w:pPr>
        <w:pStyle w:val="CGCParaNumber"/>
      </w:pPr>
      <w:r>
        <w:fldChar w:fldCharType="begin"/>
      </w:r>
      <w:r>
        <w:instrText xml:space="preserve"> REF _Ref32845617 \h </w:instrText>
      </w:r>
      <w:r>
        <w:fldChar w:fldCharType="separate"/>
      </w:r>
      <w:r w:rsidR="007F721A" w:rsidRPr="00E23377">
        <w:t xml:space="preserve">Table </w:t>
      </w:r>
      <w:r w:rsidR="007F721A">
        <w:t>20-</w:t>
      </w:r>
      <w:r w:rsidR="007F721A">
        <w:rPr>
          <w:noProof/>
        </w:rPr>
        <w:t>2</w:t>
      </w:r>
      <w:r>
        <w:fldChar w:fldCharType="end"/>
      </w:r>
      <w:r>
        <w:t xml:space="preserve"> </w:t>
      </w:r>
      <w:r w:rsidRPr="00E23377">
        <w:t>shows the share of State expenditure on roads from 2015</w:t>
      </w:r>
      <w:r w:rsidRPr="00E23377">
        <w:noBreakHyphen/>
        <w:t>16 to 2018</w:t>
      </w:r>
      <w:r w:rsidRPr="00E23377">
        <w:noBreakHyphen/>
        <w:t xml:space="preserve">19. </w:t>
      </w:r>
    </w:p>
    <w:p w14:paraId="31A2A424" w14:textId="3CEB939E" w:rsidR="007E365E" w:rsidRPr="00E23377" w:rsidRDefault="007E365E" w:rsidP="007E365E">
      <w:pPr>
        <w:pStyle w:val="Caption"/>
      </w:pPr>
      <w:bookmarkStart w:id="148" w:name="_Ref32845617"/>
      <w:r w:rsidRPr="00E23377">
        <w:t xml:space="preserve">Table </w:t>
      </w:r>
      <w:r>
        <w:t>20-</w:t>
      </w:r>
      <w:fldSimple w:instr=" SEQ Table \* ARABIC ">
        <w:r w:rsidR="007F721A">
          <w:rPr>
            <w:noProof/>
          </w:rPr>
          <w:t>2</w:t>
        </w:r>
      </w:fldSimple>
      <w:bookmarkEnd w:id="148"/>
      <w:r w:rsidRPr="00E23377">
        <w:tab/>
        <w:t>Roads expen</w:t>
      </w:r>
      <w:r w:rsidR="00182917">
        <w:t>diture</w:t>
      </w:r>
      <w:r w:rsidRPr="00E23377">
        <w:t>,</w:t>
      </w:r>
      <w:r w:rsidR="003C39E9">
        <w:t xml:space="preserve"> all States,</w:t>
      </w:r>
      <w:r w:rsidRPr="00E23377">
        <w:t xml:space="preserve"> 201</w:t>
      </w:r>
      <w:r>
        <w:t>5</w:t>
      </w:r>
      <w:r w:rsidRPr="00E23377">
        <w:noBreakHyphen/>
        <w:t>1</w:t>
      </w:r>
      <w:r>
        <w:t>6</w:t>
      </w:r>
      <w:r w:rsidRPr="00E23377">
        <w:t xml:space="preserve"> to 201</w:t>
      </w:r>
      <w:r>
        <w:t>8</w:t>
      </w:r>
      <w:r w:rsidRPr="00E23377">
        <w:noBreakHyphen/>
        <w:t>1</w:t>
      </w:r>
      <w:r>
        <w:t>9</w:t>
      </w:r>
    </w:p>
    <w:tbl>
      <w:tblPr>
        <w:tblW w:w="8980" w:type="dxa"/>
        <w:tblBorders>
          <w:top w:val="single" w:sz="4" w:space="0" w:color="ADD6EA"/>
          <w:bottom w:val="single" w:sz="4" w:space="0" w:color="ADD6EA"/>
          <w:insideH w:val="single" w:sz="4" w:space="0" w:color="ADD6EA"/>
        </w:tblBorders>
        <w:tblCellMar>
          <w:left w:w="0" w:type="dxa"/>
          <w:right w:w="0" w:type="dxa"/>
        </w:tblCellMar>
        <w:tblLook w:val="04A0" w:firstRow="1" w:lastRow="0" w:firstColumn="1" w:lastColumn="0" w:noHBand="0" w:noVBand="1"/>
      </w:tblPr>
      <w:tblGrid>
        <w:gridCol w:w="3540"/>
        <w:gridCol w:w="1360"/>
        <w:gridCol w:w="1360"/>
        <w:gridCol w:w="1360"/>
        <w:gridCol w:w="1360"/>
      </w:tblGrid>
      <w:tr w:rsidR="007E365E" w:rsidRPr="00376119" w14:paraId="60B020CA" w14:textId="77777777" w:rsidTr="007D1D77">
        <w:trPr>
          <w:trHeight w:val="375"/>
        </w:trPr>
        <w:tc>
          <w:tcPr>
            <w:tcW w:w="3540" w:type="dxa"/>
            <w:shd w:val="clear" w:color="000000" w:fill="006991"/>
            <w:tcMar>
              <w:top w:w="15" w:type="dxa"/>
              <w:left w:w="15" w:type="dxa"/>
              <w:bottom w:w="0" w:type="dxa"/>
              <w:right w:w="15" w:type="dxa"/>
            </w:tcMar>
            <w:vAlign w:val="center"/>
            <w:hideMark/>
          </w:tcPr>
          <w:p w14:paraId="477FD6BD" w14:textId="77777777" w:rsidR="007E365E" w:rsidRDefault="007E365E" w:rsidP="007D1D77">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1360" w:type="dxa"/>
            <w:shd w:val="clear" w:color="000000" w:fill="006991"/>
            <w:tcMar>
              <w:top w:w="15" w:type="dxa"/>
              <w:left w:w="15" w:type="dxa"/>
              <w:bottom w:w="0" w:type="dxa"/>
              <w:right w:w="15" w:type="dxa"/>
            </w:tcMar>
            <w:vAlign w:val="center"/>
            <w:hideMark/>
          </w:tcPr>
          <w:p w14:paraId="0E5DEC73"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2015-16</w:t>
            </w:r>
          </w:p>
        </w:tc>
        <w:tc>
          <w:tcPr>
            <w:tcW w:w="1360" w:type="dxa"/>
            <w:shd w:val="clear" w:color="000000" w:fill="006991"/>
            <w:tcMar>
              <w:top w:w="15" w:type="dxa"/>
              <w:left w:w="15" w:type="dxa"/>
              <w:bottom w:w="0" w:type="dxa"/>
              <w:right w:w="15" w:type="dxa"/>
            </w:tcMar>
            <w:vAlign w:val="center"/>
            <w:hideMark/>
          </w:tcPr>
          <w:p w14:paraId="4444BECF"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2016-17</w:t>
            </w:r>
          </w:p>
        </w:tc>
        <w:tc>
          <w:tcPr>
            <w:tcW w:w="1360" w:type="dxa"/>
            <w:shd w:val="clear" w:color="000000" w:fill="006991"/>
            <w:tcMar>
              <w:top w:w="15" w:type="dxa"/>
              <w:left w:w="15" w:type="dxa"/>
              <w:bottom w:w="0" w:type="dxa"/>
              <w:right w:w="15" w:type="dxa"/>
            </w:tcMar>
            <w:vAlign w:val="center"/>
            <w:hideMark/>
          </w:tcPr>
          <w:p w14:paraId="1C58EC89"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2017-18</w:t>
            </w:r>
          </w:p>
        </w:tc>
        <w:tc>
          <w:tcPr>
            <w:tcW w:w="1360" w:type="dxa"/>
            <w:shd w:val="clear" w:color="000000" w:fill="006991"/>
            <w:tcMar>
              <w:top w:w="15" w:type="dxa"/>
              <w:left w:w="15" w:type="dxa"/>
              <w:bottom w:w="0" w:type="dxa"/>
              <w:right w:w="15" w:type="dxa"/>
            </w:tcMar>
            <w:vAlign w:val="center"/>
            <w:hideMark/>
          </w:tcPr>
          <w:p w14:paraId="1A76F560"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2018-19</w:t>
            </w:r>
          </w:p>
        </w:tc>
      </w:tr>
      <w:tr w:rsidR="007E365E" w:rsidRPr="00376119" w14:paraId="1DF70380" w14:textId="77777777" w:rsidTr="007D1D77">
        <w:trPr>
          <w:trHeight w:val="315"/>
        </w:trPr>
        <w:tc>
          <w:tcPr>
            <w:tcW w:w="3540" w:type="dxa"/>
            <w:shd w:val="clear" w:color="auto" w:fill="auto"/>
            <w:tcMar>
              <w:top w:w="15" w:type="dxa"/>
              <w:left w:w="15" w:type="dxa"/>
              <w:bottom w:w="0" w:type="dxa"/>
              <w:right w:w="15" w:type="dxa"/>
            </w:tcMar>
            <w:vAlign w:val="bottom"/>
            <w:hideMark/>
          </w:tcPr>
          <w:p w14:paraId="5FE6D912" w14:textId="77777777" w:rsidR="007E365E" w:rsidRDefault="007E365E" w:rsidP="007D1D77">
            <w:pPr>
              <w:spacing w:before="0"/>
              <w:rPr>
                <w:rFonts w:cs="Open Sans Light"/>
                <w:sz w:val="16"/>
                <w:szCs w:val="16"/>
              </w:rPr>
            </w:pPr>
            <w:r>
              <w:rPr>
                <w:rFonts w:cs="Open Sans Light"/>
                <w:sz w:val="16"/>
                <w:szCs w:val="16"/>
              </w:rPr>
              <w:t>Total expenditure ($m)</w:t>
            </w:r>
          </w:p>
        </w:tc>
        <w:tc>
          <w:tcPr>
            <w:tcW w:w="1360" w:type="dxa"/>
            <w:shd w:val="clear" w:color="auto" w:fill="auto"/>
            <w:tcMar>
              <w:top w:w="15" w:type="dxa"/>
              <w:left w:w="15" w:type="dxa"/>
              <w:bottom w:w="0" w:type="dxa"/>
              <w:right w:w="15" w:type="dxa"/>
            </w:tcMar>
            <w:vAlign w:val="bottom"/>
            <w:hideMark/>
          </w:tcPr>
          <w:p w14:paraId="362272C3" w14:textId="77777777" w:rsidR="007E365E" w:rsidRDefault="007E365E" w:rsidP="007D1D77">
            <w:pPr>
              <w:spacing w:before="0"/>
              <w:jc w:val="right"/>
              <w:rPr>
                <w:rFonts w:cs="Open Sans Light"/>
                <w:sz w:val="16"/>
                <w:szCs w:val="16"/>
              </w:rPr>
            </w:pPr>
            <w:r>
              <w:rPr>
                <w:rFonts w:cs="Open Sans Light"/>
                <w:sz w:val="16"/>
                <w:szCs w:val="16"/>
              </w:rPr>
              <w:t>12,729</w:t>
            </w:r>
          </w:p>
        </w:tc>
        <w:tc>
          <w:tcPr>
            <w:tcW w:w="1360" w:type="dxa"/>
            <w:shd w:val="clear" w:color="auto" w:fill="auto"/>
            <w:tcMar>
              <w:top w:w="15" w:type="dxa"/>
              <w:left w:w="15" w:type="dxa"/>
              <w:bottom w:w="0" w:type="dxa"/>
              <w:right w:w="15" w:type="dxa"/>
            </w:tcMar>
            <w:vAlign w:val="bottom"/>
            <w:hideMark/>
          </w:tcPr>
          <w:p w14:paraId="629979E8" w14:textId="77777777" w:rsidR="007E365E" w:rsidRDefault="007E365E" w:rsidP="007D1D77">
            <w:pPr>
              <w:spacing w:before="0"/>
              <w:jc w:val="right"/>
              <w:rPr>
                <w:rFonts w:cs="Open Sans Light"/>
                <w:sz w:val="16"/>
                <w:szCs w:val="16"/>
              </w:rPr>
            </w:pPr>
            <w:r>
              <w:rPr>
                <w:rFonts w:cs="Open Sans Light"/>
                <w:sz w:val="16"/>
                <w:szCs w:val="16"/>
              </w:rPr>
              <w:t>15,540</w:t>
            </w:r>
          </w:p>
        </w:tc>
        <w:tc>
          <w:tcPr>
            <w:tcW w:w="1360" w:type="dxa"/>
            <w:shd w:val="clear" w:color="auto" w:fill="auto"/>
            <w:tcMar>
              <w:top w:w="15" w:type="dxa"/>
              <w:left w:w="15" w:type="dxa"/>
              <w:bottom w:w="0" w:type="dxa"/>
              <w:right w:w="15" w:type="dxa"/>
            </w:tcMar>
            <w:vAlign w:val="bottom"/>
            <w:hideMark/>
          </w:tcPr>
          <w:p w14:paraId="34E695AB" w14:textId="77777777" w:rsidR="007E365E" w:rsidRDefault="007E365E" w:rsidP="007D1D77">
            <w:pPr>
              <w:spacing w:before="0"/>
              <w:jc w:val="right"/>
              <w:rPr>
                <w:rFonts w:cs="Open Sans Light"/>
                <w:sz w:val="16"/>
                <w:szCs w:val="16"/>
              </w:rPr>
            </w:pPr>
            <w:r>
              <w:rPr>
                <w:rFonts w:cs="Open Sans Light"/>
                <w:sz w:val="16"/>
                <w:szCs w:val="16"/>
              </w:rPr>
              <w:t>17,558</w:t>
            </w:r>
          </w:p>
        </w:tc>
        <w:tc>
          <w:tcPr>
            <w:tcW w:w="1360" w:type="dxa"/>
            <w:shd w:val="clear" w:color="auto" w:fill="auto"/>
            <w:tcMar>
              <w:top w:w="15" w:type="dxa"/>
              <w:left w:w="15" w:type="dxa"/>
              <w:bottom w:w="0" w:type="dxa"/>
              <w:right w:w="15" w:type="dxa"/>
            </w:tcMar>
            <w:vAlign w:val="bottom"/>
            <w:hideMark/>
          </w:tcPr>
          <w:p w14:paraId="0D08998A" w14:textId="77777777" w:rsidR="007E365E" w:rsidRDefault="007E365E" w:rsidP="007D1D77">
            <w:pPr>
              <w:spacing w:before="0"/>
              <w:jc w:val="right"/>
              <w:rPr>
                <w:rFonts w:cs="Open Sans Light"/>
                <w:sz w:val="16"/>
                <w:szCs w:val="16"/>
              </w:rPr>
            </w:pPr>
            <w:r>
              <w:rPr>
                <w:rFonts w:cs="Open Sans Light"/>
                <w:sz w:val="16"/>
                <w:szCs w:val="16"/>
              </w:rPr>
              <w:t>18,708</w:t>
            </w:r>
          </w:p>
        </w:tc>
      </w:tr>
      <w:tr w:rsidR="007E365E" w:rsidRPr="00376119" w14:paraId="624CF80B" w14:textId="77777777" w:rsidTr="007D1D77">
        <w:trPr>
          <w:trHeight w:val="315"/>
        </w:trPr>
        <w:tc>
          <w:tcPr>
            <w:tcW w:w="3540" w:type="dxa"/>
            <w:shd w:val="clear" w:color="auto" w:fill="auto"/>
            <w:tcMar>
              <w:top w:w="15" w:type="dxa"/>
              <w:left w:w="15" w:type="dxa"/>
              <w:bottom w:w="0" w:type="dxa"/>
              <w:right w:w="15" w:type="dxa"/>
            </w:tcMar>
            <w:vAlign w:val="bottom"/>
            <w:hideMark/>
          </w:tcPr>
          <w:p w14:paraId="284DFA1A" w14:textId="77777777" w:rsidR="007E365E" w:rsidRDefault="007E365E" w:rsidP="007D1D77">
            <w:pPr>
              <w:spacing w:before="0"/>
              <w:rPr>
                <w:rFonts w:cs="Open Sans Light"/>
                <w:sz w:val="16"/>
                <w:szCs w:val="16"/>
              </w:rPr>
            </w:pPr>
            <w:r>
              <w:rPr>
                <w:rFonts w:cs="Open Sans Light"/>
                <w:sz w:val="16"/>
                <w:szCs w:val="16"/>
              </w:rPr>
              <w:t>Proportion of total expenditure (%)</w:t>
            </w:r>
          </w:p>
        </w:tc>
        <w:tc>
          <w:tcPr>
            <w:tcW w:w="1360" w:type="dxa"/>
            <w:shd w:val="clear" w:color="auto" w:fill="auto"/>
            <w:tcMar>
              <w:top w:w="15" w:type="dxa"/>
              <w:left w:w="15" w:type="dxa"/>
              <w:bottom w:w="0" w:type="dxa"/>
              <w:right w:w="15" w:type="dxa"/>
            </w:tcMar>
            <w:vAlign w:val="bottom"/>
            <w:hideMark/>
          </w:tcPr>
          <w:p w14:paraId="52807E8D" w14:textId="77777777" w:rsidR="007E365E" w:rsidRDefault="007E365E" w:rsidP="007D1D77">
            <w:pPr>
              <w:spacing w:before="0"/>
              <w:jc w:val="right"/>
              <w:rPr>
                <w:rFonts w:cs="Open Sans Light"/>
                <w:sz w:val="16"/>
                <w:szCs w:val="16"/>
              </w:rPr>
            </w:pPr>
            <w:r>
              <w:rPr>
                <w:rFonts w:cs="Open Sans Light"/>
                <w:sz w:val="16"/>
                <w:szCs w:val="16"/>
              </w:rPr>
              <w:t>6.0</w:t>
            </w:r>
          </w:p>
        </w:tc>
        <w:tc>
          <w:tcPr>
            <w:tcW w:w="1360" w:type="dxa"/>
            <w:shd w:val="clear" w:color="auto" w:fill="auto"/>
            <w:tcMar>
              <w:top w:w="15" w:type="dxa"/>
              <w:left w:w="15" w:type="dxa"/>
              <w:bottom w:w="0" w:type="dxa"/>
              <w:right w:w="15" w:type="dxa"/>
            </w:tcMar>
            <w:vAlign w:val="bottom"/>
            <w:hideMark/>
          </w:tcPr>
          <w:p w14:paraId="2683CF86" w14:textId="77777777" w:rsidR="007E365E" w:rsidRDefault="007E365E" w:rsidP="007D1D77">
            <w:pPr>
              <w:spacing w:before="0"/>
              <w:jc w:val="right"/>
              <w:rPr>
                <w:rFonts w:cs="Open Sans Light"/>
                <w:sz w:val="16"/>
                <w:szCs w:val="16"/>
              </w:rPr>
            </w:pPr>
            <w:r>
              <w:rPr>
                <w:rFonts w:cs="Open Sans Light"/>
                <w:sz w:val="16"/>
                <w:szCs w:val="16"/>
              </w:rPr>
              <w:t>6.8</w:t>
            </w:r>
          </w:p>
        </w:tc>
        <w:tc>
          <w:tcPr>
            <w:tcW w:w="1360" w:type="dxa"/>
            <w:shd w:val="clear" w:color="auto" w:fill="auto"/>
            <w:tcMar>
              <w:top w:w="15" w:type="dxa"/>
              <w:left w:w="15" w:type="dxa"/>
              <w:bottom w:w="0" w:type="dxa"/>
              <w:right w:w="15" w:type="dxa"/>
            </w:tcMar>
            <w:vAlign w:val="bottom"/>
            <w:hideMark/>
          </w:tcPr>
          <w:p w14:paraId="29BD1B87" w14:textId="77777777" w:rsidR="007E365E" w:rsidRDefault="007E365E" w:rsidP="007D1D77">
            <w:pPr>
              <w:spacing w:before="0"/>
              <w:jc w:val="right"/>
              <w:rPr>
                <w:rFonts w:cs="Open Sans Light"/>
                <w:sz w:val="16"/>
                <w:szCs w:val="16"/>
              </w:rPr>
            </w:pPr>
            <w:r>
              <w:rPr>
                <w:rFonts w:cs="Open Sans Light"/>
                <w:sz w:val="16"/>
                <w:szCs w:val="16"/>
              </w:rPr>
              <w:t>7.2</w:t>
            </w:r>
          </w:p>
        </w:tc>
        <w:tc>
          <w:tcPr>
            <w:tcW w:w="1360" w:type="dxa"/>
            <w:shd w:val="clear" w:color="auto" w:fill="auto"/>
            <w:tcMar>
              <w:top w:w="15" w:type="dxa"/>
              <w:left w:w="15" w:type="dxa"/>
              <w:bottom w:w="0" w:type="dxa"/>
              <w:right w:w="15" w:type="dxa"/>
            </w:tcMar>
            <w:vAlign w:val="bottom"/>
            <w:hideMark/>
          </w:tcPr>
          <w:p w14:paraId="56D5C755" w14:textId="77777777" w:rsidR="007E365E" w:rsidRDefault="007E365E" w:rsidP="007D1D77">
            <w:pPr>
              <w:spacing w:before="0"/>
              <w:jc w:val="right"/>
              <w:rPr>
                <w:rFonts w:cs="Open Sans Light"/>
                <w:sz w:val="16"/>
                <w:szCs w:val="16"/>
              </w:rPr>
            </w:pPr>
            <w:r>
              <w:rPr>
                <w:rFonts w:cs="Open Sans Light"/>
                <w:sz w:val="16"/>
                <w:szCs w:val="16"/>
              </w:rPr>
              <w:t>7.3</w:t>
            </w:r>
          </w:p>
        </w:tc>
      </w:tr>
    </w:tbl>
    <w:p w14:paraId="3DD4BAFA" w14:textId="77777777" w:rsidR="007E365E" w:rsidRPr="00E23377" w:rsidRDefault="007E365E" w:rsidP="007E365E">
      <w:pPr>
        <w:pStyle w:val="CGCTablenote"/>
      </w:pPr>
      <w:r w:rsidRPr="00E23377">
        <w:t>Note:</w:t>
      </w:r>
      <w:r w:rsidRPr="00E23377">
        <w:tab/>
      </w:r>
      <w:r>
        <w:tab/>
      </w:r>
      <w:r w:rsidRPr="00E23377">
        <w:t xml:space="preserve">Expenditure shown on a gross basis. </w:t>
      </w:r>
    </w:p>
    <w:p w14:paraId="2515E1C3" w14:textId="77777777" w:rsidR="007E365E" w:rsidRPr="00E23377" w:rsidRDefault="007E365E" w:rsidP="007E365E">
      <w:pPr>
        <w:pStyle w:val="CGCTablenote"/>
      </w:pPr>
      <w:r w:rsidRPr="00E23377">
        <w:t>Source:</w:t>
      </w:r>
      <w:r w:rsidRPr="00E23377">
        <w:tab/>
        <w:t xml:space="preserve">Commission calculation using </w:t>
      </w:r>
      <w:r>
        <w:t>A</w:t>
      </w:r>
      <w:r w:rsidRPr="00302BC8">
        <w:t xml:space="preserve">ustralian </w:t>
      </w:r>
      <w:r>
        <w:t>B</w:t>
      </w:r>
      <w:r w:rsidRPr="00302BC8">
        <w:t xml:space="preserve">ureau of </w:t>
      </w:r>
      <w:r>
        <w:t>S</w:t>
      </w:r>
      <w:r w:rsidRPr="00302BC8">
        <w:t>tatistics</w:t>
      </w:r>
      <w:r>
        <w:t xml:space="preserve"> (</w:t>
      </w:r>
      <w:r w:rsidRPr="00F82513">
        <w:t>ABS</w:t>
      </w:r>
      <w:r>
        <w:t>)</w:t>
      </w:r>
      <w:r w:rsidRPr="00F82513">
        <w:t xml:space="preserve"> </w:t>
      </w:r>
      <w:r w:rsidRPr="00E23377">
        <w:t>Government Finance Statistics (GFS) and State budget data.</w:t>
      </w:r>
    </w:p>
    <w:p w14:paraId="5382C09E" w14:textId="0C10451A" w:rsidR="007E365E" w:rsidRPr="00E23377" w:rsidRDefault="007E365E" w:rsidP="007E365E">
      <w:pPr>
        <w:pStyle w:val="CGCParaNumber"/>
      </w:pPr>
      <w:r w:rsidRPr="00E23377">
        <w:t>User charges were $</w:t>
      </w:r>
      <w:r>
        <w:t>2.3</w:t>
      </w:r>
      <w:r w:rsidRPr="00E23377">
        <w:t> billion in 201</w:t>
      </w:r>
      <w:r>
        <w:t>8</w:t>
      </w:r>
      <w:r w:rsidRPr="00E23377">
        <w:t>-1</w:t>
      </w:r>
      <w:r>
        <w:t>9</w:t>
      </w:r>
      <w:r w:rsidRPr="00E23377">
        <w:t xml:space="preserve"> and include fines, license fees and tolls</w:t>
      </w:r>
      <w:r>
        <w:t xml:space="preserve"> (</w:t>
      </w:r>
      <w:r>
        <w:fldChar w:fldCharType="begin"/>
      </w:r>
      <w:r>
        <w:instrText xml:space="preserve"> REF _Ref31352996 \h </w:instrText>
      </w:r>
      <w:r>
        <w:fldChar w:fldCharType="separate"/>
      </w:r>
      <w:r w:rsidR="007F721A" w:rsidRPr="00E23377">
        <w:t>Table</w:t>
      </w:r>
      <w:r w:rsidR="007F721A">
        <w:t> 20</w:t>
      </w:r>
      <w:r w:rsidR="007F721A">
        <w:noBreakHyphen/>
      </w:r>
      <w:r w:rsidR="007F721A">
        <w:rPr>
          <w:noProof/>
        </w:rPr>
        <w:t>3</w:t>
      </w:r>
      <w:r>
        <w:fldChar w:fldCharType="end"/>
      </w:r>
      <w:r>
        <w:t>)</w:t>
      </w:r>
      <w:r w:rsidRPr="00E23377">
        <w:t>. In this category, user charges are assessed on an equal per capita (EPC) basis in the Other</w:t>
      </w:r>
      <w:r>
        <w:t> </w:t>
      </w:r>
      <w:r w:rsidRPr="00E23377">
        <w:t xml:space="preserve">revenue category. </w:t>
      </w:r>
    </w:p>
    <w:p w14:paraId="5A2451E0" w14:textId="607077FF" w:rsidR="007E365E" w:rsidRPr="007B5C63" w:rsidRDefault="007E365E" w:rsidP="007E365E">
      <w:pPr>
        <w:pStyle w:val="Caption"/>
      </w:pPr>
      <w:bookmarkStart w:id="149" w:name="_Ref31352996"/>
      <w:r w:rsidRPr="00E23377">
        <w:t>Table</w:t>
      </w:r>
      <w:r w:rsidR="00D83784">
        <w:t> </w:t>
      </w:r>
      <w:r>
        <w:t>20</w:t>
      </w:r>
      <w:r w:rsidR="00D83784">
        <w:noBreakHyphen/>
      </w:r>
      <w:fldSimple w:instr=" SEQ Table \* ARABIC ">
        <w:r w:rsidR="007F721A">
          <w:rPr>
            <w:noProof/>
          </w:rPr>
          <w:t>3</w:t>
        </w:r>
      </w:fldSimple>
      <w:bookmarkEnd w:id="149"/>
      <w:r w:rsidRPr="00E23377">
        <w:tab/>
        <w:t>Roads, user charges, 201</w:t>
      </w:r>
      <w:r>
        <w:t>8</w:t>
      </w:r>
      <w:r w:rsidRPr="00E23377">
        <w:noBreakHyphen/>
        <w:t>1</w:t>
      </w:r>
      <w:r>
        <w:t>9</w:t>
      </w:r>
      <w:r w:rsidRPr="00E23377">
        <w:t xml:space="preserve"> </w:t>
      </w:r>
    </w:p>
    <w:tbl>
      <w:tblPr>
        <w:tblW w:w="8940" w:type="dxa"/>
        <w:tblBorders>
          <w:top w:val="single" w:sz="4" w:space="0" w:color="ADD6EA"/>
          <w:bottom w:val="single" w:sz="4" w:space="0" w:color="ADD6EA"/>
          <w:insideH w:val="single" w:sz="4" w:space="0" w:color="ADD6EA"/>
        </w:tblBorders>
        <w:tblCellMar>
          <w:left w:w="0" w:type="dxa"/>
          <w:right w:w="0" w:type="dxa"/>
        </w:tblCellMar>
        <w:tblLook w:val="04A0" w:firstRow="1" w:lastRow="0" w:firstColumn="1" w:lastColumn="0" w:noHBand="0" w:noVBand="1"/>
      </w:tblPr>
      <w:tblGrid>
        <w:gridCol w:w="2880"/>
        <w:gridCol w:w="700"/>
        <w:gridCol w:w="700"/>
        <w:gridCol w:w="700"/>
        <w:gridCol w:w="700"/>
        <w:gridCol w:w="580"/>
        <w:gridCol w:w="580"/>
        <w:gridCol w:w="600"/>
        <w:gridCol w:w="700"/>
        <w:gridCol w:w="800"/>
      </w:tblGrid>
      <w:tr w:rsidR="007E365E" w:rsidRPr="009E6CAB" w14:paraId="3B25DB1C" w14:textId="77777777" w:rsidTr="007D1D77">
        <w:trPr>
          <w:trHeight w:val="375"/>
        </w:trPr>
        <w:tc>
          <w:tcPr>
            <w:tcW w:w="2880" w:type="dxa"/>
            <w:shd w:val="clear" w:color="000000" w:fill="006991"/>
            <w:tcMar>
              <w:top w:w="15" w:type="dxa"/>
              <w:left w:w="15" w:type="dxa"/>
              <w:bottom w:w="0" w:type="dxa"/>
              <w:right w:w="15" w:type="dxa"/>
            </w:tcMar>
            <w:vAlign w:val="center"/>
            <w:hideMark/>
          </w:tcPr>
          <w:p w14:paraId="3E65EE78" w14:textId="77777777" w:rsidR="007E365E" w:rsidRDefault="007E365E" w:rsidP="007D1D77">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700" w:type="dxa"/>
            <w:shd w:val="clear" w:color="000000" w:fill="006991"/>
            <w:tcMar>
              <w:top w:w="15" w:type="dxa"/>
              <w:left w:w="15" w:type="dxa"/>
              <w:bottom w:w="0" w:type="dxa"/>
              <w:right w:w="15" w:type="dxa"/>
            </w:tcMar>
            <w:vAlign w:val="center"/>
            <w:hideMark/>
          </w:tcPr>
          <w:p w14:paraId="677A413E"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shd w:val="clear" w:color="000000" w:fill="006991"/>
            <w:tcMar>
              <w:top w:w="15" w:type="dxa"/>
              <w:left w:w="15" w:type="dxa"/>
              <w:bottom w:w="0" w:type="dxa"/>
              <w:right w:w="15" w:type="dxa"/>
            </w:tcMar>
            <w:vAlign w:val="center"/>
            <w:hideMark/>
          </w:tcPr>
          <w:p w14:paraId="5825C495"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shd w:val="clear" w:color="000000" w:fill="006991"/>
            <w:tcMar>
              <w:top w:w="15" w:type="dxa"/>
              <w:left w:w="15" w:type="dxa"/>
              <w:bottom w:w="0" w:type="dxa"/>
              <w:right w:w="15" w:type="dxa"/>
            </w:tcMar>
            <w:vAlign w:val="center"/>
            <w:hideMark/>
          </w:tcPr>
          <w:p w14:paraId="3BF378E6"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shd w:val="clear" w:color="000000" w:fill="006991"/>
            <w:tcMar>
              <w:top w:w="15" w:type="dxa"/>
              <w:left w:w="15" w:type="dxa"/>
              <w:bottom w:w="0" w:type="dxa"/>
              <w:right w:w="15" w:type="dxa"/>
            </w:tcMar>
            <w:vAlign w:val="center"/>
            <w:hideMark/>
          </w:tcPr>
          <w:p w14:paraId="0671D132"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580" w:type="dxa"/>
            <w:shd w:val="clear" w:color="000000" w:fill="006991"/>
            <w:tcMar>
              <w:top w:w="15" w:type="dxa"/>
              <w:left w:w="15" w:type="dxa"/>
              <w:bottom w:w="0" w:type="dxa"/>
              <w:right w:w="15" w:type="dxa"/>
            </w:tcMar>
            <w:vAlign w:val="center"/>
            <w:hideMark/>
          </w:tcPr>
          <w:p w14:paraId="57732322"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580" w:type="dxa"/>
            <w:shd w:val="clear" w:color="000000" w:fill="006991"/>
            <w:tcMar>
              <w:top w:w="15" w:type="dxa"/>
              <w:left w:w="15" w:type="dxa"/>
              <w:bottom w:w="0" w:type="dxa"/>
              <w:right w:w="15" w:type="dxa"/>
            </w:tcMar>
            <w:vAlign w:val="center"/>
            <w:hideMark/>
          </w:tcPr>
          <w:p w14:paraId="7717C37D"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600" w:type="dxa"/>
            <w:shd w:val="clear" w:color="000000" w:fill="006991"/>
            <w:tcMar>
              <w:top w:w="15" w:type="dxa"/>
              <w:left w:w="15" w:type="dxa"/>
              <w:bottom w:w="0" w:type="dxa"/>
              <w:right w:w="15" w:type="dxa"/>
            </w:tcMar>
            <w:vAlign w:val="center"/>
            <w:hideMark/>
          </w:tcPr>
          <w:p w14:paraId="65B38114"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00" w:type="dxa"/>
            <w:shd w:val="clear" w:color="000000" w:fill="006991"/>
            <w:tcMar>
              <w:top w:w="15" w:type="dxa"/>
              <w:left w:w="15" w:type="dxa"/>
              <w:bottom w:w="0" w:type="dxa"/>
              <w:right w:w="15" w:type="dxa"/>
            </w:tcMar>
            <w:vAlign w:val="center"/>
            <w:hideMark/>
          </w:tcPr>
          <w:p w14:paraId="326BC10C"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800" w:type="dxa"/>
            <w:shd w:val="clear" w:color="000000" w:fill="006991"/>
            <w:tcMar>
              <w:top w:w="15" w:type="dxa"/>
              <w:left w:w="15" w:type="dxa"/>
              <w:bottom w:w="0" w:type="dxa"/>
              <w:right w:w="15" w:type="dxa"/>
            </w:tcMar>
            <w:vAlign w:val="center"/>
            <w:hideMark/>
          </w:tcPr>
          <w:p w14:paraId="6AD9A899"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7E365E" w:rsidRPr="009E6CAB" w14:paraId="4BB712BC" w14:textId="77777777" w:rsidTr="007D1D77">
        <w:trPr>
          <w:trHeight w:val="315"/>
        </w:trPr>
        <w:tc>
          <w:tcPr>
            <w:tcW w:w="2880" w:type="dxa"/>
            <w:shd w:val="clear" w:color="auto" w:fill="auto"/>
            <w:tcMar>
              <w:top w:w="15" w:type="dxa"/>
              <w:left w:w="15" w:type="dxa"/>
              <w:bottom w:w="0" w:type="dxa"/>
              <w:right w:w="15" w:type="dxa"/>
            </w:tcMar>
            <w:vAlign w:val="bottom"/>
            <w:hideMark/>
          </w:tcPr>
          <w:p w14:paraId="36539FCF" w14:textId="77777777" w:rsidR="007E365E" w:rsidRDefault="007E365E" w:rsidP="007D1D77">
            <w:pPr>
              <w:spacing w:before="0"/>
              <w:rPr>
                <w:rFonts w:cs="Open Sans Light"/>
                <w:sz w:val="16"/>
                <w:szCs w:val="16"/>
              </w:rPr>
            </w:pPr>
            <w:r>
              <w:rPr>
                <w:rFonts w:cs="Open Sans Light"/>
                <w:sz w:val="16"/>
                <w:szCs w:val="16"/>
              </w:rPr>
              <w:t>Revenue ($m)</w:t>
            </w:r>
          </w:p>
        </w:tc>
        <w:tc>
          <w:tcPr>
            <w:tcW w:w="700" w:type="dxa"/>
            <w:shd w:val="clear" w:color="auto" w:fill="auto"/>
            <w:tcMar>
              <w:top w:w="15" w:type="dxa"/>
              <w:left w:w="15" w:type="dxa"/>
              <w:bottom w:w="0" w:type="dxa"/>
              <w:right w:w="15" w:type="dxa"/>
            </w:tcMar>
            <w:vAlign w:val="bottom"/>
            <w:hideMark/>
          </w:tcPr>
          <w:p w14:paraId="41268B7C" w14:textId="77777777" w:rsidR="007E365E" w:rsidRDefault="007E365E" w:rsidP="007D1D77">
            <w:pPr>
              <w:spacing w:before="0"/>
              <w:jc w:val="right"/>
              <w:rPr>
                <w:rFonts w:cs="Open Sans Light"/>
                <w:sz w:val="16"/>
                <w:szCs w:val="16"/>
              </w:rPr>
            </w:pPr>
            <w:r>
              <w:rPr>
                <w:rFonts w:cs="Open Sans Light"/>
                <w:sz w:val="16"/>
                <w:szCs w:val="16"/>
              </w:rPr>
              <w:t>821</w:t>
            </w:r>
          </w:p>
        </w:tc>
        <w:tc>
          <w:tcPr>
            <w:tcW w:w="700" w:type="dxa"/>
            <w:shd w:val="clear" w:color="auto" w:fill="auto"/>
            <w:tcMar>
              <w:top w:w="15" w:type="dxa"/>
              <w:left w:w="15" w:type="dxa"/>
              <w:bottom w:w="0" w:type="dxa"/>
              <w:right w:w="15" w:type="dxa"/>
            </w:tcMar>
            <w:vAlign w:val="bottom"/>
            <w:hideMark/>
          </w:tcPr>
          <w:p w14:paraId="7EC1F23A" w14:textId="77777777" w:rsidR="007E365E" w:rsidRDefault="007E365E" w:rsidP="007D1D77">
            <w:pPr>
              <w:spacing w:before="0"/>
              <w:jc w:val="right"/>
              <w:rPr>
                <w:rFonts w:cs="Open Sans Light"/>
                <w:sz w:val="16"/>
                <w:szCs w:val="16"/>
              </w:rPr>
            </w:pPr>
            <w:r>
              <w:rPr>
                <w:rFonts w:cs="Open Sans Light"/>
                <w:sz w:val="16"/>
                <w:szCs w:val="16"/>
              </w:rPr>
              <w:t>446</w:t>
            </w:r>
          </w:p>
        </w:tc>
        <w:tc>
          <w:tcPr>
            <w:tcW w:w="700" w:type="dxa"/>
            <w:shd w:val="clear" w:color="auto" w:fill="auto"/>
            <w:tcMar>
              <w:top w:w="15" w:type="dxa"/>
              <w:left w:w="15" w:type="dxa"/>
              <w:bottom w:w="0" w:type="dxa"/>
              <w:right w:w="15" w:type="dxa"/>
            </w:tcMar>
            <w:vAlign w:val="bottom"/>
            <w:hideMark/>
          </w:tcPr>
          <w:p w14:paraId="7176A7A2" w14:textId="77777777" w:rsidR="007E365E" w:rsidRDefault="007E365E" w:rsidP="007D1D77">
            <w:pPr>
              <w:spacing w:before="0"/>
              <w:jc w:val="right"/>
              <w:rPr>
                <w:rFonts w:cs="Open Sans Light"/>
                <w:sz w:val="16"/>
                <w:szCs w:val="16"/>
              </w:rPr>
            </w:pPr>
            <w:r>
              <w:rPr>
                <w:rFonts w:cs="Open Sans Light"/>
                <w:sz w:val="16"/>
                <w:szCs w:val="16"/>
              </w:rPr>
              <w:t>558</w:t>
            </w:r>
          </w:p>
        </w:tc>
        <w:tc>
          <w:tcPr>
            <w:tcW w:w="700" w:type="dxa"/>
            <w:shd w:val="clear" w:color="auto" w:fill="auto"/>
            <w:tcMar>
              <w:top w:w="15" w:type="dxa"/>
              <w:left w:w="15" w:type="dxa"/>
              <w:bottom w:w="0" w:type="dxa"/>
              <w:right w:w="15" w:type="dxa"/>
            </w:tcMar>
            <w:vAlign w:val="bottom"/>
            <w:hideMark/>
          </w:tcPr>
          <w:p w14:paraId="7009E8C3" w14:textId="77777777" w:rsidR="007E365E" w:rsidRDefault="007E365E" w:rsidP="007D1D77">
            <w:pPr>
              <w:spacing w:before="0"/>
              <w:jc w:val="right"/>
              <w:rPr>
                <w:rFonts w:cs="Open Sans Light"/>
                <w:sz w:val="16"/>
                <w:szCs w:val="16"/>
              </w:rPr>
            </w:pPr>
            <w:r>
              <w:rPr>
                <w:rFonts w:cs="Open Sans Light"/>
                <w:sz w:val="16"/>
                <w:szCs w:val="16"/>
              </w:rPr>
              <w:t>249</w:t>
            </w:r>
          </w:p>
        </w:tc>
        <w:tc>
          <w:tcPr>
            <w:tcW w:w="580" w:type="dxa"/>
            <w:shd w:val="clear" w:color="auto" w:fill="auto"/>
            <w:tcMar>
              <w:top w:w="15" w:type="dxa"/>
              <w:left w:w="15" w:type="dxa"/>
              <w:bottom w:w="0" w:type="dxa"/>
              <w:right w:w="15" w:type="dxa"/>
            </w:tcMar>
            <w:vAlign w:val="bottom"/>
            <w:hideMark/>
          </w:tcPr>
          <w:p w14:paraId="473364DE" w14:textId="77777777" w:rsidR="007E365E" w:rsidRDefault="007E365E" w:rsidP="007D1D77">
            <w:pPr>
              <w:spacing w:before="0"/>
              <w:jc w:val="right"/>
              <w:rPr>
                <w:rFonts w:cs="Open Sans Light"/>
                <w:sz w:val="16"/>
                <w:szCs w:val="16"/>
              </w:rPr>
            </w:pPr>
            <w:r>
              <w:rPr>
                <w:rFonts w:cs="Open Sans Light"/>
                <w:sz w:val="16"/>
                <w:szCs w:val="16"/>
              </w:rPr>
              <w:t>175</w:t>
            </w:r>
          </w:p>
        </w:tc>
        <w:tc>
          <w:tcPr>
            <w:tcW w:w="580" w:type="dxa"/>
            <w:shd w:val="clear" w:color="auto" w:fill="auto"/>
            <w:tcMar>
              <w:top w:w="15" w:type="dxa"/>
              <w:left w:w="15" w:type="dxa"/>
              <w:bottom w:w="0" w:type="dxa"/>
              <w:right w:w="15" w:type="dxa"/>
            </w:tcMar>
            <w:vAlign w:val="bottom"/>
            <w:hideMark/>
          </w:tcPr>
          <w:p w14:paraId="19B1855F" w14:textId="77777777" w:rsidR="007E365E" w:rsidRDefault="007E365E" w:rsidP="007D1D77">
            <w:pPr>
              <w:spacing w:before="0"/>
              <w:jc w:val="right"/>
              <w:rPr>
                <w:rFonts w:cs="Open Sans Light"/>
                <w:sz w:val="16"/>
                <w:szCs w:val="16"/>
              </w:rPr>
            </w:pPr>
            <w:r>
              <w:rPr>
                <w:rFonts w:cs="Open Sans Light"/>
                <w:sz w:val="16"/>
                <w:szCs w:val="16"/>
              </w:rPr>
              <w:t>29</w:t>
            </w:r>
          </w:p>
        </w:tc>
        <w:tc>
          <w:tcPr>
            <w:tcW w:w="600" w:type="dxa"/>
            <w:shd w:val="clear" w:color="auto" w:fill="auto"/>
            <w:tcMar>
              <w:top w:w="15" w:type="dxa"/>
              <w:left w:w="15" w:type="dxa"/>
              <w:bottom w:w="0" w:type="dxa"/>
              <w:right w:w="15" w:type="dxa"/>
            </w:tcMar>
            <w:vAlign w:val="bottom"/>
            <w:hideMark/>
          </w:tcPr>
          <w:p w14:paraId="4A56567E" w14:textId="77777777" w:rsidR="007E365E" w:rsidRDefault="007E365E" w:rsidP="007D1D77">
            <w:pPr>
              <w:spacing w:before="0"/>
              <w:jc w:val="right"/>
              <w:rPr>
                <w:rFonts w:cs="Open Sans Light"/>
                <w:sz w:val="16"/>
                <w:szCs w:val="16"/>
              </w:rPr>
            </w:pPr>
            <w:r>
              <w:rPr>
                <w:rFonts w:cs="Open Sans Light"/>
                <w:sz w:val="16"/>
                <w:szCs w:val="16"/>
              </w:rPr>
              <w:t>28</w:t>
            </w:r>
          </w:p>
        </w:tc>
        <w:tc>
          <w:tcPr>
            <w:tcW w:w="700" w:type="dxa"/>
            <w:shd w:val="clear" w:color="auto" w:fill="auto"/>
            <w:tcMar>
              <w:top w:w="15" w:type="dxa"/>
              <w:left w:w="15" w:type="dxa"/>
              <w:bottom w:w="0" w:type="dxa"/>
              <w:right w:w="15" w:type="dxa"/>
            </w:tcMar>
            <w:vAlign w:val="bottom"/>
            <w:hideMark/>
          </w:tcPr>
          <w:p w14:paraId="6D40F677" w14:textId="77777777" w:rsidR="007E365E" w:rsidRDefault="007E365E" w:rsidP="007D1D77">
            <w:pPr>
              <w:spacing w:before="0"/>
              <w:jc w:val="right"/>
              <w:rPr>
                <w:rFonts w:cs="Open Sans Light"/>
                <w:sz w:val="16"/>
                <w:szCs w:val="16"/>
              </w:rPr>
            </w:pPr>
            <w:r>
              <w:rPr>
                <w:rFonts w:cs="Open Sans Light"/>
                <w:sz w:val="16"/>
                <w:szCs w:val="16"/>
              </w:rPr>
              <w:t>16</w:t>
            </w:r>
          </w:p>
        </w:tc>
        <w:tc>
          <w:tcPr>
            <w:tcW w:w="800" w:type="dxa"/>
            <w:shd w:val="clear" w:color="auto" w:fill="auto"/>
            <w:tcMar>
              <w:top w:w="15" w:type="dxa"/>
              <w:left w:w="15" w:type="dxa"/>
              <w:bottom w:w="0" w:type="dxa"/>
              <w:right w:w="15" w:type="dxa"/>
            </w:tcMar>
            <w:vAlign w:val="bottom"/>
            <w:hideMark/>
          </w:tcPr>
          <w:p w14:paraId="703C1323" w14:textId="77777777" w:rsidR="007E365E" w:rsidRDefault="007E365E" w:rsidP="007D1D77">
            <w:pPr>
              <w:spacing w:before="0"/>
              <w:jc w:val="right"/>
              <w:rPr>
                <w:rFonts w:cs="Open Sans Light"/>
                <w:sz w:val="16"/>
                <w:szCs w:val="16"/>
              </w:rPr>
            </w:pPr>
            <w:r>
              <w:rPr>
                <w:rFonts w:cs="Open Sans Light"/>
                <w:sz w:val="16"/>
                <w:szCs w:val="16"/>
              </w:rPr>
              <w:t>2,320</w:t>
            </w:r>
          </w:p>
        </w:tc>
      </w:tr>
      <w:tr w:rsidR="007E365E" w:rsidRPr="009E6CAB" w14:paraId="5F6D1719" w14:textId="77777777" w:rsidTr="007D1D77">
        <w:trPr>
          <w:trHeight w:val="315"/>
        </w:trPr>
        <w:tc>
          <w:tcPr>
            <w:tcW w:w="2880" w:type="dxa"/>
            <w:shd w:val="clear" w:color="auto" w:fill="auto"/>
            <w:tcMar>
              <w:top w:w="15" w:type="dxa"/>
              <w:left w:w="15" w:type="dxa"/>
              <w:bottom w:w="0" w:type="dxa"/>
              <w:right w:w="15" w:type="dxa"/>
            </w:tcMar>
            <w:vAlign w:val="bottom"/>
            <w:hideMark/>
          </w:tcPr>
          <w:p w14:paraId="49569B3A" w14:textId="77777777" w:rsidR="007E365E" w:rsidRDefault="007E365E" w:rsidP="007D1D77">
            <w:pPr>
              <w:spacing w:before="0"/>
              <w:rPr>
                <w:rFonts w:cs="Open Sans Light"/>
                <w:sz w:val="16"/>
                <w:szCs w:val="16"/>
              </w:rPr>
            </w:pPr>
            <w:r>
              <w:rPr>
                <w:rFonts w:cs="Open Sans Light"/>
                <w:sz w:val="16"/>
                <w:szCs w:val="16"/>
              </w:rPr>
              <w:t>Revenue ($pc)</w:t>
            </w:r>
          </w:p>
        </w:tc>
        <w:tc>
          <w:tcPr>
            <w:tcW w:w="700" w:type="dxa"/>
            <w:shd w:val="clear" w:color="auto" w:fill="auto"/>
            <w:tcMar>
              <w:top w:w="15" w:type="dxa"/>
              <w:left w:w="15" w:type="dxa"/>
              <w:bottom w:w="0" w:type="dxa"/>
              <w:right w:w="15" w:type="dxa"/>
            </w:tcMar>
            <w:vAlign w:val="bottom"/>
            <w:hideMark/>
          </w:tcPr>
          <w:p w14:paraId="1A8DCD40" w14:textId="77777777" w:rsidR="007E365E" w:rsidRDefault="007E365E" w:rsidP="007D1D77">
            <w:pPr>
              <w:spacing w:before="0"/>
              <w:jc w:val="right"/>
              <w:rPr>
                <w:rFonts w:cs="Open Sans Light"/>
                <w:sz w:val="16"/>
                <w:szCs w:val="16"/>
              </w:rPr>
            </w:pPr>
            <w:r>
              <w:rPr>
                <w:rFonts w:cs="Open Sans Light"/>
                <w:sz w:val="16"/>
                <w:szCs w:val="16"/>
              </w:rPr>
              <w:t>102</w:t>
            </w:r>
          </w:p>
        </w:tc>
        <w:tc>
          <w:tcPr>
            <w:tcW w:w="700" w:type="dxa"/>
            <w:shd w:val="clear" w:color="auto" w:fill="auto"/>
            <w:tcMar>
              <w:top w:w="15" w:type="dxa"/>
              <w:left w:w="15" w:type="dxa"/>
              <w:bottom w:w="0" w:type="dxa"/>
              <w:right w:w="15" w:type="dxa"/>
            </w:tcMar>
            <w:vAlign w:val="bottom"/>
            <w:hideMark/>
          </w:tcPr>
          <w:p w14:paraId="4D07C72C" w14:textId="77777777" w:rsidR="007E365E" w:rsidRDefault="007E365E" w:rsidP="007D1D77">
            <w:pPr>
              <w:spacing w:before="0"/>
              <w:jc w:val="right"/>
              <w:rPr>
                <w:rFonts w:cs="Open Sans Light"/>
                <w:sz w:val="16"/>
                <w:szCs w:val="16"/>
              </w:rPr>
            </w:pPr>
            <w:r>
              <w:rPr>
                <w:rFonts w:cs="Open Sans Light"/>
                <w:sz w:val="16"/>
                <w:szCs w:val="16"/>
              </w:rPr>
              <w:t>68</w:t>
            </w:r>
          </w:p>
        </w:tc>
        <w:tc>
          <w:tcPr>
            <w:tcW w:w="700" w:type="dxa"/>
            <w:shd w:val="clear" w:color="auto" w:fill="auto"/>
            <w:tcMar>
              <w:top w:w="15" w:type="dxa"/>
              <w:left w:w="15" w:type="dxa"/>
              <w:bottom w:w="0" w:type="dxa"/>
              <w:right w:w="15" w:type="dxa"/>
            </w:tcMar>
            <w:vAlign w:val="bottom"/>
            <w:hideMark/>
          </w:tcPr>
          <w:p w14:paraId="3E70C24B" w14:textId="77777777" w:rsidR="007E365E" w:rsidRDefault="007E365E" w:rsidP="007D1D77">
            <w:pPr>
              <w:spacing w:before="0"/>
              <w:jc w:val="right"/>
              <w:rPr>
                <w:rFonts w:cs="Open Sans Light"/>
                <w:sz w:val="16"/>
                <w:szCs w:val="16"/>
              </w:rPr>
            </w:pPr>
            <w:r>
              <w:rPr>
                <w:rFonts w:cs="Open Sans Light"/>
                <w:sz w:val="16"/>
                <w:szCs w:val="16"/>
              </w:rPr>
              <w:t>110</w:t>
            </w:r>
          </w:p>
        </w:tc>
        <w:tc>
          <w:tcPr>
            <w:tcW w:w="700" w:type="dxa"/>
            <w:shd w:val="clear" w:color="auto" w:fill="auto"/>
            <w:tcMar>
              <w:top w:w="15" w:type="dxa"/>
              <w:left w:w="15" w:type="dxa"/>
              <w:bottom w:w="0" w:type="dxa"/>
              <w:right w:w="15" w:type="dxa"/>
            </w:tcMar>
            <w:vAlign w:val="bottom"/>
            <w:hideMark/>
          </w:tcPr>
          <w:p w14:paraId="06DA92E3" w14:textId="77777777" w:rsidR="007E365E" w:rsidRDefault="007E365E" w:rsidP="007D1D77">
            <w:pPr>
              <w:spacing w:before="0"/>
              <w:jc w:val="right"/>
              <w:rPr>
                <w:rFonts w:cs="Open Sans Light"/>
                <w:sz w:val="16"/>
                <w:szCs w:val="16"/>
              </w:rPr>
            </w:pPr>
            <w:r>
              <w:rPr>
                <w:rFonts w:cs="Open Sans Light"/>
                <w:sz w:val="16"/>
                <w:szCs w:val="16"/>
              </w:rPr>
              <w:t>95</w:t>
            </w:r>
          </w:p>
        </w:tc>
        <w:tc>
          <w:tcPr>
            <w:tcW w:w="580" w:type="dxa"/>
            <w:shd w:val="clear" w:color="auto" w:fill="auto"/>
            <w:tcMar>
              <w:top w:w="15" w:type="dxa"/>
              <w:left w:w="15" w:type="dxa"/>
              <w:bottom w:w="0" w:type="dxa"/>
              <w:right w:w="15" w:type="dxa"/>
            </w:tcMar>
            <w:vAlign w:val="bottom"/>
            <w:hideMark/>
          </w:tcPr>
          <w:p w14:paraId="0A41C790" w14:textId="77777777" w:rsidR="007E365E" w:rsidRDefault="007E365E" w:rsidP="007D1D77">
            <w:pPr>
              <w:spacing w:before="0"/>
              <w:jc w:val="right"/>
              <w:rPr>
                <w:rFonts w:cs="Open Sans Light"/>
                <w:sz w:val="16"/>
                <w:szCs w:val="16"/>
              </w:rPr>
            </w:pPr>
            <w:r>
              <w:rPr>
                <w:rFonts w:cs="Open Sans Light"/>
                <w:sz w:val="16"/>
                <w:szCs w:val="16"/>
              </w:rPr>
              <w:t>100</w:t>
            </w:r>
          </w:p>
        </w:tc>
        <w:tc>
          <w:tcPr>
            <w:tcW w:w="580" w:type="dxa"/>
            <w:shd w:val="clear" w:color="auto" w:fill="auto"/>
            <w:tcMar>
              <w:top w:w="15" w:type="dxa"/>
              <w:left w:w="15" w:type="dxa"/>
              <w:bottom w:w="0" w:type="dxa"/>
              <w:right w:w="15" w:type="dxa"/>
            </w:tcMar>
            <w:vAlign w:val="bottom"/>
            <w:hideMark/>
          </w:tcPr>
          <w:p w14:paraId="1891A287" w14:textId="77777777" w:rsidR="007E365E" w:rsidRDefault="007E365E" w:rsidP="007D1D77">
            <w:pPr>
              <w:spacing w:before="0"/>
              <w:jc w:val="right"/>
              <w:rPr>
                <w:rFonts w:cs="Open Sans Light"/>
                <w:sz w:val="16"/>
                <w:szCs w:val="16"/>
              </w:rPr>
            </w:pPr>
            <w:r>
              <w:rPr>
                <w:rFonts w:cs="Open Sans Light"/>
                <w:sz w:val="16"/>
                <w:szCs w:val="16"/>
              </w:rPr>
              <w:t>55</w:t>
            </w:r>
          </w:p>
        </w:tc>
        <w:tc>
          <w:tcPr>
            <w:tcW w:w="600" w:type="dxa"/>
            <w:shd w:val="clear" w:color="auto" w:fill="auto"/>
            <w:tcMar>
              <w:top w:w="15" w:type="dxa"/>
              <w:left w:w="15" w:type="dxa"/>
              <w:bottom w:w="0" w:type="dxa"/>
              <w:right w:w="15" w:type="dxa"/>
            </w:tcMar>
            <w:vAlign w:val="bottom"/>
            <w:hideMark/>
          </w:tcPr>
          <w:p w14:paraId="2614C5E6" w14:textId="77777777" w:rsidR="007E365E" w:rsidRDefault="007E365E" w:rsidP="007D1D77">
            <w:pPr>
              <w:spacing w:before="0"/>
              <w:jc w:val="right"/>
              <w:rPr>
                <w:rFonts w:cs="Open Sans Light"/>
                <w:sz w:val="16"/>
                <w:szCs w:val="16"/>
              </w:rPr>
            </w:pPr>
            <w:r>
              <w:rPr>
                <w:rFonts w:cs="Open Sans Light"/>
                <w:sz w:val="16"/>
                <w:szCs w:val="16"/>
              </w:rPr>
              <w:t>66</w:t>
            </w:r>
          </w:p>
        </w:tc>
        <w:tc>
          <w:tcPr>
            <w:tcW w:w="700" w:type="dxa"/>
            <w:shd w:val="clear" w:color="auto" w:fill="auto"/>
            <w:tcMar>
              <w:top w:w="15" w:type="dxa"/>
              <w:left w:w="15" w:type="dxa"/>
              <w:bottom w:w="0" w:type="dxa"/>
              <w:right w:w="15" w:type="dxa"/>
            </w:tcMar>
            <w:vAlign w:val="bottom"/>
            <w:hideMark/>
          </w:tcPr>
          <w:p w14:paraId="05F8CC85" w14:textId="77777777" w:rsidR="007E365E" w:rsidRDefault="007E365E" w:rsidP="007D1D77">
            <w:pPr>
              <w:spacing w:before="0"/>
              <w:jc w:val="right"/>
              <w:rPr>
                <w:rFonts w:cs="Open Sans Light"/>
                <w:sz w:val="16"/>
                <w:szCs w:val="16"/>
              </w:rPr>
            </w:pPr>
            <w:r>
              <w:rPr>
                <w:rFonts w:cs="Open Sans Light"/>
                <w:sz w:val="16"/>
                <w:szCs w:val="16"/>
              </w:rPr>
              <w:t>64</w:t>
            </w:r>
          </w:p>
        </w:tc>
        <w:tc>
          <w:tcPr>
            <w:tcW w:w="800" w:type="dxa"/>
            <w:shd w:val="clear" w:color="auto" w:fill="auto"/>
            <w:tcMar>
              <w:top w:w="15" w:type="dxa"/>
              <w:left w:w="15" w:type="dxa"/>
              <w:bottom w:w="0" w:type="dxa"/>
              <w:right w:w="15" w:type="dxa"/>
            </w:tcMar>
            <w:vAlign w:val="bottom"/>
            <w:hideMark/>
          </w:tcPr>
          <w:p w14:paraId="34CAB421" w14:textId="77777777" w:rsidR="007E365E" w:rsidRDefault="007E365E" w:rsidP="007D1D77">
            <w:pPr>
              <w:spacing w:before="0"/>
              <w:jc w:val="right"/>
              <w:rPr>
                <w:rFonts w:cs="Open Sans Light"/>
                <w:sz w:val="16"/>
                <w:szCs w:val="16"/>
              </w:rPr>
            </w:pPr>
            <w:r>
              <w:rPr>
                <w:rFonts w:cs="Open Sans Light"/>
                <w:sz w:val="16"/>
                <w:szCs w:val="16"/>
              </w:rPr>
              <w:t>92</w:t>
            </w:r>
          </w:p>
        </w:tc>
      </w:tr>
    </w:tbl>
    <w:p w14:paraId="771C145D" w14:textId="77777777" w:rsidR="007E365E" w:rsidRPr="00E23377" w:rsidRDefault="007E365E" w:rsidP="007E365E">
      <w:pPr>
        <w:pStyle w:val="CGCTablenote"/>
      </w:pPr>
      <w:r w:rsidRPr="00E23377">
        <w:t>Note</w:t>
      </w:r>
      <w:r>
        <w:t>s</w:t>
      </w:r>
      <w:r w:rsidRPr="00E23377">
        <w:t>:</w:t>
      </w:r>
      <w:r w:rsidRPr="00E23377">
        <w:tab/>
        <w:t>User charges for some States appear high because they may include some user charges that could not be separated out but likely should be classified to the Transport category.</w:t>
      </w:r>
    </w:p>
    <w:p w14:paraId="0B461E69" w14:textId="77777777" w:rsidR="007E365E" w:rsidRPr="00E23377" w:rsidRDefault="007E365E" w:rsidP="007E365E">
      <w:pPr>
        <w:pStyle w:val="CGCTablenote"/>
      </w:pPr>
      <w:r w:rsidRPr="00E23377">
        <w:tab/>
        <w:t>User charges refer to revenue from the sale of goods and services classified in GFS to economic type framework (ETF) 112.</w:t>
      </w:r>
    </w:p>
    <w:p w14:paraId="1C0967E8" w14:textId="77777777" w:rsidR="007E365E" w:rsidRPr="00E23377" w:rsidRDefault="007E365E" w:rsidP="007E365E">
      <w:pPr>
        <w:pStyle w:val="CGCTablenote"/>
      </w:pPr>
      <w:r w:rsidRPr="00E23377">
        <w:t>Source:</w:t>
      </w:r>
      <w:r w:rsidRPr="00E23377">
        <w:tab/>
        <w:t xml:space="preserve">Commission calculation using ABS GFS and State budget data. </w:t>
      </w:r>
    </w:p>
    <w:p w14:paraId="2FE3E6E1" w14:textId="77777777" w:rsidR="007E365E" w:rsidRPr="00E23377" w:rsidRDefault="007E365E" w:rsidP="007E365E">
      <w:pPr>
        <w:pStyle w:val="Heading4"/>
      </w:pPr>
      <w:bookmarkStart w:id="150" w:name="_Toc4754256"/>
      <w:bookmarkStart w:id="151" w:name="_Toc5030060"/>
      <w:r w:rsidRPr="00E23377">
        <w:t>State roles and responsibilities</w:t>
      </w:r>
      <w:bookmarkEnd w:id="150"/>
      <w:bookmarkEnd w:id="151"/>
    </w:p>
    <w:p w14:paraId="551D1709" w14:textId="77777777" w:rsidR="007E365E" w:rsidRPr="00E23377" w:rsidRDefault="007E365E" w:rsidP="007E365E">
      <w:pPr>
        <w:pStyle w:val="CGCParaNumber"/>
      </w:pPr>
      <w:r w:rsidRPr="00E23377">
        <w:t>State governments fund and maintain the highways and other major roads for which they are responsible.</w:t>
      </w:r>
    </w:p>
    <w:p w14:paraId="5809912E" w14:textId="77777777" w:rsidR="007E365E" w:rsidRPr="00E23377" w:rsidRDefault="007E365E" w:rsidP="007E365E">
      <w:pPr>
        <w:pStyle w:val="CGCParaNumber"/>
      </w:pPr>
      <w:r w:rsidRPr="00E23377">
        <w:t>State governments also provide some supplementary financial support for the roads that are the responsibility of local governments. Where they take on responsibility for minor local roads, they also fund these services. The reasons for, and nature of, this funding are discussed in more detail in the Local roads section.</w:t>
      </w:r>
    </w:p>
    <w:p w14:paraId="0213748C" w14:textId="77777777" w:rsidR="007E365E" w:rsidRPr="00E23377" w:rsidRDefault="007E365E" w:rsidP="007E365E">
      <w:pPr>
        <w:pStyle w:val="CGCParaNumber"/>
      </w:pPr>
      <w:r w:rsidRPr="00E23377">
        <w:t xml:space="preserve">In addition to maintaining bridges and tunnels on State roads, some States fund part or all of the cost of maintaining some bridges on roads that are the responsibility of local governments, for example bridges with heritage value, high replacement cost or technical significance. </w:t>
      </w:r>
    </w:p>
    <w:p w14:paraId="3F6AC260" w14:textId="77777777" w:rsidR="007E365E" w:rsidRPr="00E23377" w:rsidRDefault="007E365E" w:rsidP="007E365E">
      <w:pPr>
        <w:pStyle w:val="CGCParaNumber"/>
      </w:pPr>
      <w:r w:rsidRPr="00E23377">
        <w:lastRenderedPageBreak/>
        <w:t xml:space="preserve">States receive roads-related revenue from vehicle registrations, stamp duty and user charges (such as licence fees, tolls and fines and the sale of goods and services, such as number plates). Vehicle registrations and stamp duty are assessed in the Motor taxes category while user charges are assessed in the Other revenue category. </w:t>
      </w:r>
    </w:p>
    <w:p w14:paraId="7DAFBA76" w14:textId="77777777" w:rsidR="007E365E" w:rsidRPr="00E23377" w:rsidRDefault="007E365E" w:rsidP="007E365E">
      <w:pPr>
        <w:pStyle w:val="CGCParaNumber"/>
      </w:pPr>
      <w:r w:rsidRPr="00E23377">
        <w:t>Depending on the contractual arrangements surrounding privately operated roads, States may receive various payments from the operators. These may be paid in cash, but are generally paid as promissory notes.</w:t>
      </w:r>
    </w:p>
    <w:p w14:paraId="59912CB0" w14:textId="6DE50115" w:rsidR="007E365E" w:rsidRPr="00E23377" w:rsidRDefault="007E365E" w:rsidP="007E365E">
      <w:pPr>
        <w:pStyle w:val="Heading4"/>
      </w:pPr>
      <w:bookmarkStart w:id="152" w:name="_Toc4754257"/>
      <w:bookmarkStart w:id="153" w:name="_Toc5030061"/>
      <w:r w:rsidRPr="00E23377">
        <w:t>Commonwealth roles and responsibilities</w:t>
      </w:r>
      <w:bookmarkEnd w:id="152"/>
      <w:bookmarkEnd w:id="153"/>
      <w:r w:rsidRPr="00E23377">
        <w:t xml:space="preserve"> </w:t>
      </w:r>
    </w:p>
    <w:p w14:paraId="316C4477" w14:textId="1C5D1C4B" w:rsidR="007E365E" w:rsidRPr="00E23377" w:rsidRDefault="007E365E" w:rsidP="007E365E">
      <w:pPr>
        <w:pStyle w:val="CGCParaNumber"/>
      </w:pPr>
      <w:r w:rsidRPr="00E23377">
        <w:t xml:space="preserve">In addition to general revenue assistance, the Commonwealth provides funding to the States for roads through national partnership payments (NPPs). </w:t>
      </w:r>
      <w:r>
        <w:fldChar w:fldCharType="begin"/>
      </w:r>
      <w:r>
        <w:instrText xml:space="preserve"> REF _Ref32848614 \h </w:instrText>
      </w:r>
      <w:r>
        <w:fldChar w:fldCharType="separate"/>
      </w:r>
      <w:r w:rsidR="007F721A" w:rsidRPr="00E23377">
        <w:t xml:space="preserve">Table </w:t>
      </w:r>
      <w:r w:rsidR="007F721A">
        <w:t>20-</w:t>
      </w:r>
      <w:r w:rsidR="007F721A">
        <w:rPr>
          <w:noProof/>
        </w:rPr>
        <w:t>4</w:t>
      </w:r>
      <w:r>
        <w:fldChar w:fldCharType="end"/>
      </w:r>
      <w:r w:rsidRPr="00E23377">
        <w:t xml:space="preserve"> shows the main Commonwealth payments to the States for roads maintenance and investment in 201</w:t>
      </w:r>
      <w:r>
        <w:t>8</w:t>
      </w:r>
      <w:r w:rsidRPr="00E23377">
        <w:noBreakHyphen/>
        <w:t>1</w:t>
      </w:r>
      <w:r>
        <w:t>9</w:t>
      </w:r>
      <w:r w:rsidRPr="00E23377">
        <w:t>.</w:t>
      </w:r>
    </w:p>
    <w:p w14:paraId="218B4B9E" w14:textId="08323021" w:rsidR="007E365E" w:rsidRDefault="007E365E" w:rsidP="007E365E">
      <w:pPr>
        <w:pStyle w:val="Caption"/>
      </w:pPr>
      <w:bookmarkStart w:id="154" w:name="_Ref32848614"/>
      <w:r w:rsidRPr="00E23377">
        <w:t xml:space="preserve">Table </w:t>
      </w:r>
      <w:r>
        <w:t>20-</w:t>
      </w:r>
      <w:fldSimple w:instr=" SEQ Table \* ARABIC ">
        <w:r w:rsidR="007F721A">
          <w:rPr>
            <w:noProof/>
          </w:rPr>
          <w:t>4</w:t>
        </w:r>
      </w:fldSimple>
      <w:bookmarkEnd w:id="154"/>
      <w:r w:rsidRPr="00E23377">
        <w:tab/>
        <w:t>Commonwealth payments to the States for Roads, 201</w:t>
      </w:r>
      <w:r>
        <w:t>8</w:t>
      </w:r>
      <w:r w:rsidRPr="00E23377">
        <w:noBreakHyphen/>
        <w:t>1</w:t>
      </w:r>
      <w:r>
        <w:t>9</w:t>
      </w:r>
    </w:p>
    <w:tbl>
      <w:tblPr>
        <w:tblW w:w="8920" w:type="dxa"/>
        <w:tblBorders>
          <w:top w:val="single" w:sz="4" w:space="0" w:color="ADD6EA"/>
          <w:bottom w:val="single" w:sz="4" w:space="0" w:color="ADD6EA"/>
          <w:insideH w:val="single" w:sz="4" w:space="0" w:color="ADD6EA"/>
        </w:tblBorders>
        <w:tblCellMar>
          <w:left w:w="0" w:type="dxa"/>
          <w:right w:w="0" w:type="dxa"/>
        </w:tblCellMar>
        <w:tblLook w:val="04A0" w:firstRow="1" w:lastRow="0" w:firstColumn="1" w:lastColumn="0" w:noHBand="0" w:noVBand="1"/>
      </w:tblPr>
      <w:tblGrid>
        <w:gridCol w:w="3302"/>
        <w:gridCol w:w="625"/>
        <w:gridCol w:w="625"/>
        <w:gridCol w:w="624"/>
        <w:gridCol w:w="624"/>
        <w:gridCol w:w="624"/>
        <w:gridCol w:w="624"/>
        <w:gridCol w:w="624"/>
        <w:gridCol w:w="624"/>
        <w:gridCol w:w="624"/>
      </w:tblGrid>
      <w:tr w:rsidR="007E365E" w:rsidRPr="004D5329" w14:paraId="7E698E84" w14:textId="77777777" w:rsidTr="007D1D77">
        <w:trPr>
          <w:trHeight w:val="383"/>
        </w:trPr>
        <w:tc>
          <w:tcPr>
            <w:tcW w:w="3300" w:type="dxa"/>
            <w:shd w:val="clear" w:color="000000" w:fill="006991"/>
            <w:tcMar>
              <w:top w:w="15" w:type="dxa"/>
              <w:left w:w="15" w:type="dxa"/>
              <w:bottom w:w="0" w:type="dxa"/>
              <w:right w:w="15" w:type="dxa"/>
            </w:tcMar>
            <w:vAlign w:val="center"/>
            <w:hideMark/>
          </w:tcPr>
          <w:p w14:paraId="77E0C3B0" w14:textId="77777777" w:rsidR="007E365E" w:rsidRDefault="007E365E" w:rsidP="007D1D77">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624" w:type="dxa"/>
            <w:shd w:val="clear" w:color="000000" w:fill="006991"/>
            <w:tcMar>
              <w:top w:w="15" w:type="dxa"/>
              <w:left w:w="15" w:type="dxa"/>
              <w:bottom w:w="0" w:type="dxa"/>
              <w:right w:w="15" w:type="dxa"/>
            </w:tcMar>
            <w:vAlign w:val="center"/>
            <w:hideMark/>
          </w:tcPr>
          <w:p w14:paraId="04C0283C"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624" w:type="dxa"/>
            <w:shd w:val="clear" w:color="000000" w:fill="006991"/>
            <w:tcMar>
              <w:top w:w="15" w:type="dxa"/>
              <w:left w:w="15" w:type="dxa"/>
              <w:bottom w:w="0" w:type="dxa"/>
              <w:right w:w="15" w:type="dxa"/>
            </w:tcMar>
            <w:vAlign w:val="center"/>
            <w:hideMark/>
          </w:tcPr>
          <w:p w14:paraId="5AD42B7C"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624" w:type="dxa"/>
            <w:shd w:val="clear" w:color="000000" w:fill="006991"/>
            <w:tcMar>
              <w:top w:w="15" w:type="dxa"/>
              <w:left w:w="15" w:type="dxa"/>
              <w:bottom w:w="0" w:type="dxa"/>
              <w:right w:w="15" w:type="dxa"/>
            </w:tcMar>
            <w:vAlign w:val="center"/>
            <w:hideMark/>
          </w:tcPr>
          <w:p w14:paraId="18951BE6"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624" w:type="dxa"/>
            <w:shd w:val="clear" w:color="000000" w:fill="006991"/>
            <w:tcMar>
              <w:top w:w="15" w:type="dxa"/>
              <w:left w:w="15" w:type="dxa"/>
              <w:bottom w:w="0" w:type="dxa"/>
              <w:right w:w="15" w:type="dxa"/>
            </w:tcMar>
            <w:vAlign w:val="center"/>
            <w:hideMark/>
          </w:tcPr>
          <w:p w14:paraId="2B5C16F4"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624" w:type="dxa"/>
            <w:shd w:val="clear" w:color="000000" w:fill="006991"/>
            <w:tcMar>
              <w:top w:w="15" w:type="dxa"/>
              <w:left w:w="15" w:type="dxa"/>
              <w:bottom w:w="0" w:type="dxa"/>
              <w:right w:w="15" w:type="dxa"/>
            </w:tcMar>
            <w:vAlign w:val="center"/>
            <w:hideMark/>
          </w:tcPr>
          <w:p w14:paraId="06E964AA"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624" w:type="dxa"/>
            <w:shd w:val="clear" w:color="000000" w:fill="006991"/>
            <w:tcMar>
              <w:top w:w="15" w:type="dxa"/>
              <w:left w:w="15" w:type="dxa"/>
              <w:bottom w:w="0" w:type="dxa"/>
              <w:right w:w="15" w:type="dxa"/>
            </w:tcMar>
            <w:vAlign w:val="center"/>
            <w:hideMark/>
          </w:tcPr>
          <w:p w14:paraId="42C76EF4"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624" w:type="dxa"/>
            <w:shd w:val="clear" w:color="000000" w:fill="006991"/>
            <w:tcMar>
              <w:top w:w="15" w:type="dxa"/>
              <w:left w:w="15" w:type="dxa"/>
              <w:bottom w:w="0" w:type="dxa"/>
              <w:right w:w="15" w:type="dxa"/>
            </w:tcMar>
            <w:vAlign w:val="center"/>
            <w:hideMark/>
          </w:tcPr>
          <w:p w14:paraId="77F84C05"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624" w:type="dxa"/>
            <w:shd w:val="clear" w:color="000000" w:fill="006991"/>
            <w:tcMar>
              <w:top w:w="15" w:type="dxa"/>
              <w:left w:w="15" w:type="dxa"/>
              <w:bottom w:w="0" w:type="dxa"/>
              <w:right w:w="15" w:type="dxa"/>
            </w:tcMar>
            <w:vAlign w:val="center"/>
            <w:hideMark/>
          </w:tcPr>
          <w:p w14:paraId="0B8963AA"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624" w:type="dxa"/>
            <w:shd w:val="clear" w:color="000000" w:fill="006991"/>
            <w:tcMar>
              <w:top w:w="15" w:type="dxa"/>
              <w:left w:w="15" w:type="dxa"/>
              <w:bottom w:w="0" w:type="dxa"/>
              <w:right w:w="15" w:type="dxa"/>
            </w:tcMar>
            <w:vAlign w:val="center"/>
            <w:hideMark/>
          </w:tcPr>
          <w:p w14:paraId="30C13060"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7E365E" w:rsidRPr="004D5329" w14:paraId="1D00D814" w14:textId="77777777" w:rsidTr="007D1D77">
        <w:trPr>
          <w:trHeight w:val="315"/>
        </w:trPr>
        <w:tc>
          <w:tcPr>
            <w:tcW w:w="0" w:type="auto"/>
            <w:shd w:val="clear" w:color="auto" w:fill="auto"/>
            <w:noWrap/>
            <w:tcMar>
              <w:top w:w="15" w:type="dxa"/>
              <w:left w:w="15" w:type="dxa"/>
              <w:bottom w:w="0" w:type="dxa"/>
              <w:right w:w="15" w:type="dxa"/>
            </w:tcMar>
            <w:vAlign w:val="center"/>
            <w:hideMark/>
          </w:tcPr>
          <w:p w14:paraId="328D4E46" w14:textId="77777777" w:rsidR="007E365E" w:rsidRDefault="007E365E" w:rsidP="007D1D77">
            <w:pPr>
              <w:spacing w:before="0"/>
              <w:rPr>
                <w:rFonts w:cs="Open Sans Light"/>
                <w:sz w:val="16"/>
                <w:szCs w:val="16"/>
              </w:rPr>
            </w:pPr>
            <w:r>
              <w:rPr>
                <w:rFonts w:cs="Open Sans Light"/>
                <w:sz w:val="16"/>
                <w:szCs w:val="16"/>
              </w:rPr>
              <w:t>Infrastructure Investment program</w:t>
            </w:r>
          </w:p>
        </w:tc>
        <w:tc>
          <w:tcPr>
            <w:tcW w:w="624" w:type="dxa"/>
            <w:shd w:val="clear" w:color="auto" w:fill="auto"/>
            <w:tcMar>
              <w:top w:w="15" w:type="dxa"/>
              <w:left w:w="15" w:type="dxa"/>
              <w:bottom w:w="0" w:type="dxa"/>
              <w:right w:w="15" w:type="dxa"/>
            </w:tcMar>
            <w:vAlign w:val="center"/>
            <w:hideMark/>
          </w:tcPr>
          <w:p w14:paraId="720091B1" w14:textId="77777777" w:rsidR="007E365E" w:rsidRDefault="007E365E" w:rsidP="007D1D77">
            <w:pPr>
              <w:spacing w:before="0"/>
              <w:jc w:val="right"/>
              <w:rPr>
                <w:rFonts w:cs="Open Sans Light"/>
                <w:sz w:val="16"/>
                <w:szCs w:val="16"/>
              </w:rPr>
            </w:pPr>
            <w:r>
              <w:rPr>
                <w:rFonts w:cs="Open Sans Light"/>
                <w:sz w:val="16"/>
                <w:szCs w:val="16"/>
              </w:rPr>
              <w:t> </w:t>
            </w:r>
          </w:p>
        </w:tc>
        <w:tc>
          <w:tcPr>
            <w:tcW w:w="624" w:type="dxa"/>
            <w:shd w:val="clear" w:color="auto" w:fill="auto"/>
            <w:tcMar>
              <w:top w:w="15" w:type="dxa"/>
              <w:left w:w="15" w:type="dxa"/>
              <w:bottom w:w="0" w:type="dxa"/>
              <w:right w:w="15" w:type="dxa"/>
            </w:tcMar>
            <w:vAlign w:val="center"/>
            <w:hideMark/>
          </w:tcPr>
          <w:p w14:paraId="1AE23155" w14:textId="77777777" w:rsidR="007E365E" w:rsidRDefault="007E365E" w:rsidP="007D1D77">
            <w:pPr>
              <w:spacing w:before="0"/>
              <w:jc w:val="right"/>
              <w:rPr>
                <w:rFonts w:cs="Open Sans Light"/>
                <w:sz w:val="16"/>
                <w:szCs w:val="16"/>
              </w:rPr>
            </w:pPr>
            <w:r>
              <w:rPr>
                <w:rFonts w:cs="Open Sans Light"/>
                <w:sz w:val="16"/>
                <w:szCs w:val="16"/>
              </w:rPr>
              <w:t> </w:t>
            </w:r>
          </w:p>
        </w:tc>
        <w:tc>
          <w:tcPr>
            <w:tcW w:w="624" w:type="dxa"/>
            <w:shd w:val="clear" w:color="auto" w:fill="auto"/>
            <w:tcMar>
              <w:top w:w="15" w:type="dxa"/>
              <w:left w:w="15" w:type="dxa"/>
              <w:bottom w:w="0" w:type="dxa"/>
              <w:right w:w="15" w:type="dxa"/>
            </w:tcMar>
            <w:vAlign w:val="center"/>
            <w:hideMark/>
          </w:tcPr>
          <w:p w14:paraId="728B516F" w14:textId="77777777" w:rsidR="007E365E" w:rsidRDefault="007E365E" w:rsidP="007D1D77">
            <w:pPr>
              <w:spacing w:before="0"/>
              <w:jc w:val="right"/>
              <w:rPr>
                <w:rFonts w:cs="Open Sans Light"/>
                <w:sz w:val="16"/>
                <w:szCs w:val="16"/>
              </w:rPr>
            </w:pPr>
            <w:r>
              <w:rPr>
                <w:rFonts w:cs="Open Sans Light"/>
                <w:sz w:val="16"/>
                <w:szCs w:val="16"/>
              </w:rPr>
              <w:t> </w:t>
            </w:r>
          </w:p>
        </w:tc>
        <w:tc>
          <w:tcPr>
            <w:tcW w:w="624" w:type="dxa"/>
            <w:shd w:val="clear" w:color="auto" w:fill="auto"/>
            <w:tcMar>
              <w:top w:w="15" w:type="dxa"/>
              <w:left w:w="15" w:type="dxa"/>
              <w:bottom w:w="0" w:type="dxa"/>
              <w:right w:w="15" w:type="dxa"/>
            </w:tcMar>
            <w:vAlign w:val="center"/>
            <w:hideMark/>
          </w:tcPr>
          <w:p w14:paraId="65BFFB12" w14:textId="77777777" w:rsidR="007E365E" w:rsidRDefault="007E365E" w:rsidP="007D1D77">
            <w:pPr>
              <w:spacing w:before="0"/>
              <w:jc w:val="right"/>
              <w:rPr>
                <w:rFonts w:cs="Open Sans Light"/>
                <w:sz w:val="16"/>
                <w:szCs w:val="16"/>
              </w:rPr>
            </w:pPr>
            <w:r>
              <w:rPr>
                <w:rFonts w:cs="Open Sans Light"/>
                <w:sz w:val="16"/>
                <w:szCs w:val="16"/>
              </w:rPr>
              <w:t> </w:t>
            </w:r>
          </w:p>
        </w:tc>
        <w:tc>
          <w:tcPr>
            <w:tcW w:w="624" w:type="dxa"/>
            <w:shd w:val="clear" w:color="auto" w:fill="auto"/>
            <w:tcMar>
              <w:top w:w="15" w:type="dxa"/>
              <w:left w:w="15" w:type="dxa"/>
              <w:bottom w:w="0" w:type="dxa"/>
              <w:right w:w="15" w:type="dxa"/>
            </w:tcMar>
            <w:vAlign w:val="center"/>
            <w:hideMark/>
          </w:tcPr>
          <w:p w14:paraId="110FC32C" w14:textId="77777777" w:rsidR="007E365E" w:rsidRDefault="007E365E" w:rsidP="007D1D77">
            <w:pPr>
              <w:spacing w:before="0"/>
              <w:jc w:val="right"/>
              <w:rPr>
                <w:rFonts w:cs="Open Sans Light"/>
                <w:sz w:val="16"/>
                <w:szCs w:val="16"/>
              </w:rPr>
            </w:pPr>
            <w:r>
              <w:rPr>
                <w:rFonts w:cs="Open Sans Light"/>
                <w:sz w:val="16"/>
                <w:szCs w:val="16"/>
              </w:rPr>
              <w:t> </w:t>
            </w:r>
          </w:p>
        </w:tc>
        <w:tc>
          <w:tcPr>
            <w:tcW w:w="624" w:type="dxa"/>
            <w:shd w:val="clear" w:color="auto" w:fill="auto"/>
            <w:tcMar>
              <w:top w:w="15" w:type="dxa"/>
              <w:left w:w="15" w:type="dxa"/>
              <w:bottom w:w="0" w:type="dxa"/>
              <w:right w:w="15" w:type="dxa"/>
            </w:tcMar>
            <w:vAlign w:val="center"/>
            <w:hideMark/>
          </w:tcPr>
          <w:p w14:paraId="24BF3C76" w14:textId="77777777" w:rsidR="007E365E" w:rsidRDefault="007E365E" w:rsidP="007D1D77">
            <w:pPr>
              <w:spacing w:before="0"/>
              <w:jc w:val="right"/>
              <w:rPr>
                <w:rFonts w:cs="Open Sans Light"/>
                <w:sz w:val="16"/>
                <w:szCs w:val="16"/>
              </w:rPr>
            </w:pPr>
            <w:r>
              <w:rPr>
                <w:rFonts w:cs="Open Sans Light"/>
                <w:sz w:val="16"/>
                <w:szCs w:val="16"/>
              </w:rPr>
              <w:t> </w:t>
            </w:r>
          </w:p>
        </w:tc>
        <w:tc>
          <w:tcPr>
            <w:tcW w:w="624" w:type="dxa"/>
            <w:shd w:val="clear" w:color="auto" w:fill="auto"/>
            <w:tcMar>
              <w:top w:w="15" w:type="dxa"/>
              <w:left w:w="15" w:type="dxa"/>
              <w:bottom w:w="0" w:type="dxa"/>
              <w:right w:w="15" w:type="dxa"/>
            </w:tcMar>
            <w:vAlign w:val="center"/>
            <w:hideMark/>
          </w:tcPr>
          <w:p w14:paraId="577F4DA9" w14:textId="77777777" w:rsidR="007E365E" w:rsidRDefault="007E365E" w:rsidP="007D1D77">
            <w:pPr>
              <w:spacing w:before="0"/>
              <w:jc w:val="right"/>
              <w:rPr>
                <w:rFonts w:cs="Open Sans Light"/>
                <w:sz w:val="16"/>
                <w:szCs w:val="16"/>
              </w:rPr>
            </w:pPr>
            <w:r>
              <w:rPr>
                <w:rFonts w:cs="Open Sans Light"/>
                <w:sz w:val="16"/>
                <w:szCs w:val="16"/>
              </w:rPr>
              <w:t> </w:t>
            </w:r>
          </w:p>
        </w:tc>
        <w:tc>
          <w:tcPr>
            <w:tcW w:w="624" w:type="dxa"/>
            <w:shd w:val="clear" w:color="auto" w:fill="auto"/>
            <w:tcMar>
              <w:top w:w="15" w:type="dxa"/>
              <w:left w:w="15" w:type="dxa"/>
              <w:bottom w:w="0" w:type="dxa"/>
              <w:right w:w="15" w:type="dxa"/>
            </w:tcMar>
            <w:vAlign w:val="center"/>
            <w:hideMark/>
          </w:tcPr>
          <w:p w14:paraId="49D34195" w14:textId="77777777" w:rsidR="007E365E" w:rsidRDefault="007E365E" w:rsidP="007D1D77">
            <w:pPr>
              <w:spacing w:before="0"/>
              <w:jc w:val="right"/>
              <w:rPr>
                <w:rFonts w:cs="Open Sans Light"/>
                <w:sz w:val="16"/>
                <w:szCs w:val="16"/>
              </w:rPr>
            </w:pPr>
            <w:r>
              <w:rPr>
                <w:rFonts w:cs="Open Sans Light"/>
                <w:sz w:val="16"/>
                <w:szCs w:val="16"/>
              </w:rPr>
              <w:t> </w:t>
            </w:r>
          </w:p>
        </w:tc>
        <w:tc>
          <w:tcPr>
            <w:tcW w:w="624" w:type="dxa"/>
            <w:shd w:val="clear" w:color="auto" w:fill="auto"/>
            <w:tcMar>
              <w:top w:w="15" w:type="dxa"/>
              <w:left w:w="15" w:type="dxa"/>
              <w:bottom w:w="0" w:type="dxa"/>
              <w:right w:w="15" w:type="dxa"/>
            </w:tcMar>
            <w:vAlign w:val="center"/>
            <w:hideMark/>
          </w:tcPr>
          <w:p w14:paraId="4887CE44" w14:textId="77777777" w:rsidR="007E365E" w:rsidRDefault="007E365E" w:rsidP="007D1D77">
            <w:pPr>
              <w:spacing w:before="0"/>
              <w:jc w:val="right"/>
              <w:rPr>
                <w:rFonts w:cs="Open Sans Light"/>
                <w:sz w:val="16"/>
                <w:szCs w:val="16"/>
              </w:rPr>
            </w:pPr>
            <w:r>
              <w:rPr>
                <w:rFonts w:cs="Open Sans Light"/>
                <w:sz w:val="16"/>
                <w:szCs w:val="16"/>
              </w:rPr>
              <w:t> </w:t>
            </w:r>
          </w:p>
        </w:tc>
      </w:tr>
      <w:tr w:rsidR="007E365E" w:rsidRPr="004D5329" w14:paraId="3815C397" w14:textId="77777777" w:rsidTr="007D1D77">
        <w:trPr>
          <w:trHeight w:val="315"/>
        </w:trPr>
        <w:tc>
          <w:tcPr>
            <w:tcW w:w="0" w:type="auto"/>
            <w:shd w:val="clear" w:color="auto" w:fill="auto"/>
            <w:noWrap/>
            <w:tcMar>
              <w:top w:w="15" w:type="dxa"/>
              <w:left w:w="135" w:type="dxa"/>
              <w:bottom w:w="0" w:type="dxa"/>
              <w:right w:w="15" w:type="dxa"/>
            </w:tcMar>
            <w:vAlign w:val="bottom"/>
            <w:hideMark/>
          </w:tcPr>
          <w:p w14:paraId="446E34C8" w14:textId="77777777" w:rsidR="007E365E" w:rsidRDefault="007E365E" w:rsidP="007D1D77">
            <w:pPr>
              <w:spacing w:before="0"/>
              <w:ind w:firstLineChars="100" w:firstLine="160"/>
              <w:rPr>
                <w:rFonts w:cs="Open Sans Light"/>
                <w:sz w:val="16"/>
                <w:szCs w:val="16"/>
              </w:rPr>
            </w:pPr>
            <w:r>
              <w:rPr>
                <w:rFonts w:cs="Open Sans Light"/>
                <w:sz w:val="16"/>
                <w:szCs w:val="16"/>
              </w:rPr>
              <w:t>Investment - NNR ($m)</w:t>
            </w:r>
          </w:p>
        </w:tc>
        <w:tc>
          <w:tcPr>
            <w:tcW w:w="624" w:type="dxa"/>
            <w:shd w:val="clear" w:color="auto" w:fill="auto"/>
            <w:noWrap/>
            <w:tcMar>
              <w:top w:w="15" w:type="dxa"/>
              <w:left w:w="15" w:type="dxa"/>
              <w:bottom w:w="0" w:type="dxa"/>
              <w:right w:w="15" w:type="dxa"/>
            </w:tcMar>
            <w:vAlign w:val="bottom"/>
            <w:hideMark/>
          </w:tcPr>
          <w:p w14:paraId="52EBBB5D" w14:textId="77777777" w:rsidR="007E365E" w:rsidRDefault="007E365E" w:rsidP="007D1D77">
            <w:pPr>
              <w:spacing w:before="0"/>
              <w:jc w:val="right"/>
              <w:rPr>
                <w:rFonts w:cs="Open Sans Light"/>
                <w:sz w:val="16"/>
                <w:szCs w:val="16"/>
              </w:rPr>
            </w:pPr>
            <w:r>
              <w:rPr>
                <w:rFonts w:cs="Open Sans Light"/>
                <w:sz w:val="16"/>
                <w:szCs w:val="16"/>
              </w:rPr>
              <w:t>864</w:t>
            </w:r>
          </w:p>
        </w:tc>
        <w:tc>
          <w:tcPr>
            <w:tcW w:w="624" w:type="dxa"/>
            <w:shd w:val="clear" w:color="auto" w:fill="auto"/>
            <w:noWrap/>
            <w:tcMar>
              <w:top w:w="15" w:type="dxa"/>
              <w:left w:w="15" w:type="dxa"/>
              <w:bottom w:w="0" w:type="dxa"/>
              <w:right w:w="15" w:type="dxa"/>
            </w:tcMar>
            <w:vAlign w:val="bottom"/>
            <w:hideMark/>
          </w:tcPr>
          <w:p w14:paraId="387FCF67" w14:textId="77777777" w:rsidR="007E365E" w:rsidRDefault="007E365E" w:rsidP="007D1D77">
            <w:pPr>
              <w:spacing w:before="0"/>
              <w:jc w:val="right"/>
              <w:rPr>
                <w:rFonts w:cs="Open Sans Light"/>
                <w:sz w:val="16"/>
                <w:szCs w:val="16"/>
              </w:rPr>
            </w:pPr>
            <w:r>
              <w:rPr>
                <w:rFonts w:cs="Open Sans Light"/>
                <w:sz w:val="16"/>
                <w:szCs w:val="16"/>
              </w:rPr>
              <w:t>98</w:t>
            </w:r>
          </w:p>
        </w:tc>
        <w:tc>
          <w:tcPr>
            <w:tcW w:w="624" w:type="dxa"/>
            <w:shd w:val="clear" w:color="auto" w:fill="auto"/>
            <w:noWrap/>
            <w:tcMar>
              <w:top w:w="15" w:type="dxa"/>
              <w:left w:w="15" w:type="dxa"/>
              <w:bottom w:w="0" w:type="dxa"/>
              <w:right w:w="15" w:type="dxa"/>
            </w:tcMar>
            <w:vAlign w:val="bottom"/>
            <w:hideMark/>
          </w:tcPr>
          <w:p w14:paraId="1A447C7C" w14:textId="77777777" w:rsidR="007E365E" w:rsidRDefault="007E365E" w:rsidP="007D1D77">
            <w:pPr>
              <w:spacing w:before="0"/>
              <w:jc w:val="right"/>
              <w:rPr>
                <w:rFonts w:cs="Open Sans Light"/>
                <w:sz w:val="16"/>
                <w:szCs w:val="16"/>
              </w:rPr>
            </w:pPr>
            <w:r>
              <w:rPr>
                <w:rFonts w:cs="Open Sans Light"/>
                <w:sz w:val="16"/>
                <w:szCs w:val="16"/>
              </w:rPr>
              <w:t>832</w:t>
            </w:r>
          </w:p>
        </w:tc>
        <w:tc>
          <w:tcPr>
            <w:tcW w:w="624" w:type="dxa"/>
            <w:shd w:val="clear" w:color="auto" w:fill="auto"/>
            <w:noWrap/>
            <w:tcMar>
              <w:top w:w="15" w:type="dxa"/>
              <w:left w:w="15" w:type="dxa"/>
              <w:bottom w:w="0" w:type="dxa"/>
              <w:right w:w="15" w:type="dxa"/>
            </w:tcMar>
            <w:vAlign w:val="bottom"/>
            <w:hideMark/>
          </w:tcPr>
          <w:p w14:paraId="50686142" w14:textId="77777777" w:rsidR="007E365E" w:rsidRDefault="007E365E" w:rsidP="007D1D77">
            <w:pPr>
              <w:spacing w:before="0"/>
              <w:jc w:val="right"/>
              <w:rPr>
                <w:rFonts w:cs="Open Sans Light"/>
                <w:sz w:val="16"/>
                <w:szCs w:val="16"/>
              </w:rPr>
            </w:pPr>
            <w:r>
              <w:rPr>
                <w:rFonts w:cs="Open Sans Light"/>
                <w:sz w:val="16"/>
                <w:szCs w:val="16"/>
              </w:rPr>
              <w:t>274</w:t>
            </w:r>
          </w:p>
        </w:tc>
        <w:tc>
          <w:tcPr>
            <w:tcW w:w="624" w:type="dxa"/>
            <w:shd w:val="clear" w:color="auto" w:fill="auto"/>
            <w:noWrap/>
            <w:tcMar>
              <w:top w:w="15" w:type="dxa"/>
              <w:left w:w="15" w:type="dxa"/>
              <w:bottom w:w="0" w:type="dxa"/>
              <w:right w:w="15" w:type="dxa"/>
            </w:tcMar>
            <w:vAlign w:val="bottom"/>
            <w:hideMark/>
          </w:tcPr>
          <w:p w14:paraId="4F68145E" w14:textId="77777777" w:rsidR="007E365E" w:rsidRDefault="007E365E" w:rsidP="007D1D77">
            <w:pPr>
              <w:spacing w:before="0"/>
              <w:jc w:val="right"/>
              <w:rPr>
                <w:rFonts w:cs="Open Sans Light"/>
                <w:sz w:val="16"/>
                <w:szCs w:val="16"/>
              </w:rPr>
            </w:pPr>
            <w:r>
              <w:rPr>
                <w:rFonts w:cs="Open Sans Light"/>
                <w:sz w:val="16"/>
                <w:szCs w:val="16"/>
              </w:rPr>
              <w:t>868</w:t>
            </w:r>
          </w:p>
        </w:tc>
        <w:tc>
          <w:tcPr>
            <w:tcW w:w="624" w:type="dxa"/>
            <w:shd w:val="clear" w:color="auto" w:fill="auto"/>
            <w:noWrap/>
            <w:tcMar>
              <w:top w:w="15" w:type="dxa"/>
              <w:left w:w="15" w:type="dxa"/>
              <w:bottom w:w="0" w:type="dxa"/>
              <w:right w:w="15" w:type="dxa"/>
            </w:tcMar>
            <w:vAlign w:val="bottom"/>
            <w:hideMark/>
          </w:tcPr>
          <w:p w14:paraId="66E2297F" w14:textId="77777777" w:rsidR="007E365E" w:rsidRDefault="007E365E" w:rsidP="007D1D77">
            <w:pPr>
              <w:spacing w:before="0"/>
              <w:jc w:val="right"/>
              <w:rPr>
                <w:rFonts w:cs="Open Sans Light"/>
                <w:sz w:val="16"/>
                <w:szCs w:val="16"/>
              </w:rPr>
            </w:pPr>
            <w:r>
              <w:rPr>
                <w:rFonts w:cs="Open Sans Light"/>
                <w:sz w:val="16"/>
                <w:szCs w:val="16"/>
              </w:rPr>
              <w:t>63</w:t>
            </w:r>
          </w:p>
        </w:tc>
        <w:tc>
          <w:tcPr>
            <w:tcW w:w="624" w:type="dxa"/>
            <w:shd w:val="clear" w:color="auto" w:fill="auto"/>
            <w:noWrap/>
            <w:tcMar>
              <w:top w:w="15" w:type="dxa"/>
              <w:left w:w="15" w:type="dxa"/>
              <w:bottom w:w="0" w:type="dxa"/>
              <w:right w:w="15" w:type="dxa"/>
            </w:tcMar>
            <w:vAlign w:val="bottom"/>
            <w:hideMark/>
          </w:tcPr>
          <w:p w14:paraId="0D5ED4B1" w14:textId="77777777" w:rsidR="007E365E" w:rsidRDefault="007E365E" w:rsidP="007D1D77">
            <w:pPr>
              <w:spacing w:before="0"/>
              <w:jc w:val="right"/>
              <w:rPr>
                <w:rFonts w:cs="Open Sans Light"/>
                <w:sz w:val="16"/>
                <w:szCs w:val="16"/>
              </w:rPr>
            </w:pPr>
            <w:r>
              <w:rPr>
                <w:rFonts w:cs="Open Sans Light"/>
                <w:sz w:val="16"/>
                <w:szCs w:val="16"/>
              </w:rPr>
              <w:t>0</w:t>
            </w:r>
          </w:p>
        </w:tc>
        <w:tc>
          <w:tcPr>
            <w:tcW w:w="624" w:type="dxa"/>
            <w:shd w:val="clear" w:color="auto" w:fill="auto"/>
            <w:noWrap/>
            <w:tcMar>
              <w:top w:w="15" w:type="dxa"/>
              <w:left w:w="15" w:type="dxa"/>
              <w:bottom w:w="0" w:type="dxa"/>
              <w:right w:w="15" w:type="dxa"/>
            </w:tcMar>
            <w:vAlign w:val="bottom"/>
            <w:hideMark/>
          </w:tcPr>
          <w:p w14:paraId="0A123ED4" w14:textId="77777777" w:rsidR="007E365E" w:rsidRDefault="007E365E" w:rsidP="007D1D77">
            <w:pPr>
              <w:spacing w:before="0"/>
              <w:jc w:val="right"/>
              <w:rPr>
                <w:rFonts w:cs="Open Sans Light"/>
                <w:sz w:val="16"/>
                <w:szCs w:val="16"/>
              </w:rPr>
            </w:pPr>
            <w:r>
              <w:rPr>
                <w:rFonts w:cs="Open Sans Light"/>
                <w:sz w:val="16"/>
                <w:szCs w:val="16"/>
              </w:rPr>
              <w:t>0</w:t>
            </w:r>
          </w:p>
        </w:tc>
        <w:tc>
          <w:tcPr>
            <w:tcW w:w="624" w:type="dxa"/>
            <w:shd w:val="clear" w:color="auto" w:fill="auto"/>
            <w:noWrap/>
            <w:tcMar>
              <w:top w:w="15" w:type="dxa"/>
              <w:left w:w="15" w:type="dxa"/>
              <w:bottom w:w="0" w:type="dxa"/>
              <w:right w:w="15" w:type="dxa"/>
            </w:tcMar>
            <w:vAlign w:val="bottom"/>
            <w:hideMark/>
          </w:tcPr>
          <w:p w14:paraId="79010B27" w14:textId="77777777" w:rsidR="007E365E" w:rsidRDefault="007E365E" w:rsidP="007D1D77">
            <w:pPr>
              <w:spacing w:before="0"/>
              <w:jc w:val="right"/>
              <w:rPr>
                <w:rFonts w:cs="Open Sans Light"/>
                <w:sz w:val="16"/>
                <w:szCs w:val="16"/>
              </w:rPr>
            </w:pPr>
            <w:r>
              <w:rPr>
                <w:rFonts w:cs="Open Sans Light"/>
                <w:sz w:val="16"/>
                <w:szCs w:val="16"/>
              </w:rPr>
              <w:t>2,999</w:t>
            </w:r>
          </w:p>
        </w:tc>
      </w:tr>
      <w:tr w:rsidR="007E365E" w:rsidRPr="004D5329" w14:paraId="58EC8E54" w14:textId="77777777" w:rsidTr="007D1D77">
        <w:trPr>
          <w:trHeight w:val="315"/>
        </w:trPr>
        <w:tc>
          <w:tcPr>
            <w:tcW w:w="0" w:type="auto"/>
            <w:shd w:val="clear" w:color="auto" w:fill="auto"/>
            <w:noWrap/>
            <w:tcMar>
              <w:top w:w="15" w:type="dxa"/>
              <w:left w:w="135" w:type="dxa"/>
              <w:bottom w:w="0" w:type="dxa"/>
              <w:right w:w="15" w:type="dxa"/>
            </w:tcMar>
            <w:vAlign w:val="bottom"/>
            <w:hideMark/>
          </w:tcPr>
          <w:p w14:paraId="35FD4B67" w14:textId="77777777" w:rsidR="007E365E" w:rsidRDefault="007E365E" w:rsidP="007D1D77">
            <w:pPr>
              <w:spacing w:before="0"/>
              <w:ind w:firstLineChars="100" w:firstLine="160"/>
              <w:rPr>
                <w:rFonts w:cs="Open Sans Light"/>
                <w:sz w:val="16"/>
                <w:szCs w:val="16"/>
              </w:rPr>
            </w:pPr>
            <w:r>
              <w:rPr>
                <w:rFonts w:cs="Open Sans Light"/>
                <w:sz w:val="16"/>
                <w:szCs w:val="16"/>
              </w:rPr>
              <w:t>Maintenance ($m)</w:t>
            </w:r>
          </w:p>
        </w:tc>
        <w:tc>
          <w:tcPr>
            <w:tcW w:w="624" w:type="dxa"/>
            <w:shd w:val="clear" w:color="auto" w:fill="auto"/>
            <w:noWrap/>
            <w:tcMar>
              <w:top w:w="15" w:type="dxa"/>
              <w:left w:w="15" w:type="dxa"/>
              <w:bottom w:w="0" w:type="dxa"/>
              <w:right w:w="15" w:type="dxa"/>
            </w:tcMar>
            <w:vAlign w:val="bottom"/>
            <w:hideMark/>
          </w:tcPr>
          <w:p w14:paraId="51427633" w14:textId="77777777" w:rsidR="007E365E" w:rsidRDefault="007E365E" w:rsidP="007D1D77">
            <w:pPr>
              <w:spacing w:before="0"/>
              <w:jc w:val="right"/>
              <w:rPr>
                <w:rFonts w:cs="Open Sans Light"/>
                <w:sz w:val="16"/>
                <w:szCs w:val="16"/>
              </w:rPr>
            </w:pPr>
            <w:r>
              <w:rPr>
                <w:rFonts w:cs="Open Sans Light"/>
                <w:sz w:val="16"/>
                <w:szCs w:val="16"/>
              </w:rPr>
              <w:t>95</w:t>
            </w:r>
          </w:p>
        </w:tc>
        <w:tc>
          <w:tcPr>
            <w:tcW w:w="624" w:type="dxa"/>
            <w:shd w:val="clear" w:color="auto" w:fill="auto"/>
            <w:noWrap/>
            <w:tcMar>
              <w:top w:w="15" w:type="dxa"/>
              <w:left w:w="15" w:type="dxa"/>
              <w:bottom w:w="0" w:type="dxa"/>
              <w:right w:w="15" w:type="dxa"/>
            </w:tcMar>
            <w:vAlign w:val="bottom"/>
            <w:hideMark/>
          </w:tcPr>
          <w:p w14:paraId="7DBD5CD0" w14:textId="77777777" w:rsidR="007E365E" w:rsidRDefault="007E365E" w:rsidP="007D1D77">
            <w:pPr>
              <w:spacing w:before="0"/>
              <w:jc w:val="right"/>
              <w:rPr>
                <w:rFonts w:cs="Open Sans Light"/>
                <w:sz w:val="16"/>
                <w:szCs w:val="16"/>
              </w:rPr>
            </w:pPr>
            <w:r>
              <w:rPr>
                <w:rFonts w:cs="Open Sans Light"/>
                <w:sz w:val="16"/>
                <w:szCs w:val="16"/>
              </w:rPr>
              <w:t>61</w:t>
            </w:r>
          </w:p>
        </w:tc>
        <w:tc>
          <w:tcPr>
            <w:tcW w:w="624" w:type="dxa"/>
            <w:shd w:val="clear" w:color="auto" w:fill="auto"/>
            <w:noWrap/>
            <w:tcMar>
              <w:top w:w="15" w:type="dxa"/>
              <w:left w:w="15" w:type="dxa"/>
              <w:bottom w:w="0" w:type="dxa"/>
              <w:right w:w="15" w:type="dxa"/>
            </w:tcMar>
            <w:vAlign w:val="bottom"/>
            <w:hideMark/>
          </w:tcPr>
          <w:p w14:paraId="649E930B" w14:textId="77777777" w:rsidR="007E365E" w:rsidRDefault="007E365E" w:rsidP="007D1D77">
            <w:pPr>
              <w:spacing w:before="0"/>
              <w:jc w:val="right"/>
              <w:rPr>
                <w:rFonts w:cs="Open Sans Light"/>
                <w:sz w:val="16"/>
                <w:szCs w:val="16"/>
              </w:rPr>
            </w:pPr>
            <w:r>
              <w:rPr>
                <w:rFonts w:cs="Open Sans Light"/>
                <w:sz w:val="16"/>
                <w:szCs w:val="16"/>
              </w:rPr>
              <w:t>90</w:t>
            </w:r>
          </w:p>
        </w:tc>
        <w:tc>
          <w:tcPr>
            <w:tcW w:w="624" w:type="dxa"/>
            <w:shd w:val="clear" w:color="auto" w:fill="auto"/>
            <w:noWrap/>
            <w:tcMar>
              <w:top w:w="15" w:type="dxa"/>
              <w:left w:w="15" w:type="dxa"/>
              <w:bottom w:w="0" w:type="dxa"/>
              <w:right w:w="15" w:type="dxa"/>
            </w:tcMar>
            <w:vAlign w:val="bottom"/>
            <w:hideMark/>
          </w:tcPr>
          <w:p w14:paraId="327BF406" w14:textId="77777777" w:rsidR="007E365E" w:rsidRDefault="007E365E" w:rsidP="007D1D77">
            <w:pPr>
              <w:spacing w:before="0"/>
              <w:jc w:val="right"/>
              <w:rPr>
                <w:rFonts w:cs="Open Sans Light"/>
                <w:sz w:val="16"/>
                <w:szCs w:val="16"/>
              </w:rPr>
            </w:pPr>
            <w:r>
              <w:rPr>
                <w:rFonts w:cs="Open Sans Light"/>
                <w:sz w:val="16"/>
                <w:szCs w:val="16"/>
              </w:rPr>
              <w:t>50</w:t>
            </w:r>
          </w:p>
        </w:tc>
        <w:tc>
          <w:tcPr>
            <w:tcW w:w="624" w:type="dxa"/>
            <w:shd w:val="clear" w:color="auto" w:fill="auto"/>
            <w:noWrap/>
            <w:tcMar>
              <w:top w:w="15" w:type="dxa"/>
              <w:left w:w="15" w:type="dxa"/>
              <w:bottom w:w="0" w:type="dxa"/>
              <w:right w:w="15" w:type="dxa"/>
            </w:tcMar>
            <w:vAlign w:val="bottom"/>
            <w:hideMark/>
          </w:tcPr>
          <w:p w14:paraId="584D5AA7" w14:textId="77777777" w:rsidR="007E365E" w:rsidRDefault="007E365E" w:rsidP="007D1D77">
            <w:pPr>
              <w:spacing w:before="0"/>
              <w:jc w:val="right"/>
              <w:rPr>
                <w:rFonts w:cs="Open Sans Light"/>
                <w:sz w:val="16"/>
                <w:szCs w:val="16"/>
              </w:rPr>
            </w:pPr>
            <w:r>
              <w:rPr>
                <w:rFonts w:cs="Open Sans Light"/>
                <w:sz w:val="16"/>
                <w:szCs w:val="16"/>
              </w:rPr>
              <w:t>29</w:t>
            </w:r>
          </w:p>
        </w:tc>
        <w:tc>
          <w:tcPr>
            <w:tcW w:w="624" w:type="dxa"/>
            <w:shd w:val="clear" w:color="auto" w:fill="auto"/>
            <w:noWrap/>
            <w:tcMar>
              <w:top w:w="15" w:type="dxa"/>
              <w:left w:w="15" w:type="dxa"/>
              <w:bottom w:w="0" w:type="dxa"/>
              <w:right w:w="15" w:type="dxa"/>
            </w:tcMar>
            <w:vAlign w:val="bottom"/>
            <w:hideMark/>
          </w:tcPr>
          <w:p w14:paraId="2A9B95A8" w14:textId="77777777" w:rsidR="007E365E" w:rsidRDefault="007E365E" w:rsidP="007D1D77">
            <w:pPr>
              <w:spacing w:before="0"/>
              <w:jc w:val="right"/>
              <w:rPr>
                <w:rFonts w:cs="Open Sans Light"/>
                <w:sz w:val="16"/>
                <w:szCs w:val="16"/>
              </w:rPr>
            </w:pPr>
            <w:r>
              <w:rPr>
                <w:rFonts w:cs="Open Sans Light"/>
                <w:sz w:val="16"/>
                <w:szCs w:val="16"/>
              </w:rPr>
              <w:t>8</w:t>
            </w:r>
          </w:p>
        </w:tc>
        <w:tc>
          <w:tcPr>
            <w:tcW w:w="624" w:type="dxa"/>
            <w:shd w:val="clear" w:color="auto" w:fill="auto"/>
            <w:noWrap/>
            <w:tcMar>
              <w:top w:w="15" w:type="dxa"/>
              <w:left w:w="15" w:type="dxa"/>
              <w:bottom w:w="0" w:type="dxa"/>
              <w:right w:w="15" w:type="dxa"/>
            </w:tcMar>
            <w:vAlign w:val="bottom"/>
            <w:hideMark/>
          </w:tcPr>
          <w:p w14:paraId="2DC91178" w14:textId="77777777" w:rsidR="007E365E" w:rsidRDefault="007E365E" w:rsidP="007D1D77">
            <w:pPr>
              <w:spacing w:before="0"/>
              <w:jc w:val="right"/>
              <w:rPr>
                <w:rFonts w:cs="Open Sans Light"/>
                <w:sz w:val="16"/>
                <w:szCs w:val="16"/>
              </w:rPr>
            </w:pPr>
            <w:r>
              <w:rPr>
                <w:rFonts w:cs="Open Sans Light"/>
                <w:sz w:val="16"/>
                <w:szCs w:val="16"/>
              </w:rPr>
              <w:t>1</w:t>
            </w:r>
          </w:p>
        </w:tc>
        <w:tc>
          <w:tcPr>
            <w:tcW w:w="624" w:type="dxa"/>
            <w:shd w:val="clear" w:color="auto" w:fill="auto"/>
            <w:noWrap/>
            <w:tcMar>
              <w:top w:w="15" w:type="dxa"/>
              <w:left w:w="15" w:type="dxa"/>
              <w:bottom w:w="0" w:type="dxa"/>
              <w:right w:w="15" w:type="dxa"/>
            </w:tcMar>
            <w:vAlign w:val="bottom"/>
            <w:hideMark/>
          </w:tcPr>
          <w:p w14:paraId="15AFEE5B" w14:textId="77777777" w:rsidR="007E365E" w:rsidRDefault="007E365E" w:rsidP="007D1D77">
            <w:pPr>
              <w:spacing w:before="0"/>
              <w:jc w:val="right"/>
              <w:rPr>
                <w:rFonts w:cs="Open Sans Light"/>
                <w:sz w:val="16"/>
                <w:szCs w:val="16"/>
              </w:rPr>
            </w:pPr>
            <w:r>
              <w:rPr>
                <w:rFonts w:cs="Open Sans Light"/>
                <w:sz w:val="16"/>
                <w:szCs w:val="16"/>
              </w:rPr>
              <w:t>17</w:t>
            </w:r>
          </w:p>
        </w:tc>
        <w:tc>
          <w:tcPr>
            <w:tcW w:w="624" w:type="dxa"/>
            <w:shd w:val="clear" w:color="auto" w:fill="auto"/>
            <w:noWrap/>
            <w:tcMar>
              <w:top w:w="15" w:type="dxa"/>
              <w:left w:w="15" w:type="dxa"/>
              <w:bottom w:w="0" w:type="dxa"/>
              <w:right w:w="15" w:type="dxa"/>
            </w:tcMar>
            <w:vAlign w:val="bottom"/>
            <w:hideMark/>
          </w:tcPr>
          <w:p w14:paraId="1957D0A8" w14:textId="77777777" w:rsidR="007E365E" w:rsidRDefault="007E365E" w:rsidP="007D1D77">
            <w:pPr>
              <w:spacing w:before="0"/>
              <w:jc w:val="right"/>
              <w:rPr>
                <w:rFonts w:cs="Open Sans Light"/>
                <w:sz w:val="16"/>
                <w:szCs w:val="16"/>
              </w:rPr>
            </w:pPr>
            <w:r>
              <w:rPr>
                <w:rFonts w:cs="Open Sans Light"/>
                <w:sz w:val="16"/>
                <w:szCs w:val="16"/>
              </w:rPr>
              <w:t>350</w:t>
            </w:r>
          </w:p>
        </w:tc>
      </w:tr>
      <w:tr w:rsidR="007E365E" w:rsidRPr="004D5329" w14:paraId="05D4886B" w14:textId="77777777" w:rsidTr="007D1D77">
        <w:trPr>
          <w:trHeight w:val="315"/>
        </w:trPr>
        <w:tc>
          <w:tcPr>
            <w:tcW w:w="0" w:type="auto"/>
            <w:shd w:val="clear" w:color="auto" w:fill="auto"/>
            <w:noWrap/>
            <w:tcMar>
              <w:top w:w="15" w:type="dxa"/>
              <w:left w:w="135" w:type="dxa"/>
              <w:bottom w:w="0" w:type="dxa"/>
              <w:right w:w="15" w:type="dxa"/>
            </w:tcMar>
            <w:vAlign w:val="bottom"/>
            <w:hideMark/>
          </w:tcPr>
          <w:p w14:paraId="061D096E" w14:textId="77777777" w:rsidR="007E365E" w:rsidRDefault="007E365E" w:rsidP="007D1D77">
            <w:pPr>
              <w:spacing w:before="0"/>
              <w:ind w:firstLineChars="100" w:firstLine="160"/>
              <w:rPr>
                <w:rFonts w:cs="Open Sans Light"/>
                <w:sz w:val="16"/>
                <w:szCs w:val="16"/>
              </w:rPr>
            </w:pPr>
            <w:r>
              <w:rPr>
                <w:rFonts w:cs="Open Sans Light"/>
                <w:sz w:val="16"/>
                <w:szCs w:val="16"/>
              </w:rPr>
              <w:t>Off-network - Road ($m)</w:t>
            </w:r>
          </w:p>
        </w:tc>
        <w:tc>
          <w:tcPr>
            <w:tcW w:w="624" w:type="dxa"/>
            <w:shd w:val="clear" w:color="auto" w:fill="auto"/>
            <w:noWrap/>
            <w:tcMar>
              <w:top w:w="15" w:type="dxa"/>
              <w:left w:w="15" w:type="dxa"/>
              <w:bottom w:w="0" w:type="dxa"/>
              <w:right w:w="15" w:type="dxa"/>
            </w:tcMar>
            <w:vAlign w:val="bottom"/>
            <w:hideMark/>
          </w:tcPr>
          <w:p w14:paraId="22FF7D6E" w14:textId="77777777" w:rsidR="007E365E" w:rsidRDefault="007E365E" w:rsidP="007D1D77">
            <w:pPr>
              <w:spacing w:before="0"/>
              <w:jc w:val="right"/>
              <w:rPr>
                <w:rFonts w:cs="Open Sans Light"/>
                <w:sz w:val="16"/>
                <w:szCs w:val="16"/>
              </w:rPr>
            </w:pPr>
            <w:r>
              <w:rPr>
                <w:rFonts w:cs="Open Sans Light"/>
                <w:sz w:val="16"/>
                <w:szCs w:val="16"/>
              </w:rPr>
              <w:t>55</w:t>
            </w:r>
          </w:p>
        </w:tc>
        <w:tc>
          <w:tcPr>
            <w:tcW w:w="624" w:type="dxa"/>
            <w:shd w:val="clear" w:color="auto" w:fill="auto"/>
            <w:noWrap/>
            <w:tcMar>
              <w:top w:w="15" w:type="dxa"/>
              <w:left w:w="15" w:type="dxa"/>
              <w:bottom w:w="0" w:type="dxa"/>
              <w:right w:w="15" w:type="dxa"/>
            </w:tcMar>
            <w:vAlign w:val="bottom"/>
            <w:hideMark/>
          </w:tcPr>
          <w:p w14:paraId="3E7BAED7" w14:textId="77777777" w:rsidR="007E365E" w:rsidRDefault="007E365E" w:rsidP="007D1D77">
            <w:pPr>
              <w:spacing w:before="0"/>
              <w:jc w:val="right"/>
              <w:rPr>
                <w:rFonts w:cs="Open Sans Light"/>
                <w:sz w:val="16"/>
                <w:szCs w:val="16"/>
              </w:rPr>
            </w:pPr>
            <w:r>
              <w:rPr>
                <w:rFonts w:cs="Open Sans Light"/>
                <w:sz w:val="16"/>
                <w:szCs w:val="16"/>
              </w:rPr>
              <w:t>1</w:t>
            </w:r>
          </w:p>
        </w:tc>
        <w:tc>
          <w:tcPr>
            <w:tcW w:w="624" w:type="dxa"/>
            <w:shd w:val="clear" w:color="auto" w:fill="auto"/>
            <w:noWrap/>
            <w:tcMar>
              <w:top w:w="15" w:type="dxa"/>
              <w:left w:w="15" w:type="dxa"/>
              <w:bottom w:w="0" w:type="dxa"/>
              <w:right w:w="15" w:type="dxa"/>
            </w:tcMar>
            <w:vAlign w:val="bottom"/>
            <w:hideMark/>
          </w:tcPr>
          <w:p w14:paraId="29EF4BB1" w14:textId="77777777" w:rsidR="007E365E" w:rsidRDefault="007E365E" w:rsidP="007D1D77">
            <w:pPr>
              <w:spacing w:before="0"/>
              <w:jc w:val="right"/>
              <w:rPr>
                <w:rFonts w:cs="Open Sans Light"/>
                <w:sz w:val="16"/>
                <w:szCs w:val="16"/>
              </w:rPr>
            </w:pPr>
            <w:r>
              <w:rPr>
                <w:rFonts w:cs="Open Sans Light"/>
                <w:sz w:val="16"/>
                <w:szCs w:val="16"/>
              </w:rPr>
              <w:t>52</w:t>
            </w:r>
          </w:p>
        </w:tc>
        <w:tc>
          <w:tcPr>
            <w:tcW w:w="624" w:type="dxa"/>
            <w:shd w:val="clear" w:color="auto" w:fill="auto"/>
            <w:noWrap/>
            <w:tcMar>
              <w:top w:w="15" w:type="dxa"/>
              <w:left w:w="15" w:type="dxa"/>
              <w:bottom w:w="0" w:type="dxa"/>
              <w:right w:w="15" w:type="dxa"/>
            </w:tcMar>
            <w:vAlign w:val="bottom"/>
            <w:hideMark/>
          </w:tcPr>
          <w:p w14:paraId="5C379A1E" w14:textId="77777777" w:rsidR="007E365E" w:rsidRDefault="007E365E" w:rsidP="007D1D77">
            <w:pPr>
              <w:spacing w:before="0"/>
              <w:jc w:val="right"/>
              <w:rPr>
                <w:rFonts w:cs="Open Sans Light"/>
                <w:sz w:val="16"/>
                <w:szCs w:val="16"/>
              </w:rPr>
            </w:pPr>
            <w:r>
              <w:rPr>
                <w:rFonts w:cs="Open Sans Light"/>
                <w:sz w:val="16"/>
                <w:szCs w:val="16"/>
              </w:rPr>
              <w:t>69</w:t>
            </w:r>
          </w:p>
        </w:tc>
        <w:tc>
          <w:tcPr>
            <w:tcW w:w="624" w:type="dxa"/>
            <w:shd w:val="clear" w:color="auto" w:fill="auto"/>
            <w:noWrap/>
            <w:tcMar>
              <w:top w:w="15" w:type="dxa"/>
              <w:left w:w="15" w:type="dxa"/>
              <w:bottom w:w="0" w:type="dxa"/>
              <w:right w:w="15" w:type="dxa"/>
            </w:tcMar>
            <w:vAlign w:val="bottom"/>
            <w:hideMark/>
          </w:tcPr>
          <w:p w14:paraId="5C20626A" w14:textId="77777777" w:rsidR="007E365E" w:rsidRDefault="007E365E" w:rsidP="007D1D77">
            <w:pPr>
              <w:spacing w:before="0"/>
              <w:jc w:val="right"/>
              <w:rPr>
                <w:rFonts w:cs="Open Sans Light"/>
                <w:sz w:val="16"/>
                <w:szCs w:val="16"/>
              </w:rPr>
            </w:pPr>
            <w:r>
              <w:rPr>
                <w:rFonts w:cs="Open Sans Light"/>
                <w:sz w:val="16"/>
                <w:szCs w:val="16"/>
              </w:rPr>
              <w:t>79</w:t>
            </w:r>
          </w:p>
        </w:tc>
        <w:tc>
          <w:tcPr>
            <w:tcW w:w="624" w:type="dxa"/>
            <w:shd w:val="clear" w:color="auto" w:fill="auto"/>
            <w:noWrap/>
            <w:tcMar>
              <w:top w:w="15" w:type="dxa"/>
              <w:left w:w="15" w:type="dxa"/>
              <w:bottom w:w="0" w:type="dxa"/>
              <w:right w:w="15" w:type="dxa"/>
            </w:tcMar>
            <w:vAlign w:val="bottom"/>
            <w:hideMark/>
          </w:tcPr>
          <w:p w14:paraId="616C5D77" w14:textId="77777777" w:rsidR="007E365E" w:rsidRDefault="007E365E" w:rsidP="007D1D77">
            <w:pPr>
              <w:spacing w:before="0"/>
              <w:jc w:val="right"/>
              <w:rPr>
                <w:rFonts w:cs="Open Sans Light"/>
                <w:sz w:val="16"/>
                <w:szCs w:val="16"/>
              </w:rPr>
            </w:pPr>
            <w:r>
              <w:rPr>
                <w:rFonts w:cs="Open Sans Light"/>
                <w:sz w:val="16"/>
                <w:szCs w:val="16"/>
              </w:rPr>
              <w:t>10</w:t>
            </w:r>
          </w:p>
        </w:tc>
        <w:tc>
          <w:tcPr>
            <w:tcW w:w="624" w:type="dxa"/>
            <w:shd w:val="clear" w:color="auto" w:fill="auto"/>
            <w:noWrap/>
            <w:tcMar>
              <w:top w:w="15" w:type="dxa"/>
              <w:left w:w="15" w:type="dxa"/>
              <w:bottom w:w="0" w:type="dxa"/>
              <w:right w:w="15" w:type="dxa"/>
            </w:tcMar>
            <w:vAlign w:val="bottom"/>
            <w:hideMark/>
          </w:tcPr>
          <w:p w14:paraId="154A79B9" w14:textId="77777777" w:rsidR="007E365E" w:rsidRDefault="007E365E" w:rsidP="007D1D77">
            <w:pPr>
              <w:spacing w:before="0"/>
              <w:jc w:val="right"/>
              <w:rPr>
                <w:rFonts w:cs="Open Sans Light"/>
                <w:sz w:val="16"/>
                <w:szCs w:val="16"/>
              </w:rPr>
            </w:pPr>
            <w:r>
              <w:rPr>
                <w:rFonts w:cs="Open Sans Light"/>
                <w:sz w:val="16"/>
                <w:szCs w:val="16"/>
              </w:rPr>
              <w:t>0</w:t>
            </w:r>
          </w:p>
        </w:tc>
        <w:tc>
          <w:tcPr>
            <w:tcW w:w="624" w:type="dxa"/>
            <w:shd w:val="clear" w:color="auto" w:fill="auto"/>
            <w:noWrap/>
            <w:tcMar>
              <w:top w:w="15" w:type="dxa"/>
              <w:left w:w="15" w:type="dxa"/>
              <w:bottom w:w="0" w:type="dxa"/>
              <w:right w:w="15" w:type="dxa"/>
            </w:tcMar>
            <w:vAlign w:val="bottom"/>
            <w:hideMark/>
          </w:tcPr>
          <w:p w14:paraId="652C595D" w14:textId="77777777" w:rsidR="007E365E" w:rsidRDefault="007E365E" w:rsidP="007D1D77">
            <w:pPr>
              <w:spacing w:before="0"/>
              <w:jc w:val="right"/>
              <w:rPr>
                <w:rFonts w:cs="Open Sans Light"/>
                <w:sz w:val="16"/>
                <w:szCs w:val="16"/>
              </w:rPr>
            </w:pPr>
            <w:r>
              <w:rPr>
                <w:rFonts w:cs="Open Sans Light"/>
                <w:sz w:val="16"/>
                <w:szCs w:val="16"/>
              </w:rPr>
              <w:t>17</w:t>
            </w:r>
          </w:p>
        </w:tc>
        <w:tc>
          <w:tcPr>
            <w:tcW w:w="624" w:type="dxa"/>
            <w:shd w:val="clear" w:color="auto" w:fill="auto"/>
            <w:noWrap/>
            <w:tcMar>
              <w:top w:w="15" w:type="dxa"/>
              <w:left w:w="15" w:type="dxa"/>
              <w:bottom w:w="0" w:type="dxa"/>
              <w:right w:w="15" w:type="dxa"/>
            </w:tcMar>
            <w:vAlign w:val="bottom"/>
            <w:hideMark/>
          </w:tcPr>
          <w:p w14:paraId="716D3699" w14:textId="77777777" w:rsidR="007E365E" w:rsidRDefault="007E365E" w:rsidP="007D1D77">
            <w:pPr>
              <w:spacing w:before="0"/>
              <w:jc w:val="right"/>
              <w:rPr>
                <w:rFonts w:cs="Open Sans Light"/>
                <w:sz w:val="16"/>
                <w:szCs w:val="16"/>
              </w:rPr>
            </w:pPr>
            <w:r>
              <w:rPr>
                <w:rFonts w:cs="Open Sans Light"/>
                <w:sz w:val="16"/>
                <w:szCs w:val="16"/>
              </w:rPr>
              <w:t>282</w:t>
            </w:r>
          </w:p>
        </w:tc>
      </w:tr>
      <w:tr w:rsidR="007E365E" w:rsidRPr="004D5329" w14:paraId="6072CC0B"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458215A9" w14:textId="77777777" w:rsidR="007E365E" w:rsidRDefault="007E365E" w:rsidP="007D1D77">
            <w:pPr>
              <w:spacing w:before="0"/>
              <w:rPr>
                <w:rFonts w:cs="Open Sans Light"/>
                <w:sz w:val="16"/>
                <w:szCs w:val="16"/>
              </w:rPr>
            </w:pPr>
            <w:r>
              <w:rPr>
                <w:rFonts w:cs="Open Sans Light"/>
                <w:sz w:val="16"/>
                <w:szCs w:val="16"/>
              </w:rPr>
              <w:t>Western Sydney Infrastructure Plan ($m)</w:t>
            </w:r>
          </w:p>
        </w:tc>
        <w:tc>
          <w:tcPr>
            <w:tcW w:w="624" w:type="dxa"/>
            <w:shd w:val="clear" w:color="auto" w:fill="auto"/>
            <w:noWrap/>
            <w:tcMar>
              <w:top w:w="15" w:type="dxa"/>
              <w:left w:w="15" w:type="dxa"/>
              <w:bottom w:w="0" w:type="dxa"/>
              <w:right w:w="15" w:type="dxa"/>
            </w:tcMar>
            <w:vAlign w:val="bottom"/>
            <w:hideMark/>
          </w:tcPr>
          <w:p w14:paraId="2A85D55A" w14:textId="77777777" w:rsidR="007E365E" w:rsidRDefault="007E365E" w:rsidP="007D1D77">
            <w:pPr>
              <w:spacing w:before="0"/>
              <w:jc w:val="right"/>
              <w:rPr>
                <w:rFonts w:cs="Open Sans Light"/>
                <w:sz w:val="16"/>
                <w:szCs w:val="16"/>
              </w:rPr>
            </w:pPr>
            <w:r>
              <w:rPr>
                <w:rFonts w:cs="Open Sans Light"/>
                <w:sz w:val="16"/>
                <w:szCs w:val="16"/>
              </w:rPr>
              <w:t>246</w:t>
            </w:r>
          </w:p>
        </w:tc>
        <w:tc>
          <w:tcPr>
            <w:tcW w:w="624" w:type="dxa"/>
            <w:shd w:val="clear" w:color="auto" w:fill="auto"/>
            <w:noWrap/>
            <w:tcMar>
              <w:top w:w="15" w:type="dxa"/>
              <w:left w:w="15" w:type="dxa"/>
              <w:bottom w:w="0" w:type="dxa"/>
              <w:right w:w="15" w:type="dxa"/>
            </w:tcMar>
            <w:vAlign w:val="bottom"/>
            <w:hideMark/>
          </w:tcPr>
          <w:p w14:paraId="6B56B92E" w14:textId="77777777" w:rsidR="007E365E" w:rsidRDefault="007E365E" w:rsidP="007D1D77">
            <w:pPr>
              <w:spacing w:before="0"/>
              <w:jc w:val="right"/>
              <w:rPr>
                <w:rFonts w:cs="Open Sans Light"/>
                <w:sz w:val="16"/>
                <w:szCs w:val="16"/>
              </w:rPr>
            </w:pPr>
            <w:r>
              <w:rPr>
                <w:rFonts w:cs="Open Sans Light"/>
                <w:sz w:val="16"/>
                <w:szCs w:val="16"/>
              </w:rPr>
              <w:t>0</w:t>
            </w:r>
          </w:p>
        </w:tc>
        <w:tc>
          <w:tcPr>
            <w:tcW w:w="624" w:type="dxa"/>
            <w:shd w:val="clear" w:color="auto" w:fill="auto"/>
            <w:noWrap/>
            <w:tcMar>
              <w:top w:w="15" w:type="dxa"/>
              <w:left w:w="15" w:type="dxa"/>
              <w:bottom w:w="0" w:type="dxa"/>
              <w:right w:w="15" w:type="dxa"/>
            </w:tcMar>
            <w:vAlign w:val="bottom"/>
            <w:hideMark/>
          </w:tcPr>
          <w:p w14:paraId="790B1198" w14:textId="77777777" w:rsidR="007E365E" w:rsidRDefault="007E365E" w:rsidP="007D1D77">
            <w:pPr>
              <w:spacing w:before="0"/>
              <w:jc w:val="right"/>
              <w:rPr>
                <w:rFonts w:cs="Open Sans Light"/>
                <w:sz w:val="16"/>
                <w:szCs w:val="16"/>
              </w:rPr>
            </w:pPr>
            <w:r>
              <w:rPr>
                <w:rFonts w:cs="Open Sans Light"/>
                <w:sz w:val="16"/>
                <w:szCs w:val="16"/>
              </w:rPr>
              <w:t>0</w:t>
            </w:r>
          </w:p>
        </w:tc>
        <w:tc>
          <w:tcPr>
            <w:tcW w:w="624" w:type="dxa"/>
            <w:shd w:val="clear" w:color="auto" w:fill="auto"/>
            <w:noWrap/>
            <w:tcMar>
              <w:top w:w="15" w:type="dxa"/>
              <w:left w:w="15" w:type="dxa"/>
              <w:bottom w:w="0" w:type="dxa"/>
              <w:right w:w="15" w:type="dxa"/>
            </w:tcMar>
            <w:vAlign w:val="bottom"/>
            <w:hideMark/>
          </w:tcPr>
          <w:p w14:paraId="38AEE609" w14:textId="77777777" w:rsidR="007E365E" w:rsidRDefault="007E365E" w:rsidP="007D1D77">
            <w:pPr>
              <w:spacing w:before="0"/>
              <w:jc w:val="right"/>
              <w:rPr>
                <w:rFonts w:cs="Open Sans Light"/>
                <w:sz w:val="16"/>
                <w:szCs w:val="16"/>
              </w:rPr>
            </w:pPr>
            <w:r>
              <w:rPr>
                <w:rFonts w:cs="Open Sans Light"/>
                <w:sz w:val="16"/>
                <w:szCs w:val="16"/>
              </w:rPr>
              <w:t>0</w:t>
            </w:r>
          </w:p>
        </w:tc>
        <w:tc>
          <w:tcPr>
            <w:tcW w:w="624" w:type="dxa"/>
            <w:shd w:val="clear" w:color="auto" w:fill="auto"/>
            <w:noWrap/>
            <w:tcMar>
              <w:top w:w="15" w:type="dxa"/>
              <w:left w:w="15" w:type="dxa"/>
              <w:bottom w:w="0" w:type="dxa"/>
              <w:right w:w="15" w:type="dxa"/>
            </w:tcMar>
            <w:vAlign w:val="bottom"/>
            <w:hideMark/>
          </w:tcPr>
          <w:p w14:paraId="28BBBDD0" w14:textId="77777777" w:rsidR="007E365E" w:rsidRDefault="007E365E" w:rsidP="007D1D77">
            <w:pPr>
              <w:spacing w:before="0"/>
              <w:jc w:val="right"/>
              <w:rPr>
                <w:rFonts w:cs="Open Sans Light"/>
                <w:sz w:val="16"/>
                <w:szCs w:val="16"/>
              </w:rPr>
            </w:pPr>
            <w:r>
              <w:rPr>
                <w:rFonts w:cs="Open Sans Light"/>
                <w:sz w:val="16"/>
                <w:szCs w:val="16"/>
              </w:rPr>
              <w:t>0</w:t>
            </w:r>
          </w:p>
        </w:tc>
        <w:tc>
          <w:tcPr>
            <w:tcW w:w="624" w:type="dxa"/>
            <w:shd w:val="clear" w:color="auto" w:fill="auto"/>
            <w:noWrap/>
            <w:tcMar>
              <w:top w:w="15" w:type="dxa"/>
              <w:left w:w="15" w:type="dxa"/>
              <w:bottom w:w="0" w:type="dxa"/>
              <w:right w:w="15" w:type="dxa"/>
            </w:tcMar>
            <w:vAlign w:val="bottom"/>
            <w:hideMark/>
          </w:tcPr>
          <w:p w14:paraId="456DA689" w14:textId="77777777" w:rsidR="007E365E" w:rsidRDefault="007E365E" w:rsidP="007D1D77">
            <w:pPr>
              <w:spacing w:before="0"/>
              <w:jc w:val="right"/>
              <w:rPr>
                <w:rFonts w:cs="Open Sans Light"/>
                <w:sz w:val="16"/>
                <w:szCs w:val="16"/>
              </w:rPr>
            </w:pPr>
            <w:r>
              <w:rPr>
                <w:rFonts w:cs="Open Sans Light"/>
                <w:sz w:val="16"/>
                <w:szCs w:val="16"/>
              </w:rPr>
              <w:t>0</w:t>
            </w:r>
          </w:p>
        </w:tc>
        <w:tc>
          <w:tcPr>
            <w:tcW w:w="624" w:type="dxa"/>
            <w:shd w:val="clear" w:color="auto" w:fill="auto"/>
            <w:noWrap/>
            <w:tcMar>
              <w:top w:w="15" w:type="dxa"/>
              <w:left w:w="15" w:type="dxa"/>
              <w:bottom w:w="0" w:type="dxa"/>
              <w:right w:w="15" w:type="dxa"/>
            </w:tcMar>
            <w:vAlign w:val="bottom"/>
            <w:hideMark/>
          </w:tcPr>
          <w:p w14:paraId="1A9AA4AC" w14:textId="77777777" w:rsidR="007E365E" w:rsidRDefault="007E365E" w:rsidP="007D1D77">
            <w:pPr>
              <w:spacing w:before="0"/>
              <w:jc w:val="right"/>
              <w:rPr>
                <w:rFonts w:cs="Open Sans Light"/>
                <w:sz w:val="16"/>
                <w:szCs w:val="16"/>
              </w:rPr>
            </w:pPr>
            <w:r>
              <w:rPr>
                <w:rFonts w:cs="Open Sans Light"/>
                <w:sz w:val="16"/>
                <w:szCs w:val="16"/>
              </w:rPr>
              <w:t>0</w:t>
            </w:r>
          </w:p>
        </w:tc>
        <w:tc>
          <w:tcPr>
            <w:tcW w:w="624" w:type="dxa"/>
            <w:shd w:val="clear" w:color="auto" w:fill="auto"/>
            <w:noWrap/>
            <w:tcMar>
              <w:top w:w="15" w:type="dxa"/>
              <w:left w:w="15" w:type="dxa"/>
              <w:bottom w:w="0" w:type="dxa"/>
              <w:right w:w="15" w:type="dxa"/>
            </w:tcMar>
            <w:vAlign w:val="bottom"/>
            <w:hideMark/>
          </w:tcPr>
          <w:p w14:paraId="39AC183A" w14:textId="77777777" w:rsidR="007E365E" w:rsidRDefault="007E365E" w:rsidP="007D1D77">
            <w:pPr>
              <w:spacing w:before="0"/>
              <w:jc w:val="right"/>
              <w:rPr>
                <w:rFonts w:cs="Open Sans Light"/>
                <w:sz w:val="16"/>
                <w:szCs w:val="16"/>
              </w:rPr>
            </w:pPr>
            <w:r>
              <w:rPr>
                <w:rFonts w:cs="Open Sans Light"/>
                <w:sz w:val="16"/>
                <w:szCs w:val="16"/>
              </w:rPr>
              <w:t>0</w:t>
            </w:r>
          </w:p>
        </w:tc>
        <w:tc>
          <w:tcPr>
            <w:tcW w:w="624" w:type="dxa"/>
            <w:shd w:val="clear" w:color="auto" w:fill="auto"/>
            <w:noWrap/>
            <w:tcMar>
              <w:top w:w="15" w:type="dxa"/>
              <w:left w:w="15" w:type="dxa"/>
              <w:bottom w:w="0" w:type="dxa"/>
              <w:right w:w="15" w:type="dxa"/>
            </w:tcMar>
            <w:vAlign w:val="bottom"/>
            <w:hideMark/>
          </w:tcPr>
          <w:p w14:paraId="1A2A3653" w14:textId="77777777" w:rsidR="007E365E" w:rsidRDefault="007E365E" w:rsidP="007D1D77">
            <w:pPr>
              <w:spacing w:before="0"/>
              <w:jc w:val="right"/>
              <w:rPr>
                <w:rFonts w:cs="Open Sans Light"/>
                <w:sz w:val="16"/>
                <w:szCs w:val="16"/>
              </w:rPr>
            </w:pPr>
            <w:r>
              <w:rPr>
                <w:rFonts w:cs="Open Sans Light"/>
                <w:sz w:val="16"/>
                <w:szCs w:val="16"/>
              </w:rPr>
              <w:t>246</w:t>
            </w:r>
          </w:p>
        </w:tc>
      </w:tr>
      <w:tr w:rsidR="007E365E" w:rsidRPr="004D5329" w14:paraId="7C987996"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2F0A9D2F" w14:textId="77777777" w:rsidR="007E365E" w:rsidRDefault="007E365E" w:rsidP="007D1D77">
            <w:pPr>
              <w:spacing w:before="0"/>
              <w:rPr>
                <w:rFonts w:cs="Open Sans Light"/>
                <w:sz w:val="16"/>
                <w:szCs w:val="16"/>
              </w:rPr>
            </w:pPr>
            <w:r>
              <w:rPr>
                <w:rFonts w:cs="Open Sans Light"/>
                <w:sz w:val="16"/>
                <w:szCs w:val="16"/>
              </w:rPr>
              <w:t>Other ($m)</w:t>
            </w:r>
          </w:p>
        </w:tc>
        <w:tc>
          <w:tcPr>
            <w:tcW w:w="624" w:type="dxa"/>
            <w:shd w:val="clear" w:color="auto" w:fill="auto"/>
            <w:noWrap/>
            <w:tcMar>
              <w:top w:w="15" w:type="dxa"/>
              <w:left w:w="15" w:type="dxa"/>
              <w:bottom w:w="0" w:type="dxa"/>
              <w:right w:w="15" w:type="dxa"/>
            </w:tcMar>
            <w:vAlign w:val="bottom"/>
            <w:hideMark/>
          </w:tcPr>
          <w:p w14:paraId="453CF016" w14:textId="77777777" w:rsidR="007E365E" w:rsidRDefault="007E365E" w:rsidP="007D1D77">
            <w:pPr>
              <w:spacing w:before="0"/>
              <w:jc w:val="right"/>
              <w:rPr>
                <w:rFonts w:cs="Open Sans Light"/>
                <w:sz w:val="16"/>
                <w:szCs w:val="16"/>
              </w:rPr>
            </w:pPr>
            <w:r>
              <w:rPr>
                <w:rFonts w:cs="Open Sans Light"/>
                <w:sz w:val="16"/>
                <w:szCs w:val="16"/>
              </w:rPr>
              <w:t>84</w:t>
            </w:r>
          </w:p>
        </w:tc>
        <w:tc>
          <w:tcPr>
            <w:tcW w:w="624" w:type="dxa"/>
            <w:shd w:val="clear" w:color="auto" w:fill="auto"/>
            <w:noWrap/>
            <w:tcMar>
              <w:top w:w="15" w:type="dxa"/>
              <w:left w:w="15" w:type="dxa"/>
              <w:bottom w:w="0" w:type="dxa"/>
              <w:right w:w="15" w:type="dxa"/>
            </w:tcMar>
            <w:vAlign w:val="bottom"/>
            <w:hideMark/>
          </w:tcPr>
          <w:p w14:paraId="4DD357EE" w14:textId="77777777" w:rsidR="007E365E" w:rsidRDefault="007E365E" w:rsidP="007D1D77">
            <w:pPr>
              <w:spacing w:before="0"/>
              <w:jc w:val="right"/>
              <w:rPr>
                <w:rFonts w:cs="Open Sans Light"/>
                <w:sz w:val="16"/>
                <w:szCs w:val="16"/>
              </w:rPr>
            </w:pPr>
            <w:r>
              <w:rPr>
                <w:rFonts w:cs="Open Sans Light"/>
                <w:sz w:val="16"/>
                <w:szCs w:val="16"/>
              </w:rPr>
              <w:t>23</w:t>
            </w:r>
          </w:p>
        </w:tc>
        <w:tc>
          <w:tcPr>
            <w:tcW w:w="624" w:type="dxa"/>
            <w:shd w:val="clear" w:color="auto" w:fill="auto"/>
            <w:noWrap/>
            <w:tcMar>
              <w:top w:w="15" w:type="dxa"/>
              <w:left w:w="15" w:type="dxa"/>
              <w:bottom w:w="0" w:type="dxa"/>
              <w:right w:w="15" w:type="dxa"/>
            </w:tcMar>
            <w:vAlign w:val="bottom"/>
            <w:hideMark/>
          </w:tcPr>
          <w:p w14:paraId="3FE11A6E" w14:textId="77777777" w:rsidR="007E365E" w:rsidRDefault="007E365E" w:rsidP="007D1D77">
            <w:pPr>
              <w:spacing w:before="0"/>
              <w:jc w:val="right"/>
              <w:rPr>
                <w:rFonts w:cs="Open Sans Light"/>
                <w:sz w:val="16"/>
                <w:szCs w:val="16"/>
              </w:rPr>
            </w:pPr>
            <w:r>
              <w:rPr>
                <w:rFonts w:cs="Open Sans Light"/>
                <w:sz w:val="16"/>
                <w:szCs w:val="16"/>
              </w:rPr>
              <w:t>104</w:t>
            </w:r>
          </w:p>
        </w:tc>
        <w:tc>
          <w:tcPr>
            <w:tcW w:w="624" w:type="dxa"/>
            <w:shd w:val="clear" w:color="auto" w:fill="auto"/>
            <w:noWrap/>
            <w:tcMar>
              <w:top w:w="15" w:type="dxa"/>
              <w:left w:w="15" w:type="dxa"/>
              <w:bottom w:w="0" w:type="dxa"/>
              <w:right w:w="15" w:type="dxa"/>
            </w:tcMar>
            <w:vAlign w:val="bottom"/>
            <w:hideMark/>
          </w:tcPr>
          <w:p w14:paraId="39BFC70D" w14:textId="77777777" w:rsidR="007E365E" w:rsidRDefault="007E365E" w:rsidP="007D1D77">
            <w:pPr>
              <w:spacing w:before="0"/>
              <w:jc w:val="right"/>
              <w:rPr>
                <w:rFonts w:cs="Open Sans Light"/>
                <w:sz w:val="16"/>
                <w:szCs w:val="16"/>
              </w:rPr>
            </w:pPr>
            <w:r>
              <w:rPr>
                <w:rFonts w:cs="Open Sans Light"/>
                <w:sz w:val="16"/>
                <w:szCs w:val="16"/>
              </w:rPr>
              <w:t>89</w:t>
            </w:r>
          </w:p>
        </w:tc>
        <w:tc>
          <w:tcPr>
            <w:tcW w:w="624" w:type="dxa"/>
            <w:shd w:val="clear" w:color="auto" w:fill="auto"/>
            <w:noWrap/>
            <w:tcMar>
              <w:top w:w="15" w:type="dxa"/>
              <w:left w:w="15" w:type="dxa"/>
              <w:bottom w:w="0" w:type="dxa"/>
              <w:right w:w="15" w:type="dxa"/>
            </w:tcMar>
            <w:vAlign w:val="bottom"/>
            <w:hideMark/>
          </w:tcPr>
          <w:p w14:paraId="0D441671" w14:textId="77777777" w:rsidR="007E365E" w:rsidRDefault="007E365E" w:rsidP="007D1D77">
            <w:pPr>
              <w:spacing w:before="0"/>
              <w:jc w:val="right"/>
              <w:rPr>
                <w:rFonts w:cs="Open Sans Light"/>
                <w:sz w:val="16"/>
                <w:szCs w:val="16"/>
              </w:rPr>
            </w:pPr>
            <w:r>
              <w:rPr>
                <w:rFonts w:cs="Open Sans Light"/>
                <w:sz w:val="16"/>
                <w:szCs w:val="16"/>
              </w:rPr>
              <w:t>142</w:t>
            </w:r>
          </w:p>
        </w:tc>
        <w:tc>
          <w:tcPr>
            <w:tcW w:w="624" w:type="dxa"/>
            <w:shd w:val="clear" w:color="auto" w:fill="auto"/>
            <w:noWrap/>
            <w:tcMar>
              <w:top w:w="15" w:type="dxa"/>
              <w:left w:w="15" w:type="dxa"/>
              <w:bottom w:w="0" w:type="dxa"/>
              <w:right w:w="15" w:type="dxa"/>
            </w:tcMar>
            <w:vAlign w:val="bottom"/>
            <w:hideMark/>
          </w:tcPr>
          <w:p w14:paraId="081DA2EE" w14:textId="77777777" w:rsidR="007E365E" w:rsidRDefault="007E365E" w:rsidP="007D1D77">
            <w:pPr>
              <w:spacing w:before="0"/>
              <w:jc w:val="right"/>
              <w:rPr>
                <w:rFonts w:cs="Open Sans Light"/>
                <w:sz w:val="16"/>
                <w:szCs w:val="16"/>
              </w:rPr>
            </w:pPr>
            <w:r>
              <w:rPr>
                <w:rFonts w:cs="Open Sans Light"/>
                <w:sz w:val="16"/>
                <w:szCs w:val="16"/>
              </w:rPr>
              <w:t>11</w:t>
            </w:r>
          </w:p>
        </w:tc>
        <w:tc>
          <w:tcPr>
            <w:tcW w:w="624" w:type="dxa"/>
            <w:shd w:val="clear" w:color="auto" w:fill="auto"/>
            <w:noWrap/>
            <w:tcMar>
              <w:top w:w="15" w:type="dxa"/>
              <w:left w:w="15" w:type="dxa"/>
              <w:bottom w:w="0" w:type="dxa"/>
              <w:right w:w="15" w:type="dxa"/>
            </w:tcMar>
            <w:vAlign w:val="bottom"/>
            <w:hideMark/>
          </w:tcPr>
          <w:p w14:paraId="74002893" w14:textId="77777777" w:rsidR="007E365E" w:rsidRDefault="007E365E" w:rsidP="007D1D77">
            <w:pPr>
              <w:spacing w:before="0"/>
              <w:jc w:val="right"/>
              <w:rPr>
                <w:rFonts w:cs="Open Sans Light"/>
                <w:sz w:val="16"/>
                <w:szCs w:val="16"/>
              </w:rPr>
            </w:pPr>
            <w:r>
              <w:rPr>
                <w:rFonts w:cs="Open Sans Light"/>
                <w:sz w:val="16"/>
                <w:szCs w:val="16"/>
              </w:rPr>
              <w:t>7</w:t>
            </w:r>
          </w:p>
        </w:tc>
        <w:tc>
          <w:tcPr>
            <w:tcW w:w="624" w:type="dxa"/>
            <w:shd w:val="clear" w:color="auto" w:fill="auto"/>
            <w:noWrap/>
            <w:tcMar>
              <w:top w:w="15" w:type="dxa"/>
              <w:left w:w="15" w:type="dxa"/>
              <w:bottom w:w="0" w:type="dxa"/>
              <w:right w:w="15" w:type="dxa"/>
            </w:tcMar>
            <w:vAlign w:val="bottom"/>
            <w:hideMark/>
          </w:tcPr>
          <w:p w14:paraId="45217E5F" w14:textId="77777777" w:rsidR="007E365E" w:rsidRDefault="007E365E" w:rsidP="007D1D77">
            <w:pPr>
              <w:spacing w:before="0"/>
              <w:jc w:val="right"/>
              <w:rPr>
                <w:rFonts w:cs="Open Sans Light"/>
                <w:sz w:val="16"/>
                <w:szCs w:val="16"/>
              </w:rPr>
            </w:pPr>
            <w:r>
              <w:rPr>
                <w:rFonts w:cs="Open Sans Light"/>
                <w:sz w:val="16"/>
                <w:szCs w:val="16"/>
              </w:rPr>
              <w:t>100</w:t>
            </w:r>
          </w:p>
        </w:tc>
        <w:tc>
          <w:tcPr>
            <w:tcW w:w="624" w:type="dxa"/>
            <w:shd w:val="clear" w:color="auto" w:fill="auto"/>
            <w:noWrap/>
            <w:tcMar>
              <w:top w:w="15" w:type="dxa"/>
              <w:left w:w="15" w:type="dxa"/>
              <w:bottom w:w="0" w:type="dxa"/>
              <w:right w:w="15" w:type="dxa"/>
            </w:tcMar>
            <w:vAlign w:val="bottom"/>
            <w:hideMark/>
          </w:tcPr>
          <w:p w14:paraId="30F9DCCD" w14:textId="77777777" w:rsidR="007E365E" w:rsidRDefault="007E365E" w:rsidP="007D1D77">
            <w:pPr>
              <w:spacing w:before="0"/>
              <w:jc w:val="right"/>
              <w:rPr>
                <w:rFonts w:cs="Open Sans Light"/>
                <w:sz w:val="16"/>
                <w:szCs w:val="16"/>
              </w:rPr>
            </w:pPr>
            <w:r>
              <w:rPr>
                <w:rFonts w:cs="Open Sans Light"/>
                <w:sz w:val="16"/>
                <w:szCs w:val="16"/>
              </w:rPr>
              <w:t>560</w:t>
            </w:r>
          </w:p>
        </w:tc>
      </w:tr>
      <w:tr w:rsidR="007E365E" w:rsidRPr="004D5329" w14:paraId="62E32AD9" w14:textId="77777777" w:rsidTr="007D1D77">
        <w:trPr>
          <w:trHeight w:val="315"/>
        </w:trPr>
        <w:tc>
          <w:tcPr>
            <w:tcW w:w="0" w:type="auto"/>
            <w:shd w:val="clear" w:color="000000" w:fill="D6E7F0"/>
            <w:noWrap/>
            <w:tcMar>
              <w:top w:w="15" w:type="dxa"/>
              <w:left w:w="15" w:type="dxa"/>
              <w:bottom w:w="0" w:type="dxa"/>
              <w:right w:w="15" w:type="dxa"/>
            </w:tcMar>
            <w:vAlign w:val="bottom"/>
            <w:hideMark/>
          </w:tcPr>
          <w:p w14:paraId="007D7CE3" w14:textId="77777777" w:rsidR="007E365E" w:rsidRDefault="007E365E" w:rsidP="007D1D77">
            <w:pPr>
              <w:spacing w:before="0"/>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 ($m)</w:t>
            </w:r>
          </w:p>
        </w:tc>
        <w:tc>
          <w:tcPr>
            <w:tcW w:w="624" w:type="dxa"/>
            <w:shd w:val="clear" w:color="000000" w:fill="D6E7F0"/>
            <w:noWrap/>
            <w:tcMar>
              <w:top w:w="15" w:type="dxa"/>
              <w:left w:w="15" w:type="dxa"/>
              <w:bottom w:w="0" w:type="dxa"/>
              <w:right w:w="15" w:type="dxa"/>
            </w:tcMar>
            <w:vAlign w:val="bottom"/>
            <w:hideMark/>
          </w:tcPr>
          <w:p w14:paraId="692CBAA6"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1,344</w:t>
            </w:r>
          </w:p>
        </w:tc>
        <w:tc>
          <w:tcPr>
            <w:tcW w:w="624" w:type="dxa"/>
            <w:shd w:val="clear" w:color="000000" w:fill="D6E7F0"/>
            <w:noWrap/>
            <w:tcMar>
              <w:top w:w="15" w:type="dxa"/>
              <w:left w:w="15" w:type="dxa"/>
              <w:bottom w:w="0" w:type="dxa"/>
              <w:right w:w="15" w:type="dxa"/>
            </w:tcMar>
            <w:vAlign w:val="bottom"/>
            <w:hideMark/>
          </w:tcPr>
          <w:p w14:paraId="74015642"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182</w:t>
            </w:r>
          </w:p>
        </w:tc>
        <w:tc>
          <w:tcPr>
            <w:tcW w:w="624" w:type="dxa"/>
            <w:shd w:val="clear" w:color="000000" w:fill="D6E7F0"/>
            <w:noWrap/>
            <w:tcMar>
              <w:top w:w="15" w:type="dxa"/>
              <w:left w:w="15" w:type="dxa"/>
              <w:bottom w:w="0" w:type="dxa"/>
              <w:right w:w="15" w:type="dxa"/>
            </w:tcMar>
            <w:vAlign w:val="bottom"/>
            <w:hideMark/>
          </w:tcPr>
          <w:p w14:paraId="7257131E"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1,078</w:t>
            </w:r>
          </w:p>
        </w:tc>
        <w:tc>
          <w:tcPr>
            <w:tcW w:w="624" w:type="dxa"/>
            <w:shd w:val="clear" w:color="000000" w:fill="D6E7F0"/>
            <w:noWrap/>
            <w:tcMar>
              <w:top w:w="15" w:type="dxa"/>
              <w:left w:w="15" w:type="dxa"/>
              <w:bottom w:w="0" w:type="dxa"/>
              <w:right w:w="15" w:type="dxa"/>
            </w:tcMar>
            <w:vAlign w:val="bottom"/>
            <w:hideMark/>
          </w:tcPr>
          <w:p w14:paraId="11854A88"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482</w:t>
            </w:r>
          </w:p>
        </w:tc>
        <w:tc>
          <w:tcPr>
            <w:tcW w:w="624" w:type="dxa"/>
            <w:shd w:val="clear" w:color="000000" w:fill="D6E7F0"/>
            <w:noWrap/>
            <w:tcMar>
              <w:top w:w="15" w:type="dxa"/>
              <w:left w:w="15" w:type="dxa"/>
              <w:bottom w:w="0" w:type="dxa"/>
              <w:right w:w="15" w:type="dxa"/>
            </w:tcMar>
            <w:vAlign w:val="bottom"/>
            <w:hideMark/>
          </w:tcPr>
          <w:p w14:paraId="4188F4C9"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1,118</w:t>
            </w:r>
          </w:p>
        </w:tc>
        <w:tc>
          <w:tcPr>
            <w:tcW w:w="624" w:type="dxa"/>
            <w:shd w:val="clear" w:color="000000" w:fill="D6E7F0"/>
            <w:noWrap/>
            <w:tcMar>
              <w:top w:w="15" w:type="dxa"/>
              <w:left w:w="15" w:type="dxa"/>
              <w:bottom w:w="0" w:type="dxa"/>
              <w:right w:w="15" w:type="dxa"/>
            </w:tcMar>
            <w:vAlign w:val="bottom"/>
            <w:hideMark/>
          </w:tcPr>
          <w:p w14:paraId="3E239165"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91</w:t>
            </w:r>
          </w:p>
        </w:tc>
        <w:tc>
          <w:tcPr>
            <w:tcW w:w="624" w:type="dxa"/>
            <w:shd w:val="clear" w:color="000000" w:fill="D6E7F0"/>
            <w:noWrap/>
            <w:tcMar>
              <w:top w:w="15" w:type="dxa"/>
              <w:left w:w="15" w:type="dxa"/>
              <w:bottom w:w="0" w:type="dxa"/>
              <w:right w:w="15" w:type="dxa"/>
            </w:tcMar>
            <w:vAlign w:val="bottom"/>
            <w:hideMark/>
          </w:tcPr>
          <w:p w14:paraId="758DA961"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8</w:t>
            </w:r>
          </w:p>
        </w:tc>
        <w:tc>
          <w:tcPr>
            <w:tcW w:w="624" w:type="dxa"/>
            <w:shd w:val="clear" w:color="000000" w:fill="D6E7F0"/>
            <w:noWrap/>
            <w:tcMar>
              <w:top w:w="15" w:type="dxa"/>
              <w:left w:w="15" w:type="dxa"/>
              <w:bottom w:w="0" w:type="dxa"/>
              <w:right w:w="15" w:type="dxa"/>
            </w:tcMar>
            <w:vAlign w:val="bottom"/>
            <w:hideMark/>
          </w:tcPr>
          <w:p w14:paraId="56A7D856"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134</w:t>
            </w:r>
          </w:p>
        </w:tc>
        <w:tc>
          <w:tcPr>
            <w:tcW w:w="624" w:type="dxa"/>
            <w:shd w:val="clear" w:color="000000" w:fill="D6E7F0"/>
            <w:noWrap/>
            <w:tcMar>
              <w:top w:w="15" w:type="dxa"/>
              <w:left w:w="15" w:type="dxa"/>
              <w:bottom w:w="0" w:type="dxa"/>
              <w:right w:w="15" w:type="dxa"/>
            </w:tcMar>
            <w:vAlign w:val="bottom"/>
            <w:hideMark/>
          </w:tcPr>
          <w:p w14:paraId="00233CE1"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4,437</w:t>
            </w:r>
          </w:p>
        </w:tc>
      </w:tr>
      <w:tr w:rsidR="007E365E" w:rsidRPr="004D5329" w14:paraId="05963C0C" w14:textId="77777777" w:rsidTr="007D1D77">
        <w:trPr>
          <w:trHeight w:val="315"/>
        </w:trPr>
        <w:tc>
          <w:tcPr>
            <w:tcW w:w="0" w:type="auto"/>
            <w:shd w:val="clear" w:color="000000" w:fill="D6E7F0"/>
            <w:noWrap/>
            <w:tcMar>
              <w:top w:w="15" w:type="dxa"/>
              <w:left w:w="15" w:type="dxa"/>
              <w:bottom w:w="0" w:type="dxa"/>
              <w:right w:w="15" w:type="dxa"/>
            </w:tcMar>
            <w:vAlign w:val="bottom"/>
            <w:hideMark/>
          </w:tcPr>
          <w:p w14:paraId="3FEFBFFE" w14:textId="77777777" w:rsidR="007E365E" w:rsidRDefault="007E365E" w:rsidP="007D1D77">
            <w:pPr>
              <w:spacing w:before="0"/>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 ($pc)</w:t>
            </w:r>
          </w:p>
        </w:tc>
        <w:tc>
          <w:tcPr>
            <w:tcW w:w="624" w:type="dxa"/>
            <w:shd w:val="clear" w:color="000000" w:fill="D6E7F0"/>
            <w:noWrap/>
            <w:tcMar>
              <w:top w:w="15" w:type="dxa"/>
              <w:left w:w="15" w:type="dxa"/>
              <w:bottom w:w="0" w:type="dxa"/>
              <w:right w:w="15" w:type="dxa"/>
            </w:tcMar>
            <w:vAlign w:val="bottom"/>
            <w:hideMark/>
          </w:tcPr>
          <w:p w14:paraId="6BA5507B"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167</w:t>
            </w:r>
          </w:p>
        </w:tc>
        <w:tc>
          <w:tcPr>
            <w:tcW w:w="624" w:type="dxa"/>
            <w:shd w:val="clear" w:color="000000" w:fill="D6E7F0"/>
            <w:noWrap/>
            <w:tcMar>
              <w:top w:w="15" w:type="dxa"/>
              <w:left w:w="15" w:type="dxa"/>
              <w:bottom w:w="0" w:type="dxa"/>
              <w:right w:w="15" w:type="dxa"/>
            </w:tcMar>
            <w:vAlign w:val="bottom"/>
            <w:hideMark/>
          </w:tcPr>
          <w:p w14:paraId="400D7D63"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28</w:t>
            </w:r>
          </w:p>
        </w:tc>
        <w:tc>
          <w:tcPr>
            <w:tcW w:w="624" w:type="dxa"/>
            <w:shd w:val="clear" w:color="000000" w:fill="D6E7F0"/>
            <w:noWrap/>
            <w:tcMar>
              <w:top w:w="15" w:type="dxa"/>
              <w:left w:w="15" w:type="dxa"/>
              <w:bottom w:w="0" w:type="dxa"/>
              <w:right w:w="15" w:type="dxa"/>
            </w:tcMar>
            <w:vAlign w:val="bottom"/>
            <w:hideMark/>
          </w:tcPr>
          <w:p w14:paraId="60901ECC"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213</w:t>
            </w:r>
          </w:p>
        </w:tc>
        <w:tc>
          <w:tcPr>
            <w:tcW w:w="624" w:type="dxa"/>
            <w:shd w:val="clear" w:color="000000" w:fill="D6E7F0"/>
            <w:noWrap/>
            <w:tcMar>
              <w:top w:w="15" w:type="dxa"/>
              <w:left w:w="15" w:type="dxa"/>
              <w:bottom w:w="0" w:type="dxa"/>
              <w:right w:w="15" w:type="dxa"/>
            </w:tcMar>
            <w:vAlign w:val="bottom"/>
            <w:hideMark/>
          </w:tcPr>
          <w:p w14:paraId="13FA5E2A"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185</w:t>
            </w:r>
          </w:p>
        </w:tc>
        <w:tc>
          <w:tcPr>
            <w:tcW w:w="624" w:type="dxa"/>
            <w:shd w:val="clear" w:color="000000" w:fill="D6E7F0"/>
            <w:noWrap/>
            <w:tcMar>
              <w:top w:w="15" w:type="dxa"/>
              <w:left w:w="15" w:type="dxa"/>
              <w:bottom w:w="0" w:type="dxa"/>
              <w:right w:w="15" w:type="dxa"/>
            </w:tcMar>
            <w:vAlign w:val="bottom"/>
            <w:hideMark/>
          </w:tcPr>
          <w:p w14:paraId="06FB33DF"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642</w:t>
            </w:r>
          </w:p>
        </w:tc>
        <w:tc>
          <w:tcPr>
            <w:tcW w:w="624" w:type="dxa"/>
            <w:shd w:val="clear" w:color="000000" w:fill="D6E7F0"/>
            <w:noWrap/>
            <w:tcMar>
              <w:top w:w="15" w:type="dxa"/>
              <w:left w:w="15" w:type="dxa"/>
              <w:bottom w:w="0" w:type="dxa"/>
              <w:right w:w="15" w:type="dxa"/>
            </w:tcMar>
            <w:vAlign w:val="bottom"/>
            <w:hideMark/>
          </w:tcPr>
          <w:p w14:paraId="6E01B7D8"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171</w:t>
            </w:r>
          </w:p>
        </w:tc>
        <w:tc>
          <w:tcPr>
            <w:tcW w:w="624" w:type="dxa"/>
            <w:shd w:val="clear" w:color="000000" w:fill="D6E7F0"/>
            <w:noWrap/>
            <w:tcMar>
              <w:top w:w="15" w:type="dxa"/>
              <w:left w:w="15" w:type="dxa"/>
              <w:bottom w:w="0" w:type="dxa"/>
              <w:right w:w="15" w:type="dxa"/>
            </w:tcMar>
            <w:vAlign w:val="bottom"/>
            <w:hideMark/>
          </w:tcPr>
          <w:p w14:paraId="52F6BE65"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19</w:t>
            </w:r>
          </w:p>
        </w:tc>
        <w:tc>
          <w:tcPr>
            <w:tcW w:w="624" w:type="dxa"/>
            <w:shd w:val="clear" w:color="000000" w:fill="D6E7F0"/>
            <w:noWrap/>
            <w:tcMar>
              <w:top w:w="15" w:type="dxa"/>
              <w:left w:w="15" w:type="dxa"/>
              <w:bottom w:w="0" w:type="dxa"/>
              <w:right w:w="15" w:type="dxa"/>
            </w:tcMar>
            <w:vAlign w:val="bottom"/>
            <w:hideMark/>
          </w:tcPr>
          <w:p w14:paraId="5EF31C4E"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544</w:t>
            </w:r>
          </w:p>
        </w:tc>
        <w:tc>
          <w:tcPr>
            <w:tcW w:w="624" w:type="dxa"/>
            <w:shd w:val="clear" w:color="000000" w:fill="D6E7F0"/>
            <w:noWrap/>
            <w:tcMar>
              <w:top w:w="15" w:type="dxa"/>
              <w:left w:w="15" w:type="dxa"/>
              <w:bottom w:w="0" w:type="dxa"/>
              <w:right w:w="15" w:type="dxa"/>
            </w:tcMar>
            <w:vAlign w:val="bottom"/>
            <w:hideMark/>
          </w:tcPr>
          <w:p w14:paraId="2F91C097"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176</w:t>
            </w:r>
          </w:p>
        </w:tc>
      </w:tr>
    </w:tbl>
    <w:p w14:paraId="6F8A4E01" w14:textId="77777777" w:rsidR="007E365E" w:rsidRPr="00E23377" w:rsidRDefault="007E365E" w:rsidP="007E365E">
      <w:pPr>
        <w:pStyle w:val="CGCTablenote"/>
      </w:pPr>
      <w:r w:rsidRPr="00E23377">
        <w:t>Note:</w:t>
      </w:r>
      <w:r w:rsidRPr="00E23377">
        <w:tab/>
        <w:t>Table shows major payments only. Commonwealth Own Purpose Expenses (COPEs) are not included. Payments that the Commission treats as ‘no impact’ are included in the table.</w:t>
      </w:r>
    </w:p>
    <w:p w14:paraId="27DF7EAA" w14:textId="77777777" w:rsidR="007E365E" w:rsidRPr="00E23377" w:rsidRDefault="007E365E" w:rsidP="007E365E">
      <w:pPr>
        <w:pStyle w:val="CGCTablenote"/>
      </w:pPr>
      <w:r w:rsidRPr="00E23377">
        <w:t>Source:</w:t>
      </w:r>
      <w:r w:rsidRPr="00E23377">
        <w:tab/>
        <w:t>Commonwealth Final Budget Outcome, 201</w:t>
      </w:r>
      <w:r>
        <w:t>8</w:t>
      </w:r>
      <w:r w:rsidRPr="00E23377">
        <w:noBreakHyphen/>
        <w:t>1</w:t>
      </w:r>
      <w:r>
        <w:t>9</w:t>
      </w:r>
      <w:r w:rsidRPr="00E23377">
        <w:t>.</w:t>
      </w:r>
    </w:p>
    <w:p w14:paraId="440B14CD" w14:textId="77777777" w:rsidR="007E365E" w:rsidRPr="00E23377" w:rsidRDefault="007E365E" w:rsidP="007E365E">
      <w:pPr>
        <w:pStyle w:val="CGCParaNumber"/>
      </w:pPr>
      <w:r w:rsidRPr="00E23377">
        <w:t>The Commonwealth</w:t>
      </w:r>
      <w:r w:rsidRPr="00E23377" w:rsidDel="00392700">
        <w:t xml:space="preserve"> funds roads projects under the </w:t>
      </w:r>
      <w:r w:rsidRPr="00E23377" w:rsidDel="00392700">
        <w:rPr>
          <w:i/>
        </w:rPr>
        <w:t>National Land Transport Act 2014</w:t>
      </w:r>
      <w:r w:rsidRPr="00E23377" w:rsidDel="00392700">
        <w:t xml:space="preserve"> through the </w:t>
      </w:r>
      <w:r w:rsidRPr="00E23377" w:rsidDel="00392700">
        <w:rPr>
          <w:i/>
        </w:rPr>
        <w:t>National Partnership on Land Transport Infrastructure Projects</w:t>
      </w:r>
      <w:r w:rsidRPr="00E23377" w:rsidDel="00392700">
        <w:t>. The objective of this NPP is to provide a national transport system that</w:t>
      </w:r>
      <w:r w:rsidRPr="00E23377" w:rsidDel="00392700">
        <w:rPr>
          <w:szCs w:val="23"/>
          <w:lang w:val="en-US"/>
        </w:rPr>
        <w:t xml:space="preserve"> is safer for users, drives national productivity and economic growth, accommodates population growth and supports competitive markets and employment opportunities. This is provided through payments for National Network Roads (NNR).</w:t>
      </w:r>
      <w:r w:rsidRPr="00E23377" w:rsidDel="00392700">
        <w:t xml:space="preserve">  </w:t>
      </w:r>
    </w:p>
    <w:p w14:paraId="7829DC87" w14:textId="77777777" w:rsidR="007E365E" w:rsidRPr="00E23377" w:rsidRDefault="007E365E" w:rsidP="007E365E">
      <w:pPr>
        <w:pStyle w:val="CGCParaNumber"/>
      </w:pPr>
      <w:r w:rsidRPr="00E23377">
        <w:t>Commonwealth roads funding to the States in 201</w:t>
      </w:r>
      <w:r>
        <w:t>8</w:t>
      </w:r>
      <w:r w:rsidRPr="00E23377">
        <w:noBreakHyphen/>
        <w:t>1</w:t>
      </w:r>
      <w:r>
        <w:t>9</w:t>
      </w:r>
      <w:r w:rsidRPr="00E23377">
        <w:t xml:space="preserve"> comprises $</w:t>
      </w:r>
      <w:r>
        <w:t>4.1</w:t>
      </w:r>
      <w:r w:rsidRPr="00E23377">
        <w:t xml:space="preserve"> billion for road construction, including that relating to NNR, and $350 million for maintenance. </w:t>
      </w:r>
    </w:p>
    <w:p w14:paraId="78FE21FF" w14:textId="77777777" w:rsidR="007E365E" w:rsidRPr="00E23377" w:rsidRDefault="007E365E" w:rsidP="007E365E">
      <w:pPr>
        <w:pStyle w:val="CGCParaNumber"/>
      </w:pPr>
      <w:r w:rsidRPr="00E23377">
        <w:t>The Commonwealth also provides payments through the States for purposes outside State responsibilities, such as $</w:t>
      </w:r>
      <w:r>
        <w:t>764</w:t>
      </w:r>
      <w:r w:rsidRPr="00E23377">
        <w:t xml:space="preserve"> million in untied local roads grants in 201</w:t>
      </w:r>
      <w:r>
        <w:t>8</w:t>
      </w:r>
      <w:r w:rsidRPr="00E23377">
        <w:t>-1</w:t>
      </w:r>
      <w:r>
        <w:t>9</w:t>
      </w:r>
      <w:r w:rsidRPr="00E23377">
        <w:t xml:space="preserve">. </w:t>
      </w:r>
    </w:p>
    <w:p w14:paraId="486B36B0" w14:textId="77777777" w:rsidR="007E365E" w:rsidRPr="00E23377" w:rsidRDefault="007E365E" w:rsidP="007E365E">
      <w:pPr>
        <w:pStyle w:val="CGCParaNumber"/>
      </w:pPr>
      <w:r w:rsidRPr="00E23377">
        <w:t xml:space="preserve">The complete list of Commonwealth payments and their treatment is available on the </w:t>
      </w:r>
      <w:hyperlink r:id="rId26" w:history="1">
        <w:r w:rsidRPr="00E23377">
          <w:rPr>
            <w:rStyle w:val="Hyperlink"/>
          </w:rPr>
          <w:t>Commission website</w:t>
        </w:r>
      </w:hyperlink>
      <w:r w:rsidRPr="00E23377">
        <w:t xml:space="preserve"> (https://cgc.gov.au).</w:t>
      </w:r>
      <w:r w:rsidRPr="00E23377">
        <w:rPr>
          <w:rStyle w:val="FootnoteReference"/>
        </w:rPr>
        <w:footnoteReference w:id="16"/>
      </w:r>
      <w:r w:rsidRPr="00E23377">
        <w:t xml:space="preserve"> </w:t>
      </w:r>
    </w:p>
    <w:p w14:paraId="541DCBF0" w14:textId="1AB6B8CE" w:rsidR="007E365E" w:rsidRPr="00E23377" w:rsidRDefault="007E365E" w:rsidP="007E365E">
      <w:pPr>
        <w:pStyle w:val="Heading3"/>
      </w:pPr>
      <w:bookmarkStart w:id="155" w:name="_Toc4754258"/>
      <w:bookmarkStart w:id="156" w:name="_Toc5030062"/>
      <w:r w:rsidRPr="00E23377">
        <w:lastRenderedPageBreak/>
        <w:t xml:space="preserve">Category </w:t>
      </w:r>
      <w:r>
        <w:t>s</w:t>
      </w:r>
      <w:r w:rsidRPr="00E23377">
        <w:t>tructure</w:t>
      </w:r>
      <w:bookmarkEnd w:id="155"/>
      <w:bookmarkEnd w:id="156"/>
    </w:p>
    <w:p w14:paraId="16259367" w14:textId="77777777" w:rsidR="007E365E" w:rsidRPr="00E23377" w:rsidRDefault="007E365E" w:rsidP="007E365E">
      <w:pPr>
        <w:pStyle w:val="CGCParaNumber"/>
      </w:pPr>
      <w:r w:rsidRPr="00E23377">
        <w:t>The assessment of Roads expenses is undertaken in three components:</w:t>
      </w:r>
    </w:p>
    <w:p w14:paraId="3A948865" w14:textId="77777777" w:rsidR="007E365E" w:rsidRPr="00E23377" w:rsidRDefault="007E365E" w:rsidP="007E365E">
      <w:pPr>
        <w:pStyle w:val="CGCBullet1"/>
      </w:pPr>
      <w:r w:rsidRPr="00E23377">
        <w:t>rural roads</w:t>
      </w:r>
    </w:p>
    <w:p w14:paraId="6F416A72" w14:textId="77777777" w:rsidR="007E365E" w:rsidRPr="00E23377" w:rsidRDefault="007E365E" w:rsidP="007E365E">
      <w:pPr>
        <w:pStyle w:val="CGCBullet1"/>
      </w:pPr>
      <w:r w:rsidRPr="00E23377">
        <w:t>urban roads</w:t>
      </w:r>
    </w:p>
    <w:p w14:paraId="3B9D9CDD" w14:textId="77777777" w:rsidR="007E365E" w:rsidRPr="00E23377" w:rsidRDefault="007E365E" w:rsidP="007E365E">
      <w:pPr>
        <w:pStyle w:val="CGCBullet1"/>
      </w:pPr>
      <w:r w:rsidRPr="00E23377">
        <w:t>bridges and tunnels.</w:t>
      </w:r>
    </w:p>
    <w:p w14:paraId="28979118" w14:textId="77777777" w:rsidR="007E365E" w:rsidRPr="00E23377" w:rsidRDefault="007E365E" w:rsidP="007E365E">
      <w:pPr>
        <w:pStyle w:val="CGCParaNumber"/>
      </w:pPr>
      <w:r w:rsidRPr="00E23377">
        <w:t>Components allow different disability assessments to apply to different types of roads.</w:t>
      </w:r>
    </w:p>
    <w:p w14:paraId="59A61225" w14:textId="16F96D7E" w:rsidR="007E365E" w:rsidRPr="00E23377" w:rsidRDefault="007E365E" w:rsidP="007E365E">
      <w:pPr>
        <w:pStyle w:val="CGCParaNumber"/>
      </w:pPr>
      <w:r>
        <w:fldChar w:fldCharType="begin"/>
      </w:r>
      <w:r>
        <w:instrText xml:space="preserve"> REF _Ref32845640 \h </w:instrText>
      </w:r>
      <w:r>
        <w:fldChar w:fldCharType="separate"/>
      </w:r>
      <w:r w:rsidR="007F721A" w:rsidRPr="00E23377">
        <w:t xml:space="preserve">Table </w:t>
      </w:r>
      <w:r w:rsidR="007F721A">
        <w:t>20-</w:t>
      </w:r>
      <w:r w:rsidR="007F721A">
        <w:rPr>
          <w:noProof/>
        </w:rPr>
        <w:t>5</w:t>
      </w:r>
      <w:r>
        <w:fldChar w:fldCharType="end"/>
      </w:r>
      <w:r w:rsidRPr="00E23377">
        <w:t xml:space="preserve"> shows the category’s assessment structure, the size of each component and the disabilities that apply.</w:t>
      </w:r>
    </w:p>
    <w:p w14:paraId="5312F9C5" w14:textId="07BB5277" w:rsidR="007E365E" w:rsidRDefault="007E365E" w:rsidP="007E365E">
      <w:pPr>
        <w:pStyle w:val="Caption"/>
      </w:pPr>
      <w:bookmarkStart w:id="157" w:name="_Ref32845640"/>
      <w:r w:rsidRPr="00E23377">
        <w:t xml:space="preserve">Table </w:t>
      </w:r>
      <w:r>
        <w:t>20-</w:t>
      </w:r>
      <w:fldSimple w:instr=" SEQ Table \* ARABIC ">
        <w:r w:rsidR="007F721A">
          <w:rPr>
            <w:noProof/>
          </w:rPr>
          <w:t>5</w:t>
        </w:r>
      </w:fldSimple>
      <w:bookmarkEnd w:id="157"/>
      <w:r w:rsidRPr="00E23377">
        <w:tab/>
        <w:t>Category structure, Roads, 201</w:t>
      </w:r>
      <w:r>
        <w:t>8</w:t>
      </w:r>
      <w:r w:rsidRPr="00E23377">
        <w:t>-1</w:t>
      </w:r>
      <w:r>
        <w:t>9</w:t>
      </w:r>
    </w:p>
    <w:tbl>
      <w:tblPr>
        <w:tblW w:w="8920" w:type="dxa"/>
        <w:tblCellMar>
          <w:left w:w="0" w:type="dxa"/>
          <w:right w:w="0" w:type="dxa"/>
        </w:tblCellMar>
        <w:tblLook w:val="04A0" w:firstRow="1" w:lastRow="0" w:firstColumn="1" w:lastColumn="0" w:noHBand="0" w:noVBand="1"/>
      </w:tblPr>
      <w:tblGrid>
        <w:gridCol w:w="1160"/>
        <w:gridCol w:w="1040"/>
        <w:gridCol w:w="88"/>
        <w:gridCol w:w="1339"/>
        <w:gridCol w:w="5293"/>
      </w:tblGrid>
      <w:tr w:rsidR="007E365E" w14:paraId="2AD7FC0D" w14:textId="77777777" w:rsidTr="007D1D77">
        <w:trPr>
          <w:trHeight w:val="555"/>
        </w:trPr>
        <w:tc>
          <w:tcPr>
            <w:tcW w:w="11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A04DCBA" w14:textId="77777777" w:rsidR="007E365E" w:rsidRDefault="007E365E" w:rsidP="007D1D77">
            <w:pPr>
              <w:tabs>
                <w:tab w:val="clear" w:pos="567"/>
              </w:tabs>
              <w:spacing w:before="0" w:line="240" w:lineRule="auto"/>
              <w:rPr>
                <w:rFonts w:ascii="Open Sans SemiBold" w:hAnsi="Open Sans SemiBold" w:cs="Open Sans SemiBold"/>
                <w:color w:val="FFFFFF"/>
                <w:sz w:val="16"/>
                <w:szCs w:val="16"/>
              </w:rPr>
            </w:pPr>
            <w:r>
              <w:rPr>
                <w:rFonts w:ascii="Open Sans SemiBold" w:hAnsi="Open Sans SemiBold" w:cs="Open Sans SemiBold"/>
                <w:color w:val="FFFFFF"/>
                <w:sz w:val="16"/>
                <w:szCs w:val="16"/>
              </w:rPr>
              <w:t>Component</w:t>
            </w:r>
          </w:p>
        </w:tc>
        <w:tc>
          <w:tcPr>
            <w:tcW w:w="10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7947D19"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Component expense</w:t>
            </w:r>
          </w:p>
        </w:tc>
        <w:tc>
          <w:tcPr>
            <w:tcW w:w="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26900465"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13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E056823" w14:textId="77777777" w:rsidR="007E365E" w:rsidRDefault="007E365E" w:rsidP="007D1D77">
            <w:pPr>
              <w:spacing w:before="0" w:line="240" w:lineRule="auto"/>
              <w:rPr>
                <w:rFonts w:ascii="Open Sans SemiBold" w:hAnsi="Open Sans SemiBold" w:cs="Open Sans SemiBold"/>
                <w:color w:val="FFFFFF"/>
                <w:sz w:val="16"/>
                <w:szCs w:val="16"/>
              </w:rPr>
            </w:pPr>
            <w:r>
              <w:rPr>
                <w:rFonts w:ascii="Open Sans SemiBold" w:hAnsi="Open Sans SemiBold" w:cs="Open Sans SemiBold"/>
                <w:color w:val="FFFFFF"/>
                <w:sz w:val="16"/>
                <w:szCs w:val="16"/>
              </w:rPr>
              <w:t>Disability</w:t>
            </w:r>
          </w:p>
        </w:tc>
        <w:tc>
          <w:tcPr>
            <w:tcW w:w="530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078F190" w14:textId="77777777" w:rsidR="007E365E" w:rsidRDefault="007E365E" w:rsidP="007D1D77">
            <w:pPr>
              <w:spacing w:before="0" w:line="240" w:lineRule="auto"/>
              <w:rPr>
                <w:rFonts w:ascii="Open Sans SemiBold" w:hAnsi="Open Sans SemiBold" w:cs="Open Sans SemiBold"/>
                <w:color w:val="FFFFFF"/>
                <w:sz w:val="16"/>
                <w:szCs w:val="16"/>
              </w:rPr>
            </w:pPr>
            <w:r>
              <w:rPr>
                <w:rFonts w:ascii="Open Sans SemiBold" w:hAnsi="Open Sans SemiBold" w:cs="Open Sans SemiBold"/>
                <w:color w:val="FFFFFF"/>
                <w:sz w:val="16"/>
                <w:szCs w:val="16"/>
              </w:rPr>
              <w:t>Influence measured by disability</w:t>
            </w:r>
          </w:p>
        </w:tc>
      </w:tr>
      <w:tr w:rsidR="007E365E" w14:paraId="2B36410F" w14:textId="77777777" w:rsidTr="007D1D77">
        <w:trPr>
          <w:trHeight w:val="259"/>
        </w:trPr>
        <w:tc>
          <w:tcPr>
            <w:tcW w:w="1160" w:type="dxa"/>
            <w:tcBorders>
              <w:top w:val="nil"/>
              <w:left w:val="nil"/>
              <w:bottom w:val="single" w:sz="4" w:space="0" w:color="ADD6EA"/>
              <w:right w:val="nil"/>
            </w:tcBorders>
            <w:shd w:val="clear" w:color="000000" w:fill="B6D5E4"/>
            <w:tcMar>
              <w:top w:w="15" w:type="dxa"/>
              <w:left w:w="15" w:type="dxa"/>
              <w:bottom w:w="0" w:type="dxa"/>
              <w:right w:w="15" w:type="dxa"/>
            </w:tcMar>
            <w:vAlign w:val="bottom"/>
            <w:hideMark/>
          </w:tcPr>
          <w:p w14:paraId="3AED574A" w14:textId="77777777" w:rsidR="007E365E" w:rsidRDefault="007E365E" w:rsidP="007D1D77">
            <w:pPr>
              <w:spacing w:before="0" w:line="240" w:lineRule="auto"/>
              <w:rPr>
                <w:rFonts w:ascii="Open Sans SemiBold" w:hAnsi="Open Sans SemiBold" w:cs="Open Sans SemiBold"/>
                <w:sz w:val="22"/>
              </w:rPr>
            </w:pPr>
            <w:r>
              <w:rPr>
                <w:rFonts w:ascii="Open Sans SemiBold" w:hAnsi="Open Sans SemiBold" w:cs="Open Sans SemiBold"/>
                <w:sz w:val="22"/>
              </w:rPr>
              <w:t> </w:t>
            </w:r>
          </w:p>
        </w:tc>
        <w:tc>
          <w:tcPr>
            <w:tcW w:w="1040" w:type="dxa"/>
            <w:tcBorders>
              <w:top w:val="nil"/>
              <w:left w:val="nil"/>
              <w:bottom w:val="single" w:sz="4" w:space="0" w:color="ADD6EA"/>
              <w:right w:val="nil"/>
            </w:tcBorders>
            <w:shd w:val="clear" w:color="000000" w:fill="B6D5E4"/>
            <w:tcMar>
              <w:top w:w="15" w:type="dxa"/>
              <w:left w:w="15" w:type="dxa"/>
              <w:bottom w:w="0" w:type="dxa"/>
              <w:right w:w="15" w:type="dxa"/>
            </w:tcMar>
            <w:vAlign w:val="center"/>
            <w:hideMark/>
          </w:tcPr>
          <w:p w14:paraId="3E3A802F"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80" w:type="dxa"/>
            <w:tcBorders>
              <w:top w:val="nil"/>
              <w:left w:val="nil"/>
              <w:bottom w:val="single" w:sz="4" w:space="0" w:color="ADD6EA"/>
              <w:right w:val="nil"/>
            </w:tcBorders>
            <w:shd w:val="clear" w:color="000000" w:fill="B6D5E4"/>
            <w:tcMar>
              <w:top w:w="15" w:type="dxa"/>
              <w:left w:w="15" w:type="dxa"/>
              <w:bottom w:w="0" w:type="dxa"/>
              <w:right w:w="15" w:type="dxa"/>
            </w:tcMar>
            <w:vAlign w:val="bottom"/>
            <w:hideMark/>
          </w:tcPr>
          <w:p w14:paraId="65545DCB" w14:textId="77777777" w:rsidR="007E365E" w:rsidRDefault="007E365E" w:rsidP="007D1D77">
            <w:pPr>
              <w:spacing w:before="0" w:line="240" w:lineRule="auto"/>
              <w:rPr>
                <w:rFonts w:ascii="Open Sans SemiBold" w:hAnsi="Open Sans SemiBold" w:cs="Open Sans SemiBold"/>
                <w:sz w:val="22"/>
              </w:rPr>
            </w:pPr>
            <w:r>
              <w:rPr>
                <w:rFonts w:ascii="Open Sans SemiBold" w:hAnsi="Open Sans SemiBold" w:cs="Open Sans SemiBold"/>
                <w:sz w:val="22"/>
              </w:rPr>
              <w:t> </w:t>
            </w:r>
          </w:p>
        </w:tc>
        <w:tc>
          <w:tcPr>
            <w:tcW w:w="1340" w:type="dxa"/>
            <w:tcBorders>
              <w:top w:val="nil"/>
              <w:left w:val="nil"/>
              <w:bottom w:val="single" w:sz="4" w:space="0" w:color="ADD6EA"/>
              <w:right w:val="nil"/>
            </w:tcBorders>
            <w:shd w:val="clear" w:color="000000" w:fill="B6D5E4"/>
            <w:tcMar>
              <w:top w:w="15" w:type="dxa"/>
              <w:left w:w="15" w:type="dxa"/>
              <w:bottom w:w="0" w:type="dxa"/>
              <w:right w:w="15" w:type="dxa"/>
            </w:tcMar>
            <w:vAlign w:val="bottom"/>
            <w:hideMark/>
          </w:tcPr>
          <w:p w14:paraId="709F22F7" w14:textId="77777777" w:rsidR="007E365E" w:rsidRDefault="007E365E" w:rsidP="007D1D77">
            <w:pPr>
              <w:spacing w:before="0" w:line="240" w:lineRule="auto"/>
              <w:rPr>
                <w:rFonts w:ascii="Open Sans SemiBold" w:hAnsi="Open Sans SemiBold" w:cs="Open Sans SemiBold"/>
                <w:sz w:val="22"/>
              </w:rPr>
            </w:pPr>
            <w:r>
              <w:rPr>
                <w:rFonts w:ascii="Open Sans SemiBold" w:hAnsi="Open Sans SemiBold" w:cs="Open Sans SemiBold"/>
                <w:sz w:val="22"/>
              </w:rPr>
              <w:t> </w:t>
            </w:r>
          </w:p>
        </w:tc>
        <w:tc>
          <w:tcPr>
            <w:tcW w:w="5300" w:type="dxa"/>
            <w:tcBorders>
              <w:top w:val="nil"/>
              <w:left w:val="nil"/>
              <w:bottom w:val="single" w:sz="4" w:space="0" w:color="ADD6EA"/>
              <w:right w:val="nil"/>
            </w:tcBorders>
            <w:shd w:val="clear" w:color="000000" w:fill="B6D5E4"/>
            <w:tcMar>
              <w:top w:w="15" w:type="dxa"/>
              <w:left w:w="15" w:type="dxa"/>
              <w:bottom w:w="0" w:type="dxa"/>
              <w:right w:w="15" w:type="dxa"/>
            </w:tcMar>
            <w:vAlign w:val="bottom"/>
            <w:hideMark/>
          </w:tcPr>
          <w:p w14:paraId="240D3EFD" w14:textId="77777777" w:rsidR="007E365E" w:rsidRDefault="007E365E" w:rsidP="007D1D77">
            <w:pPr>
              <w:spacing w:before="0" w:line="240" w:lineRule="auto"/>
              <w:rPr>
                <w:rFonts w:ascii="Open Sans SemiBold" w:hAnsi="Open Sans SemiBold" w:cs="Open Sans SemiBold"/>
                <w:sz w:val="22"/>
              </w:rPr>
            </w:pPr>
            <w:r>
              <w:rPr>
                <w:rFonts w:ascii="Open Sans SemiBold" w:hAnsi="Open Sans SemiBold" w:cs="Open Sans SemiBold"/>
                <w:sz w:val="22"/>
              </w:rPr>
              <w:t> </w:t>
            </w:r>
          </w:p>
        </w:tc>
      </w:tr>
      <w:tr w:rsidR="007E365E" w14:paraId="0B652A15" w14:textId="77777777" w:rsidTr="007D1D77">
        <w:trPr>
          <w:trHeight w:val="795"/>
        </w:trPr>
        <w:tc>
          <w:tcPr>
            <w:tcW w:w="1160" w:type="dxa"/>
            <w:tcBorders>
              <w:top w:val="nil"/>
              <w:left w:val="nil"/>
              <w:bottom w:val="nil"/>
              <w:right w:val="nil"/>
            </w:tcBorders>
            <w:shd w:val="clear" w:color="auto" w:fill="auto"/>
            <w:tcMar>
              <w:top w:w="15" w:type="dxa"/>
              <w:left w:w="15" w:type="dxa"/>
              <w:bottom w:w="0" w:type="dxa"/>
              <w:right w:w="15" w:type="dxa"/>
            </w:tcMar>
            <w:hideMark/>
          </w:tcPr>
          <w:p w14:paraId="5B6AAB6C" w14:textId="77777777" w:rsidR="007E365E" w:rsidRDefault="007E365E" w:rsidP="007D1D77">
            <w:pPr>
              <w:spacing w:before="0" w:line="240" w:lineRule="auto"/>
              <w:rPr>
                <w:rFonts w:ascii="Open Sans SemiBold" w:hAnsi="Open Sans SemiBold" w:cs="Open Sans SemiBold"/>
                <w:sz w:val="16"/>
                <w:szCs w:val="16"/>
              </w:rPr>
            </w:pPr>
            <w:r>
              <w:rPr>
                <w:rFonts w:ascii="Open Sans SemiBold" w:hAnsi="Open Sans SemiBold" w:cs="Open Sans SemiBold"/>
                <w:sz w:val="16"/>
                <w:szCs w:val="16"/>
              </w:rPr>
              <w:t>Rural roads</w:t>
            </w:r>
          </w:p>
        </w:tc>
        <w:tc>
          <w:tcPr>
            <w:tcW w:w="1040" w:type="dxa"/>
            <w:tcBorders>
              <w:top w:val="nil"/>
              <w:left w:val="nil"/>
              <w:bottom w:val="nil"/>
              <w:right w:val="nil"/>
            </w:tcBorders>
            <w:shd w:val="clear" w:color="auto" w:fill="auto"/>
            <w:tcMar>
              <w:top w:w="15" w:type="dxa"/>
              <w:left w:w="15" w:type="dxa"/>
              <w:bottom w:w="0" w:type="dxa"/>
              <w:right w:w="15" w:type="dxa"/>
            </w:tcMar>
            <w:hideMark/>
          </w:tcPr>
          <w:p w14:paraId="263F394F" w14:textId="77777777" w:rsidR="007E365E" w:rsidRDefault="007E365E" w:rsidP="007D1D77">
            <w:pPr>
              <w:spacing w:before="0" w:line="240" w:lineRule="auto"/>
              <w:jc w:val="right"/>
              <w:rPr>
                <w:rFonts w:cs="Open Sans Light"/>
                <w:sz w:val="16"/>
                <w:szCs w:val="16"/>
              </w:rPr>
            </w:pPr>
            <w:r>
              <w:rPr>
                <w:rFonts w:cs="Open Sans Light"/>
                <w:sz w:val="16"/>
                <w:szCs w:val="16"/>
              </w:rPr>
              <w:t>3,727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628654D4" w14:textId="77777777" w:rsidR="007E365E" w:rsidRDefault="007E365E" w:rsidP="007D1D77">
            <w:pPr>
              <w:spacing w:before="0" w:line="240" w:lineRule="auto"/>
              <w:rPr>
                <w:rFonts w:ascii="Calibri" w:hAnsi="Calibri" w:cs="Calibri"/>
                <w:szCs w:val="20"/>
              </w:rPr>
            </w:pPr>
            <w:r>
              <w:rPr>
                <w:rFonts w:ascii="Calibri" w:hAnsi="Calibri" w:cs="Calibri"/>
                <w:szCs w:val="20"/>
              </w:rPr>
              <w:t> </w:t>
            </w:r>
          </w:p>
        </w:tc>
        <w:tc>
          <w:tcPr>
            <w:tcW w:w="13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56712DA5" w14:textId="77777777" w:rsidR="007E365E" w:rsidRDefault="007E365E" w:rsidP="007D1D77">
            <w:pPr>
              <w:spacing w:before="0" w:line="240" w:lineRule="auto"/>
              <w:rPr>
                <w:rFonts w:cs="Open Sans Light"/>
                <w:sz w:val="16"/>
                <w:szCs w:val="16"/>
              </w:rPr>
            </w:pPr>
            <w:r>
              <w:rPr>
                <w:rFonts w:cs="Open Sans Light"/>
                <w:sz w:val="16"/>
                <w:szCs w:val="16"/>
              </w:rPr>
              <w:t>Length and use</w:t>
            </w:r>
          </w:p>
        </w:tc>
        <w:tc>
          <w:tcPr>
            <w:tcW w:w="53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4EF0EA9B" w14:textId="77777777" w:rsidR="007E365E" w:rsidRDefault="007E365E" w:rsidP="007D1D77">
            <w:pPr>
              <w:spacing w:before="0" w:line="240" w:lineRule="auto"/>
              <w:rPr>
                <w:rFonts w:cs="Open Sans Light"/>
                <w:sz w:val="16"/>
                <w:szCs w:val="16"/>
              </w:rPr>
            </w:pPr>
            <w:r>
              <w:rPr>
                <w:rFonts w:cs="Open Sans Light"/>
                <w:sz w:val="16"/>
                <w:szCs w:val="16"/>
              </w:rPr>
              <w:t>Recognises that the length of the rural road network, traffic volume and heavy vehicle use influence the cost of providing road maintenance services in rural areas.</w:t>
            </w:r>
          </w:p>
        </w:tc>
      </w:tr>
      <w:tr w:rsidR="007E365E" w14:paraId="18019AEA" w14:textId="77777777" w:rsidTr="007C218D">
        <w:trPr>
          <w:trHeight w:val="555"/>
        </w:trPr>
        <w:tc>
          <w:tcPr>
            <w:tcW w:w="1160" w:type="dxa"/>
            <w:tcBorders>
              <w:top w:val="nil"/>
              <w:left w:val="nil"/>
              <w:right w:val="nil"/>
            </w:tcBorders>
            <w:shd w:val="clear" w:color="auto" w:fill="auto"/>
            <w:tcMar>
              <w:top w:w="15" w:type="dxa"/>
              <w:left w:w="15" w:type="dxa"/>
              <w:bottom w:w="0" w:type="dxa"/>
              <w:right w:w="15" w:type="dxa"/>
            </w:tcMar>
            <w:hideMark/>
          </w:tcPr>
          <w:p w14:paraId="430C1F13" w14:textId="77777777" w:rsidR="007E365E" w:rsidRDefault="007E365E" w:rsidP="007D1D77">
            <w:pPr>
              <w:spacing w:before="0" w:line="240" w:lineRule="auto"/>
              <w:rPr>
                <w:rFonts w:cs="Open Sans Light"/>
                <w:sz w:val="16"/>
                <w:szCs w:val="16"/>
              </w:rPr>
            </w:pPr>
          </w:p>
        </w:tc>
        <w:tc>
          <w:tcPr>
            <w:tcW w:w="1040" w:type="dxa"/>
            <w:tcBorders>
              <w:top w:val="nil"/>
              <w:left w:val="nil"/>
              <w:right w:val="nil"/>
            </w:tcBorders>
            <w:shd w:val="clear" w:color="auto" w:fill="auto"/>
            <w:tcMar>
              <w:top w:w="15" w:type="dxa"/>
              <w:left w:w="15" w:type="dxa"/>
              <w:bottom w:w="0" w:type="dxa"/>
              <w:right w:w="15" w:type="dxa"/>
            </w:tcMar>
            <w:hideMark/>
          </w:tcPr>
          <w:p w14:paraId="431105A0" w14:textId="77777777" w:rsidR="007E365E" w:rsidRDefault="007E365E" w:rsidP="007D1D77">
            <w:pPr>
              <w:spacing w:before="0" w:line="240" w:lineRule="auto"/>
              <w:rPr>
                <w:szCs w:val="20"/>
              </w:rPr>
            </w:pPr>
          </w:p>
        </w:tc>
        <w:tc>
          <w:tcPr>
            <w:tcW w:w="80" w:type="dxa"/>
            <w:tcBorders>
              <w:top w:val="nil"/>
              <w:left w:val="nil"/>
              <w:right w:val="nil"/>
            </w:tcBorders>
            <w:shd w:val="clear" w:color="auto" w:fill="auto"/>
            <w:tcMar>
              <w:top w:w="15" w:type="dxa"/>
              <w:left w:w="15" w:type="dxa"/>
              <w:bottom w:w="0" w:type="dxa"/>
              <w:right w:w="15" w:type="dxa"/>
            </w:tcMar>
            <w:vAlign w:val="bottom"/>
            <w:hideMark/>
          </w:tcPr>
          <w:p w14:paraId="7F11B046" w14:textId="77777777" w:rsidR="007E365E" w:rsidRDefault="007E365E" w:rsidP="007D1D77">
            <w:pPr>
              <w:spacing w:before="0" w:line="240" w:lineRule="auto"/>
              <w:jc w:val="right"/>
              <w:rPr>
                <w:szCs w:val="20"/>
              </w:rPr>
            </w:pPr>
          </w:p>
        </w:tc>
        <w:tc>
          <w:tcPr>
            <w:tcW w:w="13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64A475DF" w14:textId="77777777" w:rsidR="007E365E" w:rsidRDefault="007E365E" w:rsidP="007D1D77">
            <w:pPr>
              <w:spacing w:before="0" w:line="240" w:lineRule="auto"/>
              <w:rPr>
                <w:rFonts w:cs="Open Sans Light"/>
                <w:sz w:val="16"/>
                <w:szCs w:val="16"/>
              </w:rPr>
            </w:pPr>
            <w:r>
              <w:rPr>
                <w:rFonts w:cs="Open Sans Light"/>
                <w:sz w:val="16"/>
                <w:szCs w:val="16"/>
              </w:rPr>
              <w:t>Regional costs</w:t>
            </w:r>
          </w:p>
        </w:tc>
        <w:tc>
          <w:tcPr>
            <w:tcW w:w="53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144AE360" w14:textId="77777777" w:rsidR="007E365E" w:rsidRDefault="007E365E" w:rsidP="007D1D77">
            <w:pPr>
              <w:spacing w:before="0" w:line="240" w:lineRule="auto"/>
              <w:rPr>
                <w:rFonts w:cs="Open Sans Light"/>
                <w:sz w:val="16"/>
                <w:szCs w:val="16"/>
              </w:rPr>
            </w:pPr>
            <w:r>
              <w:rPr>
                <w:rFonts w:cs="Open Sans Light"/>
                <w:sz w:val="16"/>
                <w:szCs w:val="16"/>
              </w:rPr>
              <w:t>Recognises the differences in the cost of providing services to different areas within a State (applied to road length only).</w:t>
            </w:r>
          </w:p>
        </w:tc>
      </w:tr>
      <w:tr w:rsidR="007E365E" w14:paraId="7440D1FD" w14:textId="77777777" w:rsidTr="007C218D">
        <w:trPr>
          <w:trHeight w:val="315"/>
        </w:trPr>
        <w:tc>
          <w:tcPr>
            <w:tcW w:w="1160" w:type="dxa"/>
            <w:tcBorders>
              <w:left w:val="nil"/>
              <w:bottom w:val="single" w:sz="4" w:space="0" w:color="ADD6EA"/>
              <w:right w:val="nil"/>
            </w:tcBorders>
            <w:shd w:val="clear" w:color="auto" w:fill="auto"/>
            <w:tcMar>
              <w:top w:w="15" w:type="dxa"/>
              <w:left w:w="15" w:type="dxa"/>
              <w:bottom w:w="0" w:type="dxa"/>
              <w:right w:w="15" w:type="dxa"/>
            </w:tcMar>
            <w:hideMark/>
          </w:tcPr>
          <w:p w14:paraId="10A0CFF6" w14:textId="77777777" w:rsidR="007E365E" w:rsidRDefault="007E365E" w:rsidP="007D1D77">
            <w:pPr>
              <w:spacing w:before="0" w:line="240" w:lineRule="auto"/>
              <w:rPr>
                <w:rFonts w:cs="Open Sans Light"/>
                <w:sz w:val="16"/>
                <w:szCs w:val="16"/>
              </w:rPr>
            </w:pPr>
          </w:p>
        </w:tc>
        <w:tc>
          <w:tcPr>
            <w:tcW w:w="1040" w:type="dxa"/>
            <w:tcBorders>
              <w:left w:val="nil"/>
              <w:bottom w:val="single" w:sz="4" w:space="0" w:color="ADD6EA"/>
              <w:right w:val="nil"/>
            </w:tcBorders>
            <w:shd w:val="clear" w:color="auto" w:fill="auto"/>
            <w:tcMar>
              <w:top w:w="15" w:type="dxa"/>
              <w:left w:w="15" w:type="dxa"/>
              <w:bottom w:w="0" w:type="dxa"/>
              <w:right w:w="15" w:type="dxa"/>
            </w:tcMar>
            <w:hideMark/>
          </w:tcPr>
          <w:p w14:paraId="0456D8C0" w14:textId="77777777" w:rsidR="007E365E" w:rsidRDefault="007E365E" w:rsidP="007D1D77">
            <w:pPr>
              <w:spacing w:before="0" w:line="240" w:lineRule="auto"/>
              <w:rPr>
                <w:szCs w:val="20"/>
              </w:rPr>
            </w:pPr>
          </w:p>
        </w:tc>
        <w:tc>
          <w:tcPr>
            <w:tcW w:w="80" w:type="dxa"/>
            <w:tcBorders>
              <w:left w:val="nil"/>
              <w:bottom w:val="single" w:sz="4" w:space="0" w:color="ADD6EA"/>
              <w:right w:val="nil"/>
            </w:tcBorders>
            <w:shd w:val="clear" w:color="auto" w:fill="auto"/>
            <w:tcMar>
              <w:top w:w="15" w:type="dxa"/>
              <w:left w:w="15" w:type="dxa"/>
              <w:bottom w:w="0" w:type="dxa"/>
              <w:right w:w="15" w:type="dxa"/>
            </w:tcMar>
            <w:vAlign w:val="bottom"/>
            <w:hideMark/>
          </w:tcPr>
          <w:p w14:paraId="12C60310" w14:textId="77777777" w:rsidR="007E365E" w:rsidRDefault="007E365E" w:rsidP="007D1D77">
            <w:pPr>
              <w:spacing w:before="0" w:line="240" w:lineRule="auto"/>
              <w:rPr>
                <w:szCs w:val="20"/>
              </w:rPr>
            </w:pPr>
          </w:p>
        </w:tc>
        <w:tc>
          <w:tcPr>
            <w:tcW w:w="1340" w:type="dxa"/>
            <w:tcBorders>
              <w:top w:val="single" w:sz="4" w:space="0" w:color="ADD6EA"/>
              <w:left w:val="nil"/>
              <w:bottom w:val="single" w:sz="4" w:space="0" w:color="ADD6EA"/>
              <w:right w:val="nil"/>
            </w:tcBorders>
            <w:shd w:val="clear" w:color="auto" w:fill="auto"/>
            <w:tcMar>
              <w:top w:w="15" w:type="dxa"/>
              <w:left w:w="15" w:type="dxa"/>
              <w:bottom w:w="0" w:type="dxa"/>
              <w:right w:w="15" w:type="dxa"/>
            </w:tcMar>
            <w:hideMark/>
          </w:tcPr>
          <w:p w14:paraId="517030F6" w14:textId="77777777" w:rsidR="007E365E" w:rsidRDefault="007E365E" w:rsidP="007D1D77">
            <w:pPr>
              <w:spacing w:before="0" w:line="240" w:lineRule="auto"/>
              <w:rPr>
                <w:rFonts w:cs="Open Sans Light"/>
                <w:sz w:val="16"/>
                <w:szCs w:val="16"/>
              </w:rPr>
            </w:pPr>
            <w:r>
              <w:rPr>
                <w:rFonts w:cs="Open Sans Light"/>
                <w:sz w:val="16"/>
                <w:szCs w:val="16"/>
              </w:rPr>
              <w:t>Wage costs</w:t>
            </w:r>
          </w:p>
        </w:tc>
        <w:tc>
          <w:tcPr>
            <w:tcW w:w="5300" w:type="dxa"/>
            <w:tcBorders>
              <w:top w:val="single" w:sz="4" w:space="0" w:color="ADD6EA"/>
              <w:left w:val="nil"/>
              <w:bottom w:val="single" w:sz="4" w:space="0" w:color="ADD6EA"/>
              <w:right w:val="nil"/>
            </w:tcBorders>
            <w:shd w:val="clear" w:color="auto" w:fill="auto"/>
            <w:tcMar>
              <w:top w:w="15" w:type="dxa"/>
              <w:left w:w="15" w:type="dxa"/>
              <w:bottom w:w="0" w:type="dxa"/>
              <w:right w:w="15" w:type="dxa"/>
            </w:tcMar>
            <w:hideMark/>
          </w:tcPr>
          <w:p w14:paraId="58133764" w14:textId="77777777" w:rsidR="007E365E" w:rsidRDefault="007E365E" w:rsidP="007D1D77">
            <w:pPr>
              <w:spacing w:before="0" w:line="240" w:lineRule="auto"/>
              <w:rPr>
                <w:rFonts w:cs="Open Sans Light"/>
                <w:sz w:val="16"/>
                <w:szCs w:val="16"/>
              </w:rPr>
            </w:pPr>
            <w:r>
              <w:rPr>
                <w:rFonts w:cs="Open Sans Light"/>
                <w:sz w:val="16"/>
                <w:szCs w:val="16"/>
              </w:rPr>
              <w:t>Recognises the differences in wage costs between States.</w:t>
            </w:r>
          </w:p>
        </w:tc>
      </w:tr>
      <w:tr w:rsidR="007E365E" w14:paraId="7342CEB6" w14:textId="77777777" w:rsidTr="007C218D">
        <w:trPr>
          <w:trHeight w:val="795"/>
        </w:trPr>
        <w:tc>
          <w:tcPr>
            <w:tcW w:w="1160" w:type="dxa"/>
            <w:tcBorders>
              <w:top w:val="single" w:sz="4" w:space="0" w:color="ADD6EA"/>
              <w:left w:val="nil"/>
              <w:right w:val="nil"/>
            </w:tcBorders>
            <w:shd w:val="clear" w:color="auto" w:fill="auto"/>
            <w:tcMar>
              <w:top w:w="15" w:type="dxa"/>
              <w:left w:w="15" w:type="dxa"/>
              <w:bottom w:w="0" w:type="dxa"/>
              <w:right w:w="15" w:type="dxa"/>
            </w:tcMar>
            <w:hideMark/>
          </w:tcPr>
          <w:p w14:paraId="75C4CEDE" w14:textId="77777777" w:rsidR="007E365E" w:rsidRDefault="007E365E" w:rsidP="007D1D77">
            <w:pPr>
              <w:spacing w:before="0" w:line="240" w:lineRule="auto"/>
              <w:rPr>
                <w:rFonts w:ascii="Open Sans SemiBold" w:hAnsi="Open Sans SemiBold" w:cs="Open Sans SemiBold"/>
                <w:sz w:val="16"/>
                <w:szCs w:val="16"/>
              </w:rPr>
            </w:pPr>
            <w:r>
              <w:rPr>
                <w:rFonts w:ascii="Open Sans SemiBold" w:hAnsi="Open Sans SemiBold" w:cs="Open Sans SemiBold"/>
                <w:sz w:val="16"/>
                <w:szCs w:val="16"/>
              </w:rPr>
              <w:t>Urban roads</w:t>
            </w:r>
          </w:p>
        </w:tc>
        <w:tc>
          <w:tcPr>
            <w:tcW w:w="1040" w:type="dxa"/>
            <w:tcBorders>
              <w:top w:val="single" w:sz="4" w:space="0" w:color="ADD6EA"/>
              <w:left w:val="nil"/>
              <w:right w:val="nil"/>
            </w:tcBorders>
            <w:shd w:val="clear" w:color="auto" w:fill="auto"/>
            <w:tcMar>
              <w:top w:w="15" w:type="dxa"/>
              <w:left w:w="15" w:type="dxa"/>
              <w:bottom w:w="0" w:type="dxa"/>
              <w:right w:w="15" w:type="dxa"/>
            </w:tcMar>
            <w:hideMark/>
          </w:tcPr>
          <w:p w14:paraId="1A411383" w14:textId="77777777" w:rsidR="007E365E" w:rsidRDefault="007E365E" w:rsidP="007D1D77">
            <w:pPr>
              <w:spacing w:before="0" w:line="240" w:lineRule="auto"/>
              <w:jc w:val="right"/>
              <w:rPr>
                <w:rFonts w:cs="Open Sans Light"/>
                <w:sz w:val="16"/>
                <w:szCs w:val="16"/>
              </w:rPr>
            </w:pPr>
            <w:r>
              <w:rPr>
                <w:rFonts w:cs="Open Sans Light"/>
                <w:sz w:val="16"/>
                <w:szCs w:val="16"/>
              </w:rPr>
              <w:t>3,462</w:t>
            </w:r>
          </w:p>
        </w:tc>
        <w:tc>
          <w:tcPr>
            <w:tcW w:w="80" w:type="dxa"/>
            <w:tcBorders>
              <w:top w:val="single" w:sz="4" w:space="0" w:color="ADD6EA"/>
              <w:left w:val="nil"/>
              <w:right w:val="nil"/>
            </w:tcBorders>
            <w:shd w:val="clear" w:color="auto" w:fill="auto"/>
            <w:tcMar>
              <w:top w:w="15" w:type="dxa"/>
              <w:left w:w="15" w:type="dxa"/>
              <w:bottom w:w="0" w:type="dxa"/>
              <w:right w:w="15" w:type="dxa"/>
            </w:tcMar>
            <w:vAlign w:val="bottom"/>
            <w:hideMark/>
          </w:tcPr>
          <w:p w14:paraId="4D963B9E" w14:textId="77777777" w:rsidR="007E365E" w:rsidRDefault="007E365E" w:rsidP="007D1D77">
            <w:pPr>
              <w:spacing w:before="0" w:line="240" w:lineRule="auto"/>
              <w:jc w:val="right"/>
              <w:rPr>
                <w:rFonts w:cs="Open Sans Light"/>
                <w:sz w:val="16"/>
                <w:szCs w:val="16"/>
              </w:rPr>
            </w:pPr>
          </w:p>
        </w:tc>
        <w:tc>
          <w:tcPr>
            <w:tcW w:w="1340" w:type="dxa"/>
            <w:tcBorders>
              <w:top w:val="single" w:sz="4" w:space="0" w:color="ADD6EA"/>
              <w:left w:val="nil"/>
              <w:bottom w:val="single" w:sz="4" w:space="0" w:color="ADD6EA"/>
              <w:right w:val="nil"/>
            </w:tcBorders>
            <w:shd w:val="clear" w:color="auto" w:fill="auto"/>
            <w:tcMar>
              <w:top w:w="15" w:type="dxa"/>
              <w:left w:w="15" w:type="dxa"/>
              <w:bottom w:w="0" w:type="dxa"/>
              <w:right w:w="15" w:type="dxa"/>
            </w:tcMar>
            <w:hideMark/>
          </w:tcPr>
          <w:p w14:paraId="1779EAA0" w14:textId="77777777" w:rsidR="007E365E" w:rsidRDefault="007E365E" w:rsidP="007D1D77">
            <w:pPr>
              <w:spacing w:before="0" w:line="240" w:lineRule="auto"/>
              <w:rPr>
                <w:rFonts w:cs="Open Sans Light"/>
                <w:sz w:val="16"/>
                <w:szCs w:val="16"/>
              </w:rPr>
            </w:pPr>
            <w:r>
              <w:rPr>
                <w:rFonts w:cs="Open Sans Light"/>
                <w:sz w:val="16"/>
                <w:szCs w:val="16"/>
              </w:rPr>
              <w:t>Length and use</w:t>
            </w:r>
          </w:p>
        </w:tc>
        <w:tc>
          <w:tcPr>
            <w:tcW w:w="5300" w:type="dxa"/>
            <w:tcBorders>
              <w:top w:val="single" w:sz="4" w:space="0" w:color="ADD6EA"/>
              <w:left w:val="nil"/>
              <w:bottom w:val="single" w:sz="4" w:space="0" w:color="ADD6EA"/>
              <w:right w:val="nil"/>
            </w:tcBorders>
            <w:shd w:val="clear" w:color="auto" w:fill="auto"/>
            <w:tcMar>
              <w:top w:w="15" w:type="dxa"/>
              <w:left w:w="15" w:type="dxa"/>
              <w:bottom w:w="0" w:type="dxa"/>
              <w:right w:w="15" w:type="dxa"/>
            </w:tcMar>
            <w:hideMark/>
          </w:tcPr>
          <w:p w14:paraId="3B2AC7E1" w14:textId="77777777" w:rsidR="007E365E" w:rsidRDefault="007E365E" w:rsidP="007D1D77">
            <w:pPr>
              <w:spacing w:before="0" w:line="240" w:lineRule="auto"/>
              <w:rPr>
                <w:rFonts w:cs="Open Sans Light"/>
                <w:sz w:val="16"/>
                <w:szCs w:val="16"/>
              </w:rPr>
            </w:pPr>
            <w:r>
              <w:rPr>
                <w:rFonts w:cs="Open Sans Light"/>
                <w:sz w:val="16"/>
                <w:szCs w:val="16"/>
              </w:rPr>
              <w:t>Recognises that the length of the urban road network, traffic volume and heavy vehicle use influence the cost of providing road maintenance services in urban areas.</w:t>
            </w:r>
          </w:p>
        </w:tc>
      </w:tr>
      <w:tr w:rsidR="007E365E" w14:paraId="5E18CD7E" w14:textId="77777777" w:rsidTr="007C218D">
        <w:trPr>
          <w:trHeight w:val="315"/>
        </w:trPr>
        <w:tc>
          <w:tcPr>
            <w:tcW w:w="1160" w:type="dxa"/>
            <w:tcBorders>
              <w:top w:val="nil"/>
              <w:left w:val="nil"/>
              <w:bottom w:val="single" w:sz="4" w:space="0" w:color="ADD6EA"/>
              <w:right w:val="nil"/>
            </w:tcBorders>
            <w:shd w:val="clear" w:color="auto" w:fill="auto"/>
            <w:tcMar>
              <w:top w:w="15" w:type="dxa"/>
              <w:left w:w="15" w:type="dxa"/>
              <w:bottom w:w="0" w:type="dxa"/>
              <w:right w:w="15" w:type="dxa"/>
            </w:tcMar>
            <w:hideMark/>
          </w:tcPr>
          <w:p w14:paraId="6501235C" w14:textId="77777777" w:rsidR="007E365E" w:rsidRDefault="007E365E" w:rsidP="007D1D77">
            <w:pPr>
              <w:spacing w:before="0" w:line="240" w:lineRule="auto"/>
              <w:rPr>
                <w:rFonts w:cs="Open Sans Light"/>
                <w:sz w:val="16"/>
                <w:szCs w:val="16"/>
              </w:rPr>
            </w:pPr>
          </w:p>
        </w:tc>
        <w:tc>
          <w:tcPr>
            <w:tcW w:w="10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77B67B60" w14:textId="77777777" w:rsidR="007E365E" w:rsidRDefault="007E365E" w:rsidP="007D1D77">
            <w:pPr>
              <w:spacing w:before="0" w:line="240" w:lineRule="auto"/>
              <w:rPr>
                <w:szCs w:val="20"/>
              </w:rPr>
            </w:pPr>
          </w:p>
        </w:tc>
        <w:tc>
          <w:tcPr>
            <w:tcW w:w="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EA814DA" w14:textId="77777777" w:rsidR="007E365E" w:rsidRDefault="007E365E" w:rsidP="007D1D77">
            <w:pPr>
              <w:spacing w:before="0" w:line="240" w:lineRule="auto"/>
              <w:jc w:val="right"/>
              <w:rPr>
                <w:szCs w:val="20"/>
              </w:rPr>
            </w:pPr>
          </w:p>
        </w:tc>
        <w:tc>
          <w:tcPr>
            <w:tcW w:w="1340" w:type="dxa"/>
            <w:tcBorders>
              <w:top w:val="single" w:sz="4" w:space="0" w:color="ADD6EA"/>
              <w:left w:val="nil"/>
              <w:bottom w:val="single" w:sz="4" w:space="0" w:color="ADD6EA"/>
              <w:right w:val="nil"/>
            </w:tcBorders>
            <w:shd w:val="clear" w:color="auto" w:fill="auto"/>
            <w:tcMar>
              <w:top w:w="15" w:type="dxa"/>
              <w:left w:w="15" w:type="dxa"/>
              <w:bottom w:w="0" w:type="dxa"/>
              <w:right w:w="15" w:type="dxa"/>
            </w:tcMar>
            <w:hideMark/>
          </w:tcPr>
          <w:p w14:paraId="0134B628" w14:textId="77777777" w:rsidR="007E365E" w:rsidRDefault="007E365E" w:rsidP="007D1D77">
            <w:pPr>
              <w:spacing w:before="0" w:line="240" w:lineRule="auto"/>
              <w:rPr>
                <w:rFonts w:cs="Open Sans Light"/>
                <w:sz w:val="16"/>
                <w:szCs w:val="16"/>
              </w:rPr>
            </w:pPr>
            <w:r>
              <w:rPr>
                <w:rFonts w:cs="Open Sans Light"/>
                <w:sz w:val="16"/>
                <w:szCs w:val="16"/>
              </w:rPr>
              <w:t>Wage costs</w:t>
            </w:r>
          </w:p>
        </w:tc>
        <w:tc>
          <w:tcPr>
            <w:tcW w:w="5300" w:type="dxa"/>
            <w:tcBorders>
              <w:top w:val="single" w:sz="4" w:space="0" w:color="ADD6EA"/>
              <w:left w:val="nil"/>
              <w:bottom w:val="single" w:sz="4" w:space="0" w:color="ADD6EA"/>
              <w:right w:val="nil"/>
            </w:tcBorders>
            <w:shd w:val="clear" w:color="auto" w:fill="auto"/>
            <w:tcMar>
              <w:top w:w="15" w:type="dxa"/>
              <w:left w:w="15" w:type="dxa"/>
              <w:bottom w:w="0" w:type="dxa"/>
              <w:right w:w="15" w:type="dxa"/>
            </w:tcMar>
            <w:hideMark/>
          </w:tcPr>
          <w:p w14:paraId="5E3CD088" w14:textId="77777777" w:rsidR="007E365E" w:rsidRDefault="007E365E" w:rsidP="007D1D77">
            <w:pPr>
              <w:spacing w:before="0" w:line="240" w:lineRule="auto"/>
              <w:rPr>
                <w:rFonts w:cs="Open Sans Light"/>
                <w:sz w:val="16"/>
                <w:szCs w:val="16"/>
              </w:rPr>
            </w:pPr>
            <w:r>
              <w:rPr>
                <w:rFonts w:cs="Open Sans Light"/>
                <w:sz w:val="16"/>
                <w:szCs w:val="16"/>
              </w:rPr>
              <w:t>Recognises the differences in wage costs between States.</w:t>
            </w:r>
          </w:p>
        </w:tc>
      </w:tr>
      <w:tr w:rsidR="007E365E" w14:paraId="7EA992B7" w14:textId="77777777" w:rsidTr="007D1D77">
        <w:trPr>
          <w:trHeight w:val="567"/>
        </w:trPr>
        <w:tc>
          <w:tcPr>
            <w:tcW w:w="1160" w:type="dxa"/>
            <w:tcBorders>
              <w:top w:val="single" w:sz="4" w:space="0" w:color="ADD6EA"/>
              <w:left w:val="nil"/>
              <w:bottom w:val="nil"/>
              <w:right w:val="nil"/>
            </w:tcBorders>
            <w:shd w:val="clear" w:color="auto" w:fill="auto"/>
            <w:tcMar>
              <w:top w:w="15" w:type="dxa"/>
              <w:left w:w="15" w:type="dxa"/>
              <w:bottom w:w="0" w:type="dxa"/>
              <w:right w:w="15" w:type="dxa"/>
            </w:tcMar>
            <w:hideMark/>
          </w:tcPr>
          <w:p w14:paraId="78904924" w14:textId="77777777" w:rsidR="007E365E" w:rsidRDefault="007E365E" w:rsidP="007D1D77">
            <w:pPr>
              <w:spacing w:before="0" w:line="240" w:lineRule="auto"/>
              <w:rPr>
                <w:rFonts w:ascii="Open Sans SemiBold" w:hAnsi="Open Sans SemiBold" w:cs="Open Sans SemiBold"/>
                <w:sz w:val="16"/>
                <w:szCs w:val="16"/>
              </w:rPr>
            </w:pPr>
            <w:r>
              <w:rPr>
                <w:rFonts w:ascii="Open Sans SemiBold" w:hAnsi="Open Sans SemiBold" w:cs="Open Sans SemiBold"/>
                <w:sz w:val="16"/>
                <w:szCs w:val="16"/>
              </w:rPr>
              <w:t>Bridges and tunnels</w:t>
            </w:r>
          </w:p>
        </w:tc>
        <w:tc>
          <w:tcPr>
            <w:tcW w:w="1040" w:type="dxa"/>
            <w:tcBorders>
              <w:top w:val="single" w:sz="4" w:space="0" w:color="ADD6EA"/>
              <w:left w:val="nil"/>
              <w:bottom w:val="nil"/>
              <w:right w:val="nil"/>
            </w:tcBorders>
            <w:shd w:val="clear" w:color="auto" w:fill="auto"/>
            <w:tcMar>
              <w:top w:w="15" w:type="dxa"/>
              <w:left w:w="15" w:type="dxa"/>
              <w:bottom w:w="0" w:type="dxa"/>
              <w:right w:w="15" w:type="dxa"/>
            </w:tcMar>
            <w:hideMark/>
          </w:tcPr>
          <w:p w14:paraId="5252D945" w14:textId="77777777" w:rsidR="007E365E" w:rsidRDefault="007E365E" w:rsidP="007D1D77">
            <w:pPr>
              <w:spacing w:before="0" w:line="240" w:lineRule="auto"/>
              <w:jc w:val="right"/>
              <w:rPr>
                <w:rFonts w:cs="Open Sans Light"/>
                <w:sz w:val="16"/>
                <w:szCs w:val="16"/>
              </w:rPr>
            </w:pPr>
            <w:r>
              <w:rPr>
                <w:rFonts w:cs="Open Sans Light"/>
                <w:sz w:val="16"/>
                <w:szCs w:val="16"/>
              </w:rPr>
              <w:t>457</w:t>
            </w:r>
          </w:p>
        </w:tc>
        <w:tc>
          <w:tcPr>
            <w:tcW w:w="8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F661B2F" w14:textId="77777777" w:rsidR="007E365E" w:rsidRDefault="007E365E" w:rsidP="007D1D77">
            <w:pPr>
              <w:spacing w:before="0" w:line="240" w:lineRule="auto"/>
              <w:jc w:val="right"/>
              <w:rPr>
                <w:rFonts w:cs="Open Sans Light"/>
                <w:sz w:val="16"/>
                <w:szCs w:val="16"/>
              </w:rPr>
            </w:pPr>
          </w:p>
        </w:tc>
        <w:tc>
          <w:tcPr>
            <w:tcW w:w="1340" w:type="dxa"/>
            <w:tcBorders>
              <w:top w:val="single" w:sz="4" w:space="0" w:color="ADD6EA"/>
              <w:left w:val="nil"/>
              <w:bottom w:val="single" w:sz="4" w:space="0" w:color="ADD6EA"/>
              <w:right w:val="nil"/>
            </w:tcBorders>
            <w:shd w:val="clear" w:color="auto" w:fill="auto"/>
            <w:tcMar>
              <w:top w:w="15" w:type="dxa"/>
              <w:left w:w="15" w:type="dxa"/>
              <w:bottom w:w="0" w:type="dxa"/>
              <w:right w:w="15" w:type="dxa"/>
            </w:tcMar>
            <w:hideMark/>
          </w:tcPr>
          <w:p w14:paraId="1B2DC23A" w14:textId="77777777" w:rsidR="007E365E" w:rsidRDefault="007E365E" w:rsidP="007D1D77">
            <w:pPr>
              <w:spacing w:before="0" w:line="240" w:lineRule="auto"/>
              <w:rPr>
                <w:rFonts w:cs="Open Sans Light"/>
                <w:sz w:val="16"/>
                <w:szCs w:val="16"/>
              </w:rPr>
            </w:pPr>
            <w:r>
              <w:rPr>
                <w:rFonts w:cs="Open Sans Light"/>
                <w:sz w:val="16"/>
                <w:szCs w:val="16"/>
              </w:rPr>
              <w:t>Length and use</w:t>
            </w:r>
          </w:p>
        </w:tc>
        <w:tc>
          <w:tcPr>
            <w:tcW w:w="5300" w:type="dxa"/>
            <w:tcBorders>
              <w:top w:val="single" w:sz="4" w:space="0" w:color="ADD6EA"/>
              <w:left w:val="nil"/>
              <w:bottom w:val="single" w:sz="4" w:space="0" w:color="ADD6EA"/>
              <w:right w:val="nil"/>
            </w:tcBorders>
            <w:shd w:val="clear" w:color="auto" w:fill="auto"/>
            <w:tcMar>
              <w:top w:w="15" w:type="dxa"/>
              <w:left w:w="15" w:type="dxa"/>
              <w:bottom w:w="0" w:type="dxa"/>
              <w:right w:w="15" w:type="dxa"/>
            </w:tcMar>
            <w:hideMark/>
          </w:tcPr>
          <w:p w14:paraId="4580F0FA" w14:textId="77777777" w:rsidR="007E365E" w:rsidRDefault="007E365E" w:rsidP="007D1D77">
            <w:pPr>
              <w:spacing w:before="0" w:line="240" w:lineRule="auto"/>
              <w:rPr>
                <w:rFonts w:cs="Open Sans Light"/>
                <w:sz w:val="16"/>
                <w:szCs w:val="16"/>
              </w:rPr>
            </w:pPr>
            <w:r>
              <w:rPr>
                <w:rFonts w:cs="Open Sans Light"/>
                <w:sz w:val="16"/>
                <w:szCs w:val="16"/>
              </w:rPr>
              <w:t>Recognises that the length of bridges and tunnels and heavy vehicle use influence the cost of providing bridges and tunnel maintenance services.</w:t>
            </w:r>
          </w:p>
        </w:tc>
      </w:tr>
      <w:tr w:rsidR="007E365E" w14:paraId="2BE0A558" w14:textId="77777777" w:rsidTr="007D1D77">
        <w:trPr>
          <w:trHeight w:val="555"/>
        </w:trPr>
        <w:tc>
          <w:tcPr>
            <w:tcW w:w="1160" w:type="dxa"/>
            <w:tcBorders>
              <w:top w:val="nil"/>
              <w:left w:val="nil"/>
              <w:bottom w:val="nil"/>
              <w:right w:val="nil"/>
            </w:tcBorders>
            <w:shd w:val="clear" w:color="auto" w:fill="auto"/>
            <w:tcMar>
              <w:top w:w="15" w:type="dxa"/>
              <w:left w:w="15" w:type="dxa"/>
              <w:bottom w:w="0" w:type="dxa"/>
              <w:right w:w="15" w:type="dxa"/>
            </w:tcMar>
            <w:hideMark/>
          </w:tcPr>
          <w:p w14:paraId="4A6E65E6" w14:textId="77777777" w:rsidR="007E365E" w:rsidRDefault="007E365E" w:rsidP="007D1D77">
            <w:pPr>
              <w:spacing w:before="0" w:line="240" w:lineRule="auto"/>
              <w:rPr>
                <w:rFonts w:cs="Open Sans Light"/>
                <w:sz w:val="16"/>
                <w:szCs w:val="16"/>
              </w:rPr>
            </w:pPr>
          </w:p>
        </w:tc>
        <w:tc>
          <w:tcPr>
            <w:tcW w:w="1040" w:type="dxa"/>
            <w:tcBorders>
              <w:top w:val="nil"/>
              <w:left w:val="nil"/>
              <w:bottom w:val="nil"/>
              <w:right w:val="nil"/>
            </w:tcBorders>
            <w:shd w:val="clear" w:color="auto" w:fill="auto"/>
            <w:tcMar>
              <w:top w:w="15" w:type="dxa"/>
              <w:left w:w="15" w:type="dxa"/>
              <w:bottom w:w="0" w:type="dxa"/>
              <w:right w:w="15" w:type="dxa"/>
            </w:tcMar>
            <w:hideMark/>
          </w:tcPr>
          <w:p w14:paraId="0848064B" w14:textId="77777777" w:rsidR="007E365E" w:rsidRDefault="007E365E" w:rsidP="007D1D77">
            <w:pPr>
              <w:spacing w:before="0" w:line="240" w:lineRule="auto"/>
              <w:rPr>
                <w:szCs w:val="20"/>
              </w:rPr>
            </w:pPr>
          </w:p>
        </w:tc>
        <w:tc>
          <w:tcPr>
            <w:tcW w:w="80" w:type="dxa"/>
            <w:tcBorders>
              <w:top w:val="nil"/>
              <w:left w:val="nil"/>
              <w:bottom w:val="nil"/>
              <w:right w:val="nil"/>
            </w:tcBorders>
            <w:shd w:val="clear" w:color="auto" w:fill="auto"/>
            <w:tcMar>
              <w:top w:w="15" w:type="dxa"/>
              <w:left w:w="15" w:type="dxa"/>
              <w:bottom w:w="0" w:type="dxa"/>
              <w:right w:w="15" w:type="dxa"/>
            </w:tcMar>
            <w:vAlign w:val="bottom"/>
            <w:hideMark/>
          </w:tcPr>
          <w:p w14:paraId="4E2627A3" w14:textId="77777777" w:rsidR="007E365E" w:rsidRDefault="007E365E" w:rsidP="007D1D77">
            <w:pPr>
              <w:spacing w:before="0" w:line="240" w:lineRule="auto"/>
              <w:jc w:val="right"/>
              <w:rPr>
                <w:szCs w:val="20"/>
              </w:rPr>
            </w:pPr>
          </w:p>
        </w:tc>
        <w:tc>
          <w:tcPr>
            <w:tcW w:w="13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28CB817E" w14:textId="77777777" w:rsidR="007E365E" w:rsidRDefault="007E365E" w:rsidP="007D1D77">
            <w:pPr>
              <w:spacing w:before="0" w:line="240" w:lineRule="auto"/>
              <w:rPr>
                <w:rFonts w:cs="Open Sans Light"/>
                <w:sz w:val="16"/>
                <w:szCs w:val="16"/>
              </w:rPr>
            </w:pPr>
            <w:r>
              <w:rPr>
                <w:rFonts w:cs="Open Sans Light"/>
                <w:sz w:val="16"/>
                <w:szCs w:val="16"/>
              </w:rPr>
              <w:t>Regional costs</w:t>
            </w:r>
          </w:p>
        </w:tc>
        <w:tc>
          <w:tcPr>
            <w:tcW w:w="53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22337A1E" w14:textId="77777777" w:rsidR="007E365E" w:rsidRDefault="007E365E" w:rsidP="007D1D77">
            <w:pPr>
              <w:spacing w:before="0" w:line="240" w:lineRule="auto"/>
              <w:rPr>
                <w:rFonts w:cs="Open Sans Light"/>
                <w:sz w:val="16"/>
                <w:szCs w:val="16"/>
              </w:rPr>
            </w:pPr>
            <w:r>
              <w:rPr>
                <w:rFonts w:cs="Open Sans Light"/>
                <w:sz w:val="16"/>
                <w:szCs w:val="16"/>
              </w:rPr>
              <w:t>Recognises the differences in the cost of providing services to different areas within a State.</w:t>
            </w:r>
          </w:p>
        </w:tc>
      </w:tr>
      <w:tr w:rsidR="007E365E" w14:paraId="31D83995" w14:textId="77777777" w:rsidTr="007D1D77">
        <w:trPr>
          <w:trHeight w:val="315"/>
        </w:trPr>
        <w:tc>
          <w:tcPr>
            <w:tcW w:w="1160" w:type="dxa"/>
            <w:tcBorders>
              <w:top w:val="nil"/>
              <w:left w:val="nil"/>
              <w:bottom w:val="single" w:sz="4" w:space="0" w:color="ADD6EA"/>
              <w:right w:val="nil"/>
            </w:tcBorders>
            <w:shd w:val="clear" w:color="auto" w:fill="auto"/>
            <w:tcMar>
              <w:top w:w="15" w:type="dxa"/>
              <w:left w:w="15" w:type="dxa"/>
              <w:bottom w:w="0" w:type="dxa"/>
              <w:right w:w="15" w:type="dxa"/>
            </w:tcMar>
            <w:hideMark/>
          </w:tcPr>
          <w:p w14:paraId="6433EFA4" w14:textId="77777777" w:rsidR="007E365E" w:rsidRDefault="007E365E" w:rsidP="007D1D77">
            <w:pPr>
              <w:spacing w:before="0" w:line="240" w:lineRule="auto"/>
              <w:rPr>
                <w:rFonts w:cs="Open Sans Light"/>
                <w:sz w:val="16"/>
                <w:szCs w:val="16"/>
              </w:rPr>
            </w:pPr>
            <w:r>
              <w:rPr>
                <w:rFonts w:cs="Open Sans Light"/>
                <w:sz w:val="16"/>
                <w:szCs w:val="16"/>
              </w:rPr>
              <w:t> </w:t>
            </w:r>
          </w:p>
        </w:tc>
        <w:tc>
          <w:tcPr>
            <w:tcW w:w="10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377D5C24" w14:textId="77777777" w:rsidR="007E365E" w:rsidRDefault="007E365E" w:rsidP="007D1D77">
            <w:pPr>
              <w:spacing w:before="0" w:line="240" w:lineRule="auto"/>
              <w:jc w:val="right"/>
              <w:rPr>
                <w:rFonts w:cs="Open Sans Light"/>
                <w:sz w:val="16"/>
                <w:szCs w:val="16"/>
              </w:rPr>
            </w:pPr>
            <w:r>
              <w:rPr>
                <w:rFonts w:cs="Open Sans Light"/>
                <w:sz w:val="16"/>
                <w:szCs w:val="16"/>
              </w:rPr>
              <w:t> </w:t>
            </w:r>
          </w:p>
        </w:tc>
        <w:tc>
          <w:tcPr>
            <w:tcW w:w="8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F44AAB1" w14:textId="77777777" w:rsidR="007E365E" w:rsidRDefault="007E365E" w:rsidP="007D1D77">
            <w:pPr>
              <w:spacing w:before="0" w:line="240" w:lineRule="auto"/>
              <w:rPr>
                <w:rFonts w:cs="Open Sans Light"/>
                <w:sz w:val="16"/>
                <w:szCs w:val="16"/>
              </w:rPr>
            </w:pPr>
            <w:r>
              <w:rPr>
                <w:rFonts w:cs="Open Sans Light"/>
                <w:sz w:val="16"/>
                <w:szCs w:val="16"/>
              </w:rPr>
              <w:t> </w:t>
            </w:r>
          </w:p>
        </w:tc>
        <w:tc>
          <w:tcPr>
            <w:tcW w:w="13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68552B6E" w14:textId="77777777" w:rsidR="007E365E" w:rsidRDefault="007E365E" w:rsidP="007D1D77">
            <w:pPr>
              <w:spacing w:before="0" w:line="240" w:lineRule="auto"/>
              <w:rPr>
                <w:rFonts w:cs="Open Sans Light"/>
                <w:sz w:val="16"/>
                <w:szCs w:val="16"/>
              </w:rPr>
            </w:pPr>
            <w:r>
              <w:rPr>
                <w:rFonts w:cs="Open Sans Light"/>
                <w:sz w:val="16"/>
                <w:szCs w:val="16"/>
              </w:rPr>
              <w:t>Wage costs</w:t>
            </w:r>
          </w:p>
        </w:tc>
        <w:tc>
          <w:tcPr>
            <w:tcW w:w="53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267000B7" w14:textId="77777777" w:rsidR="007E365E" w:rsidRDefault="007E365E" w:rsidP="007D1D77">
            <w:pPr>
              <w:spacing w:before="0" w:line="240" w:lineRule="auto"/>
              <w:rPr>
                <w:rFonts w:cs="Open Sans Light"/>
                <w:sz w:val="16"/>
                <w:szCs w:val="16"/>
              </w:rPr>
            </w:pPr>
            <w:r>
              <w:rPr>
                <w:rFonts w:cs="Open Sans Light"/>
                <w:sz w:val="16"/>
                <w:szCs w:val="16"/>
              </w:rPr>
              <w:t>Recognises the differences in wage costs between States.</w:t>
            </w:r>
          </w:p>
        </w:tc>
      </w:tr>
    </w:tbl>
    <w:p w14:paraId="4F25DF72" w14:textId="77777777" w:rsidR="007E365E" w:rsidRPr="00E23377" w:rsidRDefault="007E365E" w:rsidP="007E365E">
      <w:pPr>
        <w:pStyle w:val="CGCTablenote"/>
      </w:pPr>
      <w:r w:rsidRPr="00E23377">
        <w:t>Note:</w:t>
      </w:r>
      <w:r w:rsidRPr="00E23377">
        <w:tab/>
        <w:t>This table only includes roads expenses. It does not include Roads investment.</w:t>
      </w:r>
    </w:p>
    <w:p w14:paraId="7AF9FBD7" w14:textId="77777777" w:rsidR="007E365E" w:rsidRPr="00E23377" w:rsidRDefault="007E365E" w:rsidP="007E365E">
      <w:pPr>
        <w:pStyle w:val="CGCTablenote"/>
      </w:pPr>
      <w:r w:rsidRPr="00E23377">
        <w:t>Source:</w:t>
      </w:r>
      <w:r w:rsidRPr="00E23377">
        <w:tab/>
        <w:t>Commission calculation using ABS GFS and State budget data.</w:t>
      </w:r>
    </w:p>
    <w:p w14:paraId="633F68BB" w14:textId="77777777" w:rsidR="007E365E" w:rsidRPr="00E23377" w:rsidRDefault="007E365E" w:rsidP="007E365E">
      <w:pPr>
        <w:pStyle w:val="Heading4"/>
      </w:pPr>
      <w:bookmarkStart w:id="158" w:name="_Toc4754259"/>
      <w:bookmarkStart w:id="159" w:name="_Toc5030063"/>
      <w:r w:rsidRPr="00E23377">
        <w:t>Category and component expenses</w:t>
      </w:r>
      <w:bookmarkEnd w:id="158"/>
      <w:bookmarkEnd w:id="159"/>
    </w:p>
    <w:p w14:paraId="12A1B111" w14:textId="77777777" w:rsidR="007E365E" w:rsidRPr="00E23377" w:rsidRDefault="007E365E" w:rsidP="007E365E">
      <w:pPr>
        <w:pStyle w:val="CGCParaNumber"/>
      </w:pPr>
      <w:r w:rsidRPr="00E23377">
        <w:t xml:space="preserve">The main data sources for calculating category expenses are </w:t>
      </w:r>
      <w:r>
        <w:t>A</w:t>
      </w:r>
      <w:r w:rsidRPr="00302BC8">
        <w:t xml:space="preserve">ustralian </w:t>
      </w:r>
      <w:r>
        <w:t>B</w:t>
      </w:r>
      <w:r w:rsidRPr="00302BC8">
        <w:t xml:space="preserve">ureau of </w:t>
      </w:r>
      <w:r>
        <w:t>S</w:t>
      </w:r>
      <w:r w:rsidRPr="00302BC8">
        <w:t>tatistics</w:t>
      </w:r>
      <w:r>
        <w:t xml:space="preserve"> (</w:t>
      </w:r>
      <w:r w:rsidRPr="00F82513">
        <w:t>ABS</w:t>
      </w:r>
      <w:r>
        <w:t>)</w:t>
      </w:r>
      <w:r w:rsidRPr="00E23377">
        <w:t xml:space="preserve"> Government Finance Statistics (GFS) and State budget data.</w:t>
      </w:r>
      <w:r w:rsidRPr="00E23377">
        <w:rPr>
          <w:rStyle w:val="FootnoteReference"/>
        </w:rPr>
        <w:footnoteReference w:id="17"/>
      </w:r>
      <w:r w:rsidRPr="00E23377">
        <w:t xml:space="preserve"> </w:t>
      </w:r>
    </w:p>
    <w:p w14:paraId="60129890" w14:textId="619F0F12" w:rsidR="007E365E" w:rsidRPr="00E23377" w:rsidRDefault="007E365E" w:rsidP="007E365E">
      <w:pPr>
        <w:pStyle w:val="CGCParaNumber"/>
      </w:pPr>
      <w:r w:rsidRPr="00E23377">
        <w:t xml:space="preserve">Data on State expenses, as reported to the NTC, are used to derive the component weights of the Roads category, and for the urban and rural roads investment assessments. The component weights are then applied to ABS GFS expenses. (The NTC data do not exactly align with GFS data.) </w:t>
      </w:r>
      <w:r w:rsidRPr="00E23377">
        <w:fldChar w:fldCharType="begin"/>
      </w:r>
      <w:r w:rsidRPr="00E23377">
        <w:instrText xml:space="preserve"> REF _Ref506813274 \h  \* MERGEFORMAT </w:instrText>
      </w:r>
      <w:r w:rsidRPr="00E23377">
        <w:fldChar w:fldCharType="separate"/>
      </w:r>
      <w:r w:rsidR="007F721A" w:rsidRPr="00E23377">
        <w:t xml:space="preserve">Table </w:t>
      </w:r>
      <w:r w:rsidR="007F721A">
        <w:rPr>
          <w:noProof/>
        </w:rPr>
        <w:t>20-6</w:t>
      </w:r>
      <w:r w:rsidRPr="00E23377">
        <w:fldChar w:fldCharType="end"/>
      </w:r>
      <w:r w:rsidRPr="00E23377">
        <w:t xml:space="preserve"> shows the NTC categories and the Australia-wide total reported expenditure for each category in 201</w:t>
      </w:r>
      <w:r>
        <w:t>8</w:t>
      </w:r>
      <w:r w:rsidRPr="00E23377">
        <w:t>-1</w:t>
      </w:r>
      <w:r>
        <w:t>9</w:t>
      </w:r>
      <w:r w:rsidRPr="00E23377">
        <w:t>.</w:t>
      </w:r>
    </w:p>
    <w:p w14:paraId="4473BFC7" w14:textId="2423832B" w:rsidR="007E365E" w:rsidRDefault="007E365E" w:rsidP="007E365E">
      <w:pPr>
        <w:pStyle w:val="Caption"/>
      </w:pPr>
      <w:bookmarkStart w:id="160" w:name="_Ref506813274"/>
      <w:r w:rsidRPr="00E23377">
        <w:lastRenderedPageBreak/>
        <w:t xml:space="preserve">Table </w:t>
      </w:r>
      <w:r>
        <w:t>20-</w:t>
      </w:r>
      <w:fldSimple w:instr=" SEQ Table \* ARABIC ">
        <w:r w:rsidR="007F721A">
          <w:rPr>
            <w:noProof/>
          </w:rPr>
          <w:t>6</w:t>
        </w:r>
      </w:fldSimple>
      <w:bookmarkEnd w:id="160"/>
      <w:r w:rsidRPr="00E23377">
        <w:tab/>
        <w:t>NTC State expenditure data, 201</w:t>
      </w:r>
      <w:r>
        <w:t>8</w:t>
      </w:r>
      <w:r w:rsidRPr="00E23377">
        <w:t>-1</w:t>
      </w:r>
      <w:r>
        <w:t>9</w:t>
      </w:r>
    </w:p>
    <w:tbl>
      <w:tblPr>
        <w:tblW w:w="8960" w:type="dxa"/>
        <w:tblCellMar>
          <w:left w:w="0" w:type="dxa"/>
          <w:right w:w="0" w:type="dxa"/>
        </w:tblCellMar>
        <w:tblLook w:val="04A0" w:firstRow="1" w:lastRow="0" w:firstColumn="1" w:lastColumn="0" w:noHBand="0" w:noVBand="1"/>
      </w:tblPr>
      <w:tblGrid>
        <w:gridCol w:w="6020"/>
        <w:gridCol w:w="740"/>
        <w:gridCol w:w="740"/>
        <w:gridCol w:w="740"/>
        <w:gridCol w:w="720"/>
      </w:tblGrid>
      <w:tr w:rsidR="007E365E" w:rsidRPr="00A14C37" w14:paraId="298C1F2D" w14:textId="77777777" w:rsidTr="007D1D77">
        <w:trPr>
          <w:trHeight w:val="375"/>
        </w:trPr>
        <w:tc>
          <w:tcPr>
            <w:tcW w:w="60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7910B9D" w14:textId="77777777" w:rsidR="007E365E" w:rsidRDefault="007E365E" w:rsidP="007D1D77">
            <w:pPr>
              <w:keepNext/>
              <w:keepLines/>
              <w:tabs>
                <w:tab w:val="clear" w:pos="567"/>
              </w:tabs>
              <w:spacing w:before="0" w:line="240" w:lineRule="auto"/>
              <w:rPr>
                <w:rFonts w:ascii="Open Sans SemiBold" w:hAnsi="Open Sans SemiBold" w:cs="Open Sans SemiBold"/>
                <w:b/>
                <w:color w:val="FFFFFF"/>
                <w:sz w:val="16"/>
                <w:szCs w:val="16"/>
              </w:rPr>
            </w:pPr>
            <w:r>
              <w:rPr>
                <w:rFonts w:ascii="Open Sans SemiBold" w:hAnsi="Open Sans SemiBold" w:cs="Open Sans SemiBold"/>
                <w:b/>
                <w:color w:val="FFFFFF"/>
                <w:sz w:val="16"/>
                <w:szCs w:val="16"/>
              </w:rPr>
              <w:t> </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0277431B"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Rural</w:t>
            </w:r>
          </w:p>
        </w:tc>
        <w:tc>
          <w:tcPr>
            <w:tcW w:w="74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45617B6"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Urban</w:t>
            </w:r>
          </w:p>
        </w:tc>
        <w:tc>
          <w:tcPr>
            <w:tcW w:w="74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5D85DBC"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Bridges</w:t>
            </w:r>
          </w:p>
        </w:tc>
        <w:tc>
          <w:tcPr>
            <w:tcW w:w="7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890E41E"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7E365E" w:rsidRPr="00A14C37" w14:paraId="73621AD1" w14:textId="77777777" w:rsidTr="007D1D77">
        <w:trPr>
          <w:trHeight w:val="259"/>
        </w:trPr>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7F94D7BD" w14:textId="77777777" w:rsidR="007E365E" w:rsidRDefault="007E365E" w:rsidP="007D1D77">
            <w:pPr>
              <w:keepNext/>
              <w:keepLines/>
              <w:spacing w:before="0" w:line="240" w:lineRule="auto"/>
              <w:rPr>
                <w:rFonts w:ascii="Open Sans SemiBold" w:hAnsi="Open Sans SemiBold" w:cs="Open Sans SemiBold"/>
                <w:sz w:val="22"/>
              </w:rPr>
            </w:pPr>
            <w:r>
              <w:rPr>
                <w:rFonts w:ascii="Open Sans SemiBold" w:hAnsi="Open Sans SemiBold" w:cs="Open Sans SemiBold"/>
                <w:sz w:val="22"/>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C255810"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FB00E98"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02C9A35"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A24DDE9"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r>
      <w:tr w:rsidR="007E365E" w:rsidRPr="00A14C37" w14:paraId="503BCF20"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5ABC8C7" w14:textId="77777777" w:rsidR="007E365E" w:rsidRDefault="007E365E" w:rsidP="007D1D77">
            <w:pPr>
              <w:keepNext/>
              <w:keepLines/>
              <w:spacing w:before="0" w:line="240" w:lineRule="auto"/>
              <w:rPr>
                <w:rFonts w:cs="Open Sans Light"/>
                <w:sz w:val="16"/>
                <w:szCs w:val="16"/>
              </w:rPr>
            </w:pPr>
            <w:r>
              <w:rPr>
                <w:rFonts w:cs="Open Sans Light"/>
                <w:sz w:val="16"/>
                <w:szCs w:val="16"/>
              </w:rPr>
              <w:t>A: Servicing and operating</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A422FB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2D6CE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534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1B6AEB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8592DB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934</w:t>
            </w:r>
          </w:p>
        </w:tc>
      </w:tr>
      <w:tr w:rsidR="007E365E" w:rsidRPr="00A14C37" w14:paraId="4E6919CC"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185CBF4" w14:textId="77777777" w:rsidR="007E365E" w:rsidRDefault="007E365E" w:rsidP="007D1D77">
            <w:pPr>
              <w:keepNext/>
              <w:keepLines/>
              <w:spacing w:before="0" w:line="240" w:lineRule="auto"/>
              <w:rPr>
                <w:rFonts w:cs="Open Sans Light"/>
                <w:sz w:val="16"/>
                <w:szCs w:val="16"/>
              </w:rPr>
            </w:pPr>
            <w:r>
              <w:rPr>
                <w:rFonts w:cs="Open Sans Light"/>
                <w:sz w:val="16"/>
                <w:szCs w:val="16"/>
              </w:rPr>
              <w:t>B: Road pavement and shoulder construction</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4EE148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C95499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341C0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256A3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r>
      <w:tr w:rsidR="007E365E" w:rsidRPr="00A14C37" w14:paraId="09F6F87A"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310F8226" w14:textId="77777777" w:rsidR="007E365E" w:rsidRDefault="007E365E" w:rsidP="007D1D77">
            <w:pPr>
              <w:keepNext/>
              <w:keepLines/>
              <w:spacing w:before="0" w:line="240" w:lineRule="auto"/>
              <w:ind w:firstLineChars="100" w:firstLine="160"/>
              <w:rPr>
                <w:rFonts w:cs="Open Sans Light"/>
                <w:sz w:val="16"/>
                <w:szCs w:val="16"/>
              </w:rPr>
            </w:pPr>
            <w:r>
              <w:rPr>
                <w:rFonts w:cs="Open Sans Light"/>
                <w:sz w:val="16"/>
                <w:szCs w:val="16"/>
              </w:rPr>
              <w:t>B1: Routine maintenance</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B00B9E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508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5E7D0E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176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469B9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4CBCFF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684</w:t>
            </w:r>
          </w:p>
        </w:tc>
      </w:tr>
      <w:tr w:rsidR="007E365E" w:rsidRPr="00A14C37" w14:paraId="0E0A64A0"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62A71272" w14:textId="77777777" w:rsidR="007E365E" w:rsidRDefault="007E365E" w:rsidP="007D1D77">
            <w:pPr>
              <w:keepNext/>
              <w:keepLines/>
              <w:spacing w:before="0" w:line="240" w:lineRule="auto"/>
              <w:ind w:firstLineChars="100" w:firstLine="160"/>
              <w:rPr>
                <w:rFonts w:cs="Open Sans Light"/>
                <w:sz w:val="16"/>
                <w:szCs w:val="16"/>
              </w:rPr>
            </w:pPr>
            <w:r>
              <w:rPr>
                <w:rFonts w:cs="Open Sans Light"/>
                <w:sz w:val="16"/>
                <w:szCs w:val="16"/>
              </w:rPr>
              <w:t>B2: Periodic surface maintenance</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7B8D1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493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4E1420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307</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0AE5AE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BE3679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800</w:t>
            </w:r>
          </w:p>
        </w:tc>
      </w:tr>
      <w:tr w:rsidR="007E365E" w:rsidRPr="00A14C37" w14:paraId="7E9ADF2E"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FC31455" w14:textId="00AB6191" w:rsidR="007E365E" w:rsidRDefault="007E365E" w:rsidP="007D1D77">
            <w:pPr>
              <w:keepNext/>
              <w:keepLines/>
              <w:spacing w:before="0" w:line="240" w:lineRule="auto"/>
              <w:rPr>
                <w:rFonts w:cs="Open Sans Light"/>
                <w:sz w:val="16"/>
                <w:szCs w:val="16"/>
              </w:rPr>
            </w:pPr>
            <w:r>
              <w:rPr>
                <w:rFonts w:cs="Open Sans Light"/>
                <w:sz w:val="16"/>
                <w:szCs w:val="16"/>
              </w:rPr>
              <w:t>C: Bridge maintenance/rehabilitation</w:t>
            </w:r>
            <w:r w:rsidR="00F615BF">
              <w:rPr>
                <w:rFonts w:cs="Open Sans Light"/>
                <w:sz w:val="16"/>
                <w:szCs w:val="16"/>
              </w:rPr>
              <w:t xml:space="preserve"> (a)</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EFE24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C8E97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0B0E64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320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7FE5A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320</w:t>
            </w:r>
          </w:p>
        </w:tc>
      </w:tr>
      <w:tr w:rsidR="007E365E" w:rsidRPr="00A14C37" w14:paraId="2FC39D4C"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70F6E7" w14:textId="77777777" w:rsidR="007E365E" w:rsidRDefault="007E365E" w:rsidP="007D1D77">
            <w:pPr>
              <w:keepNext/>
              <w:keepLines/>
              <w:spacing w:before="0" w:line="240" w:lineRule="auto"/>
              <w:rPr>
                <w:rFonts w:cs="Open Sans Light"/>
                <w:sz w:val="16"/>
                <w:szCs w:val="16"/>
              </w:rPr>
            </w:pPr>
            <w:r>
              <w:rPr>
                <w:rFonts w:cs="Open Sans Light"/>
                <w:sz w:val="16"/>
                <w:szCs w:val="16"/>
              </w:rPr>
              <w:t>D: Road rehabilitation</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BCB3E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616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4DFF9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312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B53A59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055CB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928</w:t>
            </w:r>
          </w:p>
        </w:tc>
      </w:tr>
      <w:tr w:rsidR="007E365E" w:rsidRPr="00A14C37" w14:paraId="1083D9F2"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762FF7" w14:textId="77777777" w:rsidR="007E365E" w:rsidRDefault="007E365E" w:rsidP="007D1D77">
            <w:pPr>
              <w:spacing w:before="0" w:line="240" w:lineRule="auto"/>
              <w:rPr>
                <w:rFonts w:cs="Open Sans Light"/>
                <w:sz w:val="16"/>
                <w:szCs w:val="16"/>
              </w:rPr>
            </w:pPr>
            <w:r>
              <w:rPr>
                <w:rFonts w:cs="Open Sans Light"/>
                <w:sz w:val="16"/>
                <w:szCs w:val="16"/>
              </w:rPr>
              <w:t>E: Low-cost safety/traffic</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1B2240" w14:textId="77777777" w:rsidR="007E365E" w:rsidRDefault="007E365E" w:rsidP="007D1D77">
            <w:pPr>
              <w:spacing w:before="0" w:line="240" w:lineRule="auto"/>
              <w:jc w:val="right"/>
              <w:rPr>
                <w:rFonts w:cs="Open Sans Light"/>
                <w:sz w:val="16"/>
                <w:szCs w:val="16"/>
              </w:rPr>
            </w:pPr>
            <w:r>
              <w:rPr>
                <w:rFonts w:cs="Open Sans Light"/>
                <w:sz w:val="16"/>
                <w:szCs w:val="16"/>
              </w:rPr>
              <w:t>645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FDAD1F" w14:textId="77777777" w:rsidR="007E365E" w:rsidRDefault="007E365E" w:rsidP="007D1D77">
            <w:pPr>
              <w:spacing w:before="0" w:line="240" w:lineRule="auto"/>
              <w:jc w:val="right"/>
              <w:rPr>
                <w:rFonts w:cs="Open Sans Light"/>
                <w:sz w:val="16"/>
                <w:szCs w:val="16"/>
              </w:rPr>
            </w:pPr>
            <w:r>
              <w:rPr>
                <w:rFonts w:cs="Open Sans Light"/>
                <w:sz w:val="16"/>
                <w:szCs w:val="16"/>
              </w:rPr>
              <w:t>1,135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CE736C2"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D2C88AA" w14:textId="77777777" w:rsidR="007E365E" w:rsidRDefault="007E365E" w:rsidP="007D1D77">
            <w:pPr>
              <w:spacing w:before="0" w:line="240" w:lineRule="auto"/>
              <w:jc w:val="right"/>
              <w:rPr>
                <w:rFonts w:cs="Open Sans Light"/>
                <w:sz w:val="16"/>
                <w:szCs w:val="16"/>
              </w:rPr>
            </w:pPr>
            <w:r>
              <w:rPr>
                <w:rFonts w:cs="Open Sans Light"/>
                <w:sz w:val="16"/>
                <w:szCs w:val="16"/>
              </w:rPr>
              <w:t>1,780</w:t>
            </w:r>
          </w:p>
        </w:tc>
      </w:tr>
      <w:tr w:rsidR="007E365E" w:rsidRPr="00A14C37" w14:paraId="59B412A2"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4CD9E1" w14:textId="77777777" w:rsidR="007E365E" w:rsidRDefault="007E365E" w:rsidP="007D1D77">
            <w:pPr>
              <w:spacing w:before="0" w:line="240" w:lineRule="auto"/>
              <w:rPr>
                <w:rFonts w:cs="Open Sans Light"/>
                <w:sz w:val="16"/>
                <w:szCs w:val="16"/>
              </w:rPr>
            </w:pPr>
            <w:r>
              <w:rPr>
                <w:rFonts w:cs="Open Sans Light"/>
                <w:sz w:val="16"/>
                <w:szCs w:val="16"/>
              </w:rPr>
              <w:t>F: Asset extension/improvements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4F52B8" w14:textId="77777777" w:rsidR="007E365E" w:rsidRDefault="007E365E" w:rsidP="007D1D77">
            <w:pPr>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254FB6" w14:textId="77777777" w:rsidR="007E365E" w:rsidRDefault="007E365E" w:rsidP="007D1D77">
            <w:pPr>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06FBE21" w14:textId="77777777" w:rsidR="007E365E" w:rsidRDefault="007E365E" w:rsidP="007D1D77">
            <w:pPr>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DDB6A1" w14:textId="77777777" w:rsidR="007E365E" w:rsidRDefault="007E365E" w:rsidP="007D1D77">
            <w:pPr>
              <w:spacing w:before="0" w:line="240" w:lineRule="auto"/>
              <w:jc w:val="right"/>
              <w:rPr>
                <w:rFonts w:cs="Open Sans Light"/>
                <w:sz w:val="16"/>
                <w:szCs w:val="16"/>
              </w:rPr>
            </w:pPr>
            <w:r>
              <w:rPr>
                <w:rFonts w:cs="Open Sans Light"/>
                <w:sz w:val="16"/>
                <w:szCs w:val="16"/>
              </w:rPr>
              <w:t> </w:t>
            </w:r>
          </w:p>
        </w:tc>
      </w:tr>
      <w:tr w:rsidR="007E365E" w:rsidRPr="00A14C37" w14:paraId="4EF4ECFD"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6C3BAA04" w14:textId="77777777" w:rsidR="007E365E" w:rsidRDefault="007E365E" w:rsidP="00CF32B5">
            <w:pPr>
              <w:spacing w:before="0" w:line="240" w:lineRule="auto"/>
              <w:rPr>
                <w:rFonts w:cs="Open Sans Light"/>
                <w:sz w:val="16"/>
                <w:szCs w:val="16"/>
              </w:rPr>
            </w:pPr>
            <w:r>
              <w:rPr>
                <w:rFonts w:cs="Open Sans Light"/>
                <w:sz w:val="16"/>
                <w:szCs w:val="16"/>
              </w:rPr>
              <w:t>F1: Pavement improvements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7F63B23" w14:textId="77777777" w:rsidR="007E365E" w:rsidRDefault="007E365E" w:rsidP="007D1D77">
            <w:pPr>
              <w:spacing w:before="0" w:line="240" w:lineRule="auto"/>
              <w:jc w:val="right"/>
              <w:rPr>
                <w:rFonts w:cs="Open Sans Light"/>
                <w:sz w:val="16"/>
                <w:szCs w:val="16"/>
              </w:rPr>
            </w:pPr>
            <w:r>
              <w:rPr>
                <w:rFonts w:cs="Open Sans Light"/>
                <w:sz w:val="16"/>
                <w:szCs w:val="16"/>
              </w:rPr>
              <w:t>1,848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C4785E8" w14:textId="77777777" w:rsidR="007E365E" w:rsidRDefault="007E365E" w:rsidP="007D1D77">
            <w:pPr>
              <w:spacing w:before="0" w:line="240" w:lineRule="auto"/>
              <w:jc w:val="right"/>
              <w:rPr>
                <w:rFonts w:cs="Open Sans Light"/>
                <w:sz w:val="16"/>
                <w:szCs w:val="16"/>
              </w:rPr>
            </w:pPr>
            <w:r>
              <w:rPr>
                <w:rFonts w:cs="Open Sans Light"/>
                <w:sz w:val="16"/>
                <w:szCs w:val="16"/>
              </w:rPr>
              <w:t>1,518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EE8E71A"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7F6B7C5" w14:textId="77777777" w:rsidR="007E365E" w:rsidRDefault="007E365E" w:rsidP="007D1D77">
            <w:pPr>
              <w:spacing w:before="0" w:line="240" w:lineRule="auto"/>
              <w:jc w:val="right"/>
              <w:rPr>
                <w:rFonts w:cs="Open Sans Light"/>
                <w:sz w:val="16"/>
                <w:szCs w:val="16"/>
              </w:rPr>
            </w:pPr>
            <w:r>
              <w:rPr>
                <w:rFonts w:cs="Open Sans Light"/>
                <w:sz w:val="16"/>
                <w:szCs w:val="16"/>
              </w:rPr>
              <w:t>3,366</w:t>
            </w:r>
          </w:p>
        </w:tc>
      </w:tr>
      <w:tr w:rsidR="007E365E" w:rsidRPr="00A14C37" w14:paraId="2FB9459D"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25347975" w14:textId="4C6FF4D9" w:rsidR="007E365E" w:rsidRDefault="007E365E" w:rsidP="00CF32B5">
            <w:pPr>
              <w:spacing w:before="0" w:line="240" w:lineRule="auto"/>
              <w:rPr>
                <w:rFonts w:cs="Open Sans Light"/>
                <w:sz w:val="16"/>
                <w:szCs w:val="16"/>
              </w:rPr>
            </w:pPr>
            <w:r>
              <w:rPr>
                <w:rFonts w:cs="Open Sans Light"/>
                <w:sz w:val="16"/>
                <w:szCs w:val="16"/>
              </w:rPr>
              <w:t>F2: Bridge improvements</w:t>
            </w:r>
            <w:r w:rsidR="00F615BF">
              <w:rPr>
                <w:rFonts w:cs="Open Sans Light"/>
                <w:sz w:val="16"/>
                <w:szCs w:val="16"/>
              </w:rPr>
              <w:t xml:space="preserve"> (a)</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9244548" w14:textId="77777777" w:rsidR="007E365E" w:rsidRDefault="007E365E" w:rsidP="007D1D77">
            <w:pPr>
              <w:spacing w:before="0" w:line="240" w:lineRule="auto"/>
              <w:jc w:val="right"/>
              <w:rPr>
                <w:rFonts w:cs="Open Sans Light"/>
                <w:sz w:val="16"/>
                <w:szCs w:val="16"/>
              </w:rPr>
            </w:pPr>
            <w:r>
              <w:rPr>
                <w:rFonts w:cs="Open Sans Light"/>
                <w:sz w:val="16"/>
                <w:szCs w:val="16"/>
              </w:rPr>
              <w:t>391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F82DBCF" w14:textId="77777777" w:rsidR="007E365E" w:rsidRDefault="007E365E" w:rsidP="007D1D77">
            <w:pPr>
              <w:spacing w:before="0" w:line="240" w:lineRule="auto"/>
              <w:jc w:val="right"/>
              <w:rPr>
                <w:rFonts w:cs="Open Sans Light"/>
                <w:sz w:val="16"/>
                <w:szCs w:val="16"/>
              </w:rPr>
            </w:pPr>
            <w:r>
              <w:rPr>
                <w:rFonts w:cs="Open Sans Light"/>
                <w:sz w:val="16"/>
                <w:szCs w:val="16"/>
              </w:rPr>
              <w:t>652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A376951"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AD02F74" w14:textId="77777777" w:rsidR="007E365E" w:rsidRDefault="007E365E" w:rsidP="007D1D77">
            <w:pPr>
              <w:spacing w:before="0" w:line="240" w:lineRule="auto"/>
              <w:jc w:val="right"/>
              <w:rPr>
                <w:rFonts w:cs="Open Sans Light"/>
                <w:sz w:val="16"/>
                <w:szCs w:val="16"/>
              </w:rPr>
            </w:pPr>
            <w:r>
              <w:rPr>
                <w:rFonts w:cs="Open Sans Light"/>
                <w:sz w:val="16"/>
                <w:szCs w:val="16"/>
              </w:rPr>
              <w:t>1,043</w:t>
            </w:r>
          </w:p>
        </w:tc>
      </w:tr>
      <w:tr w:rsidR="007E365E" w:rsidRPr="00A14C37" w14:paraId="585CDB73"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1B07505" w14:textId="77777777" w:rsidR="007E365E" w:rsidRDefault="007E365E" w:rsidP="00CF32B5">
            <w:pPr>
              <w:spacing w:before="0" w:line="240" w:lineRule="auto"/>
              <w:ind w:left="113"/>
              <w:rPr>
                <w:rFonts w:cs="Open Sans Light"/>
                <w:sz w:val="16"/>
                <w:szCs w:val="16"/>
              </w:rPr>
            </w:pPr>
            <w:r>
              <w:rPr>
                <w:rFonts w:cs="Open Sans Light"/>
                <w:sz w:val="16"/>
                <w:szCs w:val="16"/>
              </w:rPr>
              <w:t>F3: Land acquisition, earthworks, other extensions/improvement expenditure</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862A9E" w14:textId="77777777" w:rsidR="007E365E" w:rsidRDefault="007E365E" w:rsidP="007D1D77">
            <w:pPr>
              <w:spacing w:before="0" w:line="240" w:lineRule="auto"/>
              <w:jc w:val="right"/>
              <w:rPr>
                <w:rFonts w:cs="Open Sans Light"/>
                <w:sz w:val="16"/>
                <w:szCs w:val="16"/>
              </w:rPr>
            </w:pPr>
            <w:r>
              <w:rPr>
                <w:rFonts w:cs="Open Sans Light"/>
                <w:sz w:val="16"/>
                <w:szCs w:val="16"/>
              </w:rPr>
              <w:t>1,204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B1DB528" w14:textId="77777777" w:rsidR="007E365E" w:rsidRDefault="007E365E" w:rsidP="007D1D77">
            <w:pPr>
              <w:spacing w:before="0" w:line="240" w:lineRule="auto"/>
              <w:jc w:val="right"/>
              <w:rPr>
                <w:rFonts w:cs="Open Sans Light"/>
                <w:sz w:val="16"/>
                <w:szCs w:val="16"/>
              </w:rPr>
            </w:pPr>
            <w:r>
              <w:rPr>
                <w:rFonts w:cs="Open Sans Light"/>
                <w:sz w:val="16"/>
                <w:szCs w:val="16"/>
              </w:rPr>
              <w:t>3,087</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DBB9D7E"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95BC12" w14:textId="77777777" w:rsidR="007E365E" w:rsidRDefault="007E365E" w:rsidP="007D1D77">
            <w:pPr>
              <w:spacing w:before="0" w:line="240" w:lineRule="auto"/>
              <w:jc w:val="right"/>
              <w:rPr>
                <w:rFonts w:cs="Open Sans Light"/>
                <w:sz w:val="16"/>
                <w:szCs w:val="16"/>
              </w:rPr>
            </w:pPr>
            <w:r>
              <w:rPr>
                <w:rFonts w:cs="Open Sans Light"/>
                <w:sz w:val="16"/>
                <w:szCs w:val="16"/>
              </w:rPr>
              <w:t>4,290</w:t>
            </w:r>
          </w:p>
        </w:tc>
      </w:tr>
      <w:tr w:rsidR="007E365E" w:rsidRPr="00A14C37" w14:paraId="30036075"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5BAD9B" w14:textId="77777777" w:rsidR="007E365E" w:rsidRDefault="007E365E" w:rsidP="007D1D77">
            <w:pPr>
              <w:spacing w:before="0" w:line="240" w:lineRule="auto"/>
              <w:rPr>
                <w:rFonts w:cs="Open Sans Light"/>
                <w:sz w:val="16"/>
                <w:szCs w:val="16"/>
              </w:rPr>
            </w:pPr>
            <w:r>
              <w:rPr>
                <w:rFonts w:cs="Open Sans Light"/>
                <w:sz w:val="16"/>
                <w:szCs w:val="16"/>
              </w:rPr>
              <w:t>G: Other miscellaneous activities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20038D" w14:textId="77777777" w:rsidR="007E365E" w:rsidRDefault="007E365E" w:rsidP="007D1D77">
            <w:pPr>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43515F6" w14:textId="77777777" w:rsidR="007E365E" w:rsidRDefault="007E365E" w:rsidP="007D1D77">
            <w:pPr>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3983AC3" w14:textId="77777777" w:rsidR="007E365E" w:rsidRDefault="007E365E" w:rsidP="007D1D77">
            <w:pPr>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2130DC1" w14:textId="77777777" w:rsidR="007E365E" w:rsidRDefault="007E365E" w:rsidP="007D1D77">
            <w:pPr>
              <w:spacing w:before="0" w:line="240" w:lineRule="auto"/>
              <w:jc w:val="right"/>
              <w:rPr>
                <w:rFonts w:cs="Open Sans Light"/>
                <w:sz w:val="16"/>
                <w:szCs w:val="16"/>
              </w:rPr>
            </w:pPr>
            <w:r>
              <w:rPr>
                <w:rFonts w:cs="Open Sans Light"/>
                <w:sz w:val="16"/>
                <w:szCs w:val="16"/>
              </w:rPr>
              <w:t> </w:t>
            </w:r>
          </w:p>
        </w:tc>
      </w:tr>
      <w:tr w:rsidR="007E365E" w:rsidRPr="00A14C37" w14:paraId="5CF9757D"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0C983CF4" w14:textId="77777777" w:rsidR="007E365E" w:rsidRDefault="007E365E" w:rsidP="00CF32B5">
            <w:pPr>
              <w:spacing w:before="0" w:line="240" w:lineRule="auto"/>
              <w:rPr>
                <w:rFonts w:cs="Open Sans Light"/>
                <w:sz w:val="16"/>
                <w:szCs w:val="16"/>
              </w:rPr>
            </w:pPr>
            <w:r>
              <w:rPr>
                <w:rFonts w:cs="Open Sans Light"/>
                <w:sz w:val="16"/>
                <w:szCs w:val="16"/>
              </w:rPr>
              <w:t>G1: Corporate services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7671BF4"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A84C23"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87DB528"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99B7C38" w14:textId="77777777" w:rsidR="007E365E" w:rsidRDefault="007E365E" w:rsidP="007D1D77">
            <w:pPr>
              <w:spacing w:before="0" w:line="240" w:lineRule="auto"/>
              <w:jc w:val="right"/>
              <w:rPr>
                <w:rFonts w:cs="Open Sans Light"/>
                <w:sz w:val="16"/>
                <w:szCs w:val="16"/>
              </w:rPr>
            </w:pPr>
            <w:r>
              <w:rPr>
                <w:rFonts w:cs="Open Sans Light"/>
                <w:sz w:val="16"/>
                <w:szCs w:val="16"/>
              </w:rPr>
              <w:t>768</w:t>
            </w:r>
          </w:p>
        </w:tc>
      </w:tr>
      <w:tr w:rsidR="007E365E" w:rsidRPr="00A14C37" w14:paraId="781C9304"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691D3412" w14:textId="77777777" w:rsidR="007E365E" w:rsidRDefault="007E365E" w:rsidP="00CF32B5">
            <w:pPr>
              <w:spacing w:before="0" w:line="240" w:lineRule="auto"/>
              <w:rPr>
                <w:rFonts w:cs="Open Sans Light"/>
                <w:sz w:val="16"/>
                <w:szCs w:val="16"/>
              </w:rPr>
            </w:pPr>
            <w:r>
              <w:rPr>
                <w:rFonts w:cs="Open Sans Light"/>
                <w:sz w:val="16"/>
                <w:szCs w:val="16"/>
              </w:rPr>
              <w:t>G2: Enforcement of heavy vehicle regulatory costs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0637374" w14:textId="77777777" w:rsidR="007E365E" w:rsidRDefault="007E365E" w:rsidP="007D1D77">
            <w:pPr>
              <w:spacing w:before="0" w:line="240" w:lineRule="auto"/>
              <w:jc w:val="right"/>
              <w:rPr>
                <w:rFonts w:cs="Open Sans Light"/>
                <w:sz w:val="16"/>
                <w:szCs w:val="16"/>
              </w:rPr>
            </w:pPr>
            <w:r>
              <w:rPr>
                <w:rFonts w:cs="Open Sans Light"/>
                <w:sz w:val="16"/>
                <w:szCs w:val="16"/>
              </w:rPr>
              <w:t>78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250E59C" w14:textId="77777777" w:rsidR="007E365E" w:rsidRDefault="007E365E" w:rsidP="007D1D77">
            <w:pPr>
              <w:spacing w:before="0" w:line="240" w:lineRule="auto"/>
              <w:jc w:val="right"/>
              <w:rPr>
                <w:rFonts w:cs="Open Sans Light"/>
                <w:sz w:val="16"/>
                <w:szCs w:val="16"/>
              </w:rPr>
            </w:pPr>
            <w:r>
              <w:rPr>
                <w:rFonts w:cs="Open Sans Light"/>
                <w:sz w:val="16"/>
                <w:szCs w:val="16"/>
              </w:rPr>
              <w:t>73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4855B8E"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B160DCF" w14:textId="77777777" w:rsidR="007E365E" w:rsidRDefault="007E365E" w:rsidP="007D1D77">
            <w:pPr>
              <w:spacing w:before="0" w:line="240" w:lineRule="auto"/>
              <w:jc w:val="right"/>
              <w:rPr>
                <w:rFonts w:cs="Open Sans Light"/>
                <w:sz w:val="16"/>
                <w:szCs w:val="16"/>
              </w:rPr>
            </w:pPr>
            <w:r>
              <w:rPr>
                <w:rFonts w:cs="Open Sans Light"/>
                <w:sz w:val="16"/>
                <w:szCs w:val="16"/>
              </w:rPr>
              <w:t>151</w:t>
            </w:r>
          </w:p>
        </w:tc>
      </w:tr>
      <w:tr w:rsidR="007E365E" w:rsidRPr="00A14C37" w14:paraId="6ADC9E2F"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7B40F1F7" w14:textId="77777777" w:rsidR="007E365E" w:rsidRDefault="007E365E" w:rsidP="00CF32B5">
            <w:pPr>
              <w:spacing w:before="0" w:line="240" w:lineRule="auto"/>
              <w:rPr>
                <w:rFonts w:cs="Open Sans Light"/>
                <w:sz w:val="16"/>
                <w:szCs w:val="16"/>
              </w:rPr>
            </w:pPr>
            <w:r>
              <w:rPr>
                <w:rFonts w:cs="Open Sans Light"/>
                <w:sz w:val="16"/>
                <w:szCs w:val="16"/>
              </w:rPr>
              <w:t>G3: Vehicle registration</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58F9821"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0CBE627"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4960E6"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F1745C6" w14:textId="77777777" w:rsidR="007E365E" w:rsidRDefault="007E365E" w:rsidP="007D1D77">
            <w:pPr>
              <w:spacing w:before="0" w:line="240" w:lineRule="auto"/>
              <w:jc w:val="right"/>
              <w:rPr>
                <w:rFonts w:cs="Open Sans Light"/>
                <w:sz w:val="16"/>
                <w:szCs w:val="16"/>
              </w:rPr>
            </w:pPr>
            <w:r>
              <w:rPr>
                <w:rFonts w:cs="Open Sans Light"/>
                <w:sz w:val="16"/>
                <w:szCs w:val="16"/>
              </w:rPr>
              <w:t>324</w:t>
            </w:r>
          </w:p>
        </w:tc>
      </w:tr>
      <w:tr w:rsidR="007E365E" w:rsidRPr="00A14C37" w14:paraId="56AA7DF5"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2CAD6896" w14:textId="77777777" w:rsidR="007E365E" w:rsidRDefault="007E365E" w:rsidP="00CF32B5">
            <w:pPr>
              <w:spacing w:before="0" w:line="240" w:lineRule="auto"/>
              <w:rPr>
                <w:rFonts w:cs="Open Sans Light"/>
                <w:sz w:val="16"/>
                <w:szCs w:val="16"/>
              </w:rPr>
            </w:pPr>
            <w:r>
              <w:rPr>
                <w:rFonts w:cs="Open Sans Light"/>
                <w:sz w:val="16"/>
                <w:szCs w:val="16"/>
              </w:rPr>
              <w:t>G4: Driver licensing</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392118B"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5B7CD2C"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746FC5B"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4C1410" w14:textId="77777777" w:rsidR="007E365E" w:rsidRDefault="007E365E" w:rsidP="007D1D77">
            <w:pPr>
              <w:spacing w:before="0" w:line="240" w:lineRule="auto"/>
              <w:jc w:val="right"/>
              <w:rPr>
                <w:rFonts w:cs="Open Sans Light"/>
                <w:sz w:val="16"/>
                <w:szCs w:val="16"/>
              </w:rPr>
            </w:pPr>
            <w:r>
              <w:rPr>
                <w:rFonts w:cs="Open Sans Light"/>
                <w:sz w:val="16"/>
                <w:szCs w:val="16"/>
              </w:rPr>
              <w:t>183</w:t>
            </w:r>
          </w:p>
        </w:tc>
      </w:tr>
      <w:tr w:rsidR="007E365E" w:rsidRPr="00A14C37" w14:paraId="1D0B87F8"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65AEF92B" w14:textId="77777777" w:rsidR="007E365E" w:rsidRDefault="007E365E" w:rsidP="00CF32B5">
            <w:pPr>
              <w:spacing w:before="0" w:line="240" w:lineRule="auto"/>
              <w:rPr>
                <w:rFonts w:cs="Open Sans Light"/>
                <w:sz w:val="16"/>
                <w:szCs w:val="16"/>
              </w:rPr>
            </w:pPr>
            <w:r>
              <w:rPr>
                <w:rFonts w:cs="Open Sans Light"/>
                <w:sz w:val="16"/>
                <w:szCs w:val="16"/>
              </w:rPr>
              <w:t>G5: Loan servicing</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499C64F"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A597674"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5220AFE"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60C9DB9" w14:textId="77777777" w:rsidR="007E365E" w:rsidRDefault="007E365E" w:rsidP="007D1D77">
            <w:pPr>
              <w:spacing w:before="0" w:line="240" w:lineRule="auto"/>
              <w:jc w:val="right"/>
              <w:rPr>
                <w:rFonts w:cs="Open Sans Light"/>
                <w:sz w:val="16"/>
                <w:szCs w:val="16"/>
              </w:rPr>
            </w:pPr>
            <w:r>
              <w:rPr>
                <w:rFonts w:cs="Open Sans Light"/>
                <w:sz w:val="16"/>
                <w:szCs w:val="16"/>
              </w:rPr>
              <w:t>90</w:t>
            </w:r>
          </w:p>
        </w:tc>
      </w:tr>
      <w:tr w:rsidR="007E365E" w:rsidRPr="00A14C37" w14:paraId="3941DC06"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E6BECB0" w14:textId="77777777" w:rsidR="007E365E" w:rsidRDefault="007E365E" w:rsidP="007D1D77">
            <w:pPr>
              <w:spacing w:before="0" w:line="240" w:lineRule="auto"/>
              <w:rPr>
                <w:rFonts w:cs="Open Sans Light"/>
                <w:sz w:val="16"/>
                <w:szCs w:val="16"/>
              </w:rPr>
            </w:pPr>
            <w:r>
              <w:rPr>
                <w:rFonts w:cs="Open Sans Light"/>
                <w:sz w:val="16"/>
                <w:szCs w:val="16"/>
              </w:rPr>
              <w:t>H: Other road-related payments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641398" w14:textId="77777777" w:rsidR="007E365E" w:rsidRDefault="007E365E" w:rsidP="007D1D77">
            <w:pPr>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50B17F" w14:textId="77777777" w:rsidR="007E365E" w:rsidRDefault="007E365E" w:rsidP="007D1D77">
            <w:pPr>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B6119B" w14:textId="77777777" w:rsidR="007E365E" w:rsidRDefault="007E365E" w:rsidP="007D1D77">
            <w:pPr>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8CE3131" w14:textId="77777777" w:rsidR="007E365E" w:rsidRDefault="007E365E" w:rsidP="007D1D77">
            <w:pPr>
              <w:spacing w:before="0" w:line="240" w:lineRule="auto"/>
              <w:jc w:val="right"/>
              <w:rPr>
                <w:rFonts w:cs="Open Sans Light"/>
                <w:sz w:val="16"/>
                <w:szCs w:val="16"/>
              </w:rPr>
            </w:pPr>
            <w:r>
              <w:rPr>
                <w:rFonts w:cs="Open Sans Light"/>
                <w:sz w:val="16"/>
                <w:szCs w:val="16"/>
              </w:rPr>
              <w:t> </w:t>
            </w:r>
          </w:p>
        </w:tc>
      </w:tr>
      <w:tr w:rsidR="007E365E" w:rsidRPr="00A14C37" w14:paraId="3DEB5EE7"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2EA2A700" w14:textId="729CE834" w:rsidR="007E365E" w:rsidRDefault="007E365E" w:rsidP="00CF32B5">
            <w:pPr>
              <w:spacing w:before="0" w:line="240" w:lineRule="auto"/>
              <w:rPr>
                <w:rFonts w:cs="Open Sans Light"/>
                <w:sz w:val="16"/>
                <w:szCs w:val="16"/>
              </w:rPr>
            </w:pPr>
            <w:r>
              <w:rPr>
                <w:rFonts w:cs="Open Sans Light"/>
                <w:sz w:val="16"/>
                <w:szCs w:val="16"/>
              </w:rPr>
              <w:t>H1: Financial assistance to councils for work on council managed arterials (</w:t>
            </w:r>
            <w:r w:rsidR="001252EA">
              <w:rPr>
                <w:rFonts w:cs="Open Sans Light"/>
                <w:sz w:val="16"/>
                <w:szCs w:val="16"/>
              </w:rPr>
              <w:t>b</w:t>
            </w: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0ED7628"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0DA9721"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E4821C"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560640E" w14:textId="77777777" w:rsidR="007E365E" w:rsidRDefault="007E365E" w:rsidP="007D1D77">
            <w:pPr>
              <w:spacing w:before="0" w:line="240" w:lineRule="auto"/>
              <w:jc w:val="right"/>
              <w:rPr>
                <w:rFonts w:cs="Open Sans Light"/>
                <w:sz w:val="16"/>
                <w:szCs w:val="16"/>
              </w:rPr>
            </w:pPr>
            <w:r>
              <w:rPr>
                <w:rFonts w:cs="Open Sans Light"/>
                <w:sz w:val="16"/>
                <w:szCs w:val="16"/>
              </w:rPr>
              <w:t>453</w:t>
            </w:r>
          </w:p>
        </w:tc>
      </w:tr>
      <w:tr w:rsidR="007E365E" w:rsidRPr="00A14C37" w14:paraId="707EB6D0"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09A49A64" w14:textId="72182A09" w:rsidR="007E365E" w:rsidRDefault="007E365E" w:rsidP="00CF32B5">
            <w:pPr>
              <w:spacing w:before="0" w:line="240" w:lineRule="auto"/>
              <w:rPr>
                <w:rFonts w:cs="Open Sans Light"/>
                <w:sz w:val="16"/>
                <w:szCs w:val="16"/>
              </w:rPr>
            </w:pPr>
            <w:r>
              <w:rPr>
                <w:rFonts w:cs="Open Sans Light"/>
                <w:sz w:val="16"/>
                <w:szCs w:val="16"/>
              </w:rPr>
              <w:t>H2: Payments to councils for contract work on State managed roads (</w:t>
            </w:r>
            <w:r w:rsidR="001252EA">
              <w:rPr>
                <w:rFonts w:cs="Open Sans Light"/>
                <w:sz w:val="16"/>
                <w:szCs w:val="16"/>
              </w:rPr>
              <w:t>b</w:t>
            </w: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AC392F9"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BEA071E"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C1FC744"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2C4C79" w14:textId="77777777" w:rsidR="007E365E" w:rsidRDefault="007E365E" w:rsidP="007D1D77">
            <w:pPr>
              <w:spacing w:before="0" w:line="240" w:lineRule="auto"/>
              <w:jc w:val="right"/>
              <w:rPr>
                <w:rFonts w:cs="Open Sans Light"/>
                <w:sz w:val="16"/>
                <w:szCs w:val="16"/>
              </w:rPr>
            </w:pPr>
            <w:r>
              <w:rPr>
                <w:rFonts w:cs="Open Sans Light"/>
                <w:sz w:val="16"/>
                <w:szCs w:val="16"/>
              </w:rPr>
              <w:t>458</w:t>
            </w:r>
          </w:p>
        </w:tc>
      </w:tr>
      <w:tr w:rsidR="007E365E" w:rsidRPr="00A14C37" w14:paraId="7C133AFB"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4838493D" w14:textId="77777777" w:rsidR="007E365E" w:rsidRDefault="007E365E" w:rsidP="00CF32B5">
            <w:pPr>
              <w:spacing w:before="0" w:line="240" w:lineRule="auto"/>
              <w:rPr>
                <w:rFonts w:cs="Open Sans Light"/>
                <w:sz w:val="16"/>
                <w:szCs w:val="16"/>
              </w:rPr>
            </w:pPr>
            <w:r>
              <w:rPr>
                <w:rFonts w:cs="Open Sans Light"/>
                <w:sz w:val="16"/>
                <w:szCs w:val="16"/>
              </w:rPr>
              <w:t>H3: Spending on local access roads in unincorporated areas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25E96C8"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1CB4687"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E5D9B03"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108036" w14:textId="77777777" w:rsidR="007E365E" w:rsidRDefault="007E365E" w:rsidP="007D1D77">
            <w:pPr>
              <w:spacing w:before="0" w:line="240" w:lineRule="auto"/>
              <w:jc w:val="right"/>
              <w:rPr>
                <w:rFonts w:cs="Open Sans Light"/>
                <w:sz w:val="16"/>
                <w:szCs w:val="16"/>
              </w:rPr>
            </w:pPr>
            <w:r>
              <w:rPr>
                <w:rFonts w:cs="Open Sans Light"/>
                <w:sz w:val="16"/>
                <w:szCs w:val="16"/>
              </w:rPr>
              <w:t>10</w:t>
            </w:r>
          </w:p>
        </w:tc>
      </w:tr>
      <w:tr w:rsidR="007E365E" w:rsidRPr="00A14C37" w14:paraId="426453C0"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08CAA533" w14:textId="77777777" w:rsidR="007E365E" w:rsidRDefault="007E365E" w:rsidP="00CF32B5">
            <w:pPr>
              <w:spacing w:before="0" w:line="240" w:lineRule="auto"/>
              <w:rPr>
                <w:rFonts w:cs="Open Sans Light"/>
                <w:sz w:val="16"/>
                <w:szCs w:val="16"/>
              </w:rPr>
            </w:pPr>
            <w:r>
              <w:rPr>
                <w:rFonts w:cs="Open Sans Light"/>
                <w:sz w:val="16"/>
                <w:szCs w:val="16"/>
              </w:rPr>
              <w:t>H4: Direct spending on council managed local access roads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1304C4C"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4EBF759"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B7CCED9"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18398B" w14:textId="77777777" w:rsidR="007E365E" w:rsidRDefault="007E365E" w:rsidP="007D1D77">
            <w:pPr>
              <w:spacing w:before="0" w:line="240" w:lineRule="auto"/>
              <w:jc w:val="right"/>
              <w:rPr>
                <w:rFonts w:cs="Open Sans Light"/>
                <w:sz w:val="16"/>
                <w:szCs w:val="16"/>
              </w:rPr>
            </w:pPr>
            <w:r>
              <w:rPr>
                <w:rFonts w:cs="Open Sans Light"/>
                <w:sz w:val="16"/>
                <w:szCs w:val="16"/>
              </w:rPr>
              <w:t>317</w:t>
            </w:r>
          </w:p>
        </w:tc>
      </w:tr>
      <w:tr w:rsidR="007E365E" w:rsidRPr="00A14C37" w14:paraId="5B287BAA"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1DEDC6D1" w14:textId="77777777" w:rsidR="007E365E" w:rsidRDefault="007E365E" w:rsidP="00CF32B5">
            <w:pPr>
              <w:spacing w:before="0" w:line="240" w:lineRule="auto"/>
              <w:rPr>
                <w:rFonts w:cs="Open Sans Light"/>
                <w:sz w:val="16"/>
                <w:szCs w:val="16"/>
              </w:rPr>
            </w:pPr>
            <w:r>
              <w:rPr>
                <w:rFonts w:cs="Open Sans Light"/>
                <w:sz w:val="16"/>
                <w:szCs w:val="16"/>
              </w:rPr>
              <w:t>H5: Any other direct State spending on local access roads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5F10024"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9F321B"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520528" w14:textId="77777777" w:rsidR="007E365E" w:rsidRDefault="007E365E" w:rsidP="007D1D77">
            <w:pPr>
              <w:spacing w:before="0" w:line="240" w:lineRule="auto"/>
              <w:jc w:val="right"/>
              <w:rPr>
                <w:rFonts w:cs="Open Sans Light"/>
                <w:sz w:val="16"/>
                <w:szCs w:val="16"/>
              </w:rPr>
            </w:pPr>
            <w:r>
              <w:rPr>
                <w:rFonts w:cs="Open Sans Light"/>
                <w:sz w:val="16"/>
                <w:szCs w:val="16"/>
              </w:rPr>
              <w:t>-</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49CB716" w14:textId="77777777" w:rsidR="007E365E" w:rsidRDefault="007E365E" w:rsidP="007D1D77">
            <w:pPr>
              <w:spacing w:before="0" w:line="240" w:lineRule="auto"/>
              <w:jc w:val="right"/>
              <w:rPr>
                <w:rFonts w:cs="Open Sans Light"/>
                <w:sz w:val="16"/>
                <w:szCs w:val="16"/>
              </w:rPr>
            </w:pPr>
            <w:r>
              <w:rPr>
                <w:rFonts w:cs="Open Sans Light"/>
                <w:sz w:val="16"/>
                <w:szCs w:val="16"/>
              </w:rPr>
              <w:t>104</w:t>
            </w:r>
          </w:p>
        </w:tc>
      </w:tr>
      <w:tr w:rsidR="007E365E" w:rsidRPr="00A14C37" w14:paraId="67EC976D" w14:textId="77777777" w:rsidTr="007D1D77">
        <w:trPr>
          <w:trHeight w:val="315"/>
        </w:trPr>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B1D1D32" w14:textId="77777777" w:rsidR="007E365E" w:rsidRDefault="007E365E" w:rsidP="007D1D77">
            <w:pPr>
              <w:spacing w:before="0" w:line="240" w:lineRule="auto"/>
              <w:rPr>
                <w:rFonts w:ascii="Open Sans SemiBold" w:hAnsi="Open Sans SemiBold" w:cs="Open Sans SemiBold"/>
                <w:sz w:val="16"/>
                <w:szCs w:val="16"/>
              </w:rPr>
            </w:pPr>
            <w:r>
              <w:rPr>
                <w:rFonts w:ascii="Open Sans SemiBold" w:hAnsi="Open Sans SemiBold" w:cs="Open Sans SemiBold"/>
                <w:sz w:val="16"/>
                <w:szCs w:val="16"/>
              </w:rPr>
              <w:t>Total</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6F5EB57"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6,182</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3526331"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7,794</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AB40893"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320</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7B9A49B"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17,002</w:t>
            </w:r>
          </w:p>
        </w:tc>
      </w:tr>
    </w:tbl>
    <w:p w14:paraId="7A7A2C4D" w14:textId="77777777" w:rsidR="007E365E" w:rsidRPr="00E23377" w:rsidRDefault="007E365E" w:rsidP="007E365E">
      <w:pPr>
        <w:pStyle w:val="CGCTablenote"/>
        <w:keepNext/>
        <w:keepLines/>
      </w:pPr>
      <w:r w:rsidRPr="00E23377">
        <w:t>Note:</w:t>
      </w:r>
      <w:r w:rsidRPr="00E23377">
        <w:tab/>
        <w:t>Loan servicing spending (G5) does not contribute to the component weight calculations.</w:t>
      </w:r>
    </w:p>
    <w:p w14:paraId="3C0281E8" w14:textId="77777777" w:rsidR="007E365E" w:rsidRPr="00E23377" w:rsidRDefault="007E365E" w:rsidP="007E365E">
      <w:pPr>
        <w:pStyle w:val="CGCTablenote"/>
        <w:keepNext/>
        <w:keepLines/>
      </w:pPr>
      <w:r w:rsidRPr="00E23377">
        <w:t>(a)</w:t>
      </w:r>
      <w:r w:rsidRPr="00E23377">
        <w:tab/>
        <w:t>Expenditure on tunnels also falls under these categories.</w:t>
      </w:r>
    </w:p>
    <w:p w14:paraId="473E658A" w14:textId="77777777" w:rsidR="007E365E" w:rsidRPr="00E23377" w:rsidRDefault="007E365E" w:rsidP="007E365E">
      <w:pPr>
        <w:pStyle w:val="CGCTablenote"/>
        <w:keepNext/>
        <w:keepLines/>
      </w:pPr>
      <w:r w:rsidRPr="00E23377">
        <w:t>(b)</w:t>
      </w:r>
      <w:r w:rsidRPr="00E23377">
        <w:tab/>
        <w:t xml:space="preserve">While the </w:t>
      </w:r>
      <w:r>
        <w:t>National Transport Commission (</w:t>
      </w:r>
      <w:r w:rsidRPr="00E23377">
        <w:t>NTC</w:t>
      </w:r>
      <w:r>
        <w:t>)</w:t>
      </w:r>
      <w:r w:rsidRPr="00E23377">
        <w:t xml:space="preserve"> reports these categories separately, the expenses are also included in the expenses for categories A to G. Hence, these expenses are double-counted in this presentation.</w:t>
      </w:r>
    </w:p>
    <w:p w14:paraId="3FCA4B2E" w14:textId="77777777" w:rsidR="007E365E" w:rsidRPr="00E23377" w:rsidRDefault="007E365E" w:rsidP="007E365E">
      <w:pPr>
        <w:pStyle w:val="CGCTablenote"/>
        <w:keepNext/>
        <w:keepLines/>
      </w:pPr>
      <w:r w:rsidRPr="00E23377">
        <w:t>Source:</w:t>
      </w:r>
      <w:r w:rsidRPr="00E23377">
        <w:tab/>
        <w:t>State expenses reported to the NTC for 201</w:t>
      </w:r>
      <w:r>
        <w:t>8</w:t>
      </w:r>
      <w:r w:rsidRPr="00E23377">
        <w:t>-1</w:t>
      </w:r>
      <w:r>
        <w:t>9</w:t>
      </w:r>
      <w:r w:rsidRPr="00E23377">
        <w:t>.</w:t>
      </w:r>
    </w:p>
    <w:p w14:paraId="4EB2FAB4" w14:textId="77777777" w:rsidR="007E365E" w:rsidRPr="00E23377" w:rsidRDefault="007E365E" w:rsidP="007E365E">
      <w:pPr>
        <w:pStyle w:val="CGCParaNumber"/>
      </w:pPr>
      <w:r w:rsidRPr="00E23377">
        <w:t>The urban and rural roads components include expenses for:</w:t>
      </w:r>
    </w:p>
    <w:p w14:paraId="4348A0CF" w14:textId="77777777" w:rsidR="007E365E" w:rsidRPr="00E23377" w:rsidRDefault="007E365E" w:rsidP="007E365E">
      <w:pPr>
        <w:pStyle w:val="CGCBullet1"/>
      </w:pPr>
      <w:r w:rsidRPr="00E23377">
        <w:t>A: Servicing and operating</w:t>
      </w:r>
    </w:p>
    <w:p w14:paraId="544E01BC" w14:textId="77777777" w:rsidR="007E365E" w:rsidRPr="00E23377" w:rsidRDefault="007E365E" w:rsidP="007E365E">
      <w:pPr>
        <w:pStyle w:val="CGCBullet1"/>
      </w:pPr>
      <w:r w:rsidRPr="00E23377">
        <w:t>B: Road pavement and shoulder construction</w:t>
      </w:r>
    </w:p>
    <w:p w14:paraId="4FA56FA6" w14:textId="77777777" w:rsidR="007E365E" w:rsidRPr="00E23377" w:rsidRDefault="007E365E" w:rsidP="007E365E">
      <w:pPr>
        <w:pStyle w:val="CGCBullet1"/>
      </w:pPr>
      <w:r w:rsidRPr="00E23377">
        <w:t>D: Road rehabilitation</w:t>
      </w:r>
    </w:p>
    <w:p w14:paraId="18B911CB" w14:textId="77777777" w:rsidR="007E365E" w:rsidRPr="00E23377" w:rsidRDefault="007E365E" w:rsidP="007E365E">
      <w:pPr>
        <w:pStyle w:val="CGCBullet1"/>
      </w:pPr>
      <w:r w:rsidRPr="00E23377">
        <w:t>E: Low-cost safety/traffic</w:t>
      </w:r>
    </w:p>
    <w:p w14:paraId="0EEC4E19" w14:textId="77777777" w:rsidR="007E365E" w:rsidRPr="00E23377" w:rsidRDefault="007E365E" w:rsidP="007E365E">
      <w:pPr>
        <w:pStyle w:val="CGCBullet1"/>
      </w:pPr>
      <w:r w:rsidRPr="00E23377">
        <w:t>G2: Enforcement of heavy vehicle regulatory costs</w:t>
      </w:r>
    </w:p>
    <w:p w14:paraId="1A7CD526" w14:textId="77777777" w:rsidR="007E365E" w:rsidRPr="00E23377" w:rsidRDefault="007E365E" w:rsidP="007E365E">
      <w:pPr>
        <w:pStyle w:val="CGCBullet1"/>
      </w:pPr>
      <w:r w:rsidRPr="00E23377">
        <w:t>H3: Spending on local access roads in unincorporated areas</w:t>
      </w:r>
    </w:p>
    <w:p w14:paraId="4209D1E5" w14:textId="77777777" w:rsidR="007E365E" w:rsidRPr="00E23377" w:rsidRDefault="007E365E" w:rsidP="007E365E">
      <w:pPr>
        <w:pStyle w:val="CGCBullet1"/>
      </w:pPr>
      <w:r w:rsidRPr="00E23377">
        <w:t>H4: Direct spending on council managed local access roads</w:t>
      </w:r>
    </w:p>
    <w:p w14:paraId="0DC615C9" w14:textId="77777777" w:rsidR="007E365E" w:rsidRPr="00E23377" w:rsidRDefault="007E365E" w:rsidP="007E365E">
      <w:pPr>
        <w:pStyle w:val="CGCBullet1"/>
      </w:pPr>
      <w:r w:rsidRPr="00E23377">
        <w:t>H5: Any other direct State spending on local access roads.</w:t>
      </w:r>
    </w:p>
    <w:p w14:paraId="033E8076" w14:textId="77777777" w:rsidR="007E365E" w:rsidRPr="00E23377" w:rsidRDefault="007E365E" w:rsidP="007E365E">
      <w:pPr>
        <w:pStyle w:val="CGCParaNumber"/>
      </w:pPr>
      <w:r w:rsidRPr="00E23377">
        <w:lastRenderedPageBreak/>
        <w:t>The bridges and tunnels component includes spending on:</w:t>
      </w:r>
    </w:p>
    <w:p w14:paraId="0FD2EA70" w14:textId="77777777" w:rsidR="007E365E" w:rsidRPr="00E23377" w:rsidRDefault="007E365E" w:rsidP="007E365E">
      <w:pPr>
        <w:pStyle w:val="CGCBullet1"/>
      </w:pPr>
      <w:r w:rsidRPr="00E23377">
        <w:t>C: Bridge maintenance/rehabilitation.</w:t>
      </w:r>
    </w:p>
    <w:p w14:paraId="29788DAD" w14:textId="77777777" w:rsidR="007E365E" w:rsidRPr="00E23377" w:rsidRDefault="007E365E" w:rsidP="007E365E">
      <w:pPr>
        <w:pStyle w:val="CGCParaNumber"/>
      </w:pPr>
      <w:r w:rsidRPr="00E23377">
        <w:t>Expenses relating to other road related payments have been distributed proportionately between all components. This includes spending on:</w:t>
      </w:r>
    </w:p>
    <w:p w14:paraId="10DFFF2A" w14:textId="77777777" w:rsidR="007E365E" w:rsidRPr="00E23377" w:rsidRDefault="007E365E" w:rsidP="007E365E">
      <w:pPr>
        <w:pStyle w:val="CGCBullet1"/>
      </w:pPr>
      <w:r w:rsidRPr="00E23377">
        <w:t>G1: Corporate services</w:t>
      </w:r>
    </w:p>
    <w:p w14:paraId="7C4CB583" w14:textId="77777777" w:rsidR="007E365E" w:rsidRPr="00E23377" w:rsidRDefault="007E365E" w:rsidP="007E365E">
      <w:pPr>
        <w:pStyle w:val="CGCBullet1"/>
      </w:pPr>
      <w:r w:rsidRPr="00E23377">
        <w:t>G3: Vehicle registration</w:t>
      </w:r>
    </w:p>
    <w:p w14:paraId="25DC58D4" w14:textId="77777777" w:rsidR="007E365E" w:rsidRPr="00E23377" w:rsidRDefault="007E365E" w:rsidP="007E365E">
      <w:pPr>
        <w:pStyle w:val="CGCBullet1"/>
        <w:rPr>
          <w:b/>
          <w:bCs/>
          <w:iCs/>
        </w:rPr>
      </w:pPr>
      <w:r w:rsidRPr="00E23377">
        <w:t>G4: Driver licensing.</w:t>
      </w:r>
    </w:p>
    <w:p w14:paraId="114888C5" w14:textId="77777777" w:rsidR="007E365E" w:rsidRPr="00E23377" w:rsidRDefault="007E365E" w:rsidP="007E365E">
      <w:pPr>
        <w:pStyle w:val="CGCParaNumber"/>
      </w:pPr>
      <w:r w:rsidRPr="00E23377">
        <w:t>The roads investment assessment includes:</w:t>
      </w:r>
    </w:p>
    <w:p w14:paraId="26B3B98C" w14:textId="77777777" w:rsidR="007E365E" w:rsidRPr="00E23377" w:rsidRDefault="007E365E" w:rsidP="007E365E">
      <w:pPr>
        <w:pStyle w:val="CGCBullet1"/>
      </w:pPr>
      <w:r w:rsidRPr="00E23377">
        <w:t>F: Asset extension/improvements.</w:t>
      </w:r>
    </w:p>
    <w:p w14:paraId="57E1EA61" w14:textId="77777777" w:rsidR="007E365E" w:rsidRPr="00E23377" w:rsidRDefault="007E365E" w:rsidP="007E365E">
      <w:pPr>
        <w:pStyle w:val="CGCParaNumber"/>
      </w:pPr>
      <w:r w:rsidRPr="00E23377">
        <w:t>G5: Loan servicing is assessed in the Other expenses category.</w:t>
      </w:r>
    </w:p>
    <w:p w14:paraId="10E95FC3" w14:textId="77777777" w:rsidR="007E365E" w:rsidRPr="00E23377" w:rsidRDefault="007E365E" w:rsidP="007E365E">
      <w:pPr>
        <w:pStyle w:val="CGCParaNumber"/>
      </w:pPr>
      <w:r w:rsidRPr="00E23377">
        <w:t>NTC expenses relating to category G (excluding G2) have been reallocated on a proportional basis amongst the urban roads, rural roads and bridges/tunnels components. Local roads expenses (categories H3 to H5) have been reallocated on a proportional basis between the rural roads and urban roads components.</w:t>
      </w:r>
    </w:p>
    <w:p w14:paraId="640B6B1E" w14:textId="77777777" w:rsidR="007E365E" w:rsidRPr="00E23377" w:rsidRDefault="007E365E" w:rsidP="007E365E">
      <w:pPr>
        <w:pStyle w:val="Heading3"/>
      </w:pPr>
      <w:bookmarkStart w:id="161" w:name="_Toc4754270"/>
      <w:bookmarkStart w:id="162" w:name="_Toc5030073"/>
      <w:bookmarkStart w:id="163" w:name="_Ref3436038"/>
      <w:bookmarkStart w:id="164" w:name="_Toc5030064"/>
      <w:r w:rsidRPr="00E23377">
        <w:t xml:space="preserve">Assessment </w:t>
      </w:r>
      <w:r>
        <w:t>a</w:t>
      </w:r>
      <w:r w:rsidRPr="00E23377">
        <w:t>pproach</w:t>
      </w:r>
      <w:bookmarkEnd w:id="161"/>
      <w:bookmarkEnd w:id="162"/>
    </w:p>
    <w:p w14:paraId="25194F58" w14:textId="77777777" w:rsidR="007E365E" w:rsidRPr="00E23377" w:rsidRDefault="007E365E" w:rsidP="007E365E">
      <w:pPr>
        <w:pStyle w:val="CGCParaNumber"/>
      </w:pPr>
      <w:bookmarkStart w:id="165" w:name="_Toc4754271"/>
      <w:bookmarkStart w:id="166" w:name="_Toc5030074"/>
      <w:r w:rsidRPr="00E23377">
        <w:t>The following section describes the assessment approach for the Roads category. The roads infrastructure assessment is discussed later in the chapter.</w:t>
      </w:r>
    </w:p>
    <w:p w14:paraId="57059698" w14:textId="77777777" w:rsidR="007E365E" w:rsidRPr="00E23377" w:rsidRDefault="007E365E" w:rsidP="007E365E">
      <w:pPr>
        <w:pStyle w:val="Heading4"/>
      </w:pPr>
      <w:r w:rsidRPr="00E23377">
        <w:t>Conceptual framework</w:t>
      </w:r>
      <w:bookmarkEnd w:id="165"/>
      <w:bookmarkEnd w:id="166"/>
    </w:p>
    <w:p w14:paraId="0C6F24D5" w14:textId="77777777" w:rsidR="007E365E" w:rsidRPr="00E23377" w:rsidRDefault="007E365E" w:rsidP="007E365E">
      <w:pPr>
        <w:pStyle w:val="CGCParaNumber"/>
      </w:pPr>
      <w:r w:rsidRPr="00E23377">
        <w:t xml:space="preserve">In the rural roads and urban roads components, the Commission recognises that the cost of maintaining roads is affected by the following influences: </w:t>
      </w:r>
    </w:p>
    <w:p w14:paraId="1EE4AA2A" w14:textId="77777777" w:rsidR="007E365E" w:rsidRPr="00E23377" w:rsidRDefault="007E365E" w:rsidP="007E365E">
      <w:pPr>
        <w:pStyle w:val="CGCBullet1"/>
      </w:pPr>
      <w:r w:rsidRPr="00E23377">
        <w:t>road length</w:t>
      </w:r>
    </w:p>
    <w:p w14:paraId="4560DC3B" w14:textId="77777777" w:rsidR="007E365E" w:rsidRPr="00E23377" w:rsidRDefault="007E365E" w:rsidP="007E365E">
      <w:pPr>
        <w:pStyle w:val="CGCBullet1"/>
      </w:pPr>
      <w:r w:rsidRPr="00E23377">
        <w:t>traffic volume</w:t>
      </w:r>
    </w:p>
    <w:p w14:paraId="2FEDAE82" w14:textId="77777777" w:rsidR="007E365E" w:rsidRPr="00E23377" w:rsidRDefault="007E365E" w:rsidP="007E365E">
      <w:pPr>
        <w:pStyle w:val="CGCBullet1"/>
      </w:pPr>
      <w:r w:rsidRPr="00E23377">
        <w:t>heavy vehicle use.</w:t>
      </w:r>
    </w:p>
    <w:p w14:paraId="4C4C7A5B" w14:textId="77777777" w:rsidR="007E365E" w:rsidRPr="00E23377" w:rsidRDefault="007E365E" w:rsidP="007E365E">
      <w:pPr>
        <w:pStyle w:val="CGCParaNumber"/>
      </w:pPr>
      <w:r w:rsidRPr="00E23377">
        <w:t xml:space="preserve">The selection of these three influences and their relative weights in the </w:t>
      </w:r>
      <w:r>
        <w:t>R</w:t>
      </w:r>
      <w:r w:rsidRPr="00E23377">
        <w:t>oads assessment is based on the work of the NTC, which is responsible for determining heavy vehicle charges.</w:t>
      </w:r>
      <w:r w:rsidRPr="00E23377">
        <w:rPr>
          <w:rStyle w:val="FootnoteReference"/>
        </w:rPr>
        <w:footnoteReference w:id="18"/>
      </w:r>
    </w:p>
    <w:p w14:paraId="2CFED9B0" w14:textId="77777777" w:rsidR="007E365E" w:rsidRPr="00E23377" w:rsidRDefault="007E365E" w:rsidP="007E365E">
      <w:pPr>
        <w:pStyle w:val="CGCParaNumber"/>
      </w:pPr>
      <w:r w:rsidRPr="00E23377">
        <w:t xml:space="preserve">As part of that responsibility, the NTC has developed a cost allocation matrix that splits the cost of maintaining roads between attributable costs and non-attributable costs. </w:t>
      </w:r>
    </w:p>
    <w:p w14:paraId="47F20C9A" w14:textId="77777777" w:rsidR="007E365E" w:rsidRPr="00E23377" w:rsidRDefault="007E365E" w:rsidP="007E365E">
      <w:pPr>
        <w:pStyle w:val="CGCBullet1"/>
      </w:pPr>
      <w:r w:rsidRPr="00E23377">
        <w:t xml:space="preserve">Attributable costs are those that vary with the volume of traffic on roads, including heavy vehicle use. These costs would not be incurred if traffic volume fell to zero. </w:t>
      </w:r>
    </w:p>
    <w:p w14:paraId="2BDA5DB8" w14:textId="77777777" w:rsidR="007E365E" w:rsidRPr="00E23377" w:rsidRDefault="007E365E" w:rsidP="007E365E">
      <w:pPr>
        <w:pStyle w:val="CGCBullet1"/>
      </w:pPr>
      <w:r w:rsidRPr="00E23377">
        <w:t xml:space="preserve">Non-attributable costs are those incurred regardless of the volume of traffic, which is essentially influenced by road length. Some non-attributable costs such as those relating to corporate services are spread across the entire </w:t>
      </w:r>
      <w:r>
        <w:t>R</w:t>
      </w:r>
      <w:r w:rsidRPr="00E23377">
        <w:t>oads assessment.</w:t>
      </w:r>
    </w:p>
    <w:p w14:paraId="734A134A" w14:textId="77777777" w:rsidR="007E365E" w:rsidRPr="00B116C5" w:rsidRDefault="007E365E" w:rsidP="007E365E">
      <w:pPr>
        <w:pStyle w:val="CGCParaNumber"/>
      </w:pPr>
      <w:r w:rsidRPr="00B116C5">
        <w:t>The NTC’s approach and results reflect its considerable expertise, and it is an evidence</w:t>
      </w:r>
      <w:r w:rsidRPr="00B116C5">
        <w:noBreakHyphen/>
        <w:t xml:space="preserve">based approach for identifying the relative importance of the drivers of roads expenses. </w:t>
      </w:r>
    </w:p>
    <w:p w14:paraId="7BD2E79A" w14:textId="4378DCA6" w:rsidR="007E365E" w:rsidRPr="00B116C5" w:rsidRDefault="007E365E" w:rsidP="007E365E">
      <w:pPr>
        <w:pStyle w:val="CGCParaNumber"/>
      </w:pPr>
      <w:r w:rsidRPr="00E23377">
        <w:rPr>
          <w:rStyle w:val="Heading6Char"/>
          <w:b/>
          <w:i w:val="0"/>
          <w:iCs w:val="0"/>
          <w:sz w:val="24"/>
        </w:rPr>
        <w:lastRenderedPageBreak/>
        <w:fldChar w:fldCharType="begin"/>
      </w:r>
      <w:r w:rsidRPr="00E23377">
        <w:rPr>
          <w:rStyle w:val="Heading6Char"/>
          <w:i w:val="0"/>
          <w:iCs w:val="0"/>
          <w:sz w:val="24"/>
        </w:rPr>
        <w:instrText xml:space="preserve"> REF _Ref5025314 \h  \* MERGEFORMAT </w:instrText>
      </w:r>
      <w:r w:rsidRPr="00E23377">
        <w:rPr>
          <w:rStyle w:val="Heading6Char"/>
          <w:b/>
          <w:i w:val="0"/>
          <w:iCs w:val="0"/>
          <w:sz w:val="24"/>
        </w:rPr>
      </w:r>
      <w:r w:rsidRPr="00E23377">
        <w:rPr>
          <w:rStyle w:val="Heading6Char"/>
          <w:b/>
          <w:i w:val="0"/>
          <w:iCs w:val="0"/>
          <w:sz w:val="24"/>
        </w:rPr>
        <w:fldChar w:fldCharType="separate"/>
      </w:r>
      <w:r w:rsidR="007F721A" w:rsidRPr="00E23377">
        <w:t xml:space="preserve">Table </w:t>
      </w:r>
      <w:r w:rsidR="007F721A">
        <w:rPr>
          <w:noProof/>
        </w:rPr>
        <w:t>20-7</w:t>
      </w:r>
      <w:r w:rsidRPr="00E23377">
        <w:rPr>
          <w:rStyle w:val="Heading6Char"/>
          <w:b/>
          <w:i w:val="0"/>
          <w:iCs w:val="0"/>
          <w:sz w:val="24"/>
        </w:rPr>
        <w:fldChar w:fldCharType="end"/>
      </w:r>
      <w:r w:rsidRPr="00B116C5">
        <w:t xml:space="preserve"> provides the recurrent assessment cost allocation for the relevant NTC categories. The cost allocation is discussed in further detail below.</w:t>
      </w:r>
    </w:p>
    <w:p w14:paraId="650C0A89" w14:textId="7D978141" w:rsidR="007E365E" w:rsidRDefault="007E365E" w:rsidP="007E365E">
      <w:pPr>
        <w:pStyle w:val="Caption"/>
      </w:pPr>
      <w:bookmarkStart w:id="167" w:name="_Ref5025314"/>
      <w:r w:rsidRPr="00E23377">
        <w:t xml:space="preserve">Table </w:t>
      </w:r>
      <w:r>
        <w:t>20-</w:t>
      </w:r>
      <w:fldSimple w:instr=" SEQ Table \* ARABIC ">
        <w:r w:rsidR="007F721A">
          <w:rPr>
            <w:noProof/>
          </w:rPr>
          <w:t>7</w:t>
        </w:r>
      </w:fldSimple>
      <w:bookmarkEnd w:id="167"/>
      <w:r w:rsidRPr="00E23377">
        <w:tab/>
        <w:t>Roads recurrent cost allocation based on NTC cost allocation formulae</w:t>
      </w:r>
    </w:p>
    <w:tbl>
      <w:tblPr>
        <w:tblW w:w="8960" w:type="dxa"/>
        <w:tblCellMar>
          <w:left w:w="0" w:type="dxa"/>
          <w:right w:w="0" w:type="dxa"/>
        </w:tblCellMar>
        <w:tblLook w:val="04A0" w:firstRow="1" w:lastRow="0" w:firstColumn="1" w:lastColumn="0" w:noHBand="0" w:noVBand="1"/>
      </w:tblPr>
      <w:tblGrid>
        <w:gridCol w:w="800"/>
        <w:gridCol w:w="2480"/>
        <w:gridCol w:w="780"/>
        <w:gridCol w:w="780"/>
        <w:gridCol w:w="780"/>
        <w:gridCol w:w="820"/>
        <w:gridCol w:w="1060"/>
        <w:gridCol w:w="740"/>
        <w:gridCol w:w="720"/>
      </w:tblGrid>
      <w:tr w:rsidR="007E365E" w:rsidRPr="00842CC6" w14:paraId="27D653FC" w14:textId="77777777" w:rsidTr="007D1D77">
        <w:trPr>
          <w:trHeight w:val="1035"/>
        </w:trPr>
        <w:tc>
          <w:tcPr>
            <w:tcW w:w="80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19FD12E6" w14:textId="77777777" w:rsidR="007E365E" w:rsidRDefault="007E365E" w:rsidP="003967FD">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24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1CCAAEF7" w14:textId="77777777" w:rsidR="007E365E" w:rsidRDefault="007E365E" w:rsidP="003967FD">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26A6F00E" w14:textId="77777777" w:rsidR="007E365E" w:rsidRDefault="007E365E" w:rsidP="003967FD">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Road length</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6D541702" w14:textId="77777777" w:rsidR="007E365E" w:rsidRDefault="007E365E" w:rsidP="003967FD">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Road traffic volume</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4E03A455" w14:textId="77777777" w:rsidR="007E365E" w:rsidRDefault="007E365E" w:rsidP="003967FD">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Road heavy vehicle use</w:t>
            </w:r>
          </w:p>
        </w:tc>
        <w:tc>
          <w:tcPr>
            <w:tcW w:w="82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7CC42D69" w14:textId="77777777" w:rsidR="007E365E" w:rsidRDefault="007E365E" w:rsidP="003967FD">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Bridge and tunnel length</w:t>
            </w:r>
          </w:p>
        </w:tc>
        <w:tc>
          <w:tcPr>
            <w:tcW w:w="10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0D0F21DD" w14:textId="77777777" w:rsidR="007E365E" w:rsidRDefault="007E365E" w:rsidP="003967FD">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Bridge and tunnel heavy vehicle use</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1892D38F" w14:textId="77777777" w:rsidR="007E365E" w:rsidRDefault="007E365E" w:rsidP="003967FD">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Local roads</w:t>
            </w:r>
          </w:p>
        </w:tc>
        <w:tc>
          <w:tcPr>
            <w:tcW w:w="72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53CAD83C" w14:textId="77777777" w:rsidR="007E365E" w:rsidRDefault="007E365E" w:rsidP="003967FD">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Other services</w:t>
            </w:r>
          </w:p>
        </w:tc>
      </w:tr>
      <w:tr w:rsidR="007E365E" w:rsidRPr="00842CC6" w14:paraId="53F70718" w14:textId="77777777" w:rsidTr="007D1D77">
        <w:trPr>
          <w:trHeight w:val="259"/>
        </w:trPr>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460AA62" w14:textId="77777777" w:rsidR="007E365E" w:rsidRDefault="007E365E" w:rsidP="007D1D77">
            <w:pPr>
              <w:spacing w:before="0" w:line="240" w:lineRule="auto"/>
              <w:rPr>
                <w:rFonts w:ascii="Open Sans SemiBold" w:hAnsi="Open Sans SemiBold" w:cs="Open Sans SemiBold"/>
                <w:sz w:val="22"/>
              </w:rPr>
            </w:pPr>
            <w:r>
              <w:rPr>
                <w:rFonts w:ascii="Open Sans SemiBold" w:hAnsi="Open Sans SemiBold" w:cs="Open Sans SemiBold"/>
                <w:sz w:val="22"/>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B756883" w14:textId="77777777" w:rsidR="007E365E" w:rsidRDefault="007E365E" w:rsidP="007D1D77">
            <w:pPr>
              <w:spacing w:before="0" w:line="240" w:lineRule="auto"/>
              <w:rPr>
                <w:rFonts w:ascii="Open Sans SemiBold" w:hAnsi="Open Sans SemiBold" w:cs="Open Sans SemiBold"/>
                <w:sz w:val="22"/>
              </w:rPr>
            </w:pPr>
            <w:r>
              <w:rPr>
                <w:rFonts w:ascii="Open Sans SemiBold" w:hAnsi="Open Sans SemiBold" w:cs="Open Sans SemiBold"/>
                <w:sz w:val="22"/>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2374D8C"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EA6B352"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C3A4B3A"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3649C0E"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5C39077"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A89F4BB"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97E7910"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r>
      <w:tr w:rsidR="007E365E" w:rsidRPr="00842CC6" w14:paraId="4D3E1EE0"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6D80AF8" w14:textId="77777777" w:rsidR="007E365E" w:rsidRDefault="007E365E" w:rsidP="007D1D77">
            <w:pPr>
              <w:spacing w:before="0" w:line="240" w:lineRule="auto"/>
              <w:rPr>
                <w:rFonts w:cs="Open Sans Light"/>
                <w:sz w:val="16"/>
                <w:szCs w:val="16"/>
              </w:rPr>
            </w:pPr>
            <w:r>
              <w:rPr>
                <w:rFonts w:cs="Open Sans Light"/>
                <w:sz w:val="16"/>
                <w:szCs w:val="16"/>
              </w:rPr>
              <w:t>A</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929B178" w14:textId="77777777" w:rsidR="007E365E" w:rsidRDefault="007E365E" w:rsidP="007D1D77">
            <w:pPr>
              <w:spacing w:before="0" w:line="240" w:lineRule="auto"/>
              <w:rPr>
                <w:rFonts w:cs="Open Sans Light"/>
                <w:sz w:val="16"/>
                <w:szCs w:val="16"/>
              </w:rPr>
            </w:pPr>
            <w:r>
              <w:rPr>
                <w:rFonts w:cs="Open Sans Light"/>
                <w:sz w:val="16"/>
                <w:szCs w:val="16"/>
              </w:rPr>
              <w:t>Servicing and operating</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F8A3F94"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5B5FBAF" w14:textId="77777777" w:rsidR="007E365E" w:rsidRDefault="007E365E" w:rsidP="007D1D77">
            <w:pPr>
              <w:spacing w:before="0" w:line="240" w:lineRule="auto"/>
              <w:jc w:val="right"/>
              <w:rPr>
                <w:rFonts w:cs="Open Sans Light"/>
                <w:sz w:val="16"/>
                <w:szCs w:val="16"/>
              </w:rPr>
            </w:pPr>
            <w:r>
              <w:rPr>
                <w:rFonts w:cs="Open Sans Light"/>
                <w:sz w:val="16"/>
                <w:szCs w:val="16"/>
              </w:rPr>
              <w:t>100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1857091"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73C5E9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05A09F"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CEFBE76"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6AB8BE" w14:textId="77777777" w:rsidR="007E365E" w:rsidRDefault="007E365E" w:rsidP="007D1D77">
            <w:pPr>
              <w:spacing w:before="0" w:line="240" w:lineRule="auto"/>
              <w:jc w:val="right"/>
              <w:rPr>
                <w:rFonts w:cs="Open Sans Light"/>
                <w:sz w:val="16"/>
                <w:szCs w:val="16"/>
              </w:rPr>
            </w:pPr>
            <w:r>
              <w:rPr>
                <w:rFonts w:cs="Open Sans Light"/>
                <w:sz w:val="16"/>
                <w:szCs w:val="16"/>
              </w:rPr>
              <w:t>0</w:t>
            </w:r>
          </w:p>
        </w:tc>
      </w:tr>
      <w:tr w:rsidR="007E365E" w:rsidRPr="00842CC6" w14:paraId="7BF3057F"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33346A6" w14:textId="77777777" w:rsidR="007E365E" w:rsidRDefault="007E365E" w:rsidP="007D1D77">
            <w:pPr>
              <w:spacing w:before="0" w:line="240" w:lineRule="auto"/>
              <w:rPr>
                <w:rFonts w:cs="Open Sans Light"/>
                <w:sz w:val="16"/>
                <w:szCs w:val="16"/>
              </w:rPr>
            </w:pPr>
            <w:r>
              <w:rPr>
                <w:rFonts w:cs="Open Sans Light"/>
                <w:sz w:val="16"/>
                <w:szCs w:val="16"/>
              </w:rPr>
              <w:t>B1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2A2EE3" w14:textId="77777777" w:rsidR="007E365E" w:rsidRDefault="007E365E" w:rsidP="007D1D77">
            <w:pPr>
              <w:spacing w:before="0" w:line="240" w:lineRule="auto"/>
              <w:rPr>
                <w:rFonts w:cs="Open Sans Light"/>
                <w:sz w:val="16"/>
                <w:szCs w:val="16"/>
              </w:rPr>
            </w:pPr>
            <w:r>
              <w:rPr>
                <w:rFonts w:cs="Open Sans Light"/>
                <w:sz w:val="16"/>
                <w:szCs w:val="16"/>
              </w:rPr>
              <w:t>Routine maintenance</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A55997A" w14:textId="77777777" w:rsidR="007E365E" w:rsidRDefault="007E365E" w:rsidP="007D1D77">
            <w:pPr>
              <w:spacing w:before="0" w:line="240" w:lineRule="auto"/>
              <w:jc w:val="right"/>
              <w:rPr>
                <w:rFonts w:cs="Open Sans Light"/>
                <w:sz w:val="16"/>
                <w:szCs w:val="16"/>
              </w:rPr>
            </w:pPr>
            <w:r>
              <w:rPr>
                <w:rFonts w:cs="Open Sans Light"/>
                <w:sz w:val="16"/>
                <w:szCs w:val="16"/>
              </w:rPr>
              <w:t>24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ED9D16" w14:textId="77777777" w:rsidR="007E365E" w:rsidRDefault="007E365E" w:rsidP="007D1D77">
            <w:pPr>
              <w:spacing w:before="0" w:line="240" w:lineRule="auto"/>
              <w:jc w:val="right"/>
              <w:rPr>
                <w:rFonts w:cs="Open Sans Light"/>
                <w:sz w:val="16"/>
                <w:szCs w:val="16"/>
              </w:rPr>
            </w:pPr>
            <w:r>
              <w:rPr>
                <w:rFonts w:cs="Open Sans Light"/>
                <w:sz w:val="16"/>
                <w:szCs w:val="16"/>
              </w:rPr>
              <w:t>38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B01E93" w14:textId="77777777" w:rsidR="007E365E" w:rsidRDefault="007E365E" w:rsidP="007D1D77">
            <w:pPr>
              <w:spacing w:before="0" w:line="240" w:lineRule="auto"/>
              <w:jc w:val="right"/>
              <w:rPr>
                <w:rFonts w:cs="Open Sans Light"/>
                <w:sz w:val="16"/>
                <w:szCs w:val="16"/>
              </w:rPr>
            </w:pPr>
            <w:r>
              <w:rPr>
                <w:rFonts w:cs="Open Sans Light"/>
                <w:sz w:val="16"/>
                <w:szCs w:val="16"/>
              </w:rPr>
              <w:t>38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91AF1E"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8F7D0D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1391C2"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CBAE86" w14:textId="77777777" w:rsidR="007E365E" w:rsidRDefault="007E365E" w:rsidP="007D1D77">
            <w:pPr>
              <w:spacing w:before="0" w:line="240" w:lineRule="auto"/>
              <w:jc w:val="right"/>
              <w:rPr>
                <w:rFonts w:cs="Open Sans Light"/>
                <w:sz w:val="16"/>
                <w:szCs w:val="16"/>
              </w:rPr>
            </w:pPr>
            <w:r>
              <w:rPr>
                <w:rFonts w:cs="Open Sans Light"/>
                <w:sz w:val="16"/>
                <w:szCs w:val="16"/>
              </w:rPr>
              <w:t>0</w:t>
            </w:r>
          </w:p>
        </w:tc>
      </w:tr>
      <w:tr w:rsidR="007E365E" w:rsidRPr="00842CC6" w14:paraId="5BF593D8"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26C988" w14:textId="77777777" w:rsidR="007E365E" w:rsidRDefault="007E365E" w:rsidP="007D1D77">
            <w:pPr>
              <w:spacing w:before="0" w:line="240" w:lineRule="auto"/>
              <w:rPr>
                <w:rFonts w:cs="Open Sans Light"/>
                <w:sz w:val="16"/>
                <w:szCs w:val="16"/>
              </w:rPr>
            </w:pPr>
            <w:r>
              <w:rPr>
                <w:rFonts w:cs="Open Sans Light"/>
                <w:sz w:val="16"/>
                <w:szCs w:val="16"/>
              </w:rPr>
              <w:t>B2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C0E2B91" w14:textId="77777777" w:rsidR="007E365E" w:rsidRDefault="007E365E" w:rsidP="007D1D77">
            <w:pPr>
              <w:spacing w:before="0" w:line="240" w:lineRule="auto"/>
              <w:rPr>
                <w:rFonts w:cs="Open Sans Light"/>
                <w:sz w:val="16"/>
                <w:szCs w:val="16"/>
              </w:rPr>
            </w:pPr>
            <w:r>
              <w:rPr>
                <w:rFonts w:cs="Open Sans Light"/>
                <w:sz w:val="16"/>
                <w:szCs w:val="16"/>
              </w:rPr>
              <w:t>Periodic surface maintenance</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6AA2641" w14:textId="77777777" w:rsidR="007E365E" w:rsidRDefault="007E365E" w:rsidP="007D1D77">
            <w:pPr>
              <w:spacing w:before="0" w:line="240" w:lineRule="auto"/>
              <w:jc w:val="right"/>
              <w:rPr>
                <w:rFonts w:cs="Open Sans Light"/>
                <w:sz w:val="16"/>
                <w:szCs w:val="16"/>
              </w:rPr>
            </w:pPr>
            <w:r>
              <w:rPr>
                <w:rFonts w:cs="Open Sans Light"/>
                <w:sz w:val="16"/>
                <w:szCs w:val="16"/>
              </w:rPr>
              <w:t>30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88A5784" w14:textId="77777777" w:rsidR="007E365E" w:rsidRDefault="007E365E" w:rsidP="007D1D77">
            <w:pPr>
              <w:spacing w:before="0" w:line="240" w:lineRule="auto"/>
              <w:jc w:val="right"/>
              <w:rPr>
                <w:rFonts w:cs="Open Sans Light"/>
                <w:sz w:val="16"/>
                <w:szCs w:val="16"/>
              </w:rPr>
            </w:pPr>
            <w:r>
              <w:rPr>
                <w:rFonts w:cs="Open Sans Light"/>
                <w:sz w:val="16"/>
                <w:szCs w:val="16"/>
              </w:rPr>
              <w:t>10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E4C3CDE" w14:textId="77777777" w:rsidR="007E365E" w:rsidRDefault="007E365E" w:rsidP="007D1D77">
            <w:pPr>
              <w:spacing w:before="0" w:line="240" w:lineRule="auto"/>
              <w:jc w:val="right"/>
              <w:rPr>
                <w:rFonts w:cs="Open Sans Light"/>
                <w:sz w:val="16"/>
                <w:szCs w:val="16"/>
              </w:rPr>
            </w:pPr>
            <w:r>
              <w:rPr>
                <w:rFonts w:cs="Open Sans Light"/>
                <w:sz w:val="16"/>
                <w:szCs w:val="16"/>
              </w:rPr>
              <w:t>60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C7E94A"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4D912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FC653C4"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8874CD" w14:textId="77777777" w:rsidR="007E365E" w:rsidRDefault="007E365E" w:rsidP="007D1D77">
            <w:pPr>
              <w:spacing w:before="0" w:line="240" w:lineRule="auto"/>
              <w:jc w:val="right"/>
              <w:rPr>
                <w:rFonts w:cs="Open Sans Light"/>
                <w:sz w:val="16"/>
                <w:szCs w:val="16"/>
              </w:rPr>
            </w:pPr>
            <w:r>
              <w:rPr>
                <w:rFonts w:cs="Open Sans Light"/>
                <w:sz w:val="16"/>
                <w:szCs w:val="16"/>
              </w:rPr>
              <w:t>0</w:t>
            </w:r>
          </w:p>
        </w:tc>
      </w:tr>
      <w:tr w:rsidR="007E365E" w:rsidRPr="00842CC6" w14:paraId="5935BC2E"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735A839" w14:textId="77777777" w:rsidR="007E365E" w:rsidRDefault="007E365E" w:rsidP="007D1D77">
            <w:pPr>
              <w:spacing w:before="0" w:line="240" w:lineRule="auto"/>
              <w:rPr>
                <w:rFonts w:cs="Open Sans Light"/>
                <w:sz w:val="16"/>
                <w:szCs w:val="16"/>
              </w:rPr>
            </w:pPr>
            <w:r>
              <w:rPr>
                <w:rFonts w:cs="Open Sans Light"/>
                <w:sz w:val="16"/>
                <w:szCs w:val="16"/>
              </w:rPr>
              <w:t>C</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0837BFB" w14:textId="77777777" w:rsidR="007E365E" w:rsidRDefault="007E365E" w:rsidP="007D1D77">
            <w:pPr>
              <w:spacing w:before="0" w:line="240" w:lineRule="auto"/>
              <w:rPr>
                <w:rFonts w:cs="Open Sans Light"/>
                <w:sz w:val="16"/>
                <w:szCs w:val="16"/>
              </w:rPr>
            </w:pPr>
            <w:r>
              <w:rPr>
                <w:rFonts w:cs="Open Sans Light"/>
                <w:sz w:val="16"/>
                <w:szCs w:val="16"/>
              </w:rPr>
              <w:t>Bridge maintenance/rehab</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F382DF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483825"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29EAE00"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85DF37" w14:textId="77777777" w:rsidR="007E365E" w:rsidRDefault="007E365E" w:rsidP="007D1D77">
            <w:pPr>
              <w:spacing w:before="0" w:line="240" w:lineRule="auto"/>
              <w:jc w:val="right"/>
              <w:rPr>
                <w:rFonts w:cs="Open Sans Light"/>
                <w:sz w:val="16"/>
                <w:szCs w:val="16"/>
              </w:rPr>
            </w:pPr>
            <w:r>
              <w:rPr>
                <w:rFonts w:cs="Open Sans Light"/>
                <w:sz w:val="16"/>
                <w:szCs w:val="16"/>
              </w:rPr>
              <w:t>67</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6D0F0B6"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8AF5BA6" w14:textId="77777777" w:rsidR="007E365E" w:rsidRDefault="007E365E" w:rsidP="007D1D77">
            <w:pPr>
              <w:spacing w:before="0" w:line="240" w:lineRule="auto"/>
              <w:jc w:val="right"/>
              <w:rPr>
                <w:rFonts w:cs="Open Sans Light"/>
                <w:sz w:val="16"/>
                <w:szCs w:val="16"/>
              </w:rPr>
            </w:pPr>
            <w:r>
              <w:rPr>
                <w:rFonts w:cs="Open Sans Light"/>
                <w:sz w:val="16"/>
                <w:szCs w:val="16"/>
              </w:rPr>
              <w:t>33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A5BA780" w14:textId="77777777" w:rsidR="007E365E" w:rsidRDefault="007E365E" w:rsidP="007D1D77">
            <w:pPr>
              <w:spacing w:before="0" w:line="240" w:lineRule="auto"/>
              <w:jc w:val="right"/>
              <w:rPr>
                <w:rFonts w:cs="Open Sans Light"/>
                <w:sz w:val="16"/>
                <w:szCs w:val="16"/>
              </w:rPr>
            </w:pPr>
            <w:r>
              <w:rPr>
                <w:rFonts w:cs="Open Sans Light"/>
                <w:sz w:val="16"/>
                <w:szCs w:val="16"/>
              </w:rPr>
              <w:t>0</w:t>
            </w:r>
          </w:p>
        </w:tc>
      </w:tr>
      <w:tr w:rsidR="007E365E" w:rsidRPr="00842CC6" w14:paraId="0714A7FC"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811303" w14:textId="77777777" w:rsidR="007E365E" w:rsidRDefault="007E365E" w:rsidP="007D1D77">
            <w:pPr>
              <w:spacing w:before="0" w:line="240" w:lineRule="auto"/>
              <w:rPr>
                <w:rFonts w:cs="Open Sans Light"/>
                <w:sz w:val="16"/>
                <w:szCs w:val="16"/>
              </w:rPr>
            </w:pPr>
            <w:r>
              <w:rPr>
                <w:rFonts w:cs="Open Sans Light"/>
                <w:sz w:val="16"/>
                <w:szCs w:val="16"/>
              </w:rPr>
              <w:t>D</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BC36648" w14:textId="77777777" w:rsidR="007E365E" w:rsidRDefault="007E365E" w:rsidP="007D1D77">
            <w:pPr>
              <w:spacing w:before="0" w:line="240" w:lineRule="auto"/>
              <w:rPr>
                <w:rFonts w:cs="Open Sans Light"/>
                <w:sz w:val="16"/>
                <w:szCs w:val="16"/>
              </w:rPr>
            </w:pPr>
            <w:r>
              <w:rPr>
                <w:rFonts w:cs="Open Sans Light"/>
                <w:sz w:val="16"/>
                <w:szCs w:val="16"/>
              </w:rPr>
              <w:t>Road rehabilitation</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237AC4C" w14:textId="77777777" w:rsidR="007E365E" w:rsidRDefault="007E365E" w:rsidP="007D1D77">
            <w:pPr>
              <w:spacing w:before="0" w:line="240" w:lineRule="auto"/>
              <w:jc w:val="right"/>
              <w:rPr>
                <w:rFonts w:cs="Open Sans Light"/>
                <w:sz w:val="16"/>
                <w:szCs w:val="16"/>
              </w:rPr>
            </w:pPr>
            <w:r>
              <w:rPr>
                <w:rFonts w:cs="Open Sans Light"/>
                <w:sz w:val="16"/>
                <w:szCs w:val="16"/>
              </w:rPr>
              <w:t>55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CD9DF23"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52218D" w14:textId="77777777" w:rsidR="007E365E" w:rsidRDefault="007E365E" w:rsidP="007D1D77">
            <w:pPr>
              <w:spacing w:before="0" w:line="240" w:lineRule="auto"/>
              <w:jc w:val="right"/>
              <w:rPr>
                <w:rFonts w:cs="Open Sans Light"/>
                <w:sz w:val="16"/>
                <w:szCs w:val="16"/>
              </w:rPr>
            </w:pPr>
            <w:r>
              <w:rPr>
                <w:rFonts w:cs="Open Sans Light"/>
                <w:sz w:val="16"/>
                <w:szCs w:val="16"/>
              </w:rPr>
              <w:t>45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DDDDE9"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4971C9E"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31C598"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763D26" w14:textId="77777777" w:rsidR="007E365E" w:rsidRDefault="007E365E" w:rsidP="007D1D77">
            <w:pPr>
              <w:spacing w:before="0" w:line="240" w:lineRule="auto"/>
              <w:jc w:val="right"/>
              <w:rPr>
                <w:rFonts w:cs="Open Sans Light"/>
                <w:sz w:val="16"/>
                <w:szCs w:val="16"/>
              </w:rPr>
            </w:pPr>
            <w:r>
              <w:rPr>
                <w:rFonts w:cs="Open Sans Light"/>
                <w:sz w:val="16"/>
                <w:szCs w:val="16"/>
              </w:rPr>
              <w:t>0</w:t>
            </w:r>
          </w:p>
        </w:tc>
      </w:tr>
      <w:tr w:rsidR="007E365E" w:rsidRPr="00842CC6" w14:paraId="7E1D3BE8"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7D2578" w14:textId="77777777" w:rsidR="007E365E" w:rsidRDefault="007E365E" w:rsidP="007D1D77">
            <w:pPr>
              <w:spacing w:before="0" w:line="240" w:lineRule="auto"/>
              <w:rPr>
                <w:rFonts w:cs="Open Sans Light"/>
                <w:sz w:val="16"/>
                <w:szCs w:val="16"/>
              </w:rPr>
            </w:pPr>
            <w:r>
              <w:rPr>
                <w:rFonts w:cs="Open Sans Light"/>
                <w:sz w:val="16"/>
                <w:szCs w:val="16"/>
              </w:rPr>
              <w:t>E</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2134BE7" w14:textId="77777777" w:rsidR="007E365E" w:rsidRDefault="007E365E" w:rsidP="007D1D77">
            <w:pPr>
              <w:spacing w:before="0" w:line="240" w:lineRule="auto"/>
              <w:rPr>
                <w:rFonts w:cs="Open Sans Light"/>
                <w:sz w:val="16"/>
                <w:szCs w:val="16"/>
              </w:rPr>
            </w:pPr>
            <w:r>
              <w:rPr>
                <w:rFonts w:cs="Open Sans Light"/>
                <w:sz w:val="16"/>
                <w:szCs w:val="16"/>
              </w:rPr>
              <w:t>Low-cost safety/traffic</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53B88F"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BDBFF0C" w14:textId="77777777" w:rsidR="007E365E" w:rsidRDefault="007E365E" w:rsidP="007D1D77">
            <w:pPr>
              <w:spacing w:before="0" w:line="240" w:lineRule="auto"/>
              <w:jc w:val="right"/>
              <w:rPr>
                <w:rFonts w:cs="Open Sans Light"/>
                <w:sz w:val="16"/>
                <w:szCs w:val="16"/>
              </w:rPr>
            </w:pPr>
            <w:r>
              <w:rPr>
                <w:rFonts w:cs="Open Sans Light"/>
                <w:sz w:val="16"/>
                <w:szCs w:val="16"/>
              </w:rPr>
              <w:t>100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1D43293"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A4E241"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488C1F1"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84FB5E"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ABFD32" w14:textId="77777777" w:rsidR="007E365E" w:rsidRDefault="007E365E" w:rsidP="007D1D77">
            <w:pPr>
              <w:spacing w:before="0" w:line="240" w:lineRule="auto"/>
              <w:jc w:val="right"/>
              <w:rPr>
                <w:rFonts w:cs="Open Sans Light"/>
                <w:sz w:val="16"/>
                <w:szCs w:val="16"/>
              </w:rPr>
            </w:pPr>
            <w:r>
              <w:rPr>
                <w:rFonts w:cs="Open Sans Light"/>
                <w:sz w:val="16"/>
                <w:szCs w:val="16"/>
              </w:rPr>
              <w:t>0</w:t>
            </w:r>
          </w:p>
        </w:tc>
      </w:tr>
      <w:tr w:rsidR="007E365E" w:rsidRPr="00842CC6" w14:paraId="72050E6C"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901DD4" w14:textId="77777777" w:rsidR="007E365E" w:rsidRDefault="007E365E" w:rsidP="007D1D77">
            <w:pPr>
              <w:spacing w:before="0" w:line="240" w:lineRule="auto"/>
              <w:rPr>
                <w:rFonts w:cs="Open Sans Light"/>
                <w:sz w:val="16"/>
                <w:szCs w:val="16"/>
              </w:rPr>
            </w:pPr>
            <w:r>
              <w:rPr>
                <w:rFonts w:cs="Open Sans Light"/>
                <w:sz w:val="16"/>
                <w:szCs w:val="16"/>
              </w:rPr>
              <w:t>G1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D5333F" w14:textId="77777777" w:rsidR="007E365E" w:rsidRDefault="007E365E" w:rsidP="007D1D77">
            <w:pPr>
              <w:spacing w:before="0" w:line="240" w:lineRule="auto"/>
              <w:rPr>
                <w:rFonts w:cs="Open Sans Light"/>
                <w:sz w:val="16"/>
                <w:szCs w:val="16"/>
              </w:rPr>
            </w:pPr>
            <w:r>
              <w:rPr>
                <w:rFonts w:cs="Open Sans Light"/>
                <w:sz w:val="16"/>
                <w:szCs w:val="16"/>
              </w:rPr>
              <w:t>Corporate services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71BBA92"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D16635"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4AB9B2"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EC2D594"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3886889" w14:textId="77777777" w:rsidR="007E365E" w:rsidRDefault="007E365E" w:rsidP="007D1D77">
            <w:pPr>
              <w:spacing w:before="0" w:line="240" w:lineRule="auto"/>
              <w:jc w:val="right"/>
              <w:rPr>
                <w:rFonts w:cs="Open Sans Light"/>
                <w:sz w:val="16"/>
                <w:szCs w:val="16"/>
              </w:rPr>
            </w:pPr>
            <w:r>
              <w:rPr>
                <w:rFonts w:cs="Open Sans Light"/>
                <w:sz w:val="16"/>
                <w:szCs w:val="16"/>
              </w:rPr>
              <w:t>100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1EF41D"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587B3AE" w14:textId="77777777" w:rsidR="007E365E" w:rsidRDefault="007E365E" w:rsidP="007D1D77">
            <w:pPr>
              <w:spacing w:before="0" w:line="240" w:lineRule="auto"/>
              <w:jc w:val="right"/>
              <w:rPr>
                <w:rFonts w:cs="Open Sans Light"/>
                <w:sz w:val="16"/>
                <w:szCs w:val="16"/>
              </w:rPr>
            </w:pPr>
            <w:r>
              <w:rPr>
                <w:rFonts w:cs="Open Sans Light"/>
                <w:sz w:val="16"/>
                <w:szCs w:val="16"/>
              </w:rPr>
              <w:t>0</w:t>
            </w:r>
          </w:p>
        </w:tc>
      </w:tr>
      <w:tr w:rsidR="007E365E" w:rsidRPr="00842CC6" w14:paraId="20084FEA"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7073AF2" w14:textId="77777777" w:rsidR="007E365E" w:rsidRDefault="007E365E" w:rsidP="007D1D77">
            <w:pPr>
              <w:spacing w:before="0" w:line="240" w:lineRule="auto"/>
              <w:rPr>
                <w:rFonts w:cs="Open Sans Light"/>
                <w:sz w:val="16"/>
                <w:szCs w:val="16"/>
              </w:rPr>
            </w:pPr>
            <w:r>
              <w:rPr>
                <w:rFonts w:cs="Open Sans Light"/>
                <w:sz w:val="16"/>
                <w:szCs w:val="16"/>
              </w:rPr>
              <w:t>G2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6D3D89" w14:textId="77777777" w:rsidR="007E365E" w:rsidRDefault="007E365E" w:rsidP="007D1D77">
            <w:pPr>
              <w:spacing w:before="0" w:line="240" w:lineRule="auto"/>
              <w:rPr>
                <w:rFonts w:cs="Open Sans Light"/>
                <w:sz w:val="16"/>
                <w:szCs w:val="16"/>
              </w:rPr>
            </w:pPr>
            <w:r>
              <w:rPr>
                <w:rFonts w:cs="Open Sans Light"/>
                <w:sz w:val="16"/>
                <w:szCs w:val="16"/>
              </w:rPr>
              <w:t>Enforcement of HV regulations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8DEB8FE"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36BA472"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390576B" w14:textId="77777777" w:rsidR="007E365E" w:rsidRDefault="007E365E" w:rsidP="007D1D77">
            <w:pPr>
              <w:spacing w:before="0" w:line="240" w:lineRule="auto"/>
              <w:jc w:val="right"/>
              <w:rPr>
                <w:rFonts w:cs="Open Sans Light"/>
                <w:sz w:val="16"/>
                <w:szCs w:val="16"/>
              </w:rPr>
            </w:pPr>
            <w:r>
              <w:rPr>
                <w:rFonts w:cs="Open Sans Light"/>
                <w:sz w:val="16"/>
                <w:szCs w:val="16"/>
              </w:rPr>
              <w:t>100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37691F0"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6C99DDF"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BA4D41"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93276E6" w14:textId="77777777" w:rsidR="007E365E" w:rsidRDefault="007E365E" w:rsidP="007D1D77">
            <w:pPr>
              <w:spacing w:before="0" w:line="240" w:lineRule="auto"/>
              <w:jc w:val="right"/>
              <w:rPr>
                <w:rFonts w:cs="Open Sans Light"/>
                <w:sz w:val="16"/>
                <w:szCs w:val="16"/>
              </w:rPr>
            </w:pPr>
            <w:r>
              <w:rPr>
                <w:rFonts w:cs="Open Sans Light"/>
                <w:sz w:val="16"/>
                <w:szCs w:val="16"/>
              </w:rPr>
              <w:t>0</w:t>
            </w:r>
          </w:p>
        </w:tc>
      </w:tr>
      <w:tr w:rsidR="007E365E" w:rsidRPr="00842CC6" w14:paraId="37043293"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9EE8F4F" w14:textId="77777777" w:rsidR="007E365E" w:rsidRDefault="007E365E" w:rsidP="007D1D77">
            <w:pPr>
              <w:spacing w:before="0" w:line="240" w:lineRule="auto"/>
              <w:rPr>
                <w:rFonts w:cs="Open Sans Light"/>
                <w:sz w:val="16"/>
                <w:szCs w:val="16"/>
              </w:rPr>
            </w:pPr>
            <w:r>
              <w:rPr>
                <w:rFonts w:cs="Open Sans Light"/>
                <w:sz w:val="16"/>
                <w:szCs w:val="16"/>
              </w:rPr>
              <w:t>G3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FFCB898" w14:textId="77777777" w:rsidR="007E365E" w:rsidRDefault="007E365E" w:rsidP="007D1D77">
            <w:pPr>
              <w:spacing w:before="0" w:line="240" w:lineRule="auto"/>
              <w:rPr>
                <w:rFonts w:cs="Open Sans Light"/>
                <w:sz w:val="16"/>
                <w:szCs w:val="16"/>
              </w:rPr>
            </w:pPr>
            <w:r>
              <w:rPr>
                <w:rFonts w:cs="Open Sans Light"/>
                <w:sz w:val="16"/>
                <w:szCs w:val="16"/>
              </w:rPr>
              <w:t>Vehicle registration</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42727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92E1180"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7624646"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02EBF0E"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64247A" w14:textId="77777777" w:rsidR="007E365E" w:rsidRDefault="007E365E" w:rsidP="007D1D77">
            <w:pPr>
              <w:spacing w:before="0" w:line="240" w:lineRule="auto"/>
              <w:jc w:val="right"/>
              <w:rPr>
                <w:rFonts w:cs="Open Sans Light"/>
                <w:sz w:val="16"/>
                <w:szCs w:val="16"/>
              </w:rPr>
            </w:pPr>
            <w:r>
              <w:rPr>
                <w:rFonts w:cs="Open Sans Light"/>
                <w:sz w:val="16"/>
                <w:szCs w:val="16"/>
              </w:rPr>
              <w:t>100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8D80C20"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560B82" w14:textId="77777777" w:rsidR="007E365E" w:rsidRDefault="007E365E" w:rsidP="007D1D77">
            <w:pPr>
              <w:spacing w:before="0" w:line="240" w:lineRule="auto"/>
              <w:jc w:val="right"/>
              <w:rPr>
                <w:rFonts w:cs="Open Sans Light"/>
                <w:sz w:val="16"/>
                <w:szCs w:val="16"/>
              </w:rPr>
            </w:pPr>
            <w:r>
              <w:rPr>
                <w:rFonts w:cs="Open Sans Light"/>
                <w:sz w:val="16"/>
                <w:szCs w:val="16"/>
              </w:rPr>
              <w:t>0</w:t>
            </w:r>
          </w:p>
        </w:tc>
      </w:tr>
      <w:tr w:rsidR="007E365E" w:rsidRPr="00842CC6" w14:paraId="27A57F24"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714FBA8" w14:textId="77777777" w:rsidR="007E365E" w:rsidRDefault="007E365E" w:rsidP="007D1D77">
            <w:pPr>
              <w:spacing w:before="0" w:line="240" w:lineRule="auto"/>
              <w:rPr>
                <w:rFonts w:cs="Open Sans Light"/>
                <w:sz w:val="16"/>
                <w:szCs w:val="16"/>
              </w:rPr>
            </w:pPr>
            <w:r>
              <w:rPr>
                <w:rFonts w:cs="Open Sans Light"/>
                <w:sz w:val="16"/>
                <w:szCs w:val="16"/>
              </w:rPr>
              <w:t>G4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B073618" w14:textId="77777777" w:rsidR="007E365E" w:rsidRDefault="007E365E" w:rsidP="007D1D77">
            <w:pPr>
              <w:spacing w:before="0" w:line="240" w:lineRule="auto"/>
              <w:rPr>
                <w:rFonts w:cs="Open Sans Light"/>
                <w:sz w:val="16"/>
                <w:szCs w:val="16"/>
              </w:rPr>
            </w:pPr>
            <w:r>
              <w:rPr>
                <w:rFonts w:cs="Open Sans Light"/>
                <w:sz w:val="16"/>
                <w:szCs w:val="16"/>
              </w:rPr>
              <w:t>Driver licensing</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EB31D4C"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77B9A2"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4197191"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F2688DD"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45D612C" w14:textId="77777777" w:rsidR="007E365E" w:rsidRDefault="007E365E" w:rsidP="007D1D77">
            <w:pPr>
              <w:spacing w:before="0" w:line="240" w:lineRule="auto"/>
              <w:jc w:val="right"/>
              <w:rPr>
                <w:rFonts w:cs="Open Sans Light"/>
                <w:sz w:val="16"/>
                <w:szCs w:val="16"/>
              </w:rPr>
            </w:pPr>
            <w:r>
              <w:rPr>
                <w:rFonts w:cs="Open Sans Light"/>
                <w:sz w:val="16"/>
                <w:szCs w:val="16"/>
              </w:rPr>
              <w:t>100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65BB7C"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2D6707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r>
      <w:tr w:rsidR="007E365E" w:rsidRPr="00842CC6" w14:paraId="1719FA54"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30B4FF0" w14:textId="77777777" w:rsidR="007E365E" w:rsidRDefault="007E365E" w:rsidP="007D1D77">
            <w:pPr>
              <w:spacing w:before="0" w:line="240" w:lineRule="auto"/>
              <w:rPr>
                <w:rFonts w:cs="Open Sans Light"/>
                <w:sz w:val="16"/>
                <w:szCs w:val="16"/>
              </w:rPr>
            </w:pPr>
            <w:r>
              <w:rPr>
                <w:rFonts w:cs="Open Sans Light"/>
                <w:sz w:val="16"/>
                <w:szCs w:val="16"/>
              </w:rPr>
              <w:t>H3-H5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4066515" w14:textId="77777777" w:rsidR="007E365E" w:rsidRDefault="007E365E" w:rsidP="007D1D77">
            <w:pPr>
              <w:spacing w:before="0" w:line="240" w:lineRule="auto"/>
              <w:rPr>
                <w:rFonts w:cs="Open Sans Light"/>
                <w:sz w:val="16"/>
                <w:szCs w:val="16"/>
              </w:rPr>
            </w:pPr>
            <w:r>
              <w:rPr>
                <w:rFonts w:cs="Open Sans Light"/>
                <w:sz w:val="16"/>
                <w:szCs w:val="16"/>
              </w:rPr>
              <w:t>Spending on local access roads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460A7A0"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B0B8C8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51AE3FF"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A97605"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7216321"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E49D24"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B6D31BD" w14:textId="77777777" w:rsidR="007E365E" w:rsidRDefault="007E365E" w:rsidP="007D1D77">
            <w:pPr>
              <w:spacing w:before="0" w:line="240" w:lineRule="auto"/>
              <w:jc w:val="right"/>
              <w:rPr>
                <w:rFonts w:cs="Open Sans Light"/>
                <w:sz w:val="16"/>
                <w:szCs w:val="16"/>
              </w:rPr>
            </w:pPr>
            <w:r>
              <w:rPr>
                <w:rFonts w:cs="Open Sans Light"/>
                <w:sz w:val="16"/>
                <w:szCs w:val="16"/>
              </w:rPr>
              <w:t>100</w:t>
            </w:r>
          </w:p>
        </w:tc>
      </w:tr>
    </w:tbl>
    <w:p w14:paraId="5AA513BF" w14:textId="77777777" w:rsidR="007E365E" w:rsidRPr="00AE492A" w:rsidRDefault="007E365E" w:rsidP="007E365E">
      <w:pPr>
        <w:pStyle w:val="CGCTablenote"/>
      </w:pPr>
      <w:r w:rsidRPr="00AE492A">
        <w:t>Source:</w:t>
      </w:r>
      <w:r w:rsidRPr="00AE492A">
        <w:tab/>
        <w:t>NTC PAYGO cost allocation formulae.</w:t>
      </w:r>
    </w:p>
    <w:p w14:paraId="09F37F2D" w14:textId="77777777" w:rsidR="007E365E" w:rsidRPr="00E23377" w:rsidRDefault="007E365E" w:rsidP="007E365E">
      <w:pPr>
        <w:pStyle w:val="CGCParaNumber"/>
      </w:pPr>
      <w:r w:rsidRPr="00E23377">
        <w:rPr>
          <w:rStyle w:val="Heading6Char"/>
        </w:rPr>
        <w:t>Traffic volume.</w:t>
      </w:r>
      <w:r w:rsidRPr="00E23377">
        <w:t xml:space="preserve"> The NTC recognises that traffic volume has an impact on the cost of maintaining roads because:</w:t>
      </w:r>
    </w:p>
    <w:p w14:paraId="5D628D54" w14:textId="77777777" w:rsidR="007E365E" w:rsidRPr="00E23377" w:rsidRDefault="007E365E" w:rsidP="007E365E">
      <w:pPr>
        <w:pStyle w:val="CGCBullet1"/>
      </w:pPr>
      <w:r w:rsidRPr="00E23377">
        <w:t xml:space="preserve">roads with expected high traffic volumes are usually built to higher standards and therefore will cost more to maintain </w:t>
      </w:r>
    </w:p>
    <w:p w14:paraId="28D4C142" w14:textId="77777777" w:rsidR="007E365E" w:rsidRPr="00E23377" w:rsidRDefault="007E365E" w:rsidP="007E365E">
      <w:pPr>
        <w:pStyle w:val="CGCBullet1"/>
      </w:pPr>
      <w:r w:rsidRPr="00E23377">
        <w:t xml:space="preserve">roads with high traffic volumes have a higher level of traffic control and safety measures (such as signage, traffic lights and worker protection requirements during maintenance work), which cost more. </w:t>
      </w:r>
    </w:p>
    <w:p w14:paraId="0506D07B" w14:textId="77777777" w:rsidR="007E365E" w:rsidRPr="00E23377" w:rsidRDefault="007E365E" w:rsidP="007E365E">
      <w:pPr>
        <w:pStyle w:val="CGCParaNumber"/>
      </w:pPr>
      <w:r w:rsidRPr="00E23377">
        <w:t>In its cost allocation matrix, the NTC attributes the stated share of the following categories to traffic volume</w:t>
      </w:r>
      <w:r>
        <w:t>:</w:t>
      </w:r>
      <w:r w:rsidRPr="00E23377">
        <w:rPr>
          <w:rStyle w:val="FootnoteReference"/>
        </w:rPr>
        <w:footnoteReference w:id="19"/>
      </w:r>
    </w:p>
    <w:p w14:paraId="7178A771" w14:textId="77777777" w:rsidR="007E365E" w:rsidRPr="00E23377" w:rsidRDefault="007E365E" w:rsidP="007E365E">
      <w:pPr>
        <w:pStyle w:val="CGCBullet1"/>
      </w:pPr>
      <w:r w:rsidRPr="00E23377">
        <w:t>servicing and operating expenses (100%)</w:t>
      </w:r>
    </w:p>
    <w:p w14:paraId="3CBC930F" w14:textId="77777777" w:rsidR="007E365E" w:rsidRPr="00E23377" w:rsidRDefault="007E365E" w:rsidP="007E365E">
      <w:pPr>
        <w:pStyle w:val="CGCBullet1"/>
      </w:pPr>
      <w:r w:rsidRPr="00E23377">
        <w:t>routine maintenance of road pavement and shoulder (38%)</w:t>
      </w:r>
    </w:p>
    <w:p w14:paraId="29628DC7" w14:textId="77777777" w:rsidR="007E365E" w:rsidRPr="00E23377" w:rsidRDefault="007E365E" w:rsidP="007E365E">
      <w:pPr>
        <w:pStyle w:val="CGCBullet1"/>
      </w:pPr>
      <w:r w:rsidRPr="00E23377">
        <w:t>periodic surface maintenance of sealed road pavement and shoulder (10%)</w:t>
      </w:r>
    </w:p>
    <w:p w14:paraId="44E5D147" w14:textId="77777777" w:rsidR="007E365E" w:rsidRPr="00E23377" w:rsidRDefault="007E365E" w:rsidP="007E365E">
      <w:pPr>
        <w:pStyle w:val="CGCBullet1"/>
      </w:pPr>
      <w:r w:rsidRPr="00E23377">
        <w:t>low-cost safety and traffic improvements (100%).</w:t>
      </w:r>
    </w:p>
    <w:p w14:paraId="3F9A5D4C" w14:textId="77777777" w:rsidR="007E365E" w:rsidRPr="00E23377" w:rsidRDefault="007E365E" w:rsidP="007E365E">
      <w:pPr>
        <w:pStyle w:val="CGCParaNumber"/>
      </w:pPr>
      <w:r w:rsidRPr="00E23377">
        <w:rPr>
          <w:rStyle w:val="Heading6Char"/>
        </w:rPr>
        <w:t>Heavy vehicle use.</w:t>
      </w:r>
      <w:r w:rsidRPr="00E23377">
        <w:t xml:space="preserve"> The NTC recognises in its cost allocation matrix that heavy vehicles cause more wear and tear to roads than cars. This is mainly due to their weight and number of axles and trailers. In contrast, the weight of a car has no or little impact on roads. Heavy vehicle use results in minor and major maintenance to restore the </w:t>
      </w:r>
      <w:r>
        <w:t xml:space="preserve">road </w:t>
      </w:r>
      <w:r w:rsidRPr="00E23377">
        <w:t>pavement to acceptable service standards. There are also regulatory costs.</w:t>
      </w:r>
    </w:p>
    <w:p w14:paraId="1FF9F18C" w14:textId="77777777" w:rsidR="007E365E" w:rsidRPr="00E23377" w:rsidRDefault="007E365E" w:rsidP="007E365E">
      <w:pPr>
        <w:pStyle w:val="CGCParaNumber"/>
      </w:pPr>
      <w:r w:rsidRPr="00E23377">
        <w:lastRenderedPageBreak/>
        <w:t>In its cost allocation matrix, the NTC attributes the stated share of the following categories to heavy vehicle road use</w:t>
      </w:r>
      <w:r>
        <w:t>:</w:t>
      </w:r>
      <w:r w:rsidRPr="00E23377">
        <w:rPr>
          <w:rStyle w:val="FootnoteReference"/>
        </w:rPr>
        <w:footnoteReference w:id="20"/>
      </w:r>
    </w:p>
    <w:p w14:paraId="52B43F88" w14:textId="77777777" w:rsidR="007E365E" w:rsidRPr="00E23377" w:rsidRDefault="007E365E" w:rsidP="007E365E">
      <w:pPr>
        <w:pStyle w:val="CGCBullet1"/>
      </w:pPr>
      <w:r w:rsidRPr="00E23377">
        <w:t>routine maintenance of road pavement and shoulder (38%)</w:t>
      </w:r>
    </w:p>
    <w:p w14:paraId="67F61CAB" w14:textId="77777777" w:rsidR="007E365E" w:rsidRPr="00E23377" w:rsidRDefault="007E365E" w:rsidP="007E365E">
      <w:pPr>
        <w:pStyle w:val="CGCBullet1"/>
      </w:pPr>
      <w:r w:rsidRPr="00E23377">
        <w:t>periodic surface maintenance of sealed road pavement and shoulder (60%)</w:t>
      </w:r>
    </w:p>
    <w:p w14:paraId="67B6CB46" w14:textId="77777777" w:rsidR="007E365E" w:rsidRPr="00E23377" w:rsidRDefault="007E365E" w:rsidP="007E365E">
      <w:pPr>
        <w:pStyle w:val="CGCBullet1"/>
      </w:pPr>
      <w:r w:rsidRPr="00E23377">
        <w:t>road rehabilitation (45%)</w:t>
      </w:r>
    </w:p>
    <w:p w14:paraId="6AA11FA2" w14:textId="77777777" w:rsidR="007E365E" w:rsidRPr="00E23377" w:rsidRDefault="007E365E" w:rsidP="007E365E">
      <w:pPr>
        <w:pStyle w:val="CGCBullet1"/>
      </w:pPr>
      <w:r w:rsidRPr="00E23377">
        <w:t>heavy vehicle regulatory costs (100%).</w:t>
      </w:r>
    </w:p>
    <w:p w14:paraId="42477693" w14:textId="77777777" w:rsidR="007E365E" w:rsidRPr="00E23377" w:rsidRDefault="007E365E" w:rsidP="007E365E">
      <w:pPr>
        <w:pStyle w:val="CGCParaNumber"/>
      </w:pPr>
      <w:r w:rsidRPr="00E23377">
        <w:rPr>
          <w:rStyle w:val="Heading6Char"/>
        </w:rPr>
        <w:t>Road length.</w:t>
      </w:r>
      <w:r w:rsidRPr="00E23377">
        <w:t xml:space="preserve"> The non-attributable costs are essentially related to road length. However, the NTC considers that the geographic location of the road, climate and topography can affect costs differentially. </w:t>
      </w:r>
    </w:p>
    <w:p w14:paraId="4A9CAE62" w14:textId="77777777" w:rsidR="007E365E" w:rsidRPr="00E23377" w:rsidRDefault="007E365E" w:rsidP="007E365E">
      <w:pPr>
        <w:pStyle w:val="CGCParaNumber"/>
      </w:pPr>
      <w:r w:rsidRPr="00E23377">
        <w:t>In its cost allocation matrix, the NTC attributes the stated share of the following categories to road length:</w:t>
      </w:r>
    </w:p>
    <w:p w14:paraId="77DABC4A" w14:textId="77777777" w:rsidR="007E365E" w:rsidRPr="00E23377" w:rsidRDefault="007E365E" w:rsidP="007E365E">
      <w:pPr>
        <w:pStyle w:val="CGCBullet1"/>
      </w:pPr>
      <w:r w:rsidRPr="00E23377">
        <w:t>routine maintenance of road pavement and shoulder (24%)</w:t>
      </w:r>
    </w:p>
    <w:p w14:paraId="1D766928" w14:textId="77777777" w:rsidR="007E365E" w:rsidRPr="00E23377" w:rsidRDefault="007E365E" w:rsidP="007E365E">
      <w:pPr>
        <w:pStyle w:val="CGCBullet1"/>
      </w:pPr>
      <w:r w:rsidRPr="00E23377">
        <w:t>periodic surface maintenance of sealed road pavement and shoulder (30%)</w:t>
      </w:r>
    </w:p>
    <w:p w14:paraId="62ACEA30" w14:textId="77777777" w:rsidR="007E365E" w:rsidRPr="00E23377" w:rsidRDefault="007E365E" w:rsidP="007E365E">
      <w:pPr>
        <w:pStyle w:val="CGCBullet1"/>
      </w:pPr>
      <w:r w:rsidRPr="00E23377">
        <w:t>road rehabilitation (55%).</w:t>
      </w:r>
    </w:p>
    <w:p w14:paraId="1EA1184B" w14:textId="77777777" w:rsidR="007E365E" w:rsidRPr="00E23377" w:rsidRDefault="007E365E" w:rsidP="007E365E">
      <w:pPr>
        <w:pStyle w:val="CGCParaNumber"/>
      </w:pPr>
      <w:r w:rsidRPr="00E23377">
        <w:t>The NTC assumes, in its cost allocation formula, that the share of attributable and non</w:t>
      </w:r>
      <w:r w:rsidRPr="00E23377">
        <w:noBreakHyphen/>
        <w:t xml:space="preserve">attributable costs are the same for all road types. However, the NTC recognises that urban roads are generally built to higher standards than rural roads and are therefore more costly to maintain. </w:t>
      </w:r>
    </w:p>
    <w:p w14:paraId="252DBB75" w14:textId="77777777" w:rsidR="007E365E" w:rsidRPr="00E23377" w:rsidRDefault="007E365E" w:rsidP="007E365E">
      <w:pPr>
        <w:pStyle w:val="CGCParaNumber"/>
      </w:pPr>
      <w:r w:rsidRPr="00B116C5">
        <w:t>Urban road length is essentially driven by the number and size of urban centres. In contrast, rural road length is mainly driven by the geographical size</w:t>
      </w:r>
      <w:r w:rsidRPr="007D3550">
        <w:t xml:space="preserve"> </w:t>
      </w:r>
      <w:r w:rsidRPr="00E23377">
        <w:t xml:space="preserve">and the dispersion of population centres. For example, the ACT is a compact jurisdiction where the road network comprises mostly roads within the Canberra urban area. By contrast, Queensland has a large network of urban roads because of its many urban population centres. Furthermore, since those centres are scattered across a large land area, it also has a large network of rural roads connecting them. </w:t>
      </w:r>
    </w:p>
    <w:p w14:paraId="667D328C" w14:textId="77777777" w:rsidR="007E365E" w:rsidRPr="00E23377" w:rsidRDefault="007E365E" w:rsidP="007E365E">
      <w:pPr>
        <w:pStyle w:val="CGCParaNumber"/>
      </w:pPr>
      <w:r w:rsidRPr="00E23377">
        <w:t>State policy choices, both historical and current, on the number of alternative routes between urban centres and the degree to which States give responsibility for roads to local government, may also affect the length of State government roads.</w:t>
      </w:r>
    </w:p>
    <w:p w14:paraId="6C0903CB" w14:textId="77777777" w:rsidR="007E365E" w:rsidRPr="00E23377" w:rsidRDefault="007E365E" w:rsidP="007E365E">
      <w:pPr>
        <w:pStyle w:val="CGCParaNumber"/>
      </w:pPr>
      <w:r w:rsidRPr="00E23377">
        <w:rPr>
          <w:rStyle w:val="Heading6Char"/>
        </w:rPr>
        <w:t>Bridges and tunnels.</w:t>
      </w:r>
      <w:r w:rsidRPr="00E23377">
        <w:t xml:space="preserve"> The NTC cost matrix recognises recurrent bridge and tunnel maintenance and rehabilitation as well as investment in bridge and tunnel improvements. </w:t>
      </w:r>
    </w:p>
    <w:p w14:paraId="30E361E8" w14:textId="77777777" w:rsidR="007E365E" w:rsidRPr="00E23377" w:rsidRDefault="007E365E" w:rsidP="007E365E">
      <w:pPr>
        <w:pStyle w:val="CGCParaNumber"/>
      </w:pPr>
      <w:r w:rsidRPr="00E23377">
        <w:t>Bridges and tunnels cost more to build and maintain than roads. They are required because of topological features such as waterways and, in some cases, changes in elevation. States also respond to safety issues and the complexity of their road and rail networks by building bridges and tunnels over or under other sections of the networks to avoid intersections. The total length of these structures is a primary driver of bridge and tunnel expenses.</w:t>
      </w:r>
    </w:p>
    <w:p w14:paraId="1E2FCF22" w14:textId="77777777" w:rsidR="007E365E" w:rsidRPr="00E23377" w:rsidRDefault="007E365E" w:rsidP="007E365E">
      <w:pPr>
        <w:pStyle w:val="CGCParaNumber"/>
      </w:pPr>
      <w:r w:rsidRPr="00E23377">
        <w:t xml:space="preserve">Other influences on bridge and tunnel maintenance expenses and investment are the size of a State’s road network, which increases the likelihood of bridges and tunnels across the </w:t>
      </w:r>
      <w:r w:rsidRPr="00E23377">
        <w:lastRenderedPageBreak/>
        <w:t xml:space="preserve">networks; and traffic volume, including heavy vehicle use, which influence the type and size of bridges </w:t>
      </w:r>
      <w:r>
        <w:t xml:space="preserve">and tunnels </w:t>
      </w:r>
      <w:r w:rsidRPr="00E23377">
        <w:t>built, and the maintenance costs.</w:t>
      </w:r>
    </w:p>
    <w:p w14:paraId="2B2A1AA1" w14:textId="77777777" w:rsidR="007E365E" w:rsidRPr="00E23377" w:rsidRDefault="007E365E" w:rsidP="007E365E">
      <w:pPr>
        <w:pStyle w:val="Heading4"/>
      </w:pPr>
      <w:bookmarkStart w:id="168" w:name="_Toc4754272"/>
      <w:bookmarkStart w:id="169" w:name="_Toc5030075"/>
      <w:r w:rsidRPr="00E23377">
        <w:t>Measurement of the rural and urban road disabilities</w:t>
      </w:r>
      <w:bookmarkEnd w:id="168"/>
      <w:bookmarkEnd w:id="169"/>
    </w:p>
    <w:p w14:paraId="094C4CB6" w14:textId="77777777" w:rsidR="007E365E" w:rsidRPr="00E23377" w:rsidRDefault="007E365E" w:rsidP="007E365E">
      <w:pPr>
        <w:pStyle w:val="Heading5"/>
      </w:pPr>
      <w:r w:rsidRPr="00E23377">
        <w:t>Rural road length</w:t>
      </w:r>
    </w:p>
    <w:p w14:paraId="4F279AC3" w14:textId="77777777" w:rsidR="007E365E" w:rsidRPr="00E23377" w:rsidRDefault="007E365E" w:rsidP="007E365E">
      <w:pPr>
        <w:pStyle w:val="CGCParaNumber"/>
      </w:pPr>
      <w:r w:rsidRPr="00E23377">
        <w:t>The Commission could not use the actual State road length to measure States’ needs because State road classifications var</w:t>
      </w:r>
      <w:r>
        <w:t>y</w:t>
      </w:r>
      <w:r w:rsidRPr="00E23377">
        <w:t>. Because of this, the Commission needs to split the rural road network between roads that are, on average, the responsibility of State governments and roads that are, on average, the responsibility of local governments.</w:t>
      </w:r>
    </w:p>
    <w:p w14:paraId="3D6910F8" w14:textId="77777777" w:rsidR="007E365E" w:rsidRPr="00E23377" w:rsidRDefault="007E365E" w:rsidP="007E365E">
      <w:pPr>
        <w:pStyle w:val="CGCParaNumber"/>
      </w:pPr>
      <w:r w:rsidRPr="00E23377">
        <w:t>To achieve this, the Commission has developed an assessed rural State road network using an algorithm that measures rural road lane-kilometres by:</w:t>
      </w:r>
    </w:p>
    <w:p w14:paraId="02BCC3AD" w14:textId="77777777" w:rsidR="007E365E" w:rsidRPr="00E23377" w:rsidRDefault="007E365E" w:rsidP="007E365E">
      <w:pPr>
        <w:pStyle w:val="CGCBullet1"/>
      </w:pPr>
      <w:r w:rsidRPr="00E23377">
        <w:t>connecting all ABS Urban Centres</w:t>
      </w:r>
      <w:r>
        <w:t xml:space="preserve"> and </w:t>
      </w:r>
      <w:r w:rsidRPr="00E23377">
        <w:t>Localities (UCLs)</w:t>
      </w:r>
    </w:p>
    <w:p w14:paraId="1EAB8590" w14:textId="77777777" w:rsidR="007E365E" w:rsidRPr="00E23377" w:rsidRDefault="007E365E" w:rsidP="007E365E">
      <w:pPr>
        <w:pStyle w:val="CGCBullet1"/>
      </w:pPr>
      <w:r w:rsidRPr="00E23377">
        <w:t xml:space="preserve">connecting significant mines and regions of oil and gas </w:t>
      </w:r>
      <w:r>
        <w:t>extraction</w:t>
      </w:r>
      <w:r w:rsidRPr="00E23377">
        <w:t xml:space="preserve"> to their nearest port</w:t>
      </w:r>
    </w:p>
    <w:p w14:paraId="352FA441" w14:textId="77777777" w:rsidR="007E365E" w:rsidRPr="00E23377" w:rsidRDefault="007E365E" w:rsidP="007E365E">
      <w:pPr>
        <w:pStyle w:val="CGCBullet1"/>
      </w:pPr>
      <w:r w:rsidRPr="00E23377">
        <w:t>connecting ports to their nearest UCL</w:t>
      </w:r>
    </w:p>
    <w:p w14:paraId="7FBD3244" w14:textId="77777777" w:rsidR="007E365E" w:rsidRPr="00E23377" w:rsidRDefault="007E365E" w:rsidP="007E365E">
      <w:pPr>
        <w:pStyle w:val="CGCBullet1"/>
      </w:pPr>
      <w:r w:rsidRPr="00E23377">
        <w:t xml:space="preserve">connecting national parks to their nearest </w:t>
      </w:r>
      <w:r>
        <w:t>UCL</w:t>
      </w:r>
      <w:r w:rsidRPr="00E23377">
        <w:t xml:space="preserve">. </w:t>
      </w:r>
    </w:p>
    <w:p w14:paraId="183E670C" w14:textId="77777777" w:rsidR="007E365E" w:rsidRPr="00E23377" w:rsidRDefault="007E365E" w:rsidP="007E365E">
      <w:pPr>
        <w:pStyle w:val="CGCParaNumber"/>
      </w:pPr>
      <w:r w:rsidRPr="00E23377">
        <w:t>The algorithm was run across the Pitney Bowes routable ‘RouteFinder Links’ dataset using its RouteFinder software to select the appropriate roads for inclusion. This dataset includes all accessible roads regardless of whether States classify them as State or local roads.</w:t>
      </w:r>
      <w:r w:rsidRPr="00E23377">
        <w:rPr>
          <w:rStyle w:val="FootnoteReference"/>
        </w:rPr>
        <w:footnoteReference w:id="21"/>
      </w:r>
    </w:p>
    <w:p w14:paraId="2D03F314" w14:textId="77777777" w:rsidR="007E365E" w:rsidRPr="00E23377" w:rsidRDefault="007E365E" w:rsidP="007E365E">
      <w:pPr>
        <w:pStyle w:val="CGCParaNumber"/>
      </w:pPr>
      <w:r w:rsidRPr="00E23377">
        <w:t>The initial lane-kilometre measure assumes two lanes per road.</w:t>
      </w:r>
      <w:r w:rsidRPr="00E23377">
        <w:rPr>
          <w:rStyle w:val="FootnoteReference"/>
        </w:rPr>
        <w:footnoteReference w:id="22"/>
      </w:r>
      <w:r w:rsidRPr="00E23377">
        <w:t xml:space="preserve"> Using State collected data, road lengths were adjusted to reflect the existence of additional lanes. </w:t>
      </w:r>
    </w:p>
    <w:p w14:paraId="0B911731" w14:textId="77777777" w:rsidR="007E365E" w:rsidRPr="00E23377" w:rsidRDefault="007E365E" w:rsidP="007E365E">
      <w:pPr>
        <w:pStyle w:val="CGCParaNumber"/>
      </w:pPr>
      <w:r w:rsidRPr="00E23377">
        <w:t>Victoria would have preferred the use of actual State rural road length and encouraged the Commission to investigate the possibility of assessing the actual rural road length, with a consistent definition of State roads. While the use of a national classification would be preferred, as noted above, no such classification exists at this stage. However, the Commission notes that work is being done by the Transport and Infrastructure Council to develop a national classification. The Commission will monitor the progress of this work. If a national classification is implemented and road length measures are available during the period covered by this review, the Commission may consider using them when they become available.</w:t>
      </w:r>
    </w:p>
    <w:p w14:paraId="58336CDE" w14:textId="77777777" w:rsidR="007E365E" w:rsidRPr="00E23377" w:rsidRDefault="007E365E" w:rsidP="007E365E">
      <w:pPr>
        <w:pStyle w:val="CGCParaNumber"/>
      </w:pPr>
      <w:r w:rsidRPr="00E23377">
        <w:t>Western Australia considered that it is average policy for States to provide significant funding to local governments, and this funding is concentrated in States with high needs. As such, the connectivity analysis should cover more than just State-type roads, in order to cover properly the circumstances in all States.</w:t>
      </w:r>
    </w:p>
    <w:p w14:paraId="47E47815" w14:textId="77777777" w:rsidR="007E365E" w:rsidRPr="00A169BE" w:rsidDel="009E5A91" w:rsidRDefault="007E365E" w:rsidP="007E365E">
      <w:pPr>
        <w:pStyle w:val="CGCParaNumber"/>
      </w:pPr>
      <w:r w:rsidRPr="00A169BE">
        <w:t>State funding for local roads represents only 2% of State total roads spending.</w:t>
      </w:r>
      <w:r w:rsidRPr="00A169BE" w:rsidDel="009E5A91">
        <w:t xml:space="preserve"> </w:t>
      </w:r>
      <w:r w:rsidRPr="00A169BE">
        <w:t>In some cases, it appears that the funding is for local governments to perform work for a State purpose. For example, Western Australia has a policy of allocating maintenance responsibility for some State-type roads to local governments</w:t>
      </w:r>
      <w:r w:rsidRPr="00A169BE" w:rsidDel="009E5A91">
        <w:t xml:space="preserve">. </w:t>
      </w:r>
      <w:r w:rsidRPr="00A169BE">
        <w:t xml:space="preserve">In this case, the spending is for State roads and should be allocated to the rural and urban roads components. In any case, the Commission </w:t>
      </w:r>
      <w:r w:rsidRPr="00A169BE">
        <w:lastRenderedPageBreak/>
        <w:t>was unable to develop a policy neutral measure for assessing local roads. The Commission considers State roads disabilities are a reasonable proxy for assessing State spending on local roads.</w:t>
      </w:r>
    </w:p>
    <w:p w14:paraId="22DFAC00" w14:textId="77777777" w:rsidR="007E365E" w:rsidRPr="00E23377" w:rsidRDefault="007E365E" w:rsidP="007E365E">
      <w:pPr>
        <w:pStyle w:val="CGCParaNumber"/>
      </w:pPr>
      <w:r w:rsidRPr="00E23377">
        <w:t>Western Australia did not support including a measure based on lane-kilometres rather than road-kilometres as it did not consider this to be a policy neutral measure. It noted that adding extra lanes is only a partial measure of how States respond to increasing traffic. Western</w:t>
      </w:r>
      <w:r>
        <w:t> </w:t>
      </w:r>
      <w:r w:rsidRPr="00E23377">
        <w:t>Australia considered that traffic volume sufficiently captures needs for additional lanes.</w:t>
      </w:r>
    </w:p>
    <w:p w14:paraId="79D644D4" w14:textId="77777777" w:rsidR="007E365E" w:rsidRPr="00E23377" w:rsidRDefault="007E365E" w:rsidP="007E365E">
      <w:pPr>
        <w:pStyle w:val="CGCParaNumber"/>
      </w:pPr>
      <w:r w:rsidRPr="00E23377">
        <w:t xml:space="preserve">An investigation of State spatial data shows that in rural areas, all roads with more than two lanes are identified by the algorithm and tend to be on highways and freeways. This pattern indicates that the decision to provide additional lanes is primarily driven by need rather than policy choice. While States also use overtaking lanes and broader shoulders to </w:t>
      </w:r>
      <w:r>
        <w:t>account for the</w:t>
      </w:r>
      <w:r w:rsidRPr="00E23377">
        <w:t xml:space="preserve"> increasing traffic, these measures tend to be in areas with a lower traffic threshold than those requiring additional lanes. Furthermore, while traffic volume influences the number of lanes on these roads, the maintenance costs for these roads is influenced by more than just traffic volume. The NTC methodology, which the Commission uses to attribute road costs to different influences, distinguishes between road length and use. The Commission considers additional lane kilometres to be a reasonable measure of need that is not unduly policy affected.</w:t>
      </w:r>
    </w:p>
    <w:p w14:paraId="2C1B6823" w14:textId="77777777" w:rsidR="007E365E" w:rsidRPr="00E23377" w:rsidRDefault="007E365E" w:rsidP="007E365E">
      <w:pPr>
        <w:pStyle w:val="CGCParaNumber"/>
      </w:pPr>
      <w:bookmarkStart w:id="170" w:name="_Ref24977324"/>
      <w:r w:rsidRPr="00E23377">
        <w:rPr>
          <w:rStyle w:val="Heading6Char"/>
        </w:rPr>
        <w:t>Roads between UCLs.</w:t>
      </w:r>
      <w:r w:rsidRPr="00E23377">
        <w:t xml:space="preserve"> Roads between UCLs were measured by:</w:t>
      </w:r>
      <w:bookmarkEnd w:id="170"/>
    </w:p>
    <w:p w14:paraId="3276C894" w14:textId="77777777" w:rsidR="007E365E" w:rsidRPr="00E23377" w:rsidRDefault="007E365E" w:rsidP="007E365E">
      <w:pPr>
        <w:pStyle w:val="CGCBullet1"/>
      </w:pPr>
      <w:r w:rsidRPr="00E23377">
        <w:t>connecting all UCLs with a population of more than 1</w:t>
      </w:r>
      <w:r>
        <w:t>,</w:t>
      </w:r>
      <w:r w:rsidRPr="00E23377">
        <w:t>000 using the fastest driving route to all adjacent</w:t>
      </w:r>
      <w:r w:rsidRPr="00E23377">
        <w:rPr>
          <w:rStyle w:val="FootnoteReference"/>
        </w:rPr>
        <w:footnoteReference w:id="23"/>
      </w:r>
      <w:r w:rsidRPr="00E23377">
        <w:t xml:space="preserve"> UCLs with a population over 1</w:t>
      </w:r>
      <w:r>
        <w:t>,</w:t>
      </w:r>
      <w:r w:rsidRPr="00E23377">
        <w:t>000</w:t>
      </w:r>
    </w:p>
    <w:p w14:paraId="11F9A2A5" w14:textId="77777777" w:rsidR="007E365E" w:rsidRPr="00E23377" w:rsidRDefault="007E365E" w:rsidP="007E365E">
      <w:pPr>
        <w:pStyle w:val="CGCBullet1"/>
      </w:pPr>
      <w:r w:rsidRPr="00E23377">
        <w:t>connecting all UCLs with a population less than 1</w:t>
      </w:r>
      <w:r>
        <w:t>,</w:t>
      </w:r>
      <w:r w:rsidRPr="00E23377">
        <w:t>000 to their nearest two UCLs with a population of more than 1</w:t>
      </w:r>
      <w:r>
        <w:t>,</w:t>
      </w:r>
      <w:r w:rsidRPr="00E23377">
        <w:t>000 using the fastest connection.</w:t>
      </w:r>
      <w:r w:rsidRPr="00E23377">
        <w:rPr>
          <w:rStyle w:val="FootnoteReference"/>
        </w:rPr>
        <w:footnoteReference w:id="24"/>
      </w:r>
    </w:p>
    <w:p w14:paraId="30E1555B" w14:textId="77777777" w:rsidR="007E365E" w:rsidRPr="00E23377" w:rsidRDefault="007E365E" w:rsidP="007E365E">
      <w:pPr>
        <w:pStyle w:val="CGCParaNumber"/>
      </w:pPr>
      <w:r w:rsidRPr="00E23377">
        <w:t>Actual State road networks, excluding State defined local roads, were used to determine the parameters for deciding what connections States are responsible for on average. All roads within UCLs with populations over 40</w:t>
      </w:r>
      <w:r>
        <w:t>,</w:t>
      </w:r>
      <w:r w:rsidRPr="00E23377">
        <w:t>000 were excluded, as these are considered urban roads.</w:t>
      </w:r>
    </w:p>
    <w:p w14:paraId="4F944D7D" w14:textId="04E46AB0" w:rsidR="007E365E" w:rsidRPr="00E23377" w:rsidRDefault="007E365E" w:rsidP="007E365E">
      <w:pPr>
        <w:pStyle w:val="CGCParaNumber"/>
      </w:pPr>
      <w:r w:rsidRPr="00E23377">
        <w:t xml:space="preserve">The two-step approach reflects that smaller UCLs tend to have fewer connections to other UCLs than larger ones. </w:t>
      </w:r>
      <w:r w:rsidRPr="00E23377">
        <w:fldChar w:fldCharType="begin"/>
      </w:r>
      <w:r w:rsidRPr="00E23377">
        <w:instrText xml:space="preserve"> REF _Ref4595251 \h  \* MERGEFORMAT </w:instrText>
      </w:r>
      <w:r w:rsidRPr="00E23377">
        <w:fldChar w:fldCharType="separate"/>
      </w:r>
      <w:r w:rsidR="007F721A" w:rsidRPr="00E23377">
        <w:t xml:space="preserve">Table </w:t>
      </w:r>
      <w:r w:rsidR="007F721A">
        <w:rPr>
          <w:noProof/>
        </w:rPr>
        <w:t>20-8</w:t>
      </w:r>
      <w:r w:rsidRPr="00E23377">
        <w:fldChar w:fldCharType="end"/>
      </w:r>
      <w:r w:rsidRPr="00E23377">
        <w:t xml:space="preserve"> shows the average number of State roads that intersect the borders of UCLs of different sizes and that connect other UCLs.</w:t>
      </w:r>
      <w:r w:rsidRPr="00E23377">
        <w:rPr>
          <w:rStyle w:val="FootnoteReference"/>
        </w:rPr>
        <w:footnoteReference w:id="25"/>
      </w:r>
      <w:r w:rsidRPr="00E23377">
        <w:t xml:space="preserve"> In the case of the Northern</w:t>
      </w:r>
      <w:r>
        <w:t> </w:t>
      </w:r>
      <w:r w:rsidRPr="00E23377">
        <w:t xml:space="preserve">Territory, the 0.7 average connection for UCLs with </w:t>
      </w:r>
      <w:r>
        <w:t xml:space="preserve">a </w:t>
      </w:r>
      <w:r w:rsidRPr="00E23377">
        <w:t>population less than 400 means that some UCLs are not connected to a State road but a local road.</w:t>
      </w:r>
    </w:p>
    <w:p w14:paraId="076D8E8D" w14:textId="6290DDB2" w:rsidR="007E365E" w:rsidRPr="00E23377" w:rsidRDefault="007E365E" w:rsidP="007E365E">
      <w:pPr>
        <w:pStyle w:val="CGCParaNumber"/>
      </w:pPr>
      <w:r w:rsidRPr="00E23377">
        <w:fldChar w:fldCharType="begin"/>
      </w:r>
      <w:r w:rsidRPr="00E23377">
        <w:instrText xml:space="preserve"> REF _Ref4595251 \h  \* MERGEFORMAT </w:instrText>
      </w:r>
      <w:r w:rsidRPr="00E23377">
        <w:fldChar w:fldCharType="separate"/>
      </w:r>
      <w:r w:rsidR="007F721A" w:rsidRPr="00E23377">
        <w:t xml:space="preserve">Table </w:t>
      </w:r>
      <w:r w:rsidR="007F721A">
        <w:rPr>
          <w:noProof/>
        </w:rPr>
        <w:t>20-8</w:t>
      </w:r>
      <w:r w:rsidRPr="00E23377">
        <w:fldChar w:fldCharType="end"/>
      </w:r>
      <w:r w:rsidRPr="00E23377">
        <w:t xml:space="preserve"> shows that UCLs with </w:t>
      </w:r>
      <w:r>
        <w:t xml:space="preserve">a </w:t>
      </w:r>
      <w:r w:rsidRPr="00E23377">
        <w:t xml:space="preserve">population </w:t>
      </w:r>
      <w:r>
        <w:t xml:space="preserve">of </w:t>
      </w:r>
      <w:r w:rsidRPr="00E23377">
        <w:t>less than 1</w:t>
      </w:r>
      <w:r>
        <w:t>,</w:t>
      </w:r>
      <w:r w:rsidRPr="00E23377">
        <w:t xml:space="preserve">000 have on average about two connections. Smaller UCLs tend to lie along a single State managed road. Larger UCLs commonly have radial connections to surrounding UCLs, resulting in several connections. </w:t>
      </w:r>
    </w:p>
    <w:p w14:paraId="11027E68" w14:textId="718E3EA2" w:rsidR="007E365E" w:rsidRDefault="007E365E" w:rsidP="007E365E">
      <w:pPr>
        <w:pStyle w:val="Caption"/>
      </w:pPr>
      <w:bookmarkStart w:id="171" w:name="_Ref4595251"/>
      <w:bookmarkStart w:id="172" w:name="_Ref24771770"/>
      <w:r w:rsidRPr="00E23377">
        <w:lastRenderedPageBreak/>
        <w:t xml:space="preserve">Table </w:t>
      </w:r>
      <w:r>
        <w:t>20-</w:t>
      </w:r>
      <w:fldSimple w:instr=" SEQ Table \* ARABIC ">
        <w:r w:rsidR="007F721A">
          <w:rPr>
            <w:noProof/>
          </w:rPr>
          <w:t>8</w:t>
        </w:r>
      </w:fldSimple>
      <w:bookmarkEnd w:id="171"/>
      <w:r w:rsidRPr="00E23377">
        <w:tab/>
        <w:t xml:space="preserve">Average number of State managed roads </w:t>
      </w:r>
      <w:bookmarkEnd w:id="172"/>
      <w:r w:rsidRPr="00E23377">
        <w:t>intersecting UCL borders</w:t>
      </w:r>
    </w:p>
    <w:tbl>
      <w:tblPr>
        <w:tblW w:w="9020" w:type="dxa"/>
        <w:tblCellMar>
          <w:left w:w="0" w:type="dxa"/>
          <w:right w:w="0" w:type="dxa"/>
        </w:tblCellMar>
        <w:tblLook w:val="04A0" w:firstRow="1" w:lastRow="0" w:firstColumn="1" w:lastColumn="0" w:noHBand="0" w:noVBand="1"/>
      </w:tblPr>
      <w:tblGrid>
        <w:gridCol w:w="1980"/>
        <w:gridCol w:w="840"/>
        <w:gridCol w:w="760"/>
        <w:gridCol w:w="760"/>
        <w:gridCol w:w="760"/>
        <w:gridCol w:w="760"/>
        <w:gridCol w:w="760"/>
        <w:gridCol w:w="760"/>
        <w:gridCol w:w="760"/>
        <w:gridCol w:w="880"/>
      </w:tblGrid>
      <w:tr w:rsidR="007E365E" w:rsidRPr="00DA25BD" w14:paraId="662D8288" w14:textId="77777777" w:rsidTr="007D1D77">
        <w:trPr>
          <w:trHeight w:val="379"/>
        </w:trPr>
        <w:tc>
          <w:tcPr>
            <w:tcW w:w="19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27B824B0" w14:textId="77777777" w:rsidR="007E365E" w:rsidRDefault="007E365E" w:rsidP="007D1D77">
            <w:pPr>
              <w:keepNext/>
              <w:keepLines/>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8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5E6443A9"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7848E6C"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358B1E1"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CACED1D"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51114C59"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FAAD1DE"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741FBD3"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966C71D"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8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6F167F2"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Average</w:t>
            </w:r>
          </w:p>
        </w:tc>
      </w:tr>
      <w:tr w:rsidR="007E365E" w:rsidRPr="00DA25BD" w14:paraId="5DBF8882" w14:textId="77777777" w:rsidTr="007D1D77">
        <w:trPr>
          <w:trHeight w:val="259"/>
        </w:trPr>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7AF59084" w14:textId="77777777" w:rsidR="007E365E" w:rsidRDefault="007E365E" w:rsidP="007D1D77">
            <w:pPr>
              <w:keepNext/>
              <w:keepLines/>
              <w:spacing w:before="0" w:line="240" w:lineRule="auto"/>
              <w:rPr>
                <w:rFonts w:ascii="Open Sans SemiBold" w:hAnsi="Open Sans SemiBold" w:cs="Open Sans SemiBold"/>
                <w:sz w:val="16"/>
                <w:szCs w:val="16"/>
              </w:rPr>
            </w:pPr>
            <w:r>
              <w:rPr>
                <w:rFonts w:ascii="Open Sans SemiBold" w:hAnsi="Open Sans SemiBold" w:cs="Open Sans SemiBold"/>
                <w:sz w:val="16"/>
                <w:szCs w:val="16"/>
              </w:rPr>
              <w:t>Population of:</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39B6147C"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193CAEB1"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48068761"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3D846E3A"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1C8586AE" w14:textId="77777777" w:rsidR="007E365E" w:rsidRDefault="007E365E" w:rsidP="007D1D77">
            <w:pPr>
              <w:keepNext/>
              <w:keepLines/>
              <w:spacing w:before="0" w:line="240" w:lineRule="auto"/>
              <w:rPr>
                <w:rFonts w:ascii="Open Sans SemiBold" w:hAnsi="Open Sans SemiBold" w:cs="Open Sans SemiBold"/>
                <w:sz w:val="22"/>
              </w:rPr>
            </w:pPr>
            <w:r>
              <w:rPr>
                <w:rFonts w:ascii="Open Sans SemiBold" w:hAnsi="Open Sans SemiBold" w:cs="Open Sans SemiBold"/>
                <w:sz w:val="22"/>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498C925C"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30D7A266"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5B7DE7C3"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08311356"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r>
      <w:tr w:rsidR="007E365E" w:rsidRPr="00DA25BD" w14:paraId="4132E4B5"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E4BAE5" w14:textId="77777777" w:rsidR="007E365E" w:rsidRDefault="007E365E" w:rsidP="007D1D77">
            <w:pPr>
              <w:keepNext/>
              <w:keepLines/>
              <w:spacing w:before="0" w:line="240" w:lineRule="auto"/>
              <w:rPr>
                <w:rFonts w:cs="Open Sans Light"/>
                <w:sz w:val="16"/>
                <w:szCs w:val="16"/>
              </w:rPr>
            </w:pPr>
            <w:r>
              <w:rPr>
                <w:rFonts w:cs="Open Sans Light"/>
                <w:sz w:val="16"/>
                <w:szCs w:val="16"/>
              </w:rPr>
              <w:t>0 to 400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CE2AA9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EB78D6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B81F0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C8C1AE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5EFE57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F428A6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C5580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CEFBF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0.7</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A5943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1.5</w:t>
            </w:r>
          </w:p>
        </w:tc>
      </w:tr>
      <w:tr w:rsidR="007E365E" w:rsidRPr="00DA25BD" w14:paraId="2D26F66D"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7CC37A" w14:textId="77777777" w:rsidR="007E365E" w:rsidRDefault="007E365E" w:rsidP="007D1D77">
            <w:pPr>
              <w:keepNext/>
              <w:keepLines/>
              <w:spacing w:before="0" w:line="240" w:lineRule="auto"/>
              <w:rPr>
                <w:rFonts w:cs="Open Sans Light"/>
                <w:sz w:val="16"/>
                <w:szCs w:val="16"/>
              </w:rPr>
            </w:pPr>
            <w:r>
              <w:rPr>
                <w:rFonts w:cs="Open Sans Light"/>
                <w:sz w:val="16"/>
                <w:szCs w:val="16"/>
              </w:rPr>
              <w:t>400 to 700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564035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8E159F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845B43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1EBCF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44A25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F15473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E5AC24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ADB224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C023B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1.9</w:t>
            </w:r>
          </w:p>
        </w:tc>
      </w:tr>
      <w:tr w:rsidR="007E365E" w:rsidRPr="00DA25BD" w14:paraId="11AC8606"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AC8906F" w14:textId="77777777" w:rsidR="007E365E" w:rsidRDefault="007E365E" w:rsidP="007D1D77">
            <w:pPr>
              <w:keepNext/>
              <w:keepLines/>
              <w:spacing w:before="0" w:line="240" w:lineRule="auto"/>
              <w:rPr>
                <w:rFonts w:cs="Open Sans Light"/>
                <w:sz w:val="16"/>
                <w:szCs w:val="16"/>
              </w:rPr>
            </w:pPr>
            <w:r>
              <w:rPr>
                <w:rFonts w:cs="Open Sans Light"/>
                <w:sz w:val="16"/>
                <w:szCs w:val="16"/>
              </w:rPr>
              <w:t>700 to 1,000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B59CE3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47D57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1D406E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197DE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FF99F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2C1DE5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7C5C8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7F61FC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2DD76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2.3</w:t>
            </w:r>
          </w:p>
        </w:tc>
      </w:tr>
      <w:tr w:rsidR="007E365E" w:rsidRPr="00DA25BD" w14:paraId="4FBCCCE1"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29E494E" w14:textId="77777777" w:rsidR="007E365E" w:rsidRDefault="007E365E" w:rsidP="007D1D77">
            <w:pPr>
              <w:keepNext/>
              <w:keepLines/>
              <w:spacing w:before="0" w:line="240" w:lineRule="auto"/>
              <w:rPr>
                <w:rFonts w:cs="Open Sans Light"/>
                <w:sz w:val="16"/>
                <w:szCs w:val="16"/>
              </w:rPr>
            </w:pPr>
            <w:r>
              <w:rPr>
                <w:rFonts w:cs="Open Sans Light"/>
                <w:sz w:val="16"/>
                <w:szCs w:val="16"/>
              </w:rPr>
              <w:t>1,000 to 4,000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6F06D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66F16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346C65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33E8F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B7D6B7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910B0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861C27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6F54A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F0EA42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3.1</w:t>
            </w:r>
          </w:p>
        </w:tc>
      </w:tr>
      <w:tr w:rsidR="007E365E" w:rsidRPr="00DA25BD" w14:paraId="24E17AE1"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0CA39D" w14:textId="77777777" w:rsidR="007E365E" w:rsidRDefault="007E365E" w:rsidP="007D1D77">
            <w:pPr>
              <w:keepNext/>
              <w:keepLines/>
              <w:spacing w:before="0" w:line="240" w:lineRule="auto"/>
              <w:rPr>
                <w:rFonts w:cs="Open Sans Light"/>
                <w:sz w:val="16"/>
                <w:szCs w:val="16"/>
              </w:rPr>
            </w:pPr>
            <w:r>
              <w:rPr>
                <w:rFonts w:cs="Open Sans Light"/>
                <w:sz w:val="16"/>
                <w:szCs w:val="16"/>
              </w:rPr>
              <w:t>4,000 to 7,000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4ED89A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7C6169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55E948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874AC8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F0B745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57AD10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3B28FF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44A42C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FEFFD9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3.8</w:t>
            </w:r>
          </w:p>
        </w:tc>
      </w:tr>
      <w:tr w:rsidR="007E365E" w:rsidRPr="00DA25BD" w14:paraId="3B183E3D"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933D377" w14:textId="77777777" w:rsidR="007E365E" w:rsidRDefault="007E365E" w:rsidP="007D1D77">
            <w:pPr>
              <w:keepNext/>
              <w:keepLines/>
              <w:spacing w:before="0" w:line="240" w:lineRule="auto"/>
              <w:rPr>
                <w:rFonts w:cs="Open Sans Light"/>
                <w:sz w:val="16"/>
                <w:szCs w:val="16"/>
              </w:rPr>
            </w:pPr>
            <w:r>
              <w:rPr>
                <w:rFonts w:cs="Open Sans Light"/>
                <w:sz w:val="16"/>
                <w:szCs w:val="16"/>
              </w:rPr>
              <w:t>7,000 to 10,000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444723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0DF91A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7.2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E3D1C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F3301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588746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E6D7C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F1D6B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0C8403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D546E4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4.9</w:t>
            </w:r>
          </w:p>
        </w:tc>
      </w:tr>
      <w:tr w:rsidR="007E365E" w:rsidRPr="00DA25BD" w14:paraId="272C59BC"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C1881D4" w14:textId="77777777" w:rsidR="007E365E" w:rsidRDefault="007E365E" w:rsidP="007D1D77">
            <w:pPr>
              <w:keepNext/>
              <w:keepLines/>
              <w:spacing w:before="0" w:line="240" w:lineRule="auto"/>
              <w:rPr>
                <w:rFonts w:cs="Open Sans Light"/>
                <w:sz w:val="16"/>
                <w:szCs w:val="16"/>
              </w:rPr>
            </w:pPr>
            <w:r>
              <w:rPr>
                <w:rFonts w:cs="Open Sans Light"/>
                <w:sz w:val="16"/>
                <w:szCs w:val="16"/>
              </w:rPr>
              <w:t>10,000 and above</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339696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C8E320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15.6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622B9B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3BACF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6894B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1E27C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24.0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7E86AA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A4FC04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15.5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0909EE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15.7</w:t>
            </w:r>
          </w:p>
        </w:tc>
      </w:tr>
      <w:tr w:rsidR="007E365E" w:rsidRPr="00DA25BD" w14:paraId="62DE8828"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B7B5105" w14:textId="77777777" w:rsidR="007E365E" w:rsidRDefault="007E365E" w:rsidP="007D1D77">
            <w:pPr>
              <w:keepNext/>
              <w:keepLines/>
              <w:spacing w:before="0" w:line="240" w:lineRule="auto"/>
              <w:rPr>
                <w:rFonts w:cs="Open Sans Light"/>
                <w:sz w:val="16"/>
                <w:szCs w:val="16"/>
              </w:rPr>
            </w:pPr>
            <w:r>
              <w:rPr>
                <w:rFonts w:cs="Open Sans Light"/>
                <w:sz w:val="16"/>
                <w:szCs w:val="16"/>
              </w:rPr>
              <w:t>Less than 1,000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4E010D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2F31B3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366EFD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F0C823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EC7A2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16316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2715DE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22D71C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47335A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r>
      <w:tr w:rsidR="007E365E" w:rsidRPr="00DA25BD" w14:paraId="7CB27E33"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E1A58BA" w14:textId="77777777" w:rsidR="007E365E" w:rsidRDefault="007E365E" w:rsidP="007D1D77">
            <w:pPr>
              <w:keepNext/>
              <w:keepLines/>
              <w:spacing w:before="0" w:line="240" w:lineRule="auto"/>
              <w:rPr>
                <w:rFonts w:cs="Open Sans Light"/>
                <w:sz w:val="16"/>
                <w:szCs w:val="16"/>
              </w:rPr>
            </w:pPr>
            <w:r>
              <w:rPr>
                <w:rFonts w:cs="Open Sans Light"/>
                <w:sz w:val="16"/>
                <w:szCs w:val="16"/>
              </w:rPr>
              <w:t>More than 1,000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CA842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B3CA8E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129875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3A802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54418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76373B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D5B4E5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D9E43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C14955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5.4</w:t>
            </w:r>
          </w:p>
        </w:tc>
      </w:tr>
      <w:tr w:rsidR="007E365E" w:rsidRPr="00DA25BD" w14:paraId="436AA745"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A068EE" w14:textId="77777777" w:rsidR="007E365E" w:rsidRDefault="007E365E" w:rsidP="007D1D77">
            <w:pPr>
              <w:keepNext/>
              <w:keepLines/>
              <w:spacing w:before="0" w:line="240" w:lineRule="auto"/>
              <w:rPr>
                <w:rFonts w:cs="Open Sans Light"/>
                <w:sz w:val="16"/>
                <w:szCs w:val="16"/>
              </w:rPr>
            </w:pPr>
            <w:r>
              <w:rPr>
                <w:rFonts w:cs="Open Sans Light"/>
                <w:sz w:val="16"/>
                <w:szCs w:val="16"/>
              </w:rPr>
              <w:t>Less than 4,000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2E65CC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A825B3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5F14E4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554CDB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164A9B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D0A3B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252DE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55E8D8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769082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2.2</w:t>
            </w:r>
          </w:p>
        </w:tc>
      </w:tr>
      <w:tr w:rsidR="007E365E" w:rsidRPr="00DA25BD" w14:paraId="45034043"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9FD981" w14:textId="77777777" w:rsidR="007E365E" w:rsidRDefault="007E365E" w:rsidP="007D1D77">
            <w:pPr>
              <w:keepNext/>
              <w:keepLines/>
              <w:spacing w:before="0" w:line="240" w:lineRule="auto"/>
              <w:rPr>
                <w:rFonts w:cs="Open Sans Light"/>
                <w:sz w:val="16"/>
                <w:szCs w:val="16"/>
              </w:rPr>
            </w:pPr>
            <w:r>
              <w:rPr>
                <w:rFonts w:cs="Open Sans Light"/>
                <w:sz w:val="16"/>
                <w:szCs w:val="16"/>
              </w:rPr>
              <w:t>More than 4,000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868291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8.8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FD41A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11.2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4CD806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AC3171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8.6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592E3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4DABB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7C0B7B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754981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35C3FA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9.8</w:t>
            </w:r>
          </w:p>
        </w:tc>
      </w:tr>
    </w:tbl>
    <w:p w14:paraId="28C52C93" w14:textId="77777777" w:rsidR="007E365E" w:rsidRPr="00E23377" w:rsidRDefault="007E365E" w:rsidP="007E365E">
      <w:pPr>
        <w:pStyle w:val="CGCTablenote"/>
        <w:keepNext/>
        <w:keepLines/>
      </w:pPr>
      <w:r w:rsidRPr="00E23377">
        <w:t>Note:</w:t>
      </w:r>
      <w:r w:rsidRPr="00E23377">
        <w:tab/>
      </w:r>
      <w:r>
        <w:t>The a</w:t>
      </w:r>
      <w:r w:rsidRPr="00E23377">
        <w:t xml:space="preserve">verage number of intersections </w:t>
      </w:r>
      <w:r>
        <w:t>is</w:t>
      </w:r>
      <w:r w:rsidRPr="00E23377">
        <w:t xml:space="preserve"> calculated as the average number of State-defined State road segments intersecting </w:t>
      </w:r>
      <w:r>
        <w:t>Urban Centre Localities (</w:t>
      </w:r>
      <w:r w:rsidRPr="00E23377">
        <w:t>UCL</w:t>
      </w:r>
      <w:r>
        <w:t>)</w:t>
      </w:r>
      <w:r w:rsidRPr="00E23377">
        <w:t xml:space="preserve"> borders of the same population size grouping. A segment is a stretch of road with individual attributes in State spatial data. In most cases road lengths are broken into a number of short segments with new segments starting at intersections. A single road running through a UCL will generally consist of two or more segments and be counted as two connections (from the points where two separate segments cross the border). Inspection of State spatial data indicates that these instances are in the minority and that the analysis presents a reliable indicator of UCL connectivity.</w:t>
      </w:r>
    </w:p>
    <w:p w14:paraId="2F4BBBE6" w14:textId="77777777" w:rsidR="007E365E" w:rsidRPr="00E23377" w:rsidRDefault="007E365E" w:rsidP="007E365E">
      <w:pPr>
        <w:pStyle w:val="CGCTablenote"/>
        <w:keepNext/>
        <w:keepLines/>
      </w:pPr>
      <w:r w:rsidRPr="00E23377">
        <w:t>Source:</w:t>
      </w:r>
      <w:r w:rsidRPr="00E23377">
        <w:tab/>
        <w:t>Commission calculation using State roads spatial data.</w:t>
      </w:r>
    </w:p>
    <w:p w14:paraId="07743EC0" w14:textId="77777777" w:rsidR="007E365E" w:rsidRPr="00E23377" w:rsidRDefault="007E365E" w:rsidP="007E365E">
      <w:pPr>
        <w:pStyle w:val="CGCParaNumber"/>
      </w:pPr>
      <w:r w:rsidRPr="00E23377">
        <w:t>Most States supported this approach. However, Western Australia and the ACT considered that including only two connections to UCLs with a population of less than 1</w:t>
      </w:r>
      <w:r>
        <w:t>,</w:t>
      </w:r>
      <w:r w:rsidRPr="00E23377">
        <w:t>000 was insufficient and that additional connection</w:t>
      </w:r>
      <w:r>
        <w:t>s</w:t>
      </w:r>
      <w:r w:rsidRPr="00E23377">
        <w:t xml:space="preserve"> should be provided. </w:t>
      </w:r>
    </w:p>
    <w:p w14:paraId="1197F736" w14:textId="77777777" w:rsidR="007E365E" w:rsidRPr="00E23377" w:rsidRDefault="007E365E" w:rsidP="007E365E">
      <w:pPr>
        <w:pStyle w:val="CGCParaNumber"/>
      </w:pPr>
      <w:r w:rsidRPr="00E23377">
        <w:t xml:space="preserve">Western Australia argued that an average of 1.2/1.3 connections for its State was not realistic because the analysis did not include all State-type roads. It implied that some roads that are classified as local roads in its State are effectively State-type roads. </w:t>
      </w:r>
    </w:p>
    <w:p w14:paraId="0DF39395" w14:textId="77777777" w:rsidR="007E365E" w:rsidRPr="00E23377" w:rsidRDefault="007E365E" w:rsidP="007E365E">
      <w:pPr>
        <w:pStyle w:val="CGCParaNumber"/>
      </w:pPr>
      <w:r w:rsidRPr="00E23377">
        <w:t>States have different policies on how they classify roads as State or local. The Commission aims to capture what States do on average. Western Australia has lower average connections than other States because it classifies more roads as local than other States. Even if an adjustment were made to Western Australia’s State road network to include some local roads, it is highly unlikely that the average connection would increase from two to three or four. The map provided by Western Australia only shows the south-west of Western Australia. It does not include the more remote areas of the State, which have fewer connections. In any case, the algorithm is not expected to exactly replicate State road networks</w:t>
      </w:r>
      <w:r>
        <w:t xml:space="preserve">. </w:t>
      </w:r>
    </w:p>
    <w:p w14:paraId="5471811C" w14:textId="77777777" w:rsidR="007E365E" w:rsidRPr="00E23377" w:rsidRDefault="007E365E" w:rsidP="007E365E">
      <w:pPr>
        <w:pStyle w:val="CGCParaNumber"/>
      </w:pPr>
      <w:r w:rsidRPr="00E23377">
        <w:t>Western Australia also argued that the analysis was flawed because if a road consisting of one segment intersects a UCL border twice, it is counted as one connection.</w:t>
      </w:r>
    </w:p>
    <w:p w14:paraId="2173020A" w14:textId="655C5B12" w:rsidR="007E365E" w:rsidRPr="00E23377" w:rsidRDefault="007E365E" w:rsidP="007E365E">
      <w:pPr>
        <w:pStyle w:val="CGCParaNumber"/>
      </w:pPr>
      <w:r w:rsidRPr="00E23377">
        <w:t xml:space="preserve">In some cases, one road segment may go through a UCL but may intersect its border more than once due to </w:t>
      </w:r>
      <w:r>
        <w:t xml:space="preserve">the </w:t>
      </w:r>
      <w:r w:rsidRPr="00E23377">
        <w:t>vagaries of UCL borders and road design.</w:t>
      </w:r>
      <w:r w:rsidRPr="00E23377">
        <w:rPr>
          <w:rStyle w:val="FootnoteReference"/>
        </w:rPr>
        <w:footnoteReference w:id="26"/>
      </w:r>
      <w:r w:rsidRPr="00E23377">
        <w:t xml:space="preserve"> The Commission has adjusted its analysis to </w:t>
      </w:r>
      <w:r>
        <w:t xml:space="preserve">allow for </w:t>
      </w:r>
      <w:r w:rsidRPr="00E23377">
        <w:t>this, but it is possible that the results will include some over</w:t>
      </w:r>
      <w:r w:rsidR="00E0372E">
        <w:noBreakHyphen/>
      </w:r>
      <w:r w:rsidRPr="00E23377">
        <w:t>counts and under-counts of connections.</w:t>
      </w:r>
    </w:p>
    <w:p w14:paraId="5421FE91" w14:textId="2FC43084" w:rsidR="007E365E" w:rsidRPr="00E23377" w:rsidRDefault="007E365E" w:rsidP="007E365E">
      <w:pPr>
        <w:pStyle w:val="CGCParaNumber"/>
      </w:pPr>
      <w:r w:rsidRPr="00E23377">
        <w:lastRenderedPageBreak/>
        <w:t xml:space="preserve">In addition to the connectivity analysis in </w:t>
      </w:r>
      <w:r w:rsidRPr="00E23377">
        <w:fldChar w:fldCharType="begin"/>
      </w:r>
      <w:r w:rsidRPr="00E23377">
        <w:instrText xml:space="preserve"> REF _Ref4595251 \h  \* MERGEFORMAT </w:instrText>
      </w:r>
      <w:r w:rsidRPr="00E23377">
        <w:fldChar w:fldCharType="separate"/>
      </w:r>
      <w:r w:rsidR="007F721A" w:rsidRPr="00E23377">
        <w:t xml:space="preserve">Table </w:t>
      </w:r>
      <w:r w:rsidR="007F721A">
        <w:rPr>
          <w:noProof/>
        </w:rPr>
        <w:t>20-8</w:t>
      </w:r>
      <w:r w:rsidRPr="00E23377">
        <w:fldChar w:fldCharType="end"/>
      </w:r>
      <w:r w:rsidRPr="00E23377">
        <w:t>, the reasonableness of two connections was confirmed by visual inspections of maps. Importantly, adding more connections result in total State-type road lengths that are much greater than the State-defined State road length</w:t>
      </w:r>
      <w:r>
        <w:t>. F</w:t>
      </w:r>
      <w:r w:rsidRPr="00E23377">
        <w:t xml:space="preserve">or example, a preliminary test of including four connections included 9% more kilometres across Australia than there are actual State-defined State roads. </w:t>
      </w:r>
    </w:p>
    <w:p w14:paraId="372FDEB6" w14:textId="77777777" w:rsidR="007E365E" w:rsidRPr="00E23377" w:rsidRDefault="007E365E" w:rsidP="007E365E">
      <w:pPr>
        <w:pStyle w:val="CGCParaNumber"/>
      </w:pPr>
      <w:r w:rsidRPr="00E23377">
        <w:rPr>
          <w:rStyle w:val="Heading6Char"/>
        </w:rPr>
        <w:t>Roads to mines, ports and national parks.</w:t>
      </w:r>
      <w:r w:rsidRPr="00E23377">
        <w:t xml:space="preserve"> States are generally responsible for roads to significant areas such as mines (including oil and gas basins), ports and national parks, which warrants their inclusion in the algorithm.</w:t>
      </w:r>
    </w:p>
    <w:p w14:paraId="427FC462" w14:textId="77777777" w:rsidR="007E365E" w:rsidRPr="00E23377" w:rsidRDefault="007E365E" w:rsidP="007E365E">
      <w:pPr>
        <w:pStyle w:val="CGCParaNumber"/>
      </w:pPr>
      <w:r w:rsidRPr="00E23377">
        <w:t>The Commission sourced spatial data on the location of mines and ports from Geoscience Australia.</w:t>
      </w:r>
      <w:r w:rsidRPr="00E23377">
        <w:rPr>
          <w:rStyle w:val="FootnoteReference"/>
        </w:rPr>
        <w:footnoteReference w:id="27"/>
      </w:r>
      <w:r w:rsidRPr="00E23377">
        <w:t xml:space="preserve"> Significant mines were those with a significance score of two or above in the Geoscience dataset. Geoscience Australia also provided spatial data on the locations of gas processing plants as a proxy for important points in Australia’s oil and gas basins.</w:t>
      </w:r>
      <w:r w:rsidRPr="00E23377">
        <w:rPr>
          <w:rStyle w:val="FootnoteReference"/>
        </w:rPr>
        <w:footnoteReference w:id="28"/>
      </w:r>
      <w:r w:rsidRPr="00E23377">
        <w:t xml:space="preserve"> The majority of mining production is assumed to be exported and as such, connections have been added to ports rather than UCLs. Spatial information on the location of national parks was sourced from the PitneyBowes StreetPro dataset. These parks were connected to their nearest UCL.</w:t>
      </w:r>
      <w:r w:rsidRPr="00E23377">
        <w:rPr>
          <w:rStyle w:val="FootnoteReference"/>
        </w:rPr>
        <w:footnoteReference w:id="29"/>
      </w:r>
      <w:r w:rsidRPr="00E23377">
        <w:t xml:space="preserve"> </w:t>
      </w:r>
    </w:p>
    <w:p w14:paraId="3A9DBC64" w14:textId="77777777" w:rsidR="007E365E" w:rsidRPr="00E23377" w:rsidRDefault="007E365E" w:rsidP="007E365E">
      <w:pPr>
        <w:pStyle w:val="CGCParaNumber"/>
      </w:pPr>
      <w:r w:rsidRPr="00E23377">
        <w:t>New South Wales and Victoria raised concerns with the inclusion of roads to mines, given that the private sector owns and maintains some of these roads.</w:t>
      </w:r>
    </w:p>
    <w:p w14:paraId="50512B88" w14:textId="77777777" w:rsidR="007E365E" w:rsidRPr="00E23377" w:rsidRDefault="007E365E" w:rsidP="007E365E">
      <w:pPr>
        <w:pStyle w:val="CGCParaNumber"/>
      </w:pPr>
      <w:r w:rsidRPr="00E23377">
        <w:t>Roads to oil and gas basins include the Strzelecki Track, as argued for by South Australia.</w:t>
      </w:r>
    </w:p>
    <w:p w14:paraId="54FFED20" w14:textId="0696CCDF" w:rsidR="007E365E" w:rsidRPr="00E23377" w:rsidRDefault="007E365E" w:rsidP="007E365E">
      <w:pPr>
        <w:pStyle w:val="CGCParaNumber"/>
      </w:pPr>
      <w:r w:rsidRPr="00E23377">
        <w:t>The Commission recognises that some mining roads are owned and maintained by the private sector.</w:t>
      </w:r>
      <w:r w:rsidRPr="00E23377">
        <w:rPr>
          <w:rStyle w:val="FootnoteReference"/>
        </w:rPr>
        <w:footnoteReference w:id="30"/>
      </w:r>
      <w:r w:rsidRPr="00E23377">
        <w:t xml:space="preserve"> However, there is no reliable information on the length of privately funded roads to mines, or the location of the mining tenement gate, to make an adjustment. The Commission has investigated the possibility of discounting the length of roads to mines, but decided not to do so because it was not material. A 50% discount to these roads redistributes less than $</w:t>
      </w:r>
      <w:r>
        <w:t>6</w:t>
      </w:r>
      <w:r w:rsidRPr="00E23377">
        <w:t xml:space="preserve"> per capita for any State, as shown in </w:t>
      </w:r>
      <w:r w:rsidRPr="00E23377">
        <w:fldChar w:fldCharType="begin"/>
      </w:r>
      <w:r w:rsidRPr="00E23377">
        <w:instrText xml:space="preserve"> REF _Ref23396413 \h  \* MERGEFORMAT </w:instrText>
      </w:r>
      <w:r w:rsidRPr="00E23377">
        <w:fldChar w:fldCharType="separate"/>
      </w:r>
      <w:r w:rsidR="007F721A" w:rsidRPr="00E23377">
        <w:t xml:space="preserve">Table </w:t>
      </w:r>
      <w:r w:rsidR="007F721A">
        <w:rPr>
          <w:noProof/>
        </w:rPr>
        <w:t>20-9</w:t>
      </w:r>
      <w:r w:rsidRPr="00E23377">
        <w:fldChar w:fldCharType="end"/>
      </w:r>
      <w:r w:rsidRPr="00E23377">
        <w:t xml:space="preserve">. </w:t>
      </w:r>
    </w:p>
    <w:p w14:paraId="7938D3F7" w14:textId="3D987E5A" w:rsidR="007E365E" w:rsidRDefault="007E365E" w:rsidP="007E365E">
      <w:pPr>
        <w:pStyle w:val="Caption"/>
      </w:pPr>
      <w:bookmarkStart w:id="173" w:name="_Ref23396413"/>
      <w:r w:rsidRPr="00E23377">
        <w:t xml:space="preserve">Table </w:t>
      </w:r>
      <w:r>
        <w:t>20-</w:t>
      </w:r>
      <w:fldSimple w:instr=" SEQ Table \* ARABIC ">
        <w:r w:rsidR="007F721A">
          <w:rPr>
            <w:noProof/>
          </w:rPr>
          <w:t>9</w:t>
        </w:r>
      </w:fldSimple>
      <w:bookmarkEnd w:id="173"/>
      <w:r w:rsidRPr="00E23377">
        <w:tab/>
        <w:t>GST effect of applying a 50% length discount to roads to mines, 201</w:t>
      </w:r>
      <w:r>
        <w:t>8</w:t>
      </w:r>
      <w:r w:rsidRPr="00E23377">
        <w:t>-1</w:t>
      </w:r>
      <w:r>
        <w:t>9</w:t>
      </w:r>
    </w:p>
    <w:tbl>
      <w:tblPr>
        <w:tblW w:w="8980" w:type="dxa"/>
        <w:tblCellMar>
          <w:left w:w="0" w:type="dxa"/>
          <w:right w:w="0" w:type="dxa"/>
        </w:tblCellMar>
        <w:tblLook w:val="04A0" w:firstRow="1" w:lastRow="0" w:firstColumn="1" w:lastColumn="0" w:noHBand="0" w:noVBand="1"/>
      </w:tblPr>
      <w:tblGrid>
        <w:gridCol w:w="1480"/>
        <w:gridCol w:w="940"/>
        <w:gridCol w:w="760"/>
        <w:gridCol w:w="820"/>
        <w:gridCol w:w="820"/>
        <w:gridCol w:w="720"/>
        <w:gridCol w:w="800"/>
        <w:gridCol w:w="860"/>
        <w:gridCol w:w="760"/>
        <w:gridCol w:w="1020"/>
      </w:tblGrid>
      <w:tr w:rsidR="007E365E" w:rsidRPr="00165B2A" w14:paraId="58B5FBE5" w14:textId="77777777" w:rsidTr="007D1D77">
        <w:trPr>
          <w:trHeight w:val="375"/>
        </w:trPr>
        <w:tc>
          <w:tcPr>
            <w:tcW w:w="14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428A7CA" w14:textId="77777777" w:rsidR="007E365E" w:rsidRDefault="007E365E" w:rsidP="007D1D77">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9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6B9AA00"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BBBB5FD"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82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B418BA4"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82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C96FF87"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2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67D595B6"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80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07DD65C0"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8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5395292D"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C59868E"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102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18BBBF2"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Redist</w:t>
            </w:r>
          </w:p>
        </w:tc>
      </w:tr>
      <w:tr w:rsidR="007E365E" w:rsidRPr="00165B2A" w14:paraId="01227044"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8D56E2" w14:textId="77777777" w:rsidR="007E365E" w:rsidRDefault="007E365E" w:rsidP="007D1D77">
            <w:pPr>
              <w:spacing w:before="0" w:line="240" w:lineRule="auto"/>
              <w:rPr>
                <w:rFonts w:cs="Open Sans Light"/>
                <w:sz w:val="16"/>
                <w:szCs w:val="16"/>
              </w:rPr>
            </w:pPr>
            <w:r>
              <w:rPr>
                <w:rFonts w:cs="Open Sans Light"/>
                <w:sz w:val="16"/>
                <w:szCs w:val="16"/>
              </w:rPr>
              <w:t>$ million</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4AFC03" w14:textId="77777777" w:rsidR="007E365E" w:rsidRDefault="007E365E" w:rsidP="007D1D77">
            <w:pPr>
              <w:spacing w:before="0" w:line="240" w:lineRule="auto"/>
              <w:jc w:val="right"/>
              <w:rPr>
                <w:rFonts w:cs="Open Sans Light"/>
                <w:sz w:val="16"/>
                <w:szCs w:val="16"/>
              </w:rPr>
            </w:pPr>
            <w:r>
              <w:rPr>
                <w:rFonts w:cs="Open Sans Light"/>
                <w:sz w:val="16"/>
                <w:szCs w:val="16"/>
              </w:rPr>
              <w:t>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4B2C5BF" w14:textId="77777777" w:rsidR="007E365E" w:rsidRDefault="007E365E" w:rsidP="007D1D77">
            <w:pPr>
              <w:spacing w:before="0" w:line="240" w:lineRule="auto"/>
              <w:jc w:val="right"/>
              <w:rPr>
                <w:rFonts w:cs="Open Sans Light"/>
                <w:sz w:val="16"/>
                <w:szCs w:val="16"/>
              </w:rPr>
            </w:pPr>
            <w:r>
              <w:rPr>
                <w:rFonts w:cs="Open Sans Light"/>
                <w:sz w:val="16"/>
                <w:szCs w:val="16"/>
              </w:rPr>
              <w:t>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959153E" w14:textId="77777777" w:rsidR="007E365E" w:rsidRDefault="007E365E" w:rsidP="007D1D77">
            <w:pPr>
              <w:spacing w:before="0" w:line="240" w:lineRule="auto"/>
              <w:jc w:val="right"/>
              <w:rPr>
                <w:rFonts w:cs="Open Sans Light"/>
                <w:sz w:val="16"/>
                <w:szCs w:val="16"/>
              </w:rPr>
            </w:pPr>
            <w:r>
              <w:rPr>
                <w:rFonts w:cs="Open Sans Light"/>
                <w:sz w:val="16"/>
                <w:szCs w:val="16"/>
              </w:rPr>
              <w:t>-2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90B1E2" w14:textId="77777777" w:rsidR="007E365E" w:rsidRDefault="007E365E" w:rsidP="007D1D77">
            <w:pPr>
              <w:spacing w:before="0" w:line="240" w:lineRule="auto"/>
              <w:jc w:val="right"/>
              <w:rPr>
                <w:rFonts w:cs="Open Sans Light"/>
                <w:sz w:val="16"/>
                <w:szCs w:val="16"/>
              </w:rPr>
            </w:pPr>
            <w:r>
              <w:rPr>
                <w:rFonts w:cs="Open Sans Light"/>
                <w:sz w:val="16"/>
                <w:szCs w:val="16"/>
              </w:rPr>
              <w:t>-4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F04F414"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14A051" w14:textId="77777777" w:rsidR="007E365E" w:rsidRDefault="007E365E" w:rsidP="007D1D77">
            <w:pPr>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5749C6"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B5FEA2" w14:textId="77777777" w:rsidR="007E365E" w:rsidRDefault="007E365E" w:rsidP="007D1D77">
            <w:pPr>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1F64E31" w14:textId="77777777" w:rsidR="007E365E" w:rsidRDefault="007E365E" w:rsidP="007D1D77">
            <w:pPr>
              <w:spacing w:before="0" w:line="240" w:lineRule="auto"/>
              <w:jc w:val="right"/>
              <w:rPr>
                <w:rFonts w:cs="Open Sans Light"/>
                <w:sz w:val="16"/>
                <w:szCs w:val="16"/>
              </w:rPr>
            </w:pPr>
            <w:r>
              <w:rPr>
                <w:rFonts w:cs="Open Sans Light"/>
                <w:sz w:val="16"/>
                <w:szCs w:val="16"/>
              </w:rPr>
              <w:t>8</w:t>
            </w:r>
          </w:p>
        </w:tc>
      </w:tr>
      <w:tr w:rsidR="007E365E" w:rsidRPr="00165B2A" w14:paraId="1795F399"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139989A" w14:textId="77777777" w:rsidR="007E365E" w:rsidRDefault="007E365E" w:rsidP="007D1D77">
            <w:pPr>
              <w:spacing w:before="0" w:line="240" w:lineRule="auto"/>
              <w:rPr>
                <w:rFonts w:cs="Open Sans Light"/>
                <w:sz w:val="16"/>
                <w:szCs w:val="16"/>
              </w:rPr>
            </w:pPr>
            <w:r>
              <w:rPr>
                <w:rFonts w:cs="Open Sans Light"/>
                <w:sz w:val="16"/>
                <w:szCs w:val="16"/>
              </w:rPr>
              <w:t>$ per capita</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A012C1" w14:textId="77777777" w:rsidR="007E365E" w:rsidRDefault="007E365E" w:rsidP="007D1D77">
            <w:pPr>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CFC4E0B"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4AC894"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FD7B4D" w14:textId="77777777" w:rsidR="007E365E" w:rsidRDefault="007E365E" w:rsidP="007D1D77">
            <w:pPr>
              <w:spacing w:before="0" w:line="240" w:lineRule="auto"/>
              <w:jc w:val="right"/>
              <w:rPr>
                <w:rFonts w:cs="Open Sans Light"/>
                <w:sz w:val="16"/>
                <w:szCs w:val="16"/>
              </w:rPr>
            </w:pPr>
            <w:r>
              <w:rPr>
                <w:rFonts w:cs="Open Sans Light"/>
                <w:sz w:val="16"/>
                <w:szCs w:val="16"/>
              </w:rPr>
              <w:t>-2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0703941"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C5124E3" w14:textId="77777777" w:rsidR="007E365E" w:rsidRDefault="007E365E" w:rsidP="007D1D77">
            <w:pPr>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001141A"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6CDD39" w14:textId="77777777" w:rsidR="007E365E" w:rsidRDefault="007E365E" w:rsidP="007D1D77">
            <w:pPr>
              <w:spacing w:before="0" w:line="240" w:lineRule="auto"/>
              <w:jc w:val="right"/>
              <w:rPr>
                <w:rFonts w:cs="Open Sans Light"/>
                <w:sz w:val="16"/>
                <w:szCs w:val="16"/>
              </w:rPr>
            </w:pPr>
            <w:r>
              <w:rPr>
                <w:rFonts w:cs="Open Sans Light"/>
                <w:sz w:val="16"/>
                <w:szCs w:val="16"/>
              </w:rPr>
              <w:t>-5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F6F9AE5" w14:textId="77777777" w:rsidR="007E365E" w:rsidRDefault="007E365E" w:rsidP="007D1D77">
            <w:pPr>
              <w:spacing w:before="0" w:line="240" w:lineRule="auto"/>
              <w:jc w:val="right"/>
              <w:rPr>
                <w:rFonts w:cs="Open Sans Light"/>
                <w:sz w:val="16"/>
                <w:szCs w:val="16"/>
              </w:rPr>
            </w:pPr>
            <w:r>
              <w:rPr>
                <w:rFonts w:cs="Open Sans Light"/>
                <w:sz w:val="16"/>
                <w:szCs w:val="16"/>
              </w:rPr>
              <w:t>0</w:t>
            </w:r>
          </w:p>
        </w:tc>
      </w:tr>
    </w:tbl>
    <w:p w14:paraId="6EAEF518" w14:textId="77777777" w:rsidR="007E365E" w:rsidRPr="00E23377" w:rsidRDefault="007E365E" w:rsidP="007E365E">
      <w:pPr>
        <w:pStyle w:val="CGCTablenote"/>
      </w:pPr>
      <w:r w:rsidRPr="00E23377">
        <w:t>Source:</w:t>
      </w:r>
      <w:r w:rsidRPr="00E23377">
        <w:tab/>
        <w:t>Commission calculation.</w:t>
      </w:r>
    </w:p>
    <w:p w14:paraId="48FD829E" w14:textId="77777777" w:rsidR="007E365E" w:rsidRPr="00E23377" w:rsidRDefault="007E365E" w:rsidP="007E365E">
      <w:pPr>
        <w:pStyle w:val="CGCParaNumber"/>
      </w:pPr>
      <w:r w:rsidRPr="00E23377">
        <w:t xml:space="preserve">The Commission also investigated roads to other areas of significance raised by States. The following areas were not connected either because the available data were not sufficiently reliable and comprehensive, and/or because such roads were not considered appropriate for inclusion.  </w:t>
      </w:r>
    </w:p>
    <w:p w14:paraId="4088CCA0" w14:textId="77777777" w:rsidR="007E365E" w:rsidRPr="00E23377" w:rsidRDefault="007E365E" w:rsidP="007E365E">
      <w:pPr>
        <w:pStyle w:val="CGCBullet1"/>
      </w:pPr>
      <w:r w:rsidRPr="00E23377">
        <w:t xml:space="preserve">Grain bins. No national dataset indicating the location of grain bins was identified. </w:t>
      </w:r>
    </w:p>
    <w:p w14:paraId="5B1EFF2C" w14:textId="77777777" w:rsidR="007E365E" w:rsidRPr="00E23377" w:rsidRDefault="007E365E" w:rsidP="007E365E">
      <w:pPr>
        <w:pStyle w:val="CGCBullet1"/>
      </w:pPr>
      <w:r w:rsidRPr="00E23377">
        <w:lastRenderedPageBreak/>
        <w:t>Mining exploration. While current mineral exploration tenements for most States were identified,</w:t>
      </w:r>
      <w:r w:rsidRPr="00E23377">
        <w:rPr>
          <w:rStyle w:val="FootnoteReference"/>
        </w:rPr>
        <w:footnoteReference w:id="31"/>
      </w:r>
      <w:r w:rsidRPr="00E23377">
        <w:t xml:space="preserve"> they cover vast areas with no clear points to which roads should be connected. In any case, the Commission was not convinced that these types of roads would be better classified as private roads.</w:t>
      </w:r>
    </w:p>
    <w:p w14:paraId="4F302E26" w14:textId="77777777" w:rsidR="007E365E" w:rsidRPr="00E23377" w:rsidRDefault="007E365E" w:rsidP="007E365E">
      <w:pPr>
        <w:pStyle w:val="CGCBullet1"/>
      </w:pPr>
      <w:r w:rsidRPr="00E23377">
        <w:t xml:space="preserve">Hydro power stations. The location of hydro power stations could not be identified with sufficient precision to connect them to the road network. </w:t>
      </w:r>
    </w:p>
    <w:p w14:paraId="0667489E" w14:textId="77777777" w:rsidR="007E365E" w:rsidRPr="00E23377" w:rsidRDefault="007E365E" w:rsidP="007E365E">
      <w:pPr>
        <w:pStyle w:val="CGCBullet1"/>
      </w:pPr>
      <w:r w:rsidRPr="00E23377">
        <w:t>Wind farms. Wind farm locations could not be identified with sufficient precision to connect them to the road network.</w:t>
      </w:r>
    </w:p>
    <w:p w14:paraId="43597C96" w14:textId="77777777" w:rsidR="007E365E" w:rsidRPr="00E23377" w:rsidRDefault="007E365E" w:rsidP="007E365E">
      <w:pPr>
        <w:pStyle w:val="CGCBullet1"/>
      </w:pPr>
      <w:r w:rsidRPr="00E23377">
        <w:t xml:space="preserve">Areas of agricultural or tourism importance. The Commission was unable to identify comparable and reliable datasets of these areas. </w:t>
      </w:r>
    </w:p>
    <w:p w14:paraId="5B0D6041" w14:textId="75E8ECA6" w:rsidR="007E365E" w:rsidRPr="00E23377" w:rsidRDefault="007E365E" w:rsidP="007E365E">
      <w:pPr>
        <w:pStyle w:val="CGCParaNumber"/>
      </w:pPr>
      <w:r w:rsidRPr="00E23377">
        <w:rPr>
          <w:rStyle w:val="Heading6Char"/>
        </w:rPr>
        <w:t>Rural road length estimates.</w:t>
      </w:r>
      <w:r w:rsidRPr="00E23377">
        <w:t xml:space="preserve"> </w:t>
      </w:r>
      <w:r w:rsidRPr="00E23377">
        <w:fldChar w:fldCharType="begin"/>
      </w:r>
      <w:r w:rsidRPr="00E23377">
        <w:instrText xml:space="preserve"> REF _Ref9934450 \h  \* MERGEFORMAT </w:instrText>
      </w:r>
      <w:r w:rsidRPr="00E23377">
        <w:fldChar w:fldCharType="separate"/>
      </w:r>
      <w:r w:rsidR="007F721A" w:rsidRPr="00E23377">
        <w:t xml:space="preserve">Table </w:t>
      </w:r>
      <w:r w:rsidR="007F721A">
        <w:rPr>
          <w:noProof/>
        </w:rPr>
        <w:t>20-10</w:t>
      </w:r>
      <w:r w:rsidRPr="00E23377">
        <w:fldChar w:fldCharType="end"/>
      </w:r>
      <w:r w:rsidRPr="00E23377">
        <w:t xml:space="preserve"> shows the measures of rural road lane</w:t>
      </w:r>
      <w:r>
        <w:noBreakHyphen/>
      </w:r>
      <w:r w:rsidRPr="00E23377">
        <w:t xml:space="preserve">kilometres the Commission </w:t>
      </w:r>
      <w:r>
        <w:t>has decided</w:t>
      </w:r>
      <w:r w:rsidRPr="00E23377">
        <w:t xml:space="preserve"> to adopt for the 2020 Review. The table shows the contribution of roads to significant areas to the total measure of road length. </w:t>
      </w:r>
    </w:p>
    <w:p w14:paraId="2B328EAF" w14:textId="698467A2" w:rsidR="007E365E" w:rsidRDefault="007E365E" w:rsidP="007E365E">
      <w:pPr>
        <w:pStyle w:val="Caption"/>
      </w:pPr>
      <w:bookmarkStart w:id="174" w:name="_Ref9934450"/>
      <w:r w:rsidRPr="00E23377">
        <w:t xml:space="preserve">Table </w:t>
      </w:r>
      <w:r>
        <w:t>20-</w:t>
      </w:r>
      <w:fldSimple w:instr=" SEQ Table \* ARABIC ">
        <w:r w:rsidR="007F721A">
          <w:rPr>
            <w:noProof/>
          </w:rPr>
          <w:t>10</w:t>
        </w:r>
      </w:fldSimple>
      <w:bookmarkEnd w:id="174"/>
      <w:r w:rsidRPr="00E23377">
        <w:tab/>
        <w:t xml:space="preserve">Estimated rural road lane-kilometres, 2020 Review </w:t>
      </w:r>
    </w:p>
    <w:tbl>
      <w:tblPr>
        <w:tblW w:w="8960" w:type="dxa"/>
        <w:tblCellMar>
          <w:left w:w="28" w:type="dxa"/>
          <w:right w:w="28" w:type="dxa"/>
        </w:tblCellMar>
        <w:tblLook w:val="04A0" w:firstRow="1" w:lastRow="0" w:firstColumn="1" w:lastColumn="0" w:noHBand="0" w:noVBand="1"/>
      </w:tblPr>
      <w:tblGrid>
        <w:gridCol w:w="2060"/>
        <w:gridCol w:w="780"/>
        <w:gridCol w:w="780"/>
        <w:gridCol w:w="780"/>
        <w:gridCol w:w="780"/>
        <w:gridCol w:w="780"/>
        <w:gridCol w:w="680"/>
        <w:gridCol w:w="620"/>
        <w:gridCol w:w="780"/>
        <w:gridCol w:w="920"/>
      </w:tblGrid>
      <w:tr w:rsidR="007E365E" w:rsidRPr="005305F6" w14:paraId="21568579" w14:textId="77777777" w:rsidTr="007D1D77">
        <w:trPr>
          <w:trHeight w:val="379"/>
        </w:trPr>
        <w:tc>
          <w:tcPr>
            <w:tcW w:w="2060" w:type="dxa"/>
            <w:tcBorders>
              <w:top w:val="single" w:sz="4" w:space="0" w:color="ADD6EA"/>
              <w:left w:val="nil"/>
              <w:bottom w:val="single" w:sz="4" w:space="0" w:color="ADD6EA"/>
              <w:right w:val="nil"/>
            </w:tcBorders>
            <w:shd w:val="clear" w:color="000000" w:fill="006991"/>
            <w:vAlign w:val="center"/>
            <w:hideMark/>
          </w:tcPr>
          <w:p w14:paraId="4D9886B9" w14:textId="77777777" w:rsidR="007E365E" w:rsidRPr="003452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255">
              <w:rPr>
                <w:rFonts w:ascii="Open Sans SemiBold" w:eastAsia="Times New Roman" w:hAnsi="Open Sans SemiBold" w:cs="Open Sans SemiBold"/>
                <w:color w:val="FFFFFF"/>
                <w:sz w:val="16"/>
                <w:szCs w:val="16"/>
                <w:lang w:eastAsia="en-AU"/>
              </w:rPr>
              <w:t> </w:t>
            </w:r>
          </w:p>
        </w:tc>
        <w:tc>
          <w:tcPr>
            <w:tcW w:w="780" w:type="dxa"/>
            <w:tcBorders>
              <w:top w:val="single" w:sz="4" w:space="0" w:color="ADD6EA"/>
              <w:left w:val="nil"/>
              <w:bottom w:val="single" w:sz="4" w:space="0" w:color="ADD6EA"/>
              <w:right w:val="nil"/>
            </w:tcBorders>
            <w:shd w:val="clear" w:color="000000" w:fill="006991"/>
            <w:vAlign w:val="center"/>
            <w:hideMark/>
          </w:tcPr>
          <w:p w14:paraId="6F75350E" w14:textId="77777777" w:rsidR="007E365E" w:rsidRPr="003452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255">
              <w:rPr>
                <w:rFonts w:ascii="Open Sans SemiBold" w:eastAsia="Times New Roman" w:hAnsi="Open Sans SemiBold" w:cs="Open Sans SemiBold"/>
                <w:color w:val="FFFFFF"/>
                <w:sz w:val="16"/>
                <w:szCs w:val="16"/>
                <w:lang w:eastAsia="en-AU"/>
              </w:rPr>
              <w:t>NSW</w:t>
            </w:r>
          </w:p>
        </w:tc>
        <w:tc>
          <w:tcPr>
            <w:tcW w:w="780" w:type="dxa"/>
            <w:tcBorders>
              <w:top w:val="single" w:sz="4" w:space="0" w:color="ADD6EA"/>
              <w:left w:val="nil"/>
              <w:bottom w:val="single" w:sz="4" w:space="0" w:color="ADD6EA"/>
              <w:right w:val="nil"/>
            </w:tcBorders>
            <w:shd w:val="clear" w:color="000000" w:fill="006991"/>
            <w:vAlign w:val="center"/>
            <w:hideMark/>
          </w:tcPr>
          <w:p w14:paraId="7E814FB8" w14:textId="77777777" w:rsidR="007E365E" w:rsidRPr="003452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255">
              <w:rPr>
                <w:rFonts w:ascii="Open Sans SemiBold" w:eastAsia="Times New Roman" w:hAnsi="Open Sans SemiBold" w:cs="Open Sans SemiBold"/>
                <w:color w:val="FFFFFF"/>
                <w:sz w:val="16"/>
                <w:szCs w:val="16"/>
                <w:lang w:eastAsia="en-AU"/>
              </w:rPr>
              <w:t>Vic</w:t>
            </w:r>
          </w:p>
        </w:tc>
        <w:tc>
          <w:tcPr>
            <w:tcW w:w="780" w:type="dxa"/>
            <w:tcBorders>
              <w:top w:val="single" w:sz="4" w:space="0" w:color="ADD6EA"/>
              <w:left w:val="nil"/>
              <w:bottom w:val="single" w:sz="4" w:space="0" w:color="ADD6EA"/>
              <w:right w:val="nil"/>
            </w:tcBorders>
            <w:shd w:val="clear" w:color="000000" w:fill="006991"/>
            <w:vAlign w:val="center"/>
            <w:hideMark/>
          </w:tcPr>
          <w:p w14:paraId="41DC4CF1" w14:textId="77777777" w:rsidR="007E365E" w:rsidRPr="003452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255">
              <w:rPr>
                <w:rFonts w:ascii="Open Sans SemiBold" w:eastAsia="Times New Roman" w:hAnsi="Open Sans SemiBold" w:cs="Open Sans SemiBold"/>
                <w:color w:val="FFFFFF"/>
                <w:sz w:val="16"/>
                <w:szCs w:val="16"/>
                <w:lang w:eastAsia="en-AU"/>
              </w:rPr>
              <w:t>Qld</w:t>
            </w:r>
          </w:p>
        </w:tc>
        <w:tc>
          <w:tcPr>
            <w:tcW w:w="780" w:type="dxa"/>
            <w:tcBorders>
              <w:top w:val="single" w:sz="4" w:space="0" w:color="ADD6EA"/>
              <w:left w:val="nil"/>
              <w:bottom w:val="single" w:sz="4" w:space="0" w:color="ADD6EA"/>
              <w:right w:val="nil"/>
            </w:tcBorders>
            <w:shd w:val="clear" w:color="000000" w:fill="006991"/>
            <w:vAlign w:val="center"/>
            <w:hideMark/>
          </w:tcPr>
          <w:p w14:paraId="3B808035" w14:textId="77777777" w:rsidR="007E365E" w:rsidRPr="003452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255">
              <w:rPr>
                <w:rFonts w:ascii="Open Sans SemiBold" w:eastAsia="Times New Roman" w:hAnsi="Open Sans SemiBold" w:cs="Open Sans SemiBold"/>
                <w:color w:val="FFFFFF"/>
                <w:sz w:val="16"/>
                <w:szCs w:val="16"/>
                <w:lang w:eastAsia="en-AU"/>
              </w:rPr>
              <w:t>WA</w:t>
            </w:r>
          </w:p>
        </w:tc>
        <w:tc>
          <w:tcPr>
            <w:tcW w:w="780" w:type="dxa"/>
            <w:tcBorders>
              <w:top w:val="single" w:sz="4" w:space="0" w:color="ADD6EA"/>
              <w:left w:val="nil"/>
              <w:bottom w:val="single" w:sz="4" w:space="0" w:color="ADD6EA"/>
              <w:right w:val="nil"/>
            </w:tcBorders>
            <w:shd w:val="clear" w:color="000000" w:fill="006991"/>
            <w:vAlign w:val="center"/>
            <w:hideMark/>
          </w:tcPr>
          <w:p w14:paraId="4BC3561B" w14:textId="77777777" w:rsidR="007E365E" w:rsidRPr="003452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255">
              <w:rPr>
                <w:rFonts w:ascii="Open Sans SemiBold" w:eastAsia="Times New Roman" w:hAnsi="Open Sans SemiBold" w:cs="Open Sans SemiBold"/>
                <w:color w:val="FFFFFF"/>
                <w:sz w:val="16"/>
                <w:szCs w:val="16"/>
                <w:lang w:eastAsia="en-AU"/>
              </w:rPr>
              <w:t>SA</w:t>
            </w:r>
          </w:p>
        </w:tc>
        <w:tc>
          <w:tcPr>
            <w:tcW w:w="680" w:type="dxa"/>
            <w:tcBorders>
              <w:top w:val="single" w:sz="4" w:space="0" w:color="ADD6EA"/>
              <w:left w:val="nil"/>
              <w:bottom w:val="single" w:sz="4" w:space="0" w:color="ADD6EA"/>
              <w:right w:val="nil"/>
            </w:tcBorders>
            <w:shd w:val="clear" w:color="000000" w:fill="006991"/>
            <w:vAlign w:val="center"/>
            <w:hideMark/>
          </w:tcPr>
          <w:p w14:paraId="1FCB3662" w14:textId="77777777" w:rsidR="007E365E" w:rsidRPr="003452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255">
              <w:rPr>
                <w:rFonts w:ascii="Open Sans SemiBold" w:eastAsia="Times New Roman" w:hAnsi="Open Sans SemiBold" w:cs="Open Sans SemiBold"/>
                <w:color w:val="FFFFFF"/>
                <w:sz w:val="16"/>
                <w:szCs w:val="16"/>
                <w:lang w:eastAsia="en-AU"/>
              </w:rPr>
              <w:t>Tas</w:t>
            </w:r>
          </w:p>
        </w:tc>
        <w:tc>
          <w:tcPr>
            <w:tcW w:w="620" w:type="dxa"/>
            <w:tcBorders>
              <w:top w:val="single" w:sz="4" w:space="0" w:color="ADD6EA"/>
              <w:left w:val="nil"/>
              <w:bottom w:val="single" w:sz="4" w:space="0" w:color="ADD6EA"/>
              <w:right w:val="nil"/>
            </w:tcBorders>
            <w:shd w:val="clear" w:color="000000" w:fill="006991"/>
            <w:vAlign w:val="center"/>
            <w:hideMark/>
          </w:tcPr>
          <w:p w14:paraId="51F208A5" w14:textId="77777777" w:rsidR="007E365E" w:rsidRPr="003452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255">
              <w:rPr>
                <w:rFonts w:ascii="Open Sans SemiBold" w:eastAsia="Times New Roman" w:hAnsi="Open Sans SemiBold" w:cs="Open Sans SemiBold"/>
                <w:color w:val="FFFFFF"/>
                <w:sz w:val="16"/>
                <w:szCs w:val="16"/>
                <w:lang w:eastAsia="en-AU"/>
              </w:rPr>
              <w:t>ACT</w:t>
            </w:r>
          </w:p>
        </w:tc>
        <w:tc>
          <w:tcPr>
            <w:tcW w:w="780" w:type="dxa"/>
            <w:tcBorders>
              <w:top w:val="single" w:sz="4" w:space="0" w:color="ADD6EA"/>
              <w:left w:val="nil"/>
              <w:bottom w:val="single" w:sz="4" w:space="0" w:color="ADD6EA"/>
              <w:right w:val="nil"/>
            </w:tcBorders>
            <w:shd w:val="clear" w:color="000000" w:fill="006991"/>
            <w:vAlign w:val="center"/>
            <w:hideMark/>
          </w:tcPr>
          <w:p w14:paraId="4D4280E0" w14:textId="77777777" w:rsidR="007E365E" w:rsidRPr="003452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255">
              <w:rPr>
                <w:rFonts w:ascii="Open Sans SemiBold" w:eastAsia="Times New Roman" w:hAnsi="Open Sans SemiBold" w:cs="Open Sans SemiBold"/>
                <w:color w:val="FFFFFF"/>
                <w:sz w:val="16"/>
                <w:szCs w:val="16"/>
                <w:lang w:eastAsia="en-AU"/>
              </w:rPr>
              <w:t>NT</w:t>
            </w:r>
          </w:p>
        </w:tc>
        <w:tc>
          <w:tcPr>
            <w:tcW w:w="920" w:type="dxa"/>
            <w:tcBorders>
              <w:top w:val="single" w:sz="4" w:space="0" w:color="ADD6EA"/>
              <w:left w:val="nil"/>
              <w:bottom w:val="single" w:sz="4" w:space="0" w:color="ADD6EA"/>
              <w:right w:val="nil"/>
            </w:tcBorders>
            <w:shd w:val="clear" w:color="000000" w:fill="006991"/>
            <w:vAlign w:val="center"/>
            <w:hideMark/>
          </w:tcPr>
          <w:p w14:paraId="0B56F08A" w14:textId="77777777" w:rsidR="007E365E" w:rsidRPr="003452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45255">
              <w:rPr>
                <w:rFonts w:ascii="Open Sans SemiBold" w:eastAsia="Times New Roman" w:hAnsi="Open Sans SemiBold" w:cs="Open Sans SemiBold"/>
                <w:color w:val="FFFFFF"/>
                <w:sz w:val="16"/>
                <w:szCs w:val="16"/>
                <w:lang w:eastAsia="en-AU"/>
              </w:rPr>
              <w:t>Total</w:t>
            </w:r>
          </w:p>
        </w:tc>
      </w:tr>
      <w:tr w:rsidR="007E365E" w:rsidRPr="005305F6" w14:paraId="76F4BD7F" w14:textId="77777777" w:rsidTr="007D1D77">
        <w:trPr>
          <w:trHeight w:val="259"/>
        </w:trPr>
        <w:tc>
          <w:tcPr>
            <w:tcW w:w="2060" w:type="dxa"/>
            <w:tcBorders>
              <w:top w:val="nil"/>
              <w:left w:val="nil"/>
              <w:bottom w:val="single" w:sz="4" w:space="0" w:color="ADD6EA"/>
              <w:right w:val="nil"/>
            </w:tcBorders>
            <w:shd w:val="clear" w:color="000000" w:fill="B6D5E4"/>
            <w:noWrap/>
            <w:vAlign w:val="center"/>
            <w:hideMark/>
          </w:tcPr>
          <w:p w14:paraId="0F4B344C"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 </w:t>
            </w:r>
          </w:p>
        </w:tc>
        <w:tc>
          <w:tcPr>
            <w:tcW w:w="780" w:type="dxa"/>
            <w:tcBorders>
              <w:top w:val="nil"/>
              <w:left w:val="nil"/>
              <w:bottom w:val="single" w:sz="4" w:space="0" w:color="ADD6EA"/>
              <w:right w:val="nil"/>
            </w:tcBorders>
            <w:shd w:val="clear" w:color="000000" w:fill="B6D5E4"/>
            <w:noWrap/>
            <w:vAlign w:val="center"/>
            <w:hideMark/>
          </w:tcPr>
          <w:p w14:paraId="53220A12"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km</w:t>
            </w:r>
          </w:p>
        </w:tc>
        <w:tc>
          <w:tcPr>
            <w:tcW w:w="780" w:type="dxa"/>
            <w:tcBorders>
              <w:top w:val="nil"/>
              <w:left w:val="nil"/>
              <w:bottom w:val="single" w:sz="4" w:space="0" w:color="ADD6EA"/>
              <w:right w:val="nil"/>
            </w:tcBorders>
            <w:shd w:val="clear" w:color="000000" w:fill="B6D5E4"/>
            <w:noWrap/>
            <w:vAlign w:val="center"/>
            <w:hideMark/>
          </w:tcPr>
          <w:p w14:paraId="5BE932CC"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km</w:t>
            </w:r>
          </w:p>
        </w:tc>
        <w:tc>
          <w:tcPr>
            <w:tcW w:w="780" w:type="dxa"/>
            <w:tcBorders>
              <w:top w:val="nil"/>
              <w:left w:val="nil"/>
              <w:bottom w:val="single" w:sz="4" w:space="0" w:color="ADD6EA"/>
              <w:right w:val="nil"/>
            </w:tcBorders>
            <w:shd w:val="clear" w:color="000000" w:fill="B6D5E4"/>
            <w:noWrap/>
            <w:vAlign w:val="center"/>
            <w:hideMark/>
          </w:tcPr>
          <w:p w14:paraId="1C4EA948"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km</w:t>
            </w:r>
          </w:p>
        </w:tc>
        <w:tc>
          <w:tcPr>
            <w:tcW w:w="780" w:type="dxa"/>
            <w:tcBorders>
              <w:top w:val="nil"/>
              <w:left w:val="nil"/>
              <w:bottom w:val="single" w:sz="4" w:space="0" w:color="ADD6EA"/>
              <w:right w:val="nil"/>
            </w:tcBorders>
            <w:shd w:val="clear" w:color="000000" w:fill="B6D5E4"/>
            <w:noWrap/>
            <w:vAlign w:val="center"/>
            <w:hideMark/>
          </w:tcPr>
          <w:p w14:paraId="10C0FB96"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km</w:t>
            </w:r>
          </w:p>
        </w:tc>
        <w:tc>
          <w:tcPr>
            <w:tcW w:w="780" w:type="dxa"/>
            <w:tcBorders>
              <w:top w:val="nil"/>
              <w:left w:val="nil"/>
              <w:bottom w:val="single" w:sz="4" w:space="0" w:color="ADD6EA"/>
              <w:right w:val="nil"/>
            </w:tcBorders>
            <w:shd w:val="clear" w:color="000000" w:fill="B6D5E4"/>
            <w:noWrap/>
            <w:vAlign w:val="center"/>
            <w:hideMark/>
          </w:tcPr>
          <w:p w14:paraId="56806775"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km</w:t>
            </w:r>
          </w:p>
        </w:tc>
        <w:tc>
          <w:tcPr>
            <w:tcW w:w="680" w:type="dxa"/>
            <w:tcBorders>
              <w:top w:val="nil"/>
              <w:left w:val="nil"/>
              <w:bottom w:val="single" w:sz="4" w:space="0" w:color="ADD6EA"/>
              <w:right w:val="nil"/>
            </w:tcBorders>
            <w:shd w:val="clear" w:color="000000" w:fill="B6D5E4"/>
            <w:noWrap/>
            <w:vAlign w:val="center"/>
            <w:hideMark/>
          </w:tcPr>
          <w:p w14:paraId="170DD5AA"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km</w:t>
            </w:r>
          </w:p>
        </w:tc>
        <w:tc>
          <w:tcPr>
            <w:tcW w:w="620" w:type="dxa"/>
            <w:tcBorders>
              <w:top w:val="nil"/>
              <w:left w:val="nil"/>
              <w:bottom w:val="single" w:sz="4" w:space="0" w:color="ADD6EA"/>
              <w:right w:val="nil"/>
            </w:tcBorders>
            <w:shd w:val="clear" w:color="000000" w:fill="B6D5E4"/>
            <w:noWrap/>
            <w:vAlign w:val="center"/>
            <w:hideMark/>
          </w:tcPr>
          <w:p w14:paraId="08CA8C4A"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km</w:t>
            </w:r>
          </w:p>
        </w:tc>
        <w:tc>
          <w:tcPr>
            <w:tcW w:w="780" w:type="dxa"/>
            <w:tcBorders>
              <w:top w:val="nil"/>
              <w:left w:val="nil"/>
              <w:bottom w:val="single" w:sz="4" w:space="0" w:color="ADD6EA"/>
              <w:right w:val="nil"/>
            </w:tcBorders>
            <w:shd w:val="clear" w:color="000000" w:fill="B6D5E4"/>
            <w:noWrap/>
            <w:vAlign w:val="center"/>
            <w:hideMark/>
          </w:tcPr>
          <w:p w14:paraId="5D74A8D4"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km</w:t>
            </w:r>
          </w:p>
        </w:tc>
        <w:tc>
          <w:tcPr>
            <w:tcW w:w="920" w:type="dxa"/>
            <w:tcBorders>
              <w:top w:val="nil"/>
              <w:left w:val="nil"/>
              <w:bottom w:val="single" w:sz="4" w:space="0" w:color="ADD6EA"/>
              <w:right w:val="nil"/>
            </w:tcBorders>
            <w:shd w:val="clear" w:color="000000" w:fill="B6D5E4"/>
            <w:noWrap/>
            <w:vAlign w:val="center"/>
            <w:hideMark/>
          </w:tcPr>
          <w:p w14:paraId="5F7DC4D3"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km</w:t>
            </w:r>
          </w:p>
        </w:tc>
      </w:tr>
      <w:tr w:rsidR="007E365E" w:rsidRPr="005305F6" w14:paraId="2ED2A2E0" w14:textId="77777777" w:rsidTr="007D1D77">
        <w:trPr>
          <w:trHeight w:val="315"/>
        </w:trPr>
        <w:tc>
          <w:tcPr>
            <w:tcW w:w="2060" w:type="dxa"/>
            <w:tcBorders>
              <w:top w:val="nil"/>
              <w:left w:val="nil"/>
              <w:bottom w:val="single" w:sz="4" w:space="0" w:color="ADD6EA"/>
              <w:right w:val="nil"/>
            </w:tcBorders>
            <w:shd w:val="clear" w:color="auto" w:fill="auto"/>
            <w:noWrap/>
            <w:vAlign w:val="bottom"/>
            <w:hideMark/>
          </w:tcPr>
          <w:p w14:paraId="2616B217" w14:textId="77777777" w:rsidR="007E365E" w:rsidRPr="005305F6" w:rsidRDefault="007E365E" w:rsidP="007D1D77">
            <w:pPr>
              <w:tabs>
                <w:tab w:val="clear" w:pos="567"/>
              </w:tabs>
              <w:spacing w:before="0" w:line="240" w:lineRule="auto"/>
              <w:rPr>
                <w:rFonts w:eastAsia="Times New Roman" w:cs="Open Sans Light"/>
                <w:sz w:val="16"/>
                <w:szCs w:val="16"/>
                <w:lang w:eastAsia="en-AU"/>
              </w:rPr>
            </w:pPr>
            <w:r w:rsidRPr="005305F6">
              <w:rPr>
                <w:rFonts w:eastAsia="Times New Roman" w:cs="Open Sans Light"/>
                <w:sz w:val="16"/>
                <w:szCs w:val="16"/>
                <w:lang w:eastAsia="en-AU"/>
              </w:rPr>
              <w:t>Lane-kilometres</w:t>
            </w:r>
          </w:p>
        </w:tc>
        <w:tc>
          <w:tcPr>
            <w:tcW w:w="780" w:type="dxa"/>
            <w:tcBorders>
              <w:top w:val="nil"/>
              <w:left w:val="nil"/>
              <w:bottom w:val="single" w:sz="4" w:space="0" w:color="ADD6EA"/>
              <w:right w:val="nil"/>
            </w:tcBorders>
            <w:shd w:val="clear" w:color="auto" w:fill="auto"/>
            <w:noWrap/>
            <w:vAlign w:val="bottom"/>
            <w:hideMark/>
          </w:tcPr>
          <w:p w14:paraId="4FBAE70F"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68,110</w:t>
            </w:r>
          </w:p>
        </w:tc>
        <w:tc>
          <w:tcPr>
            <w:tcW w:w="780" w:type="dxa"/>
            <w:tcBorders>
              <w:top w:val="nil"/>
              <w:left w:val="nil"/>
              <w:bottom w:val="single" w:sz="4" w:space="0" w:color="ADD6EA"/>
              <w:right w:val="nil"/>
            </w:tcBorders>
            <w:shd w:val="clear" w:color="auto" w:fill="auto"/>
            <w:noWrap/>
            <w:vAlign w:val="bottom"/>
            <w:hideMark/>
          </w:tcPr>
          <w:p w14:paraId="503F07F6"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38,665</w:t>
            </w:r>
          </w:p>
        </w:tc>
        <w:tc>
          <w:tcPr>
            <w:tcW w:w="780" w:type="dxa"/>
            <w:tcBorders>
              <w:top w:val="nil"/>
              <w:left w:val="nil"/>
              <w:bottom w:val="single" w:sz="4" w:space="0" w:color="ADD6EA"/>
              <w:right w:val="nil"/>
            </w:tcBorders>
            <w:shd w:val="clear" w:color="auto" w:fill="auto"/>
            <w:noWrap/>
            <w:vAlign w:val="bottom"/>
            <w:hideMark/>
          </w:tcPr>
          <w:p w14:paraId="1D213638"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64,478</w:t>
            </w:r>
          </w:p>
        </w:tc>
        <w:tc>
          <w:tcPr>
            <w:tcW w:w="780" w:type="dxa"/>
            <w:tcBorders>
              <w:top w:val="nil"/>
              <w:left w:val="nil"/>
              <w:bottom w:val="single" w:sz="4" w:space="0" w:color="ADD6EA"/>
              <w:right w:val="nil"/>
            </w:tcBorders>
            <w:shd w:val="clear" w:color="auto" w:fill="auto"/>
            <w:noWrap/>
            <w:vAlign w:val="bottom"/>
            <w:hideMark/>
          </w:tcPr>
          <w:p w14:paraId="1E29D19F"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46,283</w:t>
            </w:r>
          </w:p>
        </w:tc>
        <w:tc>
          <w:tcPr>
            <w:tcW w:w="780" w:type="dxa"/>
            <w:tcBorders>
              <w:top w:val="nil"/>
              <w:left w:val="nil"/>
              <w:bottom w:val="single" w:sz="4" w:space="0" w:color="ADD6EA"/>
              <w:right w:val="nil"/>
            </w:tcBorders>
            <w:shd w:val="clear" w:color="auto" w:fill="auto"/>
            <w:noWrap/>
            <w:vAlign w:val="bottom"/>
            <w:hideMark/>
          </w:tcPr>
          <w:p w14:paraId="455B7AFB"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27,294</w:t>
            </w:r>
          </w:p>
        </w:tc>
        <w:tc>
          <w:tcPr>
            <w:tcW w:w="680" w:type="dxa"/>
            <w:tcBorders>
              <w:top w:val="nil"/>
              <w:left w:val="nil"/>
              <w:bottom w:val="single" w:sz="4" w:space="0" w:color="ADD6EA"/>
              <w:right w:val="nil"/>
            </w:tcBorders>
            <w:shd w:val="clear" w:color="auto" w:fill="auto"/>
            <w:noWrap/>
            <w:vAlign w:val="bottom"/>
            <w:hideMark/>
          </w:tcPr>
          <w:p w14:paraId="6189CE31"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7,567</w:t>
            </w:r>
          </w:p>
        </w:tc>
        <w:tc>
          <w:tcPr>
            <w:tcW w:w="620" w:type="dxa"/>
            <w:tcBorders>
              <w:top w:val="nil"/>
              <w:left w:val="nil"/>
              <w:bottom w:val="single" w:sz="4" w:space="0" w:color="ADD6EA"/>
              <w:right w:val="nil"/>
            </w:tcBorders>
            <w:shd w:val="clear" w:color="auto" w:fill="auto"/>
            <w:noWrap/>
            <w:vAlign w:val="bottom"/>
            <w:hideMark/>
          </w:tcPr>
          <w:p w14:paraId="7EB813ED"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183</w:t>
            </w:r>
          </w:p>
        </w:tc>
        <w:tc>
          <w:tcPr>
            <w:tcW w:w="780" w:type="dxa"/>
            <w:tcBorders>
              <w:top w:val="nil"/>
              <w:left w:val="nil"/>
              <w:bottom w:val="single" w:sz="4" w:space="0" w:color="ADD6EA"/>
              <w:right w:val="nil"/>
            </w:tcBorders>
            <w:shd w:val="clear" w:color="auto" w:fill="auto"/>
            <w:noWrap/>
            <w:vAlign w:val="bottom"/>
            <w:hideMark/>
          </w:tcPr>
          <w:p w14:paraId="76E15B0A"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27,346</w:t>
            </w:r>
          </w:p>
        </w:tc>
        <w:tc>
          <w:tcPr>
            <w:tcW w:w="920" w:type="dxa"/>
            <w:tcBorders>
              <w:top w:val="nil"/>
              <w:left w:val="nil"/>
              <w:bottom w:val="single" w:sz="4" w:space="0" w:color="ADD6EA"/>
              <w:right w:val="nil"/>
            </w:tcBorders>
            <w:shd w:val="clear" w:color="auto" w:fill="auto"/>
            <w:noWrap/>
            <w:vAlign w:val="bottom"/>
            <w:hideMark/>
          </w:tcPr>
          <w:p w14:paraId="3E6E76DC"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279,926</w:t>
            </w:r>
          </w:p>
        </w:tc>
      </w:tr>
      <w:tr w:rsidR="007E365E" w:rsidRPr="005305F6" w14:paraId="3EBBA0B5" w14:textId="77777777" w:rsidTr="007D1D77">
        <w:trPr>
          <w:trHeight w:val="315"/>
        </w:trPr>
        <w:tc>
          <w:tcPr>
            <w:tcW w:w="2060" w:type="dxa"/>
            <w:tcBorders>
              <w:top w:val="nil"/>
              <w:left w:val="nil"/>
              <w:bottom w:val="single" w:sz="4" w:space="0" w:color="ADD6EA"/>
              <w:right w:val="nil"/>
            </w:tcBorders>
            <w:shd w:val="clear" w:color="auto" w:fill="auto"/>
            <w:noWrap/>
            <w:vAlign w:val="bottom"/>
            <w:hideMark/>
          </w:tcPr>
          <w:p w14:paraId="61BF33C1" w14:textId="77777777" w:rsidR="007E365E" w:rsidRPr="005305F6" w:rsidRDefault="007E365E" w:rsidP="007D1D77">
            <w:pPr>
              <w:tabs>
                <w:tab w:val="clear" w:pos="567"/>
              </w:tabs>
              <w:spacing w:before="0" w:line="240" w:lineRule="auto"/>
              <w:rPr>
                <w:rFonts w:eastAsia="Times New Roman" w:cs="Open Sans Light"/>
                <w:sz w:val="16"/>
                <w:szCs w:val="16"/>
                <w:lang w:eastAsia="en-AU"/>
              </w:rPr>
            </w:pPr>
            <w:r w:rsidRPr="005305F6">
              <w:rPr>
                <w:rFonts w:eastAsia="Times New Roman" w:cs="Open Sans Light"/>
                <w:sz w:val="16"/>
                <w:szCs w:val="16"/>
                <w:lang w:eastAsia="en-AU"/>
              </w:rPr>
              <w:t>To ports</w:t>
            </w:r>
          </w:p>
        </w:tc>
        <w:tc>
          <w:tcPr>
            <w:tcW w:w="780" w:type="dxa"/>
            <w:tcBorders>
              <w:top w:val="nil"/>
              <w:left w:val="nil"/>
              <w:bottom w:val="single" w:sz="4" w:space="0" w:color="ADD6EA"/>
              <w:right w:val="nil"/>
            </w:tcBorders>
            <w:shd w:val="clear" w:color="auto" w:fill="auto"/>
            <w:noWrap/>
            <w:vAlign w:val="bottom"/>
            <w:hideMark/>
          </w:tcPr>
          <w:p w14:paraId="7F315EC8"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13</w:t>
            </w:r>
          </w:p>
        </w:tc>
        <w:tc>
          <w:tcPr>
            <w:tcW w:w="780" w:type="dxa"/>
            <w:tcBorders>
              <w:top w:val="nil"/>
              <w:left w:val="nil"/>
              <w:bottom w:val="single" w:sz="4" w:space="0" w:color="ADD6EA"/>
              <w:right w:val="nil"/>
            </w:tcBorders>
            <w:shd w:val="clear" w:color="auto" w:fill="auto"/>
            <w:noWrap/>
            <w:vAlign w:val="bottom"/>
            <w:hideMark/>
          </w:tcPr>
          <w:p w14:paraId="240E1F89"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44</w:t>
            </w:r>
          </w:p>
        </w:tc>
        <w:tc>
          <w:tcPr>
            <w:tcW w:w="780" w:type="dxa"/>
            <w:tcBorders>
              <w:top w:val="nil"/>
              <w:left w:val="nil"/>
              <w:bottom w:val="single" w:sz="4" w:space="0" w:color="ADD6EA"/>
              <w:right w:val="nil"/>
            </w:tcBorders>
            <w:shd w:val="clear" w:color="auto" w:fill="auto"/>
            <w:noWrap/>
            <w:vAlign w:val="bottom"/>
            <w:hideMark/>
          </w:tcPr>
          <w:p w14:paraId="4CDC8E6E"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240</w:t>
            </w:r>
          </w:p>
        </w:tc>
        <w:tc>
          <w:tcPr>
            <w:tcW w:w="780" w:type="dxa"/>
            <w:tcBorders>
              <w:top w:val="nil"/>
              <w:left w:val="nil"/>
              <w:bottom w:val="single" w:sz="4" w:space="0" w:color="ADD6EA"/>
              <w:right w:val="nil"/>
            </w:tcBorders>
            <w:shd w:val="clear" w:color="auto" w:fill="auto"/>
            <w:noWrap/>
            <w:vAlign w:val="bottom"/>
            <w:hideMark/>
          </w:tcPr>
          <w:p w14:paraId="4450ECA0"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517</w:t>
            </w:r>
          </w:p>
        </w:tc>
        <w:tc>
          <w:tcPr>
            <w:tcW w:w="780" w:type="dxa"/>
            <w:tcBorders>
              <w:top w:val="nil"/>
              <w:left w:val="nil"/>
              <w:bottom w:val="single" w:sz="4" w:space="0" w:color="ADD6EA"/>
              <w:right w:val="nil"/>
            </w:tcBorders>
            <w:shd w:val="clear" w:color="auto" w:fill="auto"/>
            <w:noWrap/>
            <w:vAlign w:val="bottom"/>
            <w:hideMark/>
          </w:tcPr>
          <w:p w14:paraId="6F9287B8"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224</w:t>
            </w:r>
          </w:p>
        </w:tc>
        <w:tc>
          <w:tcPr>
            <w:tcW w:w="680" w:type="dxa"/>
            <w:tcBorders>
              <w:top w:val="nil"/>
              <w:left w:val="nil"/>
              <w:bottom w:val="single" w:sz="4" w:space="0" w:color="ADD6EA"/>
              <w:right w:val="nil"/>
            </w:tcBorders>
            <w:shd w:val="clear" w:color="auto" w:fill="auto"/>
            <w:noWrap/>
            <w:vAlign w:val="bottom"/>
            <w:hideMark/>
          </w:tcPr>
          <w:p w14:paraId="636D96A0"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71</w:t>
            </w:r>
          </w:p>
        </w:tc>
        <w:tc>
          <w:tcPr>
            <w:tcW w:w="620" w:type="dxa"/>
            <w:tcBorders>
              <w:top w:val="nil"/>
              <w:left w:val="nil"/>
              <w:bottom w:val="single" w:sz="4" w:space="0" w:color="ADD6EA"/>
              <w:right w:val="nil"/>
            </w:tcBorders>
            <w:shd w:val="clear" w:color="auto" w:fill="auto"/>
            <w:noWrap/>
            <w:vAlign w:val="bottom"/>
            <w:hideMark/>
          </w:tcPr>
          <w:p w14:paraId="7E3870D5"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0</w:t>
            </w:r>
          </w:p>
        </w:tc>
        <w:tc>
          <w:tcPr>
            <w:tcW w:w="780" w:type="dxa"/>
            <w:tcBorders>
              <w:top w:val="nil"/>
              <w:left w:val="nil"/>
              <w:bottom w:val="single" w:sz="4" w:space="0" w:color="ADD6EA"/>
              <w:right w:val="nil"/>
            </w:tcBorders>
            <w:shd w:val="clear" w:color="auto" w:fill="auto"/>
            <w:noWrap/>
            <w:vAlign w:val="bottom"/>
            <w:hideMark/>
          </w:tcPr>
          <w:p w14:paraId="564D8D1E"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116</w:t>
            </w:r>
          </w:p>
        </w:tc>
        <w:tc>
          <w:tcPr>
            <w:tcW w:w="920" w:type="dxa"/>
            <w:tcBorders>
              <w:top w:val="nil"/>
              <w:left w:val="nil"/>
              <w:bottom w:val="single" w:sz="4" w:space="0" w:color="ADD6EA"/>
              <w:right w:val="nil"/>
            </w:tcBorders>
            <w:shd w:val="clear" w:color="auto" w:fill="auto"/>
            <w:noWrap/>
            <w:vAlign w:val="bottom"/>
            <w:hideMark/>
          </w:tcPr>
          <w:p w14:paraId="782BADE8"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1,224</w:t>
            </w:r>
          </w:p>
        </w:tc>
      </w:tr>
      <w:tr w:rsidR="007E365E" w:rsidRPr="005305F6" w14:paraId="2088D3AB" w14:textId="77777777" w:rsidTr="007D1D77">
        <w:trPr>
          <w:trHeight w:val="315"/>
        </w:trPr>
        <w:tc>
          <w:tcPr>
            <w:tcW w:w="2060" w:type="dxa"/>
            <w:tcBorders>
              <w:top w:val="nil"/>
              <w:left w:val="nil"/>
              <w:bottom w:val="single" w:sz="4" w:space="0" w:color="ADD6EA"/>
              <w:right w:val="nil"/>
            </w:tcBorders>
            <w:shd w:val="clear" w:color="auto" w:fill="auto"/>
            <w:noWrap/>
            <w:vAlign w:val="bottom"/>
            <w:hideMark/>
          </w:tcPr>
          <w:p w14:paraId="3F110A4F" w14:textId="77777777" w:rsidR="007E365E" w:rsidRPr="005305F6" w:rsidRDefault="007E365E" w:rsidP="007D1D77">
            <w:pPr>
              <w:tabs>
                <w:tab w:val="clear" w:pos="567"/>
              </w:tabs>
              <w:spacing w:before="0" w:line="240" w:lineRule="auto"/>
              <w:rPr>
                <w:rFonts w:eastAsia="Times New Roman" w:cs="Open Sans Light"/>
                <w:sz w:val="16"/>
                <w:szCs w:val="16"/>
                <w:lang w:eastAsia="en-AU"/>
              </w:rPr>
            </w:pPr>
            <w:r w:rsidRPr="005305F6">
              <w:rPr>
                <w:rFonts w:eastAsia="Times New Roman" w:cs="Open Sans Light"/>
                <w:sz w:val="16"/>
                <w:szCs w:val="16"/>
                <w:lang w:eastAsia="en-AU"/>
              </w:rPr>
              <w:t>To mines</w:t>
            </w:r>
          </w:p>
        </w:tc>
        <w:tc>
          <w:tcPr>
            <w:tcW w:w="780" w:type="dxa"/>
            <w:tcBorders>
              <w:top w:val="nil"/>
              <w:left w:val="nil"/>
              <w:bottom w:val="single" w:sz="4" w:space="0" w:color="ADD6EA"/>
              <w:right w:val="nil"/>
            </w:tcBorders>
            <w:shd w:val="clear" w:color="auto" w:fill="auto"/>
            <w:noWrap/>
            <w:vAlign w:val="bottom"/>
            <w:hideMark/>
          </w:tcPr>
          <w:p w14:paraId="0BC54847"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668</w:t>
            </w:r>
          </w:p>
        </w:tc>
        <w:tc>
          <w:tcPr>
            <w:tcW w:w="780" w:type="dxa"/>
            <w:tcBorders>
              <w:top w:val="nil"/>
              <w:left w:val="nil"/>
              <w:bottom w:val="single" w:sz="4" w:space="0" w:color="ADD6EA"/>
              <w:right w:val="nil"/>
            </w:tcBorders>
            <w:shd w:val="clear" w:color="auto" w:fill="auto"/>
            <w:noWrap/>
            <w:vAlign w:val="bottom"/>
            <w:hideMark/>
          </w:tcPr>
          <w:p w14:paraId="2A727B86"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382</w:t>
            </w:r>
          </w:p>
        </w:tc>
        <w:tc>
          <w:tcPr>
            <w:tcW w:w="780" w:type="dxa"/>
            <w:tcBorders>
              <w:top w:val="nil"/>
              <w:left w:val="nil"/>
              <w:bottom w:val="single" w:sz="4" w:space="0" w:color="ADD6EA"/>
              <w:right w:val="nil"/>
            </w:tcBorders>
            <w:shd w:val="clear" w:color="auto" w:fill="auto"/>
            <w:noWrap/>
            <w:vAlign w:val="bottom"/>
            <w:hideMark/>
          </w:tcPr>
          <w:p w14:paraId="04F99235"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3,424</w:t>
            </w:r>
          </w:p>
        </w:tc>
        <w:tc>
          <w:tcPr>
            <w:tcW w:w="780" w:type="dxa"/>
            <w:tcBorders>
              <w:top w:val="nil"/>
              <w:left w:val="nil"/>
              <w:bottom w:val="single" w:sz="4" w:space="0" w:color="ADD6EA"/>
              <w:right w:val="nil"/>
            </w:tcBorders>
            <w:shd w:val="clear" w:color="auto" w:fill="auto"/>
            <w:noWrap/>
            <w:vAlign w:val="bottom"/>
            <w:hideMark/>
          </w:tcPr>
          <w:p w14:paraId="756ABC83"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4,110</w:t>
            </w:r>
          </w:p>
        </w:tc>
        <w:tc>
          <w:tcPr>
            <w:tcW w:w="780" w:type="dxa"/>
            <w:tcBorders>
              <w:top w:val="nil"/>
              <w:left w:val="nil"/>
              <w:bottom w:val="single" w:sz="4" w:space="0" w:color="ADD6EA"/>
              <w:right w:val="nil"/>
            </w:tcBorders>
            <w:shd w:val="clear" w:color="auto" w:fill="auto"/>
            <w:noWrap/>
            <w:vAlign w:val="bottom"/>
            <w:hideMark/>
          </w:tcPr>
          <w:p w14:paraId="1ACEF5D0"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1,191</w:t>
            </w:r>
          </w:p>
        </w:tc>
        <w:tc>
          <w:tcPr>
            <w:tcW w:w="680" w:type="dxa"/>
            <w:tcBorders>
              <w:top w:val="nil"/>
              <w:left w:val="nil"/>
              <w:bottom w:val="single" w:sz="4" w:space="0" w:color="ADD6EA"/>
              <w:right w:val="nil"/>
            </w:tcBorders>
            <w:shd w:val="clear" w:color="auto" w:fill="auto"/>
            <w:noWrap/>
            <w:vAlign w:val="bottom"/>
            <w:hideMark/>
          </w:tcPr>
          <w:p w14:paraId="10B8E8BC"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0</w:t>
            </w:r>
          </w:p>
        </w:tc>
        <w:tc>
          <w:tcPr>
            <w:tcW w:w="620" w:type="dxa"/>
            <w:tcBorders>
              <w:top w:val="nil"/>
              <w:left w:val="nil"/>
              <w:bottom w:val="single" w:sz="4" w:space="0" w:color="ADD6EA"/>
              <w:right w:val="nil"/>
            </w:tcBorders>
            <w:shd w:val="clear" w:color="auto" w:fill="auto"/>
            <w:noWrap/>
            <w:vAlign w:val="bottom"/>
            <w:hideMark/>
          </w:tcPr>
          <w:p w14:paraId="20C5224E"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0</w:t>
            </w:r>
          </w:p>
        </w:tc>
        <w:tc>
          <w:tcPr>
            <w:tcW w:w="780" w:type="dxa"/>
            <w:tcBorders>
              <w:top w:val="nil"/>
              <w:left w:val="nil"/>
              <w:bottom w:val="single" w:sz="4" w:space="0" w:color="ADD6EA"/>
              <w:right w:val="nil"/>
            </w:tcBorders>
            <w:shd w:val="clear" w:color="auto" w:fill="auto"/>
            <w:noWrap/>
            <w:vAlign w:val="bottom"/>
            <w:hideMark/>
          </w:tcPr>
          <w:p w14:paraId="45C1D20B"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677</w:t>
            </w:r>
          </w:p>
        </w:tc>
        <w:tc>
          <w:tcPr>
            <w:tcW w:w="920" w:type="dxa"/>
            <w:tcBorders>
              <w:top w:val="nil"/>
              <w:left w:val="nil"/>
              <w:bottom w:val="single" w:sz="4" w:space="0" w:color="ADD6EA"/>
              <w:right w:val="nil"/>
            </w:tcBorders>
            <w:shd w:val="clear" w:color="auto" w:fill="auto"/>
            <w:noWrap/>
            <w:vAlign w:val="bottom"/>
            <w:hideMark/>
          </w:tcPr>
          <w:p w14:paraId="37A3C351"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10,452</w:t>
            </w:r>
          </w:p>
        </w:tc>
      </w:tr>
      <w:tr w:rsidR="007E365E" w:rsidRPr="005305F6" w14:paraId="04602C89" w14:textId="77777777" w:rsidTr="007D1D77">
        <w:trPr>
          <w:trHeight w:val="315"/>
        </w:trPr>
        <w:tc>
          <w:tcPr>
            <w:tcW w:w="2060" w:type="dxa"/>
            <w:tcBorders>
              <w:top w:val="nil"/>
              <w:left w:val="nil"/>
              <w:bottom w:val="single" w:sz="4" w:space="0" w:color="ADD6EA"/>
              <w:right w:val="nil"/>
            </w:tcBorders>
            <w:shd w:val="clear" w:color="auto" w:fill="auto"/>
            <w:noWrap/>
            <w:vAlign w:val="bottom"/>
            <w:hideMark/>
          </w:tcPr>
          <w:p w14:paraId="3C2D0769" w14:textId="77777777" w:rsidR="007E365E" w:rsidRPr="005305F6" w:rsidRDefault="007E365E" w:rsidP="007D1D77">
            <w:pPr>
              <w:tabs>
                <w:tab w:val="clear" w:pos="567"/>
              </w:tabs>
              <w:spacing w:before="0" w:line="240" w:lineRule="auto"/>
              <w:rPr>
                <w:rFonts w:eastAsia="Times New Roman" w:cs="Open Sans Light"/>
                <w:sz w:val="16"/>
                <w:szCs w:val="16"/>
                <w:lang w:eastAsia="en-AU"/>
              </w:rPr>
            </w:pPr>
            <w:r w:rsidRPr="005305F6">
              <w:rPr>
                <w:rFonts w:eastAsia="Times New Roman" w:cs="Open Sans Light"/>
                <w:sz w:val="16"/>
                <w:szCs w:val="16"/>
                <w:lang w:eastAsia="en-AU"/>
              </w:rPr>
              <w:t>To national parks (a)</w:t>
            </w:r>
          </w:p>
        </w:tc>
        <w:tc>
          <w:tcPr>
            <w:tcW w:w="780" w:type="dxa"/>
            <w:tcBorders>
              <w:top w:val="nil"/>
              <w:left w:val="nil"/>
              <w:bottom w:val="single" w:sz="4" w:space="0" w:color="ADD6EA"/>
              <w:right w:val="nil"/>
            </w:tcBorders>
            <w:shd w:val="clear" w:color="auto" w:fill="auto"/>
            <w:noWrap/>
            <w:vAlign w:val="bottom"/>
            <w:hideMark/>
          </w:tcPr>
          <w:p w14:paraId="26821B24"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6,985</w:t>
            </w:r>
          </w:p>
        </w:tc>
        <w:tc>
          <w:tcPr>
            <w:tcW w:w="780" w:type="dxa"/>
            <w:tcBorders>
              <w:top w:val="nil"/>
              <w:left w:val="nil"/>
              <w:bottom w:val="single" w:sz="4" w:space="0" w:color="ADD6EA"/>
              <w:right w:val="nil"/>
            </w:tcBorders>
            <w:shd w:val="clear" w:color="auto" w:fill="auto"/>
            <w:noWrap/>
            <w:vAlign w:val="bottom"/>
            <w:hideMark/>
          </w:tcPr>
          <w:p w14:paraId="6857FF4E"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1,496</w:t>
            </w:r>
          </w:p>
        </w:tc>
        <w:tc>
          <w:tcPr>
            <w:tcW w:w="780" w:type="dxa"/>
            <w:tcBorders>
              <w:top w:val="nil"/>
              <w:left w:val="nil"/>
              <w:bottom w:val="single" w:sz="4" w:space="0" w:color="ADD6EA"/>
              <w:right w:val="nil"/>
            </w:tcBorders>
            <w:shd w:val="clear" w:color="auto" w:fill="auto"/>
            <w:noWrap/>
            <w:vAlign w:val="bottom"/>
            <w:hideMark/>
          </w:tcPr>
          <w:p w14:paraId="12EA3B44"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13,913</w:t>
            </w:r>
          </w:p>
        </w:tc>
        <w:tc>
          <w:tcPr>
            <w:tcW w:w="780" w:type="dxa"/>
            <w:tcBorders>
              <w:top w:val="nil"/>
              <w:left w:val="nil"/>
              <w:bottom w:val="single" w:sz="4" w:space="0" w:color="ADD6EA"/>
              <w:right w:val="nil"/>
            </w:tcBorders>
            <w:shd w:val="clear" w:color="auto" w:fill="auto"/>
            <w:noWrap/>
            <w:vAlign w:val="bottom"/>
            <w:hideMark/>
          </w:tcPr>
          <w:p w14:paraId="3EF050B5"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3,894</w:t>
            </w:r>
          </w:p>
        </w:tc>
        <w:tc>
          <w:tcPr>
            <w:tcW w:w="780" w:type="dxa"/>
            <w:tcBorders>
              <w:top w:val="nil"/>
              <w:left w:val="nil"/>
              <w:bottom w:val="single" w:sz="4" w:space="0" w:color="ADD6EA"/>
              <w:right w:val="nil"/>
            </w:tcBorders>
            <w:shd w:val="clear" w:color="auto" w:fill="auto"/>
            <w:noWrap/>
            <w:vAlign w:val="bottom"/>
            <w:hideMark/>
          </w:tcPr>
          <w:p w14:paraId="245501A7"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2,597</w:t>
            </w:r>
          </w:p>
        </w:tc>
        <w:tc>
          <w:tcPr>
            <w:tcW w:w="680" w:type="dxa"/>
            <w:tcBorders>
              <w:top w:val="nil"/>
              <w:left w:val="nil"/>
              <w:bottom w:val="single" w:sz="4" w:space="0" w:color="ADD6EA"/>
              <w:right w:val="nil"/>
            </w:tcBorders>
            <w:shd w:val="clear" w:color="auto" w:fill="auto"/>
            <w:noWrap/>
            <w:vAlign w:val="bottom"/>
            <w:hideMark/>
          </w:tcPr>
          <w:p w14:paraId="6C2D2B99"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1,035</w:t>
            </w:r>
          </w:p>
        </w:tc>
        <w:tc>
          <w:tcPr>
            <w:tcW w:w="620" w:type="dxa"/>
            <w:tcBorders>
              <w:top w:val="nil"/>
              <w:left w:val="nil"/>
              <w:bottom w:val="single" w:sz="4" w:space="0" w:color="ADD6EA"/>
              <w:right w:val="nil"/>
            </w:tcBorders>
            <w:shd w:val="clear" w:color="auto" w:fill="auto"/>
            <w:noWrap/>
            <w:vAlign w:val="bottom"/>
            <w:hideMark/>
          </w:tcPr>
          <w:p w14:paraId="1BEE74CF"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162</w:t>
            </w:r>
          </w:p>
        </w:tc>
        <w:tc>
          <w:tcPr>
            <w:tcW w:w="780" w:type="dxa"/>
            <w:tcBorders>
              <w:top w:val="nil"/>
              <w:left w:val="nil"/>
              <w:bottom w:val="single" w:sz="4" w:space="0" w:color="ADD6EA"/>
              <w:right w:val="nil"/>
            </w:tcBorders>
            <w:shd w:val="clear" w:color="auto" w:fill="auto"/>
            <w:noWrap/>
            <w:vAlign w:val="bottom"/>
            <w:hideMark/>
          </w:tcPr>
          <w:p w14:paraId="2603F627"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1,177</w:t>
            </w:r>
          </w:p>
        </w:tc>
        <w:tc>
          <w:tcPr>
            <w:tcW w:w="920" w:type="dxa"/>
            <w:tcBorders>
              <w:top w:val="nil"/>
              <w:left w:val="nil"/>
              <w:bottom w:val="single" w:sz="4" w:space="0" w:color="ADD6EA"/>
              <w:right w:val="nil"/>
            </w:tcBorders>
            <w:shd w:val="clear" w:color="auto" w:fill="auto"/>
            <w:noWrap/>
            <w:vAlign w:val="bottom"/>
            <w:hideMark/>
          </w:tcPr>
          <w:p w14:paraId="0106FE8E"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31,260</w:t>
            </w:r>
          </w:p>
        </w:tc>
      </w:tr>
      <w:tr w:rsidR="007E365E" w:rsidRPr="005305F6" w14:paraId="73757DBD" w14:textId="77777777" w:rsidTr="007D1D77">
        <w:trPr>
          <w:trHeight w:val="315"/>
        </w:trPr>
        <w:tc>
          <w:tcPr>
            <w:tcW w:w="2060" w:type="dxa"/>
            <w:tcBorders>
              <w:top w:val="nil"/>
              <w:left w:val="nil"/>
              <w:bottom w:val="single" w:sz="4" w:space="0" w:color="ADD6EA"/>
              <w:right w:val="nil"/>
            </w:tcBorders>
            <w:shd w:val="clear" w:color="auto" w:fill="auto"/>
            <w:noWrap/>
            <w:vAlign w:val="bottom"/>
            <w:hideMark/>
          </w:tcPr>
          <w:p w14:paraId="789937EB" w14:textId="77777777" w:rsidR="007E365E" w:rsidRPr="005305F6" w:rsidRDefault="007E365E" w:rsidP="007D1D77">
            <w:pPr>
              <w:tabs>
                <w:tab w:val="clear" w:pos="567"/>
              </w:tabs>
              <w:spacing w:before="0" w:line="240" w:lineRule="auto"/>
              <w:rPr>
                <w:rFonts w:eastAsia="Times New Roman" w:cs="Open Sans Light"/>
                <w:sz w:val="16"/>
                <w:szCs w:val="16"/>
                <w:lang w:eastAsia="en-AU"/>
              </w:rPr>
            </w:pPr>
            <w:r w:rsidRPr="005305F6">
              <w:rPr>
                <w:rFonts w:eastAsia="Times New Roman" w:cs="Open Sans Light"/>
                <w:sz w:val="16"/>
                <w:szCs w:val="16"/>
                <w:lang w:eastAsia="en-AU"/>
              </w:rPr>
              <w:t>Additional lanes</w:t>
            </w:r>
          </w:p>
        </w:tc>
        <w:tc>
          <w:tcPr>
            <w:tcW w:w="780" w:type="dxa"/>
            <w:tcBorders>
              <w:top w:val="nil"/>
              <w:left w:val="nil"/>
              <w:bottom w:val="single" w:sz="4" w:space="0" w:color="ADD6EA"/>
              <w:right w:val="nil"/>
            </w:tcBorders>
            <w:shd w:val="clear" w:color="auto" w:fill="auto"/>
            <w:noWrap/>
            <w:vAlign w:val="bottom"/>
            <w:hideMark/>
          </w:tcPr>
          <w:p w14:paraId="290327E5"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1,627</w:t>
            </w:r>
          </w:p>
        </w:tc>
        <w:tc>
          <w:tcPr>
            <w:tcW w:w="780" w:type="dxa"/>
            <w:tcBorders>
              <w:top w:val="nil"/>
              <w:left w:val="nil"/>
              <w:bottom w:val="single" w:sz="4" w:space="0" w:color="ADD6EA"/>
              <w:right w:val="nil"/>
            </w:tcBorders>
            <w:shd w:val="clear" w:color="auto" w:fill="auto"/>
            <w:noWrap/>
            <w:vAlign w:val="bottom"/>
            <w:hideMark/>
          </w:tcPr>
          <w:p w14:paraId="791E379B"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555</w:t>
            </w:r>
          </w:p>
        </w:tc>
        <w:tc>
          <w:tcPr>
            <w:tcW w:w="780" w:type="dxa"/>
            <w:tcBorders>
              <w:top w:val="nil"/>
              <w:left w:val="nil"/>
              <w:bottom w:val="single" w:sz="4" w:space="0" w:color="ADD6EA"/>
              <w:right w:val="nil"/>
            </w:tcBorders>
            <w:shd w:val="clear" w:color="auto" w:fill="auto"/>
            <w:noWrap/>
            <w:vAlign w:val="bottom"/>
            <w:hideMark/>
          </w:tcPr>
          <w:p w14:paraId="17483716"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527</w:t>
            </w:r>
          </w:p>
        </w:tc>
        <w:tc>
          <w:tcPr>
            <w:tcW w:w="780" w:type="dxa"/>
            <w:tcBorders>
              <w:top w:val="nil"/>
              <w:left w:val="nil"/>
              <w:bottom w:val="single" w:sz="4" w:space="0" w:color="ADD6EA"/>
              <w:right w:val="nil"/>
            </w:tcBorders>
            <w:shd w:val="clear" w:color="auto" w:fill="auto"/>
            <w:noWrap/>
            <w:vAlign w:val="bottom"/>
            <w:hideMark/>
          </w:tcPr>
          <w:p w14:paraId="4876118C"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532</w:t>
            </w:r>
          </w:p>
        </w:tc>
        <w:tc>
          <w:tcPr>
            <w:tcW w:w="780" w:type="dxa"/>
            <w:tcBorders>
              <w:top w:val="nil"/>
              <w:left w:val="nil"/>
              <w:bottom w:val="single" w:sz="4" w:space="0" w:color="ADD6EA"/>
              <w:right w:val="nil"/>
            </w:tcBorders>
            <w:shd w:val="clear" w:color="auto" w:fill="auto"/>
            <w:noWrap/>
            <w:vAlign w:val="bottom"/>
            <w:hideMark/>
          </w:tcPr>
          <w:p w14:paraId="748BF76E"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512</w:t>
            </w:r>
          </w:p>
        </w:tc>
        <w:tc>
          <w:tcPr>
            <w:tcW w:w="680" w:type="dxa"/>
            <w:tcBorders>
              <w:top w:val="nil"/>
              <w:left w:val="nil"/>
              <w:bottom w:val="single" w:sz="4" w:space="0" w:color="ADD6EA"/>
              <w:right w:val="nil"/>
            </w:tcBorders>
            <w:shd w:val="clear" w:color="auto" w:fill="auto"/>
            <w:noWrap/>
            <w:vAlign w:val="bottom"/>
            <w:hideMark/>
          </w:tcPr>
          <w:p w14:paraId="38A0336B"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192</w:t>
            </w:r>
          </w:p>
        </w:tc>
        <w:tc>
          <w:tcPr>
            <w:tcW w:w="620" w:type="dxa"/>
            <w:tcBorders>
              <w:top w:val="nil"/>
              <w:left w:val="nil"/>
              <w:bottom w:val="single" w:sz="4" w:space="0" w:color="ADD6EA"/>
              <w:right w:val="nil"/>
            </w:tcBorders>
            <w:shd w:val="clear" w:color="auto" w:fill="auto"/>
            <w:noWrap/>
            <w:vAlign w:val="bottom"/>
            <w:hideMark/>
          </w:tcPr>
          <w:p w14:paraId="74E15E78"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21</w:t>
            </w:r>
          </w:p>
        </w:tc>
        <w:tc>
          <w:tcPr>
            <w:tcW w:w="780" w:type="dxa"/>
            <w:tcBorders>
              <w:top w:val="nil"/>
              <w:left w:val="nil"/>
              <w:bottom w:val="single" w:sz="4" w:space="0" w:color="ADD6EA"/>
              <w:right w:val="nil"/>
            </w:tcBorders>
            <w:shd w:val="clear" w:color="auto" w:fill="auto"/>
            <w:noWrap/>
            <w:vAlign w:val="bottom"/>
            <w:hideMark/>
          </w:tcPr>
          <w:p w14:paraId="04F21031"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188</w:t>
            </w:r>
          </w:p>
        </w:tc>
        <w:tc>
          <w:tcPr>
            <w:tcW w:w="920" w:type="dxa"/>
            <w:tcBorders>
              <w:top w:val="nil"/>
              <w:left w:val="nil"/>
              <w:bottom w:val="single" w:sz="4" w:space="0" w:color="ADD6EA"/>
              <w:right w:val="nil"/>
            </w:tcBorders>
            <w:shd w:val="clear" w:color="auto" w:fill="auto"/>
            <w:noWrap/>
            <w:vAlign w:val="bottom"/>
            <w:hideMark/>
          </w:tcPr>
          <w:p w14:paraId="5563DF2C"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4,155</w:t>
            </w:r>
          </w:p>
        </w:tc>
      </w:tr>
      <w:tr w:rsidR="007E365E" w:rsidRPr="005305F6" w14:paraId="0105BB15" w14:textId="77777777" w:rsidTr="007D1D77">
        <w:trPr>
          <w:trHeight w:val="315"/>
        </w:trPr>
        <w:tc>
          <w:tcPr>
            <w:tcW w:w="2060" w:type="dxa"/>
            <w:tcBorders>
              <w:top w:val="nil"/>
              <w:left w:val="nil"/>
              <w:bottom w:val="single" w:sz="4" w:space="0" w:color="ADD6EA"/>
              <w:right w:val="nil"/>
            </w:tcBorders>
            <w:shd w:val="clear" w:color="000000" w:fill="D6E7F0"/>
            <w:noWrap/>
            <w:vAlign w:val="bottom"/>
            <w:hideMark/>
          </w:tcPr>
          <w:p w14:paraId="7D65A4EE" w14:textId="77777777" w:rsidR="007E365E" w:rsidRPr="005305F6"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Total</w:t>
            </w:r>
          </w:p>
        </w:tc>
        <w:tc>
          <w:tcPr>
            <w:tcW w:w="780" w:type="dxa"/>
            <w:tcBorders>
              <w:top w:val="nil"/>
              <w:left w:val="nil"/>
              <w:bottom w:val="single" w:sz="4" w:space="0" w:color="ADD6EA"/>
              <w:right w:val="nil"/>
            </w:tcBorders>
            <w:shd w:val="clear" w:color="000000" w:fill="D6E7F0"/>
            <w:noWrap/>
            <w:vAlign w:val="bottom"/>
            <w:hideMark/>
          </w:tcPr>
          <w:p w14:paraId="3F75469B"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77,402</w:t>
            </w:r>
          </w:p>
        </w:tc>
        <w:tc>
          <w:tcPr>
            <w:tcW w:w="780" w:type="dxa"/>
            <w:tcBorders>
              <w:top w:val="nil"/>
              <w:left w:val="nil"/>
              <w:bottom w:val="single" w:sz="4" w:space="0" w:color="ADD6EA"/>
              <w:right w:val="nil"/>
            </w:tcBorders>
            <w:shd w:val="clear" w:color="000000" w:fill="D6E7F0"/>
            <w:noWrap/>
            <w:vAlign w:val="bottom"/>
            <w:hideMark/>
          </w:tcPr>
          <w:p w14:paraId="112283CD"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41,142</w:t>
            </w:r>
          </w:p>
        </w:tc>
        <w:tc>
          <w:tcPr>
            <w:tcW w:w="780" w:type="dxa"/>
            <w:tcBorders>
              <w:top w:val="nil"/>
              <w:left w:val="nil"/>
              <w:bottom w:val="single" w:sz="4" w:space="0" w:color="ADD6EA"/>
              <w:right w:val="nil"/>
            </w:tcBorders>
            <w:shd w:val="clear" w:color="000000" w:fill="D6E7F0"/>
            <w:noWrap/>
            <w:vAlign w:val="bottom"/>
            <w:hideMark/>
          </w:tcPr>
          <w:p w14:paraId="7426FAA1"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82,582</w:t>
            </w:r>
          </w:p>
        </w:tc>
        <w:tc>
          <w:tcPr>
            <w:tcW w:w="780" w:type="dxa"/>
            <w:tcBorders>
              <w:top w:val="nil"/>
              <w:left w:val="nil"/>
              <w:bottom w:val="single" w:sz="4" w:space="0" w:color="ADD6EA"/>
              <w:right w:val="nil"/>
            </w:tcBorders>
            <w:shd w:val="clear" w:color="000000" w:fill="D6E7F0"/>
            <w:noWrap/>
            <w:vAlign w:val="bottom"/>
            <w:hideMark/>
          </w:tcPr>
          <w:p w14:paraId="1669E44F"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55,336</w:t>
            </w:r>
          </w:p>
        </w:tc>
        <w:tc>
          <w:tcPr>
            <w:tcW w:w="780" w:type="dxa"/>
            <w:tcBorders>
              <w:top w:val="nil"/>
              <w:left w:val="nil"/>
              <w:bottom w:val="single" w:sz="4" w:space="0" w:color="ADD6EA"/>
              <w:right w:val="nil"/>
            </w:tcBorders>
            <w:shd w:val="clear" w:color="000000" w:fill="D6E7F0"/>
            <w:noWrap/>
            <w:vAlign w:val="bottom"/>
            <w:hideMark/>
          </w:tcPr>
          <w:p w14:paraId="77685AE0"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31,819</w:t>
            </w:r>
          </w:p>
        </w:tc>
        <w:tc>
          <w:tcPr>
            <w:tcW w:w="680" w:type="dxa"/>
            <w:tcBorders>
              <w:top w:val="nil"/>
              <w:left w:val="nil"/>
              <w:bottom w:val="single" w:sz="4" w:space="0" w:color="ADD6EA"/>
              <w:right w:val="nil"/>
            </w:tcBorders>
            <w:shd w:val="clear" w:color="000000" w:fill="D6E7F0"/>
            <w:noWrap/>
            <w:vAlign w:val="bottom"/>
            <w:hideMark/>
          </w:tcPr>
          <w:p w14:paraId="79733BB5"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8,865</w:t>
            </w:r>
          </w:p>
        </w:tc>
        <w:tc>
          <w:tcPr>
            <w:tcW w:w="620" w:type="dxa"/>
            <w:tcBorders>
              <w:top w:val="nil"/>
              <w:left w:val="nil"/>
              <w:bottom w:val="single" w:sz="4" w:space="0" w:color="ADD6EA"/>
              <w:right w:val="nil"/>
            </w:tcBorders>
            <w:shd w:val="clear" w:color="000000" w:fill="D6E7F0"/>
            <w:noWrap/>
            <w:vAlign w:val="bottom"/>
            <w:hideMark/>
          </w:tcPr>
          <w:p w14:paraId="54C6842A"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366</w:t>
            </w:r>
          </w:p>
        </w:tc>
        <w:tc>
          <w:tcPr>
            <w:tcW w:w="780" w:type="dxa"/>
            <w:tcBorders>
              <w:top w:val="nil"/>
              <w:left w:val="nil"/>
              <w:bottom w:val="single" w:sz="4" w:space="0" w:color="ADD6EA"/>
              <w:right w:val="nil"/>
            </w:tcBorders>
            <w:shd w:val="clear" w:color="000000" w:fill="D6E7F0"/>
            <w:noWrap/>
            <w:vAlign w:val="bottom"/>
            <w:hideMark/>
          </w:tcPr>
          <w:p w14:paraId="5EC9315F"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29,505</w:t>
            </w:r>
          </w:p>
        </w:tc>
        <w:tc>
          <w:tcPr>
            <w:tcW w:w="920" w:type="dxa"/>
            <w:tcBorders>
              <w:top w:val="nil"/>
              <w:left w:val="nil"/>
              <w:bottom w:val="single" w:sz="4" w:space="0" w:color="ADD6EA"/>
              <w:right w:val="nil"/>
            </w:tcBorders>
            <w:shd w:val="clear" w:color="000000" w:fill="D6E7F0"/>
            <w:noWrap/>
            <w:vAlign w:val="bottom"/>
            <w:hideMark/>
          </w:tcPr>
          <w:p w14:paraId="6777FBDA"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327,017</w:t>
            </w:r>
          </w:p>
        </w:tc>
      </w:tr>
      <w:tr w:rsidR="007E365E" w:rsidRPr="005305F6" w14:paraId="238CA68B" w14:textId="77777777" w:rsidTr="007D1D77">
        <w:trPr>
          <w:trHeight w:val="259"/>
        </w:trPr>
        <w:tc>
          <w:tcPr>
            <w:tcW w:w="2060" w:type="dxa"/>
            <w:tcBorders>
              <w:top w:val="nil"/>
              <w:left w:val="nil"/>
              <w:bottom w:val="single" w:sz="4" w:space="0" w:color="ADD6EA"/>
              <w:right w:val="nil"/>
            </w:tcBorders>
            <w:shd w:val="clear" w:color="000000" w:fill="B6D5E4"/>
            <w:noWrap/>
            <w:vAlign w:val="center"/>
            <w:hideMark/>
          </w:tcPr>
          <w:p w14:paraId="53E6C2C9"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 </w:t>
            </w:r>
          </w:p>
        </w:tc>
        <w:tc>
          <w:tcPr>
            <w:tcW w:w="780" w:type="dxa"/>
            <w:tcBorders>
              <w:top w:val="nil"/>
              <w:left w:val="nil"/>
              <w:bottom w:val="single" w:sz="4" w:space="0" w:color="ADD6EA"/>
              <w:right w:val="nil"/>
            </w:tcBorders>
            <w:shd w:val="clear" w:color="000000" w:fill="B6D5E4"/>
            <w:noWrap/>
            <w:vAlign w:val="center"/>
            <w:hideMark/>
          </w:tcPr>
          <w:p w14:paraId="56CB6EAA"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w:t>
            </w:r>
          </w:p>
        </w:tc>
        <w:tc>
          <w:tcPr>
            <w:tcW w:w="780" w:type="dxa"/>
            <w:tcBorders>
              <w:top w:val="nil"/>
              <w:left w:val="nil"/>
              <w:bottom w:val="single" w:sz="4" w:space="0" w:color="ADD6EA"/>
              <w:right w:val="nil"/>
            </w:tcBorders>
            <w:shd w:val="clear" w:color="000000" w:fill="B6D5E4"/>
            <w:noWrap/>
            <w:vAlign w:val="center"/>
            <w:hideMark/>
          </w:tcPr>
          <w:p w14:paraId="5561464D"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w:t>
            </w:r>
          </w:p>
        </w:tc>
        <w:tc>
          <w:tcPr>
            <w:tcW w:w="780" w:type="dxa"/>
            <w:tcBorders>
              <w:top w:val="nil"/>
              <w:left w:val="nil"/>
              <w:bottom w:val="single" w:sz="4" w:space="0" w:color="ADD6EA"/>
              <w:right w:val="nil"/>
            </w:tcBorders>
            <w:shd w:val="clear" w:color="000000" w:fill="B6D5E4"/>
            <w:noWrap/>
            <w:vAlign w:val="center"/>
            <w:hideMark/>
          </w:tcPr>
          <w:p w14:paraId="0FD2C9F3"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w:t>
            </w:r>
          </w:p>
        </w:tc>
        <w:tc>
          <w:tcPr>
            <w:tcW w:w="780" w:type="dxa"/>
            <w:tcBorders>
              <w:top w:val="nil"/>
              <w:left w:val="nil"/>
              <w:bottom w:val="single" w:sz="4" w:space="0" w:color="ADD6EA"/>
              <w:right w:val="nil"/>
            </w:tcBorders>
            <w:shd w:val="clear" w:color="000000" w:fill="B6D5E4"/>
            <w:noWrap/>
            <w:vAlign w:val="center"/>
            <w:hideMark/>
          </w:tcPr>
          <w:p w14:paraId="249A17D1"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w:t>
            </w:r>
          </w:p>
        </w:tc>
        <w:tc>
          <w:tcPr>
            <w:tcW w:w="780" w:type="dxa"/>
            <w:tcBorders>
              <w:top w:val="nil"/>
              <w:left w:val="nil"/>
              <w:bottom w:val="single" w:sz="4" w:space="0" w:color="ADD6EA"/>
              <w:right w:val="nil"/>
            </w:tcBorders>
            <w:shd w:val="clear" w:color="000000" w:fill="B6D5E4"/>
            <w:noWrap/>
            <w:vAlign w:val="center"/>
            <w:hideMark/>
          </w:tcPr>
          <w:p w14:paraId="46906AAB"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w:t>
            </w:r>
          </w:p>
        </w:tc>
        <w:tc>
          <w:tcPr>
            <w:tcW w:w="680" w:type="dxa"/>
            <w:tcBorders>
              <w:top w:val="nil"/>
              <w:left w:val="nil"/>
              <w:bottom w:val="single" w:sz="4" w:space="0" w:color="ADD6EA"/>
              <w:right w:val="nil"/>
            </w:tcBorders>
            <w:shd w:val="clear" w:color="000000" w:fill="B6D5E4"/>
            <w:noWrap/>
            <w:vAlign w:val="center"/>
            <w:hideMark/>
          </w:tcPr>
          <w:p w14:paraId="2D58EF60"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w:t>
            </w:r>
          </w:p>
        </w:tc>
        <w:tc>
          <w:tcPr>
            <w:tcW w:w="620" w:type="dxa"/>
            <w:tcBorders>
              <w:top w:val="nil"/>
              <w:left w:val="nil"/>
              <w:bottom w:val="single" w:sz="4" w:space="0" w:color="ADD6EA"/>
              <w:right w:val="nil"/>
            </w:tcBorders>
            <w:shd w:val="clear" w:color="000000" w:fill="B6D5E4"/>
            <w:noWrap/>
            <w:vAlign w:val="center"/>
            <w:hideMark/>
          </w:tcPr>
          <w:p w14:paraId="47E3F3C4"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w:t>
            </w:r>
          </w:p>
        </w:tc>
        <w:tc>
          <w:tcPr>
            <w:tcW w:w="780" w:type="dxa"/>
            <w:tcBorders>
              <w:top w:val="nil"/>
              <w:left w:val="nil"/>
              <w:bottom w:val="single" w:sz="4" w:space="0" w:color="ADD6EA"/>
              <w:right w:val="nil"/>
            </w:tcBorders>
            <w:shd w:val="clear" w:color="000000" w:fill="B6D5E4"/>
            <w:noWrap/>
            <w:vAlign w:val="center"/>
            <w:hideMark/>
          </w:tcPr>
          <w:p w14:paraId="0F0B8165"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w:t>
            </w:r>
          </w:p>
        </w:tc>
        <w:tc>
          <w:tcPr>
            <w:tcW w:w="920" w:type="dxa"/>
            <w:tcBorders>
              <w:top w:val="nil"/>
              <w:left w:val="nil"/>
              <w:bottom w:val="single" w:sz="4" w:space="0" w:color="ADD6EA"/>
              <w:right w:val="nil"/>
            </w:tcBorders>
            <w:shd w:val="clear" w:color="000000" w:fill="B6D5E4"/>
            <w:noWrap/>
            <w:vAlign w:val="center"/>
            <w:hideMark/>
          </w:tcPr>
          <w:p w14:paraId="476FB557"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w:t>
            </w:r>
          </w:p>
        </w:tc>
      </w:tr>
      <w:tr w:rsidR="007E365E" w:rsidRPr="005305F6" w14:paraId="45085886" w14:textId="77777777" w:rsidTr="007D1D77">
        <w:trPr>
          <w:trHeight w:val="315"/>
        </w:trPr>
        <w:tc>
          <w:tcPr>
            <w:tcW w:w="2060" w:type="dxa"/>
            <w:tcBorders>
              <w:top w:val="nil"/>
              <w:left w:val="nil"/>
              <w:bottom w:val="single" w:sz="4" w:space="0" w:color="ADD6EA"/>
              <w:right w:val="nil"/>
            </w:tcBorders>
            <w:shd w:val="clear" w:color="auto" w:fill="auto"/>
            <w:noWrap/>
            <w:vAlign w:val="bottom"/>
            <w:hideMark/>
          </w:tcPr>
          <w:p w14:paraId="65DDF776" w14:textId="77777777" w:rsidR="007E365E" w:rsidRPr="005305F6" w:rsidRDefault="007E365E" w:rsidP="007D1D77">
            <w:pPr>
              <w:tabs>
                <w:tab w:val="clear" w:pos="567"/>
              </w:tabs>
              <w:spacing w:before="0" w:line="240" w:lineRule="auto"/>
              <w:rPr>
                <w:rFonts w:eastAsia="Times New Roman" w:cs="Open Sans Light"/>
                <w:sz w:val="16"/>
                <w:szCs w:val="16"/>
                <w:lang w:eastAsia="en-AU"/>
              </w:rPr>
            </w:pPr>
            <w:r w:rsidRPr="005305F6">
              <w:rPr>
                <w:rFonts w:eastAsia="Times New Roman" w:cs="Open Sans Light"/>
                <w:sz w:val="16"/>
                <w:szCs w:val="16"/>
                <w:lang w:eastAsia="en-AU"/>
              </w:rPr>
              <w:t>Lane-kilometres</w:t>
            </w:r>
          </w:p>
        </w:tc>
        <w:tc>
          <w:tcPr>
            <w:tcW w:w="780" w:type="dxa"/>
            <w:tcBorders>
              <w:top w:val="nil"/>
              <w:left w:val="nil"/>
              <w:bottom w:val="single" w:sz="4" w:space="0" w:color="ADD6EA"/>
              <w:right w:val="nil"/>
            </w:tcBorders>
            <w:shd w:val="clear" w:color="auto" w:fill="auto"/>
            <w:noWrap/>
            <w:vAlign w:val="bottom"/>
            <w:hideMark/>
          </w:tcPr>
          <w:p w14:paraId="0F6B6953"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24.3</w:t>
            </w:r>
          </w:p>
        </w:tc>
        <w:tc>
          <w:tcPr>
            <w:tcW w:w="780" w:type="dxa"/>
            <w:tcBorders>
              <w:top w:val="nil"/>
              <w:left w:val="nil"/>
              <w:bottom w:val="single" w:sz="4" w:space="0" w:color="ADD6EA"/>
              <w:right w:val="nil"/>
            </w:tcBorders>
            <w:shd w:val="clear" w:color="auto" w:fill="auto"/>
            <w:noWrap/>
            <w:vAlign w:val="bottom"/>
            <w:hideMark/>
          </w:tcPr>
          <w:p w14:paraId="26B44782"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13.8</w:t>
            </w:r>
          </w:p>
        </w:tc>
        <w:tc>
          <w:tcPr>
            <w:tcW w:w="780" w:type="dxa"/>
            <w:tcBorders>
              <w:top w:val="nil"/>
              <w:left w:val="nil"/>
              <w:bottom w:val="single" w:sz="4" w:space="0" w:color="ADD6EA"/>
              <w:right w:val="nil"/>
            </w:tcBorders>
            <w:shd w:val="clear" w:color="auto" w:fill="auto"/>
            <w:noWrap/>
            <w:vAlign w:val="bottom"/>
            <w:hideMark/>
          </w:tcPr>
          <w:p w14:paraId="6D27FC19"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23.0</w:t>
            </w:r>
          </w:p>
        </w:tc>
        <w:tc>
          <w:tcPr>
            <w:tcW w:w="780" w:type="dxa"/>
            <w:tcBorders>
              <w:top w:val="nil"/>
              <w:left w:val="nil"/>
              <w:bottom w:val="single" w:sz="4" w:space="0" w:color="ADD6EA"/>
              <w:right w:val="nil"/>
            </w:tcBorders>
            <w:shd w:val="clear" w:color="auto" w:fill="auto"/>
            <w:noWrap/>
            <w:vAlign w:val="bottom"/>
            <w:hideMark/>
          </w:tcPr>
          <w:p w14:paraId="31FF3BED"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16.5</w:t>
            </w:r>
          </w:p>
        </w:tc>
        <w:tc>
          <w:tcPr>
            <w:tcW w:w="780" w:type="dxa"/>
            <w:tcBorders>
              <w:top w:val="nil"/>
              <w:left w:val="nil"/>
              <w:bottom w:val="single" w:sz="4" w:space="0" w:color="ADD6EA"/>
              <w:right w:val="nil"/>
            </w:tcBorders>
            <w:shd w:val="clear" w:color="auto" w:fill="auto"/>
            <w:noWrap/>
            <w:vAlign w:val="bottom"/>
            <w:hideMark/>
          </w:tcPr>
          <w:p w14:paraId="27AABBDB"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9.8</w:t>
            </w:r>
          </w:p>
        </w:tc>
        <w:tc>
          <w:tcPr>
            <w:tcW w:w="680" w:type="dxa"/>
            <w:tcBorders>
              <w:top w:val="nil"/>
              <w:left w:val="nil"/>
              <w:bottom w:val="single" w:sz="4" w:space="0" w:color="ADD6EA"/>
              <w:right w:val="nil"/>
            </w:tcBorders>
            <w:shd w:val="clear" w:color="auto" w:fill="auto"/>
            <w:noWrap/>
            <w:vAlign w:val="bottom"/>
            <w:hideMark/>
          </w:tcPr>
          <w:p w14:paraId="5BF58258"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2.7</w:t>
            </w:r>
          </w:p>
        </w:tc>
        <w:tc>
          <w:tcPr>
            <w:tcW w:w="620" w:type="dxa"/>
            <w:tcBorders>
              <w:top w:val="nil"/>
              <w:left w:val="nil"/>
              <w:bottom w:val="single" w:sz="4" w:space="0" w:color="ADD6EA"/>
              <w:right w:val="nil"/>
            </w:tcBorders>
            <w:shd w:val="clear" w:color="auto" w:fill="auto"/>
            <w:noWrap/>
            <w:vAlign w:val="bottom"/>
            <w:hideMark/>
          </w:tcPr>
          <w:p w14:paraId="7496563D"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0.1</w:t>
            </w:r>
          </w:p>
        </w:tc>
        <w:tc>
          <w:tcPr>
            <w:tcW w:w="780" w:type="dxa"/>
            <w:tcBorders>
              <w:top w:val="nil"/>
              <w:left w:val="nil"/>
              <w:bottom w:val="single" w:sz="4" w:space="0" w:color="ADD6EA"/>
              <w:right w:val="nil"/>
            </w:tcBorders>
            <w:shd w:val="clear" w:color="auto" w:fill="auto"/>
            <w:noWrap/>
            <w:vAlign w:val="bottom"/>
            <w:hideMark/>
          </w:tcPr>
          <w:p w14:paraId="46774E0F"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9.8</w:t>
            </w:r>
          </w:p>
        </w:tc>
        <w:tc>
          <w:tcPr>
            <w:tcW w:w="920" w:type="dxa"/>
            <w:tcBorders>
              <w:top w:val="nil"/>
              <w:left w:val="nil"/>
              <w:bottom w:val="single" w:sz="4" w:space="0" w:color="ADD6EA"/>
              <w:right w:val="nil"/>
            </w:tcBorders>
            <w:shd w:val="clear" w:color="auto" w:fill="auto"/>
            <w:noWrap/>
            <w:vAlign w:val="bottom"/>
            <w:hideMark/>
          </w:tcPr>
          <w:p w14:paraId="69FA5E81"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100.0</w:t>
            </w:r>
          </w:p>
        </w:tc>
      </w:tr>
      <w:tr w:rsidR="007E365E" w:rsidRPr="005305F6" w14:paraId="785F6373" w14:textId="77777777" w:rsidTr="007D1D77">
        <w:trPr>
          <w:trHeight w:val="315"/>
        </w:trPr>
        <w:tc>
          <w:tcPr>
            <w:tcW w:w="2060" w:type="dxa"/>
            <w:tcBorders>
              <w:top w:val="nil"/>
              <w:left w:val="nil"/>
              <w:bottom w:val="single" w:sz="4" w:space="0" w:color="ADD6EA"/>
              <w:right w:val="nil"/>
            </w:tcBorders>
            <w:shd w:val="clear" w:color="auto" w:fill="auto"/>
            <w:noWrap/>
            <w:vAlign w:val="bottom"/>
            <w:hideMark/>
          </w:tcPr>
          <w:p w14:paraId="6C38E877" w14:textId="77777777" w:rsidR="007E365E" w:rsidRPr="005305F6" w:rsidRDefault="007E365E" w:rsidP="007D1D77">
            <w:pPr>
              <w:tabs>
                <w:tab w:val="clear" w:pos="567"/>
              </w:tabs>
              <w:spacing w:before="0" w:line="240" w:lineRule="auto"/>
              <w:rPr>
                <w:rFonts w:eastAsia="Times New Roman" w:cs="Open Sans Light"/>
                <w:sz w:val="16"/>
                <w:szCs w:val="16"/>
                <w:lang w:eastAsia="en-AU"/>
              </w:rPr>
            </w:pPr>
            <w:r w:rsidRPr="005305F6">
              <w:rPr>
                <w:rFonts w:eastAsia="Times New Roman" w:cs="Open Sans Light"/>
                <w:sz w:val="16"/>
                <w:szCs w:val="16"/>
                <w:lang w:eastAsia="en-AU"/>
              </w:rPr>
              <w:t>To ports</w:t>
            </w:r>
          </w:p>
        </w:tc>
        <w:tc>
          <w:tcPr>
            <w:tcW w:w="780" w:type="dxa"/>
            <w:tcBorders>
              <w:top w:val="nil"/>
              <w:left w:val="nil"/>
              <w:bottom w:val="single" w:sz="4" w:space="0" w:color="ADD6EA"/>
              <w:right w:val="nil"/>
            </w:tcBorders>
            <w:shd w:val="clear" w:color="auto" w:fill="auto"/>
            <w:noWrap/>
            <w:vAlign w:val="bottom"/>
            <w:hideMark/>
          </w:tcPr>
          <w:p w14:paraId="5E3B0AA0"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1.0</w:t>
            </w:r>
          </w:p>
        </w:tc>
        <w:tc>
          <w:tcPr>
            <w:tcW w:w="780" w:type="dxa"/>
            <w:tcBorders>
              <w:top w:val="nil"/>
              <w:left w:val="nil"/>
              <w:bottom w:val="single" w:sz="4" w:space="0" w:color="ADD6EA"/>
              <w:right w:val="nil"/>
            </w:tcBorders>
            <w:shd w:val="clear" w:color="auto" w:fill="auto"/>
            <w:noWrap/>
            <w:vAlign w:val="bottom"/>
            <w:hideMark/>
          </w:tcPr>
          <w:p w14:paraId="1A137D76"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3.6</w:t>
            </w:r>
          </w:p>
        </w:tc>
        <w:tc>
          <w:tcPr>
            <w:tcW w:w="780" w:type="dxa"/>
            <w:tcBorders>
              <w:top w:val="nil"/>
              <w:left w:val="nil"/>
              <w:bottom w:val="single" w:sz="4" w:space="0" w:color="ADD6EA"/>
              <w:right w:val="nil"/>
            </w:tcBorders>
            <w:shd w:val="clear" w:color="auto" w:fill="auto"/>
            <w:noWrap/>
            <w:vAlign w:val="bottom"/>
            <w:hideMark/>
          </w:tcPr>
          <w:p w14:paraId="78C0C977"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19.6</w:t>
            </w:r>
          </w:p>
        </w:tc>
        <w:tc>
          <w:tcPr>
            <w:tcW w:w="780" w:type="dxa"/>
            <w:tcBorders>
              <w:top w:val="nil"/>
              <w:left w:val="nil"/>
              <w:bottom w:val="single" w:sz="4" w:space="0" w:color="ADD6EA"/>
              <w:right w:val="nil"/>
            </w:tcBorders>
            <w:shd w:val="clear" w:color="auto" w:fill="auto"/>
            <w:noWrap/>
            <w:vAlign w:val="bottom"/>
            <w:hideMark/>
          </w:tcPr>
          <w:p w14:paraId="16FDE3E0"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42.2</w:t>
            </w:r>
          </w:p>
        </w:tc>
        <w:tc>
          <w:tcPr>
            <w:tcW w:w="780" w:type="dxa"/>
            <w:tcBorders>
              <w:top w:val="nil"/>
              <w:left w:val="nil"/>
              <w:bottom w:val="single" w:sz="4" w:space="0" w:color="ADD6EA"/>
              <w:right w:val="nil"/>
            </w:tcBorders>
            <w:shd w:val="clear" w:color="auto" w:fill="auto"/>
            <w:noWrap/>
            <w:vAlign w:val="bottom"/>
            <w:hideMark/>
          </w:tcPr>
          <w:p w14:paraId="251BD5C7"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18.3</w:t>
            </w:r>
          </w:p>
        </w:tc>
        <w:tc>
          <w:tcPr>
            <w:tcW w:w="680" w:type="dxa"/>
            <w:tcBorders>
              <w:top w:val="nil"/>
              <w:left w:val="nil"/>
              <w:bottom w:val="single" w:sz="4" w:space="0" w:color="ADD6EA"/>
              <w:right w:val="nil"/>
            </w:tcBorders>
            <w:shd w:val="clear" w:color="auto" w:fill="auto"/>
            <w:noWrap/>
            <w:vAlign w:val="bottom"/>
            <w:hideMark/>
          </w:tcPr>
          <w:p w14:paraId="37E4FF1F"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5.8</w:t>
            </w:r>
          </w:p>
        </w:tc>
        <w:tc>
          <w:tcPr>
            <w:tcW w:w="620" w:type="dxa"/>
            <w:tcBorders>
              <w:top w:val="nil"/>
              <w:left w:val="nil"/>
              <w:bottom w:val="single" w:sz="4" w:space="0" w:color="ADD6EA"/>
              <w:right w:val="nil"/>
            </w:tcBorders>
            <w:shd w:val="clear" w:color="auto" w:fill="auto"/>
            <w:noWrap/>
            <w:vAlign w:val="bottom"/>
            <w:hideMark/>
          </w:tcPr>
          <w:p w14:paraId="671C1B35"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0.0</w:t>
            </w:r>
          </w:p>
        </w:tc>
        <w:tc>
          <w:tcPr>
            <w:tcW w:w="780" w:type="dxa"/>
            <w:tcBorders>
              <w:top w:val="nil"/>
              <w:left w:val="nil"/>
              <w:bottom w:val="single" w:sz="4" w:space="0" w:color="ADD6EA"/>
              <w:right w:val="nil"/>
            </w:tcBorders>
            <w:shd w:val="clear" w:color="auto" w:fill="auto"/>
            <w:noWrap/>
            <w:vAlign w:val="bottom"/>
            <w:hideMark/>
          </w:tcPr>
          <w:p w14:paraId="3C4C9D04"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9.5</w:t>
            </w:r>
          </w:p>
        </w:tc>
        <w:tc>
          <w:tcPr>
            <w:tcW w:w="920" w:type="dxa"/>
            <w:tcBorders>
              <w:top w:val="nil"/>
              <w:left w:val="nil"/>
              <w:bottom w:val="single" w:sz="4" w:space="0" w:color="ADD6EA"/>
              <w:right w:val="nil"/>
            </w:tcBorders>
            <w:shd w:val="clear" w:color="auto" w:fill="auto"/>
            <w:noWrap/>
            <w:vAlign w:val="bottom"/>
            <w:hideMark/>
          </w:tcPr>
          <w:p w14:paraId="62307758"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100.0</w:t>
            </w:r>
          </w:p>
        </w:tc>
      </w:tr>
      <w:tr w:rsidR="007E365E" w:rsidRPr="005305F6" w14:paraId="6F320F4D" w14:textId="77777777" w:rsidTr="007D1D77">
        <w:trPr>
          <w:trHeight w:val="315"/>
        </w:trPr>
        <w:tc>
          <w:tcPr>
            <w:tcW w:w="2060" w:type="dxa"/>
            <w:tcBorders>
              <w:top w:val="nil"/>
              <w:left w:val="nil"/>
              <w:bottom w:val="single" w:sz="4" w:space="0" w:color="ADD6EA"/>
              <w:right w:val="nil"/>
            </w:tcBorders>
            <w:shd w:val="clear" w:color="auto" w:fill="auto"/>
            <w:noWrap/>
            <w:vAlign w:val="bottom"/>
            <w:hideMark/>
          </w:tcPr>
          <w:p w14:paraId="7E7735F9" w14:textId="77777777" w:rsidR="007E365E" w:rsidRPr="005305F6" w:rsidRDefault="007E365E" w:rsidP="007D1D77">
            <w:pPr>
              <w:tabs>
                <w:tab w:val="clear" w:pos="567"/>
              </w:tabs>
              <w:spacing w:before="0" w:line="240" w:lineRule="auto"/>
              <w:rPr>
                <w:rFonts w:eastAsia="Times New Roman" w:cs="Open Sans Light"/>
                <w:sz w:val="16"/>
                <w:szCs w:val="16"/>
                <w:lang w:eastAsia="en-AU"/>
              </w:rPr>
            </w:pPr>
            <w:r w:rsidRPr="005305F6">
              <w:rPr>
                <w:rFonts w:eastAsia="Times New Roman" w:cs="Open Sans Light"/>
                <w:sz w:val="16"/>
                <w:szCs w:val="16"/>
                <w:lang w:eastAsia="en-AU"/>
              </w:rPr>
              <w:t>To mines</w:t>
            </w:r>
          </w:p>
        </w:tc>
        <w:tc>
          <w:tcPr>
            <w:tcW w:w="780" w:type="dxa"/>
            <w:tcBorders>
              <w:top w:val="nil"/>
              <w:left w:val="nil"/>
              <w:bottom w:val="single" w:sz="4" w:space="0" w:color="ADD6EA"/>
              <w:right w:val="nil"/>
            </w:tcBorders>
            <w:shd w:val="clear" w:color="auto" w:fill="auto"/>
            <w:noWrap/>
            <w:vAlign w:val="bottom"/>
            <w:hideMark/>
          </w:tcPr>
          <w:p w14:paraId="3E5E93C2"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6.4</w:t>
            </w:r>
          </w:p>
        </w:tc>
        <w:tc>
          <w:tcPr>
            <w:tcW w:w="780" w:type="dxa"/>
            <w:tcBorders>
              <w:top w:val="nil"/>
              <w:left w:val="nil"/>
              <w:bottom w:val="single" w:sz="4" w:space="0" w:color="ADD6EA"/>
              <w:right w:val="nil"/>
            </w:tcBorders>
            <w:shd w:val="clear" w:color="auto" w:fill="auto"/>
            <w:noWrap/>
            <w:vAlign w:val="bottom"/>
            <w:hideMark/>
          </w:tcPr>
          <w:p w14:paraId="4D574E85"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3.7</w:t>
            </w:r>
          </w:p>
        </w:tc>
        <w:tc>
          <w:tcPr>
            <w:tcW w:w="780" w:type="dxa"/>
            <w:tcBorders>
              <w:top w:val="nil"/>
              <w:left w:val="nil"/>
              <w:bottom w:val="single" w:sz="4" w:space="0" w:color="ADD6EA"/>
              <w:right w:val="nil"/>
            </w:tcBorders>
            <w:shd w:val="clear" w:color="auto" w:fill="auto"/>
            <w:noWrap/>
            <w:vAlign w:val="bottom"/>
            <w:hideMark/>
          </w:tcPr>
          <w:p w14:paraId="296C2460"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32.8</w:t>
            </w:r>
          </w:p>
        </w:tc>
        <w:tc>
          <w:tcPr>
            <w:tcW w:w="780" w:type="dxa"/>
            <w:tcBorders>
              <w:top w:val="nil"/>
              <w:left w:val="nil"/>
              <w:bottom w:val="single" w:sz="4" w:space="0" w:color="ADD6EA"/>
              <w:right w:val="nil"/>
            </w:tcBorders>
            <w:shd w:val="clear" w:color="auto" w:fill="auto"/>
            <w:noWrap/>
            <w:vAlign w:val="bottom"/>
            <w:hideMark/>
          </w:tcPr>
          <w:p w14:paraId="34BC4B78"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39.3</w:t>
            </w:r>
          </w:p>
        </w:tc>
        <w:tc>
          <w:tcPr>
            <w:tcW w:w="780" w:type="dxa"/>
            <w:tcBorders>
              <w:top w:val="nil"/>
              <w:left w:val="nil"/>
              <w:bottom w:val="single" w:sz="4" w:space="0" w:color="ADD6EA"/>
              <w:right w:val="nil"/>
            </w:tcBorders>
            <w:shd w:val="clear" w:color="auto" w:fill="auto"/>
            <w:noWrap/>
            <w:vAlign w:val="bottom"/>
            <w:hideMark/>
          </w:tcPr>
          <w:p w14:paraId="36A81735"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11.4</w:t>
            </w:r>
          </w:p>
        </w:tc>
        <w:tc>
          <w:tcPr>
            <w:tcW w:w="680" w:type="dxa"/>
            <w:tcBorders>
              <w:top w:val="nil"/>
              <w:left w:val="nil"/>
              <w:bottom w:val="single" w:sz="4" w:space="0" w:color="ADD6EA"/>
              <w:right w:val="nil"/>
            </w:tcBorders>
            <w:shd w:val="clear" w:color="auto" w:fill="auto"/>
            <w:noWrap/>
            <w:vAlign w:val="bottom"/>
            <w:hideMark/>
          </w:tcPr>
          <w:p w14:paraId="698F1335"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0.0</w:t>
            </w:r>
          </w:p>
        </w:tc>
        <w:tc>
          <w:tcPr>
            <w:tcW w:w="620" w:type="dxa"/>
            <w:tcBorders>
              <w:top w:val="nil"/>
              <w:left w:val="nil"/>
              <w:bottom w:val="single" w:sz="4" w:space="0" w:color="ADD6EA"/>
              <w:right w:val="nil"/>
            </w:tcBorders>
            <w:shd w:val="clear" w:color="auto" w:fill="auto"/>
            <w:noWrap/>
            <w:vAlign w:val="bottom"/>
            <w:hideMark/>
          </w:tcPr>
          <w:p w14:paraId="30E0D8FB"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0.0</w:t>
            </w:r>
          </w:p>
        </w:tc>
        <w:tc>
          <w:tcPr>
            <w:tcW w:w="780" w:type="dxa"/>
            <w:tcBorders>
              <w:top w:val="nil"/>
              <w:left w:val="nil"/>
              <w:bottom w:val="single" w:sz="4" w:space="0" w:color="ADD6EA"/>
              <w:right w:val="nil"/>
            </w:tcBorders>
            <w:shd w:val="clear" w:color="auto" w:fill="auto"/>
            <w:noWrap/>
            <w:vAlign w:val="bottom"/>
            <w:hideMark/>
          </w:tcPr>
          <w:p w14:paraId="3CF0F145"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6.5</w:t>
            </w:r>
          </w:p>
        </w:tc>
        <w:tc>
          <w:tcPr>
            <w:tcW w:w="920" w:type="dxa"/>
            <w:tcBorders>
              <w:top w:val="nil"/>
              <w:left w:val="nil"/>
              <w:bottom w:val="single" w:sz="4" w:space="0" w:color="ADD6EA"/>
              <w:right w:val="nil"/>
            </w:tcBorders>
            <w:shd w:val="clear" w:color="auto" w:fill="auto"/>
            <w:noWrap/>
            <w:vAlign w:val="bottom"/>
            <w:hideMark/>
          </w:tcPr>
          <w:p w14:paraId="0264C6FA"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100.0</w:t>
            </w:r>
          </w:p>
        </w:tc>
      </w:tr>
      <w:tr w:rsidR="007E365E" w:rsidRPr="005305F6" w14:paraId="52324765" w14:textId="77777777" w:rsidTr="007D1D77">
        <w:trPr>
          <w:trHeight w:val="315"/>
        </w:trPr>
        <w:tc>
          <w:tcPr>
            <w:tcW w:w="2060" w:type="dxa"/>
            <w:tcBorders>
              <w:top w:val="nil"/>
              <w:left w:val="nil"/>
              <w:bottom w:val="single" w:sz="4" w:space="0" w:color="ADD6EA"/>
              <w:right w:val="nil"/>
            </w:tcBorders>
            <w:shd w:val="clear" w:color="auto" w:fill="auto"/>
            <w:noWrap/>
            <w:vAlign w:val="bottom"/>
            <w:hideMark/>
          </w:tcPr>
          <w:p w14:paraId="6E81FCCD" w14:textId="77777777" w:rsidR="007E365E" w:rsidRPr="005305F6" w:rsidRDefault="007E365E" w:rsidP="007D1D77">
            <w:pPr>
              <w:tabs>
                <w:tab w:val="clear" w:pos="567"/>
              </w:tabs>
              <w:spacing w:before="0" w:line="240" w:lineRule="auto"/>
              <w:rPr>
                <w:rFonts w:eastAsia="Times New Roman" w:cs="Open Sans Light"/>
                <w:sz w:val="16"/>
                <w:szCs w:val="16"/>
                <w:lang w:eastAsia="en-AU"/>
              </w:rPr>
            </w:pPr>
            <w:r w:rsidRPr="005305F6">
              <w:rPr>
                <w:rFonts w:eastAsia="Times New Roman" w:cs="Open Sans Light"/>
                <w:sz w:val="16"/>
                <w:szCs w:val="16"/>
                <w:lang w:eastAsia="en-AU"/>
              </w:rPr>
              <w:t>To national parks (a)</w:t>
            </w:r>
          </w:p>
        </w:tc>
        <w:tc>
          <w:tcPr>
            <w:tcW w:w="780" w:type="dxa"/>
            <w:tcBorders>
              <w:top w:val="nil"/>
              <w:left w:val="nil"/>
              <w:bottom w:val="single" w:sz="4" w:space="0" w:color="ADD6EA"/>
              <w:right w:val="nil"/>
            </w:tcBorders>
            <w:shd w:val="clear" w:color="auto" w:fill="auto"/>
            <w:noWrap/>
            <w:vAlign w:val="bottom"/>
            <w:hideMark/>
          </w:tcPr>
          <w:p w14:paraId="0BCC30BF"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22.3</w:t>
            </w:r>
          </w:p>
        </w:tc>
        <w:tc>
          <w:tcPr>
            <w:tcW w:w="780" w:type="dxa"/>
            <w:tcBorders>
              <w:top w:val="nil"/>
              <w:left w:val="nil"/>
              <w:bottom w:val="single" w:sz="4" w:space="0" w:color="ADD6EA"/>
              <w:right w:val="nil"/>
            </w:tcBorders>
            <w:shd w:val="clear" w:color="auto" w:fill="auto"/>
            <w:noWrap/>
            <w:vAlign w:val="bottom"/>
            <w:hideMark/>
          </w:tcPr>
          <w:p w14:paraId="3376D4FF"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4.8</w:t>
            </w:r>
          </w:p>
        </w:tc>
        <w:tc>
          <w:tcPr>
            <w:tcW w:w="780" w:type="dxa"/>
            <w:tcBorders>
              <w:top w:val="nil"/>
              <w:left w:val="nil"/>
              <w:bottom w:val="single" w:sz="4" w:space="0" w:color="ADD6EA"/>
              <w:right w:val="nil"/>
            </w:tcBorders>
            <w:shd w:val="clear" w:color="auto" w:fill="auto"/>
            <w:noWrap/>
            <w:vAlign w:val="bottom"/>
            <w:hideMark/>
          </w:tcPr>
          <w:p w14:paraId="70D60AA8"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44.5</w:t>
            </w:r>
          </w:p>
        </w:tc>
        <w:tc>
          <w:tcPr>
            <w:tcW w:w="780" w:type="dxa"/>
            <w:tcBorders>
              <w:top w:val="nil"/>
              <w:left w:val="nil"/>
              <w:bottom w:val="single" w:sz="4" w:space="0" w:color="ADD6EA"/>
              <w:right w:val="nil"/>
            </w:tcBorders>
            <w:shd w:val="clear" w:color="auto" w:fill="auto"/>
            <w:noWrap/>
            <w:vAlign w:val="bottom"/>
            <w:hideMark/>
          </w:tcPr>
          <w:p w14:paraId="5E63CEEF"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12.5</w:t>
            </w:r>
          </w:p>
        </w:tc>
        <w:tc>
          <w:tcPr>
            <w:tcW w:w="780" w:type="dxa"/>
            <w:tcBorders>
              <w:top w:val="nil"/>
              <w:left w:val="nil"/>
              <w:bottom w:val="single" w:sz="4" w:space="0" w:color="ADD6EA"/>
              <w:right w:val="nil"/>
            </w:tcBorders>
            <w:shd w:val="clear" w:color="auto" w:fill="auto"/>
            <w:noWrap/>
            <w:vAlign w:val="bottom"/>
            <w:hideMark/>
          </w:tcPr>
          <w:p w14:paraId="36068310"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8.3</w:t>
            </w:r>
          </w:p>
        </w:tc>
        <w:tc>
          <w:tcPr>
            <w:tcW w:w="680" w:type="dxa"/>
            <w:tcBorders>
              <w:top w:val="nil"/>
              <w:left w:val="nil"/>
              <w:bottom w:val="single" w:sz="4" w:space="0" w:color="ADD6EA"/>
              <w:right w:val="nil"/>
            </w:tcBorders>
            <w:shd w:val="clear" w:color="auto" w:fill="auto"/>
            <w:noWrap/>
            <w:vAlign w:val="bottom"/>
            <w:hideMark/>
          </w:tcPr>
          <w:p w14:paraId="32DEC74B"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3.3</w:t>
            </w:r>
          </w:p>
        </w:tc>
        <w:tc>
          <w:tcPr>
            <w:tcW w:w="620" w:type="dxa"/>
            <w:tcBorders>
              <w:top w:val="nil"/>
              <w:left w:val="nil"/>
              <w:bottom w:val="single" w:sz="4" w:space="0" w:color="ADD6EA"/>
              <w:right w:val="nil"/>
            </w:tcBorders>
            <w:shd w:val="clear" w:color="auto" w:fill="auto"/>
            <w:noWrap/>
            <w:vAlign w:val="bottom"/>
            <w:hideMark/>
          </w:tcPr>
          <w:p w14:paraId="279050DA"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0.5</w:t>
            </w:r>
          </w:p>
        </w:tc>
        <w:tc>
          <w:tcPr>
            <w:tcW w:w="780" w:type="dxa"/>
            <w:tcBorders>
              <w:top w:val="nil"/>
              <w:left w:val="nil"/>
              <w:bottom w:val="single" w:sz="4" w:space="0" w:color="ADD6EA"/>
              <w:right w:val="nil"/>
            </w:tcBorders>
            <w:shd w:val="clear" w:color="auto" w:fill="auto"/>
            <w:noWrap/>
            <w:vAlign w:val="bottom"/>
            <w:hideMark/>
          </w:tcPr>
          <w:p w14:paraId="667A9568"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3.8</w:t>
            </w:r>
          </w:p>
        </w:tc>
        <w:tc>
          <w:tcPr>
            <w:tcW w:w="920" w:type="dxa"/>
            <w:tcBorders>
              <w:top w:val="nil"/>
              <w:left w:val="nil"/>
              <w:bottom w:val="single" w:sz="4" w:space="0" w:color="ADD6EA"/>
              <w:right w:val="nil"/>
            </w:tcBorders>
            <w:shd w:val="clear" w:color="auto" w:fill="auto"/>
            <w:noWrap/>
            <w:vAlign w:val="bottom"/>
            <w:hideMark/>
          </w:tcPr>
          <w:p w14:paraId="07C2AB4C"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100.0</w:t>
            </w:r>
          </w:p>
        </w:tc>
      </w:tr>
      <w:tr w:rsidR="007E365E" w:rsidRPr="005305F6" w14:paraId="171D3512" w14:textId="77777777" w:rsidTr="007D1D77">
        <w:trPr>
          <w:trHeight w:val="315"/>
        </w:trPr>
        <w:tc>
          <w:tcPr>
            <w:tcW w:w="2060" w:type="dxa"/>
            <w:tcBorders>
              <w:top w:val="nil"/>
              <w:left w:val="nil"/>
              <w:bottom w:val="single" w:sz="4" w:space="0" w:color="ADD6EA"/>
              <w:right w:val="nil"/>
            </w:tcBorders>
            <w:shd w:val="clear" w:color="auto" w:fill="auto"/>
            <w:noWrap/>
            <w:vAlign w:val="bottom"/>
            <w:hideMark/>
          </w:tcPr>
          <w:p w14:paraId="6DE9BDCA" w14:textId="77777777" w:rsidR="007E365E" w:rsidRPr="005305F6" w:rsidRDefault="007E365E" w:rsidP="007D1D77">
            <w:pPr>
              <w:tabs>
                <w:tab w:val="clear" w:pos="567"/>
              </w:tabs>
              <w:spacing w:before="0" w:line="240" w:lineRule="auto"/>
              <w:rPr>
                <w:rFonts w:eastAsia="Times New Roman" w:cs="Open Sans Light"/>
                <w:sz w:val="16"/>
                <w:szCs w:val="16"/>
                <w:lang w:eastAsia="en-AU"/>
              </w:rPr>
            </w:pPr>
            <w:r w:rsidRPr="005305F6">
              <w:rPr>
                <w:rFonts w:eastAsia="Times New Roman" w:cs="Open Sans Light"/>
                <w:sz w:val="16"/>
                <w:szCs w:val="16"/>
                <w:lang w:eastAsia="en-AU"/>
              </w:rPr>
              <w:t>Additional lanes</w:t>
            </w:r>
          </w:p>
        </w:tc>
        <w:tc>
          <w:tcPr>
            <w:tcW w:w="780" w:type="dxa"/>
            <w:tcBorders>
              <w:top w:val="nil"/>
              <w:left w:val="nil"/>
              <w:bottom w:val="single" w:sz="4" w:space="0" w:color="ADD6EA"/>
              <w:right w:val="nil"/>
            </w:tcBorders>
            <w:shd w:val="clear" w:color="auto" w:fill="auto"/>
            <w:noWrap/>
            <w:vAlign w:val="bottom"/>
            <w:hideMark/>
          </w:tcPr>
          <w:p w14:paraId="3B22CEE4"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39.2</w:t>
            </w:r>
          </w:p>
        </w:tc>
        <w:tc>
          <w:tcPr>
            <w:tcW w:w="780" w:type="dxa"/>
            <w:tcBorders>
              <w:top w:val="nil"/>
              <w:left w:val="nil"/>
              <w:bottom w:val="single" w:sz="4" w:space="0" w:color="ADD6EA"/>
              <w:right w:val="nil"/>
            </w:tcBorders>
            <w:shd w:val="clear" w:color="auto" w:fill="auto"/>
            <w:noWrap/>
            <w:vAlign w:val="bottom"/>
            <w:hideMark/>
          </w:tcPr>
          <w:p w14:paraId="4167D8DE"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13.4</w:t>
            </w:r>
          </w:p>
        </w:tc>
        <w:tc>
          <w:tcPr>
            <w:tcW w:w="780" w:type="dxa"/>
            <w:tcBorders>
              <w:top w:val="nil"/>
              <w:left w:val="nil"/>
              <w:bottom w:val="single" w:sz="4" w:space="0" w:color="ADD6EA"/>
              <w:right w:val="nil"/>
            </w:tcBorders>
            <w:shd w:val="clear" w:color="auto" w:fill="auto"/>
            <w:noWrap/>
            <w:vAlign w:val="bottom"/>
            <w:hideMark/>
          </w:tcPr>
          <w:p w14:paraId="47F7A6E6"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12.7</w:t>
            </w:r>
          </w:p>
        </w:tc>
        <w:tc>
          <w:tcPr>
            <w:tcW w:w="780" w:type="dxa"/>
            <w:tcBorders>
              <w:top w:val="nil"/>
              <w:left w:val="nil"/>
              <w:bottom w:val="single" w:sz="4" w:space="0" w:color="ADD6EA"/>
              <w:right w:val="nil"/>
            </w:tcBorders>
            <w:shd w:val="clear" w:color="auto" w:fill="auto"/>
            <w:noWrap/>
            <w:vAlign w:val="bottom"/>
            <w:hideMark/>
          </w:tcPr>
          <w:p w14:paraId="02CA8EC4"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12.8</w:t>
            </w:r>
          </w:p>
        </w:tc>
        <w:tc>
          <w:tcPr>
            <w:tcW w:w="780" w:type="dxa"/>
            <w:tcBorders>
              <w:top w:val="nil"/>
              <w:left w:val="nil"/>
              <w:bottom w:val="single" w:sz="4" w:space="0" w:color="ADD6EA"/>
              <w:right w:val="nil"/>
            </w:tcBorders>
            <w:shd w:val="clear" w:color="auto" w:fill="auto"/>
            <w:noWrap/>
            <w:vAlign w:val="bottom"/>
            <w:hideMark/>
          </w:tcPr>
          <w:p w14:paraId="2FD39413"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12.3</w:t>
            </w:r>
          </w:p>
        </w:tc>
        <w:tc>
          <w:tcPr>
            <w:tcW w:w="680" w:type="dxa"/>
            <w:tcBorders>
              <w:top w:val="nil"/>
              <w:left w:val="nil"/>
              <w:bottom w:val="single" w:sz="4" w:space="0" w:color="ADD6EA"/>
              <w:right w:val="nil"/>
            </w:tcBorders>
            <w:shd w:val="clear" w:color="auto" w:fill="auto"/>
            <w:noWrap/>
            <w:vAlign w:val="bottom"/>
            <w:hideMark/>
          </w:tcPr>
          <w:p w14:paraId="62E47073"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4.6</w:t>
            </w:r>
          </w:p>
        </w:tc>
        <w:tc>
          <w:tcPr>
            <w:tcW w:w="620" w:type="dxa"/>
            <w:tcBorders>
              <w:top w:val="nil"/>
              <w:left w:val="nil"/>
              <w:bottom w:val="single" w:sz="4" w:space="0" w:color="ADD6EA"/>
              <w:right w:val="nil"/>
            </w:tcBorders>
            <w:shd w:val="clear" w:color="auto" w:fill="auto"/>
            <w:noWrap/>
            <w:vAlign w:val="bottom"/>
            <w:hideMark/>
          </w:tcPr>
          <w:p w14:paraId="70BACA8F"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0.5</w:t>
            </w:r>
          </w:p>
        </w:tc>
        <w:tc>
          <w:tcPr>
            <w:tcW w:w="780" w:type="dxa"/>
            <w:tcBorders>
              <w:top w:val="nil"/>
              <w:left w:val="nil"/>
              <w:bottom w:val="single" w:sz="4" w:space="0" w:color="ADD6EA"/>
              <w:right w:val="nil"/>
            </w:tcBorders>
            <w:shd w:val="clear" w:color="auto" w:fill="auto"/>
            <w:noWrap/>
            <w:vAlign w:val="bottom"/>
            <w:hideMark/>
          </w:tcPr>
          <w:p w14:paraId="48F9C789"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4.5</w:t>
            </w:r>
          </w:p>
        </w:tc>
        <w:tc>
          <w:tcPr>
            <w:tcW w:w="920" w:type="dxa"/>
            <w:tcBorders>
              <w:top w:val="nil"/>
              <w:left w:val="nil"/>
              <w:bottom w:val="single" w:sz="4" w:space="0" w:color="ADD6EA"/>
              <w:right w:val="nil"/>
            </w:tcBorders>
            <w:shd w:val="clear" w:color="auto" w:fill="auto"/>
            <w:noWrap/>
            <w:vAlign w:val="bottom"/>
            <w:hideMark/>
          </w:tcPr>
          <w:p w14:paraId="3168A8B7" w14:textId="77777777" w:rsidR="007E365E" w:rsidRPr="005305F6" w:rsidRDefault="007E365E" w:rsidP="007D1D77">
            <w:pPr>
              <w:tabs>
                <w:tab w:val="clear" w:pos="567"/>
              </w:tabs>
              <w:spacing w:before="0" w:line="240" w:lineRule="auto"/>
              <w:jc w:val="right"/>
              <w:rPr>
                <w:rFonts w:eastAsia="Times New Roman" w:cs="Open Sans Light"/>
                <w:sz w:val="16"/>
                <w:szCs w:val="16"/>
                <w:lang w:eastAsia="en-AU"/>
              </w:rPr>
            </w:pPr>
            <w:r w:rsidRPr="005305F6">
              <w:rPr>
                <w:rFonts w:eastAsia="Times New Roman" w:cs="Open Sans Light"/>
                <w:sz w:val="16"/>
                <w:szCs w:val="16"/>
                <w:lang w:eastAsia="en-AU"/>
              </w:rPr>
              <w:t>100.0</w:t>
            </w:r>
          </w:p>
        </w:tc>
      </w:tr>
      <w:tr w:rsidR="007E365E" w:rsidRPr="005305F6" w14:paraId="5B097C34" w14:textId="77777777" w:rsidTr="007D1D77">
        <w:trPr>
          <w:trHeight w:val="315"/>
        </w:trPr>
        <w:tc>
          <w:tcPr>
            <w:tcW w:w="2060" w:type="dxa"/>
            <w:tcBorders>
              <w:top w:val="nil"/>
              <w:left w:val="nil"/>
              <w:bottom w:val="single" w:sz="4" w:space="0" w:color="ADD6EA"/>
              <w:right w:val="nil"/>
            </w:tcBorders>
            <w:shd w:val="clear" w:color="000000" w:fill="D6E7F0"/>
            <w:noWrap/>
            <w:vAlign w:val="bottom"/>
            <w:hideMark/>
          </w:tcPr>
          <w:p w14:paraId="5689BD0B" w14:textId="77777777" w:rsidR="007E365E" w:rsidRPr="005305F6"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Total</w:t>
            </w:r>
          </w:p>
        </w:tc>
        <w:tc>
          <w:tcPr>
            <w:tcW w:w="780" w:type="dxa"/>
            <w:tcBorders>
              <w:top w:val="nil"/>
              <w:left w:val="nil"/>
              <w:bottom w:val="single" w:sz="4" w:space="0" w:color="ADD6EA"/>
              <w:right w:val="nil"/>
            </w:tcBorders>
            <w:shd w:val="clear" w:color="000000" w:fill="D6E7F0"/>
            <w:noWrap/>
            <w:vAlign w:val="bottom"/>
            <w:hideMark/>
          </w:tcPr>
          <w:p w14:paraId="7D26301A"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23.7</w:t>
            </w:r>
          </w:p>
        </w:tc>
        <w:tc>
          <w:tcPr>
            <w:tcW w:w="780" w:type="dxa"/>
            <w:tcBorders>
              <w:top w:val="nil"/>
              <w:left w:val="nil"/>
              <w:bottom w:val="single" w:sz="4" w:space="0" w:color="ADD6EA"/>
              <w:right w:val="nil"/>
            </w:tcBorders>
            <w:shd w:val="clear" w:color="000000" w:fill="D6E7F0"/>
            <w:noWrap/>
            <w:vAlign w:val="bottom"/>
            <w:hideMark/>
          </w:tcPr>
          <w:p w14:paraId="3D103EDF"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12.6</w:t>
            </w:r>
          </w:p>
        </w:tc>
        <w:tc>
          <w:tcPr>
            <w:tcW w:w="780" w:type="dxa"/>
            <w:tcBorders>
              <w:top w:val="nil"/>
              <w:left w:val="nil"/>
              <w:bottom w:val="single" w:sz="4" w:space="0" w:color="ADD6EA"/>
              <w:right w:val="nil"/>
            </w:tcBorders>
            <w:shd w:val="clear" w:color="000000" w:fill="D6E7F0"/>
            <w:noWrap/>
            <w:vAlign w:val="bottom"/>
            <w:hideMark/>
          </w:tcPr>
          <w:p w14:paraId="3348BA5E"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25.3</w:t>
            </w:r>
          </w:p>
        </w:tc>
        <w:tc>
          <w:tcPr>
            <w:tcW w:w="780" w:type="dxa"/>
            <w:tcBorders>
              <w:top w:val="nil"/>
              <w:left w:val="nil"/>
              <w:bottom w:val="single" w:sz="4" w:space="0" w:color="ADD6EA"/>
              <w:right w:val="nil"/>
            </w:tcBorders>
            <w:shd w:val="clear" w:color="000000" w:fill="D6E7F0"/>
            <w:noWrap/>
            <w:vAlign w:val="bottom"/>
            <w:hideMark/>
          </w:tcPr>
          <w:p w14:paraId="08227B53"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16.9</w:t>
            </w:r>
          </w:p>
        </w:tc>
        <w:tc>
          <w:tcPr>
            <w:tcW w:w="780" w:type="dxa"/>
            <w:tcBorders>
              <w:top w:val="nil"/>
              <w:left w:val="nil"/>
              <w:bottom w:val="single" w:sz="4" w:space="0" w:color="ADD6EA"/>
              <w:right w:val="nil"/>
            </w:tcBorders>
            <w:shd w:val="clear" w:color="000000" w:fill="D6E7F0"/>
            <w:noWrap/>
            <w:vAlign w:val="bottom"/>
            <w:hideMark/>
          </w:tcPr>
          <w:p w14:paraId="2DE1C418"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9.7</w:t>
            </w:r>
          </w:p>
        </w:tc>
        <w:tc>
          <w:tcPr>
            <w:tcW w:w="680" w:type="dxa"/>
            <w:tcBorders>
              <w:top w:val="nil"/>
              <w:left w:val="nil"/>
              <w:bottom w:val="single" w:sz="4" w:space="0" w:color="ADD6EA"/>
              <w:right w:val="nil"/>
            </w:tcBorders>
            <w:shd w:val="clear" w:color="000000" w:fill="D6E7F0"/>
            <w:noWrap/>
            <w:vAlign w:val="bottom"/>
            <w:hideMark/>
          </w:tcPr>
          <w:p w14:paraId="492C9540"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2.7</w:t>
            </w:r>
          </w:p>
        </w:tc>
        <w:tc>
          <w:tcPr>
            <w:tcW w:w="620" w:type="dxa"/>
            <w:tcBorders>
              <w:top w:val="nil"/>
              <w:left w:val="nil"/>
              <w:bottom w:val="single" w:sz="4" w:space="0" w:color="ADD6EA"/>
              <w:right w:val="nil"/>
            </w:tcBorders>
            <w:shd w:val="clear" w:color="000000" w:fill="D6E7F0"/>
            <w:noWrap/>
            <w:vAlign w:val="bottom"/>
            <w:hideMark/>
          </w:tcPr>
          <w:p w14:paraId="4E668B7F"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0.1</w:t>
            </w:r>
          </w:p>
        </w:tc>
        <w:tc>
          <w:tcPr>
            <w:tcW w:w="780" w:type="dxa"/>
            <w:tcBorders>
              <w:top w:val="nil"/>
              <w:left w:val="nil"/>
              <w:bottom w:val="single" w:sz="4" w:space="0" w:color="ADD6EA"/>
              <w:right w:val="nil"/>
            </w:tcBorders>
            <w:shd w:val="clear" w:color="000000" w:fill="D6E7F0"/>
            <w:noWrap/>
            <w:vAlign w:val="bottom"/>
            <w:hideMark/>
          </w:tcPr>
          <w:p w14:paraId="4F025968"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9.0</w:t>
            </w:r>
          </w:p>
        </w:tc>
        <w:tc>
          <w:tcPr>
            <w:tcW w:w="920" w:type="dxa"/>
            <w:tcBorders>
              <w:top w:val="nil"/>
              <w:left w:val="nil"/>
              <w:bottom w:val="single" w:sz="4" w:space="0" w:color="ADD6EA"/>
              <w:right w:val="nil"/>
            </w:tcBorders>
            <w:shd w:val="clear" w:color="000000" w:fill="D6E7F0"/>
            <w:noWrap/>
            <w:vAlign w:val="bottom"/>
            <w:hideMark/>
          </w:tcPr>
          <w:p w14:paraId="282CD58E" w14:textId="77777777" w:rsidR="007E365E" w:rsidRPr="005305F6"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305F6">
              <w:rPr>
                <w:rFonts w:ascii="Open Sans SemiBold" w:eastAsia="Times New Roman" w:hAnsi="Open Sans SemiBold" w:cs="Open Sans SemiBold"/>
                <w:color w:val="000000"/>
                <w:sz w:val="16"/>
                <w:szCs w:val="16"/>
                <w:lang w:eastAsia="en-AU"/>
              </w:rPr>
              <w:t>100.0</w:t>
            </w:r>
          </w:p>
        </w:tc>
      </w:tr>
    </w:tbl>
    <w:p w14:paraId="15EECC02" w14:textId="77777777" w:rsidR="007E365E" w:rsidRPr="00E23377" w:rsidRDefault="007E365E" w:rsidP="007E365E">
      <w:pPr>
        <w:pStyle w:val="CGCTablenote"/>
        <w:keepNext/>
        <w:keepLines/>
      </w:pPr>
      <w:r w:rsidRPr="00E23377">
        <w:t>Note:</w:t>
      </w:r>
      <w:r w:rsidRPr="00E23377">
        <w:tab/>
        <w:t>The lane-kilometre measure assumes two lanes per road.</w:t>
      </w:r>
    </w:p>
    <w:p w14:paraId="05151889" w14:textId="77777777" w:rsidR="007E365E" w:rsidRPr="00E23377" w:rsidRDefault="007E365E" w:rsidP="007E365E">
      <w:pPr>
        <w:pStyle w:val="CGCTablenote"/>
        <w:keepNext/>
        <w:keepLines/>
      </w:pPr>
      <w:r w:rsidRPr="00E23377">
        <w:t>(a)</w:t>
      </w:r>
      <w:r w:rsidRPr="00E23377">
        <w:tab/>
        <w:t xml:space="preserve">Queensland has by far the greatest length of roads connecting national parks to the network. This result was interrogated further and the Commission has concluded that this accurately represents need as, on average, national parks in Queensland tend to be further from the arterial road network than those of other States. </w:t>
      </w:r>
    </w:p>
    <w:p w14:paraId="155AEEE7" w14:textId="77777777" w:rsidR="007E365E" w:rsidRPr="00E23377" w:rsidRDefault="007E365E" w:rsidP="007E365E">
      <w:pPr>
        <w:pStyle w:val="CGCTablenote"/>
        <w:keepNext/>
        <w:keepLines/>
      </w:pPr>
      <w:r w:rsidRPr="00E23377">
        <w:t>Source:</w:t>
      </w:r>
      <w:r w:rsidRPr="00E23377">
        <w:tab/>
        <w:t>Commission calculation using State road spatial data.</w:t>
      </w:r>
    </w:p>
    <w:p w14:paraId="5C8BD10F" w14:textId="77777777" w:rsidR="007E365E" w:rsidRPr="00E23377" w:rsidRDefault="007E365E" w:rsidP="007E365E">
      <w:pPr>
        <w:pStyle w:val="Heading5"/>
      </w:pPr>
      <w:r w:rsidRPr="00E23377">
        <w:t>Urban road length</w:t>
      </w:r>
    </w:p>
    <w:p w14:paraId="7AE00EAD" w14:textId="43D06B1C" w:rsidR="007E365E" w:rsidRPr="00E23377" w:rsidRDefault="007E365E" w:rsidP="007E365E">
      <w:pPr>
        <w:pStyle w:val="CGCParaNumber"/>
      </w:pPr>
      <w:r w:rsidRPr="00E23377">
        <w:t>State populations within urban centres are used as a proxy for urban road lengths because there is currently no reliable and policy neutral alternative. Urban centres are defined as ABS UCLs of 40</w:t>
      </w:r>
      <w:r>
        <w:t>,</w:t>
      </w:r>
      <w:r w:rsidRPr="00E23377">
        <w:t xml:space="preserve">000 or more. This definition is used because it best matches the geography used by the ABS Survey of Motor Vehicle Use (SMVU) and the NTC. </w:t>
      </w:r>
      <w:r w:rsidRPr="00E23377">
        <w:fldChar w:fldCharType="begin"/>
      </w:r>
      <w:r w:rsidRPr="00E23377">
        <w:instrText xml:space="preserve"> REF _Ref9939541 \h  \* MERGEFORMAT </w:instrText>
      </w:r>
      <w:r w:rsidRPr="00E23377">
        <w:fldChar w:fldCharType="separate"/>
      </w:r>
      <w:r w:rsidR="007F721A" w:rsidRPr="00E23377">
        <w:t xml:space="preserve">Table </w:t>
      </w:r>
      <w:r w:rsidR="007F721A">
        <w:rPr>
          <w:noProof/>
        </w:rPr>
        <w:t>20-11</w:t>
      </w:r>
      <w:r w:rsidRPr="00E23377">
        <w:fldChar w:fldCharType="end"/>
      </w:r>
      <w:r w:rsidRPr="00E23377">
        <w:t xml:space="preserve"> shows the State shares of urban population.</w:t>
      </w:r>
    </w:p>
    <w:p w14:paraId="00A00813" w14:textId="29DEABFD" w:rsidR="007E365E" w:rsidRDefault="007E365E" w:rsidP="007E365E">
      <w:pPr>
        <w:pStyle w:val="Caption"/>
      </w:pPr>
      <w:bookmarkStart w:id="175" w:name="_Ref9939541"/>
      <w:bookmarkStart w:id="176" w:name="_Ref10198773"/>
      <w:r w:rsidRPr="00E23377">
        <w:lastRenderedPageBreak/>
        <w:t xml:space="preserve">Table </w:t>
      </w:r>
      <w:r>
        <w:t>20-</w:t>
      </w:r>
      <w:fldSimple w:instr=" SEQ Table \* ARABIC ">
        <w:r w:rsidR="007F721A">
          <w:rPr>
            <w:noProof/>
          </w:rPr>
          <w:t>11</w:t>
        </w:r>
      </w:fldSimple>
      <w:bookmarkEnd w:id="175"/>
      <w:r w:rsidRPr="00E23377">
        <w:tab/>
        <w:t>Urban population by State, December 201</w:t>
      </w:r>
      <w:bookmarkEnd w:id="176"/>
      <w:r>
        <w:t>8</w:t>
      </w:r>
    </w:p>
    <w:tbl>
      <w:tblPr>
        <w:tblW w:w="8980" w:type="dxa"/>
        <w:tblCellMar>
          <w:left w:w="0" w:type="dxa"/>
          <w:right w:w="0" w:type="dxa"/>
        </w:tblCellMar>
        <w:tblLook w:val="04A0" w:firstRow="1" w:lastRow="0" w:firstColumn="1" w:lastColumn="0" w:noHBand="0" w:noVBand="1"/>
      </w:tblPr>
      <w:tblGrid>
        <w:gridCol w:w="2320"/>
        <w:gridCol w:w="740"/>
        <w:gridCol w:w="740"/>
        <w:gridCol w:w="740"/>
        <w:gridCol w:w="740"/>
        <w:gridCol w:w="740"/>
        <w:gridCol w:w="740"/>
        <w:gridCol w:w="740"/>
        <w:gridCol w:w="740"/>
        <w:gridCol w:w="740"/>
      </w:tblGrid>
      <w:tr w:rsidR="007E365E" w:rsidRPr="00047F1E" w14:paraId="6E8F74AA" w14:textId="77777777" w:rsidTr="007D1D77">
        <w:trPr>
          <w:trHeight w:val="379"/>
        </w:trPr>
        <w:tc>
          <w:tcPr>
            <w:tcW w:w="232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66272E2" w14:textId="77777777" w:rsidR="007E365E" w:rsidRDefault="007E365E" w:rsidP="007D1D77">
            <w:pPr>
              <w:keepNext/>
              <w:keepLines/>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59DE017F"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4EC4FB9"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68BB41A0"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2D173A9"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684F00BF"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9DC7E06"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5ADB6F77"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2F50066B"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2C12F6B6"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7E365E" w:rsidRPr="00047F1E" w14:paraId="4E5CFC07"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7B81B7" w14:textId="77777777" w:rsidR="007E365E" w:rsidRDefault="007E365E" w:rsidP="007D1D77">
            <w:pPr>
              <w:keepNext/>
              <w:keepLines/>
              <w:spacing w:before="0" w:line="240" w:lineRule="auto"/>
              <w:rPr>
                <w:rFonts w:cs="Open Sans Light"/>
                <w:sz w:val="16"/>
                <w:szCs w:val="16"/>
              </w:rPr>
            </w:pPr>
            <w:r>
              <w:rPr>
                <w:rFonts w:cs="Open Sans Light"/>
                <w:sz w:val="16"/>
                <w:szCs w:val="16"/>
              </w:rPr>
              <w:t>Urban population ('000)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2C08F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6,019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D5FFFF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5,163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6EC38E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3,789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F4F749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2,064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37D4B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1,215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E7410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266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B5676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421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A4CC26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CB613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19,063</w:t>
            </w:r>
          </w:p>
        </w:tc>
      </w:tr>
      <w:tr w:rsidR="007E365E" w:rsidRPr="00047F1E" w14:paraId="335CE2BE"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03D8736" w14:textId="77777777" w:rsidR="007E365E" w:rsidRDefault="007E365E" w:rsidP="007D1D77">
            <w:pPr>
              <w:keepNext/>
              <w:keepLines/>
              <w:spacing w:before="0" w:line="240" w:lineRule="auto"/>
              <w:rPr>
                <w:rFonts w:cs="Open Sans Light"/>
                <w:sz w:val="16"/>
                <w:szCs w:val="16"/>
              </w:rPr>
            </w:pPr>
            <w:r>
              <w:rPr>
                <w:rFonts w:cs="Open Sans Light"/>
                <w:sz w:val="16"/>
                <w:szCs w:val="16"/>
              </w:rPr>
              <w:t>Shares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79075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31.6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51AB36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27.1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C621FE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19.9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B6DFF4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E779B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C357EC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B4C961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425EFD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0.7</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E6F6AB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100.0</w:t>
            </w:r>
          </w:p>
        </w:tc>
      </w:tr>
    </w:tbl>
    <w:p w14:paraId="0D734FB8" w14:textId="77777777" w:rsidR="007E365E" w:rsidRPr="00E23377" w:rsidRDefault="007E365E" w:rsidP="007E365E">
      <w:pPr>
        <w:pStyle w:val="CGCTablenote"/>
        <w:keepNext/>
        <w:keepLines/>
      </w:pPr>
      <w:r w:rsidRPr="00E23377">
        <w:t>Source:</w:t>
      </w:r>
      <w:r w:rsidRPr="00E23377">
        <w:tab/>
        <w:t xml:space="preserve">ABS estimated resident population </w:t>
      </w:r>
      <w:r>
        <w:t xml:space="preserve">(ERP) </w:t>
      </w:r>
      <w:r w:rsidRPr="00E23377">
        <w:t>December 201</w:t>
      </w:r>
      <w:r>
        <w:t>8</w:t>
      </w:r>
      <w:r w:rsidRPr="00E23377">
        <w:t xml:space="preserve"> (scaled from June 201</w:t>
      </w:r>
      <w:r>
        <w:t>8</w:t>
      </w:r>
      <w:r w:rsidRPr="00E23377">
        <w:t>).</w:t>
      </w:r>
    </w:p>
    <w:p w14:paraId="1BC5FE44" w14:textId="77777777" w:rsidR="007E365E" w:rsidRPr="00E23377" w:rsidRDefault="007E365E" w:rsidP="007E365E">
      <w:pPr>
        <w:pStyle w:val="CGCParaNumber"/>
      </w:pPr>
      <w:r w:rsidRPr="00E23377">
        <w:t>The Commission considered a number of alternatives for measuring urban road length.</w:t>
      </w:r>
    </w:p>
    <w:p w14:paraId="15B847EE" w14:textId="77777777" w:rsidR="007E365E" w:rsidRPr="00E23377" w:rsidRDefault="007E365E" w:rsidP="007E365E">
      <w:pPr>
        <w:pStyle w:val="CGCBullet1"/>
      </w:pPr>
      <w:r w:rsidRPr="00E23377">
        <w:t xml:space="preserve">Adjustment to the State actual urban road network to ensure the inclusion of roads commonly classified as State roads and the exclusion of roads commonly classified as local roads to reflect average policy. </w:t>
      </w:r>
    </w:p>
    <w:p w14:paraId="59AC250A" w14:textId="77777777" w:rsidR="007E365E" w:rsidRPr="00E23377" w:rsidRDefault="007E365E" w:rsidP="007E365E">
      <w:pPr>
        <w:pStyle w:val="CGCBullet1"/>
      </w:pPr>
      <w:r w:rsidRPr="00E23377">
        <w:t xml:space="preserve">Use of the length of roads identified by the rural road algorithm that were excluded from the measure because they were in urban areas. </w:t>
      </w:r>
    </w:p>
    <w:p w14:paraId="3C15D796" w14:textId="77777777" w:rsidR="007E365E" w:rsidRPr="00E23377" w:rsidRDefault="007E365E" w:rsidP="007E365E">
      <w:pPr>
        <w:pStyle w:val="CGCBullet1"/>
      </w:pPr>
      <w:r w:rsidRPr="00E23377">
        <w:t>Roads routed between city suburbs according to a variety of parameters.</w:t>
      </w:r>
    </w:p>
    <w:p w14:paraId="2CFC5F00" w14:textId="77777777" w:rsidR="007E365E" w:rsidRPr="00E23377" w:rsidRDefault="007E365E" w:rsidP="007E365E">
      <w:pPr>
        <w:pStyle w:val="CGCParaNumber"/>
      </w:pPr>
      <w:r w:rsidRPr="00E23377">
        <w:t>While many States supported the use of adjusted actual road length, this approach was not feasible because it required substantial judgment about which roads to include and exclude.</w:t>
      </w:r>
    </w:p>
    <w:p w14:paraId="68D53DBE" w14:textId="77777777" w:rsidR="007E365E" w:rsidRPr="00E23377" w:rsidRDefault="007E365E" w:rsidP="007E365E">
      <w:pPr>
        <w:pStyle w:val="CGCParaNumber"/>
      </w:pPr>
      <w:r w:rsidRPr="00E23377">
        <w:t xml:space="preserve">In developing the rural road network algorithm, some key roads within urban centres were identified and subsequently removed from the calculation of rural road lengths. The Commission considered using these deleted roads as a measure of urban road length. However, an examination of these roads compared with the actual State roads showed that this method tends to miss too many State-type roads in the largest urban centres. </w:t>
      </w:r>
    </w:p>
    <w:p w14:paraId="57AE8B72" w14:textId="77777777" w:rsidR="007E365E" w:rsidRPr="00E23377" w:rsidRDefault="007E365E" w:rsidP="007E365E">
      <w:pPr>
        <w:pStyle w:val="CGCParaNumber"/>
      </w:pPr>
      <w:r w:rsidRPr="00E23377">
        <w:t>Urban road length was also estimated using routing methods similar to that outlined in the rural road length section but with connections between suburb locations</w:t>
      </w:r>
      <w:r w:rsidRPr="00E23377">
        <w:rPr>
          <w:rStyle w:val="FootnoteReference"/>
        </w:rPr>
        <w:footnoteReference w:id="32"/>
      </w:r>
      <w:r w:rsidRPr="00E23377">
        <w:t xml:space="preserve"> rather than UCLs. Again, this measure was found to routinely miss many State-type roads in urban centres. It also included many local type roads. Furthermore, there was no discernible relationship with State actual urban road length. As a result, this method was not pursued further.</w:t>
      </w:r>
    </w:p>
    <w:p w14:paraId="5E28840E" w14:textId="77777777" w:rsidR="007E365E" w:rsidRPr="00E23377" w:rsidRDefault="007E365E" w:rsidP="007E365E">
      <w:pPr>
        <w:pStyle w:val="CGCParaNumber"/>
      </w:pPr>
      <w:r w:rsidRPr="00E23377">
        <w:t>As with rural roads the Commission will monitor steps to develop a national functional classification of roads as this may provide an alternative approach for measuring urban road lengths.</w:t>
      </w:r>
    </w:p>
    <w:p w14:paraId="535EFFA7" w14:textId="77777777" w:rsidR="007E365E" w:rsidRPr="00E23377" w:rsidRDefault="007E365E" w:rsidP="007E365E">
      <w:pPr>
        <w:pStyle w:val="Heading5"/>
      </w:pPr>
      <w:bookmarkStart w:id="177" w:name="_Ref4667290"/>
      <w:r w:rsidRPr="00E23377">
        <w:t>Traffic volume</w:t>
      </w:r>
      <w:bookmarkEnd w:id="177"/>
    </w:p>
    <w:p w14:paraId="7E827917" w14:textId="77777777" w:rsidR="007E365E" w:rsidRPr="00E23377" w:rsidRDefault="007E365E" w:rsidP="007E365E">
      <w:pPr>
        <w:pStyle w:val="CGCParaNumber"/>
      </w:pPr>
      <w:r w:rsidRPr="00E23377">
        <w:t>The assessment of traffic volume is based on total vehicle kilometres travelled (VKT) data from the Bureau of Infrastructure, Transport and Regional Economics (BITRE). Total VKT measures the total distance travelled by all vehicles. This measure treats a kilometre travelled by a car the same as a kilometre travelled by a heavy truck.</w:t>
      </w:r>
    </w:p>
    <w:p w14:paraId="6E6C55DF" w14:textId="74BE2BD9" w:rsidR="007E365E" w:rsidRPr="00E23377" w:rsidRDefault="007E365E" w:rsidP="007E365E">
      <w:pPr>
        <w:pStyle w:val="CGCParaNumber"/>
      </w:pPr>
      <w:r w:rsidRPr="00E23377">
        <w:t>The traffic volume data from BITRE are based on the SMVU.</w:t>
      </w:r>
      <w:r w:rsidRPr="00E23377">
        <w:rPr>
          <w:rStyle w:val="FootnoteReference"/>
        </w:rPr>
        <w:footnoteReference w:id="33"/>
      </w:r>
      <w:r w:rsidRPr="00E23377">
        <w:t xml:space="preserve"> BITRE adjust the SMVU data</w:t>
      </w:r>
      <w:r w:rsidRPr="00E23377">
        <w:rPr>
          <w:rStyle w:val="FootnoteReference"/>
        </w:rPr>
        <w:footnoteReference w:id="34"/>
      </w:r>
      <w:r w:rsidRPr="00E23377">
        <w:t xml:space="preserve"> and smooth</w:t>
      </w:r>
      <w:r>
        <w:t>s</w:t>
      </w:r>
      <w:r w:rsidRPr="00E23377">
        <w:t xml:space="preserve"> it using averages from several survey years. BITRE also make adjustments to remove data relating to travel on local roads and to split the data between travel on urban and rural roads. Rural and urban traffic volume by State are shown in </w:t>
      </w:r>
      <w:r w:rsidRPr="00E23377">
        <w:fldChar w:fldCharType="begin"/>
      </w:r>
      <w:r w:rsidRPr="00E23377">
        <w:instrText xml:space="preserve"> REF _Ref9939662 \h  \* MERGEFORMAT </w:instrText>
      </w:r>
      <w:r w:rsidRPr="00E23377">
        <w:fldChar w:fldCharType="separate"/>
      </w:r>
      <w:r w:rsidR="007F721A" w:rsidRPr="00E23377">
        <w:t xml:space="preserve">Table </w:t>
      </w:r>
      <w:r w:rsidR="007F721A">
        <w:rPr>
          <w:noProof/>
        </w:rPr>
        <w:t>20-12</w:t>
      </w:r>
      <w:r w:rsidRPr="00E23377">
        <w:fldChar w:fldCharType="end"/>
      </w:r>
      <w:r w:rsidRPr="00E23377">
        <w:t>.</w:t>
      </w:r>
    </w:p>
    <w:p w14:paraId="4D274937" w14:textId="77777777" w:rsidR="007E365E" w:rsidRPr="00E23377" w:rsidRDefault="007E365E" w:rsidP="007E365E">
      <w:pPr>
        <w:pStyle w:val="CGCParaNumber"/>
      </w:pPr>
      <w:r w:rsidRPr="00E23377">
        <w:lastRenderedPageBreak/>
        <w:t>This method was supported by States.</w:t>
      </w:r>
    </w:p>
    <w:p w14:paraId="7730B0E6" w14:textId="5D82FBA7" w:rsidR="007E365E" w:rsidRPr="00E23377" w:rsidRDefault="007E365E" w:rsidP="007E365E">
      <w:pPr>
        <w:pStyle w:val="Caption"/>
      </w:pPr>
      <w:bookmarkStart w:id="178" w:name="_Ref9939662"/>
      <w:r w:rsidRPr="00E23377">
        <w:t xml:space="preserve">Table </w:t>
      </w:r>
      <w:r>
        <w:t>20-</w:t>
      </w:r>
      <w:fldSimple w:instr=" SEQ Table \* ARABIC ">
        <w:r w:rsidR="007F721A">
          <w:rPr>
            <w:noProof/>
          </w:rPr>
          <w:t>12</w:t>
        </w:r>
      </w:fldSimple>
      <w:bookmarkEnd w:id="178"/>
      <w:r w:rsidRPr="00E23377">
        <w:tab/>
        <w:t>Traffic volume in rural and urban areas by State, 201</w:t>
      </w:r>
      <w:r>
        <w:t>8</w:t>
      </w:r>
      <w:r w:rsidRPr="00E23377">
        <w:t>-1</w:t>
      </w:r>
      <w:r>
        <w:t>9</w:t>
      </w:r>
    </w:p>
    <w:tbl>
      <w:tblPr>
        <w:tblW w:w="8980" w:type="dxa"/>
        <w:tblBorders>
          <w:top w:val="single" w:sz="4" w:space="0" w:color="ADD6EA"/>
          <w:bottom w:val="single" w:sz="4" w:space="0" w:color="ADD6EA"/>
          <w:insideH w:val="single" w:sz="4" w:space="0" w:color="ADD6EA"/>
        </w:tblBorders>
        <w:tblCellMar>
          <w:left w:w="0" w:type="dxa"/>
          <w:right w:w="0" w:type="dxa"/>
        </w:tblCellMar>
        <w:tblLook w:val="04A0" w:firstRow="1" w:lastRow="0" w:firstColumn="1" w:lastColumn="0" w:noHBand="0" w:noVBand="1"/>
      </w:tblPr>
      <w:tblGrid>
        <w:gridCol w:w="2320"/>
        <w:gridCol w:w="740"/>
        <w:gridCol w:w="740"/>
        <w:gridCol w:w="740"/>
        <w:gridCol w:w="740"/>
        <w:gridCol w:w="740"/>
        <w:gridCol w:w="740"/>
        <w:gridCol w:w="740"/>
        <w:gridCol w:w="740"/>
        <w:gridCol w:w="740"/>
      </w:tblGrid>
      <w:tr w:rsidR="007E365E" w14:paraId="0107ADC3" w14:textId="77777777" w:rsidTr="007D1D77">
        <w:trPr>
          <w:trHeight w:val="379"/>
        </w:trPr>
        <w:tc>
          <w:tcPr>
            <w:tcW w:w="2320" w:type="dxa"/>
            <w:shd w:val="clear" w:color="000000" w:fill="006991"/>
            <w:tcMar>
              <w:top w:w="15" w:type="dxa"/>
              <w:left w:w="15" w:type="dxa"/>
              <w:bottom w:w="0" w:type="dxa"/>
              <w:right w:w="15" w:type="dxa"/>
            </w:tcMar>
            <w:vAlign w:val="center"/>
            <w:hideMark/>
          </w:tcPr>
          <w:p w14:paraId="21FF534E" w14:textId="77777777" w:rsidR="007E365E" w:rsidRDefault="007E365E" w:rsidP="007D1D77">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740" w:type="dxa"/>
            <w:shd w:val="clear" w:color="000000" w:fill="006991"/>
            <w:tcMar>
              <w:top w:w="15" w:type="dxa"/>
              <w:left w:w="15" w:type="dxa"/>
              <w:bottom w:w="0" w:type="dxa"/>
              <w:right w:w="15" w:type="dxa"/>
            </w:tcMar>
            <w:vAlign w:val="center"/>
            <w:hideMark/>
          </w:tcPr>
          <w:p w14:paraId="5B2B929A"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40" w:type="dxa"/>
            <w:shd w:val="clear" w:color="000000" w:fill="006991"/>
            <w:tcMar>
              <w:top w:w="15" w:type="dxa"/>
              <w:left w:w="15" w:type="dxa"/>
              <w:bottom w:w="0" w:type="dxa"/>
              <w:right w:w="15" w:type="dxa"/>
            </w:tcMar>
            <w:vAlign w:val="center"/>
            <w:hideMark/>
          </w:tcPr>
          <w:p w14:paraId="31A411C9"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40" w:type="dxa"/>
            <w:shd w:val="clear" w:color="000000" w:fill="006991"/>
            <w:tcMar>
              <w:top w:w="15" w:type="dxa"/>
              <w:left w:w="15" w:type="dxa"/>
              <w:bottom w:w="0" w:type="dxa"/>
              <w:right w:w="15" w:type="dxa"/>
            </w:tcMar>
            <w:vAlign w:val="center"/>
            <w:hideMark/>
          </w:tcPr>
          <w:p w14:paraId="7E4B1ED0"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40" w:type="dxa"/>
            <w:shd w:val="clear" w:color="000000" w:fill="006991"/>
            <w:tcMar>
              <w:top w:w="15" w:type="dxa"/>
              <w:left w:w="15" w:type="dxa"/>
              <w:bottom w:w="0" w:type="dxa"/>
              <w:right w:w="15" w:type="dxa"/>
            </w:tcMar>
            <w:vAlign w:val="center"/>
            <w:hideMark/>
          </w:tcPr>
          <w:p w14:paraId="22EA06C1"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40" w:type="dxa"/>
            <w:shd w:val="clear" w:color="000000" w:fill="006991"/>
            <w:tcMar>
              <w:top w:w="15" w:type="dxa"/>
              <w:left w:w="15" w:type="dxa"/>
              <w:bottom w:w="0" w:type="dxa"/>
              <w:right w:w="15" w:type="dxa"/>
            </w:tcMar>
            <w:vAlign w:val="center"/>
            <w:hideMark/>
          </w:tcPr>
          <w:p w14:paraId="0711D0E4"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40" w:type="dxa"/>
            <w:shd w:val="clear" w:color="000000" w:fill="006991"/>
            <w:tcMar>
              <w:top w:w="15" w:type="dxa"/>
              <w:left w:w="15" w:type="dxa"/>
              <w:bottom w:w="0" w:type="dxa"/>
              <w:right w:w="15" w:type="dxa"/>
            </w:tcMar>
            <w:vAlign w:val="center"/>
            <w:hideMark/>
          </w:tcPr>
          <w:p w14:paraId="518765D6"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40" w:type="dxa"/>
            <w:shd w:val="clear" w:color="000000" w:fill="006991"/>
            <w:tcMar>
              <w:top w:w="15" w:type="dxa"/>
              <w:left w:w="15" w:type="dxa"/>
              <w:bottom w:w="0" w:type="dxa"/>
              <w:right w:w="15" w:type="dxa"/>
            </w:tcMar>
            <w:vAlign w:val="center"/>
            <w:hideMark/>
          </w:tcPr>
          <w:p w14:paraId="525AA69F"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40" w:type="dxa"/>
            <w:shd w:val="clear" w:color="000000" w:fill="006991"/>
            <w:tcMar>
              <w:top w:w="15" w:type="dxa"/>
              <w:left w:w="15" w:type="dxa"/>
              <w:bottom w:w="0" w:type="dxa"/>
              <w:right w:w="15" w:type="dxa"/>
            </w:tcMar>
            <w:vAlign w:val="center"/>
            <w:hideMark/>
          </w:tcPr>
          <w:p w14:paraId="7AB70078"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40" w:type="dxa"/>
            <w:shd w:val="clear" w:color="000000" w:fill="006991"/>
            <w:tcMar>
              <w:top w:w="15" w:type="dxa"/>
              <w:left w:w="15" w:type="dxa"/>
              <w:bottom w:w="0" w:type="dxa"/>
              <w:right w:w="15" w:type="dxa"/>
            </w:tcMar>
            <w:vAlign w:val="center"/>
            <w:hideMark/>
          </w:tcPr>
          <w:p w14:paraId="5999EC36"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7E365E" w14:paraId="1F9B7D0A"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1EA1B2A9" w14:textId="77777777" w:rsidR="007E365E" w:rsidRDefault="007E365E" w:rsidP="007D1D77">
            <w:pPr>
              <w:spacing w:before="0" w:line="240" w:lineRule="auto"/>
              <w:rPr>
                <w:rFonts w:cs="Open Sans Light"/>
                <w:sz w:val="16"/>
                <w:szCs w:val="16"/>
              </w:rPr>
            </w:pPr>
            <w:r>
              <w:rPr>
                <w:rFonts w:cs="Open Sans Light"/>
                <w:sz w:val="16"/>
                <w:szCs w:val="16"/>
              </w:rPr>
              <w:t>Rural traffic volume ('000 vkt)</w:t>
            </w:r>
          </w:p>
        </w:tc>
        <w:tc>
          <w:tcPr>
            <w:tcW w:w="0" w:type="auto"/>
            <w:shd w:val="clear" w:color="auto" w:fill="auto"/>
            <w:noWrap/>
            <w:tcMar>
              <w:top w:w="15" w:type="dxa"/>
              <w:left w:w="15" w:type="dxa"/>
              <w:bottom w:w="0" w:type="dxa"/>
              <w:right w:w="15" w:type="dxa"/>
            </w:tcMar>
            <w:vAlign w:val="bottom"/>
            <w:hideMark/>
          </w:tcPr>
          <w:p w14:paraId="3C4FC64D" w14:textId="77777777" w:rsidR="007E365E" w:rsidRDefault="007E365E" w:rsidP="007D1D77">
            <w:pPr>
              <w:spacing w:before="0" w:line="240" w:lineRule="auto"/>
              <w:jc w:val="right"/>
              <w:rPr>
                <w:rFonts w:cs="Open Sans Light"/>
                <w:sz w:val="16"/>
                <w:szCs w:val="16"/>
              </w:rPr>
            </w:pPr>
            <w:r>
              <w:rPr>
                <w:rFonts w:cs="Open Sans Light"/>
                <w:sz w:val="16"/>
                <w:szCs w:val="16"/>
              </w:rPr>
              <w:t>12,210</w:t>
            </w:r>
          </w:p>
        </w:tc>
        <w:tc>
          <w:tcPr>
            <w:tcW w:w="0" w:type="auto"/>
            <w:shd w:val="clear" w:color="auto" w:fill="auto"/>
            <w:noWrap/>
            <w:tcMar>
              <w:top w:w="15" w:type="dxa"/>
              <w:left w:w="15" w:type="dxa"/>
              <w:bottom w:w="0" w:type="dxa"/>
              <w:right w:w="15" w:type="dxa"/>
            </w:tcMar>
            <w:vAlign w:val="bottom"/>
            <w:hideMark/>
          </w:tcPr>
          <w:p w14:paraId="5B775332" w14:textId="77777777" w:rsidR="007E365E" w:rsidRDefault="007E365E" w:rsidP="007D1D77">
            <w:pPr>
              <w:spacing w:before="0" w:line="240" w:lineRule="auto"/>
              <w:jc w:val="right"/>
              <w:rPr>
                <w:rFonts w:cs="Open Sans Light"/>
                <w:sz w:val="16"/>
                <w:szCs w:val="16"/>
              </w:rPr>
            </w:pPr>
            <w:r>
              <w:rPr>
                <w:rFonts w:cs="Open Sans Light"/>
                <w:sz w:val="16"/>
                <w:szCs w:val="16"/>
              </w:rPr>
              <w:t>9,550</w:t>
            </w:r>
          </w:p>
        </w:tc>
        <w:tc>
          <w:tcPr>
            <w:tcW w:w="0" w:type="auto"/>
            <w:shd w:val="clear" w:color="auto" w:fill="auto"/>
            <w:noWrap/>
            <w:tcMar>
              <w:top w:w="15" w:type="dxa"/>
              <w:left w:w="15" w:type="dxa"/>
              <w:bottom w:w="0" w:type="dxa"/>
              <w:right w:w="15" w:type="dxa"/>
            </w:tcMar>
            <w:vAlign w:val="bottom"/>
            <w:hideMark/>
          </w:tcPr>
          <w:p w14:paraId="0BBF97CF" w14:textId="77777777" w:rsidR="007E365E" w:rsidRDefault="007E365E" w:rsidP="007D1D77">
            <w:pPr>
              <w:spacing w:before="0" w:line="240" w:lineRule="auto"/>
              <w:jc w:val="right"/>
              <w:rPr>
                <w:rFonts w:cs="Open Sans Light"/>
                <w:sz w:val="16"/>
                <w:szCs w:val="16"/>
              </w:rPr>
            </w:pPr>
            <w:r>
              <w:rPr>
                <w:rFonts w:cs="Open Sans Light"/>
                <w:sz w:val="16"/>
                <w:szCs w:val="16"/>
              </w:rPr>
              <w:t>9,609</w:t>
            </w:r>
          </w:p>
        </w:tc>
        <w:tc>
          <w:tcPr>
            <w:tcW w:w="0" w:type="auto"/>
            <w:shd w:val="clear" w:color="auto" w:fill="auto"/>
            <w:noWrap/>
            <w:tcMar>
              <w:top w:w="15" w:type="dxa"/>
              <w:left w:w="15" w:type="dxa"/>
              <w:bottom w:w="0" w:type="dxa"/>
              <w:right w:w="15" w:type="dxa"/>
            </w:tcMar>
            <w:vAlign w:val="bottom"/>
            <w:hideMark/>
          </w:tcPr>
          <w:p w14:paraId="502F903A" w14:textId="77777777" w:rsidR="007E365E" w:rsidRDefault="007E365E" w:rsidP="007D1D77">
            <w:pPr>
              <w:spacing w:before="0" w:line="240" w:lineRule="auto"/>
              <w:jc w:val="right"/>
              <w:rPr>
                <w:rFonts w:cs="Open Sans Light"/>
                <w:sz w:val="16"/>
                <w:szCs w:val="16"/>
              </w:rPr>
            </w:pPr>
            <w:r>
              <w:rPr>
                <w:rFonts w:cs="Open Sans Light"/>
                <w:sz w:val="16"/>
                <w:szCs w:val="16"/>
              </w:rPr>
              <w:t>4,761</w:t>
            </w:r>
          </w:p>
        </w:tc>
        <w:tc>
          <w:tcPr>
            <w:tcW w:w="0" w:type="auto"/>
            <w:shd w:val="clear" w:color="auto" w:fill="auto"/>
            <w:noWrap/>
            <w:tcMar>
              <w:top w:w="15" w:type="dxa"/>
              <w:left w:w="15" w:type="dxa"/>
              <w:bottom w:w="0" w:type="dxa"/>
              <w:right w:w="15" w:type="dxa"/>
            </w:tcMar>
            <w:vAlign w:val="bottom"/>
            <w:hideMark/>
          </w:tcPr>
          <w:p w14:paraId="4BBCEB78" w14:textId="77777777" w:rsidR="007E365E" w:rsidRDefault="007E365E" w:rsidP="007D1D77">
            <w:pPr>
              <w:spacing w:before="0" w:line="240" w:lineRule="auto"/>
              <w:jc w:val="right"/>
              <w:rPr>
                <w:rFonts w:cs="Open Sans Light"/>
                <w:sz w:val="16"/>
                <w:szCs w:val="16"/>
              </w:rPr>
            </w:pPr>
            <w:r>
              <w:rPr>
                <w:rFonts w:cs="Open Sans Light"/>
                <w:sz w:val="16"/>
                <w:szCs w:val="16"/>
              </w:rPr>
              <w:t>4,339</w:t>
            </w:r>
          </w:p>
        </w:tc>
        <w:tc>
          <w:tcPr>
            <w:tcW w:w="0" w:type="auto"/>
            <w:shd w:val="clear" w:color="auto" w:fill="auto"/>
            <w:noWrap/>
            <w:tcMar>
              <w:top w:w="15" w:type="dxa"/>
              <w:left w:w="15" w:type="dxa"/>
              <w:bottom w:w="0" w:type="dxa"/>
              <w:right w:w="15" w:type="dxa"/>
            </w:tcMar>
            <w:vAlign w:val="bottom"/>
            <w:hideMark/>
          </w:tcPr>
          <w:p w14:paraId="29A231BD" w14:textId="77777777" w:rsidR="007E365E" w:rsidRDefault="007E365E" w:rsidP="007D1D77">
            <w:pPr>
              <w:spacing w:before="0" w:line="240" w:lineRule="auto"/>
              <w:jc w:val="right"/>
              <w:rPr>
                <w:rFonts w:cs="Open Sans Light"/>
                <w:sz w:val="16"/>
                <w:szCs w:val="16"/>
              </w:rPr>
            </w:pPr>
            <w:r>
              <w:rPr>
                <w:rFonts w:cs="Open Sans Light"/>
                <w:sz w:val="16"/>
                <w:szCs w:val="16"/>
              </w:rPr>
              <w:t>1,204</w:t>
            </w:r>
          </w:p>
        </w:tc>
        <w:tc>
          <w:tcPr>
            <w:tcW w:w="0" w:type="auto"/>
            <w:shd w:val="clear" w:color="auto" w:fill="auto"/>
            <w:noWrap/>
            <w:tcMar>
              <w:top w:w="15" w:type="dxa"/>
              <w:left w:w="15" w:type="dxa"/>
              <w:bottom w:w="0" w:type="dxa"/>
              <w:right w:w="15" w:type="dxa"/>
            </w:tcMar>
            <w:vAlign w:val="bottom"/>
            <w:hideMark/>
          </w:tcPr>
          <w:p w14:paraId="4E5ADCA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0ECFC6F7" w14:textId="77777777" w:rsidR="007E365E" w:rsidRDefault="007E365E" w:rsidP="007D1D77">
            <w:pPr>
              <w:spacing w:before="0" w:line="240" w:lineRule="auto"/>
              <w:jc w:val="right"/>
              <w:rPr>
                <w:rFonts w:cs="Open Sans Light"/>
                <w:sz w:val="16"/>
                <w:szCs w:val="16"/>
              </w:rPr>
            </w:pPr>
            <w:r>
              <w:rPr>
                <w:rFonts w:cs="Open Sans Light"/>
                <w:sz w:val="16"/>
                <w:szCs w:val="16"/>
              </w:rPr>
              <w:t>582</w:t>
            </w:r>
          </w:p>
        </w:tc>
        <w:tc>
          <w:tcPr>
            <w:tcW w:w="0" w:type="auto"/>
            <w:shd w:val="clear" w:color="auto" w:fill="auto"/>
            <w:noWrap/>
            <w:tcMar>
              <w:top w:w="15" w:type="dxa"/>
              <w:left w:w="15" w:type="dxa"/>
              <w:bottom w:w="0" w:type="dxa"/>
              <w:right w:w="15" w:type="dxa"/>
            </w:tcMar>
            <w:vAlign w:val="bottom"/>
            <w:hideMark/>
          </w:tcPr>
          <w:p w14:paraId="5410B278" w14:textId="77777777" w:rsidR="007E365E" w:rsidRDefault="007E365E" w:rsidP="007D1D77">
            <w:pPr>
              <w:spacing w:before="0" w:line="240" w:lineRule="auto"/>
              <w:jc w:val="right"/>
              <w:rPr>
                <w:rFonts w:cs="Open Sans Light"/>
                <w:sz w:val="16"/>
                <w:szCs w:val="16"/>
              </w:rPr>
            </w:pPr>
            <w:r>
              <w:rPr>
                <w:rFonts w:cs="Open Sans Light"/>
                <w:sz w:val="16"/>
                <w:szCs w:val="16"/>
              </w:rPr>
              <w:t>42,255</w:t>
            </w:r>
          </w:p>
        </w:tc>
      </w:tr>
      <w:tr w:rsidR="007E365E" w14:paraId="1CEE613E"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2B189B23" w14:textId="77777777" w:rsidR="007E365E" w:rsidRDefault="007E365E" w:rsidP="007D1D77">
            <w:pPr>
              <w:spacing w:before="0" w:line="240" w:lineRule="auto"/>
              <w:rPr>
                <w:rFonts w:cs="Open Sans Light"/>
                <w:sz w:val="16"/>
                <w:szCs w:val="16"/>
              </w:rPr>
            </w:pPr>
            <w:r>
              <w:rPr>
                <w:rFonts w:cs="Open Sans Light"/>
                <w:sz w:val="16"/>
                <w:szCs w:val="16"/>
              </w:rPr>
              <w:t>Urban traffic volume ('000 vkt)</w:t>
            </w:r>
          </w:p>
        </w:tc>
        <w:tc>
          <w:tcPr>
            <w:tcW w:w="0" w:type="auto"/>
            <w:shd w:val="clear" w:color="auto" w:fill="auto"/>
            <w:noWrap/>
            <w:tcMar>
              <w:top w:w="15" w:type="dxa"/>
              <w:left w:w="15" w:type="dxa"/>
              <w:bottom w:w="0" w:type="dxa"/>
              <w:right w:w="15" w:type="dxa"/>
            </w:tcMar>
            <w:vAlign w:val="bottom"/>
            <w:hideMark/>
          </w:tcPr>
          <w:p w14:paraId="6A045186" w14:textId="77777777" w:rsidR="007E365E" w:rsidRDefault="007E365E" w:rsidP="007D1D77">
            <w:pPr>
              <w:spacing w:before="0" w:line="240" w:lineRule="auto"/>
              <w:jc w:val="right"/>
              <w:rPr>
                <w:rFonts w:cs="Open Sans Light"/>
                <w:sz w:val="16"/>
                <w:szCs w:val="16"/>
              </w:rPr>
            </w:pPr>
            <w:r>
              <w:rPr>
                <w:rFonts w:cs="Open Sans Light"/>
                <w:sz w:val="16"/>
                <w:szCs w:val="16"/>
              </w:rPr>
              <w:t>38,669</w:t>
            </w:r>
          </w:p>
        </w:tc>
        <w:tc>
          <w:tcPr>
            <w:tcW w:w="0" w:type="auto"/>
            <w:shd w:val="clear" w:color="auto" w:fill="auto"/>
            <w:noWrap/>
            <w:tcMar>
              <w:top w:w="15" w:type="dxa"/>
              <w:left w:w="15" w:type="dxa"/>
              <w:bottom w:w="0" w:type="dxa"/>
              <w:right w:w="15" w:type="dxa"/>
            </w:tcMar>
            <w:vAlign w:val="bottom"/>
            <w:hideMark/>
          </w:tcPr>
          <w:p w14:paraId="42B86A48" w14:textId="77777777" w:rsidR="007E365E" w:rsidRDefault="007E365E" w:rsidP="007D1D77">
            <w:pPr>
              <w:spacing w:before="0" w:line="240" w:lineRule="auto"/>
              <w:jc w:val="right"/>
              <w:rPr>
                <w:rFonts w:cs="Open Sans Light"/>
                <w:sz w:val="16"/>
                <w:szCs w:val="16"/>
              </w:rPr>
            </w:pPr>
            <w:r>
              <w:rPr>
                <w:rFonts w:cs="Open Sans Light"/>
                <w:sz w:val="16"/>
                <w:szCs w:val="16"/>
              </w:rPr>
              <w:t>34,642</w:t>
            </w:r>
          </w:p>
        </w:tc>
        <w:tc>
          <w:tcPr>
            <w:tcW w:w="0" w:type="auto"/>
            <w:shd w:val="clear" w:color="auto" w:fill="auto"/>
            <w:noWrap/>
            <w:tcMar>
              <w:top w:w="15" w:type="dxa"/>
              <w:left w:w="15" w:type="dxa"/>
              <w:bottom w:w="0" w:type="dxa"/>
              <w:right w:w="15" w:type="dxa"/>
            </w:tcMar>
            <w:vAlign w:val="bottom"/>
            <w:hideMark/>
          </w:tcPr>
          <w:p w14:paraId="37D21583" w14:textId="77777777" w:rsidR="007E365E" w:rsidRDefault="007E365E" w:rsidP="007D1D77">
            <w:pPr>
              <w:spacing w:before="0" w:line="240" w:lineRule="auto"/>
              <w:jc w:val="right"/>
              <w:rPr>
                <w:rFonts w:cs="Open Sans Light"/>
                <w:sz w:val="16"/>
                <w:szCs w:val="16"/>
              </w:rPr>
            </w:pPr>
            <w:r>
              <w:rPr>
                <w:rFonts w:cs="Open Sans Light"/>
                <w:sz w:val="16"/>
                <w:szCs w:val="16"/>
              </w:rPr>
              <w:t>26,066</w:t>
            </w:r>
          </w:p>
        </w:tc>
        <w:tc>
          <w:tcPr>
            <w:tcW w:w="0" w:type="auto"/>
            <w:shd w:val="clear" w:color="auto" w:fill="auto"/>
            <w:noWrap/>
            <w:tcMar>
              <w:top w:w="15" w:type="dxa"/>
              <w:left w:w="15" w:type="dxa"/>
              <w:bottom w:w="0" w:type="dxa"/>
              <w:right w:w="15" w:type="dxa"/>
            </w:tcMar>
            <w:vAlign w:val="bottom"/>
            <w:hideMark/>
          </w:tcPr>
          <w:p w14:paraId="119015C3" w14:textId="77777777" w:rsidR="007E365E" w:rsidRDefault="007E365E" w:rsidP="007D1D77">
            <w:pPr>
              <w:spacing w:before="0" w:line="240" w:lineRule="auto"/>
              <w:jc w:val="right"/>
              <w:rPr>
                <w:rFonts w:cs="Open Sans Light"/>
                <w:sz w:val="16"/>
                <w:szCs w:val="16"/>
              </w:rPr>
            </w:pPr>
            <w:r>
              <w:rPr>
                <w:rFonts w:cs="Open Sans Light"/>
                <w:sz w:val="16"/>
                <w:szCs w:val="16"/>
              </w:rPr>
              <w:t>13,617</w:t>
            </w:r>
          </w:p>
        </w:tc>
        <w:tc>
          <w:tcPr>
            <w:tcW w:w="0" w:type="auto"/>
            <w:shd w:val="clear" w:color="auto" w:fill="auto"/>
            <w:noWrap/>
            <w:tcMar>
              <w:top w:w="15" w:type="dxa"/>
              <w:left w:w="15" w:type="dxa"/>
              <w:bottom w:w="0" w:type="dxa"/>
              <w:right w:w="15" w:type="dxa"/>
            </w:tcMar>
            <w:vAlign w:val="bottom"/>
            <w:hideMark/>
          </w:tcPr>
          <w:p w14:paraId="5F9FA524" w14:textId="77777777" w:rsidR="007E365E" w:rsidRDefault="007E365E" w:rsidP="007D1D77">
            <w:pPr>
              <w:spacing w:before="0" w:line="240" w:lineRule="auto"/>
              <w:jc w:val="right"/>
              <w:rPr>
                <w:rFonts w:cs="Open Sans Light"/>
                <w:sz w:val="16"/>
                <w:szCs w:val="16"/>
              </w:rPr>
            </w:pPr>
            <w:r>
              <w:rPr>
                <w:rFonts w:cs="Open Sans Light"/>
                <w:sz w:val="16"/>
                <w:szCs w:val="16"/>
              </w:rPr>
              <w:t>7,001</w:t>
            </w:r>
          </w:p>
        </w:tc>
        <w:tc>
          <w:tcPr>
            <w:tcW w:w="0" w:type="auto"/>
            <w:shd w:val="clear" w:color="auto" w:fill="auto"/>
            <w:noWrap/>
            <w:tcMar>
              <w:top w:w="15" w:type="dxa"/>
              <w:left w:w="15" w:type="dxa"/>
              <w:bottom w:w="0" w:type="dxa"/>
              <w:right w:w="15" w:type="dxa"/>
            </w:tcMar>
            <w:vAlign w:val="bottom"/>
            <w:hideMark/>
          </w:tcPr>
          <w:p w14:paraId="0A8F44FA" w14:textId="77777777" w:rsidR="007E365E" w:rsidRDefault="007E365E" w:rsidP="007D1D77">
            <w:pPr>
              <w:spacing w:before="0" w:line="240" w:lineRule="auto"/>
              <w:jc w:val="right"/>
              <w:rPr>
                <w:rFonts w:cs="Open Sans Light"/>
                <w:sz w:val="16"/>
                <w:szCs w:val="16"/>
              </w:rPr>
            </w:pPr>
            <w:r>
              <w:rPr>
                <w:rFonts w:cs="Open Sans Light"/>
                <w:sz w:val="16"/>
                <w:szCs w:val="16"/>
              </w:rPr>
              <w:t>2,428</w:t>
            </w:r>
          </w:p>
        </w:tc>
        <w:tc>
          <w:tcPr>
            <w:tcW w:w="0" w:type="auto"/>
            <w:shd w:val="clear" w:color="auto" w:fill="auto"/>
            <w:noWrap/>
            <w:tcMar>
              <w:top w:w="15" w:type="dxa"/>
              <w:left w:w="15" w:type="dxa"/>
              <w:bottom w:w="0" w:type="dxa"/>
              <w:right w:w="15" w:type="dxa"/>
            </w:tcMar>
            <w:vAlign w:val="bottom"/>
            <w:hideMark/>
          </w:tcPr>
          <w:p w14:paraId="3555D7B4" w14:textId="77777777" w:rsidR="007E365E" w:rsidRDefault="007E365E" w:rsidP="007D1D77">
            <w:pPr>
              <w:spacing w:before="0" w:line="240" w:lineRule="auto"/>
              <w:jc w:val="right"/>
              <w:rPr>
                <w:rFonts w:cs="Open Sans Light"/>
                <w:sz w:val="16"/>
                <w:szCs w:val="16"/>
              </w:rPr>
            </w:pPr>
            <w:r>
              <w:rPr>
                <w:rFonts w:cs="Open Sans Light"/>
                <w:sz w:val="16"/>
                <w:szCs w:val="16"/>
              </w:rPr>
              <w:t>2,661</w:t>
            </w:r>
          </w:p>
        </w:tc>
        <w:tc>
          <w:tcPr>
            <w:tcW w:w="0" w:type="auto"/>
            <w:shd w:val="clear" w:color="auto" w:fill="auto"/>
            <w:noWrap/>
            <w:tcMar>
              <w:top w:w="15" w:type="dxa"/>
              <w:left w:w="15" w:type="dxa"/>
              <w:bottom w:w="0" w:type="dxa"/>
              <w:right w:w="15" w:type="dxa"/>
            </w:tcMar>
            <w:vAlign w:val="bottom"/>
            <w:hideMark/>
          </w:tcPr>
          <w:p w14:paraId="3940E6AA" w14:textId="77777777" w:rsidR="007E365E" w:rsidRDefault="007E365E" w:rsidP="007D1D77">
            <w:pPr>
              <w:spacing w:before="0" w:line="240" w:lineRule="auto"/>
              <w:jc w:val="right"/>
              <w:rPr>
                <w:rFonts w:cs="Open Sans Light"/>
                <w:sz w:val="16"/>
                <w:szCs w:val="16"/>
              </w:rPr>
            </w:pPr>
            <w:r>
              <w:rPr>
                <w:rFonts w:cs="Open Sans Light"/>
                <w:sz w:val="16"/>
                <w:szCs w:val="16"/>
              </w:rPr>
              <w:t>881</w:t>
            </w:r>
          </w:p>
        </w:tc>
        <w:tc>
          <w:tcPr>
            <w:tcW w:w="0" w:type="auto"/>
            <w:shd w:val="clear" w:color="auto" w:fill="auto"/>
            <w:noWrap/>
            <w:tcMar>
              <w:top w:w="15" w:type="dxa"/>
              <w:left w:w="15" w:type="dxa"/>
              <w:bottom w:w="0" w:type="dxa"/>
              <w:right w:w="15" w:type="dxa"/>
            </w:tcMar>
            <w:vAlign w:val="bottom"/>
            <w:hideMark/>
          </w:tcPr>
          <w:p w14:paraId="09DDCC2C" w14:textId="77777777" w:rsidR="007E365E" w:rsidRDefault="007E365E" w:rsidP="007D1D77">
            <w:pPr>
              <w:spacing w:before="0" w:line="240" w:lineRule="auto"/>
              <w:jc w:val="right"/>
              <w:rPr>
                <w:rFonts w:cs="Open Sans Light"/>
                <w:sz w:val="16"/>
                <w:szCs w:val="16"/>
              </w:rPr>
            </w:pPr>
            <w:r>
              <w:rPr>
                <w:rFonts w:cs="Open Sans Light"/>
                <w:sz w:val="16"/>
                <w:szCs w:val="16"/>
              </w:rPr>
              <w:t>125,966</w:t>
            </w:r>
          </w:p>
        </w:tc>
      </w:tr>
      <w:tr w:rsidR="007E365E" w14:paraId="2013B62C"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00155647" w14:textId="77777777" w:rsidR="007E365E" w:rsidRDefault="007E365E" w:rsidP="007D1D77">
            <w:pPr>
              <w:spacing w:before="0" w:line="240" w:lineRule="auto"/>
              <w:rPr>
                <w:rFonts w:cs="Open Sans Light"/>
                <w:sz w:val="16"/>
                <w:szCs w:val="16"/>
              </w:rPr>
            </w:pPr>
            <w:r>
              <w:rPr>
                <w:rFonts w:cs="Open Sans Light"/>
                <w:sz w:val="16"/>
                <w:szCs w:val="16"/>
              </w:rPr>
              <w:t>State share of rural (%)</w:t>
            </w:r>
          </w:p>
        </w:tc>
        <w:tc>
          <w:tcPr>
            <w:tcW w:w="0" w:type="auto"/>
            <w:shd w:val="clear" w:color="auto" w:fill="auto"/>
            <w:noWrap/>
            <w:tcMar>
              <w:top w:w="15" w:type="dxa"/>
              <w:left w:w="15" w:type="dxa"/>
              <w:bottom w:w="0" w:type="dxa"/>
              <w:right w:w="15" w:type="dxa"/>
            </w:tcMar>
            <w:vAlign w:val="bottom"/>
            <w:hideMark/>
          </w:tcPr>
          <w:p w14:paraId="4D9B9199" w14:textId="77777777" w:rsidR="007E365E" w:rsidRDefault="007E365E" w:rsidP="007D1D77">
            <w:pPr>
              <w:spacing w:before="0" w:line="240" w:lineRule="auto"/>
              <w:jc w:val="right"/>
              <w:rPr>
                <w:rFonts w:cs="Open Sans Light"/>
                <w:sz w:val="16"/>
                <w:szCs w:val="16"/>
              </w:rPr>
            </w:pPr>
            <w:r>
              <w:rPr>
                <w:rFonts w:cs="Open Sans Light"/>
                <w:sz w:val="16"/>
                <w:szCs w:val="16"/>
              </w:rPr>
              <w:t>28.9</w:t>
            </w:r>
          </w:p>
        </w:tc>
        <w:tc>
          <w:tcPr>
            <w:tcW w:w="0" w:type="auto"/>
            <w:shd w:val="clear" w:color="auto" w:fill="auto"/>
            <w:noWrap/>
            <w:tcMar>
              <w:top w:w="15" w:type="dxa"/>
              <w:left w:w="15" w:type="dxa"/>
              <w:bottom w:w="0" w:type="dxa"/>
              <w:right w:w="15" w:type="dxa"/>
            </w:tcMar>
            <w:vAlign w:val="bottom"/>
            <w:hideMark/>
          </w:tcPr>
          <w:p w14:paraId="642D7013" w14:textId="77777777" w:rsidR="007E365E" w:rsidRDefault="007E365E" w:rsidP="007D1D77">
            <w:pPr>
              <w:spacing w:before="0" w:line="240" w:lineRule="auto"/>
              <w:jc w:val="right"/>
              <w:rPr>
                <w:rFonts w:cs="Open Sans Light"/>
                <w:sz w:val="16"/>
                <w:szCs w:val="16"/>
              </w:rPr>
            </w:pPr>
            <w:r>
              <w:rPr>
                <w:rFonts w:cs="Open Sans Light"/>
                <w:sz w:val="16"/>
                <w:szCs w:val="16"/>
              </w:rPr>
              <w:t>22.6</w:t>
            </w:r>
          </w:p>
        </w:tc>
        <w:tc>
          <w:tcPr>
            <w:tcW w:w="0" w:type="auto"/>
            <w:shd w:val="clear" w:color="auto" w:fill="auto"/>
            <w:noWrap/>
            <w:tcMar>
              <w:top w:w="15" w:type="dxa"/>
              <w:left w:w="15" w:type="dxa"/>
              <w:bottom w:w="0" w:type="dxa"/>
              <w:right w:w="15" w:type="dxa"/>
            </w:tcMar>
            <w:vAlign w:val="bottom"/>
            <w:hideMark/>
          </w:tcPr>
          <w:p w14:paraId="3E317A0B" w14:textId="77777777" w:rsidR="007E365E" w:rsidRDefault="007E365E" w:rsidP="007D1D77">
            <w:pPr>
              <w:spacing w:before="0" w:line="240" w:lineRule="auto"/>
              <w:jc w:val="right"/>
              <w:rPr>
                <w:rFonts w:cs="Open Sans Light"/>
                <w:sz w:val="16"/>
                <w:szCs w:val="16"/>
              </w:rPr>
            </w:pPr>
            <w:r>
              <w:rPr>
                <w:rFonts w:cs="Open Sans Light"/>
                <w:sz w:val="16"/>
                <w:szCs w:val="16"/>
              </w:rPr>
              <w:t>22.7</w:t>
            </w:r>
          </w:p>
        </w:tc>
        <w:tc>
          <w:tcPr>
            <w:tcW w:w="0" w:type="auto"/>
            <w:shd w:val="clear" w:color="auto" w:fill="auto"/>
            <w:noWrap/>
            <w:tcMar>
              <w:top w:w="15" w:type="dxa"/>
              <w:left w:w="15" w:type="dxa"/>
              <w:bottom w:w="0" w:type="dxa"/>
              <w:right w:w="15" w:type="dxa"/>
            </w:tcMar>
            <w:vAlign w:val="bottom"/>
            <w:hideMark/>
          </w:tcPr>
          <w:p w14:paraId="0B23DC7A" w14:textId="77777777" w:rsidR="007E365E" w:rsidRDefault="007E365E" w:rsidP="007D1D77">
            <w:pPr>
              <w:spacing w:before="0" w:line="240" w:lineRule="auto"/>
              <w:jc w:val="right"/>
              <w:rPr>
                <w:rFonts w:cs="Open Sans Light"/>
                <w:sz w:val="16"/>
                <w:szCs w:val="16"/>
              </w:rPr>
            </w:pPr>
            <w:r>
              <w:rPr>
                <w:rFonts w:cs="Open Sans Light"/>
                <w:sz w:val="16"/>
                <w:szCs w:val="16"/>
              </w:rPr>
              <w:t>11.3</w:t>
            </w:r>
          </w:p>
        </w:tc>
        <w:tc>
          <w:tcPr>
            <w:tcW w:w="0" w:type="auto"/>
            <w:shd w:val="clear" w:color="auto" w:fill="auto"/>
            <w:noWrap/>
            <w:tcMar>
              <w:top w:w="15" w:type="dxa"/>
              <w:left w:w="15" w:type="dxa"/>
              <w:bottom w:w="0" w:type="dxa"/>
              <w:right w:w="15" w:type="dxa"/>
            </w:tcMar>
            <w:vAlign w:val="bottom"/>
            <w:hideMark/>
          </w:tcPr>
          <w:p w14:paraId="79CDFE0C" w14:textId="77777777" w:rsidR="007E365E" w:rsidRDefault="007E365E" w:rsidP="007D1D77">
            <w:pPr>
              <w:spacing w:before="0" w:line="240" w:lineRule="auto"/>
              <w:jc w:val="right"/>
              <w:rPr>
                <w:rFonts w:cs="Open Sans Light"/>
                <w:sz w:val="16"/>
                <w:szCs w:val="16"/>
              </w:rPr>
            </w:pPr>
            <w:r>
              <w:rPr>
                <w:rFonts w:cs="Open Sans Light"/>
                <w:sz w:val="16"/>
                <w:szCs w:val="16"/>
              </w:rPr>
              <w:t>10.3</w:t>
            </w:r>
          </w:p>
        </w:tc>
        <w:tc>
          <w:tcPr>
            <w:tcW w:w="0" w:type="auto"/>
            <w:shd w:val="clear" w:color="auto" w:fill="auto"/>
            <w:noWrap/>
            <w:tcMar>
              <w:top w:w="15" w:type="dxa"/>
              <w:left w:w="15" w:type="dxa"/>
              <w:bottom w:w="0" w:type="dxa"/>
              <w:right w:w="15" w:type="dxa"/>
            </w:tcMar>
            <w:vAlign w:val="bottom"/>
            <w:hideMark/>
          </w:tcPr>
          <w:p w14:paraId="6E98085E" w14:textId="77777777" w:rsidR="007E365E" w:rsidRDefault="007E365E" w:rsidP="007D1D77">
            <w:pPr>
              <w:spacing w:before="0" w:line="240" w:lineRule="auto"/>
              <w:jc w:val="right"/>
              <w:rPr>
                <w:rFonts w:cs="Open Sans Light"/>
                <w:sz w:val="16"/>
                <w:szCs w:val="16"/>
              </w:rPr>
            </w:pPr>
            <w:r>
              <w:rPr>
                <w:rFonts w:cs="Open Sans Light"/>
                <w:sz w:val="16"/>
                <w:szCs w:val="16"/>
              </w:rPr>
              <w:t>2.8</w:t>
            </w:r>
          </w:p>
        </w:tc>
        <w:tc>
          <w:tcPr>
            <w:tcW w:w="0" w:type="auto"/>
            <w:shd w:val="clear" w:color="auto" w:fill="auto"/>
            <w:noWrap/>
            <w:tcMar>
              <w:top w:w="15" w:type="dxa"/>
              <w:left w:w="15" w:type="dxa"/>
              <w:bottom w:w="0" w:type="dxa"/>
              <w:right w:w="15" w:type="dxa"/>
            </w:tcMar>
            <w:vAlign w:val="bottom"/>
            <w:hideMark/>
          </w:tcPr>
          <w:p w14:paraId="598601A5"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shd w:val="clear" w:color="auto" w:fill="auto"/>
            <w:noWrap/>
            <w:tcMar>
              <w:top w:w="15" w:type="dxa"/>
              <w:left w:w="15" w:type="dxa"/>
              <w:bottom w:w="0" w:type="dxa"/>
              <w:right w:w="15" w:type="dxa"/>
            </w:tcMar>
            <w:vAlign w:val="bottom"/>
            <w:hideMark/>
          </w:tcPr>
          <w:p w14:paraId="04FA0EC1" w14:textId="77777777" w:rsidR="007E365E" w:rsidRDefault="007E365E" w:rsidP="007D1D77">
            <w:pPr>
              <w:spacing w:before="0" w:line="240" w:lineRule="auto"/>
              <w:jc w:val="right"/>
              <w:rPr>
                <w:rFonts w:cs="Open Sans Light"/>
                <w:sz w:val="16"/>
                <w:szCs w:val="16"/>
              </w:rPr>
            </w:pPr>
            <w:r>
              <w:rPr>
                <w:rFonts w:cs="Open Sans Light"/>
                <w:sz w:val="16"/>
                <w:szCs w:val="16"/>
              </w:rPr>
              <w:t>1.4</w:t>
            </w:r>
          </w:p>
        </w:tc>
        <w:tc>
          <w:tcPr>
            <w:tcW w:w="0" w:type="auto"/>
            <w:shd w:val="clear" w:color="auto" w:fill="auto"/>
            <w:noWrap/>
            <w:tcMar>
              <w:top w:w="15" w:type="dxa"/>
              <w:left w:w="15" w:type="dxa"/>
              <w:bottom w:w="0" w:type="dxa"/>
              <w:right w:w="15" w:type="dxa"/>
            </w:tcMar>
            <w:vAlign w:val="bottom"/>
            <w:hideMark/>
          </w:tcPr>
          <w:p w14:paraId="0814C69A" w14:textId="77777777" w:rsidR="007E365E" w:rsidRDefault="007E365E" w:rsidP="007D1D77">
            <w:pPr>
              <w:spacing w:before="0" w:line="240" w:lineRule="auto"/>
              <w:jc w:val="right"/>
              <w:rPr>
                <w:rFonts w:cs="Open Sans Light"/>
                <w:sz w:val="16"/>
                <w:szCs w:val="16"/>
              </w:rPr>
            </w:pPr>
            <w:r>
              <w:rPr>
                <w:rFonts w:cs="Open Sans Light"/>
                <w:sz w:val="16"/>
                <w:szCs w:val="16"/>
              </w:rPr>
              <w:t>100.0</w:t>
            </w:r>
          </w:p>
        </w:tc>
      </w:tr>
      <w:tr w:rsidR="007E365E" w14:paraId="338469C1"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2F40809D" w14:textId="77777777" w:rsidR="007E365E" w:rsidRDefault="007E365E" w:rsidP="007D1D77">
            <w:pPr>
              <w:spacing w:before="0" w:line="240" w:lineRule="auto"/>
              <w:rPr>
                <w:rFonts w:cs="Open Sans Light"/>
                <w:sz w:val="16"/>
                <w:szCs w:val="16"/>
              </w:rPr>
            </w:pPr>
            <w:r>
              <w:rPr>
                <w:rFonts w:cs="Open Sans Light"/>
                <w:sz w:val="16"/>
                <w:szCs w:val="16"/>
              </w:rPr>
              <w:t>State share of urban (%)</w:t>
            </w:r>
          </w:p>
        </w:tc>
        <w:tc>
          <w:tcPr>
            <w:tcW w:w="0" w:type="auto"/>
            <w:shd w:val="clear" w:color="auto" w:fill="auto"/>
            <w:noWrap/>
            <w:tcMar>
              <w:top w:w="15" w:type="dxa"/>
              <w:left w:w="15" w:type="dxa"/>
              <w:bottom w:w="0" w:type="dxa"/>
              <w:right w:w="15" w:type="dxa"/>
            </w:tcMar>
            <w:vAlign w:val="bottom"/>
            <w:hideMark/>
          </w:tcPr>
          <w:p w14:paraId="5892DD93" w14:textId="77777777" w:rsidR="007E365E" w:rsidRDefault="007E365E" w:rsidP="007D1D77">
            <w:pPr>
              <w:spacing w:before="0" w:line="240" w:lineRule="auto"/>
              <w:jc w:val="right"/>
              <w:rPr>
                <w:rFonts w:cs="Open Sans Light"/>
                <w:sz w:val="16"/>
                <w:szCs w:val="16"/>
              </w:rPr>
            </w:pPr>
            <w:r>
              <w:rPr>
                <w:rFonts w:cs="Open Sans Light"/>
                <w:sz w:val="16"/>
                <w:szCs w:val="16"/>
              </w:rPr>
              <w:t>30.7</w:t>
            </w:r>
          </w:p>
        </w:tc>
        <w:tc>
          <w:tcPr>
            <w:tcW w:w="0" w:type="auto"/>
            <w:shd w:val="clear" w:color="auto" w:fill="auto"/>
            <w:noWrap/>
            <w:tcMar>
              <w:top w:w="15" w:type="dxa"/>
              <w:left w:w="15" w:type="dxa"/>
              <w:bottom w:w="0" w:type="dxa"/>
              <w:right w:w="15" w:type="dxa"/>
            </w:tcMar>
            <w:vAlign w:val="bottom"/>
            <w:hideMark/>
          </w:tcPr>
          <w:p w14:paraId="154B48BD" w14:textId="77777777" w:rsidR="007E365E" w:rsidRDefault="007E365E" w:rsidP="007D1D77">
            <w:pPr>
              <w:spacing w:before="0" w:line="240" w:lineRule="auto"/>
              <w:jc w:val="right"/>
              <w:rPr>
                <w:rFonts w:cs="Open Sans Light"/>
                <w:sz w:val="16"/>
                <w:szCs w:val="16"/>
              </w:rPr>
            </w:pPr>
            <w:r>
              <w:rPr>
                <w:rFonts w:cs="Open Sans Light"/>
                <w:sz w:val="16"/>
                <w:szCs w:val="16"/>
              </w:rPr>
              <w:t>27.5</w:t>
            </w:r>
          </w:p>
        </w:tc>
        <w:tc>
          <w:tcPr>
            <w:tcW w:w="0" w:type="auto"/>
            <w:shd w:val="clear" w:color="auto" w:fill="auto"/>
            <w:noWrap/>
            <w:tcMar>
              <w:top w:w="15" w:type="dxa"/>
              <w:left w:w="15" w:type="dxa"/>
              <w:bottom w:w="0" w:type="dxa"/>
              <w:right w:w="15" w:type="dxa"/>
            </w:tcMar>
            <w:vAlign w:val="bottom"/>
            <w:hideMark/>
          </w:tcPr>
          <w:p w14:paraId="04324990" w14:textId="77777777" w:rsidR="007E365E" w:rsidRDefault="007E365E" w:rsidP="007D1D77">
            <w:pPr>
              <w:spacing w:before="0" w:line="240" w:lineRule="auto"/>
              <w:jc w:val="right"/>
              <w:rPr>
                <w:rFonts w:cs="Open Sans Light"/>
                <w:sz w:val="16"/>
                <w:szCs w:val="16"/>
              </w:rPr>
            </w:pPr>
            <w:r>
              <w:rPr>
                <w:rFonts w:cs="Open Sans Light"/>
                <w:sz w:val="16"/>
                <w:szCs w:val="16"/>
              </w:rPr>
              <w:t>20.7</w:t>
            </w:r>
          </w:p>
        </w:tc>
        <w:tc>
          <w:tcPr>
            <w:tcW w:w="0" w:type="auto"/>
            <w:shd w:val="clear" w:color="auto" w:fill="auto"/>
            <w:noWrap/>
            <w:tcMar>
              <w:top w:w="15" w:type="dxa"/>
              <w:left w:w="15" w:type="dxa"/>
              <w:bottom w:w="0" w:type="dxa"/>
              <w:right w:w="15" w:type="dxa"/>
            </w:tcMar>
            <w:vAlign w:val="bottom"/>
            <w:hideMark/>
          </w:tcPr>
          <w:p w14:paraId="183CD70E" w14:textId="77777777" w:rsidR="007E365E" w:rsidRDefault="007E365E" w:rsidP="007D1D77">
            <w:pPr>
              <w:spacing w:before="0" w:line="240" w:lineRule="auto"/>
              <w:jc w:val="right"/>
              <w:rPr>
                <w:rFonts w:cs="Open Sans Light"/>
                <w:sz w:val="16"/>
                <w:szCs w:val="16"/>
              </w:rPr>
            </w:pPr>
            <w:r>
              <w:rPr>
                <w:rFonts w:cs="Open Sans Light"/>
                <w:sz w:val="16"/>
                <w:szCs w:val="16"/>
              </w:rPr>
              <w:t>10.8</w:t>
            </w:r>
          </w:p>
        </w:tc>
        <w:tc>
          <w:tcPr>
            <w:tcW w:w="0" w:type="auto"/>
            <w:shd w:val="clear" w:color="auto" w:fill="auto"/>
            <w:noWrap/>
            <w:tcMar>
              <w:top w:w="15" w:type="dxa"/>
              <w:left w:w="15" w:type="dxa"/>
              <w:bottom w:w="0" w:type="dxa"/>
              <w:right w:w="15" w:type="dxa"/>
            </w:tcMar>
            <w:vAlign w:val="bottom"/>
            <w:hideMark/>
          </w:tcPr>
          <w:p w14:paraId="71130156" w14:textId="77777777" w:rsidR="007E365E" w:rsidRDefault="007E365E" w:rsidP="007D1D77">
            <w:pPr>
              <w:spacing w:before="0" w:line="240" w:lineRule="auto"/>
              <w:jc w:val="right"/>
              <w:rPr>
                <w:rFonts w:cs="Open Sans Light"/>
                <w:sz w:val="16"/>
                <w:szCs w:val="16"/>
              </w:rPr>
            </w:pPr>
            <w:r>
              <w:rPr>
                <w:rFonts w:cs="Open Sans Light"/>
                <w:sz w:val="16"/>
                <w:szCs w:val="16"/>
              </w:rPr>
              <w:t>5.6</w:t>
            </w:r>
          </w:p>
        </w:tc>
        <w:tc>
          <w:tcPr>
            <w:tcW w:w="0" w:type="auto"/>
            <w:shd w:val="clear" w:color="auto" w:fill="auto"/>
            <w:noWrap/>
            <w:tcMar>
              <w:top w:w="15" w:type="dxa"/>
              <w:left w:w="15" w:type="dxa"/>
              <w:bottom w:w="0" w:type="dxa"/>
              <w:right w:w="15" w:type="dxa"/>
            </w:tcMar>
            <w:vAlign w:val="bottom"/>
            <w:hideMark/>
          </w:tcPr>
          <w:p w14:paraId="01272480" w14:textId="77777777" w:rsidR="007E365E" w:rsidRDefault="007E365E" w:rsidP="007D1D77">
            <w:pPr>
              <w:spacing w:before="0" w:line="240" w:lineRule="auto"/>
              <w:jc w:val="right"/>
              <w:rPr>
                <w:rFonts w:cs="Open Sans Light"/>
                <w:sz w:val="16"/>
                <w:szCs w:val="16"/>
              </w:rPr>
            </w:pPr>
            <w:r>
              <w:rPr>
                <w:rFonts w:cs="Open Sans Light"/>
                <w:sz w:val="16"/>
                <w:szCs w:val="16"/>
              </w:rPr>
              <w:t>1.9</w:t>
            </w:r>
          </w:p>
        </w:tc>
        <w:tc>
          <w:tcPr>
            <w:tcW w:w="0" w:type="auto"/>
            <w:shd w:val="clear" w:color="auto" w:fill="auto"/>
            <w:noWrap/>
            <w:tcMar>
              <w:top w:w="15" w:type="dxa"/>
              <w:left w:w="15" w:type="dxa"/>
              <w:bottom w:w="0" w:type="dxa"/>
              <w:right w:w="15" w:type="dxa"/>
            </w:tcMar>
            <w:vAlign w:val="bottom"/>
            <w:hideMark/>
          </w:tcPr>
          <w:p w14:paraId="55AFF779" w14:textId="77777777" w:rsidR="007E365E" w:rsidRDefault="007E365E" w:rsidP="007D1D77">
            <w:pPr>
              <w:spacing w:before="0" w:line="240" w:lineRule="auto"/>
              <w:jc w:val="right"/>
              <w:rPr>
                <w:rFonts w:cs="Open Sans Light"/>
                <w:sz w:val="16"/>
                <w:szCs w:val="16"/>
              </w:rPr>
            </w:pPr>
            <w:r>
              <w:rPr>
                <w:rFonts w:cs="Open Sans Light"/>
                <w:sz w:val="16"/>
                <w:szCs w:val="16"/>
              </w:rPr>
              <w:t>2.1</w:t>
            </w:r>
          </w:p>
        </w:tc>
        <w:tc>
          <w:tcPr>
            <w:tcW w:w="0" w:type="auto"/>
            <w:shd w:val="clear" w:color="auto" w:fill="auto"/>
            <w:noWrap/>
            <w:tcMar>
              <w:top w:w="15" w:type="dxa"/>
              <w:left w:w="15" w:type="dxa"/>
              <w:bottom w:w="0" w:type="dxa"/>
              <w:right w:w="15" w:type="dxa"/>
            </w:tcMar>
            <w:vAlign w:val="bottom"/>
            <w:hideMark/>
          </w:tcPr>
          <w:p w14:paraId="5AB5C6E8" w14:textId="77777777" w:rsidR="007E365E" w:rsidRDefault="007E365E" w:rsidP="007D1D77">
            <w:pPr>
              <w:spacing w:before="0" w:line="240" w:lineRule="auto"/>
              <w:jc w:val="right"/>
              <w:rPr>
                <w:rFonts w:cs="Open Sans Light"/>
                <w:sz w:val="16"/>
                <w:szCs w:val="16"/>
              </w:rPr>
            </w:pPr>
            <w:r>
              <w:rPr>
                <w:rFonts w:cs="Open Sans Light"/>
                <w:sz w:val="16"/>
                <w:szCs w:val="16"/>
              </w:rPr>
              <w:t>0.7</w:t>
            </w:r>
          </w:p>
        </w:tc>
        <w:tc>
          <w:tcPr>
            <w:tcW w:w="0" w:type="auto"/>
            <w:shd w:val="clear" w:color="auto" w:fill="auto"/>
            <w:noWrap/>
            <w:tcMar>
              <w:top w:w="15" w:type="dxa"/>
              <w:left w:w="15" w:type="dxa"/>
              <w:bottom w:w="0" w:type="dxa"/>
              <w:right w:w="15" w:type="dxa"/>
            </w:tcMar>
            <w:vAlign w:val="bottom"/>
            <w:hideMark/>
          </w:tcPr>
          <w:p w14:paraId="0A9C9172" w14:textId="77777777" w:rsidR="007E365E" w:rsidRDefault="007E365E" w:rsidP="007D1D77">
            <w:pPr>
              <w:spacing w:before="0" w:line="240" w:lineRule="auto"/>
              <w:jc w:val="right"/>
              <w:rPr>
                <w:rFonts w:cs="Open Sans Light"/>
                <w:sz w:val="16"/>
                <w:szCs w:val="16"/>
              </w:rPr>
            </w:pPr>
            <w:r>
              <w:rPr>
                <w:rFonts w:cs="Open Sans Light"/>
                <w:sz w:val="16"/>
                <w:szCs w:val="16"/>
              </w:rPr>
              <w:t>100.0</w:t>
            </w:r>
          </w:p>
        </w:tc>
      </w:tr>
    </w:tbl>
    <w:p w14:paraId="79D9D273" w14:textId="77777777" w:rsidR="007E365E" w:rsidRPr="00E23377" w:rsidRDefault="007E365E" w:rsidP="007E365E">
      <w:pPr>
        <w:pStyle w:val="CGCTablenote"/>
      </w:pPr>
      <w:r w:rsidRPr="00E23377">
        <w:t>Source:</w:t>
      </w:r>
      <w:r w:rsidRPr="00E23377">
        <w:tab/>
        <w:t>Bureau of Infrastructure, Transport and Regional Economics</w:t>
      </w:r>
      <w:r>
        <w:t>,</w:t>
      </w:r>
      <w:r w:rsidRPr="00E23377">
        <w:t xml:space="preserve"> vkt data.</w:t>
      </w:r>
    </w:p>
    <w:p w14:paraId="346B6E9A" w14:textId="77777777" w:rsidR="007E365E" w:rsidRPr="00E23377" w:rsidRDefault="007E365E" w:rsidP="007E365E">
      <w:pPr>
        <w:pStyle w:val="Heading5"/>
      </w:pPr>
      <w:bookmarkStart w:id="179" w:name="_Ref4667296"/>
      <w:r w:rsidRPr="00E23377">
        <w:t>Heavy vehicle use</w:t>
      </w:r>
      <w:bookmarkEnd w:id="179"/>
    </w:p>
    <w:p w14:paraId="187EE848" w14:textId="77777777" w:rsidR="007E365E" w:rsidRPr="00E23377" w:rsidRDefault="007E365E" w:rsidP="007E365E">
      <w:pPr>
        <w:pStyle w:val="CGCParaNumber"/>
      </w:pPr>
      <w:r w:rsidRPr="00E23377">
        <w:t>The assessment of heavy vehicle use is based on average gross mass-kilometres (AGM-km) data from BITRE.</w:t>
      </w:r>
    </w:p>
    <w:p w14:paraId="57A1DFEE" w14:textId="77777777" w:rsidR="007E365E" w:rsidRPr="00E23377" w:rsidRDefault="007E365E" w:rsidP="007E365E">
      <w:pPr>
        <w:pStyle w:val="CGCParaNumber"/>
      </w:pPr>
      <w:r w:rsidRPr="00E23377">
        <w:t>AGM-km for each State is estimated by applying Australian AGMs for each aggregated BITRE vehicle class (derived from NTC trend data</w:t>
      </w:r>
      <w:r w:rsidRPr="00E23377">
        <w:rPr>
          <w:rStyle w:val="FootnoteReference"/>
        </w:rPr>
        <w:footnoteReference w:id="35"/>
      </w:r>
      <w:r w:rsidRPr="00E23377">
        <w:t>) to the kilometres travelled by aggregated class of heavy vehicle in each State. As with the traffic volume measure, the heavy vehicle travel data have been adjusted to remove travel on local roads and to split the data between urban and rural roads. This measure captures both weight and use of heavy vehicles, which addresses Victoria’s concerns that use was not captured.</w:t>
      </w:r>
    </w:p>
    <w:p w14:paraId="78189C20" w14:textId="379B9394" w:rsidR="007E365E" w:rsidRPr="00E23377" w:rsidRDefault="007E365E" w:rsidP="007E365E">
      <w:pPr>
        <w:pStyle w:val="CGCParaNumber"/>
      </w:pPr>
      <w:r w:rsidRPr="00E23377">
        <w:t xml:space="preserve">In this review, the Commission reduced the number of vehicle classes from five to three. The three vehicle classes into which the data are aggregated are light vehicles (passenger and commercial vehicles weighing less than 4.5 tonnes), articulated trucks and other heavy vehicles. A trend AGM weight is applied to articulated trucks and other heavy vehicles as shown in </w:t>
      </w:r>
      <w:r w:rsidRPr="00E23377">
        <w:fldChar w:fldCharType="begin"/>
      </w:r>
      <w:r w:rsidRPr="00E23377">
        <w:instrText xml:space="preserve"> REF _Ref26282012 \h  \* MERGEFORMAT </w:instrText>
      </w:r>
      <w:r w:rsidRPr="00E23377">
        <w:fldChar w:fldCharType="separate"/>
      </w:r>
      <w:r w:rsidR="007F721A" w:rsidRPr="00E23377">
        <w:t xml:space="preserve">Table </w:t>
      </w:r>
      <w:r w:rsidR="007F721A">
        <w:rPr>
          <w:noProof/>
        </w:rPr>
        <w:t>20-13</w:t>
      </w:r>
      <w:r w:rsidRPr="00E23377">
        <w:fldChar w:fldCharType="end"/>
      </w:r>
      <w:r w:rsidRPr="00E23377">
        <w:t>.</w:t>
      </w:r>
    </w:p>
    <w:p w14:paraId="632A82B1" w14:textId="213AF6F3" w:rsidR="007E365E" w:rsidRPr="00E23377" w:rsidRDefault="007E365E" w:rsidP="007E365E">
      <w:pPr>
        <w:pStyle w:val="CGCTableHeading"/>
      </w:pPr>
      <w:bookmarkStart w:id="180" w:name="_Ref26282012"/>
      <w:r w:rsidRPr="00E23377">
        <w:t xml:space="preserve">Table </w:t>
      </w:r>
      <w:r>
        <w:t>20-</w:t>
      </w:r>
      <w:fldSimple w:instr=" SEQ Table \* ARABIC ">
        <w:r w:rsidR="007F721A">
          <w:rPr>
            <w:noProof/>
          </w:rPr>
          <w:t>13</w:t>
        </w:r>
      </w:fldSimple>
      <w:bookmarkEnd w:id="180"/>
      <w:r w:rsidRPr="00E23377">
        <w:tab/>
        <w:t>Trend average gross mass by aggregated BITRE vehicle classes, 2020</w:t>
      </w:r>
      <w:r>
        <w:t> </w:t>
      </w:r>
      <w:r w:rsidRPr="00E23377">
        <w:t>Review</w:t>
      </w:r>
    </w:p>
    <w:tbl>
      <w:tblPr>
        <w:tblW w:w="8940" w:type="dxa"/>
        <w:tblBorders>
          <w:top w:val="single" w:sz="4" w:space="0" w:color="ADD6EA"/>
          <w:bottom w:val="single" w:sz="4" w:space="0" w:color="ADD6EA"/>
          <w:insideH w:val="single" w:sz="4" w:space="0" w:color="ADD6EA"/>
        </w:tblBorders>
        <w:tblCellMar>
          <w:left w:w="0" w:type="dxa"/>
          <w:right w:w="0" w:type="dxa"/>
        </w:tblCellMar>
        <w:tblLook w:val="04A0" w:firstRow="1" w:lastRow="0" w:firstColumn="1" w:lastColumn="0" w:noHBand="0" w:noVBand="1"/>
      </w:tblPr>
      <w:tblGrid>
        <w:gridCol w:w="5160"/>
        <w:gridCol w:w="3780"/>
      </w:tblGrid>
      <w:tr w:rsidR="007E365E" w:rsidRPr="00D90F9A" w14:paraId="0594A04C" w14:textId="77777777" w:rsidTr="007D1D77">
        <w:trPr>
          <w:trHeight w:val="375"/>
        </w:trPr>
        <w:tc>
          <w:tcPr>
            <w:tcW w:w="5160" w:type="dxa"/>
            <w:shd w:val="clear" w:color="000000" w:fill="006991"/>
            <w:tcMar>
              <w:top w:w="15" w:type="dxa"/>
              <w:left w:w="15" w:type="dxa"/>
              <w:bottom w:w="0" w:type="dxa"/>
              <w:right w:w="15" w:type="dxa"/>
            </w:tcMar>
            <w:vAlign w:val="center"/>
            <w:hideMark/>
          </w:tcPr>
          <w:p w14:paraId="70E49EEF" w14:textId="77777777" w:rsidR="007E365E" w:rsidRPr="00521EF3" w:rsidRDefault="007E365E" w:rsidP="007D1D77">
            <w:pPr>
              <w:tabs>
                <w:tab w:val="clear" w:pos="567"/>
              </w:tabs>
              <w:spacing w:before="0" w:line="240" w:lineRule="auto"/>
              <w:jc w:val="right"/>
              <w:rPr>
                <w:rFonts w:ascii="Open Sans SemiBold" w:hAnsi="Open Sans SemiBold" w:cs="Open Sans SemiBold"/>
                <w:color w:val="FFFFFF"/>
                <w:sz w:val="16"/>
                <w:szCs w:val="16"/>
              </w:rPr>
            </w:pPr>
            <w:r w:rsidRPr="00521EF3">
              <w:rPr>
                <w:rFonts w:ascii="Open Sans SemiBold" w:hAnsi="Open Sans SemiBold" w:cs="Open Sans SemiBold"/>
                <w:color w:val="FFFFFF"/>
                <w:sz w:val="16"/>
                <w:szCs w:val="16"/>
              </w:rPr>
              <w:t> </w:t>
            </w:r>
          </w:p>
        </w:tc>
        <w:tc>
          <w:tcPr>
            <w:tcW w:w="3780" w:type="dxa"/>
            <w:shd w:val="clear" w:color="000000" w:fill="006991"/>
            <w:tcMar>
              <w:top w:w="15" w:type="dxa"/>
              <w:left w:w="15" w:type="dxa"/>
              <w:bottom w:w="0" w:type="dxa"/>
              <w:right w:w="15" w:type="dxa"/>
            </w:tcMar>
            <w:vAlign w:val="center"/>
            <w:hideMark/>
          </w:tcPr>
          <w:p w14:paraId="0DB2207A" w14:textId="77777777" w:rsidR="007E365E" w:rsidRPr="00521EF3" w:rsidRDefault="007E365E" w:rsidP="007D1D77">
            <w:pPr>
              <w:spacing w:before="0" w:line="240" w:lineRule="auto"/>
              <w:jc w:val="right"/>
              <w:rPr>
                <w:rFonts w:ascii="Open Sans SemiBold" w:hAnsi="Open Sans SemiBold" w:cs="Open Sans SemiBold"/>
                <w:color w:val="FFFFFF"/>
                <w:sz w:val="16"/>
                <w:szCs w:val="16"/>
              </w:rPr>
            </w:pPr>
            <w:r w:rsidRPr="00521EF3">
              <w:rPr>
                <w:rFonts w:ascii="Open Sans SemiBold" w:hAnsi="Open Sans SemiBold" w:cs="Open Sans SemiBold"/>
                <w:color w:val="FFFFFF"/>
                <w:sz w:val="16"/>
                <w:szCs w:val="16"/>
              </w:rPr>
              <w:t>Trend AGM</w:t>
            </w:r>
          </w:p>
        </w:tc>
      </w:tr>
      <w:tr w:rsidR="007E365E" w:rsidRPr="005B6031" w14:paraId="4AD272C0" w14:textId="77777777" w:rsidTr="007D1D77">
        <w:trPr>
          <w:trHeight w:val="259"/>
        </w:trPr>
        <w:tc>
          <w:tcPr>
            <w:tcW w:w="0" w:type="auto"/>
            <w:shd w:val="clear" w:color="000000" w:fill="B6D5E4"/>
            <w:noWrap/>
            <w:tcMar>
              <w:top w:w="15" w:type="dxa"/>
              <w:left w:w="15" w:type="dxa"/>
              <w:bottom w:w="0" w:type="dxa"/>
              <w:right w:w="15" w:type="dxa"/>
            </w:tcMar>
            <w:vAlign w:val="center"/>
            <w:hideMark/>
          </w:tcPr>
          <w:p w14:paraId="31D62B06"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shd w:val="clear" w:color="000000" w:fill="B6D5E4"/>
            <w:noWrap/>
            <w:tcMar>
              <w:top w:w="15" w:type="dxa"/>
              <w:left w:w="15" w:type="dxa"/>
              <w:bottom w:w="0" w:type="dxa"/>
              <w:right w:w="15" w:type="dxa"/>
            </w:tcMar>
            <w:vAlign w:val="center"/>
            <w:hideMark/>
          </w:tcPr>
          <w:p w14:paraId="003D4D7D"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Tonnes</w:t>
            </w:r>
          </w:p>
        </w:tc>
      </w:tr>
      <w:tr w:rsidR="007E365E" w:rsidRPr="005B6031" w14:paraId="51ECEF9B" w14:textId="77777777" w:rsidTr="007D1D77">
        <w:trPr>
          <w:trHeight w:val="315"/>
        </w:trPr>
        <w:tc>
          <w:tcPr>
            <w:tcW w:w="5160" w:type="dxa"/>
            <w:shd w:val="clear" w:color="auto" w:fill="auto"/>
            <w:tcMar>
              <w:top w:w="15" w:type="dxa"/>
              <w:left w:w="15" w:type="dxa"/>
              <w:bottom w:w="0" w:type="dxa"/>
              <w:right w:w="15" w:type="dxa"/>
            </w:tcMar>
            <w:vAlign w:val="bottom"/>
            <w:hideMark/>
          </w:tcPr>
          <w:p w14:paraId="06890E64" w14:textId="77777777" w:rsidR="007E365E" w:rsidRDefault="007E365E" w:rsidP="007D1D77">
            <w:pPr>
              <w:spacing w:before="0" w:line="240" w:lineRule="auto"/>
              <w:rPr>
                <w:rFonts w:cs="Open Sans Light"/>
                <w:sz w:val="16"/>
                <w:szCs w:val="16"/>
              </w:rPr>
            </w:pPr>
            <w:r>
              <w:rPr>
                <w:rFonts w:cs="Open Sans Light"/>
                <w:sz w:val="16"/>
                <w:szCs w:val="16"/>
              </w:rPr>
              <w:t>Light vehicles</w:t>
            </w:r>
          </w:p>
        </w:tc>
        <w:tc>
          <w:tcPr>
            <w:tcW w:w="3780" w:type="dxa"/>
            <w:shd w:val="clear" w:color="auto" w:fill="auto"/>
            <w:tcMar>
              <w:top w:w="15" w:type="dxa"/>
              <w:left w:w="15" w:type="dxa"/>
              <w:bottom w:w="0" w:type="dxa"/>
              <w:right w:w="15" w:type="dxa"/>
            </w:tcMar>
            <w:vAlign w:val="bottom"/>
            <w:hideMark/>
          </w:tcPr>
          <w:p w14:paraId="52F9BDA3" w14:textId="77777777" w:rsidR="007E365E" w:rsidRDefault="007E365E" w:rsidP="007D1D77">
            <w:pPr>
              <w:spacing w:before="0" w:line="240" w:lineRule="auto"/>
              <w:jc w:val="right"/>
              <w:rPr>
                <w:rFonts w:cs="Open Sans Light"/>
                <w:sz w:val="16"/>
                <w:szCs w:val="16"/>
              </w:rPr>
            </w:pPr>
            <w:r>
              <w:rPr>
                <w:rFonts w:cs="Open Sans Light"/>
                <w:sz w:val="16"/>
                <w:szCs w:val="16"/>
              </w:rPr>
              <w:t>—</w:t>
            </w:r>
          </w:p>
        </w:tc>
      </w:tr>
      <w:tr w:rsidR="007E365E" w:rsidRPr="005B6031" w14:paraId="7B18FAA7" w14:textId="77777777" w:rsidTr="007D1D77">
        <w:trPr>
          <w:trHeight w:val="315"/>
        </w:trPr>
        <w:tc>
          <w:tcPr>
            <w:tcW w:w="5160" w:type="dxa"/>
            <w:tcBorders>
              <w:bottom w:val="single" w:sz="4" w:space="0" w:color="ADD6EA"/>
            </w:tcBorders>
            <w:shd w:val="clear" w:color="auto" w:fill="auto"/>
            <w:tcMar>
              <w:top w:w="15" w:type="dxa"/>
              <w:left w:w="15" w:type="dxa"/>
              <w:bottom w:w="0" w:type="dxa"/>
              <w:right w:w="15" w:type="dxa"/>
            </w:tcMar>
            <w:vAlign w:val="bottom"/>
            <w:hideMark/>
          </w:tcPr>
          <w:p w14:paraId="09B0DB8A" w14:textId="77777777" w:rsidR="007E365E" w:rsidRDefault="007E365E" w:rsidP="007D1D77">
            <w:pPr>
              <w:spacing w:before="0" w:line="240" w:lineRule="auto"/>
              <w:rPr>
                <w:rFonts w:cs="Open Sans Light"/>
                <w:sz w:val="16"/>
                <w:szCs w:val="16"/>
              </w:rPr>
            </w:pPr>
            <w:r>
              <w:rPr>
                <w:rFonts w:cs="Open Sans Light"/>
                <w:sz w:val="16"/>
                <w:szCs w:val="16"/>
              </w:rPr>
              <w:t>Articulated trucks</w:t>
            </w:r>
          </w:p>
        </w:tc>
        <w:tc>
          <w:tcPr>
            <w:tcW w:w="3780" w:type="dxa"/>
            <w:tcBorders>
              <w:bottom w:val="single" w:sz="4" w:space="0" w:color="ADD6EA"/>
            </w:tcBorders>
            <w:shd w:val="clear" w:color="auto" w:fill="auto"/>
            <w:tcMar>
              <w:top w:w="15" w:type="dxa"/>
              <w:left w:w="15" w:type="dxa"/>
              <w:bottom w:w="0" w:type="dxa"/>
              <w:right w:w="15" w:type="dxa"/>
            </w:tcMar>
            <w:vAlign w:val="bottom"/>
            <w:hideMark/>
          </w:tcPr>
          <w:p w14:paraId="60E2E285" w14:textId="77777777" w:rsidR="007E365E" w:rsidRDefault="007E365E" w:rsidP="007D1D77">
            <w:pPr>
              <w:spacing w:before="0" w:line="240" w:lineRule="auto"/>
              <w:jc w:val="right"/>
              <w:rPr>
                <w:rFonts w:cs="Open Sans Light"/>
                <w:sz w:val="16"/>
                <w:szCs w:val="16"/>
              </w:rPr>
            </w:pPr>
            <w:r>
              <w:rPr>
                <w:rFonts w:cs="Open Sans Light"/>
                <w:sz w:val="16"/>
                <w:szCs w:val="16"/>
              </w:rPr>
              <w:t>43.0</w:t>
            </w:r>
          </w:p>
        </w:tc>
      </w:tr>
      <w:tr w:rsidR="007E365E" w:rsidRPr="005B6031" w14:paraId="2BCE388F" w14:textId="77777777" w:rsidTr="007D1D77">
        <w:trPr>
          <w:trHeight w:val="315"/>
        </w:trPr>
        <w:tc>
          <w:tcPr>
            <w:tcW w:w="5160" w:type="dxa"/>
            <w:tcBorders>
              <w:bottom w:val="single" w:sz="4" w:space="0" w:color="ADD6EA"/>
            </w:tcBorders>
            <w:shd w:val="clear" w:color="auto" w:fill="auto"/>
            <w:tcMar>
              <w:top w:w="15" w:type="dxa"/>
              <w:left w:w="15" w:type="dxa"/>
              <w:bottom w:w="0" w:type="dxa"/>
              <w:right w:w="15" w:type="dxa"/>
            </w:tcMar>
            <w:vAlign w:val="bottom"/>
            <w:hideMark/>
          </w:tcPr>
          <w:p w14:paraId="0854DFEB" w14:textId="77777777" w:rsidR="007E365E" w:rsidRDefault="007E365E" w:rsidP="007D1D77">
            <w:pPr>
              <w:spacing w:before="0" w:line="240" w:lineRule="auto"/>
              <w:rPr>
                <w:rFonts w:cs="Open Sans Light"/>
                <w:sz w:val="16"/>
                <w:szCs w:val="16"/>
              </w:rPr>
            </w:pPr>
            <w:r>
              <w:rPr>
                <w:rFonts w:cs="Open Sans Light"/>
                <w:sz w:val="16"/>
                <w:szCs w:val="16"/>
              </w:rPr>
              <w:t>Other heavy vehicles</w:t>
            </w:r>
          </w:p>
        </w:tc>
        <w:tc>
          <w:tcPr>
            <w:tcW w:w="3780" w:type="dxa"/>
            <w:tcBorders>
              <w:bottom w:val="single" w:sz="4" w:space="0" w:color="ADD6EA"/>
            </w:tcBorders>
            <w:shd w:val="clear" w:color="auto" w:fill="auto"/>
            <w:tcMar>
              <w:top w:w="15" w:type="dxa"/>
              <w:left w:w="15" w:type="dxa"/>
              <w:bottom w:w="0" w:type="dxa"/>
              <w:right w:w="15" w:type="dxa"/>
            </w:tcMar>
            <w:vAlign w:val="bottom"/>
            <w:hideMark/>
          </w:tcPr>
          <w:p w14:paraId="3B1EE89A" w14:textId="77777777" w:rsidR="007E365E" w:rsidRDefault="007E365E" w:rsidP="007D1D77">
            <w:pPr>
              <w:spacing w:before="0" w:line="240" w:lineRule="auto"/>
              <w:jc w:val="right"/>
              <w:rPr>
                <w:rFonts w:cs="Open Sans Light"/>
                <w:sz w:val="16"/>
                <w:szCs w:val="16"/>
              </w:rPr>
            </w:pPr>
            <w:r>
              <w:rPr>
                <w:rFonts w:cs="Open Sans Light"/>
                <w:sz w:val="16"/>
                <w:szCs w:val="16"/>
              </w:rPr>
              <w:t>9.0</w:t>
            </w:r>
          </w:p>
        </w:tc>
      </w:tr>
    </w:tbl>
    <w:p w14:paraId="215C8CE9" w14:textId="77777777" w:rsidR="007E365E" w:rsidRPr="00E23377" w:rsidRDefault="007E365E" w:rsidP="007E365E">
      <w:pPr>
        <w:pStyle w:val="CGCTablenote"/>
      </w:pPr>
      <w:r w:rsidRPr="00E23377">
        <w:t>Source:</w:t>
      </w:r>
      <w:r w:rsidRPr="00E23377">
        <w:tab/>
        <w:t>NTC trend data.</w:t>
      </w:r>
    </w:p>
    <w:p w14:paraId="76967AA4" w14:textId="77777777" w:rsidR="007E365E" w:rsidRPr="00E23377" w:rsidRDefault="007E365E" w:rsidP="007E365E">
      <w:pPr>
        <w:pStyle w:val="CGCParaNumber"/>
      </w:pPr>
      <w:r w:rsidRPr="00E23377">
        <w:t xml:space="preserve">The Commission decided to classify light commercial vehicles with passenger vehicles, instead of treating them as a separate class of heavy vehicles. This is because light commercial vehicles did not match the definition of heavy vehicles (vehicles over 4.5 tonnes). Victoria did not support this change, arguing that there was not enough evidence to support the view that passenger cars and light commercial vehicles have similar weight. However, light commercial vehicles have average gross mass under 4.5 tonnes, which is similar to passenger cars. </w:t>
      </w:r>
      <w:r>
        <w:t xml:space="preserve">Vehicles under this weight are </w:t>
      </w:r>
      <w:r w:rsidRPr="00E23377">
        <w:t>not considered sufficient to damage roads</w:t>
      </w:r>
      <w:r>
        <w:t xml:space="preserve"> under the NTC methodology</w:t>
      </w:r>
      <w:r w:rsidRPr="00E23377">
        <w:t>.</w:t>
      </w:r>
      <w:r w:rsidRPr="00E23377">
        <w:rPr>
          <w:rStyle w:val="FootnoteReference"/>
        </w:rPr>
        <w:footnoteReference w:id="36"/>
      </w:r>
      <w:r w:rsidRPr="00E23377">
        <w:t xml:space="preserve"> </w:t>
      </w:r>
    </w:p>
    <w:p w14:paraId="05EBE808" w14:textId="5E1C61D5" w:rsidR="007E365E" w:rsidRPr="00E23377" w:rsidRDefault="007E365E" w:rsidP="007E365E">
      <w:pPr>
        <w:pStyle w:val="CGCParaNumber"/>
      </w:pPr>
      <w:r w:rsidRPr="00E23377">
        <w:lastRenderedPageBreak/>
        <w:t>The Commission also combined the previously separate rigid and other trucks, and buses classes because their trend AGM are very similar. Most States supported these changes. This simplification does not come at the cost of fiscal equalisation, as argued by the Northern</w:t>
      </w:r>
      <w:r>
        <w:t> </w:t>
      </w:r>
      <w:r w:rsidRPr="00E23377">
        <w:t xml:space="preserve">Territory, because the change is not material, as shown in </w:t>
      </w:r>
      <w:r w:rsidRPr="00E23377">
        <w:fldChar w:fldCharType="begin"/>
      </w:r>
      <w:r w:rsidRPr="00E23377">
        <w:instrText xml:space="preserve"> REF _Ref506898992 \h  \* MERGEFORMAT </w:instrText>
      </w:r>
      <w:r w:rsidRPr="00E23377">
        <w:fldChar w:fldCharType="separate"/>
      </w:r>
      <w:r w:rsidR="007F721A" w:rsidRPr="00E23377">
        <w:t xml:space="preserve">Table </w:t>
      </w:r>
      <w:r w:rsidR="007F721A">
        <w:rPr>
          <w:noProof/>
        </w:rPr>
        <w:t>20-14</w:t>
      </w:r>
      <w:r w:rsidRPr="00E23377">
        <w:fldChar w:fldCharType="end"/>
      </w:r>
      <w:r w:rsidRPr="00E23377">
        <w:t xml:space="preserve">. </w:t>
      </w:r>
    </w:p>
    <w:p w14:paraId="46313786" w14:textId="78CD1339" w:rsidR="007E365E" w:rsidRPr="00E23377" w:rsidRDefault="007E365E" w:rsidP="007E365E">
      <w:pPr>
        <w:pStyle w:val="Caption"/>
      </w:pPr>
      <w:bookmarkStart w:id="181" w:name="_Ref506898992"/>
      <w:r w:rsidRPr="00E23377">
        <w:t xml:space="preserve">Table </w:t>
      </w:r>
      <w:r>
        <w:t>20-</w:t>
      </w:r>
      <w:fldSimple w:instr=" SEQ Table \* ARABIC ">
        <w:r w:rsidR="007F721A">
          <w:rPr>
            <w:noProof/>
          </w:rPr>
          <w:t>14</w:t>
        </w:r>
      </w:fldSimple>
      <w:bookmarkEnd w:id="181"/>
      <w:r w:rsidRPr="00E23377">
        <w:tab/>
        <w:t xml:space="preserve">Effect on </w:t>
      </w:r>
      <w:r>
        <w:t xml:space="preserve">the </w:t>
      </w:r>
      <w:r w:rsidRPr="00E23377">
        <w:t xml:space="preserve">GST </w:t>
      </w:r>
      <w:r>
        <w:t>re</w:t>
      </w:r>
      <w:r w:rsidRPr="00E23377">
        <w:t>distribution of simplifying trend AGM categories</w:t>
      </w:r>
    </w:p>
    <w:tbl>
      <w:tblPr>
        <w:tblW w:w="8980" w:type="dxa"/>
        <w:tblBorders>
          <w:top w:val="single" w:sz="4" w:space="0" w:color="ADD6EA"/>
          <w:bottom w:val="single" w:sz="4" w:space="0" w:color="ADD6EA"/>
          <w:insideH w:val="single" w:sz="4" w:space="0" w:color="ADD6EA"/>
        </w:tblBorders>
        <w:tblCellMar>
          <w:left w:w="0" w:type="dxa"/>
          <w:right w:w="0" w:type="dxa"/>
        </w:tblCellMar>
        <w:tblLook w:val="04A0" w:firstRow="1" w:lastRow="0" w:firstColumn="1" w:lastColumn="0" w:noHBand="0" w:noVBand="1"/>
      </w:tblPr>
      <w:tblGrid>
        <w:gridCol w:w="1480"/>
        <w:gridCol w:w="940"/>
        <w:gridCol w:w="760"/>
        <w:gridCol w:w="820"/>
        <w:gridCol w:w="820"/>
        <w:gridCol w:w="720"/>
        <w:gridCol w:w="800"/>
        <w:gridCol w:w="860"/>
        <w:gridCol w:w="760"/>
        <w:gridCol w:w="1020"/>
      </w:tblGrid>
      <w:tr w:rsidR="007E365E" w:rsidRPr="0053134A" w14:paraId="3423581D" w14:textId="77777777" w:rsidTr="007D1D77">
        <w:trPr>
          <w:trHeight w:val="375"/>
        </w:trPr>
        <w:tc>
          <w:tcPr>
            <w:tcW w:w="1480" w:type="dxa"/>
            <w:shd w:val="clear" w:color="000000" w:fill="006991"/>
            <w:tcMar>
              <w:top w:w="15" w:type="dxa"/>
              <w:left w:w="15" w:type="dxa"/>
              <w:bottom w:w="0" w:type="dxa"/>
              <w:right w:w="15" w:type="dxa"/>
            </w:tcMar>
            <w:vAlign w:val="center"/>
            <w:hideMark/>
          </w:tcPr>
          <w:p w14:paraId="692BE77E" w14:textId="77777777" w:rsidR="007E365E" w:rsidRDefault="007E365E" w:rsidP="007D1D77">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940" w:type="dxa"/>
            <w:shd w:val="clear" w:color="000000" w:fill="006991"/>
            <w:tcMar>
              <w:top w:w="15" w:type="dxa"/>
              <w:left w:w="15" w:type="dxa"/>
              <w:bottom w:w="0" w:type="dxa"/>
              <w:right w:w="15" w:type="dxa"/>
            </w:tcMar>
            <w:vAlign w:val="center"/>
            <w:hideMark/>
          </w:tcPr>
          <w:p w14:paraId="545CC87B"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60" w:type="dxa"/>
            <w:shd w:val="clear" w:color="000000" w:fill="006991"/>
            <w:tcMar>
              <w:top w:w="15" w:type="dxa"/>
              <w:left w:w="15" w:type="dxa"/>
              <w:bottom w:w="0" w:type="dxa"/>
              <w:right w:w="15" w:type="dxa"/>
            </w:tcMar>
            <w:vAlign w:val="center"/>
            <w:hideMark/>
          </w:tcPr>
          <w:p w14:paraId="0683EC41"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820" w:type="dxa"/>
            <w:shd w:val="clear" w:color="000000" w:fill="006991"/>
            <w:tcMar>
              <w:top w:w="15" w:type="dxa"/>
              <w:left w:w="15" w:type="dxa"/>
              <w:bottom w:w="0" w:type="dxa"/>
              <w:right w:w="15" w:type="dxa"/>
            </w:tcMar>
            <w:vAlign w:val="center"/>
            <w:hideMark/>
          </w:tcPr>
          <w:p w14:paraId="0E0B3DBA"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820" w:type="dxa"/>
            <w:shd w:val="clear" w:color="000000" w:fill="006991"/>
            <w:tcMar>
              <w:top w:w="15" w:type="dxa"/>
              <w:left w:w="15" w:type="dxa"/>
              <w:bottom w:w="0" w:type="dxa"/>
              <w:right w:w="15" w:type="dxa"/>
            </w:tcMar>
            <w:vAlign w:val="center"/>
            <w:hideMark/>
          </w:tcPr>
          <w:p w14:paraId="604BC051"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20" w:type="dxa"/>
            <w:shd w:val="clear" w:color="000000" w:fill="006991"/>
            <w:tcMar>
              <w:top w:w="15" w:type="dxa"/>
              <w:left w:w="15" w:type="dxa"/>
              <w:bottom w:w="0" w:type="dxa"/>
              <w:right w:w="15" w:type="dxa"/>
            </w:tcMar>
            <w:vAlign w:val="center"/>
            <w:hideMark/>
          </w:tcPr>
          <w:p w14:paraId="551DC2A9"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800" w:type="dxa"/>
            <w:shd w:val="clear" w:color="000000" w:fill="006991"/>
            <w:tcMar>
              <w:top w:w="15" w:type="dxa"/>
              <w:left w:w="15" w:type="dxa"/>
              <w:bottom w:w="0" w:type="dxa"/>
              <w:right w:w="15" w:type="dxa"/>
            </w:tcMar>
            <w:vAlign w:val="center"/>
            <w:hideMark/>
          </w:tcPr>
          <w:p w14:paraId="71C1A210"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860" w:type="dxa"/>
            <w:shd w:val="clear" w:color="000000" w:fill="006991"/>
            <w:tcMar>
              <w:top w:w="15" w:type="dxa"/>
              <w:left w:w="15" w:type="dxa"/>
              <w:bottom w:w="0" w:type="dxa"/>
              <w:right w:w="15" w:type="dxa"/>
            </w:tcMar>
            <w:vAlign w:val="center"/>
            <w:hideMark/>
          </w:tcPr>
          <w:p w14:paraId="2C732365"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60" w:type="dxa"/>
            <w:shd w:val="clear" w:color="000000" w:fill="006991"/>
            <w:tcMar>
              <w:top w:w="15" w:type="dxa"/>
              <w:left w:w="15" w:type="dxa"/>
              <w:bottom w:w="0" w:type="dxa"/>
              <w:right w:w="15" w:type="dxa"/>
            </w:tcMar>
            <w:vAlign w:val="center"/>
            <w:hideMark/>
          </w:tcPr>
          <w:p w14:paraId="58219C9A"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1020" w:type="dxa"/>
            <w:shd w:val="clear" w:color="000000" w:fill="006991"/>
            <w:tcMar>
              <w:top w:w="15" w:type="dxa"/>
              <w:left w:w="15" w:type="dxa"/>
              <w:bottom w:w="0" w:type="dxa"/>
              <w:right w:w="15" w:type="dxa"/>
            </w:tcMar>
            <w:vAlign w:val="center"/>
            <w:hideMark/>
          </w:tcPr>
          <w:p w14:paraId="1C81A1A7"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Redist</w:t>
            </w:r>
          </w:p>
        </w:tc>
      </w:tr>
      <w:tr w:rsidR="007E365E" w:rsidRPr="0053134A" w14:paraId="267DAA62"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4AF81F36" w14:textId="77777777" w:rsidR="007E365E" w:rsidRDefault="007E365E" w:rsidP="007D1D77">
            <w:pPr>
              <w:spacing w:before="0" w:line="240" w:lineRule="auto"/>
              <w:rPr>
                <w:rFonts w:cs="Open Sans Light"/>
                <w:sz w:val="16"/>
                <w:szCs w:val="16"/>
              </w:rPr>
            </w:pPr>
            <w:r>
              <w:rPr>
                <w:rFonts w:cs="Open Sans Light"/>
                <w:sz w:val="16"/>
                <w:szCs w:val="16"/>
              </w:rPr>
              <w:t>$ million</w:t>
            </w:r>
          </w:p>
        </w:tc>
        <w:tc>
          <w:tcPr>
            <w:tcW w:w="0" w:type="auto"/>
            <w:shd w:val="clear" w:color="auto" w:fill="auto"/>
            <w:noWrap/>
            <w:tcMar>
              <w:top w:w="15" w:type="dxa"/>
              <w:left w:w="15" w:type="dxa"/>
              <w:bottom w:w="0" w:type="dxa"/>
              <w:right w:w="15" w:type="dxa"/>
            </w:tcMar>
            <w:vAlign w:val="bottom"/>
            <w:hideMark/>
          </w:tcPr>
          <w:p w14:paraId="2BD229D1" w14:textId="77777777" w:rsidR="007E365E" w:rsidRDefault="007E365E" w:rsidP="007D1D77">
            <w:pPr>
              <w:spacing w:before="0" w:line="240" w:lineRule="auto"/>
              <w:jc w:val="right"/>
              <w:rPr>
                <w:rFonts w:cs="Open Sans Light"/>
                <w:sz w:val="16"/>
                <w:szCs w:val="16"/>
              </w:rPr>
            </w:pPr>
            <w:r>
              <w:rPr>
                <w:rFonts w:cs="Open Sans Light"/>
                <w:sz w:val="16"/>
                <w:szCs w:val="16"/>
              </w:rPr>
              <w:t>10</w:t>
            </w:r>
          </w:p>
        </w:tc>
        <w:tc>
          <w:tcPr>
            <w:tcW w:w="0" w:type="auto"/>
            <w:shd w:val="clear" w:color="auto" w:fill="auto"/>
            <w:noWrap/>
            <w:tcMar>
              <w:top w:w="15" w:type="dxa"/>
              <w:left w:w="15" w:type="dxa"/>
              <w:bottom w:w="0" w:type="dxa"/>
              <w:right w:w="15" w:type="dxa"/>
            </w:tcMar>
            <w:vAlign w:val="bottom"/>
            <w:hideMark/>
          </w:tcPr>
          <w:p w14:paraId="389B108A" w14:textId="77777777" w:rsidR="007E365E" w:rsidRDefault="007E365E" w:rsidP="007D1D77">
            <w:pPr>
              <w:spacing w:before="0" w:line="240" w:lineRule="auto"/>
              <w:jc w:val="right"/>
              <w:rPr>
                <w:rFonts w:cs="Open Sans Light"/>
                <w:sz w:val="16"/>
                <w:szCs w:val="16"/>
              </w:rPr>
            </w:pPr>
            <w:r>
              <w:rPr>
                <w:rFonts w:cs="Open Sans Light"/>
                <w:sz w:val="16"/>
                <w:szCs w:val="16"/>
              </w:rPr>
              <w:t>-1</w:t>
            </w:r>
          </w:p>
        </w:tc>
        <w:tc>
          <w:tcPr>
            <w:tcW w:w="0" w:type="auto"/>
            <w:shd w:val="clear" w:color="auto" w:fill="auto"/>
            <w:noWrap/>
            <w:tcMar>
              <w:top w:w="15" w:type="dxa"/>
              <w:left w:w="15" w:type="dxa"/>
              <w:bottom w:w="0" w:type="dxa"/>
              <w:right w:w="15" w:type="dxa"/>
            </w:tcMar>
            <w:vAlign w:val="bottom"/>
            <w:hideMark/>
          </w:tcPr>
          <w:p w14:paraId="2FD66144" w14:textId="77777777" w:rsidR="007E365E" w:rsidRDefault="007E365E" w:rsidP="007D1D77">
            <w:pPr>
              <w:spacing w:before="0" w:line="240" w:lineRule="auto"/>
              <w:jc w:val="right"/>
              <w:rPr>
                <w:rFonts w:cs="Open Sans Light"/>
                <w:sz w:val="16"/>
                <w:szCs w:val="16"/>
              </w:rPr>
            </w:pPr>
            <w:r>
              <w:rPr>
                <w:rFonts w:cs="Open Sans Light"/>
                <w:sz w:val="16"/>
                <w:szCs w:val="16"/>
              </w:rPr>
              <w:t>-10</w:t>
            </w:r>
          </w:p>
        </w:tc>
        <w:tc>
          <w:tcPr>
            <w:tcW w:w="0" w:type="auto"/>
            <w:shd w:val="clear" w:color="auto" w:fill="auto"/>
            <w:noWrap/>
            <w:tcMar>
              <w:top w:w="15" w:type="dxa"/>
              <w:left w:w="15" w:type="dxa"/>
              <w:bottom w:w="0" w:type="dxa"/>
              <w:right w:w="15" w:type="dxa"/>
            </w:tcMar>
            <w:vAlign w:val="bottom"/>
            <w:hideMark/>
          </w:tcPr>
          <w:p w14:paraId="4E5E2D18"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0DF4BED3" w14:textId="77777777" w:rsidR="007E365E" w:rsidRDefault="007E365E" w:rsidP="007D1D77">
            <w:pPr>
              <w:spacing w:before="0" w:line="240" w:lineRule="auto"/>
              <w:jc w:val="right"/>
              <w:rPr>
                <w:rFonts w:cs="Open Sans Light"/>
                <w:sz w:val="16"/>
                <w:szCs w:val="16"/>
              </w:rPr>
            </w:pPr>
            <w:r>
              <w:rPr>
                <w:rFonts w:cs="Open Sans Light"/>
                <w:sz w:val="16"/>
                <w:szCs w:val="16"/>
              </w:rPr>
              <w:t>4</w:t>
            </w:r>
          </w:p>
        </w:tc>
        <w:tc>
          <w:tcPr>
            <w:tcW w:w="0" w:type="auto"/>
            <w:shd w:val="clear" w:color="auto" w:fill="auto"/>
            <w:noWrap/>
            <w:tcMar>
              <w:top w:w="15" w:type="dxa"/>
              <w:left w:w="15" w:type="dxa"/>
              <w:bottom w:w="0" w:type="dxa"/>
              <w:right w:w="15" w:type="dxa"/>
            </w:tcMar>
            <w:vAlign w:val="bottom"/>
            <w:hideMark/>
          </w:tcPr>
          <w:p w14:paraId="0149549C" w14:textId="77777777" w:rsidR="007E365E" w:rsidRDefault="007E365E" w:rsidP="007D1D77">
            <w:pPr>
              <w:spacing w:before="0" w:line="240" w:lineRule="auto"/>
              <w:jc w:val="right"/>
              <w:rPr>
                <w:rFonts w:cs="Open Sans Light"/>
                <w:sz w:val="16"/>
                <w:szCs w:val="16"/>
              </w:rPr>
            </w:pPr>
            <w:r>
              <w:rPr>
                <w:rFonts w:cs="Open Sans Light"/>
                <w:sz w:val="16"/>
                <w:szCs w:val="16"/>
              </w:rPr>
              <w:t>-2</w:t>
            </w:r>
          </w:p>
        </w:tc>
        <w:tc>
          <w:tcPr>
            <w:tcW w:w="0" w:type="auto"/>
            <w:shd w:val="clear" w:color="auto" w:fill="auto"/>
            <w:noWrap/>
            <w:tcMar>
              <w:top w:w="15" w:type="dxa"/>
              <w:left w:w="15" w:type="dxa"/>
              <w:bottom w:w="0" w:type="dxa"/>
              <w:right w:w="15" w:type="dxa"/>
            </w:tcMar>
            <w:vAlign w:val="bottom"/>
            <w:hideMark/>
          </w:tcPr>
          <w:p w14:paraId="753FA1BC" w14:textId="77777777" w:rsidR="007E365E" w:rsidRDefault="007E365E" w:rsidP="007D1D77">
            <w:pPr>
              <w:spacing w:before="0" w:line="240" w:lineRule="auto"/>
              <w:jc w:val="right"/>
              <w:rPr>
                <w:rFonts w:cs="Open Sans Light"/>
                <w:sz w:val="16"/>
                <w:szCs w:val="16"/>
              </w:rPr>
            </w:pPr>
            <w:r>
              <w:rPr>
                <w:rFonts w:cs="Open Sans Light"/>
                <w:sz w:val="16"/>
                <w:szCs w:val="16"/>
              </w:rPr>
              <w:t>-1</w:t>
            </w:r>
          </w:p>
        </w:tc>
        <w:tc>
          <w:tcPr>
            <w:tcW w:w="0" w:type="auto"/>
            <w:shd w:val="clear" w:color="auto" w:fill="auto"/>
            <w:noWrap/>
            <w:tcMar>
              <w:top w:w="15" w:type="dxa"/>
              <w:left w:w="15" w:type="dxa"/>
              <w:bottom w:w="0" w:type="dxa"/>
              <w:right w:w="15" w:type="dxa"/>
            </w:tcMar>
            <w:vAlign w:val="bottom"/>
            <w:hideMark/>
          </w:tcPr>
          <w:p w14:paraId="252CAAED" w14:textId="77777777" w:rsidR="007E365E" w:rsidRDefault="007E365E" w:rsidP="007D1D77">
            <w:pPr>
              <w:spacing w:before="0" w:line="240" w:lineRule="auto"/>
              <w:jc w:val="right"/>
              <w:rPr>
                <w:rFonts w:cs="Open Sans Light"/>
                <w:sz w:val="16"/>
                <w:szCs w:val="16"/>
              </w:rPr>
            </w:pPr>
            <w:r>
              <w:rPr>
                <w:rFonts w:cs="Open Sans Light"/>
                <w:sz w:val="16"/>
                <w:szCs w:val="16"/>
              </w:rPr>
              <w:t>-1</w:t>
            </w:r>
          </w:p>
        </w:tc>
        <w:tc>
          <w:tcPr>
            <w:tcW w:w="0" w:type="auto"/>
            <w:shd w:val="clear" w:color="auto" w:fill="auto"/>
            <w:noWrap/>
            <w:tcMar>
              <w:top w:w="15" w:type="dxa"/>
              <w:left w:w="15" w:type="dxa"/>
              <w:bottom w:w="0" w:type="dxa"/>
              <w:right w:w="15" w:type="dxa"/>
            </w:tcMar>
            <w:vAlign w:val="bottom"/>
            <w:hideMark/>
          </w:tcPr>
          <w:p w14:paraId="3DA60E41" w14:textId="77777777" w:rsidR="007E365E" w:rsidRDefault="007E365E" w:rsidP="007D1D77">
            <w:pPr>
              <w:spacing w:before="0" w:line="240" w:lineRule="auto"/>
              <w:jc w:val="right"/>
              <w:rPr>
                <w:rFonts w:cs="Open Sans Light"/>
                <w:sz w:val="16"/>
                <w:szCs w:val="16"/>
              </w:rPr>
            </w:pPr>
            <w:r>
              <w:rPr>
                <w:rFonts w:cs="Open Sans Light"/>
                <w:sz w:val="16"/>
                <w:szCs w:val="16"/>
              </w:rPr>
              <w:t>15</w:t>
            </w:r>
          </w:p>
        </w:tc>
      </w:tr>
      <w:tr w:rsidR="007E365E" w:rsidRPr="0053134A" w14:paraId="7BD8FB1B"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3DFE321E" w14:textId="77777777" w:rsidR="007E365E" w:rsidRDefault="007E365E" w:rsidP="007D1D77">
            <w:pPr>
              <w:spacing w:before="0" w:line="240" w:lineRule="auto"/>
              <w:rPr>
                <w:rFonts w:cs="Open Sans Light"/>
                <w:sz w:val="16"/>
                <w:szCs w:val="16"/>
              </w:rPr>
            </w:pPr>
            <w:r>
              <w:rPr>
                <w:rFonts w:cs="Open Sans Light"/>
                <w:sz w:val="16"/>
                <w:szCs w:val="16"/>
              </w:rPr>
              <w:t>$ per capita</w:t>
            </w:r>
          </w:p>
        </w:tc>
        <w:tc>
          <w:tcPr>
            <w:tcW w:w="0" w:type="auto"/>
            <w:shd w:val="clear" w:color="auto" w:fill="auto"/>
            <w:noWrap/>
            <w:tcMar>
              <w:top w:w="15" w:type="dxa"/>
              <w:left w:w="15" w:type="dxa"/>
              <w:bottom w:w="0" w:type="dxa"/>
              <w:right w:w="15" w:type="dxa"/>
            </w:tcMar>
            <w:vAlign w:val="bottom"/>
            <w:hideMark/>
          </w:tcPr>
          <w:p w14:paraId="5BD56B6F" w14:textId="77777777" w:rsidR="007E365E" w:rsidRDefault="007E365E" w:rsidP="007D1D77">
            <w:pPr>
              <w:spacing w:before="0" w:line="240" w:lineRule="auto"/>
              <w:jc w:val="right"/>
              <w:rPr>
                <w:rFonts w:cs="Open Sans Light"/>
                <w:sz w:val="16"/>
                <w:szCs w:val="16"/>
              </w:rPr>
            </w:pPr>
            <w:r>
              <w:rPr>
                <w:rFonts w:cs="Open Sans Light"/>
                <w:sz w:val="16"/>
                <w:szCs w:val="16"/>
              </w:rPr>
              <w:t>1</w:t>
            </w:r>
          </w:p>
        </w:tc>
        <w:tc>
          <w:tcPr>
            <w:tcW w:w="0" w:type="auto"/>
            <w:shd w:val="clear" w:color="auto" w:fill="auto"/>
            <w:noWrap/>
            <w:tcMar>
              <w:top w:w="15" w:type="dxa"/>
              <w:left w:w="15" w:type="dxa"/>
              <w:bottom w:w="0" w:type="dxa"/>
              <w:right w:w="15" w:type="dxa"/>
            </w:tcMar>
            <w:vAlign w:val="bottom"/>
            <w:hideMark/>
          </w:tcPr>
          <w:p w14:paraId="2587668E"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56761845" w14:textId="77777777" w:rsidR="007E365E" w:rsidRDefault="007E365E" w:rsidP="007D1D77">
            <w:pPr>
              <w:spacing w:before="0" w:line="240" w:lineRule="auto"/>
              <w:jc w:val="right"/>
              <w:rPr>
                <w:rFonts w:cs="Open Sans Light"/>
                <w:sz w:val="16"/>
                <w:szCs w:val="16"/>
              </w:rPr>
            </w:pPr>
            <w:r>
              <w:rPr>
                <w:rFonts w:cs="Open Sans Light"/>
                <w:sz w:val="16"/>
                <w:szCs w:val="16"/>
              </w:rPr>
              <w:t>-2</w:t>
            </w:r>
          </w:p>
        </w:tc>
        <w:tc>
          <w:tcPr>
            <w:tcW w:w="0" w:type="auto"/>
            <w:shd w:val="clear" w:color="auto" w:fill="auto"/>
            <w:noWrap/>
            <w:tcMar>
              <w:top w:w="15" w:type="dxa"/>
              <w:left w:w="15" w:type="dxa"/>
              <w:bottom w:w="0" w:type="dxa"/>
              <w:right w:w="15" w:type="dxa"/>
            </w:tcMar>
            <w:vAlign w:val="bottom"/>
            <w:hideMark/>
          </w:tcPr>
          <w:p w14:paraId="0B8E023C"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61F8723D" w14:textId="77777777" w:rsidR="007E365E" w:rsidRDefault="007E365E" w:rsidP="007D1D77">
            <w:pPr>
              <w:spacing w:before="0" w:line="240" w:lineRule="auto"/>
              <w:jc w:val="right"/>
              <w:rPr>
                <w:rFonts w:cs="Open Sans Light"/>
                <w:sz w:val="16"/>
                <w:szCs w:val="16"/>
              </w:rPr>
            </w:pPr>
            <w:r>
              <w:rPr>
                <w:rFonts w:cs="Open Sans Light"/>
                <w:sz w:val="16"/>
                <w:szCs w:val="16"/>
              </w:rPr>
              <w:t>3</w:t>
            </w:r>
          </w:p>
        </w:tc>
        <w:tc>
          <w:tcPr>
            <w:tcW w:w="0" w:type="auto"/>
            <w:shd w:val="clear" w:color="auto" w:fill="auto"/>
            <w:noWrap/>
            <w:tcMar>
              <w:top w:w="15" w:type="dxa"/>
              <w:left w:w="15" w:type="dxa"/>
              <w:bottom w:w="0" w:type="dxa"/>
              <w:right w:w="15" w:type="dxa"/>
            </w:tcMar>
            <w:vAlign w:val="bottom"/>
            <w:hideMark/>
          </w:tcPr>
          <w:p w14:paraId="13438214" w14:textId="77777777" w:rsidR="007E365E" w:rsidRDefault="007E365E" w:rsidP="007D1D77">
            <w:pPr>
              <w:spacing w:before="0" w:line="240" w:lineRule="auto"/>
              <w:jc w:val="right"/>
              <w:rPr>
                <w:rFonts w:cs="Open Sans Light"/>
                <w:sz w:val="16"/>
                <w:szCs w:val="16"/>
              </w:rPr>
            </w:pPr>
            <w:r>
              <w:rPr>
                <w:rFonts w:cs="Open Sans Light"/>
                <w:sz w:val="16"/>
                <w:szCs w:val="16"/>
              </w:rPr>
              <w:t>-4</w:t>
            </w:r>
          </w:p>
        </w:tc>
        <w:tc>
          <w:tcPr>
            <w:tcW w:w="0" w:type="auto"/>
            <w:shd w:val="clear" w:color="auto" w:fill="auto"/>
            <w:noWrap/>
            <w:tcMar>
              <w:top w:w="15" w:type="dxa"/>
              <w:left w:w="15" w:type="dxa"/>
              <w:bottom w:w="0" w:type="dxa"/>
              <w:right w:w="15" w:type="dxa"/>
            </w:tcMar>
            <w:vAlign w:val="bottom"/>
            <w:hideMark/>
          </w:tcPr>
          <w:p w14:paraId="1FE1ECAB" w14:textId="77777777" w:rsidR="007E365E" w:rsidRDefault="007E365E" w:rsidP="007D1D77">
            <w:pPr>
              <w:spacing w:before="0" w:line="240" w:lineRule="auto"/>
              <w:jc w:val="right"/>
              <w:rPr>
                <w:rFonts w:cs="Open Sans Light"/>
                <w:sz w:val="16"/>
                <w:szCs w:val="16"/>
              </w:rPr>
            </w:pPr>
            <w:r>
              <w:rPr>
                <w:rFonts w:cs="Open Sans Light"/>
                <w:sz w:val="16"/>
                <w:szCs w:val="16"/>
              </w:rPr>
              <w:t>-3</w:t>
            </w:r>
          </w:p>
        </w:tc>
        <w:tc>
          <w:tcPr>
            <w:tcW w:w="0" w:type="auto"/>
            <w:shd w:val="clear" w:color="auto" w:fill="auto"/>
            <w:noWrap/>
            <w:tcMar>
              <w:top w:w="15" w:type="dxa"/>
              <w:left w:w="15" w:type="dxa"/>
              <w:bottom w:w="0" w:type="dxa"/>
              <w:right w:w="15" w:type="dxa"/>
            </w:tcMar>
            <w:vAlign w:val="bottom"/>
            <w:hideMark/>
          </w:tcPr>
          <w:p w14:paraId="394126D3" w14:textId="77777777" w:rsidR="007E365E" w:rsidRDefault="007E365E" w:rsidP="007D1D77">
            <w:pPr>
              <w:spacing w:before="0" w:line="240" w:lineRule="auto"/>
              <w:jc w:val="right"/>
              <w:rPr>
                <w:rFonts w:cs="Open Sans Light"/>
                <w:sz w:val="16"/>
                <w:szCs w:val="16"/>
              </w:rPr>
            </w:pPr>
            <w:r>
              <w:rPr>
                <w:rFonts w:cs="Open Sans Light"/>
                <w:sz w:val="16"/>
                <w:szCs w:val="16"/>
              </w:rPr>
              <w:t>-4</w:t>
            </w:r>
          </w:p>
        </w:tc>
        <w:tc>
          <w:tcPr>
            <w:tcW w:w="0" w:type="auto"/>
            <w:shd w:val="clear" w:color="auto" w:fill="auto"/>
            <w:noWrap/>
            <w:tcMar>
              <w:top w:w="15" w:type="dxa"/>
              <w:left w:w="15" w:type="dxa"/>
              <w:bottom w:w="0" w:type="dxa"/>
              <w:right w:w="15" w:type="dxa"/>
            </w:tcMar>
            <w:vAlign w:val="bottom"/>
            <w:hideMark/>
          </w:tcPr>
          <w:p w14:paraId="137B4A2A" w14:textId="77777777" w:rsidR="007E365E" w:rsidRDefault="007E365E" w:rsidP="007D1D77">
            <w:pPr>
              <w:spacing w:before="0" w:line="240" w:lineRule="auto"/>
              <w:jc w:val="right"/>
              <w:rPr>
                <w:rFonts w:cs="Open Sans Light"/>
                <w:sz w:val="16"/>
                <w:szCs w:val="16"/>
              </w:rPr>
            </w:pPr>
            <w:r>
              <w:rPr>
                <w:rFonts w:cs="Open Sans Light"/>
                <w:sz w:val="16"/>
                <w:szCs w:val="16"/>
              </w:rPr>
              <w:t>1</w:t>
            </w:r>
          </w:p>
        </w:tc>
      </w:tr>
    </w:tbl>
    <w:p w14:paraId="4E263072" w14:textId="77777777" w:rsidR="007E365E" w:rsidRPr="00E23377" w:rsidRDefault="007E365E" w:rsidP="007E365E">
      <w:pPr>
        <w:pStyle w:val="CGCTablenote"/>
      </w:pPr>
      <w:r w:rsidRPr="00E23377">
        <w:t>Source:</w:t>
      </w:r>
      <w:r w:rsidRPr="00E23377">
        <w:tab/>
        <w:t>Commission calculation.</w:t>
      </w:r>
    </w:p>
    <w:p w14:paraId="2A1D6626" w14:textId="77777777" w:rsidR="007E365E" w:rsidRPr="00E23377" w:rsidRDefault="007E365E" w:rsidP="007E365E">
      <w:pPr>
        <w:pStyle w:val="CGCParaNumber"/>
      </w:pPr>
      <w:r w:rsidRPr="00E23377">
        <w:t>Western Australia was not satisfied with the Commission’s reasons for not assessing</w:t>
      </w:r>
      <w:r>
        <w:t xml:space="preserve"> separately</w:t>
      </w:r>
      <w:r w:rsidRPr="00E23377">
        <w:t xml:space="preserve"> the impact on road maintenance of very heavy trucks such as road trains, which related to concerns about data reliability and State policy influences. Western Australia said the only question was whether the available data were sufficiently reliable and fit for the purpose. The Commission accepts the advice from BITRE that its </w:t>
      </w:r>
      <w:r>
        <w:t>VKT</w:t>
      </w:r>
      <w:r w:rsidRPr="00E23377">
        <w:t xml:space="preserve"> data could not reliably be disaggregated to the level required for an assessment of very heavy vehicles. </w:t>
      </w:r>
      <w:r>
        <w:t>Very heavy vehicles are included in the measure of heavy vehicle use.</w:t>
      </w:r>
    </w:p>
    <w:p w14:paraId="44E48663" w14:textId="79C766E9" w:rsidR="007E365E" w:rsidRPr="00E23377" w:rsidRDefault="007E365E" w:rsidP="007E365E">
      <w:pPr>
        <w:pStyle w:val="CGCParaNumber"/>
      </w:pPr>
      <w:r w:rsidRPr="00E23377">
        <w:t xml:space="preserve">Rural and urban heavy vehicle use by State, calculated by applying AGM trend weights in </w:t>
      </w:r>
      <w:r w:rsidRPr="00E23377">
        <w:fldChar w:fldCharType="begin"/>
      </w:r>
      <w:r w:rsidRPr="00E23377">
        <w:instrText xml:space="preserve"> REF _Ref26282012 \h </w:instrText>
      </w:r>
      <w:r>
        <w:instrText xml:space="preserve"> \* MERGEFORMAT </w:instrText>
      </w:r>
      <w:r w:rsidRPr="00E23377">
        <w:fldChar w:fldCharType="separate"/>
      </w:r>
      <w:r w:rsidR="007F721A" w:rsidRPr="00E23377">
        <w:t xml:space="preserve">Table </w:t>
      </w:r>
      <w:r w:rsidR="007F721A">
        <w:rPr>
          <w:noProof/>
        </w:rPr>
        <w:t>20-13</w:t>
      </w:r>
      <w:r w:rsidRPr="00E23377">
        <w:fldChar w:fldCharType="end"/>
      </w:r>
      <w:r w:rsidRPr="00E23377">
        <w:t xml:space="preserve"> to traffic volume data by vehicle class, are shown in </w:t>
      </w:r>
      <w:r w:rsidRPr="00E23377">
        <w:fldChar w:fldCharType="begin"/>
      </w:r>
      <w:r w:rsidRPr="00E23377">
        <w:instrText xml:space="preserve"> REF _Ref9940347 \h  \* MERGEFORMAT </w:instrText>
      </w:r>
      <w:r w:rsidRPr="00E23377">
        <w:fldChar w:fldCharType="separate"/>
      </w:r>
      <w:r w:rsidR="007F721A" w:rsidRPr="00E23377">
        <w:t xml:space="preserve">Table </w:t>
      </w:r>
      <w:r w:rsidR="007F721A">
        <w:rPr>
          <w:noProof/>
        </w:rPr>
        <w:t>20-15</w:t>
      </w:r>
      <w:r w:rsidRPr="00E23377">
        <w:fldChar w:fldCharType="end"/>
      </w:r>
      <w:r w:rsidRPr="00E23377">
        <w:t>.</w:t>
      </w:r>
    </w:p>
    <w:p w14:paraId="0E0461DA" w14:textId="6D2F02B7" w:rsidR="007E365E" w:rsidRPr="00E23377" w:rsidRDefault="007E365E" w:rsidP="007E365E">
      <w:pPr>
        <w:pStyle w:val="Caption"/>
      </w:pPr>
      <w:bookmarkStart w:id="182" w:name="_Ref9940347"/>
      <w:r w:rsidRPr="00E23377">
        <w:t xml:space="preserve">Table </w:t>
      </w:r>
      <w:r>
        <w:t>20-</w:t>
      </w:r>
      <w:fldSimple w:instr=" SEQ Table \* ARABIC ">
        <w:r w:rsidR="007F721A">
          <w:rPr>
            <w:noProof/>
          </w:rPr>
          <w:t>15</w:t>
        </w:r>
      </w:fldSimple>
      <w:bookmarkEnd w:id="182"/>
      <w:r w:rsidRPr="00E23377">
        <w:tab/>
        <w:t>Heavy vehicle use in rural and urban areas by State, 201</w:t>
      </w:r>
      <w:r>
        <w:t>8</w:t>
      </w:r>
      <w:r w:rsidRPr="00E23377">
        <w:t>-1</w:t>
      </w:r>
      <w:r>
        <w:t>9</w:t>
      </w:r>
    </w:p>
    <w:tbl>
      <w:tblPr>
        <w:tblW w:w="8980" w:type="dxa"/>
        <w:tblBorders>
          <w:top w:val="single" w:sz="4" w:space="0" w:color="ADD6EA"/>
          <w:bottom w:val="single" w:sz="4" w:space="0" w:color="ADD6EA"/>
          <w:insideH w:val="single" w:sz="4" w:space="0" w:color="ADD6EA"/>
        </w:tblBorders>
        <w:tblCellMar>
          <w:left w:w="0" w:type="dxa"/>
          <w:right w:w="0" w:type="dxa"/>
        </w:tblCellMar>
        <w:tblLook w:val="04A0" w:firstRow="1" w:lastRow="0" w:firstColumn="1" w:lastColumn="0" w:noHBand="0" w:noVBand="1"/>
      </w:tblPr>
      <w:tblGrid>
        <w:gridCol w:w="3033"/>
        <w:gridCol w:w="667"/>
        <w:gridCol w:w="667"/>
        <w:gridCol w:w="668"/>
        <w:gridCol w:w="668"/>
        <w:gridCol w:w="668"/>
        <w:gridCol w:w="637"/>
        <w:gridCol w:w="637"/>
        <w:gridCol w:w="637"/>
        <w:gridCol w:w="698"/>
      </w:tblGrid>
      <w:tr w:rsidR="007E365E" w14:paraId="7DC713BC" w14:textId="77777777" w:rsidTr="007D1D77">
        <w:trPr>
          <w:trHeight w:val="379"/>
        </w:trPr>
        <w:tc>
          <w:tcPr>
            <w:tcW w:w="2320" w:type="dxa"/>
            <w:shd w:val="clear" w:color="000000" w:fill="006991"/>
            <w:tcMar>
              <w:top w:w="15" w:type="dxa"/>
              <w:left w:w="15" w:type="dxa"/>
              <w:bottom w:w="0" w:type="dxa"/>
              <w:right w:w="15" w:type="dxa"/>
            </w:tcMar>
            <w:vAlign w:val="center"/>
            <w:hideMark/>
          </w:tcPr>
          <w:p w14:paraId="592AB286" w14:textId="77777777" w:rsidR="007E365E" w:rsidRDefault="007E365E" w:rsidP="007D1D77">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740" w:type="dxa"/>
            <w:shd w:val="clear" w:color="000000" w:fill="006991"/>
            <w:tcMar>
              <w:top w:w="15" w:type="dxa"/>
              <w:left w:w="15" w:type="dxa"/>
              <w:bottom w:w="0" w:type="dxa"/>
              <w:right w:w="15" w:type="dxa"/>
            </w:tcMar>
            <w:vAlign w:val="center"/>
            <w:hideMark/>
          </w:tcPr>
          <w:p w14:paraId="560F9FB6" w14:textId="77777777" w:rsidR="007E365E" w:rsidRDefault="007E365E" w:rsidP="007D1D77">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40" w:type="dxa"/>
            <w:shd w:val="clear" w:color="000000" w:fill="006991"/>
            <w:tcMar>
              <w:top w:w="15" w:type="dxa"/>
              <w:left w:w="15" w:type="dxa"/>
              <w:bottom w:w="0" w:type="dxa"/>
              <w:right w:w="15" w:type="dxa"/>
            </w:tcMar>
            <w:vAlign w:val="center"/>
            <w:hideMark/>
          </w:tcPr>
          <w:p w14:paraId="306EEB93" w14:textId="77777777" w:rsidR="007E365E" w:rsidRDefault="007E365E" w:rsidP="007D1D77">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40" w:type="dxa"/>
            <w:shd w:val="clear" w:color="000000" w:fill="006991"/>
            <w:tcMar>
              <w:top w:w="15" w:type="dxa"/>
              <w:left w:w="15" w:type="dxa"/>
              <w:bottom w:w="0" w:type="dxa"/>
              <w:right w:w="15" w:type="dxa"/>
            </w:tcMar>
            <w:vAlign w:val="center"/>
            <w:hideMark/>
          </w:tcPr>
          <w:p w14:paraId="2A5033CE" w14:textId="77777777" w:rsidR="007E365E" w:rsidRDefault="007E365E" w:rsidP="007D1D77">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40" w:type="dxa"/>
            <w:shd w:val="clear" w:color="000000" w:fill="006991"/>
            <w:tcMar>
              <w:top w:w="15" w:type="dxa"/>
              <w:left w:w="15" w:type="dxa"/>
              <w:bottom w:w="0" w:type="dxa"/>
              <w:right w:w="15" w:type="dxa"/>
            </w:tcMar>
            <w:vAlign w:val="center"/>
            <w:hideMark/>
          </w:tcPr>
          <w:p w14:paraId="61E031A9" w14:textId="77777777" w:rsidR="007E365E" w:rsidRDefault="007E365E" w:rsidP="007D1D77">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40" w:type="dxa"/>
            <w:shd w:val="clear" w:color="000000" w:fill="006991"/>
            <w:tcMar>
              <w:top w:w="15" w:type="dxa"/>
              <w:left w:w="15" w:type="dxa"/>
              <w:bottom w:w="0" w:type="dxa"/>
              <w:right w:w="15" w:type="dxa"/>
            </w:tcMar>
            <w:vAlign w:val="center"/>
            <w:hideMark/>
          </w:tcPr>
          <w:p w14:paraId="70DE19B3" w14:textId="77777777" w:rsidR="007E365E" w:rsidRDefault="007E365E" w:rsidP="007D1D77">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40" w:type="dxa"/>
            <w:shd w:val="clear" w:color="000000" w:fill="006991"/>
            <w:tcMar>
              <w:top w:w="15" w:type="dxa"/>
              <w:left w:w="15" w:type="dxa"/>
              <w:bottom w:w="0" w:type="dxa"/>
              <w:right w:w="15" w:type="dxa"/>
            </w:tcMar>
            <w:vAlign w:val="center"/>
            <w:hideMark/>
          </w:tcPr>
          <w:p w14:paraId="138CEB28" w14:textId="77777777" w:rsidR="007E365E" w:rsidRDefault="007E365E" w:rsidP="007D1D77">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40" w:type="dxa"/>
            <w:shd w:val="clear" w:color="000000" w:fill="006991"/>
            <w:tcMar>
              <w:top w:w="15" w:type="dxa"/>
              <w:left w:w="15" w:type="dxa"/>
              <w:bottom w:w="0" w:type="dxa"/>
              <w:right w:w="15" w:type="dxa"/>
            </w:tcMar>
            <w:vAlign w:val="center"/>
            <w:hideMark/>
          </w:tcPr>
          <w:p w14:paraId="20260C37" w14:textId="77777777" w:rsidR="007E365E" w:rsidRDefault="007E365E" w:rsidP="007D1D77">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40" w:type="dxa"/>
            <w:shd w:val="clear" w:color="000000" w:fill="006991"/>
            <w:tcMar>
              <w:top w:w="15" w:type="dxa"/>
              <w:left w:w="15" w:type="dxa"/>
              <w:bottom w:w="0" w:type="dxa"/>
              <w:right w:w="15" w:type="dxa"/>
            </w:tcMar>
            <w:vAlign w:val="center"/>
            <w:hideMark/>
          </w:tcPr>
          <w:p w14:paraId="6EAF53AC" w14:textId="77777777" w:rsidR="007E365E" w:rsidRDefault="007E365E" w:rsidP="007D1D77">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40" w:type="dxa"/>
            <w:shd w:val="clear" w:color="000000" w:fill="006991"/>
            <w:tcMar>
              <w:top w:w="15" w:type="dxa"/>
              <w:left w:w="15" w:type="dxa"/>
              <w:bottom w:w="0" w:type="dxa"/>
              <w:right w:w="15" w:type="dxa"/>
            </w:tcMar>
            <w:vAlign w:val="center"/>
            <w:hideMark/>
          </w:tcPr>
          <w:p w14:paraId="5729E871" w14:textId="77777777" w:rsidR="007E365E" w:rsidRDefault="007E365E" w:rsidP="007D1D77">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7E365E" w14:paraId="77FDDC34" w14:textId="77777777" w:rsidTr="007D1D77">
        <w:trPr>
          <w:trHeight w:val="340"/>
        </w:trPr>
        <w:tc>
          <w:tcPr>
            <w:tcW w:w="0" w:type="auto"/>
            <w:shd w:val="clear" w:color="auto" w:fill="auto"/>
            <w:noWrap/>
            <w:tcMar>
              <w:top w:w="15" w:type="dxa"/>
              <w:left w:w="15" w:type="dxa"/>
              <w:bottom w:w="0" w:type="dxa"/>
              <w:right w:w="15" w:type="dxa"/>
            </w:tcMar>
            <w:vAlign w:val="bottom"/>
            <w:hideMark/>
          </w:tcPr>
          <w:p w14:paraId="594D0796" w14:textId="77777777" w:rsidR="007E365E" w:rsidRDefault="007E365E" w:rsidP="007D1D77">
            <w:pPr>
              <w:spacing w:before="0"/>
              <w:rPr>
                <w:rFonts w:cs="Open Sans Light"/>
                <w:sz w:val="16"/>
                <w:szCs w:val="16"/>
              </w:rPr>
            </w:pPr>
            <w:r>
              <w:rPr>
                <w:rFonts w:cs="Open Sans Light"/>
                <w:sz w:val="16"/>
                <w:szCs w:val="16"/>
              </w:rPr>
              <w:t>Rural heavy vehicle use (million AGM-km)</w:t>
            </w:r>
          </w:p>
        </w:tc>
        <w:tc>
          <w:tcPr>
            <w:tcW w:w="0" w:type="auto"/>
            <w:shd w:val="clear" w:color="auto" w:fill="auto"/>
            <w:noWrap/>
            <w:tcMar>
              <w:top w:w="15" w:type="dxa"/>
              <w:left w:w="15" w:type="dxa"/>
              <w:bottom w:w="0" w:type="dxa"/>
              <w:right w:w="15" w:type="dxa"/>
            </w:tcMar>
            <w:vAlign w:val="bottom"/>
            <w:hideMark/>
          </w:tcPr>
          <w:p w14:paraId="7B28DBBB" w14:textId="77777777" w:rsidR="007E365E" w:rsidRDefault="007E365E" w:rsidP="007D1D77">
            <w:pPr>
              <w:spacing w:before="0"/>
              <w:jc w:val="right"/>
              <w:rPr>
                <w:rFonts w:cs="Open Sans Light"/>
                <w:sz w:val="16"/>
                <w:szCs w:val="16"/>
              </w:rPr>
            </w:pPr>
            <w:r>
              <w:rPr>
                <w:rFonts w:cs="Open Sans Light"/>
                <w:sz w:val="16"/>
                <w:szCs w:val="16"/>
              </w:rPr>
              <w:t>49,113</w:t>
            </w:r>
          </w:p>
        </w:tc>
        <w:tc>
          <w:tcPr>
            <w:tcW w:w="0" w:type="auto"/>
            <w:shd w:val="clear" w:color="auto" w:fill="auto"/>
            <w:noWrap/>
            <w:tcMar>
              <w:top w:w="15" w:type="dxa"/>
              <w:left w:w="15" w:type="dxa"/>
              <w:bottom w:w="0" w:type="dxa"/>
              <w:right w:w="15" w:type="dxa"/>
            </w:tcMar>
            <w:vAlign w:val="bottom"/>
            <w:hideMark/>
          </w:tcPr>
          <w:p w14:paraId="698297C2" w14:textId="77777777" w:rsidR="007E365E" w:rsidRDefault="007E365E" w:rsidP="007D1D77">
            <w:pPr>
              <w:spacing w:before="0"/>
              <w:jc w:val="right"/>
              <w:rPr>
                <w:rFonts w:cs="Open Sans Light"/>
                <w:sz w:val="16"/>
                <w:szCs w:val="16"/>
              </w:rPr>
            </w:pPr>
            <w:r>
              <w:rPr>
                <w:rFonts w:cs="Open Sans Light"/>
                <w:sz w:val="16"/>
                <w:szCs w:val="16"/>
              </w:rPr>
              <w:t>33,291</w:t>
            </w:r>
          </w:p>
        </w:tc>
        <w:tc>
          <w:tcPr>
            <w:tcW w:w="0" w:type="auto"/>
            <w:shd w:val="clear" w:color="auto" w:fill="auto"/>
            <w:noWrap/>
            <w:tcMar>
              <w:top w:w="15" w:type="dxa"/>
              <w:left w:w="15" w:type="dxa"/>
              <w:bottom w:w="0" w:type="dxa"/>
              <w:right w:w="15" w:type="dxa"/>
            </w:tcMar>
            <w:vAlign w:val="bottom"/>
            <w:hideMark/>
          </w:tcPr>
          <w:p w14:paraId="5204CD02" w14:textId="77777777" w:rsidR="007E365E" w:rsidRDefault="007E365E" w:rsidP="007D1D77">
            <w:pPr>
              <w:spacing w:before="0"/>
              <w:jc w:val="right"/>
              <w:rPr>
                <w:rFonts w:cs="Open Sans Light"/>
                <w:sz w:val="16"/>
                <w:szCs w:val="16"/>
              </w:rPr>
            </w:pPr>
            <w:r>
              <w:rPr>
                <w:rFonts w:cs="Open Sans Light"/>
                <w:sz w:val="16"/>
                <w:szCs w:val="16"/>
              </w:rPr>
              <w:t>37,844</w:t>
            </w:r>
          </w:p>
        </w:tc>
        <w:tc>
          <w:tcPr>
            <w:tcW w:w="0" w:type="auto"/>
            <w:shd w:val="clear" w:color="auto" w:fill="auto"/>
            <w:noWrap/>
            <w:tcMar>
              <w:top w:w="15" w:type="dxa"/>
              <w:left w:w="15" w:type="dxa"/>
              <w:bottom w:w="0" w:type="dxa"/>
              <w:right w:w="15" w:type="dxa"/>
            </w:tcMar>
            <w:vAlign w:val="bottom"/>
            <w:hideMark/>
          </w:tcPr>
          <w:p w14:paraId="1D39B645" w14:textId="77777777" w:rsidR="007E365E" w:rsidRDefault="007E365E" w:rsidP="007D1D77">
            <w:pPr>
              <w:spacing w:before="0"/>
              <w:jc w:val="right"/>
              <w:rPr>
                <w:rFonts w:cs="Open Sans Light"/>
                <w:sz w:val="16"/>
                <w:szCs w:val="16"/>
              </w:rPr>
            </w:pPr>
            <w:r>
              <w:rPr>
                <w:rFonts w:cs="Open Sans Light"/>
                <w:sz w:val="16"/>
                <w:szCs w:val="16"/>
              </w:rPr>
              <w:t>25,931</w:t>
            </w:r>
          </w:p>
        </w:tc>
        <w:tc>
          <w:tcPr>
            <w:tcW w:w="0" w:type="auto"/>
            <w:shd w:val="clear" w:color="auto" w:fill="auto"/>
            <w:noWrap/>
            <w:tcMar>
              <w:top w:w="15" w:type="dxa"/>
              <w:left w:w="15" w:type="dxa"/>
              <w:bottom w:w="0" w:type="dxa"/>
              <w:right w:w="15" w:type="dxa"/>
            </w:tcMar>
            <w:vAlign w:val="bottom"/>
            <w:hideMark/>
          </w:tcPr>
          <w:p w14:paraId="4A124829" w14:textId="77777777" w:rsidR="007E365E" w:rsidRDefault="007E365E" w:rsidP="007D1D77">
            <w:pPr>
              <w:spacing w:before="0"/>
              <w:jc w:val="right"/>
              <w:rPr>
                <w:rFonts w:cs="Open Sans Light"/>
                <w:sz w:val="16"/>
                <w:szCs w:val="16"/>
              </w:rPr>
            </w:pPr>
            <w:r>
              <w:rPr>
                <w:rFonts w:cs="Open Sans Light"/>
                <w:sz w:val="16"/>
                <w:szCs w:val="16"/>
              </w:rPr>
              <w:t>18,984</w:t>
            </w:r>
          </w:p>
        </w:tc>
        <w:tc>
          <w:tcPr>
            <w:tcW w:w="0" w:type="auto"/>
            <w:shd w:val="clear" w:color="auto" w:fill="auto"/>
            <w:noWrap/>
            <w:tcMar>
              <w:top w:w="15" w:type="dxa"/>
              <w:left w:w="15" w:type="dxa"/>
              <w:bottom w:w="0" w:type="dxa"/>
              <w:right w:w="15" w:type="dxa"/>
            </w:tcMar>
            <w:vAlign w:val="bottom"/>
            <w:hideMark/>
          </w:tcPr>
          <w:p w14:paraId="3A673798" w14:textId="77777777" w:rsidR="007E365E" w:rsidRDefault="007E365E" w:rsidP="007D1D77">
            <w:pPr>
              <w:spacing w:before="0"/>
              <w:jc w:val="right"/>
              <w:rPr>
                <w:rFonts w:cs="Open Sans Light"/>
                <w:sz w:val="16"/>
                <w:szCs w:val="16"/>
              </w:rPr>
            </w:pPr>
            <w:r>
              <w:rPr>
                <w:rFonts w:cs="Open Sans Light"/>
                <w:sz w:val="16"/>
                <w:szCs w:val="16"/>
              </w:rPr>
              <w:t>4,341</w:t>
            </w:r>
          </w:p>
        </w:tc>
        <w:tc>
          <w:tcPr>
            <w:tcW w:w="0" w:type="auto"/>
            <w:shd w:val="clear" w:color="auto" w:fill="auto"/>
            <w:noWrap/>
            <w:tcMar>
              <w:top w:w="15" w:type="dxa"/>
              <w:left w:w="15" w:type="dxa"/>
              <w:bottom w:w="0" w:type="dxa"/>
              <w:right w:w="15" w:type="dxa"/>
            </w:tcMar>
            <w:vAlign w:val="bottom"/>
            <w:hideMark/>
          </w:tcPr>
          <w:p w14:paraId="24CC8EDF" w14:textId="77777777" w:rsidR="007E365E" w:rsidRDefault="007E365E" w:rsidP="007D1D77">
            <w:pPr>
              <w:spacing w:before="0"/>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5691D3E2" w14:textId="77777777" w:rsidR="007E365E" w:rsidRDefault="007E365E" w:rsidP="007D1D77">
            <w:pPr>
              <w:spacing w:before="0"/>
              <w:jc w:val="right"/>
              <w:rPr>
                <w:rFonts w:cs="Open Sans Light"/>
                <w:sz w:val="16"/>
                <w:szCs w:val="16"/>
              </w:rPr>
            </w:pPr>
            <w:r>
              <w:rPr>
                <w:rFonts w:cs="Open Sans Light"/>
                <w:sz w:val="16"/>
                <w:szCs w:val="16"/>
              </w:rPr>
              <w:t>2,735</w:t>
            </w:r>
          </w:p>
        </w:tc>
        <w:tc>
          <w:tcPr>
            <w:tcW w:w="0" w:type="auto"/>
            <w:shd w:val="clear" w:color="auto" w:fill="auto"/>
            <w:noWrap/>
            <w:tcMar>
              <w:top w:w="15" w:type="dxa"/>
              <w:left w:w="15" w:type="dxa"/>
              <w:bottom w:w="0" w:type="dxa"/>
              <w:right w:w="15" w:type="dxa"/>
            </w:tcMar>
            <w:vAlign w:val="bottom"/>
            <w:hideMark/>
          </w:tcPr>
          <w:p w14:paraId="337A5AE5" w14:textId="77777777" w:rsidR="007E365E" w:rsidRDefault="007E365E" w:rsidP="007D1D77">
            <w:pPr>
              <w:spacing w:before="0"/>
              <w:jc w:val="right"/>
              <w:rPr>
                <w:rFonts w:cs="Open Sans Light"/>
                <w:sz w:val="16"/>
                <w:szCs w:val="16"/>
              </w:rPr>
            </w:pPr>
            <w:r>
              <w:rPr>
                <w:rFonts w:cs="Open Sans Light"/>
                <w:sz w:val="16"/>
                <w:szCs w:val="16"/>
              </w:rPr>
              <w:t>172,238</w:t>
            </w:r>
          </w:p>
        </w:tc>
      </w:tr>
      <w:tr w:rsidR="007E365E" w14:paraId="51BE2BA5" w14:textId="77777777" w:rsidTr="007D1D77">
        <w:trPr>
          <w:trHeight w:val="340"/>
        </w:trPr>
        <w:tc>
          <w:tcPr>
            <w:tcW w:w="0" w:type="auto"/>
            <w:shd w:val="clear" w:color="auto" w:fill="auto"/>
            <w:noWrap/>
            <w:tcMar>
              <w:top w:w="15" w:type="dxa"/>
              <w:left w:w="15" w:type="dxa"/>
              <w:bottom w:w="0" w:type="dxa"/>
              <w:right w:w="15" w:type="dxa"/>
            </w:tcMar>
            <w:vAlign w:val="bottom"/>
            <w:hideMark/>
          </w:tcPr>
          <w:p w14:paraId="60F5AF00" w14:textId="77777777" w:rsidR="007E365E" w:rsidRDefault="007E365E" w:rsidP="007D1D77">
            <w:pPr>
              <w:spacing w:before="0"/>
              <w:rPr>
                <w:rFonts w:cs="Open Sans Light"/>
                <w:sz w:val="16"/>
                <w:szCs w:val="16"/>
              </w:rPr>
            </w:pPr>
            <w:r>
              <w:rPr>
                <w:rFonts w:cs="Open Sans Light"/>
                <w:sz w:val="16"/>
                <w:szCs w:val="16"/>
              </w:rPr>
              <w:t>Urban heavy vehicle use (million AGM-km)</w:t>
            </w:r>
          </w:p>
        </w:tc>
        <w:tc>
          <w:tcPr>
            <w:tcW w:w="0" w:type="auto"/>
            <w:shd w:val="clear" w:color="auto" w:fill="auto"/>
            <w:noWrap/>
            <w:tcMar>
              <w:top w:w="15" w:type="dxa"/>
              <w:left w:w="15" w:type="dxa"/>
              <w:bottom w:w="0" w:type="dxa"/>
              <w:right w:w="15" w:type="dxa"/>
            </w:tcMar>
            <w:vAlign w:val="bottom"/>
            <w:hideMark/>
          </w:tcPr>
          <w:p w14:paraId="4C47736F" w14:textId="77777777" w:rsidR="007E365E" w:rsidRDefault="007E365E" w:rsidP="007D1D77">
            <w:pPr>
              <w:spacing w:before="0"/>
              <w:jc w:val="right"/>
              <w:rPr>
                <w:rFonts w:cs="Open Sans Light"/>
                <w:sz w:val="16"/>
                <w:szCs w:val="16"/>
              </w:rPr>
            </w:pPr>
            <w:r>
              <w:rPr>
                <w:rFonts w:cs="Open Sans Light"/>
                <w:sz w:val="16"/>
                <w:szCs w:val="16"/>
              </w:rPr>
              <w:t>79,942</w:t>
            </w:r>
          </w:p>
        </w:tc>
        <w:tc>
          <w:tcPr>
            <w:tcW w:w="0" w:type="auto"/>
            <w:shd w:val="clear" w:color="auto" w:fill="auto"/>
            <w:noWrap/>
            <w:tcMar>
              <w:top w:w="15" w:type="dxa"/>
              <w:left w:w="15" w:type="dxa"/>
              <w:bottom w:w="0" w:type="dxa"/>
              <w:right w:w="15" w:type="dxa"/>
            </w:tcMar>
            <w:vAlign w:val="bottom"/>
            <w:hideMark/>
          </w:tcPr>
          <w:p w14:paraId="6C243A65" w14:textId="77777777" w:rsidR="007E365E" w:rsidRDefault="007E365E" w:rsidP="007D1D77">
            <w:pPr>
              <w:spacing w:before="0"/>
              <w:jc w:val="right"/>
              <w:rPr>
                <w:rFonts w:cs="Open Sans Light"/>
                <w:sz w:val="16"/>
                <w:szCs w:val="16"/>
              </w:rPr>
            </w:pPr>
            <w:r>
              <w:rPr>
                <w:rFonts w:cs="Open Sans Light"/>
                <w:sz w:val="16"/>
                <w:szCs w:val="16"/>
              </w:rPr>
              <w:t>59,724</w:t>
            </w:r>
          </w:p>
        </w:tc>
        <w:tc>
          <w:tcPr>
            <w:tcW w:w="0" w:type="auto"/>
            <w:shd w:val="clear" w:color="auto" w:fill="auto"/>
            <w:noWrap/>
            <w:tcMar>
              <w:top w:w="15" w:type="dxa"/>
              <w:left w:w="15" w:type="dxa"/>
              <w:bottom w:w="0" w:type="dxa"/>
              <w:right w:w="15" w:type="dxa"/>
            </w:tcMar>
            <w:vAlign w:val="bottom"/>
            <w:hideMark/>
          </w:tcPr>
          <w:p w14:paraId="44E12310" w14:textId="77777777" w:rsidR="007E365E" w:rsidRDefault="007E365E" w:rsidP="007D1D77">
            <w:pPr>
              <w:spacing w:before="0"/>
              <w:jc w:val="right"/>
              <w:rPr>
                <w:rFonts w:cs="Open Sans Light"/>
                <w:sz w:val="16"/>
                <w:szCs w:val="16"/>
              </w:rPr>
            </w:pPr>
            <w:r>
              <w:rPr>
                <w:rFonts w:cs="Open Sans Light"/>
                <w:sz w:val="16"/>
                <w:szCs w:val="16"/>
              </w:rPr>
              <w:t>52,955</w:t>
            </w:r>
          </w:p>
        </w:tc>
        <w:tc>
          <w:tcPr>
            <w:tcW w:w="0" w:type="auto"/>
            <w:shd w:val="clear" w:color="auto" w:fill="auto"/>
            <w:noWrap/>
            <w:tcMar>
              <w:top w:w="15" w:type="dxa"/>
              <w:left w:w="15" w:type="dxa"/>
              <w:bottom w:w="0" w:type="dxa"/>
              <w:right w:w="15" w:type="dxa"/>
            </w:tcMar>
            <w:vAlign w:val="bottom"/>
            <w:hideMark/>
          </w:tcPr>
          <w:p w14:paraId="0C0AE5B9" w14:textId="77777777" w:rsidR="007E365E" w:rsidRDefault="007E365E" w:rsidP="007D1D77">
            <w:pPr>
              <w:spacing w:before="0"/>
              <w:jc w:val="right"/>
              <w:rPr>
                <w:rFonts w:cs="Open Sans Light"/>
                <w:sz w:val="16"/>
                <w:szCs w:val="16"/>
              </w:rPr>
            </w:pPr>
            <w:r>
              <w:rPr>
                <w:rFonts w:cs="Open Sans Light"/>
                <w:sz w:val="16"/>
                <w:szCs w:val="16"/>
              </w:rPr>
              <w:t>22,116</w:t>
            </w:r>
          </w:p>
        </w:tc>
        <w:tc>
          <w:tcPr>
            <w:tcW w:w="0" w:type="auto"/>
            <w:shd w:val="clear" w:color="auto" w:fill="auto"/>
            <w:noWrap/>
            <w:tcMar>
              <w:top w:w="15" w:type="dxa"/>
              <w:left w:w="15" w:type="dxa"/>
              <w:bottom w:w="0" w:type="dxa"/>
              <w:right w:w="15" w:type="dxa"/>
            </w:tcMar>
            <w:vAlign w:val="bottom"/>
            <w:hideMark/>
          </w:tcPr>
          <w:p w14:paraId="191B9392" w14:textId="77777777" w:rsidR="007E365E" w:rsidRDefault="007E365E" w:rsidP="007D1D77">
            <w:pPr>
              <w:spacing w:before="0"/>
              <w:jc w:val="right"/>
              <w:rPr>
                <w:rFonts w:cs="Open Sans Light"/>
                <w:sz w:val="16"/>
                <w:szCs w:val="16"/>
              </w:rPr>
            </w:pPr>
            <w:r>
              <w:rPr>
                <w:rFonts w:cs="Open Sans Light"/>
                <w:sz w:val="16"/>
                <w:szCs w:val="16"/>
              </w:rPr>
              <w:t>12,853</w:t>
            </w:r>
          </w:p>
        </w:tc>
        <w:tc>
          <w:tcPr>
            <w:tcW w:w="0" w:type="auto"/>
            <w:shd w:val="clear" w:color="auto" w:fill="auto"/>
            <w:noWrap/>
            <w:tcMar>
              <w:top w:w="15" w:type="dxa"/>
              <w:left w:w="15" w:type="dxa"/>
              <w:bottom w:w="0" w:type="dxa"/>
              <w:right w:w="15" w:type="dxa"/>
            </w:tcMar>
            <w:vAlign w:val="bottom"/>
            <w:hideMark/>
          </w:tcPr>
          <w:p w14:paraId="51F905B4" w14:textId="77777777" w:rsidR="007E365E" w:rsidRDefault="007E365E" w:rsidP="007D1D77">
            <w:pPr>
              <w:spacing w:before="0"/>
              <w:jc w:val="right"/>
              <w:rPr>
                <w:rFonts w:cs="Open Sans Light"/>
                <w:sz w:val="16"/>
                <w:szCs w:val="16"/>
              </w:rPr>
            </w:pPr>
            <w:r>
              <w:rPr>
                <w:rFonts w:cs="Open Sans Light"/>
                <w:sz w:val="16"/>
                <w:szCs w:val="16"/>
              </w:rPr>
              <w:t>4,051</w:t>
            </w:r>
          </w:p>
        </w:tc>
        <w:tc>
          <w:tcPr>
            <w:tcW w:w="0" w:type="auto"/>
            <w:shd w:val="clear" w:color="auto" w:fill="auto"/>
            <w:noWrap/>
            <w:tcMar>
              <w:top w:w="15" w:type="dxa"/>
              <w:left w:w="15" w:type="dxa"/>
              <w:bottom w:w="0" w:type="dxa"/>
              <w:right w:w="15" w:type="dxa"/>
            </w:tcMar>
            <w:vAlign w:val="bottom"/>
            <w:hideMark/>
          </w:tcPr>
          <w:p w14:paraId="595CB709" w14:textId="77777777" w:rsidR="007E365E" w:rsidRDefault="007E365E" w:rsidP="007D1D77">
            <w:pPr>
              <w:spacing w:before="0"/>
              <w:jc w:val="right"/>
              <w:rPr>
                <w:rFonts w:cs="Open Sans Light"/>
                <w:sz w:val="16"/>
                <w:szCs w:val="16"/>
              </w:rPr>
            </w:pPr>
            <w:r>
              <w:rPr>
                <w:rFonts w:cs="Open Sans Light"/>
                <w:sz w:val="16"/>
                <w:szCs w:val="16"/>
              </w:rPr>
              <w:t>1,607</w:t>
            </w:r>
          </w:p>
        </w:tc>
        <w:tc>
          <w:tcPr>
            <w:tcW w:w="0" w:type="auto"/>
            <w:shd w:val="clear" w:color="auto" w:fill="auto"/>
            <w:noWrap/>
            <w:tcMar>
              <w:top w:w="15" w:type="dxa"/>
              <w:left w:w="15" w:type="dxa"/>
              <w:bottom w:w="0" w:type="dxa"/>
              <w:right w:w="15" w:type="dxa"/>
            </w:tcMar>
            <w:vAlign w:val="bottom"/>
            <w:hideMark/>
          </w:tcPr>
          <w:p w14:paraId="54E6BCA5" w14:textId="77777777" w:rsidR="007E365E" w:rsidRDefault="007E365E" w:rsidP="007D1D77">
            <w:pPr>
              <w:spacing w:before="0"/>
              <w:jc w:val="right"/>
              <w:rPr>
                <w:rFonts w:cs="Open Sans Light"/>
                <w:sz w:val="16"/>
                <w:szCs w:val="16"/>
              </w:rPr>
            </w:pPr>
            <w:r>
              <w:rPr>
                <w:rFonts w:cs="Open Sans Light"/>
                <w:sz w:val="16"/>
                <w:szCs w:val="16"/>
              </w:rPr>
              <w:t>1,573</w:t>
            </w:r>
          </w:p>
        </w:tc>
        <w:tc>
          <w:tcPr>
            <w:tcW w:w="0" w:type="auto"/>
            <w:shd w:val="clear" w:color="auto" w:fill="auto"/>
            <w:noWrap/>
            <w:tcMar>
              <w:top w:w="15" w:type="dxa"/>
              <w:left w:w="15" w:type="dxa"/>
              <w:bottom w:w="0" w:type="dxa"/>
              <w:right w:w="15" w:type="dxa"/>
            </w:tcMar>
            <w:vAlign w:val="bottom"/>
            <w:hideMark/>
          </w:tcPr>
          <w:p w14:paraId="32DFE0C1" w14:textId="77777777" w:rsidR="007E365E" w:rsidRDefault="007E365E" w:rsidP="007D1D77">
            <w:pPr>
              <w:spacing w:before="0"/>
              <w:jc w:val="right"/>
              <w:rPr>
                <w:rFonts w:cs="Open Sans Light"/>
                <w:sz w:val="16"/>
                <w:szCs w:val="16"/>
              </w:rPr>
            </w:pPr>
            <w:r>
              <w:rPr>
                <w:rFonts w:cs="Open Sans Light"/>
                <w:sz w:val="16"/>
                <w:szCs w:val="16"/>
              </w:rPr>
              <w:t>234,821</w:t>
            </w:r>
          </w:p>
        </w:tc>
      </w:tr>
      <w:tr w:rsidR="007E365E" w14:paraId="4F44ACE9"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079D497D" w14:textId="77777777" w:rsidR="007E365E" w:rsidRDefault="007E365E" w:rsidP="007D1D77">
            <w:pPr>
              <w:spacing w:before="0"/>
              <w:rPr>
                <w:rFonts w:cs="Open Sans Light"/>
                <w:sz w:val="16"/>
                <w:szCs w:val="16"/>
              </w:rPr>
            </w:pPr>
            <w:r>
              <w:rPr>
                <w:rFonts w:cs="Open Sans Light"/>
                <w:sz w:val="16"/>
                <w:szCs w:val="16"/>
              </w:rPr>
              <w:t>State share of rural (%)</w:t>
            </w:r>
          </w:p>
        </w:tc>
        <w:tc>
          <w:tcPr>
            <w:tcW w:w="0" w:type="auto"/>
            <w:shd w:val="clear" w:color="auto" w:fill="auto"/>
            <w:noWrap/>
            <w:tcMar>
              <w:top w:w="15" w:type="dxa"/>
              <w:left w:w="15" w:type="dxa"/>
              <w:bottom w:w="0" w:type="dxa"/>
              <w:right w:w="15" w:type="dxa"/>
            </w:tcMar>
            <w:vAlign w:val="bottom"/>
            <w:hideMark/>
          </w:tcPr>
          <w:p w14:paraId="3818ED25" w14:textId="77777777" w:rsidR="007E365E" w:rsidRDefault="007E365E" w:rsidP="007D1D77">
            <w:pPr>
              <w:spacing w:before="0"/>
              <w:jc w:val="right"/>
              <w:rPr>
                <w:rFonts w:cs="Open Sans Light"/>
                <w:sz w:val="16"/>
                <w:szCs w:val="16"/>
              </w:rPr>
            </w:pPr>
            <w:r>
              <w:rPr>
                <w:rFonts w:cs="Open Sans Light"/>
                <w:sz w:val="16"/>
                <w:szCs w:val="16"/>
              </w:rPr>
              <w:t>28.5</w:t>
            </w:r>
          </w:p>
        </w:tc>
        <w:tc>
          <w:tcPr>
            <w:tcW w:w="0" w:type="auto"/>
            <w:shd w:val="clear" w:color="auto" w:fill="auto"/>
            <w:noWrap/>
            <w:tcMar>
              <w:top w:w="15" w:type="dxa"/>
              <w:left w:w="15" w:type="dxa"/>
              <w:bottom w:w="0" w:type="dxa"/>
              <w:right w:w="15" w:type="dxa"/>
            </w:tcMar>
            <w:vAlign w:val="bottom"/>
            <w:hideMark/>
          </w:tcPr>
          <w:p w14:paraId="2F4E68C7" w14:textId="77777777" w:rsidR="007E365E" w:rsidRDefault="007E365E" w:rsidP="007D1D77">
            <w:pPr>
              <w:spacing w:before="0"/>
              <w:jc w:val="right"/>
              <w:rPr>
                <w:rFonts w:cs="Open Sans Light"/>
                <w:sz w:val="16"/>
                <w:szCs w:val="16"/>
              </w:rPr>
            </w:pPr>
            <w:r>
              <w:rPr>
                <w:rFonts w:cs="Open Sans Light"/>
                <w:sz w:val="16"/>
                <w:szCs w:val="16"/>
              </w:rPr>
              <w:t>19.3</w:t>
            </w:r>
          </w:p>
        </w:tc>
        <w:tc>
          <w:tcPr>
            <w:tcW w:w="0" w:type="auto"/>
            <w:shd w:val="clear" w:color="auto" w:fill="auto"/>
            <w:noWrap/>
            <w:tcMar>
              <w:top w:w="15" w:type="dxa"/>
              <w:left w:w="15" w:type="dxa"/>
              <w:bottom w:w="0" w:type="dxa"/>
              <w:right w:w="15" w:type="dxa"/>
            </w:tcMar>
            <w:vAlign w:val="bottom"/>
            <w:hideMark/>
          </w:tcPr>
          <w:p w14:paraId="6E1666F1" w14:textId="77777777" w:rsidR="007E365E" w:rsidRDefault="007E365E" w:rsidP="007D1D77">
            <w:pPr>
              <w:spacing w:before="0"/>
              <w:jc w:val="right"/>
              <w:rPr>
                <w:rFonts w:cs="Open Sans Light"/>
                <w:sz w:val="16"/>
                <w:szCs w:val="16"/>
              </w:rPr>
            </w:pPr>
            <w:r>
              <w:rPr>
                <w:rFonts w:cs="Open Sans Light"/>
                <w:sz w:val="16"/>
                <w:szCs w:val="16"/>
              </w:rPr>
              <w:t>22.0</w:t>
            </w:r>
          </w:p>
        </w:tc>
        <w:tc>
          <w:tcPr>
            <w:tcW w:w="0" w:type="auto"/>
            <w:shd w:val="clear" w:color="auto" w:fill="auto"/>
            <w:noWrap/>
            <w:tcMar>
              <w:top w:w="15" w:type="dxa"/>
              <w:left w:w="15" w:type="dxa"/>
              <w:bottom w:w="0" w:type="dxa"/>
              <w:right w:w="15" w:type="dxa"/>
            </w:tcMar>
            <w:vAlign w:val="bottom"/>
            <w:hideMark/>
          </w:tcPr>
          <w:p w14:paraId="6C7824C8" w14:textId="77777777" w:rsidR="007E365E" w:rsidRDefault="007E365E" w:rsidP="007D1D77">
            <w:pPr>
              <w:spacing w:before="0"/>
              <w:jc w:val="right"/>
              <w:rPr>
                <w:rFonts w:cs="Open Sans Light"/>
                <w:sz w:val="16"/>
                <w:szCs w:val="16"/>
              </w:rPr>
            </w:pPr>
            <w:r>
              <w:rPr>
                <w:rFonts w:cs="Open Sans Light"/>
                <w:sz w:val="16"/>
                <w:szCs w:val="16"/>
              </w:rPr>
              <w:t>15.1</w:t>
            </w:r>
          </w:p>
        </w:tc>
        <w:tc>
          <w:tcPr>
            <w:tcW w:w="0" w:type="auto"/>
            <w:shd w:val="clear" w:color="auto" w:fill="auto"/>
            <w:noWrap/>
            <w:tcMar>
              <w:top w:w="15" w:type="dxa"/>
              <w:left w:w="15" w:type="dxa"/>
              <w:bottom w:w="0" w:type="dxa"/>
              <w:right w:w="15" w:type="dxa"/>
            </w:tcMar>
            <w:vAlign w:val="bottom"/>
            <w:hideMark/>
          </w:tcPr>
          <w:p w14:paraId="582808F6" w14:textId="77777777" w:rsidR="007E365E" w:rsidRDefault="007E365E" w:rsidP="007D1D77">
            <w:pPr>
              <w:spacing w:before="0"/>
              <w:jc w:val="right"/>
              <w:rPr>
                <w:rFonts w:cs="Open Sans Light"/>
                <w:sz w:val="16"/>
                <w:szCs w:val="16"/>
              </w:rPr>
            </w:pPr>
            <w:r>
              <w:rPr>
                <w:rFonts w:cs="Open Sans Light"/>
                <w:sz w:val="16"/>
                <w:szCs w:val="16"/>
              </w:rPr>
              <w:t>11.0</w:t>
            </w:r>
          </w:p>
        </w:tc>
        <w:tc>
          <w:tcPr>
            <w:tcW w:w="0" w:type="auto"/>
            <w:shd w:val="clear" w:color="auto" w:fill="auto"/>
            <w:noWrap/>
            <w:tcMar>
              <w:top w:w="15" w:type="dxa"/>
              <w:left w:w="15" w:type="dxa"/>
              <w:bottom w:w="0" w:type="dxa"/>
              <w:right w:w="15" w:type="dxa"/>
            </w:tcMar>
            <w:vAlign w:val="bottom"/>
            <w:hideMark/>
          </w:tcPr>
          <w:p w14:paraId="12ECAC66" w14:textId="77777777" w:rsidR="007E365E" w:rsidRDefault="007E365E" w:rsidP="007D1D77">
            <w:pPr>
              <w:spacing w:before="0"/>
              <w:jc w:val="right"/>
              <w:rPr>
                <w:rFonts w:cs="Open Sans Light"/>
                <w:sz w:val="16"/>
                <w:szCs w:val="16"/>
              </w:rPr>
            </w:pPr>
            <w:r>
              <w:rPr>
                <w:rFonts w:cs="Open Sans Light"/>
                <w:sz w:val="16"/>
                <w:szCs w:val="16"/>
              </w:rPr>
              <w:t>2.5</w:t>
            </w:r>
          </w:p>
        </w:tc>
        <w:tc>
          <w:tcPr>
            <w:tcW w:w="0" w:type="auto"/>
            <w:shd w:val="clear" w:color="auto" w:fill="auto"/>
            <w:noWrap/>
            <w:tcMar>
              <w:top w:w="15" w:type="dxa"/>
              <w:left w:w="15" w:type="dxa"/>
              <w:bottom w:w="0" w:type="dxa"/>
              <w:right w:w="15" w:type="dxa"/>
            </w:tcMar>
            <w:vAlign w:val="bottom"/>
            <w:hideMark/>
          </w:tcPr>
          <w:p w14:paraId="1C9E6F2B" w14:textId="77777777" w:rsidR="007E365E" w:rsidRDefault="007E365E" w:rsidP="007D1D77">
            <w:pPr>
              <w:spacing w:before="0"/>
              <w:jc w:val="right"/>
              <w:rPr>
                <w:rFonts w:cs="Open Sans Light"/>
                <w:sz w:val="16"/>
                <w:szCs w:val="16"/>
              </w:rPr>
            </w:pPr>
            <w:r>
              <w:rPr>
                <w:rFonts w:cs="Open Sans Light"/>
                <w:sz w:val="16"/>
                <w:szCs w:val="16"/>
              </w:rPr>
              <w:t>0.0</w:t>
            </w:r>
          </w:p>
        </w:tc>
        <w:tc>
          <w:tcPr>
            <w:tcW w:w="0" w:type="auto"/>
            <w:shd w:val="clear" w:color="auto" w:fill="auto"/>
            <w:noWrap/>
            <w:tcMar>
              <w:top w:w="15" w:type="dxa"/>
              <w:left w:w="15" w:type="dxa"/>
              <w:bottom w:w="0" w:type="dxa"/>
              <w:right w:w="15" w:type="dxa"/>
            </w:tcMar>
            <w:vAlign w:val="bottom"/>
            <w:hideMark/>
          </w:tcPr>
          <w:p w14:paraId="051B7B3F" w14:textId="77777777" w:rsidR="007E365E" w:rsidRDefault="007E365E" w:rsidP="007D1D77">
            <w:pPr>
              <w:spacing w:before="0"/>
              <w:jc w:val="right"/>
              <w:rPr>
                <w:rFonts w:cs="Open Sans Light"/>
                <w:sz w:val="16"/>
                <w:szCs w:val="16"/>
              </w:rPr>
            </w:pPr>
            <w:r>
              <w:rPr>
                <w:rFonts w:cs="Open Sans Light"/>
                <w:sz w:val="16"/>
                <w:szCs w:val="16"/>
              </w:rPr>
              <w:t>1.6</w:t>
            </w:r>
          </w:p>
        </w:tc>
        <w:tc>
          <w:tcPr>
            <w:tcW w:w="0" w:type="auto"/>
            <w:shd w:val="clear" w:color="auto" w:fill="auto"/>
            <w:noWrap/>
            <w:tcMar>
              <w:top w:w="15" w:type="dxa"/>
              <w:left w:w="15" w:type="dxa"/>
              <w:bottom w:w="0" w:type="dxa"/>
              <w:right w:w="15" w:type="dxa"/>
            </w:tcMar>
            <w:vAlign w:val="bottom"/>
            <w:hideMark/>
          </w:tcPr>
          <w:p w14:paraId="0A53E353" w14:textId="77777777" w:rsidR="007E365E" w:rsidRDefault="007E365E" w:rsidP="007D1D77">
            <w:pPr>
              <w:spacing w:before="0"/>
              <w:jc w:val="right"/>
              <w:rPr>
                <w:rFonts w:cs="Open Sans Light"/>
                <w:sz w:val="16"/>
                <w:szCs w:val="16"/>
              </w:rPr>
            </w:pPr>
            <w:r>
              <w:rPr>
                <w:rFonts w:cs="Open Sans Light"/>
                <w:sz w:val="16"/>
                <w:szCs w:val="16"/>
              </w:rPr>
              <w:t>100.0</w:t>
            </w:r>
          </w:p>
        </w:tc>
      </w:tr>
      <w:tr w:rsidR="007E365E" w14:paraId="00222251"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18AA449B" w14:textId="77777777" w:rsidR="007E365E" w:rsidRDefault="007E365E" w:rsidP="007D1D77">
            <w:pPr>
              <w:spacing w:before="0"/>
              <w:rPr>
                <w:rFonts w:cs="Open Sans Light"/>
                <w:sz w:val="16"/>
                <w:szCs w:val="16"/>
              </w:rPr>
            </w:pPr>
            <w:r>
              <w:rPr>
                <w:rFonts w:cs="Open Sans Light"/>
                <w:sz w:val="16"/>
                <w:szCs w:val="16"/>
              </w:rPr>
              <w:t>State share of urban (%)</w:t>
            </w:r>
          </w:p>
        </w:tc>
        <w:tc>
          <w:tcPr>
            <w:tcW w:w="0" w:type="auto"/>
            <w:shd w:val="clear" w:color="auto" w:fill="auto"/>
            <w:noWrap/>
            <w:tcMar>
              <w:top w:w="15" w:type="dxa"/>
              <w:left w:w="15" w:type="dxa"/>
              <w:bottom w:w="0" w:type="dxa"/>
              <w:right w:w="15" w:type="dxa"/>
            </w:tcMar>
            <w:vAlign w:val="bottom"/>
            <w:hideMark/>
          </w:tcPr>
          <w:p w14:paraId="5716BF9B" w14:textId="77777777" w:rsidR="007E365E" w:rsidRDefault="007E365E" w:rsidP="007D1D77">
            <w:pPr>
              <w:spacing w:before="0"/>
              <w:jc w:val="right"/>
              <w:rPr>
                <w:rFonts w:cs="Open Sans Light"/>
                <w:sz w:val="16"/>
                <w:szCs w:val="16"/>
              </w:rPr>
            </w:pPr>
            <w:r>
              <w:rPr>
                <w:rFonts w:cs="Open Sans Light"/>
                <w:sz w:val="16"/>
                <w:szCs w:val="16"/>
              </w:rPr>
              <w:t>34.0</w:t>
            </w:r>
          </w:p>
        </w:tc>
        <w:tc>
          <w:tcPr>
            <w:tcW w:w="0" w:type="auto"/>
            <w:shd w:val="clear" w:color="auto" w:fill="auto"/>
            <w:noWrap/>
            <w:tcMar>
              <w:top w:w="15" w:type="dxa"/>
              <w:left w:w="15" w:type="dxa"/>
              <w:bottom w:w="0" w:type="dxa"/>
              <w:right w:w="15" w:type="dxa"/>
            </w:tcMar>
            <w:vAlign w:val="bottom"/>
            <w:hideMark/>
          </w:tcPr>
          <w:p w14:paraId="1EC17A39" w14:textId="77777777" w:rsidR="007E365E" w:rsidRDefault="007E365E" w:rsidP="007D1D77">
            <w:pPr>
              <w:spacing w:before="0"/>
              <w:jc w:val="right"/>
              <w:rPr>
                <w:rFonts w:cs="Open Sans Light"/>
                <w:sz w:val="16"/>
                <w:szCs w:val="16"/>
              </w:rPr>
            </w:pPr>
            <w:r>
              <w:rPr>
                <w:rFonts w:cs="Open Sans Light"/>
                <w:sz w:val="16"/>
                <w:szCs w:val="16"/>
              </w:rPr>
              <w:t>25.4</w:t>
            </w:r>
          </w:p>
        </w:tc>
        <w:tc>
          <w:tcPr>
            <w:tcW w:w="0" w:type="auto"/>
            <w:shd w:val="clear" w:color="auto" w:fill="auto"/>
            <w:noWrap/>
            <w:tcMar>
              <w:top w:w="15" w:type="dxa"/>
              <w:left w:w="15" w:type="dxa"/>
              <w:bottom w:w="0" w:type="dxa"/>
              <w:right w:w="15" w:type="dxa"/>
            </w:tcMar>
            <w:vAlign w:val="bottom"/>
            <w:hideMark/>
          </w:tcPr>
          <w:p w14:paraId="7F7A992C" w14:textId="77777777" w:rsidR="007E365E" w:rsidRDefault="007E365E" w:rsidP="007D1D77">
            <w:pPr>
              <w:spacing w:before="0"/>
              <w:jc w:val="right"/>
              <w:rPr>
                <w:rFonts w:cs="Open Sans Light"/>
                <w:sz w:val="16"/>
                <w:szCs w:val="16"/>
              </w:rPr>
            </w:pPr>
            <w:r>
              <w:rPr>
                <w:rFonts w:cs="Open Sans Light"/>
                <w:sz w:val="16"/>
                <w:szCs w:val="16"/>
              </w:rPr>
              <w:t>22.6</w:t>
            </w:r>
          </w:p>
        </w:tc>
        <w:tc>
          <w:tcPr>
            <w:tcW w:w="0" w:type="auto"/>
            <w:shd w:val="clear" w:color="auto" w:fill="auto"/>
            <w:noWrap/>
            <w:tcMar>
              <w:top w:w="15" w:type="dxa"/>
              <w:left w:w="15" w:type="dxa"/>
              <w:bottom w:w="0" w:type="dxa"/>
              <w:right w:w="15" w:type="dxa"/>
            </w:tcMar>
            <w:vAlign w:val="bottom"/>
            <w:hideMark/>
          </w:tcPr>
          <w:p w14:paraId="1D531D3B" w14:textId="77777777" w:rsidR="007E365E" w:rsidRDefault="007E365E" w:rsidP="007D1D77">
            <w:pPr>
              <w:spacing w:before="0"/>
              <w:jc w:val="right"/>
              <w:rPr>
                <w:rFonts w:cs="Open Sans Light"/>
                <w:sz w:val="16"/>
                <w:szCs w:val="16"/>
              </w:rPr>
            </w:pPr>
            <w:r>
              <w:rPr>
                <w:rFonts w:cs="Open Sans Light"/>
                <w:sz w:val="16"/>
                <w:szCs w:val="16"/>
              </w:rPr>
              <w:t>9.4</w:t>
            </w:r>
          </w:p>
        </w:tc>
        <w:tc>
          <w:tcPr>
            <w:tcW w:w="0" w:type="auto"/>
            <w:shd w:val="clear" w:color="auto" w:fill="auto"/>
            <w:noWrap/>
            <w:tcMar>
              <w:top w:w="15" w:type="dxa"/>
              <w:left w:w="15" w:type="dxa"/>
              <w:bottom w:w="0" w:type="dxa"/>
              <w:right w:w="15" w:type="dxa"/>
            </w:tcMar>
            <w:vAlign w:val="bottom"/>
            <w:hideMark/>
          </w:tcPr>
          <w:p w14:paraId="189517CF" w14:textId="77777777" w:rsidR="007E365E" w:rsidRDefault="007E365E" w:rsidP="007D1D77">
            <w:pPr>
              <w:spacing w:before="0"/>
              <w:jc w:val="right"/>
              <w:rPr>
                <w:rFonts w:cs="Open Sans Light"/>
                <w:sz w:val="16"/>
                <w:szCs w:val="16"/>
              </w:rPr>
            </w:pPr>
            <w:r>
              <w:rPr>
                <w:rFonts w:cs="Open Sans Light"/>
                <w:sz w:val="16"/>
                <w:szCs w:val="16"/>
              </w:rPr>
              <w:t>5.5</w:t>
            </w:r>
          </w:p>
        </w:tc>
        <w:tc>
          <w:tcPr>
            <w:tcW w:w="0" w:type="auto"/>
            <w:shd w:val="clear" w:color="auto" w:fill="auto"/>
            <w:noWrap/>
            <w:tcMar>
              <w:top w:w="15" w:type="dxa"/>
              <w:left w:w="15" w:type="dxa"/>
              <w:bottom w:w="0" w:type="dxa"/>
              <w:right w:w="15" w:type="dxa"/>
            </w:tcMar>
            <w:vAlign w:val="bottom"/>
            <w:hideMark/>
          </w:tcPr>
          <w:p w14:paraId="2ABF1C98" w14:textId="77777777" w:rsidR="007E365E" w:rsidRDefault="007E365E" w:rsidP="007D1D77">
            <w:pPr>
              <w:spacing w:before="0"/>
              <w:jc w:val="right"/>
              <w:rPr>
                <w:rFonts w:cs="Open Sans Light"/>
                <w:sz w:val="16"/>
                <w:szCs w:val="16"/>
              </w:rPr>
            </w:pPr>
            <w:r>
              <w:rPr>
                <w:rFonts w:cs="Open Sans Light"/>
                <w:sz w:val="16"/>
                <w:szCs w:val="16"/>
              </w:rPr>
              <w:t>1.7</w:t>
            </w:r>
          </w:p>
        </w:tc>
        <w:tc>
          <w:tcPr>
            <w:tcW w:w="0" w:type="auto"/>
            <w:shd w:val="clear" w:color="auto" w:fill="auto"/>
            <w:noWrap/>
            <w:tcMar>
              <w:top w:w="15" w:type="dxa"/>
              <w:left w:w="15" w:type="dxa"/>
              <w:bottom w:w="0" w:type="dxa"/>
              <w:right w:w="15" w:type="dxa"/>
            </w:tcMar>
            <w:vAlign w:val="bottom"/>
            <w:hideMark/>
          </w:tcPr>
          <w:p w14:paraId="00B8B622" w14:textId="77777777" w:rsidR="007E365E" w:rsidRDefault="007E365E" w:rsidP="007D1D77">
            <w:pPr>
              <w:spacing w:before="0"/>
              <w:jc w:val="right"/>
              <w:rPr>
                <w:rFonts w:cs="Open Sans Light"/>
                <w:sz w:val="16"/>
                <w:szCs w:val="16"/>
              </w:rPr>
            </w:pPr>
            <w:r>
              <w:rPr>
                <w:rFonts w:cs="Open Sans Light"/>
                <w:sz w:val="16"/>
                <w:szCs w:val="16"/>
              </w:rPr>
              <w:t>0.7</w:t>
            </w:r>
          </w:p>
        </w:tc>
        <w:tc>
          <w:tcPr>
            <w:tcW w:w="0" w:type="auto"/>
            <w:shd w:val="clear" w:color="auto" w:fill="auto"/>
            <w:noWrap/>
            <w:tcMar>
              <w:top w:w="15" w:type="dxa"/>
              <w:left w:w="15" w:type="dxa"/>
              <w:bottom w:w="0" w:type="dxa"/>
              <w:right w:w="15" w:type="dxa"/>
            </w:tcMar>
            <w:vAlign w:val="bottom"/>
            <w:hideMark/>
          </w:tcPr>
          <w:p w14:paraId="492FF1B2" w14:textId="77777777" w:rsidR="007E365E" w:rsidRDefault="007E365E" w:rsidP="007D1D77">
            <w:pPr>
              <w:spacing w:before="0"/>
              <w:jc w:val="right"/>
              <w:rPr>
                <w:rFonts w:cs="Open Sans Light"/>
                <w:sz w:val="16"/>
                <w:szCs w:val="16"/>
              </w:rPr>
            </w:pPr>
            <w:r>
              <w:rPr>
                <w:rFonts w:cs="Open Sans Light"/>
                <w:sz w:val="16"/>
                <w:szCs w:val="16"/>
              </w:rPr>
              <w:t>0.7</w:t>
            </w:r>
          </w:p>
        </w:tc>
        <w:tc>
          <w:tcPr>
            <w:tcW w:w="0" w:type="auto"/>
            <w:shd w:val="clear" w:color="auto" w:fill="auto"/>
            <w:noWrap/>
            <w:tcMar>
              <w:top w:w="15" w:type="dxa"/>
              <w:left w:w="15" w:type="dxa"/>
              <w:bottom w:w="0" w:type="dxa"/>
              <w:right w:w="15" w:type="dxa"/>
            </w:tcMar>
            <w:vAlign w:val="bottom"/>
            <w:hideMark/>
          </w:tcPr>
          <w:p w14:paraId="4F580E1C" w14:textId="77777777" w:rsidR="007E365E" w:rsidRDefault="007E365E" w:rsidP="007D1D77">
            <w:pPr>
              <w:spacing w:before="0"/>
              <w:jc w:val="right"/>
              <w:rPr>
                <w:rFonts w:cs="Open Sans Light"/>
                <w:sz w:val="16"/>
                <w:szCs w:val="16"/>
              </w:rPr>
            </w:pPr>
            <w:r>
              <w:rPr>
                <w:rFonts w:cs="Open Sans Light"/>
                <w:sz w:val="16"/>
                <w:szCs w:val="16"/>
              </w:rPr>
              <w:t>100.0</w:t>
            </w:r>
          </w:p>
        </w:tc>
      </w:tr>
    </w:tbl>
    <w:p w14:paraId="388B1E3F" w14:textId="77777777" w:rsidR="007E365E" w:rsidRPr="00E23377" w:rsidRDefault="007E365E" w:rsidP="007E365E">
      <w:pPr>
        <w:pStyle w:val="CGCTablenote"/>
      </w:pPr>
      <w:r w:rsidRPr="00E23377">
        <w:t>Source:</w:t>
      </w:r>
      <w:r w:rsidRPr="00E23377">
        <w:tab/>
        <w:t>NTC trend data and BITRE vkt data.</w:t>
      </w:r>
    </w:p>
    <w:p w14:paraId="4C141FCB" w14:textId="77777777" w:rsidR="007E365E" w:rsidRPr="00E23377" w:rsidRDefault="007E365E" w:rsidP="007E365E">
      <w:pPr>
        <w:pStyle w:val="Heading4"/>
      </w:pPr>
      <w:bookmarkStart w:id="183" w:name="_Toc4754273"/>
      <w:bookmarkStart w:id="184" w:name="_Toc5030076"/>
      <w:r w:rsidRPr="00E23377">
        <w:t>Rural roads component</w:t>
      </w:r>
      <w:bookmarkEnd w:id="183"/>
      <w:bookmarkEnd w:id="184"/>
    </w:p>
    <w:p w14:paraId="3B148CDB" w14:textId="77777777" w:rsidR="007E365E" w:rsidRPr="00E23377" w:rsidRDefault="007E365E" w:rsidP="007E365E">
      <w:pPr>
        <w:pStyle w:val="Heading5"/>
      </w:pPr>
      <w:r w:rsidRPr="00E23377">
        <w:t>Rural road length, traffic volume and heavy vehicle use</w:t>
      </w:r>
    </w:p>
    <w:p w14:paraId="1E6C8CCB" w14:textId="77777777" w:rsidR="007E365E" w:rsidRPr="00E23377" w:rsidRDefault="007E365E" w:rsidP="007E365E">
      <w:pPr>
        <w:pStyle w:val="CGCParaNumber"/>
      </w:pPr>
      <w:r w:rsidRPr="00E23377">
        <w:t>The assessments of the rural road length, traffic volume and heavy vehicle use disabilities are described above.</w:t>
      </w:r>
      <w:r w:rsidRPr="00E23377">
        <w:rPr>
          <w:rStyle w:val="FootnoteReference"/>
        </w:rPr>
        <w:footnoteReference w:id="37"/>
      </w:r>
    </w:p>
    <w:p w14:paraId="45621C6A" w14:textId="77777777" w:rsidR="007E365E" w:rsidRPr="00E23377" w:rsidRDefault="007E365E" w:rsidP="007E365E">
      <w:pPr>
        <w:pStyle w:val="CGCParaNumber"/>
      </w:pPr>
      <w:r w:rsidRPr="00E23377">
        <w:t>Using NTC data, the disability weights for 201</w:t>
      </w:r>
      <w:r>
        <w:t>8</w:t>
      </w:r>
      <w:r w:rsidRPr="00E23377">
        <w:t>-1</w:t>
      </w:r>
      <w:r>
        <w:t>9</w:t>
      </w:r>
      <w:r w:rsidRPr="00E23377">
        <w:t xml:space="preserve"> are as follows:</w:t>
      </w:r>
    </w:p>
    <w:p w14:paraId="5FE8F216" w14:textId="77777777" w:rsidR="007E365E" w:rsidRPr="00E23377" w:rsidRDefault="007E365E" w:rsidP="007E365E">
      <w:pPr>
        <w:pStyle w:val="CGCBullet1"/>
      </w:pPr>
      <w:r w:rsidRPr="00E23377">
        <w:t>2</w:t>
      </w:r>
      <w:r>
        <w:t>2</w:t>
      </w:r>
      <w:r w:rsidRPr="00E23377">
        <w:t>.2% for rural road length</w:t>
      </w:r>
    </w:p>
    <w:p w14:paraId="069C1F32" w14:textId="77777777" w:rsidR="007E365E" w:rsidRPr="00E23377" w:rsidRDefault="007E365E" w:rsidP="007E365E">
      <w:pPr>
        <w:pStyle w:val="CGCBullet1"/>
      </w:pPr>
      <w:r>
        <w:t>47.0</w:t>
      </w:r>
      <w:r w:rsidRPr="00E23377">
        <w:t>% for traffic volume</w:t>
      </w:r>
    </w:p>
    <w:p w14:paraId="2E65758A" w14:textId="77777777" w:rsidR="007E365E" w:rsidRPr="00E23377" w:rsidRDefault="007E365E" w:rsidP="007E365E">
      <w:pPr>
        <w:pStyle w:val="CGCBullet1"/>
      </w:pPr>
      <w:r>
        <w:t>30.8</w:t>
      </w:r>
      <w:r w:rsidRPr="00E23377">
        <w:t>% for heavy vehicle use.</w:t>
      </w:r>
    </w:p>
    <w:p w14:paraId="055B07B4" w14:textId="77777777" w:rsidR="007E365E" w:rsidRPr="00E23377" w:rsidRDefault="007E365E" w:rsidP="007E365E">
      <w:pPr>
        <w:pStyle w:val="Heading5"/>
      </w:pPr>
      <w:r w:rsidRPr="00E23377">
        <w:t>Regional costs</w:t>
      </w:r>
    </w:p>
    <w:p w14:paraId="10432C55" w14:textId="77777777" w:rsidR="007E365E" w:rsidRPr="00C46782" w:rsidRDefault="007E365E" w:rsidP="007E365E">
      <w:pPr>
        <w:pStyle w:val="CGCParaNumber"/>
      </w:pPr>
      <w:r w:rsidRPr="00E23377">
        <w:t xml:space="preserve">Differences in the cost of providing services to different regions within a State affect State expenses. The sourcing of road construction and maintenance quarry materials is unlikely to </w:t>
      </w:r>
      <w:r w:rsidRPr="00E23377">
        <w:lastRenderedPageBreak/>
        <w:t xml:space="preserve">have any relationship to remoteness because these materials are often sourced </w:t>
      </w:r>
      <w:r w:rsidRPr="00C46782">
        <w:t xml:space="preserve">locally, but the greater distances in remote areas does generally affect the transport of plant and equipment as well as other inputs. A regional cost gradient cannot be readily measured, but the conceptual case for one is valid. </w:t>
      </w:r>
    </w:p>
    <w:p w14:paraId="7C08653C" w14:textId="77777777" w:rsidR="007E365E" w:rsidRPr="00C46782" w:rsidRDefault="007E365E" w:rsidP="007E365E">
      <w:pPr>
        <w:pStyle w:val="CGCParaNumber"/>
      </w:pPr>
      <w:r w:rsidRPr="00C46782">
        <w:t>New South Wales considered that using the general regional cost gradient that averages the costs for admitted patients and schools is a poor proxy that significantly overstates regional costs for rural roads.</w:t>
      </w:r>
    </w:p>
    <w:p w14:paraId="69209D04" w14:textId="77777777" w:rsidR="007E365E" w:rsidRPr="00C46782" w:rsidRDefault="007E365E" w:rsidP="007E365E">
      <w:pPr>
        <w:pStyle w:val="CGCParaNumber"/>
      </w:pPr>
      <w:r w:rsidRPr="00C46782">
        <w:t xml:space="preserve">New South Wales provided information that normal business practice by NSW Roads and Maritime Services is to base much of the everyday road maintenance equipment in maintenance depots regionally distributed across the State. It is only more specialised, costly, equipment that is deployed from metropolitan and regional centres. New South Wales also commented that the cost of deploying this equipment in regional and rural areas is similar to that of urban areas where additional costs are incurred due to congestion.  </w:t>
      </w:r>
    </w:p>
    <w:p w14:paraId="233483C9" w14:textId="77777777" w:rsidR="007E365E" w:rsidRPr="00C46782" w:rsidRDefault="007E365E" w:rsidP="007E365E">
      <w:pPr>
        <w:pStyle w:val="CGCParaNumber"/>
      </w:pPr>
      <w:r w:rsidRPr="00C46782">
        <w:t xml:space="preserve">The Commission accepts that the general </w:t>
      </w:r>
      <w:r>
        <w:t xml:space="preserve">regional </w:t>
      </w:r>
      <w:r w:rsidRPr="00C46782">
        <w:t xml:space="preserve">cost gradient is most likely less applicable to road maintenance expenses than to other categories. The Commission is concerned that rural roads in more remote areas are often built to lower standards compared with rural roads in more populated areas, such as highways, and that traffic volume is generally lower, although some of these roads can be used by heavy vehicles. </w:t>
      </w:r>
    </w:p>
    <w:p w14:paraId="30B08DFD" w14:textId="77777777" w:rsidR="007E365E" w:rsidRPr="00C46782" w:rsidRDefault="007E365E" w:rsidP="007E365E">
      <w:pPr>
        <w:pStyle w:val="CGCParaNumber"/>
      </w:pPr>
      <w:r w:rsidRPr="007B1056">
        <w:t>The Commission has applied a 25% discount to the general regional cost gradient. It considers that, in the absence of category specific regional costs data, this gradient best</w:t>
      </w:r>
      <w:r>
        <w:t xml:space="preserve"> proxies regional costs relating to road maintenance</w:t>
      </w:r>
      <w:r w:rsidRPr="00C46782">
        <w:t xml:space="preserve">. The discontinuation of the unsealed roads assessment was also a reason for </w:t>
      </w:r>
      <w:r>
        <w:t>this reduction</w:t>
      </w:r>
      <w:r w:rsidRPr="00C46782">
        <w:t xml:space="preserve"> because unsealed roads are less costly to maintain and are mostly located in remote areas and this lower cost is no longer accounted for.</w:t>
      </w:r>
    </w:p>
    <w:p w14:paraId="0043DFD5" w14:textId="77777777" w:rsidR="007E365E" w:rsidRPr="001A6FCF" w:rsidRDefault="007E365E" w:rsidP="007E365E">
      <w:pPr>
        <w:pStyle w:val="CGCParaNumber"/>
      </w:pPr>
      <w:r w:rsidRPr="00E23377">
        <w:t>For a description of the method see Chapter 28 Geography.</w:t>
      </w:r>
    </w:p>
    <w:p w14:paraId="46EE9557" w14:textId="77777777" w:rsidR="007E365E" w:rsidRPr="00E23377" w:rsidRDefault="007E365E" w:rsidP="007E365E">
      <w:pPr>
        <w:pStyle w:val="Heading5"/>
      </w:pPr>
      <w:r w:rsidRPr="00E23377">
        <w:t>Wage costs</w:t>
      </w:r>
    </w:p>
    <w:p w14:paraId="49E415D4" w14:textId="77777777" w:rsidR="007E365E" w:rsidRPr="00E23377" w:rsidRDefault="007E365E" w:rsidP="007E365E">
      <w:pPr>
        <w:pStyle w:val="CGCParaNumber"/>
      </w:pPr>
      <w:r w:rsidRPr="00E23377">
        <w:t xml:space="preserve">Differences in wage costs between States have a differential effect on the cost of providing services. There is a general method for measuring the influence of wage costs in components where the disability applies. For a description of the method, see Chapter 27 Wage costs. </w:t>
      </w:r>
    </w:p>
    <w:p w14:paraId="4E264B78" w14:textId="77777777" w:rsidR="007E365E" w:rsidRPr="00E23377" w:rsidRDefault="007E365E" w:rsidP="007E365E">
      <w:pPr>
        <w:pStyle w:val="Heading5"/>
      </w:pPr>
      <w:r w:rsidRPr="00E23377">
        <w:t>Component calculations</w:t>
      </w:r>
    </w:p>
    <w:p w14:paraId="2E2A1230" w14:textId="4AB245D0" w:rsidR="007E365E" w:rsidRPr="00E23377" w:rsidRDefault="007E365E" w:rsidP="007E365E">
      <w:pPr>
        <w:pStyle w:val="CGCParaNumber"/>
      </w:pPr>
      <w:r w:rsidRPr="00E23377">
        <w:fldChar w:fldCharType="begin"/>
      </w:r>
      <w:r w:rsidRPr="00E23377">
        <w:instrText xml:space="preserve"> REF _Ref2752497 \h  \* MERGEFORMAT </w:instrText>
      </w:r>
      <w:r w:rsidRPr="00E23377">
        <w:fldChar w:fldCharType="separate"/>
      </w:r>
      <w:r w:rsidR="007F721A" w:rsidRPr="00E23377">
        <w:t xml:space="preserve">Table </w:t>
      </w:r>
      <w:r w:rsidR="007F721A">
        <w:rPr>
          <w:noProof/>
        </w:rPr>
        <w:t>20-16</w:t>
      </w:r>
      <w:r w:rsidRPr="00E23377">
        <w:fldChar w:fldCharType="end"/>
      </w:r>
      <w:r w:rsidRPr="00E23377">
        <w:t xml:space="preserve"> shows the calculation of total assessed expenses for the </w:t>
      </w:r>
      <w:r>
        <w:t xml:space="preserve">rural roads </w:t>
      </w:r>
      <w:r w:rsidRPr="00E23377">
        <w:t>component in 201</w:t>
      </w:r>
      <w:r>
        <w:t>8</w:t>
      </w:r>
      <w:r w:rsidRPr="00E23377">
        <w:noBreakHyphen/>
        <w:t>1</w:t>
      </w:r>
      <w:r>
        <w:t>9</w:t>
      </w:r>
      <w:r w:rsidRPr="00E23377">
        <w:t>. Total assessed expenses are the sum of road length, traffic volume and heavy vehicle use assessed expenses multiplied by the regional costs and wage costs factors.</w:t>
      </w:r>
    </w:p>
    <w:p w14:paraId="1F087BE1" w14:textId="397C06CD" w:rsidR="007E365E" w:rsidRDefault="007E365E" w:rsidP="007E365E">
      <w:pPr>
        <w:pStyle w:val="Caption"/>
      </w:pPr>
      <w:bookmarkStart w:id="185" w:name="_Ref2752497"/>
      <w:r w:rsidRPr="00E23377">
        <w:lastRenderedPageBreak/>
        <w:t xml:space="preserve">Table </w:t>
      </w:r>
      <w:r>
        <w:t>20-</w:t>
      </w:r>
      <w:fldSimple w:instr=" SEQ Table \* ARABIC ">
        <w:r w:rsidR="007F721A">
          <w:rPr>
            <w:noProof/>
          </w:rPr>
          <w:t>16</w:t>
        </w:r>
      </w:fldSimple>
      <w:bookmarkEnd w:id="185"/>
      <w:r w:rsidRPr="00E23377">
        <w:tab/>
        <w:t>Rural roads component</w:t>
      </w:r>
      <w:r w:rsidRPr="000202B6">
        <w:t xml:space="preserve"> </w:t>
      </w:r>
      <w:r w:rsidRPr="00E23377">
        <w:t>assessment, 201</w:t>
      </w:r>
      <w:r>
        <w:t>8</w:t>
      </w:r>
      <w:r w:rsidRPr="00E23377">
        <w:noBreakHyphen/>
        <w:t>1</w:t>
      </w:r>
      <w:r>
        <w:t>9</w:t>
      </w:r>
    </w:p>
    <w:tbl>
      <w:tblPr>
        <w:tblW w:w="8840" w:type="dxa"/>
        <w:tblBorders>
          <w:top w:val="single" w:sz="4" w:space="0" w:color="ADD6EA"/>
          <w:bottom w:val="single" w:sz="4" w:space="0" w:color="ADD6EA"/>
          <w:insideH w:val="single" w:sz="4" w:space="0" w:color="ADD6EA"/>
        </w:tblBorders>
        <w:tblCellMar>
          <w:left w:w="0" w:type="dxa"/>
          <w:right w:w="0" w:type="dxa"/>
        </w:tblCellMar>
        <w:tblLook w:val="04A0" w:firstRow="1" w:lastRow="0" w:firstColumn="1" w:lastColumn="0" w:noHBand="0" w:noVBand="1"/>
      </w:tblPr>
      <w:tblGrid>
        <w:gridCol w:w="2260"/>
        <w:gridCol w:w="740"/>
        <w:gridCol w:w="740"/>
        <w:gridCol w:w="740"/>
        <w:gridCol w:w="740"/>
        <w:gridCol w:w="740"/>
        <w:gridCol w:w="660"/>
        <w:gridCol w:w="660"/>
        <w:gridCol w:w="740"/>
        <w:gridCol w:w="820"/>
      </w:tblGrid>
      <w:tr w:rsidR="007E365E" w:rsidRPr="002123AF" w14:paraId="3171ACEE" w14:textId="77777777" w:rsidTr="007D1D77">
        <w:trPr>
          <w:trHeight w:val="379"/>
        </w:trPr>
        <w:tc>
          <w:tcPr>
            <w:tcW w:w="2260" w:type="dxa"/>
            <w:shd w:val="clear" w:color="000000" w:fill="006991"/>
            <w:tcMar>
              <w:top w:w="15" w:type="dxa"/>
              <w:left w:w="15" w:type="dxa"/>
              <w:bottom w:w="0" w:type="dxa"/>
              <w:right w:w="15" w:type="dxa"/>
            </w:tcMar>
            <w:vAlign w:val="center"/>
            <w:hideMark/>
          </w:tcPr>
          <w:p w14:paraId="2385224F" w14:textId="77777777" w:rsidR="007E365E" w:rsidRDefault="007E365E" w:rsidP="007D1D77">
            <w:pPr>
              <w:keepNext/>
              <w:keepLines/>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740" w:type="dxa"/>
            <w:shd w:val="clear" w:color="000000" w:fill="006991"/>
            <w:tcMar>
              <w:top w:w="15" w:type="dxa"/>
              <w:left w:w="15" w:type="dxa"/>
              <w:bottom w:w="0" w:type="dxa"/>
              <w:right w:w="15" w:type="dxa"/>
            </w:tcMar>
            <w:vAlign w:val="center"/>
            <w:hideMark/>
          </w:tcPr>
          <w:p w14:paraId="4581F3AF"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40" w:type="dxa"/>
            <w:shd w:val="clear" w:color="000000" w:fill="006991"/>
            <w:tcMar>
              <w:top w:w="15" w:type="dxa"/>
              <w:left w:w="15" w:type="dxa"/>
              <w:bottom w:w="0" w:type="dxa"/>
              <w:right w:w="15" w:type="dxa"/>
            </w:tcMar>
            <w:vAlign w:val="center"/>
            <w:hideMark/>
          </w:tcPr>
          <w:p w14:paraId="256E6940"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40" w:type="dxa"/>
            <w:shd w:val="clear" w:color="000000" w:fill="006991"/>
            <w:tcMar>
              <w:top w:w="15" w:type="dxa"/>
              <w:left w:w="15" w:type="dxa"/>
              <w:bottom w:w="0" w:type="dxa"/>
              <w:right w:w="15" w:type="dxa"/>
            </w:tcMar>
            <w:vAlign w:val="center"/>
            <w:hideMark/>
          </w:tcPr>
          <w:p w14:paraId="17C88C93"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40" w:type="dxa"/>
            <w:shd w:val="clear" w:color="000000" w:fill="006991"/>
            <w:tcMar>
              <w:top w:w="15" w:type="dxa"/>
              <w:left w:w="15" w:type="dxa"/>
              <w:bottom w:w="0" w:type="dxa"/>
              <w:right w:w="15" w:type="dxa"/>
            </w:tcMar>
            <w:vAlign w:val="center"/>
            <w:hideMark/>
          </w:tcPr>
          <w:p w14:paraId="03C5B275"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40" w:type="dxa"/>
            <w:shd w:val="clear" w:color="000000" w:fill="006991"/>
            <w:tcMar>
              <w:top w:w="15" w:type="dxa"/>
              <w:left w:w="15" w:type="dxa"/>
              <w:bottom w:w="0" w:type="dxa"/>
              <w:right w:w="15" w:type="dxa"/>
            </w:tcMar>
            <w:vAlign w:val="center"/>
            <w:hideMark/>
          </w:tcPr>
          <w:p w14:paraId="525BD7D1"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660" w:type="dxa"/>
            <w:shd w:val="clear" w:color="000000" w:fill="006991"/>
            <w:tcMar>
              <w:top w:w="15" w:type="dxa"/>
              <w:left w:w="15" w:type="dxa"/>
              <w:bottom w:w="0" w:type="dxa"/>
              <w:right w:w="15" w:type="dxa"/>
            </w:tcMar>
            <w:vAlign w:val="center"/>
            <w:hideMark/>
          </w:tcPr>
          <w:p w14:paraId="2873584D"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660" w:type="dxa"/>
            <w:shd w:val="clear" w:color="000000" w:fill="006991"/>
            <w:tcMar>
              <w:top w:w="15" w:type="dxa"/>
              <w:left w:w="15" w:type="dxa"/>
              <w:bottom w:w="0" w:type="dxa"/>
              <w:right w:w="15" w:type="dxa"/>
            </w:tcMar>
            <w:vAlign w:val="center"/>
            <w:hideMark/>
          </w:tcPr>
          <w:p w14:paraId="6C0F409C"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40" w:type="dxa"/>
            <w:shd w:val="clear" w:color="000000" w:fill="006991"/>
            <w:tcMar>
              <w:top w:w="15" w:type="dxa"/>
              <w:left w:w="15" w:type="dxa"/>
              <w:bottom w:w="0" w:type="dxa"/>
              <w:right w:w="15" w:type="dxa"/>
            </w:tcMar>
            <w:vAlign w:val="center"/>
            <w:hideMark/>
          </w:tcPr>
          <w:p w14:paraId="202E9B2F"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820" w:type="dxa"/>
            <w:shd w:val="clear" w:color="000000" w:fill="006991"/>
            <w:tcMar>
              <w:top w:w="15" w:type="dxa"/>
              <w:left w:w="15" w:type="dxa"/>
              <w:bottom w:w="0" w:type="dxa"/>
              <w:right w:w="15" w:type="dxa"/>
            </w:tcMar>
            <w:vAlign w:val="center"/>
            <w:hideMark/>
          </w:tcPr>
          <w:p w14:paraId="37040CF4"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7E365E" w:rsidRPr="002123AF" w14:paraId="27331698"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7103FA74" w14:textId="77777777" w:rsidR="007E365E" w:rsidRDefault="007E365E" w:rsidP="007D1D77">
            <w:pPr>
              <w:keepNext/>
              <w:keepLines/>
              <w:spacing w:before="0" w:line="240" w:lineRule="auto"/>
              <w:rPr>
                <w:rFonts w:cs="Open Sans Light"/>
                <w:sz w:val="16"/>
                <w:szCs w:val="16"/>
              </w:rPr>
            </w:pPr>
            <w:r>
              <w:rPr>
                <w:rFonts w:cs="Open Sans Light"/>
                <w:sz w:val="16"/>
                <w:szCs w:val="16"/>
              </w:rPr>
              <w:t>Road length (lane-km)</w:t>
            </w:r>
          </w:p>
        </w:tc>
        <w:tc>
          <w:tcPr>
            <w:tcW w:w="0" w:type="auto"/>
            <w:shd w:val="clear" w:color="auto" w:fill="auto"/>
            <w:noWrap/>
            <w:tcMar>
              <w:top w:w="15" w:type="dxa"/>
              <w:left w:w="15" w:type="dxa"/>
              <w:bottom w:w="0" w:type="dxa"/>
              <w:right w:w="15" w:type="dxa"/>
            </w:tcMar>
            <w:vAlign w:val="bottom"/>
            <w:hideMark/>
          </w:tcPr>
          <w:p w14:paraId="40AC25B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77,402</w:t>
            </w:r>
          </w:p>
        </w:tc>
        <w:tc>
          <w:tcPr>
            <w:tcW w:w="0" w:type="auto"/>
            <w:shd w:val="clear" w:color="auto" w:fill="auto"/>
            <w:noWrap/>
            <w:tcMar>
              <w:top w:w="15" w:type="dxa"/>
              <w:left w:w="15" w:type="dxa"/>
              <w:bottom w:w="0" w:type="dxa"/>
              <w:right w:w="15" w:type="dxa"/>
            </w:tcMar>
            <w:vAlign w:val="bottom"/>
            <w:hideMark/>
          </w:tcPr>
          <w:p w14:paraId="27305ED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41,142</w:t>
            </w:r>
          </w:p>
        </w:tc>
        <w:tc>
          <w:tcPr>
            <w:tcW w:w="0" w:type="auto"/>
            <w:shd w:val="clear" w:color="auto" w:fill="auto"/>
            <w:noWrap/>
            <w:tcMar>
              <w:top w:w="15" w:type="dxa"/>
              <w:left w:w="15" w:type="dxa"/>
              <w:bottom w:w="0" w:type="dxa"/>
              <w:right w:w="15" w:type="dxa"/>
            </w:tcMar>
            <w:vAlign w:val="bottom"/>
            <w:hideMark/>
          </w:tcPr>
          <w:p w14:paraId="05B3F54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82,582</w:t>
            </w:r>
          </w:p>
        </w:tc>
        <w:tc>
          <w:tcPr>
            <w:tcW w:w="0" w:type="auto"/>
            <w:shd w:val="clear" w:color="auto" w:fill="auto"/>
            <w:noWrap/>
            <w:tcMar>
              <w:top w:w="15" w:type="dxa"/>
              <w:left w:w="15" w:type="dxa"/>
              <w:bottom w:w="0" w:type="dxa"/>
              <w:right w:w="15" w:type="dxa"/>
            </w:tcMar>
            <w:vAlign w:val="bottom"/>
            <w:hideMark/>
          </w:tcPr>
          <w:p w14:paraId="63D5E9C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55,336</w:t>
            </w:r>
          </w:p>
        </w:tc>
        <w:tc>
          <w:tcPr>
            <w:tcW w:w="0" w:type="auto"/>
            <w:shd w:val="clear" w:color="auto" w:fill="auto"/>
            <w:noWrap/>
            <w:tcMar>
              <w:top w:w="15" w:type="dxa"/>
              <w:left w:w="15" w:type="dxa"/>
              <w:bottom w:w="0" w:type="dxa"/>
              <w:right w:w="15" w:type="dxa"/>
            </w:tcMar>
            <w:vAlign w:val="bottom"/>
            <w:hideMark/>
          </w:tcPr>
          <w:p w14:paraId="2076659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31,819</w:t>
            </w:r>
          </w:p>
        </w:tc>
        <w:tc>
          <w:tcPr>
            <w:tcW w:w="0" w:type="auto"/>
            <w:shd w:val="clear" w:color="auto" w:fill="auto"/>
            <w:noWrap/>
            <w:tcMar>
              <w:top w:w="15" w:type="dxa"/>
              <w:left w:w="15" w:type="dxa"/>
              <w:bottom w:w="0" w:type="dxa"/>
              <w:right w:w="15" w:type="dxa"/>
            </w:tcMar>
            <w:vAlign w:val="bottom"/>
            <w:hideMark/>
          </w:tcPr>
          <w:p w14:paraId="792413B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8,865</w:t>
            </w:r>
          </w:p>
        </w:tc>
        <w:tc>
          <w:tcPr>
            <w:tcW w:w="0" w:type="auto"/>
            <w:shd w:val="clear" w:color="auto" w:fill="auto"/>
            <w:noWrap/>
            <w:tcMar>
              <w:top w:w="15" w:type="dxa"/>
              <w:left w:w="15" w:type="dxa"/>
              <w:bottom w:w="0" w:type="dxa"/>
              <w:right w:w="15" w:type="dxa"/>
            </w:tcMar>
            <w:vAlign w:val="bottom"/>
            <w:hideMark/>
          </w:tcPr>
          <w:p w14:paraId="781546B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366</w:t>
            </w:r>
          </w:p>
        </w:tc>
        <w:tc>
          <w:tcPr>
            <w:tcW w:w="0" w:type="auto"/>
            <w:shd w:val="clear" w:color="auto" w:fill="auto"/>
            <w:noWrap/>
            <w:tcMar>
              <w:top w:w="15" w:type="dxa"/>
              <w:left w:w="15" w:type="dxa"/>
              <w:bottom w:w="0" w:type="dxa"/>
              <w:right w:w="15" w:type="dxa"/>
            </w:tcMar>
            <w:vAlign w:val="bottom"/>
            <w:hideMark/>
          </w:tcPr>
          <w:p w14:paraId="6346E8C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29,505</w:t>
            </w:r>
          </w:p>
        </w:tc>
        <w:tc>
          <w:tcPr>
            <w:tcW w:w="0" w:type="auto"/>
            <w:shd w:val="clear" w:color="auto" w:fill="auto"/>
            <w:noWrap/>
            <w:tcMar>
              <w:top w:w="15" w:type="dxa"/>
              <w:left w:w="15" w:type="dxa"/>
              <w:bottom w:w="0" w:type="dxa"/>
              <w:right w:w="15" w:type="dxa"/>
            </w:tcMar>
            <w:vAlign w:val="bottom"/>
            <w:hideMark/>
          </w:tcPr>
          <w:p w14:paraId="325CA50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327,017</w:t>
            </w:r>
          </w:p>
        </w:tc>
      </w:tr>
      <w:tr w:rsidR="007E365E" w:rsidRPr="002123AF" w14:paraId="34B58D2F"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6DF68907" w14:textId="77777777" w:rsidR="007E365E" w:rsidRDefault="007E365E" w:rsidP="007D1D77">
            <w:pPr>
              <w:keepNext/>
              <w:keepLines/>
              <w:spacing w:before="0" w:line="240" w:lineRule="auto"/>
              <w:rPr>
                <w:rFonts w:cs="Open Sans Light"/>
                <w:sz w:val="16"/>
                <w:szCs w:val="16"/>
              </w:rPr>
            </w:pPr>
            <w:r>
              <w:rPr>
                <w:rFonts w:cs="Open Sans Light"/>
                <w:sz w:val="16"/>
                <w:szCs w:val="16"/>
              </w:rPr>
              <w:t>Road length ($m)</w:t>
            </w:r>
          </w:p>
        </w:tc>
        <w:tc>
          <w:tcPr>
            <w:tcW w:w="0" w:type="auto"/>
            <w:shd w:val="clear" w:color="auto" w:fill="auto"/>
            <w:noWrap/>
            <w:tcMar>
              <w:top w:w="15" w:type="dxa"/>
              <w:left w:w="15" w:type="dxa"/>
              <w:bottom w:w="0" w:type="dxa"/>
              <w:right w:w="15" w:type="dxa"/>
            </w:tcMar>
            <w:vAlign w:val="bottom"/>
            <w:hideMark/>
          </w:tcPr>
          <w:p w14:paraId="25F3BA2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196</w:t>
            </w:r>
          </w:p>
        </w:tc>
        <w:tc>
          <w:tcPr>
            <w:tcW w:w="0" w:type="auto"/>
            <w:shd w:val="clear" w:color="auto" w:fill="auto"/>
            <w:noWrap/>
            <w:tcMar>
              <w:top w:w="15" w:type="dxa"/>
              <w:left w:w="15" w:type="dxa"/>
              <w:bottom w:w="0" w:type="dxa"/>
              <w:right w:w="15" w:type="dxa"/>
            </w:tcMar>
            <w:vAlign w:val="bottom"/>
            <w:hideMark/>
          </w:tcPr>
          <w:p w14:paraId="1238E6C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104</w:t>
            </w:r>
          </w:p>
        </w:tc>
        <w:tc>
          <w:tcPr>
            <w:tcW w:w="0" w:type="auto"/>
            <w:shd w:val="clear" w:color="auto" w:fill="auto"/>
            <w:noWrap/>
            <w:tcMar>
              <w:top w:w="15" w:type="dxa"/>
              <w:left w:w="15" w:type="dxa"/>
              <w:bottom w:w="0" w:type="dxa"/>
              <w:right w:w="15" w:type="dxa"/>
            </w:tcMar>
            <w:vAlign w:val="bottom"/>
            <w:hideMark/>
          </w:tcPr>
          <w:p w14:paraId="2BFAF34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209</w:t>
            </w:r>
          </w:p>
        </w:tc>
        <w:tc>
          <w:tcPr>
            <w:tcW w:w="0" w:type="auto"/>
            <w:shd w:val="clear" w:color="auto" w:fill="auto"/>
            <w:noWrap/>
            <w:tcMar>
              <w:top w:w="15" w:type="dxa"/>
              <w:left w:w="15" w:type="dxa"/>
              <w:bottom w:w="0" w:type="dxa"/>
              <w:right w:w="15" w:type="dxa"/>
            </w:tcMar>
            <w:vAlign w:val="bottom"/>
            <w:hideMark/>
          </w:tcPr>
          <w:p w14:paraId="5553DC7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140</w:t>
            </w:r>
          </w:p>
        </w:tc>
        <w:tc>
          <w:tcPr>
            <w:tcW w:w="0" w:type="auto"/>
            <w:shd w:val="clear" w:color="auto" w:fill="auto"/>
            <w:noWrap/>
            <w:tcMar>
              <w:top w:w="15" w:type="dxa"/>
              <w:left w:w="15" w:type="dxa"/>
              <w:bottom w:w="0" w:type="dxa"/>
              <w:right w:w="15" w:type="dxa"/>
            </w:tcMar>
            <w:vAlign w:val="bottom"/>
            <w:hideMark/>
          </w:tcPr>
          <w:p w14:paraId="0D3D636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81</w:t>
            </w:r>
          </w:p>
        </w:tc>
        <w:tc>
          <w:tcPr>
            <w:tcW w:w="0" w:type="auto"/>
            <w:shd w:val="clear" w:color="auto" w:fill="auto"/>
            <w:noWrap/>
            <w:tcMar>
              <w:top w:w="15" w:type="dxa"/>
              <w:left w:w="15" w:type="dxa"/>
              <w:bottom w:w="0" w:type="dxa"/>
              <w:right w:w="15" w:type="dxa"/>
            </w:tcMar>
            <w:vAlign w:val="bottom"/>
            <w:hideMark/>
          </w:tcPr>
          <w:p w14:paraId="071B134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22</w:t>
            </w:r>
          </w:p>
        </w:tc>
        <w:tc>
          <w:tcPr>
            <w:tcW w:w="0" w:type="auto"/>
            <w:shd w:val="clear" w:color="auto" w:fill="auto"/>
            <w:noWrap/>
            <w:tcMar>
              <w:top w:w="15" w:type="dxa"/>
              <w:left w:w="15" w:type="dxa"/>
              <w:bottom w:w="0" w:type="dxa"/>
              <w:right w:w="15" w:type="dxa"/>
            </w:tcMar>
            <w:vAlign w:val="bottom"/>
            <w:hideMark/>
          </w:tcPr>
          <w:p w14:paraId="34C0433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shd w:val="clear" w:color="auto" w:fill="auto"/>
            <w:noWrap/>
            <w:tcMar>
              <w:top w:w="15" w:type="dxa"/>
              <w:left w:w="15" w:type="dxa"/>
              <w:bottom w:w="0" w:type="dxa"/>
              <w:right w:w="15" w:type="dxa"/>
            </w:tcMar>
            <w:vAlign w:val="bottom"/>
            <w:hideMark/>
          </w:tcPr>
          <w:p w14:paraId="4EE08C4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75</w:t>
            </w:r>
          </w:p>
        </w:tc>
        <w:tc>
          <w:tcPr>
            <w:tcW w:w="0" w:type="auto"/>
            <w:shd w:val="clear" w:color="auto" w:fill="auto"/>
            <w:noWrap/>
            <w:tcMar>
              <w:top w:w="15" w:type="dxa"/>
              <w:left w:w="15" w:type="dxa"/>
              <w:bottom w:w="0" w:type="dxa"/>
              <w:right w:w="15" w:type="dxa"/>
            </w:tcMar>
            <w:vAlign w:val="bottom"/>
            <w:hideMark/>
          </w:tcPr>
          <w:p w14:paraId="1773133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828</w:t>
            </w:r>
          </w:p>
        </w:tc>
      </w:tr>
      <w:tr w:rsidR="007E365E" w:rsidRPr="002123AF" w14:paraId="59B77BE1"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33F61A3E" w14:textId="77777777" w:rsidR="007E365E" w:rsidRDefault="007E365E" w:rsidP="007D1D77">
            <w:pPr>
              <w:keepNext/>
              <w:keepLines/>
              <w:spacing w:before="0" w:line="240" w:lineRule="auto"/>
              <w:rPr>
                <w:rFonts w:cs="Open Sans Light"/>
                <w:sz w:val="16"/>
                <w:szCs w:val="16"/>
              </w:rPr>
            </w:pPr>
            <w:r>
              <w:rPr>
                <w:rFonts w:cs="Open Sans Light"/>
                <w:sz w:val="16"/>
                <w:szCs w:val="16"/>
              </w:rPr>
              <w:t>Traffic volume ('000 vkt)</w:t>
            </w:r>
          </w:p>
        </w:tc>
        <w:tc>
          <w:tcPr>
            <w:tcW w:w="0" w:type="auto"/>
            <w:shd w:val="clear" w:color="auto" w:fill="auto"/>
            <w:noWrap/>
            <w:tcMar>
              <w:top w:w="15" w:type="dxa"/>
              <w:left w:w="15" w:type="dxa"/>
              <w:bottom w:w="0" w:type="dxa"/>
              <w:right w:w="15" w:type="dxa"/>
            </w:tcMar>
            <w:vAlign w:val="bottom"/>
            <w:hideMark/>
          </w:tcPr>
          <w:p w14:paraId="0359920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12,210</w:t>
            </w:r>
          </w:p>
        </w:tc>
        <w:tc>
          <w:tcPr>
            <w:tcW w:w="0" w:type="auto"/>
            <w:shd w:val="clear" w:color="auto" w:fill="auto"/>
            <w:noWrap/>
            <w:tcMar>
              <w:top w:w="15" w:type="dxa"/>
              <w:left w:w="15" w:type="dxa"/>
              <w:bottom w:w="0" w:type="dxa"/>
              <w:right w:w="15" w:type="dxa"/>
            </w:tcMar>
            <w:vAlign w:val="bottom"/>
            <w:hideMark/>
          </w:tcPr>
          <w:p w14:paraId="1E4386F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9,550</w:t>
            </w:r>
          </w:p>
        </w:tc>
        <w:tc>
          <w:tcPr>
            <w:tcW w:w="0" w:type="auto"/>
            <w:shd w:val="clear" w:color="auto" w:fill="auto"/>
            <w:noWrap/>
            <w:tcMar>
              <w:top w:w="15" w:type="dxa"/>
              <w:left w:w="15" w:type="dxa"/>
              <w:bottom w:w="0" w:type="dxa"/>
              <w:right w:w="15" w:type="dxa"/>
            </w:tcMar>
            <w:vAlign w:val="bottom"/>
            <w:hideMark/>
          </w:tcPr>
          <w:p w14:paraId="1F9D473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9,609</w:t>
            </w:r>
          </w:p>
        </w:tc>
        <w:tc>
          <w:tcPr>
            <w:tcW w:w="0" w:type="auto"/>
            <w:shd w:val="clear" w:color="auto" w:fill="auto"/>
            <w:noWrap/>
            <w:tcMar>
              <w:top w:w="15" w:type="dxa"/>
              <w:left w:w="15" w:type="dxa"/>
              <w:bottom w:w="0" w:type="dxa"/>
              <w:right w:w="15" w:type="dxa"/>
            </w:tcMar>
            <w:vAlign w:val="bottom"/>
            <w:hideMark/>
          </w:tcPr>
          <w:p w14:paraId="6FC2A7A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4,761</w:t>
            </w:r>
          </w:p>
        </w:tc>
        <w:tc>
          <w:tcPr>
            <w:tcW w:w="0" w:type="auto"/>
            <w:shd w:val="clear" w:color="auto" w:fill="auto"/>
            <w:noWrap/>
            <w:tcMar>
              <w:top w:w="15" w:type="dxa"/>
              <w:left w:w="15" w:type="dxa"/>
              <w:bottom w:w="0" w:type="dxa"/>
              <w:right w:w="15" w:type="dxa"/>
            </w:tcMar>
            <w:vAlign w:val="bottom"/>
            <w:hideMark/>
          </w:tcPr>
          <w:p w14:paraId="19A6B03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4,339</w:t>
            </w:r>
          </w:p>
        </w:tc>
        <w:tc>
          <w:tcPr>
            <w:tcW w:w="0" w:type="auto"/>
            <w:shd w:val="clear" w:color="auto" w:fill="auto"/>
            <w:noWrap/>
            <w:tcMar>
              <w:top w:w="15" w:type="dxa"/>
              <w:left w:w="15" w:type="dxa"/>
              <w:bottom w:w="0" w:type="dxa"/>
              <w:right w:w="15" w:type="dxa"/>
            </w:tcMar>
            <w:vAlign w:val="bottom"/>
            <w:hideMark/>
          </w:tcPr>
          <w:p w14:paraId="2AC34C9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1,204</w:t>
            </w:r>
          </w:p>
        </w:tc>
        <w:tc>
          <w:tcPr>
            <w:tcW w:w="0" w:type="auto"/>
            <w:shd w:val="clear" w:color="auto" w:fill="auto"/>
            <w:noWrap/>
            <w:tcMar>
              <w:top w:w="15" w:type="dxa"/>
              <w:left w:w="15" w:type="dxa"/>
              <w:bottom w:w="0" w:type="dxa"/>
              <w:right w:w="15" w:type="dxa"/>
            </w:tcMar>
            <w:vAlign w:val="bottom"/>
            <w:hideMark/>
          </w:tcPr>
          <w:p w14:paraId="215E9E3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45E9726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582</w:t>
            </w:r>
          </w:p>
        </w:tc>
        <w:tc>
          <w:tcPr>
            <w:tcW w:w="0" w:type="auto"/>
            <w:shd w:val="clear" w:color="auto" w:fill="auto"/>
            <w:noWrap/>
            <w:tcMar>
              <w:top w:w="15" w:type="dxa"/>
              <w:left w:w="15" w:type="dxa"/>
              <w:bottom w:w="0" w:type="dxa"/>
              <w:right w:w="15" w:type="dxa"/>
            </w:tcMar>
            <w:vAlign w:val="bottom"/>
            <w:hideMark/>
          </w:tcPr>
          <w:p w14:paraId="27D60CD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42,255</w:t>
            </w:r>
          </w:p>
        </w:tc>
      </w:tr>
      <w:tr w:rsidR="007E365E" w:rsidRPr="002123AF" w14:paraId="0CE40824"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6F185687" w14:textId="77777777" w:rsidR="007E365E" w:rsidRDefault="007E365E" w:rsidP="007D1D77">
            <w:pPr>
              <w:keepNext/>
              <w:keepLines/>
              <w:spacing w:before="0" w:line="240" w:lineRule="auto"/>
              <w:rPr>
                <w:rFonts w:cs="Open Sans Light"/>
                <w:sz w:val="16"/>
                <w:szCs w:val="16"/>
              </w:rPr>
            </w:pPr>
            <w:r>
              <w:rPr>
                <w:rFonts w:cs="Open Sans Light"/>
                <w:sz w:val="16"/>
                <w:szCs w:val="16"/>
              </w:rPr>
              <w:t>Traffic volume ($m)</w:t>
            </w:r>
          </w:p>
        </w:tc>
        <w:tc>
          <w:tcPr>
            <w:tcW w:w="0" w:type="auto"/>
            <w:shd w:val="clear" w:color="auto" w:fill="auto"/>
            <w:noWrap/>
            <w:tcMar>
              <w:top w:w="15" w:type="dxa"/>
              <w:left w:w="15" w:type="dxa"/>
              <w:bottom w:w="0" w:type="dxa"/>
              <w:right w:w="15" w:type="dxa"/>
            </w:tcMar>
            <w:vAlign w:val="bottom"/>
            <w:hideMark/>
          </w:tcPr>
          <w:p w14:paraId="13BC798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506</w:t>
            </w:r>
          </w:p>
        </w:tc>
        <w:tc>
          <w:tcPr>
            <w:tcW w:w="0" w:type="auto"/>
            <w:shd w:val="clear" w:color="auto" w:fill="auto"/>
            <w:noWrap/>
            <w:tcMar>
              <w:top w:w="15" w:type="dxa"/>
              <w:left w:w="15" w:type="dxa"/>
              <w:bottom w:w="0" w:type="dxa"/>
              <w:right w:w="15" w:type="dxa"/>
            </w:tcMar>
            <w:vAlign w:val="bottom"/>
            <w:hideMark/>
          </w:tcPr>
          <w:p w14:paraId="408FB71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396</w:t>
            </w:r>
          </w:p>
        </w:tc>
        <w:tc>
          <w:tcPr>
            <w:tcW w:w="0" w:type="auto"/>
            <w:shd w:val="clear" w:color="auto" w:fill="auto"/>
            <w:noWrap/>
            <w:tcMar>
              <w:top w:w="15" w:type="dxa"/>
              <w:left w:w="15" w:type="dxa"/>
              <w:bottom w:w="0" w:type="dxa"/>
              <w:right w:w="15" w:type="dxa"/>
            </w:tcMar>
            <w:vAlign w:val="bottom"/>
            <w:hideMark/>
          </w:tcPr>
          <w:p w14:paraId="6470C9C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398</w:t>
            </w:r>
          </w:p>
        </w:tc>
        <w:tc>
          <w:tcPr>
            <w:tcW w:w="0" w:type="auto"/>
            <w:shd w:val="clear" w:color="auto" w:fill="auto"/>
            <w:noWrap/>
            <w:tcMar>
              <w:top w:w="15" w:type="dxa"/>
              <w:left w:w="15" w:type="dxa"/>
              <w:bottom w:w="0" w:type="dxa"/>
              <w:right w:w="15" w:type="dxa"/>
            </w:tcMar>
            <w:vAlign w:val="bottom"/>
            <w:hideMark/>
          </w:tcPr>
          <w:p w14:paraId="55F97C8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197</w:t>
            </w:r>
          </w:p>
        </w:tc>
        <w:tc>
          <w:tcPr>
            <w:tcW w:w="0" w:type="auto"/>
            <w:shd w:val="clear" w:color="auto" w:fill="auto"/>
            <w:noWrap/>
            <w:tcMar>
              <w:top w:w="15" w:type="dxa"/>
              <w:left w:w="15" w:type="dxa"/>
              <w:bottom w:w="0" w:type="dxa"/>
              <w:right w:w="15" w:type="dxa"/>
            </w:tcMar>
            <w:vAlign w:val="bottom"/>
            <w:hideMark/>
          </w:tcPr>
          <w:p w14:paraId="5F2B51C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180</w:t>
            </w:r>
          </w:p>
        </w:tc>
        <w:tc>
          <w:tcPr>
            <w:tcW w:w="0" w:type="auto"/>
            <w:shd w:val="clear" w:color="auto" w:fill="auto"/>
            <w:noWrap/>
            <w:tcMar>
              <w:top w:w="15" w:type="dxa"/>
              <w:left w:w="15" w:type="dxa"/>
              <w:bottom w:w="0" w:type="dxa"/>
              <w:right w:w="15" w:type="dxa"/>
            </w:tcMar>
            <w:vAlign w:val="bottom"/>
            <w:hideMark/>
          </w:tcPr>
          <w:p w14:paraId="1BEE5B5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50</w:t>
            </w:r>
          </w:p>
        </w:tc>
        <w:tc>
          <w:tcPr>
            <w:tcW w:w="0" w:type="auto"/>
            <w:shd w:val="clear" w:color="auto" w:fill="auto"/>
            <w:noWrap/>
            <w:tcMar>
              <w:top w:w="15" w:type="dxa"/>
              <w:left w:w="15" w:type="dxa"/>
              <w:bottom w:w="0" w:type="dxa"/>
              <w:right w:w="15" w:type="dxa"/>
            </w:tcMar>
            <w:vAlign w:val="bottom"/>
            <w:hideMark/>
          </w:tcPr>
          <w:p w14:paraId="223252E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7FA4046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24</w:t>
            </w:r>
          </w:p>
        </w:tc>
        <w:tc>
          <w:tcPr>
            <w:tcW w:w="0" w:type="auto"/>
            <w:shd w:val="clear" w:color="auto" w:fill="auto"/>
            <w:noWrap/>
            <w:tcMar>
              <w:top w:w="15" w:type="dxa"/>
              <w:left w:w="15" w:type="dxa"/>
              <w:bottom w:w="0" w:type="dxa"/>
              <w:right w:w="15" w:type="dxa"/>
            </w:tcMar>
            <w:vAlign w:val="bottom"/>
            <w:hideMark/>
          </w:tcPr>
          <w:p w14:paraId="524A712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1,751</w:t>
            </w:r>
          </w:p>
        </w:tc>
      </w:tr>
      <w:tr w:rsidR="007E365E" w:rsidRPr="002123AF" w14:paraId="2FC07A4C" w14:textId="77777777" w:rsidTr="007D1D77">
        <w:trPr>
          <w:trHeight w:val="555"/>
        </w:trPr>
        <w:tc>
          <w:tcPr>
            <w:tcW w:w="2260" w:type="dxa"/>
            <w:shd w:val="clear" w:color="auto" w:fill="auto"/>
            <w:tcMar>
              <w:top w:w="15" w:type="dxa"/>
              <w:left w:w="15" w:type="dxa"/>
              <w:bottom w:w="0" w:type="dxa"/>
              <w:right w:w="15" w:type="dxa"/>
            </w:tcMar>
            <w:vAlign w:val="bottom"/>
            <w:hideMark/>
          </w:tcPr>
          <w:p w14:paraId="2319032E" w14:textId="77777777" w:rsidR="007E365E" w:rsidRDefault="007E365E" w:rsidP="007D1D77">
            <w:pPr>
              <w:keepNext/>
              <w:keepLines/>
              <w:spacing w:before="0" w:line="240" w:lineRule="auto"/>
              <w:rPr>
                <w:rFonts w:cs="Open Sans Light"/>
                <w:sz w:val="16"/>
                <w:szCs w:val="16"/>
              </w:rPr>
            </w:pPr>
            <w:r>
              <w:rPr>
                <w:rFonts w:cs="Open Sans Light"/>
                <w:sz w:val="16"/>
                <w:szCs w:val="16"/>
              </w:rPr>
              <w:t>Heavy vehicle use (million AGM-km)</w:t>
            </w:r>
          </w:p>
        </w:tc>
        <w:tc>
          <w:tcPr>
            <w:tcW w:w="0" w:type="auto"/>
            <w:shd w:val="clear" w:color="auto" w:fill="auto"/>
            <w:noWrap/>
            <w:tcMar>
              <w:top w:w="15" w:type="dxa"/>
              <w:left w:w="15" w:type="dxa"/>
              <w:bottom w:w="0" w:type="dxa"/>
              <w:right w:w="15" w:type="dxa"/>
            </w:tcMar>
            <w:vAlign w:val="bottom"/>
            <w:hideMark/>
          </w:tcPr>
          <w:p w14:paraId="119BB4B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49,113</w:t>
            </w:r>
          </w:p>
        </w:tc>
        <w:tc>
          <w:tcPr>
            <w:tcW w:w="0" w:type="auto"/>
            <w:shd w:val="clear" w:color="auto" w:fill="auto"/>
            <w:noWrap/>
            <w:tcMar>
              <w:top w:w="15" w:type="dxa"/>
              <w:left w:w="15" w:type="dxa"/>
              <w:bottom w:w="0" w:type="dxa"/>
              <w:right w:w="15" w:type="dxa"/>
            </w:tcMar>
            <w:vAlign w:val="bottom"/>
            <w:hideMark/>
          </w:tcPr>
          <w:p w14:paraId="1D714C8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33,291</w:t>
            </w:r>
          </w:p>
        </w:tc>
        <w:tc>
          <w:tcPr>
            <w:tcW w:w="0" w:type="auto"/>
            <w:shd w:val="clear" w:color="auto" w:fill="auto"/>
            <w:noWrap/>
            <w:tcMar>
              <w:top w:w="15" w:type="dxa"/>
              <w:left w:w="15" w:type="dxa"/>
              <w:bottom w:w="0" w:type="dxa"/>
              <w:right w:w="15" w:type="dxa"/>
            </w:tcMar>
            <w:vAlign w:val="bottom"/>
            <w:hideMark/>
          </w:tcPr>
          <w:p w14:paraId="1E92257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37,844</w:t>
            </w:r>
          </w:p>
        </w:tc>
        <w:tc>
          <w:tcPr>
            <w:tcW w:w="0" w:type="auto"/>
            <w:shd w:val="clear" w:color="auto" w:fill="auto"/>
            <w:noWrap/>
            <w:tcMar>
              <w:top w:w="15" w:type="dxa"/>
              <w:left w:w="15" w:type="dxa"/>
              <w:bottom w:w="0" w:type="dxa"/>
              <w:right w:w="15" w:type="dxa"/>
            </w:tcMar>
            <w:vAlign w:val="bottom"/>
            <w:hideMark/>
          </w:tcPr>
          <w:p w14:paraId="67B4568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25,931</w:t>
            </w:r>
          </w:p>
        </w:tc>
        <w:tc>
          <w:tcPr>
            <w:tcW w:w="0" w:type="auto"/>
            <w:shd w:val="clear" w:color="auto" w:fill="auto"/>
            <w:noWrap/>
            <w:tcMar>
              <w:top w:w="15" w:type="dxa"/>
              <w:left w:w="15" w:type="dxa"/>
              <w:bottom w:w="0" w:type="dxa"/>
              <w:right w:w="15" w:type="dxa"/>
            </w:tcMar>
            <w:vAlign w:val="bottom"/>
            <w:hideMark/>
          </w:tcPr>
          <w:p w14:paraId="0C68E63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18,984</w:t>
            </w:r>
          </w:p>
        </w:tc>
        <w:tc>
          <w:tcPr>
            <w:tcW w:w="0" w:type="auto"/>
            <w:shd w:val="clear" w:color="auto" w:fill="auto"/>
            <w:noWrap/>
            <w:tcMar>
              <w:top w:w="15" w:type="dxa"/>
              <w:left w:w="15" w:type="dxa"/>
              <w:bottom w:w="0" w:type="dxa"/>
              <w:right w:w="15" w:type="dxa"/>
            </w:tcMar>
            <w:vAlign w:val="bottom"/>
            <w:hideMark/>
          </w:tcPr>
          <w:p w14:paraId="2F53BB8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4,341</w:t>
            </w:r>
          </w:p>
        </w:tc>
        <w:tc>
          <w:tcPr>
            <w:tcW w:w="0" w:type="auto"/>
            <w:shd w:val="clear" w:color="auto" w:fill="auto"/>
            <w:noWrap/>
            <w:tcMar>
              <w:top w:w="15" w:type="dxa"/>
              <w:left w:w="15" w:type="dxa"/>
              <w:bottom w:w="0" w:type="dxa"/>
              <w:right w:w="15" w:type="dxa"/>
            </w:tcMar>
            <w:vAlign w:val="bottom"/>
            <w:hideMark/>
          </w:tcPr>
          <w:p w14:paraId="3A4DAF5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514D58A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2,735</w:t>
            </w:r>
          </w:p>
        </w:tc>
        <w:tc>
          <w:tcPr>
            <w:tcW w:w="0" w:type="auto"/>
            <w:shd w:val="clear" w:color="auto" w:fill="auto"/>
            <w:noWrap/>
            <w:tcMar>
              <w:top w:w="15" w:type="dxa"/>
              <w:left w:w="15" w:type="dxa"/>
              <w:bottom w:w="0" w:type="dxa"/>
              <w:right w:w="15" w:type="dxa"/>
            </w:tcMar>
            <w:vAlign w:val="bottom"/>
            <w:hideMark/>
          </w:tcPr>
          <w:p w14:paraId="1F4EDEA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172,238</w:t>
            </w:r>
          </w:p>
        </w:tc>
      </w:tr>
      <w:tr w:rsidR="007E365E" w:rsidRPr="002123AF" w14:paraId="5932436C"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06206FFB" w14:textId="77777777" w:rsidR="007E365E" w:rsidRDefault="007E365E" w:rsidP="007D1D77">
            <w:pPr>
              <w:keepNext/>
              <w:keepLines/>
              <w:spacing w:before="0" w:line="240" w:lineRule="auto"/>
              <w:rPr>
                <w:rFonts w:cs="Open Sans Light"/>
                <w:sz w:val="16"/>
                <w:szCs w:val="16"/>
              </w:rPr>
            </w:pPr>
            <w:r>
              <w:rPr>
                <w:rFonts w:cs="Open Sans Light"/>
                <w:sz w:val="16"/>
                <w:szCs w:val="16"/>
              </w:rPr>
              <w:t>Heavy vehicle use ($m)</w:t>
            </w:r>
          </w:p>
        </w:tc>
        <w:tc>
          <w:tcPr>
            <w:tcW w:w="0" w:type="auto"/>
            <w:shd w:val="clear" w:color="auto" w:fill="auto"/>
            <w:noWrap/>
            <w:tcMar>
              <w:top w:w="15" w:type="dxa"/>
              <w:left w:w="15" w:type="dxa"/>
              <w:bottom w:w="0" w:type="dxa"/>
              <w:right w:w="15" w:type="dxa"/>
            </w:tcMar>
            <w:vAlign w:val="bottom"/>
            <w:hideMark/>
          </w:tcPr>
          <w:p w14:paraId="2574B6C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327</w:t>
            </w:r>
          </w:p>
        </w:tc>
        <w:tc>
          <w:tcPr>
            <w:tcW w:w="0" w:type="auto"/>
            <w:shd w:val="clear" w:color="auto" w:fill="auto"/>
            <w:noWrap/>
            <w:tcMar>
              <w:top w:w="15" w:type="dxa"/>
              <w:left w:w="15" w:type="dxa"/>
              <w:bottom w:w="0" w:type="dxa"/>
              <w:right w:w="15" w:type="dxa"/>
            </w:tcMar>
            <w:vAlign w:val="bottom"/>
            <w:hideMark/>
          </w:tcPr>
          <w:p w14:paraId="09945B1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222</w:t>
            </w:r>
          </w:p>
        </w:tc>
        <w:tc>
          <w:tcPr>
            <w:tcW w:w="0" w:type="auto"/>
            <w:shd w:val="clear" w:color="auto" w:fill="auto"/>
            <w:noWrap/>
            <w:tcMar>
              <w:top w:w="15" w:type="dxa"/>
              <w:left w:w="15" w:type="dxa"/>
              <w:bottom w:w="0" w:type="dxa"/>
              <w:right w:w="15" w:type="dxa"/>
            </w:tcMar>
            <w:vAlign w:val="bottom"/>
            <w:hideMark/>
          </w:tcPr>
          <w:p w14:paraId="1B774BB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252</w:t>
            </w:r>
          </w:p>
        </w:tc>
        <w:tc>
          <w:tcPr>
            <w:tcW w:w="0" w:type="auto"/>
            <w:shd w:val="clear" w:color="auto" w:fill="auto"/>
            <w:noWrap/>
            <w:tcMar>
              <w:top w:w="15" w:type="dxa"/>
              <w:left w:w="15" w:type="dxa"/>
              <w:bottom w:w="0" w:type="dxa"/>
              <w:right w:w="15" w:type="dxa"/>
            </w:tcMar>
            <w:vAlign w:val="bottom"/>
            <w:hideMark/>
          </w:tcPr>
          <w:p w14:paraId="4A9F599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173</w:t>
            </w:r>
          </w:p>
        </w:tc>
        <w:tc>
          <w:tcPr>
            <w:tcW w:w="0" w:type="auto"/>
            <w:shd w:val="clear" w:color="auto" w:fill="auto"/>
            <w:noWrap/>
            <w:tcMar>
              <w:top w:w="15" w:type="dxa"/>
              <w:left w:w="15" w:type="dxa"/>
              <w:bottom w:w="0" w:type="dxa"/>
              <w:right w:w="15" w:type="dxa"/>
            </w:tcMar>
            <w:vAlign w:val="bottom"/>
            <w:hideMark/>
          </w:tcPr>
          <w:p w14:paraId="5E3D71C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127</w:t>
            </w:r>
          </w:p>
        </w:tc>
        <w:tc>
          <w:tcPr>
            <w:tcW w:w="0" w:type="auto"/>
            <w:shd w:val="clear" w:color="auto" w:fill="auto"/>
            <w:noWrap/>
            <w:tcMar>
              <w:top w:w="15" w:type="dxa"/>
              <w:left w:w="15" w:type="dxa"/>
              <w:bottom w:w="0" w:type="dxa"/>
              <w:right w:w="15" w:type="dxa"/>
            </w:tcMar>
            <w:vAlign w:val="bottom"/>
            <w:hideMark/>
          </w:tcPr>
          <w:p w14:paraId="7642399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29</w:t>
            </w:r>
          </w:p>
        </w:tc>
        <w:tc>
          <w:tcPr>
            <w:tcW w:w="0" w:type="auto"/>
            <w:shd w:val="clear" w:color="auto" w:fill="auto"/>
            <w:noWrap/>
            <w:tcMar>
              <w:top w:w="15" w:type="dxa"/>
              <w:left w:w="15" w:type="dxa"/>
              <w:bottom w:w="0" w:type="dxa"/>
              <w:right w:w="15" w:type="dxa"/>
            </w:tcMar>
            <w:vAlign w:val="bottom"/>
            <w:hideMark/>
          </w:tcPr>
          <w:p w14:paraId="65A8BB2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152000A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shd w:val="clear" w:color="auto" w:fill="auto"/>
            <w:noWrap/>
            <w:tcMar>
              <w:top w:w="15" w:type="dxa"/>
              <w:left w:w="15" w:type="dxa"/>
              <w:bottom w:w="0" w:type="dxa"/>
              <w:right w:w="15" w:type="dxa"/>
            </w:tcMar>
            <w:vAlign w:val="bottom"/>
            <w:hideMark/>
          </w:tcPr>
          <w:p w14:paraId="07C6302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1,148</w:t>
            </w:r>
          </w:p>
        </w:tc>
      </w:tr>
      <w:tr w:rsidR="007E365E" w:rsidRPr="002123AF" w14:paraId="4DE3D4F0"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78517EB7" w14:textId="77777777" w:rsidR="007E365E" w:rsidRDefault="007E365E" w:rsidP="007D1D77">
            <w:pPr>
              <w:keepNext/>
              <w:keepLines/>
              <w:spacing w:before="0" w:line="240" w:lineRule="auto"/>
              <w:rPr>
                <w:rFonts w:cs="Open Sans Light"/>
                <w:sz w:val="16"/>
                <w:szCs w:val="16"/>
              </w:rPr>
            </w:pPr>
            <w:r>
              <w:rPr>
                <w:rFonts w:cs="Open Sans Light"/>
                <w:sz w:val="16"/>
                <w:szCs w:val="16"/>
              </w:rPr>
              <w:t>Regional costs factor</w:t>
            </w:r>
          </w:p>
        </w:tc>
        <w:tc>
          <w:tcPr>
            <w:tcW w:w="0" w:type="auto"/>
            <w:shd w:val="clear" w:color="auto" w:fill="auto"/>
            <w:noWrap/>
            <w:tcMar>
              <w:top w:w="15" w:type="dxa"/>
              <w:left w:w="15" w:type="dxa"/>
              <w:bottom w:w="0" w:type="dxa"/>
              <w:right w:w="15" w:type="dxa"/>
            </w:tcMar>
            <w:vAlign w:val="bottom"/>
            <w:hideMark/>
          </w:tcPr>
          <w:p w14:paraId="697735A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0.982</w:t>
            </w:r>
          </w:p>
        </w:tc>
        <w:tc>
          <w:tcPr>
            <w:tcW w:w="0" w:type="auto"/>
            <w:shd w:val="clear" w:color="auto" w:fill="auto"/>
            <w:noWrap/>
            <w:tcMar>
              <w:top w:w="15" w:type="dxa"/>
              <w:left w:w="15" w:type="dxa"/>
              <w:bottom w:w="0" w:type="dxa"/>
              <w:right w:w="15" w:type="dxa"/>
            </w:tcMar>
            <w:vAlign w:val="bottom"/>
            <w:hideMark/>
          </w:tcPr>
          <w:p w14:paraId="1D53302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0.941</w:t>
            </w:r>
          </w:p>
        </w:tc>
        <w:tc>
          <w:tcPr>
            <w:tcW w:w="0" w:type="auto"/>
            <w:shd w:val="clear" w:color="auto" w:fill="auto"/>
            <w:noWrap/>
            <w:tcMar>
              <w:top w:w="15" w:type="dxa"/>
              <w:left w:w="15" w:type="dxa"/>
              <w:bottom w:w="0" w:type="dxa"/>
              <w:right w:w="15" w:type="dxa"/>
            </w:tcMar>
            <w:vAlign w:val="bottom"/>
            <w:hideMark/>
          </w:tcPr>
          <w:p w14:paraId="1B6AF6C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1.056</w:t>
            </w:r>
          </w:p>
        </w:tc>
        <w:tc>
          <w:tcPr>
            <w:tcW w:w="0" w:type="auto"/>
            <w:shd w:val="clear" w:color="auto" w:fill="auto"/>
            <w:noWrap/>
            <w:tcMar>
              <w:top w:w="15" w:type="dxa"/>
              <w:left w:w="15" w:type="dxa"/>
              <w:bottom w:w="0" w:type="dxa"/>
              <w:right w:w="15" w:type="dxa"/>
            </w:tcMar>
            <w:vAlign w:val="bottom"/>
            <w:hideMark/>
          </w:tcPr>
          <w:p w14:paraId="7189E30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1.079</w:t>
            </w:r>
          </w:p>
        </w:tc>
        <w:tc>
          <w:tcPr>
            <w:tcW w:w="0" w:type="auto"/>
            <w:shd w:val="clear" w:color="auto" w:fill="auto"/>
            <w:noWrap/>
            <w:tcMar>
              <w:top w:w="15" w:type="dxa"/>
              <w:left w:w="15" w:type="dxa"/>
              <w:bottom w:w="0" w:type="dxa"/>
              <w:right w:w="15" w:type="dxa"/>
            </w:tcMar>
            <w:vAlign w:val="bottom"/>
            <w:hideMark/>
          </w:tcPr>
          <w:p w14:paraId="51D70F8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1.026</w:t>
            </w:r>
          </w:p>
        </w:tc>
        <w:tc>
          <w:tcPr>
            <w:tcW w:w="0" w:type="auto"/>
            <w:shd w:val="clear" w:color="auto" w:fill="auto"/>
            <w:noWrap/>
            <w:tcMar>
              <w:top w:w="15" w:type="dxa"/>
              <w:left w:w="15" w:type="dxa"/>
              <w:bottom w:w="0" w:type="dxa"/>
              <w:right w:w="15" w:type="dxa"/>
            </w:tcMar>
            <w:vAlign w:val="bottom"/>
            <w:hideMark/>
          </w:tcPr>
          <w:p w14:paraId="427BB0A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0.984</w:t>
            </w:r>
          </w:p>
        </w:tc>
        <w:tc>
          <w:tcPr>
            <w:tcW w:w="0" w:type="auto"/>
            <w:shd w:val="clear" w:color="auto" w:fill="auto"/>
            <w:noWrap/>
            <w:tcMar>
              <w:top w:w="15" w:type="dxa"/>
              <w:left w:w="15" w:type="dxa"/>
              <w:bottom w:w="0" w:type="dxa"/>
              <w:right w:w="15" w:type="dxa"/>
            </w:tcMar>
            <w:vAlign w:val="bottom"/>
            <w:hideMark/>
          </w:tcPr>
          <w:p w14:paraId="1E34746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0.922</w:t>
            </w:r>
          </w:p>
        </w:tc>
        <w:tc>
          <w:tcPr>
            <w:tcW w:w="0" w:type="auto"/>
            <w:shd w:val="clear" w:color="auto" w:fill="auto"/>
            <w:noWrap/>
            <w:tcMar>
              <w:top w:w="15" w:type="dxa"/>
              <w:left w:w="15" w:type="dxa"/>
              <w:bottom w:w="0" w:type="dxa"/>
              <w:right w:w="15" w:type="dxa"/>
            </w:tcMar>
            <w:vAlign w:val="bottom"/>
            <w:hideMark/>
          </w:tcPr>
          <w:p w14:paraId="5D631BD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1.133</w:t>
            </w:r>
          </w:p>
        </w:tc>
        <w:tc>
          <w:tcPr>
            <w:tcW w:w="0" w:type="auto"/>
            <w:shd w:val="clear" w:color="auto" w:fill="auto"/>
            <w:noWrap/>
            <w:tcMar>
              <w:top w:w="15" w:type="dxa"/>
              <w:left w:w="15" w:type="dxa"/>
              <w:bottom w:w="0" w:type="dxa"/>
              <w:right w:w="15" w:type="dxa"/>
            </w:tcMar>
            <w:vAlign w:val="bottom"/>
            <w:hideMark/>
          </w:tcPr>
          <w:p w14:paraId="3E2FE15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1.000</w:t>
            </w:r>
          </w:p>
        </w:tc>
      </w:tr>
      <w:tr w:rsidR="007E365E" w:rsidRPr="002123AF" w14:paraId="1A42E9E4"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386CE656" w14:textId="77777777" w:rsidR="007E365E" w:rsidRDefault="007E365E" w:rsidP="007D1D77">
            <w:pPr>
              <w:keepNext/>
              <w:keepLines/>
              <w:spacing w:before="0" w:line="240" w:lineRule="auto"/>
              <w:rPr>
                <w:rFonts w:cs="Open Sans Light"/>
                <w:sz w:val="16"/>
                <w:szCs w:val="16"/>
              </w:rPr>
            </w:pPr>
            <w:r>
              <w:rPr>
                <w:rFonts w:cs="Open Sans Light"/>
                <w:sz w:val="16"/>
                <w:szCs w:val="16"/>
              </w:rPr>
              <w:t>Wage costs factor</w:t>
            </w:r>
          </w:p>
        </w:tc>
        <w:tc>
          <w:tcPr>
            <w:tcW w:w="0" w:type="auto"/>
            <w:shd w:val="clear" w:color="auto" w:fill="auto"/>
            <w:noWrap/>
            <w:tcMar>
              <w:top w:w="15" w:type="dxa"/>
              <w:left w:w="15" w:type="dxa"/>
              <w:bottom w:w="0" w:type="dxa"/>
              <w:right w:w="15" w:type="dxa"/>
            </w:tcMar>
            <w:vAlign w:val="bottom"/>
            <w:hideMark/>
          </w:tcPr>
          <w:p w14:paraId="44CD415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1.006</w:t>
            </w:r>
          </w:p>
        </w:tc>
        <w:tc>
          <w:tcPr>
            <w:tcW w:w="0" w:type="auto"/>
            <w:shd w:val="clear" w:color="auto" w:fill="auto"/>
            <w:noWrap/>
            <w:tcMar>
              <w:top w:w="15" w:type="dxa"/>
              <w:left w:w="15" w:type="dxa"/>
              <w:bottom w:w="0" w:type="dxa"/>
              <w:right w:w="15" w:type="dxa"/>
            </w:tcMar>
            <w:vAlign w:val="bottom"/>
            <w:hideMark/>
          </w:tcPr>
          <w:p w14:paraId="1150871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0.994</w:t>
            </w:r>
          </w:p>
        </w:tc>
        <w:tc>
          <w:tcPr>
            <w:tcW w:w="0" w:type="auto"/>
            <w:shd w:val="clear" w:color="auto" w:fill="auto"/>
            <w:noWrap/>
            <w:tcMar>
              <w:top w:w="15" w:type="dxa"/>
              <w:left w:w="15" w:type="dxa"/>
              <w:bottom w:w="0" w:type="dxa"/>
              <w:right w:w="15" w:type="dxa"/>
            </w:tcMar>
            <w:vAlign w:val="bottom"/>
            <w:hideMark/>
          </w:tcPr>
          <w:p w14:paraId="595C3B9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0.996</w:t>
            </w:r>
          </w:p>
        </w:tc>
        <w:tc>
          <w:tcPr>
            <w:tcW w:w="0" w:type="auto"/>
            <w:shd w:val="clear" w:color="auto" w:fill="auto"/>
            <w:noWrap/>
            <w:tcMar>
              <w:top w:w="15" w:type="dxa"/>
              <w:left w:w="15" w:type="dxa"/>
              <w:bottom w:w="0" w:type="dxa"/>
              <w:right w:w="15" w:type="dxa"/>
            </w:tcMar>
            <w:vAlign w:val="bottom"/>
            <w:hideMark/>
          </w:tcPr>
          <w:p w14:paraId="426660A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1.018</w:t>
            </w:r>
          </w:p>
        </w:tc>
        <w:tc>
          <w:tcPr>
            <w:tcW w:w="0" w:type="auto"/>
            <w:shd w:val="clear" w:color="auto" w:fill="auto"/>
            <w:noWrap/>
            <w:tcMar>
              <w:top w:w="15" w:type="dxa"/>
              <w:left w:w="15" w:type="dxa"/>
              <w:bottom w:w="0" w:type="dxa"/>
              <w:right w:w="15" w:type="dxa"/>
            </w:tcMar>
            <w:vAlign w:val="bottom"/>
            <w:hideMark/>
          </w:tcPr>
          <w:p w14:paraId="6C96AFD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0.979</w:t>
            </w:r>
          </w:p>
        </w:tc>
        <w:tc>
          <w:tcPr>
            <w:tcW w:w="0" w:type="auto"/>
            <w:shd w:val="clear" w:color="auto" w:fill="auto"/>
            <w:noWrap/>
            <w:tcMar>
              <w:top w:w="15" w:type="dxa"/>
              <w:left w:w="15" w:type="dxa"/>
              <w:bottom w:w="0" w:type="dxa"/>
              <w:right w:w="15" w:type="dxa"/>
            </w:tcMar>
            <w:vAlign w:val="bottom"/>
            <w:hideMark/>
          </w:tcPr>
          <w:p w14:paraId="6BE5E99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0.972</w:t>
            </w:r>
          </w:p>
        </w:tc>
        <w:tc>
          <w:tcPr>
            <w:tcW w:w="0" w:type="auto"/>
            <w:shd w:val="clear" w:color="auto" w:fill="auto"/>
            <w:noWrap/>
            <w:tcMar>
              <w:top w:w="15" w:type="dxa"/>
              <w:left w:w="15" w:type="dxa"/>
              <w:bottom w:w="0" w:type="dxa"/>
              <w:right w:w="15" w:type="dxa"/>
            </w:tcMar>
            <w:vAlign w:val="bottom"/>
            <w:hideMark/>
          </w:tcPr>
          <w:p w14:paraId="6E3FD93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1.019</w:t>
            </w:r>
          </w:p>
        </w:tc>
        <w:tc>
          <w:tcPr>
            <w:tcW w:w="0" w:type="auto"/>
            <w:shd w:val="clear" w:color="auto" w:fill="auto"/>
            <w:noWrap/>
            <w:tcMar>
              <w:top w:w="15" w:type="dxa"/>
              <w:left w:w="15" w:type="dxa"/>
              <w:bottom w:w="0" w:type="dxa"/>
              <w:right w:w="15" w:type="dxa"/>
            </w:tcMar>
            <w:vAlign w:val="bottom"/>
            <w:hideMark/>
          </w:tcPr>
          <w:p w14:paraId="227D013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1.029</w:t>
            </w:r>
          </w:p>
        </w:tc>
        <w:tc>
          <w:tcPr>
            <w:tcW w:w="0" w:type="auto"/>
            <w:shd w:val="clear" w:color="auto" w:fill="auto"/>
            <w:noWrap/>
            <w:tcMar>
              <w:top w:w="15" w:type="dxa"/>
              <w:left w:w="15" w:type="dxa"/>
              <w:bottom w:w="0" w:type="dxa"/>
              <w:right w:w="15" w:type="dxa"/>
            </w:tcMar>
            <w:vAlign w:val="bottom"/>
            <w:hideMark/>
          </w:tcPr>
          <w:p w14:paraId="30A3E2D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1.000</w:t>
            </w:r>
          </w:p>
        </w:tc>
      </w:tr>
      <w:tr w:rsidR="007E365E" w:rsidRPr="002123AF" w14:paraId="505A29DA" w14:textId="77777777" w:rsidTr="007D1D77">
        <w:trPr>
          <w:trHeight w:val="315"/>
        </w:trPr>
        <w:tc>
          <w:tcPr>
            <w:tcW w:w="0" w:type="auto"/>
            <w:shd w:val="clear" w:color="000000" w:fill="D6E7F0"/>
            <w:noWrap/>
            <w:tcMar>
              <w:top w:w="15" w:type="dxa"/>
              <w:left w:w="15" w:type="dxa"/>
              <w:bottom w:w="0" w:type="dxa"/>
              <w:right w:w="15" w:type="dxa"/>
            </w:tcMar>
            <w:vAlign w:val="bottom"/>
            <w:hideMark/>
          </w:tcPr>
          <w:p w14:paraId="14138CBF" w14:textId="77777777" w:rsidR="007E365E" w:rsidRDefault="007E365E" w:rsidP="007D1D77">
            <w:pPr>
              <w:keepNext/>
              <w:keepLines/>
              <w:spacing w:before="0" w:line="240" w:lineRule="auto"/>
              <w:rPr>
                <w:rFonts w:ascii="Open Sans SemiBold" w:hAnsi="Open Sans SemiBold" w:cs="Open Sans SemiBold"/>
                <w:color w:val="000000"/>
                <w:sz w:val="16"/>
                <w:szCs w:val="16"/>
              </w:rPr>
            </w:pPr>
            <w:r>
              <w:rPr>
                <w:rFonts w:ascii="Open Sans SemiBold" w:hAnsi="Open Sans SemiBold" w:cs="Open Sans SemiBold"/>
                <w:color w:val="000000"/>
                <w:sz w:val="16"/>
                <w:szCs w:val="16"/>
              </w:rPr>
              <w:t>Assessed expenses ($m)</w:t>
            </w:r>
          </w:p>
        </w:tc>
        <w:tc>
          <w:tcPr>
            <w:tcW w:w="0" w:type="auto"/>
            <w:shd w:val="clear" w:color="000000" w:fill="D6E7F0"/>
            <w:noWrap/>
            <w:tcMar>
              <w:top w:w="15" w:type="dxa"/>
              <w:left w:w="15" w:type="dxa"/>
              <w:bottom w:w="0" w:type="dxa"/>
              <w:right w:w="15" w:type="dxa"/>
            </w:tcMar>
            <w:vAlign w:val="bottom"/>
            <w:hideMark/>
          </w:tcPr>
          <w:p w14:paraId="4D0B48B6"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1,026</w:t>
            </w:r>
          </w:p>
        </w:tc>
        <w:tc>
          <w:tcPr>
            <w:tcW w:w="0" w:type="auto"/>
            <w:shd w:val="clear" w:color="000000" w:fill="D6E7F0"/>
            <w:noWrap/>
            <w:tcMar>
              <w:top w:w="15" w:type="dxa"/>
              <w:left w:w="15" w:type="dxa"/>
              <w:bottom w:w="0" w:type="dxa"/>
              <w:right w:w="15" w:type="dxa"/>
            </w:tcMar>
            <w:vAlign w:val="bottom"/>
            <w:hideMark/>
          </w:tcPr>
          <w:p w14:paraId="44F15957"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708</w:t>
            </w:r>
          </w:p>
        </w:tc>
        <w:tc>
          <w:tcPr>
            <w:tcW w:w="0" w:type="auto"/>
            <w:shd w:val="clear" w:color="000000" w:fill="D6E7F0"/>
            <w:noWrap/>
            <w:tcMar>
              <w:top w:w="15" w:type="dxa"/>
              <w:left w:w="15" w:type="dxa"/>
              <w:bottom w:w="0" w:type="dxa"/>
              <w:right w:w="15" w:type="dxa"/>
            </w:tcMar>
            <w:vAlign w:val="bottom"/>
            <w:hideMark/>
          </w:tcPr>
          <w:p w14:paraId="79FD35AB"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861</w:t>
            </w:r>
          </w:p>
        </w:tc>
        <w:tc>
          <w:tcPr>
            <w:tcW w:w="0" w:type="auto"/>
            <w:shd w:val="clear" w:color="000000" w:fill="D6E7F0"/>
            <w:noWrap/>
            <w:tcMar>
              <w:top w:w="15" w:type="dxa"/>
              <w:left w:w="15" w:type="dxa"/>
              <w:bottom w:w="0" w:type="dxa"/>
              <w:right w:w="15" w:type="dxa"/>
            </w:tcMar>
            <w:vAlign w:val="bottom"/>
            <w:hideMark/>
          </w:tcPr>
          <w:p w14:paraId="0200E3E0"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526</w:t>
            </w:r>
          </w:p>
        </w:tc>
        <w:tc>
          <w:tcPr>
            <w:tcW w:w="0" w:type="auto"/>
            <w:shd w:val="clear" w:color="000000" w:fill="D6E7F0"/>
            <w:noWrap/>
            <w:tcMar>
              <w:top w:w="15" w:type="dxa"/>
              <w:left w:w="15" w:type="dxa"/>
              <w:bottom w:w="0" w:type="dxa"/>
              <w:right w:w="15" w:type="dxa"/>
            </w:tcMar>
            <w:vAlign w:val="bottom"/>
            <w:hideMark/>
          </w:tcPr>
          <w:p w14:paraId="7732BA80"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378</w:t>
            </w:r>
          </w:p>
        </w:tc>
        <w:tc>
          <w:tcPr>
            <w:tcW w:w="0" w:type="auto"/>
            <w:shd w:val="clear" w:color="000000" w:fill="D6E7F0"/>
            <w:noWrap/>
            <w:tcMar>
              <w:top w:w="15" w:type="dxa"/>
              <w:left w:w="15" w:type="dxa"/>
              <w:bottom w:w="0" w:type="dxa"/>
              <w:right w:w="15" w:type="dxa"/>
            </w:tcMar>
            <w:vAlign w:val="bottom"/>
            <w:hideMark/>
          </w:tcPr>
          <w:p w14:paraId="7029AE32"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97</w:t>
            </w:r>
          </w:p>
        </w:tc>
        <w:tc>
          <w:tcPr>
            <w:tcW w:w="0" w:type="auto"/>
            <w:shd w:val="clear" w:color="000000" w:fill="D6E7F0"/>
            <w:noWrap/>
            <w:tcMar>
              <w:top w:w="15" w:type="dxa"/>
              <w:left w:w="15" w:type="dxa"/>
              <w:bottom w:w="0" w:type="dxa"/>
              <w:right w:w="15" w:type="dxa"/>
            </w:tcMar>
            <w:vAlign w:val="bottom"/>
            <w:hideMark/>
          </w:tcPr>
          <w:p w14:paraId="0A0CA216"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w:t>
            </w:r>
          </w:p>
        </w:tc>
        <w:tc>
          <w:tcPr>
            <w:tcW w:w="0" w:type="auto"/>
            <w:shd w:val="clear" w:color="000000" w:fill="D6E7F0"/>
            <w:noWrap/>
            <w:tcMar>
              <w:top w:w="15" w:type="dxa"/>
              <w:left w:w="15" w:type="dxa"/>
              <w:bottom w:w="0" w:type="dxa"/>
              <w:right w:w="15" w:type="dxa"/>
            </w:tcMar>
            <w:vAlign w:val="bottom"/>
            <w:hideMark/>
          </w:tcPr>
          <w:p w14:paraId="21B2EB74"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128</w:t>
            </w:r>
          </w:p>
        </w:tc>
        <w:tc>
          <w:tcPr>
            <w:tcW w:w="0" w:type="auto"/>
            <w:shd w:val="clear" w:color="000000" w:fill="D6E7F0"/>
            <w:noWrap/>
            <w:tcMar>
              <w:top w:w="15" w:type="dxa"/>
              <w:left w:w="15" w:type="dxa"/>
              <w:bottom w:w="0" w:type="dxa"/>
              <w:right w:w="15" w:type="dxa"/>
            </w:tcMar>
            <w:vAlign w:val="bottom"/>
            <w:hideMark/>
          </w:tcPr>
          <w:p w14:paraId="67FF833A"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3,727</w:t>
            </w:r>
          </w:p>
        </w:tc>
      </w:tr>
      <w:tr w:rsidR="007E365E" w:rsidRPr="002123AF" w14:paraId="1EC6FA81" w14:textId="77777777" w:rsidTr="007D1D77">
        <w:trPr>
          <w:trHeight w:val="315"/>
        </w:trPr>
        <w:tc>
          <w:tcPr>
            <w:tcW w:w="0" w:type="auto"/>
            <w:shd w:val="clear" w:color="000000" w:fill="D6E7F0"/>
            <w:noWrap/>
            <w:tcMar>
              <w:top w:w="15" w:type="dxa"/>
              <w:left w:w="15" w:type="dxa"/>
              <w:bottom w:w="0" w:type="dxa"/>
              <w:right w:w="15" w:type="dxa"/>
            </w:tcMar>
            <w:vAlign w:val="bottom"/>
            <w:hideMark/>
          </w:tcPr>
          <w:p w14:paraId="2E046B9C" w14:textId="77777777" w:rsidR="007E365E" w:rsidRDefault="007E365E" w:rsidP="007D1D77">
            <w:pPr>
              <w:keepNext/>
              <w:keepLines/>
              <w:spacing w:before="0" w:line="240" w:lineRule="auto"/>
              <w:rPr>
                <w:rFonts w:ascii="Open Sans SemiBold" w:hAnsi="Open Sans SemiBold" w:cs="Open Sans SemiBold"/>
                <w:color w:val="000000"/>
                <w:sz w:val="16"/>
                <w:szCs w:val="16"/>
              </w:rPr>
            </w:pPr>
            <w:r>
              <w:rPr>
                <w:rFonts w:ascii="Open Sans SemiBold" w:hAnsi="Open Sans SemiBold" w:cs="Open Sans SemiBold"/>
                <w:color w:val="000000"/>
                <w:sz w:val="16"/>
                <w:szCs w:val="16"/>
              </w:rPr>
              <w:t>Assessed expenses ($pc)</w:t>
            </w:r>
          </w:p>
        </w:tc>
        <w:tc>
          <w:tcPr>
            <w:tcW w:w="0" w:type="auto"/>
            <w:shd w:val="clear" w:color="000000" w:fill="D6E7F0"/>
            <w:noWrap/>
            <w:tcMar>
              <w:top w:w="15" w:type="dxa"/>
              <w:left w:w="15" w:type="dxa"/>
              <w:bottom w:w="0" w:type="dxa"/>
              <w:right w:w="15" w:type="dxa"/>
            </w:tcMar>
            <w:vAlign w:val="bottom"/>
            <w:hideMark/>
          </w:tcPr>
          <w:p w14:paraId="7AA10A39"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128</w:t>
            </w:r>
          </w:p>
        </w:tc>
        <w:tc>
          <w:tcPr>
            <w:tcW w:w="0" w:type="auto"/>
            <w:shd w:val="clear" w:color="000000" w:fill="D6E7F0"/>
            <w:noWrap/>
            <w:tcMar>
              <w:top w:w="15" w:type="dxa"/>
              <w:left w:w="15" w:type="dxa"/>
              <w:bottom w:w="0" w:type="dxa"/>
              <w:right w:w="15" w:type="dxa"/>
            </w:tcMar>
            <w:vAlign w:val="bottom"/>
            <w:hideMark/>
          </w:tcPr>
          <w:p w14:paraId="0F1222A6"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109</w:t>
            </w:r>
          </w:p>
        </w:tc>
        <w:tc>
          <w:tcPr>
            <w:tcW w:w="0" w:type="auto"/>
            <w:shd w:val="clear" w:color="000000" w:fill="D6E7F0"/>
            <w:noWrap/>
            <w:tcMar>
              <w:top w:w="15" w:type="dxa"/>
              <w:left w:w="15" w:type="dxa"/>
              <w:bottom w:w="0" w:type="dxa"/>
              <w:right w:w="15" w:type="dxa"/>
            </w:tcMar>
            <w:vAlign w:val="bottom"/>
            <w:hideMark/>
          </w:tcPr>
          <w:p w14:paraId="45C7EA2F"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170</w:t>
            </w:r>
          </w:p>
        </w:tc>
        <w:tc>
          <w:tcPr>
            <w:tcW w:w="0" w:type="auto"/>
            <w:shd w:val="clear" w:color="000000" w:fill="D6E7F0"/>
            <w:noWrap/>
            <w:tcMar>
              <w:top w:w="15" w:type="dxa"/>
              <w:left w:w="15" w:type="dxa"/>
              <w:bottom w:w="0" w:type="dxa"/>
              <w:right w:w="15" w:type="dxa"/>
            </w:tcMar>
            <w:vAlign w:val="bottom"/>
            <w:hideMark/>
          </w:tcPr>
          <w:p w14:paraId="216FE98A"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202</w:t>
            </w:r>
          </w:p>
        </w:tc>
        <w:tc>
          <w:tcPr>
            <w:tcW w:w="0" w:type="auto"/>
            <w:shd w:val="clear" w:color="000000" w:fill="D6E7F0"/>
            <w:noWrap/>
            <w:tcMar>
              <w:top w:w="15" w:type="dxa"/>
              <w:left w:w="15" w:type="dxa"/>
              <w:bottom w:w="0" w:type="dxa"/>
              <w:right w:w="15" w:type="dxa"/>
            </w:tcMar>
            <w:vAlign w:val="bottom"/>
            <w:hideMark/>
          </w:tcPr>
          <w:p w14:paraId="5D5F0C27"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217</w:t>
            </w:r>
          </w:p>
        </w:tc>
        <w:tc>
          <w:tcPr>
            <w:tcW w:w="0" w:type="auto"/>
            <w:shd w:val="clear" w:color="000000" w:fill="D6E7F0"/>
            <w:noWrap/>
            <w:tcMar>
              <w:top w:w="15" w:type="dxa"/>
              <w:left w:w="15" w:type="dxa"/>
              <w:bottom w:w="0" w:type="dxa"/>
              <w:right w:w="15" w:type="dxa"/>
            </w:tcMar>
            <w:vAlign w:val="bottom"/>
            <w:hideMark/>
          </w:tcPr>
          <w:p w14:paraId="226216C7"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183</w:t>
            </w:r>
          </w:p>
        </w:tc>
        <w:tc>
          <w:tcPr>
            <w:tcW w:w="0" w:type="auto"/>
            <w:shd w:val="clear" w:color="000000" w:fill="D6E7F0"/>
            <w:noWrap/>
            <w:tcMar>
              <w:top w:w="15" w:type="dxa"/>
              <w:left w:w="15" w:type="dxa"/>
              <w:bottom w:w="0" w:type="dxa"/>
              <w:right w:w="15" w:type="dxa"/>
            </w:tcMar>
            <w:vAlign w:val="bottom"/>
            <w:hideMark/>
          </w:tcPr>
          <w:p w14:paraId="28108545"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w:t>
            </w:r>
          </w:p>
        </w:tc>
        <w:tc>
          <w:tcPr>
            <w:tcW w:w="0" w:type="auto"/>
            <w:shd w:val="clear" w:color="000000" w:fill="D6E7F0"/>
            <w:noWrap/>
            <w:tcMar>
              <w:top w:w="15" w:type="dxa"/>
              <w:left w:w="15" w:type="dxa"/>
              <w:bottom w:w="0" w:type="dxa"/>
              <w:right w:w="15" w:type="dxa"/>
            </w:tcMar>
            <w:vAlign w:val="bottom"/>
            <w:hideMark/>
          </w:tcPr>
          <w:p w14:paraId="1CD56BA7"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522</w:t>
            </w:r>
          </w:p>
        </w:tc>
        <w:tc>
          <w:tcPr>
            <w:tcW w:w="0" w:type="auto"/>
            <w:shd w:val="clear" w:color="000000" w:fill="D6E7F0"/>
            <w:noWrap/>
            <w:tcMar>
              <w:top w:w="15" w:type="dxa"/>
              <w:left w:w="15" w:type="dxa"/>
              <w:bottom w:w="0" w:type="dxa"/>
              <w:right w:w="15" w:type="dxa"/>
            </w:tcMar>
            <w:vAlign w:val="bottom"/>
            <w:hideMark/>
          </w:tcPr>
          <w:p w14:paraId="428FB95D"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148</w:t>
            </w:r>
          </w:p>
        </w:tc>
      </w:tr>
    </w:tbl>
    <w:p w14:paraId="5284F8E9" w14:textId="77777777" w:rsidR="007E365E" w:rsidRPr="00E23377" w:rsidRDefault="007E365E" w:rsidP="007E365E">
      <w:pPr>
        <w:pStyle w:val="CGCTablenote"/>
        <w:keepNext/>
        <w:keepLines/>
      </w:pPr>
      <w:r w:rsidRPr="00E23377">
        <w:t>Source:</w:t>
      </w:r>
      <w:r w:rsidRPr="00E23377">
        <w:tab/>
        <w:t>Commission calculation using PitneyBowes RouteFinder links dataset and software, NTC trend data and BITRE vkt data.</w:t>
      </w:r>
    </w:p>
    <w:p w14:paraId="524DD883" w14:textId="77777777" w:rsidR="007E365E" w:rsidRPr="00E23377" w:rsidRDefault="007E365E" w:rsidP="007E365E">
      <w:pPr>
        <w:pStyle w:val="Heading4"/>
      </w:pPr>
      <w:bookmarkStart w:id="186" w:name="_Toc4754274"/>
      <w:bookmarkStart w:id="187" w:name="_Toc5030077"/>
      <w:r w:rsidRPr="00E23377">
        <w:t>Urban roads component</w:t>
      </w:r>
      <w:bookmarkEnd w:id="186"/>
      <w:bookmarkEnd w:id="187"/>
    </w:p>
    <w:p w14:paraId="0F77F994" w14:textId="77777777" w:rsidR="007E365E" w:rsidRPr="00E23377" w:rsidRDefault="007E365E" w:rsidP="007E365E">
      <w:pPr>
        <w:pStyle w:val="Heading5"/>
      </w:pPr>
      <w:r w:rsidRPr="00E23377">
        <w:t>Urban road length, traffic volume and heavy vehicle use</w:t>
      </w:r>
    </w:p>
    <w:p w14:paraId="08AE4A08" w14:textId="77777777" w:rsidR="007E365E" w:rsidRPr="00E23377" w:rsidRDefault="007E365E" w:rsidP="007E365E">
      <w:pPr>
        <w:pStyle w:val="CGCParaNumber"/>
      </w:pPr>
      <w:r w:rsidRPr="00E23377">
        <w:t>The assessments of the urban road length, traffic volume and heavy vehicle use disabilities are detailed above.</w:t>
      </w:r>
      <w:r w:rsidRPr="00E23377">
        <w:rPr>
          <w:rStyle w:val="FootnoteReference"/>
        </w:rPr>
        <w:footnoteReference w:id="38"/>
      </w:r>
    </w:p>
    <w:p w14:paraId="215ACF47" w14:textId="77777777" w:rsidR="007E365E" w:rsidRPr="00E23377" w:rsidRDefault="007E365E" w:rsidP="007E365E">
      <w:pPr>
        <w:pStyle w:val="CGCParaNumber"/>
      </w:pPr>
      <w:r w:rsidRPr="00E23377">
        <w:t>Using NTC data, the disability weights for 201</w:t>
      </w:r>
      <w:r>
        <w:t>8</w:t>
      </w:r>
      <w:r w:rsidRPr="00E23377">
        <w:t>-1</w:t>
      </w:r>
      <w:r>
        <w:t>9</w:t>
      </w:r>
      <w:r w:rsidRPr="00E23377">
        <w:t xml:space="preserve"> are as follows:</w:t>
      </w:r>
    </w:p>
    <w:p w14:paraId="33CE9D60" w14:textId="77777777" w:rsidR="007E365E" w:rsidRPr="00E23377" w:rsidRDefault="007E365E" w:rsidP="007E365E">
      <w:pPr>
        <w:pStyle w:val="CGCBullet1"/>
      </w:pPr>
      <w:r w:rsidRPr="00E23377">
        <w:t>12.</w:t>
      </w:r>
      <w:r>
        <w:t>1</w:t>
      </w:r>
      <w:r w:rsidRPr="00E23377">
        <w:t>% for urban road length</w:t>
      </w:r>
    </w:p>
    <w:p w14:paraId="187849C3" w14:textId="77777777" w:rsidR="007E365E" w:rsidRPr="00E23377" w:rsidRDefault="007E365E" w:rsidP="007E365E">
      <w:pPr>
        <w:pStyle w:val="CGCBullet1"/>
      </w:pPr>
      <w:r w:rsidRPr="00E23377">
        <w:t>6</w:t>
      </w:r>
      <w:r>
        <w:t>9.6</w:t>
      </w:r>
      <w:r w:rsidRPr="00E23377">
        <w:t>% for traffic volume</w:t>
      </w:r>
    </w:p>
    <w:p w14:paraId="59B2882B" w14:textId="77777777" w:rsidR="007E365E" w:rsidRPr="00E23377" w:rsidRDefault="007E365E" w:rsidP="007E365E">
      <w:pPr>
        <w:pStyle w:val="CGCBullet1"/>
      </w:pPr>
      <w:r w:rsidRPr="00E23377">
        <w:t>1</w:t>
      </w:r>
      <w:r>
        <w:t>8.3</w:t>
      </w:r>
      <w:r w:rsidRPr="00E23377">
        <w:t>% for heavy vehicle use.</w:t>
      </w:r>
    </w:p>
    <w:p w14:paraId="311EBAA8" w14:textId="77777777" w:rsidR="007E365E" w:rsidRPr="00E23377" w:rsidRDefault="007E365E" w:rsidP="007E365E">
      <w:pPr>
        <w:pStyle w:val="Heading5"/>
      </w:pPr>
      <w:r w:rsidRPr="00E23377">
        <w:t>Regional costs</w:t>
      </w:r>
    </w:p>
    <w:p w14:paraId="02EB7B21" w14:textId="77777777" w:rsidR="007E365E" w:rsidRPr="00E23377" w:rsidRDefault="007E365E" w:rsidP="007E365E">
      <w:pPr>
        <w:pStyle w:val="CGCParaNumber"/>
      </w:pPr>
      <w:r w:rsidRPr="00E23377">
        <w:t xml:space="preserve">The Commission has not applied a separate regional costs factor to urban roads expenses because there is no clear conceptual case that the location of major urban centres would affect the cost of road maintenance. </w:t>
      </w:r>
    </w:p>
    <w:p w14:paraId="1EDF4807" w14:textId="77777777" w:rsidR="007E365E" w:rsidRPr="00E23377" w:rsidRDefault="007E365E" w:rsidP="007E365E">
      <w:pPr>
        <w:pStyle w:val="Heading5"/>
      </w:pPr>
      <w:r w:rsidRPr="00E23377">
        <w:t>Wage costs</w:t>
      </w:r>
    </w:p>
    <w:p w14:paraId="76DB005F" w14:textId="77777777" w:rsidR="007E365E" w:rsidRPr="00E23377" w:rsidRDefault="007E365E" w:rsidP="007E365E">
      <w:pPr>
        <w:pStyle w:val="CGCParaNumber"/>
      </w:pPr>
      <w:r w:rsidRPr="00E23377">
        <w:t>Differences in wage costs between States have a differential effect on the cost of providing services. There is a general method for measuring the influence of wage costs in components where the disability applies. For a description of the method, see Chapter 27 Wage costs.</w:t>
      </w:r>
    </w:p>
    <w:p w14:paraId="4AAA2676" w14:textId="77777777" w:rsidR="007E365E" w:rsidRPr="00E23377" w:rsidRDefault="007E365E" w:rsidP="007E365E">
      <w:pPr>
        <w:pStyle w:val="Heading5"/>
      </w:pPr>
      <w:r w:rsidRPr="00E23377">
        <w:t>Component calculations</w:t>
      </w:r>
    </w:p>
    <w:p w14:paraId="7C9250B5" w14:textId="5FF39B28" w:rsidR="007E365E" w:rsidRPr="00E23377" w:rsidRDefault="007E365E" w:rsidP="007E365E">
      <w:pPr>
        <w:pStyle w:val="CGCParaNumber"/>
      </w:pPr>
      <w:r w:rsidRPr="00E23377">
        <w:fldChar w:fldCharType="begin"/>
      </w:r>
      <w:r w:rsidRPr="00E23377">
        <w:instrText xml:space="preserve"> REF _Ref3371504 \h  \* MERGEFORMAT </w:instrText>
      </w:r>
      <w:r w:rsidRPr="00E23377">
        <w:fldChar w:fldCharType="separate"/>
      </w:r>
      <w:r w:rsidR="007F721A" w:rsidRPr="00E23377">
        <w:t xml:space="preserve">Table </w:t>
      </w:r>
      <w:r w:rsidR="007F721A">
        <w:rPr>
          <w:noProof/>
        </w:rPr>
        <w:t>20-17</w:t>
      </w:r>
      <w:r w:rsidRPr="00E23377">
        <w:fldChar w:fldCharType="end"/>
      </w:r>
      <w:r w:rsidRPr="00E23377">
        <w:t xml:space="preserve"> shows the calculation of total assessed expenses for the </w:t>
      </w:r>
      <w:r>
        <w:t xml:space="preserve">urban roads </w:t>
      </w:r>
      <w:r w:rsidRPr="00E23377">
        <w:t>component in 201</w:t>
      </w:r>
      <w:r>
        <w:t>8</w:t>
      </w:r>
      <w:r w:rsidRPr="00E23377">
        <w:noBreakHyphen/>
        <w:t>1</w:t>
      </w:r>
      <w:r>
        <w:t>9</w:t>
      </w:r>
      <w:r w:rsidRPr="00E23377">
        <w:t>. Total assessed expenses are the sum of road length, traffic volume and heavy vehicle use assessed expenses multiplied by the wage costs factors.</w:t>
      </w:r>
    </w:p>
    <w:p w14:paraId="142F39C6" w14:textId="7DC32D57" w:rsidR="007E365E" w:rsidRDefault="007E365E" w:rsidP="007E365E">
      <w:pPr>
        <w:pStyle w:val="Caption"/>
      </w:pPr>
      <w:bookmarkStart w:id="188" w:name="_Ref3371504"/>
      <w:bookmarkStart w:id="189" w:name="_Ref3371486"/>
      <w:r w:rsidRPr="00E23377">
        <w:lastRenderedPageBreak/>
        <w:t xml:space="preserve">Table </w:t>
      </w:r>
      <w:r>
        <w:t>20-</w:t>
      </w:r>
      <w:fldSimple w:instr=" SEQ Table \* ARABIC ">
        <w:r w:rsidR="007F721A">
          <w:rPr>
            <w:noProof/>
          </w:rPr>
          <w:t>17</w:t>
        </w:r>
      </w:fldSimple>
      <w:bookmarkEnd w:id="188"/>
      <w:r w:rsidRPr="00E23377">
        <w:tab/>
        <w:t>Urban roads component</w:t>
      </w:r>
      <w:r w:rsidRPr="00312715">
        <w:t xml:space="preserve"> </w:t>
      </w:r>
      <w:r w:rsidRPr="00E23377">
        <w:t>assessment, 201</w:t>
      </w:r>
      <w:r>
        <w:t>8</w:t>
      </w:r>
      <w:r w:rsidRPr="00E23377">
        <w:noBreakHyphen/>
        <w:t>1</w:t>
      </w:r>
      <w:bookmarkEnd w:id="189"/>
      <w:r>
        <w:t>9</w:t>
      </w:r>
    </w:p>
    <w:tbl>
      <w:tblPr>
        <w:tblW w:w="8840" w:type="dxa"/>
        <w:tblBorders>
          <w:top w:val="single" w:sz="4" w:space="0" w:color="ADD6EA"/>
          <w:bottom w:val="single" w:sz="4" w:space="0" w:color="ADD6EA"/>
          <w:insideH w:val="single" w:sz="4" w:space="0" w:color="ADD6EA"/>
        </w:tblBorders>
        <w:tblCellMar>
          <w:left w:w="0" w:type="dxa"/>
          <w:right w:w="0" w:type="dxa"/>
        </w:tblCellMar>
        <w:tblLook w:val="04A0" w:firstRow="1" w:lastRow="0" w:firstColumn="1" w:lastColumn="0" w:noHBand="0" w:noVBand="1"/>
      </w:tblPr>
      <w:tblGrid>
        <w:gridCol w:w="2260"/>
        <w:gridCol w:w="740"/>
        <w:gridCol w:w="740"/>
        <w:gridCol w:w="740"/>
        <w:gridCol w:w="740"/>
        <w:gridCol w:w="740"/>
        <w:gridCol w:w="660"/>
        <w:gridCol w:w="660"/>
        <w:gridCol w:w="740"/>
        <w:gridCol w:w="820"/>
      </w:tblGrid>
      <w:tr w:rsidR="007E365E" w:rsidRPr="00164C9E" w14:paraId="41BF9535" w14:textId="77777777" w:rsidTr="007D1D77">
        <w:trPr>
          <w:trHeight w:val="379"/>
        </w:trPr>
        <w:tc>
          <w:tcPr>
            <w:tcW w:w="2260" w:type="dxa"/>
            <w:shd w:val="clear" w:color="000000" w:fill="006991"/>
            <w:tcMar>
              <w:top w:w="15" w:type="dxa"/>
              <w:left w:w="15" w:type="dxa"/>
              <w:bottom w:w="0" w:type="dxa"/>
              <w:right w:w="15" w:type="dxa"/>
            </w:tcMar>
            <w:vAlign w:val="center"/>
            <w:hideMark/>
          </w:tcPr>
          <w:p w14:paraId="72C82AE2" w14:textId="77777777" w:rsidR="007E365E" w:rsidRDefault="007E365E" w:rsidP="007D1D77">
            <w:pPr>
              <w:keepNext/>
              <w:keepLines/>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740" w:type="dxa"/>
            <w:shd w:val="clear" w:color="000000" w:fill="006991"/>
            <w:tcMar>
              <w:top w:w="15" w:type="dxa"/>
              <w:left w:w="15" w:type="dxa"/>
              <w:bottom w:w="0" w:type="dxa"/>
              <w:right w:w="15" w:type="dxa"/>
            </w:tcMar>
            <w:vAlign w:val="center"/>
            <w:hideMark/>
          </w:tcPr>
          <w:p w14:paraId="042204A9"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40" w:type="dxa"/>
            <w:shd w:val="clear" w:color="000000" w:fill="006991"/>
            <w:tcMar>
              <w:top w:w="15" w:type="dxa"/>
              <w:left w:w="15" w:type="dxa"/>
              <w:bottom w:w="0" w:type="dxa"/>
              <w:right w:w="15" w:type="dxa"/>
            </w:tcMar>
            <w:vAlign w:val="center"/>
            <w:hideMark/>
          </w:tcPr>
          <w:p w14:paraId="281971E1"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40" w:type="dxa"/>
            <w:shd w:val="clear" w:color="000000" w:fill="006991"/>
            <w:tcMar>
              <w:top w:w="15" w:type="dxa"/>
              <w:left w:w="15" w:type="dxa"/>
              <w:bottom w:w="0" w:type="dxa"/>
              <w:right w:w="15" w:type="dxa"/>
            </w:tcMar>
            <w:vAlign w:val="center"/>
            <w:hideMark/>
          </w:tcPr>
          <w:p w14:paraId="73329E33"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40" w:type="dxa"/>
            <w:shd w:val="clear" w:color="000000" w:fill="006991"/>
            <w:tcMar>
              <w:top w:w="15" w:type="dxa"/>
              <w:left w:w="15" w:type="dxa"/>
              <w:bottom w:w="0" w:type="dxa"/>
              <w:right w:w="15" w:type="dxa"/>
            </w:tcMar>
            <w:vAlign w:val="center"/>
            <w:hideMark/>
          </w:tcPr>
          <w:p w14:paraId="77EC0615"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40" w:type="dxa"/>
            <w:shd w:val="clear" w:color="000000" w:fill="006991"/>
            <w:tcMar>
              <w:top w:w="15" w:type="dxa"/>
              <w:left w:w="15" w:type="dxa"/>
              <w:bottom w:w="0" w:type="dxa"/>
              <w:right w:w="15" w:type="dxa"/>
            </w:tcMar>
            <w:vAlign w:val="center"/>
            <w:hideMark/>
          </w:tcPr>
          <w:p w14:paraId="34B241B3"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660" w:type="dxa"/>
            <w:shd w:val="clear" w:color="000000" w:fill="006991"/>
            <w:tcMar>
              <w:top w:w="15" w:type="dxa"/>
              <w:left w:w="15" w:type="dxa"/>
              <w:bottom w:w="0" w:type="dxa"/>
              <w:right w:w="15" w:type="dxa"/>
            </w:tcMar>
            <w:vAlign w:val="center"/>
            <w:hideMark/>
          </w:tcPr>
          <w:p w14:paraId="358F436C"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660" w:type="dxa"/>
            <w:shd w:val="clear" w:color="000000" w:fill="006991"/>
            <w:tcMar>
              <w:top w:w="15" w:type="dxa"/>
              <w:left w:w="15" w:type="dxa"/>
              <w:bottom w:w="0" w:type="dxa"/>
              <w:right w:w="15" w:type="dxa"/>
            </w:tcMar>
            <w:vAlign w:val="center"/>
            <w:hideMark/>
          </w:tcPr>
          <w:p w14:paraId="541A6671"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40" w:type="dxa"/>
            <w:shd w:val="clear" w:color="000000" w:fill="006991"/>
            <w:tcMar>
              <w:top w:w="15" w:type="dxa"/>
              <w:left w:w="15" w:type="dxa"/>
              <w:bottom w:w="0" w:type="dxa"/>
              <w:right w:w="15" w:type="dxa"/>
            </w:tcMar>
            <w:vAlign w:val="center"/>
            <w:hideMark/>
          </w:tcPr>
          <w:p w14:paraId="13D8DF96"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820" w:type="dxa"/>
            <w:shd w:val="clear" w:color="000000" w:fill="006991"/>
            <w:tcMar>
              <w:top w:w="15" w:type="dxa"/>
              <w:left w:w="15" w:type="dxa"/>
              <w:bottom w:w="0" w:type="dxa"/>
              <w:right w:w="15" w:type="dxa"/>
            </w:tcMar>
            <w:vAlign w:val="center"/>
            <w:hideMark/>
          </w:tcPr>
          <w:p w14:paraId="02062B81"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7E365E" w:rsidRPr="00164C9E" w14:paraId="2B7EAAB2"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6DCBE593" w14:textId="77777777" w:rsidR="007E365E" w:rsidRDefault="007E365E" w:rsidP="007D1D77">
            <w:pPr>
              <w:keepNext/>
              <w:keepLines/>
              <w:spacing w:before="0" w:line="240" w:lineRule="auto"/>
              <w:rPr>
                <w:rFonts w:cs="Open Sans Light"/>
                <w:sz w:val="16"/>
                <w:szCs w:val="16"/>
              </w:rPr>
            </w:pPr>
            <w:r>
              <w:rPr>
                <w:rFonts w:cs="Open Sans Light"/>
                <w:sz w:val="16"/>
                <w:szCs w:val="16"/>
              </w:rPr>
              <w:t>Urban population ('000)</w:t>
            </w:r>
          </w:p>
        </w:tc>
        <w:tc>
          <w:tcPr>
            <w:tcW w:w="0" w:type="auto"/>
            <w:shd w:val="clear" w:color="auto" w:fill="auto"/>
            <w:noWrap/>
            <w:tcMar>
              <w:top w:w="15" w:type="dxa"/>
              <w:left w:w="15" w:type="dxa"/>
              <w:bottom w:w="0" w:type="dxa"/>
              <w:right w:w="15" w:type="dxa"/>
            </w:tcMar>
            <w:vAlign w:val="bottom"/>
            <w:hideMark/>
          </w:tcPr>
          <w:p w14:paraId="423328A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6,019</w:t>
            </w:r>
          </w:p>
        </w:tc>
        <w:tc>
          <w:tcPr>
            <w:tcW w:w="0" w:type="auto"/>
            <w:shd w:val="clear" w:color="auto" w:fill="auto"/>
            <w:noWrap/>
            <w:tcMar>
              <w:top w:w="15" w:type="dxa"/>
              <w:left w:w="15" w:type="dxa"/>
              <w:bottom w:w="0" w:type="dxa"/>
              <w:right w:w="15" w:type="dxa"/>
            </w:tcMar>
            <w:vAlign w:val="bottom"/>
            <w:hideMark/>
          </w:tcPr>
          <w:p w14:paraId="3FAB1FA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5,163</w:t>
            </w:r>
          </w:p>
        </w:tc>
        <w:tc>
          <w:tcPr>
            <w:tcW w:w="0" w:type="auto"/>
            <w:shd w:val="clear" w:color="auto" w:fill="auto"/>
            <w:noWrap/>
            <w:tcMar>
              <w:top w:w="15" w:type="dxa"/>
              <w:left w:w="15" w:type="dxa"/>
              <w:bottom w:w="0" w:type="dxa"/>
              <w:right w:w="15" w:type="dxa"/>
            </w:tcMar>
            <w:vAlign w:val="bottom"/>
            <w:hideMark/>
          </w:tcPr>
          <w:p w14:paraId="22EB129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3,789</w:t>
            </w:r>
          </w:p>
        </w:tc>
        <w:tc>
          <w:tcPr>
            <w:tcW w:w="0" w:type="auto"/>
            <w:shd w:val="clear" w:color="auto" w:fill="auto"/>
            <w:noWrap/>
            <w:tcMar>
              <w:top w:w="15" w:type="dxa"/>
              <w:left w:w="15" w:type="dxa"/>
              <w:bottom w:w="0" w:type="dxa"/>
              <w:right w:w="15" w:type="dxa"/>
            </w:tcMar>
            <w:vAlign w:val="bottom"/>
            <w:hideMark/>
          </w:tcPr>
          <w:p w14:paraId="2F35873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2,064</w:t>
            </w:r>
          </w:p>
        </w:tc>
        <w:tc>
          <w:tcPr>
            <w:tcW w:w="0" w:type="auto"/>
            <w:shd w:val="clear" w:color="auto" w:fill="auto"/>
            <w:noWrap/>
            <w:tcMar>
              <w:top w:w="15" w:type="dxa"/>
              <w:left w:w="15" w:type="dxa"/>
              <w:bottom w:w="0" w:type="dxa"/>
              <w:right w:w="15" w:type="dxa"/>
            </w:tcMar>
            <w:vAlign w:val="bottom"/>
            <w:hideMark/>
          </w:tcPr>
          <w:p w14:paraId="3391510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1,215</w:t>
            </w:r>
          </w:p>
        </w:tc>
        <w:tc>
          <w:tcPr>
            <w:tcW w:w="0" w:type="auto"/>
            <w:shd w:val="clear" w:color="auto" w:fill="auto"/>
            <w:noWrap/>
            <w:tcMar>
              <w:top w:w="15" w:type="dxa"/>
              <w:left w:w="15" w:type="dxa"/>
              <w:bottom w:w="0" w:type="dxa"/>
              <w:right w:w="15" w:type="dxa"/>
            </w:tcMar>
            <w:vAlign w:val="bottom"/>
            <w:hideMark/>
          </w:tcPr>
          <w:p w14:paraId="68DF342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266</w:t>
            </w:r>
          </w:p>
        </w:tc>
        <w:tc>
          <w:tcPr>
            <w:tcW w:w="0" w:type="auto"/>
            <w:shd w:val="clear" w:color="auto" w:fill="auto"/>
            <w:noWrap/>
            <w:tcMar>
              <w:top w:w="15" w:type="dxa"/>
              <w:left w:w="15" w:type="dxa"/>
              <w:bottom w:w="0" w:type="dxa"/>
              <w:right w:w="15" w:type="dxa"/>
            </w:tcMar>
            <w:vAlign w:val="bottom"/>
            <w:hideMark/>
          </w:tcPr>
          <w:p w14:paraId="55E1244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421</w:t>
            </w:r>
          </w:p>
        </w:tc>
        <w:tc>
          <w:tcPr>
            <w:tcW w:w="0" w:type="auto"/>
            <w:shd w:val="clear" w:color="auto" w:fill="auto"/>
            <w:noWrap/>
            <w:tcMar>
              <w:top w:w="15" w:type="dxa"/>
              <w:left w:w="15" w:type="dxa"/>
              <w:bottom w:w="0" w:type="dxa"/>
              <w:right w:w="15" w:type="dxa"/>
            </w:tcMar>
            <w:vAlign w:val="bottom"/>
            <w:hideMark/>
          </w:tcPr>
          <w:p w14:paraId="393A46C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128</w:t>
            </w:r>
          </w:p>
        </w:tc>
        <w:tc>
          <w:tcPr>
            <w:tcW w:w="0" w:type="auto"/>
            <w:shd w:val="clear" w:color="auto" w:fill="auto"/>
            <w:noWrap/>
            <w:tcMar>
              <w:top w:w="15" w:type="dxa"/>
              <w:left w:w="15" w:type="dxa"/>
              <w:bottom w:w="0" w:type="dxa"/>
              <w:right w:w="15" w:type="dxa"/>
            </w:tcMar>
            <w:vAlign w:val="bottom"/>
            <w:hideMark/>
          </w:tcPr>
          <w:p w14:paraId="0BBB4CD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19,063</w:t>
            </w:r>
          </w:p>
        </w:tc>
      </w:tr>
      <w:tr w:rsidR="007E365E" w:rsidRPr="00164C9E" w14:paraId="039CBF95"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35672E0E" w14:textId="77777777" w:rsidR="007E365E" w:rsidRDefault="007E365E" w:rsidP="007D1D77">
            <w:pPr>
              <w:keepNext/>
              <w:keepLines/>
              <w:spacing w:before="0" w:line="240" w:lineRule="auto"/>
              <w:rPr>
                <w:rFonts w:cs="Open Sans Light"/>
                <w:sz w:val="16"/>
                <w:szCs w:val="16"/>
              </w:rPr>
            </w:pPr>
            <w:r>
              <w:rPr>
                <w:rFonts w:cs="Open Sans Light"/>
                <w:sz w:val="16"/>
                <w:szCs w:val="16"/>
              </w:rPr>
              <w:t>Road length ($m)</w:t>
            </w:r>
          </w:p>
        </w:tc>
        <w:tc>
          <w:tcPr>
            <w:tcW w:w="0" w:type="auto"/>
            <w:shd w:val="clear" w:color="auto" w:fill="auto"/>
            <w:noWrap/>
            <w:tcMar>
              <w:top w:w="15" w:type="dxa"/>
              <w:left w:w="15" w:type="dxa"/>
              <w:bottom w:w="0" w:type="dxa"/>
              <w:right w:w="15" w:type="dxa"/>
            </w:tcMar>
            <w:vAlign w:val="bottom"/>
            <w:hideMark/>
          </w:tcPr>
          <w:p w14:paraId="525E9C3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132</w:t>
            </w:r>
          </w:p>
        </w:tc>
        <w:tc>
          <w:tcPr>
            <w:tcW w:w="0" w:type="auto"/>
            <w:shd w:val="clear" w:color="auto" w:fill="auto"/>
            <w:noWrap/>
            <w:tcMar>
              <w:top w:w="15" w:type="dxa"/>
              <w:left w:w="15" w:type="dxa"/>
              <w:bottom w:w="0" w:type="dxa"/>
              <w:right w:w="15" w:type="dxa"/>
            </w:tcMar>
            <w:vAlign w:val="bottom"/>
            <w:hideMark/>
          </w:tcPr>
          <w:p w14:paraId="129AB3C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113</w:t>
            </w:r>
          </w:p>
        </w:tc>
        <w:tc>
          <w:tcPr>
            <w:tcW w:w="0" w:type="auto"/>
            <w:shd w:val="clear" w:color="auto" w:fill="auto"/>
            <w:noWrap/>
            <w:tcMar>
              <w:top w:w="15" w:type="dxa"/>
              <w:left w:w="15" w:type="dxa"/>
              <w:bottom w:w="0" w:type="dxa"/>
              <w:right w:w="15" w:type="dxa"/>
            </w:tcMar>
            <w:vAlign w:val="bottom"/>
            <w:hideMark/>
          </w:tcPr>
          <w:p w14:paraId="53EED68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83</w:t>
            </w:r>
          </w:p>
        </w:tc>
        <w:tc>
          <w:tcPr>
            <w:tcW w:w="0" w:type="auto"/>
            <w:shd w:val="clear" w:color="auto" w:fill="auto"/>
            <w:noWrap/>
            <w:tcMar>
              <w:top w:w="15" w:type="dxa"/>
              <w:left w:w="15" w:type="dxa"/>
              <w:bottom w:w="0" w:type="dxa"/>
              <w:right w:w="15" w:type="dxa"/>
            </w:tcMar>
            <w:vAlign w:val="bottom"/>
            <w:hideMark/>
          </w:tcPr>
          <w:p w14:paraId="0CA96DC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45</w:t>
            </w:r>
          </w:p>
        </w:tc>
        <w:tc>
          <w:tcPr>
            <w:tcW w:w="0" w:type="auto"/>
            <w:shd w:val="clear" w:color="auto" w:fill="auto"/>
            <w:noWrap/>
            <w:tcMar>
              <w:top w:w="15" w:type="dxa"/>
              <w:left w:w="15" w:type="dxa"/>
              <w:bottom w:w="0" w:type="dxa"/>
              <w:right w:w="15" w:type="dxa"/>
            </w:tcMar>
            <w:vAlign w:val="bottom"/>
            <w:hideMark/>
          </w:tcPr>
          <w:p w14:paraId="5AE48E7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27</w:t>
            </w:r>
          </w:p>
        </w:tc>
        <w:tc>
          <w:tcPr>
            <w:tcW w:w="0" w:type="auto"/>
            <w:shd w:val="clear" w:color="auto" w:fill="auto"/>
            <w:noWrap/>
            <w:tcMar>
              <w:top w:w="15" w:type="dxa"/>
              <w:left w:w="15" w:type="dxa"/>
              <w:bottom w:w="0" w:type="dxa"/>
              <w:right w:w="15" w:type="dxa"/>
            </w:tcMar>
            <w:vAlign w:val="bottom"/>
            <w:hideMark/>
          </w:tcPr>
          <w:p w14:paraId="0D39F65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w:t>
            </w:r>
          </w:p>
        </w:tc>
        <w:tc>
          <w:tcPr>
            <w:tcW w:w="0" w:type="auto"/>
            <w:shd w:val="clear" w:color="auto" w:fill="auto"/>
            <w:noWrap/>
            <w:tcMar>
              <w:top w:w="15" w:type="dxa"/>
              <w:left w:w="15" w:type="dxa"/>
              <w:bottom w:w="0" w:type="dxa"/>
              <w:right w:w="15" w:type="dxa"/>
            </w:tcMar>
            <w:vAlign w:val="bottom"/>
            <w:hideMark/>
          </w:tcPr>
          <w:p w14:paraId="03AB7D2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w:t>
            </w:r>
          </w:p>
        </w:tc>
        <w:tc>
          <w:tcPr>
            <w:tcW w:w="0" w:type="auto"/>
            <w:shd w:val="clear" w:color="auto" w:fill="auto"/>
            <w:noWrap/>
            <w:tcMar>
              <w:top w:w="15" w:type="dxa"/>
              <w:left w:w="15" w:type="dxa"/>
              <w:bottom w:w="0" w:type="dxa"/>
              <w:right w:w="15" w:type="dxa"/>
            </w:tcMar>
            <w:vAlign w:val="bottom"/>
            <w:hideMark/>
          </w:tcPr>
          <w:p w14:paraId="64EC56E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w:t>
            </w:r>
          </w:p>
        </w:tc>
        <w:tc>
          <w:tcPr>
            <w:tcW w:w="0" w:type="auto"/>
            <w:shd w:val="clear" w:color="auto" w:fill="auto"/>
            <w:noWrap/>
            <w:tcMar>
              <w:top w:w="15" w:type="dxa"/>
              <w:left w:w="15" w:type="dxa"/>
              <w:bottom w:w="0" w:type="dxa"/>
              <w:right w:w="15" w:type="dxa"/>
            </w:tcMar>
            <w:vAlign w:val="bottom"/>
            <w:hideMark/>
          </w:tcPr>
          <w:p w14:paraId="59CF5FD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418</w:t>
            </w:r>
          </w:p>
        </w:tc>
      </w:tr>
      <w:tr w:rsidR="007E365E" w:rsidRPr="00164C9E" w14:paraId="3F972DDA"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2F6E7000" w14:textId="77777777" w:rsidR="007E365E" w:rsidRDefault="007E365E" w:rsidP="007D1D77">
            <w:pPr>
              <w:keepNext/>
              <w:keepLines/>
              <w:spacing w:before="0" w:line="240" w:lineRule="auto"/>
              <w:rPr>
                <w:rFonts w:cs="Open Sans Light"/>
                <w:sz w:val="16"/>
                <w:szCs w:val="16"/>
              </w:rPr>
            </w:pPr>
            <w:r>
              <w:rPr>
                <w:rFonts w:cs="Open Sans Light"/>
                <w:sz w:val="16"/>
                <w:szCs w:val="16"/>
              </w:rPr>
              <w:t>Traffic volume ('000 vkt)</w:t>
            </w:r>
          </w:p>
        </w:tc>
        <w:tc>
          <w:tcPr>
            <w:tcW w:w="0" w:type="auto"/>
            <w:shd w:val="clear" w:color="auto" w:fill="auto"/>
            <w:noWrap/>
            <w:tcMar>
              <w:top w:w="15" w:type="dxa"/>
              <w:left w:w="15" w:type="dxa"/>
              <w:bottom w:w="0" w:type="dxa"/>
              <w:right w:w="15" w:type="dxa"/>
            </w:tcMar>
            <w:vAlign w:val="bottom"/>
            <w:hideMark/>
          </w:tcPr>
          <w:p w14:paraId="3ACB84A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38,669</w:t>
            </w:r>
          </w:p>
        </w:tc>
        <w:tc>
          <w:tcPr>
            <w:tcW w:w="0" w:type="auto"/>
            <w:shd w:val="clear" w:color="auto" w:fill="auto"/>
            <w:noWrap/>
            <w:tcMar>
              <w:top w:w="15" w:type="dxa"/>
              <w:left w:w="15" w:type="dxa"/>
              <w:bottom w:w="0" w:type="dxa"/>
              <w:right w:w="15" w:type="dxa"/>
            </w:tcMar>
            <w:vAlign w:val="bottom"/>
            <w:hideMark/>
          </w:tcPr>
          <w:p w14:paraId="2CAD77B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34,642</w:t>
            </w:r>
          </w:p>
        </w:tc>
        <w:tc>
          <w:tcPr>
            <w:tcW w:w="0" w:type="auto"/>
            <w:shd w:val="clear" w:color="auto" w:fill="auto"/>
            <w:noWrap/>
            <w:tcMar>
              <w:top w:w="15" w:type="dxa"/>
              <w:left w:w="15" w:type="dxa"/>
              <w:bottom w:w="0" w:type="dxa"/>
              <w:right w:w="15" w:type="dxa"/>
            </w:tcMar>
            <w:vAlign w:val="bottom"/>
            <w:hideMark/>
          </w:tcPr>
          <w:p w14:paraId="15D5F73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26,066</w:t>
            </w:r>
          </w:p>
        </w:tc>
        <w:tc>
          <w:tcPr>
            <w:tcW w:w="0" w:type="auto"/>
            <w:shd w:val="clear" w:color="auto" w:fill="auto"/>
            <w:noWrap/>
            <w:tcMar>
              <w:top w:w="15" w:type="dxa"/>
              <w:left w:w="15" w:type="dxa"/>
              <w:bottom w:w="0" w:type="dxa"/>
              <w:right w:w="15" w:type="dxa"/>
            </w:tcMar>
            <w:vAlign w:val="bottom"/>
            <w:hideMark/>
          </w:tcPr>
          <w:p w14:paraId="4C7A46C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13,617</w:t>
            </w:r>
          </w:p>
        </w:tc>
        <w:tc>
          <w:tcPr>
            <w:tcW w:w="0" w:type="auto"/>
            <w:shd w:val="clear" w:color="auto" w:fill="auto"/>
            <w:noWrap/>
            <w:tcMar>
              <w:top w:w="15" w:type="dxa"/>
              <w:left w:w="15" w:type="dxa"/>
              <w:bottom w:w="0" w:type="dxa"/>
              <w:right w:w="15" w:type="dxa"/>
            </w:tcMar>
            <w:vAlign w:val="bottom"/>
            <w:hideMark/>
          </w:tcPr>
          <w:p w14:paraId="09FB4BC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7,001</w:t>
            </w:r>
          </w:p>
        </w:tc>
        <w:tc>
          <w:tcPr>
            <w:tcW w:w="0" w:type="auto"/>
            <w:shd w:val="clear" w:color="auto" w:fill="auto"/>
            <w:noWrap/>
            <w:tcMar>
              <w:top w:w="15" w:type="dxa"/>
              <w:left w:w="15" w:type="dxa"/>
              <w:bottom w:w="0" w:type="dxa"/>
              <w:right w:w="15" w:type="dxa"/>
            </w:tcMar>
            <w:vAlign w:val="bottom"/>
            <w:hideMark/>
          </w:tcPr>
          <w:p w14:paraId="08966C8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2,428</w:t>
            </w:r>
          </w:p>
        </w:tc>
        <w:tc>
          <w:tcPr>
            <w:tcW w:w="0" w:type="auto"/>
            <w:shd w:val="clear" w:color="auto" w:fill="auto"/>
            <w:noWrap/>
            <w:tcMar>
              <w:top w:w="15" w:type="dxa"/>
              <w:left w:w="15" w:type="dxa"/>
              <w:bottom w:w="0" w:type="dxa"/>
              <w:right w:w="15" w:type="dxa"/>
            </w:tcMar>
            <w:vAlign w:val="bottom"/>
            <w:hideMark/>
          </w:tcPr>
          <w:p w14:paraId="0DCD639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2,661</w:t>
            </w:r>
          </w:p>
        </w:tc>
        <w:tc>
          <w:tcPr>
            <w:tcW w:w="0" w:type="auto"/>
            <w:shd w:val="clear" w:color="auto" w:fill="auto"/>
            <w:noWrap/>
            <w:tcMar>
              <w:top w:w="15" w:type="dxa"/>
              <w:left w:w="15" w:type="dxa"/>
              <w:bottom w:w="0" w:type="dxa"/>
              <w:right w:w="15" w:type="dxa"/>
            </w:tcMar>
            <w:vAlign w:val="bottom"/>
            <w:hideMark/>
          </w:tcPr>
          <w:p w14:paraId="1B72395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881</w:t>
            </w:r>
          </w:p>
        </w:tc>
        <w:tc>
          <w:tcPr>
            <w:tcW w:w="0" w:type="auto"/>
            <w:shd w:val="clear" w:color="auto" w:fill="auto"/>
            <w:noWrap/>
            <w:tcMar>
              <w:top w:w="15" w:type="dxa"/>
              <w:left w:w="15" w:type="dxa"/>
              <w:bottom w:w="0" w:type="dxa"/>
              <w:right w:w="15" w:type="dxa"/>
            </w:tcMar>
            <w:vAlign w:val="bottom"/>
            <w:hideMark/>
          </w:tcPr>
          <w:p w14:paraId="080EEC9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125,966</w:t>
            </w:r>
          </w:p>
        </w:tc>
      </w:tr>
      <w:tr w:rsidR="007E365E" w:rsidRPr="00164C9E" w14:paraId="09E33F89"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25C6EB99" w14:textId="77777777" w:rsidR="007E365E" w:rsidRDefault="007E365E" w:rsidP="007D1D77">
            <w:pPr>
              <w:keepNext/>
              <w:keepLines/>
              <w:spacing w:before="0" w:line="240" w:lineRule="auto"/>
              <w:rPr>
                <w:rFonts w:cs="Open Sans Light"/>
                <w:sz w:val="16"/>
                <w:szCs w:val="16"/>
              </w:rPr>
            </w:pPr>
            <w:r>
              <w:rPr>
                <w:rFonts w:cs="Open Sans Light"/>
                <w:sz w:val="16"/>
                <w:szCs w:val="16"/>
              </w:rPr>
              <w:t>Traffic volume ($m)</w:t>
            </w:r>
          </w:p>
        </w:tc>
        <w:tc>
          <w:tcPr>
            <w:tcW w:w="0" w:type="auto"/>
            <w:shd w:val="clear" w:color="auto" w:fill="auto"/>
            <w:noWrap/>
            <w:tcMar>
              <w:top w:w="15" w:type="dxa"/>
              <w:left w:w="15" w:type="dxa"/>
              <w:bottom w:w="0" w:type="dxa"/>
              <w:right w:w="15" w:type="dxa"/>
            </w:tcMar>
            <w:vAlign w:val="bottom"/>
            <w:hideMark/>
          </w:tcPr>
          <w:p w14:paraId="5B49198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740</w:t>
            </w:r>
          </w:p>
        </w:tc>
        <w:tc>
          <w:tcPr>
            <w:tcW w:w="0" w:type="auto"/>
            <w:shd w:val="clear" w:color="auto" w:fill="auto"/>
            <w:noWrap/>
            <w:tcMar>
              <w:top w:w="15" w:type="dxa"/>
              <w:left w:w="15" w:type="dxa"/>
              <w:bottom w:w="0" w:type="dxa"/>
              <w:right w:w="15" w:type="dxa"/>
            </w:tcMar>
            <w:vAlign w:val="bottom"/>
            <w:hideMark/>
          </w:tcPr>
          <w:p w14:paraId="1E65652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663</w:t>
            </w:r>
          </w:p>
        </w:tc>
        <w:tc>
          <w:tcPr>
            <w:tcW w:w="0" w:type="auto"/>
            <w:shd w:val="clear" w:color="auto" w:fill="auto"/>
            <w:noWrap/>
            <w:tcMar>
              <w:top w:w="15" w:type="dxa"/>
              <w:left w:w="15" w:type="dxa"/>
              <w:bottom w:w="0" w:type="dxa"/>
              <w:right w:w="15" w:type="dxa"/>
            </w:tcMar>
            <w:vAlign w:val="bottom"/>
            <w:hideMark/>
          </w:tcPr>
          <w:p w14:paraId="32E64E7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499</w:t>
            </w:r>
          </w:p>
        </w:tc>
        <w:tc>
          <w:tcPr>
            <w:tcW w:w="0" w:type="auto"/>
            <w:shd w:val="clear" w:color="auto" w:fill="auto"/>
            <w:noWrap/>
            <w:tcMar>
              <w:top w:w="15" w:type="dxa"/>
              <w:left w:w="15" w:type="dxa"/>
              <w:bottom w:w="0" w:type="dxa"/>
              <w:right w:w="15" w:type="dxa"/>
            </w:tcMar>
            <w:vAlign w:val="bottom"/>
            <w:hideMark/>
          </w:tcPr>
          <w:p w14:paraId="485D78D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261</w:t>
            </w:r>
          </w:p>
        </w:tc>
        <w:tc>
          <w:tcPr>
            <w:tcW w:w="0" w:type="auto"/>
            <w:shd w:val="clear" w:color="auto" w:fill="auto"/>
            <w:noWrap/>
            <w:tcMar>
              <w:top w:w="15" w:type="dxa"/>
              <w:left w:w="15" w:type="dxa"/>
              <w:bottom w:w="0" w:type="dxa"/>
              <w:right w:w="15" w:type="dxa"/>
            </w:tcMar>
            <w:vAlign w:val="bottom"/>
            <w:hideMark/>
          </w:tcPr>
          <w:p w14:paraId="44F16D6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134</w:t>
            </w:r>
          </w:p>
        </w:tc>
        <w:tc>
          <w:tcPr>
            <w:tcW w:w="0" w:type="auto"/>
            <w:shd w:val="clear" w:color="auto" w:fill="auto"/>
            <w:noWrap/>
            <w:tcMar>
              <w:top w:w="15" w:type="dxa"/>
              <w:left w:w="15" w:type="dxa"/>
              <w:bottom w:w="0" w:type="dxa"/>
              <w:right w:w="15" w:type="dxa"/>
            </w:tcMar>
            <w:vAlign w:val="bottom"/>
            <w:hideMark/>
          </w:tcPr>
          <w:p w14:paraId="7CFEE31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46</w:t>
            </w:r>
          </w:p>
        </w:tc>
        <w:tc>
          <w:tcPr>
            <w:tcW w:w="0" w:type="auto"/>
            <w:shd w:val="clear" w:color="auto" w:fill="auto"/>
            <w:noWrap/>
            <w:tcMar>
              <w:top w:w="15" w:type="dxa"/>
              <w:left w:w="15" w:type="dxa"/>
              <w:bottom w:w="0" w:type="dxa"/>
              <w:right w:w="15" w:type="dxa"/>
            </w:tcMar>
            <w:vAlign w:val="bottom"/>
            <w:hideMark/>
          </w:tcPr>
          <w:p w14:paraId="595A6E3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51</w:t>
            </w:r>
          </w:p>
        </w:tc>
        <w:tc>
          <w:tcPr>
            <w:tcW w:w="0" w:type="auto"/>
            <w:shd w:val="clear" w:color="auto" w:fill="auto"/>
            <w:noWrap/>
            <w:tcMar>
              <w:top w:w="15" w:type="dxa"/>
              <w:left w:w="15" w:type="dxa"/>
              <w:bottom w:w="0" w:type="dxa"/>
              <w:right w:w="15" w:type="dxa"/>
            </w:tcMar>
            <w:vAlign w:val="bottom"/>
            <w:hideMark/>
          </w:tcPr>
          <w:p w14:paraId="7D43799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17</w:t>
            </w:r>
          </w:p>
        </w:tc>
        <w:tc>
          <w:tcPr>
            <w:tcW w:w="0" w:type="auto"/>
            <w:shd w:val="clear" w:color="auto" w:fill="auto"/>
            <w:noWrap/>
            <w:tcMar>
              <w:top w:w="15" w:type="dxa"/>
              <w:left w:w="15" w:type="dxa"/>
              <w:bottom w:w="0" w:type="dxa"/>
              <w:right w:w="15" w:type="dxa"/>
            </w:tcMar>
            <w:vAlign w:val="bottom"/>
            <w:hideMark/>
          </w:tcPr>
          <w:p w14:paraId="209B88F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2,411</w:t>
            </w:r>
          </w:p>
        </w:tc>
      </w:tr>
      <w:tr w:rsidR="007E365E" w:rsidRPr="00164C9E" w14:paraId="255294BD" w14:textId="77777777" w:rsidTr="007D1D77">
        <w:trPr>
          <w:trHeight w:val="555"/>
        </w:trPr>
        <w:tc>
          <w:tcPr>
            <w:tcW w:w="2260" w:type="dxa"/>
            <w:shd w:val="clear" w:color="auto" w:fill="auto"/>
            <w:tcMar>
              <w:top w:w="15" w:type="dxa"/>
              <w:left w:w="15" w:type="dxa"/>
              <w:bottom w:w="0" w:type="dxa"/>
              <w:right w:w="15" w:type="dxa"/>
            </w:tcMar>
            <w:vAlign w:val="bottom"/>
            <w:hideMark/>
          </w:tcPr>
          <w:p w14:paraId="6E091447" w14:textId="77777777" w:rsidR="007E365E" w:rsidRDefault="007E365E" w:rsidP="007D1D77">
            <w:pPr>
              <w:keepNext/>
              <w:keepLines/>
              <w:spacing w:before="0" w:line="240" w:lineRule="auto"/>
              <w:rPr>
                <w:rFonts w:cs="Open Sans Light"/>
                <w:sz w:val="16"/>
                <w:szCs w:val="16"/>
              </w:rPr>
            </w:pPr>
            <w:r>
              <w:rPr>
                <w:rFonts w:cs="Open Sans Light"/>
                <w:sz w:val="16"/>
                <w:szCs w:val="16"/>
              </w:rPr>
              <w:t>Heavy vehicle use (million AGM-km)</w:t>
            </w:r>
          </w:p>
        </w:tc>
        <w:tc>
          <w:tcPr>
            <w:tcW w:w="0" w:type="auto"/>
            <w:shd w:val="clear" w:color="auto" w:fill="auto"/>
            <w:noWrap/>
            <w:tcMar>
              <w:top w:w="15" w:type="dxa"/>
              <w:left w:w="15" w:type="dxa"/>
              <w:bottom w:w="0" w:type="dxa"/>
              <w:right w:w="15" w:type="dxa"/>
            </w:tcMar>
            <w:vAlign w:val="bottom"/>
            <w:hideMark/>
          </w:tcPr>
          <w:p w14:paraId="6D5BD9C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79,942</w:t>
            </w:r>
          </w:p>
        </w:tc>
        <w:tc>
          <w:tcPr>
            <w:tcW w:w="0" w:type="auto"/>
            <w:shd w:val="clear" w:color="auto" w:fill="auto"/>
            <w:noWrap/>
            <w:tcMar>
              <w:top w:w="15" w:type="dxa"/>
              <w:left w:w="15" w:type="dxa"/>
              <w:bottom w:w="0" w:type="dxa"/>
              <w:right w:w="15" w:type="dxa"/>
            </w:tcMar>
            <w:vAlign w:val="bottom"/>
            <w:hideMark/>
          </w:tcPr>
          <w:p w14:paraId="77BDCBF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59,724</w:t>
            </w:r>
          </w:p>
        </w:tc>
        <w:tc>
          <w:tcPr>
            <w:tcW w:w="0" w:type="auto"/>
            <w:shd w:val="clear" w:color="auto" w:fill="auto"/>
            <w:noWrap/>
            <w:tcMar>
              <w:top w:w="15" w:type="dxa"/>
              <w:left w:w="15" w:type="dxa"/>
              <w:bottom w:w="0" w:type="dxa"/>
              <w:right w:w="15" w:type="dxa"/>
            </w:tcMar>
            <w:vAlign w:val="bottom"/>
            <w:hideMark/>
          </w:tcPr>
          <w:p w14:paraId="47463FC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52,955</w:t>
            </w:r>
          </w:p>
        </w:tc>
        <w:tc>
          <w:tcPr>
            <w:tcW w:w="0" w:type="auto"/>
            <w:shd w:val="clear" w:color="auto" w:fill="auto"/>
            <w:noWrap/>
            <w:tcMar>
              <w:top w:w="15" w:type="dxa"/>
              <w:left w:w="15" w:type="dxa"/>
              <w:bottom w:w="0" w:type="dxa"/>
              <w:right w:w="15" w:type="dxa"/>
            </w:tcMar>
            <w:vAlign w:val="bottom"/>
            <w:hideMark/>
          </w:tcPr>
          <w:p w14:paraId="6D0ABEE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22,116</w:t>
            </w:r>
          </w:p>
        </w:tc>
        <w:tc>
          <w:tcPr>
            <w:tcW w:w="0" w:type="auto"/>
            <w:shd w:val="clear" w:color="auto" w:fill="auto"/>
            <w:noWrap/>
            <w:tcMar>
              <w:top w:w="15" w:type="dxa"/>
              <w:left w:w="15" w:type="dxa"/>
              <w:bottom w:w="0" w:type="dxa"/>
              <w:right w:w="15" w:type="dxa"/>
            </w:tcMar>
            <w:vAlign w:val="bottom"/>
            <w:hideMark/>
          </w:tcPr>
          <w:p w14:paraId="504A10B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12,853</w:t>
            </w:r>
          </w:p>
        </w:tc>
        <w:tc>
          <w:tcPr>
            <w:tcW w:w="0" w:type="auto"/>
            <w:shd w:val="clear" w:color="auto" w:fill="auto"/>
            <w:noWrap/>
            <w:tcMar>
              <w:top w:w="15" w:type="dxa"/>
              <w:left w:w="15" w:type="dxa"/>
              <w:bottom w:w="0" w:type="dxa"/>
              <w:right w:w="15" w:type="dxa"/>
            </w:tcMar>
            <w:vAlign w:val="bottom"/>
            <w:hideMark/>
          </w:tcPr>
          <w:p w14:paraId="4470E95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4,051</w:t>
            </w:r>
          </w:p>
        </w:tc>
        <w:tc>
          <w:tcPr>
            <w:tcW w:w="0" w:type="auto"/>
            <w:shd w:val="clear" w:color="auto" w:fill="auto"/>
            <w:noWrap/>
            <w:tcMar>
              <w:top w:w="15" w:type="dxa"/>
              <w:left w:w="15" w:type="dxa"/>
              <w:bottom w:w="0" w:type="dxa"/>
              <w:right w:w="15" w:type="dxa"/>
            </w:tcMar>
            <w:vAlign w:val="bottom"/>
            <w:hideMark/>
          </w:tcPr>
          <w:p w14:paraId="3AB3AD4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1,607</w:t>
            </w:r>
          </w:p>
        </w:tc>
        <w:tc>
          <w:tcPr>
            <w:tcW w:w="0" w:type="auto"/>
            <w:shd w:val="clear" w:color="auto" w:fill="auto"/>
            <w:noWrap/>
            <w:tcMar>
              <w:top w:w="15" w:type="dxa"/>
              <w:left w:w="15" w:type="dxa"/>
              <w:bottom w:w="0" w:type="dxa"/>
              <w:right w:w="15" w:type="dxa"/>
            </w:tcMar>
            <w:vAlign w:val="bottom"/>
            <w:hideMark/>
          </w:tcPr>
          <w:p w14:paraId="1A0B695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1,573</w:t>
            </w:r>
          </w:p>
        </w:tc>
        <w:tc>
          <w:tcPr>
            <w:tcW w:w="0" w:type="auto"/>
            <w:shd w:val="clear" w:color="auto" w:fill="auto"/>
            <w:noWrap/>
            <w:tcMar>
              <w:top w:w="15" w:type="dxa"/>
              <w:left w:w="15" w:type="dxa"/>
              <w:bottom w:w="0" w:type="dxa"/>
              <w:right w:w="15" w:type="dxa"/>
            </w:tcMar>
            <w:vAlign w:val="bottom"/>
            <w:hideMark/>
          </w:tcPr>
          <w:p w14:paraId="42D5F63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234,821</w:t>
            </w:r>
          </w:p>
        </w:tc>
      </w:tr>
      <w:tr w:rsidR="007E365E" w:rsidRPr="00164C9E" w14:paraId="412683F2"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6C20CF74" w14:textId="77777777" w:rsidR="007E365E" w:rsidRDefault="007E365E" w:rsidP="007D1D77">
            <w:pPr>
              <w:keepNext/>
              <w:keepLines/>
              <w:spacing w:before="0" w:line="240" w:lineRule="auto"/>
              <w:rPr>
                <w:rFonts w:cs="Open Sans Light"/>
                <w:sz w:val="16"/>
                <w:szCs w:val="16"/>
              </w:rPr>
            </w:pPr>
            <w:r>
              <w:rPr>
                <w:rFonts w:cs="Open Sans Light"/>
                <w:sz w:val="16"/>
                <w:szCs w:val="16"/>
              </w:rPr>
              <w:t>Heavy vehicle use ($m)</w:t>
            </w:r>
          </w:p>
        </w:tc>
        <w:tc>
          <w:tcPr>
            <w:tcW w:w="0" w:type="auto"/>
            <w:shd w:val="clear" w:color="auto" w:fill="auto"/>
            <w:noWrap/>
            <w:tcMar>
              <w:top w:w="15" w:type="dxa"/>
              <w:left w:w="15" w:type="dxa"/>
              <w:bottom w:w="0" w:type="dxa"/>
              <w:right w:w="15" w:type="dxa"/>
            </w:tcMar>
            <w:vAlign w:val="bottom"/>
            <w:hideMark/>
          </w:tcPr>
          <w:p w14:paraId="41C3893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216</w:t>
            </w:r>
          </w:p>
        </w:tc>
        <w:tc>
          <w:tcPr>
            <w:tcW w:w="0" w:type="auto"/>
            <w:shd w:val="clear" w:color="auto" w:fill="auto"/>
            <w:noWrap/>
            <w:tcMar>
              <w:top w:w="15" w:type="dxa"/>
              <w:left w:w="15" w:type="dxa"/>
              <w:bottom w:w="0" w:type="dxa"/>
              <w:right w:w="15" w:type="dxa"/>
            </w:tcMar>
            <w:vAlign w:val="bottom"/>
            <w:hideMark/>
          </w:tcPr>
          <w:p w14:paraId="057377A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161</w:t>
            </w:r>
          </w:p>
        </w:tc>
        <w:tc>
          <w:tcPr>
            <w:tcW w:w="0" w:type="auto"/>
            <w:shd w:val="clear" w:color="auto" w:fill="auto"/>
            <w:noWrap/>
            <w:tcMar>
              <w:top w:w="15" w:type="dxa"/>
              <w:left w:w="15" w:type="dxa"/>
              <w:bottom w:w="0" w:type="dxa"/>
              <w:right w:w="15" w:type="dxa"/>
            </w:tcMar>
            <w:vAlign w:val="bottom"/>
            <w:hideMark/>
          </w:tcPr>
          <w:p w14:paraId="39C2A48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143</w:t>
            </w:r>
          </w:p>
        </w:tc>
        <w:tc>
          <w:tcPr>
            <w:tcW w:w="0" w:type="auto"/>
            <w:shd w:val="clear" w:color="auto" w:fill="auto"/>
            <w:noWrap/>
            <w:tcMar>
              <w:top w:w="15" w:type="dxa"/>
              <w:left w:w="15" w:type="dxa"/>
              <w:bottom w:w="0" w:type="dxa"/>
              <w:right w:w="15" w:type="dxa"/>
            </w:tcMar>
            <w:vAlign w:val="bottom"/>
            <w:hideMark/>
          </w:tcPr>
          <w:p w14:paraId="7B2F8F5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60</w:t>
            </w:r>
          </w:p>
        </w:tc>
        <w:tc>
          <w:tcPr>
            <w:tcW w:w="0" w:type="auto"/>
            <w:shd w:val="clear" w:color="auto" w:fill="auto"/>
            <w:noWrap/>
            <w:tcMar>
              <w:top w:w="15" w:type="dxa"/>
              <w:left w:w="15" w:type="dxa"/>
              <w:bottom w:w="0" w:type="dxa"/>
              <w:right w:w="15" w:type="dxa"/>
            </w:tcMar>
            <w:vAlign w:val="bottom"/>
            <w:hideMark/>
          </w:tcPr>
          <w:p w14:paraId="6A9BA9F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35</w:t>
            </w:r>
          </w:p>
        </w:tc>
        <w:tc>
          <w:tcPr>
            <w:tcW w:w="0" w:type="auto"/>
            <w:shd w:val="clear" w:color="auto" w:fill="auto"/>
            <w:noWrap/>
            <w:tcMar>
              <w:top w:w="15" w:type="dxa"/>
              <w:left w:w="15" w:type="dxa"/>
              <w:bottom w:w="0" w:type="dxa"/>
              <w:right w:w="15" w:type="dxa"/>
            </w:tcMar>
            <w:vAlign w:val="bottom"/>
            <w:hideMark/>
          </w:tcPr>
          <w:p w14:paraId="70D4582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11</w:t>
            </w:r>
          </w:p>
        </w:tc>
        <w:tc>
          <w:tcPr>
            <w:tcW w:w="0" w:type="auto"/>
            <w:shd w:val="clear" w:color="auto" w:fill="auto"/>
            <w:noWrap/>
            <w:tcMar>
              <w:top w:w="15" w:type="dxa"/>
              <w:left w:w="15" w:type="dxa"/>
              <w:bottom w:w="0" w:type="dxa"/>
              <w:right w:w="15" w:type="dxa"/>
            </w:tcMar>
            <w:vAlign w:val="bottom"/>
            <w:hideMark/>
          </w:tcPr>
          <w:p w14:paraId="1D46877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w:t>
            </w:r>
          </w:p>
        </w:tc>
        <w:tc>
          <w:tcPr>
            <w:tcW w:w="0" w:type="auto"/>
            <w:shd w:val="clear" w:color="auto" w:fill="auto"/>
            <w:noWrap/>
            <w:tcMar>
              <w:top w:w="15" w:type="dxa"/>
              <w:left w:w="15" w:type="dxa"/>
              <w:bottom w:w="0" w:type="dxa"/>
              <w:right w:w="15" w:type="dxa"/>
            </w:tcMar>
            <w:vAlign w:val="bottom"/>
            <w:hideMark/>
          </w:tcPr>
          <w:p w14:paraId="35C7BC2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w:t>
            </w:r>
          </w:p>
        </w:tc>
        <w:tc>
          <w:tcPr>
            <w:tcW w:w="0" w:type="auto"/>
            <w:shd w:val="clear" w:color="auto" w:fill="auto"/>
            <w:noWrap/>
            <w:tcMar>
              <w:top w:w="15" w:type="dxa"/>
              <w:left w:w="15" w:type="dxa"/>
              <w:bottom w:w="0" w:type="dxa"/>
              <w:right w:w="15" w:type="dxa"/>
            </w:tcMar>
            <w:vAlign w:val="bottom"/>
            <w:hideMark/>
          </w:tcPr>
          <w:p w14:paraId="4A8A929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633</w:t>
            </w:r>
          </w:p>
        </w:tc>
      </w:tr>
      <w:tr w:rsidR="007E365E" w:rsidRPr="00164C9E" w14:paraId="05162F94"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7DA0B3A0" w14:textId="77777777" w:rsidR="007E365E" w:rsidRDefault="007E365E" w:rsidP="007D1D77">
            <w:pPr>
              <w:keepNext/>
              <w:keepLines/>
              <w:spacing w:before="0" w:line="240" w:lineRule="auto"/>
              <w:rPr>
                <w:rFonts w:cs="Open Sans Light"/>
                <w:sz w:val="16"/>
                <w:szCs w:val="16"/>
              </w:rPr>
            </w:pPr>
            <w:r>
              <w:rPr>
                <w:rFonts w:cs="Open Sans Light"/>
                <w:sz w:val="16"/>
                <w:szCs w:val="16"/>
              </w:rPr>
              <w:t>Wage costs factor</w:t>
            </w:r>
          </w:p>
        </w:tc>
        <w:tc>
          <w:tcPr>
            <w:tcW w:w="0" w:type="auto"/>
            <w:shd w:val="clear" w:color="auto" w:fill="auto"/>
            <w:noWrap/>
            <w:tcMar>
              <w:top w:w="15" w:type="dxa"/>
              <w:left w:w="15" w:type="dxa"/>
              <w:bottom w:w="0" w:type="dxa"/>
              <w:right w:w="15" w:type="dxa"/>
            </w:tcMar>
            <w:vAlign w:val="bottom"/>
            <w:hideMark/>
          </w:tcPr>
          <w:p w14:paraId="191803B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1.006</w:t>
            </w:r>
          </w:p>
        </w:tc>
        <w:tc>
          <w:tcPr>
            <w:tcW w:w="0" w:type="auto"/>
            <w:shd w:val="clear" w:color="auto" w:fill="auto"/>
            <w:noWrap/>
            <w:tcMar>
              <w:top w:w="15" w:type="dxa"/>
              <w:left w:w="15" w:type="dxa"/>
              <w:bottom w:w="0" w:type="dxa"/>
              <w:right w:w="15" w:type="dxa"/>
            </w:tcMar>
            <w:vAlign w:val="bottom"/>
            <w:hideMark/>
          </w:tcPr>
          <w:p w14:paraId="4953C12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0.994</w:t>
            </w:r>
          </w:p>
        </w:tc>
        <w:tc>
          <w:tcPr>
            <w:tcW w:w="0" w:type="auto"/>
            <w:shd w:val="clear" w:color="auto" w:fill="auto"/>
            <w:noWrap/>
            <w:tcMar>
              <w:top w:w="15" w:type="dxa"/>
              <w:left w:w="15" w:type="dxa"/>
              <w:bottom w:w="0" w:type="dxa"/>
              <w:right w:w="15" w:type="dxa"/>
            </w:tcMar>
            <w:vAlign w:val="bottom"/>
            <w:hideMark/>
          </w:tcPr>
          <w:p w14:paraId="2D24B83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0.996</w:t>
            </w:r>
          </w:p>
        </w:tc>
        <w:tc>
          <w:tcPr>
            <w:tcW w:w="0" w:type="auto"/>
            <w:shd w:val="clear" w:color="auto" w:fill="auto"/>
            <w:noWrap/>
            <w:tcMar>
              <w:top w:w="15" w:type="dxa"/>
              <w:left w:w="15" w:type="dxa"/>
              <w:bottom w:w="0" w:type="dxa"/>
              <w:right w:w="15" w:type="dxa"/>
            </w:tcMar>
            <w:vAlign w:val="bottom"/>
            <w:hideMark/>
          </w:tcPr>
          <w:p w14:paraId="74BB529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1.018</w:t>
            </w:r>
          </w:p>
        </w:tc>
        <w:tc>
          <w:tcPr>
            <w:tcW w:w="0" w:type="auto"/>
            <w:shd w:val="clear" w:color="auto" w:fill="auto"/>
            <w:noWrap/>
            <w:tcMar>
              <w:top w:w="15" w:type="dxa"/>
              <w:left w:w="15" w:type="dxa"/>
              <w:bottom w:w="0" w:type="dxa"/>
              <w:right w:w="15" w:type="dxa"/>
            </w:tcMar>
            <w:vAlign w:val="bottom"/>
            <w:hideMark/>
          </w:tcPr>
          <w:p w14:paraId="515D6C4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0.979</w:t>
            </w:r>
          </w:p>
        </w:tc>
        <w:tc>
          <w:tcPr>
            <w:tcW w:w="0" w:type="auto"/>
            <w:shd w:val="clear" w:color="auto" w:fill="auto"/>
            <w:noWrap/>
            <w:tcMar>
              <w:top w:w="15" w:type="dxa"/>
              <w:left w:w="15" w:type="dxa"/>
              <w:bottom w:w="0" w:type="dxa"/>
              <w:right w:w="15" w:type="dxa"/>
            </w:tcMar>
            <w:vAlign w:val="bottom"/>
            <w:hideMark/>
          </w:tcPr>
          <w:p w14:paraId="0810142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0.972</w:t>
            </w:r>
          </w:p>
        </w:tc>
        <w:tc>
          <w:tcPr>
            <w:tcW w:w="0" w:type="auto"/>
            <w:shd w:val="clear" w:color="auto" w:fill="auto"/>
            <w:noWrap/>
            <w:tcMar>
              <w:top w:w="15" w:type="dxa"/>
              <w:left w:w="15" w:type="dxa"/>
              <w:bottom w:w="0" w:type="dxa"/>
              <w:right w:w="15" w:type="dxa"/>
            </w:tcMar>
            <w:vAlign w:val="bottom"/>
            <w:hideMark/>
          </w:tcPr>
          <w:p w14:paraId="6BE1B14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1.019</w:t>
            </w:r>
          </w:p>
        </w:tc>
        <w:tc>
          <w:tcPr>
            <w:tcW w:w="0" w:type="auto"/>
            <w:shd w:val="clear" w:color="auto" w:fill="auto"/>
            <w:noWrap/>
            <w:tcMar>
              <w:top w:w="15" w:type="dxa"/>
              <w:left w:w="15" w:type="dxa"/>
              <w:bottom w:w="0" w:type="dxa"/>
              <w:right w:w="15" w:type="dxa"/>
            </w:tcMar>
            <w:vAlign w:val="bottom"/>
            <w:hideMark/>
          </w:tcPr>
          <w:p w14:paraId="4C5B92F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1.029</w:t>
            </w:r>
          </w:p>
        </w:tc>
        <w:tc>
          <w:tcPr>
            <w:tcW w:w="0" w:type="auto"/>
            <w:shd w:val="clear" w:color="auto" w:fill="auto"/>
            <w:noWrap/>
            <w:tcMar>
              <w:top w:w="15" w:type="dxa"/>
              <w:left w:w="15" w:type="dxa"/>
              <w:bottom w:w="0" w:type="dxa"/>
              <w:right w:w="15" w:type="dxa"/>
            </w:tcMar>
            <w:vAlign w:val="bottom"/>
            <w:hideMark/>
          </w:tcPr>
          <w:p w14:paraId="7022E0C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1.000</w:t>
            </w:r>
          </w:p>
        </w:tc>
      </w:tr>
      <w:tr w:rsidR="007E365E" w:rsidRPr="00164C9E" w14:paraId="0ED47956" w14:textId="77777777" w:rsidTr="007D1D77">
        <w:trPr>
          <w:trHeight w:val="315"/>
        </w:trPr>
        <w:tc>
          <w:tcPr>
            <w:tcW w:w="0" w:type="auto"/>
            <w:shd w:val="clear" w:color="000000" w:fill="D6E7F0"/>
            <w:noWrap/>
            <w:tcMar>
              <w:top w:w="15" w:type="dxa"/>
              <w:left w:w="15" w:type="dxa"/>
              <w:bottom w:w="0" w:type="dxa"/>
              <w:right w:w="15" w:type="dxa"/>
            </w:tcMar>
            <w:vAlign w:val="bottom"/>
            <w:hideMark/>
          </w:tcPr>
          <w:p w14:paraId="3F2BE8DA" w14:textId="77777777" w:rsidR="007E365E" w:rsidRDefault="007E365E" w:rsidP="007D1D77">
            <w:pPr>
              <w:keepNext/>
              <w:keepLines/>
              <w:spacing w:before="0" w:line="240" w:lineRule="auto"/>
              <w:rPr>
                <w:rFonts w:ascii="Open Sans SemiBold" w:hAnsi="Open Sans SemiBold" w:cs="Open Sans SemiBold"/>
                <w:color w:val="000000"/>
                <w:sz w:val="16"/>
                <w:szCs w:val="16"/>
              </w:rPr>
            </w:pPr>
            <w:r>
              <w:rPr>
                <w:rFonts w:ascii="Open Sans SemiBold" w:hAnsi="Open Sans SemiBold" w:cs="Open Sans SemiBold"/>
                <w:color w:val="000000"/>
                <w:sz w:val="16"/>
                <w:szCs w:val="16"/>
              </w:rPr>
              <w:t>Assessed expenses ($m)</w:t>
            </w:r>
          </w:p>
        </w:tc>
        <w:tc>
          <w:tcPr>
            <w:tcW w:w="0" w:type="auto"/>
            <w:shd w:val="clear" w:color="000000" w:fill="D6E7F0"/>
            <w:noWrap/>
            <w:tcMar>
              <w:top w:w="15" w:type="dxa"/>
              <w:left w:w="15" w:type="dxa"/>
              <w:bottom w:w="0" w:type="dxa"/>
              <w:right w:w="15" w:type="dxa"/>
            </w:tcMar>
            <w:vAlign w:val="bottom"/>
            <w:hideMark/>
          </w:tcPr>
          <w:p w14:paraId="1290D3DB"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1,094</w:t>
            </w:r>
          </w:p>
        </w:tc>
        <w:tc>
          <w:tcPr>
            <w:tcW w:w="0" w:type="auto"/>
            <w:shd w:val="clear" w:color="000000" w:fill="D6E7F0"/>
            <w:noWrap/>
            <w:tcMar>
              <w:top w:w="15" w:type="dxa"/>
              <w:left w:w="15" w:type="dxa"/>
              <w:bottom w:w="0" w:type="dxa"/>
              <w:right w:w="15" w:type="dxa"/>
            </w:tcMar>
            <w:vAlign w:val="bottom"/>
            <w:hideMark/>
          </w:tcPr>
          <w:p w14:paraId="591C382C"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932</w:t>
            </w:r>
          </w:p>
        </w:tc>
        <w:tc>
          <w:tcPr>
            <w:tcW w:w="0" w:type="auto"/>
            <w:shd w:val="clear" w:color="000000" w:fill="D6E7F0"/>
            <w:noWrap/>
            <w:tcMar>
              <w:top w:w="15" w:type="dxa"/>
              <w:left w:w="15" w:type="dxa"/>
              <w:bottom w:w="0" w:type="dxa"/>
              <w:right w:w="15" w:type="dxa"/>
            </w:tcMar>
            <w:vAlign w:val="bottom"/>
            <w:hideMark/>
          </w:tcPr>
          <w:p w14:paraId="2AA3D1FE"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722</w:t>
            </w:r>
          </w:p>
        </w:tc>
        <w:tc>
          <w:tcPr>
            <w:tcW w:w="0" w:type="auto"/>
            <w:shd w:val="clear" w:color="000000" w:fill="D6E7F0"/>
            <w:noWrap/>
            <w:tcMar>
              <w:top w:w="15" w:type="dxa"/>
              <w:left w:w="15" w:type="dxa"/>
              <w:bottom w:w="0" w:type="dxa"/>
              <w:right w:w="15" w:type="dxa"/>
            </w:tcMar>
            <w:vAlign w:val="bottom"/>
            <w:hideMark/>
          </w:tcPr>
          <w:p w14:paraId="69BBC73A"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372</w:t>
            </w:r>
          </w:p>
        </w:tc>
        <w:tc>
          <w:tcPr>
            <w:tcW w:w="0" w:type="auto"/>
            <w:shd w:val="clear" w:color="000000" w:fill="D6E7F0"/>
            <w:noWrap/>
            <w:tcMar>
              <w:top w:w="15" w:type="dxa"/>
              <w:left w:w="15" w:type="dxa"/>
              <w:bottom w:w="0" w:type="dxa"/>
              <w:right w:w="15" w:type="dxa"/>
            </w:tcMar>
            <w:vAlign w:val="bottom"/>
            <w:hideMark/>
          </w:tcPr>
          <w:p w14:paraId="63D6E09F"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191</w:t>
            </w:r>
          </w:p>
        </w:tc>
        <w:tc>
          <w:tcPr>
            <w:tcW w:w="0" w:type="auto"/>
            <w:shd w:val="clear" w:color="000000" w:fill="D6E7F0"/>
            <w:noWrap/>
            <w:tcMar>
              <w:top w:w="15" w:type="dxa"/>
              <w:left w:w="15" w:type="dxa"/>
              <w:bottom w:w="0" w:type="dxa"/>
              <w:right w:w="15" w:type="dxa"/>
            </w:tcMar>
            <w:vAlign w:val="bottom"/>
            <w:hideMark/>
          </w:tcPr>
          <w:p w14:paraId="45742AD3"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61</w:t>
            </w:r>
          </w:p>
        </w:tc>
        <w:tc>
          <w:tcPr>
            <w:tcW w:w="0" w:type="auto"/>
            <w:shd w:val="clear" w:color="000000" w:fill="D6E7F0"/>
            <w:noWrap/>
            <w:tcMar>
              <w:top w:w="15" w:type="dxa"/>
              <w:left w:w="15" w:type="dxa"/>
              <w:bottom w:w="0" w:type="dxa"/>
              <w:right w:w="15" w:type="dxa"/>
            </w:tcMar>
            <w:vAlign w:val="bottom"/>
            <w:hideMark/>
          </w:tcPr>
          <w:p w14:paraId="149BAC2F"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66</w:t>
            </w:r>
          </w:p>
        </w:tc>
        <w:tc>
          <w:tcPr>
            <w:tcW w:w="0" w:type="auto"/>
            <w:shd w:val="clear" w:color="000000" w:fill="D6E7F0"/>
            <w:noWrap/>
            <w:tcMar>
              <w:top w:w="15" w:type="dxa"/>
              <w:left w:w="15" w:type="dxa"/>
              <w:bottom w:w="0" w:type="dxa"/>
              <w:right w:w="15" w:type="dxa"/>
            </w:tcMar>
            <w:vAlign w:val="bottom"/>
            <w:hideMark/>
          </w:tcPr>
          <w:p w14:paraId="33293E26"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25</w:t>
            </w:r>
          </w:p>
        </w:tc>
        <w:tc>
          <w:tcPr>
            <w:tcW w:w="0" w:type="auto"/>
            <w:shd w:val="clear" w:color="000000" w:fill="D6E7F0"/>
            <w:noWrap/>
            <w:tcMar>
              <w:top w:w="15" w:type="dxa"/>
              <w:left w:w="15" w:type="dxa"/>
              <w:bottom w:w="0" w:type="dxa"/>
              <w:right w:w="15" w:type="dxa"/>
            </w:tcMar>
            <w:vAlign w:val="bottom"/>
            <w:hideMark/>
          </w:tcPr>
          <w:p w14:paraId="5041FEB0"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3,462</w:t>
            </w:r>
          </w:p>
        </w:tc>
      </w:tr>
      <w:tr w:rsidR="007E365E" w:rsidRPr="00164C9E" w14:paraId="119FCED5" w14:textId="77777777" w:rsidTr="007D1D77">
        <w:trPr>
          <w:trHeight w:val="315"/>
        </w:trPr>
        <w:tc>
          <w:tcPr>
            <w:tcW w:w="0" w:type="auto"/>
            <w:shd w:val="clear" w:color="000000" w:fill="D6E7F0"/>
            <w:noWrap/>
            <w:tcMar>
              <w:top w:w="15" w:type="dxa"/>
              <w:left w:w="15" w:type="dxa"/>
              <w:bottom w:w="0" w:type="dxa"/>
              <w:right w:w="15" w:type="dxa"/>
            </w:tcMar>
            <w:vAlign w:val="bottom"/>
            <w:hideMark/>
          </w:tcPr>
          <w:p w14:paraId="083F9217" w14:textId="77777777" w:rsidR="007E365E" w:rsidRDefault="007E365E" w:rsidP="007D1D77">
            <w:pPr>
              <w:keepNext/>
              <w:keepLines/>
              <w:spacing w:before="0" w:line="240" w:lineRule="auto"/>
              <w:rPr>
                <w:rFonts w:ascii="Open Sans SemiBold" w:hAnsi="Open Sans SemiBold" w:cs="Open Sans SemiBold"/>
                <w:color w:val="000000"/>
                <w:sz w:val="16"/>
                <w:szCs w:val="16"/>
              </w:rPr>
            </w:pPr>
            <w:r>
              <w:rPr>
                <w:rFonts w:ascii="Open Sans SemiBold" w:hAnsi="Open Sans SemiBold" w:cs="Open Sans SemiBold"/>
                <w:color w:val="000000"/>
                <w:sz w:val="16"/>
                <w:szCs w:val="16"/>
              </w:rPr>
              <w:t>Assessed expenses ($pc)</w:t>
            </w:r>
          </w:p>
        </w:tc>
        <w:tc>
          <w:tcPr>
            <w:tcW w:w="0" w:type="auto"/>
            <w:shd w:val="clear" w:color="000000" w:fill="D6E7F0"/>
            <w:noWrap/>
            <w:tcMar>
              <w:top w:w="15" w:type="dxa"/>
              <w:left w:w="15" w:type="dxa"/>
              <w:bottom w:w="0" w:type="dxa"/>
              <w:right w:w="15" w:type="dxa"/>
            </w:tcMar>
            <w:vAlign w:val="bottom"/>
            <w:hideMark/>
          </w:tcPr>
          <w:p w14:paraId="09D43887"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136</w:t>
            </w:r>
          </w:p>
        </w:tc>
        <w:tc>
          <w:tcPr>
            <w:tcW w:w="0" w:type="auto"/>
            <w:shd w:val="clear" w:color="000000" w:fill="D6E7F0"/>
            <w:noWrap/>
            <w:tcMar>
              <w:top w:w="15" w:type="dxa"/>
              <w:left w:w="15" w:type="dxa"/>
              <w:bottom w:w="0" w:type="dxa"/>
              <w:right w:w="15" w:type="dxa"/>
            </w:tcMar>
            <w:vAlign w:val="bottom"/>
            <w:hideMark/>
          </w:tcPr>
          <w:p w14:paraId="2D89410D"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143</w:t>
            </w:r>
          </w:p>
        </w:tc>
        <w:tc>
          <w:tcPr>
            <w:tcW w:w="0" w:type="auto"/>
            <w:shd w:val="clear" w:color="000000" w:fill="D6E7F0"/>
            <w:noWrap/>
            <w:tcMar>
              <w:top w:w="15" w:type="dxa"/>
              <w:left w:w="15" w:type="dxa"/>
              <w:bottom w:w="0" w:type="dxa"/>
              <w:right w:w="15" w:type="dxa"/>
            </w:tcMar>
            <w:vAlign w:val="bottom"/>
            <w:hideMark/>
          </w:tcPr>
          <w:p w14:paraId="0591576F"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143</w:t>
            </w:r>
          </w:p>
        </w:tc>
        <w:tc>
          <w:tcPr>
            <w:tcW w:w="0" w:type="auto"/>
            <w:shd w:val="clear" w:color="000000" w:fill="D6E7F0"/>
            <w:noWrap/>
            <w:tcMar>
              <w:top w:w="15" w:type="dxa"/>
              <w:left w:w="15" w:type="dxa"/>
              <w:bottom w:w="0" w:type="dxa"/>
              <w:right w:w="15" w:type="dxa"/>
            </w:tcMar>
            <w:vAlign w:val="bottom"/>
            <w:hideMark/>
          </w:tcPr>
          <w:p w14:paraId="33D3EA48"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143</w:t>
            </w:r>
          </w:p>
        </w:tc>
        <w:tc>
          <w:tcPr>
            <w:tcW w:w="0" w:type="auto"/>
            <w:shd w:val="clear" w:color="000000" w:fill="D6E7F0"/>
            <w:noWrap/>
            <w:tcMar>
              <w:top w:w="15" w:type="dxa"/>
              <w:left w:w="15" w:type="dxa"/>
              <w:bottom w:w="0" w:type="dxa"/>
              <w:right w:w="15" w:type="dxa"/>
            </w:tcMar>
            <w:vAlign w:val="bottom"/>
            <w:hideMark/>
          </w:tcPr>
          <w:p w14:paraId="63CFA565"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110</w:t>
            </w:r>
          </w:p>
        </w:tc>
        <w:tc>
          <w:tcPr>
            <w:tcW w:w="0" w:type="auto"/>
            <w:shd w:val="clear" w:color="000000" w:fill="D6E7F0"/>
            <w:noWrap/>
            <w:tcMar>
              <w:top w:w="15" w:type="dxa"/>
              <w:left w:w="15" w:type="dxa"/>
              <w:bottom w:w="0" w:type="dxa"/>
              <w:right w:w="15" w:type="dxa"/>
            </w:tcMar>
            <w:vAlign w:val="bottom"/>
            <w:hideMark/>
          </w:tcPr>
          <w:p w14:paraId="3008FA58"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116</w:t>
            </w:r>
          </w:p>
        </w:tc>
        <w:tc>
          <w:tcPr>
            <w:tcW w:w="0" w:type="auto"/>
            <w:shd w:val="clear" w:color="000000" w:fill="D6E7F0"/>
            <w:noWrap/>
            <w:tcMar>
              <w:top w:w="15" w:type="dxa"/>
              <w:left w:w="15" w:type="dxa"/>
              <w:bottom w:w="0" w:type="dxa"/>
              <w:right w:w="15" w:type="dxa"/>
            </w:tcMar>
            <w:vAlign w:val="bottom"/>
            <w:hideMark/>
          </w:tcPr>
          <w:p w14:paraId="6378D5F6"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155</w:t>
            </w:r>
          </w:p>
        </w:tc>
        <w:tc>
          <w:tcPr>
            <w:tcW w:w="0" w:type="auto"/>
            <w:shd w:val="clear" w:color="000000" w:fill="D6E7F0"/>
            <w:noWrap/>
            <w:tcMar>
              <w:top w:w="15" w:type="dxa"/>
              <w:left w:w="15" w:type="dxa"/>
              <w:bottom w:w="0" w:type="dxa"/>
              <w:right w:w="15" w:type="dxa"/>
            </w:tcMar>
            <w:vAlign w:val="bottom"/>
            <w:hideMark/>
          </w:tcPr>
          <w:p w14:paraId="2DB52FF6"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100</w:t>
            </w:r>
          </w:p>
        </w:tc>
        <w:tc>
          <w:tcPr>
            <w:tcW w:w="0" w:type="auto"/>
            <w:shd w:val="clear" w:color="000000" w:fill="D6E7F0"/>
            <w:noWrap/>
            <w:tcMar>
              <w:top w:w="15" w:type="dxa"/>
              <w:left w:w="15" w:type="dxa"/>
              <w:bottom w:w="0" w:type="dxa"/>
              <w:right w:w="15" w:type="dxa"/>
            </w:tcMar>
            <w:vAlign w:val="bottom"/>
            <w:hideMark/>
          </w:tcPr>
          <w:p w14:paraId="1AFDB1EF"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138</w:t>
            </w:r>
          </w:p>
        </w:tc>
      </w:tr>
    </w:tbl>
    <w:p w14:paraId="3ACE6CEA" w14:textId="77777777" w:rsidR="007E365E" w:rsidRPr="00E23377" w:rsidRDefault="007E365E" w:rsidP="007E365E">
      <w:pPr>
        <w:pStyle w:val="CGCTablenote"/>
        <w:keepNext/>
        <w:keepLines/>
      </w:pPr>
      <w:r w:rsidRPr="00E23377">
        <w:t>Source:</w:t>
      </w:r>
      <w:r w:rsidRPr="00E23377">
        <w:tab/>
        <w:t>Commission calculation using ABS estimated resident population December 201</w:t>
      </w:r>
      <w:r>
        <w:t>8</w:t>
      </w:r>
      <w:r w:rsidRPr="00E23377">
        <w:t>, NTC trend data and BITRE vkt data.</w:t>
      </w:r>
    </w:p>
    <w:p w14:paraId="1C3514F1" w14:textId="77777777" w:rsidR="007E365E" w:rsidRPr="00E23377" w:rsidRDefault="007E365E" w:rsidP="007E365E">
      <w:pPr>
        <w:pStyle w:val="Heading4"/>
      </w:pPr>
      <w:bookmarkStart w:id="190" w:name="_Toc4754275"/>
      <w:bookmarkStart w:id="191" w:name="_Toc5030078"/>
      <w:r w:rsidRPr="00E23377">
        <w:t>Bridges and tunnels</w:t>
      </w:r>
      <w:bookmarkEnd w:id="190"/>
      <w:bookmarkEnd w:id="191"/>
    </w:p>
    <w:p w14:paraId="3B71236A" w14:textId="77777777" w:rsidR="007E365E" w:rsidRPr="00E23377" w:rsidRDefault="007E365E" w:rsidP="007E365E">
      <w:pPr>
        <w:pStyle w:val="CGCParaNumber"/>
      </w:pPr>
      <w:r w:rsidRPr="00E23377">
        <w:t xml:space="preserve">The assessment of the bridges and tunnel length disability is detailed below. </w:t>
      </w:r>
    </w:p>
    <w:p w14:paraId="7E686661" w14:textId="77777777" w:rsidR="007E365E" w:rsidRPr="00E23377" w:rsidRDefault="007E365E" w:rsidP="007E365E">
      <w:pPr>
        <w:pStyle w:val="CGCParaNumber"/>
      </w:pPr>
      <w:r w:rsidRPr="00E23377">
        <w:t>Using NTC data, the disability weights for 201</w:t>
      </w:r>
      <w:r>
        <w:t>8</w:t>
      </w:r>
      <w:r w:rsidRPr="00E23377">
        <w:t>-1</w:t>
      </w:r>
      <w:r>
        <w:t>9</w:t>
      </w:r>
      <w:r w:rsidRPr="00E23377">
        <w:t xml:space="preserve"> are as follows:</w:t>
      </w:r>
    </w:p>
    <w:p w14:paraId="062CA562" w14:textId="77777777" w:rsidR="007E365E" w:rsidRPr="00E23377" w:rsidRDefault="007E365E" w:rsidP="007E365E">
      <w:pPr>
        <w:pStyle w:val="CGCBullet1"/>
      </w:pPr>
      <w:r w:rsidRPr="00E23377">
        <w:t>67% for bridge and tunnel length</w:t>
      </w:r>
    </w:p>
    <w:p w14:paraId="79D143BD" w14:textId="77777777" w:rsidR="007E365E" w:rsidRPr="00E23377" w:rsidRDefault="007E365E" w:rsidP="007E365E">
      <w:pPr>
        <w:pStyle w:val="CGCBullet1"/>
      </w:pPr>
      <w:r w:rsidRPr="00E23377">
        <w:t>33% for heavy vehicle use.</w:t>
      </w:r>
    </w:p>
    <w:p w14:paraId="6C20B121" w14:textId="77777777" w:rsidR="007E365E" w:rsidRPr="00E23377" w:rsidRDefault="007E365E" w:rsidP="007E365E">
      <w:pPr>
        <w:pStyle w:val="Heading5"/>
      </w:pPr>
      <w:r w:rsidRPr="00E23377">
        <w:t>Structure length</w:t>
      </w:r>
    </w:p>
    <w:p w14:paraId="3D38286A" w14:textId="35AEF5A7" w:rsidR="007E365E" w:rsidRPr="00E23377" w:rsidRDefault="007E365E" w:rsidP="007E365E">
      <w:pPr>
        <w:pStyle w:val="CGCParaNumber"/>
      </w:pPr>
      <w:r w:rsidRPr="00E23377">
        <w:t xml:space="preserve">The bridges and tunnels length component is measured using actual lengths of bridges and tunnels managed by State governments. These lengths are calculated using open source and State provided data. Only structures </w:t>
      </w:r>
      <w:r>
        <w:t>of at least</w:t>
      </w:r>
      <w:r w:rsidRPr="00E23377">
        <w:t xml:space="preserve"> four metres in length were included to ensure comparability across datasets. These lengths are shown in </w:t>
      </w:r>
      <w:r w:rsidRPr="00E23377">
        <w:fldChar w:fldCharType="begin"/>
      </w:r>
      <w:r w:rsidRPr="00E23377">
        <w:instrText xml:space="preserve"> REF _Ref9948759 \h  \* MERGEFORMAT </w:instrText>
      </w:r>
      <w:r w:rsidRPr="00E23377">
        <w:fldChar w:fldCharType="separate"/>
      </w:r>
      <w:r w:rsidR="007F721A" w:rsidRPr="00E23377">
        <w:t>Table </w:t>
      </w:r>
      <w:r w:rsidR="007F721A">
        <w:t>20-18</w:t>
      </w:r>
      <w:r w:rsidRPr="00E23377">
        <w:fldChar w:fldCharType="end"/>
      </w:r>
      <w:r w:rsidRPr="00E23377">
        <w:t>.</w:t>
      </w:r>
    </w:p>
    <w:p w14:paraId="2E7333DD" w14:textId="268708B3" w:rsidR="007E365E" w:rsidRDefault="007E365E" w:rsidP="007E365E">
      <w:pPr>
        <w:pStyle w:val="Caption"/>
      </w:pPr>
      <w:bookmarkStart w:id="192" w:name="_Ref9948759"/>
      <w:r w:rsidRPr="00E23377">
        <w:t>Table </w:t>
      </w:r>
      <w:r>
        <w:t>20-</w:t>
      </w:r>
      <w:fldSimple w:instr=" SEQ Table \* ARABIC ">
        <w:r w:rsidR="007F721A">
          <w:rPr>
            <w:noProof/>
          </w:rPr>
          <w:t>18</w:t>
        </w:r>
      </w:fldSimple>
      <w:bookmarkEnd w:id="192"/>
      <w:r w:rsidRPr="00E23377">
        <w:tab/>
        <w:t>Estimated bridge and tunnel length by State, 2020 Review</w:t>
      </w:r>
    </w:p>
    <w:tbl>
      <w:tblPr>
        <w:tblW w:w="8920" w:type="dxa"/>
        <w:tblBorders>
          <w:top w:val="single" w:sz="4" w:space="0" w:color="ADD6EA"/>
          <w:bottom w:val="single" w:sz="4" w:space="0" w:color="ADD6EA"/>
          <w:insideH w:val="single" w:sz="4" w:space="0" w:color="ADD6EA"/>
        </w:tblBorders>
        <w:tblCellMar>
          <w:left w:w="0" w:type="dxa"/>
          <w:right w:w="0" w:type="dxa"/>
        </w:tblCellMar>
        <w:tblLook w:val="04A0" w:firstRow="1" w:lastRow="0" w:firstColumn="1" w:lastColumn="0" w:noHBand="0" w:noVBand="1"/>
      </w:tblPr>
      <w:tblGrid>
        <w:gridCol w:w="1480"/>
        <w:gridCol w:w="880"/>
        <w:gridCol w:w="880"/>
        <w:gridCol w:w="880"/>
        <w:gridCol w:w="780"/>
        <w:gridCol w:w="780"/>
        <w:gridCol w:w="780"/>
        <w:gridCol w:w="780"/>
        <w:gridCol w:w="780"/>
        <w:gridCol w:w="900"/>
      </w:tblGrid>
      <w:tr w:rsidR="007E365E" w:rsidRPr="00A76BDB" w14:paraId="387E9D92" w14:textId="77777777" w:rsidTr="007D1D77">
        <w:trPr>
          <w:trHeight w:val="375"/>
        </w:trPr>
        <w:tc>
          <w:tcPr>
            <w:tcW w:w="1480" w:type="dxa"/>
            <w:shd w:val="clear" w:color="000000" w:fill="006991"/>
            <w:tcMar>
              <w:top w:w="15" w:type="dxa"/>
              <w:left w:w="15" w:type="dxa"/>
              <w:bottom w:w="0" w:type="dxa"/>
              <w:right w:w="15" w:type="dxa"/>
            </w:tcMar>
            <w:vAlign w:val="center"/>
            <w:hideMark/>
          </w:tcPr>
          <w:p w14:paraId="14997875" w14:textId="77777777" w:rsidR="007E365E" w:rsidRDefault="007E365E" w:rsidP="007D1D77">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880" w:type="dxa"/>
            <w:shd w:val="clear" w:color="000000" w:fill="006991"/>
            <w:tcMar>
              <w:top w:w="15" w:type="dxa"/>
              <w:left w:w="15" w:type="dxa"/>
              <w:bottom w:w="0" w:type="dxa"/>
              <w:right w:w="15" w:type="dxa"/>
            </w:tcMar>
            <w:vAlign w:val="center"/>
            <w:hideMark/>
          </w:tcPr>
          <w:p w14:paraId="5EAEEBCE"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880" w:type="dxa"/>
            <w:shd w:val="clear" w:color="000000" w:fill="006991"/>
            <w:tcMar>
              <w:top w:w="15" w:type="dxa"/>
              <w:left w:w="15" w:type="dxa"/>
              <w:bottom w:w="0" w:type="dxa"/>
              <w:right w:w="15" w:type="dxa"/>
            </w:tcMar>
            <w:vAlign w:val="center"/>
            <w:hideMark/>
          </w:tcPr>
          <w:p w14:paraId="77992CBA"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880" w:type="dxa"/>
            <w:shd w:val="clear" w:color="000000" w:fill="006991"/>
            <w:tcMar>
              <w:top w:w="15" w:type="dxa"/>
              <w:left w:w="15" w:type="dxa"/>
              <w:bottom w:w="0" w:type="dxa"/>
              <w:right w:w="15" w:type="dxa"/>
            </w:tcMar>
            <w:vAlign w:val="center"/>
            <w:hideMark/>
          </w:tcPr>
          <w:p w14:paraId="4A55D52E"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80" w:type="dxa"/>
            <w:shd w:val="clear" w:color="000000" w:fill="006991"/>
            <w:tcMar>
              <w:top w:w="15" w:type="dxa"/>
              <w:left w:w="15" w:type="dxa"/>
              <w:bottom w:w="0" w:type="dxa"/>
              <w:right w:w="15" w:type="dxa"/>
            </w:tcMar>
            <w:vAlign w:val="center"/>
            <w:hideMark/>
          </w:tcPr>
          <w:p w14:paraId="59E0180E"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80" w:type="dxa"/>
            <w:shd w:val="clear" w:color="000000" w:fill="006991"/>
            <w:tcMar>
              <w:top w:w="15" w:type="dxa"/>
              <w:left w:w="15" w:type="dxa"/>
              <w:bottom w:w="0" w:type="dxa"/>
              <w:right w:w="15" w:type="dxa"/>
            </w:tcMar>
            <w:vAlign w:val="center"/>
            <w:hideMark/>
          </w:tcPr>
          <w:p w14:paraId="0507C2D5"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80" w:type="dxa"/>
            <w:shd w:val="clear" w:color="000000" w:fill="006991"/>
            <w:tcMar>
              <w:top w:w="15" w:type="dxa"/>
              <w:left w:w="15" w:type="dxa"/>
              <w:bottom w:w="0" w:type="dxa"/>
              <w:right w:w="15" w:type="dxa"/>
            </w:tcMar>
            <w:vAlign w:val="center"/>
            <w:hideMark/>
          </w:tcPr>
          <w:p w14:paraId="15CA0E84"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80" w:type="dxa"/>
            <w:shd w:val="clear" w:color="000000" w:fill="006991"/>
            <w:tcMar>
              <w:top w:w="15" w:type="dxa"/>
              <w:left w:w="15" w:type="dxa"/>
              <w:bottom w:w="0" w:type="dxa"/>
              <w:right w:w="15" w:type="dxa"/>
            </w:tcMar>
            <w:vAlign w:val="center"/>
            <w:hideMark/>
          </w:tcPr>
          <w:p w14:paraId="039BAD15"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80" w:type="dxa"/>
            <w:shd w:val="clear" w:color="000000" w:fill="006991"/>
            <w:tcMar>
              <w:top w:w="15" w:type="dxa"/>
              <w:left w:w="15" w:type="dxa"/>
              <w:bottom w:w="0" w:type="dxa"/>
              <w:right w:w="15" w:type="dxa"/>
            </w:tcMar>
            <w:vAlign w:val="center"/>
            <w:hideMark/>
          </w:tcPr>
          <w:p w14:paraId="064BAAEA"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900" w:type="dxa"/>
            <w:shd w:val="clear" w:color="000000" w:fill="006991"/>
            <w:tcMar>
              <w:top w:w="15" w:type="dxa"/>
              <w:left w:w="15" w:type="dxa"/>
              <w:bottom w:w="0" w:type="dxa"/>
              <w:right w:w="15" w:type="dxa"/>
            </w:tcMar>
            <w:vAlign w:val="center"/>
            <w:hideMark/>
          </w:tcPr>
          <w:p w14:paraId="1FE893E6"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7E365E" w:rsidRPr="00A76BDB" w14:paraId="54B53709" w14:textId="77777777" w:rsidTr="0021165C">
        <w:trPr>
          <w:trHeight w:val="259"/>
        </w:trPr>
        <w:tc>
          <w:tcPr>
            <w:tcW w:w="0" w:type="auto"/>
            <w:shd w:val="clear" w:color="000000" w:fill="B6D5E4"/>
            <w:noWrap/>
            <w:tcMar>
              <w:top w:w="15" w:type="dxa"/>
              <w:left w:w="15" w:type="dxa"/>
              <w:bottom w:w="0" w:type="dxa"/>
              <w:right w:w="15" w:type="dxa"/>
            </w:tcMar>
            <w:vAlign w:val="center"/>
            <w:hideMark/>
          </w:tcPr>
          <w:p w14:paraId="6C6FBAA9"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shd w:val="clear" w:color="000000" w:fill="B6D5E4"/>
            <w:noWrap/>
            <w:tcMar>
              <w:top w:w="15" w:type="dxa"/>
              <w:left w:w="15" w:type="dxa"/>
              <w:bottom w:w="0" w:type="dxa"/>
              <w:right w:w="15" w:type="dxa"/>
            </w:tcMar>
            <w:vAlign w:val="center"/>
            <w:hideMark/>
          </w:tcPr>
          <w:p w14:paraId="1558D052"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km</w:t>
            </w:r>
          </w:p>
        </w:tc>
        <w:tc>
          <w:tcPr>
            <w:tcW w:w="0" w:type="auto"/>
            <w:shd w:val="clear" w:color="000000" w:fill="B6D5E4"/>
            <w:noWrap/>
            <w:tcMar>
              <w:top w:w="15" w:type="dxa"/>
              <w:left w:w="15" w:type="dxa"/>
              <w:bottom w:w="0" w:type="dxa"/>
              <w:right w:w="15" w:type="dxa"/>
            </w:tcMar>
            <w:vAlign w:val="center"/>
            <w:hideMark/>
          </w:tcPr>
          <w:p w14:paraId="0B3C9510"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km</w:t>
            </w:r>
          </w:p>
        </w:tc>
        <w:tc>
          <w:tcPr>
            <w:tcW w:w="0" w:type="auto"/>
            <w:shd w:val="clear" w:color="000000" w:fill="B6D5E4"/>
            <w:noWrap/>
            <w:tcMar>
              <w:top w:w="15" w:type="dxa"/>
              <w:left w:w="15" w:type="dxa"/>
              <w:bottom w:w="0" w:type="dxa"/>
              <w:right w:w="15" w:type="dxa"/>
            </w:tcMar>
            <w:vAlign w:val="center"/>
            <w:hideMark/>
          </w:tcPr>
          <w:p w14:paraId="2E2F2DED"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km</w:t>
            </w:r>
          </w:p>
        </w:tc>
        <w:tc>
          <w:tcPr>
            <w:tcW w:w="0" w:type="auto"/>
            <w:shd w:val="clear" w:color="000000" w:fill="B6D5E4"/>
            <w:noWrap/>
            <w:tcMar>
              <w:top w:w="15" w:type="dxa"/>
              <w:left w:w="15" w:type="dxa"/>
              <w:bottom w:w="0" w:type="dxa"/>
              <w:right w:w="15" w:type="dxa"/>
            </w:tcMar>
            <w:vAlign w:val="center"/>
            <w:hideMark/>
          </w:tcPr>
          <w:p w14:paraId="6301AFE4"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km</w:t>
            </w:r>
          </w:p>
        </w:tc>
        <w:tc>
          <w:tcPr>
            <w:tcW w:w="0" w:type="auto"/>
            <w:shd w:val="clear" w:color="000000" w:fill="B6D5E4"/>
            <w:noWrap/>
            <w:tcMar>
              <w:top w:w="15" w:type="dxa"/>
              <w:left w:w="15" w:type="dxa"/>
              <w:bottom w:w="0" w:type="dxa"/>
              <w:right w:w="15" w:type="dxa"/>
            </w:tcMar>
            <w:vAlign w:val="center"/>
            <w:hideMark/>
          </w:tcPr>
          <w:p w14:paraId="52C5B304"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km</w:t>
            </w:r>
          </w:p>
        </w:tc>
        <w:tc>
          <w:tcPr>
            <w:tcW w:w="0" w:type="auto"/>
            <w:shd w:val="clear" w:color="000000" w:fill="B6D5E4"/>
            <w:noWrap/>
            <w:tcMar>
              <w:top w:w="15" w:type="dxa"/>
              <w:left w:w="15" w:type="dxa"/>
              <w:bottom w:w="0" w:type="dxa"/>
              <w:right w:w="15" w:type="dxa"/>
            </w:tcMar>
            <w:vAlign w:val="center"/>
            <w:hideMark/>
          </w:tcPr>
          <w:p w14:paraId="05717D98"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km</w:t>
            </w:r>
          </w:p>
        </w:tc>
        <w:tc>
          <w:tcPr>
            <w:tcW w:w="0" w:type="auto"/>
            <w:shd w:val="clear" w:color="000000" w:fill="B6D5E4"/>
            <w:noWrap/>
            <w:tcMar>
              <w:top w:w="15" w:type="dxa"/>
              <w:left w:w="15" w:type="dxa"/>
              <w:bottom w:w="0" w:type="dxa"/>
              <w:right w:w="15" w:type="dxa"/>
            </w:tcMar>
            <w:vAlign w:val="center"/>
            <w:hideMark/>
          </w:tcPr>
          <w:p w14:paraId="6DEBDB3A"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km</w:t>
            </w:r>
          </w:p>
        </w:tc>
        <w:tc>
          <w:tcPr>
            <w:tcW w:w="0" w:type="auto"/>
            <w:shd w:val="clear" w:color="000000" w:fill="B6D5E4"/>
            <w:noWrap/>
            <w:tcMar>
              <w:top w:w="15" w:type="dxa"/>
              <w:left w:w="15" w:type="dxa"/>
              <w:bottom w:w="0" w:type="dxa"/>
              <w:right w:w="15" w:type="dxa"/>
            </w:tcMar>
            <w:vAlign w:val="center"/>
            <w:hideMark/>
          </w:tcPr>
          <w:p w14:paraId="0C4623F4"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km</w:t>
            </w:r>
          </w:p>
        </w:tc>
        <w:tc>
          <w:tcPr>
            <w:tcW w:w="0" w:type="auto"/>
            <w:shd w:val="clear" w:color="000000" w:fill="B6D5E4"/>
            <w:noWrap/>
            <w:tcMar>
              <w:top w:w="15" w:type="dxa"/>
              <w:left w:w="15" w:type="dxa"/>
              <w:bottom w:w="0" w:type="dxa"/>
              <w:right w:w="15" w:type="dxa"/>
            </w:tcMar>
            <w:vAlign w:val="center"/>
            <w:hideMark/>
          </w:tcPr>
          <w:p w14:paraId="79DE000F"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km</w:t>
            </w:r>
          </w:p>
        </w:tc>
      </w:tr>
      <w:tr w:rsidR="007E365E" w:rsidRPr="00A76BDB" w14:paraId="7201B400"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470D2A36" w14:textId="77777777" w:rsidR="007E365E" w:rsidRDefault="007E365E" w:rsidP="007D1D77">
            <w:pPr>
              <w:spacing w:before="0" w:line="240" w:lineRule="auto"/>
              <w:rPr>
                <w:rFonts w:cs="Open Sans Light"/>
                <w:sz w:val="16"/>
                <w:szCs w:val="16"/>
              </w:rPr>
            </w:pPr>
            <w:r>
              <w:rPr>
                <w:rFonts w:cs="Open Sans Light"/>
                <w:sz w:val="16"/>
                <w:szCs w:val="16"/>
              </w:rPr>
              <w:t>Bridge length</w:t>
            </w:r>
          </w:p>
        </w:tc>
        <w:tc>
          <w:tcPr>
            <w:tcW w:w="0" w:type="auto"/>
            <w:shd w:val="clear" w:color="auto" w:fill="auto"/>
            <w:noWrap/>
            <w:tcMar>
              <w:top w:w="15" w:type="dxa"/>
              <w:left w:w="15" w:type="dxa"/>
              <w:bottom w:w="0" w:type="dxa"/>
              <w:right w:w="15" w:type="dxa"/>
            </w:tcMar>
            <w:vAlign w:val="bottom"/>
            <w:hideMark/>
          </w:tcPr>
          <w:p w14:paraId="5F194091" w14:textId="77777777" w:rsidR="007E365E" w:rsidRDefault="007E365E" w:rsidP="007D1D77">
            <w:pPr>
              <w:spacing w:before="0" w:line="240" w:lineRule="auto"/>
              <w:jc w:val="right"/>
              <w:rPr>
                <w:rFonts w:cs="Open Sans Light"/>
                <w:sz w:val="16"/>
                <w:szCs w:val="16"/>
              </w:rPr>
            </w:pPr>
            <w:r>
              <w:rPr>
                <w:rFonts w:cs="Open Sans Light"/>
                <w:sz w:val="16"/>
                <w:szCs w:val="16"/>
              </w:rPr>
              <w:t>204</w:t>
            </w:r>
          </w:p>
        </w:tc>
        <w:tc>
          <w:tcPr>
            <w:tcW w:w="0" w:type="auto"/>
            <w:shd w:val="clear" w:color="auto" w:fill="auto"/>
            <w:noWrap/>
            <w:tcMar>
              <w:top w:w="15" w:type="dxa"/>
              <w:left w:w="15" w:type="dxa"/>
              <w:bottom w:w="0" w:type="dxa"/>
              <w:right w:w="15" w:type="dxa"/>
            </w:tcMar>
            <w:vAlign w:val="bottom"/>
            <w:hideMark/>
          </w:tcPr>
          <w:p w14:paraId="66CEEA8B" w14:textId="77777777" w:rsidR="007E365E" w:rsidRDefault="007E365E" w:rsidP="007D1D77">
            <w:pPr>
              <w:spacing w:before="0" w:line="240" w:lineRule="auto"/>
              <w:jc w:val="right"/>
              <w:rPr>
                <w:rFonts w:cs="Open Sans Light"/>
                <w:sz w:val="16"/>
                <w:szCs w:val="16"/>
              </w:rPr>
            </w:pPr>
            <w:r>
              <w:rPr>
                <w:rFonts w:cs="Open Sans Light"/>
                <w:sz w:val="16"/>
                <w:szCs w:val="16"/>
              </w:rPr>
              <w:t>133</w:t>
            </w:r>
          </w:p>
        </w:tc>
        <w:tc>
          <w:tcPr>
            <w:tcW w:w="0" w:type="auto"/>
            <w:shd w:val="clear" w:color="auto" w:fill="auto"/>
            <w:noWrap/>
            <w:tcMar>
              <w:top w:w="15" w:type="dxa"/>
              <w:left w:w="15" w:type="dxa"/>
              <w:bottom w:w="0" w:type="dxa"/>
              <w:right w:w="15" w:type="dxa"/>
            </w:tcMar>
            <w:vAlign w:val="bottom"/>
            <w:hideMark/>
          </w:tcPr>
          <w:p w14:paraId="2B08B79B" w14:textId="77777777" w:rsidR="007E365E" w:rsidRDefault="007E365E" w:rsidP="007D1D77">
            <w:pPr>
              <w:spacing w:before="0" w:line="240" w:lineRule="auto"/>
              <w:jc w:val="right"/>
              <w:rPr>
                <w:rFonts w:cs="Open Sans Light"/>
                <w:sz w:val="16"/>
                <w:szCs w:val="16"/>
              </w:rPr>
            </w:pPr>
            <w:r>
              <w:rPr>
                <w:rFonts w:cs="Open Sans Light"/>
                <w:sz w:val="16"/>
                <w:szCs w:val="16"/>
              </w:rPr>
              <w:t>199</w:t>
            </w:r>
          </w:p>
        </w:tc>
        <w:tc>
          <w:tcPr>
            <w:tcW w:w="0" w:type="auto"/>
            <w:shd w:val="clear" w:color="auto" w:fill="auto"/>
            <w:noWrap/>
            <w:tcMar>
              <w:top w:w="15" w:type="dxa"/>
              <w:left w:w="15" w:type="dxa"/>
              <w:bottom w:w="0" w:type="dxa"/>
              <w:right w:w="15" w:type="dxa"/>
            </w:tcMar>
            <w:vAlign w:val="bottom"/>
            <w:hideMark/>
          </w:tcPr>
          <w:p w14:paraId="08787860" w14:textId="77777777" w:rsidR="007E365E" w:rsidRDefault="007E365E" w:rsidP="007D1D77">
            <w:pPr>
              <w:spacing w:before="0" w:line="240" w:lineRule="auto"/>
              <w:jc w:val="right"/>
              <w:rPr>
                <w:rFonts w:cs="Open Sans Light"/>
                <w:sz w:val="16"/>
                <w:szCs w:val="16"/>
              </w:rPr>
            </w:pPr>
            <w:r>
              <w:rPr>
                <w:rFonts w:cs="Open Sans Light"/>
                <w:sz w:val="16"/>
                <w:szCs w:val="16"/>
              </w:rPr>
              <w:t>51</w:t>
            </w:r>
          </w:p>
        </w:tc>
        <w:tc>
          <w:tcPr>
            <w:tcW w:w="0" w:type="auto"/>
            <w:shd w:val="clear" w:color="auto" w:fill="auto"/>
            <w:noWrap/>
            <w:tcMar>
              <w:top w:w="15" w:type="dxa"/>
              <w:left w:w="15" w:type="dxa"/>
              <w:bottom w:w="0" w:type="dxa"/>
              <w:right w:w="15" w:type="dxa"/>
            </w:tcMar>
            <w:vAlign w:val="bottom"/>
            <w:hideMark/>
          </w:tcPr>
          <w:p w14:paraId="10AE9DCB" w14:textId="77777777" w:rsidR="007E365E" w:rsidRDefault="007E365E" w:rsidP="007D1D77">
            <w:pPr>
              <w:spacing w:before="0" w:line="240" w:lineRule="auto"/>
              <w:jc w:val="right"/>
              <w:rPr>
                <w:rFonts w:cs="Open Sans Light"/>
                <w:sz w:val="16"/>
                <w:szCs w:val="16"/>
              </w:rPr>
            </w:pPr>
            <w:r>
              <w:rPr>
                <w:rFonts w:cs="Open Sans Light"/>
                <w:sz w:val="16"/>
                <w:szCs w:val="16"/>
              </w:rPr>
              <w:t>28</w:t>
            </w:r>
          </w:p>
        </w:tc>
        <w:tc>
          <w:tcPr>
            <w:tcW w:w="0" w:type="auto"/>
            <w:shd w:val="clear" w:color="auto" w:fill="auto"/>
            <w:noWrap/>
            <w:tcMar>
              <w:top w:w="15" w:type="dxa"/>
              <w:left w:w="15" w:type="dxa"/>
              <w:bottom w:w="0" w:type="dxa"/>
              <w:right w:w="15" w:type="dxa"/>
            </w:tcMar>
            <w:vAlign w:val="bottom"/>
            <w:hideMark/>
          </w:tcPr>
          <w:p w14:paraId="15E840F3" w14:textId="77777777" w:rsidR="007E365E" w:rsidRDefault="007E365E" w:rsidP="007D1D77">
            <w:pPr>
              <w:spacing w:before="0" w:line="240" w:lineRule="auto"/>
              <w:jc w:val="right"/>
              <w:rPr>
                <w:rFonts w:cs="Open Sans Light"/>
                <w:sz w:val="16"/>
                <w:szCs w:val="16"/>
              </w:rPr>
            </w:pPr>
            <w:r>
              <w:rPr>
                <w:rFonts w:cs="Open Sans Light"/>
                <w:sz w:val="16"/>
                <w:szCs w:val="16"/>
              </w:rPr>
              <w:t>23</w:t>
            </w:r>
          </w:p>
        </w:tc>
        <w:tc>
          <w:tcPr>
            <w:tcW w:w="0" w:type="auto"/>
            <w:shd w:val="clear" w:color="auto" w:fill="auto"/>
            <w:noWrap/>
            <w:tcMar>
              <w:top w:w="15" w:type="dxa"/>
              <w:left w:w="15" w:type="dxa"/>
              <w:bottom w:w="0" w:type="dxa"/>
              <w:right w:w="15" w:type="dxa"/>
            </w:tcMar>
            <w:vAlign w:val="bottom"/>
            <w:hideMark/>
          </w:tcPr>
          <w:p w14:paraId="0A1079B4" w14:textId="77777777" w:rsidR="007E365E" w:rsidRDefault="007E365E" w:rsidP="007D1D77">
            <w:pPr>
              <w:spacing w:before="0" w:line="240" w:lineRule="auto"/>
              <w:jc w:val="right"/>
              <w:rPr>
                <w:rFonts w:cs="Open Sans Light"/>
                <w:sz w:val="16"/>
                <w:szCs w:val="16"/>
              </w:rPr>
            </w:pPr>
            <w:r>
              <w:rPr>
                <w:rFonts w:cs="Open Sans Light"/>
                <w:sz w:val="16"/>
                <w:szCs w:val="16"/>
              </w:rPr>
              <w:t>12</w:t>
            </w:r>
          </w:p>
        </w:tc>
        <w:tc>
          <w:tcPr>
            <w:tcW w:w="0" w:type="auto"/>
            <w:shd w:val="clear" w:color="auto" w:fill="auto"/>
            <w:noWrap/>
            <w:tcMar>
              <w:top w:w="15" w:type="dxa"/>
              <w:left w:w="15" w:type="dxa"/>
              <w:bottom w:w="0" w:type="dxa"/>
              <w:right w:w="15" w:type="dxa"/>
            </w:tcMar>
            <w:vAlign w:val="bottom"/>
            <w:hideMark/>
          </w:tcPr>
          <w:p w14:paraId="3519B68C" w14:textId="77777777" w:rsidR="007E365E" w:rsidRDefault="007E365E" w:rsidP="007D1D77">
            <w:pPr>
              <w:spacing w:before="0" w:line="240" w:lineRule="auto"/>
              <w:jc w:val="right"/>
              <w:rPr>
                <w:rFonts w:cs="Open Sans Light"/>
                <w:sz w:val="16"/>
                <w:szCs w:val="16"/>
              </w:rPr>
            </w:pPr>
            <w:r>
              <w:rPr>
                <w:rFonts w:cs="Open Sans Light"/>
                <w:sz w:val="16"/>
                <w:szCs w:val="16"/>
              </w:rPr>
              <w:t>13</w:t>
            </w:r>
          </w:p>
        </w:tc>
        <w:tc>
          <w:tcPr>
            <w:tcW w:w="0" w:type="auto"/>
            <w:shd w:val="clear" w:color="auto" w:fill="auto"/>
            <w:noWrap/>
            <w:tcMar>
              <w:top w:w="15" w:type="dxa"/>
              <w:left w:w="15" w:type="dxa"/>
              <w:bottom w:w="0" w:type="dxa"/>
              <w:right w:w="15" w:type="dxa"/>
            </w:tcMar>
            <w:vAlign w:val="bottom"/>
            <w:hideMark/>
          </w:tcPr>
          <w:p w14:paraId="367CEFA1" w14:textId="77777777" w:rsidR="007E365E" w:rsidRDefault="007E365E" w:rsidP="007D1D77">
            <w:pPr>
              <w:spacing w:before="0" w:line="240" w:lineRule="auto"/>
              <w:jc w:val="right"/>
              <w:rPr>
                <w:rFonts w:cs="Open Sans Light"/>
                <w:sz w:val="16"/>
                <w:szCs w:val="16"/>
              </w:rPr>
            </w:pPr>
            <w:r>
              <w:rPr>
                <w:rFonts w:cs="Open Sans Light"/>
                <w:sz w:val="16"/>
                <w:szCs w:val="16"/>
              </w:rPr>
              <w:t>664</w:t>
            </w:r>
          </w:p>
        </w:tc>
      </w:tr>
      <w:tr w:rsidR="007E365E" w:rsidRPr="00A76BDB" w14:paraId="1F039F42"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46634CE6" w14:textId="77777777" w:rsidR="007E365E" w:rsidRDefault="007E365E" w:rsidP="007D1D77">
            <w:pPr>
              <w:spacing w:before="0" w:line="240" w:lineRule="auto"/>
              <w:rPr>
                <w:rFonts w:cs="Open Sans Light"/>
                <w:sz w:val="16"/>
                <w:szCs w:val="16"/>
              </w:rPr>
            </w:pPr>
            <w:r>
              <w:rPr>
                <w:rFonts w:cs="Open Sans Light"/>
                <w:sz w:val="16"/>
                <w:szCs w:val="16"/>
              </w:rPr>
              <w:t>Tunnel length</w:t>
            </w:r>
          </w:p>
        </w:tc>
        <w:tc>
          <w:tcPr>
            <w:tcW w:w="0" w:type="auto"/>
            <w:shd w:val="clear" w:color="auto" w:fill="auto"/>
            <w:noWrap/>
            <w:tcMar>
              <w:top w:w="15" w:type="dxa"/>
              <w:left w:w="15" w:type="dxa"/>
              <w:bottom w:w="0" w:type="dxa"/>
              <w:right w:w="15" w:type="dxa"/>
            </w:tcMar>
            <w:vAlign w:val="bottom"/>
            <w:hideMark/>
          </w:tcPr>
          <w:p w14:paraId="6A89F8C8" w14:textId="77777777" w:rsidR="007E365E" w:rsidRDefault="007E365E" w:rsidP="007D1D77">
            <w:pPr>
              <w:spacing w:before="0" w:line="240" w:lineRule="auto"/>
              <w:jc w:val="right"/>
              <w:rPr>
                <w:rFonts w:cs="Open Sans Light"/>
                <w:sz w:val="16"/>
                <w:szCs w:val="16"/>
              </w:rPr>
            </w:pPr>
            <w:r>
              <w:rPr>
                <w:rFonts w:cs="Open Sans Light"/>
                <w:sz w:val="16"/>
                <w:szCs w:val="16"/>
              </w:rPr>
              <w:t>11</w:t>
            </w:r>
          </w:p>
        </w:tc>
        <w:tc>
          <w:tcPr>
            <w:tcW w:w="0" w:type="auto"/>
            <w:shd w:val="clear" w:color="auto" w:fill="auto"/>
            <w:noWrap/>
            <w:tcMar>
              <w:top w:w="15" w:type="dxa"/>
              <w:left w:w="15" w:type="dxa"/>
              <w:bottom w:w="0" w:type="dxa"/>
              <w:right w:w="15" w:type="dxa"/>
            </w:tcMar>
            <w:vAlign w:val="bottom"/>
            <w:hideMark/>
          </w:tcPr>
          <w:p w14:paraId="4A19F9B5"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618D618E"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07E46566" w14:textId="77777777" w:rsidR="007E365E" w:rsidRDefault="007E365E" w:rsidP="007D1D77">
            <w:pPr>
              <w:spacing w:before="0" w:line="240" w:lineRule="auto"/>
              <w:jc w:val="right"/>
              <w:rPr>
                <w:rFonts w:cs="Open Sans Light"/>
                <w:sz w:val="16"/>
                <w:szCs w:val="16"/>
              </w:rPr>
            </w:pPr>
            <w:r>
              <w:rPr>
                <w:rFonts w:cs="Open Sans Light"/>
                <w:sz w:val="16"/>
                <w:szCs w:val="16"/>
              </w:rPr>
              <w:t>2</w:t>
            </w:r>
          </w:p>
        </w:tc>
        <w:tc>
          <w:tcPr>
            <w:tcW w:w="0" w:type="auto"/>
            <w:shd w:val="clear" w:color="auto" w:fill="auto"/>
            <w:noWrap/>
            <w:tcMar>
              <w:top w:w="15" w:type="dxa"/>
              <w:left w:w="15" w:type="dxa"/>
              <w:bottom w:w="0" w:type="dxa"/>
              <w:right w:w="15" w:type="dxa"/>
            </w:tcMar>
            <w:vAlign w:val="bottom"/>
            <w:hideMark/>
          </w:tcPr>
          <w:p w14:paraId="6012A13E" w14:textId="77777777" w:rsidR="007E365E" w:rsidRDefault="007E365E" w:rsidP="007D1D77">
            <w:pPr>
              <w:spacing w:before="0" w:line="240" w:lineRule="auto"/>
              <w:jc w:val="right"/>
              <w:rPr>
                <w:rFonts w:cs="Open Sans Light"/>
                <w:sz w:val="16"/>
                <w:szCs w:val="16"/>
              </w:rPr>
            </w:pPr>
            <w:r>
              <w:rPr>
                <w:rFonts w:cs="Open Sans Light"/>
                <w:sz w:val="16"/>
                <w:szCs w:val="16"/>
              </w:rPr>
              <w:t>1</w:t>
            </w:r>
          </w:p>
        </w:tc>
        <w:tc>
          <w:tcPr>
            <w:tcW w:w="0" w:type="auto"/>
            <w:shd w:val="clear" w:color="auto" w:fill="auto"/>
            <w:noWrap/>
            <w:tcMar>
              <w:top w:w="15" w:type="dxa"/>
              <w:left w:w="15" w:type="dxa"/>
              <w:bottom w:w="0" w:type="dxa"/>
              <w:right w:w="15" w:type="dxa"/>
            </w:tcMar>
            <w:vAlign w:val="bottom"/>
            <w:hideMark/>
          </w:tcPr>
          <w:p w14:paraId="45C0A14A"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09F85E9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18517E01"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095BBA38" w14:textId="77777777" w:rsidR="007E365E" w:rsidRDefault="007E365E" w:rsidP="007D1D77">
            <w:pPr>
              <w:spacing w:before="0" w:line="240" w:lineRule="auto"/>
              <w:jc w:val="right"/>
              <w:rPr>
                <w:rFonts w:cs="Open Sans Light"/>
                <w:sz w:val="16"/>
                <w:szCs w:val="16"/>
              </w:rPr>
            </w:pPr>
            <w:r>
              <w:rPr>
                <w:rFonts w:cs="Open Sans Light"/>
                <w:sz w:val="16"/>
                <w:szCs w:val="16"/>
              </w:rPr>
              <w:t>14</w:t>
            </w:r>
          </w:p>
        </w:tc>
      </w:tr>
      <w:tr w:rsidR="007E365E" w:rsidRPr="00A76BDB" w14:paraId="6B0A77F7" w14:textId="77777777" w:rsidTr="007D1D77">
        <w:trPr>
          <w:trHeight w:val="315"/>
        </w:trPr>
        <w:tc>
          <w:tcPr>
            <w:tcW w:w="0" w:type="auto"/>
            <w:shd w:val="clear" w:color="000000" w:fill="D6E7F0"/>
            <w:noWrap/>
            <w:tcMar>
              <w:top w:w="15" w:type="dxa"/>
              <w:left w:w="15" w:type="dxa"/>
              <w:bottom w:w="0" w:type="dxa"/>
              <w:right w:w="15" w:type="dxa"/>
            </w:tcMar>
            <w:vAlign w:val="bottom"/>
            <w:hideMark/>
          </w:tcPr>
          <w:p w14:paraId="69016132" w14:textId="77777777" w:rsidR="007E365E" w:rsidRDefault="007E365E" w:rsidP="007D1D77">
            <w:pPr>
              <w:spacing w:before="0" w:line="240" w:lineRule="auto"/>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 length</w:t>
            </w:r>
          </w:p>
        </w:tc>
        <w:tc>
          <w:tcPr>
            <w:tcW w:w="0" w:type="auto"/>
            <w:shd w:val="clear" w:color="000000" w:fill="D6E7F0"/>
            <w:noWrap/>
            <w:tcMar>
              <w:top w:w="15" w:type="dxa"/>
              <w:left w:w="15" w:type="dxa"/>
              <w:bottom w:w="0" w:type="dxa"/>
              <w:right w:w="15" w:type="dxa"/>
            </w:tcMar>
            <w:vAlign w:val="bottom"/>
            <w:hideMark/>
          </w:tcPr>
          <w:p w14:paraId="74FA9A2C"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216</w:t>
            </w:r>
          </w:p>
        </w:tc>
        <w:tc>
          <w:tcPr>
            <w:tcW w:w="0" w:type="auto"/>
            <w:shd w:val="clear" w:color="000000" w:fill="D6E7F0"/>
            <w:noWrap/>
            <w:tcMar>
              <w:top w:w="15" w:type="dxa"/>
              <w:left w:w="15" w:type="dxa"/>
              <w:bottom w:w="0" w:type="dxa"/>
              <w:right w:w="15" w:type="dxa"/>
            </w:tcMar>
            <w:vAlign w:val="bottom"/>
            <w:hideMark/>
          </w:tcPr>
          <w:p w14:paraId="4CF9701C"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133</w:t>
            </w:r>
          </w:p>
        </w:tc>
        <w:tc>
          <w:tcPr>
            <w:tcW w:w="0" w:type="auto"/>
            <w:shd w:val="clear" w:color="000000" w:fill="D6E7F0"/>
            <w:noWrap/>
            <w:tcMar>
              <w:top w:w="15" w:type="dxa"/>
              <w:left w:w="15" w:type="dxa"/>
              <w:bottom w:w="0" w:type="dxa"/>
              <w:right w:w="15" w:type="dxa"/>
            </w:tcMar>
            <w:vAlign w:val="bottom"/>
            <w:hideMark/>
          </w:tcPr>
          <w:p w14:paraId="184ED231"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199</w:t>
            </w:r>
          </w:p>
        </w:tc>
        <w:tc>
          <w:tcPr>
            <w:tcW w:w="0" w:type="auto"/>
            <w:shd w:val="clear" w:color="000000" w:fill="D6E7F0"/>
            <w:noWrap/>
            <w:tcMar>
              <w:top w:w="15" w:type="dxa"/>
              <w:left w:w="15" w:type="dxa"/>
              <w:bottom w:w="0" w:type="dxa"/>
              <w:right w:w="15" w:type="dxa"/>
            </w:tcMar>
            <w:vAlign w:val="bottom"/>
            <w:hideMark/>
          </w:tcPr>
          <w:p w14:paraId="22E26A7C"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53</w:t>
            </w:r>
          </w:p>
        </w:tc>
        <w:tc>
          <w:tcPr>
            <w:tcW w:w="0" w:type="auto"/>
            <w:shd w:val="clear" w:color="000000" w:fill="D6E7F0"/>
            <w:noWrap/>
            <w:tcMar>
              <w:top w:w="15" w:type="dxa"/>
              <w:left w:w="15" w:type="dxa"/>
              <w:bottom w:w="0" w:type="dxa"/>
              <w:right w:w="15" w:type="dxa"/>
            </w:tcMar>
            <w:vAlign w:val="bottom"/>
            <w:hideMark/>
          </w:tcPr>
          <w:p w14:paraId="631BD1DD"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29</w:t>
            </w:r>
          </w:p>
        </w:tc>
        <w:tc>
          <w:tcPr>
            <w:tcW w:w="0" w:type="auto"/>
            <w:shd w:val="clear" w:color="000000" w:fill="D6E7F0"/>
            <w:noWrap/>
            <w:tcMar>
              <w:top w:w="15" w:type="dxa"/>
              <w:left w:w="15" w:type="dxa"/>
              <w:bottom w:w="0" w:type="dxa"/>
              <w:right w:w="15" w:type="dxa"/>
            </w:tcMar>
            <w:vAlign w:val="bottom"/>
            <w:hideMark/>
          </w:tcPr>
          <w:p w14:paraId="3D4EFBAE"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23</w:t>
            </w:r>
          </w:p>
        </w:tc>
        <w:tc>
          <w:tcPr>
            <w:tcW w:w="0" w:type="auto"/>
            <w:shd w:val="clear" w:color="000000" w:fill="D6E7F0"/>
            <w:noWrap/>
            <w:tcMar>
              <w:top w:w="15" w:type="dxa"/>
              <w:left w:w="15" w:type="dxa"/>
              <w:bottom w:w="0" w:type="dxa"/>
              <w:right w:w="15" w:type="dxa"/>
            </w:tcMar>
            <w:vAlign w:val="bottom"/>
            <w:hideMark/>
          </w:tcPr>
          <w:p w14:paraId="1A1A075F"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12</w:t>
            </w:r>
          </w:p>
        </w:tc>
        <w:tc>
          <w:tcPr>
            <w:tcW w:w="0" w:type="auto"/>
            <w:shd w:val="clear" w:color="000000" w:fill="D6E7F0"/>
            <w:noWrap/>
            <w:tcMar>
              <w:top w:w="15" w:type="dxa"/>
              <w:left w:w="15" w:type="dxa"/>
              <w:bottom w:w="0" w:type="dxa"/>
              <w:right w:w="15" w:type="dxa"/>
            </w:tcMar>
            <w:vAlign w:val="bottom"/>
            <w:hideMark/>
          </w:tcPr>
          <w:p w14:paraId="73999416"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13</w:t>
            </w:r>
          </w:p>
        </w:tc>
        <w:tc>
          <w:tcPr>
            <w:tcW w:w="0" w:type="auto"/>
            <w:shd w:val="clear" w:color="000000" w:fill="D6E7F0"/>
            <w:noWrap/>
            <w:tcMar>
              <w:top w:w="15" w:type="dxa"/>
              <w:left w:w="15" w:type="dxa"/>
              <w:bottom w:w="0" w:type="dxa"/>
              <w:right w:w="15" w:type="dxa"/>
            </w:tcMar>
            <w:vAlign w:val="bottom"/>
            <w:hideMark/>
          </w:tcPr>
          <w:p w14:paraId="65D30241"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678</w:t>
            </w:r>
          </w:p>
        </w:tc>
      </w:tr>
      <w:tr w:rsidR="007E365E" w:rsidRPr="00A76BDB" w14:paraId="7C921409" w14:textId="77777777" w:rsidTr="007D1D77">
        <w:trPr>
          <w:trHeight w:val="315"/>
        </w:trPr>
        <w:tc>
          <w:tcPr>
            <w:tcW w:w="0" w:type="auto"/>
            <w:shd w:val="clear" w:color="000000" w:fill="D6E7F0"/>
            <w:noWrap/>
            <w:tcMar>
              <w:top w:w="15" w:type="dxa"/>
              <w:left w:w="15" w:type="dxa"/>
              <w:bottom w:w="0" w:type="dxa"/>
              <w:right w:w="15" w:type="dxa"/>
            </w:tcMar>
            <w:vAlign w:val="bottom"/>
            <w:hideMark/>
          </w:tcPr>
          <w:p w14:paraId="0BA91E58" w14:textId="77777777" w:rsidR="007E365E" w:rsidRDefault="007E365E" w:rsidP="007D1D77">
            <w:pPr>
              <w:spacing w:before="0" w:line="240" w:lineRule="auto"/>
              <w:rPr>
                <w:rFonts w:ascii="Open Sans SemiBold" w:hAnsi="Open Sans SemiBold" w:cs="Open Sans SemiBold"/>
                <w:color w:val="000000"/>
                <w:sz w:val="16"/>
                <w:szCs w:val="16"/>
              </w:rPr>
            </w:pPr>
            <w:r>
              <w:rPr>
                <w:rFonts w:ascii="Open Sans SemiBold" w:hAnsi="Open Sans SemiBold" w:cs="Open Sans SemiBold"/>
                <w:color w:val="000000"/>
                <w:sz w:val="16"/>
                <w:szCs w:val="16"/>
              </w:rPr>
              <w:t>Shares (%)</w:t>
            </w:r>
          </w:p>
        </w:tc>
        <w:tc>
          <w:tcPr>
            <w:tcW w:w="0" w:type="auto"/>
            <w:shd w:val="clear" w:color="000000" w:fill="D6E7F0"/>
            <w:noWrap/>
            <w:tcMar>
              <w:top w:w="15" w:type="dxa"/>
              <w:left w:w="15" w:type="dxa"/>
              <w:bottom w:w="0" w:type="dxa"/>
              <w:right w:w="15" w:type="dxa"/>
            </w:tcMar>
            <w:vAlign w:val="bottom"/>
            <w:hideMark/>
          </w:tcPr>
          <w:p w14:paraId="71FDC0C0"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31.8</w:t>
            </w:r>
          </w:p>
        </w:tc>
        <w:tc>
          <w:tcPr>
            <w:tcW w:w="0" w:type="auto"/>
            <w:shd w:val="clear" w:color="000000" w:fill="D6E7F0"/>
            <w:noWrap/>
            <w:tcMar>
              <w:top w:w="15" w:type="dxa"/>
              <w:left w:w="15" w:type="dxa"/>
              <w:bottom w:w="0" w:type="dxa"/>
              <w:right w:w="15" w:type="dxa"/>
            </w:tcMar>
            <w:vAlign w:val="bottom"/>
            <w:hideMark/>
          </w:tcPr>
          <w:p w14:paraId="2ED87B17"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19.7</w:t>
            </w:r>
          </w:p>
        </w:tc>
        <w:tc>
          <w:tcPr>
            <w:tcW w:w="0" w:type="auto"/>
            <w:shd w:val="clear" w:color="000000" w:fill="D6E7F0"/>
            <w:noWrap/>
            <w:tcMar>
              <w:top w:w="15" w:type="dxa"/>
              <w:left w:w="15" w:type="dxa"/>
              <w:bottom w:w="0" w:type="dxa"/>
              <w:right w:w="15" w:type="dxa"/>
            </w:tcMar>
            <w:vAlign w:val="bottom"/>
            <w:hideMark/>
          </w:tcPr>
          <w:p w14:paraId="41F6E637"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29.3</w:t>
            </w:r>
          </w:p>
        </w:tc>
        <w:tc>
          <w:tcPr>
            <w:tcW w:w="780" w:type="dxa"/>
            <w:shd w:val="clear" w:color="000000" w:fill="D6E7F0"/>
            <w:tcMar>
              <w:top w:w="15" w:type="dxa"/>
              <w:left w:w="15" w:type="dxa"/>
              <w:bottom w:w="0" w:type="dxa"/>
              <w:right w:w="15" w:type="dxa"/>
            </w:tcMar>
            <w:vAlign w:val="bottom"/>
            <w:hideMark/>
          </w:tcPr>
          <w:p w14:paraId="37EAA30C"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7.8</w:t>
            </w:r>
          </w:p>
        </w:tc>
        <w:tc>
          <w:tcPr>
            <w:tcW w:w="0" w:type="auto"/>
            <w:shd w:val="clear" w:color="000000" w:fill="D6E7F0"/>
            <w:noWrap/>
            <w:tcMar>
              <w:top w:w="15" w:type="dxa"/>
              <w:left w:w="15" w:type="dxa"/>
              <w:bottom w:w="0" w:type="dxa"/>
              <w:right w:w="15" w:type="dxa"/>
            </w:tcMar>
            <w:vAlign w:val="bottom"/>
            <w:hideMark/>
          </w:tcPr>
          <w:p w14:paraId="3F7DDFBF"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4.3</w:t>
            </w:r>
          </w:p>
        </w:tc>
        <w:tc>
          <w:tcPr>
            <w:tcW w:w="0" w:type="auto"/>
            <w:shd w:val="clear" w:color="000000" w:fill="D6E7F0"/>
            <w:noWrap/>
            <w:tcMar>
              <w:top w:w="15" w:type="dxa"/>
              <w:left w:w="15" w:type="dxa"/>
              <w:bottom w:w="0" w:type="dxa"/>
              <w:right w:w="15" w:type="dxa"/>
            </w:tcMar>
            <w:vAlign w:val="bottom"/>
            <w:hideMark/>
          </w:tcPr>
          <w:p w14:paraId="5AFD7ACD"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3.4</w:t>
            </w:r>
          </w:p>
        </w:tc>
        <w:tc>
          <w:tcPr>
            <w:tcW w:w="0" w:type="auto"/>
            <w:shd w:val="clear" w:color="000000" w:fill="D6E7F0"/>
            <w:noWrap/>
            <w:tcMar>
              <w:top w:w="15" w:type="dxa"/>
              <w:left w:w="15" w:type="dxa"/>
              <w:bottom w:w="0" w:type="dxa"/>
              <w:right w:w="15" w:type="dxa"/>
            </w:tcMar>
            <w:vAlign w:val="bottom"/>
            <w:hideMark/>
          </w:tcPr>
          <w:p w14:paraId="495CF133"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1.8</w:t>
            </w:r>
          </w:p>
        </w:tc>
        <w:tc>
          <w:tcPr>
            <w:tcW w:w="0" w:type="auto"/>
            <w:shd w:val="clear" w:color="000000" w:fill="D6E7F0"/>
            <w:noWrap/>
            <w:tcMar>
              <w:top w:w="15" w:type="dxa"/>
              <w:left w:w="15" w:type="dxa"/>
              <w:bottom w:w="0" w:type="dxa"/>
              <w:right w:w="15" w:type="dxa"/>
            </w:tcMar>
            <w:vAlign w:val="bottom"/>
            <w:hideMark/>
          </w:tcPr>
          <w:p w14:paraId="0D9E0C7E"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1.9</w:t>
            </w:r>
          </w:p>
        </w:tc>
        <w:tc>
          <w:tcPr>
            <w:tcW w:w="0" w:type="auto"/>
            <w:shd w:val="clear" w:color="000000" w:fill="D6E7F0"/>
            <w:noWrap/>
            <w:tcMar>
              <w:top w:w="15" w:type="dxa"/>
              <w:left w:w="15" w:type="dxa"/>
              <w:bottom w:w="0" w:type="dxa"/>
              <w:right w:w="15" w:type="dxa"/>
            </w:tcMar>
            <w:vAlign w:val="bottom"/>
            <w:hideMark/>
          </w:tcPr>
          <w:p w14:paraId="035204E2"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100.0</w:t>
            </w:r>
          </w:p>
        </w:tc>
      </w:tr>
    </w:tbl>
    <w:p w14:paraId="0B17977C" w14:textId="77777777" w:rsidR="007E365E" w:rsidRPr="00E23377" w:rsidRDefault="007E365E" w:rsidP="007E365E">
      <w:pPr>
        <w:pStyle w:val="CGCTablenote"/>
        <w:keepNext/>
        <w:keepLines/>
      </w:pPr>
      <w:r w:rsidRPr="00E23377">
        <w:t>Source:</w:t>
      </w:r>
      <w:r w:rsidRPr="00E23377">
        <w:tab/>
        <w:t>Commission calculations using State provided data</w:t>
      </w:r>
      <w:r>
        <w:t xml:space="preserve"> (2018 </w:t>
      </w:r>
      <w:r w:rsidRPr="008654E8">
        <w:t>and 2019) and</w:t>
      </w:r>
      <w:r w:rsidRPr="00E23377">
        <w:t xml:space="preserve"> data from State Road authorities’ websites (2018).</w:t>
      </w:r>
    </w:p>
    <w:p w14:paraId="231B1DFB" w14:textId="77777777" w:rsidR="007E365E" w:rsidRPr="00E23377" w:rsidRDefault="007E365E" w:rsidP="007E365E">
      <w:pPr>
        <w:pStyle w:val="CGCParaNumber"/>
      </w:pPr>
      <w:r w:rsidRPr="00E23377">
        <w:t>These measurements do not result in a material assessment for bridge and tunnel maintenance expenses. However, the assessment is material when this disability measure is applied to the Investment assessment.</w:t>
      </w:r>
    </w:p>
    <w:p w14:paraId="6259E6EB" w14:textId="77777777" w:rsidR="007E365E" w:rsidRPr="00E23377" w:rsidRDefault="007E365E" w:rsidP="007E365E">
      <w:pPr>
        <w:pStyle w:val="CGCParaNumber"/>
      </w:pPr>
      <w:r w:rsidRPr="00E23377">
        <w:t>The assessment does not take into account differences in bridge and tunnel size and complexity. Given the variability in structure descriptions at this level of detail, it is not clear how such differences could be reliably measured. The Commission could not measure lane</w:t>
      </w:r>
      <w:r>
        <w:noBreakHyphen/>
      </w:r>
      <w:r w:rsidRPr="00E23377">
        <w:t xml:space="preserve">kilometres because not all State bridge and tunnel datasets included this information. </w:t>
      </w:r>
    </w:p>
    <w:p w14:paraId="2DFCC32D" w14:textId="77777777" w:rsidR="007E365E" w:rsidRPr="00E23377" w:rsidRDefault="007E365E" w:rsidP="007E365E">
      <w:pPr>
        <w:pStyle w:val="CGCParaNumber"/>
      </w:pPr>
      <w:r w:rsidRPr="00E23377">
        <w:lastRenderedPageBreak/>
        <w:t>Culverts have not been incorporated into the measure of bridge and tunnel needs because the culvert data are not consistently recorded by the States or in the NTC data.</w:t>
      </w:r>
    </w:p>
    <w:p w14:paraId="54D86E36" w14:textId="77777777" w:rsidR="007E365E" w:rsidRPr="00E23377" w:rsidRDefault="007E365E" w:rsidP="007E365E">
      <w:pPr>
        <w:pStyle w:val="CGCParaNumber"/>
      </w:pPr>
      <w:r w:rsidRPr="00E23377">
        <w:t xml:space="preserve">The Commission considers that the number and length of bridges and tunnels are mostly driven by topological features such as waterways and, in some cases, changes in elevation. They are also due to safety issues and the complexity of the road networks. They would not be significantly affected by policy influences. The number and length of bridges </w:t>
      </w:r>
      <w:r>
        <w:t xml:space="preserve">and tunnels </w:t>
      </w:r>
      <w:r w:rsidRPr="00E23377">
        <w:t>are separate from other geographic and climatic factors. Previous attempts to measure these influences have proven difficult. The Commission considers that including a bridges and tunnels disability improves the assessment.</w:t>
      </w:r>
    </w:p>
    <w:p w14:paraId="0E08F7CB" w14:textId="77777777" w:rsidR="007E365E" w:rsidRPr="00E23377" w:rsidRDefault="007E365E" w:rsidP="007E365E">
      <w:pPr>
        <w:pStyle w:val="CGCParaNumber"/>
      </w:pPr>
      <w:r w:rsidRPr="00E23377">
        <w:t xml:space="preserve">New South Wales said that bridge and tunnel infrastructure is significantly more expensive to build and maintain compared to an earthwork road formation. It estimated that a metre of bridge maintenance costs about 20 times that of a metre of road and that a metre of tunnel maintenance and operation costs about 35 times that of a road. </w:t>
      </w:r>
    </w:p>
    <w:p w14:paraId="0916E8FD" w14:textId="71422840" w:rsidR="007E365E" w:rsidRPr="00E23377" w:rsidRDefault="007E365E" w:rsidP="007E365E">
      <w:pPr>
        <w:pStyle w:val="CGCParaNumber"/>
      </w:pPr>
      <w:r w:rsidRPr="00E23377">
        <w:t xml:space="preserve">The Commission recognises that tunnels are more costly to maintain than bridges. However, the Commission does not have reliable information to make a cost adjustment. In any case, applying a 200% weighting to the length of tunnels, as indicated by New South Wales, would not be material as shown in </w:t>
      </w:r>
      <w:r w:rsidRPr="00E23377">
        <w:fldChar w:fldCharType="begin"/>
      </w:r>
      <w:r w:rsidRPr="00E23377">
        <w:instrText xml:space="preserve"> REF _Ref23396216 \h  \* MERGEFORMAT </w:instrText>
      </w:r>
      <w:r w:rsidRPr="00E23377">
        <w:fldChar w:fldCharType="separate"/>
      </w:r>
      <w:r w:rsidR="007F721A" w:rsidRPr="00E23377">
        <w:t xml:space="preserve">Table </w:t>
      </w:r>
      <w:r w:rsidR="007F721A">
        <w:rPr>
          <w:noProof/>
        </w:rPr>
        <w:t>20-19</w:t>
      </w:r>
      <w:r w:rsidRPr="00E23377">
        <w:fldChar w:fldCharType="end"/>
      </w:r>
      <w:r w:rsidRPr="00E23377">
        <w:t>.</w:t>
      </w:r>
    </w:p>
    <w:p w14:paraId="4EF4D4E7" w14:textId="2CDD0EB3" w:rsidR="007E365E" w:rsidRPr="00E23377" w:rsidRDefault="007E365E" w:rsidP="007E365E">
      <w:pPr>
        <w:pStyle w:val="Caption"/>
      </w:pPr>
      <w:bookmarkStart w:id="193" w:name="_Ref23396216"/>
      <w:r w:rsidRPr="00E23377">
        <w:t xml:space="preserve">Table </w:t>
      </w:r>
      <w:r>
        <w:t>20-</w:t>
      </w:r>
      <w:fldSimple w:instr=" SEQ Table \* ARABIC ">
        <w:r w:rsidR="007F721A">
          <w:rPr>
            <w:noProof/>
          </w:rPr>
          <w:t>19</w:t>
        </w:r>
      </w:fldSimple>
      <w:bookmarkEnd w:id="193"/>
      <w:r w:rsidRPr="00E23377">
        <w:tab/>
        <w:t>GST effect of a tunnel weighting of 200%, 201</w:t>
      </w:r>
      <w:r>
        <w:t>8</w:t>
      </w:r>
      <w:r w:rsidRPr="00E23377">
        <w:t>-1</w:t>
      </w:r>
      <w:r>
        <w:t>9</w:t>
      </w:r>
    </w:p>
    <w:tbl>
      <w:tblPr>
        <w:tblW w:w="8980" w:type="dxa"/>
        <w:tblBorders>
          <w:top w:val="single" w:sz="4" w:space="0" w:color="ADD6EA"/>
          <w:bottom w:val="single" w:sz="4" w:space="0" w:color="ADD6EA"/>
          <w:insideH w:val="single" w:sz="4" w:space="0" w:color="ADD6EA"/>
        </w:tblBorders>
        <w:tblCellMar>
          <w:left w:w="0" w:type="dxa"/>
          <w:right w:w="0" w:type="dxa"/>
        </w:tblCellMar>
        <w:tblLook w:val="04A0" w:firstRow="1" w:lastRow="0" w:firstColumn="1" w:lastColumn="0" w:noHBand="0" w:noVBand="1"/>
      </w:tblPr>
      <w:tblGrid>
        <w:gridCol w:w="1480"/>
        <w:gridCol w:w="940"/>
        <w:gridCol w:w="760"/>
        <w:gridCol w:w="820"/>
        <w:gridCol w:w="820"/>
        <w:gridCol w:w="720"/>
        <w:gridCol w:w="800"/>
        <w:gridCol w:w="860"/>
        <w:gridCol w:w="760"/>
        <w:gridCol w:w="1020"/>
      </w:tblGrid>
      <w:tr w:rsidR="007E365E" w:rsidRPr="00F21A15" w14:paraId="5843ABC0" w14:textId="77777777" w:rsidTr="007D1D77">
        <w:trPr>
          <w:trHeight w:val="379"/>
        </w:trPr>
        <w:tc>
          <w:tcPr>
            <w:tcW w:w="1480" w:type="dxa"/>
            <w:shd w:val="clear" w:color="000000" w:fill="006991"/>
            <w:tcMar>
              <w:top w:w="15" w:type="dxa"/>
              <w:left w:w="15" w:type="dxa"/>
              <w:bottom w:w="0" w:type="dxa"/>
              <w:right w:w="15" w:type="dxa"/>
            </w:tcMar>
            <w:vAlign w:val="center"/>
            <w:hideMark/>
          </w:tcPr>
          <w:p w14:paraId="21987517" w14:textId="77777777" w:rsidR="007E365E" w:rsidRDefault="007E365E" w:rsidP="007D1D77">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940" w:type="dxa"/>
            <w:shd w:val="clear" w:color="000000" w:fill="006991"/>
            <w:tcMar>
              <w:top w:w="15" w:type="dxa"/>
              <w:left w:w="15" w:type="dxa"/>
              <w:bottom w:w="0" w:type="dxa"/>
              <w:right w:w="15" w:type="dxa"/>
            </w:tcMar>
            <w:vAlign w:val="center"/>
            <w:hideMark/>
          </w:tcPr>
          <w:p w14:paraId="70D0BEA8"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60" w:type="dxa"/>
            <w:shd w:val="clear" w:color="000000" w:fill="006991"/>
            <w:tcMar>
              <w:top w:w="15" w:type="dxa"/>
              <w:left w:w="15" w:type="dxa"/>
              <w:bottom w:w="0" w:type="dxa"/>
              <w:right w:w="15" w:type="dxa"/>
            </w:tcMar>
            <w:vAlign w:val="center"/>
            <w:hideMark/>
          </w:tcPr>
          <w:p w14:paraId="132F21EE"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820" w:type="dxa"/>
            <w:shd w:val="clear" w:color="000000" w:fill="006991"/>
            <w:tcMar>
              <w:top w:w="15" w:type="dxa"/>
              <w:left w:w="15" w:type="dxa"/>
              <w:bottom w:w="0" w:type="dxa"/>
              <w:right w:w="15" w:type="dxa"/>
            </w:tcMar>
            <w:vAlign w:val="center"/>
            <w:hideMark/>
          </w:tcPr>
          <w:p w14:paraId="12355459"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820" w:type="dxa"/>
            <w:shd w:val="clear" w:color="000000" w:fill="006991"/>
            <w:tcMar>
              <w:top w:w="15" w:type="dxa"/>
              <w:left w:w="15" w:type="dxa"/>
              <w:bottom w:w="0" w:type="dxa"/>
              <w:right w:w="15" w:type="dxa"/>
            </w:tcMar>
            <w:vAlign w:val="center"/>
            <w:hideMark/>
          </w:tcPr>
          <w:p w14:paraId="22F1863E"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20" w:type="dxa"/>
            <w:shd w:val="clear" w:color="000000" w:fill="006991"/>
            <w:tcMar>
              <w:top w:w="15" w:type="dxa"/>
              <w:left w:w="15" w:type="dxa"/>
              <w:bottom w:w="0" w:type="dxa"/>
              <w:right w:w="15" w:type="dxa"/>
            </w:tcMar>
            <w:vAlign w:val="center"/>
            <w:hideMark/>
          </w:tcPr>
          <w:p w14:paraId="26B7BCEF"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800" w:type="dxa"/>
            <w:shd w:val="clear" w:color="000000" w:fill="006991"/>
            <w:tcMar>
              <w:top w:w="15" w:type="dxa"/>
              <w:left w:w="15" w:type="dxa"/>
              <w:bottom w:w="0" w:type="dxa"/>
              <w:right w:w="15" w:type="dxa"/>
            </w:tcMar>
            <w:vAlign w:val="center"/>
            <w:hideMark/>
          </w:tcPr>
          <w:p w14:paraId="71D7F071"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860" w:type="dxa"/>
            <w:shd w:val="clear" w:color="000000" w:fill="006991"/>
            <w:tcMar>
              <w:top w:w="15" w:type="dxa"/>
              <w:left w:w="15" w:type="dxa"/>
              <w:bottom w:w="0" w:type="dxa"/>
              <w:right w:w="15" w:type="dxa"/>
            </w:tcMar>
            <w:vAlign w:val="center"/>
            <w:hideMark/>
          </w:tcPr>
          <w:p w14:paraId="0430142B"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60" w:type="dxa"/>
            <w:shd w:val="clear" w:color="000000" w:fill="006991"/>
            <w:tcMar>
              <w:top w:w="15" w:type="dxa"/>
              <w:left w:w="15" w:type="dxa"/>
              <w:bottom w:w="0" w:type="dxa"/>
              <w:right w:w="15" w:type="dxa"/>
            </w:tcMar>
            <w:vAlign w:val="center"/>
            <w:hideMark/>
          </w:tcPr>
          <w:p w14:paraId="43826580"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1020" w:type="dxa"/>
            <w:shd w:val="clear" w:color="000000" w:fill="006991"/>
            <w:tcMar>
              <w:top w:w="15" w:type="dxa"/>
              <w:left w:w="15" w:type="dxa"/>
              <w:bottom w:w="0" w:type="dxa"/>
              <w:right w:w="15" w:type="dxa"/>
            </w:tcMar>
            <w:vAlign w:val="center"/>
            <w:hideMark/>
          </w:tcPr>
          <w:p w14:paraId="7C7CBBF5"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Redist</w:t>
            </w:r>
          </w:p>
        </w:tc>
      </w:tr>
      <w:tr w:rsidR="007E365E" w:rsidRPr="00F21A15" w14:paraId="055D7F6C"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3720C76E" w14:textId="77777777" w:rsidR="007E365E" w:rsidRDefault="007E365E" w:rsidP="007D1D77">
            <w:pPr>
              <w:spacing w:before="0" w:line="240" w:lineRule="auto"/>
              <w:rPr>
                <w:rFonts w:cs="Open Sans Light"/>
                <w:sz w:val="16"/>
                <w:szCs w:val="16"/>
              </w:rPr>
            </w:pPr>
            <w:r>
              <w:rPr>
                <w:rFonts w:cs="Open Sans Light"/>
                <w:sz w:val="16"/>
                <w:szCs w:val="16"/>
              </w:rPr>
              <w:t>$ million</w:t>
            </w:r>
          </w:p>
        </w:tc>
        <w:tc>
          <w:tcPr>
            <w:tcW w:w="0" w:type="auto"/>
            <w:shd w:val="clear" w:color="auto" w:fill="auto"/>
            <w:noWrap/>
            <w:tcMar>
              <w:top w:w="15" w:type="dxa"/>
              <w:left w:w="15" w:type="dxa"/>
              <w:bottom w:w="0" w:type="dxa"/>
              <w:right w:w="15" w:type="dxa"/>
            </w:tcMar>
            <w:vAlign w:val="bottom"/>
            <w:hideMark/>
          </w:tcPr>
          <w:p w14:paraId="7F8FA943" w14:textId="77777777" w:rsidR="007E365E" w:rsidRDefault="007E365E" w:rsidP="007D1D77">
            <w:pPr>
              <w:spacing w:before="0" w:line="240" w:lineRule="auto"/>
              <w:jc w:val="right"/>
              <w:rPr>
                <w:rFonts w:cs="Open Sans Light"/>
                <w:sz w:val="16"/>
                <w:szCs w:val="16"/>
              </w:rPr>
            </w:pPr>
            <w:r>
              <w:rPr>
                <w:rFonts w:cs="Open Sans Light"/>
                <w:sz w:val="16"/>
                <w:szCs w:val="16"/>
              </w:rPr>
              <w:t>4</w:t>
            </w:r>
          </w:p>
        </w:tc>
        <w:tc>
          <w:tcPr>
            <w:tcW w:w="0" w:type="auto"/>
            <w:shd w:val="clear" w:color="auto" w:fill="auto"/>
            <w:noWrap/>
            <w:tcMar>
              <w:top w:w="15" w:type="dxa"/>
              <w:left w:w="15" w:type="dxa"/>
              <w:bottom w:w="0" w:type="dxa"/>
              <w:right w:w="15" w:type="dxa"/>
            </w:tcMar>
            <w:vAlign w:val="bottom"/>
            <w:hideMark/>
          </w:tcPr>
          <w:p w14:paraId="455D7B88" w14:textId="77777777" w:rsidR="007E365E" w:rsidRDefault="007E365E" w:rsidP="007D1D77">
            <w:pPr>
              <w:spacing w:before="0" w:line="240" w:lineRule="auto"/>
              <w:jc w:val="right"/>
              <w:rPr>
                <w:rFonts w:cs="Open Sans Light"/>
                <w:sz w:val="16"/>
                <w:szCs w:val="16"/>
              </w:rPr>
            </w:pPr>
            <w:r>
              <w:rPr>
                <w:rFonts w:cs="Open Sans Light"/>
                <w:sz w:val="16"/>
                <w:szCs w:val="16"/>
              </w:rPr>
              <w:t>-3</w:t>
            </w:r>
          </w:p>
        </w:tc>
        <w:tc>
          <w:tcPr>
            <w:tcW w:w="0" w:type="auto"/>
            <w:shd w:val="clear" w:color="auto" w:fill="auto"/>
            <w:noWrap/>
            <w:tcMar>
              <w:top w:w="15" w:type="dxa"/>
              <w:left w:w="15" w:type="dxa"/>
              <w:bottom w:w="0" w:type="dxa"/>
              <w:right w:w="15" w:type="dxa"/>
            </w:tcMar>
            <w:vAlign w:val="bottom"/>
            <w:hideMark/>
          </w:tcPr>
          <w:p w14:paraId="2E58E48D" w14:textId="77777777" w:rsidR="007E365E" w:rsidRDefault="007E365E" w:rsidP="007D1D77">
            <w:pPr>
              <w:spacing w:before="0" w:line="240" w:lineRule="auto"/>
              <w:jc w:val="right"/>
              <w:rPr>
                <w:rFonts w:cs="Open Sans Light"/>
                <w:sz w:val="16"/>
                <w:szCs w:val="16"/>
              </w:rPr>
            </w:pPr>
            <w:r>
              <w:rPr>
                <w:rFonts w:cs="Open Sans Light"/>
                <w:sz w:val="16"/>
                <w:szCs w:val="16"/>
              </w:rPr>
              <w:t>-1</w:t>
            </w:r>
          </w:p>
        </w:tc>
        <w:tc>
          <w:tcPr>
            <w:tcW w:w="0" w:type="auto"/>
            <w:shd w:val="clear" w:color="auto" w:fill="auto"/>
            <w:noWrap/>
            <w:tcMar>
              <w:top w:w="15" w:type="dxa"/>
              <w:left w:w="15" w:type="dxa"/>
              <w:bottom w:w="0" w:type="dxa"/>
              <w:right w:w="15" w:type="dxa"/>
            </w:tcMar>
            <w:vAlign w:val="bottom"/>
            <w:hideMark/>
          </w:tcPr>
          <w:p w14:paraId="2344CE64"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21AE8BA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4030376C"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14CAF51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49293870"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4D670CA9" w14:textId="77777777" w:rsidR="007E365E" w:rsidRDefault="007E365E" w:rsidP="007D1D77">
            <w:pPr>
              <w:spacing w:before="0" w:line="240" w:lineRule="auto"/>
              <w:jc w:val="right"/>
              <w:rPr>
                <w:rFonts w:cs="Open Sans Light"/>
                <w:sz w:val="16"/>
                <w:szCs w:val="16"/>
              </w:rPr>
            </w:pPr>
            <w:r>
              <w:rPr>
                <w:rFonts w:cs="Open Sans Light"/>
                <w:sz w:val="16"/>
                <w:szCs w:val="16"/>
              </w:rPr>
              <w:t>4</w:t>
            </w:r>
          </w:p>
        </w:tc>
      </w:tr>
      <w:tr w:rsidR="007E365E" w:rsidRPr="00F21A15" w14:paraId="5DABCC0E"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6EEE0568" w14:textId="77777777" w:rsidR="007E365E" w:rsidRDefault="007E365E" w:rsidP="007D1D77">
            <w:pPr>
              <w:spacing w:before="0" w:line="240" w:lineRule="auto"/>
              <w:rPr>
                <w:rFonts w:cs="Open Sans Light"/>
                <w:sz w:val="16"/>
                <w:szCs w:val="16"/>
              </w:rPr>
            </w:pPr>
            <w:r>
              <w:rPr>
                <w:rFonts w:cs="Open Sans Light"/>
                <w:sz w:val="16"/>
                <w:szCs w:val="16"/>
              </w:rPr>
              <w:t>$ per capita</w:t>
            </w:r>
          </w:p>
        </w:tc>
        <w:tc>
          <w:tcPr>
            <w:tcW w:w="0" w:type="auto"/>
            <w:shd w:val="clear" w:color="auto" w:fill="auto"/>
            <w:noWrap/>
            <w:tcMar>
              <w:top w:w="15" w:type="dxa"/>
              <w:left w:w="15" w:type="dxa"/>
              <w:bottom w:w="0" w:type="dxa"/>
              <w:right w:w="15" w:type="dxa"/>
            </w:tcMar>
            <w:vAlign w:val="bottom"/>
            <w:hideMark/>
          </w:tcPr>
          <w:p w14:paraId="3C52694F"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409EBF5C"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25200716"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58BCA89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589C7B4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06322525"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4CC7A175"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2189D501"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3FBD567D" w14:textId="77777777" w:rsidR="007E365E" w:rsidRDefault="007E365E" w:rsidP="007D1D77">
            <w:pPr>
              <w:spacing w:before="0" w:line="240" w:lineRule="auto"/>
              <w:jc w:val="right"/>
              <w:rPr>
                <w:rFonts w:cs="Open Sans Light"/>
                <w:sz w:val="16"/>
                <w:szCs w:val="16"/>
              </w:rPr>
            </w:pPr>
            <w:r>
              <w:rPr>
                <w:rFonts w:cs="Open Sans Light"/>
                <w:sz w:val="16"/>
                <w:szCs w:val="16"/>
              </w:rPr>
              <w:t>0</w:t>
            </w:r>
          </w:p>
        </w:tc>
      </w:tr>
    </w:tbl>
    <w:p w14:paraId="22C01C57" w14:textId="77777777" w:rsidR="007E365E" w:rsidRPr="00E23377" w:rsidRDefault="007E365E" w:rsidP="007E365E">
      <w:pPr>
        <w:pStyle w:val="CGCTablenote"/>
      </w:pPr>
      <w:r w:rsidRPr="00E23377">
        <w:t>Source:</w:t>
      </w:r>
      <w:r w:rsidRPr="00E23377">
        <w:tab/>
        <w:t>Commission calculation.</w:t>
      </w:r>
    </w:p>
    <w:p w14:paraId="3F0BF49F" w14:textId="77777777" w:rsidR="007E365E" w:rsidRPr="00E23377" w:rsidRDefault="007E365E" w:rsidP="007E365E">
      <w:pPr>
        <w:pStyle w:val="CGCParaNumber"/>
      </w:pPr>
      <w:r w:rsidRPr="00E23377">
        <w:t>Western Australia did not support the bridges and tunnels assessment because other geographic-specific structures, including floodways (a widespread feature of Western</w:t>
      </w:r>
      <w:r>
        <w:t> </w:t>
      </w:r>
      <w:r w:rsidRPr="00E23377">
        <w:t>Australia), are not included in the assessment and this could lead to a biased assessment. It also considered that if floodways cannot be incorporated, the cost of road structures including floodways should be reallocated to the relevant urban and rural road components. However, it considered that if floodways are not included and bridge and tunnel length is retained, this length should be deducted from the synthetic network lane kilometres.</w:t>
      </w:r>
    </w:p>
    <w:p w14:paraId="48B44862" w14:textId="77777777" w:rsidR="007E365E" w:rsidRPr="00E23377" w:rsidRDefault="007E365E" w:rsidP="007E365E">
      <w:pPr>
        <w:pStyle w:val="CGCParaNumber"/>
      </w:pPr>
      <w:r w:rsidRPr="00E23377">
        <w:t xml:space="preserve">The Commission did not have information on the number of floodways and State spending on them to make a separate assessment. </w:t>
      </w:r>
    </w:p>
    <w:p w14:paraId="4749C286" w14:textId="77777777" w:rsidR="007E365E" w:rsidRPr="00E23377" w:rsidRDefault="007E365E" w:rsidP="007E365E">
      <w:pPr>
        <w:pStyle w:val="CGCParaNumber"/>
      </w:pPr>
      <w:r w:rsidRPr="00E23377">
        <w:t>The cost of maintaining floodways is captured in the rural and urban roads assessments. In the absence of relevant information, the assessment assumes that the cost of maintaining floodways is the same as other roads. Floodways are less costly than bridges and tunnels. Main Roads Western Australia’s technical standards</w:t>
      </w:r>
      <w:r w:rsidRPr="00E23377">
        <w:rPr>
          <w:rStyle w:val="FootnoteReference"/>
        </w:rPr>
        <w:footnoteReference w:id="39"/>
      </w:r>
      <w:r w:rsidRPr="00E23377">
        <w:t xml:space="preserve"> say that floodways are commonly utilised in rural roadways with relatively low traffic volume and where it is impractical or uneconomical to construct a bridge or culvert. </w:t>
      </w:r>
    </w:p>
    <w:p w14:paraId="73B8703C" w14:textId="092CC1DA" w:rsidR="007E365E" w:rsidRPr="00E23377" w:rsidRDefault="007E365E" w:rsidP="007E365E">
      <w:pPr>
        <w:pStyle w:val="CGCParaNumber"/>
      </w:pPr>
      <w:r w:rsidRPr="00E23377">
        <w:lastRenderedPageBreak/>
        <w:t>The Commission considers that it is simpler and more transparent to assess bridges and tunnels as a separate component. Removing bridge and tunnel length from the assessed rural road network is not material</w:t>
      </w:r>
      <w:r>
        <w:t>,</w:t>
      </w:r>
      <w:r w:rsidRPr="00E23377">
        <w:t xml:space="preserve"> as shown in </w:t>
      </w:r>
      <w:r w:rsidRPr="00E23377">
        <w:fldChar w:fldCharType="begin"/>
      </w:r>
      <w:r w:rsidRPr="00E23377">
        <w:instrText xml:space="preserve"> REF _Ref25161487 \h  \* MERGEFORMAT </w:instrText>
      </w:r>
      <w:r w:rsidRPr="00E23377">
        <w:fldChar w:fldCharType="separate"/>
      </w:r>
      <w:r w:rsidR="007F721A" w:rsidRPr="00E23377">
        <w:t xml:space="preserve">Table </w:t>
      </w:r>
      <w:r w:rsidR="007F721A">
        <w:rPr>
          <w:noProof/>
        </w:rPr>
        <w:t>20-20</w:t>
      </w:r>
      <w:r w:rsidRPr="00E23377">
        <w:fldChar w:fldCharType="end"/>
      </w:r>
      <w:r w:rsidRPr="00E23377">
        <w:t xml:space="preserve">. </w:t>
      </w:r>
    </w:p>
    <w:p w14:paraId="05B69AAC" w14:textId="6816E8E7" w:rsidR="007E365E" w:rsidRPr="00E23377" w:rsidRDefault="007E365E" w:rsidP="007E365E">
      <w:pPr>
        <w:pStyle w:val="Caption"/>
      </w:pPr>
      <w:bookmarkStart w:id="194" w:name="_Ref25161487"/>
      <w:r w:rsidRPr="00E23377">
        <w:t xml:space="preserve">Table </w:t>
      </w:r>
      <w:r>
        <w:t>20-</w:t>
      </w:r>
      <w:fldSimple w:instr=" SEQ Table \* ARABIC ">
        <w:r w:rsidR="007F721A">
          <w:rPr>
            <w:noProof/>
          </w:rPr>
          <w:t>20</w:t>
        </w:r>
      </w:fldSimple>
      <w:bookmarkEnd w:id="194"/>
      <w:r w:rsidRPr="00E23377">
        <w:tab/>
        <w:t>GST effect of removing bridge and tunnel length from road length, 2018-19</w:t>
      </w:r>
    </w:p>
    <w:tbl>
      <w:tblPr>
        <w:tblW w:w="8980" w:type="dxa"/>
        <w:tblBorders>
          <w:top w:val="single" w:sz="4" w:space="0" w:color="ADD6EA"/>
          <w:bottom w:val="single" w:sz="4" w:space="0" w:color="ADD6EA"/>
          <w:insideH w:val="single" w:sz="4" w:space="0" w:color="ADD6EA"/>
        </w:tblBorders>
        <w:tblCellMar>
          <w:left w:w="0" w:type="dxa"/>
          <w:right w:w="0" w:type="dxa"/>
        </w:tblCellMar>
        <w:tblLook w:val="04A0" w:firstRow="1" w:lastRow="0" w:firstColumn="1" w:lastColumn="0" w:noHBand="0" w:noVBand="1"/>
      </w:tblPr>
      <w:tblGrid>
        <w:gridCol w:w="1480"/>
        <w:gridCol w:w="940"/>
        <w:gridCol w:w="760"/>
        <w:gridCol w:w="820"/>
        <w:gridCol w:w="820"/>
        <w:gridCol w:w="720"/>
        <w:gridCol w:w="800"/>
        <w:gridCol w:w="860"/>
        <w:gridCol w:w="760"/>
        <w:gridCol w:w="1020"/>
      </w:tblGrid>
      <w:tr w:rsidR="007E365E" w:rsidRPr="006669ED" w14:paraId="02D2DE81" w14:textId="77777777" w:rsidTr="007D1D77">
        <w:trPr>
          <w:trHeight w:val="375"/>
        </w:trPr>
        <w:tc>
          <w:tcPr>
            <w:tcW w:w="1480" w:type="dxa"/>
            <w:shd w:val="clear" w:color="000000" w:fill="006991"/>
            <w:tcMar>
              <w:top w:w="15" w:type="dxa"/>
              <w:left w:w="15" w:type="dxa"/>
              <w:bottom w:w="0" w:type="dxa"/>
              <w:right w:w="15" w:type="dxa"/>
            </w:tcMar>
            <w:vAlign w:val="center"/>
            <w:hideMark/>
          </w:tcPr>
          <w:p w14:paraId="4958691D" w14:textId="77777777" w:rsidR="007E365E" w:rsidRDefault="007E365E" w:rsidP="007D1D77">
            <w:pPr>
              <w:keepNext/>
              <w:keepLines/>
              <w:tabs>
                <w:tab w:val="clear" w:pos="567"/>
              </w:tabs>
              <w:spacing w:before="0" w:line="240" w:lineRule="auto"/>
              <w:jc w:val="right"/>
              <w:rPr>
                <w:rFonts w:ascii="Open Sans SemiBold" w:hAnsi="Open Sans SemiBold" w:cs="Open Sans SemiBold"/>
                <w:color w:val="FFFFFF"/>
                <w:sz w:val="16"/>
                <w:szCs w:val="16"/>
              </w:rPr>
            </w:pPr>
            <w:bookmarkStart w:id="195" w:name="RANGE!A56:J58"/>
            <w:r>
              <w:rPr>
                <w:rFonts w:ascii="Open Sans SemiBold" w:hAnsi="Open Sans SemiBold" w:cs="Open Sans SemiBold"/>
                <w:color w:val="FFFFFF"/>
                <w:sz w:val="16"/>
                <w:szCs w:val="16"/>
              </w:rPr>
              <w:t> </w:t>
            </w:r>
            <w:bookmarkEnd w:id="195"/>
          </w:p>
        </w:tc>
        <w:tc>
          <w:tcPr>
            <w:tcW w:w="940" w:type="dxa"/>
            <w:shd w:val="clear" w:color="000000" w:fill="006991"/>
            <w:tcMar>
              <w:top w:w="15" w:type="dxa"/>
              <w:left w:w="15" w:type="dxa"/>
              <w:bottom w:w="0" w:type="dxa"/>
              <w:right w:w="15" w:type="dxa"/>
            </w:tcMar>
            <w:vAlign w:val="center"/>
            <w:hideMark/>
          </w:tcPr>
          <w:p w14:paraId="5FC552F4"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60" w:type="dxa"/>
            <w:shd w:val="clear" w:color="000000" w:fill="006991"/>
            <w:tcMar>
              <w:top w:w="15" w:type="dxa"/>
              <w:left w:w="15" w:type="dxa"/>
              <w:bottom w:w="0" w:type="dxa"/>
              <w:right w:w="15" w:type="dxa"/>
            </w:tcMar>
            <w:vAlign w:val="center"/>
            <w:hideMark/>
          </w:tcPr>
          <w:p w14:paraId="300C372E"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820" w:type="dxa"/>
            <w:shd w:val="clear" w:color="000000" w:fill="006991"/>
            <w:tcMar>
              <w:top w:w="15" w:type="dxa"/>
              <w:left w:w="15" w:type="dxa"/>
              <w:bottom w:w="0" w:type="dxa"/>
              <w:right w:w="15" w:type="dxa"/>
            </w:tcMar>
            <w:vAlign w:val="center"/>
            <w:hideMark/>
          </w:tcPr>
          <w:p w14:paraId="5FAD9FB3"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820" w:type="dxa"/>
            <w:shd w:val="clear" w:color="000000" w:fill="006991"/>
            <w:tcMar>
              <w:top w:w="15" w:type="dxa"/>
              <w:left w:w="15" w:type="dxa"/>
              <w:bottom w:w="0" w:type="dxa"/>
              <w:right w:w="15" w:type="dxa"/>
            </w:tcMar>
            <w:vAlign w:val="center"/>
            <w:hideMark/>
          </w:tcPr>
          <w:p w14:paraId="22D47484"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20" w:type="dxa"/>
            <w:shd w:val="clear" w:color="000000" w:fill="006991"/>
            <w:tcMar>
              <w:top w:w="15" w:type="dxa"/>
              <w:left w:w="15" w:type="dxa"/>
              <w:bottom w:w="0" w:type="dxa"/>
              <w:right w:w="15" w:type="dxa"/>
            </w:tcMar>
            <w:vAlign w:val="center"/>
            <w:hideMark/>
          </w:tcPr>
          <w:p w14:paraId="4B86A14D"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800" w:type="dxa"/>
            <w:shd w:val="clear" w:color="000000" w:fill="006991"/>
            <w:tcMar>
              <w:top w:w="15" w:type="dxa"/>
              <w:left w:w="15" w:type="dxa"/>
              <w:bottom w:w="0" w:type="dxa"/>
              <w:right w:w="15" w:type="dxa"/>
            </w:tcMar>
            <w:vAlign w:val="center"/>
            <w:hideMark/>
          </w:tcPr>
          <w:p w14:paraId="06E6ED67"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860" w:type="dxa"/>
            <w:shd w:val="clear" w:color="000000" w:fill="006991"/>
            <w:tcMar>
              <w:top w:w="15" w:type="dxa"/>
              <w:left w:w="15" w:type="dxa"/>
              <w:bottom w:w="0" w:type="dxa"/>
              <w:right w:w="15" w:type="dxa"/>
            </w:tcMar>
            <w:vAlign w:val="center"/>
            <w:hideMark/>
          </w:tcPr>
          <w:p w14:paraId="642E4781"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60" w:type="dxa"/>
            <w:shd w:val="clear" w:color="000000" w:fill="006991"/>
            <w:tcMar>
              <w:top w:w="15" w:type="dxa"/>
              <w:left w:w="15" w:type="dxa"/>
              <w:bottom w:w="0" w:type="dxa"/>
              <w:right w:w="15" w:type="dxa"/>
            </w:tcMar>
            <w:vAlign w:val="center"/>
            <w:hideMark/>
          </w:tcPr>
          <w:p w14:paraId="5E7A1DD1"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1020" w:type="dxa"/>
            <w:shd w:val="clear" w:color="000000" w:fill="006991"/>
            <w:tcMar>
              <w:top w:w="15" w:type="dxa"/>
              <w:left w:w="15" w:type="dxa"/>
              <w:bottom w:w="0" w:type="dxa"/>
              <w:right w:w="15" w:type="dxa"/>
            </w:tcMar>
            <w:vAlign w:val="center"/>
            <w:hideMark/>
          </w:tcPr>
          <w:p w14:paraId="0DD6C1BB"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Redist</w:t>
            </w:r>
          </w:p>
        </w:tc>
      </w:tr>
      <w:tr w:rsidR="007E365E" w:rsidRPr="006669ED" w14:paraId="7F6107FF"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6EAEBDD9" w14:textId="77777777" w:rsidR="007E365E" w:rsidRDefault="007E365E" w:rsidP="007D1D77">
            <w:pPr>
              <w:keepNext/>
              <w:keepLines/>
              <w:spacing w:before="0" w:line="240" w:lineRule="auto"/>
              <w:rPr>
                <w:rFonts w:cs="Open Sans Light"/>
                <w:sz w:val="16"/>
                <w:szCs w:val="16"/>
              </w:rPr>
            </w:pPr>
            <w:r>
              <w:rPr>
                <w:rFonts w:cs="Open Sans Light"/>
                <w:sz w:val="16"/>
                <w:szCs w:val="16"/>
              </w:rPr>
              <w:t>$ million</w:t>
            </w:r>
          </w:p>
        </w:tc>
        <w:tc>
          <w:tcPr>
            <w:tcW w:w="0" w:type="auto"/>
            <w:shd w:val="clear" w:color="auto" w:fill="auto"/>
            <w:noWrap/>
            <w:tcMar>
              <w:top w:w="15" w:type="dxa"/>
              <w:left w:w="15" w:type="dxa"/>
              <w:bottom w:w="0" w:type="dxa"/>
              <w:right w:w="15" w:type="dxa"/>
            </w:tcMar>
            <w:vAlign w:val="bottom"/>
            <w:hideMark/>
          </w:tcPr>
          <w:p w14:paraId="40B6168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248A608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6BA6ED9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7DF4C68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3271878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486844F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6329ACA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50D1CAC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1B5DFA8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r>
      <w:tr w:rsidR="007E365E" w:rsidRPr="006669ED" w14:paraId="7B4781FB"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487CC49C" w14:textId="77777777" w:rsidR="007E365E" w:rsidRDefault="007E365E" w:rsidP="007D1D77">
            <w:pPr>
              <w:keepNext/>
              <w:keepLines/>
              <w:spacing w:before="0" w:line="240" w:lineRule="auto"/>
              <w:rPr>
                <w:rFonts w:cs="Open Sans Light"/>
                <w:sz w:val="16"/>
                <w:szCs w:val="16"/>
              </w:rPr>
            </w:pPr>
            <w:r>
              <w:rPr>
                <w:rFonts w:cs="Open Sans Light"/>
                <w:sz w:val="16"/>
                <w:szCs w:val="16"/>
              </w:rPr>
              <w:t>$ per capita</w:t>
            </w:r>
          </w:p>
        </w:tc>
        <w:tc>
          <w:tcPr>
            <w:tcW w:w="0" w:type="auto"/>
            <w:shd w:val="clear" w:color="auto" w:fill="auto"/>
            <w:noWrap/>
            <w:tcMar>
              <w:top w:w="15" w:type="dxa"/>
              <w:left w:w="15" w:type="dxa"/>
              <w:bottom w:w="0" w:type="dxa"/>
              <w:right w:w="15" w:type="dxa"/>
            </w:tcMar>
            <w:vAlign w:val="bottom"/>
            <w:hideMark/>
          </w:tcPr>
          <w:p w14:paraId="758F81F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1D7AC7A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0A49947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43D0F09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41ABCC5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76CC0C5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0D0319F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shd w:val="clear" w:color="auto" w:fill="auto"/>
            <w:noWrap/>
            <w:tcMar>
              <w:top w:w="15" w:type="dxa"/>
              <w:left w:w="15" w:type="dxa"/>
              <w:bottom w:w="0" w:type="dxa"/>
              <w:right w:w="15" w:type="dxa"/>
            </w:tcMar>
            <w:vAlign w:val="bottom"/>
            <w:hideMark/>
          </w:tcPr>
          <w:p w14:paraId="4B06D10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shd w:val="clear" w:color="auto" w:fill="auto"/>
            <w:noWrap/>
            <w:tcMar>
              <w:top w:w="15" w:type="dxa"/>
              <w:left w:w="15" w:type="dxa"/>
              <w:bottom w:w="0" w:type="dxa"/>
              <w:right w:w="15" w:type="dxa"/>
            </w:tcMar>
            <w:vAlign w:val="bottom"/>
            <w:hideMark/>
          </w:tcPr>
          <w:p w14:paraId="5F8E906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r>
    </w:tbl>
    <w:p w14:paraId="015278F7" w14:textId="77777777" w:rsidR="007E365E" w:rsidRPr="00E23377" w:rsidRDefault="007E365E" w:rsidP="007E365E">
      <w:pPr>
        <w:pStyle w:val="CGCTablenote"/>
      </w:pPr>
      <w:r w:rsidRPr="00E23377">
        <w:t>Source:</w:t>
      </w:r>
      <w:r w:rsidRPr="00E23377">
        <w:tab/>
        <w:t>Commission calculation.</w:t>
      </w:r>
    </w:p>
    <w:p w14:paraId="53F75C18" w14:textId="77777777" w:rsidR="007E365E" w:rsidRPr="00E23377" w:rsidRDefault="007E365E" w:rsidP="007E365E">
      <w:pPr>
        <w:pStyle w:val="Heading5"/>
      </w:pPr>
      <w:r w:rsidRPr="00E23377">
        <w:t>Heavy vehicle use</w:t>
      </w:r>
    </w:p>
    <w:p w14:paraId="5394DFAF" w14:textId="6E6121BF" w:rsidR="007E365E" w:rsidRPr="00E23377" w:rsidRDefault="007E365E" w:rsidP="007E365E">
      <w:pPr>
        <w:pStyle w:val="CGCParaNumber"/>
      </w:pPr>
      <w:r w:rsidRPr="00E23377">
        <w:t xml:space="preserve">The assessment of the heavy vehicle use disabilities for bridges and tunnels uses AGM-km data from BITRE, the same as that for roads, but without the rural/urban disaggregation. These use rates are shown in </w:t>
      </w:r>
      <w:r w:rsidRPr="00E23377">
        <w:fldChar w:fldCharType="begin"/>
      </w:r>
      <w:r w:rsidRPr="00E23377">
        <w:instrText xml:space="preserve"> REF _Ref10714596 \h  \* MERGEFORMAT </w:instrText>
      </w:r>
      <w:r w:rsidRPr="00E23377">
        <w:fldChar w:fldCharType="separate"/>
      </w:r>
      <w:r w:rsidR="007F721A" w:rsidRPr="00E23377">
        <w:t>Table </w:t>
      </w:r>
      <w:r w:rsidR="007F721A">
        <w:t>20-21</w:t>
      </w:r>
      <w:r w:rsidRPr="00E23377">
        <w:fldChar w:fldCharType="end"/>
      </w:r>
      <w:r w:rsidRPr="00E23377">
        <w:t>.</w:t>
      </w:r>
    </w:p>
    <w:p w14:paraId="11560F26" w14:textId="2E638FCE" w:rsidR="007E365E" w:rsidRPr="00E23377" w:rsidRDefault="007E365E" w:rsidP="007E365E">
      <w:pPr>
        <w:pStyle w:val="Caption"/>
      </w:pPr>
      <w:bookmarkStart w:id="196" w:name="_Ref10714596"/>
      <w:r w:rsidRPr="00E23377">
        <w:t>Table </w:t>
      </w:r>
      <w:r>
        <w:t>20-</w:t>
      </w:r>
      <w:fldSimple w:instr=" SEQ Table \* ARABIC ">
        <w:r w:rsidR="007F721A">
          <w:rPr>
            <w:noProof/>
          </w:rPr>
          <w:t>21</w:t>
        </w:r>
      </w:fldSimple>
      <w:bookmarkEnd w:id="196"/>
      <w:r w:rsidRPr="00E23377">
        <w:tab/>
        <w:t>Estimated total heavy vehicle use by State, 201</w:t>
      </w:r>
      <w:r>
        <w:t>8</w:t>
      </w:r>
      <w:r w:rsidRPr="00E23377">
        <w:t>-1</w:t>
      </w:r>
      <w:r>
        <w:t>9</w:t>
      </w:r>
    </w:p>
    <w:tbl>
      <w:tblPr>
        <w:tblW w:w="8980" w:type="dxa"/>
        <w:tblBorders>
          <w:top w:val="single" w:sz="4" w:space="0" w:color="ADD6EA"/>
          <w:bottom w:val="single" w:sz="4" w:space="0" w:color="ADD6EA"/>
          <w:insideH w:val="single" w:sz="4" w:space="0" w:color="ADD6EA"/>
        </w:tblBorders>
        <w:tblCellMar>
          <w:left w:w="0" w:type="dxa"/>
          <w:right w:w="0" w:type="dxa"/>
        </w:tblCellMar>
        <w:tblLook w:val="04A0" w:firstRow="1" w:lastRow="0" w:firstColumn="1" w:lastColumn="0" w:noHBand="0" w:noVBand="1"/>
      </w:tblPr>
      <w:tblGrid>
        <w:gridCol w:w="2935"/>
        <w:gridCol w:w="702"/>
        <w:gridCol w:w="675"/>
        <w:gridCol w:w="675"/>
        <w:gridCol w:w="675"/>
        <w:gridCol w:w="675"/>
        <w:gridCol w:w="647"/>
        <w:gridCol w:w="647"/>
        <w:gridCol w:w="647"/>
        <w:gridCol w:w="702"/>
      </w:tblGrid>
      <w:tr w:rsidR="007E365E" w14:paraId="24EF3EE6" w14:textId="77777777" w:rsidTr="007D1D77">
        <w:trPr>
          <w:trHeight w:val="379"/>
        </w:trPr>
        <w:tc>
          <w:tcPr>
            <w:tcW w:w="2320" w:type="dxa"/>
            <w:shd w:val="clear" w:color="000000" w:fill="006991"/>
            <w:tcMar>
              <w:top w:w="15" w:type="dxa"/>
              <w:left w:w="15" w:type="dxa"/>
              <w:bottom w:w="0" w:type="dxa"/>
              <w:right w:w="15" w:type="dxa"/>
            </w:tcMar>
            <w:vAlign w:val="center"/>
            <w:hideMark/>
          </w:tcPr>
          <w:p w14:paraId="2D8FDEBA" w14:textId="77777777" w:rsidR="007E365E" w:rsidRDefault="007E365E" w:rsidP="007D1D77">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740" w:type="dxa"/>
            <w:shd w:val="clear" w:color="000000" w:fill="006991"/>
            <w:tcMar>
              <w:top w:w="15" w:type="dxa"/>
              <w:left w:w="15" w:type="dxa"/>
              <w:bottom w:w="0" w:type="dxa"/>
              <w:right w:w="15" w:type="dxa"/>
            </w:tcMar>
            <w:vAlign w:val="center"/>
            <w:hideMark/>
          </w:tcPr>
          <w:p w14:paraId="036048B6"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40" w:type="dxa"/>
            <w:shd w:val="clear" w:color="000000" w:fill="006991"/>
            <w:tcMar>
              <w:top w:w="15" w:type="dxa"/>
              <w:left w:w="15" w:type="dxa"/>
              <w:bottom w:w="0" w:type="dxa"/>
              <w:right w:w="15" w:type="dxa"/>
            </w:tcMar>
            <w:vAlign w:val="center"/>
            <w:hideMark/>
          </w:tcPr>
          <w:p w14:paraId="1FD21801"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40" w:type="dxa"/>
            <w:shd w:val="clear" w:color="000000" w:fill="006991"/>
            <w:tcMar>
              <w:top w:w="15" w:type="dxa"/>
              <w:left w:w="15" w:type="dxa"/>
              <w:bottom w:w="0" w:type="dxa"/>
              <w:right w:w="15" w:type="dxa"/>
            </w:tcMar>
            <w:vAlign w:val="center"/>
            <w:hideMark/>
          </w:tcPr>
          <w:p w14:paraId="59EFA671"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40" w:type="dxa"/>
            <w:shd w:val="clear" w:color="000000" w:fill="006991"/>
            <w:tcMar>
              <w:top w:w="15" w:type="dxa"/>
              <w:left w:w="15" w:type="dxa"/>
              <w:bottom w:w="0" w:type="dxa"/>
              <w:right w:w="15" w:type="dxa"/>
            </w:tcMar>
            <w:vAlign w:val="center"/>
            <w:hideMark/>
          </w:tcPr>
          <w:p w14:paraId="59D13336"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40" w:type="dxa"/>
            <w:shd w:val="clear" w:color="000000" w:fill="006991"/>
            <w:tcMar>
              <w:top w:w="15" w:type="dxa"/>
              <w:left w:w="15" w:type="dxa"/>
              <w:bottom w:w="0" w:type="dxa"/>
              <w:right w:w="15" w:type="dxa"/>
            </w:tcMar>
            <w:vAlign w:val="center"/>
            <w:hideMark/>
          </w:tcPr>
          <w:p w14:paraId="49A6899D"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40" w:type="dxa"/>
            <w:shd w:val="clear" w:color="000000" w:fill="006991"/>
            <w:tcMar>
              <w:top w:w="15" w:type="dxa"/>
              <w:left w:w="15" w:type="dxa"/>
              <w:bottom w:w="0" w:type="dxa"/>
              <w:right w:w="15" w:type="dxa"/>
            </w:tcMar>
            <w:vAlign w:val="center"/>
            <w:hideMark/>
          </w:tcPr>
          <w:p w14:paraId="14FA3490"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40" w:type="dxa"/>
            <w:shd w:val="clear" w:color="000000" w:fill="006991"/>
            <w:tcMar>
              <w:top w:w="15" w:type="dxa"/>
              <w:left w:w="15" w:type="dxa"/>
              <w:bottom w:w="0" w:type="dxa"/>
              <w:right w:w="15" w:type="dxa"/>
            </w:tcMar>
            <w:vAlign w:val="center"/>
            <w:hideMark/>
          </w:tcPr>
          <w:p w14:paraId="5DBF3AB3"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40" w:type="dxa"/>
            <w:shd w:val="clear" w:color="000000" w:fill="006991"/>
            <w:tcMar>
              <w:top w:w="15" w:type="dxa"/>
              <w:left w:w="15" w:type="dxa"/>
              <w:bottom w:w="0" w:type="dxa"/>
              <w:right w:w="15" w:type="dxa"/>
            </w:tcMar>
            <w:vAlign w:val="center"/>
            <w:hideMark/>
          </w:tcPr>
          <w:p w14:paraId="0C3BBC53"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40" w:type="dxa"/>
            <w:shd w:val="clear" w:color="000000" w:fill="006991"/>
            <w:tcMar>
              <w:top w:w="15" w:type="dxa"/>
              <w:left w:w="15" w:type="dxa"/>
              <w:bottom w:w="0" w:type="dxa"/>
              <w:right w:w="15" w:type="dxa"/>
            </w:tcMar>
            <w:vAlign w:val="center"/>
            <w:hideMark/>
          </w:tcPr>
          <w:p w14:paraId="6AB460B7"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7E365E" w14:paraId="70648343" w14:textId="77777777" w:rsidTr="007D1D77">
        <w:trPr>
          <w:trHeight w:val="340"/>
        </w:trPr>
        <w:tc>
          <w:tcPr>
            <w:tcW w:w="0" w:type="auto"/>
            <w:shd w:val="clear" w:color="auto" w:fill="auto"/>
            <w:noWrap/>
            <w:tcMar>
              <w:top w:w="15" w:type="dxa"/>
              <w:left w:w="15" w:type="dxa"/>
              <w:bottom w:w="0" w:type="dxa"/>
              <w:right w:w="15" w:type="dxa"/>
            </w:tcMar>
            <w:vAlign w:val="bottom"/>
            <w:hideMark/>
          </w:tcPr>
          <w:p w14:paraId="094CBF0C" w14:textId="77777777" w:rsidR="007E365E" w:rsidRDefault="007E365E" w:rsidP="007D1D77">
            <w:pPr>
              <w:spacing w:before="0" w:line="240" w:lineRule="auto"/>
              <w:rPr>
                <w:rFonts w:cs="Open Sans Light"/>
                <w:sz w:val="16"/>
                <w:szCs w:val="16"/>
              </w:rPr>
            </w:pPr>
            <w:r>
              <w:rPr>
                <w:rFonts w:cs="Open Sans Light"/>
                <w:sz w:val="16"/>
                <w:szCs w:val="16"/>
              </w:rPr>
              <w:t>Total heavy vehicle use (million AGM-km)</w:t>
            </w:r>
          </w:p>
        </w:tc>
        <w:tc>
          <w:tcPr>
            <w:tcW w:w="0" w:type="auto"/>
            <w:shd w:val="clear" w:color="auto" w:fill="auto"/>
            <w:noWrap/>
            <w:tcMar>
              <w:top w:w="15" w:type="dxa"/>
              <w:left w:w="15" w:type="dxa"/>
              <w:bottom w:w="0" w:type="dxa"/>
              <w:right w:w="15" w:type="dxa"/>
            </w:tcMar>
            <w:vAlign w:val="bottom"/>
            <w:hideMark/>
          </w:tcPr>
          <w:p w14:paraId="6049D964" w14:textId="77777777" w:rsidR="007E365E" w:rsidRDefault="007E365E" w:rsidP="007D1D77">
            <w:pPr>
              <w:spacing w:before="0" w:line="240" w:lineRule="auto"/>
              <w:jc w:val="right"/>
              <w:rPr>
                <w:rFonts w:cs="Open Sans Light"/>
                <w:sz w:val="16"/>
                <w:szCs w:val="16"/>
              </w:rPr>
            </w:pPr>
            <w:r>
              <w:rPr>
                <w:rFonts w:cs="Open Sans Light"/>
                <w:sz w:val="16"/>
                <w:szCs w:val="16"/>
              </w:rPr>
              <w:t>129,055</w:t>
            </w:r>
          </w:p>
        </w:tc>
        <w:tc>
          <w:tcPr>
            <w:tcW w:w="0" w:type="auto"/>
            <w:shd w:val="clear" w:color="auto" w:fill="auto"/>
            <w:noWrap/>
            <w:tcMar>
              <w:top w:w="15" w:type="dxa"/>
              <w:left w:w="15" w:type="dxa"/>
              <w:bottom w:w="0" w:type="dxa"/>
              <w:right w:w="15" w:type="dxa"/>
            </w:tcMar>
            <w:vAlign w:val="bottom"/>
            <w:hideMark/>
          </w:tcPr>
          <w:p w14:paraId="0C25CDB6" w14:textId="77777777" w:rsidR="007E365E" w:rsidRDefault="007E365E" w:rsidP="007D1D77">
            <w:pPr>
              <w:spacing w:before="0" w:line="240" w:lineRule="auto"/>
              <w:jc w:val="right"/>
              <w:rPr>
                <w:rFonts w:cs="Open Sans Light"/>
                <w:sz w:val="16"/>
                <w:szCs w:val="16"/>
              </w:rPr>
            </w:pPr>
            <w:r>
              <w:rPr>
                <w:rFonts w:cs="Open Sans Light"/>
                <w:sz w:val="16"/>
                <w:szCs w:val="16"/>
              </w:rPr>
              <w:t>93,015</w:t>
            </w:r>
          </w:p>
        </w:tc>
        <w:tc>
          <w:tcPr>
            <w:tcW w:w="0" w:type="auto"/>
            <w:shd w:val="clear" w:color="auto" w:fill="auto"/>
            <w:noWrap/>
            <w:tcMar>
              <w:top w:w="15" w:type="dxa"/>
              <w:left w:w="15" w:type="dxa"/>
              <w:bottom w:w="0" w:type="dxa"/>
              <w:right w:w="15" w:type="dxa"/>
            </w:tcMar>
            <w:vAlign w:val="bottom"/>
            <w:hideMark/>
          </w:tcPr>
          <w:p w14:paraId="215186AD" w14:textId="77777777" w:rsidR="007E365E" w:rsidRDefault="007E365E" w:rsidP="007D1D77">
            <w:pPr>
              <w:spacing w:before="0" w:line="240" w:lineRule="auto"/>
              <w:jc w:val="right"/>
              <w:rPr>
                <w:rFonts w:cs="Open Sans Light"/>
                <w:sz w:val="16"/>
                <w:szCs w:val="16"/>
              </w:rPr>
            </w:pPr>
            <w:r>
              <w:rPr>
                <w:rFonts w:cs="Open Sans Light"/>
                <w:sz w:val="16"/>
                <w:szCs w:val="16"/>
              </w:rPr>
              <w:t>90,799</w:t>
            </w:r>
          </w:p>
        </w:tc>
        <w:tc>
          <w:tcPr>
            <w:tcW w:w="0" w:type="auto"/>
            <w:shd w:val="clear" w:color="auto" w:fill="auto"/>
            <w:noWrap/>
            <w:tcMar>
              <w:top w:w="15" w:type="dxa"/>
              <w:left w:w="15" w:type="dxa"/>
              <w:bottom w:w="0" w:type="dxa"/>
              <w:right w:w="15" w:type="dxa"/>
            </w:tcMar>
            <w:vAlign w:val="bottom"/>
            <w:hideMark/>
          </w:tcPr>
          <w:p w14:paraId="4FA8603B" w14:textId="77777777" w:rsidR="007E365E" w:rsidRDefault="007E365E" w:rsidP="007D1D77">
            <w:pPr>
              <w:spacing w:before="0" w:line="240" w:lineRule="auto"/>
              <w:jc w:val="right"/>
              <w:rPr>
                <w:rFonts w:cs="Open Sans Light"/>
                <w:sz w:val="16"/>
                <w:szCs w:val="16"/>
              </w:rPr>
            </w:pPr>
            <w:r>
              <w:rPr>
                <w:rFonts w:cs="Open Sans Light"/>
                <w:sz w:val="16"/>
                <w:szCs w:val="16"/>
              </w:rPr>
              <w:t>48,047</w:t>
            </w:r>
          </w:p>
        </w:tc>
        <w:tc>
          <w:tcPr>
            <w:tcW w:w="0" w:type="auto"/>
            <w:shd w:val="clear" w:color="auto" w:fill="auto"/>
            <w:noWrap/>
            <w:tcMar>
              <w:top w:w="15" w:type="dxa"/>
              <w:left w:w="15" w:type="dxa"/>
              <w:bottom w:w="0" w:type="dxa"/>
              <w:right w:w="15" w:type="dxa"/>
            </w:tcMar>
            <w:vAlign w:val="bottom"/>
            <w:hideMark/>
          </w:tcPr>
          <w:p w14:paraId="098098EB" w14:textId="77777777" w:rsidR="007E365E" w:rsidRDefault="007E365E" w:rsidP="007D1D77">
            <w:pPr>
              <w:spacing w:before="0" w:line="240" w:lineRule="auto"/>
              <w:jc w:val="right"/>
              <w:rPr>
                <w:rFonts w:cs="Open Sans Light"/>
                <w:sz w:val="16"/>
                <w:szCs w:val="16"/>
              </w:rPr>
            </w:pPr>
            <w:r>
              <w:rPr>
                <w:rFonts w:cs="Open Sans Light"/>
                <w:sz w:val="16"/>
                <w:szCs w:val="16"/>
              </w:rPr>
              <w:t>31,837</w:t>
            </w:r>
          </w:p>
        </w:tc>
        <w:tc>
          <w:tcPr>
            <w:tcW w:w="0" w:type="auto"/>
            <w:shd w:val="clear" w:color="auto" w:fill="auto"/>
            <w:noWrap/>
            <w:tcMar>
              <w:top w:w="15" w:type="dxa"/>
              <w:left w:w="15" w:type="dxa"/>
              <w:bottom w:w="0" w:type="dxa"/>
              <w:right w:w="15" w:type="dxa"/>
            </w:tcMar>
            <w:vAlign w:val="bottom"/>
            <w:hideMark/>
          </w:tcPr>
          <w:p w14:paraId="25772EEA" w14:textId="77777777" w:rsidR="007E365E" w:rsidRDefault="007E365E" w:rsidP="007D1D77">
            <w:pPr>
              <w:spacing w:before="0" w:line="240" w:lineRule="auto"/>
              <w:jc w:val="right"/>
              <w:rPr>
                <w:rFonts w:cs="Open Sans Light"/>
                <w:sz w:val="16"/>
                <w:szCs w:val="16"/>
              </w:rPr>
            </w:pPr>
            <w:r>
              <w:rPr>
                <w:rFonts w:cs="Open Sans Light"/>
                <w:sz w:val="16"/>
                <w:szCs w:val="16"/>
              </w:rPr>
              <w:t>8,392</w:t>
            </w:r>
          </w:p>
        </w:tc>
        <w:tc>
          <w:tcPr>
            <w:tcW w:w="0" w:type="auto"/>
            <w:shd w:val="clear" w:color="auto" w:fill="auto"/>
            <w:noWrap/>
            <w:tcMar>
              <w:top w:w="15" w:type="dxa"/>
              <w:left w:w="15" w:type="dxa"/>
              <w:bottom w:w="0" w:type="dxa"/>
              <w:right w:w="15" w:type="dxa"/>
            </w:tcMar>
            <w:vAlign w:val="bottom"/>
            <w:hideMark/>
          </w:tcPr>
          <w:p w14:paraId="684F7BAE" w14:textId="77777777" w:rsidR="007E365E" w:rsidRDefault="007E365E" w:rsidP="007D1D77">
            <w:pPr>
              <w:spacing w:before="0" w:line="240" w:lineRule="auto"/>
              <w:jc w:val="right"/>
              <w:rPr>
                <w:rFonts w:cs="Open Sans Light"/>
                <w:sz w:val="16"/>
                <w:szCs w:val="16"/>
              </w:rPr>
            </w:pPr>
            <w:r>
              <w:rPr>
                <w:rFonts w:cs="Open Sans Light"/>
                <w:sz w:val="16"/>
                <w:szCs w:val="16"/>
              </w:rPr>
              <w:t>1,607</w:t>
            </w:r>
          </w:p>
        </w:tc>
        <w:tc>
          <w:tcPr>
            <w:tcW w:w="0" w:type="auto"/>
            <w:shd w:val="clear" w:color="auto" w:fill="auto"/>
            <w:noWrap/>
            <w:tcMar>
              <w:top w:w="15" w:type="dxa"/>
              <w:left w:w="15" w:type="dxa"/>
              <w:bottom w:w="0" w:type="dxa"/>
              <w:right w:w="15" w:type="dxa"/>
            </w:tcMar>
            <w:vAlign w:val="bottom"/>
            <w:hideMark/>
          </w:tcPr>
          <w:p w14:paraId="4C48B6A6" w14:textId="77777777" w:rsidR="007E365E" w:rsidRDefault="007E365E" w:rsidP="007D1D77">
            <w:pPr>
              <w:spacing w:before="0" w:line="240" w:lineRule="auto"/>
              <w:jc w:val="right"/>
              <w:rPr>
                <w:rFonts w:cs="Open Sans Light"/>
                <w:sz w:val="16"/>
                <w:szCs w:val="16"/>
              </w:rPr>
            </w:pPr>
            <w:r>
              <w:rPr>
                <w:rFonts w:cs="Open Sans Light"/>
                <w:sz w:val="16"/>
                <w:szCs w:val="16"/>
              </w:rPr>
              <w:t>4,308</w:t>
            </w:r>
          </w:p>
        </w:tc>
        <w:tc>
          <w:tcPr>
            <w:tcW w:w="0" w:type="auto"/>
            <w:shd w:val="clear" w:color="auto" w:fill="auto"/>
            <w:noWrap/>
            <w:tcMar>
              <w:top w:w="15" w:type="dxa"/>
              <w:left w:w="15" w:type="dxa"/>
              <w:bottom w:w="0" w:type="dxa"/>
              <w:right w:w="15" w:type="dxa"/>
            </w:tcMar>
            <w:vAlign w:val="bottom"/>
            <w:hideMark/>
          </w:tcPr>
          <w:p w14:paraId="1C93E27C" w14:textId="77777777" w:rsidR="007E365E" w:rsidRDefault="007E365E" w:rsidP="007D1D77">
            <w:pPr>
              <w:spacing w:before="0" w:line="240" w:lineRule="auto"/>
              <w:jc w:val="right"/>
              <w:rPr>
                <w:rFonts w:cs="Open Sans Light"/>
                <w:sz w:val="16"/>
                <w:szCs w:val="16"/>
              </w:rPr>
            </w:pPr>
            <w:r>
              <w:rPr>
                <w:rFonts w:cs="Open Sans Light"/>
                <w:sz w:val="16"/>
                <w:szCs w:val="16"/>
              </w:rPr>
              <w:t>407,059</w:t>
            </w:r>
          </w:p>
        </w:tc>
      </w:tr>
      <w:tr w:rsidR="007E365E" w14:paraId="7A657ED6"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5B0CA7D6" w14:textId="77777777" w:rsidR="007E365E" w:rsidRDefault="007E365E" w:rsidP="007D1D77">
            <w:pPr>
              <w:spacing w:before="0" w:line="240" w:lineRule="auto"/>
              <w:rPr>
                <w:rFonts w:cs="Open Sans Light"/>
                <w:sz w:val="16"/>
                <w:szCs w:val="16"/>
              </w:rPr>
            </w:pPr>
            <w:r>
              <w:rPr>
                <w:rFonts w:cs="Open Sans Light"/>
                <w:sz w:val="16"/>
                <w:szCs w:val="16"/>
              </w:rPr>
              <w:t>State share (%)</w:t>
            </w:r>
          </w:p>
        </w:tc>
        <w:tc>
          <w:tcPr>
            <w:tcW w:w="0" w:type="auto"/>
            <w:shd w:val="clear" w:color="auto" w:fill="auto"/>
            <w:noWrap/>
            <w:tcMar>
              <w:top w:w="15" w:type="dxa"/>
              <w:left w:w="15" w:type="dxa"/>
              <w:bottom w:w="0" w:type="dxa"/>
              <w:right w:w="15" w:type="dxa"/>
            </w:tcMar>
            <w:vAlign w:val="bottom"/>
            <w:hideMark/>
          </w:tcPr>
          <w:p w14:paraId="0F8F9862" w14:textId="77777777" w:rsidR="007E365E" w:rsidRDefault="007E365E" w:rsidP="007D1D77">
            <w:pPr>
              <w:spacing w:before="0" w:line="240" w:lineRule="auto"/>
              <w:jc w:val="right"/>
              <w:rPr>
                <w:rFonts w:cs="Open Sans Light"/>
                <w:sz w:val="16"/>
                <w:szCs w:val="16"/>
              </w:rPr>
            </w:pPr>
            <w:r>
              <w:rPr>
                <w:rFonts w:cs="Open Sans Light"/>
                <w:sz w:val="16"/>
                <w:szCs w:val="16"/>
              </w:rPr>
              <w:t>31.7</w:t>
            </w:r>
          </w:p>
        </w:tc>
        <w:tc>
          <w:tcPr>
            <w:tcW w:w="0" w:type="auto"/>
            <w:shd w:val="clear" w:color="auto" w:fill="auto"/>
            <w:noWrap/>
            <w:tcMar>
              <w:top w:w="15" w:type="dxa"/>
              <w:left w:w="15" w:type="dxa"/>
              <w:bottom w:w="0" w:type="dxa"/>
              <w:right w:w="15" w:type="dxa"/>
            </w:tcMar>
            <w:vAlign w:val="bottom"/>
            <w:hideMark/>
          </w:tcPr>
          <w:p w14:paraId="12D5A0B3" w14:textId="77777777" w:rsidR="007E365E" w:rsidRDefault="007E365E" w:rsidP="007D1D77">
            <w:pPr>
              <w:spacing w:before="0" w:line="240" w:lineRule="auto"/>
              <w:jc w:val="right"/>
              <w:rPr>
                <w:rFonts w:cs="Open Sans Light"/>
                <w:sz w:val="16"/>
                <w:szCs w:val="16"/>
              </w:rPr>
            </w:pPr>
            <w:r>
              <w:rPr>
                <w:rFonts w:cs="Open Sans Light"/>
                <w:sz w:val="16"/>
                <w:szCs w:val="16"/>
              </w:rPr>
              <w:t>22.9</w:t>
            </w:r>
          </w:p>
        </w:tc>
        <w:tc>
          <w:tcPr>
            <w:tcW w:w="0" w:type="auto"/>
            <w:shd w:val="clear" w:color="auto" w:fill="auto"/>
            <w:noWrap/>
            <w:tcMar>
              <w:top w:w="15" w:type="dxa"/>
              <w:left w:w="15" w:type="dxa"/>
              <w:bottom w:w="0" w:type="dxa"/>
              <w:right w:w="15" w:type="dxa"/>
            </w:tcMar>
            <w:vAlign w:val="bottom"/>
            <w:hideMark/>
          </w:tcPr>
          <w:p w14:paraId="2882B63D" w14:textId="77777777" w:rsidR="007E365E" w:rsidRDefault="007E365E" w:rsidP="007D1D77">
            <w:pPr>
              <w:spacing w:before="0" w:line="240" w:lineRule="auto"/>
              <w:jc w:val="right"/>
              <w:rPr>
                <w:rFonts w:cs="Open Sans Light"/>
                <w:sz w:val="16"/>
                <w:szCs w:val="16"/>
              </w:rPr>
            </w:pPr>
            <w:r>
              <w:rPr>
                <w:rFonts w:cs="Open Sans Light"/>
                <w:sz w:val="16"/>
                <w:szCs w:val="16"/>
              </w:rPr>
              <w:t>22.3</w:t>
            </w:r>
          </w:p>
        </w:tc>
        <w:tc>
          <w:tcPr>
            <w:tcW w:w="0" w:type="auto"/>
            <w:shd w:val="clear" w:color="auto" w:fill="auto"/>
            <w:noWrap/>
            <w:tcMar>
              <w:top w:w="15" w:type="dxa"/>
              <w:left w:w="15" w:type="dxa"/>
              <w:bottom w:w="0" w:type="dxa"/>
              <w:right w:w="15" w:type="dxa"/>
            </w:tcMar>
            <w:vAlign w:val="bottom"/>
            <w:hideMark/>
          </w:tcPr>
          <w:p w14:paraId="39961961" w14:textId="77777777" w:rsidR="007E365E" w:rsidRDefault="007E365E" w:rsidP="007D1D77">
            <w:pPr>
              <w:spacing w:before="0" w:line="240" w:lineRule="auto"/>
              <w:jc w:val="right"/>
              <w:rPr>
                <w:rFonts w:cs="Open Sans Light"/>
                <w:sz w:val="16"/>
                <w:szCs w:val="16"/>
              </w:rPr>
            </w:pPr>
            <w:r>
              <w:rPr>
                <w:rFonts w:cs="Open Sans Light"/>
                <w:sz w:val="16"/>
                <w:szCs w:val="16"/>
              </w:rPr>
              <w:t>11.8</w:t>
            </w:r>
          </w:p>
        </w:tc>
        <w:tc>
          <w:tcPr>
            <w:tcW w:w="0" w:type="auto"/>
            <w:shd w:val="clear" w:color="auto" w:fill="auto"/>
            <w:noWrap/>
            <w:tcMar>
              <w:top w:w="15" w:type="dxa"/>
              <w:left w:w="15" w:type="dxa"/>
              <w:bottom w:w="0" w:type="dxa"/>
              <w:right w:w="15" w:type="dxa"/>
            </w:tcMar>
            <w:vAlign w:val="bottom"/>
            <w:hideMark/>
          </w:tcPr>
          <w:p w14:paraId="4E586233" w14:textId="77777777" w:rsidR="007E365E" w:rsidRDefault="007E365E" w:rsidP="007D1D77">
            <w:pPr>
              <w:spacing w:before="0" w:line="240" w:lineRule="auto"/>
              <w:jc w:val="right"/>
              <w:rPr>
                <w:rFonts w:cs="Open Sans Light"/>
                <w:sz w:val="16"/>
                <w:szCs w:val="16"/>
              </w:rPr>
            </w:pPr>
            <w:r>
              <w:rPr>
                <w:rFonts w:cs="Open Sans Light"/>
                <w:sz w:val="16"/>
                <w:szCs w:val="16"/>
              </w:rPr>
              <w:t>7.8</w:t>
            </w:r>
          </w:p>
        </w:tc>
        <w:tc>
          <w:tcPr>
            <w:tcW w:w="0" w:type="auto"/>
            <w:shd w:val="clear" w:color="auto" w:fill="auto"/>
            <w:noWrap/>
            <w:tcMar>
              <w:top w:w="15" w:type="dxa"/>
              <w:left w:w="15" w:type="dxa"/>
              <w:bottom w:w="0" w:type="dxa"/>
              <w:right w:w="15" w:type="dxa"/>
            </w:tcMar>
            <w:vAlign w:val="bottom"/>
            <w:hideMark/>
          </w:tcPr>
          <w:p w14:paraId="2FBC0EB4" w14:textId="77777777" w:rsidR="007E365E" w:rsidRDefault="007E365E" w:rsidP="007D1D77">
            <w:pPr>
              <w:spacing w:before="0" w:line="240" w:lineRule="auto"/>
              <w:jc w:val="right"/>
              <w:rPr>
                <w:rFonts w:cs="Open Sans Light"/>
                <w:sz w:val="16"/>
                <w:szCs w:val="16"/>
              </w:rPr>
            </w:pPr>
            <w:r>
              <w:rPr>
                <w:rFonts w:cs="Open Sans Light"/>
                <w:sz w:val="16"/>
                <w:szCs w:val="16"/>
              </w:rPr>
              <w:t>2.1</w:t>
            </w:r>
          </w:p>
        </w:tc>
        <w:tc>
          <w:tcPr>
            <w:tcW w:w="0" w:type="auto"/>
            <w:shd w:val="clear" w:color="auto" w:fill="auto"/>
            <w:noWrap/>
            <w:tcMar>
              <w:top w:w="15" w:type="dxa"/>
              <w:left w:w="15" w:type="dxa"/>
              <w:bottom w:w="0" w:type="dxa"/>
              <w:right w:w="15" w:type="dxa"/>
            </w:tcMar>
            <w:vAlign w:val="bottom"/>
            <w:hideMark/>
          </w:tcPr>
          <w:p w14:paraId="5C8CD080" w14:textId="77777777" w:rsidR="007E365E" w:rsidRDefault="007E365E" w:rsidP="007D1D77">
            <w:pPr>
              <w:spacing w:before="0" w:line="240" w:lineRule="auto"/>
              <w:jc w:val="right"/>
              <w:rPr>
                <w:rFonts w:cs="Open Sans Light"/>
                <w:sz w:val="16"/>
                <w:szCs w:val="16"/>
              </w:rPr>
            </w:pPr>
            <w:r>
              <w:rPr>
                <w:rFonts w:cs="Open Sans Light"/>
                <w:sz w:val="16"/>
                <w:szCs w:val="16"/>
              </w:rPr>
              <w:t>0.4</w:t>
            </w:r>
          </w:p>
        </w:tc>
        <w:tc>
          <w:tcPr>
            <w:tcW w:w="0" w:type="auto"/>
            <w:shd w:val="clear" w:color="auto" w:fill="auto"/>
            <w:noWrap/>
            <w:tcMar>
              <w:top w:w="15" w:type="dxa"/>
              <w:left w:w="15" w:type="dxa"/>
              <w:bottom w:w="0" w:type="dxa"/>
              <w:right w:w="15" w:type="dxa"/>
            </w:tcMar>
            <w:vAlign w:val="bottom"/>
            <w:hideMark/>
          </w:tcPr>
          <w:p w14:paraId="2127B8C9" w14:textId="77777777" w:rsidR="007E365E" w:rsidRDefault="007E365E" w:rsidP="007D1D77">
            <w:pPr>
              <w:spacing w:before="0" w:line="240" w:lineRule="auto"/>
              <w:jc w:val="right"/>
              <w:rPr>
                <w:rFonts w:cs="Open Sans Light"/>
                <w:sz w:val="16"/>
                <w:szCs w:val="16"/>
              </w:rPr>
            </w:pPr>
            <w:r>
              <w:rPr>
                <w:rFonts w:cs="Open Sans Light"/>
                <w:sz w:val="16"/>
                <w:szCs w:val="16"/>
              </w:rPr>
              <w:t>1.1</w:t>
            </w:r>
          </w:p>
        </w:tc>
        <w:tc>
          <w:tcPr>
            <w:tcW w:w="0" w:type="auto"/>
            <w:shd w:val="clear" w:color="auto" w:fill="auto"/>
            <w:noWrap/>
            <w:tcMar>
              <w:top w:w="15" w:type="dxa"/>
              <w:left w:w="15" w:type="dxa"/>
              <w:bottom w:w="0" w:type="dxa"/>
              <w:right w:w="15" w:type="dxa"/>
            </w:tcMar>
            <w:vAlign w:val="bottom"/>
            <w:hideMark/>
          </w:tcPr>
          <w:p w14:paraId="0BE8BB48" w14:textId="77777777" w:rsidR="007E365E" w:rsidRDefault="007E365E" w:rsidP="007D1D77">
            <w:pPr>
              <w:spacing w:before="0" w:line="240" w:lineRule="auto"/>
              <w:jc w:val="right"/>
              <w:rPr>
                <w:rFonts w:cs="Open Sans Light"/>
                <w:sz w:val="16"/>
                <w:szCs w:val="16"/>
              </w:rPr>
            </w:pPr>
            <w:r>
              <w:rPr>
                <w:rFonts w:cs="Open Sans Light"/>
                <w:sz w:val="16"/>
                <w:szCs w:val="16"/>
              </w:rPr>
              <w:t>100.0</w:t>
            </w:r>
          </w:p>
        </w:tc>
      </w:tr>
    </w:tbl>
    <w:p w14:paraId="22BFD519" w14:textId="77777777" w:rsidR="007E365E" w:rsidRPr="00E23377" w:rsidRDefault="007E365E" w:rsidP="007E365E">
      <w:pPr>
        <w:pStyle w:val="CGCTablenote"/>
      </w:pPr>
      <w:r w:rsidRPr="00E23377">
        <w:t>Source:</w:t>
      </w:r>
      <w:r w:rsidRPr="00E23377">
        <w:tab/>
        <w:t>BITRE vkt data.</w:t>
      </w:r>
    </w:p>
    <w:p w14:paraId="345EF594" w14:textId="77777777" w:rsidR="007E365E" w:rsidRPr="00E23377" w:rsidRDefault="007E365E" w:rsidP="007E365E">
      <w:pPr>
        <w:pStyle w:val="CGCParaNumber"/>
      </w:pPr>
      <w:r w:rsidRPr="00E23377">
        <w:t>All States supported this approach or did not comment.</w:t>
      </w:r>
    </w:p>
    <w:p w14:paraId="39FFEBE8" w14:textId="77777777" w:rsidR="007E365E" w:rsidRPr="00E23377" w:rsidRDefault="007E365E" w:rsidP="007E365E">
      <w:pPr>
        <w:pStyle w:val="Heading5"/>
      </w:pPr>
      <w:r w:rsidRPr="00E23377">
        <w:t>Regional costs</w:t>
      </w:r>
    </w:p>
    <w:p w14:paraId="2A0A0584" w14:textId="77777777" w:rsidR="007E365E" w:rsidRPr="00C46782" w:rsidRDefault="007E365E" w:rsidP="007E365E">
      <w:pPr>
        <w:pStyle w:val="CGCParaNumber"/>
      </w:pPr>
      <w:r w:rsidRPr="00E23377">
        <w:t xml:space="preserve">The Commission has applied a regional costs factor to bridge and tunnel expenses based on the </w:t>
      </w:r>
      <w:r w:rsidRPr="00C46782">
        <w:t xml:space="preserve">length of bridges and tunnels by remoteness regions. </w:t>
      </w:r>
    </w:p>
    <w:p w14:paraId="5D825173" w14:textId="77777777" w:rsidR="007E365E" w:rsidRPr="00C46782" w:rsidRDefault="007E365E" w:rsidP="007E365E">
      <w:pPr>
        <w:pStyle w:val="CGCParaNumber"/>
      </w:pPr>
      <w:r w:rsidRPr="00C46782">
        <w:t>Consistent with the rural road assessment, the Commission has applied the general regional cost gradient</w:t>
      </w:r>
      <w:r>
        <w:t xml:space="preserve"> </w:t>
      </w:r>
      <w:r w:rsidRPr="00C46782">
        <w:t xml:space="preserve">to assessed </w:t>
      </w:r>
      <w:r>
        <w:t>bridge and tunnel</w:t>
      </w:r>
      <w:r w:rsidRPr="00C46782">
        <w:t xml:space="preserve"> length expenses.  </w:t>
      </w:r>
    </w:p>
    <w:p w14:paraId="6B7B80F7" w14:textId="77777777" w:rsidR="007E365E" w:rsidRPr="00E23377" w:rsidRDefault="007E365E" w:rsidP="007E365E">
      <w:pPr>
        <w:pStyle w:val="Heading5"/>
      </w:pPr>
      <w:r w:rsidRPr="00E23377">
        <w:t>Wage costs</w:t>
      </w:r>
    </w:p>
    <w:p w14:paraId="7C0F7BE9" w14:textId="77777777" w:rsidR="007E365E" w:rsidRPr="00E23377" w:rsidRDefault="007E365E" w:rsidP="007E365E">
      <w:pPr>
        <w:pStyle w:val="CGCParaNumber"/>
      </w:pPr>
      <w:r w:rsidRPr="00E23377">
        <w:t xml:space="preserve">Differences in wage costs between States have a differential effect on the cost of providing services. There is a general method for measuring the influence of wage costs in components where the disability applies. For a description of the method see Chapter 27 Wage costs. </w:t>
      </w:r>
    </w:p>
    <w:p w14:paraId="7911A755" w14:textId="77777777" w:rsidR="007E365E" w:rsidRPr="00E23377" w:rsidRDefault="007E365E" w:rsidP="007E365E">
      <w:pPr>
        <w:pStyle w:val="Heading5"/>
      </w:pPr>
      <w:r w:rsidRPr="00E23377">
        <w:t>Component calculations</w:t>
      </w:r>
    </w:p>
    <w:p w14:paraId="354D544D" w14:textId="43CAAF31" w:rsidR="007E365E" w:rsidRPr="00E23377" w:rsidRDefault="007E365E" w:rsidP="007E365E">
      <w:pPr>
        <w:pStyle w:val="CGCParaNumber"/>
      </w:pPr>
      <w:r w:rsidRPr="00E23377">
        <w:fldChar w:fldCharType="begin"/>
      </w:r>
      <w:r w:rsidRPr="00E23377">
        <w:instrText xml:space="preserve"> REF _Ref3371607 \h  \* MERGEFORMAT </w:instrText>
      </w:r>
      <w:r w:rsidRPr="00E23377">
        <w:fldChar w:fldCharType="separate"/>
      </w:r>
      <w:r w:rsidR="007F721A" w:rsidRPr="00E23377">
        <w:t xml:space="preserve">Table </w:t>
      </w:r>
      <w:r w:rsidR="007F721A">
        <w:rPr>
          <w:noProof/>
        </w:rPr>
        <w:t>20-22</w:t>
      </w:r>
      <w:r w:rsidRPr="00E23377">
        <w:fldChar w:fldCharType="end"/>
      </w:r>
      <w:r w:rsidRPr="00E23377">
        <w:t xml:space="preserve"> shows the calculation of total assessed expenses for the </w:t>
      </w:r>
      <w:r>
        <w:t xml:space="preserve">bridges and tunnels </w:t>
      </w:r>
      <w:r w:rsidRPr="00E23377">
        <w:t>component in 201</w:t>
      </w:r>
      <w:r>
        <w:t>8</w:t>
      </w:r>
      <w:r w:rsidRPr="00E23377">
        <w:noBreakHyphen/>
        <w:t>1</w:t>
      </w:r>
      <w:r>
        <w:t>9</w:t>
      </w:r>
      <w:r w:rsidRPr="00E23377">
        <w:t>. Total assessed expense is the sum of bridge and tunnel length, and heavy vehicle use assessed expenses multiplied by the regional costs and wage costs factors.</w:t>
      </w:r>
    </w:p>
    <w:p w14:paraId="72A7E184" w14:textId="70CDBCDA" w:rsidR="007E365E" w:rsidRDefault="007E365E" w:rsidP="007E365E">
      <w:pPr>
        <w:pStyle w:val="Caption"/>
      </w:pPr>
      <w:bookmarkStart w:id="197" w:name="_Ref3371607"/>
      <w:r w:rsidRPr="00E23377">
        <w:lastRenderedPageBreak/>
        <w:t xml:space="preserve">Table </w:t>
      </w:r>
      <w:r>
        <w:t>20-</w:t>
      </w:r>
      <w:fldSimple w:instr=" SEQ Table \* ARABIC ">
        <w:r w:rsidR="007F721A">
          <w:rPr>
            <w:noProof/>
          </w:rPr>
          <w:t>22</w:t>
        </w:r>
      </w:fldSimple>
      <w:bookmarkEnd w:id="197"/>
      <w:r w:rsidRPr="00E23377">
        <w:tab/>
        <w:t>Bridges and tunnels component</w:t>
      </w:r>
      <w:r w:rsidRPr="00034371">
        <w:t xml:space="preserve"> </w:t>
      </w:r>
      <w:r w:rsidRPr="00E23377">
        <w:t>assessment, 201</w:t>
      </w:r>
      <w:r>
        <w:t>8</w:t>
      </w:r>
      <w:r w:rsidRPr="00E23377">
        <w:noBreakHyphen/>
        <w:t>1</w:t>
      </w:r>
      <w:r>
        <w:t>9</w:t>
      </w:r>
    </w:p>
    <w:tbl>
      <w:tblPr>
        <w:tblW w:w="8840" w:type="dxa"/>
        <w:tblBorders>
          <w:top w:val="single" w:sz="4" w:space="0" w:color="ADD6EA"/>
          <w:bottom w:val="single" w:sz="4" w:space="0" w:color="ADD6EA"/>
          <w:insideH w:val="single" w:sz="4" w:space="0" w:color="ADD6EA"/>
        </w:tblBorders>
        <w:tblCellMar>
          <w:left w:w="0" w:type="dxa"/>
          <w:right w:w="0" w:type="dxa"/>
        </w:tblCellMar>
        <w:tblLook w:val="04A0" w:firstRow="1" w:lastRow="0" w:firstColumn="1" w:lastColumn="0" w:noHBand="0" w:noVBand="1"/>
      </w:tblPr>
      <w:tblGrid>
        <w:gridCol w:w="2306"/>
        <w:gridCol w:w="736"/>
        <w:gridCol w:w="735"/>
        <w:gridCol w:w="735"/>
        <w:gridCol w:w="735"/>
        <w:gridCol w:w="735"/>
        <w:gridCol w:w="655"/>
        <w:gridCol w:w="655"/>
        <w:gridCol w:w="733"/>
        <w:gridCol w:w="815"/>
      </w:tblGrid>
      <w:tr w:rsidR="007E365E" w:rsidRPr="001A15EF" w14:paraId="62324EBD" w14:textId="77777777" w:rsidTr="007D1D77">
        <w:trPr>
          <w:trHeight w:val="379"/>
        </w:trPr>
        <w:tc>
          <w:tcPr>
            <w:tcW w:w="2260" w:type="dxa"/>
            <w:shd w:val="clear" w:color="000000" w:fill="006991"/>
            <w:tcMar>
              <w:top w:w="15" w:type="dxa"/>
              <w:left w:w="15" w:type="dxa"/>
              <w:bottom w:w="0" w:type="dxa"/>
              <w:right w:w="15" w:type="dxa"/>
            </w:tcMar>
            <w:vAlign w:val="center"/>
            <w:hideMark/>
          </w:tcPr>
          <w:p w14:paraId="2D837319" w14:textId="77777777" w:rsidR="007E365E" w:rsidRDefault="007E365E" w:rsidP="007D1D77">
            <w:pPr>
              <w:keepNext/>
              <w:keepLines/>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740" w:type="dxa"/>
            <w:shd w:val="clear" w:color="000000" w:fill="006991"/>
            <w:tcMar>
              <w:top w:w="15" w:type="dxa"/>
              <w:left w:w="15" w:type="dxa"/>
              <w:bottom w:w="0" w:type="dxa"/>
              <w:right w:w="15" w:type="dxa"/>
            </w:tcMar>
            <w:vAlign w:val="center"/>
            <w:hideMark/>
          </w:tcPr>
          <w:p w14:paraId="26E36086"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40" w:type="dxa"/>
            <w:shd w:val="clear" w:color="000000" w:fill="006991"/>
            <w:tcMar>
              <w:top w:w="15" w:type="dxa"/>
              <w:left w:w="15" w:type="dxa"/>
              <w:bottom w:w="0" w:type="dxa"/>
              <w:right w:w="15" w:type="dxa"/>
            </w:tcMar>
            <w:vAlign w:val="center"/>
            <w:hideMark/>
          </w:tcPr>
          <w:p w14:paraId="7BFAB15E"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40" w:type="dxa"/>
            <w:shd w:val="clear" w:color="000000" w:fill="006991"/>
            <w:tcMar>
              <w:top w:w="15" w:type="dxa"/>
              <w:left w:w="15" w:type="dxa"/>
              <w:bottom w:w="0" w:type="dxa"/>
              <w:right w:w="15" w:type="dxa"/>
            </w:tcMar>
            <w:vAlign w:val="center"/>
            <w:hideMark/>
          </w:tcPr>
          <w:p w14:paraId="5B73684B"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40" w:type="dxa"/>
            <w:shd w:val="clear" w:color="000000" w:fill="006991"/>
            <w:tcMar>
              <w:top w:w="15" w:type="dxa"/>
              <w:left w:w="15" w:type="dxa"/>
              <w:bottom w:w="0" w:type="dxa"/>
              <w:right w:w="15" w:type="dxa"/>
            </w:tcMar>
            <w:vAlign w:val="center"/>
            <w:hideMark/>
          </w:tcPr>
          <w:p w14:paraId="7574FCE7"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40" w:type="dxa"/>
            <w:shd w:val="clear" w:color="000000" w:fill="006991"/>
            <w:tcMar>
              <w:top w:w="15" w:type="dxa"/>
              <w:left w:w="15" w:type="dxa"/>
              <w:bottom w:w="0" w:type="dxa"/>
              <w:right w:w="15" w:type="dxa"/>
            </w:tcMar>
            <w:vAlign w:val="center"/>
            <w:hideMark/>
          </w:tcPr>
          <w:p w14:paraId="24172D32"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660" w:type="dxa"/>
            <w:shd w:val="clear" w:color="000000" w:fill="006991"/>
            <w:tcMar>
              <w:top w:w="15" w:type="dxa"/>
              <w:left w:w="15" w:type="dxa"/>
              <w:bottom w:w="0" w:type="dxa"/>
              <w:right w:w="15" w:type="dxa"/>
            </w:tcMar>
            <w:vAlign w:val="center"/>
            <w:hideMark/>
          </w:tcPr>
          <w:p w14:paraId="282D93A2"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660" w:type="dxa"/>
            <w:shd w:val="clear" w:color="000000" w:fill="006991"/>
            <w:tcMar>
              <w:top w:w="15" w:type="dxa"/>
              <w:left w:w="15" w:type="dxa"/>
              <w:bottom w:w="0" w:type="dxa"/>
              <w:right w:w="15" w:type="dxa"/>
            </w:tcMar>
            <w:vAlign w:val="center"/>
            <w:hideMark/>
          </w:tcPr>
          <w:p w14:paraId="778577BA"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40" w:type="dxa"/>
            <w:shd w:val="clear" w:color="000000" w:fill="006991"/>
            <w:tcMar>
              <w:top w:w="15" w:type="dxa"/>
              <w:left w:w="15" w:type="dxa"/>
              <w:bottom w:w="0" w:type="dxa"/>
              <w:right w:w="15" w:type="dxa"/>
            </w:tcMar>
            <w:vAlign w:val="center"/>
            <w:hideMark/>
          </w:tcPr>
          <w:p w14:paraId="564F1E85"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820" w:type="dxa"/>
            <w:shd w:val="clear" w:color="000000" w:fill="006991"/>
            <w:tcMar>
              <w:top w:w="15" w:type="dxa"/>
              <w:left w:w="15" w:type="dxa"/>
              <w:bottom w:w="0" w:type="dxa"/>
              <w:right w:w="15" w:type="dxa"/>
            </w:tcMar>
            <w:vAlign w:val="center"/>
            <w:hideMark/>
          </w:tcPr>
          <w:p w14:paraId="3452A936"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7E365E" w:rsidRPr="001A15EF" w14:paraId="25F93996"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3F03857F" w14:textId="77777777" w:rsidR="007E365E" w:rsidRDefault="007E365E" w:rsidP="007D1D77">
            <w:pPr>
              <w:keepNext/>
              <w:keepLines/>
              <w:spacing w:before="0" w:line="240" w:lineRule="auto"/>
              <w:rPr>
                <w:rFonts w:cs="Open Sans Light"/>
                <w:sz w:val="16"/>
                <w:szCs w:val="16"/>
              </w:rPr>
            </w:pPr>
            <w:r>
              <w:rPr>
                <w:rFonts w:cs="Open Sans Light"/>
                <w:sz w:val="16"/>
                <w:szCs w:val="16"/>
              </w:rPr>
              <w:t>Structure length (km)</w:t>
            </w:r>
          </w:p>
        </w:tc>
        <w:tc>
          <w:tcPr>
            <w:tcW w:w="0" w:type="auto"/>
            <w:shd w:val="clear" w:color="auto" w:fill="auto"/>
            <w:noWrap/>
            <w:tcMar>
              <w:top w:w="15" w:type="dxa"/>
              <w:left w:w="15" w:type="dxa"/>
              <w:bottom w:w="0" w:type="dxa"/>
              <w:right w:w="15" w:type="dxa"/>
            </w:tcMar>
            <w:vAlign w:val="bottom"/>
            <w:hideMark/>
          </w:tcPr>
          <w:p w14:paraId="0525350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216</w:t>
            </w:r>
          </w:p>
        </w:tc>
        <w:tc>
          <w:tcPr>
            <w:tcW w:w="0" w:type="auto"/>
            <w:shd w:val="clear" w:color="auto" w:fill="auto"/>
            <w:noWrap/>
            <w:tcMar>
              <w:top w:w="15" w:type="dxa"/>
              <w:left w:w="15" w:type="dxa"/>
              <w:bottom w:w="0" w:type="dxa"/>
              <w:right w:w="15" w:type="dxa"/>
            </w:tcMar>
            <w:vAlign w:val="bottom"/>
            <w:hideMark/>
          </w:tcPr>
          <w:p w14:paraId="7F6F0EF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133</w:t>
            </w:r>
          </w:p>
        </w:tc>
        <w:tc>
          <w:tcPr>
            <w:tcW w:w="0" w:type="auto"/>
            <w:shd w:val="clear" w:color="auto" w:fill="auto"/>
            <w:noWrap/>
            <w:tcMar>
              <w:top w:w="15" w:type="dxa"/>
              <w:left w:w="15" w:type="dxa"/>
              <w:bottom w:w="0" w:type="dxa"/>
              <w:right w:w="15" w:type="dxa"/>
            </w:tcMar>
            <w:vAlign w:val="bottom"/>
            <w:hideMark/>
          </w:tcPr>
          <w:p w14:paraId="629F503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199</w:t>
            </w:r>
          </w:p>
        </w:tc>
        <w:tc>
          <w:tcPr>
            <w:tcW w:w="0" w:type="auto"/>
            <w:shd w:val="clear" w:color="auto" w:fill="auto"/>
            <w:noWrap/>
            <w:tcMar>
              <w:top w:w="15" w:type="dxa"/>
              <w:left w:w="15" w:type="dxa"/>
              <w:bottom w:w="0" w:type="dxa"/>
              <w:right w:w="15" w:type="dxa"/>
            </w:tcMar>
            <w:vAlign w:val="bottom"/>
            <w:hideMark/>
          </w:tcPr>
          <w:p w14:paraId="14D4FFF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53</w:t>
            </w:r>
          </w:p>
        </w:tc>
        <w:tc>
          <w:tcPr>
            <w:tcW w:w="0" w:type="auto"/>
            <w:shd w:val="clear" w:color="auto" w:fill="auto"/>
            <w:noWrap/>
            <w:tcMar>
              <w:top w:w="15" w:type="dxa"/>
              <w:left w:w="15" w:type="dxa"/>
              <w:bottom w:w="0" w:type="dxa"/>
              <w:right w:w="15" w:type="dxa"/>
            </w:tcMar>
            <w:vAlign w:val="bottom"/>
            <w:hideMark/>
          </w:tcPr>
          <w:p w14:paraId="4A6C39C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29</w:t>
            </w:r>
          </w:p>
        </w:tc>
        <w:tc>
          <w:tcPr>
            <w:tcW w:w="0" w:type="auto"/>
            <w:shd w:val="clear" w:color="auto" w:fill="auto"/>
            <w:noWrap/>
            <w:tcMar>
              <w:top w:w="15" w:type="dxa"/>
              <w:left w:w="15" w:type="dxa"/>
              <w:bottom w:w="0" w:type="dxa"/>
              <w:right w:w="15" w:type="dxa"/>
            </w:tcMar>
            <w:vAlign w:val="bottom"/>
            <w:hideMark/>
          </w:tcPr>
          <w:p w14:paraId="34F0CCE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23</w:t>
            </w:r>
          </w:p>
        </w:tc>
        <w:tc>
          <w:tcPr>
            <w:tcW w:w="0" w:type="auto"/>
            <w:shd w:val="clear" w:color="auto" w:fill="auto"/>
            <w:noWrap/>
            <w:tcMar>
              <w:top w:w="15" w:type="dxa"/>
              <w:left w:w="15" w:type="dxa"/>
              <w:bottom w:w="0" w:type="dxa"/>
              <w:right w:w="15" w:type="dxa"/>
            </w:tcMar>
            <w:vAlign w:val="bottom"/>
            <w:hideMark/>
          </w:tcPr>
          <w:p w14:paraId="14F266D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w:t>
            </w:r>
          </w:p>
        </w:tc>
        <w:tc>
          <w:tcPr>
            <w:tcW w:w="0" w:type="auto"/>
            <w:shd w:val="clear" w:color="auto" w:fill="auto"/>
            <w:noWrap/>
            <w:tcMar>
              <w:top w:w="15" w:type="dxa"/>
              <w:left w:w="15" w:type="dxa"/>
              <w:bottom w:w="0" w:type="dxa"/>
              <w:right w:w="15" w:type="dxa"/>
            </w:tcMar>
            <w:vAlign w:val="bottom"/>
            <w:hideMark/>
          </w:tcPr>
          <w:p w14:paraId="325FBED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w:t>
            </w:r>
          </w:p>
        </w:tc>
        <w:tc>
          <w:tcPr>
            <w:tcW w:w="0" w:type="auto"/>
            <w:shd w:val="clear" w:color="auto" w:fill="auto"/>
            <w:noWrap/>
            <w:tcMar>
              <w:top w:w="15" w:type="dxa"/>
              <w:left w:w="15" w:type="dxa"/>
              <w:bottom w:w="0" w:type="dxa"/>
              <w:right w:w="15" w:type="dxa"/>
            </w:tcMar>
            <w:vAlign w:val="bottom"/>
            <w:hideMark/>
          </w:tcPr>
          <w:p w14:paraId="1E29003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678</w:t>
            </w:r>
          </w:p>
        </w:tc>
      </w:tr>
      <w:tr w:rsidR="007E365E" w:rsidRPr="001A15EF" w14:paraId="37DA17AF"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6522E48A" w14:textId="77777777" w:rsidR="007E365E" w:rsidRDefault="007E365E" w:rsidP="007D1D77">
            <w:pPr>
              <w:keepNext/>
              <w:keepLines/>
              <w:spacing w:before="0" w:line="240" w:lineRule="auto"/>
              <w:rPr>
                <w:rFonts w:cs="Open Sans Light"/>
                <w:sz w:val="16"/>
                <w:szCs w:val="16"/>
              </w:rPr>
            </w:pPr>
            <w:r>
              <w:rPr>
                <w:rFonts w:cs="Open Sans Light"/>
                <w:sz w:val="16"/>
                <w:szCs w:val="16"/>
              </w:rPr>
              <w:t>Length assessed expenses ($m)</w:t>
            </w:r>
          </w:p>
        </w:tc>
        <w:tc>
          <w:tcPr>
            <w:tcW w:w="0" w:type="auto"/>
            <w:shd w:val="clear" w:color="auto" w:fill="auto"/>
            <w:noWrap/>
            <w:tcMar>
              <w:top w:w="15" w:type="dxa"/>
              <w:left w:w="15" w:type="dxa"/>
              <w:bottom w:w="0" w:type="dxa"/>
              <w:right w:w="15" w:type="dxa"/>
            </w:tcMar>
            <w:vAlign w:val="bottom"/>
            <w:hideMark/>
          </w:tcPr>
          <w:p w14:paraId="06A6730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97</w:t>
            </w:r>
          </w:p>
        </w:tc>
        <w:tc>
          <w:tcPr>
            <w:tcW w:w="0" w:type="auto"/>
            <w:shd w:val="clear" w:color="auto" w:fill="auto"/>
            <w:noWrap/>
            <w:tcMar>
              <w:top w:w="15" w:type="dxa"/>
              <w:left w:w="15" w:type="dxa"/>
              <w:bottom w:w="0" w:type="dxa"/>
              <w:right w:w="15" w:type="dxa"/>
            </w:tcMar>
            <w:vAlign w:val="bottom"/>
            <w:hideMark/>
          </w:tcPr>
          <w:p w14:paraId="3A98894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60</w:t>
            </w:r>
          </w:p>
        </w:tc>
        <w:tc>
          <w:tcPr>
            <w:tcW w:w="0" w:type="auto"/>
            <w:shd w:val="clear" w:color="auto" w:fill="auto"/>
            <w:noWrap/>
            <w:tcMar>
              <w:top w:w="15" w:type="dxa"/>
              <w:left w:w="15" w:type="dxa"/>
              <w:bottom w:w="0" w:type="dxa"/>
              <w:right w:w="15" w:type="dxa"/>
            </w:tcMar>
            <w:vAlign w:val="bottom"/>
            <w:hideMark/>
          </w:tcPr>
          <w:p w14:paraId="08D7FEB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90</w:t>
            </w:r>
          </w:p>
        </w:tc>
        <w:tc>
          <w:tcPr>
            <w:tcW w:w="0" w:type="auto"/>
            <w:shd w:val="clear" w:color="auto" w:fill="auto"/>
            <w:noWrap/>
            <w:tcMar>
              <w:top w:w="15" w:type="dxa"/>
              <w:left w:w="15" w:type="dxa"/>
              <w:bottom w:w="0" w:type="dxa"/>
              <w:right w:w="15" w:type="dxa"/>
            </w:tcMar>
            <w:vAlign w:val="bottom"/>
            <w:hideMark/>
          </w:tcPr>
          <w:p w14:paraId="61530DE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24</w:t>
            </w:r>
          </w:p>
        </w:tc>
        <w:tc>
          <w:tcPr>
            <w:tcW w:w="0" w:type="auto"/>
            <w:shd w:val="clear" w:color="auto" w:fill="auto"/>
            <w:noWrap/>
            <w:tcMar>
              <w:top w:w="15" w:type="dxa"/>
              <w:left w:w="15" w:type="dxa"/>
              <w:bottom w:w="0" w:type="dxa"/>
              <w:right w:w="15" w:type="dxa"/>
            </w:tcMar>
            <w:vAlign w:val="bottom"/>
            <w:hideMark/>
          </w:tcPr>
          <w:p w14:paraId="4A49B1A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w:t>
            </w:r>
          </w:p>
        </w:tc>
        <w:tc>
          <w:tcPr>
            <w:tcW w:w="0" w:type="auto"/>
            <w:shd w:val="clear" w:color="auto" w:fill="auto"/>
            <w:noWrap/>
            <w:tcMar>
              <w:top w:w="15" w:type="dxa"/>
              <w:left w:w="15" w:type="dxa"/>
              <w:bottom w:w="0" w:type="dxa"/>
              <w:right w:w="15" w:type="dxa"/>
            </w:tcMar>
            <w:vAlign w:val="bottom"/>
            <w:hideMark/>
          </w:tcPr>
          <w:p w14:paraId="083075B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w:t>
            </w:r>
          </w:p>
        </w:tc>
        <w:tc>
          <w:tcPr>
            <w:tcW w:w="0" w:type="auto"/>
            <w:shd w:val="clear" w:color="auto" w:fill="auto"/>
            <w:noWrap/>
            <w:tcMar>
              <w:top w:w="15" w:type="dxa"/>
              <w:left w:w="15" w:type="dxa"/>
              <w:bottom w:w="0" w:type="dxa"/>
              <w:right w:w="15" w:type="dxa"/>
            </w:tcMar>
            <w:vAlign w:val="bottom"/>
            <w:hideMark/>
          </w:tcPr>
          <w:p w14:paraId="4620832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w:t>
            </w:r>
          </w:p>
        </w:tc>
        <w:tc>
          <w:tcPr>
            <w:tcW w:w="0" w:type="auto"/>
            <w:shd w:val="clear" w:color="auto" w:fill="auto"/>
            <w:noWrap/>
            <w:tcMar>
              <w:top w:w="15" w:type="dxa"/>
              <w:left w:w="15" w:type="dxa"/>
              <w:bottom w:w="0" w:type="dxa"/>
              <w:right w:w="15" w:type="dxa"/>
            </w:tcMar>
            <w:vAlign w:val="bottom"/>
            <w:hideMark/>
          </w:tcPr>
          <w:p w14:paraId="68539C2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w:t>
            </w:r>
          </w:p>
        </w:tc>
        <w:tc>
          <w:tcPr>
            <w:tcW w:w="0" w:type="auto"/>
            <w:shd w:val="clear" w:color="auto" w:fill="auto"/>
            <w:noWrap/>
            <w:tcMar>
              <w:top w:w="15" w:type="dxa"/>
              <w:left w:w="15" w:type="dxa"/>
              <w:bottom w:w="0" w:type="dxa"/>
              <w:right w:w="15" w:type="dxa"/>
            </w:tcMar>
            <w:vAlign w:val="bottom"/>
            <w:hideMark/>
          </w:tcPr>
          <w:p w14:paraId="6A9A2DC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306</w:t>
            </w:r>
          </w:p>
        </w:tc>
      </w:tr>
      <w:tr w:rsidR="007E365E" w:rsidRPr="001A15EF" w14:paraId="2E1218D8" w14:textId="77777777" w:rsidTr="007D1D77">
        <w:trPr>
          <w:trHeight w:val="555"/>
        </w:trPr>
        <w:tc>
          <w:tcPr>
            <w:tcW w:w="2260" w:type="dxa"/>
            <w:shd w:val="clear" w:color="auto" w:fill="auto"/>
            <w:tcMar>
              <w:top w:w="15" w:type="dxa"/>
              <w:left w:w="15" w:type="dxa"/>
              <w:bottom w:w="0" w:type="dxa"/>
              <w:right w:w="15" w:type="dxa"/>
            </w:tcMar>
            <w:vAlign w:val="bottom"/>
            <w:hideMark/>
          </w:tcPr>
          <w:p w14:paraId="44CB74DB" w14:textId="77777777" w:rsidR="007E365E" w:rsidRDefault="007E365E" w:rsidP="007D1D77">
            <w:pPr>
              <w:keepNext/>
              <w:keepLines/>
              <w:spacing w:before="0" w:line="240" w:lineRule="auto"/>
              <w:rPr>
                <w:rFonts w:cs="Open Sans Light"/>
                <w:sz w:val="16"/>
                <w:szCs w:val="16"/>
              </w:rPr>
            </w:pPr>
            <w:r>
              <w:rPr>
                <w:rFonts w:cs="Open Sans Light"/>
                <w:sz w:val="16"/>
                <w:szCs w:val="16"/>
              </w:rPr>
              <w:t>Heavy vehicle use (million AGM-km)</w:t>
            </w:r>
          </w:p>
        </w:tc>
        <w:tc>
          <w:tcPr>
            <w:tcW w:w="0" w:type="auto"/>
            <w:shd w:val="clear" w:color="auto" w:fill="auto"/>
            <w:noWrap/>
            <w:tcMar>
              <w:top w:w="15" w:type="dxa"/>
              <w:left w:w="15" w:type="dxa"/>
              <w:bottom w:w="0" w:type="dxa"/>
              <w:right w:w="15" w:type="dxa"/>
            </w:tcMar>
            <w:vAlign w:val="bottom"/>
            <w:hideMark/>
          </w:tcPr>
          <w:p w14:paraId="4C4EDF0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129,055</w:t>
            </w:r>
          </w:p>
        </w:tc>
        <w:tc>
          <w:tcPr>
            <w:tcW w:w="0" w:type="auto"/>
            <w:shd w:val="clear" w:color="auto" w:fill="auto"/>
            <w:noWrap/>
            <w:tcMar>
              <w:top w:w="15" w:type="dxa"/>
              <w:left w:w="15" w:type="dxa"/>
              <w:bottom w:w="0" w:type="dxa"/>
              <w:right w:w="15" w:type="dxa"/>
            </w:tcMar>
            <w:vAlign w:val="bottom"/>
            <w:hideMark/>
          </w:tcPr>
          <w:p w14:paraId="08D012B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93,015</w:t>
            </w:r>
          </w:p>
        </w:tc>
        <w:tc>
          <w:tcPr>
            <w:tcW w:w="0" w:type="auto"/>
            <w:shd w:val="clear" w:color="auto" w:fill="auto"/>
            <w:noWrap/>
            <w:tcMar>
              <w:top w:w="15" w:type="dxa"/>
              <w:left w:w="15" w:type="dxa"/>
              <w:bottom w:w="0" w:type="dxa"/>
              <w:right w:w="15" w:type="dxa"/>
            </w:tcMar>
            <w:vAlign w:val="bottom"/>
            <w:hideMark/>
          </w:tcPr>
          <w:p w14:paraId="316A251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90,799</w:t>
            </w:r>
          </w:p>
        </w:tc>
        <w:tc>
          <w:tcPr>
            <w:tcW w:w="0" w:type="auto"/>
            <w:shd w:val="clear" w:color="auto" w:fill="auto"/>
            <w:noWrap/>
            <w:tcMar>
              <w:top w:w="15" w:type="dxa"/>
              <w:left w:w="15" w:type="dxa"/>
              <w:bottom w:w="0" w:type="dxa"/>
              <w:right w:w="15" w:type="dxa"/>
            </w:tcMar>
            <w:vAlign w:val="bottom"/>
            <w:hideMark/>
          </w:tcPr>
          <w:p w14:paraId="501E72F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48,047</w:t>
            </w:r>
          </w:p>
        </w:tc>
        <w:tc>
          <w:tcPr>
            <w:tcW w:w="0" w:type="auto"/>
            <w:shd w:val="clear" w:color="auto" w:fill="auto"/>
            <w:noWrap/>
            <w:tcMar>
              <w:top w:w="15" w:type="dxa"/>
              <w:left w:w="15" w:type="dxa"/>
              <w:bottom w:w="0" w:type="dxa"/>
              <w:right w:w="15" w:type="dxa"/>
            </w:tcMar>
            <w:vAlign w:val="bottom"/>
            <w:hideMark/>
          </w:tcPr>
          <w:p w14:paraId="3B2D7F1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31,837</w:t>
            </w:r>
          </w:p>
        </w:tc>
        <w:tc>
          <w:tcPr>
            <w:tcW w:w="0" w:type="auto"/>
            <w:shd w:val="clear" w:color="auto" w:fill="auto"/>
            <w:noWrap/>
            <w:tcMar>
              <w:top w:w="15" w:type="dxa"/>
              <w:left w:w="15" w:type="dxa"/>
              <w:bottom w:w="0" w:type="dxa"/>
              <w:right w:w="15" w:type="dxa"/>
            </w:tcMar>
            <w:vAlign w:val="bottom"/>
            <w:hideMark/>
          </w:tcPr>
          <w:p w14:paraId="5B717DE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8,392</w:t>
            </w:r>
          </w:p>
        </w:tc>
        <w:tc>
          <w:tcPr>
            <w:tcW w:w="0" w:type="auto"/>
            <w:shd w:val="clear" w:color="auto" w:fill="auto"/>
            <w:noWrap/>
            <w:tcMar>
              <w:top w:w="15" w:type="dxa"/>
              <w:left w:w="15" w:type="dxa"/>
              <w:bottom w:w="0" w:type="dxa"/>
              <w:right w:w="15" w:type="dxa"/>
            </w:tcMar>
            <w:vAlign w:val="bottom"/>
            <w:hideMark/>
          </w:tcPr>
          <w:p w14:paraId="2BF7097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1,607</w:t>
            </w:r>
          </w:p>
        </w:tc>
        <w:tc>
          <w:tcPr>
            <w:tcW w:w="0" w:type="auto"/>
            <w:shd w:val="clear" w:color="auto" w:fill="auto"/>
            <w:noWrap/>
            <w:tcMar>
              <w:top w:w="15" w:type="dxa"/>
              <w:left w:w="15" w:type="dxa"/>
              <w:bottom w:w="0" w:type="dxa"/>
              <w:right w:w="15" w:type="dxa"/>
            </w:tcMar>
            <w:vAlign w:val="bottom"/>
            <w:hideMark/>
          </w:tcPr>
          <w:p w14:paraId="3F33D7B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4,308</w:t>
            </w:r>
          </w:p>
        </w:tc>
        <w:tc>
          <w:tcPr>
            <w:tcW w:w="0" w:type="auto"/>
            <w:shd w:val="clear" w:color="auto" w:fill="auto"/>
            <w:noWrap/>
            <w:tcMar>
              <w:top w:w="15" w:type="dxa"/>
              <w:left w:w="15" w:type="dxa"/>
              <w:bottom w:w="0" w:type="dxa"/>
              <w:right w:w="15" w:type="dxa"/>
            </w:tcMar>
            <w:vAlign w:val="bottom"/>
            <w:hideMark/>
          </w:tcPr>
          <w:p w14:paraId="42E6DF5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407,059</w:t>
            </w:r>
          </w:p>
        </w:tc>
      </w:tr>
      <w:tr w:rsidR="007E365E" w:rsidRPr="001A15EF" w14:paraId="29964823"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074FD7F6" w14:textId="77777777" w:rsidR="007E365E" w:rsidRDefault="007E365E" w:rsidP="007D1D77">
            <w:pPr>
              <w:keepNext/>
              <w:keepLines/>
              <w:spacing w:before="0" w:line="240" w:lineRule="auto"/>
              <w:rPr>
                <w:rFonts w:cs="Open Sans Light"/>
                <w:sz w:val="16"/>
                <w:szCs w:val="16"/>
              </w:rPr>
            </w:pPr>
            <w:r>
              <w:rPr>
                <w:rFonts w:cs="Open Sans Light"/>
                <w:sz w:val="16"/>
                <w:szCs w:val="16"/>
              </w:rPr>
              <w:t>Heavy vehicle use ($m)</w:t>
            </w:r>
          </w:p>
        </w:tc>
        <w:tc>
          <w:tcPr>
            <w:tcW w:w="0" w:type="auto"/>
            <w:shd w:val="clear" w:color="auto" w:fill="auto"/>
            <w:noWrap/>
            <w:tcMar>
              <w:top w:w="15" w:type="dxa"/>
              <w:left w:w="15" w:type="dxa"/>
              <w:bottom w:w="0" w:type="dxa"/>
              <w:right w:w="15" w:type="dxa"/>
            </w:tcMar>
            <w:vAlign w:val="bottom"/>
            <w:hideMark/>
          </w:tcPr>
          <w:p w14:paraId="1D1CA26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48</w:t>
            </w:r>
          </w:p>
        </w:tc>
        <w:tc>
          <w:tcPr>
            <w:tcW w:w="0" w:type="auto"/>
            <w:shd w:val="clear" w:color="auto" w:fill="auto"/>
            <w:noWrap/>
            <w:tcMar>
              <w:top w:w="15" w:type="dxa"/>
              <w:left w:w="15" w:type="dxa"/>
              <w:bottom w:w="0" w:type="dxa"/>
              <w:right w:w="15" w:type="dxa"/>
            </w:tcMar>
            <w:vAlign w:val="bottom"/>
            <w:hideMark/>
          </w:tcPr>
          <w:p w14:paraId="6E8F1F6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34</w:t>
            </w:r>
          </w:p>
        </w:tc>
        <w:tc>
          <w:tcPr>
            <w:tcW w:w="0" w:type="auto"/>
            <w:shd w:val="clear" w:color="auto" w:fill="auto"/>
            <w:noWrap/>
            <w:tcMar>
              <w:top w:w="15" w:type="dxa"/>
              <w:left w:w="15" w:type="dxa"/>
              <w:bottom w:w="0" w:type="dxa"/>
              <w:right w:w="15" w:type="dxa"/>
            </w:tcMar>
            <w:vAlign w:val="bottom"/>
            <w:hideMark/>
          </w:tcPr>
          <w:p w14:paraId="03B5D33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34</w:t>
            </w:r>
          </w:p>
        </w:tc>
        <w:tc>
          <w:tcPr>
            <w:tcW w:w="0" w:type="auto"/>
            <w:shd w:val="clear" w:color="auto" w:fill="auto"/>
            <w:noWrap/>
            <w:tcMar>
              <w:top w:w="15" w:type="dxa"/>
              <w:left w:w="15" w:type="dxa"/>
              <w:bottom w:w="0" w:type="dxa"/>
              <w:right w:w="15" w:type="dxa"/>
            </w:tcMar>
            <w:vAlign w:val="bottom"/>
            <w:hideMark/>
          </w:tcPr>
          <w:p w14:paraId="7175DD5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shd w:val="clear" w:color="auto" w:fill="auto"/>
            <w:noWrap/>
            <w:tcMar>
              <w:top w:w="15" w:type="dxa"/>
              <w:left w:w="15" w:type="dxa"/>
              <w:bottom w:w="0" w:type="dxa"/>
              <w:right w:w="15" w:type="dxa"/>
            </w:tcMar>
            <w:vAlign w:val="bottom"/>
            <w:hideMark/>
          </w:tcPr>
          <w:p w14:paraId="51B9616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w:t>
            </w:r>
          </w:p>
        </w:tc>
        <w:tc>
          <w:tcPr>
            <w:tcW w:w="0" w:type="auto"/>
            <w:shd w:val="clear" w:color="auto" w:fill="auto"/>
            <w:noWrap/>
            <w:tcMar>
              <w:top w:w="15" w:type="dxa"/>
              <w:left w:w="15" w:type="dxa"/>
              <w:bottom w:w="0" w:type="dxa"/>
              <w:right w:w="15" w:type="dxa"/>
            </w:tcMar>
            <w:vAlign w:val="bottom"/>
            <w:hideMark/>
          </w:tcPr>
          <w:p w14:paraId="4FDB27C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w:t>
            </w:r>
          </w:p>
        </w:tc>
        <w:tc>
          <w:tcPr>
            <w:tcW w:w="0" w:type="auto"/>
            <w:shd w:val="clear" w:color="auto" w:fill="auto"/>
            <w:noWrap/>
            <w:tcMar>
              <w:top w:w="15" w:type="dxa"/>
              <w:left w:w="15" w:type="dxa"/>
              <w:bottom w:w="0" w:type="dxa"/>
              <w:right w:w="15" w:type="dxa"/>
            </w:tcMar>
            <w:vAlign w:val="bottom"/>
            <w:hideMark/>
          </w:tcPr>
          <w:p w14:paraId="2592CCD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shd w:val="clear" w:color="auto" w:fill="auto"/>
            <w:noWrap/>
            <w:tcMar>
              <w:top w:w="15" w:type="dxa"/>
              <w:left w:w="15" w:type="dxa"/>
              <w:bottom w:w="0" w:type="dxa"/>
              <w:right w:w="15" w:type="dxa"/>
            </w:tcMar>
            <w:vAlign w:val="bottom"/>
            <w:hideMark/>
          </w:tcPr>
          <w:p w14:paraId="0BC87CF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w:t>
            </w:r>
          </w:p>
        </w:tc>
        <w:tc>
          <w:tcPr>
            <w:tcW w:w="0" w:type="auto"/>
            <w:shd w:val="clear" w:color="auto" w:fill="auto"/>
            <w:noWrap/>
            <w:tcMar>
              <w:top w:w="15" w:type="dxa"/>
              <w:left w:w="15" w:type="dxa"/>
              <w:bottom w:w="0" w:type="dxa"/>
              <w:right w:w="15" w:type="dxa"/>
            </w:tcMar>
            <w:vAlign w:val="bottom"/>
            <w:hideMark/>
          </w:tcPr>
          <w:p w14:paraId="256EE00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151</w:t>
            </w:r>
          </w:p>
        </w:tc>
      </w:tr>
      <w:tr w:rsidR="007E365E" w:rsidRPr="001A15EF" w14:paraId="1F55D8EC"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055A3265" w14:textId="77777777" w:rsidR="007E365E" w:rsidRDefault="007E365E" w:rsidP="007D1D77">
            <w:pPr>
              <w:keepNext/>
              <w:keepLines/>
              <w:spacing w:before="0" w:line="240" w:lineRule="auto"/>
              <w:rPr>
                <w:rFonts w:cs="Open Sans Light"/>
                <w:sz w:val="16"/>
                <w:szCs w:val="16"/>
              </w:rPr>
            </w:pPr>
            <w:r>
              <w:rPr>
                <w:rFonts w:cs="Open Sans Light"/>
                <w:sz w:val="16"/>
                <w:szCs w:val="16"/>
              </w:rPr>
              <w:t>Regional costs factor</w:t>
            </w:r>
          </w:p>
        </w:tc>
        <w:tc>
          <w:tcPr>
            <w:tcW w:w="0" w:type="auto"/>
            <w:shd w:val="clear" w:color="auto" w:fill="auto"/>
            <w:noWrap/>
            <w:tcMar>
              <w:top w:w="15" w:type="dxa"/>
              <w:left w:w="15" w:type="dxa"/>
              <w:bottom w:w="0" w:type="dxa"/>
              <w:right w:w="15" w:type="dxa"/>
            </w:tcMar>
            <w:vAlign w:val="bottom"/>
            <w:hideMark/>
          </w:tcPr>
          <w:p w14:paraId="704C11B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0.987</w:t>
            </w:r>
          </w:p>
        </w:tc>
        <w:tc>
          <w:tcPr>
            <w:tcW w:w="0" w:type="auto"/>
            <w:shd w:val="clear" w:color="auto" w:fill="auto"/>
            <w:noWrap/>
            <w:tcMar>
              <w:top w:w="15" w:type="dxa"/>
              <w:left w:w="15" w:type="dxa"/>
              <w:bottom w:w="0" w:type="dxa"/>
              <w:right w:w="15" w:type="dxa"/>
            </w:tcMar>
            <w:vAlign w:val="bottom"/>
            <w:hideMark/>
          </w:tcPr>
          <w:p w14:paraId="314FE50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0.978</w:t>
            </w:r>
          </w:p>
        </w:tc>
        <w:tc>
          <w:tcPr>
            <w:tcW w:w="0" w:type="auto"/>
            <w:shd w:val="clear" w:color="auto" w:fill="auto"/>
            <w:noWrap/>
            <w:tcMar>
              <w:top w:w="15" w:type="dxa"/>
              <w:left w:w="15" w:type="dxa"/>
              <w:bottom w:w="0" w:type="dxa"/>
              <w:right w:w="15" w:type="dxa"/>
            </w:tcMar>
            <w:vAlign w:val="bottom"/>
            <w:hideMark/>
          </w:tcPr>
          <w:p w14:paraId="6112380D"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1.022</w:t>
            </w:r>
          </w:p>
        </w:tc>
        <w:tc>
          <w:tcPr>
            <w:tcW w:w="0" w:type="auto"/>
            <w:shd w:val="clear" w:color="auto" w:fill="auto"/>
            <w:noWrap/>
            <w:tcMar>
              <w:top w:w="15" w:type="dxa"/>
              <w:left w:w="15" w:type="dxa"/>
              <w:bottom w:w="0" w:type="dxa"/>
              <w:right w:w="15" w:type="dxa"/>
            </w:tcMar>
            <w:vAlign w:val="bottom"/>
            <w:hideMark/>
          </w:tcPr>
          <w:p w14:paraId="12FD23E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1.040</w:t>
            </w:r>
          </w:p>
        </w:tc>
        <w:tc>
          <w:tcPr>
            <w:tcW w:w="0" w:type="auto"/>
            <w:shd w:val="clear" w:color="auto" w:fill="auto"/>
            <w:noWrap/>
            <w:tcMar>
              <w:top w:w="15" w:type="dxa"/>
              <w:left w:w="15" w:type="dxa"/>
              <w:bottom w:w="0" w:type="dxa"/>
              <w:right w:w="15" w:type="dxa"/>
            </w:tcMar>
            <w:vAlign w:val="bottom"/>
            <w:hideMark/>
          </w:tcPr>
          <w:p w14:paraId="14569B2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0.999</w:t>
            </w:r>
          </w:p>
        </w:tc>
        <w:tc>
          <w:tcPr>
            <w:tcW w:w="0" w:type="auto"/>
            <w:shd w:val="clear" w:color="auto" w:fill="auto"/>
            <w:noWrap/>
            <w:tcMar>
              <w:top w:w="15" w:type="dxa"/>
              <w:left w:w="15" w:type="dxa"/>
              <w:bottom w:w="0" w:type="dxa"/>
              <w:right w:w="15" w:type="dxa"/>
            </w:tcMar>
            <w:vAlign w:val="bottom"/>
            <w:hideMark/>
          </w:tcPr>
          <w:p w14:paraId="598AD8E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1.020</w:t>
            </w:r>
          </w:p>
        </w:tc>
        <w:tc>
          <w:tcPr>
            <w:tcW w:w="0" w:type="auto"/>
            <w:shd w:val="clear" w:color="auto" w:fill="auto"/>
            <w:noWrap/>
            <w:tcMar>
              <w:top w:w="15" w:type="dxa"/>
              <w:left w:w="15" w:type="dxa"/>
              <w:bottom w:w="0" w:type="dxa"/>
              <w:right w:w="15" w:type="dxa"/>
            </w:tcMar>
            <w:vAlign w:val="bottom"/>
            <w:hideMark/>
          </w:tcPr>
          <w:p w14:paraId="3EB0A09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0.970</w:t>
            </w:r>
          </w:p>
        </w:tc>
        <w:tc>
          <w:tcPr>
            <w:tcW w:w="0" w:type="auto"/>
            <w:shd w:val="clear" w:color="auto" w:fill="auto"/>
            <w:noWrap/>
            <w:tcMar>
              <w:top w:w="15" w:type="dxa"/>
              <w:left w:w="15" w:type="dxa"/>
              <w:bottom w:w="0" w:type="dxa"/>
              <w:right w:w="15" w:type="dxa"/>
            </w:tcMar>
            <w:vAlign w:val="bottom"/>
            <w:hideMark/>
          </w:tcPr>
          <w:p w14:paraId="190D85F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1.161</w:t>
            </w:r>
          </w:p>
        </w:tc>
        <w:tc>
          <w:tcPr>
            <w:tcW w:w="0" w:type="auto"/>
            <w:shd w:val="clear" w:color="auto" w:fill="auto"/>
            <w:noWrap/>
            <w:tcMar>
              <w:top w:w="15" w:type="dxa"/>
              <w:left w:w="15" w:type="dxa"/>
              <w:bottom w:w="0" w:type="dxa"/>
              <w:right w:w="15" w:type="dxa"/>
            </w:tcMar>
            <w:vAlign w:val="bottom"/>
            <w:hideMark/>
          </w:tcPr>
          <w:p w14:paraId="36D8342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1.000</w:t>
            </w:r>
          </w:p>
        </w:tc>
      </w:tr>
      <w:tr w:rsidR="007E365E" w:rsidRPr="001A15EF" w14:paraId="11E36FF7" w14:textId="77777777" w:rsidTr="007D1D77">
        <w:trPr>
          <w:trHeight w:val="315"/>
        </w:trPr>
        <w:tc>
          <w:tcPr>
            <w:tcW w:w="0" w:type="auto"/>
            <w:shd w:val="clear" w:color="auto" w:fill="auto"/>
            <w:noWrap/>
            <w:tcMar>
              <w:top w:w="15" w:type="dxa"/>
              <w:left w:w="15" w:type="dxa"/>
              <w:bottom w:w="0" w:type="dxa"/>
              <w:right w:w="15" w:type="dxa"/>
            </w:tcMar>
            <w:vAlign w:val="bottom"/>
            <w:hideMark/>
          </w:tcPr>
          <w:p w14:paraId="3B6F88E9" w14:textId="77777777" w:rsidR="007E365E" w:rsidRDefault="007E365E" w:rsidP="007D1D77">
            <w:pPr>
              <w:keepNext/>
              <w:keepLines/>
              <w:spacing w:before="0" w:line="240" w:lineRule="auto"/>
              <w:rPr>
                <w:rFonts w:cs="Open Sans Light"/>
                <w:sz w:val="16"/>
                <w:szCs w:val="16"/>
              </w:rPr>
            </w:pPr>
            <w:r>
              <w:rPr>
                <w:rFonts w:cs="Open Sans Light"/>
                <w:sz w:val="16"/>
                <w:szCs w:val="16"/>
              </w:rPr>
              <w:t>Wage costs factor</w:t>
            </w:r>
          </w:p>
        </w:tc>
        <w:tc>
          <w:tcPr>
            <w:tcW w:w="0" w:type="auto"/>
            <w:shd w:val="clear" w:color="auto" w:fill="auto"/>
            <w:noWrap/>
            <w:tcMar>
              <w:top w:w="15" w:type="dxa"/>
              <w:left w:w="15" w:type="dxa"/>
              <w:bottom w:w="0" w:type="dxa"/>
              <w:right w:w="15" w:type="dxa"/>
            </w:tcMar>
            <w:vAlign w:val="bottom"/>
            <w:hideMark/>
          </w:tcPr>
          <w:p w14:paraId="40E42EC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1.006</w:t>
            </w:r>
          </w:p>
        </w:tc>
        <w:tc>
          <w:tcPr>
            <w:tcW w:w="0" w:type="auto"/>
            <w:shd w:val="clear" w:color="auto" w:fill="auto"/>
            <w:noWrap/>
            <w:tcMar>
              <w:top w:w="15" w:type="dxa"/>
              <w:left w:w="15" w:type="dxa"/>
              <w:bottom w:w="0" w:type="dxa"/>
              <w:right w:w="15" w:type="dxa"/>
            </w:tcMar>
            <w:vAlign w:val="bottom"/>
            <w:hideMark/>
          </w:tcPr>
          <w:p w14:paraId="0CE47EB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0.994</w:t>
            </w:r>
          </w:p>
        </w:tc>
        <w:tc>
          <w:tcPr>
            <w:tcW w:w="0" w:type="auto"/>
            <w:shd w:val="clear" w:color="auto" w:fill="auto"/>
            <w:noWrap/>
            <w:tcMar>
              <w:top w:w="15" w:type="dxa"/>
              <w:left w:w="15" w:type="dxa"/>
              <w:bottom w:w="0" w:type="dxa"/>
              <w:right w:w="15" w:type="dxa"/>
            </w:tcMar>
            <w:vAlign w:val="bottom"/>
            <w:hideMark/>
          </w:tcPr>
          <w:p w14:paraId="34DDD8D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0.996</w:t>
            </w:r>
          </w:p>
        </w:tc>
        <w:tc>
          <w:tcPr>
            <w:tcW w:w="0" w:type="auto"/>
            <w:shd w:val="clear" w:color="auto" w:fill="auto"/>
            <w:noWrap/>
            <w:tcMar>
              <w:top w:w="15" w:type="dxa"/>
              <w:left w:w="15" w:type="dxa"/>
              <w:bottom w:w="0" w:type="dxa"/>
              <w:right w:w="15" w:type="dxa"/>
            </w:tcMar>
            <w:vAlign w:val="bottom"/>
            <w:hideMark/>
          </w:tcPr>
          <w:p w14:paraId="3DD4B04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1.018</w:t>
            </w:r>
          </w:p>
        </w:tc>
        <w:tc>
          <w:tcPr>
            <w:tcW w:w="0" w:type="auto"/>
            <w:shd w:val="clear" w:color="auto" w:fill="auto"/>
            <w:noWrap/>
            <w:tcMar>
              <w:top w:w="15" w:type="dxa"/>
              <w:left w:w="15" w:type="dxa"/>
              <w:bottom w:w="0" w:type="dxa"/>
              <w:right w:w="15" w:type="dxa"/>
            </w:tcMar>
            <w:vAlign w:val="bottom"/>
            <w:hideMark/>
          </w:tcPr>
          <w:p w14:paraId="237C986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0.979</w:t>
            </w:r>
          </w:p>
        </w:tc>
        <w:tc>
          <w:tcPr>
            <w:tcW w:w="0" w:type="auto"/>
            <w:shd w:val="clear" w:color="auto" w:fill="auto"/>
            <w:noWrap/>
            <w:tcMar>
              <w:top w:w="15" w:type="dxa"/>
              <w:left w:w="15" w:type="dxa"/>
              <w:bottom w:w="0" w:type="dxa"/>
              <w:right w:w="15" w:type="dxa"/>
            </w:tcMar>
            <w:vAlign w:val="bottom"/>
            <w:hideMark/>
          </w:tcPr>
          <w:p w14:paraId="7DEE4DE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0.972</w:t>
            </w:r>
          </w:p>
        </w:tc>
        <w:tc>
          <w:tcPr>
            <w:tcW w:w="0" w:type="auto"/>
            <w:shd w:val="clear" w:color="auto" w:fill="auto"/>
            <w:noWrap/>
            <w:tcMar>
              <w:top w:w="15" w:type="dxa"/>
              <w:left w:w="15" w:type="dxa"/>
              <w:bottom w:w="0" w:type="dxa"/>
              <w:right w:w="15" w:type="dxa"/>
            </w:tcMar>
            <w:vAlign w:val="bottom"/>
            <w:hideMark/>
          </w:tcPr>
          <w:p w14:paraId="3A2F652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1.019</w:t>
            </w:r>
          </w:p>
        </w:tc>
        <w:tc>
          <w:tcPr>
            <w:tcW w:w="0" w:type="auto"/>
            <w:shd w:val="clear" w:color="auto" w:fill="auto"/>
            <w:noWrap/>
            <w:tcMar>
              <w:top w:w="15" w:type="dxa"/>
              <w:left w:w="15" w:type="dxa"/>
              <w:bottom w:w="0" w:type="dxa"/>
              <w:right w:w="15" w:type="dxa"/>
            </w:tcMar>
            <w:vAlign w:val="bottom"/>
            <w:hideMark/>
          </w:tcPr>
          <w:p w14:paraId="4748083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1.029</w:t>
            </w:r>
          </w:p>
        </w:tc>
        <w:tc>
          <w:tcPr>
            <w:tcW w:w="0" w:type="auto"/>
            <w:shd w:val="clear" w:color="auto" w:fill="auto"/>
            <w:noWrap/>
            <w:tcMar>
              <w:top w:w="15" w:type="dxa"/>
              <w:left w:w="15" w:type="dxa"/>
              <w:bottom w:w="0" w:type="dxa"/>
              <w:right w:w="15" w:type="dxa"/>
            </w:tcMar>
            <w:vAlign w:val="bottom"/>
            <w:hideMark/>
          </w:tcPr>
          <w:p w14:paraId="316F322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1.000</w:t>
            </w:r>
          </w:p>
        </w:tc>
      </w:tr>
      <w:tr w:rsidR="007E365E" w:rsidRPr="001A15EF" w14:paraId="74F8D160" w14:textId="77777777" w:rsidTr="007D1D77">
        <w:trPr>
          <w:trHeight w:val="315"/>
        </w:trPr>
        <w:tc>
          <w:tcPr>
            <w:tcW w:w="0" w:type="auto"/>
            <w:shd w:val="clear" w:color="000000" w:fill="D6E7F0"/>
            <w:noWrap/>
            <w:tcMar>
              <w:top w:w="15" w:type="dxa"/>
              <w:left w:w="15" w:type="dxa"/>
              <w:bottom w:w="0" w:type="dxa"/>
              <w:right w:w="15" w:type="dxa"/>
            </w:tcMar>
            <w:vAlign w:val="bottom"/>
            <w:hideMark/>
          </w:tcPr>
          <w:p w14:paraId="5D4B04E3" w14:textId="77777777" w:rsidR="007E365E" w:rsidRDefault="007E365E" w:rsidP="007D1D77">
            <w:pPr>
              <w:keepNext/>
              <w:keepLines/>
              <w:spacing w:before="0" w:line="240" w:lineRule="auto"/>
              <w:rPr>
                <w:rFonts w:ascii="Open Sans SemiBold" w:hAnsi="Open Sans SemiBold" w:cs="Open Sans SemiBold"/>
                <w:color w:val="000000"/>
                <w:sz w:val="16"/>
                <w:szCs w:val="16"/>
              </w:rPr>
            </w:pPr>
            <w:r>
              <w:rPr>
                <w:rFonts w:ascii="Open Sans SemiBold" w:hAnsi="Open Sans SemiBold" w:cs="Open Sans SemiBold"/>
                <w:color w:val="000000"/>
                <w:sz w:val="16"/>
                <w:szCs w:val="16"/>
              </w:rPr>
              <w:t>Assessed expenses ($m)</w:t>
            </w:r>
          </w:p>
        </w:tc>
        <w:tc>
          <w:tcPr>
            <w:tcW w:w="0" w:type="auto"/>
            <w:shd w:val="clear" w:color="000000" w:fill="D6E7F0"/>
            <w:noWrap/>
            <w:tcMar>
              <w:top w:w="15" w:type="dxa"/>
              <w:left w:w="15" w:type="dxa"/>
              <w:bottom w:w="0" w:type="dxa"/>
              <w:right w:w="15" w:type="dxa"/>
            </w:tcMar>
            <w:vAlign w:val="bottom"/>
            <w:hideMark/>
          </w:tcPr>
          <w:p w14:paraId="22074E1C"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145</w:t>
            </w:r>
          </w:p>
        </w:tc>
        <w:tc>
          <w:tcPr>
            <w:tcW w:w="0" w:type="auto"/>
            <w:shd w:val="clear" w:color="000000" w:fill="D6E7F0"/>
            <w:noWrap/>
            <w:tcMar>
              <w:top w:w="15" w:type="dxa"/>
              <w:left w:w="15" w:type="dxa"/>
              <w:bottom w:w="0" w:type="dxa"/>
              <w:right w:w="15" w:type="dxa"/>
            </w:tcMar>
            <w:vAlign w:val="bottom"/>
            <w:hideMark/>
          </w:tcPr>
          <w:p w14:paraId="0D4C5341"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93</w:t>
            </w:r>
          </w:p>
        </w:tc>
        <w:tc>
          <w:tcPr>
            <w:tcW w:w="0" w:type="auto"/>
            <w:shd w:val="clear" w:color="000000" w:fill="D6E7F0"/>
            <w:noWrap/>
            <w:tcMar>
              <w:top w:w="15" w:type="dxa"/>
              <w:left w:w="15" w:type="dxa"/>
              <w:bottom w:w="0" w:type="dxa"/>
              <w:right w:w="15" w:type="dxa"/>
            </w:tcMar>
            <w:vAlign w:val="bottom"/>
            <w:hideMark/>
          </w:tcPr>
          <w:p w14:paraId="4422983D"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124</w:t>
            </w:r>
          </w:p>
        </w:tc>
        <w:tc>
          <w:tcPr>
            <w:tcW w:w="0" w:type="auto"/>
            <w:shd w:val="clear" w:color="000000" w:fill="D6E7F0"/>
            <w:noWrap/>
            <w:tcMar>
              <w:top w:w="15" w:type="dxa"/>
              <w:left w:w="15" w:type="dxa"/>
              <w:bottom w:w="0" w:type="dxa"/>
              <w:right w:w="15" w:type="dxa"/>
            </w:tcMar>
            <w:vAlign w:val="bottom"/>
            <w:hideMark/>
          </w:tcPr>
          <w:p w14:paraId="7E373BC4"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43</w:t>
            </w:r>
          </w:p>
        </w:tc>
        <w:tc>
          <w:tcPr>
            <w:tcW w:w="0" w:type="auto"/>
            <w:shd w:val="clear" w:color="000000" w:fill="D6E7F0"/>
            <w:noWrap/>
            <w:tcMar>
              <w:top w:w="15" w:type="dxa"/>
              <w:left w:w="15" w:type="dxa"/>
              <w:bottom w:w="0" w:type="dxa"/>
              <w:right w:w="15" w:type="dxa"/>
            </w:tcMar>
            <w:vAlign w:val="bottom"/>
            <w:hideMark/>
          </w:tcPr>
          <w:p w14:paraId="27FCC5B7"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24</w:t>
            </w:r>
          </w:p>
        </w:tc>
        <w:tc>
          <w:tcPr>
            <w:tcW w:w="0" w:type="auto"/>
            <w:shd w:val="clear" w:color="000000" w:fill="D6E7F0"/>
            <w:noWrap/>
            <w:tcMar>
              <w:top w:w="15" w:type="dxa"/>
              <w:left w:w="15" w:type="dxa"/>
              <w:bottom w:w="0" w:type="dxa"/>
              <w:right w:w="15" w:type="dxa"/>
            </w:tcMar>
            <w:vAlign w:val="bottom"/>
            <w:hideMark/>
          </w:tcPr>
          <w:p w14:paraId="2739CC88"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13</w:t>
            </w:r>
          </w:p>
        </w:tc>
        <w:tc>
          <w:tcPr>
            <w:tcW w:w="0" w:type="auto"/>
            <w:shd w:val="clear" w:color="000000" w:fill="D6E7F0"/>
            <w:noWrap/>
            <w:tcMar>
              <w:top w:w="15" w:type="dxa"/>
              <w:left w:w="15" w:type="dxa"/>
              <w:bottom w:w="0" w:type="dxa"/>
              <w:right w:w="15" w:type="dxa"/>
            </w:tcMar>
            <w:vAlign w:val="bottom"/>
            <w:hideMark/>
          </w:tcPr>
          <w:p w14:paraId="6F684915"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6</w:t>
            </w:r>
          </w:p>
        </w:tc>
        <w:tc>
          <w:tcPr>
            <w:tcW w:w="0" w:type="auto"/>
            <w:shd w:val="clear" w:color="000000" w:fill="D6E7F0"/>
            <w:noWrap/>
            <w:tcMar>
              <w:top w:w="15" w:type="dxa"/>
              <w:left w:w="15" w:type="dxa"/>
              <w:bottom w:w="0" w:type="dxa"/>
              <w:right w:w="15" w:type="dxa"/>
            </w:tcMar>
            <w:vAlign w:val="bottom"/>
            <w:hideMark/>
          </w:tcPr>
          <w:p w14:paraId="0EC89601"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8</w:t>
            </w:r>
          </w:p>
        </w:tc>
        <w:tc>
          <w:tcPr>
            <w:tcW w:w="0" w:type="auto"/>
            <w:shd w:val="clear" w:color="000000" w:fill="D6E7F0"/>
            <w:noWrap/>
            <w:tcMar>
              <w:top w:w="15" w:type="dxa"/>
              <w:left w:w="15" w:type="dxa"/>
              <w:bottom w:w="0" w:type="dxa"/>
              <w:right w:w="15" w:type="dxa"/>
            </w:tcMar>
            <w:vAlign w:val="bottom"/>
            <w:hideMark/>
          </w:tcPr>
          <w:p w14:paraId="402F6314"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457</w:t>
            </w:r>
          </w:p>
        </w:tc>
      </w:tr>
      <w:tr w:rsidR="007E365E" w:rsidRPr="001A15EF" w14:paraId="35462C8A" w14:textId="77777777" w:rsidTr="007D1D77">
        <w:trPr>
          <w:trHeight w:val="315"/>
        </w:trPr>
        <w:tc>
          <w:tcPr>
            <w:tcW w:w="0" w:type="auto"/>
            <w:shd w:val="clear" w:color="000000" w:fill="D6E7F0"/>
            <w:noWrap/>
            <w:tcMar>
              <w:top w:w="15" w:type="dxa"/>
              <w:left w:w="15" w:type="dxa"/>
              <w:bottom w:w="0" w:type="dxa"/>
              <w:right w:w="15" w:type="dxa"/>
            </w:tcMar>
            <w:vAlign w:val="bottom"/>
            <w:hideMark/>
          </w:tcPr>
          <w:p w14:paraId="08854B49" w14:textId="77777777" w:rsidR="007E365E" w:rsidRDefault="007E365E" w:rsidP="007D1D77">
            <w:pPr>
              <w:keepNext/>
              <w:keepLines/>
              <w:spacing w:before="0" w:line="240" w:lineRule="auto"/>
              <w:rPr>
                <w:rFonts w:ascii="Open Sans SemiBold" w:hAnsi="Open Sans SemiBold" w:cs="Open Sans SemiBold"/>
                <w:color w:val="000000"/>
                <w:sz w:val="16"/>
                <w:szCs w:val="16"/>
              </w:rPr>
            </w:pPr>
            <w:r>
              <w:rPr>
                <w:rFonts w:ascii="Open Sans SemiBold" w:hAnsi="Open Sans SemiBold" w:cs="Open Sans SemiBold"/>
                <w:color w:val="000000"/>
                <w:sz w:val="16"/>
                <w:szCs w:val="16"/>
              </w:rPr>
              <w:t>Assessed expenses ($pc)</w:t>
            </w:r>
          </w:p>
        </w:tc>
        <w:tc>
          <w:tcPr>
            <w:tcW w:w="0" w:type="auto"/>
            <w:shd w:val="clear" w:color="000000" w:fill="D6E7F0"/>
            <w:noWrap/>
            <w:tcMar>
              <w:top w:w="15" w:type="dxa"/>
              <w:left w:w="15" w:type="dxa"/>
              <w:bottom w:w="0" w:type="dxa"/>
              <w:right w:w="15" w:type="dxa"/>
            </w:tcMar>
            <w:vAlign w:val="bottom"/>
            <w:hideMark/>
          </w:tcPr>
          <w:p w14:paraId="7CA5E949"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18</w:t>
            </w:r>
          </w:p>
        </w:tc>
        <w:tc>
          <w:tcPr>
            <w:tcW w:w="0" w:type="auto"/>
            <w:shd w:val="clear" w:color="000000" w:fill="D6E7F0"/>
            <w:noWrap/>
            <w:tcMar>
              <w:top w:w="15" w:type="dxa"/>
              <w:left w:w="15" w:type="dxa"/>
              <w:bottom w:w="0" w:type="dxa"/>
              <w:right w:w="15" w:type="dxa"/>
            </w:tcMar>
            <w:vAlign w:val="bottom"/>
            <w:hideMark/>
          </w:tcPr>
          <w:p w14:paraId="03F39773"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14</w:t>
            </w:r>
          </w:p>
        </w:tc>
        <w:tc>
          <w:tcPr>
            <w:tcW w:w="0" w:type="auto"/>
            <w:shd w:val="clear" w:color="000000" w:fill="D6E7F0"/>
            <w:noWrap/>
            <w:tcMar>
              <w:top w:w="15" w:type="dxa"/>
              <w:left w:w="15" w:type="dxa"/>
              <w:bottom w:w="0" w:type="dxa"/>
              <w:right w:w="15" w:type="dxa"/>
            </w:tcMar>
            <w:vAlign w:val="bottom"/>
            <w:hideMark/>
          </w:tcPr>
          <w:p w14:paraId="3305C90E"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25</w:t>
            </w:r>
          </w:p>
        </w:tc>
        <w:tc>
          <w:tcPr>
            <w:tcW w:w="0" w:type="auto"/>
            <w:shd w:val="clear" w:color="000000" w:fill="D6E7F0"/>
            <w:noWrap/>
            <w:tcMar>
              <w:top w:w="15" w:type="dxa"/>
              <w:left w:w="15" w:type="dxa"/>
              <w:bottom w:w="0" w:type="dxa"/>
              <w:right w:w="15" w:type="dxa"/>
            </w:tcMar>
            <w:vAlign w:val="bottom"/>
            <w:hideMark/>
          </w:tcPr>
          <w:p w14:paraId="7FFEF35A"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17</w:t>
            </w:r>
          </w:p>
        </w:tc>
        <w:tc>
          <w:tcPr>
            <w:tcW w:w="0" w:type="auto"/>
            <w:shd w:val="clear" w:color="000000" w:fill="D6E7F0"/>
            <w:noWrap/>
            <w:tcMar>
              <w:top w:w="15" w:type="dxa"/>
              <w:left w:w="15" w:type="dxa"/>
              <w:bottom w:w="0" w:type="dxa"/>
              <w:right w:w="15" w:type="dxa"/>
            </w:tcMar>
            <w:vAlign w:val="bottom"/>
            <w:hideMark/>
          </w:tcPr>
          <w:p w14:paraId="72CAB8A8"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14</w:t>
            </w:r>
          </w:p>
        </w:tc>
        <w:tc>
          <w:tcPr>
            <w:tcW w:w="0" w:type="auto"/>
            <w:shd w:val="clear" w:color="000000" w:fill="D6E7F0"/>
            <w:noWrap/>
            <w:tcMar>
              <w:top w:w="15" w:type="dxa"/>
              <w:left w:w="15" w:type="dxa"/>
              <w:bottom w:w="0" w:type="dxa"/>
              <w:right w:w="15" w:type="dxa"/>
            </w:tcMar>
            <w:vAlign w:val="bottom"/>
            <w:hideMark/>
          </w:tcPr>
          <w:p w14:paraId="661AF3B3"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25</w:t>
            </w:r>
          </w:p>
        </w:tc>
        <w:tc>
          <w:tcPr>
            <w:tcW w:w="0" w:type="auto"/>
            <w:shd w:val="clear" w:color="000000" w:fill="D6E7F0"/>
            <w:noWrap/>
            <w:tcMar>
              <w:top w:w="15" w:type="dxa"/>
              <w:left w:w="15" w:type="dxa"/>
              <w:bottom w:w="0" w:type="dxa"/>
              <w:right w:w="15" w:type="dxa"/>
            </w:tcMar>
            <w:vAlign w:val="bottom"/>
            <w:hideMark/>
          </w:tcPr>
          <w:p w14:paraId="3303FECF"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14</w:t>
            </w:r>
          </w:p>
        </w:tc>
        <w:tc>
          <w:tcPr>
            <w:tcW w:w="0" w:type="auto"/>
            <w:shd w:val="clear" w:color="000000" w:fill="D6E7F0"/>
            <w:noWrap/>
            <w:tcMar>
              <w:top w:w="15" w:type="dxa"/>
              <w:left w:w="15" w:type="dxa"/>
              <w:bottom w:w="0" w:type="dxa"/>
              <w:right w:w="15" w:type="dxa"/>
            </w:tcMar>
            <w:vAlign w:val="bottom"/>
            <w:hideMark/>
          </w:tcPr>
          <w:p w14:paraId="3B530A70"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34</w:t>
            </w:r>
          </w:p>
        </w:tc>
        <w:tc>
          <w:tcPr>
            <w:tcW w:w="0" w:type="auto"/>
            <w:shd w:val="clear" w:color="000000" w:fill="D6E7F0"/>
            <w:noWrap/>
            <w:tcMar>
              <w:top w:w="15" w:type="dxa"/>
              <w:left w:w="15" w:type="dxa"/>
              <w:bottom w:w="0" w:type="dxa"/>
              <w:right w:w="15" w:type="dxa"/>
            </w:tcMar>
            <w:vAlign w:val="bottom"/>
            <w:hideMark/>
          </w:tcPr>
          <w:p w14:paraId="7BC45036"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18</w:t>
            </w:r>
          </w:p>
        </w:tc>
      </w:tr>
    </w:tbl>
    <w:p w14:paraId="60278CF6" w14:textId="77777777" w:rsidR="007E365E" w:rsidRPr="00E23377" w:rsidRDefault="007E365E" w:rsidP="007E365E">
      <w:pPr>
        <w:pStyle w:val="CGCTablenote"/>
        <w:keepNext/>
        <w:keepLines/>
      </w:pPr>
      <w:r w:rsidRPr="00E23377">
        <w:t>Source:</w:t>
      </w:r>
      <w:r w:rsidRPr="00E23377">
        <w:tab/>
        <w:t>Commission calculation using State data.</w:t>
      </w:r>
    </w:p>
    <w:p w14:paraId="6857A99C" w14:textId="77777777" w:rsidR="007E365E" w:rsidRPr="00E23377" w:rsidRDefault="007E365E" w:rsidP="007E365E">
      <w:pPr>
        <w:pStyle w:val="Heading3"/>
      </w:pPr>
      <w:bookmarkStart w:id="198" w:name="_Toc4754276"/>
      <w:bookmarkStart w:id="199" w:name="_Toc5030079"/>
      <w:r w:rsidRPr="00E23377">
        <w:t>Category calculations</w:t>
      </w:r>
      <w:bookmarkEnd w:id="198"/>
      <w:bookmarkEnd w:id="199"/>
    </w:p>
    <w:p w14:paraId="0612A343" w14:textId="55A4A958" w:rsidR="007E365E" w:rsidRPr="00E23377" w:rsidRDefault="007E365E" w:rsidP="007E365E">
      <w:pPr>
        <w:pStyle w:val="CGCParaNumber"/>
      </w:pPr>
      <w:r>
        <w:fldChar w:fldCharType="begin"/>
      </w:r>
      <w:r>
        <w:instrText xml:space="preserve"> REF _Ref32845678 \h </w:instrText>
      </w:r>
      <w:r>
        <w:fldChar w:fldCharType="separate"/>
      </w:r>
      <w:r w:rsidR="007F721A" w:rsidRPr="00E23377">
        <w:t xml:space="preserve">Table </w:t>
      </w:r>
      <w:r w:rsidR="007F721A">
        <w:t>20-</w:t>
      </w:r>
      <w:r w:rsidR="007F721A">
        <w:rPr>
          <w:noProof/>
        </w:rPr>
        <w:t>23</w:t>
      </w:r>
      <w:r>
        <w:fldChar w:fldCharType="end"/>
      </w:r>
      <w:r w:rsidRPr="00E23377">
        <w:t xml:space="preserve"> brings the assessed expenses for each component together to derive the total assessed expenses for each State for the category. It shows at the component level how each disability assessment moves expenses away from an EPC distribution to obtain assessed expenses.</w:t>
      </w:r>
    </w:p>
    <w:p w14:paraId="140DEFCC" w14:textId="0F843C77" w:rsidR="007E365E" w:rsidRPr="00E23377" w:rsidRDefault="007E365E" w:rsidP="007E365E">
      <w:pPr>
        <w:pStyle w:val="Caption"/>
      </w:pPr>
      <w:bookmarkStart w:id="200" w:name="_Ref32845678"/>
      <w:r w:rsidRPr="00E23377">
        <w:lastRenderedPageBreak/>
        <w:t xml:space="preserve">Table </w:t>
      </w:r>
      <w:r>
        <w:t>20-</w:t>
      </w:r>
      <w:fldSimple w:instr=" SEQ Table \* ARABIC ">
        <w:r w:rsidR="007F721A">
          <w:rPr>
            <w:noProof/>
          </w:rPr>
          <w:t>23</w:t>
        </w:r>
      </w:fldSimple>
      <w:bookmarkEnd w:id="200"/>
      <w:r w:rsidRPr="00E23377">
        <w:tab/>
        <w:t>Roads category assessment, 201</w:t>
      </w:r>
      <w:r>
        <w:t>8</w:t>
      </w:r>
      <w:r w:rsidRPr="00E23377">
        <w:noBreakHyphen/>
        <w:t>1</w:t>
      </w:r>
      <w:r>
        <w:t>9</w:t>
      </w:r>
    </w:p>
    <w:tbl>
      <w:tblPr>
        <w:tblW w:w="8840" w:type="dxa"/>
        <w:tblCellMar>
          <w:left w:w="0" w:type="dxa"/>
          <w:right w:w="0" w:type="dxa"/>
        </w:tblCellMar>
        <w:tblLook w:val="04A0" w:firstRow="1" w:lastRow="0" w:firstColumn="1" w:lastColumn="0" w:noHBand="0" w:noVBand="1"/>
      </w:tblPr>
      <w:tblGrid>
        <w:gridCol w:w="2260"/>
        <w:gridCol w:w="740"/>
        <w:gridCol w:w="740"/>
        <w:gridCol w:w="740"/>
        <w:gridCol w:w="740"/>
        <w:gridCol w:w="740"/>
        <w:gridCol w:w="660"/>
        <w:gridCol w:w="660"/>
        <w:gridCol w:w="740"/>
        <w:gridCol w:w="820"/>
      </w:tblGrid>
      <w:tr w:rsidR="007E365E" w:rsidRPr="00D90F9A" w14:paraId="39D2AECE" w14:textId="77777777" w:rsidTr="007D1D77">
        <w:trPr>
          <w:trHeight w:val="379"/>
        </w:trPr>
        <w:tc>
          <w:tcPr>
            <w:tcW w:w="22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5B53042" w14:textId="77777777" w:rsidR="007E365E" w:rsidRDefault="007E365E" w:rsidP="007D1D77">
            <w:pPr>
              <w:keepNext/>
              <w:keepLines/>
              <w:tabs>
                <w:tab w:val="clear" w:pos="567"/>
              </w:tabs>
              <w:spacing w:before="0" w:line="240" w:lineRule="auto"/>
              <w:jc w:val="right"/>
              <w:rPr>
                <w:rFonts w:ascii="Open Sans SemiBold" w:hAnsi="Open Sans SemiBold" w:cs="Open Sans SemiBold"/>
                <w:color w:val="FFFFFF"/>
                <w:sz w:val="16"/>
                <w:szCs w:val="16"/>
              </w:rPr>
            </w:pPr>
            <w:bookmarkStart w:id="201" w:name="RANGE!A40:J52"/>
            <w:bookmarkStart w:id="202" w:name="RANGE!A41:J53"/>
            <w:bookmarkStart w:id="203" w:name="RANGE!A43:J55"/>
            <w:bookmarkEnd w:id="201"/>
            <w:bookmarkEnd w:id="202"/>
            <w:bookmarkEnd w:id="203"/>
            <w:r>
              <w:rPr>
                <w:rFonts w:ascii="Open Sans SemiBold" w:hAnsi="Open Sans SemiBold" w:cs="Open Sans SemiBold"/>
                <w:color w:val="FFFFFF"/>
                <w:sz w:val="16"/>
                <w:szCs w:val="16"/>
              </w:rPr>
              <w:t> </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3095B4C"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59004E3F"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BC6A658"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0EE8678C"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04D916CB"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6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74C0E50"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6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5BCDDF1D"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03F54364"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82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326FD5C" w14:textId="77777777" w:rsidR="007E365E" w:rsidRDefault="007E365E" w:rsidP="007D1D77">
            <w:pPr>
              <w:keepNext/>
              <w:keepLine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7E365E" w:rsidRPr="009944CD" w14:paraId="0E88D434" w14:textId="77777777" w:rsidTr="007D1D77">
        <w:trPr>
          <w:trHeight w:val="259"/>
        </w:trPr>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288DC64"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77BD413"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$pc</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483BE63"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$pc</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D2B9B80"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$pc</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CF97EE7"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$pc</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A863211"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$pc</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93BA153"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$pc</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FA8BD41"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$pc</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77120C2"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$pc</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A028A85"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$pc</w:t>
            </w:r>
          </w:p>
        </w:tc>
      </w:tr>
      <w:tr w:rsidR="007E365E" w:rsidRPr="009944CD" w14:paraId="2D8DE11E"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2419819" w14:textId="77777777" w:rsidR="007E365E" w:rsidRDefault="007E365E" w:rsidP="007D1D77">
            <w:pPr>
              <w:keepNext/>
              <w:keepLines/>
              <w:spacing w:before="0" w:line="240" w:lineRule="auto"/>
              <w:rPr>
                <w:rFonts w:ascii="Open Sans SemiBold" w:hAnsi="Open Sans SemiBold" w:cs="Open Sans SemiBold"/>
                <w:sz w:val="16"/>
                <w:szCs w:val="16"/>
              </w:rPr>
            </w:pPr>
            <w:r>
              <w:rPr>
                <w:rFonts w:ascii="Open Sans SemiBold" w:hAnsi="Open Sans SemiBold" w:cs="Open Sans SemiBold"/>
                <w:sz w:val="16"/>
                <w:szCs w:val="16"/>
              </w:rPr>
              <w:t>Rural roads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74BC5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E6942F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3B123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37887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7A78E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E7CD03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54CC4E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D2A42C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950D87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r>
      <w:tr w:rsidR="007E365E" w:rsidRPr="009944CD" w14:paraId="1A49D7BF"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37020E3F"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Equal per capita</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4E9524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05CA3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72AFC0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12F81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DC4BE5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C6A84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331BC9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61D248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0E4A6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148</w:t>
            </w:r>
          </w:p>
        </w:tc>
      </w:tr>
      <w:tr w:rsidR="007E365E" w:rsidRPr="009944CD" w14:paraId="12E95266"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1DE66AF1"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Road length</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BA16E0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B05D6A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-17</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08D10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F471BC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02A52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E8576B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1275BB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F729A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271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064DF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r>
      <w:tr w:rsidR="007E365E" w:rsidRPr="009944CD" w14:paraId="73035513"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1C0AD4D8"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Traffic volume</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94286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-7</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CDDD6C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58532F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201CB3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DD8C0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352490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C872E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-70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2EBD35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C17AAE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r>
      <w:tr w:rsidR="007E365E" w:rsidRPr="009944CD" w14:paraId="5D04B0B3" w14:textId="77777777" w:rsidTr="007D1D77">
        <w:trPr>
          <w:trHeight w:val="315"/>
        </w:trPr>
        <w:tc>
          <w:tcPr>
            <w:tcW w:w="2260" w:type="dxa"/>
            <w:tcBorders>
              <w:top w:val="nil"/>
              <w:left w:val="nil"/>
              <w:bottom w:val="single" w:sz="4" w:space="0" w:color="ADD6EA"/>
              <w:right w:val="nil"/>
            </w:tcBorders>
            <w:shd w:val="clear" w:color="auto" w:fill="auto"/>
            <w:tcMar>
              <w:top w:w="15" w:type="dxa"/>
              <w:left w:w="135" w:type="dxa"/>
              <w:bottom w:w="0" w:type="dxa"/>
              <w:right w:w="15" w:type="dxa"/>
            </w:tcMar>
            <w:vAlign w:val="bottom"/>
            <w:hideMark/>
          </w:tcPr>
          <w:p w14:paraId="61E3A3D9"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Heavy vehicle use</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511B60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381814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49BDD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049F4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5FF74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27</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9F5D3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6C8578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D1DD1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41C4EB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r>
      <w:tr w:rsidR="007E365E" w:rsidRPr="009944CD" w14:paraId="02806787"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17FBA449"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Regional costs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BDA558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20F905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21C00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BCFFB8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4F1F62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17C731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58BD3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5F716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8E131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r>
      <w:tr w:rsidR="007E365E" w:rsidRPr="009944CD" w14:paraId="578F03CE" w14:textId="77777777" w:rsidTr="007D1D77">
        <w:trPr>
          <w:trHeight w:val="315"/>
        </w:trPr>
        <w:tc>
          <w:tcPr>
            <w:tcW w:w="2260" w:type="dxa"/>
            <w:tcBorders>
              <w:top w:val="nil"/>
              <w:left w:val="nil"/>
              <w:bottom w:val="single" w:sz="4" w:space="0" w:color="ADD6EA"/>
              <w:right w:val="nil"/>
            </w:tcBorders>
            <w:shd w:val="clear" w:color="auto" w:fill="auto"/>
            <w:tcMar>
              <w:top w:w="15" w:type="dxa"/>
              <w:left w:w="135" w:type="dxa"/>
              <w:bottom w:w="0" w:type="dxa"/>
              <w:right w:w="15" w:type="dxa"/>
            </w:tcMar>
            <w:vAlign w:val="bottom"/>
            <w:hideMark/>
          </w:tcPr>
          <w:p w14:paraId="131062AA"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Wage costs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6A5C53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8B94F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5DE946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EF467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46F65B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09F4FC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AC3E3F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80CC1B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C70343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r>
      <w:tr w:rsidR="007E365E" w:rsidRPr="009944CD" w14:paraId="5756B0B6" w14:textId="77777777" w:rsidTr="007D1D77">
        <w:trPr>
          <w:trHeight w:val="315"/>
        </w:trPr>
        <w:tc>
          <w:tcPr>
            <w:tcW w:w="0" w:type="auto"/>
            <w:tcBorders>
              <w:top w:val="nil"/>
              <w:left w:val="nil"/>
              <w:bottom w:val="single" w:sz="4" w:space="0" w:color="ADD6EA"/>
              <w:right w:val="nil"/>
            </w:tcBorders>
            <w:shd w:val="clear" w:color="000000" w:fill="B6D5E4"/>
            <w:noWrap/>
            <w:tcMar>
              <w:top w:w="15" w:type="dxa"/>
              <w:left w:w="135" w:type="dxa"/>
              <w:bottom w:w="0" w:type="dxa"/>
              <w:right w:w="15" w:type="dxa"/>
            </w:tcMar>
            <w:vAlign w:val="bottom"/>
            <w:hideMark/>
          </w:tcPr>
          <w:p w14:paraId="2491E508" w14:textId="77777777" w:rsidR="007E365E" w:rsidRDefault="007E365E" w:rsidP="007D1D77">
            <w:pPr>
              <w:keepNext/>
              <w:keepLines/>
              <w:spacing w:before="0" w:line="240" w:lineRule="auto"/>
              <w:ind w:left="113"/>
              <w:rPr>
                <w:rFonts w:ascii="Open Sans SemiBold" w:hAnsi="Open Sans SemiBold" w:cs="Open Sans SemiBold"/>
                <w:sz w:val="16"/>
                <w:szCs w:val="16"/>
              </w:rPr>
            </w:pPr>
            <w:r>
              <w:rPr>
                <w:rFonts w:ascii="Open Sans SemiBold" w:hAnsi="Open Sans SemiBold" w:cs="Open Sans SemiBold"/>
                <w:sz w:val="16"/>
                <w:szCs w:val="16"/>
              </w:rPr>
              <w:t>Assessed expenses</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0C0C2CAA"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128</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4A1A378B"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109</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6AD1BBC4"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170</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0B1D3A1A"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202</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7B4AC07F"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217</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7DC7CC28"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183</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74F01CD4"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2</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3A8EEC6C"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522</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1810CB5F"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148</w:t>
            </w:r>
          </w:p>
        </w:tc>
      </w:tr>
      <w:tr w:rsidR="007E365E" w:rsidRPr="009944CD" w14:paraId="3D47661F"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C60E9C" w14:textId="77777777" w:rsidR="007E365E" w:rsidRDefault="007E365E" w:rsidP="007D1D77">
            <w:pPr>
              <w:keepNext/>
              <w:keepLines/>
              <w:spacing w:before="0" w:line="240" w:lineRule="auto"/>
              <w:rPr>
                <w:rFonts w:ascii="Open Sans SemiBold" w:hAnsi="Open Sans SemiBold" w:cs="Open Sans SemiBold"/>
                <w:sz w:val="16"/>
                <w:szCs w:val="16"/>
              </w:rPr>
            </w:pPr>
            <w:r>
              <w:rPr>
                <w:rFonts w:ascii="Open Sans SemiBold" w:hAnsi="Open Sans SemiBold" w:cs="Open Sans SemiBold"/>
                <w:sz w:val="16"/>
                <w:szCs w:val="16"/>
              </w:rPr>
              <w:t>Urban roads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2B3E0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5F6833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144FB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43C41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C5F29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5F8044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C858C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F02AD5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C10E1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r>
      <w:tr w:rsidR="007E365E" w:rsidRPr="009944CD" w14:paraId="25EF4621"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77258934"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Equal per capita</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60D76D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95061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18C26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5E5EB7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087011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642509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1A53E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2126A5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7864AC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138</w:t>
            </w:r>
          </w:p>
        </w:tc>
      </w:tr>
      <w:tr w:rsidR="007E365E" w:rsidRPr="009944CD" w14:paraId="0DAD223E"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67621C4E"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Road length</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E4BEA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727F6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E8E8CD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DBE596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A78352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09B311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B7341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B56566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3DBDF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r>
      <w:tr w:rsidR="007E365E" w:rsidRPr="009944CD" w14:paraId="080C38D6"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46076DE1"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Traffic volume</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0F23E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E16CF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C1D6EC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30CE7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6CBDA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5B5CD5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A93A30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CE2194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-27</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EFF16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r>
      <w:tr w:rsidR="007E365E" w:rsidRPr="009944CD" w14:paraId="6F52F14E"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57ED235C"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Heavy vehicle use</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F72746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4E8C0E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3C3E5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22FADA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A26902E"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475EF6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B6D3EB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90B001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0E580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r>
      <w:tr w:rsidR="007E365E" w:rsidRPr="009944CD" w14:paraId="43A0AEA1"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5C004076"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Wage costs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B5C3E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829A1B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02D4AF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A2822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96825D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B80F69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7FA80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55E442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C6A433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r>
      <w:tr w:rsidR="007E365E" w:rsidRPr="009944CD" w14:paraId="0595A9D9" w14:textId="77777777" w:rsidTr="007D1D77">
        <w:trPr>
          <w:trHeight w:val="315"/>
        </w:trPr>
        <w:tc>
          <w:tcPr>
            <w:tcW w:w="0" w:type="auto"/>
            <w:tcBorders>
              <w:top w:val="nil"/>
              <w:left w:val="nil"/>
              <w:bottom w:val="single" w:sz="4" w:space="0" w:color="ADD6EA"/>
              <w:right w:val="nil"/>
            </w:tcBorders>
            <w:shd w:val="clear" w:color="000000" w:fill="B6D5E4"/>
            <w:noWrap/>
            <w:tcMar>
              <w:top w:w="15" w:type="dxa"/>
              <w:left w:w="135" w:type="dxa"/>
              <w:bottom w:w="0" w:type="dxa"/>
              <w:right w:w="15" w:type="dxa"/>
            </w:tcMar>
            <w:vAlign w:val="bottom"/>
            <w:hideMark/>
          </w:tcPr>
          <w:p w14:paraId="06582BD6" w14:textId="77777777" w:rsidR="007E365E" w:rsidRDefault="007E365E" w:rsidP="007D1D77">
            <w:pPr>
              <w:keepNext/>
              <w:keepLines/>
              <w:spacing w:before="0" w:line="240" w:lineRule="auto"/>
              <w:ind w:left="113"/>
              <w:rPr>
                <w:rFonts w:ascii="Open Sans SemiBold" w:hAnsi="Open Sans SemiBold" w:cs="Open Sans SemiBold"/>
                <w:sz w:val="16"/>
                <w:szCs w:val="16"/>
              </w:rPr>
            </w:pPr>
            <w:r>
              <w:rPr>
                <w:rFonts w:ascii="Open Sans SemiBold" w:hAnsi="Open Sans SemiBold" w:cs="Open Sans SemiBold"/>
                <w:sz w:val="16"/>
                <w:szCs w:val="16"/>
              </w:rPr>
              <w:t>Assessed expenses</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7F965FF2"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136</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46EBB163"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143</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5B010126"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143</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5095F502"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143</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23E51E47"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110</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27C74763"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116</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230A6048"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155</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601C704A"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100</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3E0CA152"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138</w:t>
            </w:r>
          </w:p>
        </w:tc>
      </w:tr>
      <w:tr w:rsidR="007E365E" w:rsidRPr="009944CD" w14:paraId="0363BFA6"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A1A240" w14:textId="77777777" w:rsidR="007E365E" w:rsidRDefault="007E365E" w:rsidP="007D1D77">
            <w:pPr>
              <w:keepNext/>
              <w:keepLines/>
              <w:spacing w:before="0" w:line="240" w:lineRule="auto"/>
              <w:rPr>
                <w:rFonts w:ascii="Open Sans SemiBold" w:hAnsi="Open Sans SemiBold" w:cs="Open Sans SemiBold"/>
                <w:sz w:val="16"/>
                <w:szCs w:val="16"/>
              </w:rPr>
            </w:pPr>
            <w:r>
              <w:rPr>
                <w:rFonts w:ascii="Open Sans SemiBold" w:hAnsi="Open Sans SemiBold" w:cs="Open Sans SemiBold"/>
                <w:sz w:val="16"/>
                <w:szCs w:val="16"/>
              </w:rPr>
              <w:t>Bridges and tunnels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8DA68D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DF4AFA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04B38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680B8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C8FDAF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5D01F2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C480AD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2D399C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ABEC3A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 </w:t>
            </w:r>
          </w:p>
        </w:tc>
      </w:tr>
      <w:tr w:rsidR="007E365E" w:rsidRPr="009944CD" w14:paraId="37B5729F"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24BBF3C9"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Equal per capita</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842D8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D26C4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990C56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F1993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8FD7E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5A9B9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101EE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7DD04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6ACA15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18</w:t>
            </w:r>
          </w:p>
        </w:tc>
      </w:tr>
      <w:tr w:rsidR="007E365E" w:rsidRPr="009944CD" w14:paraId="482464E4"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46FB2191"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Length</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B438F6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E1CA3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618AC9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BA16D8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AF2A92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A4F4AD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EF679D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0ABEF6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0B861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r>
      <w:tr w:rsidR="007E365E" w:rsidRPr="009944CD" w14:paraId="5E5EA85D"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373F69AD"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Heavy vehicle use</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C5EC7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0C4F5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4BACF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B37781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A05F33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150C3C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27261C3"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1D347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0733255"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r>
      <w:tr w:rsidR="007E365E" w:rsidRPr="009944CD" w14:paraId="6DB9E585"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706DEE8C"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Regional costs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65525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14B994"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206B22"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2BAE7A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7566FC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A09F06C"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591748"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DEF9E7"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325D71A"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r>
      <w:tr w:rsidR="007E365E" w:rsidRPr="009944CD" w14:paraId="271CF494"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35" w:type="dxa"/>
              <w:bottom w:w="0" w:type="dxa"/>
              <w:right w:w="15" w:type="dxa"/>
            </w:tcMar>
            <w:vAlign w:val="bottom"/>
            <w:hideMark/>
          </w:tcPr>
          <w:p w14:paraId="0FA720CC" w14:textId="77777777" w:rsidR="007E365E" w:rsidRDefault="007E365E" w:rsidP="007D1D77">
            <w:pPr>
              <w:keepNext/>
              <w:keepLines/>
              <w:spacing w:before="0" w:line="240" w:lineRule="auto"/>
              <w:ind w:left="113"/>
              <w:rPr>
                <w:rFonts w:cs="Open Sans Light"/>
                <w:sz w:val="16"/>
                <w:szCs w:val="16"/>
              </w:rPr>
            </w:pPr>
            <w:r>
              <w:rPr>
                <w:rFonts w:cs="Open Sans Light"/>
                <w:sz w:val="16"/>
                <w:szCs w:val="16"/>
              </w:rPr>
              <w:t>Wage costs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A1E0C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2398570"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C114A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41DAA1"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6D206B"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8158BF"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369A3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C6E926"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2EB4759" w14:textId="77777777" w:rsidR="007E365E" w:rsidRDefault="007E365E" w:rsidP="007D1D77">
            <w:pPr>
              <w:keepNext/>
              <w:keepLines/>
              <w:spacing w:before="0" w:line="240" w:lineRule="auto"/>
              <w:jc w:val="right"/>
              <w:rPr>
                <w:rFonts w:cs="Open Sans Light"/>
                <w:sz w:val="16"/>
                <w:szCs w:val="16"/>
              </w:rPr>
            </w:pPr>
            <w:r>
              <w:rPr>
                <w:rFonts w:cs="Open Sans Light"/>
                <w:sz w:val="16"/>
                <w:szCs w:val="16"/>
              </w:rPr>
              <w:t>0</w:t>
            </w:r>
          </w:p>
        </w:tc>
      </w:tr>
      <w:tr w:rsidR="007E365E" w:rsidRPr="009944CD" w14:paraId="3E0AB0CA" w14:textId="77777777" w:rsidTr="007D1D77">
        <w:trPr>
          <w:trHeight w:val="315"/>
        </w:trPr>
        <w:tc>
          <w:tcPr>
            <w:tcW w:w="0" w:type="auto"/>
            <w:tcBorders>
              <w:top w:val="nil"/>
              <w:left w:val="nil"/>
              <w:bottom w:val="single" w:sz="4" w:space="0" w:color="ADD6EA"/>
              <w:right w:val="nil"/>
            </w:tcBorders>
            <w:shd w:val="clear" w:color="000000" w:fill="B6D5E4"/>
            <w:noWrap/>
            <w:tcMar>
              <w:top w:w="15" w:type="dxa"/>
              <w:left w:w="135" w:type="dxa"/>
              <w:bottom w:w="0" w:type="dxa"/>
              <w:right w:w="15" w:type="dxa"/>
            </w:tcMar>
            <w:vAlign w:val="bottom"/>
            <w:hideMark/>
          </w:tcPr>
          <w:p w14:paraId="1CDFA40A" w14:textId="77777777" w:rsidR="007E365E" w:rsidRDefault="007E365E" w:rsidP="007D1D77">
            <w:pPr>
              <w:keepNext/>
              <w:keepLines/>
              <w:spacing w:before="0" w:line="240" w:lineRule="auto"/>
              <w:ind w:left="113"/>
              <w:rPr>
                <w:rFonts w:ascii="Open Sans SemiBold" w:hAnsi="Open Sans SemiBold" w:cs="Open Sans SemiBold"/>
                <w:sz w:val="16"/>
                <w:szCs w:val="16"/>
              </w:rPr>
            </w:pPr>
            <w:r>
              <w:rPr>
                <w:rFonts w:ascii="Open Sans SemiBold" w:hAnsi="Open Sans SemiBold" w:cs="Open Sans SemiBold"/>
                <w:sz w:val="16"/>
                <w:szCs w:val="16"/>
              </w:rPr>
              <w:t>Assessed expenses (a)</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4AA4D80B"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18</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3100F19E"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14</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0C420927"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25</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5C65CCF9"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17</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487541F3"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14</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556FEAC8"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25</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418EDCE3"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14</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20BCCF54"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34</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066A7B59" w14:textId="77777777" w:rsidR="007E365E" w:rsidRDefault="007E365E" w:rsidP="007D1D77">
            <w:pPr>
              <w:keepNext/>
              <w:keepLines/>
              <w:spacing w:before="0" w:line="240" w:lineRule="auto"/>
              <w:jc w:val="right"/>
              <w:rPr>
                <w:rFonts w:ascii="Open Sans SemiBold" w:hAnsi="Open Sans SemiBold" w:cs="Open Sans SemiBold"/>
                <w:sz w:val="16"/>
                <w:szCs w:val="16"/>
              </w:rPr>
            </w:pPr>
            <w:r>
              <w:rPr>
                <w:rFonts w:ascii="Open Sans SemiBold" w:hAnsi="Open Sans SemiBold" w:cs="Open Sans SemiBold"/>
                <w:sz w:val="16"/>
                <w:szCs w:val="16"/>
              </w:rPr>
              <w:t>18</w:t>
            </w:r>
          </w:p>
        </w:tc>
      </w:tr>
      <w:tr w:rsidR="007E365E" w:rsidRPr="009944CD" w14:paraId="3216F36A" w14:textId="77777777" w:rsidTr="007D1D77">
        <w:trPr>
          <w:trHeight w:val="315"/>
        </w:trPr>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B2D1CB6" w14:textId="77777777" w:rsidR="007E365E" w:rsidRDefault="007E365E" w:rsidP="007D1D77">
            <w:pPr>
              <w:keepNext/>
              <w:keepLines/>
              <w:spacing w:before="0" w:line="240" w:lineRule="auto"/>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 assessed expenses</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CB3381A"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282</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27C09F3"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265</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B967436"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338</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5F519A8"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361</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6E5F3EE"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341</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ECBF09D"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324</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0DA9A51"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171</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D5EE2D3"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656</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C30AAD8" w14:textId="77777777" w:rsidR="007E365E" w:rsidRDefault="007E365E" w:rsidP="007D1D77">
            <w:pPr>
              <w:keepNext/>
              <w:keepLines/>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304</w:t>
            </w:r>
          </w:p>
        </w:tc>
      </w:tr>
    </w:tbl>
    <w:p w14:paraId="35850645" w14:textId="77777777" w:rsidR="007E365E" w:rsidRPr="00E23377" w:rsidRDefault="007E365E" w:rsidP="007E365E">
      <w:pPr>
        <w:pStyle w:val="CGCTablenote"/>
        <w:keepNext/>
        <w:keepLines/>
      </w:pPr>
      <w:r w:rsidRPr="00E23377">
        <w:t>Note:</w:t>
      </w:r>
      <w:r>
        <w:tab/>
      </w:r>
      <w:r w:rsidRPr="00E23377">
        <w:t xml:space="preserve">Table may not add due to interactions between disabilities and rounding. The </w:t>
      </w:r>
      <w:r>
        <w:t>equal per capita (</w:t>
      </w:r>
      <w:r w:rsidRPr="00E23377">
        <w:t>EPC</w:t>
      </w:r>
      <w:r>
        <w:t>)</w:t>
      </w:r>
      <w:r w:rsidRPr="00E23377">
        <w:t xml:space="preserve"> expenses and assessed expenses are total spending per capita. The amounts for each disability are redistributions from an EPC assessment.</w:t>
      </w:r>
    </w:p>
    <w:p w14:paraId="4B4E59F6" w14:textId="77777777" w:rsidR="007E365E" w:rsidRPr="00E23377" w:rsidRDefault="007E365E" w:rsidP="007E365E">
      <w:pPr>
        <w:pStyle w:val="CGCTablenote"/>
        <w:keepNext/>
        <w:keepLines/>
      </w:pPr>
      <w:r w:rsidRPr="00B116C5">
        <w:t>(a</w:t>
      </w:r>
      <w:r>
        <w:t>)</w:t>
      </w:r>
      <w:r>
        <w:tab/>
      </w:r>
      <w:r w:rsidRPr="00E23377">
        <w:t xml:space="preserve">While the assessment of bridge and tunnel expenses is not material, the contribution of this disability to the investment assessment is material. </w:t>
      </w:r>
    </w:p>
    <w:p w14:paraId="17DE047E" w14:textId="77777777" w:rsidR="007E365E" w:rsidRPr="00E23377" w:rsidRDefault="007E365E" w:rsidP="007E365E">
      <w:pPr>
        <w:pStyle w:val="CGCTablenote"/>
        <w:keepNext/>
        <w:keepLines/>
      </w:pPr>
      <w:r w:rsidRPr="00E23377">
        <w:t>Source:</w:t>
      </w:r>
      <w:r w:rsidRPr="00E23377">
        <w:tab/>
        <w:t>Commission calculation.</w:t>
      </w:r>
    </w:p>
    <w:p w14:paraId="3B5F0C3F" w14:textId="77777777" w:rsidR="007E365E" w:rsidRPr="00E23377" w:rsidRDefault="007E365E" w:rsidP="007E365E">
      <w:pPr>
        <w:pStyle w:val="Heading3"/>
      </w:pPr>
      <w:bookmarkStart w:id="204" w:name="_Toc4754277"/>
      <w:bookmarkStart w:id="205" w:name="_Toc5030080"/>
      <w:r w:rsidRPr="00E23377">
        <w:t xml:space="preserve">Infrastructure </w:t>
      </w:r>
      <w:r>
        <w:t>a</w:t>
      </w:r>
      <w:r w:rsidRPr="00E23377">
        <w:t>ssessment</w:t>
      </w:r>
      <w:bookmarkEnd w:id="204"/>
      <w:bookmarkEnd w:id="205"/>
    </w:p>
    <w:p w14:paraId="4865A8C0" w14:textId="77777777" w:rsidR="007E365E" w:rsidRPr="00E23377" w:rsidRDefault="007E365E" w:rsidP="007E365E">
      <w:pPr>
        <w:pStyle w:val="CGCParaNumber"/>
      </w:pPr>
      <w:r w:rsidRPr="00E23377">
        <w:t>States require infrastructure to support service delivery. State infrastructure requirements are assessed in the Investment category. The main driver of investment in roads related infrastructure is growth in traffic volume and heavy vehicle use across both the rural and urban road networks. Population growth also drives investment in roads</w:t>
      </w:r>
      <w:r>
        <w:t>, and bridges and tunnels</w:t>
      </w:r>
      <w:r w:rsidRPr="00E23377">
        <w:t>. Interstate differences in construction costs are also recognised.</w:t>
      </w:r>
    </w:p>
    <w:p w14:paraId="7F079BBF" w14:textId="05EE33F9" w:rsidR="007E365E" w:rsidRPr="00E23377" w:rsidRDefault="007E365E" w:rsidP="007E365E">
      <w:pPr>
        <w:pStyle w:val="CGCParaNumber"/>
      </w:pPr>
      <w:r w:rsidRPr="00E23377">
        <w:t>Roads investment needs are assessed using capital stock factors derived from the recurrent roads assessment sub-component factors.</w:t>
      </w:r>
      <w:r w:rsidRPr="00E23377">
        <w:rPr>
          <w:rStyle w:val="FootnoteReference"/>
        </w:rPr>
        <w:footnoteReference w:id="40"/>
      </w:r>
      <w:r w:rsidRPr="00E23377">
        <w:t xml:space="preserve"> These factors are combined into a single factor each for rural roads and urban roads using weights derived from NTC category expenses. </w:t>
      </w:r>
      <w:r w:rsidRPr="00E23377">
        <w:lastRenderedPageBreak/>
        <w:fldChar w:fldCharType="begin"/>
      </w:r>
      <w:r w:rsidRPr="00E23377">
        <w:instrText xml:space="preserve"> REF _Ref9608151 \h  \* MERGEFORMAT </w:instrText>
      </w:r>
      <w:r w:rsidRPr="00E23377">
        <w:fldChar w:fldCharType="separate"/>
      </w:r>
      <w:r w:rsidR="007F721A" w:rsidRPr="00E23377">
        <w:t xml:space="preserve">Table </w:t>
      </w:r>
      <w:r w:rsidR="007F721A">
        <w:rPr>
          <w:noProof/>
        </w:rPr>
        <w:t>20-24</w:t>
      </w:r>
      <w:r w:rsidRPr="00E23377">
        <w:fldChar w:fldCharType="end"/>
      </w:r>
      <w:r w:rsidRPr="00E23377">
        <w:t xml:space="preserve"> </w:t>
      </w:r>
      <w:r w:rsidRPr="00B116C5">
        <w:t>provides the investment assessment cost allocation for the relevant NTC categories.</w:t>
      </w:r>
    </w:p>
    <w:p w14:paraId="61EEF1F6" w14:textId="12F2021B" w:rsidR="007E365E" w:rsidRPr="0021282B" w:rsidRDefault="007E365E" w:rsidP="007E365E">
      <w:pPr>
        <w:pStyle w:val="Caption"/>
      </w:pPr>
      <w:bookmarkStart w:id="206" w:name="_Ref9608151"/>
      <w:r w:rsidRPr="00E23377">
        <w:t xml:space="preserve">Table </w:t>
      </w:r>
      <w:r>
        <w:t>20-</w:t>
      </w:r>
      <w:fldSimple w:instr=" SEQ Table \* ARABIC ">
        <w:r w:rsidR="007F721A">
          <w:rPr>
            <w:noProof/>
          </w:rPr>
          <w:t>24</w:t>
        </w:r>
      </w:fldSimple>
      <w:bookmarkEnd w:id="206"/>
      <w:r w:rsidRPr="00E23377">
        <w:tab/>
        <w:t>Roads investment cost allocation based on NTC cost allocation formulae</w:t>
      </w:r>
    </w:p>
    <w:tbl>
      <w:tblPr>
        <w:tblW w:w="8980" w:type="dxa"/>
        <w:tblCellMar>
          <w:left w:w="0" w:type="dxa"/>
          <w:right w:w="0" w:type="dxa"/>
        </w:tblCellMar>
        <w:tblLook w:val="04A0" w:firstRow="1" w:lastRow="0" w:firstColumn="1" w:lastColumn="0" w:noHBand="0" w:noVBand="1"/>
      </w:tblPr>
      <w:tblGrid>
        <w:gridCol w:w="420"/>
        <w:gridCol w:w="3640"/>
        <w:gridCol w:w="980"/>
        <w:gridCol w:w="980"/>
        <w:gridCol w:w="1000"/>
        <w:gridCol w:w="980"/>
        <w:gridCol w:w="980"/>
      </w:tblGrid>
      <w:tr w:rsidR="007E365E" w:rsidRPr="00ED2D7C" w14:paraId="291275AA" w14:textId="77777777" w:rsidTr="007D1D77">
        <w:trPr>
          <w:trHeight w:val="765"/>
        </w:trPr>
        <w:tc>
          <w:tcPr>
            <w:tcW w:w="42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26C542B6" w14:textId="77777777" w:rsidR="007E365E" w:rsidRDefault="007E365E" w:rsidP="000524E8">
            <w:pPr>
              <w:tabs>
                <w:tab w:val="clear" w:pos="567"/>
              </w:tabs>
              <w:spacing w:before="0" w:line="240" w:lineRule="auto"/>
              <w:jc w:val="right"/>
              <w:rPr>
                <w:rFonts w:ascii="Open Sans SemiBold" w:hAnsi="Open Sans SemiBold" w:cs="Open Sans SemiBold"/>
                <w:b/>
                <w:color w:val="FFFFFF"/>
                <w:sz w:val="16"/>
                <w:szCs w:val="16"/>
              </w:rPr>
            </w:pPr>
            <w:r>
              <w:rPr>
                <w:rFonts w:ascii="Open Sans SemiBold" w:hAnsi="Open Sans SemiBold" w:cs="Open Sans SemiBold"/>
                <w:b/>
                <w:color w:val="FFFFFF"/>
                <w:sz w:val="16"/>
                <w:szCs w:val="16"/>
              </w:rPr>
              <w:t> </w:t>
            </w:r>
          </w:p>
        </w:tc>
        <w:tc>
          <w:tcPr>
            <w:tcW w:w="36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789CF982" w14:textId="77777777" w:rsidR="007E365E" w:rsidRDefault="007E365E" w:rsidP="000524E8">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9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391CF5AD" w14:textId="09BFE166" w:rsidR="007E365E" w:rsidRDefault="007E365E" w:rsidP="000524E8">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xml:space="preserve">Road </w:t>
            </w:r>
            <w:r w:rsidR="00C3583B">
              <w:rPr>
                <w:rFonts w:ascii="Open Sans SemiBold" w:hAnsi="Open Sans SemiBold" w:cs="Open Sans SemiBold"/>
                <w:color w:val="FFFFFF"/>
                <w:sz w:val="16"/>
                <w:szCs w:val="16"/>
              </w:rPr>
              <w:br/>
            </w:r>
            <w:r>
              <w:rPr>
                <w:rFonts w:ascii="Open Sans SemiBold" w:hAnsi="Open Sans SemiBold" w:cs="Open Sans SemiBold"/>
                <w:color w:val="FFFFFF"/>
                <w:sz w:val="16"/>
                <w:szCs w:val="16"/>
              </w:rPr>
              <w:t>length</w:t>
            </w:r>
          </w:p>
        </w:tc>
        <w:tc>
          <w:tcPr>
            <w:tcW w:w="9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2709B4A8" w14:textId="2136B3EA" w:rsidR="007E365E" w:rsidRDefault="007E365E" w:rsidP="000524E8">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xml:space="preserve">Road </w:t>
            </w:r>
            <w:r w:rsidR="00C3583B">
              <w:rPr>
                <w:rFonts w:ascii="Open Sans SemiBold" w:hAnsi="Open Sans SemiBold" w:cs="Open Sans SemiBold"/>
                <w:color w:val="FFFFFF"/>
                <w:sz w:val="16"/>
                <w:szCs w:val="16"/>
              </w:rPr>
              <w:br/>
            </w:r>
            <w:r>
              <w:rPr>
                <w:rFonts w:ascii="Open Sans SemiBold" w:hAnsi="Open Sans SemiBold" w:cs="Open Sans SemiBold"/>
                <w:color w:val="FFFFFF"/>
                <w:sz w:val="16"/>
                <w:szCs w:val="16"/>
              </w:rPr>
              <w:t>traffic volume</w:t>
            </w:r>
          </w:p>
        </w:tc>
        <w:tc>
          <w:tcPr>
            <w:tcW w:w="100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3A645D75" w14:textId="77777777" w:rsidR="007E365E" w:rsidRDefault="007E365E" w:rsidP="000524E8">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Road heavy vehicle use</w:t>
            </w:r>
          </w:p>
        </w:tc>
        <w:tc>
          <w:tcPr>
            <w:tcW w:w="9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376235D5" w14:textId="77777777" w:rsidR="007E365E" w:rsidRDefault="007E365E" w:rsidP="000524E8">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Bridge and tunnel length</w:t>
            </w:r>
          </w:p>
        </w:tc>
        <w:tc>
          <w:tcPr>
            <w:tcW w:w="9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hideMark/>
          </w:tcPr>
          <w:p w14:paraId="4DB80E89" w14:textId="77777777" w:rsidR="007E365E" w:rsidRDefault="007E365E" w:rsidP="000524E8">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Bridge and tunnel use</w:t>
            </w:r>
          </w:p>
        </w:tc>
      </w:tr>
      <w:tr w:rsidR="007E365E" w:rsidRPr="00ED2D7C" w14:paraId="5760524A" w14:textId="77777777" w:rsidTr="007D1D77">
        <w:trPr>
          <w:trHeight w:val="259"/>
        </w:trPr>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438B0B5" w14:textId="77777777" w:rsidR="007E365E" w:rsidRDefault="007E365E" w:rsidP="007D1D77">
            <w:pPr>
              <w:spacing w:before="0" w:line="240" w:lineRule="auto"/>
              <w:rPr>
                <w:rFonts w:ascii="Open Sans SemiBold" w:hAnsi="Open Sans SemiBold" w:cs="Open Sans SemiBold"/>
                <w:sz w:val="22"/>
              </w:rPr>
            </w:pPr>
            <w:r>
              <w:rPr>
                <w:rFonts w:ascii="Open Sans SemiBold" w:hAnsi="Open Sans SemiBold" w:cs="Open Sans SemiBold"/>
                <w:sz w:val="22"/>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DDFE133" w14:textId="77777777" w:rsidR="007E365E" w:rsidRDefault="007E365E" w:rsidP="007D1D77">
            <w:pPr>
              <w:spacing w:before="0" w:line="240" w:lineRule="auto"/>
              <w:rPr>
                <w:rFonts w:ascii="Open Sans SemiBold" w:hAnsi="Open Sans SemiBold" w:cs="Open Sans SemiBold"/>
                <w:sz w:val="22"/>
              </w:rPr>
            </w:pPr>
            <w:r>
              <w:rPr>
                <w:rFonts w:ascii="Open Sans SemiBold" w:hAnsi="Open Sans SemiBold" w:cs="Open Sans SemiBold"/>
                <w:sz w:val="22"/>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0CF4C61"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BB1D977"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0F074DD"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3BFF277"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5C59135"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r>
      <w:tr w:rsidR="007E365E" w:rsidRPr="00ED2D7C" w14:paraId="2EC54E70"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541D3A3" w14:textId="77777777" w:rsidR="007E365E" w:rsidRDefault="007E365E" w:rsidP="007D1D77">
            <w:pPr>
              <w:spacing w:before="0" w:line="240" w:lineRule="auto"/>
              <w:rPr>
                <w:rFonts w:cs="Open Sans Light"/>
                <w:sz w:val="16"/>
                <w:szCs w:val="16"/>
              </w:rPr>
            </w:pPr>
            <w:r>
              <w:rPr>
                <w:rFonts w:cs="Open Sans Light"/>
                <w:sz w:val="16"/>
                <w:szCs w:val="16"/>
              </w:rPr>
              <w:t>F1</w:t>
            </w:r>
          </w:p>
        </w:tc>
        <w:tc>
          <w:tcPr>
            <w:tcW w:w="36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960E1D7" w14:textId="77777777" w:rsidR="007E365E" w:rsidRDefault="007E365E" w:rsidP="007D1D77">
            <w:pPr>
              <w:spacing w:before="0" w:line="240" w:lineRule="auto"/>
              <w:rPr>
                <w:rFonts w:cs="Open Sans Light"/>
                <w:sz w:val="16"/>
                <w:szCs w:val="16"/>
              </w:rPr>
            </w:pPr>
            <w:r>
              <w:rPr>
                <w:rFonts w:cs="Open Sans Light"/>
                <w:sz w:val="16"/>
                <w:szCs w:val="16"/>
              </w:rPr>
              <w:t>Pavement improvements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C4D5D7" w14:textId="77777777" w:rsidR="007E365E" w:rsidRDefault="007E365E" w:rsidP="007D1D77">
            <w:pPr>
              <w:spacing w:before="0" w:line="240" w:lineRule="auto"/>
              <w:jc w:val="right"/>
              <w:rPr>
                <w:rFonts w:cs="Open Sans Light"/>
                <w:sz w:val="16"/>
                <w:szCs w:val="16"/>
              </w:rPr>
            </w:pPr>
            <w:r>
              <w:rPr>
                <w:rFonts w:cs="Open Sans Light"/>
                <w:sz w:val="16"/>
                <w:szCs w:val="16"/>
              </w:rPr>
              <w:t>55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4C5FB0"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2FFC0D2" w14:textId="77777777" w:rsidR="007E365E" w:rsidRDefault="007E365E" w:rsidP="007D1D77">
            <w:pPr>
              <w:spacing w:before="0" w:line="240" w:lineRule="auto"/>
              <w:jc w:val="right"/>
              <w:rPr>
                <w:rFonts w:cs="Open Sans Light"/>
                <w:sz w:val="16"/>
                <w:szCs w:val="16"/>
              </w:rPr>
            </w:pPr>
            <w:r>
              <w:rPr>
                <w:rFonts w:cs="Open Sans Light"/>
                <w:sz w:val="16"/>
                <w:szCs w:val="16"/>
              </w:rPr>
              <w:t>45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9528FC"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D52063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r>
      <w:tr w:rsidR="007E365E" w:rsidRPr="00ED2D7C" w14:paraId="53EFC365"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25EEC16" w14:textId="77777777" w:rsidR="007E365E" w:rsidRDefault="007E365E" w:rsidP="007D1D77">
            <w:pPr>
              <w:spacing w:before="0" w:line="240" w:lineRule="auto"/>
              <w:rPr>
                <w:rFonts w:cs="Open Sans Light"/>
                <w:sz w:val="16"/>
                <w:szCs w:val="16"/>
              </w:rPr>
            </w:pPr>
            <w:r>
              <w:rPr>
                <w:rFonts w:cs="Open Sans Light"/>
                <w:sz w:val="16"/>
                <w:szCs w:val="16"/>
              </w:rPr>
              <w:t>F2</w:t>
            </w:r>
          </w:p>
        </w:tc>
        <w:tc>
          <w:tcPr>
            <w:tcW w:w="36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E93FA2E" w14:textId="77777777" w:rsidR="007E365E" w:rsidRDefault="007E365E" w:rsidP="007D1D77">
            <w:pPr>
              <w:spacing w:before="0" w:line="240" w:lineRule="auto"/>
              <w:rPr>
                <w:rFonts w:cs="Open Sans Light"/>
                <w:sz w:val="16"/>
                <w:szCs w:val="16"/>
              </w:rPr>
            </w:pPr>
            <w:r>
              <w:rPr>
                <w:rFonts w:cs="Open Sans Light"/>
                <w:sz w:val="16"/>
                <w:szCs w:val="16"/>
              </w:rPr>
              <w:t>Bridge improvements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F1B005"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FA8CA6"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F2BE87"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C84358E" w14:textId="77777777" w:rsidR="007E365E" w:rsidRDefault="007E365E" w:rsidP="007D1D77">
            <w:pPr>
              <w:spacing w:before="0" w:line="240" w:lineRule="auto"/>
              <w:jc w:val="right"/>
              <w:rPr>
                <w:rFonts w:cs="Open Sans Light"/>
                <w:sz w:val="16"/>
                <w:szCs w:val="16"/>
              </w:rPr>
            </w:pPr>
            <w:r>
              <w:rPr>
                <w:rFonts w:cs="Open Sans Light"/>
                <w:sz w:val="16"/>
                <w:szCs w:val="16"/>
              </w:rPr>
              <w:t>85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70773BB" w14:textId="77777777" w:rsidR="007E365E" w:rsidRDefault="007E365E" w:rsidP="007D1D77">
            <w:pPr>
              <w:spacing w:before="0" w:line="240" w:lineRule="auto"/>
              <w:jc w:val="right"/>
              <w:rPr>
                <w:rFonts w:cs="Open Sans Light"/>
                <w:sz w:val="16"/>
                <w:szCs w:val="16"/>
              </w:rPr>
            </w:pPr>
            <w:r>
              <w:rPr>
                <w:rFonts w:cs="Open Sans Light"/>
                <w:sz w:val="16"/>
                <w:szCs w:val="16"/>
              </w:rPr>
              <w:t>15</w:t>
            </w:r>
          </w:p>
        </w:tc>
      </w:tr>
      <w:tr w:rsidR="007E365E" w:rsidRPr="00ED2D7C" w14:paraId="3BEE9DB8" w14:textId="77777777" w:rsidTr="007D1D77">
        <w:trPr>
          <w:trHeight w:val="55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027DA33" w14:textId="77777777" w:rsidR="007E365E" w:rsidRDefault="007E365E" w:rsidP="007D1D77">
            <w:pPr>
              <w:spacing w:before="0" w:line="240" w:lineRule="auto"/>
              <w:rPr>
                <w:rFonts w:cs="Open Sans Light"/>
                <w:sz w:val="16"/>
                <w:szCs w:val="16"/>
              </w:rPr>
            </w:pPr>
            <w:r>
              <w:rPr>
                <w:rFonts w:cs="Open Sans Light"/>
                <w:sz w:val="16"/>
                <w:szCs w:val="16"/>
              </w:rPr>
              <w:t>F3</w:t>
            </w:r>
          </w:p>
        </w:tc>
        <w:tc>
          <w:tcPr>
            <w:tcW w:w="364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3EAAE92" w14:textId="77777777" w:rsidR="007E365E" w:rsidRDefault="007E365E" w:rsidP="007D1D77">
            <w:pPr>
              <w:spacing w:before="0" w:line="240" w:lineRule="auto"/>
              <w:rPr>
                <w:rFonts w:cs="Open Sans Light"/>
                <w:sz w:val="16"/>
                <w:szCs w:val="16"/>
              </w:rPr>
            </w:pPr>
            <w:r>
              <w:rPr>
                <w:rFonts w:cs="Open Sans Light"/>
                <w:sz w:val="16"/>
                <w:szCs w:val="16"/>
              </w:rPr>
              <w:t>Land acquisition, earthworks, other extensions/improvements</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D37DAEC" w14:textId="77777777" w:rsidR="007E365E" w:rsidRDefault="007E365E" w:rsidP="007D1D77">
            <w:pPr>
              <w:spacing w:before="0" w:line="240" w:lineRule="auto"/>
              <w:jc w:val="right"/>
              <w:rPr>
                <w:rFonts w:cs="Open Sans Light"/>
                <w:sz w:val="16"/>
                <w:szCs w:val="16"/>
              </w:rPr>
            </w:pPr>
            <w:r>
              <w:rPr>
                <w:rFonts w:cs="Open Sans Light"/>
                <w:sz w:val="16"/>
                <w:szCs w:val="16"/>
              </w:rPr>
              <w:t>90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D67F4E" w14:textId="77777777" w:rsidR="007E365E" w:rsidRDefault="007E365E" w:rsidP="007D1D77">
            <w:pPr>
              <w:spacing w:before="0" w:line="240" w:lineRule="auto"/>
              <w:jc w:val="right"/>
              <w:rPr>
                <w:rFonts w:cs="Open Sans Light"/>
                <w:sz w:val="16"/>
                <w:szCs w:val="16"/>
              </w:rPr>
            </w:pPr>
            <w:r>
              <w:rPr>
                <w:rFonts w:cs="Open Sans Light"/>
                <w:sz w:val="16"/>
                <w:szCs w:val="16"/>
              </w:rPr>
              <w:t>10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DE9892"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B8FEC96"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B73FE46" w14:textId="77777777" w:rsidR="007E365E" w:rsidRDefault="007E365E" w:rsidP="007D1D77">
            <w:pPr>
              <w:spacing w:before="0" w:line="240" w:lineRule="auto"/>
              <w:jc w:val="right"/>
              <w:rPr>
                <w:rFonts w:cs="Open Sans Light"/>
                <w:sz w:val="16"/>
                <w:szCs w:val="16"/>
              </w:rPr>
            </w:pPr>
            <w:r>
              <w:rPr>
                <w:rFonts w:cs="Open Sans Light"/>
                <w:sz w:val="16"/>
                <w:szCs w:val="16"/>
              </w:rPr>
              <w:t>0</w:t>
            </w:r>
          </w:p>
        </w:tc>
      </w:tr>
    </w:tbl>
    <w:p w14:paraId="4C2570F6" w14:textId="77777777" w:rsidR="007E365E" w:rsidRPr="00AE492A" w:rsidRDefault="007E365E" w:rsidP="007E365E">
      <w:pPr>
        <w:pStyle w:val="CGCTablenote"/>
      </w:pPr>
      <w:r w:rsidRPr="00AE492A">
        <w:t>Source:</w:t>
      </w:r>
      <w:r w:rsidRPr="00AE492A">
        <w:tab/>
        <w:t>NTC PAYGO cost allocation formulae.</w:t>
      </w:r>
    </w:p>
    <w:p w14:paraId="536B7465" w14:textId="469F118C" w:rsidR="007E365E" w:rsidRPr="00E23377" w:rsidRDefault="007E365E" w:rsidP="007E365E">
      <w:pPr>
        <w:pStyle w:val="CGCParaNumber"/>
      </w:pPr>
      <w:r w:rsidRPr="00C46782">
        <w:t xml:space="preserve">The Commission splits roads investment between rural and urban investment using a weighted average of rural and urban investment expenditure from NTC data </w:t>
      </w:r>
      <w:r>
        <w:t>(</w:t>
      </w:r>
      <w:r w:rsidRPr="00C46782">
        <w:t>with a weight of 33%</w:t>
      </w:r>
      <w:r>
        <w:t>)</w:t>
      </w:r>
      <w:r w:rsidRPr="00C46782">
        <w:t xml:space="preserve"> and State provided data </w:t>
      </w:r>
      <w:r>
        <w:t>(</w:t>
      </w:r>
      <w:r w:rsidRPr="00C46782">
        <w:t>with a weight of 67%</w:t>
      </w:r>
      <w:r>
        <w:t>)</w:t>
      </w:r>
      <w:r w:rsidRPr="00C46782">
        <w:t xml:space="preserve">, as </w:t>
      </w:r>
      <w:r w:rsidRPr="00E23377">
        <w:t xml:space="preserve">shown in </w:t>
      </w:r>
      <w:r w:rsidRPr="00E23377">
        <w:fldChar w:fldCharType="begin"/>
      </w:r>
      <w:r w:rsidRPr="00E23377">
        <w:instrText xml:space="preserve"> REF _Ref409526132 \h  \* MERGEFORMAT </w:instrText>
      </w:r>
      <w:r w:rsidRPr="00E23377">
        <w:fldChar w:fldCharType="separate"/>
      </w:r>
      <w:r w:rsidR="007F721A" w:rsidRPr="00E23377">
        <w:t xml:space="preserve">Table </w:t>
      </w:r>
      <w:r w:rsidR="007F721A">
        <w:rPr>
          <w:noProof/>
        </w:rPr>
        <w:t>20-25</w:t>
      </w:r>
      <w:r w:rsidRPr="00E23377">
        <w:fldChar w:fldCharType="end"/>
      </w:r>
      <w:r w:rsidRPr="00E23377">
        <w:t>.</w:t>
      </w:r>
    </w:p>
    <w:p w14:paraId="5C5D172A" w14:textId="32FEB5BC" w:rsidR="007E365E" w:rsidRDefault="007E365E" w:rsidP="007E365E">
      <w:pPr>
        <w:pStyle w:val="Caption"/>
      </w:pPr>
      <w:bookmarkStart w:id="207" w:name="_Ref409526132"/>
      <w:r w:rsidRPr="00E23377">
        <w:t xml:space="preserve">Table </w:t>
      </w:r>
      <w:r>
        <w:t>20-</w:t>
      </w:r>
      <w:fldSimple w:instr=" SEQ Table \* ARABIC ">
        <w:r w:rsidR="007F721A">
          <w:rPr>
            <w:noProof/>
          </w:rPr>
          <w:t>25</w:t>
        </w:r>
      </w:fldSimple>
      <w:bookmarkEnd w:id="207"/>
      <w:r w:rsidRPr="00E23377">
        <w:tab/>
        <w:t>Average urban/rural split of gross roads capital expenditure, 201</w:t>
      </w:r>
      <w:r>
        <w:t>6</w:t>
      </w:r>
      <w:r w:rsidRPr="00E23377">
        <w:t>-1</w:t>
      </w:r>
      <w:r>
        <w:t>7</w:t>
      </w:r>
      <w:r w:rsidRPr="00E23377">
        <w:t xml:space="preserve"> to 201</w:t>
      </w:r>
      <w:r>
        <w:t>8</w:t>
      </w:r>
      <w:r>
        <w:noBreakHyphen/>
      </w:r>
      <w:r w:rsidRPr="00E23377">
        <w:t>1</w:t>
      </w:r>
      <w:r>
        <w:t>9</w:t>
      </w:r>
      <w:r w:rsidRPr="00E23377">
        <w:t xml:space="preserve"> </w:t>
      </w:r>
    </w:p>
    <w:tbl>
      <w:tblPr>
        <w:tblW w:w="8960" w:type="dxa"/>
        <w:tblCellMar>
          <w:left w:w="0" w:type="dxa"/>
          <w:right w:w="0" w:type="dxa"/>
        </w:tblCellMar>
        <w:tblLook w:val="04A0" w:firstRow="1" w:lastRow="0" w:firstColumn="1" w:lastColumn="0" w:noHBand="0" w:noVBand="1"/>
      </w:tblPr>
      <w:tblGrid>
        <w:gridCol w:w="3360"/>
        <w:gridCol w:w="2800"/>
        <w:gridCol w:w="2800"/>
      </w:tblGrid>
      <w:tr w:rsidR="007E365E" w:rsidRPr="009B628A" w14:paraId="58E96C9A" w14:textId="77777777" w:rsidTr="007D1D77">
        <w:trPr>
          <w:trHeight w:val="375"/>
        </w:trPr>
        <w:tc>
          <w:tcPr>
            <w:tcW w:w="33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A4E833E" w14:textId="77777777" w:rsidR="007E365E" w:rsidRDefault="007E365E" w:rsidP="007D1D77">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280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10DCB53" w14:textId="77777777" w:rsidR="007E365E" w:rsidRDefault="007E365E" w:rsidP="007D1D77">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xml:space="preserve">Urban </w:t>
            </w:r>
          </w:p>
        </w:tc>
        <w:tc>
          <w:tcPr>
            <w:tcW w:w="280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93DF4E8" w14:textId="77777777" w:rsidR="007E365E" w:rsidRDefault="007E365E" w:rsidP="007D1D77">
            <w:pPr>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Rural</w:t>
            </w:r>
          </w:p>
        </w:tc>
      </w:tr>
      <w:tr w:rsidR="007E365E" w:rsidRPr="009B628A" w14:paraId="009365A3" w14:textId="77777777" w:rsidTr="007D1D77">
        <w:trPr>
          <w:trHeight w:val="259"/>
        </w:trPr>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DF847C2"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08E5A1F7"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6C8334F4"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r>
      <w:tr w:rsidR="007E365E" w:rsidRPr="009B628A" w14:paraId="73E80F48"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AECE65" w14:textId="77777777" w:rsidR="007E365E" w:rsidRDefault="007E365E" w:rsidP="007D1D77">
            <w:pPr>
              <w:spacing w:before="0"/>
              <w:rPr>
                <w:rFonts w:cs="Open Sans Light"/>
                <w:sz w:val="16"/>
                <w:szCs w:val="16"/>
              </w:rPr>
            </w:pPr>
            <w:r>
              <w:rPr>
                <w:rFonts w:cs="Open Sans Light"/>
                <w:sz w:val="16"/>
                <w:szCs w:val="16"/>
              </w:rPr>
              <w:t>State data</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A30CAAB" w14:textId="77777777" w:rsidR="007E365E" w:rsidRDefault="007E365E" w:rsidP="007D1D77">
            <w:pPr>
              <w:spacing w:before="0"/>
              <w:jc w:val="right"/>
              <w:rPr>
                <w:rFonts w:cs="Open Sans Light"/>
                <w:sz w:val="16"/>
                <w:szCs w:val="16"/>
              </w:rPr>
            </w:pPr>
            <w:r>
              <w:rPr>
                <w:rFonts w:cs="Open Sans Light"/>
                <w:sz w:val="16"/>
                <w:szCs w:val="16"/>
              </w:rPr>
              <w:t>46 (x 0.67)</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CDBB628" w14:textId="77777777" w:rsidR="007E365E" w:rsidRDefault="007E365E" w:rsidP="007D1D77">
            <w:pPr>
              <w:spacing w:before="0"/>
              <w:jc w:val="right"/>
              <w:rPr>
                <w:rFonts w:cs="Open Sans Light"/>
                <w:sz w:val="16"/>
                <w:szCs w:val="16"/>
              </w:rPr>
            </w:pPr>
            <w:r>
              <w:rPr>
                <w:rFonts w:cs="Open Sans Light"/>
                <w:sz w:val="16"/>
                <w:szCs w:val="16"/>
              </w:rPr>
              <w:t>54 (x 0.67)</w:t>
            </w:r>
          </w:p>
        </w:tc>
      </w:tr>
      <w:tr w:rsidR="007E365E" w:rsidRPr="009B628A" w14:paraId="52763D7F"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89F3126" w14:textId="77777777" w:rsidR="007E365E" w:rsidRDefault="007E365E" w:rsidP="007D1D77">
            <w:pPr>
              <w:spacing w:before="0"/>
              <w:rPr>
                <w:rFonts w:cs="Open Sans Light"/>
                <w:sz w:val="16"/>
                <w:szCs w:val="16"/>
              </w:rPr>
            </w:pPr>
            <w:r>
              <w:rPr>
                <w:rFonts w:cs="Open Sans Light"/>
                <w:sz w:val="16"/>
                <w:szCs w:val="16"/>
              </w:rPr>
              <w:t>NTC data</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2D392C" w14:textId="77777777" w:rsidR="007E365E" w:rsidRDefault="007E365E" w:rsidP="007D1D77">
            <w:pPr>
              <w:spacing w:before="0"/>
              <w:jc w:val="right"/>
              <w:rPr>
                <w:rFonts w:cs="Open Sans Light"/>
                <w:sz w:val="16"/>
                <w:szCs w:val="16"/>
              </w:rPr>
            </w:pPr>
            <w:r>
              <w:rPr>
                <w:rFonts w:cs="Open Sans Light"/>
                <w:sz w:val="16"/>
                <w:szCs w:val="16"/>
              </w:rPr>
              <w:t>57 (x 0.33)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7F739EF" w14:textId="77777777" w:rsidR="007E365E" w:rsidRDefault="007E365E" w:rsidP="007D1D77">
            <w:pPr>
              <w:spacing w:before="0"/>
              <w:jc w:val="right"/>
              <w:rPr>
                <w:rFonts w:cs="Open Sans Light"/>
                <w:sz w:val="16"/>
                <w:szCs w:val="16"/>
              </w:rPr>
            </w:pPr>
            <w:r>
              <w:rPr>
                <w:rFonts w:cs="Open Sans Light"/>
                <w:sz w:val="16"/>
                <w:szCs w:val="16"/>
              </w:rPr>
              <w:t>43 (x 0.33)</w:t>
            </w:r>
          </w:p>
        </w:tc>
      </w:tr>
      <w:tr w:rsidR="007E365E" w:rsidRPr="009B628A" w14:paraId="7F362E39" w14:textId="77777777" w:rsidTr="007D1D77">
        <w:trPr>
          <w:trHeight w:val="315"/>
        </w:trPr>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D220968" w14:textId="77777777" w:rsidR="007E365E" w:rsidRDefault="007E365E" w:rsidP="007D1D77">
            <w:pPr>
              <w:spacing w:before="0"/>
              <w:rPr>
                <w:rFonts w:ascii="Open Sans SemiBold" w:hAnsi="Open Sans SemiBold" w:cs="Open Sans SemiBold"/>
                <w:color w:val="000000"/>
                <w:sz w:val="16"/>
                <w:szCs w:val="16"/>
              </w:rPr>
            </w:pPr>
            <w:r>
              <w:rPr>
                <w:rFonts w:ascii="Open Sans SemiBold" w:hAnsi="Open Sans SemiBold" w:cs="Open Sans SemiBold"/>
                <w:color w:val="000000"/>
                <w:sz w:val="16"/>
                <w:szCs w:val="16"/>
              </w:rPr>
              <w:t>Weighted average</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DCF8D35"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49</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E690D75" w14:textId="77777777" w:rsidR="007E365E" w:rsidRDefault="007E365E" w:rsidP="007D1D77">
            <w:pPr>
              <w:spacing w:before="0"/>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51</w:t>
            </w:r>
          </w:p>
        </w:tc>
      </w:tr>
    </w:tbl>
    <w:p w14:paraId="5C98300D" w14:textId="77777777" w:rsidR="007E365E" w:rsidRPr="00E23377" w:rsidRDefault="007E365E" w:rsidP="007E365E">
      <w:pPr>
        <w:pStyle w:val="CGCTablenote"/>
        <w:keepNext/>
        <w:keepLines/>
      </w:pPr>
      <w:r w:rsidRPr="00E23377">
        <w:t xml:space="preserve">Source: Commission calculation based on NTC and State collected data.  </w:t>
      </w:r>
    </w:p>
    <w:p w14:paraId="55783990" w14:textId="77777777" w:rsidR="007E365E" w:rsidRPr="00E23377" w:rsidRDefault="007E365E" w:rsidP="007E365E">
      <w:pPr>
        <w:pStyle w:val="CGCParaNumber"/>
      </w:pPr>
      <w:r w:rsidRPr="00E23377">
        <w:t>New South Wales considered the Commission should rely wholly on NTC data to allocate investment between urban and rural roads, which is the approach used for the recurrent expense assessment.</w:t>
      </w:r>
      <w:r w:rsidRPr="00E23377">
        <w:rPr>
          <w:rStyle w:val="FootnoteReference"/>
        </w:rPr>
        <w:footnoteReference w:id="41"/>
      </w:r>
    </w:p>
    <w:p w14:paraId="00453729" w14:textId="77777777" w:rsidR="007E365E" w:rsidRPr="00E23377" w:rsidRDefault="007E365E" w:rsidP="007E365E">
      <w:pPr>
        <w:pStyle w:val="CGCParaNumber"/>
      </w:pPr>
      <w:r w:rsidRPr="00E23377">
        <w:t xml:space="preserve">The Commission uses a weighted average of State and NTC data in the </w:t>
      </w:r>
      <w:r>
        <w:t>I</w:t>
      </w:r>
      <w:r w:rsidRPr="00E23377">
        <w:t>nvestment assessment due to inconsistencies in the definition of urban areas between the NTC and the Commission, and to provide greater consistency between the investment and stock data.</w:t>
      </w:r>
    </w:p>
    <w:p w14:paraId="7A61DE4E" w14:textId="77777777" w:rsidR="007E365E" w:rsidRPr="00E23377" w:rsidRDefault="007E365E" w:rsidP="007E365E">
      <w:pPr>
        <w:pStyle w:val="CGCParaNumber"/>
      </w:pPr>
      <w:r w:rsidRPr="00E23377">
        <w:t>The NTC data are based on a broader definition of urban areas than that of the Commission and, therefore, the State investment and stock data. The NTC definition is dated and no longer supported by the ABS since the 2011 Census. The Commission’s definition is consistent with current ABS geography. Retaining the old ABS definition was not an option for the Commission because it is no longer supported by the ABS.</w:t>
      </w:r>
    </w:p>
    <w:p w14:paraId="179A624E" w14:textId="77777777" w:rsidR="007E365E" w:rsidRPr="00E23377" w:rsidRDefault="007E365E" w:rsidP="007E365E">
      <w:pPr>
        <w:pStyle w:val="CGCParaNumber"/>
      </w:pPr>
      <w:r w:rsidRPr="00E23377">
        <w:t xml:space="preserve">The Commission definition is tighter geographically than that used by the NTC </w:t>
      </w:r>
      <w:r>
        <w:t>because the Commission’s definition</w:t>
      </w:r>
      <w:r w:rsidRPr="00E23377">
        <w:t xml:space="preserve"> cover less of the hinterland surrounding urban areas than the NTC definition. This is why the proportion of urban investment is lower under the Commission definition.</w:t>
      </w:r>
    </w:p>
    <w:p w14:paraId="18BA17E4" w14:textId="77777777" w:rsidR="007E365E" w:rsidRPr="00E23377" w:rsidRDefault="007E365E" w:rsidP="007E365E">
      <w:pPr>
        <w:pStyle w:val="CGCParaNumber"/>
      </w:pPr>
      <w:r w:rsidRPr="00E23377">
        <w:t xml:space="preserve">Given these inconsistencies, the Commission considers it more prudent to retain the averaging of NTC and State data. </w:t>
      </w:r>
    </w:p>
    <w:p w14:paraId="3633393B" w14:textId="3CF4FEA0" w:rsidR="007E365E" w:rsidRPr="00E23377" w:rsidRDefault="007E365E" w:rsidP="007E365E">
      <w:pPr>
        <w:pStyle w:val="CGCParaNumber"/>
      </w:pPr>
      <w:r w:rsidRPr="00E23377">
        <w:lastRenderedPageBreak/>
        <w:fldChar w:fldCharType="begin"/>
      </w:r>
      <w:r w:rsidRPr="00E23377">
        <w:instrText xml:space="preserve"> REF _Ref8379453 \h  \* MERGEFORMAT </w:instrText>
      </w:r>
      <w:r w:rsidRPr="00E23377">
        <w:fldChar w:fldCharType="separate"/>
      </w:r>
      <w:r w:rsidR="007F721A" w:rsidRPr="00E23377">
        <w:t xml:space="preserve">Table </w:t>
      </w:r>
      <w:r w:rsidR="007F721A">
        <w:rPr>
          <w:noProof/>
        </w:rPr>
        <w:t>20-26</w:t>
      </w:r>
      <w:r w:rsidRPr="00E23377">
        <w:fldChar w:fldCharType="end"/>
      </w:r>
      <w:r w:rsidRPr="00E23377">
        <w:t xml:space="preserve"> shows the calculation of total assessed investment for rural and urban roads for 201</w:t>
      </w:r>
      <w:r>
        <w:t>8</w:t>
      </w:r>
      <w:r w:rsidRPr="00E23377">
        <w:noBreakHyphen/>
        <w:t>1</w:t>
      </w:r>
      <w:r>
        <w:t>9</w:t>
      </w:r>
      <w:r w:rsidRPr="00E23377">
        <w:t>. The stock factors for each of these investment components are calculated using the recurrent length, traffic volume, heavy vehicle use</w:t>
      </w:r>
      <w:r>
        <w:t>,</w:t>
      </w:r>
      <w:r w:rsidRPr="00E23377">
        <w:t xml:space="preserve"> and bridges </w:t>
      </w:r>
      <w:r>
        <w:t xml:space="preserve">and tunnels </w:t>
      </w:r>
      <w:r w:rsidRPr="00E23377">
        <w:t>disabilities.</w:t>
      </w:r>
    </w:p>
    <w:p w14:paraId="66275723" w14:textId="1F365A6C" w:rsidR="007E365E" w:rsidRDefault="007E365E" w:rsidP="007E365E">
      <w:pPr>
        <w:pStyle w:val="Caption"/>
      </w:pPr>
      <w:bookmarkStart w:id="208" w:name="_Ref8379453"/>
      <w:r w:rsidRPr="00E23377">
        <w:t xml:space="preserve">Table </w:t>
      </w:r>
      <w:r>
        <w:t>20-</w:t>
      </w:r>
      <w:fldSimple w:instr=" SEQ Table \* ARABIC ">
        <w:r w:rsidR="007F721A">
          <w:rPr>
            <w:noProof/>
          </w:rPr>
          <w:t>26</w:t>
        </w:r>
      </w:fldSimple>
      <w:bookmarkEnd w:id="208"/>
      <w:r w:rsidRPr="00E23377">
        <w:tab/>
        <w:t>Roads investment</w:t>
      </w:r>
      <w:r w:rsidRPr="00034371">
        <w:t xml:space="preserve"> </w:t>
      </w:r>
      <w:r w:rsidRPr="00E23377">
        <w:t>assessment, 201</w:t>
      </w:r>
      <w:r>
        <w:t>8</w:t>
      </w:r>
      <w:r w:rsidRPr="00E23377">
        <w:noBreakHyphen/>
        <w:t>1</w:t>
      </w:r>
      <w:r>
        <w:t>9</w:t>
      </w:r>
    </w:p>
    <w:tbl>
      <w:tblPr>
        <w:tblW w:w="9000" w:type="dxa"/>
        <w:tblCellMar>
          <w:left w:w="0" w:type="dxa"/>
          <w:right w:w="28" w:type="dxa"/>
        </w:tblCellMar>
        <w:tblLook w:val="04A0" w:firstRow="1" w:lastRow="0" w:firstColumn="1" w:lastColumn="0" w:noHBand="0" w:noVBand="1"/>
      </w:tblPr>
      <w:tblGrid>
        <w:gridCol w:w="2548"/>
        <w:gridCol w:w="748"/>
        <w:gridCol w:w="748"/>
        <w:gridCol w:w="748"/>
        <w:gridCol w:w="748"/>
        <w:gridCol w:w="748"/>
        <w:gridCol w:w="648"/>
        <w:gridCol w:w="648"/>
        <w:gridCol w:w="648"/>
        <w:gridCol w:w="848"/>
      </w:tblGrid>
      <w:tr w:rsidR="007E365E" w:rsidRPr="00853B43" w14:paraId="7D41DC14" w14:textId="77777777" w:rsidTr="007D1D77">
        <w:trPr>
          <w:trHeight w:val="379"/>
        </w:trPr>
        <w:tc>
          <w:tcPr>
            <w:tcW w:w="2540" w:type="dxa"/>
            <w:tcBorders>
              <w:top w:val="single" w:sz="4" w:space="0" w:color="ADD6EA"/>
              <w:left w:val="nil"/>
              <w:bottom w:val="single" w:sz="4" w:space="0" w:color="ADD6EA"/>
              <w:right w:val="nil"/>
            </w:tcBorders>
            <w:shd w:val="clear" w:color="000000" w:fill="006991"/>
            <w:vAlign w:val="center"/>
            <w:hideMark/>
          </w:tcPr>
          <w:p w14:paraId="0E46B73B"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3B43">
              <w:rPr>
                <w:rFonts w:ascii="Open Sans SemiBold" w:eastAsia="Times New Roman" w:hAnsi="Open Sans SemiBold" w:cs="Open Sans SemiBold"/>
                <w:color w:val="FFFFFF"/>
                <w:sz w:val="16"/>
                <w:szCs w:val="16"/>
                <w:lang w:eastAsia="en-AU"/>
              </w:rPr>
              <w:t> </w:t>
            </w:r>
          </w:p>
        </w:tc>
        <w:tc>
          <w:tcPr>
            <w:tcW w:w="740" w:type="dxa"/>
            <w:tcBorders>
              <w:top w:val="single" w:sz="4" w:space="0" w:color="ADD6EA"/>
              <w:left w:val="nil"/>
              <w:bottom w:val="single" w:sz="4" w:space="0" w:color="ADD6EA"/>
              <w:right w:val="nil"/>
            </w:tcBorders>
            <w:shd w:val="clear" w:color="000000" w:fill="006991"/>
            <w:vAlign w:val="center"/>
            <w:hideMark/>
          </w:tcPr>
          <w:p w14:paraId="49EFF9EC"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3B43">
              <w:rPr>
                <w:rFonts w:ascii="Open Sans SemiBold" w:eastAsia="Times New Roman" w:hAnsi="Open Sans SemiBold" w:cs="Open Sans SemiBold"/>
                <w:color w:val="FFFFFF"/>
                <w:sz w:val="16"/>
                <w:szCs w:val="16"/>
                <w:lang w:eastAsia="en-AU"/>
              </w:rPr>
              <w:t>NSW</w:t>
            </w:r>
          </w:p>
        </w:tc>
        <w:tc>
          <w:tcPr>
            <w:tcW w:w="740" w:type="dxa"/>
            <w:tcBorders>
              <w:top w:val="single" w:sz="4" w:space="0" w:color="ADD6EA"/>
              <w:left w:val="nil"/>
              <w:bottom w:val="single" w:sz="4" w:space="0" w:color="ADD6EA"/>
              <w:right w:val="nil"/>
            </w:tcBorders>
            <w:shd w:val="clear" w:color="000000" w:fill="006991"/>
            <w:vAlign w:val="center"/>
            <w:hideMark/>
          </w:tcPr>
          <w:p w14:paraId="1653A203"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3B43">
              <w:rPr>
                <w:rFonts w:ascii="Open Sans SemiBold" w:eastAsia="Times New Roman" w:hAnsi="Open Sans SemiBold" w:cs="Open Sans SemiBold"/>
                <w:color w:val="FFFFFF"/>
                <w:sz w:val="16"/>
                <w:szCs w:val="16"/>
                <w:lang w:eastAsia="en-AU"/>
              </w:rPr>
              <w:t>Vic</w:t>
            </w:r>
          </w:p>
        </w:tc>
        <w:tc>
          <w:tcPr>
            <w:tcW w:w="740" w:type="dxa"/>
            <w:tcBorders>
              <w:top w:val="single" w:sz="4" w:space="0" w:color="ADD6EA"/>
              <w:left w:val="nil"/>
              <w:bottom w:val="single" w:sz="4" w:space="0" w:color="ADD6EA"/>
              <w:right w:val="nil"/>
            </w:tcBorders>
            <w:shd w:val="clear" w:color="000000" w:fill="006991"/>
            <w:vAlign w:val="center"/>
            <w:hideMark/>
          </w:tcPr>
          <w:p w14:paraId="217B0750"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3B43">
              <w:rPr>
                <w:rFonts w:ascii="Open Sans SemiBold" w:eastAsia="Times New Roman" w:hAnsi="Open Sans SemiBold" w:cs="Open Sans SemiBold"/>
                <w:color w:val="FFFFFF"/>
                <w:sz w:val="16"/>
                <w:szCs w:val="16"/>
                <w:lang w:eastAsia="en-AU"/>
              </w:rPr>
              <w:t>Qld</w:t>
            </w:r>
          </w:p>
        </w:tc>
        <w:tc>
          <w:tcPr>
            <w:tcW w:w="740" w:type="dxa"/>
            <w:tcBorders>
              <w:top w:val="single" w:sz="4" w:space="0" w:color="ADD6EA"/>
              <w:left w:val="nil"/>
              <w:bottom w:val="single" w:sz="4" w:space="0" w:color="ADD6EA"/>
              <w:right w:val="nil"/>
            </w:tcBorders>
            <w:shd w:val="clear" w:color="000000" w:fill="006991"/>
            <w:vAlign w:val="center"/>
            <w:hideMark/>
          </w:tcPr>
          <w:p w14:paraId="07D440B6"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3B43">
              <w:rPr>
                <w:rFonts w:ascii="Open Sans SemiBold" w:eastAsia="Times New Roman" w:hAnsi="Open Sans SemiBold" w:cs="Open Sans SemiBold"/>
                <w:color w:val="FFFFFF"/>
                <w:sz w:val="16"/>
                <w:szCs w:val="16"/>
                <w:lang w:eastAsia="en-AU"/>
              </w:rPr>
              <w:t>WA</w:t>
            </w:r>
          </w:p>
        </w:tc>
        <w:tc>
          <w:tcPr>
            <w:tcW w:w="740" w:type="dxa"/>
            <w:tcBorders>
              <w:top w:val="single" w:sz="4" w:space="0" w:color="ADD6EA"/>
              <w:left w:val="nil"/>
              <w:bottom w:val="single" w:sz="4" w:space="0" w:color="ADD6EA"/>
              <w:right w:val="nil"/>
            </w:tcBorders>
            <w:shd w:val="clear" w:color="000000" w:fill="006991"/>
            <w:vAlign w:val="center"/>
            <w:hideMark/>
          </w:tcPr>
          <w:p w14:paraId="74C345E1"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3B43">
              <w:rPr>
                <w:rFonts w:ascii="Open Sans SemiBold" w:eastAsia="Times New Roman" w:hAnsi="Open Sans SemiBold" w:cs="Open Sans SemiBold"/>
                <w:color w:val="FFFFFF"/>
                <w:sz w:val="16"/>
                <w:szCs w:val="16"/>
                <w:lang w:eastAsia="en-AU"/>
              </w:rPr>
              <w:t>SA</w:t>
            </w:r>
          </w:p>
        </w:tc>
        <w:tc>
          <w:tcPr>
            <w:tcW w:w="640" w:type="dxa"/>
            <w:tcBorders>
              <w:top w:val="single" w:sz="4" w:space="0" w:color="ADD6EA"/>
              <w:left w:val="nil"/>
              <w:bottom w:val="single" w:sz="4" w:space="0" w:color="ADD6EA"/>
              <w:right w:val="nil"/>
            </w:tcBorders>
            <w:shd w:val="clear" w:color="000000" w:fill="006991"/>
            <w:vAlign w:val="center"/>
            <w:hideMark/>
          </w:tcPr>
          <w:p w14:paraId="025CB8AF"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3B43">
              <w:rPr>
                <w:rFonts w:ascii="Open Sans SemiBold" w:eastAsia="Times New Roman" w:hAnsi="Open Sans SemiBold" w:cs="Open Sans SemiBold"/>
                <w:color w:val="FFFFFF"/>
                <w:sz w:val="16"/>
                <w:szCs w:val="16"/>
                <w:lang w:eastAsia="en-AU"/>
              </w:rPr>
              <w:t>Tas</w:t>
            </w:r>
          </w:p>
        </w:tc>
        <w:tc>
          <w:tcPr>
            <w:tcW w:w="640" w:type="dxa"/>
            <w:tcBorders>
              <w:top w:val="single" w:sz="4" w:space="0" w:color="ADD6EA"/>
              <w:left w:val="nil"/>
              <w:bottom w:val="single" w:sz="4" w:space="0" w:color="ADD6EA"/>
              <w:right w:val="nil"/>
            </w:tcBorders>
            <w:shd w:val="clear" w:color="000000" w:fill="006991"/>
            <w:vAlign w:val="center"/>
            <w:hideMark/>
          </w:tcPr>
          <w:p w14:paraId="3A25D370"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3B43">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vAlign w:val="center"/>
            <w:hideMark/>
          </w:tcPr>
          <w:p w14:paraId="582D3C91"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3B43">
              <w:rPr>
                <w:rFonts w:ascii="Open Sans SemiBold" w:eastAsia="Times New Roman" w:hAnsi="Open Sans SemiBold" w:cs="Open Sans SemiBold"/>
                <w:color w:val="FFFFFF"/>
                <w:sz w:val="16"/>
                <w:szCs w:val="16"/>
                <w:lang w:eastAsia="en-AU"/>
              </w:rPr>
              <w:t>NT</w:t>
            </w:r>
          </w:p>
        </w:tc>
        <w:tc>
          <w:tcPr>
            <w:tcW w:w="840" w:type="dxa"/>
            <w:tcBorders>
              <w:top w:val="single" w:sz="4" w:space="0" w:color="ADD6EA"/>
              <w:left w:val="nil"/>
              <w:bottom w:val="single" w:sz="4" w:space="0" w:color="ADD6EA"/>
              <w:right w:val="nil"/>
            </w:tcBorders>
            <w:shd w:val="clear" w:color="000000" w:fill="006991"/>
            <w:vAlign w:val="center"/>
            <w:hideMark/>
          </w:tcPr>
          <w:p w14:paraId="5A795F17"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53B43">
              <w:rPr>
                <w:rFonts w:ascii="Open Sans SemiBold" w:eastAsia="Times New Roman" w:hAnsi="Open Sans SemiBold" w:cs="Open Sans SemiBold"/>
                <w:color w:val="FFFFFF"/>
                <w:sz w:val="16"/>
                <w:szCs w:val="16"/>
                <w:lang w:eastAsia="en-AU"/>
              </w:rPr>
              <w:t>Total</w:t>
            </w:r>
          </w:p>
        </w:tc>
      </w:tr>
      <w:tr w:rsidR="007E365E" w:rsidRPr="00853B43" w14:paraId="1EE3F0F2" w14:textId="77777777" w:rsidTr="007D1D77">
        <w:trPr>
          <w:trHeight w:val="259"/>
        </w:trPr>
        <w:tc>
          <w:tcPr>
            <w:tcW w:w="2540" w:type="dxa"/>
            <w:tcBorders>
              <w:top w:val="nil"/>
              <w:left w:val="nil"/>
              <w:bottom w:val="single" w:sz="4" w:space="0" w:color="ADD6EA"/>
              <w:right w:val="nil"/>
            </w:tcBorders>
            <w:shd w:val="clear" w:color="000000" w:fill="B6D5E4"/>
            <w:noWrap/>
            <w:vAlign w:val="center"/>
            <w:hideMark/>
          </w:tcPr>
          <w:p w14:paraId="62A4EC97"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 </w:t>
            </w:r>
          </w:p>
        </w:tc>
        <w:tc>
          <w:tcPr>
            <w:tcW w:w="740" w:type="dxa"/>
            <w:tcBorders>
              <w:top w:val="nil"/>
              <w:left w:val="nil"/>
              <w:bottom w:val="single" w:sz="4" w:space="0" w:color="ADD6EA"/>
              <w:right w:val="nil"/>
            </w:tcBorders>
            <w:shd w:val="clear" w:color="000000" w:fill="B6D5E4"/>
            <w:noWrap/>
            <w:vAlign w:val="center"/>
            <w:hideMark/>
          </w:tcPr>
          <w:p w14:paraId="6C154A79"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$m</w:t>
            </w:r>
          </w:p>
        </w:tc>
        <w:tc>
          <w:tcPr>
            <w:tcW w:w="740" w:type="dxa"/>
            <w:tcBorders>
              <w:top w:val="nil"/>
              <w:left w:val="nil"/>
              <w:bottom w:val="single" w:sz="4" w:space="0" w:color="ADD6EA"/>
              <w:right w:val="nil"/>
            </w:tcBorders>
            <w:shd w:val="clear" w:color="000000" w:fill="B6D5E4"/>
            <w:noWrap/>
            <w:vAlign w:val="center"/>
            <w:hideMark/>
          </w:tcPr>
          <w:p w14:paraId="07D6FA33"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$m</w:t>
            </w:r>
          </w:p>
        </w:tc>
        <w:tc>
          <w:tcPr>
            <w:tcW w:w="740" w:type="dxa"/>
            <w:tcBorders>
              <w:top w:val="nil"/>
              <w:left w:val="nil"/>
              <w:bottom w:val="single" w:sz="4" w:space="0" w:color="ADD6EA"/>
              <w:right w:val="nil"/>
            </w:tcBorders>
            <w:shd w:val="clear" w:color="000000" w:fill="B6D5E4"/>
            <w:noWrap/>
            <w:vAlign w:val="center"/>
            <w:hideMark/>
          </w:tcPr>
          <w:p w14:paraId="5D491BEA"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$m</w:t>
            </w:r>
          </w:p>
        </w:tc>
        <w:tc>
          <w:tcPr>
            <w:tcW w:w="740" w:type="dxa"/>
            <w:tcBorders>
              <w:top w:val="nil"/>
              <w:left w:val="nil"/>
              <w:bottom w:val="single" w:sz="4" w:space="0" w:color="ADD6EA"/>
              <w:right w:val="nil"/>
            </w:tcBorders>
            <w:shd w:val="clear" w:color="000000" w:fill="B6D5E4"/>
            <w:noWrap/>
            <w:vAlign w:val="center"/>
            <w:hideMark/>
          </w:tcPr>
          <w:p w14:paraId="58C0D259"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$m</w:t>
            </w:r>
          </w:p>
        </w:tc>
        <w:tc>
          <w:tcPr>
            <w:tcW w:w="740" w:type="dxa"/>
            <w:tcBorders>
              <w:top w:val="nil"/>
              <w:left w:val="nil"/>
              <w:bottom w:val="single" w:sz="4" w:space="0" w:color="ADD6EA"/>
              <w:right w:val="nil"/>
            </w:tcBorders>
            <w:shd w:val="clear" w:color="000000" w:fill="B6D5E4"/>
            <w:noWrap/>
            <w:vAlign w:val="center"/>
            <w:hideMark/>
          </w:tcPr>
          <w:p w14:paraId="78528136"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$m</w:t>
            </w:r>
          </w:p>
        </w:tc>
        <w:tc>
          <w:tcPr>
            <w:tcW w:w="640" w:type="dxa"/>
            <w:tcBorders>
              <w:top w:val="nil"/>
              <w:left w:val="nil"/>
              <w:bottom w:val="single" w:sz="4" w:space="0" w:color="ADD6EA"/>
              <w:right w:val="nil"/>
            </w:tcBorders>
            <w:shd w:val="clear" w:color="000000" w:fill="B6D5E4"/>
            <w:noWrap/>
            <w:vAlign w:val="center"/>
            <w:hideMark/>
          </w:tcPr>
          <w:p w14:paraId="1033EF81"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$m</w:t>
            </w:r>
          </w:p>
        </w:tc>
        <w:tc>
          <w:tcPr>
            <w:tcW w:w="640" w:type="dxa"/>
            <w:tcBorders>
              <w:top w:val="nil"/>
              <w:left w:val="nil"/>
              <w:bottom w:val="single" w:sz="4" w:space="0" w:color="ADD6EA"/>
              <w:right w:val="nil"/>
            </w:tcBorders>
            <w:shd w:val="clear" w:color="000000" w:fill="B6D5E4"/>
            <w:noWrap/>
            <w:vAlign w:val="center"/>
            <w:hideMark/>
          </w:tcPr>
          <w:p w14:paraId="3377D725"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$m</w:t>
            </w:r>
          </w:p>
        </w:tc>
        <w:tc>
          <w:tcPr>
            <w:tcW w:w="640" w:type="dxa"/>
            <w:tcBorders>
              <w:top w:val="nil"/>
              <w:left w:val="nil"/>
              <w:bottom w:val="single" w:sz="4" w:space="0" w:color="ADD6EA"/>
              <w:right w:val="nil"/>
            </w:tcBorders>
            <w:shd w:val="clear" w:color="000000" w:fill="B6D5E4"/>
            <w:noWrap/>
            <w:vAlign w:val="center"/>
            <w:hideMark/>
          </w:tcPr>
          <w:p w14:paraId="17857186"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$m</w:t>
            </w:r>
          </w:p>
        </w:tc>
        <w:tc>
          <w:tcPr>
            <w:tcW w:w="840" w:type="dxa"/>
            <w:tcBorders>
              <w:top w:val="nil"/>
              <w:left w:val="nil"/>
              <w:bottom w:val="single" w:sz="4" w:space="0" w:color="ADD6EA"/>
              <w:right w:val="nil"/>
            </w:tcBorders>
            <w:shd w:val="clear" w:color="000000" w:fill="B6D5E4"/>
            <w:noWrap/>
            <w:vAlign w:val="center"/>
            <w:hideMark/>
          </w:tcPr>
          <w:p w14:paraId="7560D54D"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$m</w:t>
            </w:r>
          </w:p>
        </w:tc>
      </w:tr>
      <w:tr w:rsidR="007E365E" w:rsidRPr="00853B43" w14:paraId="07685D7E" w14:textId="77777777" w:rsidTr="007D1D77">
        <w:trPr>
          <w:trHeight w:val="315"/>
        </w:trPr>
        <w:tc>
          <w:tcPr>
            <w:tcW w:w="2540" w:type="dxa"/>
            <w:tcBorders>
              <w:top w:val="nil"/>
              <w:left w:val="nil"/>
              <w:bottom w:val="single" w:sz="4" w:space="0" w:color="ADD6EA"/>
              <w:right w:val="nil"/>
            </w:tcBorders>
            <w:shd w:val="clear" w:color="auto" w:fill="auto"/>
            <w:noWrap/>
            <w:vAlign w:val="bottom"/>
            <w:hideMark/>
          </w:tcPr>
          <w:p w14:paraId="299F4510" w14:textId="77777777" w:rsidR="007E365E" w:rsidRPr="00CD3616"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Rural roads</w:t>
            </w:r>
          </w:p>
        </w:tc>
        <w:tc>
          <w:tcPr>
            <w:tcW w:w="740" w:type="dxa"/>
            <w:tcBorders>
              <w:top w:val="nil"/>
              <w:left w:val="nil"/>
              <w:bottom w:val="single" w:sz="4" w:space="0" w:color="ADD6EA"/>
              <w:right w:val="nil"/>
            </w:tcBorders>
            <w:shd w:val="clear" w:color="auto" w:fill="auto"/>
            <w:vAlign w:val="bottom"/>
            <w:hideMark/>
          </w:tcPr>
          <w:p w14:paraId="5E2945C9"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740" w:type="dxa"/>
            <w:tcBorders>
              <w:top w:val="nil"/>
              <w:left w:val="nil"/>
              <w:bottom w:val="single" w:sz="4" w:space="0" w:color="ADD6EA"/>
              <w:right w:val="nil"/>
            </w:tcBorders>
            <w:shd w:val="clear" w:color="auto" w:fill="auto"/>
            <w:vAlign w:val="bottom"/>
            <w:hideMark/>
          </w:tcPr>
          <w:p w14:paraId="70671B17"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740" w:type="dxa"/>
            <w:tcBorders>
              <w:top w:val="nil"/>
              <w:left w:val="nil"/>
              <w:bottom w:val="single" w:sz="4" w:space="0" w:color="ADD6EA"/>
              <w:right w:val="nil"/>
            </w:tcBorders>
            <w:shd w:val="clear" w:color="auto" w:fill="auto"/>
            <w:vAlign w:val="bottom"/>
            <w:hideMark/>
          </w:tcPr>
          <w:p w14:paraId="3E8730D9"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740" w:type="dxa"/>
            <w:tcBorders>
              <w:top w:val="nil"/>
              <w:left w:val="nil"/>
              <w:bottom w:val="single" w:sz="4" w:space="0" w:color="ADD6EA"/>
              <w:right w:val="nil"/>
            </w:tcBorders>
            <w:shd w:val="clear" w:color="auto" w:fill="auto"/>
            <w:vAlign w:val="bottom"/>
            <w:hideMark/>
          </w:tcPr>
          <w:p w14:paraId="6369D975"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740" w:type="dxa"/>
            <w:tcBorders>
              <w:top w:val="nil"/>
              <w:left w:val="nil"/>
              <w:bottom w:val="single" w:sz="4" w:space="0" w:color="ADD6EA"/>
              <w:right w:val="nil"/>
            </w:tcBorders>
            <w:shd w:val="clear" w:color="auto" w:fill="auto"/>
            <w:vAlign w:val="bottom"/>
            <w:hideMark/>
          </w:tcPr>
          <w:p w14:paraId="6EC85B88"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640" w:type="dxa"/>
            <w:tcBorders>
              <w:top w:val="nil"/>
              <w:left w:val="nil"/>
              <w:bottom w:val="single" w:sz="4" w:space="0" w:color="ADD6EA"/>
              <w:right w:val="nil"/>
            </w:tcBorders>
            <w:shd w:val="clear" w:color="auto" w:fill="auto"/>
            <w:vAlign w:val="bottom"/>
            <w:hideMark/>
          </w:tcPr>
          <w:p w14:paraId="176C5E2E"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640" w:type="dxa"/>
            <w:tcBorders>
              <w:top w:val="nil"/>
              <w:left w:val="nil"/>
              <w:bottom w:val="single" w:sz="4" w:space="0" w:color="ADD6EA"/>
              <w:right w:val="nil"/>
            </w:tcBorders>
            <w:shd w:val="clear" w:color="auto" w:fill="auto"/>
            <w:vAlign w:val="bottom"/>
            <w:hideMark/>
          </w:tcPr>
          <w:p w14:paraId="3365C23C"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640" w:type="dxa"/>
            <w:tcBorders>
              <w:top w:val="nil"/>
              <w:left w:val="nil"/>
              <w:bottom w:val="single" w:sz="4" w:space="0" w:color="ADD6EA"/>
              <w:right w:val="nil"/>
            </w:tcBorders>
            <w:shd w:val="clear" w:color="auto" w:fill="auto"/>
            <w:vAlign w:val="bottom"/>
            <w:hideMark/>
          </w:tcPr>
          <w:p w14:paraId="61D94220"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840" w:type="dxa"/>
            <w:tcBorders>
              <w:top w:val="nil"/>
              <w:left w:val="nil"/>
              <w:bottom w:val="single" w:sz="4" w:space="0" w:color="ADD6EA"/>
              <w:right w:val="nil"/>
            </w:tcBorders>
            <w:shd w:val="clear" w:color="auto" w:fill="auto"/>
            <w:vAlign w:val="bottom"/>
            <w:hideMark/>
          </w:tcPr>
          <w:p w14:paraId="66CAA6A8"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r>
      <w:tr w:rsidR="007E365E" w:rsidRPr="00853B43" w14:paraId="5F23FC11" w14:textId="77777777" w:rsidTr="007D1D77">
        <w:trPr>
          <w:trHeight w:val="315"/>
        </w:trPr>
        <w:tc>
          <w:tcPr>
            <w:tcW w:w="2540" w:type="dxa"/>
            <w:tcBorders>
              <w:top w:val="nil"/>
              <w:left w:val="nil"/>
              <w:bottom w:val="single" w:sz="4" w:space="0" w:color="ADD6EA"/>
              <w:right w:val="nil"/>
            </w:tcBorders>
            <w:shd w:val="clear" w:color="auto" w:fill="auto"/>
            <w:noWrap/>
            <w:vAlign w:val="bottom"/>
            <w:hideMark/>
          </w:tcPr>
          <w:p w14:paraId="49D751D0" w14:textId="77777777" w:rsidR="007E365E" w:rsidRPr="00853B43" w:rsidRDefault="007E365E" w:rsidP="007D1D77">
            <w:pPr>
              <w:tabs>
                <w:tab w:val="clear" w:pos="567"/>
              </w:tabs>
              <w:spacing w:before="0" w:line="240" w:lineRule="auto"/>
              <w:ind w:left="113"/>
              <w:rPr>
                <w:rFonts w:eastAsia="Times New Roman" w:cs="Open Sans Light"/>
                <w:sz w:val="16"/>
                <w:szCs w:val="16"/>
                <w:lang w:eastAsia="en-AU"/>
              </w:rPr>
            </w:pPr>
            <w:r w:rsidRPr="00853B43">
              <w:rPr>
                <w:rFonts w:eastAsia="Times New Roman" w:cs="Open Sans Light"/>
                <w:sz w:val="16"/>
                <w:szCs w:val="16"/>
                <w:lang w:eastAsia="en-AU"/>
              </w:rPr>
              <w:t>Assessed opening stock</w:t>
            </w:r>
          </w:p>
        </w:tc>
        <w:tc>
          <w:tcPr>
            <w:tcW w:w="740" w:type="dxa"/>
            <w:tcBorders>
              <w:top w:val="nil"/>
              <w:left w:val="nil"/>
              <w:bottom w:val="single" w:sz="4" w:space="0" w:color="ADD6EA"/>
              <w:right w:val="nil"/>
            </w:tcBorders>
            <w:shd w:val="clear" w:color="auto" w:fill="auto"/>
            <w:noWrap/>
            <w:vAlign w:val="bottom"/>
            <w:hideMark/>
          </w:tcPr>
          <w:p w14:paraId="646A6463"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38,814</w:t>
            </w:r>
          </w:p>
        </w:tc>
        <w:tc>
          <w:tcPr>
            <w:tcW w:w="740" w:type="dxa"/>
            <w:tcBorders>
              <w:top w:val="nil"/>
              <w:left w:val="nil"/>
              <w:bottom w:val="single" w:sz="4" w:space="0" w:color="ADD6EA"/>
              <w:right w:val="nil"/>
            </w:tcBorders>
            <w:shd w:val="clear" w:color="auto" w:fill="auto"/>
            <w:noWrap/>
            <w:vAlign w:val="bottom"/>
            <w:hideMark/>
          </w:tcPr>
          <w:p w14:paraId="609A2346"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22,817</w:t>
            </w:r>
          </w:p>
        </w:tc>
        <w:tc>
          <w:tcPr>
            <w:tcW w:w="740" w:type="dxa"/>
            <w:tcBorders>
              <w:top w:val="nil"/>
              <w:left w:val="nil"/>
              <w:bottom w:val="single" w:sz="4" w:space="0" w:color="ADD6EA"/>
              <w:right w:val="nil"/>
            </w:tcBorders>
            <w:shd w:val="clear" w:color="auto" w:fill="auto"/>
            <w:noWrap/>
            <w:vAlign w:val="bottom"/>
            <w:hideMark/>
          </w:tcPr>
          <w:p w14:paraId="14481132"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37,575</w:t>
            </w:r>
          </w:p>
        </w:tc>
        <w:tc>
          <w:tcPr>
            <w:tcW w:w="740" w:type="dxa"/>
            <w:tcBorders>
              <w:top w:val="nil"/>
              <w:left w:val="nil"/>
              <w:bottom w:val="single" w:sz="4" w:space="0" w:color="ADD6EA"/>
              <w:right w:val="nil"/>
            </w:tcBorders>
            <w:shd w:val="clear" w:color="auto" w:fill="auto"/>
            <w:noWrap/>
            <w:vAlign w:val="bottom"/>
            <w:hideMark/>
          </w:tcPr>
          <w:p w14:paraId="2BC859B2"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22,656</w:t>
            </w:r>
          </w:p>
        </w:tc>
        <w:tc>
          <w:tcPr>
            <w:tcW w:w="740" w:type="dxa"/>
            <w:tcBorders>
              <w:top w:val="nil"/>
              <w:left w:val="nil"/>
              <w:bottom w:val="single" w:sz="4" w:space="0" w:color="ADD6EA"/>
              <w:right w:val="nil"/>
            </w:tcBorders>
            <w:shd w:val="clear" w:color="auto" w:fill="auto"/>
            <w:noWrap/>
            <w:vAlign w:val="bottom"/>
            <w:hideMark/>
          </w:tcPr>
          <w:p w14:paraId="4025D3C9"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13,862</w:t>
            </w:r>
          </w:p>
        </w:tc>
        <w:tc>
          <w:tcPr>
            <w:tcW w:w="640" w:type="dxa"/>
            <w:tcBorders>
              <w:top w:val="nil"/>
              <w:left w:val="nil"/>
              <w:bottom w:val="single" w:sz="4" w:space="0" w:color="ADD6EA"/>
              <w:right w:val="nil"/>
            </w:tcBorders>
            <w:shd w:val="clear" w:color="auto" w:fill="auto"/>
            <w:noWrap/>
            <w:vAlign w:val="bottom"/>
            <w:hideMark/>
          </w:tcPr>
          <w:p w14:paraId="063AA2DC"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4,135</w:t>
            </w:r>
          </w:p>
        </w:tc>
        <w:tc>
          <w:tcPr>
            <w:tcW w:w="640" w:type="dxa"/>
            <w:tcBorders>
              <w:top w:val="nil"/>
              <w:left w:val="nil"/>
              <w:bottom w:val="single" w:sz="4" w:space="0" w:color="ADD6EA"/>
              <w:right w:val="nil"/>
            </w:tcBorders>
            <w:shd w:val="clear" w:color="auto" w:fill="auto"/>
            <w:noWrap/>
            <w:vAlign w:val="bottom"/>
            <w:hideMark/>
          </w:tcPr>
          <w:p w14:paraId="1286876C"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460</w:t>
            </w:r>
          </w:p>
        </w:tc>
        <w:tc>
          <w:tcPr>
            <w:tcW w:w="640" w:type="dxa"/>
            <w:tcBorders>
              <w:top w:val="nil"/>
              <w:left w:val="nil"/>
              <w:bottom w:val="single" w:sz="4" w:space="0" w:color="ADD6EA"/>
              <w:right w:val="nil"/>
            </w:tcBorders>
            <w:shd w:val="clear" w:color="auto" w:fill="auto"/>
            <w:noWrap/>
            <w:vAlign w:val="bottom"/>
            <w:hideMark/>
          </w:tcPr>
          <w:p w14:paraId="4E06083C"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9,624</w:t>
            </w:r>
          </w:p>
        </w:tc>
        <w:tc>
          <w:tcPr>
            <w:tcW w:w="840" w:type="dxa"/>
            <w:tcBorders>
              <w:top w:val="nil"/>
              <w:left w:val="nil"/>
              <w:bottom w:val="single" w:sz="4" w:space="0" w:color="ADD6EA"/>
              <w:right w:val="nil"/>
            </w:tcBorders>
            <w:shd w:val="clear" w:color="auto" w:fill="auto"/>
            <w:noWrap/>
            <w:vAlign w:val="bottom"/>
            <w:hideMark/>
          </w:tcPr>
          <w:p w14:paraId="5876C302"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149,944</w:t>
            </w:r>
          </w:p>
        </w:tc>
      </w:tr>
      <w:tr w:rsidR="007E365E" w:rsidRPr="00853B43" w14:paraId="4F343277" w14:textId="77777777" w:rsidTr="007D1D77">
        <w:trPr>
          <w:trHeight w:val="315"/>
        </w:trPr>
        <w:tc>
          <w:tcPr>
            <w:tcW w:w="2540" w:type="dxa"/>
            <w:tcBorders>
              <w:top w:val="nil"/>
              <w:left w:val="nil"/>
              <w:bottom w:val="single" w:sz="4" w:space="0" w:color="ADD6EA"/>
              <w:right w:val="nil"/>
            </w:tcBorders>
            <w:shd w:val="clear" w:color="auto" w:fill="auto"/>
            <w:noWrap/>
            <w:vAlign w:val="bottom"/>
            <w:hideMark/>
          </w:tcPr>
          <w:p w14:paraId="0289F7F0" w14:textId="77777777" w:rsidR="007E365E" w:rsidRPr="00853B43" w:rsidRDefault="007E365E" w:rsidP="007D1D77">
            <w:pPr>
              <w:tabs>
                <w:tab w:val="clear" w:pos="567"/>
              </w:tabs>
              <w:spacing w:before="0" w:line="240" w:lineRule="auto"/>
              <w:ind w:left="113"/>
              <w:rPr>
                <w:rFonts w:eastAsia="Times New Roman" w:cs="Open Sans Light"/>
                <w:sz w:val="16"/>
                <w:szCs w:val="16"/>
                <w:lang w:eastAsia="en-AU"/>
              </w:rPr>
            </w:pPr>
            <w:r w:rsidRPr="00853B43">
              <w:rPr>
                <w:rFonts w:eastAsia="Times New Roman" w:cs="Open Sans Light"/>
                <w:sz w:val="16"/>
                <w:szCs w:val="16"/>
                <w:lang w:eastAsia="en-AU"/>
              </w:rPr>
              <w:t>Assessed closing stock</w:t>
            </w:r>
          </w:p>
        </w:tc>
        <w:tc>
          <w:tcPr>
            <w:tcW w:w="740" w:type="dxa"/>
            <w:tcBorders>
              <w:top w:val="nil"/>
              <w:left w:val="nil"/>
              <w:bottom w:val="single" w:sz="4" w:space="0" w:color="ADD6EA"/>
              <w:right w:val="nil"/>
            </w:tcBorders>
            <w:shd w:val="clear" w:color="auto" w:fill="auto"/>
            <w:noWrap/>
            <w:vAlign w:val="bottom"/>
            <w:hideMark/>
          </w:tcPr>
          <w:p w14:paraId="01F96AEA"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40,127</w:t>
            </w:r>
          </w:p>
        </w:tc>
        <w:tc>
          <w:tcPr>
            <w:tcW w:w="740" w:type="dxa"/>
            <w:tcBorders>
              <w:top w:val="nil"/>
              <w:left w:val="nil"/>
              <w:bottom w:val="single" w:sz="4" w:space="0" w:color="ADD6EA"/>
              <w:right w:val="nil"/>
            </w:tcBorders>
            <w:shd w:val="clear" w:color="auto" w:fill="auto"/>
            <w:noWrap/>
            <w:vAlign w:val="bottom"/>
            <w:hideMark/>
          </w:tcPr>
          <w:p w14:paraId="58873361"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23,637</w:t>
            </w:r>
          </w:p>
        </w:tc>
        <w:tc>
          <w:tcPr>
            <w:tcW w:w="740" w:type="dxa"/>
            <w:tcBorders>
              <w:top w:val="nil"/>
              <w:left w:val="nil"/>
              <w:bottom w:val="single" w:sz="4" w:space="0" w:color="ADD6EA"/>
              <w:right w:val="nil"/>
            </w:tcBorders>
            <w:shd w:val="clear" w:color="auto" w:fill="auto"/>
            <w:noWrap/>
            <w:vAlign w:val="bottom"/>
            <w:hideMark/>
          </w:tcPr>
          <w:p w14:paraId="55CAECB2"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38,871</w:t>
            </w:r>
          </w:p>
        </w:tc>
        <w:tc>
          <w:tcPr>
            <w:tcW w:w="740" w:type="dxa"/>
            <w:tcBorders>
              <w:top w:val="nil"/>
              <w:left w:val="nil"/>
              <w:bottom w:val="single" w:sz="4" w:space="0" w:color="ADD6EA"/>
              <w:right w:val="nil"/>
            </w:tcBorders>
            <w:shd w:val="clear" w:color="auto" w:fill="auto"/>
            <w:noWrap/>
            <w:vAlign w:val="bottom"/>
            <w:hideMark/>
          </w:tcPr>
          <w:p w14:paraId="64E74067"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23,397</w:t>
            </w:r>
          </w:p>
        </w:tc>
        <w:tc>
          <w:tcPr>
            <w:tcW w:w="740" w:type="dxa"/>
            <w:tcBorders>
              <w:top w:val="nil"/>
              <w:left w:val="nil"/>
              <w:bottom w:val="single" w:sz="4" w:space="0" w:color="ADD6EA"/>
              <w:right w:val="nil"/>
            </w:tcBorders>
            <w:shd w:val="clear" w:color="auto" w:fill="auto"/>
            <w:noWrap/>
            <w:vAlign w:val="bottom"/>
            <w:hideMark/>
          </w:tcPr>
          <w:p w14:paraId="169EA429"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14,317</w:t>
            </w:r>
          </w:p>
        </w:tc>
        <w:tc>
          <w:tcPr>
            <w:tcW w:w="640" w:type="dxa"/>
            <w:tcBorders>
              <w:top w:val="nil"/>
              <w:left w:val="nil"/>
              <w:bottom w:val="single" w:sz="4" w:space="0" w:color="ADD6EA"/>
              <w:right w:val="nil"/>
            </w:tcBorders>
            <w:shd w:val="clear" w:color="auto" w:fill="auto"/>
            <w:noWrap/>
            <w:vAlign w:val="bottom"/>
            <w:hideMark/>
          </w:tcPr>
          <w:p w14:paraId="5F0C6C38"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4,287</w:t>
            </w:r>
          </w:p>
        </w:tc>
        <w:tc>
          <w:tcPr>
            <w:tcW w:w="640" w:type="dxa"/>
            <w:tcBorders>
              <w:top w:val="nil"/>
              <w:left w:val="nil"/>
              <w:bottom w:val="single" w:sz="4" w:space="0" w:color="ADD6EA"/>
              <w:right w:val="nil"/>
            </w:tcBorders>
            <w:shd w:val="clear" w:color="auto" w:fill="auto"/>
            <w:noWrap/>
            <w:vAlign w:val="bottom"/>
            <w:hideMark/>
          </w:tcPr>
          <w:p w14:paraId="7AA08A70"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476</w:t>
            </w:r>
          </w:p>
        </w:tc>
        <w:tc>
          <w:tcPr>
            <w:tcW w:w="640" w:type="dxa"/>
            <w:tcBorders>
              <w:top w:val="nil"/>
              <w:left w:val="nil"/>
              <w:bottom w:val="single" w:sz="4" w:space="0" w:color="ADD6EA"/>
              <w:right w:val="nil"/>
            </w:tcBorders>
            <w:shd w:val="clear" w:color="auto" w:fill="auto"/>
            <w:noWrap/>
            <w:vAlign w:val="bottom"/>
            <w:hideMark/>
          </w:tcPr>
          <w:p w14:paraId="7BEBF2AE"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9,951</w:t>
            </w:r>
          </w:p>
        </w:tc>
        <w:tc>
          <w:tcPr>
            <w:tcW w:w="840" w:type="dxa"/>
            <w:tcBorders>
              <w:top w:val="nil"/>
              <w:left w:val="nil"/>
              <w:bottom w:val="single" w:sz="4" w:space="0" w:color="ADD6EA"/>
              <w:right w:val="nil"/>
            </w:tcBorders>
            <w:shd w:val="clear" w:color="auto" w:fill="auto"/>
            <w:noWrap/>
            <w:vAlign w:val="bottom"/>
            <w:hideMark/>
          </w:tcPr>
          <w:p w14:paraId="25C9F120"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155,063</w:t>
            </w:r>
          </w:p>
        </w:tc>
      </w:tr>
      <w:tr w:rsidR="007E365E" w:rsidRPr="00853B43" w14:paraId="2028095D" w14:textId="77777777" w:rsidTr="007D1D77">
        <w:trPr>
          <w:trHeight w:val="315"/>
        </w:trPr>
        <w:tc>
          <w:tcPr>
            <w:tcW w:w="2540" w:type="dxa"/>
            <w:tcBorders>
              <w:top w:val="nil"/>
              <w:left w:val="nil"/>
              <w:bottom w:val="single" w:sz="4" w:space="0" w:color="ADD6EA"/>
              <w:right w:val="nil"/>
            </w:tcBorders>
            <w:shd w:val="clear" w:color="auto" w:fill="auto"/>
            <w:noWrap/>
            <w:vAlign w:val="bottom"/>
            <w:hideMark/>
          </w:tcPr>
          <w:p w14:paraId="2080D0E8" w14:textId="77777777" w:rsidR="007E365E" w:rsidRPr="00853B43" w:rsidRDefault="007E365E" w:rsidP="007D1D77">
            <w:pPr>
              <w:tabs>
                <w:tab w:val="clear" w:pos="567"/>
              </w:tabs>
              <w:spacing w:before="0" w:line="240" w:lineRule="auto"/>
              <w:ind w:left="113"/>
              <w:rPr>
                <w:rFonts w:eastAsia="Times New Roman" w:cs="Open Sans Light"/>
                <w:sz w:val="16"/>
                <w:szCs w:val="16"/>
                <w:lang w:eastAsia="en-AU"/>
              </w:rPr>
            </w:pPr>
            <w:r w:rsidRPr="00853B43">
              <w:rPr>
                <w:rFonts w:eastAsia="Times New Roman" w:cs="Open Sans Light"/>
                <w:sz w:val="16"/>
                <w:szCs w:val="16"/>
                <w:lang w:eastAsia="en-AU"/>
              </w:rPr>
              <w:t>Assessed change in stock</w:t>
            </w:r>
          </w:p>
        </w:tc>
        <w:tc>
          <w:tcPr>
            <w:tcW w:w="740" w:type="dxa"/>
            <w:tcBorders>
              <w:top w:val="nil"/>
              <w:left w:val="nil"/>
              <w:bottom w:val="single" w:sz="4" w:space="0" w:color="ADD6EA"/>
              <w:right w:val="nil"/>
            </w:tcBorders>
            <w:shd w:val="clear" w:color="auto" w:fill="auto"/>
            <w:noWrap/>
            <w:vAlign w:val="bottom"/>
            <w:hideMark/>
          </w:tcPr>
          <w:p w14:paraId="08DB0750"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1,313</w:t>
            </w:r>
          </w:p>
        </w:tc>
        <w:tc>
          <w:tcPr>
            <w:tcW w:w="740" w:type="dxa"/>
            <w:tcBorders>
              <w:top w:val="nil"/>
              <w:left w:val="nil"/>
              <w:bottom w:val="single" w:sz="4" w:space="0" w:color="ADD6EA"/>
              <w:right w:val="nil"/>
            </w:tcBorders>
            <w:shd w:val="clear" w:color="auto" w:fill="auto"/>
            <w:noWrap/>
            <w:vAlign w:val="bottom"/>
            <w:hideMark/>
          </w:tcPr>
          <w:p w14:paraId="55B42FEC"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820</w:t>
            </w:r>
          </w:p>
        </w:tc>
        <w:tc>
          <w:tcPr>
            <w:tcW w:w="740" w:type="dxa"/>
            <w:tcBorders>
              <w:top w:val="nil"/>
              <w:left w:val="nil"/>
              <w:bottom w:val="single" w:sz="4" w:space="0" w:color="ADD6EA"/>
              <w:right w:val="nil"/>
            </w:tcBorders>
            <w:shd w:val="clear" w:color="auto" w:fill="auto"/>
            <w:noWrap/>
            <w:vAlign w:val="bottom"/>
            <w:hideMark/>
          </w:tcPr>
          <w:p w14:paraId="7C9F62D9"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1,296</w:t>
            </w:r>
          </w:p>
        </w:tc>
        <w:tc>
          <w:tcPr>
            <w:tcW w:w="740" w:type="dxa"/>
            <w:tcBorders>
              <w:top w:val="nil"/>
              <w:left w:val="nil"/>
              <w:bottom w:val="single" w:sz="4" w:space="0" w:color="ADD6EA"/>
              <w:right w:val="nil"/>
            </w:tcBorders>
            <w:shd w:val="clear" w:color="auto" w:fill="auto"/>
            <w:noWrap/>
            <w:vAlign w:val="bottom"/>
            <w:hideMark/>
          </w:tcPr>
          <w:p w14:paraId="09A0112D"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741</w:t>
            </w:r>
          </w:p>
        </w:tc>
        <w:tc>
          <w:tcPr>
            <w:tcW w:w="740" w:type="dxa"/>
            <w:tcBorders>
              <w:top w:val="nil"/>
              <w:left w:val="nil"/>
              <w:bottom w:val="single" w:sz="4" w:space="0" w:color="ADD6EA"/>
              <w:right w:val="nil"/>
            </w:tcBorders>
            <w:shd w:val="clear" w:color="auto" w:fill="auto"/>
            <w:noWrap/>
            <w:vAlign w:val="bottom"/>
            <w:hideMark/>
          </w:tcPr>
          <w:p w14:paraId="5CBFA604"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455</w:t>
            </w:r>
          </w:p>
        </w:tc>
        <w:tc>
          <w:tcPr>
            <w:tcW w:w="640" w:type="dxa"/>
            <w:tcBorders>
              <w:top w:val="nil"/>
              <w:left w:val="nil"/>
              <w:bottom w:val="single" w:sz="4" w:space="0" w:color="ADD6EA"/>
              <w:right w:val="nil"/>
            </w:tcBorders>
            <w:shd w:val="clear" w:color="auto" w:fill="auto"/>
            <w:noWrap/>
            <w:vAlign w:val="bottom"/>
            <w:hideMark/>
          </w:tcPr>
          <w:p w14:paraId="3F50C9E9"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152</w:t>
            </w:r>
          </w:p>
        </w:tc>
        <w:tc>
          <w:tcPr>
            <w:tcW w:w="640" w:type="dxa"/>
            <w:tcBorders>
              <w:top w:val="nil"/>
              <w:left w:val="nil"/>
              <w:bottom w:val="single" w:sz="4" w:space="0" w:color="ADD6EA"/>
              <w:right w:val="nil"/>
            </w:tcBorders>
            <w:shd w:val="clear" w:color="auto" w:fill="auto"/>
            <w:noWrap/>
            <w:vAlign w:val="bottom"/>
            <w:hideMark/>
          </w:tcPr>
          <w:p w14:paraId="195EBD0C"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16</w:t>
            </w:r>
          </w:p>
        </w:tc>
        <w:tc>
          <w:tcPr>
            <w:tcW w:w="640" w:type="dxa"/>
            <w:tcBorders>
              <w:top w:val="nil"/>
              <w:left w:val="nil"/>
              <w:bottom w:val="single" w:sz="4" w:space="0" w:color="ADD6EA"/>
              <w:right w:val="nil"/>
            </w:tcBorders>
            <w:shd w:val="clear" w:color="auto" w:fill="auto"/>
            <w:noWrap/>
            <w:vAlign w:val="bottom"/>
            <w:hideMark/>
          </w:tcPr>
          <w:p w14:paraId="6287412F"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327</w:t>
            </w:r>
          </w:p>
        </w:tc>
        <w:tc>
          <w:tcPr>
            <w:tcW w:w="840" w:type="dxa"/>
            <w:tcBorders>
              <w:top w:val="nil"/>
              <w:left w:val="nil"/>
              <w:bottom w:val="single" w:sz="4" w:space="0" w:color="ADD6EA"/>
              <w:right w:val="nil"/>
            </w:tcBorders>
            <w:shd w:val="clear" w:color="auto" w:fill="auto"/>
            <w:noWrap/>
            <w:vAlign w:val="bottom"/>
            <w:hideMark/>
          </w:tcPr>
          <w:p w14:paraId="79DCA161"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5,119</w:t>
            </w:r>
          </w:p>
        </w:tc>
      </w:tr>
      <w:tr w:rsidR="007E365E" w:rsidRPr="00853B43" w14:paraId="63B93765" w14:textId="77777777" w:rsidTr="007D1D77">
        <w:trPr>
          <w:trHeight w:val="315"/>
        </w:trPr>
        <w:tc>
          <w:tcPr>
            <w:tcW w:w="2540" w:type="dxa"/>
            <w:tcBorders>
              <w:top w:val="nil"/>
              <w:left w:val="nil"/>
              <w:bottom w:val="single" w:sz="4" w:space="0" w:color="ADD6EA"/>
              <w:right w:val="nil"/>
            </w:tcBorders>
            <w:shd w:val="clear" w:color="auto" w:fill="auto"/>
            <w:noWrap/>
            <w:vAlign w:val="bottom"/>
            <w:hideMark/>
          </w:tcPr>
          <w:p w14:paraId="3AFC09D4" w14:textId="77777777" w:rsidR="007E365E" w:rsidRPr="00853B43" w:rsidRDefault="007E365E" w:rsidP="007D1D77">
            <w:pPr>
              <w:tabs>
                <w:tab w:val="clear" w:pos="567"/>
              </w:tabs>
              <w:spacing w:before="0" w:line="240" w:lineRule="auto"/>
              <w:ind w:left="113"/>
              <w:rPr>
                <w:rFonts w:eastAsia="Times New Roman" w:cs="Open Sans Light"/>
                <w:sz w:val="16"/>
                <w:szCs w:val="16"/>
                <w:lang w:eastAsia="en-AU"/>
              </w:rPr>
            </w:pPr>
            <w:r w:rsidRPr="00853B43">
              <w:rPr>
                <w:rFonts w:eastAsia="Times New Roman" w:cs="Open Sans Light"/>
                <w:sz w:val="16"/>
                <w:szCs w:val="16"/>
                <w:lang w:eastAsia="en-AU"/>
              </w:rPr>
              <w:t>Cost factor</w:t>
            </w:r>
          </w:p>
        </w:tc>
        <w:tc>
          <w:tcPr>
            <w:tcW w:w="740" w:type="dxa"/>
            <w:tcBorders>
              <w:top w:val="nil"/>
              <w:left w:val="nil"/>
              <w:bottom w:val="single" w:sz="4" w:space="0" w:color="ADD6EA"/>
              <w:right w:val="nil"/>
            </w:tcBorders>
            <w:shd w:val="clear" w:color="auto" w:fill="auto"/>
            <w:noWrap/>
            <w:vAlign w:val="bottom"/>
            <w:hideMark/>
          </w:tcPr>
          <w:p w14:paraId="7211EA12"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0.985</w:t>
            </w:r>
          </w:p>
        </w:tc>
        <w:tc>
          <w:tcPr>
            <w:tcW w:w="740" w:type="dxa"/>
            <w:tcBorders>
              <w:top w:val="nil"/>
              <w:left w:val="nil"/>
              <w:bottom w:val="single" w:sz="4" w:space="0" w:color="ADD6EA"/>
              <w:right w:val="nil"/>
            </w:tcBorders>
            <w:shd w:val="clear" w:color="auto" w:fill="auto"/>
            <w:noWrap/>
            <w:vAlign w:val="bottom"/>
            <w:hideMark/>
          </w:tcPr>
          <w:p w14:paraId="344DAF7F"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0.831</w:t>
            </w:r>
          </w:p>
        </w:tc>
        <w:tc>
          <w:tcPr>
            <w:tcW w:w="740" w:type="dxa"/>
            <w:tcBorders>
              <w:top w:val="nil"/>
              <w:left w:val="nil"/>
              <w:bottom w:val="single" w:sz="4" w:space="0" w:color="ADD6EA"/>
              <w:right w:val="nil"/>
            </w:tcBorders>
            <w:shd w:val="clear" w:color="auto" w:fill="auto"/>
            <w:noWrap/>
            <w:vAlign w:val="bottom"/>
            <w:hideMark/>
          </w:tcPr>
          <w:p w14:paraId="235277D3"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1.120</w:t>
            </w:r>
          </w:p>
        </w:tc>
        <w:tc>
          <w:tcPr>
            <w:tcW w:w="740" w:type="dxa"/>
            <w:tcBorders>
              <w:top w:val="nil"/>
              <w:left w:val="nil"/>
              <w:bottom w:val="single" w:sz="4" w:space="0" w:color="ADD6EA"/>
              <w:right w:val="nil"/>
            </w:tcBorders>
            <w:shd w:val="clear" w:color="auto" w:fill="auto"/>
            <w:noWrap/>
            <w:vAlign w:val="bottom"/>
            <w:hideMark/>
          </w:tcPr>
          <w:p w14:paraId="2DCBA794"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1.260</w:t>
            </w:r>
          </w:p>
        </w:tc>
        <w:tc>
          <w:tcPr>
            <w:tcW w:w="740" w:type="dxa"/>
            <w:tcBorders>
              <w:top w:val="nil"/>
              <w:left w:val="nil"/>
              <w:bottom w:val="single" w:sz="4" w:space="0" w:color="ADD6EA"/>
              <w:right w:val="nil"/>
            </w:tcBorders>
            <w:shd w:val="clear" w:color="auto" w:fill="auto"/>
            <w:noWrap/>
            <w:vAlign w:val="bottom"/>
            <w:hideMark/>
          </w:tcPr>
          <w:p w14:paraId="78E8AF01"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0.998</w:t>
            </w:r>
          </w:p>
        </w:tc>
        <w:tc>
          <w:tcPr>
            <w:tcW w:w="640" w:type="dxa"/>
            <w:tcBorders>
              <w:top w:val="nil"/>
              <w:left w:val="nil"/>
              <w:bottom w:val="single" w:sz="4" w:space="0" w:color="ADD6EA"/>
              <w:right w:val="nil"/>
            </w:tcBorders>
            <w:shd w:val="clear" w:color="auto" w:fill="auto"/>
            <w:noWrap/>
            <w:vAlign w:val="bottom"/>
            <w:hideMark/>
          </w:tcPr>
          <w:p w14:paraId="118EBC31"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0.865</w:t>
            </w:r>
          </w:p>
        </w:tc>
        <w:tc>
          <w:tcPr>
            <w:tcW w:w="640" w:type="dxa"/>
            <w:tcBorders>
              <w:top w:val="nil"/>
              <w:left w:val="nil"/>
              <w:bottom w:val="single" w:sz="4" w:space="0" w:color="ADD6EA"/>
              <w:right w:val="nil"/>
            </w:tcBorders>
            <w:shd w:val="clear" w:color="auto" w:fill="auto"/>
            <w:noWrap/>
            <w:vAlign w:val="bottom"/>
            <w:hideMark/>
          </w:tcPr>
          <w:p w14:paraId="2BD65CF9"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0.874</w:t>
            </w:r>
          </w:p>
        </w:tc>
        <w:tc>
          <w:tcPr>
            <w:tcW w:w="640" w:type="dxa"/>
            <w:tcBorders>
              <w:top w:val="nil"/>
              <w:left w:val="nil"/>
              <w:bottom w:val="single" w:sz="4" w:space="0" w:color="ADD6EA"/>
              <w:right w:val="nil"/>
            </w:tcBorders>
            <w:shd w:val="clear" w:color="auto" w:fill="auto"/>
            <w:noWrap/>
            <w:vAlign w:val="bottom"/>
            <w:hideMark/>
          </w:tcPr>
          <w:p w14:paraId="59B986A3"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1.269</w:t>
            </w:r>
          </w:p>
        </w:tc>
        <w:tc>
          <w:tcPr>
            <w:tcW w:w="840" w:type="dxa"/>
            <w:tcBorders>
              <w:top w:val="nil"/>
              <w:left w:val="nil"/>
              <w:bottom w:val="single" w:sz="4" w:space="0" w:color="ADD6EA"/>
              <w:right w:val="nil"/>
            </w:tcBorders>
            <w:shd w:val="clear" w:color="auto" w:fill="auto"/>
            <w:noWrap/>
            <w:vAlign w:val="bottom"/>
            <w:hideMark/>
          </w:tcPr>
          <w:p w14:paraId="3D6EEE50"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1.000</w:t>
            </w:r>
          </w:p>
        </w:tc>
      </w:tr>
      <w:tr w:rsidR="007E365E" w:rsidRPr="00853B43" w14:paraId="32EDC786" w14:textId="77777777" w:rsidTr="007D1D77">
        <w:trPr>
          <w:trHeight w:val="315"/>
        </w:trPr>
        <w:tc>
          <w:tcPr>
            <w:tcW w:w="2540" w:type="dxa"/>
            <w:tcBorders>
              <w:top w:val="nil"/>
              <w:left w:val="nil"/>
              <w:bottom w:val="single" w:sz="4" w:space="0" w:color="ADD6EA"/>
              <w:right w:val="nil"/>
            </w:tcBorders>
            <w:shd w:val="clear" w:color="000000" w:fill="B6D5E4"/>
            <w:noWrap/>
            <w:vAlign w:val="bottom"/>
            <w:hideMark/>
          </w:tcPr>
          <w:p w14:paraId="538F10B5" w14:textId="77777777" w:rsidR="007E365E" w:rsidRPr="00CD3616" w:rsidRDefault="007E365E" w:rsidP="007D1D77">
            <w:pPr>
              <w:keepNext/>
              <w:keepLines/>
              <w:tabs>
                <w:tab w:val="clear" w:pos="567"/>
              </w:tabs>
              <w:spacing w:before="0" w:line="240" w:lineRule="auto"/>
              <w:ind w:left="113"/>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Assessed investment</w:t>
            </w:r>
          </w:p>
        </w:tc>
        <w:tc>
          <w:tcPr>
            <w:tcW w:w="740" w:type="dxa"/>
            <w:tcBorders>
              <w:top w:val="nil"/>
              <w:left w:val="nil"/>
              <w:bottom w:val="single" w:sz="4" w:space="0" w:color="ADD6EA"/>
              <w:right w:val="nil"/>
            </w:tcBorders>
            <w:shd w:val="clear" w:color="000000" w:fill="B6D5E4"/>
            <w:noWrap/>
            <w:vAlign w:val="bottom"/>
            <w:hideMark/>
          </w:tcPr>
          <w:p w14:paraId="3280C2A0"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1,212</w:t>
            </w:r>
          </w:p>
        </w:tc>
        <w:tc>
          <w:tcPr>
            <w:tcW w:w="740" w:type="dxa"/>
            <w:tcBorders>
              <w:top w:val="nil"/>
              <w:left w:val="nil"/>
              <w:bottom w:val="single" w:sz="4" w:space="0" w:color="ADD6EA"/>
              <w:right w:val="nil"/>
            </w:tcBorders>
            <w:shd w:val="clear" w:color="000000" w:fill="B6D5E4"/>
            <w:noWrap/>
            <w:vAlign w:val="bottom"/>
            <w:hideMark/>
          </w:tcPr>
          <w:p w14:paraId="10B749EC"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615</w:t>
            </w:r>
          </w:p>
        </w:tc>
        <w:tc>
          <w:tcPr>
            <w:tcW w:w="740" w:type="dxa"/>
            <w:tcBorders>
              <w:top w:val="nil"/>
              <w:left w:val="nil"/>
              <w:bottom w:val="single" w:sz="4" w:space="0" w:color="ADD6EA"/>
              <w:right w:val="nil"/>
            </w:tcBorders>
            <w:shd w:val="clear" w:color="000000" w:fill="B6D5E4"/>
            <w:noWrap/>
            <w:vAlign w:val="bottom"/>
            <w:hideMark/>
          </w:tcPr>
          <w:p w14:paraId="629B9562"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1,401</w:t>
            </w:r>
          </w:p>
        </w:tc>
        <w:tc>
          <w:tcPr>
            <w:tcW w:w="740" w:type="dxa"/>
            <w:tcBorders>
              <w:top w:val="nil"/>
              <w:left w:val="nil"/>
              <w:bottom w:val="single" w:sz="4" w:space="0" w:color="ADD6EA"/>
              <w:right w:val="nil"/>
            </w:tcBorders>
            <w:shd w:val="clear" w:color="000000" w:fill="B6D5E4"/>
            <w:noWrap/>
            <w:vAlign w:val="bottom"/>
            <w:hideMark/>
          </w:tcPr>
          <w:p w14:paraId="05BEC8B7"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907</w:t>
            </w:r>
          </w:p>
        </w:tc>
        <w:tc>
          <w:tcPr>
            <w:tcW w:w="740" w:type="dxa"/>
            <w:tcBorders>
              <w:top w:val="nil"/>
              <w:left w:val="nil"/>
              <w:bottom w:val="single" w:sz="4" w:space="0" w:color="ADD6EA"/>
              <w:right w:val="nil"/>
            </w:tcBorders>
            <w:shd w:val="clear" w:color="000000" w:fill="B6D5E4"/>
            <w:noWrap/>
            <w:vAlign w:val="bottom"/>
            <w:hideMark/>
          </w:tcPr>
          <w:p w14:paraId="0326CE7B"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436</w:t>
            </w:r>
          </w:p>
        </w:tc>
        <w:tc>
          <w:tcPr>
            <w:tcW w:w="640" w:type="dxa"/>
            <w:tcBorders>
              <w:top w:val="nil"/>
              <w:left w:val="nil"/>
              <w:bottom w:val="single" w:sz="4" w:space="0" w:color="ADD6EA"/>
              <w:right w:val="nil"/>
            </w:tcBorders>
            <w:shd w:val="clear" w:color="000000" w:fill="B6D5E4"/>
            <w:noWrap/>
            <w:vAlign w:val="bottom"/>
            <w:hideMark/>
          </w:tcPr>
          <w:p w14:paraId="02CBE86E"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126</w:t>
            </w:r>
          </w:p>
        </w:tc>
        <w:tc>
          <w:tcPr>
            <w:tcW w:w="640" w:type="dxa"/>
            <w:tcBorders>
              <w:top w:val="nil"/>
              <w:left w:val="nil"/>
              <w:bottom w:val="single" w:sz="4" w:space="0" w:color="ADD6EA"/>
              <w:right w:val="nil"/>
            </w:tcBorders>
            <w:shd w:val="clear" w:color="000000" w:fill="B6D5E4"/>
            <w:noWrap/>
            <w:vAlign w:val="bottom"/>
            <w:hideMark/>
          </w:tcPr>
          <w:p w14:paraId="63A069BA"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10</w:t>
            </w:r>
          </w:p>
        </w:tc>
        <w:tc>
          <w:tcPr>
            <w:tcW w:w="640" w:type="dxa"/>
            <w:tcBorders>
              <w:top w:val="nil"/>
              <w:left w:val="nil"/>
              <w:bottom w:val="single" w:sz="4" w:space="0" w:color="ADD6EA"/>
              <w:right w:val="nil"/>
            </w:tcBorders>
            <w:shd w:val="clear" w:color="000000" w:fill="B6D5E4"/>
            <w:noWrap/>
            <w:vAlign w:val="bottom"/>
            <w:hideMark/>
          </w:tcPr>
          <w:p w14:paraId="1C04E407"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412</w:t>
            </w:r>
          </w:p>
        </w:tc>
        <w:tc>
          <w:tcPr>
            <w:tcW w:w="840" w:type="dxa"/>
            <w:tcBorders>
              <w:top w:val="nil"/>
              <w:left w:val="nil"/>
              <w:bottom w:val="single" w:sz="4" w:space="0" w:color="ADD6EA"/>
              <w:right w:val="nil"/>
            </w:tcBorders>
            <w:shd w:val="clear" w:color="000000" w:fill="B6D5E4"/>
            <w:noWrap/>
            <w:vAlign w:val="bottom"/>
            <w:hideMark/>
          </w:tcPr>
          <w:p w14:paraId="02AC9C1D"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5,119</w:t>
            </w:r>
          </w:p>
        </w:tc>
      </w:tr>
      <w:tr w:rsidR="007E365E" w:rsidRPr="00853B43" w14:paraId="677402C7" w14:textId="77777777" w:rsidTr="007D1D77">
        <w:trPr>
          <w:trHeight w:val="315"/>
        </w:trPr>
        <w:tc>
          <w:tcPr>
            <w:tcW w:w="2540" w:type="dxa"/>
            <w:tcBorders>
              <w:top w:val="nil"/>
              <w:left w:val="nil"/>
              <w:bottom w:val="single" w:sz="4" w:space="0" w:color="ADD6EA"/>
              <w:right w:val="nil"/>
            </w:tcBorders>
            <w:shd w:val="clear" w:color="auto" w:fill="auto"/>
            <w:noWrap/>
            <w:vAlign w:val="bottom"/>
            <w:hideMark/>
          </w:tcPr>
          <w:p w14:paraId="670C21FE" w14:textId="77777777" w:rsidR="007E365E" w:rsidRPr="00CD3616"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Urban roads</w:t>
            </w:r>
          </w:p>
        </w:tc>
        <w:tc>
          <w:tcPr>
            <w:tcW w:w="740" w:type="dxa"/>
            <w:tcBorders>
              <w:top w:val="nil"/>
              <w:left w:val="nil"/>
              <w:bottom w:val="single" w:sz="4" w:space="0" w:color="ADD6EA"/>
              <w:right w:val="nil"/>
            </w:tcBorders>
            <w:shd w:val="clear" w:color="auto" w:fill="auto"/>
            <w:noWrap/>
            <w:vAlign w:val="bottom"/>
            <w:hideMark/>
          </w:tcPr>
          <w:p w14:paraId="5780F499"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740" w:type="dxa"/>
            <w:tcBorders>
              <w:top w:val="nil"/>
              <w:left w:val="nil"/>
              <w:bottom w:val="single" w:sz="4" w:space="0" w:color="ADD6EA"/>
              <w:right w:val="nil"/>
            </w:tcBorders>
            <w:shd w:val="clear" w:color="auto" w:fill="auto"/>
            <w:noWrap/>
            <w:vAlign w:val="bottom"/>
            <w:hideMark/>
          </w:tcPr>
          <w:p w14:paraId="09347DEF"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740" w:type="dxa"/>
            <w:tcBorders>
              <w:top w:val="nil"/>
              <w:left w:val="nil"/>
              <w:bottom w:val="single" w:sz="4" w:space="0" w:color="ADD6EA"/>
              <w:right w:val="nil"/>
            </w:tcBorders>
            <w:shd w:val="clear" w:color="auto" w:fill="auto"/>
            <w:noWrap/>
            <w:vAlign w:val="bottom"/>
            <w:hideMark/>
          </w:tcPr>
          <w:p w14:paraId="3DCFDFF7"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740" w:type="dxa"/>
            <w:tcBorders>
              <w:top w:val="nil"/>
              <w:left w:val="nil"/>
              <w:bottom w:val="single" w:sz="4" w:space="0" w:color="ADD6EA"/>
              <w:right w:val="nil"/>
            </w:tcBorders>
            <w:shd w:val="clear" w:color="auto" w:fill="auto"/>
            <w:noWrap/>
            <w:vAlign w:val="bottom"/>
            <w:hideMark/>
          </w:tcPr>
          <w:p w14:paraId="6ACFCBAA"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740" w:type="dxa"/>
            <w:tcBorders>
              <w:top w:val="nil"/>
              <w:left w:val="nil"/>
              <w:bottom w:val="single" w:sz="4" w:space="0" w:color="ADD6EA"/>
              <w:right w:val="nil"/>
            </w:tcBorders>
            <w:shd w:val="clear" w:color="auto" w:fill="auto"/>
            <w:noWrap/>
            <w:vAlign w:val="bottom"/>
            <w:hideMark/>
          </w:tcPr>
          <w:p w14:paraId="40C516CB"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640" w:type="dxa"/>
            <w:tcBorders>
              <w:top w:val="nil"/>
              <w:left w:val="nil"/>
              <w:bottom w:val="single" w:sz="4" w:space="0" w:color="ADD6EA"/>
              <w:right w:val="nil"/>
            </w:tcBorders>
            <w:shd w:val="clear" w:color="auto" w:fill="auto"/>
            <w:noWrap/>
            <w:vAlign w:val="bottom"/>
            <w:hideMark/>
          </w:tcPr>
          <w:p w14:paraId="64084216"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640" w:type="dxa"/>
            <w:tcBorders>
              <w:top w:val="nil"/>
              <w:left w:val="nil"/>
              <w:bottom w:val="single" w:sz="4" w:space="0" w:color="ADD6EA"/>
              <w:right w:val="nil"/>
            </w:tcBorders>
            <w:shd w:val="clear" w:color="auto" w:fill="auto"/>
            <w:noWrap/>
            <w:vAlign w:val="bottom"/>
            <w:hideMark/>
          </w:tcPr>
          <w:p w14:paraId="2BDC25C1"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640" w:type="dxa"/>
            <w:tcBorders>
              <w:top w:val="nil"/>
              <w:left w:val="nil"/>
              <w:bottom w:val="single" w:sz="4" w:space="0" w:color="ADD6EA"/>
              <w:right w:val="nil"/>
            </w:tcBorders>
            <w:shd w:val="clear" w:color="auto" w:fill="auto"/>
            <w:noWrap/>
            <w:vAlign w:val="bottom"/>
            <w:hideMark/>
          </w:tcPr>
          <w:p w14:paraId="37A115D6"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c>
          <w:tcPr>
            <w:tcW w:w="840" w:type="dxa"/>
            <w:tcBorders>
              <w:top w:val="nil"/>
              <w:left w:val="nil"/>
              <w:bottom w:val="single" w:sz="4" w:space="0" w:color="ADD6EA"/>
              <w:right w:val="nil"/>
            </w:tcBorders>
            <w:shd w:val="clear" w:color="auto" w:fill="auto"/>
            <w:noWrap/>
            <w:vAlign w:val="bottom"/>
            <w:hideMark/>
          </w:tcPr>
          <w:p w14:paraId="39CF797A"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 </w:t>
            </w:r>
          </w:p>
        </w:tc>
      </w:tr>
      <w:tr w:rsidR="007E365E" w:rsidRPr="00853B43" w14:paraId="149F40FC" w14:textId="77777777" w:rsidTr="007D1D77">
        <w:trPr>
          <w:trHeight w:val="315"/>
        </w:trPr>
        <w:tc>
          <w:tcPr>
            <w:tcW w:w="2540" w:type="dxa"/>
            <w:tcBorders>
              <w:top w:val="nil"/>
              <w:left w:val="nil"/>
              <w:bottom w:val="single" w:sz="4" w:space="0" w:color="ADD6EA"/>
              <w:right w:val="nil"/>
            </w:tcBorders>
            <w:shd w:val="clear" w:color="auto" w:fill="auto"/>
            <w:noWrap/>
            <w:vAlign w:val="bottom"/>
            <w:hideMark/>
          </w:tcPr>
          <w:p w14:paraId="689B74BE" w14:textId="77777777" w:rsidR="007E365E" w:rsidRPr="00853B43" w:rsidRDefault="007E365E" w:rsidP="007D1D77">
            <w:pPr>
              <w:tabs>
                <w:tab w:val="clear" w:pos="567"/>
              </w:tabs>
              <w:spacing w:before="0" w:line="240" w:lineRule="auto"/>
              <w:ind w:left="113"/>
              <w:rPr>
                <w:rFonts w:eastAsia="Times New Roman" w:cs="Open Sans Light"/>
                <w:sz w:val="16"/>
                <w:szCs w:val="16"/>
                <w:lang w:eastAsia="en-AU"/>
              </w:rPr>
            </w:pPr>
            <w:r w:rsidRPr="00853B43">
              <w:rPr>
                <w:rFonts w:eastAsia="Times New Roman" w:cs="Open Sans Light"/>
                <w:sz w:val="16"/>
                <w:szCs w:val="16"/>
                <w:lang w:eastAsia="en-AU"/>
              </w:rPr>
              <w:t>Assessed opening stock</w:t>
            </w:r>
          </w:p>
        </w:tc>
        <w:tc>
          <w:tcPr>
            <w:tcW w:w="740" w:type="dxa"/>
            <w:tcBorders>
              <w:top w:val="nil"/>
              <w:left w:val="nil"/>
              <w:bottom w:val="single" w:sz="4" w:space="0" w:color="ADD6EA"/>
              <w:right w:val="nil"/>
            </w:tcBorders>
            <w:shd w:val="clear" w:color="auto" w:fill="auto"/>
            <w:noWrap/>
            <w:vAlign w:val="bottom"/>
            <w:hideMark/>
          </w:tcPr>
          <w:p w14:paraId="2EDA7ECE"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22,869</w:t>
            </w:r>
          </w:p>
        </w:tc>
        <w:tc>
          <w:tcPr>
            <w:tcW w:w="740" w:type="dxa"/>
            <w:tcBorders>
              <w:top w:val="nil"/>
              <w:left w:val="nil"/>
              <w:bottom w:val="single" w:sz="4" w:space="0" w:color="ADD6EA"/>
              <w:right w:val="nil"/>
            </w:tcBorders>
            <w:shd w:val="clear" w:color="auto" w:fill="auto"/>
            <w:noWrap/>
            <w:vAlign w:val="bottom"/>
            <w:hideMark/>
          </w:tcPr>
          <w:p w14:paraId="0F3F8040"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18,594</w:t>
            </w:r>
          </w:p>
        </w:tc>
        <w:tc>
          <w:tcPr>
            <w:tcW w:w="740" w:type="dxa"/>
            <w:tcBorders>
              <w:top w:val="nil"/>
              <w:left w:val="nil"/>
              <w:bottom w:val="single" w:sz="4" w:space="0" w:color="ADD6EA"/>
              <w:right w:val="nil"/>
            </w:tcBorders>
            <w:shd w:val="clear" w:color="auto" w:fill="auto"/>
            <w:noWrap/>
            <w:vAlign w:val="bottom"/>
            <w:hideMark/>
          </w:tcPr>
          <w:p w14:paraId="1227E1CF"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15,280</w:t>
            </w:r>
          </w:p>
        </w:tc>
        <w:tc>
          <w:tcPr>
            <w:tcW w:w="740" w:type="dxa"/>
            <w:tcBorders>
              <w:top w:val="nil"/>
              <w:left w:val="nil"/>
              <w:bottom w:val="single" w:sz="4" w:space="0" w:color="ADD6EA"/>
              <w:right w:val="nil"/>
            </w:tcBorders>
            <w:shd w:val="clear" w:color="auto" w:fill="auto"/>
            <w:noWrap/>
            <w:vAlign w:val="bottom"/>
            <w:hideMark/>
          </w:tcPr>
          <w:p w14:paraId="1F0E6B6A"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7,485</w:t>
            </w:r>
          </w:p>
        </w:tc>
        <w:tc>
          <w:tcPr>
            <w:tcW w:w="740" w:type="dxa"/>
            <w:tcBorders>
              <w:top w:val="nil"/>
              <w:left w:val="nil"/>
              <w:bottom w:val="single" w:sz="4" w:space="0" w:color="ADD6EA"/>
              <w:right w:val="nil"/>
            </w:tcBorders>
            <w:shd w:val="clear" w:color="auto" w:fill="auto"/>
            <w:noWrap/>
            <w:vAlign w:val="bottom"/>
            <w:hideMark/>
          </w:tcPr>
          <w:p w14:paraId="073B713E"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4,355</w:t>
            </w:r>
          </w:p>
        </w:tc>
        <w:tc>
          <w:tcPr>
            <w:tcW w:w="640" w:type="dxa"/>
            <w:tcBorders>
              <w:top w:val="nil"/>
              <w:left w:val="nil"/>
              <w:bottom w:val="single" w:sz="4" w:space="0" w:color="ADD6EA"/>
              <w:right w:val="nil"/>
            </w:tcBorders>
            <w:shd w:val="clear" w:color="auto" w:fill="auto"/>
            <w:noWrap/>
            <w:vAlign w:val="bottom"/>
            <w:hideMark/>
          </w:tcPr>
          <w:p w14:paraId="0E73FFB0"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1,221</w:t>
            </w:r>
          </w:p>
        </w:tc>
        <w:tc>
          <w:tcPr>
            <w:tcW w:w="640" w:type="dxa"/>
            <w:tcBorders>
              <w:top w:val="nil"/>
              <w:left w:val="nil"/>
              <w:bottom w:val="single" w:sz="4" w:space="0" w:color="ADD6EA"/>
              <w:right w:val="nil"/>
            </w:tcBorders>
            <w:shd w:val="clear" w:color="auto" w:fill="auto"/>
            <w:noWrap/>
            <w:vAlign w:val="bottom"/>
            <w:hideMark/>
          </w:tcPr>
          <w:p w14:paraId="1324C434"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1,399</w:t>
            </w:r>
          </w:p>
        </w:tc>
        <w:tc>
          <w:tcPr>
            <w:tcW w:w="640" w:type="dxa"/>
            <w:tcBorders>
              <w:top w:val="nil"/>
              <w:left w:val="nil"/>
              <w:bottom w:val="single" w:sz="4" w:space="0" w:color="ADD6EA"/>
              <w:right w:val="nil"/>
            </w:tcBorders>
            <w:shd w:val="clear" w:color="auto" w:fill="auto"/>
            <w:noWrap/>
            <w:vAlign w:val="bottom"/>
            <w:hideMark/>
          </w:tcPr>
          <w:p w14:paraId="0487BA63"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590</w:t>
            </w:r>
          </w:p>
        </w:tc>
        <w:tc>
          <w:tcPr>
            <w:tcW w:w="840" w:type="dxa"/>
            <w:tcBorders>
              <w:top w:val="nil"/>
              <w:left w:val="nil"/>
              <w:bottom w:val="single" w:sz="4" w:space="0" w:color="ADD6EA"/>
              <w:right w:val="nil"/>
            </w:tcBorders>
            <w:shd w:val="clear" w:color="auto" w:fill="auto"/>
            <w:noWrap/>
            <w:vAlign w:val="bottom"/>
            <w:hideMark/>
          </w:tcPr>
          <w:p w14:paraId="660623FB"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71,794</w:t>
            </w:r>
          </w:p>
        </w:tc>
      </w:tr>
      <w:tr w:rsidR="007E365E" w:rsidRPr="00853B43" w14:paraId="4E3AD669" w14:textId="77777777" w:rsidTr="007D1D77">
        <w:trPr>
          <w:trHeight w:val="315"/>
        </w:trPr>
        <w:tc>
          <w:tcPr>
            <w:tcW w:w="2540" w:type="dxa"/>
            <w:tcBorders>
              <w:top w:val="nil"/>
              <w:left w:val="nil"/>
              <w:bottom w:val="single" w:sz="4" w:space="0" w:color="ADD6EA"/>
              <w:right w:val="nil"/>
            </w:tcBorders>
            <w:shd w:val="clear" w:color="auto" w:fill="auto"/>
            <w:noWrap/>
            <w:vAlign w:val="bottom"/>
            <w:hideMark/>
          </w:tcPr>
          <w:p w14:paraId="3C8CAD22" w14:textId="77777777" w:rsidR="007E365E" w:rsidRPr="00853B43" w:rsidRDefault="007E365E" w:rsidP="007D1D77">
            <w:pPr>
              <w:tabs>
                <w:tab w:val="clear" w:pos="567"/>
              </w:tabs>
              <w:spacing w:before="0" w:line="240" w:lineRule="auto"/>
              <w:ind w:left="113"/>
              <w:rPr>
                <w:rFonts w:eastAsia="Times New Roman" w:cs="Open Sans Light"/>
                <w:sz w:val="16"/>
                <w:szCs w:val="16"/>
                <w:lang w:eastAsia="en-AU"/>
              </w:rPr>
            </w:pPr>
            <w:r w:rsidRPr="00853B43">
              <w:rPr>
                <w:rFonts w:eastAsia="Times New Roman" w:cs="Open Sans Light"/>
                <w:sz w:val="16"/>
                <w:szCs w:val="16"/>
                <w:lang w:eastAsia="en-AU"/>
              </w:rPr>
              <w:t>Assessed closing stock</w:t>
            </w:r>
          </w:p>
        </w:tc>
        <w:tc>
          <w:tcPr>
            <w:tcW w:w="740" w:type="dxa"/>
            <w:tcBorders>
              <w:top w:val="nil"/>
              <w:left w:val="nil"/>
              <w:bottom w:val="single" w:sz="4" w:space="0" w:color="ADD6EA"/>
              <w:right w:val="nil"/>
            </w:tcBorders>
            <w:shd w:val="clear" w:color="auto" w:fill="auto"/>
            <w:noWrap/>
            <w:vAlign w:val="bottom"/>
            <w:hideMark/>
          </w:tcPr>
          <w:p w14:paraId="7BDAC3EB"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24,743</w:t>
            </w:r>
          </w:p>
        </w:tc>
        <w:tc>
          <w:tcPr>
            <w:tcW w:w="740" w:type="dxa"/>
            <w:tcBorders>
              <w:top w:val="nil"/>
              <w:left w:val="nil"/>
              <w:bottom w:val="single" w:sz="4" w:space="0" w:color="ADD6EA"/>
              <w:right w:val="nil"/>
            </w:tcBorders>
            <w:shd w:val="clear" w:color="auto" w:fill="auto"/>
            <w:noWrap/>
            <w:vAlign w:val="bottom"/>
            <w:hideMark/>
          </w:tcPr>
          <w:p w14:paraId="129B1505"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20,229</w:t>
            </w:r>
          </w:p>
        </w:tc>
        <w:tc>
          <w:tcPr>
            <w:tcW w:w="740" w:type="dxa"/>
            <w:tcBorders>
              <w:top w:val="nil"/>
              <w:left w:val="nil"/>
              <w:bottom w:val="single" w:sz="4" w:space="0" w:color="ADD6EA"/>
              <w:right w:val="nil"/>
            </w:tcBorders>
            <w:shd w:val="clear" w:color="auto" w:fill="auto"/>
            <w:noWrap/>
            <w:vAlign w:val="bottom"/>
            <w:hideMark/>
          </w:tcPr>
          <w:p w14:paraId="62822406"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16,567</w:t>
            </w:r>
          </w:p>
        </w:tc>
        <w:tc>
          <w:tcPr>
            <w:tcW w:w="740" w:type="dxa"/>
            <w:tcBorders>
              <w:top w:val="nil"/>
              <w:left w:val="nil"/>
              <w:bottom w:val="single" w:sz="4" w:space="0" w:color="ADD6EA"/>
              <w:right w:val="nil"/>
            </w:tcBorders>
            <w:shd w:val="clear" w:color="auto" w:fill="auto"/>
            <w:noWrap/>
            <w:vAlign w:val="bottom"/>
            <w:hideMark/>
          </w:tcPr>
          <w:p w14:paraId="35ACF7C3"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8,050</w:t>
            </w:r>
          </w:p>
        </w:tc>
        <w:tc>
          <w:tcPr>
            <w:tcW w:w="740" w:type="dxa"/>
            <w:tcBorders>
              <w:top w:val="nil"/>
              <w:left w:val="nil"/>
              <w:bottom w:val="single" w:sz="4" w:space="0" w:color="ADD6EA"/>
              <w:right w:val="nil"/>
            </w:tcBorders>
            <w:shd w:val="clear" w:color="auto" w:fill="auto"/>
            <w:noWrap/>
            <w:vAlign w:val="bottom"/>
            <w:hideMark/>
          </w:tcPr>
          <w:p w14:paraId="47A9B7CD"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4,682</w:t>
            </w:r>
          </w:p>
        </w:tc>
        <w:tc>
          <w:tcPr>
            <w:tcW w:w="640" w:type="dxa"/>
            <w:tcBorders>
              <w:top w:val="nil"/>
              <w:left w:val="nil"/>
              <w:bottom w:val="single" w:sz="4" w:space="0" w:color="ADD6EA"/>
              <w:right w:val="nil"/>
            </w:tcBorders>
            <w:shd w:val="clear" w:color="auto" w:fill="auto"/>
            <w:noWrap/>
            <w:vAlign w:val="bottom"/>
            <w:hideMark/>
          </w:tcPr>
          <w:p w14:paraId="54FD03A5"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1,322</w:t>
            </w:r>
          </w:p>
        </w:tc>
        <w:tc>
          <w:tcPr>
            <w:tcW w:w="640" w:type="dxa"/>
            <w:tcBorders>
              <w:top w:val="nil"/>
              <w:left w:val="nil"/>
              <w:bottom w:val="single" w:sz="4" w:space="0" w:color="ADD6EA"/>
              <w:right w:val="nil"/>
            </w:tcBorders>
            <w:shd w:val="clear" w:color="auto" w:fill="auto"/>
            <w:noWrap/>
            <w:vAlign w:val="bottom"/>
            <w:hideMark/>
          </w:tcPr>
          <w:p w14:paraId="0981B86C"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1,512</w:t>
            </w:r>
          </w:p>
        </w:tc>
        <w:tc>
          <w:tcPr>
            <w:tcW w:w="640" w:type="dxa"/>
            <w:tcBorders>
              <w:top w:val="nil"/>
              <w:left w:val="nil"/>
              <w:bottom w:val="single" w:sz="4" w:space="0" w:color="ADD6EA"/>
              <w:right w:val="nil"/>
            </w:tcBorders>
            <w:shd w:val="clear" w:color="auto" w:fill="auto"/>
            <w:noWrap/>
            <w:vAlign w:val="bottom"/>
            <w:hideMark/>
          </w:tcPr>
          <w:p w14:paraId="508CB4CA"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630</w:t>
            </w:r>
          </w:p>
        </w:tc>
        <w:tc>
          <w:tcPr>
            <w:tcW w:w="840" w:type="dxa"/>
            <w:tcBorders>
              <w:top w:val="nil"/>
              <w:left w:val="nil"/>
              <w:bottom w:val="single" w:sz="4" w:space="0" w:color="ADD6EA"/>
              <w:right w:val="nil"/>
            </w:tcBorders>
            <w:shd w:val="clear" w:color="auto" w:fill="auto"/>
            <w:noWrap/>
            <w:vAlign w:val="bottom"/>
            <w:hideMark/>
          </w:tcPr>
          <w:p w14:paraId="41009402"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77,737</w:t>
            </w:r>
          </w:p>
        </w:tc>
      </w:tr>
      <w:tr w:rsidR="007E365E" w:rsidRPr="00853B43" w14:paraId="1124FDF2" w14:textId="77777777" w:rsidTr="007D1D77">
        <w:trPr>
          <w:trHeight w:val="315"/>
        </w:trPr>
        <w:tc>
          <w:tcPr>
            <w:tcW w:w="2540" w:type="dxa"/>
            <w:tcBorders>
              <w:top w:val="nil"/>
              <w:left w:val="nil"/>
              <w:bottom w:val="single" w:sz="4" w:space="0" w:color="ADD6EA"/>
              <w:right w:val="nil"/>
            </w:tcBorders>
            <w:shd w:val="clear" w:color="auto" w:fill="auto"/>
            <w:noWrap/>
            <w:vAlign w:val="bottom"/>
            <w:hideMark/>
          </w:tcPr>
          <w:p w14:paraId="42405123" w14:textId="77777777" w:rsidR="007E365E" w:rsidRPr="00853B43" w:rsidRDefault="007E365E" w:rsidP="007D1D77">
            <w:pPr>
              <w:tabs>
                <w:tab w:val="clear" w:pos="567"/>
              </w:tabs>
              <w:spacing w:before="0" w:line="240" w:lineRule="auto"/>
              <w:ind w:left="113"/>
              <w:rPr>
                <w:rFonts w:eastAsia="Times New Roman" w:cs="Open Sans Light"/>
                <w:sz w:val="16"/>
                <w:szCs w:val="16"/>
                <w:lang w:eastAsia="en-AU"/>
              </w:rPr>
            </w:pPr>
            <w:r w:rsidRPr="00853B43">
              <w:rPr>
                <w:rFonts w:eastAsia="Times New Roman" w:cs="Open Sans Light"/>
                <w:sz w:val="16"/>
                <w:szCs w:val="16"/>
                <w:lang w:eastAsia="en-AU"/>
              </w:rPr>
              <w:t>Assessed change in stock</w:t>
            </w:r>
          </w:p>
        </w:tc>
        <w:tc>
          <w:tcPr>
            <w:tcW w:w="740" w:type="dxa"/>
            <w:tcBorders>
              <w:top w:val="nil"/>
              <w:left w:val="nil"/>
              <w:bottom w:val="single" w:sz="4" w:space="0" w:color="ADD6EA"/>
              <w:right w:val="nil"/>
            </w:tcBorders>
            <w:shd w:val="clear" w:color="auto" w:fill="auto"/>
            <w:noWrap/>
            <w:vAlign w:val="bottom"/>
            <w:hideMark/>
          </w:tcPr>
          <w:p w14:paraId="38758122"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1,874</w:t>
            </w:r>
          </w:p>
        </w:tc>
        <w:tc>
          <w:tcPr>
            <w:tcW w:w="740" w:type="dxa"/>
            <w:tcBorders>
              <w:top w:val="nil"/>
              <w:left w:val="nil"/>
              <w:bottom w:val="single" w:sz="4" w:space="0" w:color="ADD6EA"/>
              <w:right w:val="nil"/>
            </w:tcBorders>
            <w:shd w:val="clear" w:color="auto" w:fill="auto"/>
            <w:noWrap/>
            <w:vAlign w:val="bottom"/>
            <w:hideMark/>
          </w:tcPr>
          <w:p w14:paraId="0EE7D1E4"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1,635</w:t>
            </w:r>
          </w:p>
        </w:tc>
        <w:tc>
          <w:tcPr>
            <w:tcW w:w="740" w:type="dxa"/>
            <w:tcBorders>
              <w:top w:val="nil"/>
              <w:left w:val="nil"/>
              <w:bottom w:val="single" w:sz="4" w:space="0" w:color="ADD6EA"/>
              <w:right w:val="nil"/>
            </w:tcBorders>
            <w:shd w:val="clear" w:color="auto" w:fill="auto"/>
            <w:noWrap/>
            <w:vAlign w:val="bottom"/>
            <w:hideMark/>
          </w:tcPr>
          <w:p w14:paraId="6E6BD7D0"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1,287</w:t>
            </w:r>
          </w:p>
        </w:tc>
        <w:tc>
          <w:tcPr>
            <w:tcW w:w="740" w:type="dxa"/>
            <w:tcBorders>
              <w:top w:val="nil"/>
              <w:left w:val="nil"/>
              <w:bottom w:val="single" w:sz="4" w:space="0" w:color="ADD6EA"/>
              <w:right w:val="nil"/>
            </w:tcBorders>
            <w:shd w:val="clear" w:color="auto" w:fill="auto"/>
            <w:noWrap/>
            <w:vAlign w:val="bottom"/>
            <w:hideMark/>
          </w:tcPr>
          <w:p w14:paraId="3A434B69"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565</w:t>
            </w:r>
          </w:p>
        </w:tc>
        <w:tc>
          <w:tcPr>
            <w:tcW w:w="740" w:type="dxa"/>
            <w:tcBorders>
              <w:top w:val="nil"/>
              <w:left w:val="nil"/>
              <w:bottom w:val="single" w:sz="4" w:space="0" w:color="ADD6EA"/>
              <w:right w:val="nil"/>
            </w:tcBorders>
            <w:shd w:val="clear" w:color="auto" w:fill="auto"/>
            <w:noWrap/>
            <w:vAlign w:val="bottom"/>
            <w:hideMark/>
          </w:tcPr>
          <w:p w14:paraId="42B0D6EF"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327</w:t>
            </w:r>
          </w:p>
        </w:tc>
        <w:tc>
          <w:tcPr>
            <w:tcW w:w="640" w:type="dxa"/>
            <w:tcBorders>
              <w:top w:val="nil"/>
              <w:left w:val="nil"/>
              <w:bottom w:val="single" w:sz="4" w:space="0" w:color="ADD6EA"/>
              <w:right w:val="nil"/>
            </w:tcBorders>
            <w:shd w:val="clear" w:color="auto" w:fill="auto"/>
            <w:noWrap/>
            <w:vAlign w:val="bottom"/>
            <w:hideMark/>
          </w:tcPr>
          <w:p w14:paraId="153255DC"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101</w:t>
            </w:r>
          </w:p>
        </w:tc>
        <w:tc>
          <w:tcPr>
            <w:tcW w:w="640" w:type="dxa"/>
            <w:tcBorders>
              <w:top w:val="nil"/>
              <w:left w:val="nil"/>
              <w:bottom w:val="single" w:sz="4" w:space="0" w:color="ADD6EA"/>
              <w:right w:val="nil"/>
            </w:tcBorders>
            <w:shd w:val="clear" w:color="auto" w:fill="auto"/>
            <w:noWrap/>
            <w:vAlign w:val="bottom"/>
            <w:hideMark/>
          </w:tcPr>
          <w:p w14:paraId="471493E4"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114</w:t>
            </w:r>
          </w:p>
        </w:tc>
        <w:tc>
          <w:tcPr>
            <w:tcW w:w="640" w:type="dxa"/>
            <w:tcBorders>
              <w:top w:val="nil"/>
              <w:left w:val="nil"/>
              <w:bottom w:val="single" w:sz="4" w:space="0" w:color="ADD6EA"/>
              <w:right w:val="nil"/>
            </w:tcBorders>
            <w:shd w:val="clear" w:color="auto" w:fill="auto"/>
            <w:noWrap/>
            <w:vAlign w:val="bottom"/>
            <w:hideMark/>
          </w:tcPr>
          <w:p w14:paraId="7B7A69CA"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40</w:t>
            </w:r>
          </w:p>
        </w:tc>
        <w:tc>
          <w:tcPr>
            <w:tcW w:w="840" w:type="dxa"/>
            <w:tcBorders>
              <w:top w:val="nil"/>
              <w:left w:val="nil"/>
              <w:bottom w:val="single" w:sz="4" w:space="0" w:color="ADD6EA"/>
              <w:right w:val="nil"/>
            </w:tcBorders>
            <w:shd w:val="clear" w:color="auto" w:fill="auto"/>
            <w:noWrap/>
            <w:vAlign w:val="bottom"/>
            <w:hideMark/>
          </w:tcPr>
          <w:p w14:paraId="22397407"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5,943</w:t>
            </w:r>
          </w:p>
        </w:tc>
      </w:tr>
      <w:tr w:rsidR="007E365E" w:rsidRPr="00853B43" w14:paraId="7C0D1637" w14:textId="77777777" w:rsidTr="007D1D77">
        <w:trPr>
          <w:trHeight w:val="315"/>
        </w:trPr>
        <w:tc>
          <w:tcPr>
            <w:tcW w:w="2540" w:type="dxa"/>
            <w:tcBorders>
              <w:top w:val="nil"/>
              <w:left w:val="nil"/>
              <w:bottom w:val="single" w:sz="4" w:space="0" w:color="ADD6EA"/>
              <w:right w:val="nil"/>
            </w:tcBorders>
            <w:shd w:val="clear" w:color="auto" w:fill="auto"/>
            <w:noWrap/>
            <w:vAlign w:val="bottom"/>
            <w:hideMark/>
          </w:tcPr>
          <w:p w14:paraId="532EF8BE" w14:textId="77777777" w:rsidR="007E365E" w:rsidRPr="00853B43" w:rsidRDefault="007E365E" w:rsidP="007D1D77">
            <w:pPr>
              <w:tabs>
                <w:tab w:val="clear" w:pos="567"/>
              </w:tabs>
              <w:spacing w:before="0" w:line="240" w:lineRule="auto"/>
              <w:ind w:left="113"/>
              <w:rPr>
                <w:rFonts w:eastAsia="Times New Roman" w:cs="Open Sans Light"/>
                <w:sz w:val="16"/>
                <w:szCs w:val="16"/>
                <w:lang w:eastAsia="en-AU"/>
              </w:rPr>
            </w:pPr>
            <w:r w:rsidRPr="00853B43">
              <w:rPr>
                <w:rFonts w:eastAsia="Times New Roman" w:cs="Open Sans Light"/>
                <w:sz w:val="16"/>
                <w:szCs w:val="16"/>
                <w:lang w:eastAsia="en-AU"/>
              </w:rPr>
              <w:t>Cost factor</w:t>
            </w:r>
          </w:p>
        </w:tc>
        <w:tc>
          <w:tcPr>
            <w:tcW w:w="740" w:type="dxa"/>
            <w:tcBorders>
              <w:top w:val="nil"/>
              <w:left w:val="nil"/>
              <w:bottom w:val="single" w:sz="4" w:space="0" w:color="ADD6EA"/>
              <w:right w:val="nil"/>
            </w:tcBorders>
            <w:shd w:val="clear" w:color="auto" w:fill="auto"/>
            <w:noWrap/>
            <w:vAlign w:val="bottom"/>
            <w:hideMark/>
          </w:tcPr>
          <w:p w14:paraId="4C0963F8"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1.025</w:t>
            </w:r>
          </w:p>
        </w:tc>
        <w:tc>
          <w:tcPr>
            <w:tcW w:w="740" w:type="dxa"/>
            <w:tcBorders>
              <w:top w:val="nil"/>
              <w:left w:val="nil"/>
              <w:bottom w:val="single" w:sz="4" w:space="0" w:color="ADD6EA"/>
              <w:right w:val="nil"/>
            </w:tcBorders>
            <w:shd w:val="clear" w:color="auto" w:fill="auto"/>
            <w:noWrap/>
            <w:vAlign w:val="bottom"/>
            <w:hideMark/>
          </w:tcPr>
          <w:p w14:paraId="1F4CFDDB"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0.969</w:t>
            </w:r>
          </w:p>
        </w:tc>
        <w:tc>
          <w:tcPr>
            <w:tcW w:w="740" w:type="dxa"/>
            <w:tcBorders>
              <w:top w:val="nil"/>
              <w:left w:val="nil"/>
              <w:bottom w:val="single" w:sz="4" w:space="0" w:color="ADD6EA"/>
              <w:right w:val="nil"/>
            </w:tcBorders>
            <w:shd w:val="clear" w:color="auto" w:fill="auto"/>
            <w:noWrap/>
            <w:vAlign w:val="bottom"/>
            <w:hideMark/>
          </w:tcPr>
          <w:p w14:paraId="67B38F73"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0.980</w:t>
            </w:r>
          </w:p>
        </w:tc>
        <w:tc>
          <w:tcPr>
            <w:tcW w:w="740" w:type="dxa"/>
            <w:tcBorders>
              <w:top w:val="nil"/>
              <w:left w:val="nil"/>
              <w:bottom w:val="single" w:sz="4" w:space="0" w:color="ADD6EA"/>
              <w:right w:val="nil"/>
            </w:tcBorders>
            <w:shd w:val="clear" w:color="auto" w:fill="auto"/>
            <w:noWrap/>
            <w:vAlign w:val="bottom"/>
            <w:hideMark/>
          </w:tcPr>
          <w:p w14:paraId="6E932742"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1.033</w:t>
            </w:r>
          </w:p>
        </w:tc>
        <w:tc>
          <w:tcPr>
            <w:tcW w:w="740" w:type="dxa"/>
            <w:tcBorders>
              <w:top w:val="nil"/>
              <w:left w:val="nil"/>
              <w:bottom w:val="single" w:sz="4" w:space="0" w:color="ADD6EA"/>
              <w:right w:val="nil"/>
            </w:tcBorders>
            <w:shd w:val="clear" w:color="auto" w:fill="auto"/>
            <w:noWrap/>
            <w:vAlign w:val="bottom"/>
            <w:hideMark/>
          </w:tcPr>
          <w:p w14:paraId="1E56122E"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0.994</w:t>
            </w:r>
          </w:p>
        </w:tc>
        <w:tc>
          <w:tcPr>
            <w:tcW w:w="640" w:type="dxa"/>
            <w:tcBorders>
              <w:top w:val="nil"/>
              <w:left w:val="nil"/>
              <w:bottom w:val="single" w:sz="4" w:space="0" w:color="ADD6EA"/>
              <w:right w:val="nil"/>
            </w:tcBorders>
            <w:shd w:val="clear" w:color="auto" w:fill="auto"/>
            <w:noWrap/>
            <w:vAlign w:val="bottom"/>
            <w:hideMark/>
          </w:tcPr>
          <w:p w14:paraId="67042448"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0.967</w:t>
            </w:r>
          </w:p>
        </w:tc>
        <w:tc>
          <w:tcPr>
            <w:tcW w:w="640" w:type="dxa"/>
            <w:tcBorders>
              <w:top w:val="nil"/>
              <w:left w:val="nil"/>
              <w:bottom w:val="single" w:sz="4" w:space="0" w:color="ADD6EA"/>
              <w:right w:val="nil"/>
            </w:tcBorders>
            <w:shd w:val="clear" w:color="auto" w:fill="auto"/>
            <w:noWrap/>
            <w:vAlign w:val="bottom"/>
            <w:hideMark/>
          </w:tcPr>
          <w:p w14:paraId="24F0D97D"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1.035</w:t>
            </w:r>
          </w:p>
        </w:tc>
        <w:tc>
          <w:tcPr>
            <w:tcW w:w="640" w:type="dxa"/>
            <w:tcBorders>
              <w:top w:val="nil"/>
              <w:left w:val="nil"/>
              <w:bottom w:val="single" w:sz="4" w:space="0" w:color="ADD6EA"/>
              <w:right w:val="nil"/>
            </w:tcBorders>
            <w:shd w:val="clear" w:color="auto" w:fill="auto"/>
            <w:noWrap/>
            <w:vAlign w:val="bottom"/>
            <w:hideMark/>
          </w:tcPr>
          <w:p w14:paraId="46D46980"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1.115</w:t>
            </w:r>
          </w:p>
        </w:tc>
        <w:tc>
          <w:tcPr>
            <w:tcW w:w="840" w:type="dxa"/>
            <w:tcBorders>
              <w:top w:val="nil"/>
              <w:left w:val="nil"/>
              <w:bottom w:val="single" w:sz="4" w:space="0" w:color="ADD6EA"/>
              <w:right w:val="nil"/>
            </w:tcBorders>
            <w:shd w:val="clear" w:color="auto" w:fill="auto"/>
            <w:noWrap/>
            <w:vAlign w:val="bottom"/>
            <w:hideMark/>
          </w:tcPr>
          <w:p w14:paraId="5DE02C37" w14:textId="77777777" w:rsidR="007E365E" w:rsidRPr="00853B43" w:rsidRDefault="007E365E" w:rsidP="007D1D77">
            <w:pPr>
              <w:tabs>
                <w:tab w:val="clear" w:pos="567"/>
              </w:tabs>
              <w:spacing w:before="0" w:line="240" w:lineRule="auto"/>
              <w:jc w:val="right"/>
              <w:rPr>
                <w:rFonts w:eastAsia="Times New Roman" w:cs="Open Sans Light"/>
                <w:sz w:val="16"/>
                <w:szCs w:val="16"/>
                <w:lang w:eastAsia="en-AU"/>
              </w:rPr>
            </w:pPr>
            <w:r w:rsidRPr="00853B43">
              <w:rPr>
                <w:rFonts w:eastAsia="Times New Roman" w:cs="Open Sans Light"/>
                <w:sz w:val="16"/>
                <w:szCs w:val="16"/>
                <w:lang w:eastAsia="en-AU"/>
              </w:rPr>
              <w:t>1.000</w:t>
            </w:r>
          </w:p>
        </w:tc>
      </w:tr>
      <w:tr w:rsidR="007E365E" w:rsidRPr="00853B43" w14:paraId="72A08A35" w14:textId="77777777" w:rsidTr="007D1D77">
        <w:trPr>
          <w:trHeight w:val="315"/>
        </w:trPr>
        <w:tc>
          <w:tcPr>
            <w:tcW w:w="2540" w:type="dxa"/>
            <w:tcBorders>
              <w:top w:val="nil"/>
              <w:left w:val="nil"/>
              <w:bottom w:val="single" w:sz="4" w:space="0" w:color="ADD6EA"/>
              <w:right w:val="nil"/>
            </w:tcBorders>
            <w:shd w:val="clear" w:color="000000" w:fill="B6D5E4"/>
            <w:noWrap/>
            <w:vAlign w:val="bottom"/>
            <w:hideMark/>
          </w:tcPr>
          <w:p w14:paraId="1D1A2CD3" w14:textId="77777777" w:rsidR="007E365E" w:rsidRPr="00CD3616" w:rsidRDefault="007E365E" w:rsidP="007D1D77">
            <w:pPr>
              <w:keepNext/>
              <w:keepLines/>
              <w:tabs>
                <w:tab w:val="clear" w:pos="567"/>
              </w:tabs>
              <w:spacing w:before="0" w:line="240" w:lineRule="auto"/>
              <w:ind w:left="113"/>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Assessed investment</w:t>
            </w:r>
          </w:p>
        </w:tc>
        <w:tc>
          <w:tcPr>
            <w:tcW w:w="740" w:type="dxa"/>
            <w:tcBorders>
              <w:top w:val="nil"/>
              <w:left w:val="nil"/>
              <w:bottom w:val="single" w:sz="4" w:space="0" w:color="ADD6EA"/>
              <w:right w:val="nil"/>
            </w:tcBorders>
            <w:shd w:val="clear" w:color="000000" w:fill="B6D5E4"/>
            <w:noWrap/>
            <w:vAlign w:val="bottom"/>
            <w:hideMark/>
          </w:tcPr>
          <w:p w14:paraId="10366369"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1,923</w:t>
            </w:r>
          </w:p>
        </w:tc>
        <w:tc>
          <w:tcPr>
            <w:tcW w:w="740" w:type="dxa"/>
            <w:tcBorders>
              <w:top w:val="nil"/>
              <w:left w:val="nil"/>
              <w:bottom w:val="single" w:sz="4" w:space="0" w:color="ADD6EA"/>
              <w:right w:val="nil"/>
            </w:tcBorders>
            <w:shd w:val="clear" w:color="000000" w:fill="B6D5E4"/>
            <w:noWrap/>
            <w:vAlign w:val="bottom"/>
            <w:hideMark/>
          </w:tcPr>
          <w:p w14:paraId="119074EF"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1,587</w:t>
            </w:r>
          </w:p>
        </w:tc>
        <w:tc>
          <w:tcPr>
            <w:tcW w:w="740" w:type="dxa"/>
            <w:tcBorders>
              <w:top w:val="nil"/>
              <w:left w:val="nil"/>
              <w:bottom w:val="single" w:sz="4" w:space="0" w:color="ADD6EA"/>
              <w:right w:val="nil"/>
            </w:tcBorders>
            <w:shd w:val="clear" w:color="000000" w:fill="B6D5E4"/>
            <w:noWrap/>
            <w:vAlign w:val="bottom"/>
            <w:hideMark/>
          </w:tcPr>
          <w:p w14:paraId="6DE2BABB"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1,263</w:t>
            </w:r>
          </w:p>
        </w:tc>
        <w:tc>
          <w:tcPr>
            <w:tcW w:w="740" w:type="dxa"/>
            <w:tcBorders>
              <w:top w:val="nil"/>
              <w:left w:val="nil"/>
              <w:bottom w:val="single" w:sz="4" w:space="0" w:color="ADD6EA"/>
              <w:right w:val="nil"/>
            </w:tcBorders>
            <w:shd w:val="clear" w:color="000000" w:fill="B6D5E4"/>
            <w:noWrap/>
            <w:vAlign w:val="bottom"/>
            <w:hideMark/>
          </w:tcPr>
          <w:p w14:paraId="2E2283D5"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584</w:t>
            </w:r>
          </w:p>
        </w:tc>
        <w:tc>
          <w:tcPr>
            <w:tcW w:w="740" w:type="dxa"/>
            <w:tcBorders>
              <w:top w:val="nil"/>
              <w:left w:val="nil"/>
              <w:bottom w:val="single" w:sz="4" w:space="0" w:color="ADD6EA"/>
              <w:right w:val="nil"/>
            </w:tcBorders>
            <w:shd w:val="clear" w:color="000000" w:fill="B6D5E4"/>
            <w:noWrap/>
            <w:vAlign w:val="bottom"/>
            <w:hideMark/>
          </w:tcPr>
          <w:p w14:paraId="7D284B6E"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326</w:t>
            </w:r>
          </w:p>
        </w:tc>
        <w:tc>
          <w:tcPr>
            <w:tcW w:w="640" w:type="dxa"/>
            <w:tcBorders>
              <w:top w:val="nil"/>
              <w:left w:val="nil"/>
              <w:bottom w:val="single" w:sz="4" w:space="0" w:color="ADD6EA"/>
              <w:right w:val="nil"/>
            </w:tcBorders>
            <w:shd w:val="clear" w:color="000000" w:fill="B6D5E4"/>
            <w:noWrap/>
            <w:vAlign w:val="bottom"/>
            <w:hideMark/>
          </w:tcPr>
          <w:p w14:paraId="0DE2BEFD"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98</w:t>
            </w:r>
          </w:p>
        </w:tc>
        <w:tc>
          <w:tcPr>
            <w:tcW w:w="640" w:type="dxa"/>
            <w:tcBorders>
              <w:top w:val="nil"/>
              <w:left w:val="nil"/>
              <w:bottom w:val="single" w:sz="4" w:space="0" w:color="ADD6EA"/>
              <w:right w:val="nil"/>
            </w:tcBorders>
            <w:shd w:val="clear" w:color="000000" w:fill="B6D5E4"/>
            <w:noWrap/>
            <w:vAlign w:val="bottom"/>
            <w:hideMark/>
          </w:tcPr>
          <w:p w14:paraId="4EC5A57C"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118</w:t>
            </w:r>
          </w:p>
        </w:tc>
        <w:tc>
          <w:tcPr>
            <w:tcW w:w="640" w:type="dxa"/>
            <w:tcBorders>
              <w:top w:val="nil"/>
              <w:left w:val="nil"/>
              <w:bottom w:val="single" w:sz="4" w:space="0" w:color="ADD6EA"/>
              <w:right w:val="nil"/>
            </w:tcBorders>
            <w:shd w:val="clear" w:color="000000" w:fill="B6D5E4"/>
            <w:noWrap/>
            <w:vAlign w:val="bottom"/>
            <w:hideMark/>
          </w:tcPr>
          <w:p w14:paraId="0F6A5B05"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44</w:t>
            </w:r>
          </w:p>
        </w:tc>
        <w:tc>
          <w:tcPr>
            <w:tcW w:w="840" w:type="dxa"/>
            <w:tcBorders>
              <w:top w:val="nil"/>
              <w:left w:val="nil"/>
              <w:bottom w:val="single" w:sz="4" w:space="0" w:color="ADD6EA"/>
              <w:right w:val="nil"/>
            </w:tcBorders>
            <w:shd w:val="clear" w:color="000000" w:fill="B6D5E4"/>
            <w:noWrap/>
            <w:vAlign w:val="bottom"/>
            <w:hideMark/>
          </w:tcPr>
          <w:p w14:paraId="7E32818A" w14:textId="77777777" w:rsidR="007E365E" w:rsidRPr="00CD3616"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CD3616">
              <w:rPr>
                <w:rFonts w:ascii="Open Sans SemiBold" w:eastAsia="Times New Roman" w:hAnsi="Open Sans SemiBold" w:cs="Open Sans SemiBold"/>
                <w:sz w:val="16"/>
                <w:szCs w:val="16"/>
                <w:lang w:eastAsia="en-AU"/>
              </w:rPr>
              <w:t>5,943</w:t>
            </w:r>
          </w:p>
        </w:tc>
      </w:tr>
      <w:tr w:rsidR="007E365E" w:rsidRPr="00853B43" w14:paraId="4AFD417F" w14:textId="77777777" w:rsidTr="007D1D77">
        <w:trPr>
          <w:trHeight w:val="315"/>
        </w:trPr>
        <w:tc>
          <w:tcPr>
            <w:tcW w:w="2540" w:type="dxa"/>
            <w:tcBorders>
              <w:top w:val="nil"/>
              <w:left w:val="nil"/>
              <w:bottom w:val="single" w:sz="4" w:space="0" w:color="ADD6EA"/>
              <w:right w:val="nil"/>
            </w:tcBorders>
            <w:shd w:val="clear" w:color="000000" w:fill="D6E7F0"/>
            <w:noWrap/>
            <w:vAlign w:val="bottom"/>
            <w:hideMark/>
          </w:tcPr>
          <w:p w14:paraId="13E315DB" w14:textId="77777777" w:rsidR="007E365E" w:rsidRPr="00853B43"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Total assessed investment</w:t>
            </w:r>
          </w:p>
        </w:tc>
        <w:tc>
          <w:tcPr>
            <w:tcW w:w="740" w:type="dxa"/>
            <w:tcBorders>
              <w:top w:val="nil"/>
              <w:left w:val="nil"/>
              <w:bottom w:val="single" w:sz="4" w:space="0" w:color="ADD6EA"/>
              <w:right w:val="nil"/>
            </w:tcBorders>
            <w:shd w:val="clear" w:color="000000" w:fill="D6E7F0"/>
            <w:noWrap/>
            <w:vAlign w:val="bottom"/>
            <w:hideMark/>
          </w:tcPr>
          <w:p w14:paraId="09CA3D1E"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3,135</w:t>
            </w:r>
          </w:p>
        </w:tc>
        <w:tc>
          <w:tcPr>
            <w:tcW w:w="740" w:type="dxa"/>
            <w:tcBorders>
              <w:top w:val="nil"/>
              <w:left w:val="nil"/>
              <w:bottom w:val="single" w:sz="4" w:space="0" w:color="ADD6EA"/>
              <w:right w:val="nil"/>
            </w:tcBorders>
            <w:shd w:val="clear" w:color="000000" w:fill="D6E7F0"/>
            <w:noWrap/>
            <w:vAlign w:val="bottom"/>
            <w:hideMark/>
          </w:tcPr>
          <w:p w14:paraId="2E97511C"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2,202</w:t>
            </w:r>
          </w:p>
        </w:tc>
        <w:tc>
          <w:tcPr>
            <w:tcW w:w="740" w:type="dxa"/>
            <w:tcBorders>
              <w:top w:val="nil"/>
              <w:left w:val="nil"/>
              <w:bottom w:val="single" w:sz="4" w:space="0" w:color="ADD6EA"/>
              <w:right w:val="nil"/>
            </w:tcBorders>
            <w:shd w:val="clear" w:color="000000" w:fill="D6E7F0"/>
            <w:noWrap/>
            <w:vAlign w:val="bottom"/>
            <w:hideMark/>
          </w:tcPr>
          <w:p w14:paraId="7E0F7543"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2,664</w:t>
            </w:r>
          </w:p>
        </w:tc>
        <w:tc>
          <w:tcPr>
            <w:tcW w:w="740" w:type="dxa"/>
            <w:tcBorders>
              <w:top w:val="nil"/>
              <w:left w:val="nil"/>
              <w:bottom w:val="single" w:sz="4" w:space="0" w:color="ADD6EA"/>
              <w:right w:val="nil"/>
            </w:tcBorders>
            <w:shd w:val="clear" w:color="000000" w:fill="D6E7F0"/>
            <w:noWrap/>
            <w:vAlign w:val="bottom"/>
            <w:hideMark/>
          </w:tcPr>
          <w:p w14:paraId="3212803B"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1,491</w:t>
            </w:r>
          </w:p>
        </w:tc>
        <w:tc>
          <w:tcPr>
            <w:tcW w:w="740" w:type="dxa"/>
            <w:tcBorders>
              <w:top w:val="nil"/>
              <w:left w:val="nil"/>
              <w:bottom w:val="single" w:sz="4" w:space="0" w:color="ADD6EA"/>
              <w:right w:val="nil"/>
            </w:tcBorders>
            <w:shd w:val="clear" w:color="000000" w:fill="D6E7F0"/>
            <w:noWrap/>
            <w:vAlign w:val="bottom"/>
            <w:hideMark/>
          </w:tcPr>
          <w:p w14:paraId="0ACE18B3"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762</w:t>
            </w:r>
          </w:p>
        </w:tc>
        <w:tc>
          <w:tcPr>
            <w:tcW w:w="640" w:type="dxa"/>
            <w:tcBorders>
              <w:top w:val="nil"/>
              <w:left w:val="nil"/>
              <w:bottom w:val="single" w:sz="4" w:space="0" w:color="ADD6EA"/>
              <w:right w:val="nil"/>
            </w:tcBorders>
            <w:shd w:val="clear" w:color="000000" w:fill="D6E7F0"/>
            <w:noWrap/>
            <w:vAlign w:val="bottom"/>
            <w:hideMark/>
          </w:tcPr>
          <w:p w14:paraId="1F964686"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224</w:t>
            </w:r>
          </w:p>
        </w:tc>
        <w:tc>
          <w:tcPr>
            <w:tcW w:w="640" w:type="dxa"/>
            <w:tcBorders>
              <w:top w:val="nil"/>
              <w:left w:val="nil"/>
              <w:bottom w:val="single" w:sz="4" w:space="0" w:color="ADD6EA"/>
              <w:right w:val="nil"/>
            </w:tcBorders>
            <w:shd w:val="clear" w:color="000000" w:fill="D6E7F0"/>
            <w:noWrap/>
            <w:vAlign w:val="bottom"/>
            <w:hideMark/>
          </w:tcPr>
          <w:p w14:paraId="631C3EB2"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127</w:t>
            </w:r>
          </w:p>
        </w:tc>
        <w:tc>
          <w:tcPr>
            <w:tcW w:w="640" w:type="dxa"/>
            <w:tcBorders>
              <w:top w:val="nil"/>
              <w:left w:val="nil"/>
              <w:bottom w:val="single" w:sz="4" w:space="0" w:color="ADD6EA"/>
              <w:right w:val="nil"/>
            </w:tcBorders>
            <w:shd w:val="clear" w:color="000000" w:fill="D6E7F0"/>
            <w:noWrap/>
            <w:vAlign w:val="bottom"/>
            <w:hideMark/>
          </w:tcPr>
          <w:p w14:paraId="4D9E1F76"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456</w:t>
            </w:r>
          </w:p>
        </w:tc>
        <w:tc>
          <w:tcPr>
            <w:tcW w:w="840" w:type="dxa"/>
            <w:tcBorders>
              <w:top w:val="nil"/>
              <w:left w:val="nil"/>
              <w:bottom w:val="single" w:sz="4" w:space="0" w:color="ADD6EA"/>
              <w:right w:val="nil"/>
            </w:tcBorders>
            <w:shd w:val="clear" w:color="000000" w:fill="D6E7F0"/>
            <w:noWrap/>
            <w:vAlign w:val="bottom"/>
            <w:hideMark/>
          </w:tcPr>
          <w:p w14:paraId="4629C1D1" w14:textId="77777777" w:rsidR="007E365E" w:rsidRPr="00853B4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853B43">
              <w:rPr>
                <w:rFonts w:ascii="Open Sans SemiBold" w:eastAsia="Times New Roman" w:hAnsi="Open Sans SemiBold" w:cs="Open Sans SemiBold"/>
                <w:color w:val="000000"/>
                <w:sz w:val="16"/>
                <w:szCs w:val="16"/>
                <w:lang w:eastAsia="en-AU"/>
              </w:rPr>
              <w:t>11,062</w:t>
            </w:r>
          </w:p>
        </w:tc>
      </w:tr>
    </w:tbl>
    <w:p w14:paraId="70C6856B" w14:textId="77777777" w:rsidR="007E365E" w:rsidRPr="00E23377" w:rsidRDefault="007E365E" w:rsidP="007E365E">
      <w:pPr>
        <w:pStyle w:val="CGCTablenote"/>
        <w:keepNext/>
        <w:keepLines/>
      </w:pPr>
      <w:r w:rsidRPr="00E23377">
        <w:t>Source:</w:t>
      </w:r>
      <w:r w:rsidRPr="00E23377">
        <w:tab/>
        <w:t>Commission calculation.</w:t>
      </w:r>
    </w:p>
    <w:p w14:paraId="0AF94360" w14:textId="77777777" w:rsidR="007E365E" w:rsidRPr="00E23377" w:rsidRDefault="007E365E" w:rsidP="007E365E">
      <w:pPr>
        <w:pStyle w:val="CGCParaNumber"/>
      </w:pPr>
      <w:r w:rsidRPr="00E23377">
        <w:t xml:space="preserve">Interstate differences in construction costs are also recognised. </w:t>
      </w:r>
    </w:p>
    <w:p w14:paraId="179A63C3" w14:textId="77777777" w:rsidR="007E365E" w:rsidRPr="00E23377" w:rsidRDefault="007E365E" w:rsidP="007E365E">
      <w:pPr>
        <w:pStyle w:val="CGCParaNumber"/>
      </w:pPr>
      <w:r w:rsidRPr="00E23377">
        <w:t>For a description of the Investment assessment, see Chapter 24 Investment.</w:t>
      </w:r>
    </w:p>
    <w:p w14:paraId="18F1F7EC" w14:textId="0B97827B" w:rsidR="007E365E" w:rsidRPr="00E23377" w:rsidRDefault="007E365E" w:rsidP="007E365E">
      <w:pPr>
        <w:pStyle w:val="Heading3"/>
      </w:pPr>
      <w:bookmarkStart w:id="209" w:name="_Ref2508684"/>
      <w:bookmarkStart w:id="210" w:name="_Toc4754278"/>
      <w:bookmarkStart w:id="211" w:name="_Toc5030081"/>
      <w:bookmarkEnd w:id="163"/>
      <w:bookmarkEnd w:id="164"/>
      <w:r w:rsidRPr="00E23377">
        <w:t>Other issues considered by the Commission</w:t>
      </w:r>
      <w:bookmarkEnd w:id="209"/>
      <w:bookmarkEnd w:id="210"/>
      <w:bookmarkEnd w:id="211"/>
    </w:p>
    <w:p w14:paraId="15C0E889" w14:textId="77777777" w:rsidR="007E365E" w:rsidRPr="00E23377" w:rsidRDefault="007E365E" w:rsidP="007E365E">
      <w:pPr>
        <w:pStyle w:val="CGCParaNumber"/>
      </w:pPr>
      <w:r w:rsidRPr="00E23377">
        <w:t>There were a number of other issues considered by the Commission, largely in response to concerns raised by States. These issues related to the method for measuring existing disabilities or requests for new disabilities that were not included in the 2015 Review assessment. The main reasons for not assessing certain disabilities identified by States are:</w:t>
      </w:r>
    </w:p>
    <w:p w14:paraId="24A59468" w14:textId="77777777" w:rsidR="007E365E" w:rsidRPr="00E23377" w:rsidRDefault="007E365E" w:rsidP="007E365E">
      <w:pPr>
        <w:pStyle w:val="CGCBullet1"/>
      </w:pPr>
      <w:r w:rsidRPr="00E23377">
        <w:t xml:space="preserve">the conceptual case for a disability has not been established </w:t>
      </w:r>
    </w:p>
    <w:p w14:paraId="7F3B1BF0" w14:textId="77777777" w:rsidR="007E365E" w:rsidRPr="00E23377" w:rsidRDefault="007E365E" w:rsidP="007E365E">
      <w:pPr>
        <w:pStyle w:val="CGCBullet1"/>
      </w:pPr>
      <w:r w:rsidRPr="00E23377">
        <w:t>an assessment would not be material, that is, redistribute more than $35 per capita for any State</w:t>
      </w:r>
      <w:r w:rsidRPr="00E23377">
        <w:rPr>
          <w:rStyle w:val="FootnoteReference"/>
        </w:rPr>
        <w:footnoteReference w:id="42"/>
      </w:r>
    </w:p>
    <w:p w14:paraId="19ABD54E" w14:textId="77777777" w:rsidR="007E365E" w:rsidRPr="00E23377" w:rsidRDefault="007E365E" w:rsidP="007E365E">
      <w:pPr>
        <w:pStyle w:val="CGCBullet1"/>
      </w:pPr>
      <w:r w:rsidRPr="00E23377">
        <w:t>data are not available to make a reliable assessment.</w:t>
      </w:r>
    </w:p>
    <w:p w14:paraId="7022C269" w14:textId="77777777" w:rsidR="007E365E" w:rsidRPr="00E23377" w:rsidRDefault="007E365E" w:rsidP="007E365E">
      <w:pPr>
        <w:pStyle w:val="Heading4"/>
      </w:pPr>
      <w:bookmarkStart w:id="212" w:name="_Ref3449759"/>
      <w:bookmarkStart w:id="213" w:name="_Ref4761573"/>
      <w:bookmarkStart w:id="214" w:name="_Toc5030068"/>
      <w:bookmarkStart w:id="215" w:name="_Toc4754279"/>
      <w:bookmarkStart w:id="216" w:name="_Toc5030082"/>
      <w:r w:rsidRPr="00E23377">
        <w:t>Unsealed rural roads</w:t>
      </w:r>
    </w:p>
    <w:p w14:paraId="00893561" w14:textId="77777777" w:rsidR="007E365E" w:rsidRPr="00E23377" w:rsidRDefault="007E365E" w:rsidP="007E365E">
      <w:pPr>
        <w:pStyle w:val="CGCParaNumber"/>
      </w:pPr>
      <w:r w:rsidRPr="00E23377">
        <w:t>The Commission discontinued the 2015 Review’s adjustment for the lower cost of maintaining unsealed roads. The Commission could not find sufficiently comprehensive and reliable data to measure the length of unsealed roads across States and the relative cost of maintaining unsealed and sealed roads.</w:t>
      </w:r>
    </w:p>
    <w:p w14:paraId="2AD167D6" w14:textId="77777777" w:rsidR="007E365E" w:rsidRPr="00E23377" w:rsidRDefault="007E365E" w:rsidP="007E365E">
      <w:pPr>
        <w:pStyle w:val="CGCParaNumber"/>
      </w:pPr>
      <w:r w:rsidRPr="00E23377">
        <w:lastRenderedPageBreak/>
        <w:t>Victoria acknowledged the difficulties in measuring unsealed road length but considered that the conceptual case for the recognition of the lower maintenance costs associated with unsealed roads justified an adjustment for unsealed roads. It considered that an average cost weight should be applied to unsealed roads with such roads being defined using the best data that is fit for purpose.</w:t>
      </w:r>
    </w:p>
    <w:p w14:paraId="3E894CEB" w14:textId="57302AB0" w:rsidR="007E365E" w:rsidRPr="00E23377" w:rsidRDefault="007E365E" w:rsidP="007E365E">
      <w:pPr>
        <w:pStyle w:val="CGCParaNumber"/>
      </w:pPr>
      <w:r w:rsidRPr="00E23377">
        <w:t xml:space="preserve">The Commission notes Victoria’s views but it does not have the information necessary to measure the length of unsealed roads in each State. The 2019 Update unsealed rural roads assessment was only material for the Northern Territory, as shown in </w:t>
      </w:r>
      <w:r w:rsidRPr="00E23377">
        <w:fldChar w:fldCharType="begin"/>
      </w:r>
      <w:r w:rsidRPr="00E23377">
        <w:instrText xml:space="preserve"> REF _Ref25240756 \h  \* MERGEFORMAT </w:instrText>
      </w:r>
      <w:r w:rsidRPr="00E23377">
        <w:fldChar w:fldCharType="separate"/>
      </w:r>
      <w:r w:rsidR="007F721A" w:rsidRPr="00E23377">
        <w:t xml:space="preserve">Table </w:t>
      </w:r>
      <w:r w:rsidR="007F721A">
        <w:rPr>
          <w:noProof/>
        </w:rPr>
        <w:t>20-27</w:t>
      </w:r>
      <w:r w:rsidRPr="00E23377">
        <w:fldChar w:fldCharType="end"/>
      </w:r>
      <w:r w:rsidRPr="00E23377">
        <w:t>.</w:t>
      </w:r>
    </w:p>
    <w:p w14:paraId="34589FFC" w14:textId="7CCF3C17" w:rsidR="007E365E" w:rsidRPr="00E23377" w:rsidRDefault="007E365E" w:rsidP="007E365E">
      <w:pPr>
        <w:pStyle w:val="Caption"/>
      </w:pPr>
      <w:bookmarkStart w:id="217" w:name="_Ref25240756"/>
      <w:r w:rsidRPr="00E23377">
        <w:t xml:space="preserve">Table </w:t>
      </w:r>
      <w:r>
        <w:t>20-</w:t>
      </w:r>
      <w:fldSimple w:instr=" SEQ Table \* ARABIC ">
        <w:r w:rsidR="007F721A">
          <w:rPr>
            <w:noProof/>
          </w:rPr>
          <w:t>27</w:t>
        </w:r>
      </w:fldSimple>
      <w:bookmarkEnd w:id="217"/>
      <w:r w:rsidRPr="00E23377">
        <w:tab/>
        <w:t>Unsealed roads assessment, GST redistribution, 2019 Update</w:t>
      </w:r>
    </w:p>
    <w:tbl>
      <w:tblPr>
        <w:tblW w:w="8980" w:type="dxa"/>
        <w:tblCellMar>
          <w:left w:w="0" w:type="dxa"/>
          <w:right w:w="0" w:type="dxa"/>
        </w:tblCellMar>
        <w:tblLook w:val="04A0" w:firstRow="1" w:lastRow="0" w:firstColumn="1" w:lastColumn="0" w:noHBand="0" w:noVBand="1"/>
      </w:tblPr>
      <w:tblGrid>
        <w:gridCol w:w="1480"/>
        <w:gridCol w:w="940"/>
        <w:gridCol w:w="760"/>
        <w:gridCol w:w="820"/>
        <w:gridCol w:w="820"/>
        <w:gridCol w:w="720"/>
        <w:gridCol w:w="800"/>
        <w:gridCol w:w="860"/>
        <w:gridCol w:w="760"/>
        <w:gridCol w:w="1020"/>
      </w:tblGrid>
      <w:tr w:rsidR="007E365E" w:rsidRPr="003B7F37" w14:paraId="63108DA4" w14:textId="77777777" w:rsidTr="007D1D77">
        <w:trPr>
          <w:trHeight w:val="375"/>
        </w:trPr>
        <w:tc>
          <w:tcPr>
            <w:tcW w:w="14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6FE6927" w14:textId="77777777" w:rsidR="007E365E" w:rsidRDefault="007E365E" w:rsidP="007D1D77">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94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2914D882"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FC2B6D0"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82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0BEC1D43"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82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C2B42B1"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2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22AA78B6"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80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00E5B410"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8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07398A68"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6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57F5AEC"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102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1CFFC58"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Redist</w:t>
            </w:r>
          </w:p>
        </w:tc>
      </w:tr>
      <w:tr w:rsidR="007E365E" w:rsidRPr="003B7F37" w14:paraId="61570472"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16A5F9" w14:textId="77777777" w:rsidR="007E365E" w:rsidRDefault="007E365E" w:rsidP="007D1D77">
            <w:pPr>
              <w:spacing w:before="0" w:line="240" w:lineRule="auto"/>
              <w:rPr>
                <w:rFonts w:cs="Open Sans Light"/>
                <w:sz w:val="16"/>
                <w:szCs w:val="16"/>
              </w:rPr>
            </w:pPr>
            <w:r>
              <w:rPr>
                <w:rFonts w:cs="Open Sans Light"/>
                <w:sz w:val="16"/>
                <w:szCs w:val="16"/>
              </w:rPr>
              <w:t>$ million</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8E9E952" w14:textId="77777777" w:rsidR="007E365E" w:rsidRDefault="007E365E" w:rsidP="007D1D77">
            <w:pPr>
              <w:spacing w:before="0" w:line="240" w:lineRule="auto"/>
              <w:jc w:val="right"/>
              <w:rPr>
                <w:rFonts w:cs="Open Sans Light"/>
                <w:sz w:val="16"/>
                <w:szCs w:val="16"/>
              </w:rPr>
            </w:pPr>
            <w:r>
              <w:rPr>
                <w:rFonts w:cs="Open Sans Light"/>
                <w:sz w:val="16"/>
                <w:szCs w:val="16"/>
              </w:rPr>
              <w:t>36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0A8BA8C" w14:textId="77777777" w:rsidR="007E365E" w:rsidRDefault="007E365E" w:rsidP="007D1D77">
            <w:pPr>
              <w:spacing w:before="0" w:line="240" w:lineRule="auto"/>
              <w:jc w:val="right"/>
              <w:rPr>
                <w:rFonts w:cs="Open Sans Light"/>
                <w:sz w:val="16"/>
                <w:szCs w:val="16"/>
              </w:rPr>
            </w:pPr>
            <w:r>
              <w:rPr>
                <w:rFonts w:cs="Open Sans Light"/>
                <w:sz w:val="16"/>
                <w:szCs w:val="16"/>
              </w:rPr>
              <w:t>15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4093279" w14:textId="77777777" w:rsidR="007E365E" w:rsidRDefault="007E365E" w:rsidP="007D1D77">
            <w:pPr>
              <w:spacing w:before="0" w:line="240" w:lineRule="auto"/>
              <w:jc w:val="right"/>
              <w:rPr>
                <w:rFonts w:cs="Open Sans Light"/>
                <w:sz w:val="16"/>
                <w:szCs w:val="16"/>
              </w:rPr>
            </w:pPr>
            <w:r>
              <w:rPr>
                <w:rFonts w:cs="Open Sans Light"/>
                <w:sz w:val="16"/>
                <w:szCs w:val="16"/>
              </w:rPr>
              <w:t>-12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FE22CD7" w14:textId="77777777" w:rsidR="007E365E" w:rsidRDefault="007E365E" w:rsidP="007D1D77">
            <w:pPr>
              <w:spacing w:before="0" w:line="240" w:lineRule="auto"/>
              <w:jc w:val="right"/>
              <w:rPr>
                <w:rFonts w:cs="Open Sans Light"/>
                <w:sz w:val="16"/>
                <w:szCs w:val="16"/>
              </w:rPr>
            </w:pPr>
            <w:r>
              <w:rPr>
                <w:rFonts w:cs="Open Sans Light"/>
                <w:sz w:val="16"/>
                <w:szCs w:val="16"/>
              </w:rPr>
              <w:t>-10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2DF1417" w14:textId="77777777" w:rsidR="007E365E" w:rsidRDefault="007E365E" w:rsidP="007D1D77">
            <w:pPr>
              <w:spacing w:before="0" w:line="240" w:lineRule="auto"/>
              <w:jc w:val="right"/>
              <w:rPr>
                <w:rFonts w:cs="Open Sans Light"/>
                <w:sz w:val="16"/>
                <w:szCs w:val="16"/>
              </w:rPr>
            </w:pPr>
            <w:r>
              <w:rPr>
                <w:rFonts w:cs="Open Sans Light"/>
                <w:sz w:val="16"/>
                <w:szCs w:val="16"/>
              </w:rPr>
              <w:t>-2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1283FB" w14:textId="77777777" w:rsidR="007E365E" w:rsidRDefault="007E365E" w:rsidP="007D1D77">
            <w:pPr>
              <w:spacing w:before="0" w:line="240" w:lineRule="auto"/>
              <w:jc w:val="right"/>
              <w:rPr>
                <w:rFonts w:cs="Open Sans Light"/>
                <w:sz w:val="16"/>
                <w:szCs w:val="16"/>
              </w:rPr>
            </w:pPr>
            <w:r>
              <w:rPr>
                <w:rFonts w:cs="Open Sans Light"/>
                <w:sz w:val="16"/>
                <w:szCs w:val="16"/>
              </w:rPr>
              <w:t>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85E14EA"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5541F3" w14:textId="77777777" w:rsidR="007E365E" w:rsidRDefault="007E365E" w:rsidP="007D1D77">
            <w:pPr>
              <w:spacing w:before="0" w:line="240" w:lineRule="auto"/>
              <w:jc w:val="right"/>
              <w:rPr>
                <w:rFonts w:cs="Open Sans Light"/>
                <w:sz w:val="16"/>
                <w:szCs w:val="16"/>
              </w:rPr>
            </w:pPr>
            <w:r>
              <w:rPr>
                <w:rFonts w:cs="Open Sans Light"/>
                <w:sz w:val="16"/>
                <w:szCs w:val="16"/>
              </w:rPr>
              <w:t>-31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D00B86" w14:textId="77777777" w:rsidR="007E365E" w:rsidRDefault="007E365E" w:rsidP="007D1D77">
            <w:pPr>
              <w:spacing w:before="0" w:line="240" w:lineRule="auto"/>
              <w:jc w:val="right"/>
              <w:rPr>
                <w:rFonts w:cs="Open Sans Light"/>
                <w:sz w:val="16"/>
                <w:szCs w:val="16"/>
              </w:rPr>
            </w:pPr>
            <w:r>
              <w:rPr>
                <w:rFonts w:cs="Open Sans Light"/>
                <w:sz w:val="16"/>
                <w:szCs w:val="16"/>
              </w:rPr>
              <w:t>56</w:t>
            </w:r>
          </w:p>
        </w:tc>
      </w:tr>
      <w:tr w:rsidR="007E365E" w:rsidRPr="003B7F37" w14:paraId="19056F77"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252717D" w14:textId="77777777" w:rsidR="007E365E" w:rsidRDefault="007E365E" w:rsidP="007D1D77">
            <w:pPr>
              <w:spacing w:before="0" w:line="240" w:lineRule="auto"/>
              <w:rPr>
                <w:rFonts w:cs="Open Sans Light"/>
                <w:sz w:val="16"/>
                <w:szCs w:val="16"/>
              </w:rPr>
            </w:pPr>
            <w:r>
              <w:rPr>
                <w:rFonts w:cs="Open Sans Light"/>
                <w:sz w:val="16"/>
                <w:szCs w:val="16"/>
              </w:rPr>
              <w:t>$per capita</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D8ADB7" w14:textId="77777777" w:rsidR="007E365E" w:rsidRDefault="007E365E" w:rsidP="007D1D77">
            <w:pPr>
              <w:spacing w:before="0" w:line="240" w:lineRule="auto"/>
              <w:jc w:val="right"/>
              <w:rPr>
                <w:rFonts w:cs="Open Sans Light"/>
                <w:sz w:val="16"/>
                <w:szCs w:val="16"/>
              </w:rPr>
            </w:pPr>
            <w:r>
              <w:rPr>
                <w:rFonts w:cs="Open Sans Light"/>
                <w:sz w:val="16"/>
                <w:szCs w:val="16"/>
              </w:rPr>
              <w:t>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8D0F24" w14:textId="77777777" w:rsidR="007E365E" w:rsidRDefault="007E365E" w:rsidP="007D1D77">
            <w:pPr>
              <w:spacing w:before="0" w:line="240" w:lineRule="auto"/>
              <w:jc w:val="right"/>
              <w:rPr>
                <w:rFonts w:cs="Open Sans Light"/>
                <w:sz w:val="16"/>
                <w:szCs w:val="16"/>
              </w:rPr>
            </w:pPr>
            <w:r>
              <w:rPr>
                <w:rFonts w:cs="Open Sans Light"/>
                <w:sz w:val="16"/>
                <w:szCs w:val="16"/>
              </w:rPr>
              <w:t>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C8A7A65" w14:textId="77777777" w:rsidR="007E365E" w:rsidRDefault="007E365E" w:rsidP="007D1D77">
            <w:pPr>
              <w:spacing w:before="0" w:line="240" w:lineRule="auto"/>
              <w:jc w:val="right"/>
              <w:rPr>
                <w:rFonts w:cs="Open Sans Light"/>
                <w:sz w:val="16"/>
                <w:szCs w:val="16"/>
              </w:rPr>
            </w:pPr>
            <w:r>
              <w:rPr>
                <w:rFonts w:cs="Open Sans Light"/>
                <w:sz w:val="16"/>
                <w:szCs w:val="16"/>
              </w:rPr>
              <w:t>-2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8655E0" w14:textId="77777777" w:rsidR="007E365E" w:rsidRDefault="007E365E" w:rsidP="007D1D77">
            <w:pPr>
              <w:spacing w:before="0" w:line="240" w:lineRule="auto"/>
              <w:jc w:val="right"/>
              <w:rPr>
                <w:rFonts w:cs="Open Sans Light"/>
                <w:sz w:val="16"/>
                <w:szCs w:val="16"/>
              </w:rPr>
            </w:pPr>
            <w:r>
              <w:rPr>
                <w:rFonts w:cs="Open Sans Light"/>
                <w:sz w:val="16"/>
                <w:szCs w:val="16"/>
              </w:rPr>
              <w:t>-4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993C7B" w14:textId="77777777" w:rsidR="007E365E" w:rsidRDefault="007E365E" w:rsidP="007D1D77">
            <w:pPr>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CB206CF" w14:textId="77777777" w:rsidR="007E365E" w:rsidRDefault="007E365E" w:rsidP="007D1D77">
            <w:pPr>
              <w:spacing w:before="0" w:line="240" w:lineRule="auto"/>
              <w:jc w:val="right"/>
              <w:rPr>
                <w:rFonts w:cs="Open Sans Light"/>
                <w:sz w:val="16"/>
                <w:szCs w:val="16"/>
              </w:rPr>
            </w:pPr>
            <w:r>
              <w:rPr>
                <w:rFonts w:cs="Open Sans Light"/>
                <w:sz w:val="16"/>
                <w:szCs w:val="16"/>
              </w:rPr>
              <w:t>10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4BC2206"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071E62B" w14:textId="77777777" w:rsidR="007E365E" w:rsidRDefault="007E365E" w:rsidP="007D1D77">
            <w:pPr>
              <w:spacing w:before="0" w:line="240" w:lineRule="auto"/>
              <w:jc w:val="right"/>
              <w:rPr>
                <w:rFonts w:cs="Open Sans Light"/>
                <w:sz w:val="16"/>
                <w:szCs w:val="16"/>
              </w:rPr>
            </w:pPr>
            <w:r>
              <w:rPr>
                <w:rFonts w:cs="Open Sans Light"/>
                <w:sz w:val="16"/>
                <w:szCs w:val="16"/>
              </w:rPr>
              <w:t>-127</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C97DCFB" w14:textId="77777777" w:rsidR="007E365E" w:rsidRDefault="007E365E" w:rsidP="007D1D77">
            <w:pPr>
              <w:spacing w:before="0" w:line="240" w:lineRule="auto"/>
              <w:jc w:val="right"/>
              <w:rPr>
                <w:rFonts w:cs="Open Sans Light"/>
                <w:sz w:val="16"/>
                <w:szCs w:val="16"/>
              </w:rPr>
            </w:pPr>
            <w:r>
              <w:rPr>
                <w:rFonts w:cs="Open Sans Light"/>
                <w:sz w:val="16"/>
                <w:szCs w:val="16"/>
              </w:rPr>
              <w:t>2</w:t>
            </w:r>
          </w:p>
        </w:tc>
      </w:tr>
    </w:tbl>
    <w:p w14:paraId="0091D976" w14:textId="77777777" w:rsidR="007E365E" w:rsidRPr="00E23377" w:rsidRDefault="007E365E" w:rsidP="007E365E">
      <w:pPr>
        <w:pStyle w:val="CGCTablenote"/>
      </w:pPr>
      <w:r w:rsidRPr="00E23377">
        <w:t>Source:</w:t>
      </w:r>
      <w:r w:rsidRPr="00E23377">
        <w:tab/>
        <w:t>Commission calculation</w:t>
      </w:r>
    </w:p>
    <w:p w14:paraId="7650444D" w14:textId="77777777" w:rsidR="007E365E" w:rsidRPr="00E23377" w:rsidRDefault="007E365E" w:rsidP="007E365E">
      <w:pPr>
        <w:pStyle w:val="Heading4"/>
      </w:pPr>
      <w:r w:rsidRPr="00E23377">
        <w:t>Density and congestion</w:t>
      </w:r>
    </w:p>
    <w:p w14:paraId="00594646" w14:textId="77777777" w:rsidR="007E365E" w:rsidRPr="00E23377" w:rsidRDefault="007E365E" w:rsidP="007E365E">
      <w:pPr>
        <w:pStyle w:val="CGCParaNumber"/>
      </w:pPr>
      <w:r w:rsidRPr="00E23377">
        <w:t>The ACT argued the Commission should investigate whether a relationship exists between urban density and roads expenditure. The Commission considers that the ACT did not establish a conceptual case for the issue to be pursued.</w:t>
      </w:r>
    </w:p>
    <w:p w14:paraId="7BE993AA" w14:textId="77777777" w:rsidR="007E365E" w:rsidRPr="00E23377" w:rsidRDefault="007E365E" w:rsidP="007E365E">
      <w:pPr>
        <w:pStyle w:val="CGCParaNumber"/>
      </w:pPr>
      <w:r w:rsidRPr="00E23377">
        <w:t>New South Wales also wrote that the assessed cost of maintaining the urban road network should reflect differential costs arising from congestion in urban areas. However, the Commission considers that traffic volume and heavy vehicle use would capture a large proportion, if not all, of the effect of congestion on the cost of maintaining urban roads. There would be the possibility of double counting needs if a measure of congestion was introduced.</w:t>
      </w:r>
    </w:p>
    <w:p w14:paraId="4AD2CF5A" w14:textId="77777777" w:rsidR="007E365E" w:rsidRPr="00E23377" w:rsidRDefault="007E365E" w:rsidP="007E365E">
      <w:pPr>
        <w:pStyle w:val="Heading4"/>
      </w:pPr>
      <w:r w:rsidRPr="00E23377">
        <w:t>Local roads</w:t>
      </w:r>
      <w:bookmarkEnd w:id="212"/>
      <w:bookmarkEnd w:id="213"/>
      <w:bookmarkEnd w:id="214"/>
    </w:p>
    <w:p w14:paraId="14699BD2" w14:textId="77777777" w:rsidR="007E365E" w:rsidRPr="00E23377" w:rsidRDefault="007E365E" w:rsidP="007E365E">
      <w:pPr>
        <w:pStyle w:val="CGCParaNumber"/>
      </w:pPr>
      <w:r w:rsidRPr="00E23377">
        <w:t>The Commission has removed the 2015 Review local roads assessment and has re</w:t>
      </w:r>
      <w:r w:rsidRPr="00E23377">
        <w:noBreakHyphen/>
        <w:t>allocated the expenses on a proportional basis to the rural and urban roads components</w:t>
      </w:r>
      <w:r>
        <w:t>. As such, the total scope of roads expenses is not affected by the removal of the local roads assessment</w:t>
      </w:r>
      <w:r w:rsidRPr="00E23377">
        <w:t>.</w:t>
      </w:r>
    </w:p>
    <w:p w14:paraId="328B7EE3" w14:textId="77777777" w:rsidR="007E365E" w:rsidRPr="00E23377" w:rsidRDefault="007E365E" w:rsidP="007E365E">
      <w:pPr>
        <w:pStyle w:val="CGCParaNumber"/>
      </w:pPr>
      <w:r w:rsidRPr="00E23377">
        <w:t xml:space="preserve">In the 2015 Review, </w:t>
      </w:r>
      <w:r>
        <w:t xml:space="preserve">the </w:t>
      </w:r>
      <w:r w:rsidRPr="00E23377">
        <w:t xml:space="preserve">local roads assessment aimed to measure State needs to maintain local roads in areas where there is no local government (unincorporated areas) or where there is insufficient population for the local government to support road maintenance. These categories are defined by the NTC as: </w:t>
      </w:r>
    </w:p>
    <w:p w14:paraId="2C8F9BC3" w14:textId="77777777" w:rsidR="007E365E" w:rsidRPr="00E23377" w:rsidRDefault="007E365E" w:rsidP="007E365E">
      <w:pPr>
        <w:pStyle w:val="CGCBullet1"/>
      </w:pPr>
      <w:r w:rsidRPr="00E23377">
        <w:t>H3: spending on local access roads in unincorporated areas</w:t>
      </w:r>
    </w:p>
    <w:p w14:paraId="1C5764C1" w14:textId="77777777" w:rsidR="007E365E" w:rsidRPr="00E23377" w:rsidRDefault="007E365E" w:rsidP="007E365E">
      <w:pPr>
        <w:pStyle w:val="CGCBullet1"/>
      </w:pPr>
      <w:r w:rsidRPr="00E23377">
        <w:t>H4: direct spending on council managed local access roads</w:t>
      </w:r>
    </w:p>
    <w:p w14:paraId="5FC0FC94" w14:textId="77777777" w:rsidR="007E365E" w:rsidRPr="00E23377" w:rsidRDefault="007E365E" w:rsidP="007E365E">
      <w:pPr>
        <w:pStyle w:val="CGCBullet1"/>
      </w:pPr>
      <w:r w:rsidRPr="00E23377">
        <w:t>H5: any other direct State spending on local access roads.</w:t>
      </w:r>
    </w:p>
    <w:p w14:paraId="09A6AA03" w14:textId="7684678A" w:rsidR="007E365E" w:rsidRPr="00E23377" w:rsidRDefault="007E365E" w:rsidP="007E365E">
      <w:pPr>
        <w:pStyle w:val="CGCParaNumber"/>
      </w:pPr>
      <w:r w:rsidRPr="00E23377">
        <w:fldChar w:fldCharType="begin"/>
      </w:r>
      <w:r w:rsidRPr="00E23377">
        <w:instrText xml:space="preserve"> REF _Ref4660127 \h  \* MERGEFORMAT </w:instrText>
      </w:r>
      <w:r w:rsidRPr="00E23377">
        <w:fldChar w:fldCharType="separate"/>
      </w:r>
      <w:r w:rsidR="007F721A" w:rsidRPr="00E23377">
        <w:t xml:space="preserve">Table </w:t>
      </w:r>
      <w:r w:rsidR="007F721A">
        <w:rPr>
          <w:noProof/>
        </w:rPr>
        <w:t>20-28</w:t>
      </w:r>
      <w:r w:rsidRPr="00E23377">
        <w:fldChar w:fldCharType="end"/>
      </w:r>
      <w:r w:rsidRPr="00E23377">
        <w:t xml:space="preserve"> shows that combined State </w:t>
      </w:r>
      <w:r w:rsidRPr="007B1056">
        <w:t>spending (H3, H4 and H5) in 2018</w:t>
      </w:r>
      <w:r w:rsidRPr="007B1056">
        <w:noBreakHyphen/>
        <w:t>19 was $431 million. Of this, only $10 million was classified under H3. The three main expense items were New South Wales’ H4 spending ($113 million), Western Australia’s H4 spending ($99 million) and Queensland’s H5 spending ($77 million). In the case of the H4 category (direct spending on council managed local access roads), the table shows that 36% of the spending is in New South Wales and another 31% in Western Australia. This suggests a State policy influence and/or a classification issue.</w:t>
      </w:r>
      <w:r w:rsidRPr="00E23377">
        <w:t xml:space="preserve"> </w:t>
      </w:r>
    </w:p>
    <w:p w14:paraId="59D4EC50" w14:textId="77777777" w:rsidR="007E365E" w:rsidRPr="00E23377" w:rsidRDefault="007E365E" w:rsidP="007E365E">
      <w:pPr>
        <w:pStyle w:val="CGCParaNumber"/>
      </w:pPr>
      <w:r w:rsidRPr="00E23377">
        <w:lastRenderedPageBreak/>
        <w:t>For Western Australia, this seems confirmed by Main Roads Western Australia, which suggested to Commission staff that ‘the general driver for this spend (H4) relates to its role to provide a whole of network solution and some expenditure directly on local roads is required so there is good integration with the State network’.</w:t>
      </w:r>
      <w:r w:rsidRPr="00E23377">
        <w:rPr>
          <w:rStyle w:val="FootnoteReference"/>
        </w:rPr>
        <w:footnoteReference w:id="43"/>
      </w:r>
      <w:r w:rsidRPr="00E23377">
        <w:t xml:space="preserve"> Another possible explanation is that Western Australia may be classifying some roads as local roads that other States would classify as State roads.</w:t>
      </w:r>
    </w:p>
    <w:p w14:paraId="587A8DE1" w14:textId="103C69A9" w:rsidR="007E365E" w:rsidRDefault="007E365E" w:rsidP="007E365E">
      <w:pPr>
        <w:pStyle w:val="Caption"/>
      </w:pPr>
      <w:bookmarkStart w:id="218" w:name="_Ref4660127"/>
      <w:r w:rsidRPr="00E23377">
        <w:t xml:space="preserve">Table </w:t>
      </w:r>
      <w:r>
        <w:t>20-</w:t>
      </w:r>
      <w:fldSimple w:instr=" SEQ Table \* ARABIC ">
        <w:r w:rsidR="007F721A">
          <w:rPr>
            <w:noProof/>
          </w:rPr>
          <w:t>28</w:t>
        </w:r>
      </w:fldSimple>
      <w:bookmarkEnd w:id="218"/>
      <w:r w:rsidRPr="00E23377">
        <w:tab/>
        <w:t>NTC local roads expenditure under the H3, H4 and H5 categories, 201</w:t>
      </w:r>
      <w:r>
        <w:t>8</w:t>
      </w:r>
      <w:r w:rsidRPr="00E23377">
        <w:t>-1</w:t>
      </w:r>
      <w:r>
        <w:t>9</w:t>
      </w:r>
      <w:r w:rsidRPr="00E23377">
        <w:t xml:space="preserve"> </w:t>
      </w:r>
    </w:p>
    <w:tbl>
      <w:tblPr>
        <w:tblW w:w="8920" w:type="dxa"/>
        <w:tblCellMar>
          <w:left w:w="0" w:type="dxa"/>
          <w:right w:w="0" w:type="dxa"/>
        </w:tblCellMar>
        <w:tblLook w:val="04A0" w:firstRow="1" w:lastRow="0" w:firstColumn="1" w:lastColumn="0" w:noHBand="0" w:noVBand="1"/>
      </w:tblPr>
      <w:tblGrid>
        <w:gridCol w:w="1480"/>
        <w:gridCol w:w="880"/>
        <w:gridCol w:w="880"/>
        <w:gridCol w:w="880"/>
        <w:gridCol w:w="780"/>
        <w:gridCol w:w="780"/>
        <w:gridCol w:w="780"/>
        <w:gridCol w:w="780"/>
        <w:gridCol w:w="780"/>
        <w:gridCol w:w="900"/>
      </w:tblGrid>
      <w:tr w:rsidR="007E365E" w:rsidRPr="002B3FCF" w14:paraId="4A458713" w14:textId="77777777" w:rsidTr="007D1D77">
        <w:trPr>
          <w:trHeight w:val="379"/>
        </w:trPr>
        <w:tc>
          <w:tcPr>
            <w:tcW w:w="14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70A1E241" w14:textId="77777777" w:rsidR="007E365E" w:rsidRDefault="007E365E" w:rsidP="007D1D77">
            <w:pPr>
              <w:tabs>
                <w:tab w:val="clear" w:pos="567"/>
              </w:tabs>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 </w:t>
            </w:r>
          </w:p>
        </w:tc>
        <w:tc>
          <w:tcPr>
            <w:tcW w:w="8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0D71B893"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8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5EC294AD"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8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69CE904E"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482E9E9"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1D5466DD"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49FAF03F"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3ADF7110"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78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290133ED"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900" w:type="dxa"/>
            <w:tcBorders>
              <w:top w:val="single" w:sz="4" w:space="0" w:color="ADD6EA"/>
              <w:left w:val="nil"/>
              <w:bottom w:val="single" w:sz="4" w:space="0" w:color="ADD6EA"/>
              <w:right w:val="nil"/>
            </w:tcBorders>
            <w:shd w:val="clear" w:color="000000" w:fill="006991"/>
            <w:tcMar>
              <w:top w:w="15" w:type="dxa"/>
              <w:left w:w="15" w:type="dxa"/>
              <w:bottom w:w="0" w:type="dxa"/>
              <w:right w:w="15" w:type="dxa"/>
            </w:tcMar>
            <w:vAlign w:val="center"/>
            <w:hideMark/>
          </w:tcPr>
          <w:p w14:paraId="2E31DF05" w14:textId="77777777" w:rsidR="007E365E" w:rsidRDefault="007E365E" w:rsidP="007D1D77">
            <w:pPr>
              <w:spacing w:before="0" w:line="240" w:lineRule="auto"/>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w:t>
            </w:r>
          </w:p>
        </w:tc>
      </w:tr>
      <w:tr w:rsidR="007E365E" w:rsidRPr="002B3FCF" w14:paraId="3A08CEB0" w14:textId="77777777" w:rsidTr="007D1D77">
        <w:trPr>
          <w:trHeight w:val="259"/>
        </w:trPr>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85BCFF2"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5457445"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48A507B"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93E8195"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DFE178E"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7DA881D"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5A49F2C"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77B1E45"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9451B41"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B334C74"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r>
      <w:tr w:rsidR="007E365E" w:rsidRPr="002B3FCF" w14:paraId="561C2CD2"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EE19E3" w14:textId="77777777" w:rsidR="007E365E" w:rsidRDefault="007E365E" w:rsidP="007D1D77">
            <w:pPr>
              <w:spacing w:before="0" w:line="240" w:lineRule="auto"/>
              <w:rPr>
                <w:rFonts w:cs="Open Sans Light"/>
                <w:sz w:val="16"/>
                <w:szCs w:val="16"/>
              </w:rPr>
            </w:pPr>
            <w:r>
              <w:rPr>
                <w:rFonts w:cs="Open Sans Light"/>
                <w:sz w:val="16"/>
                <w:szCs w:val="16"/>
              </w:rPr>
              <w:t>H3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642582" w14:textId="77777777" w:rsidR="007E365E" w:rsidRDefault="007E365E" w:rsidP="007D1D77">
            <w:pPr>
              <w:spacing w:before="0" w:line="240" w:lineRule="auto"/>
              <w:jc w:val="right"/>
              <w:rPr>
                <w:rFonts w:cs="Open Sans Light"/>
                <w:sz w:val="16"/>
                <w:szCs w:val="16"/>
              </w:rPr>
            </w:pPr>
            <w:r>
              <w:rPr>
                <w:rFonts w:cs="Open Sans Light"/>
                <w:sz w:val="16"/>
                <w:szCs w:val="16"/>
              </w:rPr>
              <w:t>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FFB270"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F6D2DBB"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A803DDD" w14:textId="77777777" w:rsidR="007E365E" w:rsidRDefault="007E365E" w:rsidP="007D1D77">
            <w:pPr>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4D24CCF"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2D96F0D"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8614FF"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4E05B38" w14:textId="77777777" w:rsidR="007E365E" w:rsidRDefault="007E365E" w:rsidP="007D1D77">
            <w:pPr>
              <w:spacing w:before="0" w:line="240" w:lineRule="auto"/>
              <w:jc w:val="right"/>
              <w:rPr>
                <w:rFonts w:cs="Open Sans Light"/>
                <w:sz w:val="16"/>
                <w:szCs w:val="16"/>
              </w:rPr>
            </w:pPr>
            <w:r>
              <w:rPr>
                <w:rFonts w:cs="Open Sans Light"/>
                <w:sz w:val="16"/>
                <w:szCs w:val="16"/>
              </w:rPr>
              <w:t>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E18525B" w14:textId="77777777" w:rsidR="007E365E" w:rsidRDefault="007E365E" w:rsidP="007D1D77">
            <w:pPr>
              <w:spacing w:before="0" w:line="240" w:lineRule="auto"/>
              <w:jc w:val="right"/>
              <w:rPr>
                <w:rFonts w:cs="Open Sans Light"/>
                <w:sz w:val="16"/>
                <w:szCs w:val="16"/>
              </w:rPr>
            </w:pPr>
            <w:r>
              <w:rPr>
                <w:rFonts w:cs="Open Sans Light"/>
                <w:sz w:val="16"/>
                <w:szCs w:val="16"/>
              </w:rPr>
              <w:t>10</w:t>
            </w:r>
          </w:p>
        </w:tc>
      </w:tr>
      <w:tr w:rsidR="007E365E" w:rsidRPr="002B3FCF" w14:paraId="79203A2E"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1F0643C" w14:textId="77777777" w:rsidR="007E365E" w:rsidRDefault="007E365E" w:rsidP="007D1D77">
            <w:pPr>
              <w:spacing w:before="0" w:line="240" w:lineRule="auto"/>
              <w:rPr>
                <w:rFonts w:cs="Open Sans Light"/>
                <w:sz w:val="16"/>
                <w:szCs w:val="16"/>
              </w:rPr>
            </w:pPr>
            <w:r>
              <w:rPr>
                <w:rFonts w:cs="Open Sans Light"/>
                <w:sz w:val="16"/>
                <w:szCs w:val="16"/>
              </w:rPr>
              <w:t>H4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421382" w14:textId="77777777" w:rsidR="007E365E" w:rsidRDefault="007E365E" w:rsidP="007D1D77">
            <w:pPr>
              <w:spacing w:before="0" w:line="240" w:lineRule="auto"/>
              <w:jc w:val="right"/>
              <w:rPr>
                <w:rFonts w:cs="Open Sans Light"/>
                <w:sz w:val="16"/>
                <w:szCs w:val="16"/>
              </w:rPr>
            </w:pPr>
            <w:r>
              <w:rPr>
                <w:rFonts w:cs="Open Sans Light"/>
                <w:sz w:val="16"/>
                <w:szCs w:val="16"/>
              </w:rPr>
              <w:t>113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7F34787" w14:textId="77777777" w:rsidR="007E365E" w:rsidRDefault="007E365E" w:rsidP="007D1D77">
            <w:pPr>
              <w:spacing w:before="0" w:line="240" w:lineRule="auto"/>
              <w:jc w:val="right"/>
              <w:rPr>
                <w:rFonts w:cs="Open Sans Light"/>
                <w:sz w:val="16"/>
                <w:szCs w:val="16"/>
              </w:rPr>
            </w:pPr>
            <w:r>
              <w:rPr>
                <w:rFonts w:cs="Open Sans Light"/>
                <w:sz w:val="16"/>
                <w:szCs w:val="16"/>
              </w:rPr>
              <w:t>64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B0BF610"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4EB8C7F" w14:textId="77777777" w:rsidR="007E365E" w:rsidRDefault="007E365E" w:rsidP="007D1D77">
            <w:pPr>
              <w:spacing w:before="0" w:line="240" w:lineRule="auto"/>
              <w:jc w:val="right"/>
              <w:rPr>
                <w:rFonts w:cs="Open Sans Light"/>
                <w:sz w:val="16"/>
                <w:szCs w:val="16"/>
              </w:rPr>
            </w:pPr>
            <w:r>
              <w:rPr>
                <w:rFonts w:cs="Open Sans Light"/>
                <w:sz w:val="16"/>
                <w:szCs w:val="16"/>
              </w:rPr>
              <w:t>99</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B799EF4" w14:textId="77777777" w:rsidR="007E365E" w:rsidRDefault="007E365E" w:rsidP="007D1D77">
            <w:pPr>
              <w:spacing w:before="0" w:line="240" w:lineRule="auto"/>
              <w:jc w:val="right"/>
              <w:rPr>
                <w:rFonts w:cs="Open Sans Light"/>
                <w:sz w:val="16"/>
                <w:szCs w:val="16"/>
              </w:rPr>
            </w:pPr>
            <w:r>
              <w:rPr>
                <w:rFonts w:cs="Open Sans Light"/>
                <w:sz w:val="16"/>
                <w:szCs w:val="16"/>
              </w:rPr>
              <w:t>41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3D3E708"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353096D"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9D8D8A"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4BB309" w14:textId="77777777" w:rsidR="007E365E" w:rsidRDefault="007E365E" w:rsidP="007D1D77">
            <w:pPr>
              <w:spacing w:before="0" w:line="240" w:lineRule="auto"/>
              <w:jc w:val="right"/>
              <w:rPr>
                <w:rFonts w:cs="Open Sans Light"/>
                <w:sz w:val="16"/>
                <w:szCs w:val="16"/>
              </w:rPr>
            </w:pPr>
            <w:r>
              <w:rPr>
                <w:rFonts w:cs="Open Sans Light"/>
                <w:sz w:val="16"/>
                <w:szCs w:val="16"/>
              </w:rPr>
              <w:t>317</w:t>
            </w:r>
          </w:p>
        </w:tc>
      </w:tr>
      <w:tr w:rsidR="007E365E" w:rsidRPr="002B3FCF" w14:paraId="7202EB30"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464F5B6" w14:textId="77777777" w:rsidR="007E365E" w:rsidRDefault="007E365E" w:rsidP="007D1D77">
            <w:pPr>
              <w:spacing w:before="0" w:line="240" w:lineRule="auto"/>
              <w:rPr>
                <w:rFonts w:cs="Open Sans Light"/>
                <w:sz w:val="16"/>
                <w:szCs w:val="16"/>
              </w:rPr>
            </w:pPr>
            <w:r>
              <w:rPr>
                <w:rFonts w:cs="Open Sans Light"/>
                <w:sz w:val="16"/>
                <w:szCs w:val="16"/>
              </w:rPr>
              <w:t>H5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3342D4"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976E39"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16C44D1" w14:textId="77777777" w:rsidR="007E365E" w:rsidRDefault="007E365E" w:rsidP="007D1D77">
            <w:pPr>
              <w:spacing w:before="0" w:line="240" w:lineRule="auto"/>
              <w:jc w:val="right"/>
              <w:rPr>
                <w:rFonts w:cs="Open Sans Light"/>
                <w:sz w:val="16"/>
                <w:szCs w:val="16"/>
              </w:rPr>
            </w:pPr>
            <w:r>
              <w:rPr>
                <w:rFonts w:cs="Open Sans Light"/>
                <w:sz w:val="16"/>
                <w:szCs w:val="16"/>
              </w:rPr>
              <w:t>77</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198E40A" w14:textId="77777777" w:rsidR="007E365E" w:rsidRDefault="007E365E" w:rsidP="007D1D77">
            <w:pPr>
              <w:spacing w:before="0" w:line="240" w:lineRule="auto"/>
              <w:jc w:val="right"/>
              <w:rPr>
                <w:rFonts w:cs="Open Sans Light"/>
                <w:sz w:val="16"/>
                <w:szCs w:val="16"/>
              </w:rPr>
            </w:pPr>
            <w:r>
              <w:rPr>
                <w:rFonts w:cs="Open Sans Light"/>
                <w:sz w:val="16"/>
                <w:szCs w:val="16"/>
              </w:rPr>
              <w:t>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710C81"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F98588"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78495FC" w14:textId="77777777" w:rsidR="007E365E" w:rsidRDefault="007E365E" w:rsidP="007D1D77">
            <w:pPr>
              <w:spacing w:before="0" w:line="240" w:lineRule="auto"/>
              <w:jc w:val="right"/>
              <w:rPr>
                <w:rFonts w:cs="Open Sans Light"/>
                <w:sz w:val="16"/>
                <w:szCs w:val="16"/>
              </w:rPr>
            </w:pPr>
            <w:r>
              <w:rPr>
                <w:rFonts w:cs="Open Sans Light"/>
                <w:sz w:val="16"/>
                <w:szCs w:val="16"/>
              </w:rPr>
              <w:t>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47ACDBF" w14:textId="77777777" w:rsidR="007E365E" w:rsidRDefault="007E365E" w:rsidP="007D1D77">
            <w:pPr>
              <w:spacing w:before="0" w:line="240" w:lineRule="auto"/>
              <w:jc w:val="right"/>
              <w:rPr>
                <w:rFonts w:cs="Open Sans Light"/>
                <w:sz w:val="16"/>
                <w:szCs w:val="16"/>
              </w:rPr>
            </w:pPr>
            <w:r>
              <w:rPr>
                <w:rFonts w:cs="Open Sans Light"/>
                <w:sz w:val="16"/>
                <w:szCs w:val="16"/>
              </w:rPr>
              <w:t>26</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33F31F" w14:textId="77777777" w:rsidR="007E365E" w:rsidRDefault="007E365E" w:rsidP="007D1D77">
            <w:pPr>
              <w:spacing w:before="0" w:line="240" w:lineRule="auto"/>
              <w:jc w:val="right"/>
              <w:rPr>
                <w:rFonts w:cs="Open Sans Light"/>
                <w:sz w:val="16"/>
                <w:szCs w:val="16"/>
              </w:rPr>
            </w:pPr>
            <w:r>
              <w:rPr>
                <w:rFonts w:cs="Open Sans Light"/>
                <w:sz w:val="16"/>
                <w:szCs w:val="16"/>
              </w:rPr>
              <w:t>104</w:t>
            </w:r>
          </w:p>
        </w:tc>
      </w:tr>
      <w:tr w:rsidR="007E365E" w:rsidRPr="002B3FCF" w14:paraId="33FC1E5B" w14:textId="77777777" w:rsidTr="007D1D77">
        <w:trPr>
          <w:trHeight w:val="315"/>
        </w:trPr>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5058519" w14:textId="77777777" w:rsidR="007E365E" w:rsidRDefault="007E365E" w:rsidP="007D1D77">
            <w:pPr>
              <w:spacing w:before="0" w:line="240" w:lineRule="auto"/>
              <w:rPr>
                <w:rFonts w:ascii="Open Sans SemiBold" w:hAnsi="Open Sans SemiBold" w:cs="Open Sans SemiBold"/>
                <w:color w:val="000000"/>
                <w:sz w:val="16"/>
                <w:szCs w:val="16"/>
              </w:rPr>
            </w:pPr>
            <w:r>
              <w:rPr>
                <w:rFonts w:ascii="Open Sans SemiBold" w:hAnsi="Open Sans SemiBold" w:cs="Open Sans SemiBold"/>
                <w:color w:val="000000"/>
                <w:sz w:val="16"/>
                <w:szCs w:val="16"/>
              </w:rPr>
              <w:t xml:space="preserve">Total </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FD0093D"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116</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AFF5E6D"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64</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1D6396A"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77</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2656BBB"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102</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7E29EB5"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41</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BEF3AF4"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0</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3B57B21"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0</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4418EAF"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32</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20BA66B"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431</w:t>
            </w:r>
          </w:p>
        </w:tc>
      </w:tr>
      <w:tr w:rsidR="007E365E" w:rsidRPr="002B3FCF" w14:paraId="79FFECEC" w14:textId="77777777" w:rsidTr="007D1D77">
        <w:trPr>
          <w:trHeight w:val="259"/>
        </w:trPr>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A254779"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333D290"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6219D7A"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2A32FE2"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970AD6B"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2B9C42E"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BA7D82E"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11D0A6C"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2257D12"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33BD8FC"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w:t>
            </w:r>
          </w:p>
        </w:tc>
      </w:tr>
      <w:tr w:rsidR="007E365E" w:rsidRPr="002B3FCF" w14:paraId="6D0C7F21"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A310E78" w14:textId="77777777" w:rsidR="007E365E" w:rsidRDefault="007E365E" w:rsidP="007D1D77">
            <w:pPr>
              <w:spacing w:before="0" w:line="240" w:lineRule="auto"/>
              <w:rPr>
                <w:rFonts w:cs="Open Sans Light"/>
                <w:sz w:val="16"/>
                <w:szCs w:val="16"/>
              </w:rPr>
            </w:pPr>
            <w:r>
              <w:rPr>
                <w:rFonts w:cs="Open Sans Light"/>
                <w:sz w:val="16"/>
                <w:szCs w:val="16"/>
              </w:rPr>
              <w:t>H3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70511CB" w14:textId="77777777" w:rsidR="007E365E" w:rsidRDefault="007E365E" w:rsidP="007D1D77">
            <w:pPr>
              <w:spacing w:before="0" w:line="240" w:lineRule="auto"/>
              <w:jc w:val="right"/>
              <w:rPr>
                <w:rFonts w:cs="Open Sans Light"/>
                <w:sz w:val="16"/>
                <w:szCs w:val="16"/>
              </w:rPr>
            </w:pPr>
            <w:r>
              <w:rPr>
                <w:rFonts w:cs="Open Sans Light"/>
                <w:sz w:val="16"/>
                <w:szCs w:val="16"/>
              </w:rPr>
              <w:t>28.1</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88890C9"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A272232"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57B453" w14:textId="77777777" w:rsidR="007E365E" w:rsidRDefault="007E365E" w:rsidP="007D1D77">
            <w:pPr>
              <w:spacing w:before="0" w:line="240" w:lineRule="auto"/>
              <w:jc w:val="right"/>
              <w:rPr>
                <w:rFonts w:cs="Open Sans Light"/>
                <w:sz w:val="16"/>
                <w:szCs w:val="16"/>
              </w:rPr>
            </w:pPr>
            <w:r>
              <w:rPr>
                <w:rFonts w:cs="Open Sans Light"/>
                <w:sz w:val="16"/>
                <w:szCs w:val="16"/>
              </w:rPr>
              <w:t>14.0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1ADBE06"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5FDF45"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60533E8"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A51CF4" w14:textId="77777777" w:rsidR="007E365E" w:rsidRDefault="007E365E" w:rsidP="007D1D77">
            <w:pPr>
              <w:spacing w:before="0" w:line="240" w:lineRule="auto"/>
              <w:jc w:val="right"/>
              <w:rPr>
                <w:rFonts w:cs="Open Sans Light"/>
                <w:sz w:val="16"/>
                <w:szCs w:val="16"/>
              </w:rPr>
            </w:pPr>
            <w:r>
              <w:rPr>
                <w:rFonts w:cs="Open Sans Light"/>
                <w:sz w:val="16"/>
                <w:szCs w:val="16"/>
              </w:rPr>
              <w:t>57.8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9549607" w14:textId="77777777" w:rsidR="007E365E" w:rsidRDefault="007E365E" w:rsidP="007D1D77">
            <w:pPr>
              <w:spacing w:before="0" w:line="240" w:lineRule="auto"/>
              <w:jc w:val="right"/>
              <w:rPr>
                <w:rFonts w:cs="Open Sans Light"/>
                <w:sz w:val="16"/>
                <w:szCs w:val="16"/>
              </w:rPr>
            </w:pPr>
            <w:r>
              <w:rPr>
                <w:rFonts w:cs="Open Sans Light"/>
                <w:sz w:val="16"/>
                <w:szCs w:val="16"/>
              </w:rPr>
              <w:t>100.0</w:t>
            </w:r>
          </w:p>
        </w:tc>
      </w:tr>
      <w:tr w:rsidR="007E365E" w:rsidRPr="002B3FCF" w14:paraId="58F21C81"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376071B" w14:textId="77777777" w:rsidR="007E365E" w:rsidRDefault="007E365E" w:rsidP="007D1D77">
            <w:pPr>
              <w:spacing w:before="0" w:line="240" w:lineRule="auto"/>
              <w:rPr>
                <w:rFonts w:cs="Open Sans Light"/>
                <w:sz w:val="16"/>
                <w:szCs w:val="16"/>
              </w:rPr>
            </w:pPr>
            <w:r>
              <w:rPr>
                <w:rFonts w:cs="Open Sans Light"/>
                <w:sz w:val="16"/>
                <w:szCs w:val="16"/>
              </w:rPr>
              <w:t>H4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FB62DD" w14:textId="77777777" w:rsidR="007E365E" w:rsidRDefault="007E365E" w:rsidP="007D1D77">
            <w:pPr>
              <w:spacing w:before="0" w:line="240" w:lineRule="auto"/>
              <w:jc w:val="right"/>
              <w:rPr>
                <w:rFonts w:cs="Open Sans Light"/>
                <w:sz w:val="16"/>
                <w:szCs w:val="16"/>
              </w:rPr>
            </w:pPr>
            <w:r>
              <w:rPr>
                <w:rFonts w:cs="Open Sans Light"/>
                <w:sz w:val="16"/>
                <w:szCs w:val="16"/>
              </w:rPr>
              <w:t>35.7</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40C79C7" w14:textId="77777777" w:rsidR="007E365E" w:rsidRDefault="007E365E" w:rsidP="007D1D77">
            <w:pPr>
              <w:spacing w:before="0" w:line="240" w:lineRule="auto"/>
              <w:jc w:val="right"/>
              <w:rPr>
                <w:rFonts w:cs="Open Sans Light"/>
                <w:sz w:val="16"/>
                <w:szCs w:val="16"/>
              </w:rPr>
            </w:pPr>
            <w:r>
              <w:rPr>
                <w:rFonts w:cs="Open Sans Light"/>
                <w:sz w:val="16"/>
                <w:szCs w:val="16"/>
              </w:rPr>
              <w:t>20.2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A87154"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210798A" w14:textId="77777777" w:rsidR="007E365E" w:rsidRDefault="007E365E" w:rsidP="007D1D77">
            <w:pPr>
              <w:spacing w:before="0" w:line="240" w:lineRule="auto"/>
              <w:jc w:val="right"/>
              <w:rPr>
                <w:rFonts w:cs="Open Sans Light"/>
                <w:sz w:val="16"/>
                <w:szCs w:val="16"/>
              </w:rPr>
            </w:pPr>
            <w:r>
              <w:rPr>
                <w:rFonts w:cs="Open Sans Light"/>
                <w:sz w:val="16"/>
                <w:szCs w:val="16"/>
              </w:rPr>
              <w:t>31.3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D134453" w14:textId="77777777" w:rsidR="007E365E" w:rsidRDefault="007E365E" w:rsidP="007D1D77">
            <w:pPr>
              <w:spacing w:before="0" w:line="240" w:lineRule="auto"/>
              <w:jc w:val="right"/>
              <w:rPr>
                <w:rFonts w:cs="Open Sans Light"/>
                <w:sz w:val="16"/>
                <w:szCs w:val="16"/>
              </w:rPr>
            </w:pPr>
            <w:r>
              <w:rPr>
                <w:rFonts w:cs="Open Sans Light"/>
                <w:sz w:val="16"/>
                <w:szCs w:val="16"/>
              </w:rPr>
              <w:t>12.8</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7310FE6"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03BE30A"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481D379"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39A7E76" w14:textId="77777777" w:rsidR="007E365E" w:rsidRDefault="007E365E" w:rsidP="007D1D77">
            <w:pPr>
              <w:spacing w:before="0" w:line="240" w:lineRule="auto"/>
              <w:jc w:val="right"/>
              <w:rPr>
                <w:rFonts w:cs="Open Sans Light"/>
                <w:sz w:val="16"/>
                <w:szCs w:val="16"/>
              </w:rPr>
            </w:pPr>
            <w:r>
              <w:rPr>
                <w:rFonts w:cs="Open Sans Light"/>
                <w:sz w:val="16"/>
                <w:szCs w:val="16"/>
              </w:rPr>
              <w:t>100.0</w:t>
            </w:r>
          </w:p>
        </w:tc>
      </w:tr>
      <w:tr w:rsidR="007E365E" w:rsidRPr="002B3FCF" w14:paraId="7D63FFF0" w14:textId="77777777" w:rsidTr="007D1D77">
        <w:trPr>
          <w:trHeight w:val="315"/>
        </w:trPr>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B3C5E13" w14:textId="77777777" w:rsidR="007E365E" w:rsidRDefault="007E365E" w:rsidP="007D1D77">
            <w:pPr>
              <w:spacing w:before="0" w:line="240" w:lineRule="auto"/>
              <w:rPr>
                <w:rFonts w:cs="Open Sans Light"/>
                <w:sz w:val="16"/>
                <w:szCs w:val="16"/>
              </w:rPr>
            </w:pPr>
            <w:r>
              <w:rPr>
                <w:rFonts w:cs="Open Sans Light"/>
                <w:sz w:val="16"/>
                <w:szCs w:val="16"/>
              </w:rPr>
              <w:t>H5</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F1D73E"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DB4549"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BFDBA3E" w14:textId="77777777" w:rsidR="007E365E" w:rsidRDefault="007E365E" w:rsidP="007D1D77">
            <w:pPr>
              <w:spacing w:before="0" w:line="240" w:lineRule="auto"/>
              <w:jc w:val="right"/>
              <w:rPr>
                <w:rFonts w:cs="Open Sans Light"/>
                <w:sz w:val="16"/>
                <w:szCs w:val="16"/>
              </w:rPr>
            </w:pPr>
            <w:r>
              <w:rPr>
                <w:rFonts w:cs="Open Sans Light"/>
                <w:sz w:val="16"/>
                <w:szCs w:val="16"/>
              </w:rPr>
              <w:t>73.4</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FDEA342" w14:textId="77777777" w:rsidR="007E365E" w:rsidRDefault="007E365E" w:rsidP="007D1D77">
            <w:pPr>
              <w:spacing w:before="0" w:line="240" w:lineRule="auto"/>
              <w:jc w:val="right"/>
              <w:rPr>
                <w:rFonts w:cs="Open Sans Light"/>
                <w:sz w:val="16"/>
                <w:szCs w:val="16"/>
              </w:rPr>
            </w:pPr>
            <w:r>
              <w:rPr>
                <w:rFonts w:cs="Open Sans Light"/>
                <w:sz w:val="16"/>
                <w:szCs w:val="16"/>
              </w:rPr>
              <w:t>1.2</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B29E070"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93EAC6"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A28FB6" w14:textId="77777777" w:rsidR="007E365E" w:rsidRDefault="007E365E" w:rsidP="007D1D77">
            <w:pPr>
              <w:spacing w:before="0" w:line="240" w:lineRule="auto"/>
              <w:jc w:val="right"/>
              <w:rPr>
                <w:rFonts w:cs="Open Sans Light"/>
                <w:sz w:val="16"/>
                <w:szCs w:val="16"/>
              </w:rPr>
            </w:pPr>
            <w:r>
              <w:rPr>
                <w:rFonts w:cs="Open Sans Light"/>
                <w:sz w:val="16"/>
                <w:szCs w:val="16"/>
              </w:rPr>
              <w:t>0.0</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701487" w14:textId="77777777" w:rsidR="007E365E" w:rsidRDefault="007E365E" w:rsidP="007D1D77">
            <w:pPr>
              <w:spacing w:before="0" w:line="240" w:lineRule="auto"/>
              <w:jc w:val="right"/>
              <w:rPr>
                <w:rFonts w:cs="Open Sans Light"/>
                <w:sz w:val="16"/>
                <w:szCs w:val="16"/>
              </w:rPr>
            </w:pPr>
            <w:r>
              <w:rPr>
                <w:rFonts w:cs="Open Sans Light"/>
                <w:sz w:val="16"/>
                <w:szCs w:val="16"/>
              </w:rPr>
              <w:t>25.3</w:t>
            </w:r>
          </w:p>
        </w:tc>
        <w:tc>
          <w:tcPr>
            <w:tcW w:w="0" w:type="auto"/>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ED06FF5" w14:textId="77777777" w:rsidR="007E365E" w:rsidRDefault="007E365E" w:rsidP="007D1D77">
            <w:pPr>
              <w:spacing w:before="0" w:line="240" w:lineRule="auto"/>
              <w:jc w:val="right"/>
              <w:rPr>
                <w:rFonts w:cs="Open Sans Light"/>
                <w:sz w:val="16"/>
                <w:szCs w:val="16"/>
              </w:rPr>
            </w:pPr>
            <w:r>
              <w:rPr>
                <w:rFonts w:cs="Open Sans Light"/>
                <w:sz w:val="16"/>
                <w:szCs w:val="16"/>
              </w:rPr>
              <w:t>100.0</w:t>
            </w:r>
          </w:p>
        </w:tc>
      </w:tr>
      <w:tr w:rsidR="007E365E" w:rsidRPr="002B3FCF" w14:paraId="4FC02B12" w14:textId="77777777" w:rsidTr="007D1D77">
        <w:trPr>
          <w:trHeight w:val="315"/>
        </w:trPr>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05E96A6" w14:textId="77777777" w:rsidR="007E365E" w:rsidRDefault="007E365E" w:rsidP="007D1D77">
            <w:pPr>
              <w:spacing w:before="0" w:line="240" w:lineRule="auto"/>
              <w:rPr>
                <w:rFonts w:ascii="Open Sans SemiBold" w:hAnsi="Open Sans SemiBold" w:cs="Open Sans SemiBold"/>
                <w:color w:val="000000"/>
                <w:sz w:val="16"/>
                <w:szCs w:val="16"/>
              </w:rPr>
            </w:pPr>
            <w:r>
              <w:rPr>
                <w:rFonts w:ascii="Open Sans SemiBold" w:hAnsi="Open Sans SemiBold" w:cs="Open Sans SemiBold"/>
                <w:color w:val="000000"/>
                <w:sz w:val="16"/>
                <w:szCs w:val="16"/>
              </w:rPr>
              <w:t xml:space="preserve">Total </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7C6068B"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26.9</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2F5CABB"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14.8</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A6F2DB0"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17.8</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638BD44"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23.6</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9C184CA"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9.4</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00FFDDE"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0.0</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08B083C"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0.0</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0C7D6CA"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7.5</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D87D9ED" w14:textId="77777777" w:rsidR="007E365E" w:rsidRDefault="007E365E" w:rsidP="007D1D77">
            <w:pPr>
              <w:spacing w:before="0" w:line="240" w:lineRule="auto"/>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100.0</w:t>
            </w:r>
          </w:p>
        </w:tc>
      </w:tr>
    </w:tbl>
    <w:p w14:paraId="1A412071" w14:textId="77777777" w:rsidR="007E365E" w:rsidRPr="00E23377" w:rsidRDefault="007E365E" w:rsidP="007E365E">
      <w:pPr>
        <w:pStyle w:val="CGCTablenote"/>
        <w:keepNext/>
        <w:keepLines/>
      </w:pPr>
      <w:r w:rsidRPr="00E23377">
        <w:t>Source:</w:t>
      </w:r>
      <w:r w:rsidRPr="00E23377">
        <w:tab/>
        <w:t>National Transport Commission expenditure data, 201</w:t>
      </w:r>
      <w:r>
        <w:t>8</w:t>
      </w:r>
      <w:r w:rsidRPr="00E23377">
        <w:t>-1</w:t>
      </w:r>
      <w:r>
        <w:t>9</w:t>
      </w:r>
      <w:r w:rsidRPr="00E23377">
        <w:t>.</w:t>
      </w:r>
    </w:p>
    <w:p w14:paraId="4F864CCB" w14:textId="77777777" w:rsidR="007E365E" w:rsidRPr="00E23377" w:rsidRDefault="007E365E" w:rsidP="007E365E">
      <w:pPr>
        <w:pStyle w:val="CGCParaNumber"/>
      </w:pPr>
      <w:r w:rsidRPr="00E23377">
        <w:t xml:space="preserve">Information from States indicates that only a small portion of spending reported against H3, H4 and H5 categories, primarily that of the Northern Territory, relate to the maintenance of local roads in unincorporated areas, or in local government areas where there is insufficient population for local governments to support road maintenance. There may also be some spending in Western Australia and South Australia. </w:t>
      </w:r>
    </w:p>
    <w:p w14:paraId="6E3CD4FF" w14:textId="77777777" w:rsidR="007E365E" w:rsidRPr="00CC550F" w:rsidRDefault="007E365E" w:rsidP="007E365E">
      <w:pPr>
        <w:pStyle w:val="CGCParaNumber"/>
      </w:pPr>
      <w:r w:rsidRPr="00CC550F">
        <w:t xml:space="preserve">State spending classified to the H3 category and, for the Northern Territory, to the H5 category in 2018-19 was $37 million, similar to that of previous years ($36 million in 2016-17 and $34 million in 2017-18). For the 2015 Review local roads assessment to be material for one State at $35 per capita, total State spending would need to be almost $90 million. At the current level of spending, the Northern Territory has the highest per capita redistribution (about $14 per capita). </w:t>
      </w:r>
    </w:p>
    <w:p w14:paraId="2EC41EE4" w14:textId="77777777" w:rsidR="007E365E" w:rsidRPr="00E23377" w:rsidRDefault="007E365E" w:rsidP="007E365E">
      <w:pPr>
        <w:pStyle w:val="CGCParaNumber"/>
      </w:pPr>
      <w:r w:rsidRPr="00E23377">
        <w:t>The Commission considers that this reallocation of H3, H4 and H5 expenses proportionately across rural and urban road sub</w:t>
      </w:r>
      <w:r w:rsidRPr="00E23377">
        <w:noBreakHyphen/>
        <w:t xml:space="preserve">components appropriately recognises State needs. The Northern Territory is the only State with substantial per capita spending on local roads in unincorporated and sparsely populated areas. Its relative rural road length needs are similar to those of the 2015 Review local roads assessment. </w:t>
      </w:r>
    </w:p>
    <w:p w14:paraId="34E1EC2B" w14:textId="77777777" w:rsidR="007E365E" w:rsidRPr="00E23377" w:rsidRDefault="007E365E" w:rsidP="007E365E">
      <w:pPr>
        <w:pStyle w:val="CGCParaNumber"/>
      </w:pPr>
      <w:r w:rsidRPr="00E23377">
        <w:t xml:space="preserve">Only Western Australia opposed the discontinuation of the local roads assessment. It said the Commission’s explanation for discontinuing the assessment is insufficient. The preceding paragraphs provide </w:t>
      </w:r>
      <w:r>
        <w:t>further</w:t>
      </w:r>
      <w:r w:rsidRPr="00E23377">
        <w:t xml:space="preserve"> explanation of the Commission’s reasoning. To summarise, the main reasons for not retaining the local roads assessment are: </w:t>
      </w:r>
    </w:p>
    <w:p w14:paraId="5A2DF135" w14:textId="77777777" w:rsidR="007E365E" w:rsidRPr="00E23377" w:rsidRDefault="007E365E" w:rsidP="007E365E">
      <w:pPr>
        <w:pStyle w:val="CGCBullet1"/>
      </w:pPr>
      <w:r w:rsidRPr="00E23377">
        <w:lastRenderedPageBreak/>
        <w:t>the higher levels of H4 and H5 spending in a few States appear to be affected by differences in how States classify roads</w:t>
      </w:r>
    </w:p>
    <w:p w14:paraId="2F8B51F3" w14:textId="77777777" w:rsidR="007E365E" w:rsidRPr="00E23377" w:rsidRDefault="007E365E" w:rsidP="007E365E">
      <w:pPr>
        <w:pStyle w:val="CGCBullet1"/>
      </w:pPr>
      <w:r w:rsidRPr="00E23377">
        <w:t>the States with higher levels of spending in these categories are assessed to have above average rural road disabilities, which would go some way to capturing local road needs</w:t>
      </w:r>
    </w:p>
    <w:p w14:paraId="0ED3AD00" w14:textId="77777777" w:rsidR="007E365E" w:rsidRPr="00E23377" w:rsidRDefault="007E365E" w:rsidP="007E365E">
      <w:pPr>
        <w:pStyle w:val="CGCBullet1"/>
      </w:pPr>
      <w:r w:rsidRPr="00E23377">
        <w:t>a separate local roads assessment applied only to State roads expenses in unincorporated areas or where there is insufficient population for the local government to support road maintenance would be immaterial.</w:t>
      </w:r>
    </w:p>
    <w:p w14:paraId="69A084AE" w14:textId="77777777" w:rsidR="007E365E" w:rsidRPr="00E23377" w:rsidRDefault="007E365E" w:rsidP="007E365E">
      <w:pPr>
        <w:pStyle w:val="CGCParaNumber"/>
      </w:pPr>
      <w:r w:rsidRPr="00E23377">
        <w:t>Queensland would have preferred that the local roads expenses be allocated to the rural road length sub-component and the Northern Territory would have preferred that they be allocated across the rural roads component. However, the Commission considers that reallocating the expenses proportionately across the rural and urban road sub-components reflects where spending is occurring and appropriately recognises State needs.</w:t>
      </w:r>
    </w:p>
    <w:p w14:paraId="4E0F0371" w14:textId="77777777" w:rsidR="007E365E" w:rsidRPr="00E23377" w:rsidRDefault="007E365E" w:rsidP="007E365E">
      <w:pPr>
        <w:pStyle w:val="CGCParaNumber"/>
      </w:pPr>
      <w:r w:rsidRPr="00E23377">
        <w:t xml:space="preserve">Victoria recommended that the Commission use State actual kilometres for local roads, with an appropriate and consistent definition of local roads, as the basis of determining local road length. There is no consistent definition of local roads to support such an assessment. </w:t>
      </w:r>
    </w:p>
    <w:p w14:paraId="3103E609" w14:textId="77777777" w:rsidR="007E365E" w:rsidRPr="00E23377" w:rsidRDefault="007E365E" w:rsidP="007E365E">
      <w:pPr>
        <w:pStyle w:val="Heading4"/>
      </w:pPr>
      <w:bookmarkStart w:id="219" w:name="_Toc5030072"/>
      <w:bookmarkStart w:id="220" w:name="_Toc4754282"/>
      <w:bookmarkStart w:id="221" w:name="_Toc5030083"/>
      <w:r w:rsidRPr="00E23377">
        <w:t>Other services expenses</w:t>
      </w:r>
      <w:bookmarkEnd w:id="219"/>
    </w:p>
    <w:p w14:paraId="7D9CB4E4" w14:textId="77777777" w:rsidR="007E365E" w:rsidRPr="00E23377" w:rsidRDefault="007E365E" w:rsidP="007E365E">
      <w:pPr>
        <w:pStyle w:val="CGCParaNumber"/>
      </w:pPr>
      <w:r w:rsidRPr="00E23377">
        <w:t xml:space="preserve">Other roads services cover expenses on corporate services, vehicle registration and driver licensing (NTC category G expenses). These expenses were assessed EPC in the 2015 Review because a simple and material assessment could not be identified. </w:t>
      </w:r>
    </w:p>
    <w:p w14:paraId="7FD495EC" w14:textId="77777777" w:rsidR="007E365E" w:rsidRPr="00E23377" w:rsidRDefault="007E365E" w:rsidP="007E365E">
      <w:pPr>
        <w:pStyle w:val="CGCParaNumber"/>
      </w:pPr>
      <w:r w:rsidRPr="00E23377">
        <w:t>The Commission has reallocated roads corporate services, vehicle registration and driver licensing expenses to all roads components on a proportional basis. New South Wales, Victoria and the ACT did not support this approach. These States said there was no relationship between these expenses and the drivers of road maintenance expenses.</w:t>
      </w:r>
    </w:p>
    <w:p w14:paraId="19886BC2" w14:textId="77777777" w:rsidR="007E365E" w:rsidRPr="00E23377" w:rsidRDefault="007E365E" w:rsidP="007E365E">
      <w:pPr>
        <w:pStyle w:val="CGCParaNumber"/>
      </w:pPr>
      <w:r w:rsidRPr="00E23377">
        <w:t>Reallocating other expenses will ensure that these expenses in the Roads category are treated in the same way as similar expenses in other categories. The Commission considers that expenses on corporate services and regulation are influenced by the same disabilities as those that affect service delivery expenses. As Queensland noted, fixed costs are already captured in the administrative scale assessment, and as such it is conceptually sound that the remaining head office type costs are allocated proportionally to the road category components.</w:t>
      </w:r>
    </w:p>
    <w:p w14:paraId="219AB00B" w14:textId="77777777" w:rsidR="007E365E" w:rsidRPr="00E23377" w:rsidRDefault="007E365E" w:rsidP="007E365E">
      <w:pPr>
        <w:pStyle w:val="CGCParaNumber"/>
      </w:pPr>
      <w:r w:rsidRPr="00E23377">
        <w:t xml:space="preserve">Other States agreed with this approach or did not comment. </w:t>
      </w:r>
    </w:p>
    <w:bookmarkEnd w:id="220"/>
    <w:bookmarkEnd w:id="221"/>
    <w:p w14:paraId="4660632C" w14:textId="29F8E528" w:rsidR="007E365E" w:rsidRPr="00E23377" w:rsidRDefault="007E365E" w:rsidP="007E365E">
      <w:pPr>
        <w:pStyle w:val="Heading4"/>
      </w:pPr>
      <w:r w:rsidRPr="00E23377">
        <w:t>Physical environment</w:t>
      </w:r>
      <w:bookmarkEnd w:id="215"/>
      <w:bookmarkEnd w:id="216"/>
    </w:p>
    <w:p w14:paraId="7AC96C44" w14:textId="77777777" w:rsidR="007E365E" w:rsidRPr="00E23377" w:rsidRDefault="007E365E" w:rsidP="007E365E">
      <w:pPr>
        <w:pStyle w:val="CGCParaNumber"/>
      </w:pPr>
      <w:r w:rsidRPr="00E23377">
        <w:t xml:space="preserve">Evidence shows that the physical environment does affect the cost of roads maintenance. However, the impact has proven difficult to measure. For example, a consultant employed by the Commission during the 2015 Review was unable to develop a measure of needs that would capture all the relevant physical environment influences. However, the inclusion of the </w:t>
      </w:r>
      <w:r>
        <w:t>Rawlinson</w:t>
      </w:r>
      <w:r w:rsidRPr="00E23377">
        <w:t xml:space="preserve">s index in the </w:t>
      </w:r>
      <w:r>
        <w:t>I</w:t>
      </w:r>
      <w:r w:rsidRPr="00E23377">
        <w:t>nvestment assessment provides some recognition of physical environment effects.</w:t>
      </w:r>
    </w:p>
    <w:p w14:paraId="1C4B7261" w14:textId="77777777" w:rsidR="007E365E" w:rsidRPr="00E23377" w:rsidRDefault="007E365E" w:rsidP="007E365E">
      <w:pPr>
        <w:pStyle w:val="CGCParaNumber"/>
      </w:pPr>
      <w:r w:rsidRPr="00E23377">
        <w:t>Queensland said that the Commission should further consider and employ additional methods, expert advice or data (including State provided data) in arriving at a differential assessment for physical environment expenses.</w:t>
      </w:r>
    </w:p>
    <w:p w14:paraId="156FA884" w14:textId="77777777" w:rsidR="007E365E" w:rsidRPr="00E23377" w:rsidRDefault="007E365E" w:rsidP="007E365E">
      <w:pPr>
        <w:pStyle w:val="CGCParaNumber"/>
      </w:pPr>
      <w:r w:rsidRPr="00E23377">
        <w:lastRenderedPageBreak/>
        <w:t>The Northern Territory said that the consultant’s report provides a sound basis for the development of a physical environment disability.</w:t>
      </w:r>
    </w:p>
    <w:p w14:paraId="77A0890C" w14:textId="77777777" w:rsidR="007E365E" w:rsidRPr="00E23377" w:rsidRDefault="007E365E" w:rsidP="007E365E">
      <w:pPr>
        <w:pStyle w:val="CGCParaNumber"/>
      </w:pPr>
      <w:r w:rsidRPr="00E23377">
        <w:t>The Commission notes that the measure developed by the consultant in the 2015 Review could not capture all the relevant physical environment influences and considers that further attempts at measuring the impact of physical environment are not likely to deliver an improved outcome. As a result, the Commission did not pursue this issue in the 2020 Review.</w:t>
      </w:r>
    </w:p>
    <w:p w14:paraId="64B67AEE" w14:textId="77777777" w:rsidR="007E365E" w:rsidRPr="00E23377" w:rsidRDefault="007E365E" w:rsidP="007E365E">
      <w:pPr>
        <w:pStyle w:val="Heading3"/>
      </w:pPr>
      <w:r w:rsidRPr="00E23377">
        <w:t xml:space="preserve">Effect on the GST distribution </w:t>
      </w:r>
    </w:p>
    <w:p w14:paraId="4796FA1E" w14:textId="26A8D05B" w:rsidR="007E365E" w:rsidRPr="00E23377" w:rsidRDefault="007E365E" w:rsidP="007E365E">
      <w:pPr>
        <w:pStyle w:val="CGCParaNumber"/>
      </w:pPr>
      <w:r>
        <w:fldChar w:fldCharType="begin"/>
      </w:r>
      <w:r>
        <w:instrText xml:space="preserve"> REF _Ref32845704 \h </w:instrText>
      </w:r>
      <w:r>
        <w:fldChar w:fldCharType="separate"/>
      </w:r>
      <w:r w:rsidR="007F721A" w:rsidRPr="00E23377">
        <w:t xml:space="preserve">Table </w:t>
      </w:r>
      <w:r w:rsidR="007F721A">
        <w:t>20-</w:t>
      </w:r>
      <w:r w:rsidR="007F721A">
        <w:rPr>
          <w:noProof/>
        </w:rPr>
        <w:t>29</w:t>
      </w:r>
      <w:r>
        <w:fldChar w:fldCharType="end"/>
      </w:r>
      <w:r w:rsidRPr="00E23377">
        <w:t xml:space="preserve"> shows the extent to which the assessment for this category moves the distribution of GST away from an equal per capita distribution. States with a positive redistribution are assessed to have above average spending requirements and States with a negative redistribution are assessed to have below average spending requirements. In per</w:t>
      </w:r>
      <w:r>
        <w:t> </w:t>
      </w:r>
      <w:r w:rsidRPr="00E23377">
        <w:t>capita terms, Western Australia, the ACT and the Northern Territory experience the largest redistributions.</w:t>
      </w:r>
    </w:p>
    <w:p w14:paraId="06061BD5" w14:textId="61BC1BE5" w:rsidR="007E365E" w:rsidRDefault="007E365E" w:rsidP="007E365E">
      <w:pPr>
        <w:pStyle w:val="Caption"/>
      </w:pPr>
      <w:bookmarkStart w:id="222" w:name="_Ref32845704"/>
      <w:r w:rsidRPr="00E23377">
        <w:t xml:space="preserve">Table </w:t>
      </w:r>
      <w:r>
        <w:t>20-</w:t>
      </w:r>
      <w:fldSimple w:instr=" SEQ Table \* ARABIC ">
        <w:r w:rsidR="007F721A">
          <w:rPr>
            <w:noProof/>
          </w:rPr>
          <w:t>29</w:t>
        </w:r>
      </w:fldSimple>
      <w:bookmarkEnd w:id="222"/>
      <w:r w:rsidRPr="00E23377">
        <w:tab/>
      </w:r>
      <w:r>
        <w:t>Illustrative r</w:t>
      </w:r>
      <w:r w:rsidRPr="00E23377">
        <w:t xml:space="preserve">edistribution from an EPC assessment, Roads expenses, </w:t>
      </w:r>
      <w:r>
        <w:t>2020</w:t>
      </w:r>
      <w:r>
        <w:noBreakHyphen/>
        <w:t>21</w:t>
      </w:r>
    </w:p>
    <w:tbl>
      <w:tblPr>
        <w:tblW w:w="8980" w:type="dxa"/>
        <w:tblCellMar>
          <w:left w:w="0" w:type="dxa"/>
          <w:right w:w="28" w:type="dxa"/>
        </w:tblCellMar>
        <w:tblLook w:val="04A0" w:firstRow="1" w:lastRow="0" w:firstColumn="1" w:lastColumn="0" w:noHBand="0" w:noVBand="1"/>
      </w:tblPr>
      <w:tblGrid>
        <w:gridCol w:w="2088"/>
        <w:gridCol w:w="868"/>
        <w:gridCol w:w="728"/>
        <w:gridCol w:w="768"/>
        <w:gridCol w:w="768"/>
        <w:gridCol w:w="668"/>
        <w:gridCol w:w="768"/>
        <w:gridCol w:w="768"/>
        <w:gridCol w:w="688"/>
        <w:gridCol w:w="948"/>
      </w:tblGrid>
      <w:tr w:rsidR="007E365E" w14:paraId="111CEE75" w14:textId="77777777" w:rsidTr="007D1D77">
        <w:trPr>
          <w:trHeight w:val="383"/>
        </w:trPr>
        <w:tc>
          <w:tcPr>
            <w:tcW w:w="2080" w:type="dxa"/>
            <w:tcBorders>
              <w:top w:val="single" w:sz="4" w:space="0" w:color="ADD6EA"/>
              <w:left w:val="nil"/>
              <w:bottom w:val="single" w:sz="4" w:space="0" w:color="ADD6EA"/>
              <w:right w:val="nil"/>
            </w:tcBorders>
            <w:shd w:val="clear" w:color="000000" w:fill="006991"/>
            <w:vAlign w:val="center"/>
            <w:hideMark/>
          </w:tcPr>
          <w:p w14:paraId="33666012" w14:textId="77777777" w:rsidR="007E365E" w:rsidRPr="00260B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0BA5">
              <w:rPr>
                <w:rFonts w:ascii="Open Sans SemiBold" w:eastAsia="Times New Roman" w:hAnsi="Open Sans SemiBold" w:cs="Open Sans SemiBold"/>
                <w:color w:val="FFFFFF"/>
                <w:sz w:val="16"/>
                <w:szCs w:val="16"/>
                <w:lang w:eastAsia="en-AU"/>
              </w:rPr>
              <w:t> </w:t>
            </w:r>
          </w:p>
        </w:tc>
        <w:tc>
          <w:tcPr>
            <w:tcW w:w="860" w:type="dxa"/>
            <w:tcBorders>
              <w:top w:val="single" w:sz="4" w:space="0" w:color="ADD6EA"/>
              <w:left w:val="nil"/>
              <w:bottom w:val="single" w:sz="4" w:space="0" w:color="ADD6EA"/>
              <w:right w:val="nil"/>
            </w:tcBorders>
            <w:shd w:val="clear" w:color="000000" w:fill="006991"/>
            <w:vAlign w:val="center"/>
            <w:hideMark/>
          </w:tcPr>
          <w:p w14:paraId="79805406" w14:textId="77777777" w:rsidR="007E365E" w:rsidRPr="00260B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0BA5">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vAlign w:val="center"/>
            <w:hideMark/>
          </w:tcPr>
          <w:p w14:paraId="4B2460F1" w14:textId="77777777" w:rsidR="007E365E" w:rsidRPr="00260B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0BA5">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vAlign w:val="center"/>
            <w:hideMark/>
          </w:tcPr>
          <w:p w14:paraId="4DA7D3A5" w14:textId="77777777" w:rsidR="007E365E" w:rsidRPr="00260B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0BA5">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vAlign w:val="center"/>
            <w:hideMark/>
          </w:tcPr>
          <w:p w14:paraId="3A6F2F78" w14:textId="77777777" w:rsidR="007E365E" w:rsidRPr="00260B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0BA5">
              <w:rPr>
                <w:rFonts w:ascii="Open Sans SemiBold" w:eastAsia="Times New Roman" w:hAnsi="Open Sans SemiBold" w:cs="Open Sans SemiBold"/>
                <w:color w:val="FFFFFF"/>
                <w:sz w:val="16"/>
                <w:szCs w:val="16"/>
                <w:lang w:eastAsia="en-AU"/>
              </w:rPr>
              <w:t>WA</w:t>
            </w:r>
          </w:p>
        </w:tc>
        <w:tc>
          <w:tcPr>
            <w:tcW w:w="660" w:type="dxa"/>
            <w:tcBorders>
              <w:top w:val="single" w:sz="4" w:space="0" w:color="ADD6EA"/>
              <w:left w:val="nil"/>
              <w:bottom w:val="single" w:sz="4" w:space="0" w:color="ADD6EA"/>
              <w:right w:val="nil"/>
            </w:tcBorders>
            <w:shd w:val="clear" w:color="000000" w:fill="006991"/>
            <w:vAlign w:val="center"/>
            <w:hideMark/>
          </w:tcPr>
          <w:p w14:paraId="567CCFDB" w14:textId="77777777" w:rsidR="007E365E" w:rsidRPr="00260B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0BA5">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vAlign w:val="center"/>
            <w:hideMark/>
          </w:tcPr>
          <w:p w14:paraId="0D3EE66B" w14:textId="77777777" w:rsidR="007E365E" w:rsidRPr="00260B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0BA5">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vAlign w:val="center"/>
            <w:hideMark/>
          </w:tcPr>
          <w:p w14:paraId="411A52E4" w14:textId="77777777" w:rsidR="007E365E" w:rsidRPr="00260B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0BA5">
              <w:rPr>
                <w:rFonts w:ascii="Open Sans SemiBold" w:eastAsia="Times New Roman" w:hAnsi="Open Sans SemiBold" w:cs="Open Sans SemiBold"/>
                <w:color w:val="FFFFFF"/>
                <w:sz w:val="16"/>
                <w:szCs w:val="16"/>
                <w:lang w:eastAsia="en-AU"/>
              </w:rPr>
              <w:t>ACT</w:t>
            </w:r>
          </w:p>
        </w:tc>
        <w:tc>
          <w:tcPr>
            <w:tcW w:w="680" w:type="dxa"/>
            <w:tcBorders>
              <w:top w:val="single" w:sz="4" w:space="0" w:color="ADD6EA"/>
              <w:left w:val="nil"/>
              <w:bottom w:val="single" w:sz="4" w:space="0" w:color="ADD6EA"/>
              <w:right w:val="nil"/>
            </w:tcBorders>
            <w:shd w:val="clear" w:color="000000" w:fill="006991"/>
            <w:vAlign w:val="center"/>
            <w:hideMark/>
          </w:tcPr>
          <w:p w14:paraId="29EABB43" w14:textId="77777777" w:rsidR="007E365E" w:rsidRPr="00260B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0BA5">
              <w:rPr>
                <w:rFonts w:ascii="Open Sans SemiBold" w:eastAsia="Times New Roman" w:hAnsi="Open Sans SemiBold" w:cs="Open Sans SemiBold"/>
                <w:color w:val="FFFFFF"/>
                <w:sz w:val="16"/>
                <w:szCs w:val="16"/>
                <w:lang w:eastAsia="en-AU"/>
              </w:rPr>
              <w:t>NT</w:t>
            </w:r>
          </w:p>
        </w:tc>
        <w:tc>
          <w:tcPr>
            <w:tcW w:w="940" w:type="dxa"/>
            <w:tcBorders>
              <w:top w:val="single" w:sz="4" w:space="0" w:color="ADD6EA"/>
              <w:left w:val="nil"/>
              <w:bottom w:val="single" w:sz="4" w:space="0" w:color="ADD6EA"/>
              <w:right w:val="nil"/>
            </w:tcBorders>
            <w:shd w:val="clear" w:color="000000" w:fill="006991"/>
            <w:vAlign w:val="center"/>
            <w:hideMark/>
          </w:tcPr>
          <w:p w14:paraId="2D1EC94A" w14:textId="77777777" w:rsidR="007E365E" w:rsidRPr="00260B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0BA5">
              <w:rPr>
                <w:rFonts w:ascii="Open Sans SemiBold" w:eastAsia="Times New Roman" w:hAnsi="Open Sans SemiBold" w:cs="Open Sans SemiBold"/>
                <w:color w:val="FFFFFF"/>
                <w:sz w:val="16"/>
                <w:szCs w:val="16"/>
                <w:lang w:eastAsia="en-AU"/>
              </w:rPr>
              <w:t>Redist</w:t>
            </w:r>
          </w:p>
        </w:tc>
      </w:tr>
      <w:tr w:rsidR="007E365E" w14:paraId="30397251" w14:textId="77777777" w:rsidTr="007D1D77">
        <w:trPr>
          <w:trHeight w:val="315"/>
        </w:trPr>
        <w:tc>
          <w:tcPr>
            <w:tcW w:w="2080" w:type="dxa"/>
            <w:tcBorders>
              <w:top w:val="nil"/>
              <w:left w:val="nil"/>
              <w:bottom w:val="single" w:sz="4" w:space="0" w:color="ADD6EA"/>
              <w:right w:val="nil"/>
            </w:tcBorders>
            <w:shd w:val="clear" w:color="auto" w:fill="auto"/>
            <w:noWrap/>
            <w:vAlign w:val="bottom"/>
            <w:hideMark/>
          </w:tcPr>
          <w:p w14:paraId="1DF4B86D" w14:textId="77777777" w:rsidR="007E365E" w:rsidRPr="00260BA5" w:rsidRDefault="007E365E" w:rsidP="007D1D77">
            <w:pPr>
              <w:tabs>
                <w:tab w:val="clear" w:pos="567"/>
              </w:tabs>
              <w:spacing w:before="0" w:line="240" w:lineRule="auto"/>
              <w:rPr>
                <w:rFonts w:eastAsia="Times New Roman" w:cs="Open Sans Light"/>
                <w:sz w:val="16"/>
                <w:szCs w:val="16"/>
                <w:lang w:eastAsia="en-AU"/>
              </w:rPr>
            </w:pPr>
            <w:r w:rsidRPr="00260BA5">
              <w:rPr>
                <w:rFonts w:eastAsia="Times New Roman" w:cs="Open Sans Light"/>
                <w:sz w:val="16"/>
                <w:szCs w:val="16"/>
                <w:lang w:eastAsia="en-AU"/>
              </w:rPr>
              <w:t>$ million</w:t>
            </w:r>
          </w:p>
        </w:tc>
        <w:tc>
          <w:tcPr>
            <w:tcW w:w="860" w:type="dxa"/>
            <w:tcBorders>
              <w:top w:val="nil"/>
              <w:left w:val="nil"/>
              <w:bottom w:val="single" w:sz="4" w:space="0" w:color="ADD6EA"/>
              <w:right w:val="nil"/>
            </w:tcBorders>
            <w:shd w:val="clear" w:color="auto" w:fill="auto"/>
            <w:noWrap/>
            <w:vAlign w:val="bottom"/>
            <w:hideMark/>
          </w:tcPr>
          <w:p w14:paraId="5053F0BC"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-194</w:t>
            </w:r>
          </w:p>
        </w:tc>
        <w:tc>
          <w:tcPr>
            <w:tcW w:w="720" w:type="dxa"/>
            <w:tcBorders>
              <w:top w:val="nil"/>
              <w:left w:val="nil"/>
              <w:bottom w:val="single" w:sz="4" w:space="0" w:color="ADD6EA"/>
              <w:right w:val="nil"/>
            </w:tcBorders>
            <w:shd w:val="clear" w:color="auto" w:fill="auto"/>
            <w:noWrap/>
            <w:vAlign w:val="bottom"/>
            <w:hideMark/>
          </w:tcPr>
          <w:p w14:paraId="3F472C8C"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-281</w:t>
            </w:r>
          </w:p>
        </w:tc>
        <w:tc>
          <w:tcPr>
            <w:tcW w:w="760" w:type="dxa"/>
            <w:tcBorders>
              <w:top w:val="nil"/>
              <w:left w:val="nil"/>
              <w:bottom w:val="single" w:sz="4" w:space="0" w:color="ADD6EA"/>
              <w:right w:val="nil"/>
            </w:tcBorders>
            <w:shd w:val="clear" w:color="auto" w:fill="auto"/>
            <w:noWrap/>
            <w:vAlign w:val="bottom"/>
            <w:hideMark/>
          </w:tcPr>
          <w:p w14:paraId="2884BEF1"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192</w:t>
            </w:r>
          </w:p>
        </w:tc>
        <w:tc>
          <w:tcPr>
            <w:tcW w:w="760" w:type="dxa"/>
            <w:tcBorders>
              <w:top w:val="nil"/>
              <w:left w:val="nil"/>
              <w:bottom w:val="single" w:sz="4" w:space="0" w:color="ADD6EA"/>
              <w:right w:val="nil"/>
            </w:tcBorders>
            <w:shd w:val="clear" w:color="auto" w:fill="auto"/>
            <w:noWrap/>
            <w:vAlign w:val="bottom"/>
            <w:hideMark/>
          </w:tcPr>
          <w:p w14:paraId="079DF35A"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161</w:t>
            </w:r>
          </w:p>
        </w:tc>
        <w:tc>
          <w:tcPr>
            <w:tcW w:w="660" w:type="dxa"/>
            <w:tcBorders>
              <w:top w:val="nil"/>
              <w:left w:val="nil"/>
              <w:bottom w:val="single" w:sz="4" w:space="0" w:color="ADD6EA"/>
              <w:right w:val="nil"/>
            </w:tcBorders>
            <w:shd w:val="clear" w:color="auto" w:fill="auto"/>
            <w:noWrap/>
            <w:vAlign w:val="bottom"/>
            <w:hideMark/>
          </w:tcPr>
          <w:p w14:paraId="518D8854"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79</w:t>
            </w:r>
          </w:p>
        </w:tc>
        <w:tc>
          <w:tcPr>
            <w:tcW w:w="760" w:type="dxa"/>
            <w:tcBorders>
              <w:top w:val="nil"/>
              <w:left w:val="nil"/>
              <w:bottom w:val="single" w:sz="4" w:space="0" w:color="ADD6EA"/>
              <w:right w:val="nil"/>
            </w:tcBorders>
            <w:shd w:val="clear" w:color="auto" w:fill="auto"/>
            <w:noWrap/>
            <w:vAlign w:val="bottom"/>
            <w:hideMark/>
          </w:tcPr>
          <w:p w14:paraId="3DB3E70B"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10</w:t>
            </w:r>
          </w:p>
        </w:tc>
        <w:tc>
          <w:tcPr>
            <w:tcW w:w="760" w:type="dxa"/>
            <w:tcBorders>
              <w:top w:val="nil"/>
              <w:left w:val="nil"/>
              <w:bottom w:val="single" w:sz="4" w:space="0" w:color="ADD6EA"/>
              <w:right w:val="nil"/>
            </w:tcBorders>
            <w:shd w:val="clear" w:color="auto" w:fill="auto"/>
            <w:noWrap/>
            <w:vAlign w:val="bottom"/>
            <w:hideMark/>
          </w:tcPr>
          <w:p w14:paraId="39B35362"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-63</w:t>
            </w:r>
          </w:p>
        </w:tc>
        <w:tc>
          <w:tcPr>
            <w:tcW w:w="680" w:type="dxa"/>
            <w:tcBorders>
              <w:top w:val="nil"/>
              <w:left w:val="nil"/>
              <w:bottom w:val="single" w:sz="4" w:space="0" w:color="ADD6EA"/>
              <w:right w:val="nil"/>
            </w:tcBorders>
            <w:shd w:val="clear" w:color="auto" w:fill="auto"/>
            <w:noWrap/>
            <w:vAlign w:val="bottom"/>
            <w:hideMark/>
          </w:tcPr>
          <w:p w14:paraId="2F92ADE5"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95</w:t>
            </w:r>
          </w:p>
        </w:tc>
        <w:tc>
          <w:tcPr>
            <w:tcW w:w="940" w:type="dxa"/>
            <w:tcBorders>
              <w:top w:val="nil"/>
              <w:left w:val="nil"/>
              <w:bottom w:val="single" w:sz="4" w:space="0" w:color="ADD6EA"/>
              <w:right w:val="nil"/>
            </w:tcBorders>
            <w:shd w:val="clear" w:color="auto" w:fill="auto"/>
            <w:noWrap/>
            <w:vAlign w:val="bottom"/>
            <w:hideMark/>
          </w:tcPr>
          <w:p w14:paraId="2925F51F"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537</w:t>
            </w:r>
          </w:p>
        </w:tc>
      </w:tr>
      <w:tr w:rsidR="007E365E" w14:paraId="5323F28C" w14:textId="77777777" w:rsidTr="007D1D77">
        <w:trPr>
          <w:trHeight w:val="315"/>
        </w:trPr>
        <w:tc>
          <w:tcPr>
            <w:tcW w:w="2080" w:type="dxa"/>
            <w:tcBorders>
              <w:top w:val="nil"/>
              <w:left w:val="nil"/>
              <w:bottom w:val="single" w:sz="4" w:space="0" w:color="ADD6EA"/>
              <w:right w:val="nil"/>
            </w:tcBorders>
            <w:shd w:val="clear" w:color="auto" w:fill="auto"/>
            <w:noWrap/>
            <w:vAlign w:val="bottom"/>
            <w:hideMark/>
          </w:tcPr>
          <w:p w14:paraId="26E34EEA" w14:textId="77777777" w:rsidR="007E365E" w:rsidRPr="00260BA5" w:rsidRDefault="007E365E" w:rsidP="007D1D77">
            <w:pPr>
              <w:tabs>
                <w:tab w:val="clear" w:pos="567"/>
              </w:tabs>
              <w:spacing w:before="0" w:line="240" w:lineRule="auto"/>
              <w:rPr>
                <w:rFonts w:eastAsia="Times New Roman" w:cs="Open Sans Light"/>
                <w:sz w:val="16"/>
                <w:szCs w:val="16"/>
                <w:lang w:eastAsia="en-AU"/>
              </w:rPr>
            </w:pPr>
            <w:r w:rsidRPr="00260BA5">
              <w:rPr>
                <w:rFonts w:eastAsia="Times New Roman" w:cs="Open Sans Light"/>
                <w:sz w:val="16"/>
                <w:szCs w:val="16"/>
                <w:lang w:eastAsia="en-AU"/>
              </w:rPr>
              <w:t>$ per capita</w:t>
            </w:r>
          </w:p>
        </w:tc>
        <w:tc>
          <w:tcPr>
            <w:tcW w:w="860" w:type="dxa"/>
            <w:tcBorders>
              <w:top w:val="nil"/>
              <w:left w:val="nil"/>
              <w:bottom w:val="single" w:sz="4" w:space="0" w:color="ADD6EA"/>
              <w:right w:val="nil"/>
            </w:tcBorders>
            <w:shd w:val="clear" w:color="auto" w:fill="auto"/>
            <w:noWrap/>
            <w:vAlign w:val="bottom"/>
            <w:hideMark/>
          </w:tcPr>
          <w:p w14:paraId="79573767"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-23</w:t>
            </w:r>
          </w:p>
        </w:tc>
        <w:tc>
          <w:tcPr>
            <w:tcW w:w="720" w:type="dxa"/>
            <w:tcBorders>
              <w:top w:val="nil"/>
              <w:left w:val="nil"/>
              <w:bottom w:val="single" w:sz="4" w:space="0" w:color="ADD6EA"/>
              <w:right w:val="nil"/>
            </w:tcBorders>
            <w:shd w:val="clear" w:color="auto" w:fill="auto"/>
            <w:noWrap/>
            <w:vAlign w:val="bottom"/>
            <w:hideMark/>
          </w:tcPr>
          <w:p w14:paraId="21F566CD"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-41</w:t>
            </w:r>
          </w:p>
        </w:tc>
        <w:tc>
          <w:tcPr>
            <w:tcW w:w="760" w:type="dxa"/>
            <w:tcBorders>
              <w:top w:val="nil"/>
              <w:left w:val="nil"/>
              <w:bottom w:val="single" w:sz="4" w:space="0" w:color="ADD6EA"/>
              <w:right w:val="nil"/>
            </w:tcBorders>
            <w:shd w:val="clear" w:color="auto" w:fill="auto"/>
            <w:noWrap/>
            <w:vAlign w:val="bottom"/>
            <w:hideMark/>
          </w:tcPr>
          <w:p w14:paraId="5E758E07"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37</w:t>
            </w:r>
          </w:p>
        </w:tc>
        <w:tc>
          <w:tcPr>
            <w:tcW w:w="760" w:type="dxa"/>
            <w:tcBorders>
              <w:top w:val="nil"/>
              <w:left w:val="nil"/>
              <w:bottom w:val="single" w:sz="4" w:space="0" w:color="ADD6EA"/>
              <w:right w:val="nil"/>
            </w:tcBorders>
            <w:shd w:val="clear" w:color="auto" w:fill="auto"/>
            <w:noWrap/>
            <w:vAlign w:val="bottom"/>
            <w:hideMark/>
          </w:tcPr>
          <w:p w14:paraId="5ED68E4A"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61</w:t>
            </w:r>
          </w:p>
        </w:tc>
        <w:tc>
          <w:tcPr>
            <w:tcW w:w="660" w:type="dxa"/>
            <w:tcBorders>
              <w:top w:val="nil"/>
              <w:left w:val="nil"/>
              <w:bottom w:val="single" w:sz="4" w:space="0" w:color="ADD6EA"/>
              <w:right w:val="nil"/>
            </w:tcBorders>
            <w:shd w:val="clear" w:color="auto" w:fill="auto"/>
            <w:noWrap/>
            <w:vAlign w:val="bottom"/>
            <w:hideMark/>
          </w:tcPr>
          <w:p w14:paraId="681D8E5D"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45</w:t>
            </w:r>
          </w:p>
        </w:tc>
        <w:tc>
          <w:tcPr>
            <w:tcW w:w="760" w:type="dxa"/>
            <w:tcBorders>
              <w:top w:val="nil"/>
              <w:left w:val="nil"/>
              <w:bottom w:val="single" w:sz="4" w:space="0" w:color="ADD6EA"/>
              <w:right w:val="nil"/>
            </w:tcBorders>
            <w:shd w:val="clear" w:color="auto" w:fill="auto"/>
            <w:noWrap/>
            <w:vAlign w:val="bottom"/>
            <w:hideMark/>
          </w:tcPr>
          <w:p w14:paraId="50EB6BB0"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19</w:t>
            </w:r>
          </w:p>
        </w:tc>
        <w:tc>
          <w:tcPr>
            <w:tcW w:w="760" w:type="dxa"/>
            <w:tcBorders>
              <w:top w:val="nil"/>
              <w:left w:val="nil"/>
              <w:bottom w:val="single" w:sz="4" w:space="0" w:color="ADD6EA"/>
              <w:right w:val="nil"/>
            </w:tcBorders>
            <w:shd w:val="clear" w:color="auto" w:fill="auto"/>
            <w:noWrap/>
            <w:vAlign w:val="bottom"/>
            <w:hideMark/>
          </w:tcPr>
          <w:p w14:paraId="728F19F9"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-143</w:t>
            </w:r>
          </w:p>
        </w:tc>
        <w:tc>
          <w:tcPr>
            <w:tcW w:w="680" w:type="dxa"/>
            <w:tcBorders>
              <w:top w:val="nil"/>
              <w:left w:val="nil"/>
              <w:bottom w:val="single" w:sz="4" w:space="0" w:color="ADD6EA"/>
              <w:right w:val="nil"/>
            </w:tcBorders>
            <w:shd w:val="clear" w:color="auto" w:fill="auto"/>
            <w:noWrap/>
            <w:vAlign w:val="bottom"/>
            <w:hideMark/>
          </w:tcPr>
          <w:p w14:paraId="76E459E5"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386</w:t>
            </w:r>
          </w:p>
        </w:tc>
        <w:tc>
          <w:tcPr>
            <w:tcW w:w="940" w:type="dxa"/>
            <w:tcBorders>
              <w:top w:val="nil"/>
              <w:left w:val="nil"/>
              <w:bottom w:val="single" w:sz="4" w:space="0" w:color="ADD6EA"/>
              <w:right w:val="nil"/>
            </w:tcBorders>
            <w:shd w:val="clear" w:color="auto" w:fill="auto"/>
            <w:noWrap/>
            <w:vAlign w:val="bottom"/>
            <w:hideMark/>
          </w:tcPr>
          <w:p w14:paraId="31598A86" w14:textId="77777777" w:rsidR="007E365E" w:rsidRPr="00260BA5" w:rsidRDefault="007E365E" w:rsidP="007D1D77">
            <w:pPr>
              <w:tabs>
                <w:tab w:val="clear" w:pos="567"/>
              </w:tabs>
              <w:spacing w:before="0" w:line="240" w:lineRule="auto"/>
              <w:jc w:val="right"/>
              <w:rPr>
                <w:rFonts w:eastAsia="Times New Roman" w:cs="Open Sans Light"/>
                <w:sz w:val="16"/>
                <w:szCs w:val="16"/>
                <w:lang w:eastAsia="en-AU"/>
              </w:rPr>
            </w:pPr>
            <w:r w:rsidRPr="00260BA5">
              <w:rPr>
                <w:rFonts w:eastAsia="Times New Roman" w:cs="Open Sans Light"/>
                <w:sz w:val="16"/>
                <w:szCs w:val="16"/>
                <w:lang w:eastAsia="en-AU"/>
              </w:rPr>
              <w:t>21</w:t>
            </w:r>
          </w:p>
        </w:tc>
      </w:tr>
    </w:tbl>
    <w:p w14:paraId="251CC3B8" w14:textId="77777777" w:rsidR="007E365E" w:rsidRPr="00E23377" w:rsidRDefault="007E365E" w:rsidP="007E365E">
      <w:pPr>
        <w:pStyle w:val="CGCTablenote"/>
      </w:pPr>
      <w:r w:rsidRPr="00E23377">
        <w:t>Source:</w:t>
      </w:r>
      <w:r w:rsidRPr="00E23377">
        <w:tab/>
        <w:t>Commission calculation.</w:t>
      </w:r>
    </w:p>
    <w:p w14:paraId="5B8D4208" w14:textId="305EDED1" w:rsidR="007E365E" w:rsidRPr="00E23377" w:rsidRDefault="007E365E" w:rsidP="007E365E">
      <w:pPr>
        <w:pStyle w:val="CGCParaNumber"/>
      </w:pPr>
      <w:r>
        <w:fldChar w:fldCharType="begin"/>
      </w:r>
      <w:r>
        <w:instrText xml:space="preserve"> REF _Ref32848734 \h </w:instrText>
      </w:r>
      <w:r>
        <w:fldChar w:fldCharType="separate"/>
      </w:r>
      <w:r w:rsidR="007F721A" w:rsidRPr="00E23377">
        <w:t xml:space="preserve">Table </w:t>
      </w:r>
      <w:r w:rsidR="007F721A">
        <w:t>20-</w:t>
      </w:r>
      <w:r w:rsidR="007F721A">
        <w:rPr>
          <w:noProof/>
        </w:rPr>
        <w:t>30</w:t>
      </w:r>
      <w:r>
        <w:fldChar w:fldCharType="end"/>
      </w:r>
      <w:r w:rsidRPr="00E23377">
        <w:t xml:space="preserve"> provides a summary of the main disabilities contributing to the redistribution from an EPC assessment for this category. While the redistribution of the bridge and tunnel maintenance expense assessment is not material, the bridge and tunnel investment assessment is material.</w:t>
      </w:r>
    </w:p>
    <w:p w14:paraId="552B2517" w14:textId="1F67B37B" w:rsidR="007E365E" w:rsidRDefault="007E365E" w:rsidP="007E365E">
      <w:pPr>
        <w:pStyle w:val="Caption"/>
      </w:pPr>
      <w:bookmarkStart w:id="223" w:name="_Ref32848734"/>
      <w:r w:rsidRPr="00E23377">
        <w:t xml:space="preserve">Table </w:t>
      </w:r>
      <w:r>
        <w:t>20-</w:t>
      </w:r>
      <w:fldSimple w:instr=" SEQ Table \* ARABIC ">
        <w:r w:rsidR="007F721A">
          <w:rPr>
            <w:noProof/>
          </w:rPr>
          <w:t>30</w:t>
        </w:r>
      </w:fldSimple>
      <w:bookmarkEnd w:id="223"/>
      <w:r w:rsidRPr="00E23377">
        <w:tab/>
        <w:t xml:space="preserve">Major reasons for the </w:t>
      </w:r>
      <w:r>
        <w:t xml:space="preserve">illustrative </w:t>
      </w:r>
      <w:r w:rsidRPr="00E23377">
        <w:t xml:space="preserve">redistribution, Roads expenses, </w:t>
      </w:r>
      <w:r>
        <w:t>2020-21</w:t>
      </w:r>
    </w:p>
    <w:tbl>
      <w:tblPr>
        <w:tblW w:w="8980" w:type="dxa"/>
        <w:tblCellMar>
          <w:left w:w="0" w:type="dxa"/>
          <w:right w:w="28" w:type="dxa"/>
        </w:tblCellMar>
        <w:tblLook w:val="04A0" w:firstRow="1" w:lastRow="0" w:firstColumn="1" w:lastColumn="0" w:noHBand="0" w:noVBand="1"/>
      </w:tblPr>
      <w:tblGrid>
        <w:gridCol w:w="2088"/>
        <w:gridCol w:w="868"/>
        <w:gridCol w:w="728"/>
        <w:gridCol w:w="768"/>
        <w:gridCol w:w="768"/>
        <w:gridCol w:w="668"/>
        <w:gridCol w:w="768"/>
        <w:gridCol w:w="768"/>
        <w:gridCol w:w="688"/>
        <w:gridCol w:w="948"/>
      </w:tblGrid>
      <w:tr w:rsidR="007E365E" w14:paraId="35D5BB0C" w14:textId="77777777" w:rsidTr="007D1D77">
        <w:trPr>
          <w:trHeight w:val="383"/>
        </w:trPr>
        <w:tc>
          <w:tcPr>
            <w:tcW w:w="2080" w:type="dxa"/>
            <w:tcBorders>
              <w:top w:val="single" w:sz="4" w:space="0" w:color="ADD6EA"/>
              <w:left w:val="nil"/>
              <w:bottom w:val="single" w:sz="4" w:space="0" w:color="ADD6EA"/>
              <w:right w:val="nil"/>
            </w:tcBorders>
            <w:shd w:val="clear" w:color="000000" w:fill="006991"/>
            <w:vAlign w:val="center"/>
            <w:hideMark/>
          </w:tcPr>
          <w:p w14:paraId="733ACAAE"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D37EC">
              <w:rPr>
                <w:rFonts w:ascii="Open Sans SemiBold" w:eastAsia="Times New Roman" w:hAnsi="Open Sans SemiBold" w:cs="Open Sans SemiBold"/>
                <w:color w:val="FFFFFF"/>
                <w:sz w:val="16"/>
                <w:szCs w:val="16"/>
                <w:lang w:eastAsia="en-AU"/>
              </w:rPr>
              <w:t> </w:t>
            </w:r>
          </w:p>
        </w:tc>
        <w:tc>
          <w:tcPr>
            <w:tcW w:w="860" w:type="dxa"/>
            <w:tcBorders>
              <w:top w:val="single" w:sz="4" w:space="0" w:color="ADD6EA"/>
              <w:left w:val="nil"/>
              <w:bottom w:val="single" w:sz="4" w:space="0" w:color="ADD6EA"/>
              <w:right w:val="nil"/>
            </w:tcBorders>
            <w:shd w:val="clear" w:color="000000" w:fill="006991"/>
            <w:vAlign w:val="center"/>
            <w:hideMark/>
          </w:tcPr>
          <w:p w14:paraId="317E618F"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D37EC">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vAlign w:val="center"/>
            <w:hideMark/>
          </w:tcPr>
          <w:p w14:paraId="5871779A"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D37EC">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vAlign w:val="center"/>
            <w:hideMark/>
          </w:tcPr>
          <w:p w14:paraId="140621D2"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D37EC">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vAlign w:val="center"/>
            <w:hideMark/>
          </w:tcPr>
          <w:p w14:paraId="4A4C24B8"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D37EC">
              <w:rPr>
                <w:rFonts w:ascii="Open Sans SemiBold" w:eastAsia="Times New Roman" w:hAnsi="Open Sans SemiBold" w:cs="Open Sans SemiBold"/>
                <w:color w:val="FFFFFF"/>
                <w:sz w:val="16"/>
                <w:szCs w:val="16"/>
                <w:lang w:eastAsia="en-AU"/>
              </w:rPr>
              <w:t>WA</w:t>
            </w:r>
          </w:p>
        </w:tc>
        <w:tc>
          <w:tcPr>
            <w:tcW w:w="660" w:type="dxa"/>
            <w:tcBorders>
              <w:top w:val="single" w:sz="4" w:space="0" w:color="ADD6EA"/>
              <w:left w:val="nil"/>
              <w:bottom w:val="single" w:sz="4" w:space="0" w:color="ADD6EA"/>
              <w:right w:val="nil"/>
            </w:tcBorders>
            <w:shd w:val="clear" w:color="000000" w:fill="006991"/>
            <w:vAlign w:val="center"/>
            <w:hideMark/>
          </w:tcPr>
          <w:p w14:paraId="66297FDB"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D37EC">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vAlign w:val="center"/>
            <w:hideMark/>
          </w:tcPr>
          <w:p w14:paraId="611AECAB"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D37EC">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vAlign w:val="center"/>
            <w:hideMark/>
          </w:tcPr>
          <w:p w14:paraId="60F63C7A"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D37EC">
              <w:rPr>
                <w:rFonts w:ascii="Open Sans SemiBold" w:eastAsia="Times New Roman" w:hAnsi="Open Sans SemiBold" w:cs="Open Sans SemiBold"/>
                <w:color w:val="FFFFFF"/>
                <w:sz w:val="16"/>
                <w:szCs w:val="16"/>
                <w:lang w:eastAsia="en-AU"/>
              </w:rPr>
              <w:t>ACT</w:t>
            </w:r>
          </w:p>
        </w:tc>
        <w:tc>
          <w:tcPr>
            <w:tcW w:w="680" w:type="dxa"/>
            <w:tcBorders>
              <w:top w:val="single" w:sz="4" w:space="0" w:color="ADD6EA"/>
              <w:left w:val="nil"/>
              <w:bottom w:val="single" w:sz="4" w:space="0" w:color="ADD6EA"/>
              <w:right w:val="nil"/>
            </w:tcBorders>
            <w:shd w:val="clear" w:color="000000" w:fill="006991"/>
            <w:vAlign w:val="center"/>
            <w:hideMark/>
          </w:tcPr>
          <w:p w14:paraId="617B04C9"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D37EC">
              <w:rPr>
                <w:rFonts w:ascii="Open Sans SemiBold" w:eastAsia="Times New Roman" w:hAnsi="Open Sans SemiBold" w:cs="Open Sans SemiBold"/>
                <w:color w:val="FFFFFF"/>
                <w:sz w:val="16"/>
                <w:szCs w:val="16"/>
                <w:lang w:eastAsia="en-AU"/>
              </w:rPr>
              <w:t>NT</w:t>
            </w:r>
          </w:p>
        </w:tc>
        <w:tc>
          <w:tcPr>
            <w:tcW w:w="940" w:type="dxa"/>
            <w:tcBorders>
              <w:top w:val="single" w:sz="4" w:space="0" w:color="ADD6EA"/>
              <w:left w:val="nil"/>
              <w:bottom w:val="single" w:sz="4" w:space="0" w:color="ADD6EA"/>
              <w:right w:val="nil"/>
            </w:tcBorders>
            <w:shd w:val="clear" w:color="000000" w:fill="006991"/>
            <w:vAlign w:val="center"/>
            <w:hideMark/>
          </w:tcPr>
          <w:p w14:paraId="47738583"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D37EC">
              <w:rPr>
                <w:rFonts w:ascii="Open Sans SemiBold" w:eastAsia="Times New Roman" w:hAnsi="Open Sans SemiBold" w:cs="Open Sans SemiBold"/>
                <w:color w:val="FFFFFF"/>
                <w:sz w:val="16"/>
                <w:szCs w:val="16"/>
                <w:lang w:eastAsia="en-AU"/>
              </w:rPr>
              <w:t>Redist</w:t>
            </w:r>
          </w:p>
        </w:tc>
      </w:tr>
      <w:tr w:rsidR="007E365E" w14:paraId="22641F4B" w14:textId="77777777" w:rsidTr="007D1D77">
        <w:trPr>
          <w:trHeight w:val="263"/>
        </w:trPr>
        <w:tc>
          <w:tcPr>
            <w:tcW w:w="2080" w:type="dxa"/>
            <w:tcBorders>
              <w:top w:val="nil"/>
              <w:left w:val="nil"/>
              <w:bottom w:val="single" w:sz="4" w:space="0" w:color="ADD6EA"/>
              <w:right w:val="nil"/>
            </w:tcBorders>
            <w:shd w:val="clear" w:color="000000" w:fill="B6D5E4"/>
            <w:noWrap/>
            <w:vAlign w:val="center"/>
            <w:hideMark/>
          </w:tcPr>
          <w:p w14:paraId="637587A2"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 </w:t>
            </w:r>
          </w:p>
        </w:tc>
        <w:tc>
          <w:tcPr>
            <w:tcW w:w="860" w:type="dxa"/>
            <w:tcBorders>
              <w:top w:val="nil"/>
              <w:left w:val="nil"/>
              <w:bottom w:val="single" w:sz="4" w:space="0" w:color="ADD6EA"/>
              <w:right w:val="nil"/>
            </w:tcBorders>
            <w:shd w:val="clear" w:color="000000" w:fill="B6D5E4"/>
            <w:noWrap/>
            <w:vAlign w:val="center"/>
            <w:hideMark/>
          </w:tcPr>
          <w:p w14:paraId="2EE14E9C"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$m</w:t>
            </w:r>
          </w:p>
        </w:tc>
        <w:tc>
          <w:tcPr>
            <w:tcW w:w="720" w:type="dxa"/>
            <w:tcBorders>
              <w:top w:val="nil"/>
              <w:left w:val="nil"/>
              <w:bottom w:val="single" w:sz="4" w:space="0" w:color="ADD6EA"/>
              <w:right w:val="nil"/>
            </w:tcBorders>
            <w:shd w:val="clear" w:color="000000" w:fill="B6D5E4"/>
            <w:noWrap/>
            <w:vAlign w:val="center"/>
            <w:hideMark/>
          </w:tcPr>
          <w:p w14:paraId="14917AB6"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2C1D48E6"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7A825C8B"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$m</w:t>
            </w:r>
          </w:p>
        </w:tc>
        <w:tc>
          <w:tcPr>
            <w:tcW w:w="660" w:type="dxa"/>
            <w:tcBorders>
              <w:top w:val="nil"/>
              <w:left w:val="nil"/>
              <w:bottom w:val="single" w:sz="4" w:space="0" w:color="ADD6EA"/>
              <w:right w:val="nil"/>
            </w:tcBorders>
            <w:shd w:val="clear" w:color="000000" w:fill="B6D5E4"/>
            <w:noWrap/>
            <w:vAlign w:val="center"/>
            <w:hideMark/>
          </w:tcPr>
          <w:p w14:paraId="76253B27"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0D5B2E59"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7E0DC473"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$m</w:t>
            </w:r>
          </w:p>
        </w:tc>
        <w:tc>
          <w:tcPr>
            <w:tcW w:w="680" w:type="dxa"/>
            <w:tcBorders>
              <w:top w:val="nil"/>
              <w:left w:val="nil"/>
              <w:bottom w:val="single" w:sz="4" w:space="0" w:color="ADD6EA"/>
              <w:right w:val="nil"/>
            </w:tcBorders>
            <w:shd w:val="clear" w:color="000000" w:fill="B6D5E4"/>
            <w:noWrap/>
            <w:vAlign w:val="center"/>
            <w:hideMark/>
          </w:tcPr>
          <w:p w14:paraId="713671DA"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$m</w:t>
            </w:r>
          </w:p>
        </w:tc>
        <w:tc>
          <w:tcPr>
            <w:tcW w:w="940" w:type="dxa"/>
            <w:tcBorders>
              <w:top w:val="nil"/>
              <w:left w:val="nil"/>
              <w:bottom w:val="single" w:sz="4" w:space="0" w:color="ADD6EA"/>
              <w:right w:val="nil"/>
            </w:tcBorders>
            <w:shd w:val="clear" w:color="000000" w:fill="B6D5E4"/>
            <w:noWrap/>
            <w:vAlign w:val="center"/>
            <w:hideMark/>
          </w:tcPr>
          <w:p w14:paraId="50BA9E9F"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$m</w:t>
            </w:r>
          </w:p>
        </w:tc>
      </w:tr>
      <w:tr w:rsidR="007E365E" w14:paraId="50A1E9E6" w14:textId="77777777" w:rsidTr="007D1D77">
        <w:trPr>
          <w:trHeight w:val="315"/>
        </w:trPr>
        <w:tc>
          <w:tcPr>
            <w:tcW w:w="2080" w:type="dxa"/>
            <w:tcBorders>
              <w:top w:val="nil"/>
              <w:left w:val="nil"/>
              <w:bottom w:val="single" w:sz="4" w:space="0" w:color="ADD6EA"/>
              <w:right w:val="nil"/>
            </w:tcBorders>
            <w:shd w:val="clear" w:color="auto" w:fill="auto"/>
            <w:noWrap/>
            <w:vAlign w:val="bottom"/>
            <w:hideMark/>
          </w:tcPr>
          <w:p w14:paraId="76113870" w14:textId="77777777" w:rsidR="007E365E" w:rsidRPr="009D37EC" w:rsidRDefault="007E365E" w:rsidP="007D1D77">
            <w:pPr>
              <w:tabs>
                <w:tab w:val="clear" w:pos="567"/>
              </w:tabs>
              <w:spacing w:before="0" w:line="240" w:lineRule="auto"/>
              <w:rPr>
                <w:rFonts w:eastAsia="Times New Roman" w:cs="Open Sans Light"/>
                <w:sz w:val="16"/>
                <w:szCs w:val="16"/>
                <w:lang w:eastAsia="en-AU"/>
              </w:rPr>
            </w:pPr>
            <w:r w:rsidRPr="009D37EC">
              <w:rPr>
                <w:rFonts w:eastAsia="Times New Roman" w:cs="Open Sans Light"/>
                <w:sz w:val="16"/>
                <w:szCs w:val="16"/>
                <w:lang w:eastAsia="en-AU"/>
              </w:rPr>
              <w:t>Rural road length</w:t>
            </w:r>
          </w:p>
        </w:tc>
        <w:tc>
          <w:tcPr>
            <w:tcW w:w="860" w:type="dxa"/>
            <w:tcBorders>
              <w:top w:val="nil"/>
              <w:left w:val="nil"/>
              <w:bottom w:val="single" w:sz="4" w:space="0" w:color="ADD6EA"/>
              <w:right w:val="nil"/>
            </w:tcBorders>
            <w:shd w:val="clear" w:color="auto" w:fill="auto"/>
            <w:noWrap/>
            <w:vAlign w:val="bottom"/>
            <w:hideMark/>
          </w:tcPr>
          <w:p w14:paraId="0DAF29BC"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-76</w:t>
            </w:r>
          </w:p>
        </w:tc>
        <w:tc>
          <w:tcPr>
            <w:tcW w:w="720" w:type="dxa"/>
            <w:tcBorders>
              <w:top w:val="nil"/>
              <w:left w:val="nil"/>
              <w:bottom w:val="single" w:sz="4" w:space="0" w:color="ADD6EA"/>
              <w:right w:val="nil"/>
            </w:tcBorders>
            <w:shd w:val="clear" w:color="auto" w:fill="auto"/>
            <w:noWrap/>
            <w:vAlign w:val="bottom"/>
            <w:hideMark/>
          </w:tcPr>
          <w:p w14:paraId="13E0CD51"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-126</w:t>
            </w:r>
          </w:p>
        </w:tc>
        <w:tc>
          <w:tcPr>
            <w:tcW w:w="760" w:type="dxa"/>
            <w:tcBorders>
              <w:top w:val="nil"/>
              <w:left w:val="nil"/>
              <w:bottom w:val="single" w:sz="4" w:space="0" w:color="ADD6EA"/>
              <w:right w:val="nil"/>
            </w:tcBorders>
            <w:shd w:val="clear" w:color="auto" w:fill="auto"/>
            <w:noWrap/>
            <w:vAlign w:val="bottom"/>
            <w:hideMark/>
          </w:tcPr>
          <w:p w14:paraId="323162DC"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51</w:t>
            </w:r>
          </w:p>
        </w:tc>
        <w:tc>
          <w:tcPr>
            <w:tcW w:w="760" w:type="dxa"/>
            <w:tcBorders>
              <w:top w:val="nil"/>
              <w:left w:val="nil"/>
              <w:bottom w:val="single" w:sz="4" w:space="0" w:color="ADD6EA"/>
              <w:right w:val="nil"/>
            </w:tcBorders>
            <w:shd w:val="clear" w:color="auto" w:fill="auto"/>
            <w:noWrap/>
            <w:vAlign w:val="bottom"/>
            <w:hideMark/>
          </w:tcPr>
          <w:p w14:paraId="2BAA61DF"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61</w:t>
            </w:r>
          </w:p>
        </w:tc>
        <w:tc>
          <w:tcPr>
            <w:tcW w:w="660" w:type="dxa"/>
            <w:tcBorders>
              <w:top w:val="nil"/>
              <w:left w:val="nil"/>
              <w:bottom w:val="single" w:sz="4" w:space="0" w:color="ADD6EA"/>
              <w:right w:val="nil"/>
            </w:tcBorders>
            <w:shd w:val="clear" w:color="auto" w:fill="auto"/>
            <w:noWrap/>
            <w:vAlign w:val="bottom"/>
            <w:hideMark/>
          </w:tcPr>
          <w:p w14:paraId="42797A95"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26</w:t>
            </w:r>
          </w:p>
        </w:tc>
        <w:tc>
          <w:tcPr>
            <w:tcW w:w="760" w:type="dxa"/>
            <w:tcBorders>
              <w:top w:val="nil"/>
              <w:left w:val="nil"/>
              <w:bottom w:val="single" w:sz="4" w:space="0" w:color="ADD6EA"/>
              <w:right w:val="nil"/>
            </w:tcBorders>
            <w:shd w:val="clear" w:color="auto" w:fill="auto"/>
            <w:noWrap/>
            <w:vAlign w:val="bottom"/>
            <w:hideMark/>
          </w:tcPr>
          <w:p w14:paraId="49608669"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noWrap/>
            <w:vAlign w:val="bottom"/>
            <w:hideMark/>
          </w:tcPr>
          <w:p w14:paraId="171153A5"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-15</w:t>
            </w:r>
          </w:p>
        </w:tc>
        <w:tc>
          <w:tcPr>
            <w:tcW w:w="680" w:type="dxa"/>
            <w:tcBorders>
              <w:top w:val="nil"/>
              <w:left w:val="nil"/>
              <w:bottom w:val="single" w:sz="4" w:space="0" w:color="ADD6EA"/>
              <w:right w:val="nil"/>
            </w:tcBorders>
            <w:shd w:val="clear" w:color="auto" w:fill="auto"/>
            <w:noWrap/>
            <w:vAlign w:val="bottom"/>
            <w:hideMark/>
          </w:tcPr>
          <w:p w14:paraId="0EC2B131"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73</w:t>
            </w:r>
          </w:p>
        </w:tc>
        <w:tc>
          <w:tcPr>
            <w:tcW w:w="940" w:type="dxa"/>
            <w:tcBorders>
              <w:top w:val="nil"/>
              <w:left w:val="nil"/>
              <w:bottom w:val="single" w:sz="4" w:space="0" w:color="ADD6EA"/>
              <w:right w:val="nil"/>
            </w:tcBorders>
            <w:shd w:val="clear" w:color="auto" w:fill="auto"/>
            <w:noWrap/>
            <w:vAlign w:val="bottom"/>
            <w:hideMark/>
          </w:tcPr>
          <w:p w14:paraId="5E146CE1"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217</w:t>
            </w:r>
          </w:p>
        </w:tc>
      </w:tr>
      <w:tr w:rsidR="007E365E" w14:paraId="14C906BE" w14:textId="77777777" w:rsidTr="007D1D77">
        <w:trPr>
          <w:trHeight w:val="315"/>
        </w:trPr>
        <w:tc>
          <w:tcPr>
            <w:tcW w:w="2080" w:type="dxa"/>
            <w:tcBorders>
              <w:top w:val="nil"/>
              <w:left w:val="nil"/>
              <w:bottom w:val="single" w:sz="4" w:space="0" w:color="ADD6EA"/>
              <w:right w:val="nil"/>
            </w:tcBorders>
            <w:shd w:val="clear" w:color="auto" w:fill="auto"/>
            <w:noWrap/>
            <w:vAlign w:val="bottom"/>
            <w:hideMark/>
          </w:tcPr>
          <w:p w14:paraId="6E97078D" w14:textId="77777777" w:rsidR="007E365E" w:rsidRPr="009D37EC" w:rsidRDefault="007E365E" w:rsidP="007D1D77">
            <w:pPr>
              <w:tabs>
                <w:tab w:val="clear" w:pos="567"/>
              </w:tabs>
              <w:spacing w:before="0" w:line="240" w:lineRule="auto"/>
              <w:rPr>
                <w:rFonts w:eastAsia="Times New Roman" w:cs="Open Sans Light"/>
                <w:sz w:val="16"/>
                <w:szCs w:val="16"/>
                <w:lang w:eastAsia="en-AU"/>
              </w:rPr>
            </w:pPr>
            <w:r w:rsidRPr="009D37EC">
              <w:rPr>
                <w:rFonts w:eastAsia="Times New Roman" w:cs="Open Sans Light"/>
                <w:sz w:val="16"/>
                <w:szCs w:val="16"/>
                <w:lang w:eastAsia="en-AU"/>
              </w:rPr>
              <w:t>Rural heavy vehicle use</w:t>
            </w:r>
          </w:p>
        </w:tc>
        <w:tc>
          <w:tcPr>
            <w:tcW w:w="860" w:type="dxa"/>
            <w:tcBorders>
              <w:top w:val="nil"/>
              <w:left w:val="nil"/>
              <w:bottom w:val="single" w:sz="4" w:space="0" w:color="ADD6EA"/>
              <w:right w:val="nil"/>
            </w:tcBorders>
            <w:shd w:val="clear" w:color="auto" w:fill="auto"/>
            <w:noWrap/>
            <w:vAlign w:val="bottom"/>
            <w:hideMark/>
          </w:tcPr>
          <w:p w14:paraId="330994C0"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-43</w:t>
            </w:r>
          </w:p>
        </w:tc>
        <w:tc>
          <w:tcPr>
            <w:tcW w:w="720" w:type="dxa"/>
            <w:tcBorders>
              <w:top w:val="nil"/>
              <w:left w:val="nil"/>
              <w:bottom w:val="single" w:sz="4" w:space="0" w:color="ADD6EA"/>
              <w:right w:val="nil"/>
            </w:tcBorders>
            <w:shd w:val="clear" w:color="auto" w:fill="auto"/>
            <w:noWrap/>
            <w:vAlign w:val="bottom"/>
            <w:hideMark/>
          </w:tcPr>
          <w:p w14:paraId="119C4C37"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-86</w:t>
            </w:r>
          </w:p>
        </w:tc>
        <w:tc>
          <w:tcPr>
            <w:tcW w:w="760" w:type="dxa"/>
            <w:tcBorders>
              <w:top w:val="nil"/>
              <w:left w:val="nil"/>
              <w:bottom w:val="single" w:sz="4" w:space="0" w:color="ADD6EA"/>
              <w:right w:val="nil"/>
            </w:tcBorders>
            <w:shd w:val="clear" w:color="auto" w:fill="auto"/>
            <w:noWrap/>
            <w:vAlign w:val="bottom"/>
            <w:hideMark/>
          </w:tcPr>
          <w:p w14:paraId="342491E1"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25</w:t>
            </w:r>
          </w:p>
        </w:tc>
        <w:tc>
          <w:tcPr>
            <w:tcW w:w="760" w:type="dxa"/>
            <w:tcBorders>
              <w:top w:val="nil"/>
              <w:left w:val="nil"/>
              <w:bottom w:val="single" w:sz="4" w:space="0" w:color="ADD6EA"/>
              <w:right w:val="nil"/>
            </w:tcBorders>
            <w:shd w:val="clear" w:color="auto" w:fill="auto"/>
            <w:noWrap/>
            <w:vAlign w:val="bottom"/>
            <w:hideMark/>
          </w:tcPr>
          <w:p w14:paraId="79FD2B8B"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61</w:t>
            </w:r>
          </w:p>
        </w:tc>
        <w:tc>
          <w:tcPr>
            <w:tcW w:w="660" w:type="dxa"/>
            <w:tcBorders>
              <w:top w:val="nil"/>
              <w:left w:val="nil"/>
              <w:bottom w:val="single" w:sz="4" w:space="0" w:color="ADD6EA"/>
              <w:right w:val="nil"/>
            </w:tcBorders>
            <w:shd w:val="clear" w:color="auto" w:fill="auto"/>
            <w:noWrap/>
            <w:vAlign w:val="bottom"/>
            <w:hideMark/>
          </w:tcPr>
          <w:p w14:paraId="007C664A"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53</w:t>
            </w:r>
          </w:p>
        </w:tc>
        <w:tc>
          <w:tcPr>
            <w:tcW w:w="760" w:type="dxa"/>
            <w:tcBorders>
              <w:top w:val="nil"/>
              <w:left w:val="nil"/>
              <w:bottom w:val="single" w:sz="4" w:space="0" w:color="ADD6EA"/>
              <w:right w:val="nil"/>
            </w:tcBorders>
            <w:shd w:val="clear" w:color="auto" w:fill="auto"/>
            <w:noWrap/>
            <w:vAlign w:val="bottom"/>
            <w:hideMark/>
          </w:tcPr>
          <w:p w14:paraId="3F6CE2D9"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noWrap/>
            <w:vAlign w:val="bottom"/>
            <w:hideMark/>
          </w:tcPr>
          <w:p w14:paraId="4F4780FD"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-22</w:t>
            </w:r>
          </w:p>
        </w:tc>
        <w:tc>
          <w:tcPr>
            <w:tcW w:w="680" w:type="dxa"/>
            <w:tcBorders>
              <w:top w:val="nil"/>
              <w:left w:val="nil"/>
              <w:bottom w:val="single" w:sz="4" w:space="0" w:color="ADD6EA"/>
              <w:right w:val="nil"/>
            </w:tcBorders>
            <w:shd w:val="clear" w:color="auto" w:fill="auto"/>
            <w:noWrap/>
            <w:vAlign w:val="bottom"/>
            <w:hideMark/>
          </w:tcPr>
          <w:p w14:paraId="052C4D45"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8</w:t>
            </w:r>
          </w:p>
        </w:tc>
        <w:tc>
          <w:tcPr>
            <w:tcW w:w="940" w:type="dxa"/>
            <w:tcBorders>
              <w:top w:val="nil"/>
              <w:left w:val="nil"/>
              <w:bottom w:val="single" w:sz="4" w:space="0" w:color="ADD6EA"/>
              <w:right w:val="nil"/>
            </w:tcBorders>
            <w:shd w:val="clear" w:color="auto" w:fill="auto"/>
            <w:noWrap/>
            <w:vAlign w:val="bottom"/>
            <w:hideMark/>
          </w:tcPr>
          <w:p w14:paraId="0F9CFE00"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151</w:t>
            </w:r>
          </w:p>
        </w:tc>
      </w:tr>
      <w:tr w:rsidR="007E365E" w14:paraId="5784A4AE" w14:textId="77777777" w:rsidTr="007D1D77">
        <w:trPr>
          <w:trHeight w:val="315"/>
        </w:trPr>
        <w:tc>
          <w:tcPr>
            <w:tcW w:w="2080" w:type="dxa"/>
            <w:tcBorders>
              <w:top w:val="nil"/>
              <w:left w:val="nil"/>
              <w:bottom w:val="single" w:sz="4" w:space="0" w:color="ADD6EA"/>
              <w:right w:val="nil"/>
            </w:tcBorders>
            <w:shd w:val="clear" w:color="auto" w:fill="auto"/>
            <w:noWrap/>
            <w:vAlign w:val="bottom"/>
            <w:hideMark/>
          </w:tcPr>
          <w:p w14:paraId="7F145819" w14:textId="77777777" w:rsidR="007E365E" w:rsidRPr="009D37EC" w:rsidRDefault="007E365E" w:rsidP="007D1D77">
            <w:pPr>
              <w:tabs>
                <w:tab w:val="clear" w:pos="567"/>
              </w:tabs>
              <w:spacing w:before="0" w:line="240" w:lineRule="auto"/>
              <w:rPr>
                <w:rFonts w:eastAsia="Times New Roman" w:cs="Open Sans Light"/>
                <w:sz w:val="16"/>
                <w:szCs w:val="16"/>
                <w:lang w:eastAsia="en-AU"/>
              </w:rPr>
            </w:pPr>
            <w:r w:rsidRPr="009D37EC">
              <w:rPr>
                <w:rFonts w:eastAsia="Times New Roman" w:cs="Open Sans Light"/>
                <w:sz w:val="16"/>
                <w:szCs w:val="16"/>
                <w:lang w:eastAsia="en-AU"/>
              </w:rPr>
              <w:t>Rural traffic volume</w:t>
            </w:r>
          </w:p>
        </w:tc>
        <w:tc>
          <w:tcPr>
            <w:tcW w:w="860" w:type="dxa"/>
            <w:tcBorders>
              <w:top w:val="nil"/>
              <w:left w:val="nil"/>
              <w:bottom w:val="single" w:sz="4" w:space="0" w:color="ADD6EA"/>
              <w:right w:val="nil"/>
            </w:tcBorders>
            <w:shd w:val="clear" w:color="auto" w:fill="auto"/>
            <w:noWrap/>
            <w:vAlign w:val="bottom"/>
            <w:hideMark/>
          </w:tcPr>
          <w:p w14:paraId="4A84B64F"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-56</w:t>
            </w:r>
          </w:p>
        </w:tc>
        <w:tc>
          <w:tcPr>
            <w:tcW w:w="720" w:type="dxa"/>
            <w:tcBorders>
              <w:top w:val="nil"/>
              <w:left w:val="nil"/>
              <w:bottom w:val="single" w:sz="4" w:space="0" w:color="ADD6EA"/>
              <w:right w:val="nil"/>
            </w:tcBorders>
            <w:shd w:val="clear" w:color="auto" w:fill="auto"/>
            <w:noWrap/>
            <w:vAlign w:val="bottom"/>
            <w:hideMark/>
          </w:tcPr>
          <w:p w14:paraId="6052DF05"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-63</w:t>
            </w:r>
          </w:p>
        </w:tc>
        <w:tc>
          <w:tcPr>
            <w:tcW w:w="760" w:type="dxa"/>
            <w:tcBorders>
              <w:top w:val="nil"/>
              <w:left w:val="nil"/>
              <w:bottom w:val="single" w:sz="4" w:space="0" w:color="ADD6EA"/>
              <w:right w:val="nil"/>
            </w:tcBorders>
            <w:shd w:val="clear" w:color="auto" w:fill="auto"/>
            <w:noWrap/>
            <w:vAlign w:val="bottom"/>
            <w:hideMark/>
          </w:tcPr>
          <w:p w14:paraId="6642B95A"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52</w:t>
            </w:r>
          </w:p>
        </w:tc>
        <w:tc>
          <w:tcPr>
            <w:tcW w:w="760" w:type="dxa"/>
            <w:tcBorders>
              <w:top w:val="nil"/>
              <w:left w:val="nil"/>
              <w:bottom w:val="single" w:sz="4" w:space="0" w:color="ADD6EA"/>
              <w:right w:val="nil"/>
            </w:tcBorders>
            <w:shd w:val="clear" w:color="auto" w:fill="auto"/>
            <w:noWrap/>
            <w:vAlign w:val="bottom"/>
            <w:hideMark/>
          </w:tcPr>
          <w:p w14:paraId="28CD992C"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18</w:t>
            </w:r>
          </w:p>
        </w:tc>
        <w:tc>
          <w:tcPr>
            <w:tcW w:w="660" w:type="dxa"/>
            <w:tcBorders>
              <w:top w:val="nil"/>
              <w:left w:val="nil"/>
              <w:bottom w:val="single" w:sz="4" w:space="0" w:color="ADD6EA"/>
              <w:right w:val="nil"/>
            </w:tcBorders>
            <w:shd w:val="clear" w:color="auto" w:fill="auto"/>
            <w:noWrap/>
            <w:vAlign w:val="bottom"/>
            <w:hideMark/>
          </w:tcPr>
          <w:p w14:paraId="727A00E7"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61</w:t>
            </w:r>
          </w:p>
        </w:tc>
        <w:tc>
          <w:tcPr>
            <w:tcW w:w="760" w:type="dxa"/>
            <w:tcBorders>
              <w:top w:val="nil"/>
              <w:left w:val="nil"/>
              <w:bottom w:val="single" w:sz="4" w:space="0" w:color="ADD6EA"/>
              <w:right w:val="nil"/>
            </w:tcBorders>
            <w:shd w:val="clear" w:color="auto" w:fill="auto"/>
            <w:noWrap/>
            <w:vAlign w:val="bottom"/>
            <w:hideMark/>
          </w:tcPr>
          <w:p w14:paraId="4D81888A"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auto" w:fill="auto"/>
            <w:noWrap/>
            <w:vAlign w:val="bottom"/>
            <w:hideMark/>
          </w:tcPr>
          <w:p w14:paraId="7D600240"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-32</w:t>
            </w:r>
          </w:p>
        </w:tc>
        <w:tc>
          <w:tcPr>
            <w:tcW w:w="680" w:type="dxa"/>
            <w:tcBorders>
              <w:top w:val="nil"/>
              <w:left w:val="nil"/>
              <w:bottom w:val="single" w:sz="4" w:space="0" w:color="ADD6EA"/>
              <w:right w:val="nil"/>
            </w:tcBorders>
            <w:shd w:val="clear" w:color="auto" w:fill="auto"/>
            <w:noWrap/>
            <w:vAlign w:val="bottom"/>
            <w:hideMark/>
          </w:tcPr>
          <w:p w14:paraId="67435592"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7</w:t>
            </w:r>
          </w:p>
        </w:tc>
        <w:tc>
          <w:tcPr>
            <w:tcW w:w="940" w:type="dxa"/>
            <w:tcBorders>
              <w:top w:val="nil"/>
              <w:left w:val="nil"/>
              <w:bottom w:val="single" w:sz="4" w:space="0" w:color="ADD6EA"/>
              <w:right w:val="nil"/>
            </w:tcBorders>
            <w:shd w:val="clear" w:color="auto" w:fill="auto"/>
            <w:noWrap/>
            <w:vAlign w:val="bottom"/>
            <w:hideMark/>
          </w:tcPr>
          <w:p w14:paraId="1D36B9DA"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150</w:t>
            </w:r>
          </w:p>
        </w:tc>
      </w:tr>
      <w:tr w:rsidR="007E365E" w14:paraId="416F0A3B" w14:textId="77777777" w:rsidTr="007D1D77">
        <w:trPr>
          <w:trHeight w:val="315"/>
        </w:trPr>
        <w:tc>
          <w:tcPr>
            <w:tcW w:w="2080" w:type="dxa"/>
            <w:tcBorders>
              <w:top w:val="nil"/>
              <w:left w:val="nil"/>
              <w:bottom w:val="single" w:sz="4" w:space="0" w:color="ADD6EA"/>
              <w:right w:val="nil"/>
            </w:tcBorders>
            <w:shd w:val="clear" w:color="auto" w:fill="auto"/>
            <w:noWrap/>
            <w:vAlign w:val="bottom"/>
            <w:hideMark/>
          </w:tcPr>
          <w:p w14:paraId="16AE81CD" w14:textId="77777777" w:rsidR="007E365E" w:rsidRPr="009D37EC" w:rsidRDefault="007E365E" w:rsidP="007D1D77">
            <w:pPr>
              <w:tabs>
                <w:tab w:val="clear" w:pos="567"/>
              </w:tabs>
              <w:spacing w:before="0" w:line="240" w:lineRule="auto"/>
              <w:rPr>
                <w:rFonts w:eastAsia="Times New Roman" w:cs="Open Sans Light"/>
                <w:sz w:val="16"/>
                <w:szCs w:val="16"/>
                <w:lang w:eastAsia="en-AU"/>
              </w:rPr>
            </w:pPr>
            <w:r w:rsidRPr="009D37EC">
              <w:rPr>
                <w:rFonts w:eastAsia="Times New Roman" w:cs="Open Sans Light"/>
                <w:sz w:val="16"/>
                <w:szCs w:val="16"/>
                <w:lang w:eastAsia="en-AU"/>
              </w:rPr>
              <w:t>Urban traffic volume</w:t>
            </w:r>
          </w:p>
        </w:tc>
        <w:tc>
          <w:tcPr>
            <w:tcW w:w="860" w:type="dxa"/>
            <w:tcBorders>
              <w:top w:val="nil"/>
              <w:left w:val="nil"/>
              <w:bottom w:val="single" w:sz="4" w:space="0" w:color="ADD6EA"/>
              <w:right w:val="nil"/>
            </w:tcBorders>
            <w:shd w:val="clear" w:color="auto" w:fill="auto"/>
            <w:noWrap/>
            <w:vAlign w:val="bottom"/>
            <w:hideMark/>
          </w:tcPr>
          <w:p w14:paraId="3FB6601A"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-28</w:t>
            </w:r>
          </w:p>
        </w:tc>
        <w:tc>
          <w:tcPr>
            <w:tcW w:w="720" w:type="dxa"/>
            <w:tcBorders>
              <w:top w:val="nil"/>
              <w:left w:val="nil"/>
              <w:bottom w:val="single" w:sz="4" w:space="0" w:color="ADD6EA"/>
              <w:right w:val="nil"/>
            </w:tcBorders>
            <w:shd w:val="clear" w:color="auto" w:fill="auto"/>
            <w:noWrap/>
            <w:vAlign w:val="bottom"/>
            <w:hideMark/>
          </w:tcPr>
          <w:p w14:paraId="52919BFD"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34</w:t>
            </w:r>
          </w:p>
        </w:tc>
        <w:tc>
          <w:tcPr>
            <w:tcW w:w="760" w:type="dxa"/>
            <w:tcBorders>
              <w:top w:val="nil"/>
              <w:left w:val="nil"/>
              <w:bottom w:val="single" w:sz="4" w:space="0" w:color="ADD6EA"/>
              <w:right w:val="nil"/>
            </w:tcBorders>
            <w:shd w:val="clear" w:color="auto" w:fill="auto"/>
            <w:noWrap/>
            <w:vAlign w:val="bottom"/>
            <w:hideMark/>
          </w:tcPr>
          <w:p w14:paraId="371A0AE2"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auto" w:fill="auto"/>
            <w:noWrap/>
            <w:vAlign w:val="bottom"/>
            <w:hideMark/>
          </w:tcPr>
          <w:p w14:paraId="7D204EFF"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10</w:t>
            </w:r>
          </w:p>
        </w:tc>
        <w:tc>
          <w:tcPr>
            <w:tcW w:w="660" w:type="dxa"/>
            <w:tcBorders>
              <w:top w:val="nil"/>
              <w:left w:val="nil"/>
              <w:bottom w:val="single" w:sz="4" w:space="0" w:color="ADD6EA"/>
              <w:right w:val="nil"/>
            </w:tcBorders>
            <w:shd w:val="clear" w:color="auto" w:fill="auto"/>
            <w:noWrap/>
            <w:vAlign w:val="bottom"/>
            <w:hideMark/>
          </w:tcPr>
          <w:p w14:paraId="5B83971A"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-30</w:t>
            </w:r>
          </w:p>
        </w:tc>
        <w:tc>
          <w:tcPr>
            <w:tcW w:w="760" w:type="dxa"/>
            <w:tcBorders>
              <w:top w:val="nil"/>
              <w:left w:val="nil"/>
              <w:bottom w:val="single" w:sz="4" w:space="0" w:color="ADD6EA"/>
              <w:right w:val="nil"/>
            </w:tcBorders>
            <w:shd w:val="clear" w:color="auto" w:fill="auto"/>
            <w:noWrap/>
            <w:vAlign w:val="bottom"/>
            <w:hideMark/>
          </w:tcPr>
          <w:p w14:paraId="6248B40F"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noWrap/>
            <w:vAlign w:val="bottom"/>
            <w:hideMark/>
          </w:tcPr>
          <w:p w14:paraId="1A3087B5"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9</w:t>
            </w:r>
          </w:p>
        </w:tc>
        <w:tc>
          <w:tcPr>
            <w:tcW w:w="680" w:type="dxa"/>
            <w:tcBorders>
              <w:top w:val="nil"/>
              <w:left w:val="nil"/>
              <w:bottom w:val="single" w:sz="4" w:space="0" w:color="ADD6EA"/>
              <w:right w:val="nil"/>
            </w:tcBorders>
            <w:shd w:val="clear" w:color="auto" w:fill="auto"/>
            <w:noWrap/>
            <w:vAlign w:val="bottom"/>
            <w:hideMark/>
          </w:tcPr>
          <w:p w14:paraId="52D2DF94"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-6</w:t>
            </w:r>
          </w:p>
        </w:tc>
        <w:tc>
          <w:tcPr>
            <w:tcW w:w="940" w:type="dxa"/>
            <w:tcBorders>
              <w:top w:val="nil"/>
              <w:left w:val="nil"/>
              <w:bottom w:val="single" w:sz="4" w:space="0" w:color="ADD6EA"/>
              <w:right w:val="nil"/>
            </w:tcBorders>
            <w:shd w:val="clear" w:color="auto" w:fill="auto"/>
            <w:noWrap/>
            <w:vAlign w:val="bottom"/>
            <w:hideMark/>
          </w:tcPr>
          <w:p w14:paraId="7ED80CC6"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68</w:t>
            </w:r>
          </w:p>
        </w:tc>
      </w:tr>
      <w:tr w:rsidR="007E365E" w14:paraId="0AD7113C" w14:textId="77777777" w:rsidTr="007D1D77">
        <w:trPr>
          <w:trHeight w:val="315"/>
        </w:trPr>
        <w:tc>
          <w:tcPr>
            <w:tcW w:w="2080" w:type="dxa"/>
            <w:tcBorders>
              <w:top w:val="nil"/>
              <w:left w:val="nil"/>
              <w:bottom w:val="single" w:sz="4" w:space="0" w:color="ADD6EA"/>
              <w:right w:val="nil"/>
            </w:tcBorders>
            <w:shd w:val="clear" w:color="auto" w:fill="auto"/>
            <w:noWrap/>
            <w:vAlign w:val="bottom"/>
            <w:hideMark/>
          </w:tcPr>
          <w:p w14:paraId="5BE84E7A" w14:textId="77777777" w:rsidR="007E365E" w:rsidRPr="009D37EC" w:rsidRDefault="007E365E" w:rsidP="007D1D77">
            <w:pPr>
              <w:tabs>
                <w:tab w:val="clear" w:pos="567"/>
              </w:tabs>
              <w:spacing w:before="0" w:line="240" w:lineRule="auto"/>
              <w:rPr>
                <w:rFonts w:eastAsia="Times New Roman" w:cs="Open Sans Light"/>
                <w:sz w:val="16"/>
                <w:szCs w:val="16"/>
                <w:lang w:eastAsia="en-AU"/>
              </w:rPr>
            </w:pPr>
            <w:r w:rsidRPr="009D37EC">
              <w:rPr>
                <w:rFonts w:eastAsia="Times New Roman" w:cs="Open Sans Light"/>
                <w:sz w:val="16"/>
                <w:szCs w:val="16"/>
                <w:lang w:eastAsia="en-AU"/>
              </w:rPr>
              <w:t>Other</w:t>
            </w:r>
          </w:p>
        </w:tc>
        <w:tc>
          <w:tcPr>
            <w:tcW w:w="860" w:type="dxa"/>
            <w:tcBorders>
              <w:top w:val="nil"/>
              <w:left w:val="nil"/>
              <w:bottom w:val="single" w:sz="4" w:space="0" w:color="ADD6EA"/>
              <w:right w:val="nil"/>
            </w:tcBorders>
            <w:shd w:val="clear" w:color="auto" w:fill="auto"/>
            <w:noWrap/>
            <w:vAlign w:val="bottom"/>
            <w:hideMark/>
          </w:tcPr>
          <w:p w14:paraId="7A177E60"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9</w:t>
            </w:r>
          </w:p>
        </w:tc>
        <w:tc>
          <w:tcPr>
            <w:tcW w:w="720" w:type="dxa"/>
            <w:tcBorders>
              <w:top w:val="nil"/>
              <w:left w:val="nil"/>
              <w:bottom w:val="single" w:sz="4" w:space="0" w:color="ADD6EA"/>
              <w:right w:val="nil"/>
            </w:tcBorders>
            <w:shd w:val="clear" w:color="auto" w:fill="auto"/>
            <w:noWrap/>
            <w:vAlign w:val="bottom"/>
            <w:hideMark/>
          </w:tcPr>
          <w:p w14:paraId="725823D4"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-39</w:t>
            </w:r>
          </w:p>
        </w:tc>
        <w:tc>
          <w:tcPr>
            <w:tcW w:w="760" w:type="dxa"/>
            <w:tcBorders>
              <w:top w:val="nil"/>
              <w:left w:val="nil"/>
              <w:bottom w:val="single" w:sz="4" w:space="0" w:color="ADD6EA"/>
              <w:right w:val="nil"/>
            </w:tcBorders>
            <w:shd w:val="clear" w:color="auto" w:fill="auto"/>
            <w:noWrap/>
            <w:vAlign w:val="bottom"/>
            <w:hideMark/>
          </w:tcPr>
          <w:p w14:paraId="3A637F11"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47</w:t>
            </w:r>
          </w:p>
        </w:tc>
        <w:tc>
          <w:tcPr>
            <w:tcW w:w="760" w:type="dxa"/>
            <w:tcBorders>
              <w:top w:val="nil"/>
              <w:left w:val="nil"/>
              <w:bottom w:val="single" w:sz="4" w:space="0" w:color="ADD6EA"/>
              <w:right w:val="nil"/>
            </w:tcBorders>
            <w:shd w:val="clear" w:color="auto" w:fill="auto"/>
            <w:noWrap/>
            <w:vAlign w:val="bottom"/>
            <w:hideMark/>
          </w:tcPr>
          <w:p w14:paraId="160E7D2E"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11</w:t>
            </w:r>
          </w:p>
        </w:tc>
        <w:tc>
          <w:tcPr>
            <w:tcW w:w="660" w:type="dxa"/>
            <w:tcBorders>
              <w:top w:val="nil"/>
              <w:left w:val="nil"/>
              <w:bottom w:val="single" w:sz="4" w:space="0" w:color="ADD6EA"/>
              <w:right w:val="nil"/>
            </w:tcBorders>
            <w:shd w:val="clear" w:color="auto" w:fill="auto"/>
            <w:noWrap/>
            <w:vAlign w:val="bottom"/>
            <w:hideMark/>
          </w:tcPr>
          <w:p w14:paraId="44E5048F"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-30</w:t>
            </w:r>
          </w:p>
        </w:tc>
        <w:tc>
          <w:tcPr>
            <w:tcW w:w="760" w:type="dxa"/>
            <w:tcBorders>
              <w:top w:val="nil"/>
              <w:left w:val="nil"/>
              <w:bottom w:val="single" w:sz="4" w:space="0" w:color="ADD6EA"/>
              <w:right w:val="nil"/>
            </w:tcBorders>
            <w:shd w:val="clear" w:color="auto" w:fill="auto"/>
            <w:noWrap/>
            <w:vAlign w:val="bottom"/>
            <w:hideMark/>
          </w:tcPr>
          <w:p w14:paraId="20ECBA4B"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auto" w:fill="auto"/>
            <w:noWrap/>
            <w:vAlign w:val="bottom"/>
            <w:hideMark/>
          </w:tcPr>
          <w:p w14:paraId="34B388A4"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-4</w:t>
            </w:r>
          </w:p>
        </w:tc>
        <w:tc>
          <w:tcPr>
            <w:tcW w:w="680" w:type="dxa"/>
            <w:tcBorders>
              <w:top w:val="nil"/>
              <w:left w:val="nil"/>
              <w:bottom w:val="single" w:sz="4" w:space="0" w:color="ADD6EA"/>
              <w:right w:val="nil"/>
            </w:tcBorders>
            <w:shd w:val="clear" w:color="auto" w:fill="auto"/>
            <w:noWrap/>
            <w:vAlign w:val="bottom"/>
            <w:hideMark/>
          </w:tcPr>
          <w:p w14:paraId="668DDAA9"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14</w:t>
            </w:r>
          </w:p>
        </w:tc>
        <w:tc>
          <w:tcPr>
            <w:tcW w:w="940" w:type="dxa"/>
            <w:tcBorders>
              <w:top w:val="nil"/>
              <w:left w:val="nil"/>
              <w:bottom w:val="single" w:sz="4" w:space="0" w:color="ADD6EA"/>
              <w:right w:val="nil"/>
            </w:tcBorders>
            <w:shd w:val="clear" w:color="auto" w:fill="auto"/>
            <w:noWrap/>
            <w:vAlign w:val="bottom"/>
            <w:hideMark/>
          </w:tcPr>
          <w:p w14:paraId="6B0A727D" w14:textId="77777777" w:rsidR="007E365E" w:rsidRPr="009D37EC" w:rsidRDefault="007E365E" w:rsidP="007D1D77">
            <w:pPr>
              <w:tabs>
                <w:tab w:val="clear" w:pos="567"/>
              </w:tabs>
              <w:spacing w:before="0" w:line="240" w:lineRule="auto"/>
              <w:jc w:val="right"/>
              <w:rPr>
                <w:rFonts w:eastAsia="Times New Roman" w:cs="Open Sans Light"/>
                <w:sz w:val="16"/>
                <w:szCs w:val="16"/>
                <w:lang w:eastAsia="en-AU"/>
              </w:rPr>
            </w:pPr>
            <w:r w:rsidRPr="009D37EC">
              <w:rPr>
                <w:rFonts w:eastAsia="Times New Roman" w:cs="Open Sans Light"/>
                <w:sz w:val="16"/>
                <w:szCs w:val="16"/>
                <w:lang w:eastAsia="en-AU"/>
              </w:rPr>
              <w:t>82</w:t>
            </w:r>
          </w:p>
        </w:tc>
      </w:tr>
      <w:tr w:rsidR="007E365E" w14:paraId="6DDA58A8" w14:textId="77777777" w:rsidTr="007D1D77">
        <w:trPr>
          <w:trHeight w:val="315"/>
        </w:trPr>
        <w:tc>
          <w:tcPr>
            <w:tcW w:w="2080" w:type="dxa"/>
            <w:tcBorders>
              <w:top w:val="nil"/>
              <w:left w:val="nil"/>
              <w:bottom w:val="single" w:sz="4" w:space="0" w:color="ADD6EA"/>
              <w:right w:val="nil"/>
            </w:tcBorders>
            <w:shd w:val="clear" w:color="000000" w:fill="D6E7F0"/>
            <w:noWrap/>
            <w:vAlign w:val="bottom"/>
            <w:hideMark/>
          </w:tcPr>
          <w:p w14:paraId="77BCECF5" w14:textId="77777777" w:rsidR="007E365E" w:rsidRPr="009D37EC"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Total</w:t>
            </w:r>
          </w:p>
        </w:tc>
        <w:tc>
          <w:tcPr>
            <w:tcW w:w="860" w:type="dxa"/>
            <w:tcBorders>
              <w:top w:val="nil"/>
              <w:left w:val="nil"/>
              <w:bottom w:val="single" w:sz="4" w:space="0" w:color="ADD6EA"/>
              <w:right w:val="nil"/>
            </w:tcBorders>
            <w:shd w:val="clear" w:color="000000" w:fill="D6E7F0"/>
            <w:noWrap/>
            <w:vAlign w:val="bottom"/>
            <w:hideMark/>
          </w:tcPr>
          <w:p w14:paraId="25DB5BC1"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-194</w:t>
            </w:r>
          </w:p>
        </w:tc>
        <w:tc>
          <w:tcPr>
            <w:tcW w:w="720" w:type="dxa"/>
            <w:tcBorders>
              <w:top w:val="nil"/>
              <w:left w:val="nil"/>
              <w:bottom w:val="single" w:sz="4" w:space="0" w:color="ADD6EA"/>
              <w:right w:val="nil"/>
            </w:tcBorders>
            <w:shd w:val="clear" w:color="000000" w:fill="D6E7F0"/>
            <w:noWrap/>
            <w:vAlign w:val="bottom"/>
            <w:hideMark/>
          </w:tcPr>
          <w:p w14:paraId="6B5BD28D"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-281</w:t>
            </w:r>
          </w:p>
        </w:tc>
        <w:tc>
          <w:tcPr>
            <w:tcW w:w="760" w:type="dxa"/>
            <w:tcBorders>
              <w:top w:val="nil"/>
              <w:left w:val="nil"/>
              <w:bottom w:val="single" w:sz="4" w:space="0" w:color="ADD6EA"/>
              <w:right w:val="nil"/>
            </w:tcBorders>
            <w:shd w:val="clear" w:color="000000" w:fill="D6E7F0"/>
            <w:noWrap/>
            <w:vAlign w:val="bottom"/>
            <w:hideMark/>
          </w:tcPr>
          <w:p w14:paraId="3CA96A74"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192</w:t>
            </w:r>
          </w:p>
        </w:tc>
        <w:tc>
          <w:tcPr>
            <w:tcW w:w="760" w:type="dxa"/>
            <w:tcBorders>
              <w:top w:val="nil"/>
              <w:left w:val="nil"/>
              <w:bottom w:val="single" w:sz="4" w:space="0" w:color="ADD6EA"/>
              <w:right w:val="nil"/>
            </w:tcBorders>
            <w:shd w:val="clear" w:color="000000" w:fill="D6E7F0"/>
            <w:noWrap/>
            <w:vAlign w:val="bottom"/>
            <w:hideMark/>
          </w:tcPr>
          <w:p w14:paraId="4A65A81A"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161</w:t>
            </w:r>
          </w:p>
        </w:tc>
        <w:tc>
          <w:tcPr>
            <w:tcW w:w="660" w:type="dxa"/>
            <w:tcBorders>
              <w:top w:val="nil"/>
              <w:left w:val="nil"/>
              <w:bottom w:val="single" w:sz="4" w:space="0" w:color="ADD6EA"/>
              <w:right w:val="nil"/>
            </w:tcBorders>
            <w:shd w:val="clear" w:color="000000" w:fill="D6E7F0"/>
            <w:noWrap/>
            <w:vAlign w:val="bottom"/>
            <w:hideMark/>
          </w:tcPr>
          <w:p w14:paraId="38EEBD9F"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79</w:t>
            </w:r>
          </w:p>
        </w:tc>
        <w:tc>
          <w:tcPr>
            <w:tcW w:w="760" w:type="dxa"/>
            <w:tcBorders>
              <w:top w:val="nil"/>
              <w:left w:val="nil"/>
              <w:bottom w:val="single" w:sz="4" w:space="0" w:color="ADD6EA"/>
              <w:right w:val="nil"/>
            </w:tcBorders>
            <w:shd w:val="clear" w:color="000000" w:fill="D6E7F0"/>
            <w:noWrap/>
            <w:vAlign w:val="bottom"/>
            <w:hideMark/>
          </w:tcPr>
          <w:p w14:paraId="39ED3DE0"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10</w:t>
            </w:r>
          </w:p>
        </w:tc>
        <w:tc>
          <w:tcPr>
            <w:tcW w:w="760" w:type="dxa"/>
            <w:tcBorders>
              <w:top w:val="nil"/>
              <w:left w:val="nil"/>
              <w:bottom w:val="single" w:sz="4" w:space="0" w:color="ADD6EA"/>
              <w:right w:val="nil"/>
            </w:tcBorders>
            <w:shd w:val="clear" w:color="000000" w:fill="D6E7F0"/>
            <w:noWrap/>
            <w:vAlign w:val="bottom"/>
            <w:hideMark/>
          </w:tcPr>
          <w:p w14:paraId="5D6B8E4B"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-63</w:t>
            </w:r>
          </w:p>
        </w:tc>
        <w:tc>
          <w:tcPr>
            <w:tcW w:w="680" w:type="dxa"/>
            <w:tcBorders>
              <w:top w:val="nil"/>
              <w:left w:val="nil"/>
              <w:bottom w:val="single" w:sz="4" w:space="0" w:color="ADD6EA"/>
              <w:right w:val="nil"/>
            </w:tcBorders>
            <w:shd w:val="clear" w:color="000000" w:fill="D6E7F0"/>
            <w:noWrap/>
            <w:vAlign w:val="bottom"/>
            <w:hideMark/>
          </w:tcPr>
          <w:p w14:paraId="023EBDE0"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95</w:t>
            </w:r>
          </w:p>
        </w:tc>
        <w:tc>
          <w:tcPr>
            <w:tcW w:w="940" w:type="dxa"/>
            <w:tcBorders>
              <w:top w:val="nil"/>
              <w:left w:val="nil"/>
              <w:bottom w:val="single" w:sz="4" w:space="0" w:color="ADD6EA"/>
              <w:right w:val="nil"/>
            </w:tcBorders>
            <w:shd w:val="clear" w:color="000000" w:fill="D6E7F0"/>
            <w:noWrap/>
            <w:vAlign w:val="bottom"/>
            <w:hideMark/>
          </w:tcPr>
          <w:p w14:paraId="3C06D9B2" w14:textId="77777777" w:rsidR="007E365E" w:rsidRPr="009D37EC"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D37EC">
              <w:rPr>
                <w:rFonts w:ascii="Open Sans SemiBold" w:eastAsia="Times New Roman" w:hAnsi="Open Sans SemiBold" w:cs="Open Sans SemiBold"/>
                <w:color w:val="000000"/>
                <w:sz w:val="16"/>
                <w:szCs w:val="16"/>
                <w:lang w:eastAsia="en-AU"/>
              </w:rPr>
              <w:t>537</w:t>
            </w:r>
          </w:p>
        </w:tc>
      </w:tr>
    </w:tbl>
    <w:p w14:paraId="6C881173" w14:textId="77777777" w:rsidR="007E365E" w:rsidRPr="00E23377" w:rsidRDefault="007E365E" w:rsidP="007E365E">
      <w:pPr>
        <w:pStyle w:val="CGCTablenote"/>
        <w:keepNext/>
        <w:keepLines/>
      </w:pPr>
      <w:r w:rsidRPr="00E23377">
        <w:t>Note:</w:t>
      </w:r>
      <w:r>
        <w:tab/>
        <w:t>Totals</w:t>
      </w:r>
      <w:r w:rsidRPr="00E23377">
        <w:t xml:space="preserve"> may not add due to rounding.</w:t>
      </w:r>
    </w:p>
    <w:p w14:paraId="3B1262B0" w14:textId="77777777" w:rsidR="007E365E" w:rsidRPr="00E23377" w:rsidRDefault="007E365E" w:rsidP="007E365E">
      <w:pPr>
        <w:pStyle w:val="CGCTablenote"/>
        <w:keepNext/>
        <w:keepLines/>
      </w:pPr>
      <w:r w:rsidRPr="00E23377">
        <w:t>Source:</w:t>
      </w:r>
      <w:r w:rsidRPr="00E23377">
        <w:tab/>
        <w:t>Commission calculation.</w:t>
      </w:r>
    </w:p>
    <w:p w14:paraId="4B60C1CB" w14:textId="77777777" w:rsidR="007E365E" w:rsidRPr="00E23377" w:rsidRDefault="007E365E" w:rsidP="007E365E">
      <w:pPr>
        <w:pStyle w:val="CGCParaNumber"/>
      </w:pPr>
      <w:r w:rsidRPr="00E23377">
        <w:t xml:space="preserve">The main reasons for these redistributions are the differences between States in the extent of their assessed rural road networks, urban populations, road use across both rural and urban roads and the extent of their bridges and tunnels. </w:t>
      </w:r>
    </w:p>
    <w:p w14:paraId="59F76A00" w14:textId="77777777" w:rsidR="007E365E" w:rsidRPr="00E23377" w:rsidRDefault="007E365E" w:rsidP="007E365E">
      <w:pPr>
        <w:pStyle w:val="CGCParaNumber"/>
      </w:pPr>
      <w:r w:rsidRPr="00E23377">
        <w:t>The main reasons for the redistributions for each State are:</w:t>
      </w:r>
    </w:p>
    <w:p w14:paraId="03AA795D" w14:textId="77777777" w:rsidR="007E365E" w:rsidRPr="00E23377" w:rsidRDefault="007E365E" w:rsidP="007E365E">
      <w:pPr>
        <w:pStyle w:val="CGCBullet1"/>
      </w:pPr>
      <w:r w:rsidRPr="00E23377">
        <w:t xml:space="preserve">New South Wales and Victoria have, in per capita terms, relatively small rural networks, lower rural traffic volume and rural heavy vehicle use. These disabilities are not outweighed by Victoria’s above average urban network (proxied by population) and urban traffic volume nor by the above average urban heavy vehicle use in New South Wales. </w:t>
      </w:r>
      <w:r w:rsidRPr="00E23377">
        <w:lastRenderedPageBreak/>
        <w:t xml:space="preserve">Consequently, both States are assessed to be able to provide road maintenance services at below average cost. </w:t>
      </w:r>
    </w:p>
    <w:p w14:paraId="3DFEA5D3" w14:textId="77777777" w:rsidR="007E365E" w:rsidRPr="00E23377" w:rsidRDefault="007E365E" w:rsidP="007E365E">
      <w:pPr>
        <w:pStyle w:val="CGCBullet1"/>
      </w:pPr>
      <w:r w:rsidRPr="00E23377">
        <w:t>Queensland, Western Australia, South Australia, Tasmania and the Northern Territory have above average rural networks, rural traffic volume and rural heavy vehicle use, leading to their above average assessed needs for delivering roads services. All but Western Australia and South Australia also have above average needs relating to bridges and tunnels.</w:t>
      </w:r>
    </w:p>
    <w:p w14:paraId="6D2C5C9A" w14:textId="77777777" w:rsidR="007E365E" w:rsidRPr="00E23377" w:rsidRDefault="007E365E" w:rsidP="007E365E">
      <w:pPr>
        <w:pStyle w:val="CGCBullet1"/>
      </w:pPr>
      <w:r w:rsidRPr="00E23377">
        <w:t>The ACT has a very small assessed rural network, and rural road use. It also has below average needs relating to urban heavy vehicle use. Consequently, it is assessed to be able to deliver roads services at below average cost.</w:t>
      </w:r>
    </w:p>
    <w:p w14:paraId="59E96EB0" w14:textId="77777777" w:rsidR="007E365E" w:rsidRPr="00E23377" w:rsidRDefault="007E365E" w:rsidP="007E365E">
      <w:pPr>
        <w:pStyle w:val="Heading4"/>
      </w:pPr>
      <w:bookmarkStart w:id="224" w:name="_Toc4754284"/>
      <w:bookmarkStart w:id="225" w:name="_Toc5030085"/>
      <w:r w:rsidRPr="00E23377">
        <w:t>Roads investment</w:t>
      </w:r>
    </w:p>
    <w:p w14:paraId="6B4841C2" w14:textId="72C95747" w:rsidR="007E365E" w:rsidRPr="00E23377" w:rsidRDefault="007E365E" w:rsidP="007E365E">
      <w:pPr>
        <w:pStyle w:val="CGCParaNumber"/>
      </w:pPr>
      <w:r w:rsidRPr="00E23377">
        <w:fldChar w:fldCharType="begin"/>
      </w:r>
      <w:r w:rsidRPr="00E23377">
        <w:instrText xml:space="preserve"> REF _Ref9930033 \h  \* MERGEFORMAT </w:instrText>
      </w:r>
      <w:r w:rsidRPr="00E23377">
        <w:fldChar w:fldCharType="separate"/>
      </w:r>
      <w:r w:rsidR="007F721A" w:rsidRPr="00E23377">
        <w:t xml:space="preserve">Table </w:t>
      </w:r>
      <w:r w:rsidR="007F721A">
        <w:rPr>
          <w:noProof/>
        </w:rPr>
        <w:t>20-31</w:t>
      </w:r>
      <w:r w:rsidRPr="00E23377">
        <w:fldChar w:fldCharType="end"/>
      </w:r>
      <w:r w:rsidRPr="00E23377">
        <w:t xml:space="preserve"> shows the extent to which the assessment for this category differs from an EPC assessment of roads investment.</w:t>
      </w:r>
    </w:p>
    <w:p w14:paraId="4E0F97ED" w14:textId="3040083C" w:rsidR="007E365E" w:rsidRDefault="007E365E" w:rsidP="007E365E">
      <w:pPr>
        <w:pStyle w:val="Caption"/>
      </w:pPr>
      <w:bookmarkStart w:id="226" w:name="_Ref9930033"/>
      <w:r w:rsidRPr="00E23377">
        <w:t xml:space="preserve">Table </w:t>
      </w:r>
      <w:r>
        <w:t>20-</w:t>
      </w:r>
      <w:fldSimple w:instr=" SEQ Table \* ARABIC ">
        <w:r w:rsidR="007F721A">
          <w:rPr>
            <w:noProof/>
          </w:rPr>
          <w:t>31</w:t>
        </w:r>
      </w:fldSimple>
      <w:bookmarkEnd w:id="226"/>
      <w:r w:rsidRPr="00E23377">
        <w:tab/>
      </w:r>
      <w:r>
        <w:t>Illustrative r</w:t>
      </w:r>
      <w:r w:rsidRPr="00E23377">
        <w:t xml:space="preserve">edistribution from an EPC assessment, Roads investment, </w:t>
      </w:r>
      <w:r>
        <w:t>2020</w:t>
      </w:r>
      <w:r>
        <w:noBreakHyphen/>
        <w:t>21</w:t>
      </w:r>
    </w:p>
    <w:tbl>
      <w:tblPr>
        <w:tblW w:w="8942" w:type="dxa"/>
        <w:tblCellMar>
          <w:left w:w="0" w:type="dxa"/>
          <w:right w:w="28" w:type="dxa"/>
        </w:tblCellMar>
        <w:tblLook w:val="04A0" w:firstRow="1" w:lastRow="0" w:firstColumn="1" w:lastColumn="0" w:noHBand="0" w:noVBand="1"/>
      </w:tblPr>
      <w:tblGrid>
        <w:gridCol w:w="2069"/>
        <w:gridCol w:w="860"/>
        <w:gridCol w:w="722"/>
        <w:gridCol w:w="761"/>
        <w:gridCol w:w="761"/>
        <w:gridCol w:w="662"/>
        <w:gridCol w:w="761"/>
        <w:gridCol w:w="761"/>
        <w:gridCol w:w="682"/>
        <w:gridCol w:w="940"/>
      </w:tblGrid>
      <w:tr w:rsidR="007E365E" w14:paraId="41D40216" w14:textId="77777777" w:rsidTr="007D1D77">
        <w:trPr>
          <w:trHeight w:val="375"/>
        </w:trPr>
        <w:tc>
          <w:tcPr>
            <w:tcW w:w="2080" w:type="dxa"/>
            <w:tcBorders>
              <w:top w:val="single" w:sz="4" w:space="0" w:color="ADD6EA"/>
              <w:left w:val="nil"/>
              <w:bottom w:val="single" w:sz="4" w:space="0" w:color="ADD6EA"/>
              <w:right w:val="nil"/>
            </w:tcBorders>
            <w:shd w:val="clear" w:color="000000" w:fill="006991"/>
            <w:vAlign w:val="center"/>
            <w:hideMark/>
          </w:tcPr>
          <w:p w14:paraId="47444107" w14:textId="77777777" w:rsidR="007E365E" w:rsidRPr="003E43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E4355">
              <w:rPr>
                <w:rFonts w:ascii="Open Sans SemiBold" w:eastAsia="Times New Roman" w:hAnsi="Open Sans SemiBold" w:cs="Open Sans SemiBold"/>
                <w:color w:val="FFFFFF"/>
                <w:sz w:val="16"/>
                <w:szCs w:val="16"/>
                <w:lang w:eastAsia="en-AU"/>
              </w:rPr>
              <w:t> </w:t>
            </w:r>
          </w:p>
        </w:tc>
        <w:tc>
          <w:tcPr>
            <w:tcW w:w="860" w:type="dxa"/>
            <w:tcBorders>
              <w:top w:val="single" w:sz="4" w:space="0" w:color="ADD6EA"/>
              <w:left w:val="nil"/>
              <w:bottom w:val="single" w:sz="4" w:space="0" w:color="ADD6EA"/>
              <w:right w:val="nil"/>
            </w:tcBorders>
            <w:shd w:val="clear" w:color="000000" w:fill="006991"/>
            <w:vAlign w:val="center"/>
            <w:hideMark/>
          </w:tcPr>
          <w:p w14:paraId="207F92E5" w14:textId="77777777" w:rsidR="007E365E" w:rsidRPr="003E43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E4355">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vAlign w:val="center"/>
            <w:hideMark/>
          </w:tcPr>
          <w:p w14:paraId="59331D80" w14:textId="77777777" w:rsidR="007E365E" w:rsidRPr="003E43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E4355">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vAlign w:val="center"/>
            <w:hideMark/>
          </w:tcPr>
          <w:p w14:paraId="18FFAE30" w14:textId="77777777" w:rsidR="007E365E" w:rsidRPr="003E43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E4355">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vAlign w:val="center"/>
            <w:hideMark/>
          </w:tcPr>
          <w:p w14:paraId="23CA367D" w14:textId="77777777" w:rsidR="007E365E" w:rsidRPr="003E43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E4355">
              <w:rPr>
                <w:rFonts w:ascii="Open Sans SemiBold" w:eastAsia="Times New Roman" w:hAnsi="Open Sans SemiBold" w:cs="Open Sans SemiBold"/>
                <w:color w:val="FFFFFF"/>
                <w:sz w:val="16"/>
                <w:szCs w:val="16"/>
                <w:lang w:eastAsia="en-AU"/>
              </w:rPr>
              <w:t>WA</w:t>
            </w:r>
          </w:p>
        </w:tc>
        <w:tc>
          <w:tcPr>
            <w:tcW w:w="660" w:type="dxa"/>
            <w:tcBorders>
              <w:top w:val="single" w:sz="4" w:space="0" w:color="ADD6EA"/>
              <w:left w:val="nil"/>
              <w:bottom w:val="single" w:sz="4" w:space="0" w:color="ADD6EA"/>
              <w:right w:val="nil"/>
            </w:tcBorders>
            <w:shd w:val="clear" w:color="000000" w:fill="006991"/>
            <w:vAlign w:val="center"/>
            <w:hideMark/>
          </w:tcPr>
          <w:p w14:paraId="1F992517" w14:textId="77777777" w:rsidR="007E365E" w:rsidRPr="003E43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E4355">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vAlign w:val="center"/>
            <w:hideMark/>
          </w:tcPr>
          <w:p w14:paraId="5130A85D" w14:textId="77777777" w:rsidR="007E365E" w:rsidRPr="003E43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E4355">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vAlign w:val="center"/>
            <w:hideMark/>
          </w:tcPr>
          <w:p w14:paraId="52B7DCCA" w14:textId="77777777" w:rsidR="007E365E" w:rsidRPr="003E43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E4355">
              <w:rPr>
                <w:rFonts w:ascii="Open Sans SemiBold" w:eastAsia="Times New Roman" w:hAnsi="Open Sans SemiBold" w:cs="Open Sans SemiBold"/>
                <w:color w:val="FFFFFF"/>
                <w:sz w:val="16"/>
                <w:szCs w:val="16"/>
                <w:lang w:eastAsia="en-AU"/>
              </w:rPr>
              <w:t>ACT</w:t>
            </w:r>
          </w:p>
        </w:tc>
        <w:tc>
          <w:tcPr>
            <w:tcW w:w="680" w:type="dxa"/>
            <w:tcBorders>
              <w:top w:val="single" w:sz="4" w:space="0" w:color="ADD6EA"/>
              <w:left w:val="nil"/>
              <w:bottom w:val="single" w:sz="4" w:space="0" w:color="ADD6EA"/>
              <w:right w:val="nil"/>
            </w:tcBorders>
            <w:shd w:val="clear" w:color="000000" w:fill="006991"/>
            <w:vAlign w:val="center"/>
            <w:hideMark/>
          </w:tcPr>
          <w:p w14:paraId="729E0586" w14:textId="77777777" w:rsidR="007E365E" w:rsidRPr="003E43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E4355">
              <w:rPr>
                <w:rFonts w:ascii="Open Sans SemiBold" w:eastAsia="Times New Roman" w:hAnsi="Open Sans SemiBold" w:cs="Open Sans SemiBold"/>
                <w:color w:val="FFFFFF"/>
                <w:sz w:val="16"/>
                <w:szCs w:val="16"/>
                <w:lang w:eastAsia="en-AU"/>
              </w:rPr>
              <w:t>NT</w:t>
            </w:r>
          </w:p>
        </w:tc>
        <w:tc>
          <w:tcPr>
            <w:tcW w:w="940" w:type="dxa"/>
            <w:tcBorders>
              <w:top w:val="single" w:sz="4" w:space="0" w:color="ADD6EA"/>
              <w:left w:val="nil"/>
              <w:bottom w:val="single" w:sz="4" w:space="0" w:color="ADD6EA"/>
              <w:right w:val="nil"/>
            </w:tcBorders>
            <w:shd w:val="clear" w:color="000000" w:fill="006991"/>
            <w:vAlign w:val="center"/>
            <w:hideMark/>
          </w:tcPr>
          <w:p w14:paraId="3346E535" w14:textId="77777777" w:rsidR="007E365E" w:rsidRPr="003E435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E4355">
              <w:rPr>
                <w:rFonts w:ascii="Open Sans SemiBold" w:eastAsia="Times New Roman" w:hAnsi="Open Sans SemiBold" w:cs="Open Sans SemiBold"/>
                <w:color w:val="FFFFFF"/>
                <w:sz w:val="16"/>
                <w:szCs w:val="16"/>
                <w:lang w:eastAsia="en-AU"/>
              </w:rPr>
              <w:t>Redist</w:t>
            </w:r>
          </w:p>
        </w:tc>
      </w:tr>
      <w:tr w:rsidR="007E365E" w14:paraId="029E88BE" w14:textId="77777777" w:rsidTr="007D1D77">
        <w:trPr>
          <w:trHeight w:val="315"/>
        </w:trPr>
        <w:tc>
          <w:tcPr>
            <w:tcW w:w="2080" w:type="dxa"/>
            <w:tcBorders>
              <w:top w:val="nil"/>
              <w:left w:val="nil"/>
              <w:bottom w:val="single" w:sz="4" w:space="0" w:color="ADD6EA"/>
              <w:right w:val="nil"/>
            </w:tcBorders>
            <w:shd w:val="clear" w:color="auto" w:fill="auto"/>
            <w:noWrap/>
            <w:vAlign w:val="bottom"/>
            <w:hideMark/>
          </w:tcPr>
          <w:p w14:paraId="7D60EC0B" w14:textId="77777777" w:rsidR="007E365E" w:rsidRPr="003E4355" w:rsidRDefault="007E365E" w:rsidP="007D1D77">
            <w:pPr>
              <w:tabs>
                <w:tab w:val="clear" w:pos="567"/>
              </w:tabs>
              <w:spacing w:before="0" w:line="240" w:lineRule="auto"/>
              <w:rPr>
                <w:rFonts w:eastAsia="Times New Roman" w:cs="Open Sans Light"/>
                <w:sz w:val="16"/>
                <w:szCs w:val="16"/>
                <w:lang w:eastAsia="en-AU"/>
              </w:rPr>
            </w:pPr>
            <w:r w:rsidRPr="003E4355">
              <w:rPr>
                <w:rFonts w:eastAsia="Times New Roman" w:cs="Open Sans Light"/>
                <w:sz w:val="16"/>
                <w:szCs w:val="16"/>
                <w:lang w:eastAsia="en-AU"/>
              </w:rPr>
              <w:t>$ million</w:t>
            </w:r>
          </w:p>
        </w:tc>
        <w:tc>
          <w:tcPr>
            <w:tcW w:w="860" w:type="dxa"/>
            <w:tcBorders>
              <w:top w:val="nil"/>
              <w:left w:val="nil"/>
              <w:bottom w:val="single" w:sz="4" w:space="0" w:color="ADD6EA"/>
              <w:right w:val="nil"/>
            </w:tcBorders>
            <w:shd w:val="clear" w:color="auto" w:fill="auto"/>
            <w:noWrap/>
            <w:vAlign w:val="bottom"/>
            <w:hideMark/>
          </w:tcPr>
          <w:p w14:paraId="0A4C4AF9"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-425</w:t>
            </w:r>
          </w:p>
        </w:tc>
        <w:tc>
          <w:tcPr>
            <w:tcW w:w="720" w:type="dxa"/>
            <w:tcBorders>
              <w:top w:val="nil"/>
              <w:left w:val="nil"/>
              <w:bottom w:val="single" w:sz="4" w:space="0" w:color="ADD6EA"/>
              <w:right w:val="nil"/>
            </w:tcBorders>
            <w:shd w:val="clear" w:color="auto" w:fill="auto"/>
            <w:noWrap/>
            <w:vAlign w:val="bottom"/>
            <w:hideMark/>
          </w:tcPr>
          <w:p w14:paraId="2BE4F85E"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-699</w:t>
            </w:r>
          </w:p>
        </w:tc>
        <w:tc>
          <w:tcPr>
            <w:tcW w:w="760" w:type="dxa"/>
            <w:tcBorders>
              <w:top w:val="nil"/>
              <w:left w:val="nil"/>
              <w:bottom w:val="single" w:sz="4" w:space="0" w:color="ADD6EA"/>
              <w:right w:val="nil"/>
            </w:tcBorders>
            <w:shd w:val="clear" w:color="auto" w:fill="auto"/>
            <w:noWrap/>
            <w:vAlign w:val="bottom"/>
            <w:hideMark/>
          </w:tcPr>
          <w:p w14:paraId="0A18F3AF"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459</w:t>
            </w:r>
          </w:p>
        </w:tc>
        <w:tc>
          <w:tcPr>
            <w:tcW w:w="760" w:type="dxa"/>
            <w:tcBorders>
              <w:top w:val="nil"/>
              <w:left w:val="nil"/>
              <w:bottom w:val="single" w:sz="4" w:space="0" w:color="ADD6EA"/>
              <w:right w:val="nil"/>
            </w:tcBorders>
            <w:shd w:val="clear" w:color="auto" w:fill="auto"/>
            <w:noWrap/>
            <w:vAlign w:val="bottom"/>
            <w:hideMark/>
          </w:tcPr>
          <w:p w14:paraId="7A4949A0"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363</w:t>
            </w:r>
          </w:p>
        </w:tc>
        <w:tc>
          <w:tcPr>
            <w:tcW w:w="660" w:type="dxa"/>
            <w:tcBorders>
              <w:top w:val="nil"/>
              <w:left w:val="nil"/>
              <w:bottom w:val="single" w:sz="4" w:space="0" w:color="ADD6EA"/>
              <w:right w:val="nil"/>
            </w:tcBorders>
            <w:shd w:val="clear" w:color="auto" w:fill="auto"/>
            <w:noWrap/>
            <w:vAlign w:val="bottom"/>
            <w:hideMark/>
          </w:tcPr>
          <w:p w14:paraId="689A8326"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noWrap/>
            <w:vAlign w:val="bottom"/>
            <w:hideMark/>
          </w:tcPr>
          <w:p w14:paraId="0AA624BF"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auto" w:fill="auto"/>
            <w:noWrap/>
            <w:vAlign w:val="bottom"/>
            <w:hideMark/>
          </w:tcPr>
          <w:p w14:paraId="22DC61FF"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-61</w:t>
            </w:r>
          </w:p>
        </w:tc>
        <w:tc>
          <w:tcPr>
            <w:tcW w:w="680" w:type="dxa"/>
            <w:tcBorders>
              <w:top w:val="nil"/>
              <w:left w:val="nil"/>
              <w:bottom w:val="single" w:sz="4" w:space="0" w:color="ADD6EA"/>
              <w:right w:val="nil"/>
            </w:tcBorders>
            <w:shd w:val="clear" w:color="auto" w:fill="auto"/>
            <w:noWrap/>
            <w:vAlign w:val="bottom"/>
            <w:hideMark/>
          </w:tcPr>
          <w:p w14:paraId="7BA8265C"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374</w:t>
            </w:r>
          </w:p>
        </w:tc>
        <w:tc>
          <w:tcPr>
            <w:tcW w:w="940" w:type="dxa"/>
            <w:tcBorders>
              <w:top w:val="nil"/>
              <w:left w:val="nil"/>
              <w:bottom w:val="single" w:sz="4" w:space="0" w:color="ADD6EA"/>
              <w:right w:val="nil"/>
            </w:tcBorders>
            <w:shd w:val="clear" w:color="auto" w:fill="auto"/>
            <w:noWrap/>
            <w:vAlign w:val="bottom"/>
            <w:hideMark/>
          </w:tcPr>
          <w:p w14:paraId="7CD4967F"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1,199</w:t>
            </w:r>
          </w:p>
        </w:tc>
      </w:tr>
      <w:tr w:rsidR="007E365E" w14:paraId="52AF8197" w14:textId="77777777" w:rsidTr="007D1D77">
        <w:trPr>
          <w:trHeight w:val="315"/>
        </w:trPr>
        <w:tc>
          <w:tcPr>
            <w:tcW w:w="2080" w:type="dxa"/>
            <w:tcBorders>
              <w:top w:val="nil"/>
              <w:left w:val="nil"/>
              <w:bottom w:val="single" w:sz="4" w:space="0" w:color="ADD6EA"/>
              <w:right w:val="nil"/>
            </w:tcBorders>
            <w:shd w:val="clear" w:color="auto" w:fill="auto"/>
            <w:noWrap/>
            <w:vAlign w:val="bottom"/>
            <w:hideMark/>
          </w:tcPr>
          <w:p w14:paraId="16F08537" w14:textId="77777777" w:rsidR="007E365E" w:rsidRPr="003E4355" w:rsidRDefault="007E365E" w:rsidP="007D1D77">
            <w:pPr>
              <w:tabs>
                <w:tab w:val="clear" w:pos="567"/>
              </w:tabs>
              <w:spacing w:before="0" w:line="240" w:lineRule="auto"/>
              <w:rPr>
                <w:rFonts w:eastAsia="Times New Roman" w:cs="Open Sans Light"/>
                <w:sz w:val="16"/>
                <w:szCs w:val="16"/>
                <w:lang w:eastAsia="en-AU"/>
              </w:rPr>
            </w:pPr>
            <w:r w:rsidRPr="003E4355">
              <w:rPr>
                <w:rFonts w:eastAsia="Times New Roman" w:cs="Open Sans Light"/>
                <w:sz w:val="16"/>
                <w:szCs w:val="16"/>
                <w:lang w:eastAsia="en-AU"/>
              </w:rPr>
              <w:t>$ per capita</w:t>
            </w:r>
          </w:p>
        </w:tc>
        <w:tc>
          <w:tcPr>
            <w:tcW w:w="860" w:type="dxa"/>
            <w:tcBorders>
              <w:top w:val="nil"/>
              <w:left w:val="nil"/>
              <w:bottom w:val="single" w:sz="4" w:space="0" w:color="ADD6EA"/>
              <w:right w:val="nil"/>
            </w:tcBorders>
            <w:shd w:val="clear" w:color="auto" w:fill="auto"/>
            <w:noWrap/>
            <w:vAlign w:val="bottom"/>
            <w:hideMark/>
          </w:tcPr>
          <w:p w14:paraId="24335E8F"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-51</w:t>
            </w:r>
          </w:p>
        </w:tc>
        <w:tc>
          <w:tcPr>
            <w:tcW w:w="720" w:type="dxa"/>
            <w:tcBorders>
              <w:top w:val="nil"/>
              <w:left w:val="nil"/>
              <w:bottom w:val="single" w:sz="4" w:space="0" w:color="ADD6EA"/>
              <w:right w:val="nil"/>
            </w:tcBorders>
            <w:shd w:val="clear" w:color="auto" w:fill="auto"/>
            <w:noWrap/>
            <w:vAlign w:val="bottom"/>
            <w:hideMark/>
          </w:tcPr>
          <w:p w14:paraId="61BF5AAE"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-102</w:t>
            </w:r>
          </w:p>
        </w:tc>
        <w:tc>
          <w:tcPr>
            <w:tcW w:w="760" w:type="dxa"/>
            <w:tcBorders>
              <w:top w:val="nil"/>
              <w:left w:val="nil"/>
              <w:bottom w:val="single" w:sz="4" w:space="0" w:color="ADD6EA"/>
              <w:right w:val="nil"/>
            </w:tcBorders>
            <w:shd w:val="clear" w:color="auto" w:fill="auto"/>
            <w:noWrap/>
            <w:vAlign w:val="bottom"/>
            <w:hideMark/>
          </w:tcPr>
          <w:p w14:paraId="0506B109"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88</w:t>
            </w:r>
          </w:p>
        </w:tc>
        <w:tc>
          <w:tcPr>
            <w:tcW w:w="760" w:type="dxa"/>
            <w:tcBorders>
              <w:top w:val="nil"/>
              <w:left w:val="nil"/>
              <w:bottom w:val="single" w:sz="4" w:space="0" w:color="ADD6EA"/>
              <w:right w:val="nil"/>
            </w:tcBorders>
            <w:shd w:val="clear" w:color="auto" w:fill="auto"/>
            <w:noWrap/>
            <w:vAlign w:val="bottom"/>
            <w:hideMark/>
          </w:tcPr>
          <w:p w14:paraId="6CC2685B"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137</w:t>
            </w:r>
          </w:p>
        </w:tc>
        <w:tc>
          <w:tcPr>
            <w:tcW w:w="660" w:type="dxa"/>
            <w:tcBorders>
              <w:top w:val="nil"/>
              <w:left w:val="nil"/>
              <w:bottom w:val="single" w:sz="4" w:space="0" w:color="ADD6EA"/>
              <w:right w:val="nil"/>
            </w:tcBorders>
            <w:shd w:val="clear" w:color="auto" w:fill="auto"/>
            <w:noWrap/>
            <w:vAlign w:val="bottom"/>
            <w:hideMark/>
          </w:tcPr>
          <w:p w14:paraId="792A4CD6"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noWrap/>
            <w:vAlign w:val="bottom"/>
            <w:hideMark/>
          </w:tcPr>
          <w:p w14:paraId="66D2AF97"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-27</w:t>
            </w:r>
          </w:p>
        </w:tc>
        <w:tc>
          <w:tcPr>
            <w:tcW w:w="760" w:type="dxa"/>
            <w:tcBorders>
              <w:top w:val="nil"/>
              <w:left w:val="nil"/>
              <w:bottom w:val="single" w:sz="4" w:space="0" w:color="ADD6EA"/>
              <w:right w:val="nil"/>
            </w:tcBorders>
            <w:shd w:val="clear" w:color="auto" w:fill="auto"/>
            <w:noWrap/>
            <w:vAlign w:val="bottom"/>
            <w:hideMark/>
          </w:tcPr>
          <w:p w14:paraId="3BA72BD1"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-139</w:t>
            </w:r>
          </w:p>
        </w:tc>
        <w:tc>
          <w:tcPr>
            <w:tcW w:w="680" w:type="dxa"/>
            <w:tcBorders>
              <w:top w:val="nil"/>
              <w:left w:val="nil"/>
              <w:bottom w:val="single" w:sz="4" w:space="0" w:color="ADD6EA"/>
              <w:right w:val="nil"/>
            </w:tcBorders>
            <w:shd w:val="clear" w:color="auto" w:fill="auto"/>
            <w:noWrap/>
            <w:vAlign w:val="bottom"/>
            <w:hideMark/>
          </w:tcPr>
          <w:p w14:paraId="1748C35A"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1,519</w:t>
            </w:r>
          </w:p>
        </w:tc>
        <w:tc>
          <w:tcPr>
            <w:tcW w:w="940" w:type="dxa"/>
            <w:tcBorders>
              <w:top w:val="nil"/>
              <w:left w:val="nil"/>
              <w:bottom w:val="single" w:sz="4" w:space="0" w:color="ADD6EA"/>
              <w:right w:val="nil"/>
            </w:tcBorders>
            <w:shd w:val="clear" w:color="auto" w:fill="auto"/>
            <w:noWrap/>
            <w:vAlign w:val="bottom"/>
            <w:hideMark/>
          </w:tcPr>
          <w:p w14:paraId="5D7AFFAD" w14:textId="77777777" w:rsidR="007E365E" w:rsidRPr="003E4355" w:rsidRDefault="007E365E" w:rsidP="007D1D77">
            <w:pPr>
              <w:tabs>
                <w:tab w:val="clear" w:pos="567"/>
              </w:tabs>
              <w:spacing w:before="0" w:line="240" w:lineRule="auto"/>
              <w:jc w:val="right"/>
              <w:rPr>
                <w:rFonts w:eastAsia="Times New Roman" w:cs="Open Sans Light"/>
                <w:sz w:val="16"/>
                <w:szCs w:val="16"/>
                <w:lang w:eastAsia="en-AU"/>
              </w:rPr>
            </w:pPr>
            <w:r w:rsidRPr="003E4355">
              <w:rPr>
                <w:rFonts w:eastAsia="Times New Roman" w:cs="Open Sans Light"/>
                <w:sz w:val="16"/>
                <w:szCs w:val="16"/>
                <w:lang w:eastAsia="en-AU"/>
              </w:rPr>
              <w:t>46</w:t>
            </w:r>
          </w:p>
        </w:tc>
      </w:tr>
    </w:tbl>
    <w:p w14:paraId="320B4D5B" w14:textId="77777777" w:rsidR="007E365E" w:rsidRPr="00E23377" w:rsidRDefault="007E365E" w:rsidP="007E365E">
      <w:pPr>
        <w:pStyle w:val="CGCTablenote"/>
        <w:keepNext/>
        <w:keepLines/>
      </w:pPr>
      <w:r w:rsidRPr="00E23377">
        <w:t>Source:</w:t>
      </w:r>
      <w:r w:rsidRPr="00E23377">
        <w:tab/>
        <w:t>Commission calculation.</w:t>
      </w:r>
    </w:p>
    <w:p w14:paraId="76A36B2E" w14:textId="77777777" w:rsidR="007E365E" w:rsidRPr="00E23377" w:rsidRDefault="007E365E" w:rsidP="007E365E">
      <w:pPr>
        <w:pStyle w:val="Heading3"/>
      </w:pPr>
      <w:r w:rsidRPr="00E23377">
        <w:t>Changes since the 2019 Update</w:t>
      </w:r>
    </w:p>
    <w:p w14:paraId="7653BCB8" w14:textId="3C70673A" w:rsidR="007E365E" w:rsidRPr="00E23377" w:rsidRDefault="007E365E" w:rsidP="007E365E">
      <w:pPr>
        <w:pStyle w:val="CGCParaNumber"/>
      </w:pPr>
      <w:r w:rsidRPr="00E23377">
        <w:t xml:space="preserve">There are a number of method and data changes since the 2019 Update as well as </w:t>
      </w:r>
      <w:r>
        <w:t xml:space="preserve">data revisions and </w:t>
      </w:r>
      <w:r w:rsidRPr="00E23377">
        <w:t xml:space="preserve">changes in State circumstances. </w:t>
      </w:r>
      <w:r>
        <w:fldChar w:fldCharType="begin"/>
      </w:r>
      <w:r>
        <w:instrText xml:space="preserve"> REF _Ref32845730 \h </w:instrText>
      </w:r>
      <w:r>
        <w:fldChar w:fldCharType="separate"/>
      </w:r>
      <w:r w:rsidR="007F721A" w:rsidRPr="00E23377">
        <w:t xml:space="preserve">Table </w:t>
      </w:r>
      <w:r w:rsidR="007F721A">
        <w:t>20-</w:t>
      </w:r>
      <w:r w:rsidR="007F721A">
        <w:rPr>
          <w:noProof/>
        </w:rPr>
        <w:t>32</w:t>
      </w:r>
      <w:r>
        <w:fldChar w:fldCharType="end"/>
      </w:r>
      <w:r w:rsidRPr="00E23377">
        <w:t xml:space="preserve"> shows the effect of these changes. </w:t>
      </w:r>
    </w:p>
    <w:p w14:paraId="057BC62C" w14:textId="07AEB76A" w:rsidR="007E365E" w:rsidRDefault="007E365E" w:rsidP="007E365E">
      <w:pPr>
        <w:pStyle w:val="Caption"/>
      </w:pPr>
      <w:bookmarkStart w:id="227" w:name="_Ref32845730"/>
      <w:r w:rsidRPr="00E23377">
        <w:t xml:space="preserve">Table </w:t>
      </w:r>
      <w:r>
        <w:t>20-</w:t>
      </w:r>
      <w:fldSimple w:instr=" SEQ Table \* ARABIC ">
        <w:r w:rsidR="007F721A">
          <w:rPr>
            <w:noProof/>
          </w:rPr>
          <w:t>32</w:t>
        </w:r>
      </w:fldSimple>
      <w:bookmarkEnd w:id="227"/>
      <w:r w:rsidRPr="00E23377">
        <w:tab/>
        <w:t xml:space="preserve">Changes to </w:t>
      </w:r>
      <w:r>
        <w:t>the GST redistribution</w:t>
      </w:r>
      <w:r w:rsidRPr="00E23377">
        <w:t xml:space="preserve"> between the 2019 Update and 2020</w:t>
      </w:r>
      <w:r>
        <w:t> </w:t>
      </w:r>
      <w:r w:rsidRPr="00E23377">
        <w:t>Review</w:t>
      </w:r>
    </w:p>
    <w:tbl>
      <w:tblPr>
        <w:tblW w:w="8960" w:type="dxa"/>
        <w:tblCellMar>
          <w:left w:w="0" w:type="dxa"/>
          <w:right w:w="28" w:type="dxa"/>
        </w:tblCellMar>
        <w:tblLook w:val="04A0" w:firstRow="1" w:lastRow="0" w:firstColumn="1" w:lastColumn="0" w:noHBand="0" w:noVBand="1"/>
      </w:tblPr>
      <w:tblGrid>
        <w:gridCol w:w="2371"/>
        <w:gridCol w:w="803"/>
        <w:gridCol w:w="803"/>
        <w:gridCol w:w="803"/>
        <w:gridCol w:w="703"/>
        <w:gridCol w:w="703"/>
        <w:gridCol w:w="703"/>
        <w:gridCol w:w="703"/>
        <w:gridCol w:w="584"/>
        <w:gridCol w:w="803"/>
      </w:tblGrid>
      <w:tr w:rsidR="007E365E" w:rsidRPr="00185E14" w14:paraId="08383390" w14:textId="77777777" w:rsidTr="007D1D77">
        <w:trPr>
          <w:trHeight w:val="379"/>
        </w:trPr>
        <w:tc>
          <w:tcPr>
            <w:tcW w:w="2380" w:type="dxa"/>
            <w:tcBorders>
              <w:top w:val="single" w:sz="4" w:space="0" w:color="ADD6EA"/>
              <w:left w:val="nil"/>
              <w:bottom w:val="single" w:sz="4" w:space="0" w:color="ADD6EA"/>
              <w:right w:val="nil"/>
            </w:tcBorders>
            <w:shd w:val="clear" w:color="000000" w:fill="006991"/>
            <w:vAlign w:val="center"/>
            <w:hideMark/>
          </w:tcPr>
          <w:p w14:paraId="786E4C0A"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85E14">
              <w:rPr>
                <w:rFonts w:ascii="Open Sans SemiBold" w:eastAsia="Times New Roman" w:hAnsi="Open Sans SemiBold" w:cs="Open Sans SemiBold"/>
                <w:color w:val="FFFFFF"/>
                <w:sz w:val="16"/>
                <w:szCs w:val="16"/>
                <w:lang w:eastAsia="en-AU"/>
              </w:rPr>
              <w:t> </w:t>
            </w:r>
          </w:p>
        </w:tc>
        <w:tc>
          <w:tcPr>
            <w:tcW w:w="800" w:type="dxa"/>
            <w:tcBorders>
              <w:top w:val="single" w:sz="4" w:space="0" w:color="ADD6EA"/>
              <w:left w:val="nil"/>
              <w:bottom w:val="single" w:sz="4" w:space="0" w:color="ADD6EA"/>
              <w:right w:val="nil"/>
            </w:tcBorders>
            <w:shd w:val="clear" w:color="000000" w:fill="006991"/>
            <w:vAlign w:val="center"/>
            <w:hideMark/>
          </w:tcPr>
          <w:p w14:paraId="3A681578"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85E14">
              <w:rPr>
                <w:rFonts w:ascii="Open Sans SemiBold" w:eastAsia="Times New Roman" w:hAnsi="Open Sans SemiBold" w:cs="Open Sans SemiBold"/>
                <w:color w:val="FFFFFF"/>
                <w:sz w:val="16"/>
                <w:szCs w:val="16"/>
                <w:lang w:eastAsia="en-AU"/>
              </w:rPr>
              <w:t>NSW</w:t>
            </w:r>
          </w:p>
        </w:tc>
        <w:tc>
          <w:tcPr>
            <w:tcW w:w="800" w:type="dxa"/>
            <w:tcBorders>
              <w:top w:val="single" w:sz="4" w:space="0" w:color="ADD6EA"/>
              <w:left w:val="nil"/>
              <w:bottom w:val="single" w:sz="4" w:space="0" w:color="ADD6EA"/>
              <w:right w:val="nil"/>
            </w:tcBorders>
            <w:shd w:val="clear" w:color="000000" w:fill="006991"/>
            <w:vAlign w:val="center"/>
            <w:hideMark/>
          </w:tcPr>
          <w:p w14:paraId="460C5D8E"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85E14">
              <w:rPr>
                <w:rFonts w:ascii="Open Sans SemiBold" w:eastAsia="Times New Roman" w:hAnsi="Open Sans SemiBold" w:cs="Open Sans SemiBold"/>
                <w:color w:val="FFFFFF"/>
                <w:sz w:val="16"/>
                <w:szCs w:val="16"/>
                <w:lang w:eastAsia="en-AU"/>
              </w:rPr>
              <w:t>Vic</w:t>
            </w:r>
          </w:p>
        </w:tc>
        <w:tc>
          <w:tcPr>
            <w:tcW w:w="800" w:type="dxa"/>
            <w:tcBorders>
              <w:top w:val="single" w:sz="4" w:space="0" w:color="ADD6EA"/>
              <w:left w:val="nil"/>
              <w:bottom w:val="single" w:sz="4" w:space="0" w:color="ADD6EA"/>
              <w:right w:val="nil"/>
            </w:tcBorders>
            <w:shd w:val="clear" w:color="000000" w:fill="006991"/>
            <w:vAlign w:val="center"/>
            <w:hideMark/>
          </w:tcPr>
          <w:p w14:paraId="636DFCEE"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85E14">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0D8D2954"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85E14">
              <w:rPr>
                <w:rFonts w:ascii="Open Sans SemiBold" w:eastAsia="Times New Roman" w:hAnsi="Open Sans SemiBold" w:cs="Open Sans SemiBold"/>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vAlign w:val="center"/>
            <w:hideMark/>
          </w:tcPr>
          <w:p w14:paraId="7B774072"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85E14">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28F059D0"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85E14">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vAlign w:val="center"/>
            <w:hideMark/>
          </w:tcPr>
          <w:p w14:paraId="27B258E8"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85E14">
              <w:rPr>
                <w:rFonts w:ascii="Open Sans SemiBold" w:eastAsia="Times New Roman" w:hAnsi="Open Sans SemiBold" w:cs="Open Sans SemiBold"/>
                <w:color w:val="FFFFFF"/>
                <w:sz w:val="16"/>
                <w:szCs w:val="16"/>
                <w:lang w:eastAsia="en-AU"/>
              </w:rPr>
              <w:t>ACT</w:t>
            </w:r>
          </w:p>
        </w:tc>
        <w:tc>
          <w:tcPr>
            <w:tcW w:w="580" w:type="dxa"/>
            <w:tcBorders>
              <w:top w:val="single" w:sz="4" w:space="0" w:color="ADD6EA"/>
              <w:left w:val="nil"/>
              <w:bottom w:val="single" w:sz="4" w:space="0" w:color="ADD6EA"/>
              <w:right w:val="nil"/>
            </w:tcBorders>
            <w:shd w:val="clear" w:color="000000" w:fill="006991"/>
            <w:vAlign w:val="center"/>
            <w:hideMark/>
          </w:tcPr>
          <w:p w14:paraId="000975AE"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85E14">
              <w:rPr>
                <w:rFonts w:ascii="Open Sans SemiBold" w:eastAsia="Times New Roman" w:hAnsi="Open Sans SemiBold" w:cs="Open Sans SemiBold"/>
                <w:color w:val="FFFFFF"/>
                <w:sz w:val="16"/>
                <w:szCs w:val="16"/>
                <w:lang w:eastAsia="en-AU"/>
              </w:rPr>
              <w:t>NT</w:t>
            </w:r>
          </w:p>
        </w:tc>
        <w:tc>
          <w:tcPr>
            <w:tcW w:w="800" w:type="dxa"/>
            <w:tcBorders>
              <w:top w:val="single" w:sz="4" w:space="0" w:color="ADD6EA"/>
              <w:left w:val="nil"/>
              <w:bottom w:val="single" w:sz="4" w:space="0" w:color="ADD6EA"/>
              <w:right w:val="nil"/>
            </w:tcBorders>
            <w:shd w:val="clear" w:color="000000" w:fill="006991"/>
            <w:vAlign w:val="center"/>
            <w:hideMark/>
          </w:tcPr>
          <w:p w14:paraId="05F44CEF"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85E14">
              <w:rPr>
                <w:rFonts w:ascii="Open Sans SemiBold" w:eastAsia="Times New Roman" w:hAnsi="Open Sans SemiBold" w:cs="Open Sans SemiBold"/>
                <w:color w:val="FFFFFF"/>
                <w:sz w:val="16"/>
                <w:szCs w:val="16"/>
                <w:lang w:eastAsia="en-AU"/>
              </w:rPr>
              <w:t>Redist</w:t>
            </w:r>
          </w:p>
        </w:tc>
      </w:tr>
      <w:tr w:rsidR="007E365E" w:rsidRPr="00185E14" w14:paraId="114DFA2F" w14:textId="77777777" w:rsidTr="007D1D77">
        <w:trPr>
          <w:trHeight w:val="259"/>
        </w:trPr>
        <w:tc>
          <w:tcPr>
            <w:tcW w:w="2380" w:type="dxa"/>
            <w:tcBorders>
              <w:top w:val="nil"/>
              <w:left w:val="nil"/>
              <w:bottom w:val="single" w:sz="4" w:space="0" w:color="ADD6EA"/>
              <w:right w:val="nil"/>
            </w:tcBorders>
            <w:shd w:val="clear" w:color="000000" w:fill="B6D5E4"/>
            <w:noWrap/>
            <w:vAlign w:val="center"/>
            <w:hideMark/>
          </w:tcPr>
          <w:p w14:paraId="6F1EC810"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 </w:t>
            </w:r>
          </w:p>
        </w:tc>
        <w:tc>
          <w:tcPr>
            <w:tcW w:w="800" w:type="dxa"/>
            <w:tcBorders>
              <w:top w:val="nil"/>
              <w:left w:val="nil"/>
              <w:bottom w:val="single" w:sz="4" w:space="0" w:color="ADD6EA"/>
              <w:right w:val="nil"/>
            </w:tcBorders>
            <w:shd w:val="clear" w:color="000000" w:fill="B6D5E4"/>
            <w:noWrap/>
            <w:vAlign w:val="center"/>
            <w:hideMark/>
          </w:tcPr>
          <w:p w14:paraId="0AEDF0AA"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$m</w:t>
            </w:r>
          </w:p>
        </w:tc>
        <w:tc>
          <w:tcPr>
            <w:tcW w:w="800" w:type="dxa"/>
            <w:tcBorders>
              <w:top w:val="nil"/>
              <w:left w:val="nil"/>
              <w:bottom w:val="single" w:sz="4" w:space="0" w:color="ADD6EA"/>
              <w:right w:val="nil"/>
            </w:tcBorders>
            <w:shd w:val="clear" w:color="000000" w:fill="B6D5E4"/>
            <w:noWrap/>
            <w:vAlign w:val="center"/>
            <w:hideMark/>
          </w:tcPr>
          <w:p w14:paraId="65366BEB"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$m</w:t>
            </w:r>
          </w:p>
        </w:tc>
        <w:tc>
          <w:tcPr>
            <w:tcW w:w="800" w:type="dxa"/>
            <w:tcBorders>
              <w:top w:val="nil"/>
              <w:left w:val="nil"/>
              <w:bottom w:val="single" w:sz="4" w:space="0" w:color="ADD6EA"/>
              <w:right w:val="nil"/>
            </w:tcBorders>
            <w:shd w:val="clear" w:color="000000" w:fill="B6D5E4"/>
            <w:noWrap/>
            <w:vAlign w:val="center"/>
            <w:hideMark/>
          </w:tcPr>
          <w:p w14:paraId="73D6FF1E"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$m</w:t>
            </w:r>
          </w:p>
        </w:tc>
        <w:tc>
          <w:tcPr>
            <w:tcW w:w="700" w:type="dxa"/>
            <w:tcBorders>
              <w:top w:val="nil"/>
              <w:left w:val="nil"/>
              <w:bottom w:val="single" w:sz="4" w:space="0" w:color="ADD6EA"/>
              <w:right w:val="nil"/>
            </w:tcBorders>
            <w:shd w:val="clear" w:color="000000" w:fill="B6D5E4"/>
            <w:noWrap/>
            <w:vAlign w:val="center"/>
            <w:hideMark/>
          </w:tcPr>
          <w:p w14:paraId="1A061F8E"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$m</w:t>
            </w:r>
          </w:p>
        </w:tc>
        <w:tc>
          <w:tcPr>
            <w:tcW w:w="700" w:type="dxa"/>
            <w:tcBorders>
              <w:top w:val="nil"/>
              <w:left w:val="nil"/>
              <w:bottom w:val="single" w:sz="4" w:space="0" w:color="ADD6EA"/>
              <w:right w:val="nil"/>
            </w:tcBorders>
            <w:shd w:val="clear" w:color="000000" w:fill="B6D5E4"/>
            <w:noWrap/>
            <w:vAlign w:val="center"/>
            <w:hideMark/>
          </w:tcPr>
          <w:p w14:paraId="77F55596"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$m</w:t>
            </w:r>
          </w:p>
        </w:tc>
        <w:tc>
          <w:tcPr>
            <w:tcW w:w="700" w:type="dxa"/>
            <w:tcBorders>
              <w:top w:val="nil"/>
              <w:left w:val="nil"/>
              <w:bottom w:val="single" w:sz="4" w:space="0" w:color="ADD6EA"/>
              <w:right w:val="nil"/>
            </w:tcBorders>
            <w:shd w:val="clear" w:color="000000" w:fill="B6D5E4"/>
            <w:noWrap/>
            <w:vAlign w:val="center"/>
            <w:hideMark/>
          </w:tcPr>
          <w:p w14:paraId="19E154E1"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$m</w:t>
            </w:r>
          </w:p>
        </w:tc>
        <w:tc>
          <w:tcPr>
            <w:tcW w:w="700" w:type="dxa"/>
            <w:tcBorders>
              <w:top w:val="nil"/>
              <w:left w:val="nil"/>
              <w:bottom w:val="single" w:sz="4" w:space="0" w:color="ADD6EA"/>
              <w:right w:val="nil"/>
            </w:tcBorders>
            <w:shd w:val="clear" w:color="000000" w:fill="B6D5E4"/>
            <w:noWrap/>
            <w:vAlign w:val="center"/>
            <w:hideMark/>
          </w:tcPr>
          <w:p w14:paraId="7481F91A"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$m</w:t>
            </w:r>
          </w:p>
        </w:tc>
        <w:tc>
          <w:tcPr>
            <w:tcW w:w="580" w:type="dxa"/>
            <w:tcBorders>
              <w:top w:val="nil"/>
              <w:left w:val="nil"/>
              <w:bottom w:val="single" w:sz="4" w:space="0" w:color="ADD6EA"/>
              <w:right w:val="nil"/>
            </w:tcBorders>
            <w:shd w:val="clear" w:color="000000" w:fill="B6D5E4"/>
            <w:noWrap/>
            <w:vAlign w:val="center"/>
            <w:hideMark/>
          </w:tcPr>
          <w:p w14:paraId="393E5195"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$m</w:t>
            </w:r>
          </w:p>
        </w:tc>
        <w:tc>
          <w:tcPr>
            <w:tcW w:w="800" w:type="dxa"/>
            <w:tcBorders>
              <w:top w:val="nil"/>
              <w:left w:val="nil"/>
              <w:bottom w:val="single" w:sz="4" w:space="0" w:color="ADD6EA"/>
              <w:right w:val="nil"/>
            </w:tcBorders>
            <w:shd w:val="clear" w:color="000000" w:fill="B6D5E4"/>
            <w:noWrap/>
            <w:vAlign w:val="center"/>
            <w:hideMark/>
          </w:tcPr>
          <w:p w14:paraId="26CC93C7"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$m</w:t>
            </w:r>
          </w:p>
        </w:tc>
      </w:tr>
      <w:tr w:rsidR="007E365E" w:rsidRPr="00185E14" w14:paraId="776AF69C" w14:textId="77777777" w:rsidTr="007D1D77">
        <w:trPr>
          <w:trHeight w:val="315"/>
        </w:trPr>
        <w:tc>
          <w:tcPr>
            <w:tcW w:w="2380" w:type="dxa"/>
            <w:tcBorders>
              <w:top w:val="nil"/>
              <w:left w:val="nil"/>
              <w:bottom w:val="single" w:sz="4" w:space="0" w:color="ADD6EA"/>
              <w:right w:val="nil"/>
            </w:tcBorders>
            <w:shd w:val="clear" w:color="auto" w:fill="auto"/>
            <w:noWrap/>
            <w:vAlign w:val="bottom"/>
            <w:hideMark/>
          </w:tcPr>
          <w:p w14:paraId="77839C16" w14:textId="77777777" w:rsidR="007E365E" w:rsidRPr="00185E14" w:rsidRDefault="007E365E" w:rsidP="007D1D77">
            <w:pPr>
              <w:tabs>
                <w:tab w:val="clear" w:pos="567"/>
              </w:tabs>
              <w:spacing w:before="0" w:line="240" w:lineRule="auto"/>
              <w:rPr>
                <w:rFonts w:eastAsia="Times New Roman" w:cs="Open Sans Light"/>
                <w:sz w:val="16"/>
                <w:szCs w:val="16"/>
                <w:lang w:eastAsia="en-AU"/>
              </w:rPr>
            </w:pPr>
            <w:r w:rsidRPr="00185E14">
              <w:rPr>
                <w:rFonts w:eastAsia="Times New Roman" w:cs="Open Sans Light"/>
                <w:sz w:val="16"/>
                <w:szCs w:val="16"/>
                <w:lang w:eastAsia="en-AU"/>
              </w:rPr>
              <w:t>Method and data changes</w:t>
            </w:r>
          </w:p>
        </w:tc>
        <w:tc>
          <w:tcPr>
            <w:tcW w:w="800" w:type="dxa"/>
            <w:tcBorders>
              <w:top w:val="nil"/>
              <w:left w:val="nil"/>
              <w:bottom w:val="single" w:sz="4" w:space="0" w:color="ADD6EA"/>
              <w:right w:val="nil"/>
            </w:tcBorders>
            <w:shd w:val="clear" w:color="auto" w:fill="auto"/>
            <w:noWrap/>
            <w:vAlign w:val="bottom"/>
            <w:hideMark/>
          </w:tcPr>
          <w:p w14:paraId="0F07EEFB"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39</w:t>
            </w:r>
          </w:p>
        </w:tc>
        <w:tc>
          <w:tcPr>
            <w:tcW w:w="800" w:type="dxa"/>
            <w:tcBorders>
              <w:top w:val="nil"/>
              <w:left w:val="nil"/>
              <w:bottom w:val="single" w:sz="4" w:space="0" w:color="ADD6EA"/>
              <w:right w:val="nil"/>
            </w:tcBorders>
            <w:shd w:val="clear" w:color="auto" w:fill="auto"/>
            <w:noWrap/>
            <w:vAlign w:val="bottom"/>
            <w:hideMark/>
          </w:tcPr>
          <w:p w14:paraId="3E67D7BE"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-29</w:t>
            </w:r>
          </w:p>
        </w:tc>
        <w:tc>
          <w:tcPr>
            <w:tcW w:w="800" w:type="dxa"/>
            <w:tcBorders>
              <w:top w:val="nil"/>
              <w:left w:val="nil"/>
              <w:bottom w:val="single" w:sz="4" w:space="0" w:color="ADD6EA"/>
              <w:right w:val="nil"/>
            </w:tcBorders>
            <w:shd w:val="clear" w:color="auto" w:fill="auto"/>
            <w:noWrap/>
            <w:vAlign w:val="bottom"/>
            <w:hideMark/>
          </w:tcPr>
          <w:p w14:paraId="30CC7595"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66</w:t>
            </w:r>
          </w:p>
        </w:tc>
        <w:tc>
          <w:tcPr>
            <w:tcW w:w="700" w:type="dxa"/>
            <w:tcBorders>
              <w:top w:val="nil"/>
              <w:left w:val="nil"/>
              <w:bottom w:val="single" w:sz="4" w:space="0" w:color="ADD6EA"/>
              <w:right w:val="nil"/>
            </w:tcBorders>
            <w:shd w:val="clear" w:color="auto" w:fill="auto"/>
            <w:noWrap/>
            <w:vAlign w:val="bottom"/>
            <w:hideMark/>
          </w:tcPr>
          <w:p w14:paraId="2EC79BA3"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-70</w:t>
            </w:r>
          </w:p>
        </w:tc>
        <w:tc>
          <w:tcPr>
            <w:tcW w:w="700" w:type="dxa"/>
            <w:tcBorders>
              <w:top w:val="nil"/>
              <w:left w:val="nil"/>
              <w:bottom w:val="single" w:sz="4" w:space="0" w:color="ADD6EA"/>
              <w:right w:val="nil"/>
            </w:tcBorders>
            <w:shd w:val="clear" w:color="auto" w:fill="auto"/>
            <w:noWrap/>
            <w:vAlign w:val="bottom"/>
            <w:hideMark/>
          </w:tcPr>
          <w:p w14:paraId="3AAA9322"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-5</w:t>
            </w:r>
          </w:p>
        </w:tc>
        <w:tc>
          <w:tcPr>
            <w:tcW w:w="700" w:type="dxa"/>
            <w:tcBorders>
              <w:top w:val="nil"/>
              <w:left w:val="nil"/>
              <w:bottom w:val="single" w:sz="4" w:space="0" w:color="ADD6EA"/>
              <w:right w:val="nil"/>
            </w:tcBorders>
            <w:shd w:val="clear" w:color="auto" w:fill="auto"/>
            <w:noWrap/>
            <w:vAlign w:val="bottom"/>
            <w:hideMark/>
          </w:tcPr>
          <w:p w14:paraId="3CDB4DCD"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14</w:t>
            </w:r>
          </w:p>
        </w:tc>
        <w:tc>
          <w:tcPr>
            <w:tcW w:w="700" w:type="dxa"/>
            <w:tcBorders>
              <w:top w:val="nil"/>
              <w:left w:val="nil"/>
              <w:bottom w:val="single" w:sz="4" w:space="0" w:color="ADD6EA"/>
              <w:right w:val="nil"/>
            </w:tcBorders>
            <w:shd w:val="clear" w:color="auto" w:fill="auto"/>
            <w:noWrap/>
            <w:vAlign w:val="bottom"/>
            <w:hideMark/>
          </w:tcPr>
          <w:p w14:paraId="44449221"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-13</w:t>
            </w:r>
          </w:p>
        </w:tc>
        <w:tc>
          <w:tcPr>
            <w:tcW w:w="580" w:type="dxa"/>
            <w:tcBorders>
              <w:top w:val="nil"/>
              <w:left w:val="nil"/>
              <w:bottom w:val="single" w:sz="4" w:space="0" w:color="ADD6EA"/>
              <w:right w:val="nil"/>
            </w:tcBorders>
            <w:shd w:val="clear" w:color="auto" w:fill="auto"/>
            <w:noWrap/>
            <w:vAlign w:val="bottom"/>
            <w:hideMark/>
          </w:tcPr>
          <w:p w14:paraId="15A6E1F8"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-2</w:t>
            </w:r>
          </w:p>
        </w:tc>
        <w:tc>
          <w:tcPr>
            <w:tcW w:w="800" w:type="dxa"/>
            <w:tcBorders>
              <w:top w:val="nil"/>
              <w:left w:val="nil"/>
              <w:bottom w:val="single" w:sz="4" w:space="0" w:color="ADD6EA"/>
              <w:right w:val="nil"/>
            </w:tcBorders>
            <w:shd w:val="clear" w:color="auto" w:fill="auto"/>
            <w:noWrap/>
            <w:vAlign w:val="bottom"/>
            <w:hideMark/>
          </w:tcPr>
          <w:p w14:paraId="3E37A2BD"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120</w:t>
            </w:r>
          </w:p>
        </w:tc>
      </w:tr>
      <w:tr w:rsidR="007E365E" w:rsidRPr="00185E14" w14:paraId="60DD7490" w14:textId="77777777" w:rsidTr="007D1D77">
        <w:trPr>
          <w:trHeight w:val="315"/>
        </w:trPr>
        <w:tc>
          <w:tcPr>
            <w:tcW w:w="2380" w:type="dxa"/>
            <w:tcBorders>
              <w:top w:val="nil"/>
              <w:left w:val="nil"/>
              <w:bottom w:val="single" w:sz="4" w:space="0" w:color="ADD6EA"/>
              <w:right w:val="nil"/>
            </w:tcBorders>
            <w:shd w:val="clear" w:color="auto" w:fill="auto"/>
            <w:noWrap/>
            <w:vAlign w:val="bottom"/>
            <w:hideMark/>
          </w:tcPr>
          <w:p w14:paraId="5D83C996" w14:textId="77777777" w:rsidR="007E365E" w:rsidRPr="00185E14" w:rsidRDefault="007E365E" w:rsidP="007D1D77">
            <w:pPr>
              <w:tabs>
                <w:tab w:val="clear" w:pos="567"/>
              </w:tabs>
              <w:spacing w:before="0" w:line="240" w:lineRule="auto"/>
              <w:rPr>
                <w:rFonts w:eastAsia="Times New Roman" w:cs="Open Sans Light"/>
                <w:sz w:val="16"/>
                <w:szCs w:val="16"/>
                <w:lang w:eastAsia="en-AU"/>
              </w:rPr>
            </w:pPr>
            <w:r w:rsidRPr="00185E14">
              <w:rPr>
                <w:rFonts w:eastAsia="Times New Roman" w:cs="Open Sans Light"/>
                <w:sz w:val="16"/>
                <w:szCs w:val="16"/>
                <w:lang w:eastAsia="en-AU"/>
              </w:rPr>
              <w:t>Data revisions</w:t>
            </w:r>
          </w:p>
        </w:tc>
        <w:tc>
          <w:tcPr>
            <w:tcW w:w="800" w:type="dxa"/>
            <w:tcBorders>
              <w:top w:val="nil"/>
              <w:left w:val="nil"/>
              <w:bottom w:val="single" w:sz="4" w:space="0" w:color="ADD6EA"/>
              <w:right w:val="nil"/>
            </w:tcBorders>
            <w:shd w:val="clear" w:color="auto" w:fill="auto"/>
            <w:noWrap/>
            <w:vAlign w:val="bottom"/>
            <w:hideMark/>
          </w:tcPr>
          <w:p w14:paraId="23D976B5"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-18</w:t>
            </w:r>
          </w:p>
        </w:tc>
        <w:tc>
          <w:tcPr>
            <w:tcW w:w="800" w:type="dxa"/>
            <w:tcBorders>
              <w:top w:val="nil"/>
              <w:left w:val="nil"/>
              <w:bottom w:val="single" w:sz="4" w:space="0" w:color="ADD6EA"/>
              <w:right w:val="nil"/>
            </w:tcBorders>
            <w:shd w:val="clear" w:color="auto" w:fill="auto"/>
            <w:noWrap/>
            <w:vAlign w:val="bottom"/>
            <w:hideMark/>
          </w:tcPr>
          <w:p w14:paraId="68ABB0DA"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22</w:t>
            </w:r>
          </w:p>
        </w:tc>
        <w:tc>
          <w:tcPr>
            <w:tcW w:w="800" w:type="dxa"/>
            <w:tcBorders>
              <w:top w:val="nil"/>
              <w:left w:val="nil"/>
              <w:bottom w:val="single" w:sz="4" w:space="0" w:color="ADD6EA"/>
              <w:right w:val="nil"/>
            </w:tcBorders>
            <w:shd w:val="clear" w:color="auto" w:fill="auto"/>
            <w:noWrap/>
            <w:vAlign w:val="bottom"/>
            <w:hideMark/>
          </w:tcPr>
          <w:p w14:paraId="1DAC96C1"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-14</w:t>
            </w:r>
          </w:p>
        </w:tc>
        <w:tc>
          <w:tcPr>
            <w:tcW w:w="700" w:type="dxa"/>
            <w:tcBorders>
              <w:top w:val="nil"/>
              <w:left w:val="nil"/>
              <w:bottom w:val="single" w:sz="4" w:space="0" w:color="ADD6EA"/>
              <w:right w:val="nil"/>
            </w:tcBorders>
            <w:shd w:val="clear" w:color="auto" w:fill="auto"/>
            <w:noWrap/>
            <w:vAlign w:val="bottom"/>
            <w:hideMark/>
          </w:tcPr>
          <w:p w14:paraId="012031C0"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noWrap/>
            <w:vAlign w:val="bottom"/>
            <w:hideMark/>
          </w:tcPr>
          <w:p w14:paraId="4B2138BD"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noWrap/>
            <w:vAlign w:val="bottom"/>
            <w:hideMark/>
          </w:tcPr>
          <w:p w14:paraId="548A8805"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3</w:t>
            </w:r>
          </w:p>
        </w:tc>
        <w:tc>
          <w:tcPr>
            <w:tcW w:w="700" w:type="dxa"/>
            <w:tcBorders>
              <w:top w:val="nil"/>
              <w:left w:val="nil"/>
              <w:bottom w:val="single" w:sz="4" w:space="0" w:color="ADD6EA"/>
              <w:right w:val="nil"/>
            </w:tcBorders>
            <w:shd w:val="clear" w:color="auto" w:fill="auto"/>
            <w:noWrap/>
            <w:vAlign w:val="bottom"/>
            <w:hideMark/>
          </w:tcPr>
          <w:p w14:paraId="6191198E"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1</w:t>
            </w:r>
          </w:p>
        </w:tc>
        <w:tc>
          <w:tcPr>
            <w:tcW w:w="580" w:type="dxa"/>
            <w:tcBorders>
              <w:top w:val="nil"/>
              <w:left w:val="nil"/>
              <w:bottom w:val="single" w:sz="4" w:space="0" w:color="ADD6EA"/>
              <w:right w:val="nil"/>
            </w:tcBorders>
            <w:shd w:val="clear" w:color="auto" w:fill="auto"/>
            <w:noWrap/>
            <w:vAlign w:val="bottom"/>
            <w:hideMark/>
          </w:tcPr>
          <w:p w14:paraId="168E5273"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-2</w:t>
            </w:r>
          </w:p>
        </w:tc>
        <w:tc>
          <w:tcPr>
            <w:tcW w:w="800" w:type="dxa"/>
            <w:tcBorders>
              <w:top w:val="nil"/>
              <w:left w:val="nil"/>
              <w:bottom w:val="single" w:sz="4" w:space="0" w:color="ADD6EA"/>
              <w:right w:val="nil"/>
            </w:tcBorders>
            <w:shd w:val="clear" w:color="auto" w:fill="auto"/>
            <w:noWrap/>
            <w:vAlign w:val="bottom"/>
            <w:hideMark/>
          </w:tcPr>
          <w:p w14:paraId="6CFDD4E6"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35</w:t>
            </w:r>
          </w:p>
        </w:tc>
      </w:tr>
      <w:tr w:rsidR="007E365E" w:rsidRPr="00185E14" w14:paraId="2EC05975" w14:textId="77777777" w:rsidTr="007D1D77">
        <w:trPr>
          <w:trHeight w:val="315"/>
        </w:trPr>
        <w:tc>
          <w:tcPr>
            <w:tcW w:w="2380" w:type="dxa"/>
            <w:tcBorders>
              <w:top w:val="nil"/>
              <w:left w:val="nil"/>
              <w:bottom w:val="single" w:sz="4" w:space="0" w:color="ADD6EA"/>
              <w:right w:val="nil"/>
            </w:tcBorders>
            <w:shd w:val="clear" w:color="auto" w:fill="auto"/>
            <w:noWrap/>
            <w:vAlign w:val="bottom"/>
            <w:hideMark/>
          </w:tcPr>
          <w:p w14:paraId="2ACD9FA4" w14:textId="77777777" w:rsidR="007E365E" w:rsidRPr="00185E14" w:rsidRDefault="007E365E" w:rsidP="007D1D77">
            <w:pPr>
              <w:tabs>
                <w:tab w:val="clear" w:pos="567"/>
              </w:tabs>
              <w:spacing w:before="0" w:line="240" w:lineRule="auto"/>
              <w:rPr>
                <w:rFonts w:eastAsia="Times New Roman" w:cs="Open Sans Light"/>
                <w:sz w:val="16"/>
                <w:szCs w:val="16"/>
                <w:lang w:eastAsia="en-AU"/>
              </w:rPr>
            </w:pPr>
            <w:r w:rsidRPr="00185E14">
              <w:rPr>
                <w:rFonts w:eastAsia="Times New Roman" w:cs="Open Sans Light"/>
                <w:sz w:val="16"/>
                <w:szCs w:val="16"/>
                <w:lang w:eastAsia="en-AU"/>
              </w:rPr>
              <w:t>State circumstances</w:t>
            </w:r>
          </w:p>
        </w:tc>
        <w:tc>
          <w:tcPr>
            <w:tcW w:w="800" w:type="dxa"/>
            <w:tcBorders>
              <w:top w:val="nil"/>
              <w:left w:val="nil"/>
              <w:bottom w:val="single" w:sz="4" w:space="0" w:color="ADD6EA"/>
              <w:right w:val="nil"/>
            </w:tcBorders>
            <w:shd w:val="clear" w:color="auto" w:fill="auto"/>
            <w:noWrap/>
            <w:vAlign w:val="bottom"/>
            <w:hideMark/>
          </w:tcPr>
          <w:p w14:paraId="2D721C90"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1</w:t>
            </w:r>
          </w:p>
        </w:tc>
        <w:tc>
          <w:tcPr>
            <w:tcW w:w="800" w:type="dxa"/>
            <w:tcBorders>
              <w:top w:val="nil"/>
              <w:left w:val="nil"/>
              <w:bottom w:val="single" w:sz="4" w:space="0" w:color="ADD6EA"/>
              <w:right w:val="nil"/>
            </w:tcBorders>
            <w:shd w:val="clear" w:color="auto" w:fill="auto"/>
            <w:noWrap/>
            <w:vAlign w:val="bottom"/>
            <w:hideMark/>
          </w:tcPr>
          <w:p w14:paraId="0DBE8CD1"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-4</w:t>
            </w:r>
          </w:p>
        </w:tc>
        <w:tc>
          <w:tcPr>
            <w:tcW w:w="800" w:type="dxa"/>
            <w:tcBorders>
              <w:top w:val="nil"/>
              <w:left w:val="nil"/>
              <w:bottom w:val="single" w:sz="4" w:space="0" w:color="ADD6EA"/>
              <w:right w:val="nil"/>
            </w:tcBorders>
            <w:shd w:val="clear" w:color="auto" w:fill="auto"/>
            <w:noWrap/>
            <w:vAlign w:val="bottom"/>
            <w:hideMark/>
          </w:tcPr>
          <w:p w14:paraId="622CF2DC"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noWrap/>
            <w:vAlign w:val="bottom"/>
            <w:hideMark/>
          </w:tcPr>
          <w:p w14:paraId="716DBFF4"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noWrap/>
            <w:vAlign w:val="bottom"/>
            <w:hideMark/>
          </w:tcPr>
          <w:p w14:paraId="1A69F246"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3</w:t>
            </w:r>
          </w:p>
        </w:tc>
        <w:tc>
          <w:tcPr>
            <w:tcW w:w="700" w:type="dxa"/>
            <w:tcBorders>
              <w:top w:val="nil"/>
              <w:left w:val="nil"/>
              <w:bottom w:val="single" w:sz="4" w:space="0" w:color="ADD6EA"/>
              <w:right w:val="nil"/>
            </w:tcBorders>
            <w:shd w:val="clear" w:color="auto" w:fill="auto"/>
            <w:noWrap/>
            <w:vAlign w:val="bottom"/>
            <w:hideMark/>
          </w:tcPr>
          <w:p w14:paraId="6D801A01"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3</w:t>
            </w:r>
          </w:p>
        </w:tc>
        <w:tc>
          <w:tcPr>
            <w:tcW w:w="700" w:type="dxa"/>
            <w:tcBorders>
              <w:top w:val="nil"/>
              <w:left w:val="nil"/>
              <w:bottom w:val="single" w:sz="4" w:space="0" w:color="ADD6EA"/>
              <w:right w:val="nil"/>
            </w:tcBorders>
            <w:shd w:val="clear" w:color="auto" w:fill="auto"/>
            <w:noWrap/>
            <w:vAlign w:val="bottom"/>
            <w:hideMark/>
          </w:tcPr>
          <w:p w14:paraId="66728981"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-1</w:t>
            </w:r>
          </w:p>
        </w:tc>
        <w:tc>
          <w:tcPr>
            <w:tcW w:w="580" w:type="dxa"/>
            <w:tcBorders>
              <w:top w:val="nil"/>
              <w:left w:val="nil"/>
              <w:bottom w:val="single" w:sz="4" w:space="0" w:color="ADD6EA"/>
              <w:right w:val="nil"/>
            </w:tcBorders>
            <w:shd w:val="clear" w:color="auto" w:fill="auto"/>
            <w:noWrap/>
            <w:vAlign w:val="bottom"/>
            <w:hideMark/>
          </w:tcPr>
          <w:p w14:paraId="5311FE7E"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2</w:t>
            </w:r>
          </w:p>
        </w:tc>
        <w:tc>
          <w:tcPr>
            <w:tcW w:w="800" w:type="dxa"/>
            <w:tcBorders>
              <w:top w:val="nil"/>
              <w:left w:val="nil"/>
              <w:bottom w:val="single" w:sz="4" w:space="0" w:color="ADD6EA"/>
              <w:right w:val="nil"/>
            </w:tcBorders>
            <w:shd w:val="clear" w:color="auto" w:fill="auto"/>
            <w:noWrap/>
            <w:vAlign w:val="bottom"/>
            <w:hideMark/>
          </w:tcPr>
          <w:p w14:paraId="745CFF70" w14:textId="77777777" w:rsidR="007E365E" w:rsidRPr="00185E14" w:rsidRDefault="007E365E" w:rsidP="007D1D77">
            <w:pPr>
              <w:tabs>
                <w:tab w:val="clear" w:pos="567"/>
              </w:tabs>
              <w:spacing w:before="0" w:line="240" w:lineRule="auto"/>
              <w:jc w:val="right"/>
              <w:rPr>
                <w:rFonts w:eastAsia="Times New Roman" w:cs="Open Sans Light"/>
                <w:sz w:val="16"/>
                <w:szCs w:val="16"/>
                <w:lang w:eastAsia="en-AU"/>
              </w:rPr>
            </w:pPr>
            <w:r w:rsidRPr="00185E14">
              <w:rPr>
                <w:rFonts w:eastAsia="Times New Roman" w:cs="Open Sans Light"/>
                <w:sz w:val="16"/>
                <w:szCs w:val="16"/>
                <w:lang w:eastAsia="en-AU"/>
              </w:rPr>
              <w:t>9</w:t>
            </w:r>
          </w:p>
        </w:tc>
      </w:tr>
      <w:tr w:rsidR="007E365E" w:rsidRPr="00185E14" w14:paraId="3F894C92" w14:textId="77777777" w:rsidTr="007D1D77">
        <w:trPr>
          <w:trHeight w:val="315"/>
        </w:trPr>
        <w:tc>
          <w:tcPr>
            <w:tcW w:w="2380" w:type="dxa"/>
            <w:tcBorders>
              <w:top w:val="nil"/>
              <w:left w:val="nil"/>
              <w:bottom w:val="single" w:sz="4" w:space="0" w:color="ADD6EA"/>
              <w:right w:val="nil"/>
            </w:tcBorders>
            <w:shd w:val="clear" w:color="000000" w:fill="D6E7F0"/>
            <w:noWrap/>
            <w:vAlign w:val="bottom"/>
            <w:hideMark/>
          </w:tcPr>
          <w:p w14:paraId="2434BB64" w14:textId="77777777" w:rsidR="007E365E" w:rsidRPr="00185E14"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Total</w:t>
            </w:r>
          </w:p>
        </w:tc>
        <w:tc>
          <w:tcPr>
            <w:tcW w:w="800" w:type="dxa"/>
            <w:tcBorders>
              <w:top w:val="nil"/>
              <w:left w:val="nil"/>
              <w:bottom w:val="single" w:sz="4" w:space="0" w:color="ADD6EA"/>
              <w:right w:val="nil"/>
            </w:tcBorders>
            <w:shd w:val="clear" w:color="000000" w:fill="D6E7F0"/>
            <w:noWrap/>
            <w:vAlign w:val="bottom"/>
            <w:hideMark/>
          </w:tcPr>
          <w:p w14:paraId="1605B5A9"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22</w:t>
            </w:r>
          </w:p>
        </w:tc>
        <w:tc>
          <w:tcPr>
            <w:tcW w:w="800" w:type="dxa"/>
            <w:tcBorders>
              <w:top w:val="nil"/>
              <w:left w:val="nil"/>
              <w:bottom w:val="single" w:sz="4" w:space="0" w:color="ADD6EA"/>
              <w:right w:val="nil"/>
            </w:tcBorders>
            <w:shd w:val="clear" w:color="000000" w:fill="D6E7F0"/>
            <w:noWrap/>
            <w:vAlign w:val="bottom"/>
            <w:hideMark/>
          </w:tcPr>
          <w:p w14:paraId="7416CF0F"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-11</w:t>
            </w:r>
          </w:p>
        </w:tc>
        <w:tc>
          <w:tcPr>
            <w:tcW w:w="800" w:type="dxa"/>
            <w:tcBorders>
              <w:top w:val="nil"/>
              <w:left w:val="nil"/>
              <w:bottom w:val="single" w:sz="4" w:space="0" w:color="ADD6EA"/>
              <w:right w:val="nil"/>
            </w:tcBorders>
            <w:shd w:val="clear" w:color="000000" w:fill="D6E7F0"/>
            <w:noWrap/>
            <w:vAlign w:val="bottom"/>
            <w:hideMark/>
          </w:tcPr>
          <w:p w14:paraId="2A127B45"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50</w:t>
            </w:r>
          </w:p>
        </w:tc>
        <w:tc>
          <w:tcPr>
            <w:tcW w:w="700" w:type="dxa"/>
            <w:tcBorders>
              <w:top w:val="nil"/>
              <w:left w:val="nil"/>
              <w:bottom w:val="single" w:sz="4" w:space="0" w:color="ADD6EA"/>
              <w:right w:val="nil"/>
            </w:tcBorders>
            <w:shd w:val="clear" w:color="000000" w:fill="D6E7F0"/>
            <w:noWrap/>
            <w:vAlign w:val="bottom"/>
            <w:hideMark/>
          </w:tcPr>
          <w:p w14:paraId="220FD39F"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-63</w:t>
            </w:r>
          </w:p>
        </w:tc>
        <w:tc>
          <w:tcPr>
            <w:tcW w:w="700" w:type="dxa"/>
            <w:tcBorders>
              <w:top w:val="nil"/>
              <w:left w:val="nil"/>
              <w:bottom w:val="single" w:sz="4" w:space="0" w:color="ADD6EA"/>
              <w:right w:val="nil"/>
            </w:tcBorders>
            <w:shd w:val="clear" w:color="000000" w:fill="D6E7F0"/>
            <w:noWrap/>
            <w:vAlign w:val="bottom"/>
            <w:hideMark/>
          </w:tcPr>
          <w:p w14:paraId="54362E29"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-1</w:t>
            </w:r>
          </w:p>
        </w:tc>
        <w:tc>
          <w:tcPr>
            <w:tcW w:w="700" w:type="dxa"/>
            <w:tcBorders>
              <w:top w:val="nil"/>
              <w:left w:val="nil"/>
              <w:bottom w:val="single" w:sz="4" w:space="0" w:color="ADD6EA"/>
              <w:right w:val="nil"/>
            </w:tcBorders>
            <w:shd w:val="clear" w:color="000000" w:fill="D6E7F0"/>
            <w:noWrap/>
            <w:vAlign w:val="bottom"/>
            <w:hideMark/>
          </w:tcPr>
          <w:p w14:paraId="3D95CBF6"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20</w:t>
            </w:r>
          </w:p>
        </w:tc>
        <w:tc>
          <w:tcPr>
            <w:tcW w:w="700" w:type="dxa"/>
            <w:tcBorders>
              <w:top w:val="nil"/>
              <w:left w:val="nil"/>
              <w:bottom w:val="single" w:sz="4" w:space="0" w:color="ADD6EA"/>
              <w:right w:val="nil"/>
            </w:tcBorders>
            <w:shd w:val="clear" w:color="000000" w:fill="D6E7F0"/>
            <w:noWrap/>
            <w:vAlign w:val="bottom"/>
            <w:hideMark/>
          </w:tcPr>
          <w:p w14:paraId="36BE79E1"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-14</w:t>
            </w:r>
          </w:p>
        </w:tc>
        <w:tc>
          <w:tcPr>
            <w:tcW w:w="580" w:type="dxa"/>
            <w:tcBorders>
              <w:top w:val="nil"/>
              <w:left w:val="nil"/>
              <w:bottom w:val="single" w:sz="4" w:space="0" w:color="ADD6EA"/>
              <w:right w:val="nil"/>
            </w:tcBorders>
            <w:shd w:val="clear" w:color="000000" w:fill="D6E7F0"/>
            <w:noWrap/>
            <w:vAlign w:val="bottom"/>
            <w:hideMark/>
          </w:tcPr>
          <w:p w14:paraId="44567A97"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-2</w:t>
            </w:r>
          </w:p>
        </w:tc>
        <w:tc>
          <w:tcPr>
            <w:tcW w:w="800" w:type="dxa"/>
            <w:tcBorders>
              <w:top w:val="nil"/>
              <w:left w:val="nil"/>
              <w:bottom w:val="single" w:sz="4" w:space="0" w:color="ADD6EA"/>
              <w:right w:val="nil"/>
            </w:tcBorders>
            <w:shd w:val="clear" w:color="000000" w:fill="D6E7F0"/>
            <w:noWrap/>
            <w:vAlign w:val="bottom"/>
            <w:hideMark/>
          </w:tcPr>
          <w:p w14:paraId="44A9C221" w14:textId="77777777" w:rsidR="007E365E" w:rsidRPr="00185E1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85E14">
              <w:rPr>
                <w:rFonts w:ascii="Open Sans SemiBold" w:eastAsia="Times New Roman" w:hAnsi="Open Sans SemiBold" w:cs="Open Sans SemiBold"/>
                <w:color w:val="000000"/>
                <w:sz w:val="16"/>
                <w:szCs w:val="16"/>
                <w:lang w:eastAsia="en-AU"/>
              </w:rPr>
              <w:t>91</w:t>
            </w:r>
          </w:p>
        </w:tc>
      </w:tr>
    </w:tbl>
    <w:p w14:paraId="114B5C0D" w14:textId="77777777" w:rsidR="007E365E" w:rsidRPr="00E23377" w:rsidRDefault="007E365E" w:rsidP="007E365E">
      <w:pPr>
        <w:pStyle w:val="CGCTablenote"/>
        <w:keepNext/>
        <w:keepLines/>
      </w:pPr>
      <w:r w:rsidRPr="00E23377">
        <w:t>Source:</w:t>
      </w:r>
      <w:r w:rsidRPr="00E23377">
        <w:tab/>
        <w:t>Commission calculation.</w:t>
      </w:r>
    </w:p>
    <w:p w14:paraId="13171E7D" w14:textId="77777777" w:rsidR="007E365E" w:rsidRPr="00E23377" w:rsidRDefault="007E365E" w:rsidP="007E365E">
      <w:pPr>
        <w:pStyle w:val="Heading4"/>
        <w:rPr>
          <w:rFonts w:eastAsia="Times New Roman"/>
        </w:rPr>
      </w:pPr>
      <w:r w:rsidRPr="00E23377">
        <w:rPr>
          <w:rFonts w:eastAsia="Times New Roman"/>
        </w:rPr>
        <w:t xml:space="preserve">Method </w:t>
      </w:r>
      <w:r>
        <w:rPr>
          <w:rFonts w:eastAsia="Times New Roman"/>
        </w:rPr>
        <w:t xml:space="preserve">and data </w:t>
      </w:r>
      <w:r w:rsidRPr="00E23377">
        <w:rPr>
          <w:rFonts w:eastAsia="Times New Roman"/>
        </w:rPr>
        <w:t>changes</w:t>
      </w:r>
    </w:p>
    <w:p w14:paraId="78F96AFD" w14:textId="77777777" w:rsidR="007E365E" w:rsidRPr="00E23377" w:rsidRDefault="007E365E" w:rsidP="007E365E">
      <w:pPr>
        <w:pStyle w:val="CGCParaNumber"/>
      </w:pPr>
      <w:r w:rsidRPr="00E23377">
        <w:t>The Commission has re-estimated its rural road length measure. New road connections have been added to mines, ports and national parks. The number of lanes on roads is also taken into account. The assessment of unsealed roads has been removed.</w:t>
      </w:r>
    </w:p>
    <w:p w14:paraId="138A53FD" w14:textId="77777777" w:rsidR="007E365E" w:rsidRPr="00E23377" w:rsidRDefault="007E365E" w:rsidP="007E365E">
      <w:pPr>
        <w:pStyle w:val="CGCParaNumber"/>
      </w:pPr>
      <w:r w:rsidRPr="00E23377">
        <w:t>The local roads assessment has been discontinued and the local roads expenses have been reallocated proportionately to the urban and rural road components.</w:t>
      </w:r>
    </w:p>
    <w:p w14:paraId="3CC4CFED" w14:textId="77777777" w:rsidR="007E365E" w:rsidRPr="00E23377" w:rsidRDefault="007E365E" w:rsidP="007E365E">
      <w:pPr>
        <w:pStyle w:val="CGCParaNumber"/>
      </w:pPr>
      <w:r w:rsidRPr="00E23377">
        <w:t>Bridges and tunnels expenses are now assessed using actual lengths of bridges and tunnels that are State managed, measured across comparable structures.</w:t>
      </w:r>
    </w:p>
    <w:p w14:paraId="656987B8" w14:textId="77777777" w:rsidR="007E365E" w:rsidRPr="00E23377" w:rsidRDefault="007E365E" w:rsidP="007E365E">
      <w:pPr>
        <w:pStyle w:val="CGCParaNumber"/>
      </w:pPr>
      <w:r w:rsidRPr="00E23377">
        <w:lastRenderedPageBreak/>
        <w:t>The number of heavy vehicle classes has been reduced from five to three. Light commercial vehicles are now classified with passenger vehicles.</w:t>
      </w:r>
    </w:p>
    <w:p w14:paraId="1C8888C5" w14:textId="77777777" w:rsidR="007E365E" w:rsidRDefault="007E365E" w:rsidP="007E365E">
      <w:pPr>
        <w:pStyle w:val="CGCParaNumber"/>
      </w:pPr>
      <w:r w:rsidRPr="00E23377">
        <w:t>Other services expenses have been reallocated proportionately across the rural roads, urban roads and bridges and tunnels components.</w:t>
      </w:r>
      <w:r w:rsidRPr="00324E82">
        <w:t xml:space="preserve"> </w:t>
      </w:r>
    </w:p>
    <w:p w14:paraId="3CF3A8C3" w14:textId="77777777" w:rsidR="007E365E" w:rsidRPr="007275C0" w:rsidRDefault="007E365E" w:rsidP="007E365E">
      <w:pPr>
        <w:pStyle w:val="CGCParaNumber"/>
      </w:pPr>
      <w:r w:rsidRPr="007275C0">
        <w:t>State spatial data on bridges, tunnels and roads have been used to build the assessment.</w:t>
      </w:r>
    </w:p>
    <w:p w14:paraId="6A9E0758" w14:textId="77777777" w:rsidR="007E365E" w:rsidRPr="007275C0" w:rsidRDefault="007E365E" w:rsidP="007E365E">
      <w:pPr>
        <w:pStyle w:val="Heading4"/>
        <w:rPr>
          <w:rFonts w:eastAsia="Times New Roman"/>
        </w:rPr>
      </w:pPr>
      <w:r w:rsidRPr="007275C0">
        <w:rPr>
          <w:rFonts w:eastAsia="Times New Roman"/>
        </w:rPr>
        <w:t>Data revisions</w:t>
      </w:r>
    </w:p>
    <w:p w14:paraId="4B8CB840" w14:textId="77777777" w:rsidR="007E365E" w:rsidRPr="007275C0" w:rsidRDefault="007E365E" w:rsidP="007E365E">
      <w:pPr>
        <w:pStyle w:val="CGCParaNumber"/>
      </w:pPr>
      <w:r w:rsidRPr="007275C0">
        <w:t>Data on light vehicle VKT in rural areas were revised up in Victoria and down in New South</w:t>
      </w:r>
      <w:r>
        <w:t> </w:t>
      </w:r>
      <w:r w:rsidRPr="007275C0">
        <w:t>Wales and Queensland, resulting in GST revenue being redistributed to Victoria and away from New South Wales and Queensland. Rural heavy vehicle VKT were revised up in Western</w:t>
      </w:r>
      <w:r>
        <w:t> </w:t>
      </w:r>
      <w:r w:rsidRPr="007275C0">
        <w:t xml:space="preserve">Australia, resulting in GST revenue being redistributed to that State. </w:t>
      </w:r>
    </w:p>
    <w:p w14:paraId="70853DB3" w14:textId="77777777" w:rsidR="007E365E" w:rsidRPr="007275C0" w:rsidRDefault="007E365E" w:rsidP="007E365E">
      <w:pPr>
        <w:pStyle w:val="Heading4"/>
        <w:rPr>
          <w:rFonts w:eastAsia="Times New Roman"/>
        </w:rPr>
      </w:pPr>
      <w:r w:rsidRPr="007275C0">
        <w:rPr>
          <w:rFonts w:eastAsia="Times New Roman"/>
        </w:rPr>
        <w:t>Changes in State circumstances</w:t>
      </w:r>
    </w:p>
    <w:p w14:paraId="429CDCAF" w14:textId="77777777" w:rsidR="007E365E" w:rsidRPr="007275C0" w:rsidRDefault="007E365E" w:rsidP="007E365E">
      <w:pPr>
        <w:pStyle w:val="CGCParaNumber"/>
      </w:pPr>
      <w:r w:rsidRPr="007275C0">
        <w:t>Changes in State circumstances had a small effect on the GST distribution ($9 million). The change in distribution is mainly due to changes in the relative proportions of State expenses on urban and rural roads.</w:t>
      </w:r>
    </w:p>
    <w:p w14:paraId="16CB0BB4" w14:textId="5E03C059" w:rsidR="007E365E" w:rsidRPr="00E23377" w:rsidRDefault="007E365E" w:rsidP="007E365E">
      <w:pPr>
        <w:pStyle w:val="Heading3"/>
      </w:pPr>
      <w:r w:rsidRPr="00E23377">
        <w:t>Updating the assessment</w:t>
      </w:r>
      <w:bookmarkEnd w:id="224"/>
      <w:bookmarkEnd w:id="225"/>
    </w:p>
    <w:p w14:paraId="068CC1F9" w14:textId="77777777" w:rsidR="007E365E" w:rsidRPr="00E23377" w:rsidRDefault="007E365E" w:rsidP="007E365E">
      <w:pPr>
        <w:pStyle w:val="CGCParaNumber"/>
      </w:pPr>
      <w:r w:rsidRPr="00E23377">
        <w:t xml:space="preserve">As required by the terms of reference, the Commission will incorporate the latest available data in the assessment during the annual updates. This will allow the assessment to reflect changes in State circumstances. </w:t>
      </w:r>
    </w:p>
    <w:p w14:paraId="60FA2F2B" w14:textId="77777777" w:rsidR="007E365E" w:rsidRPr="00E23377" w:rsidRDefault="007E365E" w:rsidP="007E365E">
      <w:pPr>
        <w:pStyle w:val="CGCBullet1"/>
      </w:pPr>
      <w:r w:rsidRPr="00E23377">
        <w:t>The Commission will update the following data annually or biennially:</w:t>
      </w:r>
    </w:p>
    <w:p w14:paraId="78F069EC" w14:textId="77777777" w:rsidR="007E365E" w:rsidRPr="00E23377" w:rsidRDefault="007E365E" w:rsidP="007E365E">
      <w:pPr>
        <w:pStyle w:val="CGCBullet2"/>
        <w:numPr>
          <w:ilvl w:val="0"/>
          <w:numId w:val="3"/>
        </w:numPr>
        <w:ind w:left="1208" w:hanging="357"/>
      </w:pPr>
      <w:r w:rsidRPr="00E23377">
        <w:t>NTC State expenses data used to weight disabilities (annually)</w:t>
      </w:r>
    </w:p>
    <w:p w14:paraId="3A1C72C1" w14:textId="77777777" w:rsidR="007E365E" w:rsidRPr="00E23377" w:rsidRDefault="007E365E" w:rsidP="007E365E">
      <w:pPr>
        <w:pStyle w:val="CGCBullet2"/>
        <w:numPr>
          <w:ilvl w:val="0"/>
          <w:numId w:val="3"/>
        </w:numPr>
        <w:ind w:left="1208" w:hanging="357"/>
      </w:pPr>
      <w:r w:rsidRPr="00E23377">
        <w:t>road use data from the BITRE (annually)</w:t>
      </w:r>
    </w:p>
    <w:p w14:paraId="706B1EDE" w14:textId="77777777" w:rsidR="007E365E" w:rsidRPr="00E23377" w:rsidRDefault="007E365E" w:rsidP="007E365E">
      <w:pPr>
        <w:pStyle w:val="CGCBullet2"/>
        <w:numPr>
          <w:ilvl w:val="0"/>
          <w:numId w:val="3"/>
        </w:numPr>
        <w:ind w:left="1208" w:hanging="357"/>
      </w:pPr>
      <w:r w:rsidRPr="00E23377">
        <w:t xml:space="preserve">urban population used for the urban road length disability (annually) </w:t>
      </w:r>
    </w:p>
    <w:p w14:paraId="588C12CC" w14:textId="77777777" w:rsidR="007E365E" w:rsidRPr="00E23377" w:rsidRDefault="007E365E" w:rsidP="007E365E">
      <w:pPr>
        <w:pStyle w:val="CGCBullet2"/>
        <w:numPr>
          <w:ilvl w:val="0"/>
          <w:numId w:val="3"/>
        </w:numPr>
        <w:ind w:left="1208" w:hanging="357"/>
      </w:pPr>
      <w:r w:rsidRPr="00E23377">
        <w:t>urban-rural split, based on a six-year average of SMVU data (biennially).</w:t>
      </w:r>
    </w:p>
    <w:p w14:paraId="10BA0889" w14:textId="77777777" w:rsidR="007E365E" w:rsidRPr="00E23377" w:rsidRDefault="007E365E" w:rsidP="007E365E">
      <w:pPr>
        <w:pStyle w:val="CGCBullet1"/>
      </w:pPr>
      <w:r w:rsidRPr="00E23377">
        <w:t>Some of the assessment data are not readily available on an annual basis, or remain stable over time. These data will not be updated during the review period:</w:t>
      </w:r>
    </w:p>
    <w:p w14:paraId="4BE61CE0" w14:textId="77777777" w:rsidR="007E365E" w:rsidRPr="00E23377" w:rsidRDefault="007E365E" w:rsidP="007E365E">
      <w:pPr>
        <w:pStyle w:val="CGCBullet2"/>
        <w:numPr>
          <w:ilvl w:val="0"/>
          <w:numId w:val="3"/>
        </w:numPr>
        <w:ind w:left="1208" w:hanging="357"/>
      </w:pPr>
      <w:r w:rsidRPr="00E23377">
        <w:t>the assessed rural road network and the data underlying this method</w:t>
      </w:r>
    </w:p>
    <w:p w14:paraId="55EEA48D" w14:textId="77777777" w:rsidR="007E365E" w:rsidRPr="00E23377" w:rsidRDefault="007E365E" w:rsidP="007E365E">
      <w:pPr>
        <w:pStyle w:val="CGCBullet2"/>
        <w:numPr>
          <w:ilvl w:val="0"/>
          <w:numId w:val="3"/>
        </w:numPr>
        <w:ind w:left="1208" w:hanging="357"/>
      </w:pPr>
      <w:r w:rsidRPr="00E23377">
        <w:t>NTC heavy vehicle weights, which will only be updated if the NTC updates its heavy vehicle determinations</w:t>
      </w:r>
    </w:p>
    <w:p w14:paraId="3F2B93A2" w14:textId="77777777" w:rsidR="007E365E" w:rsidRPr="00E23377" w:rsidRDefault="007E365E" w:rsidP="007E365E">
      <w:pPr>
        <w:pStyle w:val="CGCBullet2"/>
        <w:numPr>
          <w:ilvl w:val="0"/>
          <w:numId w:val="3"/>
        </w:numPr>
        <w:ind w:left="1208" w:hanging="357"/>
      </w:pPr>
      <w:r w:rsidRPr="00E23377">
        <w:t>data on bridge and tunnel length.</w:t>
      </w:r>
    </w:p>
    <w:p w14:paraId="05CB8299" w14:textId="77777777" w:rsidR="007E365E" w:rsidRDefault="007E365E" w:rsidP="007E365E">
      <w:pPr>
        <w:sectPr w:rsidR="007E365E" w:rsidSect="00917501">
          <w:footerReference w:type="default" r:id="rId27"/>
          <w:footnotePr>
            <w:numRestart w:val="eachSect"/>
          </w:footnotePr>
          <w:pgSz w:w="11899" w:h="16838" w:code="9"/>
          <w:pgMar w:top="1418" w:right="1474" w:bottom="1418" w:left="1474" w:header="709" w:footer="567" w:gutter="0"/>
          <w:cols w:space="708"/>
          <w:titlePg/>
          <w:docGrid w:linePitch="299"/>
        </w:sectPr>
      </w:pPr>
    </w:p>
    <w:p w14:paraId="6B5DEBC4" w14:textId="77777777" w:rsidR="007E365E" w:rsidRPr="00976585" w:rsidRDefault="007E365E" w:rsidP="007E365E">
      <w:pPr>
        <w:pStyle w:val="Heading1"/>
        <w:keepLines/>
      </w:pPr>
      <w:bookmarkStart w:id="228" w:name="_Toc32922485"/>
      <w:r w:rsidRPr="00976585">
        <w:lastRenderedPageBreak/>
        <w:t>21</w:t>
      </w:r>
      <w:bookmarkStart w:id="229" w:name="_Toc6470661"/>
      <w:r>
        <w:tab/>
      </w:r>
      <w:r w:rsidRPr="00976585">
        <w:t>Transport</w:t>
      </w:r>
      <w:bookmarkEnd w:id="228"/>
      <w:bookmarkEnd w:id="22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7E365E" w:rsidRPr="00976585" w14:paraId="7699D76D" w14:textId="77777777" w:rsidTr="007D1D77">
        <w:tc>
          <w:tcPr>
            <w:tcW w:w="8951" w:type="dxa"/>
            <w:shd w:val="clear" w:color="auto" w:fill="EBF3F5"/>
          </w:tcPr>
          <w:p w14:paraId="0D2AA349" w14:textId="77777777" w:rsidR="007E365E" w:rsidRPr="00976585" w:rsidRDefault="007E365E" w:rsidP="007D1D77">
            <w:pPr>
              <w:pStyle w:val="Heading4"/>
              <w:keepNext w:val="0"/>
              <w:outlineLvl w:val="3"/>
            </w:pPr>
            <w:bookmarkStart w:id="230" w:name="_Toc6470662"/>
            <w:r w:rsidRPr="00976585">
              <w:t>Summary of the assessment</w:t>
            </w:r>
            <w:bookmarkEnd w:id="230"/>
            <w:r w:rsidRPr="00976585">
              <w:t>s</w:t>
            </w:r>
          </w:p>
          <w:p w14:paraId="37C6DC58" w14:textId="77777777" w:rsidR="007E365E" w:rsidRPr="00976585" w:rsidRDefault="007E365E" w:rsidP="007D1D77">
            <w:pPr>
              <w:widowControl w:val="0"/>
            </w:pPr>
            <w:r w:rsidRPr="00976585">
              <w:t>The Transport assessments cover State spending on bus, rail (passenger and freight), and ferry services, ports and other maritime related services, and air transport. State transport expenses (including depreciation) and net investment in transport infrastructure are assessed separately.</w:t>
            </w:r>
          </w:p>
          <w:p w14:paraId="62FFF7FB" w14:textId="77777777" w:rsidR="007E365E" w:rsidRPr="00976585" w:rsidRDefault="007E365E" w:rsidP="007D1D77">
            <w:pPr>
              <w:pStyle w:val="Heading5"/>
              <w:keepNext w:val="0"/>
              <w:widowControl w:val="0"/>
              <w:outlineLvl w:val="4"/>
            </w:pPr>
            <w:r w:rsidRPr="00976585">
              <w:t>Transport expenses</w:t>
            </w:r>
          </w:p>
          <w:p w14:paraId="10D93420" w14:textId="77777777" w:rsidR="007E365E" w:rsidRPr="00976585" w:rsidRDefault="007E365E" w:rsidP="007D1D77">
            <w:pPr>
              <w:widowControl w:val="0"/>
            </w:pPr>
            <w:r w:rsidRPr="00976585">
              <w:t>This includes State spending on transport services including subsidies to transport operators, the cost of passenger concessions, administration expenses and student transport expenses. User charges</w:t>
            </w:r>
            <w:r>
              <w:t>, mainly passenger fares,</w:t>
            </w:r>
            <w:r w:rsidRPr="00976585">
              <w:t xml:space="preserve"> and other revenue are netted off against recurrent expenses.</w:t>
            </w:r>
          </w:p>
          <w:p w14:paraId="77B15E3A" w14:textId="77777777" w:rsidR="007E365E" w:rsidRPr="00976585" w:rsidRDefault="007E365E" w:rsidP="007D1D77">
            <w:pPr>
              <w:widowControl w:val="0"/>
            </w:pPr>
            <w:r w:rsidRPr="00976585">
              <w:t>Separate assessments are made of urban and non</w:t>
            </w:r>
            <w:r w:rsidRPr="00976585">
              <w:noBreakHyphen/>
              <w:t xml:space="preserve">urban transport </w:t>
            </w:r>
            <w:r>
              <w:t>net expenses</w:t>
            </w:r>
            <w:r w:rsidRPr="00976585">
              <w:t>.</w:t>
            </w:r>
          </w:p>
          <w:p w14:paraId="6A78D685" w14:textId="77777777" w:rsidR="007E365E" w:rsidRPr="00976585" w:rsidRDefault="007E365E" w:rsidP="007D1D77">
            <w:pPr>
              <w:widowControl w:val="0"/>
            </w:pPr>
            <w:r w:rsidRPr="00976585">
              <w:t>States’ urban transport expenses are assessed using a blended approach that recognises:</w:t>
            </w:r>
          </w:p>
          <w:p w14:paraId="38CAAB78" w14:textId="77777777" w:rsidR="007E365E" w:rsidRPr="00976585" w:rsidRDefault="007E365E" w:rsidP="00226E8B">
            <w:pPr>
              <w:pStyle w:val="CGCBullet1"/>
            </w:pPr>
            <w:r w:rsidRPr="00976585">
              <w:t>urban population (with a weight of 25%), recognising that the cost of State provided urban transport services increases with urban centre population size</w:t>
            </w:r>
          </w:p>
          <w:p w14:paraId="5220FDCC" w14:textId="77777777" w:rsidR="007E365E" w:rsidRPr="00976585" w:rsidRDefault="007E365E" w:rsidP="00226E8B">
            <w:pPr>
              <w:pStyle w:val="CGCBullet1"/>
            </w:pPr>
            <w:r w:rsidRPr="00976585">
              <w:t>urban centre characteristics (with a weight of 75%), recognising that population density, passenger numbers by mode of transport, the presence of ferry services, commuter distance travelled to work, and topography affect State urban transport expenses.</w:t>
            </w:r>
          </w:p>
          <w:p w14:paraId="56B567D4" w14:textId="77777777" w:rsidR="007E365E" w:rsidRPr="00976585" w:rsidRDefault="007E365E" w:rsidP="007D1D77">
            <w:pPr>
              <w:widowControl w:val="0"/>
            </w:pPr>
            <w:r w:rsidRPr="00976585">
              <w:t xml:space="preserve">Non-urban transport </w:t>
            </w:r>
            <w:r>
              <w:t>expenses</w:t>
            </w:r>
            <w:r w:rsidRPr="00976585">
              <w:t xml:space="preserve"> are assessed on an EPC basis with a general regional cost gradient applied. </w:t>
            </w:r>
          </w:p>
          <w:p w14:paraId="085D1F5D" w14:textId="77777777" w:rsidR="007E365E" w:rsidRPr="00976585" w:rsidRDefault="007E365E" w:rsidP="007D1D77">
            <w:pPr>
              <w:widowControl w:val="0"/>
            </w:pPr>
            <w:r w:rsidRPr="00976585">
              <w:t>Wage costs differences between States are recognised in both components.</w:t>
            </w:r>
          </w:p>
          <w:p w14:paraId="7788E31C" w14:textId="77777777" w:rsidR="007E365E" w:rsidRPr="00976585" w:rsidRDefault="007E365E" w:rsidP="007D1D77">
            <w:pPr>
              <w:pStyle w:val="Heading5"/>
              <w:keepNext w:val="0"/>
              <w:widowControl w:val="0"/>
              <w:outlineLvl w:val="4"/>
            </w:pPr>
            <w:r w:rsidRPr="00976585">
              <w:t>Transport net investment</w:t>
            </w:r>
          </w:p>
          <w:p w14:paraId="597DAF71" w14:textId="77777777" w:rsidR="007E365E" w:rsidRPr="00976585" w:rsidRDefault="007E365E" w:rsidP="007D1D77">
            <w:pPr>
              <w:widowControl w:val="0"/>
            </w:pPr>
            <w:r w:rsidRPr="00976585">
              <w:t>This includes State spending on transport infrastructure to support service delivery. Separate assessments are made of net urban transport investment and non</w:t>
            </w:r>
            <w:r w:rsidRPr="00976585">
              <w:noBreakHyphen/>
              <w:t>urban transport investment.</w:t>
            </w:r>
          </w:p>
          <w:p w14:paraId="45C06F12" w14:textId="77777777" w:rsidR="007E365E" w:rsidRPr="00976585" w:rsidRDefault="007E365E" w:rsidP="007D1D77">
            <w:pPr>
              <w:keepNext/>
              <w:keepLines/>
              <w:widowControl w:val="0"/>
            </w:pPr>
            <w:r w:rsidRPr="00976585">
              <w:t>States’ urban transport investment expenses are assessed using a blended approach that recognises:</w:t>
            </w:r>
          </w:p>
          <w:p w14:paraId="0271EA66" w14:textId="77777777" w:rsidR="007E365E" w:rsidRPr="00976585" w:rsidRDefault="007E365E" w:rsidP="00226E8B">
            <w:pPr>
              <w:pStyle w:val="CGCBullet1"/>
            </w:pPr>
            <w:r w:rsidRPr="00976585">
              <w:t>urban population squared (with a weight of 25%), recognising that the cost of urban passenger transport infrastructure increases with the square of urban centre population</w:t>
            </w:r>
          </w:p>
          <w:p w14:paraId="6739EAE6" w14:textId="77777777" w:rsidR="007E365E" w:rsidRPr="00976585" w:rsidRDefault="007E365E" w:rsidP="00226E8B">
            <w:pPr>
              <w:pStyle w:val="CGCBullet1"/>
            </w:pPr>
            <w:r w:rsidRPr="00976585">
              <w:t>urban centre characteristics (with a weight of 75%), recognising that population density, passenger numbers by mode of transport, the presence of ferry services, commuter distance travelled to work, and topography affect State investment in urban transport infrastructure.</w:t>
            </w:r>
          </w:p>
          <w:p w14:paraId="33F55AF7" w14:textId="77777777" w:rsidR="007E365E" w:rsidRPr="00976585" w:rsidRDefault="007E365E" w:rsidP="007D1D77">
            <w:pPr>
              <w:widowControl w:val="0"/>
            </w:pPr>
            <w:r w:rsidRPr="00976585">
              <w:t>The assessment of investment in non-urban transport is based on growth in total population.</w:t>
            </w:r>
          </w:p>
          <w:p w14:paraId="66AF854D" w14:textId="77777777" w:rsidR="007E365E" w:rsidRPr="00976585" w:rsidRDefault="007E365E" w:rsidP="007D1D77">
            <w:pPr>
              <w:widowControl w:val="0"/>
              <w:spacing w:after="120"/>
            </w:pPr>
            <w:r w:rsidRPr="00976585">
              <w:t>For a description of the investment assessments, see Chapter 24 Investment.</w:t>
            </w:r>
          </w:p>
        </w:tc>
      </w:tr>
    </w:tbl>
    <w:p w14:paraId="06EA657D" w14:textId="77777777" w:rsidR="007E365E" w:rsidRPr="00976585" w:rsidRDefault="007E365E" w:rsidP="007E365E">
      <w:pPr>
        <w:pStyle w:val="Heading3"/>
      </w:pPr>
      <w:bookmarkStart w:id="231" w:name="_Toc6470663"/>
      <w:r w:rsidRPr="00976585">
        <w:t>Service overview</w:t>
      </w:r>
      <w:bookmarkEnd w:id="231"/>
    </w:p>
    <w:p w14:paraId="69442DAC" w14:textId="1AAAD458" w:rsidR="007E365E" w:rsidRPr="00976585" w:rsidRDefault="007E365E" w:rsidP="00DE6D22">
      <w:pPr>
        <w:pStyle w:val="CGCParaNumber"/>
        <w:numPr>
          <w:ilvl w:val="0"/>
          <w:numId w:val="59"/>
        </w:numPr>
        <w:ind w:left="567" w:hanging="567"/>
      </w:pPr>
      <w:r w:rsidRPr="00976585">
        <w:t xml:space="preserve">State expenditure on </w:t>
      </w:r>
      <w:r w:rsidR="00601728" w:rsidRPr="00976585">
        <w:t xml:space="preserve">transport </w:t>
      </w:r>
      <w:r w:rsidRPr="00976585">
        <w:t>was $</w:t>
      </w:r>
      <w:r>
        <w:t>22.3</w:t>
      </w:r>
      <w:r w:rsidRPr="00976585">
        <w:t> billion in 201</w:t>
      </w:r>
      <w:r>
        <w:t>8</w:t>
      </w:r>
      <w:r w:rsidRPr="00976585">
        <w:noBreakHyphen/>
        <w:t>1</w:t>
      </w:r>
      <w:r>
        <w:t>9</w:t>
      </w:r>
      <w:r w:rsidRPr="00976585">
        <w:t xml:space="preserve">, representing </w:t>
      </w:r>
      <w:r>
        <w:t>8.</w:t>
      </w:r>
      <w:r w:rsidR="00E221D7">
        <w:t>6</w:t>
      </w:r>
      <w:r>
        <w:t>%</w:t>
      </w:r>
      <w:r w:rsidRPr="00976585">
        <w:t xml:space="preserve"> of total State expenditure (</w:t>
      </w:r>
      <w:r>
        <w:fldChar w:fldCharType="begin"/>
      </w:r>
      <w:r>
        <w:instrText xml:space="preserve"> REF _Ref32226334 \h </w:instrText>
      </w:r>
      <w:r>
        <w:fldChar w:fldCharType="separate"/>
      </w:r>
      <w:r w:rsidR="007F721A">
        <w:t>Table 21-</w:t>
      </w:r>
      <w:r w:rsidR="007F721A">
        <w:rPr>
          <w:noProof/>
        </w:rPr>
        <w:t>1</w:t>
      </w:r>
      <w:r>
        <w:fldChar w:fldCharType="end"/>
      </w:r>
      <w:r w:rsidRPr="00976585">
        <w:t xml:space="preserve">). State transport expenses (including depreciation) and net </w:t>
      </w:r>
      <w:r w:rsidRPr="00976585">
        <w:lastRenderedPageBreak/>
        <w:t>investment in transport infrastructure are assessed separately. State spending on this function comprises expenditure relating to bus (including school bus services), heavy (passenger and freight) and light rail, ferry services, ports and other maritime related services, and air transport. State transport expenses (or recurrent expenses) include subsidies paid to transport operators, the cost of passenger concessions, administration expenses and student transport expenses. User charges</w:t>
      </w:r>
      <w:r>
        <w:t>, mainly passenger fares,</w:t>
      </w:r>
      <w:r w:rsidRPr="00976585">
        <w:t xml:space="preserve"> are netted off recurrent expenses</w:t>
      </w:r>
      <w:r w:rsidR="00EB09BE">
        <w:t>.</w:t>
      </w:r>
      <w:r>
        <w:rPr>
          <w:rStyle w:val="FootnoteReference"/>
        </w:rPr>
        <w:footnoteReference w:id="44"/>
      </w:r>
      <w:r w:rsidRPr="00976585">
        <w:t xml:space="preserve"> </w:t>
      </w:r>
    </w:p>
    <w:p w14:paraId="77990156" w14:textId="77777777" w:rsidR="007E365E" w:rsidRPr="00976585" w:rsidRDefault="007E365E" w:rsidP="007E365E">
      <w:pPr>
        <w:pStyle w:val="CGCParaNumber"/>
      </w:pPr>
      <w:r w:rsidRPr="00976585">
        <w:t>For this assessment, the State sector includes general government agencies responsible for transport services and public non-financial corporations (PNFCs) responsible for urban passenger transport.</w:t>
      </w:r>
    </w:p>
    <w:p w14:paraId="43D548FD" w14:textId="77777777" w:rsidR="007E365E" w:rsidRPr="00976585" w:rsidRDefault="007E365E" w:rsidP="007E365E">
      <w:pPr>
        <w:pStyle w:val="CGCParaNumber"/>
      </w:pPr>
      <w:r w:rsidRPr="00976585">
        <w:t>Roads expenses are assessed in the Roads category (refer to Chapter 20 Roads).</w:t>
      </w:r>
    </w:p>
    <w:p w14:paraId="685DD86A" w14:textId="718E80F2" w:rsidR="007E365E" w:rsidRDefault="007E365E" w:rsidP="007E365E">
      <w:pPr>
        <w:pStyle w:val="Caption"/>
      </w:pPr>
      <w:bookmarkStart w:id="232" w:name="_Ref31284615"/>
      <w:bookmarkStart w:id="233" w:name="_Ref32225959"/>
      <w:bookmarkStart w:id="234" w:name="_Ref32226334"/>
      <w:r>
        <w:t xml:space="preserve">Table </w:t>
      </w:r>
      <w:bookmarkEnd w:id="232"/>
      <w:bookmarkEnd w:id="233"/>
      <w:r>
        <w:t>21-</w:t>
      </w:r>
      <w:fldSimple w:instr=" SEQ Table \r1 \* ARABIC ">
        <w:r w:rsidR="007F721A">
          <w:rPr>
            <w:noProof/>
          </w:rPr>
          <w:t>1</w:t>
        </w:r>
      </w:fldSimple>
      <w:bookmarkEnd w:id="234"/>
      <w:r w:rsidRPr="00976585">
        <w:tab/>
        <w:t xml:space="preserve">Transport </w:t>
      </w:r>
      <w:r>
        <w:t>expen</w:t>
      </w:r>
      <w:r w:rsidR="004A1A2C">
        <w:t>diture</w:t>
      </w:r>
      <w:r>
        <w:t xml:space="preserve"> by State</w:t>
      </w:r>
      <w:r w:rsidRPr="00976585">
        <w:t>, 201</w:t>
      </w:r>
      <w:r>
        <w:t>8</w:t>
      </w:r>
      <w:r w:rsidRPr="00976585">
        <w:noBreakHyphen/>
        <w:t>1</w:t>
      </w:r>
      <w:r>
        <w:t>9</w:t>
      </w:r>
    </w:p>
    <w:tbl>
      <w:tblPr>
        <w:tblW w:w="8951" w:type="dxa"/>
        <w:tblLayout w:type="fixed"/>
        <w:tblCellMar>
          <w:left w:w="28" w:type="dxa"/>
          <w:right w:w="28" w:type="dxa"/>
        </w:tblCellMar>
        <w:tblLook w:val="04A0" w:firstRow="1" w:lastRow="0" w:firstColumn="1" w:lastColumn="0" w:noHBand="0" w:noVBand="1"/>
        <w:tblCaption w:val="Transport expenditure by State, 2018 19"/>
        <w:tblDescription w:val="A breakdown of State net expenditure for Transport recurrent expenditure and net investment in 2018-19."/>
      </w:tblPr>
      <w:tblGrid>
        <w:gridCol w:w="2835"/>
        <w:gridCol w:w="851"/>
        <w:gridCol w:w="648"/>
        <w:gridCol w:w="648"/>
        <w:gridCol w:w="648"/>
        <w:gridCol w:w="648"/>
        <w:gridCol w:w="648"/>
        <w:gridCol w:w="648"/>
        <w:gridCol w:w="648"/>
        <w:gridCol w:w="729"/>
      </w:tblGrid>
      <w:tr w:rsidR="007E365E" w:rsidRPr="005A6903" w14:paraId="1B61980C" w14:textId="77777777" w:rsidTr="007D1D77">
        <w:trPr>
          <w:trHeight w:hRule="exact" w:val="380"/>
        </w:trPr>
        <w:tc>
          <w:tcPr>
            <w:tcW w:w="2835" w:type="dxa"/>
            <w:tcBorders>
              <w:top w:val="single" w:sz="4" w:space="0" w:color="ADD6EA"/>
              <w:left w:val="nil"/>
              <w:bottom w:val="single" w:sz="4" w:space="0" w:color="ADD6EA"/>
              <w:right w:val="nil"/>
            </w:tcBorders>
            <w:shd w:val="clear" w:color="000000" w:fill="006991"/>
            <w:noWrap/>
            <w:vAlign w:val="center"/>
            <w:hideMark/>
          </w:tcPr>
          <w:p w14:paraId="734457C9" w14:textId="77777777" w:rsidR="007E365E" w:rsidRPr="005A690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6903">
              <w:rPr>
                <w:rFonts w:ascii="Open Sans SemiBold" w:eastAsia="Times New Roman" w:hAnsi="Open Sans SemiBold" w:cs="Open Sans SemiBold"/>
                <w:color w:val="FFFFFF"/>
                <w:sz w:val="16"/>
                <w:szCs w:val="16"/>
                <w:lang w:eastAsia="en-AU"/>
              </w:rPr>
              <w:t> </w:t>
            </w:r>
          </w:p>
        </w:tc>
        <w:tc>
          <w:tcPr>
            <w:tcW w:w="851" w:type="dxa"/>
            <w:tcBorders>
              <w:top w:val="single" w:sz="4" w:space="0" w:color="ADD6EA"/>
              <w:left w:val="nil"/>
              <w:bottom w:val="single" w:sz="4" w:space="0" w:color="ADD6EA"/>
              <w:right w:val="nil"/>
            </w:tcBorders>
            <w:shd w:val="clear" w:color="000000" w:fill="006991"/>
            <w:noWrap/>
            <w:vAlign w:val="center"/>
            <w:hideMark/>
          </w:tcPr>
          <w:p w14:paraId="1FE8AED6" w14:textId="77777777" w:rsidR="007E365E" w:rsidRPr="005A690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6903">
              <w:rPr>
                <w:rFonts w:ascii="Open Sans SemiBold" w:eastAsia="Times New Roman" w:hAnsi="Open Sans SemiBold" w:cs="Open Sans SemiBold"/>
                <w:color w:val="FFFFFF"/>
                <w:sz w:val="16"/>
                <w:szCs w:val="16"/>
                <w:lang w:eastAsia="en-AU"/>
              </w:rPr>
              <w:t>NSW</w:t>
            </w:r>
          </w:p>
        </w:tc>
        <w:tc>
          <w:tcPr>
            <w:tcW w:w="648" w:type="dxa"/>
            <w:tcBorders>
              <w:top w:val="single" w:sz="4" w:space="0" w:color="ADD6EA"/>
              <w:left w:val="nil"/>
              <w:bottom w:val="single" w:sz="4" w:space="0" w:color="ADD6EA"/>
              <w:right w:val="nil"/>
            </w:tcBorders>
            <w:shd w:val="clear" w:color="000000" w:fill="006991"/>
            <w:noWrap/>
            <w:vAlign w:val="center"/>
            <w:hideMark/>
          </w:tcPr>
          <w:p w14:paraId="3C88021D" w14:textId="77777777" w:rsidR="007E365E" w:rsidRPr="005A690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6903">
              <w:rPr>
                <w:rFonts w:ascii="Open Sans SemiBold" w:eastAsia="Times New Roman" w:hAnsi="Open Sans SemiBold" w:cs="Open Sans SemiBold"/>
                <w:color w:val="FFFFFF"/>
                <w:sz w:val="16"/>
                <w:szCs w:val="16"/>
                <w:lang w:eastAsia="en-AU"/>
              </w:rPr>
              <w:t>Vic</w:t>
            </w:r>
          </w:p>
        </w:tc>
        <w:tc>
          <w:tcPr>
            <w:tcW w:w="648" w:type="dxa"/>
            <w:tcBorders>
              <w:top w:val="single" w:sz="4" w:space="0" w:color="ADD6EA"/>
              <w:left w:val="nil"/>
              <w:bottom w:val="single" w:sz="4" w:space="0" w:color="ADD6EA"/>
              <w:right w:val="nil"/>
            </w:tcBorders>
            <w:shd w:val="clear" w:color="000000" w:fill="006991"/>
            <w:noWrap/>
            <w:vAlign w:val="center"/>
            <w:hideMark/>
          </w:tcPr>
          <w:p w14:paraId="48C5D91E" w14:textId="77777777" w:rsidR="007E365E" w:rsidRPr="005A690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6903">
              <w:rPr>
                <w:rFonts w:ascii="Open Sans SemiBold" w:eastAsia="Times New Roman" w:hAnsi="Open Sans SemiBold" w:cs="Open Sans SemiBold"/>
                <w:color w:val="FFFFFF"/>
                <w:sz w:val="16"/>
                <w:szCs w:val="16"/>
                <w:lang w:eastAsia="en-AU"/>
              </w:rPr>
              <w:t>Qld</w:t>
            </w:r>
          </w:p>
        </w:tc>
        <w:tc>
          <w:tcPr>
            <w:tcW w:w="648" w:type="dxa"/>
            <w:tcBorders>
              <w:top w:val="single" w:sz="4" w:space="0" w:color="ADD6EA"/>
              <w:left w:val="nil"/>
              <w:bottom w:val="single" w:sz="4" w:space="0" w:color="ADD6EA"/>
              <w:right w:val="nil"/>
            </w:tcBorders>
            <w:shd w:val="clear" w:color="000000" w:fill="006991"/>
            <w:noWrap/>
            <w:vAlign w:val="center"/>
            <w:hideMark/>
          </w:tcPr>
          <w:p w14:paraId="692731C8" w14:textId="77777777" w:rsidR="007E365E" w:rsidRPr="005A690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6903">
              <w:rPr>
                <w:rFonts w:ascii="Open Sans SemiBold" w:eastAsia="Times New Roman" w:hAnsi="Open Sans SemiBold" w:cs="Open Sans SemiBold"/>
                <w:color w:val="FFFFFF"/>
                <w:sz w:val="16"/>
                <w:szCs w:val="16"/>
                <w:lang w:eastAsia="en-AU"/>
              </w:rPr>
              <w:t>WA</w:t>
            </w:r>
          </w:p>
        </w:tc>
        <w:tc>
          <w:tcPr>
            <w:tcW w:w="648" w:type="dxa"/>
            <w:tcBorders>
              <w:top w:val="single" w:sz="4" w:space="0" w:color="ADD6EA"/>
              <w:left w:val="nil"/>
              <w:bottom w:val="single" w:sz="4" w:space="0" w:color="ADD6EA"/>
              <w:right w:val="nil"/>
            </w:tcBorders>
            <w:shd w:val="clear" w:color="000000" w:fill="006991"/>
            <w:noWrap/>
            <w:vAlign w:val="center"/>
            <w:hideMark/>
          </w:tcPr>
          <w:p w14:paraId="1FADB65A" w14:textId="77777777" w:rsidR="007E365E" w:rsidRPr="005A690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6903">
              <w:rPr>
                <w:rFonts w:ascii="Open Sans SemiBold" w:eastAsia="Times New Roman" w:hAnsi="Open Sans SemiBold" w:cs="Open Sans SemiBold"/>
                <w:color w:val="FFFFFF"/>
                <w:sz w:val="16"/>
                <w:szCs w:val="16"/>
                <w:lang w:eastAsia="en-AU"/>
              </w:rPr>
              <w:t>SA</w:t>
            </w:r>
          </w:p>
        </w:tc>
        <w:tc>
          <w:tcPr>
            <w:tcW w:w="648" w:type="dxa"/>
            <w:tcBorders>
              <w:top w:val="single" w:sz="4" w:space="0" w:color="ADD6EA"/>
              <w:left w:val="nil"/>
              <w:bottom w:val="single" w:sz="4" w:space="0" w:color="ADD6EA"/>
              <w:right w:val="nil"/>
            </w:tcBorders>
            <w:shd w:val="clear" w:color="000000" w:fill="006991"/>
            <w:noWrap/>
            <w:vAlign w:val="center"/>
            <w:hideMark/>
          </w:tcPr>
          <w:p w14:paraId="6639555D" w14:textId="77777777" w:rsidR="007E365E" w:rsidRPr="005A690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6903">
              <w:rPr>
                <w:rFonts w:ascii="Open Sans SemiBold" w:eastAsia="Times New Roman" w:hAnsi="Open Sans SemiBold" w:cs="Open Sans SemiBold"/>
                <w:color w:val="FFFFFF"/>
                <w:sz w:val="16"/>
                <w:szCs w:val="16"/>
                <w:lang w:eastAsia="en-AU"/>
              </w:rPr>
              <w:t>Tas</w:t>
            </w:r>
          </w:p>
        </w:tc>
        <w:tc>
          <w:tcPr>
            <w:tcW w:w="648" w:type="dxa"/>
            <w:tcBorders>
              <w:top w:val="single" w:sz="4" w:space="0" w:color="ADD6EA"/>
              <w:left w:val="nil"/>
              <w:bottom w:val="single" w:sz="4" w:space="0" w:color="ADD6EA"/>
              <w:right w:val="nil"/>
            </w:tcBorders>
            <w:shd w:val="clear" w:color="000000" w:fill="006991"/>
            <w:noWrap/>
            <w:vAlign w:val="center"/>
            <w:hideMark/>
          </w:tcPr>
          <w:p w14:paraId="408CB33E" w14:textId="77777777" w:rsidR="007E365E" w:rsidRPr="005A690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6903">
              <w:rPr>
                <w:rFonts w:ascii="Open Sans SemiBold" w:eastAsia="Times New Roman" w:hAnsi="Open Sans SemiBold" w:cs="Open Sans SemiBold"/>
                <w:color w:val="FFFFFF"/>
                <w:sz w:val="16"/>
                <w:szCs w:val="16"/>
                <w:lang w:eastAsia="en-AU"/>
              </w:rPr>
              <w:t>ACT</w:t>
            </w:r>
          </w:p>
        </w:tc>
        <w:tc>
          <w:tcPr>
            <w:tcW w:w="648" w:type="dxa"/>
            <w:tcBorders>
              <w:top w:val="single" w:sz="4" w:space="0" w:color="ADD6EA"/>
              <w:left w:val="nil"/>
              <w:bottom w:val="single" w:sz="4" w:space="0" w:color="ADD6EA"/>
              <w:right w:val="nil"/>
            </w:tcBorders>
            <w:shd w:val="clear" w:color="000000" w:fill="006991"/>
            <w:noWrap/>
            <w:vAlign w:val="center"/>
            <w:hideMark/>
          </w:tcPr>
          <w:p w14:paraId="70C51EEC" w14:textId="77777777" w:rsidR="007E365E" w:rsidRPr="005A690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6903">
              <w:rPr>
                <w:rFonts w:ascii="Open Sans SemiBold" w:eastAsia="Times New Roman" w:hAnsi="Open Sans SemiBold" w:cs="Open Sans SemiBold"/>
                <w:color w:val="FFFFFF"/>
                <w:sz w:val="16"/>
                <w:szCs w:val="16"/>
                <w:lang w:eastAsia="en-AU"/>
              </w:rPr>
              <w:t>NT</w:t>
            </w:r>
          </w:p>
        </w:tc>
        <w:tc>
          <w:tcPr>
            <w:tcW w:w="729" w:type="dxa"/>
            <w:tcBorders>
              <w:top w:val="single" w:sz="4" w:space="0" w:color="ADD6EA"/>
              <w:left w:val="nil"/>
              <w:bottom w:val="single" w:sz="4" w:space="0" w:color="ADD6EA"/>
              <w:right w:val="nil"/>
            </w:tcBorders>
            <w:shd w:val="clear" w:color="000000" w:fill="006991"/>
            <w:noWrap/>
            <w:vAlign w:val="center"/>
            <w:hideMark/>
          </w:tcPr>
          <w:p w14:paraId="554035ED" w14:textId="77777777" w:rsidR="007E365E" w:rsidRPr="005A690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6903">
              <w:rPr>
                <w:rFonts w:ascii="Open Sans SemiBold" w:eastAsia="Times New Roman" w:hAnsi="Open Sans SemiBold" w:cs="Open Sans SemiBold"/>
                <w:color w:val="FFFFFF"/>
                <w:sz w:val="16"/>
                <w:szCs w:val="16"/>
                <w:lang w:eastAsia="en-AU"/>
              </w:rPr>
              <w:t>Total</w:t>
            </w:r>
          </w:p>
        </w:tc>
      </w:tr>
      <w:tr w:rsidR="007E365E" w:rsidRPr="005A6903" w14:paraId="5CB362D9" w14:textId="77777777" w:rsidTr="007D1D77">
        <w:trPr>
          <w:trHeight w:hRule="exact" w:val="318"/>
        </w:trPr>
        <w:tc>
          <w:tcPr>
            <w:tcW w:w="2835" w:type="dxa"/>
            <w:tcBorders>
              <w:top w:val="nil"/>
              <w:left w:val="nil"/>
              <w:bottom w:val="nil"/>
              <w:right w:val="nil"/>
            </w:tcBorders>
            <w:shd w:val="clear" w:color="auto" w:fill="auto"/>
            <w:vAlign w:val="bottom"/>
            <w:hideMark/>
          </w:tcPr>
          <w:p w14:paraId="0A12BAC3" w14:textId="77777777" w:rsidR="007E365E" w:rsidRPr="005A6903" w:rsidRDefault="007E365E" w:rsidP="007D1D77">
            <w:pPr>
              <w:tabs>
                <w:tab w:val="clear" w:pos="567"/>
              </w:tabs>
              <w:spacing w:before="0" w:line="240" w:lineRule="auto"/>
              <w:rPr>
                <w:rFonts w:eastAsia="Times New Roman" w:cs="Open Sans Light"/>
                <w:sz w:val="16"/>
                <w:szCs w:val="16"/>
                <w:lang w:eastAsia="en-AU"/>
              </w:rPr>
            </w:pPr>
            <w:r w:rsidRPr="005A6903">
              <w:rPr>
                <w:rFonts w:eastAsia="Times New Roman" w:cs="Open Sans Light"/>
                <w:sz w:val="16"/>
                <w:szCs w:val="16"/>
                <w:lang w:eastAsia="en-AU"/>
              </w:rPr>
              <w:t>Expenses ($m)</w:t>
            </w:r>
          </w:p>
        </w:tc>
        <w:tc>
          <w:tcPr>
            <w:tcW w:w="851" w:type="dxa"/>
            <w:tcBorders>
              <w:top w:val="nil"/>
              <w:left w:val="nil"/>
              <w:bottom w:val="nil"/>
              <w:right w:val="nil"/>
            </w:tcBorders>
            <w:shd w:val="clear" w:color="auto" w:fill="auto"/>
            <w:vAlign w:val="bottom"/>
            <w:hideMark/>
          </w:tcPr>
          <w:p w14:paraId="0B937960" w14:textId="20CC06FC"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6,880</w:t>
            </w:r>
          </w:p>
        </w:tc>
        <w:tc>
          <w:tcPr>
            <w:tcW w:w="648" w:type="dxa"/>
            <w:tcBorders>
              <w:top w:val="nil"/>
              <w:left w:val="nil"/>
              <w:bottom w:val="nil"/>
              <w:right w:val="nil"/>
            </w:tcBorders>
            <w:shd w:val="clear" w:color="auto" w:fill="auto"/>
            <w:vAlign w:val="bottom"/>
            <w:hideMark/>
          </w:tcPr>
          <w:p w14:paraId="33A403A2" w14:textId="5990F077"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3,506</w:t>
            </w:r>
          </w:p>
        </w:tc>
        <w:tc>
          <w:tcPr>
            <w:tcW w:w="648" w:type="dxa"/>
            <w:tcBorders>
              <w:top w:val="nil"/>
              <w:left w:val="nil"/>
              <w:bottom w:val="nil"/>
              <w:right w:val="nil"/>
            </w:tcBorders>
            <w:shd w:val="clear" w:color="auto" w:fill="auto"/>
            <w:vAlign w:val="bottom"/>
            <w:hideMark/>
          </w:tcPr>
          <w:p w14:paraId="362C3AB0" w14:textId="680BBD1F"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2,678</w:t>
            </w:r>
          </w:p>
        </w:tc>
        <w:tc>
          <w:tcPr>
            <w:tcW w:w="648" w:type="dxa"/>
            <w:tcBorders>
              <w:top w:val="nil"/>
              <w:left w:val="nil"/>
              <w:bottom w:val="nil"/>
              <w:right w:val="nil"/>
            </w:tcBorders>
            <w:shd w:val="clear" w:color="auto" w:fill="auto"/>
            <w:vAlign w:val="bottom"/>
            <w:hideMark/>
          </w:tcPr>
          <w:p w14:paraId="59D44DCC" w14:textId="6B8716C4"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1,386</w:t>
            </w:r>
          </w:p>
        </w:tc>
        <w:tc>
          <w:tcPr>
            <w:tcW w:w="648" w:type="dxa"/>
            <w:tcBorders>
              <w:top w:val="nil"/>
              <w:left w:val="nil"/>
              <w:bottom w:val="nil"/>
              <w:right w:val="nil"/>
            </w:tcBorders>
            <w:shd w:val="clear" w:color="auto" w:fill="auto"/>
            <w:vAlign w:val="bottom"/>
            <w:hideMark/>
          </w:tcPr>
          <w:p w14:paraId="40B97F79" w14:textId="52E11372"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534</w:t>
            </w:r>
          </w:p>
        </w:tc>
        <w:tc>
          <w:tcPr>
            <w:tcW w:w="648" w:type="dxa"/>
            <w:tcBorders>
              <w:top w:val="nil"/>
              <w:left w:val="nil"/>
              <w:bottom w:val="nil"/>
              <w:right w:val="nil"/>
            </w:tcBorders>
            <w:shd w:val="clear" w:color="auto" w:fill="auto"/>
            <w:vAlign w:val="bottom"/>
            <w:hideMark/>
          </w:tcPr>
          <w:p w14:paraId="275C222B" w14:textId="522F21C6"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96</w:t>
            </w:r>
          </w:p>
        </w:tc>
        <w:tc>
          <w:tcPr>
            <w:tcW w:w="648" w:type="dxa"/>
            <w:tcBorders>
              <w:top w:val="nil"/>
              <w:left w:val="nil"/>
              <w:bottom w:val="nil"/>
              <w:right w:val="nil"/>
            </w:tcBorders>
            <w:shd w:val="clear" w:color="auto" w:fill="auto"/>
            <w:vAlign w:val="bottom"/>
            <w:hideMark/>
          </w:tcPr>
          <w:p w14:paraId="1497A3F7" w14:textId="3D2E14EB"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175</w:t>
            </w:r>
          </w:p>
        </w:tc>
        <w:tc>
          <w:tcPr>
            <w:tcW w:w="648" w:type="dxa"/>
            <w:tcBorders>
              <w:top w:val="nil"/>
              <w:left w:val="nil"/>
              <w:bottom w:val="nil"/>
              <w:right w:val="nil"/>
            </w:tcBorders>
            <w:shd w:val="clear" w:color="auto" w:fill="auto"/>
            <w:vAlign w:val="bottom"/>
            <w:hideMark/>
          </w:tcPr>
          <w:p w14:paraId="1879F421" w14:textId="14EF2DBA"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84</w:t>
            </w:r>
          </w:p>
        </w:tc>
        <w:tc>
          <w:tcPr>
            <w:tcW w:w="729" w:type="dxa"/>
            <w:tcBorders>
              <w:top w:val="nil"/>
              <w:left w:val="nil"/>
              <w:bottom w:val="nil"/>
              <w:right w:val="nil"/>
            </w:tcBorders>
            <w:shd w:val="clear" w:color="auto" w:fill="auto"/>
            <w:vAlign w:val="bottom"/>
            <w:hideMark/>
          </w:tcPr>
          <w:p w14:paraId="19974EB6" w14:textId="180E3E19"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15,339</w:t>
            </w:r>
          </w:p>
        </w:tc>
      </w:tr>
      <w:tr w:rsidR="007E365E" w:rsidRPr="005A6903" w14:paraId="24BF4F10" w14:textId="77777777" w:rsidTr="007D1D77">
        <w:trPr>
          <w:trHeight w:hRule="exact" w:val="318"/>
        </w:trPr>
        <w:tc>
          <w:tcPr>
            <w:tcW w:w="2835" w:type="dxa"/>
            <w:tcBorders>
              <w:top w:val="single" w:sz="4" w:space="0" w:color="ADD6EA"/>
              <w:left w:val="nil"/>
              <w:bottom w:val="single" w:sz="4" w:space="0" w:color="ADD6EA"/>
              <w:right w:val="nil"/>
            </w:tcBorders>
            <w:shd w:val="clear" w:color="auto" w:fill="auto"/>
            <w:vAlign w:val="bottom"/>
            <w:hideMark/>
          </w:tcPr>
          <w:p w14:paraId="68E40AA7" w14:textId="77777777" w:rsidR="007E365E" w:rsidRPr="005A6903" w:rsidRDefault="007E365E" w:rsidP="007D1D77">
            <w:pPr>
              <w:tabs>
                <w:tab w:val="clear" w:pos="567"/>
              </w:tabs>
              <w:spacing w:before="0" w:line="240" w:lineRule="auto"/>
              <w:rPr>
                <w:rFonts w:eastAsia="Times New Roman" w:cs="Open Sans Light"/>
                <w:sz w:val="16"/>
                <w:szCs w:val="16"/>
                <w:lang w:eastAsia="en-AU"/>
              </w:rPr>
            </w:pPr>
            <w:r w:rsidRPr="005A6903">
              <w:rPr>
                <w:rFonts w:eastAsia="Times New Roman" w:cs="Open Sans Light"/>
                <w:sz w:val="16"/>
                <w:szCs w:val="16"/>
                <w:lang w:eastAsia="en-AU"/>
              </w:rPr>
              <w:t>Net investment ($m)</w:t>
            </w:r>
          </w:p>
        </w:tc>
        <w:tc>
          <w:tcPr>
            <w:tcW w:w="851" w:type="dxa"/>
            <w:tcBorders>
              <w:top w:val="single" w:sz="4" w:space="0" w:color="ADD6EA"/>
              <w:left w:val="nil"/>
              <w:bottom w:val="single" w:sz="4" w:space="0" w:color="ADD6EA"/>
              <w:right w:val="nil"/>
            </w:tcBorders>
            <w:shd w:val="clear" w:color="auto" w:fill="auto"/>
            <w:vAlign w:val="bottom"/>
            <w:hideMark/>
          </w:tcPr>
          <w:p w14:paraId="0F79911F" w14:textId="0E7FE3A3"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4,935</w:t>
            </w:r>
          </w:p>
        </w:tc>
        <w:tc>
          <w:tcPr>
            <w:tcW w:w="648" w:type="dxa"/>
            <w:tcBorders>
              <w:top w:val="single" w:sz="4" w:space="0" w:color="ADD6EA"/>
              <w:left w:val="nil"/>
              <w:bottom w:val="single" w:sz="4" w:space="0" w:color="ADD6EA"/>
              <w:right w:val="nil"/>
            </w:tcBorders>
            <w:shd w:val="clear" w:color="auto" w:fill="auto"/>
            <w:vAlign w:val="bottom"/>
            <w:hideMark/>
          </w:tcPr>
          <w:p w14:paraId="45C10DAE" w14:textId="2344BFE8"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745</w:t>
            </w:r>
          </w:p>
        </w:tc>
        <w:tc>
          <w:tcPr>
            <w:tcW w:w="648" w:type="dxa"/>
            <w:tcBorders>
              <w:top w:val="single" w:sz="4" w:space="0" w:color="ADD6EA"/>
              <w:left w:val="nil"/>
              <w:bottom w:val="single" w:sz="4" w:space="0" w:color="ADD6EA"/>
              <w:right w:val="nil"/>
            </w:tcBorders>
            <w:shd w:val="clear" w:color="auto" w:fill="auto"/>
            <w:vAlign w:val="bottom"/>
            <w:hideMark/>
          </w:tcPr>
          <w:p w14:paraId="1A36A7A0" w14:textId="7E4225C7"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1,003</w:t>
            </w:r>
          </w:p>
        </w:tc>
        <w:tc>
          <w:tcPr>
            <w:tcW w:w="648" w:type="dxa"/>
            <w:tcBorders>
              <w:top w:val="single" w:sz="4" w:space="0" w:color="ADD6EA"/>
              <w:left w:val="nil"/>
              <w:bottom w:val="single" w:sz="4" w:space="0" w:color="ADD6EA"/>
              <w:right w:val="nil"/>
            </w:tcBorders>
            <w:shd w:val="clear" w:color="auto" w:fill="auto"/>
            <w:vAlign w:val="bottom"/>
            <w:hideMark/>
          </w:tcPr>
          <w:p w14:paraId="3DC96FAE" w14:textId="66063D4C"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13</w:t>
            </w:r>
          </w:p>
        </w:tc>
        <w:tc>
          <w:tcPr>
            <w:tcW w:w="648" w:type="dxa"/>
            <w:tcBorders>
              <w:top w:val="single" w:sz="4" w:space="0" w:color="ADD6EA"/>
              <w:left w:val="nil"/>
              <w:bottom w:val="single" w:sz="4" w:space="0" w:color="ADD6EA"/>
              <w:right w:val="nil"/>
            </w:tcBorders>
            <w:shd w:val="clear" w:color="auto" w:fill="auto"/>
            <w:vAlign w:val="bottom"/>
            <w:hideMark/>
          </w:tcPr>
          <w:p w14:paraId="73CE35C8" w14:textId="47AF1B81"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169</w:t>
            </w:r>
          </w:p>
        </w:tc>
        <w:tc>
          <w:tcPr>
            <w:tcW w:w="648" w:type="dxa"/>
            <w:tcBorders>
              <w:top w:val="single" w:sz="4" w:space="0" w:color="ADD6EA"/>
              <w:left w:val="nil"/>
              <w:bottom w:val="single" w:sz="4" w:space="0" w:color="ADD6EA"/>
              <w:right w:val="nil"/>
            </w:tcBorders>
            <w:shd w:val="clear" w:color="auto" w:fill="auto"/>
            <w:vAlign w:val="bottom"/>
            <w:hideMark/>
          </w:tcPr>
          <w:p w14:paraId="48F2361D" w14:textId="73B575ED"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-4</w:t>
            </w:r>
          </w:p>
        </w:tc>
        <w:tc>
          <w:tcPr>
            <w:tcW w:w="648" w:type="dxa"/>
            <w:tcBorders>
              <w:top w:val="single" w:sz="4" w:space="0" w:color="ADD6EA"/>
              <w:left w:val="nil"/>
              <w:bottom w:val="single" w:sz="4" w:space="0" w:color="ADD6EA"/>
              <w:right w:val="nil"/>
            </w:tcBorders>
            <w:shd w:val="clear" w:color="auto" w:fill="auto"/>
            <w:vAlign w:val="bottom"/>
            <w:hideMark/>
          </w:tcPr>
          <w:p w14:paraId="0F12C523" w14:textId="4AEDCF83"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27</w:t>
            </w:r>
          </w:p>
        </w:tc>
        <w:tc>
          <w:tcPr>
            <w:tcW w:w="648" w:type="dxa"/>
            <w:tcBorders>
              <w:top w:val="single" w:sz="4" w:space="0" w:color="ADD6EA"/>
              <w:left w:val="nil"/>
              <w:bottom w:val="single" w:sz="4" w:space="0" w:color="ADD6EA"/>
              <w:right w:val="nil"/>
            </w:tcBorders>
            <w:shd w:val="clear" w:color="auto" w:fill="auto"/>
            <w:vAlign w:val="bottom"/>
            <w:hideMark/>
          </w:tcPr>
          <w:p w14:paraId="5E2197F2" w14:textId="1D74BDA1"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81</w:t>
            </w:r>
          </w:p>
        </w:tc>
        <w:tc>
          <w:tcPr>
            <w:tcW w:w="729" w:type="dxa"/>
            <w:tcBorders>
              <w:top w:val="single" w:sz="4" w:space="0" w:color="ADD6EA"/>
              <w:left w:val="nil"/>
              <w:bottom w:val="single" w:sz="4" w:space="0" w:color="ADD6EA"/>
              <w:right w:val="nil"/>
            </w:tcBorders>
            <w:shd w:val="clear" w:color="auto" w:fill="auto"/>
            <w:vAlign w:val="bottom"/>
            <w:hideMark/>
          </w:tcPr>
          <w:p w14:paraId="49CEFCA6" w14:textId="456B9AFE"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6,968</w:t>
            </w:r>
          </w:p>
        </w:tc>
      </w:tr>
      <w:tr w:rsidR="007E365E" w:rsidRPr="005A6903" w14:paraId="0411355D" w14:textId="77777777" w:rsidTr="007D1D77">
        <w:trPr>
          <w:trHeight w:hRule="exact" w:val="318"/>
        </w:trPr>
        <w:tc>
          <w:tcPr>
            <w:tcW w:w="2835" w:type="dxa"/>
            <w:tcBorders>
              <w:top w:val="nil"/>
              <w:left w:val="nil"/>
              <w:bottom w:val="nil"/>
              <w:right w:val="nil"/>
            </w:tcBorders>
            <w:shd w:val="clear" w:color="000000" w:fill="D6E7F0"/>
            <w:vAlign w:val="bottom"/>
            <w:hideMark/>
          </w:tcPr>
          <w:p w14:paraId="5A48DBB9" w14:textId="77777777" w:rsidR="007E365E" w:rsidRPr="005A6903"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5A6903">
              <w:rPr>
                <w:rFonts w:ascii="Open Sans SemiBold" w:eastAsia="Times New Roman" w:hAnsi="Open Sans SemiBold" w:cs="Open Sans SemiBold"/>
                <w:sz w:val="16"/>
                <w:szCs w:val="16"/>
                <w:lang w:eastAsia="en-AU"/>
              </w:rPr>
              <w:t>Total transport expenditure ($m)</w:t>
            </w:r>
          </w:p>
        </w:tc>
        <w:tc>
          <w:tcPr>
            <w:tcW w:w="851" w:type="dxa"/>
            <w:tcBorders>
              <w:top w:val="nil"/>
              <w:left w:val="nil"/>
              <w:bottom w:val="nil"/>
              <w:right w:val="nil"/>
            </w:tcBorders>
            <w:shd w:val="clear" w:color="000000" w:fill="D6E7F0"/>
            <w:vAlign w:val="bottom"/>
            <w:hideMark/>
          </w:tcPr>
          <w:p w14:paraId="382229EA" w14:textId="63F5B0A5"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11,814</w:t>
            </w:r>
          </w:p>
        </w:tc>
        <w:tc>
          <w:tcPr>
            <w:tcW w:w="648" w:type="dxa"/>
            <w:tcBorders>
              <w:top w:val="nil"/>
              <w:left w:val="nil"/>
              <w:bottom w:val="nil"/>
              <w:right w:val="nil"/>
            </w:tcBorders>
            <w:shd w:val="clear" w:color="000000" w:fill="D6E7F0"/>
            <w:vAlign w:val="bottom"/>
            <w:hideMark/>
          </w:tcPr>
          <w:p w14:paraId="11AECA75" w14:textId="3C99A8E3"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4,251</w:t>
            </w:r>
          </w:p>
        </w:tc>
        <w:tc>
          <w:tcPr>
            <w:tcW w:w="648" w:type="dxa"/>
            <w:tcBorders>
              <w:top w:val="nil"/>
              <w:left w:val="nil"/>
              <w:bottom w:val="nil"/>
              <w:right w:val="nil"/>
            </w:tcBorders>
            <w:shd w:val="clear" w:color="000000" w:fill="D6E7F0"/>
            <w:vAlign w:val="bottom"/>
            <w:hideMark/>
          </w:tcPr>
          <w:p w14:paraId="799992D0" w14:textId="4BF144D4"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3,681</w:t>
            </w:r>
          </w:p>
        </w:tc>
        <w:tc>
          <w:tcPr>
            <w:tcW w:w="648" w:type="dxa"/>
            <w:tcBorders>
              <w:top w:val="nil"/>
              <w:left w:val="nil"/>
              <w:bottom w:val="nil"/>
              <w:right w:val="nil"/>
            </w:tcBorders>
            <w:shd w:val="clear" w:color="000000" w:fill="D6E7F0"/>
            <w:vAlign w:val="bottom"/>
            <w:hideMark/>
          </w:tcPr>
          <w:p w14:paraId="13A22B21" w14:textId="171D1A5A"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1,399</w:t>
            </w:r>
          </w:p>
        </w:tc>
        <w:tc>
          <w:tcPr>
            <w:tcW w:w="648" w:type="dxa"/>
            <w:tcBorders>
              <w:top w:val="nil"/>
              <w:left w:val="nil"/>
              <w:bottom w:val="nil"/>
              <w:right w:val="nil"/>
            </w:tcBorders>
            <w:shd w:val="clear" w:color="000000" w:fill="D6E7F0"/>
            <w:vAlign w:val="bottom"/>
            <w:hideMark/>
          </w:tcPr>
          <w:p w14:paraId="4F5D4450" w14:textId="6082C67C"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702</w:t>
            </w:r>
          </w:p>
        </w:tc>
        <w:tc>
          <w:tcPr>
            <w:tcW w:w="648" w:type="dxa"/>
            <w:tcBorders>
              <w:top w:val="nil"/>
              <w:left w:val="nil"/>
              <w:bottom w:val="nil"/>
              <w:right w:val="nil"/>
            </w:tcBorders>
            <w:shd w:val="clear" w:color="000000" w:fill="D6E7F0"/>
            <w:vAlign w:val="bottom"/>
            <w:hideMark/>
          </w:tcPr>
          <w:p w14:paraId="48129B29" w14:textId="2CC0A287"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92</w:t>
            </w:r>
          </w:p>
        </w:tc>
        <w:tc>
          <w:tcPr>
            <w:tcW w:w="648" w:type="dxa"/>
            <w:tcBorders>
              <w:top w:val="nil"/>
              <w:left w:val="nil"/>
              <w:bottom w:val="nil"/>
              <w:right w:val="nil"/>
            </w:tcBorders>
            <w:shd w:val="clear" w:color="000000" w:fill="D6E7F0"/>
            <w:vAlign w:val="bottom"/>
            <w:hideMark/>
          </w:tcPr>
          <w:p w14:paraId="0CD75588" w14:textId="140D736E"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202</w:t>
            </w:r>
          </w:p>
        </w:tc>
        <w:tc>
          <w:tcPr>
            <w:tcW w:w="648" w:type="dxa"/>
            <w:tcBorders>
              <w:top w:val="nil"/>
              <w:left w:val="nil"/>
              <w:bottom w:val="nil"/>
              <w:right w:val="nil"/>
            </w:tcBorders>
            <w:shd w:val="clear" w:color="000000" w:fill="D6E7F0"/>
            <w:vAlign w:val="bottom"/>
            <w:hideMark/>
          </w:tcPr>
          <w:p w14:paraId="3BF8E985" w14:textId="42A3BE4F"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165</w:t>
            </w:r>
          </w:p>
        </w:tc>
        <w:tc>
          <w:tcPr>
            <w:tcW w:w="729" w:type="dxa"/>
            <w:tcBorders>
              <w:top w:val="nil"/>
              <w:left w:val="nil"/>
              <w:bottom w:val="nil"/>
              <w:right w:val="nil"/>
            </w:tcBorders>
            <w:shd w:val="clear" w:color="000000" w:fill="D6E7F0"/>
            <w:vAlign w:val="bottom"/>
            <w:hideMark/>
          </w:tcPr>
          <w:p w14:paraId="5723661C" w14:textId="14A82277"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22,307</w:t>
            </w:r>
          </w:p>
        </w:tc>
      </w:tr>
      <w:tr w:rsidR="007E365E" w:rsidRPr="005A6903" w14:paraId="793FCF96" w14:textId="77777777" w:rsidTr="007D1D77">
        <w:trPr>
          <w:trHeight w:hRule="exact" w:val="318"/>
        </w:trPr>
        <w:tc>
          <w:tcPr>
            <w:tcW w:w="2835" w:type="dxa"/>
            <w:tcBorders>
              <w:top w:val="nil"/>
              <w:left w:val="nil"/>
              <w:bottom w:val="nil"/>
              <w:right w:val="nil"/>
            </w:tcBorders>
            <w:shd w:val="clear" w:color="auto" w:fill="auto"/>
            <w:vAlign w:val="bottom"/>
            <w:hideMark/>
          </w:tcPr>
          <w:p w14:paraId="2338E78F" w14:textId="77777777" w:rsidR="007E365E" w:rsidRPr="005A6903" w:rsidRDefault="007E365E" w:rsidP="007D1D77">
            <w:pPr>
              <w:tabs>
                <w:tab w:val="clear" w:pos="567"/>
              </w:tabs>
              <w:spacing w:before="0" w:line="240" w:lineRule="auto"/>
              <w:rPr>
                <w:rFonts w:eastAsia="Times New Roman" w:cs="Open Sans Light"/>
                <w:sz w:val="16"/>
                <w:szCs w:val="16"/>
                <w:lang w:eastAsia="en-AU"/>
              </w:rPr>
            </w:pPr>
            <w:r w:rsidRPr="005A6903">
              <w:rPr>
                <w:rFonts w:eastAsia="Times New Roman" w:cs="Open Sans Light"/>
                <w:sz w:val="16"/>
                <w:szCs w:val="16"/>
                <w:lang w:eastAsia="en-AU"/>
              </w:rPr>
              <w:t>Expenses ($pc)</w:t>
            </w:r>
          </w:p>
        </w:tc>
        <w:tc>
          <w:tcPr>
            <w:tcW w:w="851" w:type="dxa"/>
            <w:tcBorders>
              <w:top w:val="nil"/>
              <w:left w:val="nil"/>
              <w:bottom w:val="nil"/>
              <w:right w:val="nil"/>
            </w:tcBorders>
            <w:shd w:val="clear" w:color="auto" w:fill="auto"/>
            <w:vAlign w:val="bottom"/>
            <w:hideMark/>
          </w:tcPr>
          <w:p w14:paraId="59182A52" w14:textId="33B754FF"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856</w:t>
            </w:r>
          </w:p>
        </w:tc>
        <w:tc>
          <w:tcPr>
            <w:tcW w:w="648" w:type="dxa"/>
            <w:tcBorders>
              <w:top w:val="nil"/>
              <w:left w:val="nil"/>
              <w:bottom w:val="nil"/>
              <w:right w:val="nil"/>
            </w:tcBorders>
            <w:shd w:val="clear" w:color="auto" w:fill="auto"/>
            <w:vAlign w:val="bottom"/>
            <w:hideMark/>
          </w:tcPr>
          <w:p w14:paraId="0F1C6FAC" w14:textId="30A4E222"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537</w:t>
            </w:r>
          </w:p>
        </w:tc>
        <w:tc>
          <w:tcPr>
            <w:tcW w:w="648" w:type="dxa"/>
            <w:tcBorders>
              <w:top w:val="nil"/>
              <w:left w:val="nil"/>
              <w:bottom w:val="nil"/>
              <w:right w:val="nil"/>
            </w:tcBorders>
            <w:shd w:val="clear" w:color="auto" w:fill="auto"/>
            <w:vAlign w:val="bottom"/>
            <w:hideMark/>
          </w:tcPr>
          <w:p w14:paraId="50F4D1D4" w14:textId="21876B7F"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530</w:t>
            </w:r>
          </w:p>
        </w:tc>
        <w:tc>
          <w:tcPr>
            <w:tcW w:w="648" w:type="dxa"/>
            <w:tcBorders>
              <w:top w:val="nil"/>
              <w:left w:val="nil"/>
              <w:bottom w:val="nil"/>
              <w:right w:val="nil"/>
            </w:tcBorders>
            <w:shd w:val="clear" w:color="auto" w:fill="auto"/>
            <w:vAlign w:val="bottom"/>
            <w:hideMark/>
          </w:tcPr>
          <w:p w14:paraId="5B22A2A2" w14:textId="5106A4F1"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532</w:t>
            </w:r>
          </w:p>
        </w:tc>
        <w:tc>
          <w:tcPr>
            <w:tcW w:w="648" w:type="dxa"/>
            <w:tcBorders>
              <w:top w:val="nil"/>
              <w:left w:val="nil"/>
              <w:bottom w:val="nil"/>
              <w:right w:val="nil"/>
            </w:tcBorders>
            <w:shd w:val="clear" w:color="auto" w:fill="auto"/>
            <w:vAlign w:val="bottom"/>
            <w:hideMark/>
          </w:tcPr>
          <w:p w14:paraId="5AC5FAEA" w14:textId="256C63E0"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306</w:t>
            </w:r>
          </w:p>
        </w:tc>
        <w:tc>
          <w:tcPr>
            <w:tcW w:w="648" w:type="dxa"/>
            <w:tcBorders>
              <w:top w:val="nil"/>
              <w:left w:val="nil"/>
              <w:bottom w:val="nil"/>
              <w:right w:val="nil"/>
            </w:tcBorders>
            <w:shd w:val="clear" w:color="auto" w:fill="auto"/>
            <w:vAlign w:val="bottom"/>
            <w:hideMark/>
          </w:tcPr>
          <w:p w14:paraId="7837C995" w14:textId="2207B509"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180</w:t>
            </w:r>
          </w:p>
        </w:tc>
        <w:tc>
          <w:tcPr>
            <w:tcW w:w="648" w:type="dxa"/>
            <w:tcBorders>
              <w:top w:val="nil"/>
              <w:left w:val="nil"/>
              <w:bottom w:val="nil"/>
              <w:right w:val="nil"/>
            </w:tcBorders>
            <w:shd w:val="clear" w:color="auto" w:fill="auto"/>
            <w:vAlign w:val="bottom"/>
            <w:hideMark/>
          </w:tcPr>
          <w:p w14:paraId="0F3D4C86" w14:textId="7B438CD4"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414</w:t>
            </w:r>
          </w:p>
        </w:tc>
        <w:tc>
          <w:tcPr>
            <w:tcW w:w="648" w:type="dxa"/>
            <w:tcBorders>
              <w:top w:val="nil"/>
              <w:left w:val="nil"/>
              <w:bottom w:val="nil"/>
              <w:right w:val="nil"/>
            </w:tcBorders>
            <w:shd w:val="clear" w:color="auto" w:fill="auto"/>
            <w:vAlign w:val="bottom"/>
            <w:hideMark/>
          </w:tcPr>
          <w:p w14:paraId="3DAD59AA" w14:textId="3852463B"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343</w:t>
            </w:r>
          </w:p>
        </w:tc>
        <w:tc>
          <w:tcPr>
            <w:tcW w:w="729" w:type="dxa"/>
            <w:tcBorders>
              <w:top w:val="nil"/>
              <w:left w:val="nil"/>
              <w:bottom w:val="nil"/>
              <w:right w:val="nil"/>
            </w:tcBorders>
            <w:shd w:val="clear" w:color="auto" w:fill="auto"/>
            <w:vAlign w:val="bottom"/>
            <w:hideMark/>
          </w:tcPr>
          <w:p w14:paraId="3E55B64F" w14:textId="5AEA2D93"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610</w:t>
            </w:r>
          </w:p>
        </w:tc>
      </w:tr>
      <w:tr w:rsidR="007E365E" w:rsidRPr="005A6903" w14:paraId="0268379D" w14:textId="77777777" w:rsidTr="007D1D77">
        <w:trPr>
          <w:trHeight w:hRule="exact" w:val="318"/>
        </w:trPr>
        <w:tc>
          <w:tcPr>
            <w:tcW w:w="2835" w:type="dxa"/>
            <w:tcBorders>
              <w:top w:val="single" w:sz="4" w:space="0" w:color="ADD6EA"/>
              <w:left w:val="nil"/>
              <w:bottom w:val="single" w:sz="4" w:space="0" w:color="ADD6EA"/>
              <w:right w:val="nil"/>
            </w:tcBorders>
            <w:shd w:val="clear" w:color="auto" w:fill="auto"/>
            <w:vAlign w:val="bottom"/>
            <w:hideMark/>
          </w:tcPr>
          <w:p w14:paraId="200B93FF" w14:textId="77777777" w:rsidR="007E365E" w:rsidRPr="005A6903" w:rsidRDefault="007E365E" w:rsidP="007D1D77">
            <w:pPr>
              <w:tabs>
                <w:tab w:val="clear" w:pos="567"/>
              </w:tabs>
              <w:spacing w:before="0" w:line="240" w:lineRule="auto"/>
              <w:rPr>
                <w:rFonts w:eastAsia="Times New Roman" w:cs="Open Sans Light"/>
                <w:sz w:val="16"/>
                <w:szCs w:val="16"/>
                <w:lang w:eastAsia="en-AU"/>
              </w:rPr>
            </w:pPr>
            <w:r w:rsidRPr="005A6903">
              <w:rPr>
                <w:rFonts w:eastAsia="Times New Roman" w:cs="Open Sans Light"/>
                <w:sz w:val="16"/>
                <w:szCs w:val="16"/>
                <w:lang w:eastAsia="en-AU"/>
              </w:rPr>
              <w:t>Net investment ($pc)</w:t>
            </w:r>
          </w:p>
        </w:tc>
        <w:tc>
          <w:tcPr>
            <w:tcW w:w="851" w:type="dxa"/>
            <w:tcBorders>
              <w:top w:val="single" w:sz="4" w:space="0" w:color="ADD6EA"/>
              <w:left w:val="nil"/>
              <w:bottom w:val="single" w:sz="4" w:space="0" w:color="ADD6EA"/>
              <w:right w:val="nil"/>
            </w:tcBorders>
            <w:shd w:val="clear" w:color="auto" w:fill="auto"/>
            <w:vAlign w:val="bottom"/>
            <w:hideMark/>
          </w:tcPr>
          <w:p w14:paraId="773963B1" w14:textId="7D8E7F10"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614</w:t>
            </w:r>
          </w:p>
        </w:tc>
        <w:tc>
          <w:tcPr>
            <w:tcW w:w="648" w:type="dxa"/>
            <w:tcBorders>
              <w:top w:val="single" w:sz="4" w:space="0" w:color="ADD6EA"/>
              <w:left w:val="nil"/>
              <w:bottom w:val="single" w:sz="4" w:space="0" w:color="ADD6EA"/>
              <w:right w:val="nil"/>
            </w:tcBorders>
            <w:shd w:val="clear" w:color="auto" w:fill="auto"/>
            <w:vAlign w:val="bottom"/>
            <w:hideMark/>
          </w:tcPr>
          <w:p w14:paraId="6FB27722" w14:textId="3F1876AF"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114</w:t>
            </w:r>
          </w:p>
        </w:tc>
        <w:tc>
          <w:tcPr>
            <w:tcW w:w="648" w:type="dxa"/>
            <w:tcBorders>
              <w:top w:val="single" w:sz="4" w:space="0" w:color="ADD6EA"/>
              <w:left w:val="nil"/>
              <w:bottom w:val="single" w:sz="4" w:space="0" w:color="ADD6EA"/>
              <w:right w:val="nil"/>
            </w:tcBorders>
            <w:shd w:val="clear" w:color="auto" w:fill="auto"/>
            <w:vAlign w:val="bottom"/>
            <w:hideMark/>
          </w:tcPr>
          <w:p w14:paraId="2C913AAE" w14:textId="69EBD03C"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199</w:t>
            </w:r>
          </w:p>
        </w:tc>
        <w:tc>
          <w:tcPr>
            <w:tcW w:w="648" w:type="dxa"/>
            <w:tcBorders>
              <w:top w:val="single" w:sz="4" w:space="0" w:color="ADD6EA"/>
              <w:left w:val="nil"/>
              <w:bottom w:val="single" w:sz="4" w:space="0" w:color="ADD6EA"/>
              <w:right w:val="nil"/>
            </w:tcBorders>
            <w:shd w:val="clear" w:color="auto" w:fill="auto"/>
            <w:vAlign w:val="bottom"/>
            <w:hideMark/>
          </w:tcPr>
          <w:p w14:paraId="5A84EB45" w14:textId="27F8CD3C"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5</w:t>
            </w:r>
          </w:p>
        </w:tc>
        <w:tc>
          <w:tcPr>
            <w:tcW w:w="648" w:type="dxa"/>
            <w:tcBorders>
              <w:top w:val="single" w:sz="4" w:space="0" w:color="ADD6EA"/>
              <w:left w:val="nil"/>
              <w:bottom w:val="single" w:sz="4" w:space="0" w:color="ADD6EA"/>
              <w:right w:val="nil"/>
            </w:tcBorders>
            <w:shd w:val="clear" w:color="auto" w:fill="auto"/>
            <w:vAlign w:val="bottom"/>
            <w:hideMark/>
          </w:tcPr>
          <w:p w14:paraId="3842898A" w14:textId="326E88E2"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97</w:t>
            </w:r>
          </w:p>
        </w:tc>
        <w:tc>
          <w:tcPr>
            <w:tcW w:w="648" w:type="dxa"/>
            <w:tcBorders>
              <w:top w:val="single" w:sz="4" w:space="0" w:color="ADD6EA"/>
              <w:left w:val="nil"/>
              <w:bottom w:val="single" w:sz="4" w:space="0" w:color="ADD6EA"/>
              <w:right w:val="nil"/>
            </w:tcBorders>
            <w:shd w:val="clear" w:color="auto" w:fill="auto"/>
            <w:vAlign w:val="bottom"/>
            <w:hideMark/>
          </w:tcPr>
          <w:p w14:paraId="6BA333F2" w14:textId="131A2E08"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-7</w:t>
            </w:r>
          </w:p>
        </w:tc>
        <w:tc>
          <w:tcPr>
            <w:tcW w:w="648" w:type="dxa"/>
            <w:tcBorders>
              <w:top w:val="single" w:sz="4" w:space="0" w:color="ADD6EA"/>
              <w:left w:val="nil"/>
              <w:bottom w:val="single" w:sz="4" w:space="0" w:color="ADD6EA"/>
              <w:right w:val="nil"/>
            </w:tcBorders>
            <w:shd w:val="clear" w:color="auto" w:fill="auto"/>
            <w:vAlign w:val="bottom"/>
            <w:hideMark/>
          </w:tcPr>
          <w:p w14:paraId="6F0CA952" w14:textId="254BC7B7"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63</w:t>
            </w:r>
          </w:p>
        </w:tc>
        <w:tc>
          <w:tcPr>
            <w:tcW w:w="648" w:type="dxa"/>
            <w:tcBorders>
              <w:top w:val="single" w:sz="4" w:space="0" w:color="ADD6EA"/>
              <w:left w:val="nil"/>
              <w:bottom w:val="single" w:sz="4" w:space="0" w:color="ADD6EA"/>
              <w:right w:val="nil"/>
            </w:tcBorders>
            <w:shd w:val="clear" w:color="auto" w:fill="auto"/>
            <w:vAlign w:val="bottom"/>
            <w:hideMark/>
          </w:tcPr>
          <w:p w14:paraId="53C8A9E5" w14:textId="22EB321B"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329</w:t>
            </w:r>
          </w:p>
        </w:tc>
        <w:tc>
          <w:tcPr>
            <w:tcW w:w="729" w:type="dxa"/>
            <w:tcBorders>
              <w:top w:val="single" w:sz="4" w:space="0" w:color="ADD6EA"/>
              <w:left w:val="nil"/>
              <w:bottom w:val="single" w:sz="4" w:space="0" w:color="ADD6EA"/>
              <w:right w:val="nil"/>
            </w:tcBorders>
            <w:shd w:val="clear" w:color="auto" w:fill="auto"/>
            <w:vAlign w:val="bottom"/>
            <w:hideMark/>
          </w:tcPr>
          <w:p w14:paraId="542AA0D0" w14:textId="4C6E40E9"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277</w:t>
            </w:r>
          </w:p>
        </w:tc>
      </w:tr>
      <w:tr w:rsidR="007E365E" w:rsidRPr="005A6903" w14:paraId="12ABDA11" w14:textId="77777777" w:rsidTr="007D1D77">
        <w:trPr>
          <w:trHeight w:hRule="exact" w:val="318"/>
        </w:trPr>
        <w:tc>
          <w:tcPr>
            <w:tcW w:w="2835" w:type="dxa"/>
            <w:tcBorders>
              <w:top w:val="nil"/>
              <w:left w:val="nil"/>
              <w:bottom w:val="nil"/>
              <w:right w:val="nil"/>
            </w:tcBorders>
            <w:shd w:val="clear" w:color="000000" w:fill="D6E7F0"/>
            <w:vAlign w:val="bottom"/>
            <w:hideMark/>
          </w:tcPr>
          <w:p w14:paraId="732A32A9" w14:textId="77777777" w:rsidR="007E365E" w:rsidRPr="005A6903"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5A6903">
              <w:rPr>
                <w:rFonts w:ascii="Open Sans SemiBold" w:eastAsia="Times New Roman" w:hAnsi="Open Sans SemiBold" w:cs="Open Sans SemiBold"/>
                <w:sz w:val="16"/>
                <w:szCs w:val="16"/>
                <w:lang w:eastAsia="en-AU"/>
              </w:rPr>
              <w:t>Total transport expenditure ($pc)</w:t>
            </w:r>
          </w:p>
        </w:tc>
        <w:tc>
          <w:tcPr>
            <w:tcW w:w="851" w:type="dxa"/>
            <w:tcBorders>
              <w:top w:val="nil"/>
              <w:left w:val="nil"/>
              <w:bottom w:val="nil"/>
              <w:right w:val="nil"/>
            </w:tcBorders>
            <w:shd w:val="clear" w:color="000000" w:fill="D6E7F0"/>
            <w:vAlign w:val="bottom"/>
            <w:hideMark/>
          </w:tcPr>
          <w:p w14:paraId="34E6792E" w14:textId="3B7B8E0C"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1,470</w:t>
            </w:r>
          </w:p>
        </w:tc>
        <w:tc>
          <w:tcPr>
            <w:tcW w:w="648" w:type="dxa"/>
            <w:tcBorders>
              <w:top w:val="nil"/>
              <w:left w:val="nil"/>
              <w:bottom w:val="nil"/>
              <w:right w:val="nil"/>
            </w:tcBorders>
            <w:shd w:val="clear" w:color="000000" w:fill="D6E7F0"/>
            <w:vAlign w:val="bottom"/>
            <w:hideMark/>
          </w:tcPr>
          <w:p w14:paraId="08C3A6F7" w14:textId="76C9E5E4"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651</w:t>
            </w:r>
          </w:p>
        </w:tc>
        <w:tc>
          <w:tcPr>
            <w:tcW w:w="648" w:type="dxa"/>
            <w:tcBorders>
              <w:top w:val="nil"/>
              <w:left w:val="nil"/>
              <w:bottom w:val="nil"/>
              <w:right w:val="nil"/>
            </w:tcBorders>
            <w:shd w:val="clear" w:color="000000" w:fill="D6E7F0"/>
            <w:vAlign w:val="bottom"/>
            <w:hideMark/>
          </w:tcPr>
          <w:p w14:paraId="54E90F9F" w14:textId="2711C8B6"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729</w:t>
            </w:r>
          </w:p>
        </w:tc>
        <w:tc>
          <w:tcPr>
            <w:tcW w:w="648" w:type="dxa"/>
            <w:tcBorders>
              <w:top w:val="nil"/>
              <w:left w:val="nil"/>
              <w:bottom w:val="nil"/>
              <w:right w:val="nil"/>
            </w:tcBorders>
            <w:shd w:val="clear" w:color="000000" w:fill="D6E7F0"/>
            <w:vAlign w:val="bottom"/>
            <w:hideMark/>
          </w:tcPr>
          <w:p w14:paraId="0C0921F4" w14:textId="6E1A6BEE"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537</w:t>
            </w:r>
          </w:p>
        </w:tc>
        <w:tc>
          <w:tcPr>
            <w:tcW w:w="648" w:type="dxa"/>
            <w:tcBorders>
              <w:top w:val="nil"/>
              <w:left w:val="nil"/>
              <w:bottom w:val="nil"/>
              <w:right w:val="nil"/>
            </w:tcBorders>
            <w:shd w:val="clear" w:color="000000" w:fill="D6E7F0"/>
            <w:vAlign w:val="bottom"/>
            <w:hideMark/>
          </w:tcPr>
          <w:p w14:paraId="5568434A" w14:textId="7C2F2320"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403</w:t>
            </w:r>
          </w:p>
        </w:tc>
        <w:tc>
          <w:tcPr>
            <w:tcW w:w="648" w:type="dxa"/>
            <w:tcBorders>
              <w:top w:val="nil"/>
              <w:left w:val="nil"/>
              <w:bottom w:val="nil"/>
              <w:right w:val="nil"/>
            </w:tcBorders>
            <w:shd w:val="clear" w:color="000000" w:fill="D6E7F0"/>
            <w:vAlign w:val="bottom"/>
            <w:hideMark/>
          </w:tcPr>
          <w:p w14:paraId="1BEA49D3" w14:textId="7D8B08C2"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174</w:t>
            </w:r>
          </w:p>
        </w:tc>
        <w:tc>
          <w:tcPr>
            <w:tcW w:w="648" w:type="dxa"/>
            <w:tcBorders>
              <w:top w:val="nil"/>
              <w:left w:val="nil"/>
              <w:bottom w:val="nil"/>
              <w:right w:val="nil"/>
            </w:tcBorders>
            <w:shd w:val="clear" w:color="000000" w:fill="D6E7F0"/>
            <w:vAlign w:val="bottom"/>
            <w:hideMark/>
          </w:tcPr>
          <w:p w14:paraId="061ED243" w14:textId="68774828"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477</w:t>
            </w:r>
          </w:p>
        </w:tc>
        <w:tc>
          <w:tcPr>
            <w:tcW w:w="648" w:type="dxa"/>
            <w:tcBorders>
              <w:top w:val="nil"/>
              <w:left w:val="nil"/>
              <w:bottom w:val="nil"/>
              <w:right w:val="nil"/>
            </w:tcBorders>
            <w:shd w:val="clear" w:color="000000" w:fill="D6E7F0"/>
            <w:vAlign w:val="bottom"/>
            <w:hideMark/>
          </w:tcPr>
          <w:p w14:paraId="67750710" w14:textId="108FEC1A"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672</w:t>
            </w:r>
          </w:p>
        </w:tc>
        <w:tc>
          <w:tcPr>
            <w:tcW w:w="729" w:type="dxa"/>
            <w:tcBorders>
              <w:top w:val="nil"/>
              <w:left w:val="nil"/>
              <w:bottom w:val="nil"/>
              <w:right w:val="nil"/>
            </w:tcBorders>
            <w:shd w:val="clear" w:color="000000" w:fill="D6E7F0"/>
            <w:vAlign w:val="bottom"/>
            <w:hideMark/>
          </w:tcPr>
          <w:p w14:paraId="0F9CEFE5" w14:textId="3D908D12" w:rsidR="007E365E" w:rsidRPr="005A690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hAnsi="Open Sans SemiBold" w:cs="Open Sans SemiBold"/>
                <w:sz w:val="16"/>
                <w:szCs w:val="16"/>
              </w:rPr>
              <w:t>886</w:t>
            </w:r>
          </w:p>
        </w:tc>
      </w:tr>
      <w:tr w:rsidR="007E365E" w:rsidRPr="005A6903" w14:paraId="68702A37" w14:textId="77777777" w:rsidTr="007D1D77">
        <w:trPr>
          <w:trHeight w:hRule="exact" w:val="318"/>
        </w:trPr>
        <w:tc>
          <w:tcPr>
            <w:tcW w:w="2835" w:type="dxa"/>
            <w:tcBorders>
              <w:top w:val="single" w:sz="4" w:space="0" w:color="ADD6EA"/>
              <w:left w:val="nil"/>
              <w:bottom w:val="single" w:sz="4" w:space="0" w:color="ADD6EA"/>
              <w:right w:val="nil"/>
            </w:tcBorders>
            <w:shd w:val="clear" w:color="auto" w:fill="auto"/>
            <w:vAlign w:val="bottom"/>
            <w:hideMark/>
          </w:tcPr>
          <w:p w14:paraId="65D988A7" w14:textId="77777777" w:rsidR="007E365E" w:rsidRPr="005A6903" w:rsidRDefault="007E365E" w:rsidP="007D1D77">
            <w:pPr>
              <w:tabs>
                <w:tab w:val="clear" w:pos="567"/>
              </w:tabs>
              <w:spacing w:before="0" w:line="240" w:lineRule="auto"/>
              <w:rPr>
                <w:rFonts w:eastAsia="Times New Roman" w:cs="Open Sans Light"/>
                <w:sz w:val="16"/>
                <w:szCs w:val="16"/>
                <w:lang w:eastAsia="en-AU"/>
              </w:rPr>
            </w:pPr>
            <w:r w:rsidRPr="005A6903">
              <w:rPr>
                <w:rFonts w:eastAsia="Times New Roman" w:cs="Open Sans Light"/>
                <w:sz w:val="16"/>
                <w:szCs w:val="16"/>
                <w:lang w:eastAsia="en-AU"/>
              </w:rPr>
              <w:t>Proportion of total expenditure (%)</w:t>
            </w:r>
          </w:p>
        </w:tc>
        <w:tc>
          <w:tcPr>
            <w:tcW w:w="851" w:type="dxa"/>
            <w:tcBorders>
              <w:top w:val="single" w:sz="4" w:space="0" w:color="ADD6EA"/>
              <w:left w:val="nil"/>
              <w:bottom w:val="single" w:sz="4" w:space="0" w:color="ADD6EA"/>
              <w:right w:val="nil"/>
            </w:tcBorders>
            <w:shd w:val="clear" w:color="auto" w:fill="auto"/>
            <w:vAlign w:val="bottom"/>
            <w:hideMark/>
          </w:tcPr>
          <w:p w14:paraId="655C5DA3" w14:textId="7E8E7E03" w:rsidR="007E365E" w:rsidRPr="005A6903" w:rsidRDefault="004A1A2C"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13.9</w:t>
            </w:r>
          </w:p>
        </w:tc>
        <w:tc>
          <w:tcPr>
            <w:tcW w:w="648" w:type="dxa"/>
            <w:tcBorders>
              <w:top w:val="single" w:sz="4" w:space="0" w:color="ADD6EA"/>
              <w:left w:val="nil"/>
              <w:bottom w:val="single" w:sz="4" w:space="0" w:color="ADD6EA"/>
              <w:right w:val="nil"/>
            </w:tcBorders>
            <w:shd w:val="clear" w:color="auto" w:fill="auto"/>
            <w:vAlign w:val="bottom"/>
            <w:hideMark/>
          </w:tcPr>
          <w:p w14:paraId="2381106E" w14:textId="0121C1EE"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7.</w:t>
            </w:r>
            <w:r w:rsidR="004A1A2C">
              <w:rPr>
                <w:rFonts w:cs="Open Sans Light"/>
                <w:sz w:val="16"/>
                <w:szCs w:val="16"/>
              </w:rPr>
              <w:t>1</w:t>
            </w:r>
          </w:p>
        </w:tc>
        <w:tc>
          <w:tcPr>
            <w:tcW w:w="648" w:type="dxa"/>
            <w:tcBorders>
              <w:top w:val="single" w:sz="4" w:space="0" w:color="ADD6EA"/>
              <w:left w:val="nil"/>
              <w:bottom w:val="single" w:sz="4" w:space="0" w:color="ADD6EA"/>
              <w:right w:val="nil"/>
            </w:tcBorders>
            <w:shd w:val="clear" w:color="auto" w:fill="auto"/>
            <w:vAlign w:val="bottom"/>
            <w:hideMark/>
          </w:tcPr>
          <w:p w14:paraId="29601A1D" w14:textId="74665F33"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7.1</w:t>
            </w:r>
          </w:p>
        </w:tc>
        <w:tc>
          <w:tcPr>
            <w:tcW w:w="648" w:type="dxa"/>
            <w:tcBorders>
              <w:top w:val="single" w:sz="4" w:space="0" w:color="ADD6EA"/>
              <w:left w:val="nil"/>
              <w:bottom w:val="single" w:sz="4" w:space="0" w:color="ADD6EA"/>
              <w:right w:val="nil"/>
            </w:tcBorders>
            <w:shd w:val="clear" w:color="auto" w:fill="auto"/>
            <w:vAlign w:val="bottom"/>
            <w:hideMark/>
          </w:tcPr>
          <w:p w14:paraId="66D68F51" w14:textId="587D557F"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4.9</w:t>
            </w:r>
          </w:p>
        </w:tc>
        <w:tc>
          <w:tcPr>
            <w:tcW w:w="648" w:type="dxa"/>
            <w:tcBorders>
              <w:top w:val="single" w:sz="4" w:space="0" w:color="ADD6EA"/>
              <w:left w:val="nil"/>
              <w:bottom w:val="single" w:sz="4" w:space="0" w:color="ADD6EA"/>
              <w:right w:val="nil"/>
            </w:tcBorders>
            <w:shd w:val="clear" w:color="auto" w:fill="auto"/>
            <w:vAlign w:val="bottom"/>
            <w:hideMark/>
          </w:tcPr>
          <w:p w14:paraId="50450CE3" w14:textId="1E80E08E"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4.</w:t>
            </w:r>
            <w:r w:rsidR="004A1A2C">
              <w:rPr>
                <w:rFonts w:cs="Open Sans Light"/>
                <w:sz w:val="16"/>
                <w:szCs w:val="16"/>
              </w:rPr>
              <w:t>4</w:t>
            </w:r>
          </w:p>
        </w:tc>
        <w:tc>
          <w:tcPr>
            <w:tcW w:w="648" w:type="dxa"/>
            <w:tcBorders>
              <w:top w:val="single" w:sz="4" w:space="0" w:color="ADD6EA"/>
              <w:left w:val="nil"/>
              <w:bottom w:val="single" w:sz="4" w:space="0" w:color="ADD6EA"/>
              <w:right w:val="nil"/>
            </w:tcBorders>
            <w:shd w:val="clear" w:color="auto" w:fill="auto"/>
            <w:vAlign w:val="bottom"/>
            <w:hideMark/>
          </w:tcPr>
          <w:p w14:paraId="040C40FA" w14:textId="3C640D86"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1.7</w:t>
            </w:r>
          </w:p>
        </w:tc>
        <w:tc>
          <w:tcPr>
            <w:tcW w:w="648" w:type="dxa"/>
            <w:tcBorders>
              <w:top w:val="single" w:sz="4" w:space="0" w:color="ADD6EA"/>
              <w:left w:val="nil"/>
              <w:bottom w:val="single" w:sz="4" w:space="0" w:color="ADD6EA"/>
              <w:right w:val="nil"/>
            </w:tcBorders>
            <w:shd w:val="clear" w:color="auto" w:fill="auto"/>
            <w:vAlign w:val="bottom"/>
            <w:hideMark/>
          </w:tcPr>
          <w:p w14:paraId="6525687F" w14:textId="560AFA0C"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3.</w:t>
            </w:r>
            <w:r w:rsidR="004A1A2C">
              <w:rPr>
                <w:rFonts w:cs="Open Sans Light"/>
                <w:sz w:val="16"/>
                <w:szCs w:val="16"/>
              </w:rPr>
              <w:t>9</w:t>
            </w:r>
          </w:p>
        </w:tc>
        <w:tc>
          <w:tcPr>
            <w:tcW w:w="648" w:type="dxa"/>
            <w:tcBorders>
              <w:top w:val="single" w:sz="4" w:space="0" w:color="ADD6EA"/>
              <w:left w:val="nil"/>
              <w:bottom w:val="single" w:sz="4" w:space="0" w:color="ADD6EA"/>
              <w:right w:val="nil"/>
            </w:tcBorders>
            <w:shd w:val="clear" w:color="auto" w:fill="auto"/>
            <w:vAlign w:val="bottom"/>
            <w:hideMark/>
          </w:tcPr>
          <w:p w14:paraId="6726BA62" w14:textId="4ABF73C3"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2.6</w:t>
            </w:r>
          </w:p>
        </w:tc>
        <w:tc>
          <w:tcPr>
            <w:tcW w:w="729" w:type="dxa"/>
            <w:tcBorders>
              <w:top w:val="single" w:sz="4" w:space="0" w:color="ADD6EA"/>
              <w:left w:val="nil"/>
              <w:bottom w:val="single" w:sz="4" w:space="0" w:color="ADD6EA"/>
              <w:right w:val="nil"/>
            </w:tcBorders>
            <w:shd w:val="clear" w:color="auto" w:fill="auto"/>
            <w:vAlign w:val="bottom"/>
            <w:hideMark/>
          </w:tcPr>
          <w:p w14:paraId="53C9312B" w14:textId="0B14D3C0" w:rsidR="007E365E" w:rsidRPr="005A6903"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8.</w:t>
            </w:r>
            <w:r w:rsidR="004A1A2C">
              <w:rPr>
                <w:rFonts w:cs="Open Sans Light"/>
                <w:sz w:val="16"/>
                <w:szCs w:val="16"/>
              </w:rPr>
              <w:t>6</w:t>
            </w:r>
          </w:p>
        </w:tc>
      </w:tr>
    </w:tbl>
    <w:p w14:paraId="321079E4" w14:textId="77777777" w:rsidR="007E365E" w:rsidRPr="00976585" w:rsidRDefault="007E365E" w:rsidP="007E365E">
      <w:pPr>
        <w:pStyle w:val="CGCTablenote"/>
      </w:pPr>
      <w:r w:rsidRPr="00976585">
        <w:t>Note:</w:t>
      </w:r>
      <w:r>
        <w:tab/>
      </w:r>
      <w:r w:rsidRPr="00976585">
        <w:t>Expenses shown on a net basis.</w:t>
      </w:r>
      <w:r>
        <w:t xml:space="preserve"> </w:t>
      </w:r>
      <w:r w:rsidRPr="00976585">
        <w:t>Recurrent expenses include urban and non-urban transport expenses.</w:t>
      </w:r>
      <w:r>
        <w:t xml:space="preserve"> </w:t>
      </w:r>
      <w:r w:rsidRPr="00976585">
        <w:t xml:space="preserve">Investment </w:t>
      </w:r>
      <w:r>
        <w:t xml:space="preserve">expenses are net of depreciation and </w:t>
      </w:r>
      <w:r w:rsidRPr="00976585">
        <w:t>only includes urban transport investment.</w:t>
      </w:r>
    </w:p>
    <w:p w14:paraId="3D20E79C" w14:textId="77777777" w:rsidR="007E365E" w:rsidRPr="00976585" w:rsidRDefault="007E365E" w:rsidP="007E365E">
      <w:pPr>
        <w:pStyle w:val="CGCTablenote"/>
      </w:pPr>
      <w:r w:rsidRPr="00976585">
        <w:t>Source:</w:t>
      </w:r>
      <w:r w:rsidRPr="00976585">
        <w:tab/>
        <w:t>Commission calculation using State budget data.</w:t>
      </w:r>
    </w:p>
    <w:p w14:paraId="326225F6" w14:textId="0BA81EEF" w:rsidR="007E365E" w:rsidRPr="00976585" w:rsidRDefault="007E365E" w:rsidP="007E365E">
      <w:pPr>
        <w:pStyle w:val="CGCParaNumber"/>
      </w:pPr>
      <w:r>
        <w:fldChar w:fldCharType="begin"/>
      </w:r>
      <w:r>
        <w:instrText xml:space="preserve"> REF _Ref32845763 \h </w:instrText>
      </w:r>
      <w:r>
        <w:fldChar w:fldCharType="separate"/>
      </w:r>
      <w:r w:rsidR="007F721A" w:rsidRPr="00976585">
        <w:t xml:space="preserve">Table </w:t>
      </w:r>
      <w:r w:rsidR="007F721A">
        <w:t>21-</w:t>
      </w:r>
      <w:r w:rsidR="007F721A">
        <w:rPr>
          <w:noProof/>
        </w:rPr>
        <w:t>2</w:t>
      </w:r>
      <w:r>
        <w:fldChar w:fldCharType="end"/>
      </w:r>
      <w:r w:rsidRPr="00976585">
        <w:t xml:space="preserve"> shows the share of State expenditure on transport from 20</w:t>
      </w:r>
      <w:r>
        <w:t>15-16</w:t>
      </w:r>
      <w:r w:rsidRPr="00976585">
        <w:t xml:space="preserve"> to 201</w:t>
      </w:r>
      <w:r>
        <w:t>8</w:t>
      </w:r>
      <w:r w:rsidRPr="00976585">
        <w:noBreakHyphen/>
        <w:t>1</w:t>
      </w:r>
      <w:r>
        <w:t>9</w:t>
      </w:r>
      <w:r w:rsidRPr="00976585">
        <w:t>.</w:t>
      </w:r>
    </w:p>
    <w:p w14:paraId="7A57237C" w14:textId="3DFB43E2" w:rsidR="007E365E" w:rsidRPr="00976585" w:rsidRDefault="007E365E" w:rsidP="007E365E">
      <w:pPr>
        <w:pStyle w:val="Caption"/>
      </w:pPr>
      <w:bookmarkStart w:id="235" w:name="_Ref32845763"/>
      <w:r w:rsidRPr="00976585">
        <w:t xml:space="preserve">Table </w:t>
      </w:r>
      <w:r>
        <w:t>21-</w:t>
      </w:r>
      <w:fldSimple w:instr=" SEQ Table \* ARABIC ">
        <w:r w:rsidR="007F721A">
          <w:rPr>
            <w:noProof/>
          </w:rPr>
          <w:t>2</w:t>
        </w:r>
      </w:fldSimple>
      <w:bookmarkEnd w:id="235"/>
      <w:r w:rsidRPr="00976585">
        <w:tab/>
        <w:t xml:space="preserve">Transport </w:t>
      </w:r>
      <w:r>
        <w:t>expen</w:t>
      </w:r>
      <w:r w:rsidR="00164610">
        <w:t>diture</w:t>
      </w:r>
      <w:r w:rsidRPr="00976585">
        <w:t xml:space="preserve">, </w:t>
      </w:r>
      <w:r w:rsidR="003C39E9">
        <w:t xml:space="preserve">all States, </w:t>
      </w:r>
      <w:r w:rsidRPr="00976585">
        <w:t>201</w:t>
      </w:r>
      <w:r>
        <w:t>5</w:t>
      </w:r>
      <w:r w:rsidRPr="00976585">
        <w:noBreakHyphen/>
        <w:t>1</w:t>
      </w:r>
      <w:r>
        <w:t>6</w:t>
      </w:r>
      <w:r w:rsidRPr="00976585">
        <w:t xml:space="preserve"> to 201</w:t>
      </w:r>
      <w:r>
        <w:t>8</w:t>
      </w:r>
      <w:r w:rsidRPr="00976585">
        <w:noBreakHyphen/>
        <w:t>1</w:t>
      </w:r>
      <w:r>
        <w:t>9</w:t>
      </w:r>
    </w:p>
    <w:tbl>
      <w:tblPr>
        <w:tblW w:w="8942" w:type="dxa"/>
        <w:tblLayout w:type="fixed"/>
        <w:tblCellMar>
          <w:left w:w="28" w:type="dxa"/>
          <w:right w:w="28" w:type="dxa"/>
        </w:tblCellMar>
        <w:tblLook w:val="04A0" w:firstRow="1" w:lastRow="0" w:firstColumn="1" w:lastColumn="0" w:noHBand="0" w:noVBand="1"/>
        <w:tblCaption w:val="Transport expenditure, 2015 16 to 2018 19"/>
        <w:tblDescription w:val="National net expenditure on transport and its share of total expenditure."/>
      </w:tblPr>
      <w:tblGrid>
        <w:gridCol w:w="3966"/>
        <w:gridCol w:w="1244"/>
        <w:gridCol w:w="1244"/>
        <w:gridCol w:w="1244"/>
        <w:gridCol w:w="1244"/>
      </w:tblGrid>
      <w:tr w:rsidR="007E365E" w:rsidRPr="00FC6EE7" w14:paraId="4E5BE356" w14:textId="77777777" w:rsidTr="007D1D77">
        <w:trPr>
          <w:trHeight w:hRule="exact" w:val="380"/>
        </w:trPr>
        <w:tc>
          <w:tcPr>
            <w:tcW w:w="3966" w:type="dxa"/>
            <w:tcBorders>
              <w:top w:val="single" w:sz="4" w:space="0" w:color="ADD6EA"/>
              <w:left w:val="nil"/>
              <w:bottom w:val="single" w:sz="4" w:space="0" w:color="ADD6EA"/>
              <w:right w:val="nil"/>
            </w:tcBorders>
            <w:shd w:val="clear" w:color="000000" w:fill="006991"/>
            <w:noWrap/>
            <w:vAlign w:val="center"/>
            <w:hideMark/>
          </w:tcPr>
          <w:p w14:paraId="7BF93312" w14:textId="78DC9FA4" w:rsidR="007E365E" w:rsidRPr="00FC6EE7"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Pr>
                <w:rFonts w:ascii="Open Sans SemiBold" w:hAnsi="Open Sans SemiBold" w:cs="Open Sans SemiBold"/>
                <w:color w:val="FFFFFF"/>
                <w:sz w:val="16"/>
                <w:szCs w:val="16"/>
              </w:rPr>
              <w:t> </w:t>
            </w:r>
          </w:p>
        </w:tc>
        <w:tc>
          <w:tcPr>
            <w:tcW w:w="1244" w:type="dxa"/>
            <w:tcBorders>
              <w:top w:val="single" w:sz="4" w:space="0" w:color="ADD6EA"/>
              <w:left w:val="nil"/>
              <w:bottom w:val="single" w:sz="4" w:space="0" w:color="ADD6EA"/>
              <w:right w:val="nil"/>
            </w:tcBorders>
            <w:shd w:val="clear" w:color="000000" w:fill="006991"/>
            <w:noWrap/>
            <w:vAlign w:val="center"/>
            <w:hideMark/>
          </w:tcPr>
          <w:p w14:paraId="22293074" w14:textId="72EBAC3A" w:rsidR="007E365E" w:rsidRPr="00FC6EE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hAnsi="Open Sans SemiBold" w:cs="Open Sans SemiBold"/>
                <w:color w:val="FFFFFF"/>
                <w:sz w:val="16"/>
                <w:szCs w:val="16"/>
              </w:rPr>
              <w:t>2015-16</w:t>
            </w:r>
          </w:p>
        </w:tc>
        <w:tc>
          <w:tcPr>
            <w:tcW w:w="1244" w:type="dxa"/>
            <w:tcBorders>
              <w:top w:val="single" w:sz="4" w:space="0" w:color="ADD6EA"/>
              <w:left w:val="nil"/>
              <w:bottom w:val="single" w:sz="4" w:space="0" w:color="ADD6EA"/>
              <w:right w:val="nil"/>
            </w:tcBorders>
            <w:shd w:val="clear" w:color="000000" w:fill="006991"/>
            <w:noWrap/>
            <w:vAlign w:val="center"/>
            <w:hideMark/>
          </w:tcPr>
          <w:p w14:paraId="21348FCF" w14:textId="3433EB8F" w:rsidR="007E365E" w:rsidRPr="00FC6EE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hAnsi="Open Sans SemiBold" w:cs="Open Sans SemiBold"/>
                <w:color w:val="FFFFFF"/>
                <w:sz w:val="16"/>
                <w:szCs w:val="16"/>
              </w:rPr>
              <w:t>2016-17</w:t>
            </w:r>
          </w:p>
        </w:tc>
        <w:tc>
          <w:tcPr>
            <w:tcW w:w="1244" w:type="dxa"/>
            <w:tcBorders>
              <w:top w:val="single" w:sz="4" w:space="0" w:color="ADD6EA"/>
              <w:left w:val="nil"/>
              <w:bottom w:val="single" w:sz="4" w:space="0" w:color="ADD6EA"/>
              <w:right w:val="nil"/>
            </w:tcBorders>
            <w:shd w:val="clear" w:color="000000" w:fill="006991"/>
            <w:noWrap/>
            <w:vAlign w:val="center"/>
            <w:hideMark/>
          </w:tcPr>
          <w:p w14:paraId="787DBE7B" w14:textId="31911A65" w:rsidR="007E365E" w:rsidRPr="00FC6EE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hAnsi="Open Sans SemiBold" w:cs="Open Sans SemiBold"/>
                <w:color w:val="FFFFFF"/>
                <w:sz w:val="16"/>
                <w:szCs w:val="16"/>
              </w:rPr>
              <w:t>2017-18</w:t>
            </w:r>
          </w:p>
        </w:tc>
        <w:tc>
          <w:tcPr>
            <w:tcW w:w="1244" w:type="dxa"/>
            <w:tcBorders>
              <w:top w:val="single" w:sz="4" w:space="0" w:color="ADD6EA"/>
              <w:left w:val="nil"/>
              <w:bottom w:val="single" w:sz="4" w:space="0" w:color="ADD6EA"/>
              <w:right w:val="nil"/>
            </w:tcBorders>
            <w:shd w:val="clear" w:color="000000" w:fill="006991"/>
            <w:noWrap/>
            <w:vAlign w:val="center"/>
            <w:hideMark/>
          </w:tcPr>
          <w:p w14:paraId="0B015D10" w14:textId="0B2C9C18" w:rsidR="007E365E" w:rsidRPr="00FC6EE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hAnsi="Open Sans SemiBold" w:cs="Open Sans SemiBold"/>
                <w:color w:val="FFFFFF"/>
                <w:sz w:val="16"/>
                <w:szCs w:val="16"/>
              </w:rPr>
              <w:t>2018-19</w:t>
            </w:r>
          </w:p>
        </w:tc>
      </w:tr>
      <w:tr w:rsidR="007E365E" w:rsidRPr="00FC6EE7" w14:paraId="3FF48FD9" w14:textId="77777777" w:rsidTr="007D1D77">
        <w:trPr>
          <w:trHeight w:hRule="exact" w:val="318"/>
        </w:trPr>
        <w:tc>
          <w:tcPr>
            <w:tcW w:w="3966" w:type="dxa"/>
            <w:tcBorders>
              <w:top w:val="nil"/>
              <w:left w:val="nil"/>
              <w:bottom w:val="nil"/>
              <w:right w:val="nil"/>
            </w:tcBorders>
            <w:shd w:val="clear" w:color="auto" w:fill="auto"/>
            <w:vAlign w:val="bottom"/>
            <w:hideMark/>
          </w:tcPr>
          <w:p w14:paraId="362D40BF" w14:textId="73359672" w:rsidR="007E365E" w:rsidRPr="00FC6EE7" w:rsidRDefault="007E365E" w:rsidP="007D1D77">
            <w:pPr>
              <w:tabs>
                <w:tab w:val="clear" w:pos="567"/>
              </w:tabs>
              <w:spacing w:before="0" w:line="240" w:lineRule="auto"/>
              <w:rPr>
                <w:rFonts w:eastAsia="Times New Roman" w:cs="Open Sans Light"/>
                <w:sz w:val="16"/>
                <w:szCs w:val="16"/>
                <w:lang w:eastAsia="en-AU"/>
              </w:rPr>
            </w:pPr>
            <w:r>
              <w:rPr>
                <w:rFonts w:cs="Open Sans Light"/>
                <w:sz w:val="16"/>
                <w:szCs w:val="16"/>
              </w:rPr>
              <w:t xml:space="preserve">Total </w:t>
            </w:r>
            <w:r w:rsidR="00415018">
              <w:rPr>
                <w:rFonts w:cs="Open Sans Light"/>
                <w:sz w:val="16"/>
                <w:szCs w:val="16"/>
              </w:rPr>
              <w:t>expenditure</w:t>
            </w:r>
            <w:r>
              <w:rPr>
                <w:rFonts w:cs="Open Sans Light"/>
                <w:sz w:val="16"/>
                <w:szCs w:val="16"/>
              </w:rPr>
              <w:t xml:space="preserve"> ($m)</w:t>
            </w:r>
          </w:p>
        </w:tc>
        <w:tc>
          <w:tcPr>
            <w:tcW w:w="1244" w:type="dxa"/>
            <w:tcBorders>
              <w:top w:val="nil"/>
              <w:left w:val="nil"/>
              <w:bottom w:val="nil"/>
              <w:right w:val="nil"/>
            </w:tcBorders>
            <w:shd w:val="clear" w:color="auto" w:fill="auto"/>
            <w:vAlign w:val="bottom"/>
            <w:hideMark/>
          </w:tcPr>
          <w:p w14:paraId="0119A573" w14:textId="5BBBBDAA" w:rsidR="007E365E" w:rsidRPr="00FC6EE7" w:rsidRDefault="00415018"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16,167</w:t>
            </w:r>
          </w:p>
        </w:tc>
        <w:tc>
          <w:tcPr>
            <w:tcW w:w="1244" w:type="dxa"/>
            <w:tcBorders>
              <w:top w:val="nil"/>
              <w:left w:val="nil"/>
              <w:bottom w:val="nil"/>
              <w:right w:val="nil"/>
            </w:tcBorders>
            <w:shd w:val="clear" w:color="auto" w:fill="auto"/>
            <w:vAlign w:val="bottom"/>
            <w:hideMark/>
          </w:tcPr>
          <w:p w14:paraId="4FECD9E2" w14:textId="4C5AEADE" w:rsidR="007E365E" w:rsidRPr="00FC6EE7" w:rsidRDefault="00415018"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18,715</w:t>
            </w:r>
          </w:p>
        </w:tc>
        <w:tc>
          <w:tcPr>
            <w:tcW w:w="1244" w:type="dxa"/>
            <w:tcBorders>
              <w:top w:val="nil"/>
              <w:left w:val="nil"/>
              <w:bottom w:val="nil"/>
              <w:right w:val="nil"/>
            </w:tcBorders>
            <w:shd w:val="clear" w:color="auto" w:fill="auto"/>
            <w:vAlign w:val="bottom"/>
            <w:hideMark/>
          </w:tcPr>
          <w:p w14:paraId="4C6F9A47" w14:textId="798CA332" w:rsidR="007E365E" w:rsidRPr="00FC6EE7" w:rsidRDefault="00415018"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20,708</w:t>
            </w:r>
          </w:p>
        </w:tc>
        <w:tc>
          <w:tcPr>
            <w:tcW w:w="1244" w:type="dxa"/>
            <w:tcBorders>
              <w:top w:val="nil"/>
              <w:left w:val="nil"/>
              <w:bottom w:val="nil"/>
              <w:right w:val="nil"/>
            </w:tcBorders>
            <w:shd w:val="clear" w:color="auto" w:fill="auto"/>
            <w:vAlign w:val="bottom"/>
            <w:hideMark/>
          </w:tcPr>
          <w:p w14:paraId="707E7FAA" w14:textId="5951F384" w:rsidR="007E365E" w:rsidRPr="00FC6EE7" w:rsidRDefault="00415018"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22,307</w:t>
            </w:r>
          </w:p>
        </w:tc>
      </w:tr>
      <w:tr w:rsidR="007E365E" w:rsidRPr="00FC6EE7" w14:paraId="1ADCE13E" w14:textId="77777777" w:rsidTr="007D1D77">
        <w:trPr>
          <w:trHeight w:hRule="exact" w:val="318"/>
        </w:trPr>
        <w:tc>
          <w:tcPr>
            <w:tcW w:w="3966" w:type="dxa"/>
            <w:tcBorders>
              <w:top w:val="single" w:sz="4" w:space="0" w:color="ADD6EA"/>
              <w:left w:val="nil"/>
              <w:bottom w:val="single" w:sz="4" w:space="0" w:color="ADD6EA"/>
              <w:right w:val="nil"/>
            </w:tcBorders>
            <w:shd w:val="clear" w:color="auto" w:fill="auto"/>
            <w:vAlign w:val="bottom"/>
            <w:hideMark/>
          </w:tcPr>
          <w:p w14:paraId="243F51AC" w14:textId="40A6F782" w:rsidR="007E365E" w:rsidRPr="00FC6EE7" w:rsidRDefault="007E365E" w:rsidP="007D1D77">
            <w:pPr>
              <w:tabs>
                <w:tab w:val="clear" w:pos="567"/>
              </w:tabs>
              <w:spacing w:before="0" w:line="240" w:lineRule="auto"/>
              <w:rPr>
                <w:rFonts w:eastAsia="Times New Roman" w:cs="Open Sans Light"/>
                <w:sz w:val="16"/>
                <w:szCs w:val="16"/>
                <w:lang w:eastAsia="en-AU"/>
              </w:rPr>
            </w:pPr>
            <w:r>
              <w:rPr>
                <w:rFonts w:cs="Open Sans Light"/>
                <w:sz w:val="16"/>
                <w:szCs w:val="16"/>
              </w:rPr>
              <w:t xml:space="preserve">Proportion of total </w:t>
            </w:r>
            <w:r w:rsidR="00415018">
              <w:rPr>
                <w:rFonts w:cs="Open Sans Light"/>
                <w:sz w:val="16"/>
                <w:szCs w:val="16"/>
              </w:rPr>
              <w:t>expenditure</w:t>
            </w:r>
            <w:r>
              <w:rPr>
                <w:rFonts w:cs="Open Sans Light"/>
                <w:sz w:val="16"/>
                <w:szCs w:val="16"/>
              </w:rPr>
              <w:t xml:space="preserve"> (%)</w:t>
            </w:r>
          </w:p>
        </w:tc>
        <w:tc>
          <w:tcPr>
            <w:tcW w:w="1244" w:type="dxa"/>
            <w:tcBorders>
              <w:top w:val="single" w:sz="4" w:space="0" w:color="ADD6EA"/>
              <w:left w:val="nil"/>
              <w:bottom w:val="single" w:sz="4" w:space="0" w:color="ADD6EA"/>
              <w:right w:val="nil"/>
            </w:tcBorders>
            <w:shd w:val="clear" w:color="auto" w:fill="auto"/>
            <w:vAlign w:val="bottom"/>
            <w:hideMark/>
          </w:tcPr>
          <w:p w14:paraId="2C2D0528" w14:textId="1207978D" w:rsidR="007E365E" w:rsidRPr="00FC6EE7" w:rsidRDefault="00415018"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7.6</w:t>
            </w:r>
          </w:p>
        </w:tc>
        <w:tc>
          <w:tcPr>
            <w:tcW w:w="1244" w:type="dxa"/>
            <w:tcBorders>
              <w:top w:val="single" w:sz="4" w:space="0" w:color="ADD6EA"/>
              <w:left w:val="nil"/>
              <w:bottom w:val="single" w:sz="4" w:space="0" w:color="ADD6EA"/>
              <w:right w:val="nil"/>
            </w:tcBorders>
            <w:shd w:val="clear" w:color="auto" w:fill="auto"/>
            <w:vAlign w:val="bottom"/>
            <w:hideMark/>
          </w:tcPr>
          <w:p w14:paraId="562BA8EB" w14:textId="679C54B9" w:rsidR="007E365E" w:rsidRPr="00FC6EE7" w:rsidRDefault="007E365E"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8</w:t>
            </w:r>
            <w:r w:rsidR="00415018">
              <w:rPr>
                <w:rFonts w:cs="Open Sans Light"/>
                <w:sz w:val="16"/>
                <w:szCs w:val="16"/>
              </w:rPr>
              <w:t>.2</w:t>
            </w:r>
          </w:p>
        </w:tc>
        <w:tc>
          <w:tcPr>
            <w:tcW w:w="1244" w:type="dxa"/>
            <w:tcBorders>
              <w:top w:val="single" w:sz="4" w:space="0" w:color="ADD6EA"/>
              <w:left w:val="nil"/>
              <w:bottom w:val="single" w:sz="4" w:space="0" w:color="ADD6EA"/>
              <w:right w:val="nil"/>
            </w:tcBorders>
            <w:shd w:val="clear" w:color="auto" w:fill="auto"/>
            <w:vAlign w:val="bottom"/>
            <w:hideMark/>
          </w:tcPr>
          <w:p w14:paraId="63FC33F5" w14:textId="7159B6C2" w:rsidR="007E365E" w:rsidRPr="00FC6EE7" w:rsidRDefault="00415018"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8.4</w:t>
            </w:r>
          </w:p>
        </w:tc>
        <w:tc>
          <w:tcPr>
            <w:tcW w:w="1244" w:type="dxa"/>
            <w:tcBorders>
              <w:top w:val="single" w:sz="4" w:space="0" w:color="ADD6EA"/>
              <w:left w:val="nil"/>
              <w:bottom w:val="single" w:sz="4" w:space="0" w:color="ADD6EA"/>
              <w:right w:val="nil"/>
            </w:tcBorders>
            <w:shd w:val="clear" w:color="auto" w:fill="auto"/>
            <w:vAlign w:val="bottom"/>
            <w:hideMark/>
          </w:tcPr>
          <w:p w14:paraId="5D62301E" w14:textId="3A2BF484" w:rsidR="007E365E" w:rsidRPr="00FC6EE7" w:rsidRDefault="00415018" w:rsidP="007D1D77">
            <w:pPr>
              <w:tabs>
                <w:tab w:val="clear" w:pos="567"/>
              </w:tabs>
              <w:spacing w:before="0" w:line="240" w:lineRule="auto"/>
              <w:jc w:val="right"/>
              <w:rPr>
                <w:rFonts w:eastAsia="Times New Roman" w:cs="Open Sans Light"/>
                <w:sz w:val="16"/>
                <w:szCs w:val="16"/>
                <w:lang w:eastAsia="en-AU"/>
              </w:rPr>
            </w:pPr>
            <w:r>
              <w:rPr>
                <w:rFonts w:cs="Open Sans Light"/>
                <w:sz w:val="16"/>
                <w:szCs w:val="16"/>
              </w:rPr>
              <w:t>8.</w:t>
            </w:r>
            <w:r w:rsidR="007E365E">
              <w:rPr>
                <w:rFonts w:cs="Open Sans Light"/>
                <w:sz w:val="16"/>
                <w:szCs w:val="16"/>
              </w:rPr>
              <w:t>6</w:t>
            </w:r>
          </w:p>
        </w:tc>
      </w:tr>
    </w:tbl>
    <w:p w14:paraId="26B9C20B" w14:textId="77777777" w:rsidR="007E365E" w:rsidRPr="00976585" w:rsidRDefault="007E365E" w:rsidP="007E365E">
      <w:pPr>
        <w:pStyle w:val="CGCTablenote"/>
      </w:pPr>
      <w:r w:rsidRPr="00976585">
        <w:t>Note:</w:t>
      </w:r>
      <w:r>
        <w:tab/>
      </w:r>
      <w:r w:rsidRPr="00976585">
        <w:t>Expen</w:t>
      </w:r>
      <w:r>
        <w:t>ses</w:t>
      </w:r>
      <w:r w:rsidRPr="00976585">
        <w:t xml:space="preserve"> shown on a net basis.</w:t>
      </w:r>
    </w:p>
    <w:p w14:paraId="3F55F484" w14:textId="77777777" w:rsidR="007E365E" w:rsidRPr="00976585" w:rsidRDefault="007E365E" w:rsidP="007E365E">
      <w:pPr>
        <w:pStyle w:val="CGCTablenote"/>
      </w:pPr>
      <w:r w:rsidRPr="00976585">
        <w:t>Source:</w:t>
      </w:r>
      <w:r w:rsidRPr="00976585">
        <w:tab/>
        <w:t xml:space="preserve">Commission calculation using </w:t>
      </w:r>
      <w:r w:rsidRPr="00B9370A">
        <w:t xml:space="preserve">Australian Bureau of Statistics </w:t>
      </w:r>
      <w:r>
        <w:t>(</w:t>
      </w:r>
      <w:r w:rsidRPr="00976585">
        <w:t>ABS</w:t>
      </w:r>
      <w:r>
        <w:t>)</w:t>
      </w:r>
      <w:r w:rsidRPr="00976585">
        <w:t xml:space="preserve"> Government Finance Statistics (GFS) and State budget data.</w:t>
      </w:r>
    </w:p>
    <w:p w14:paraId="5F924198" w14:textId="27CDAABF" w:rsidR="007E365E" w:rsidRPr="00976585" w:rsidRDefault="007E365E" w:rsidP="007E365E">
      <w:pPr>
        <w:pStyle w:val="CGCParaNumber"/>
      </w:pPr>
      <w:r w:rsidRPr="00976585">
        <w:t>User charges were $</w:t>
      </w:r>
      <w:r>
        <w:t>3</w:t>
      </w:r>
      <w:r w:rsidRPr="00976585">
        <w:t>.</w:t>
      </w:r>
      <w:r>
        <w:t>1</w:t>
      </w:r>
      <w:r w:rsidRPr="00976585">
        <w:t> billion in 201</w:t>
      </w:r>
      <w:r>
        <w:t>8</w:t>
      </w:r>
      <w:r w:rsidRPr="00976585">
        <w:t>-1</w:t>
      </w:r>
      <w:r>
        <w:t>9</w:t>
      </w:r>
      <w:r w:rsidRPr="00976585">
        <w:t xml:space="preserve"> and is primarily fare revenue from urban passenger transport</w:t>
      </w:r>
      <w:r w:rsidR="00D64C15">
        <w:t xml:space="preserve"> </w:t>
      </w:r>
      <w:r w:rsidR="00CE74E9">
        <w:t>(</w:t>
      </w:r>
      <w:r w:rsidR="000A6E8E">
        <w:fldChar w:fldCharType="begin"/>
      </w:r>
      <w:r w:rsidR="000A6E8E">
        <w:instrText xml:space="preserve"> REF _Ref33536861 \h </w:instrText>
      </w:r>
      <w:r w:rsidR="000A6E8E">
        <w:fldChar w:fldCharType="separate"/>
      </w:r>
      <w:r w:rsidR="007F721A" w:rsidRPr="00976585">
        <w:t xml:space="preserve">Table </w:t>
      </w:r>
      <w:r w:rsidR="007F721A">
        <w:t>21-</w:t>
      </w:r>
      <w:r w:rsidR="007F721A">
        <w:rPr>
          <w:noProof/>
        </w:rPr>
        <w:t>3</w:t>
      </w:r>
      <w:r w:rsidR="000A6E8E">
        <w:fldChar w:fldCharType="end"/>
      </w:r>
      <w:r w:rsidR="000A6E8E">
        <w:t>)</w:t>
      </w:r>
      <w:r w:rsidRPr="00976585">
        <w:t>. In the expense assessment, user charges are deducted from expenses so that the assessment only applies to net transport expenses.</w:t>
      </w:r>
    </w:p>
    <w:p w14:paraId="08EB55AA" w14:textId="44D81248" w:rsidR="007E365E" w:rsidRPr="00976585" w:rsidRDefault="007E365E" w:rsidP="007E365E">
      <w:pPr>
        <w:pStyle w:val="Caption"/>
      </w:pPr>
      <w:bookmarkStart w:id="236" w:name="_Ref33536861"/>
      <w:r w:rsidRPr="00976585">
        <w:t xml:space="preserve">Table </w:t>
      </w:r>
      <w:r>
        <w:t>21-</w:t>
      </w:r>
      <w:fldSimple w:instr=" SEQ Table \* ARABIC ">
        <w:r w:rsidR="007F721A">
          <w:rPr>
            <w:noProof/>
          </w:rPr>
          <w:t>3</w:t>
        </w:r>
      </w:fldSimple>
      <w:bookmarkEnd w:id="236"/>
      <w:r w:rsidRPr="00976585">
        <w:tab/>
        <w:t>Transport</w:t>
      </w:r>
      <w:r>
        <w:t>,</w:t>
      </w:r>
      <w:r w:rsidRPr="00976585">
        <w:t xml:space="preserve"> user charges, 201</w:t>
      </w:r>
      <w:r>
        <w:t>8</w:t>
      </w:r>
      <w:r w:rsidRPr="00976585">
        <w:noBreakHyphen/>
        <w:t>1</w:t>
      </w:r>
      <w:r>
        <w:t>9</w:t>
      </w:r>
    </w:p>
    <w:tbl>
      <w:tblPr>
        <w:tblW w:w="8951" w:type="dxa"/>
        <w:tblCellMar>
          <w:left w:w="28" w:type="dxa"/>
          <w:right w:w="28" w:type="dxa"/>
        </w:tblCellMar>
        <w:tblLook w:val="04A0" w:firstRow="1" w:lastRow="0" w:firstColumn="1" w:lastColumn="0" w:noHBand="0" w:noVBand="1"/>
        <w:tblCaption w:val="Transport, user charges, 2018 19"/>
        <w:tblDescription w:val="Transport user charges reported by States in ABS GFS."/>
      </w:tblPr>
      <w:tblGrid>
        <w:gridCol w:w="1896"/>
        <w:gridCol w:w="783"/>
        <w:gridCol w:w="784"/>
        <w:gridCol w:w="784"/>
        <w:gridCol w:w="784"/>
        <w:gridCol w:w="784"/>
        <w:gridCol w:w="784"/>
        <w:gridCol w:w="784"/>
        <w:gridCol w:w="784"/>
        <w:gridCol w:w="784"/>
      </w:tblGrid>
      <w:tr w:rsidR="007E365E" w:rsidRPr="00D70946" w14:paraId="4CD19B3D" w14:textId="77777777" w:rsidTr="007D1D77">
        <w:trPr>
          <w:trHeight w:val="375"/>
        </w:trPr>
        <w:tc>
          <w:tcPr>
            <w:tcW w:w="1896" w:type="dxa"/>
            <w:tcBorders>
              <w:top w:val="single" w:sz="4" w:space="0" w:color="ADD6EA"/>
              <w:left w:val="nil"/>
              <w:bottom w:val="single" w:sz="4" w:space="0" w:color="ADD6EA"/>
              <w:right w:val="nil"/>
            </w:tcBorders>
            <w:shd w:val="clear" w:color="000000" w:fill="006991"/>
            <w:noWrap/>
            <w:vAlign w:val="center"/>
            <w:hideMark/>
          </w:tcPr>
          <w:p w14:paraId="47420E62" w14:textId="77777777" w:rsidR="007E365E" w:rsidRPr="00D70946"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0946">
              <w:rPr>
                <w:rFonts w:ascii="Open Sans SemiBold" w:eastAsia="Times New Roman" w:hAnsi="Open Sans SemiBold" w:cs="Open Sans SemiBold"/>
                <w:color w:val="FFFFFF"/>
                <w:sz w:val="16"/>
                <w:szCs w:val="16"/>
                <w:lang w:eastAsia="en-AU"/>
              </w:rPr>
              <w:t> </w:t>
            </w:r>
          </w:p>
        </w:tc>
        <w:tc>
          <w:tcPr>
            <w:tcW w:w="783" w:type="dxa"/>
            <w:tcBorders>
              <w:top w:val="single" w:sz="4" w:space="0" w:color="ADD6EA"/>
              <w:left w:val="nil"/>
              <w:bottom w:val="single" w:sz="4" w:space="0" w:color="ADD6EA"/>
              <w:right w:val="nil"/>
            </w:tcBorders>
            <w:shd w:val="clear" w:color="000000" w:fill="006991"/>
            <w:noWrap/>
            <w:vAlign w:val="center"/>
            <w:hideMark/>
          </w:tcPr>
          <w:p w14:paraId="4C2EA536" w14:textId="77777777" w:rsidR="007E365E" w:rsidRPr="00D70946"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0946">
              <w:rPr>
                <w:rFonts w:ascii="Open Sans SemiBold" w:eastAsia="Times New Roman" w:hAnsi="Open Sans SemiBold" w:cs="Open Sans SemiBold"/>
                <w:color w:val="FFFFFF"/>
                <w:sz w:val="16"/>
                <w:szCs w:val="16"/>
                <w:lang w:eastAsia="en-AU"/>
              </w:rPr>
              <w:t>NSW</w:t>
            </w:r>
          </w:p>
        </w:tc>
        <w:tc>
          <w:tcPr>
            <w:tcW w:w="784" w:type="dxa"/>
            <w:tcBorders>
              <w:top w:val="single" w:sz="4" w:space="0" w:color="ADD6EA"/>
              <w:left w:val="nil"/>
              <w:bottom w:val="single" w:sz="4" w:space="0" w:color="ADD6EA"/>
              <w:right w:val="nil"/>
            </w:tcBorders>
            <w:shd w:val="clear" w:color="000000" w:fill="006991"/>
            <w:noWrap/>
            <w:vAlign w:val="center"/>
            <w:hideMark/>
          </w:tcPr>
          <w:p w14:paraId="3484D9C4" w14:textId="77777777" w:rsidR="007E365E" w:rsidRPr="00D70946"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0946">
              <w:rPr>
                <w:rFonts w:ascii="Open Sans SemiBold" w:eastAsia="Times New Roman" w:hAnsi="Open Sans SemiBold" w:cs="Open Sans SemiBold"/>
                <w:color w:val="FFFFFF"/>
                <w:sz w:val="16"/>
                <w:szCs w:val="16"/>
                <w:lang w:eastAsia="en-AU"/>
              </w:rPr>
              <w:t>Vic</w:t>
            </w:r>
          </w:p>
        </w:tc>
        <w:tc>
          <w:tcPr>
            <w:tcW w:w="784" w:type="dxa"/>
            <w:tcBorders>
              <w:top w:val="single" w:sz="4" w:space="0" w:color="ADD6EA"/>
              <w:left w:val="nil"/>
              <w:bottom w:val="single" w:sz="4" w:space="0" w:color="ADD6EA"/>
              <w:right w:val="nil"/>
            </w:tcBorders>
            <w:shd w:val="clear" w:color="000000" w:fill="006991"/>
            <w:noWrap/>
            <w:vAlign w:val="center"/>
            <w:hideMark/>
          </w:tcPr>
          <w:p w14:paraId="67A3032D" w14:textId="77777777" w:rsidR="007E365E" w:rsidRPr="00D70946"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0946">
              <w:rPr>
                <w:rFonts w:ascii="Open Sans SemiBold" w:eastAsia="Times New Roman" w:hAnsi="Open Sans SemiBold" w:cs="Open Sans SemiBold"/>
                <w:color w:val="FFFFFF"/>
                <w:sz w:val="16"/>
                <w:szCs w:val="16"/>
                <w:lang w:eastAsia="en-AU"/>
              </w:rPr>
              <w:t>Qld</w:t>
            </w:r>
          </w:p>
        </w:tc>
        <w:tc>
          <w:tcPr>
            <w:tcW w:w="784" w:type="dxa"/>
            <w:tcBorders>
              <w:top w:val="single" w:sz="4" w:space="0" w:color="ADD6EA"/>
              <w:left w:val="nil"/>
              <w:bottom w:val="single" w:sz="4" w:space="0" w:color="ADD6EA"/>
              <w:right w:val="nil"/>
            </w:tcBorders>
            <w:shd w:val="clear" w:color="000000" w:fill="006991"/>
            <w:noWrap/>
            <w:vAlign w:val="center"/>
            <w:hideMark/>
          </w:tcPr>
          <w:p w14:paraId="73BDC06B" w14:textId="77777777" w:rsidR="007E365E" w:rsidRPr="00D70946"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0946">
              <w:rPr>
                <w:rFonts w:ascii="Open Sans SemiBold" w:eastAsia="Times New Roman" w:hAnsi="Open Sans SemiBold" w:cs="Open Sans SemiBold"/>
                <w:color w:val="FFFFFF"/>
                <w:sz w:val="16"/>
                <w:szCs w:val="16"/>
                <w:lang w:eastAsia="en-AU"/>
              </w:rPr>
              <w:t>WA</w:t>
            </w:r>
          </w:p>
        </w:tc>
        <w:tc>
          <w:tcPr>
            <w:tcW w:w="784" w:type="dxa"/>
            <w:tcBorders>
              <w:top w:val="single" w:sz="4" w:space="0" w:color="ADD6EA"/>
              <w:left w:val="nil"/>
              <w:bottom w:val="single" w:sz="4" w:space="0" w:color="ADD6EA"/>
              <w:right w:val="nil"/>
            </w:tcBorders>
            <w:shd w:val="clear" w:color="000000" w:fill="006991"/>
            <w:noWrap/>
            <w:vAlign w:val="center"/>
            <w:hideMark/>
          </w:tcPr>
          <w:p w14:paraId="518BB85D" w14:textId="77777777" w:rsidR="007E365E" w:rsidRPr="00D70946"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0946">
              <w:rPr>
                <w:rFonts w:ascii="Open Sans SemiBold" w:eastAsia="Times New Roman" w:hAnsi="Open Sans SemiBold" w:cs="Open Sans SemiBold"/>
                <w:color w:val="FFFFFF"/>
                <w:sz w:val="16"/>
                <w:szCs w:val="16"/>
                <w:lang w:eastAsia="en-AU"/>
              </w:rPr>
              <w:t>SA</w:t>
            </w:r>
          </w:p>
        </w:tc>
        <w:tc>
          <w:tcPr>
            <w:tcW w:w="784" w:type="dxa"/>
            <w:tcBorders>
              <w:top w:val="single" w:sz="4" w:space="0" w:color="ADD6EA"/>
              <w:left w:val="nil"/>
              <w:bottom w:val="single" w:sz="4" w:space="0" w:color="ADD6EA"/>
              <w:right w:val="nil"/>
            </w:tcBorders>
            <w:shd w:val="clear" w:color="000000" w:fill="006991"/>
            <w:noWrap/>
            <w:vAlign w:val="center"/>
            <w:hideMark/>
          </w:tcPr>
          <w:p w14:paraId="782CAC69" w14:textId="77777777" w:rsidR="007E365E" w:rsidRPr="00D70946"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0946">
              <w:rPr>
                <w:rFonts w:ascii="Open Sans SemiBold" w:eastAsia="Times New Roman" w:hAnsi="Open Sans SemiBold" w:cs="Open Sans SemiBold"/>
                <w:color w:val="FFFFFF"/>
                <w:sz w:val="16"/>
                <w:szCs w:val="16"/>
                <w:lang w:eastAsia="en-AU"/>
              </w:rPr>
              <w:t>Tas</w:t>
            </w:r>
          </w:p>
        </w:tc>
        <w:tc>
          <w:tcPr>
            <w:tcW w:w="784" w:type="dxa"/>
            <w:tcBorders>
              <w:top w:val="single" w:sz="4" w:space="0" w:color="ADD6EA"/>
              <w:left w:val="nil"/>
              <w:bottom w:val="single" w:sz="4" w:space="0" w:color="ADD6EA"/>
              <w:right w:val="nil"/>
            </w:tcBorders>
            <w:shd w:val="clear" w:color="000000" w:fill="006991"/>
            <w:noWrap/>
            <w:vAlign w:val="center"/>
            <w:hideMark/>
          </w:tcPr>
          <w:p w14:paraId="64DF362C" w14:textId="77777777" w:rsidR="007E365E" w:rsidRPr="00D70946"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0946">
              <w:rPr>
                <w:rFonts w:ascii="Open Sans SemiBold" w:eastAsia="Times New Roman" w:hAnsi="Open Sans SemiBold" w:cs="Open Sans SemiBold"/>
                <w:color w:val="FFFFFF"/>
                <w:sz w:val="16"/>
                <w:szCs w:val="16"/>
                <w:lang w:eastAsia="en-AU"/>
              </w:rPr>
              <w:t>ACT</w:t>
            </w:r>
          </w:p>
        </w:tc>
        <w:tc>
          <w:tcPr>
            <w:tcW w:w="784" w:type="dxa"/>
            <w:tcBorders>
              <w:top w:val="single" w:sz="4" w:space="0" w:color="ADD6EA"/>
              <w:left w:val="nil"/>
              <w:bottom w:val="single" w:sz="4" w:space="0" w:color="ADD6EA"/>
              <w:right w:val="nil"/>
            </w:tcBorders>
            <w:shd w:val="clear" w:color="000000" w:fill="006991"/>
            <w:noWrap/>
            <w:vAlign w:val="center"/>
            <w:hideMark/>
          </w:tcPr>
          <w:p w14:paraId="622E23E7" w14:textId="77777777" w:rsidR="007E365E" w:rsidRPr="00D70946"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0946">
              <w:rPr>
                <w:rFonts w:ascii="Open Sans SemiBold" w:eastAsia="Times New Roman" w:hAnsi="Open Sans SemiBold" w:cs="Open Sans SemiBold"/>
                <w:color w:val="FFFFFF"/>
                <w:sz w:val="16"/>
                <w:szCs w:val="16"/>
                <w:lang w:eastAsia="en-AU"/>
              </w:rPr>
              <w:t>NT</w:t>
            </w:r>
          </w:p>
        </w:tc>
        <w:tc>
          <w:tcPr>
            <w:tcW w:w="784" w:type="dxa"/>
            <w:tcBorders>
              <w:top w:val="single" w:sz="4" w:space="0" w:color="ADD6EA"/>
              <w:left w:val="nil"/>
              <w:bottom w:val="single" w:sz="4" w:space="0" w:color="ADD6EA"/>
              <w:right w:val="nil"/>
            </w:tcBorders>
            <w:shd w:val="clear" w:color="000000" w:fill="006991"/>
            <w:noWrap/>
            <w:vAlign w:val="center"/>
            <w:hideMark/>
          </w:tcPr>
          <w:p w14:paraId="1F2440AB" w14:textId="77777777" w:rsidR="007E365E" w:rsidRPr="00D70946"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Total</w:t>
            </w:r>
          </w:p>
        </w:tc>
      </w:tr>
      <w:tr w:rsidR="007E365E" w:rsidRPr="00D70946" w14:paraId="3B4933AC" w14:textId="77777777" w:rsidTr="007D1D77">
        <w:trPr>
          <w:trHeight w:val="315"/>
        </w:trPr>
        <w:tc>
          <w:tcPr>
            <w:tcW w:w="1896" w:type="dxa"/>
            <w:tcBorders>
              <w:top w:val="nil"/>
              <w:left w:val="nil"/>
              <w:bottom w:val="nil"/>
              <w:right w:val="nil"/>
            </w:tcBorders>
            <w:shd w:val="clear" w:color="auto" w:fill="auto"/>
            <w:vAlign w:val="bottom"/>
            <w:hideMark/>
          </w:tcPr>
          <w:p w14:paraId="203D5911" w14:textId="77777777" w:rsidR="007E365E" w:rsidRPr="00D70946"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D70946">
              <w:rPr>
                <w:rFonts w:eastAsia="Times New Roman" w:cs="Open Sans Light"/>
                <w:sz w:val="16"/>
                <w:szCs w:val="16"/>
                <w:lang w:eastAsia="en-AU"/>
              </w:rPr>
              <w:t>Revenue ($m)</w:t>
            </w:r>
          </w:p>
        </w:tc>
        <w:tc>
          <w:tcPr>
            <w:tcW w:w="783" w:type="dxa"/>
            <w:tcBorders>
              <w:top w:val="nil"/>
              <w:left w:val="nil"/>
              <w:bottom w:val="nil"/>
              <w:right w:val="nil"/>
            </w:tcBorders>
            <w:shd w:val="clear" w:color="auto" w:fill="auto"/>
            <w:vAlign w:val="bottom"/>
            <w:hideMark/>
          </w:tcPr>
          <w:p w14:paraId="6C8E95D9"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1,370</w:t>
            </w:r>
          </w:p>
        </w:tc>
        <w:tc>
          <w:tcPr>
            <w:tcW w:w="784" w:type="dxa"/>
            <w:tcBorders>
              <w:top w:val="nil"/>
              <w:left w:val="nil"/>
              <w:bottom w:val="nil"/>
              <w:right w:val="nil"/>
            </w:tcBorders>
            <w:shd w:val="clear" w:color="auto" w:fill="auto"/>
            <w:vAlign w:val="bottom"/>
            <w:hideMark/>
          </w:tcPr>
          <w:p w14:paraId="35179A46"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949</w:t>
            </w:r>
          </w:p>
        </w:tc>
        <w:tc>
          <w:tcPr>
            <w:tcW w:w="784" w:type="dxa"/>
            <w:tcBorders>
              <w:top w:val="nil"/>
              <w:left w:val="nil"/>
              <w:bottom w:val="nil"/>
              <w:right w:val="nil"/>
            </w:tcBorders>
            <w:shd w:val="clear" w:color="auto" w:fill="auto"/>
            <w:vAlign w:val="bottom"/>
            <w:hideMark/>
          </w:tcPr>
          <w:p w14:paraId="65862D65"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360</w:t>
            </w:r>
          </w:p>
        </w:tc>
        <w:tc>
          <w:tcPr>
            <w:tcW w:w="784" w:type="dxa"/>
            <w:tcBorders>
              <w:top w:val="nil"/>
              <w:left w:val="nil"/>
              <w:bottom w:val="nil"/>
              <w:right w:val="nil"/>
            </w:tcBorders>
            <w:shd w:val="clear" w:color="auto" w:fill="auto"/>
            <w:vAlign w:val="bottom"/>
            <w:hideMark/>
          </w:tcPr>
          <w:p w14:paraId="67885DD8"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230</w:t>
            </w:r>
          </w:p>
        </w:tc>
        <w:tc>
          <w:tcPr>
            <w:tcW w:w="784" w:type="dxa"/>
            <w:tcBorders>
              <w:top w:val="nil"/>
              <w:left w:val="nil"/>
              <w:bottom w:val="nil"/>
              <w:right w:val="nil"/>
            </w:tcBorders>
            <w:shd w:val="clear" w:color="auto" w:fill="auto"/>
            <w:vAlign w:val="bottom"/>
            <w:hideMark/>
          </w:tcPr>
          <w:p w14:paraId="758525B8"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96</w:t>
            </w:r>
          </w:p>
        </w:tc>
        <w:tc>
          <w:tcPr>
            <w:tcW w:w="784" w:type="dxa"/>
            <w:tcBorders>
              <w:top w:val="nil"/>
              <w:left w:val="nil"/>
              <w:bottom w:val="nil"/>
              <w:right w:val="nil"/>
            </w:tcBorders>
            <w:shd w:val="clear" w:color="auto" w:fill="auto"/>
            <w:vAlign w:val="bottom"/>
            <w:hideMark/>
          </w:tcPr>
          <w:p w14:paraId="10050686"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14</w:t>
            </w:r>
          </w:p>
        </w:tc>
        <w:tc>
          <w:tcPr>
            <w:tcW w:w="784" w:type="dxa"/>
            <w:tcBorders>
              <w:top w:val="nil"/>
              <w:left w:val="nil"/>
              <w:bottom w:val="nil"/>
              <w:right w:val="nil"/>
            </w:tcBorders>
            <w:shd w:val="clear" w:color="auto" w:fill="auto"/>
            <w:vAlign w:val="bottom"/>
            <w:hideMark/>
          </w:tcPr>
          <w:p w14:paraId="2BD7EDC4"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28</w:t>
            </w:r>
          </w:p>
        </w:tc>
        <w:tc>
          <w:tcPr>
            <w:tcW w:w="784" w:type="dxa"/>
            <w:tcBorders>
              <w:top w:val="nil"/>
              <w:left w:val="nil"/>
              <w:bottom w:val="nil"/>
              <w:right w:val="nil"/>
            </w:tcBorders>
            <w:shd w:val="clear" w:color="auto" w:fill="auto"/>
            <w:vAlign w:val="bottom"/>
            <w:hideMark/>
          </w:tcPr>
          <w:p w14:paraId="15C93CB1"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12</w:t>
            </w:r>
          </w:p>
        </w:tc>
        <w:tc>
          <w:tcPr>
            <w:tcW w:w="784" w:type="dxa"/>
            <w:tcBorders>
              <w:top w:val="nil"/>
              <w:left w:val="nil"/>
              <w:bottom w:val="nil"/>
              <w:right w:val="nil"/>
            </w:tcBorders>
            <w:shd w:val="clear" w:color="auto" w:fill="auto"/>
            <w:vAlign w:val="bottom"/>
            <w:hideMark/>
          </w:tcPr>
          <w:p w14:paraId="642A0686"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3,059</w:t>
            </w:r>
          </w:p>
        </w:tc>
      </w:tr>
      <w:tr w:rsidR="007E365E" w:rsidRPr="00D70946" w14:paraId="64056F92" w14:textId="77777777" w:rsidTr="007D1D77">
        <w:trPr>
          <w:trHeight w:val="315"/>
        </w:trPr>
        <w:tc>
          <w:tcPr>
            <w:tcW w:w="1896" w:type="dxa"/>
            <w:tcBorders>
              <w:top w:val="single" w:sz="4" w:space="0" w:color="ADD6EA"/>
              <w:left w:val="nil"/>
              <w:bottom w:val="single" w:sz="4" w:space="0" w:color="ADD6EA"/>
              <w:right w:val="nil"/>
            </w:tcBorders>
            <w:shd w:val="clear" w:color="auto" w:fill="auto"/>
            <w:vAlign w:val="bottom"/>
            <w:hideMark/>
          </w:tcPr>
          <w:p w14:paraId="02502408" w14:textId="77777777" w:rsidR="007E365E" w:rsidRPr="00D70946"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D70946">
              <w:rPr>
                <w:rFonts w:eastAsia="Times New Roman" w:cs="Open Sans Light"/>
                <w:sz w:val="16"/>
                <w:szCs w:val="16"/>
                <w:lang w:eastAsia="en-AU"/>
              </w:rPr>
              <w:t>Revenue ($pc)</w:t>
            </w:r>
          </w:p>
        </w:tc>
        <w:tc>
          <w:tcPr>
            <w:tcW w:w="783" w:type="dxa"/>
            <w:tcBorders>
              <w:top w:val="single" w:sz="4" w:space="0" w:color="ADD6EA"/>
              <w:left w:val="nil"/>
              <w:bottom w:val="single" w:sz="4" w:space="0" w:color="ADD6EA"/>
              <w:right w:val="nil"/>
            </w:tcBorders>
            <w:shd w:val="clear" w:color="auto" w:fill="auto"/>
            <w:vAlign w:val="bottom"/>
            <w:hideMark/>
          </w:tcPr>
          <w:p w14:paraId="5782F283"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170.4</w:t>
            </w:r>
          </w:p>
        </w:tc>
        <w:tc>
          <w:tcPr>
            <w:tcW w:w="784" w:type="dxa"/>
            <w:tcBorders>
              <w:top w:val="single" w:sz="4" w:space="0" w:color="ADD6EA"/>
              <w:left w:val="nil"/>
              <w:bottom w:val="single" w:sz="4" w:space="0" w:color="ADD6EA"/>
              <w:right w:val="nil"/>
            </w:tcBorders>
            <w:shd w:val="clear" w:color="auto" w:fill="auto"/>
            <w:vAlign w:val="bottom"/>
            <w:hideMark/>
          </w:tcPr>
          <w:p w14:paraId="559E80DB"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145.4</w:t>
            </w:r>
          </w:p>
        </w:tc>
        <w:tc>
          <w:tcPr>
            <w:tcW w:w="784" w:type="dxa"/>
            <w:tcBorders>
              <w:top w:val="single" w:sz="4" w:space="0" w:color="ADD6EA"/>
              <w:left w:val="nil"/>
              <w:bottom w:val="single" w:sz="4" w:space="0" w:color="ADD6EA"/>
              <w:right w:val="nil"/>
            </w:tcBorders>
            <w:shd w:val="clear" w:color="auto" w:fill="auto"/>
            <w:vAlign w:val="bottom"/>
            <w:hideMark/>
          </w:tcPr>
          <w:p w14:paraId="3CC2264E"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71.3</w:t>
            </w:r>
          </w:p>
        </w:tc>
        <w:tc>
          <w:tcPr>
            <w:tcW w:w="784" w:type="dxa"/>
            <w:tcBorders>
              <w:top w:val="single" w:sz="4" w:space="0" w:color="ADD6EA"/>
              <w:left w:val="nil"/>
              <w:bottom w:val="single" w:sz="4" w:space="0" w:color="ADD6EA"/>
              <w:right w:val="nil"/>
            </w:tcBorders>
            <w:shd w:val="clear" w:color="auto" w:fill="auto"/>
            <w:vAlign w:val="bottom"/>
            <w:hideMark/>
          </w:tcPr>
          <w:p w14:paraId="7F444284"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88.3</w:t>
            </w:r>
          </w:p>
        </w:tc>
        <w:tc>
          <w:tcPr>
            <w:tcW w:w="784" w:type="dxa"/>
            <w:tcBorders>
              <w:top w:val="single" w:sz="4" w:space="0" w:color="ADD6EA"/>
              <w:left w:val="nil"/>
              <w:bottom w:val="single" w:sz="4" w:space="0" w:color="ADD6EA"/>
              <w:right w:val="nil"/>
            </w:tcBorders>
            <w:shd w:val="clear" w:color="auto" w:fill="auto"/>
            <w:vAlign w:val="bottom"/>
            <w:hideMark/>
          </w:tcPr>
          <w:p w14:paraId="78B8CD64"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55.1</w:t>
            </w:r>
          </w:p>
        </w:tc>
        <w:tc>
          <w:tcPr>
            <w:tcW w:w="784" w:type="dxa"/>
            <w:tcBorders>
              <w:top w:val="single" w:sz="4" w:space="0" w:color="ADD6EA"/>
              <w:left w:val="nil"/>
              <w:bottom w:val="single" w:sz="4" w:space="0" w:color="ADD6EA"/>
              <w:right w:val="nil"/>
            </w:tcBorders>
            <w:shd w:val="clear" w:color="auto" w:fill="auto"/>
            <w:vAlign w:val="bottom"/>
            <w:hideMark/>
          </w:tcPr>
          <w:p w14:paraId="64AC76E1"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26</w:t>
            </w:r>
            <w:r>
              <w:rPr>
                <w:rFonts w:eastAsia="Times New Roman" w:cs="Open Sans Light"/>
                <w:sz w:val="16"/>
                <w:szCs w:val="16"/>
                <w:lang w:eastAsia="en-AU"/>
              </w:rPr>
              <w:t>.3</w:t>
            </w:r>
          </w:p>
        </w:tc>
        <w:tc>
          <w:tcPr>
            <w:tcW w:w="784" w:type="dxa"/>
            <w:tcBorders>
              <w:top w:val="single" w:sz="4" w:space="0" w:color="ADD6EA"/>
              <w:left w:val="nil"/>
              <w:bottom w:val="single" w:sz="4" w:space="0" w:color="ADD6EA"/>
              <w:right w:val="nil"/>
            </w:tcBorders>
            <w:shd w:val="clear" w:color="auto" w:fill="auto"/>
            <w:vAlign w:val="bottom"/>
            <w:hideMark/>
          </w:tcPr>
          <w:p w14:paraId="475971D3"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66.1</w:t>
            </w:r>
          </w:p>
        </w:tc>
        <w:tc>
          <w:tcPr>
            <w:tcW w:w="784" w:type="dxa"/>
            <w:tcBorders>
              <w:top w:val="single" w:sz="4" w:space="0" w:color="ADD6EA"/>
              <w:left w:val="nil"/>
              <w:bottom w:val="single" w:sz="4" w:space="0" w:color="ADD6EA"/>
              <w:right w:val="nil"/>
            </w:tcBorders>
            <w:shd w:val="clear" w:color="auto" w:fill="auto"/>
            <w:vAlign w:val="bottom"/>
            <w:hideMark/>
          </w:tcPr>
          <w:p w14:paraId="4D708E8F"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48.9</w:t>
            </w:r>
          </w:p>
        </w:tc>
        <w:tc>
          <w:tcPr>
            <w:tcW w:w="784" w:type="dxa"/>
            <w:tcBorders>
              <w:top w:val="single" w:sz="4" w:space="0" w:color="ADD6EA"/>
              <w:left w:val="nil"/>
              <w:bottom w:val="single" w:sz="4" w:space="0" w:color="ADD6EA"/>
              <w:right w:val="nil"/>
            </w:tcBorders>
            <w:shd w:val="clear" w:color="auto" w:fill="auto"/>
            <w:vAlign w:val="bottom"/>
            <w:hideMark/>
          </w:tcPr>
          <w:p w14:paraId="7219D4CB" w14:textId="77777777" w:rsidR="007E365E" w:rsidRPr="00D70946"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D70946">
              <w:rPr>
                <w:rFonts w:eastAsia="Times New Roman" w:cs="Open Sans Light"/>
                <w:sz w:val="16"/>
                <w:szCs w:val="16"/>
                <w:lang w:eastAsia="en-AU"/>
              </w:rPr>
              <w:t>121.6</w:t>
            </w:r>
          </w:p>
        </w:tc>
      </w:tr>
    </w:tbl>
    <w:p w14:paraId="3F962FBF" w14:textId="77777777" w:rsidR="007E365E" w:rsidRPr="00976585" w:rsidRDefault="007E365E" w:rsidP="007E365E">
      <w:pPr>
        <w:pStyle w:val="CGCTablenote"/>
      </w:pPr>
      <w:r w:rsidRPr="00976585">
        <w:t>Note:</w:t>
      </w:r>
      <w:r>
        <w:tab/>
      </w:r>
      <w:r w:rsidRPr="00976585">
        <w:t>User charges refer to revenue from the sale of goods and services classified in GFS to economic type framework (ETF) 112.</w:t>
      </w:r>
    </w:p>
    <w:p w14:paraId="7FB287F4" w14:textId="77777777" w:rsidR="007E365E" w:rsidRPr="00976585" w:rsidRDefault="007E365E" w:rsidP="007E365E">
      <w:pPr>
        <w:pStyle w:val="CGCTablenote"/>
      </w:pPr>
      <w:r w:rsidRPr="00976585">
        <w:t>Source:</w:t>
      </w:r>
      <w:r w:rsidRPr="00976585">
        <w:tab/>
        <w:t xml:space="preserve">Commission calculation using ABS GFS and State budget data. </w:t>
      </w:r>
    </w:p>
    <w:p w14:paraId="7F16861C" w14:textId="77777777" w:rsidR="007E365E" w:rsidRPr="00976585" w:rsidRDefault="007E365E" w:rsidP="007E365E">
      <w:pPr>
        <w:pStyle w:val="Heading4"/>
      </w:pPr>
      <w:bookmarkStart w:id="237" w:name="_Toc6470664"/>
      <w:r w:rsidRPr="00976585">
        <w:lastRenderedPageBreak/>
        <w:t>State roles and responsibilities</w:t>
      </w:r>
      <w:bookmarkEnd w:id="237"/>
    </w:p>
    <w:p w14:paraId="1E23E4B9" w14:textId="77777777" w:rsidR="007E365E" w:rsidRPr="00976585" w:rsidRDefault="007E365E" w:rsidP="007E365E">
      <w:pPr>
        <w:pStyle w:val="CGCParaNumber"/>
      </w:pPr>
      <w:r w:rsidRPr="00976585">
        <w:t>States fund the following urban and non-urban services and infrastructure.</w:t>
      </w:r>
    </w:p>
    <w:p w14:paraId="620A4D1E" w14:textId="77777777" w:rsidR="007E365E" w:rsidRPr="00976585" w:rsidRDefault="007E365E" w:rsidP="007E365E">
      <w:pPr>
        <w:pStyle w:val="CGCBullet1"/>
      </w:pPr>
      <w:r w:rsidRPr="00976585">
        <w:t>Rail passenger services.</w:t>
      </w:r>
    </w:p>
    <w:p w14:paraId="403D75C7" w14:textId="77777777" w:rsidR="007E365E" w:rsidRPr="00976585" w:rsidRDefault="007E365E" w:rsidP="007E365E">
      <w:pPr>
        <w:pStyle w:val="CGCBullet2"/>
        <w:numPr>
          <w:ilvl w:val="0"/>
          <w:numId w:val="3"/>
        </w:numPr>
        <w:ind w:left="1208" w:hanging="357"/>
      </w:pPr>
      <w:r w:rsidRPr="00976585">
        <w:t>Urban rail passenger services in the larger cities of Sydney, Melbourne, Brisbane, Perth and Adelaide. These include extensive underground rail in Sydney and Melbourne.</w:t>
      </w:r>
    </w:p>
    <w:p w14:paraId="10DC3321" w14:textId="77777777" w:rsidR="007E365E" w:rsidRPr="00976585" w:rsidRDefault="007E365E" w:rsidP="007E365E">
      <w:pPr>
        <w:pStyle w:val="CGCBullet2"/>
        <w:numPr>
          <w:ilvl w:val="0"/>
          <w:numId w:val="3"/>
        </w:numPr>
        <w:ind w:left="1208" w:hanging="357"/>
      </w:pPr>
      <w:r w:rsidRPr="00976585">
        <w:t xml:space="preserve">Non-urban rail passenger services in New South Wales, Victoria, Queensland and Western Australia. </w:t>
      </w:r>
    </w:p>
    <w:p w14:paraId="6AA238AD" w14:textId="77777777" w:rsidR="007E365E" w:rsidRPr="00976585" w:rsidRDefault="007E365E" w:rsidP="007E365E">
      <w:pPr>
        <w:pStyle w:val="CGCBullet1"/>
      </w:pPr>
      <w:r w:rsidRPr="00976585">
        <w:t xml:space="preserve">Bus services in all capital cities and major urban centres in all States. </w:t>
      </w:r>
    </w:p>
    <w:p w14:paraId="6C652DD2" w14:textId="77777777" w:rsidR="007E365E" w:rsidRPr="00976585" w:rsidRDefault="007E365E" w:rsidP="007E365E">
      <w:pPr>
        <w:pStyle w:val="CGCBullet1"/>
      </w:pPr>
      <w:r w:rsidRPr="00976585">
        <w:t xml:space="preserve">Light rail or tram services in Sydney, Melbourne, Adelaide, the Gold Coast, Newcastle and the ACT. </w:t>
      </w:r>
    </w:p>
    <w:p w14:paraId="009BBD7D" w14:textId="77777777" w:rsidR="007E365E" w:rsidRPr="00976585" w:rsidRDefault="007E365E" w:rsidP="007E365E">
      <w:pPr>
        <w:pStyle w:val="CGCBullet1"/>
      </w:pPr>
      <w:r w:rsidRPr="00976585">
        <w:t>Coach services connecting regional centres with each other and the capital city in all States except the ACT. In New South Wales, Victoria and Queensland, these services may complement or replace rail services.</w:t>
      </w:r>
    </w:p>
    <w:p w14:paraId="71C122F9" w14:textId="77777777" w:rsidR="007E365E" w:rsidRPr="00976585" w:rsidRDefault="007E365E" w:rsidP="007E365E">
      <w:pPr>
        <w:pStyle w:val="CGCBullet1"/>
      </w:pPr>
      <w:r w:rsidRPr="00976585">
        <w:t>Ferry services in nearly all States.</w:t>
      </w:r>
    </w:p>
    <w:p w14:paraId="19679E00" w14:textId="77777777" w:rsidR="007E365E" w:rsidRPr="00976585" w:rsidRDefault="007E365E" w:rsidP="007E365E">
      <w:pPr>
        <w:pStyle w:val="CGCParaNumber"/>
      </w:pPr>
      <w:r w:rsidRPr="00976585">
        <w:t xml:space="preserve">While States make the policies on services, fares and infrastructure, the services are delivered under contracts </w:t>
      </w:r>
      <w:r>
        <w:t>by</w:t>
      </w:r>
      <w:r w:rsidRPr="00976585">
        <w:t xml:space="preserve"> State-owned statutory corporations, private sector service providers and, in a few cases, State departments or local governments.</w:t>
      </w:r>
    </w:p>
    <w:p w14:paraId="37252876" w14:textId="0BC8A1EE" w:rsidR="007E365E" w:rsidRPr="00976585" w:rsidRDefault="007E365E" w:rsidP="007E365E">
      <w:pPr>
        <w:pStyle w:val="CGCParaNumber"/>
      </w:pPr>
      <w:bookmarkStart w:id="238" w:name="_Ref7445880"/>
      <w:r w:rsidRPr="00976585">
        <w:t>States differ considerably in the way they provide urban transport services. In capital cities, States use a mix of direct general government provision, service delivery through PNFCs or contracting with private providers to deliver services. In Queensland, the Brisbane City Council operates bus services. In large regional centres, services are provided through PNFCs or private providers. In smaller centres, States generally provide services by contracting with private providers. However, the level of private provision is only significant in New South Wales and Victoria.</w:t>
      </w:r>
      <w:bookmarkEnd w:id="238"/>
    </w:p>
    <w:p w14:paraId="278E1521" w14:textId="77777777" w:rsidR="007E365E" w:rsidRPr="00976585" w:rsidRDefault="007E365E" w:rsidP="007E365E">
      <w:pPr>
        <w:pStyle w:val="CGCParaNumber"/>
      </w:pPr>
      <w:r w:rsidRPr="00976585">
        <w:t>A mix of private providers and PNFCs operate non-urban services such as bus and rail passenger transport, rail freight and ports.</w:t>
      </w:r>
    </w:p>
    <w:p w14:paraId="10CD59CC" w14:textId="77777777" w:rsidR="007E365E" w:rsidRPr="00976585" w:rsidRDefault="007E365E" w:rsidP="007E365E">
      <w:pPr>
        <w:pStyle w:val="CGCParaNumber"/>
      </w:pPr>
      <w:r w:rsidRPr="00976585">
        <w:t>States fund concessions to certain groups of users, via reduced fares.</w:t>
      </w:r>
    </w:p>
    <w:p w14:paraId="30FAB38A" w14:textId="77777777" w:rsidR="007E365E" w:rsidRPr="00976585" w:rsidRDefault="007E365E" w:rsidP="007E365E">
      <w:pPr>
        <w:pStyle w:val="CGCParaNumber"/>
      </w:pPr>
      <w:r w:rsidRPr="00976585">
        <w:t>Queensland, Western Australia, South Australia, Tasmania and the Northern Territory also subsidise air services in remote areas, to ensure access to essential services.</w:t>
      </w:r>
      <w:bookmarkStart w:id="239" w:name="_Toc6470665"/>
    </w:p>
    <w:p w14:paraId="1CC6731A" w14:textId="5F49EBE6" w:rsidR="007E365E" w:rsidRPr="00976585" w:rsidRDefault="007E365E" w:rsidP="007E365E">
      <w:pPr>
        <w:pStyle w:val="Heading4"/>
      </w:pPr>
      <w:r w:rsidRPr="00976585">
        <w:t>Commonwealth roles and responsibilities</w:t>
      </w:r>
      <w:bookmarkEnd w:id="239"/>
      <w:r w:rsidRPr="00976585">
        <w:t xml:space="preserve"> </w:t>
      </w:r>
    </w:p>
    <w:p w14:paraId="043A683E" w14:textId="77777777" w:rsidR="007E365E" w:rsidRPr="00976585" w:rsidRDefault="007E365E" w:rsidP="007E365E">
      <w:pPr>
        <w:pStyle w:val="CGCParaNumber"/>
      </w:pPr>
      <w:r w:rsidRPr="00976585">
        <w:t xml:space="preserve">The Commonwealth’s primary role is as a funder of nationally significant infrastructure projects. Infrastructure Australia, which is an independent statutory body with a mandate to prioritise and progress nationally significant infrastructure, determines which nationally significant projects should be included on the </w:t>
      </w:r>
      <w:r w:rsidRPr="00976585">
        <w:rPr>
          <w:i/>
        </w:rPr>
        <w:t>Infrastructure Priority List</w:t>
      </w:r>
      <w:r w:rsidRPr="00976585">
        <w:t>. However, the Commonwealth has discretion to decide which projects receive funding.</w:t>
      </w:r>
    </w:p>
    <w:p w14:paraId="4FBDC40D" w14:textId="76E6B9CA" w:rsidR="007E365E" w:rsidRPr="00976585" w:rsidRDefault="007E365E" w:rsidP="007E365E">
      <w:pPr>
        <w:pStyle w:val="CGCParaNumber"/>
      </w:pPr>
      <w:r w:rsidRPr="00976585">
        <w:fldChar w:fldCharType="begin"/>
      </w:r>
      <w:r w:rsidRPr="00976585">
        <w:instrText xml:space="preserve"> REF _Ref6924888 \h  \* MERGEFORMAT </w:instrText>
      </w:r>
      <w:r w:rsidRPr="00976585">
        <w:fldChar w:fldCharType="separate"/>
      </w:r>
      <w:r w:rsidR="007F721A" w:rsidRPr="00976585">
        <w:t xml:space="preserve">Table </w:t>
      </w:r>
      <w:r w:rsidR="007F721A">
        <w:rPr>
          <w:noProof/>
        </w:rPr>
        <w:t>21-4</w:t>
      </w:r>
      <w:r w:rsidRPr="00976585">
        <w:fldChar w:fldCharType="end"/>
      </w:r>
      <w:r w:rsidRPr="00976585">
        <w:t xml:space="preserve"> shows the main Commonwealth payments to the States for rail infrastructure in 201</w:t>
      </w:r>
      <w:r>
        <w:t>8</w:t>
      </w:r>
      <w:r w:rsidRPr="00976585">
        <w:noBreakHyphen/>
        <w:t>1</w:t>
      </w:r>
      <w:r>
        <w:t>9</w:t>
      </w:r>
      <w:r w:rsidRPr="00976585">
        <w:t>. All payments are for capital purposes.</w:t>
      </w:r>
    </w:p>
    <w:p w14:paraId="3E170309" w14:textId="3D1F3E15" w:rsidR="007E365E" w:rsidRPr="00976585" w:rsidRDefault="007E365E" w:rsidP="007E365E">
      <w:pPr>
        <w:pStyle w:val="Caption"/>
      </w:pPr>
      <w:bookmarkStart w:id="240" w:name="_Ref6924888"/>
      <w:r w:rsidRPr="00976585">
        <w:lastRenderedPageBreak/>
        <w:t xml:space="preserve">Table </w:t>
      </w:r>
      <w:r>
        <w:t>21-</w:t>
      </w:r>
      <w:fldSimple w:instr=" SEQ Table \* ARABIC ">
        <w:r w:rsidR="007F721A">
          <w:rPr>
            <w:noProof/>
          </w:rPr>
          <w:t>4</w:t>
        </w:r>
      </w:fldSimple>
      <w:bookmarkEnd w:id="240"/>
      <w:r w:rsidRPr="00976585">
        <w:tab/>
        <w:t>Commonwealth payments to the States for Rail infrastructure, 2018</w:t>
      </w:r>
      <w:r w:rsidRPr="00976585">
        <w:noBreakHyphen/>
        <w:t>19</w:t>
      </w:r>
    </w:p>
    <w:tbl>
      <w:tblPr>
        <w:tblW w:w="8951" w:type="dxa"/>
        <w:tblCellMar>
          <w:left w:w="28" w:type="dxa"/>
          <w:right w:w="28" w:type="dxa"/>
        </w:tblCellMar>
        <w:tblLook w:val="04A0" w:firstRow="1" w:lastRow="0" w:firstColumn="1" w:lastColumn="0" w:noHBand="0" w:noVBand="1"/>
        <w:tblCaption w:val="Commonwealth payments to the States for Rail infrastructure, 2018 19"/>
        <w:tblDescription w:val="Summary of Commonwealth payments to States for rail infrastructure."/>
      </w:tblPr>
      <w:tblGrid>
        <w:gridCol w:w="2551"/>
        <w:gridCol w:w="817"/>
        <w:gridCol w:w="678"/>
        <w:gridCol w:w="718"/>
        <w:gridCol w:w="698"/>
        <w:gridCol w:w="618"/>
        <w:gridCol w:w="698"/>
        <w:gridCol w:w="718"/>
        <w:gridCol w:w="638"/>
        <w:gridCol w:w="817"/>
      </w:tblGrid>
      <w:tr w:rsidR="007E365E" w:rsidRPr="00B6077F" w14:paraId="7A7F53A1" w14:textId="77777777" w:rsidTr="007D1D77">
        <w:trPr>
          <w:trHeight w:val="379"/>
        </w:trPr>
        <w:tc>
          <w:tcPr>
            <w:tcW w:w="2551" w:type="dxa"/>
            <w:tcBorders>
              <w:top w:val="single" w:sz="4" w:space="0" w:color="ADD6EA"/>
              <w:left w:val="nil"/>
              <w:bottom w:val="single" w:sz="4" w:space="0" w:color="ADD6EA"/>
              <w:right w:val="nil"/>
            </w:tcBorders>
            <w:shd w:val="clear" w:color="000000" w:fill="006991"/>
            <w:noWrap/>
            <w:vAlign w:val="center"/>
            <w:hideMark/>
          </w:tcPr>
          <w:p w14:paraId="13DC41B8"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077F">
              <w:rPr>
                <w:rFonts w:ascii="Open Sans SemiBold" w:eastAsia="Times New Roman" w:hAnsi="Open Sans SemiBold" w:cs="Open Sans SemiBold"/>
                <w:color w:val="FFFFFF"/>
                <w:sz w:val="16"/>
                <w:szCs w:val="16"/>
                <w:lang w:eastAsia="en-AU"/>
              </w:rPr>
              <w:t> </w:t>
            </w:r>
          </w:p>
        </w:tc>
        <w:tc>
          <w:tcPr>
            <w:tcW w:w="817" w:type="dxa"/>
            <w:tcBorders>
              <w:top w:val="single" w:sz="4" w:space="0" w:color="ADD6EA"/>
              <w:left w:val="nil"/>
              <w:bottom w:val="single" w:sz="4" w:space="0" w:color="ADD6EA"/>
              <w:right w:val="nil"/>
            </w:tcBorders>
            <w:shd w:val="clear" w:color="000000" w:fill="006991"/>
            <w:noWrap/>
            <w:vAlign w:val="center"/>
            <w:hideMark/>
          </w:tcPr>
          <w:p w14:paraId="03D1F455"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077F">
              <w:rPr>
                <w:rFonts w:ascii="Open Sans SemiBold" w:eastAsia="Times New Roman" w:hAnsi="Open Sans SemiBold" w:cs="Open Sans SemiBold"/>
                <w:color w:val="FFFFFF"/>
                <w:sz w:val="16"/>
                <w:szCs w:val="16"/>
                <w:lang w:eastAsia="en-AU"/>
              </w:rPr>
              <w:t>NSW</w:t>
            </w:r>
          </w:p>
        </w:tc>
        <w:tc>
          <w:tcPr>
            <w:tcW w:w="678" w:type="dxa"/>
            <w:tcBorders>
              <w:top w:val="single" w:sz="4" w:space="0" w:color="ADD6EA"/>
              <w:left w:val="nil"/>
              <w:bottom w:val="single" w:sz="4" w:space="0" w:color="ADD6EA"/>
              <w:right w:val="nil"/>
            </w:tcBorders>
            <w:shd w:val="clear" w:color="000000" w:fill="006991"/>
            <w:noWrap/>
            <w:vAlign w:val="center"/>
            <w:hideMark/>
          </w:tcPr>
          <w:p w14:paraId="2897151B"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077F">
              <w:rPr>
                <w:rFonts w:ascii="Open Sans SemiBold" w:eastAsia="Times New Roman" w:hAnsi="Open Sans SemiBold" w:cs="Open Sans SemiBold"/>
                <w:color w:val="FFFFFF"/>
                <w:sz w:val="16"/>
                <w:szCs w:val="16"/>
                <w:lang w:eastAsia="en-AU"/>
              </w:rPr>
              <w:t>Vic</w:t>
            </w:r>
          </w:p>
        </w:tc>
        <w:tc>
          <w:tcPr>
            <w:tcW w:w="718" w:type="dxa"/>
            <w:tcBorders>
              <w:top w:val="single" w:sz="4" w:space="0" w:color="ADD6EA"/>
              <w:left w:val="nil"/>
              <w:bottom w:val="single" w:sz="4" w:space="0" w:color="ADD6EA"/>
              <w:right w:val="nil"/>
            </w:tcBorders>
            <w:shd w:val="clear" w:color="000000" w:fill="006991"/>
            <w:noWrap/>
            <w:vAlign w:val="center"/>
            <w:hideMark/>
          </w:tcPr>
          <w:p w14:paraId="47117770"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077F">
              <w:rPr>
                <w:rFonts w:ascii="Open Sans SemiBold" w:eastAsia="Times New Roman" w:hAnsi="Open Sans SemiBold" w:cs="Open Sans SemiBold"/>
                <w:color w:val="FFFFFF"/>
                <w:sz w:val="16"/>
                <w:szCs w:val="16"/>
                <w:lang w:eastAsia="en-AU"/>
              </w:rPr>
              <w:t>Qld</w:t>
            </w:r>
          </w:p>
        </w:tc>
        <w:tc>
          <w:tcPr>
            <w:tcW w:w="698" w:type="dxa"/>
            <w:tcBorders>
              <w:top w:val="single" w:sz="4" w:space="0" w:color="ADD6EA"/>
              <w:left w:val="nil"/>
              <w:bottom w:val="single" w:sz="4" w:space="0" w:color="ADD6EA"/>
              <w:right w:val="nil"/>
            </w:tcBorders>
            <w:shd w:val="clear" w:color="000000" w:fill="006991"/>
            <w:noWrap/>
            <w:vAlign w:val="center"/>
            <w:hideMark/>
          </w:tcPr>
          <w:p w14:paraId="041FDA3C"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077F">
              <w:rPr>
                <w:rFonts w:ascii="Open Sans SemiBold" w:eastAsia="Times New Roman" w:hAnsi="Open Sans SemiBold" w:cs="Open Sans SemiBold"/>
                <w:color w:val="FFFFFF"/>
                <w:sz w:val="16"/>
                <w:szCs w:val="16"/>
                <w:lang w:eastAsia="en-AU"/>
              </w:rPr>
              <w:t>WA</w:t>
            </w:r>
          </w:p>
        </w:tc>
        <w:tc>
          <w:tcPr>
            <w:tcW w:w="618" w:type="dxa"/>
            <w:tcBorders>
              <w:top w:val="single" w:sz="4" w:space="0" w:color="ADD6EA"/>
              <w:left w:val="nil"/>
              <w:bottom w:val="single" w:sz="4" w:space="0" w:color="ADD6EA"/>
              <w:right w:val="nil"/>
            </w:tcBorders>
            <w:shd w:val="clear" w:color="000000" w:fill="006991"/>
            <w:noWrap/>
            <w:vAlign w:val="center"/>
            <w:hideMark/>
          </w:tcPr>
          <w:p w14:paraId="5503DB67"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077F">
              <w:rPr>
                <w:rFonts w:ascii="Open Sans SemiBold" w:eastAsia="Times New Roman" w:hAnsi="Open Sans SemiBold" w:cs="Open Sans SemiBold"/>
                <w:color w:val="FFFFFF"/>
                <w:sz w:val="16"/>
                <w:szCs w:val="16"/>
                <w:lang w:eastAsia="en-AU"/>
              </w:rPr>
              <w:t>SA</w:t>
            </w:r>
          </w:p>
        </w:tc>
        <w:tc>
          <w:tcPr>
            <w:tcW w:w="698" w:type="dxa"/>
            <w:tcBorders>
              <w:top w:val="single" w:sz="4" w:space="0" w:color="ADD6EA"/>
              <w:left w:val="nil"/>
              <w:bottom w:val="single" w:sz="4" w:space="0" w:color="ADD6EA"/>
              <w:right w:val="nil"/>
            </w:tcBorders>
            <w:shd w:val="clear" w:color="000000" w:fill="006991"/>
            <w:noWrap/>
            <w:vAlign w:val="center"/>
            <w:hideMark/>
          </w:tcPr>
          <w:p w14:paraId="1004F3AF"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077F">
              <w:rPr>
                <w:rFonts w:ascii="Open Sans SemiBold" w:eastAsia="Times New Roman" w:hAnsi="Open Sans SemiBold" w:cs="Open Sans SemiBold"/>
                <w:color w:val="FFFFFF"/>
                <w:sz w:val="16"/>
                <w:szCs w:val="16"/>
                <w:lang w:eastAsia="en-AU"/>
              </w:rPr>
              <w:t>Tas</w:t>
            </w:r>
          </w:p>
        </w:tc>
        <w:tc>
          <w:tcPr>
            <w:tcW w:w="718" w:type="dxa"/>
            <w:tcBorders>
              <w:top w:val="single" w:sz="4" w:space="0" w:color="ADD6EA"/>
              <w:left w:val="nil"/>
              <w:bottom w:val="single" w:sz="4" w:space="0" w:color="ADD6EA"/>
              <w:right w:val="nil"/>
            </w:tcBorders>
            <w:shd w:val="clear" w:color="000000" w:fill="006991"/>
            <w:noWrap/>
            <w:vAlign w:val="center"/>
            <w:hideMark/>
          </w:tcPr>
          <w:p w14:paraId="29053E51"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077F">
              <w:rPr>
                <w:rFonts w:ascii="Open Sans SemiBold" w:eastAsia="Times New Roman" w:hAnsi="Open Sans SemiBold" w:cs="Open Sans SemiBold"/>
                <w:color w:val="FFFFFF"/>
                <w:sz w:val="16"/>
                <w:szCs w:val="16"/>
                <w:lang w:eastAsia="en-AU"/>
              </w:rPr>
              <w:t>ACT</w:t>
            </w:r>
          </w:p>
        </w:tc>
        <w:tc>
          <w:tcPr>
            <w:tcW w:w="638" w:type="dxa"/>
            <w:tcBorders>
              <w:top w:val="single" w:sz="4" w:space="0" w:color="ADD6EA"/>
              <w:left w:val="nil"/>
              <w:bottom w:val="single" w:sz="4" w:space="0" w:color="ADD6EA"/>
              <w:right w:val="nil"/>
            </w:tcBorders>
            <w:shd w:val="clear" w:color="000000" w:fill="006991"/>
            <w:noWrap/>
            <w:vAlign w:val="center"/>
            <w:hideMark/>
          </w:tcPr>
          <w:p w14:paraId="493476AD"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077F">
              <w:rPr>
                <w:rFonts w:ascii="Open Sans SemiBold" w:eastAsia="Times New Roman" w:hAnsi="Open Sans SemiBold" w:cs="Open Sans SemiBold"/>
                <w:color w:val="FFFFFF"/>
                <w:sz w:val="16"/>
                <w:szCs w:val="16"/>
                <w:lang w:eastAsia="en-AU"/>
              </w:rPr>
              <w:t>NT</w:t>
            </w:r>
          </w:p>
        </w:tc>
        <w:tc>
          <w:tcPr>
            <w:tcW w:w="817" w:type="dxa"/>
            <w:tcBorders>
              <w:top w:val="single" w:sz="4" w:space="0" w:color="ADD6EA"/>
              <w:left w:val="nil"/>
              <w:bottom w:val="single" w:sz="4" w:space="0" w:color="ADD6EA"/>
              <w:right w:val="nil"/>
            </w:tcBorders>
            <w:shd w:val="clear" w:color="000000" w:fill="006991"/>
            <w:noWrap/>
            <w:vAlign w:val="center"/>
            <w:hideMark/>
          </w:tcPr>
          <w:p w14:paraId="7CB9AF19"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077F">
              <w:rPr>
                <w:rFonts w:ascii="Open Sans SemiBold" w:eastAsia="Times New Roman" w:hAnsi="Open Sans SemiBold" w:cs="Open Sans SemiBold"/>
                <w:color w:val="FFFFFF"/>
                <w:sz w:val="16"/>
                <w:szCs w:val="16"/>
                <w:lang w:eastAsia="en-AU"/>
              </w:rPr>
              <w:t>Total</w:t>
            </w:r>
          </w:p>
        </w:tc>
      </w:tr>
      <w:tr w:rsidR="007E365E" w:rsidRPr="00B6077F" w14:paraId="1806B995" w14:textId="77777777" w:rsidTr="007D1D77">
        <w:trPr>
          <w:trHeight w:hRule="exact" w:val="318"/>
        </w:trPr>
        <w:tc>
          <w:tcPr>
            <w:tcW w:w="3368" w:type="dxa"/>
            <w:gridSpan w:val="2"/>
            <w:tcBorders>
              <w:top w:val="single" w:sz="4" w:space="0" w:color="ADD6EA"/>
              <w:left w:val="nil"/>
              <w:bottom w:val="nil"/>
              <w:right w:val="nil"/>
            </w:tcBorders>
            <w:shd w:val="clear" w:color="auto" w:fill="auto"/>
            <w:noWrap/>
            <w:vAlign w:val="bottom"/>
            <w:hideMark/>
          </w:tcPr>
          <w:p w14:paraId="01B849F1" w14:textId="77777777" w:rsidR="007E365E" w:rsidRPr="00B6077F" w:rsidRDefault="007E365E" w:rsidP="007D1D77">
            <w:pPr>
              <w:tabs>
                <w:tab w:val="clear" w:pos="567"/>
              </w:tabs>
              <w:spacing w:before="0" w:line="240" w:lineRule="auto"/>
              <w:rPr>
                <w:rFonts w:eastAsia="Times New Roman" w:cs="Open Sans Light"/>
                <w:sz w:val="16"/>
                <w:szCs w:val="16"/>
                <w:lang w:eastAsia="en-AU"/>
              </w:rPr>
            </w:pPr>
            <w:r w:rsidRPr="00B6077F">
              <w:rPr>
                <w:rFonts w:eastAsia="Times New Roman" w:cs="Open Sans Light"/>
                <w:sz w:val="16"/>
                <w:szCs w:val="16"/>
                <w:lang w:eastAsia="en-AU"/>
              </w:rPr>
              <w:t xml:space="preserve">Infrastructure investment program </w:t>
            </w:r>
          </w:p>
        </w:tc>
        <w:tc>
          <w:tcPr>
            <w:tcW w:w="678" w:type="dxa"/>
            <w:tcBorders>
              <w:top w:val="nil"/>
              <w:left w:val="nil"/>
              <w:bottom w:val="nil"/>
              <w:right w:val="nil"/>
            </w:tcBorders>
            <w:shd w:val="clear" w:color="auto" w:fill="auto"/>
            <w:vAlign w:val="bottom"/>
            <w:hideMark/>
          </w:tcPr>
          <w:p w14:paraId="15F95F2C"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 </w:t>
            </w:r>
          </w:p>
        </w:tc>
        <w:tc>
          <w:tcPr>
            <w:tcW w:w="718" w:type="dxa"/>
            <w:tcBorders>
              <w:top w:val="nil"/>
              <w:left w:val="nil"/>
              <w:bottom w:val="nil"/>
              <w:right w:val="nil"/>
            </w:tcBorders>
            <w:shd w:val="clear" w:color="auto" w:fill="auto"/>
            <w:vAlign w:val="bottom"/>
            <w:hideMark/>
          </w:tcPr>
          <w:p w14:paraId="1AC4CC71"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 </w:t>
            </w:r>
          </w:p>
        </w:tc>
        <w:tc>
          <w:tcPr>
            <w:tcW w:w="698" w:type="dxa"/>
            <w:tcBorders>
              <w:top w:val="nil"/>
              <w:left w:val="nil"/>
              <w:bottom w:val="nil"/>
              <w:right w:val="nil"/>
            </w:tcBorders>
            <w:shd w:val="clear" w:color="auto" w:fill="auto"/>
            <w:vAlign w:val="bottom"/>
            <w:hideMark/>
          </w:tcPr>
          <w:p w14:paraId="0AE3D10A"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 </w:t>
            </w:r>
          </w:p>
        </w:tc>
        <w:tc>
          <w:tcPr>
            <w:tcW w:w="618" w:type="dxa"/>
            <w:tcBorders>
              <w:top w:val="nil"/>
              <w:left w:val="nil"/>
              <w:bottom w:val="nil"/>
              <w:right w:val="nil"/>
            </w:tcBorders>
            <w:shd w:val="clear" w:color="auto" w:fill="auto"/>
            <w:vAlign w:val="bottom"/>
            <w:hideMark/>
          </w:tcPr>
          <w:p w14:paraId="60D712C5"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 </w:t>
            </w:r>
          </w:p>
        </w:tc>
        <w:tc>
          <w:tcPr>
            <w:tcW w:w="698" w:type="dxa"/>
            <w:tcBorders>
              <w:top w:val="nil"/>
              <w:left w:val="nil"/>
              <w:bottom w:val="nil"/>
              <w:right w:val="nil"/>
            </w:tcBorders>
            <w:shd w:val="clear" w:color="auto" w:fill="auto"/>
            <w:vAlign w:val="bottom"/>
            <w:hideMark/>
          </w:tcPr>
          <w:p w14:paraId="35F7FADD"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 </w:t>
            </w:r>
          </w:p>
        </w:tc>
        <w:tc>
          <w:tcPr>
            <w:tcW w:w="718" w:type="dxa"/>
            <w:tcBorders>
              <w:top w:val="nil"/>
              <w:left w:val="nil"/>
              <w:bottom w:val="nil"/>
              <w:right w:val="nil"/>
            </w:tcBorders>
            <w:shd w:val="clear" w:color="auto" w:fill="auto"/>
            <w:vAlign w:val="bottom"/>
            <w:hideMark/>
          </w:tcPr>
          <w:p w14:paraId="055FCE53"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 </w:t>
            </w:r>
          </w:p>
        </w:tc>
        <w:tc>
          <w:tcPr>
            <w:tcW w:w="638" w:type="dxa"/>
            <w:tcBorders>
              <w:top w:val="nil"/>
              <w:left w:val="nil"/>
              <w:bottom w:val="nil"/>
              <w:right w:val="nil"/>
            </w:tcBorders>
            <w:shd w:val="clear" w:color="auto" w:fill="auto"/>
            <w:vAlign w:val="bottom"/>
            <w:hideMark/>
          </w:tcPr>
          <w:p w14:paraId="477AF80E"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 </w:t>
            </w:r>
          </w:p>
        </w:tc>
        <w:tc>
          <w:tcPr>
            <w:tcW w:w="817" w:type="dxa"/>
            <w:tcBorders>
              <w:top w:val="nil"/>
              <w:left w:val="nil"/>
              <w:bottom w:val="nil"/>
              <w:right w:val="nil"/>
            </w:tcBorders>
            <w:shd w:val="clear" w:color="auto" w:fill="auto"/>
            <w:vAlign w:val="bottom"/>
            <w:hideMark/>
          </w:tcPr>
          <w:p w14:paraId="538B09E0"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 </w:t>
            </w:r>
          </w:p>
        </w:tc>
      </w:tr>
      <w:tr w:rsidR="007E365E" w:rsidRPr="00B6077F" w14:paraId="12391209" w14:textId="77777777" w:rsidTr="007D1D77">
        <w:trPr>
          <w:trHeight w:hRule="exact" w:val="318"/>
        </w:trPr>
        <w:tc>
          <w:tcPr>
            <w:tcW w:w="2551" w:type="dxa"/>
            <w:tcBorders>
              <w:top w:val="single" w:sz="4" w:space="0" w:color="ADD6EA"/>
              <w:left w:val="nil"/>
              <w:bottom w:val="single" w:sz="4" w:space="0" w:color="ADD6EA"/>
              <w:right w:val="nil"/>
            </w:tcBorders>
            <w:shd w:val="clear" w:color="auto" w:fill="auto"/>
            <w:noWrap/>
            <w:vAlign w:val="bottom"/>
            <w:hideMark/>
          </w:tcPr>
          <w:p w14:paraId="550A4F7C" w14:textId="77777777" w:rsidR="007E365E" w:rsidRPr="00B6077F"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B6077F">
              <w:rPr>
                <w:rFonts w:eastAsia="Times New Roman" w:cs="Open Sans Light"/>
                <w:sz w:val="16"/>
                <w:szCs w:val="16"/>
                <w:lang w:eastAsia="en-AU"/>
              </w:rPr>
              <w:t>Rail investment ($m)</w:t>
            </w:r>
          </w:p>
        </w:tc>
        <w:tc>
          <w:tcPr>
            <w:tcW w:w="817" w:type="dxa"/>
            <w:tcBorders>
              <w:top w:val="single" w:sz="4" w:space="0" w:color="ADD6EA"/>
              <w:left w:val="nil"/>
              <w:bottom w:val="single" w:sz="4" w:space="0" w:color="ADD6EA"/>
              <w:right w:val="nil"/>
            </w:tcBorders>
            <w:shd w:val="clear" w:color="auto" w:fill="auto"/>
            <w:vAlign w:val="bottom"/>
            <w:hideMark/>
          </w:tcPr>
          <w:p w14:paraId="07983765"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0</w:t>
            </w:r>
          </w:p>
        </w:tc>
        <w:tc>
          <w:tcPr>
            <w:tcW w:w="678" w:type="dxa"/>
            <w:tcBorders>
              <w:top w:val="single" w:sz="4" w:space="0" w:color="ADD6EA"/>
              <w:left w:val="nil"/>
              <w:bottom w:val="single" w:sz="4" w:space="0" w:color="ADD6EA"/>
              <w:right w:val="nil"/>
            </w:tcBorders>
            <w:shd w:val="clear" w:color="auto" w:fill="auto"/>
            <w:vAlign w:val="bottom"/>
            <w:hideMark/>
          </w:tcPr>
          <w:p w14:paraId="7591CE04"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6</w:t>
            </w:r>
          </w:p>
        </w:tc>
        <w:tc>
          <w:tcPr>
            <w:tcW w:w="718" w:type="dxa"/>
            <w:tcBorders>
              <w:top w:val="single" w:sz="4" w:space="0" w:color="ADD6EA"/>
              <w:left w:val="nil"/>
              <w:bottom w:val="single" w:sz="4" w:space="0" w:color="ADD6EA"/>
              <w:right w:val="nil"/>
            </w:tcBorders>
            <w:shd w:val="clear" w:color="auto" w:fill="auto"/>
            <w:vAlign w:val="bottom"/>
            <w:hideMark/>
          </w:tcPr>
          <w:p w14:paraId="759975B9"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0</w:t>
            </w:r>
          </w:p>
        </w:tc>
        <w:tc>
          <w:tcPr>
            <w:tcW w:w="698" w:type="dxa"/>
            <w:tcBorders>
              <w:top w:val="single" w:sz="4" w:space="0" w:color="ADD6EA"/>
              <w:left w:val="nil"/>
              <w:bottom w:val="single" w:sz="4" w:space="0" w:color="ADD6EA"/>
              <w:right w:val="nil"/>
            </w:tcBorders>
            <w:shd w:val="clear" w:color="auto" w:fill="auto"/>
            <w:vAlign w:val="bottom"/>
            <w:hideMark/>
          </w:tcPr>
          <w:p w14:paraId="1B46273B"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164</w:t>
            </w:r>
          </w:p>
        </w:tc>
        <w:tc>
          <w:tcPr>
            <w:tcW w:w="618" w:type="dxa"/>
            <w:tcBorders>
              <w:top w:val="single" w:sz="4" w:space="0" w:color="ADD6EA"/>
              <w:left w:val="nil"/>
              <w:bottom w:val="single" w:sz="4" w:space="0" w:color="ADD6EA"/>
              <w:right w:val="nil"/>
            </w:tcBorders>
            <w:shd w:val="clear" w:color="auto" w:fill="auto"/>
            <w:vAlign w:val="bottom"/>
            <w:hideMark/>
          </w:tcPr>
          <w:p w14:paraId="6D5BC0FF"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20</w:t>
            </w:r>
          </w:p>
        </w:tc>
        <w:tc>
          <w:tcPr>
            <w:tcW w:w="698" w:type="dxa"/>
            <w:tcBorders>
              <w:top w:val="single" w:sz="4" w:space="0" w:color="ADD6EA"/>
              <w:left w:val="nil"/>
              <w:bottom w:val="single" w:sz="4" w:space="0" w:color="ADD6EA"/>
              <w:right w:val="nil"/>
            </w:tcBorders>
            <w:shd w:val="clear" w:color="auto" w:fill="auto"/>
            <w:vAlign w:val="bottom"/>
            <w:hideMark/>
          </w:tcPr>
          <w:p w14:paraId="7407EA2C"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13</w:t>
            </w:r>
          </w:p>
        </w:tc>
        <w:tc>
          <w:tcPr>
            <w:tcW w:w="718" w:type="dxa"/>
            <w:tcBorders>
              <w:top w:val="single" w:sz="4" w:space="0" w:color="ADD6EA"/>
              <w:left w:val="nil"/>
              <w:bottom w:val="single" w:sz="4" w:space="0" w:color="ADD6EA"/>
              <w:right w:val="nil"/>
            </w:tcBorders>
            <w:shd w:val="clear" w:color="auto" w:fill="auto"/>
            <w:vAlign w:val="bottom"/>
            <w:hideMark/>
          </w:tcPr>
          <w:p w14:paraId="6EAF9DC8"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0</w:t>
            </w:r>
          </w:p>
        </w:tc>
        <w:tc>
          <w:tcPr>
            <w:tcW w:w="638" w:type="dxa"/>
            <w:tcBorders>
              <w:top w:val="single" w:sz="4" w:space="0" w:color="ADD6EA"/>
              <w:left w:val="nil"/>
              <w:bottom w:val="single" w:sz="4" w:space="0" w:color="ADD6EA"/>
              <w:right w:val="nil"/>
            </w:tcBorders>
            <w:shd w:val="clear" w:color="auto" w:fill="auto"/>
            <w:vAlign w:val="bottom"/>
            <w:hideMark/>
          </w:tcPr>
          <w:p w14:paraId="6244EEFA"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0</w:t>
            </w:r>
          </w:p>
        </w:tc>
        <w:tc>
          <w:tcPr>
            <w:tcW w:w="817" w:type="dxa"/>
            <w:tcBorders>
              <w:top w:val="single" w:sz="4" w:space="0" w:color="ADD6EA"/>
              <w:left w:val="nil"/>
              <w:bottom w:val="single" w:sz="4" w:space="0" w:color="ADD6EA"/>
              <w:right w:val="nil"/>
            </w:tcBorders>
            <w:shd w:val="clear" w:color="auto" w:fill="auto"/>
            <w:vAlign w:val="bottom"/>
            <w:hideMark/>
          </w:tcPr>
          <w:p w14:paraId="0990C743"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203</w:t>
            </w:r>
          </w:p>
        </w:tc>
      </w:tr>
      <w:tr w:rsidR="007E365E" w:rsidRPr="00B6077F" w14:paraId="529A5E95" w14:textId="77777777" w:rsidTr="007D1D77">
        <w:trPr>
          <w:trHeight w:hRule="exact" w:val="318"/>
        </w:trPr>
        <w:tc>
          <w:tcPr>
            <w:tcW w:w="2551" w:type="dxa"/>
            <w:tcBorders>
              <w:top w:val="nil"/>
              <w:left w:val="nil"/>
              <w:bottom w:val="nil"/>
              <w:right w:val="nil"/>
            </w:tcBorders>
            <w:shd w:val="clear" w:color="auto" w:fill="auto"/>
            <w:noWrap/>
            <w:vAlign w:val="bottom"/>
            <w:hideMark/>
          </w:tcPr>
          <w:p w14:paraId="32759BB1" w14:textId="77777777" w:rsidR="007E365E" w:rsidRPr="00B6077F"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B6077F">
              <w:rPr>
                <w:rFonts w:eastAsia="Times New Roman" w:cs="Open Sans Light"/>
                <w:sz w:val="16"/>
                <w:szCs w:val="16"/>
                <w:lang w:eastAsia="en-AU"/>
              </w:rPr>
              <w:t>National rail program ($m)</w:t>
            </w:r>
          </w:p>
        </w:tc>
        <w:tc>
          <w:tcPr>
            <w:tcW w:w="817" w:type="dxa"/>
            <w:tcBorders>
              <w:top w:val="nil"/>
              <w:left w:val="nil"/>
              <w:bottom w:val="nil"/>
              <w:right w:val="nil"/>
            </w:tcBorders>
            <w:shd w:val="clear" w:color="auto" w:fill="auto"/>
            <w:vAlign w:val="bottom"/>
            <w:hideMark/>
          </w:tcPr>
          <w:p w14:paraId="64E2A685"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27</w:t>
            </w:r>
          </w:p>
        </w:tc>
        <w:tc>
          <w:tcPr>
            <w:tcW w:w="678" w:type="dxa"/>
            <w:tcBorders>
              <w:top w:val="nil"/>
              <w:left w:val="nil"/>
              <w:bottom w:val="nil"/>
              <w:right w:val="nil"/>
            </w:tcBorders>
            <w:shd w:val="clear" w:color="auto" w:fill="auto"/>
            <w:vAlign w:val="bottom"/>
            <w:hideMark/>
          </w:tcPr>
          <w:p w14:paraId="661B389F"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0</w:t>
            </w:r>
          </w:p>
        </w:tc>
        <w:tc>
          <w:tcPr>
            <w:tcW w:w="718" w:type="dxa"/>
            <w:tcBorders>
              <w:top w:val="nil"/>
              <w:left w:val="nil"/>
              <w:bottom w:val="nil"/>
              <w:right w:val="nil"/>
            </w:tcBorders>
            <w:shd w:val="clear" w:color="auto" w:fill="auto"/>
            <w:vAlign w:val="bottom"/>
            <w:hideMark/>
          </w:tcPr>
          <w:p w14:paraId="3D5812B7"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2</w:t>
            </w:r>
          </w:p>
        </w:tc>
        <w:tc>
          <w:tcPr>
            <w:tcW w:w="698" w:type="dxa"/>
            <w:tcBorders>
              <w:top w:val="nil"/>
              <w:left w:val="nil"/>
              <w:bottom w:val="nil"/>
              <w:right w:val="nil"/>
            </w:tcBorders>
            <w:shd w:val="clear" w:color="auto" w:fill="auto"/>
            <w:vAlign w:val="bottom"/>
            <w:hideMark/>
          </w:tcPr>
          <w:p w14:paraId="76D2BFFB"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1</w:t>
            </w:r>
          </w:p>
        </w:tc>
        <w:tc>
          <w:tcPr>
            <w:tcW w:w="618" w:type="dxa"/>
            <w:tcBorders>
              <w:top w:val="nil"/>
              <w:left w:val="nil"/>
              <w:bottom w:val="nil"/>
              <w:right w:val="nil"/>
            </w:tcBorders>
            <w:shd w:val="clear" w:color="auto" w:fill="auto"/>
            <w:vAlign w:val="bottom"/>
            <w:hideMark/>
          </w:tcPr>
          <w:p w14:paraId="0E1C07A8"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220</w:t>
            </w:r>
          </w:p>
        </w:tc>
        <w:tc>
          <w:tcPr>
            <w:tcW w:w="698" w:type="dxa"/>
            <w:tcBorders>
              <w:top w:val="nil"/>
              <w:left w:val="nil"/>
              <w:bottom w:val="nil"/>
              <w:right w:val="nil"/>
            </w:tcBorders>
            <w:shd w:val="clear" w:color="auto" w:fill="auto"/>
            <w:vAlign w:val="bottom"/>
            <w:hideMark/>
          </w:tcPr>
          <w:p w14:paraId="645E7B17"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0</w:t>
            </w:r>
          </w:p>
        </w:tc>
        <w:tc>
          <w:tcPr>
            <w:tcW w:w="718" w:type="dxa"/>
            <w:tcBorders>
              <w:top w:val="nil"/>
              <w:left w:val="nil"/>
              <w:bottom w:val="nil"/>
              <w:right w:val="nil"/>
            </w:tcBorders>
            <w:shd w:val="clear" w:color="auto" w:fill="auto"/>
            <w:vAlign w:val="bottom"/>
            <w:hideMark/>
          </w:tcPr>
          <w:p w14:paraId="17A51100"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0</w:t>
            </w:r>
          </w:p>
        </w:tc>
        <w:tc>
          <w:tcPr>
            <w:tcW w:w="638" w:type="dxa"/>
            <w:tcBorders>
              <w:top w:val="nil"/>
              <w:left w:val="nil"/>
              <w:bottom w:val="nil"/>
              <w:right w:val="nil"/>
            </w:tcBorders>
            <w:shd w:val="clear" w:color="auto" w:fill="auto"/>
            <w:vAlign w:val="bottom"/>
            <w:hideMark/>
          </w:tcPr>
          <w:p w14:paraId="3289F934"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0</w:t>
            </w:r>
          </w:p>
        </w:tc>
        <w:tc>
          <w:tcPr>
            <w:tcW w:w="817" w:type="dxa"/>
            <w:tcBorders>
              <w:top w:val="nil"/>
              <w:left w:val="nil"/>
              <w:bottom w:val="nil"/>
              <w:right w:val="nil"/>
            </w:tcBorders>
            <w:shd w:val="clear" w:color="auto" w:fill="auto"/>
            <w:vAlign w:val="bottom"/>
            <w:hideMark/>
          </w:tcPr>
          <w:p w14:paraId="722A0F50" w14:textId="77777777" w:rsidR="007E365E" w:rsidRPr="00B6077F" w:rsidRDefault="007E365E" w:rsidP="007D1D77">
            <w:pPr>
              <w:tabs>
                <w:tab w:val="clear" w:pos="567"/>
              </w:tabs>
              <w:spacing w:before="0" w:line="240" w:lineRule="auto"/>
              <w:jc w:val="right"/>
              <w:rPr>
                <w:rFonts w:eastAsia="Times New Roman" w:cs="Open Sans Light"/>
                <w:sz w:val="16"/>
                <w:szCs w:val="16"/>
                <w:lang w:eastAsia="en-AU"/>
              </w:rPr>
            </w:pPr>
            <w:r w:rsidRPr="00B6077F">
              <w:rPr>
                <w:rFonts w:eastAsia="Times New Roman" w:cs="Open Sans Light"/>
                <w:sz w:val="16"/>
                <w:szCs w:val="16"/>
                <w:lang w:eastAsia="en-AU"/>
              </w:rPr>
              <w:t>250</w:t>
            </w:r>
          </w:p>
        </w:tc>
      </w:tr>
      <w:tr w:rsidR="007E365E" w:rsidRPr="00B6077F" w14:paraId="71573B4F" w14:textId="77777777" w:rsidTr="007D1D77">
        <w:trPr>
          <w:trHeight w:hRule="exact" w:val="318"/>
        </w:trPr>
        <w:tc>
          <w:tcPr>
            <w:tcW w:w="2551" w:type="dxa"/>
            <w:tcBorders>
              <w:top w:val="single" w:sz="4" w:space="0" w:color="ADD6EA"/>
              <w:left w:val="nil"/>
              <w:bottom w:val="single" w:sz="4" w:space="0" w:color="ADD6EA"/>
              <w:right w:val="nil"/>
            </w:tcBorders>
            <w:shd w:val="clear" w:color="000000" w:fill="D6E7F0"/>
            <w:noWrap/>
            <w:vAlign w:val="bottom"/>
            <w:hideMark/>
          </w:tcPr>
          <w:p w14:paraId="072B50F9" w14:textId="77777777" w:rsidR="007E365E" w:rsidRPr="00B6077F"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Total ($m)</w:t>
            </w:r>
          </w:p>
        </w:tc>
        <w:tc>
          <w:tcPr>
            <w:tcW w:w="817" w:type="dxa"/>
            <w:tcBorders>
              <w:top w:val="single" w:sz="4" w:space="0" w:color="ADD6EA"/>
              <w:left w:val="nil"/>
              <w:bottom w:val="single" w:sz="4" w:space="0" w:color="ADD6EA"/>
              <w:right w:val="nil"/>
            </w:tcBorders>
            <w:shd w:val="clear" w:color="000000" w:fill="D6E7F0"/>
            <w:vAlign w:val="bottom"/>
            <w:hideMark/>
          </w:tcPr>
          <w:p w14:paraId="23CE27F1"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27</w:t>
            </w:r>
          </w:p>
        </w:tc>
        <w:tc>
          <w:tcPr>
            <w:tcW w:w="678" w:type="dxa"/>
            <w:tcBorders>
              <w:top w:val="single" w:sz="4" w:space="0" w:color="ADD6EA"/>
              <w:left w:val="nil"/>
              <w:bottom w:val="single" w:sz="4" w:space="0" w:color="ADD6EA"/>
              <w:right w:val="nil"/>
            </w:tcBorders>
            <w:shd w:val="clear" w:color="000000" w:fill="D6E7F0"/>
            <w:vAlign w:val="bottom"/>
            <w:hideMark/>
          </w:tcPr>
          <w:p w14:paraId="36DF06F8"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6</w:t>
            </w:r>
          </w:p>
        </w:tc>
        <w:tc>
          <w:tcPr>
            <w:tcW w:w="718" w:type="dxa"/>
            <w:tcBorders>
              <w:top w:val="single" w:sz="4" w:space="0" w:color="ADD6EA"/>
              <w:left w:val="nil"/>
              <w:bottom w:val="single" w:sz="4" w:space="0" w:color="ADD6EA"/>
              <w:right w:val="nil"/>
            </w:tcBorders>
            <w:shd w:val="clear" w:color="000000" w:fill="D6E7F0"/>
            <w:vAlign w:val="bottom"/>
            <w:hideMark/>
          </w:tcPr>
          <w:p w14:paraId="251B1756"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2</w:t>
            </w:r>
          </w:p>
        </w:tc>
        <w:tc>
          <w:tcPr>
            <w:tcW w:w="698" w:type="dxa"/>
            <w:tcBorders>
              <w:top w:val="single" w:sz="4" w:space="0" w:color="ADD6EA"/>
              <w:left w:val="nil"/>
              <w:bottom w:val="single" w:sz="4" w:space="0" w:color="ADD6EA"/>
              <w:right w:val="nil"/>
            </w:tcBorders>
            <w:shd w:val="clear" w:color="000000" w:fill="D6E7F0"/>
            <w:vAlign w:val="bottom"/>
            <w:hideMark/>
          </w:tcPr>
          <w:p w14:paraId="1B5AFD69"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164</w:t>
            </w:r>
          </w:p>
        </w:tc>
        <w:tc>
          <w:tcPr>
            <w:tcW w:w="618" w:type="dxa"/>
            <w:tcBorders>
              <w:top w:val="single" w:sz="4" w:space="0" w:color="ADD6EA"/>
              <w:left w:val="nil"/>
              <w:bottom w:val="single" w:sz="4" w:space="0" w:color="ADD6EA"/>
              <w:right w:val="nil"/>
            </w:tcBorders>
            <w:shd w:val="clear" w:color="000000" w:fill="D6E7F0"/>
            <w:vAlign w:val="bottom"/>
            <w:hideMark/>
          </w:tcPr>
          <w:p w14:paraId="0CB85D58"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240</w:t>
            </w:r>
          </w:p>
        </w:tc>
        <w:tc>
          <w:tcPr>
            <w:tcW w:w="698" w:type="dxa"/>
            <w:tcBorders>
              <w:top w:val="single" w:sz="4" w:space="0" w:color="ADD6EA"/>
              <w:left w:val="nil"/>
              <w:bottom w:val="single" w:sz="4" w:space="0" w:color="ADD6EA"/>
              <w:right w:val="nil"/>
            </w:tcBorders>
            <w:shd w:val="clear" w:color="000000" w:fill="D6E7F0"/>
            <w:vAlign w:val="bottom"/>
            <w:hideMark/>
          </w:tcPr>
          <w:p w14:paraId="17E1B54A"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13</w:t>
            </w:r>
          </w:p>
        </w:tc>
        <w:tc>
          <w:tcPr>
            <w:tcW w:w="718" w:type="dxa"/>
            <w:tcBorders>
              <w:top w:val="single" w:sz="4" w:space="0" w:color="ADD6EA"/>
              <w:left w:val="nil"/>
              <w:bottom w:val="single" w:sz="4" w:space="0" w:color="ADD6EA"/>
              <w:right w:val="nil"/>
            </w:tcBorders>
            <w:shd w:val="clear" w:color="000000" w:fill="D6E7F0"/>
            <w:vAlign w:val="bottom"/>
            <w:hideMark/>
          </w:tcPr>
          <w:p w14:paraId="48F493D3"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0</w:t>
            </w:r>
          </w:p>
        </w:tc>
        <w:tc>
          <w:tcPr>
            <w:tcW w:w="638" w:type="dxa"/>
            <w:tcBorders>
              <w:top w:val="single" w:sz="4" w:space="0" w:color="ADD6EA"/>
              <w:left w:val="nil"/>
              <w:bottom w:val="single" w:sz="4" w:space="0" w:color="ADD6EA"/>
              <w:right w:val="nil"/>
            </w:tcBorders>
            <w:shd w:val="clear" w:color="000000" w:fill="D6E7F0"/>
            <w:vAlign w:val="bottom"/>
            <w:hideMark/>
          </w:tcPr>
          <w:p w14:paraId="69D7EB7A"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0</w:t>
            </w:r>
          </w:p>
        </w:tc>
        <w:tc>
          <w:tcPr>
            <w:tcW w:w="817" w:type="dxa"/>
            <w:tcBorders>
              <w:top w:val="single" w:sz="4" w:space="0" w:color="ADD6EA"/>
              <w:left w:val="nil"/>
              <w:bottom w:val="single" w:sz="4" w:space="0" w:color="ADD6EA"/>
              <w:right w:val="nil"/>
            </w:tcBorders>
            <w:shd w:val="clear" w:color="000000" w:fill="D6E7F0"/>
            <w:vAlign w:val="bottom"/>
            <w:hideMark/>
          </w:tcPr>
          <w:p w14:paraId="1B71A1C1"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453</w:t>
            </w:r>
          </w:p>
        </w:tc>
      </w:tr>
      <w:tr w:rsidR="007E365E" w:rsidRPr="00B6077F" w14:paraId="32E42D7F" w14:textId="77777777" w:rsidTr="007D1D77">
        <w:trPr>
          <w:trHeight w:hRule="exact" w:val="318"/>
        </w:trPr>
        <w:tc>
          <w:tcPr>
            <w:tcW w:w="2551" w:type="dxa"/>
            <w:tcBorders>
              <w:top w:val="nil"/>
              <w:left w:val="nil"/>
              <w:bottom w:val="single" w:sz="4" w:space="0" w:color="ADD6EA"/>
              <w:right w:val="nil"/>
            </w:tcBorders>
            <w:shd w:val="clear" w:color="000000" w:fill="D6E7F0"/>
            <w:noWrap/>
            <w:vAlign w:val="bottom"/>
            <w:hideMark/>
          </w:tcPr>
          <w:p w14:paraId="3A8B2981" w14:textId="77777777" w:rsidR="007E365E" w:rsidRPr="00B6077F"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Total ($pc)</w:t>
            </w:r>
          </w:p>
        </w:tc>
        <w:tc>
          <w:tcPr>
            <w:tcW w:w="817" w:type="dxa"/>
            <w:tcBorders>
              <w:top w:val="nil"/>
              <w:left w:val="nil"/>
              <w:bottom w:val="single" w:sz="4" w:space="0" w:color="ADD6EA"/>
              <w:right w:val="nil"/>
            </w:tcBorders>
            <w:shd w:val="clear" w:color="000000" w:fill="D6E7F0"/>
            <w:vAlign w:val="bottom"/>
            <w:hideMark/>
          </w:tcPr>
          <w:p w14:paraId="07C4119C"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3</w:t>
            </w:r>
          </w:p>
        </w:tc>
        <w:tc>
          <w:tcPr>
            <w:tcW w:w="678" w:type="dxa"/>
            <w:tcBorders>
              <w:top w:val="nil"/>
              <w:left w:val="nil"/>
              <w:bottom w:val="single" w:sz="4" w:space="0" w:color="ADD6EA"/>
              <w:right w:val="nil"/>
            </w:tcBorders>
            <w:shd w:val="clear" w:color="000000" w:fill="D6E7F0"/>
            <w:vAlign w:val="bottom"/>
            <w:hideMark/>
          </w:tcPr>
          <w:p w14:paraId="07E435B0"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1</w:t>
            </w:r>
          </w:p>
        </w:tc>
        <w:tc>
          <w:tcPr>
            <w:tcW w:w="718" w:type="dxa"/>
            <w:tcBorders>
              <w:top w:val="nil"/>
              <w:left w:val="nil"/>
              <w:bottom w:val="single" w:sz="4" w:space="0" w:color="ADD6EA"/>
              <w:right w:val="nil"/>
            </w:tcBorders>
            <w:shd w:val="clear" w:color="000000" w:fill="D6E7F0"/>
            <w:vAlign w:val="bottom"/>
            <w:hideMark/>
          </w:tcPr>
          <w:p w14:paraId="58EC5443"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0</w:t>
            </w:r>
          </w:p>
        </w:tc>
        <w:tc>
          <w:tcPr>
            <w:tcW w:w="698" w:type="dxa"/>
            <w:tcBorders>
              <w:top w:val="nil"/>
              <w:left w:val="nil"/>
              <w:bottom w:val="single" w:sz="4" w:space="0" w:color="ADD6EA"/>
              <w:right w:val="nil"/>
            </w:tcBorders>
            <w:shd w:val="clear" w:color="000000" w:fill="D6E7F0"/>
            <w:vAlign w:val="bottom"/>
            <w:hideMark/>
          </w:tcPr>
          <w:p w14:paraId="7D69786F"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63</w:t>
            </w:r>
          </w:p>
        </w:tc>
        <w:tc>
          <w:tcPr>
            <w:tcW w:w="618" w:type="dxa"/>
            <w:tcBorders>
              <w:top w:val="nil"/>
              <w:left w:val="nil"/>
              <w:bottom w:val="single" w:sz="4" w:space="0" w:color="ADD6EA"/>
              <w:right w:val="nil"/>
            </w:tcBorders>
            <w:shd w:val="clear" w:color="000000" w:fill="D6E7F0"/>
            <w:vAlign w:val="bottom"/>
            <w:hideMark/>
          </w:tcPr>
          <w:p w14:paraId="523E4251"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138</w:t>
            </w:r>
          </w:p>
        </w:tc>
        <w:tc>
          <w:tcPr>
            <w:tcW w:w="698" w:type="dxa"/>
            <w:tcBorders>
              <w:top w:val="nil"/>
              <w:left w:val="nil"/>
              <w:bottom w:val="single" w:sz="4" w:space="0" w:color="ADD6EA"/>
              <w:right w:val="nil"/>
            </w:tcBorders>
            <w:shd w:val="clear" w:color="000000" w:fill="D6E7F0"/>
            <w:vAlign w:val="bottom"/>
            <w:hideMark/>
          </w:tcPr>
          <w:p w14:paraId="39831157"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25</w:t>
            </w:r>
          </w:p>
        </w:tc>
        <w:tc>
          <w:tcPr>
            <w:tcW w:w="718" w:type="dxa"/>
            <w:tcBorders>
              <w:top w:val="nil"/>
              <w:left w:val="nil"/>
              <w:bottom w:val="single" w:sz="4" w:space="0" w:color="ADD6EA"/>
              <w:right w:val="nil"/>
            </w:tcBorders>
            <w:shd w:val="clear" w:color="000000" w:fill="D6E7F0"/>
            <w:vAlign w:val="bottom"/>
            <w:hideMark/>
          </w:tcPr>
          <w:p w14:paraId="743D105E"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0</w:t>
            </w:r>
          </w:p>
        </w:tc>
        <w:tc>
          <w:tcPr>
            <w:tcW w:w="638" w:type="dxa"/>
            <w:tcBorders>
              <w:top w:val="nil"/>
              <w:left w:val="nil"/>
              <w:bottom w:val="single" w:sz="4" w:space="0" w:color="ADD6EA"/>
              <w:right w:val="nil"/>
            </w:tcBorders>
            <w:shd w:val="clear" w:color="000000" w:fill="D6E7F0"/>
            <w:vAlign w:val="bottom"/>
            <w:hideMark/>
          </w:tcPr>
          <w:p w14:paraId="65A9D737"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0</w:t>
            </w:r>
          </w:p>
        </w:tc>
        <w:tc>
          <w:tcPr>
            <w:tcW w:w="817" w:type="dxa"/>
            <w:tcBorders>
              <w:top w:val="nil"/>
              <w:left w:val="nil"/>
              <w:bottom w:val="single" w:sz="4" w:space="0" w:color="ADD6EA"/>
              <w:right w:val="nil"/>
            </w:tcBorders>
            <w:shd w:val="clear" w:color="000000" w:fill="D6E7F0"/>
            <w:vAlign w:val="bottom"/>
            <w:hideMark/>
          </w:tcPr>
          <w:p w14:paraId="3FB23691" w14:textId="77777777" w:rsidR="007E365E" w:rsidRPr="00B6077F"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6077F">
              <w:rPr>
                <w:rFonts w:ascii="Open Sans SemiBold" w:eastAsia="Times New Roman" w:hAnsi="Open Sans SemiBold" w:cs="Open Sans SemiBold"/>
                <w:sz w:val="16"/>
                <w:szCs w:val="16"/>
                <w:lang w:eastAsia="en-AU"/>
              </w:rPr>
              <w:t>18</w:t>
            </w:r>
          </w:p>
        </w:tc>
      </w:tr>
    </w:tbl>
    <w:p w14:paraId="76B22C49" w14:textId="77777777" w:rsidR="007E365E" w:rsidRPr="00976585" w:rsidRDefault="007E365E" w:rsidP="007E365E">
      <w:pPr>
        <w:pStyle w:val="CGCTablenote"/>
      </w:pPr>
      <w:r w:rsidRPr="00976585">
        <w:t>Note:</w:t>
      </w:r>
      <w:r>
        <w:tab/>
      </w:r>
      <w:r w:rsidRPr="00976585">
        <w:t>Table shows major payments only. Commonwealth Own Purpose Expenses (COPEs) are not included. Payments that the Commission treats as ‘no impact’ are included in the table.</w:t>
      </w:r>
    </w:p>
    <w:p w14:paraId="2C59F3D7" w14:textId="77777777" w:rsidR="007E365E" w:rsidRPr="00976585" w:rsidRDefault="007E365E" w:rsidP="007E365E">
      <w:pPr>
        <w:pStyle w:val="CGCTablenote"/>
      </w:pPr>
      <w:r w:rsidRPr="00976585">
        <w:t>Source:</w:t>
      </w:r>
      <w:r w:rsidRPr="00976585">
        <w:tab/>
        <w:t>Commonwealth Final Budget Outcome, 2018</w:t>
      </w:r>
      <w:r w:rsidRPr="00976585">
        <w:noBreakHyphen/>
        <w:t>19.</w:t>
      </w:r>
    </w:p>
    <w:p w14:paraId="11EC5ABF" w14:textId="77777777" w:rsidR="007E365E" w:rsidRPr="00976585" w:rsidRDefault="007E365E" w:rsidP="007E365E">
      <w:pPr>
        <w:pStyle w:val="CGCParaNumber"/>
      </w:pPr>
      <w:r w:rsidRPr="00976585">
        <w:t>Chapter 5 Commonwealth payments provides the complete list of Commonwealth payments and their treatment.</w:t>
      </w:r>
      <w:r w:rsidRPr="00976585">
        <w:rPr>
          <w:rStyle w:val="FootnoteReference"/>
        </w:rPr>
        <w:footnoteReference w:id="45"/>
      </w:r>
      <w:r w:rsidRPr="00976585">
        <w:t xml:space="preserve"> The treatment of Commonwealth payments for investment in National Rail Network projects is also discussed in that chapter.</w:t>
      </w:r>
    </w:p>
    <w:p w14:paraId="33620A7C" w14:textId="0BA7B385" w:rsidR="007E365E" w:rsidRPr="00976585" w:rsidRDefault="007E365E" w:rsidP="007E365E">
      <w:pPr>
        <w:pStyle w:val="Heading3"/>
      </w:pPr>
      <w:bookmarkStart w:id="241" w:name="_Toc6470666"/>
      <w:r w:rsidRPr="00976585">
        <w:t xml:space="preserve">Category </w:t>
      </w:r>
      <w:r>
        <w:t>s</w:t>
      </w:r>
      <w:r w:rsidRPr="00976585">
        <w:t>tructure</w:t>
      </w:r>
      <w:bookmarkEnd w:id="241"/>
    </w:p>
    <w:p w14:paraId="5338FA42" w14:textId="77777777" w:rsidR="007E365E" w:rsidRPr="00976585" w:rsidRDefault="007E365E" w:rsidP="007E365E">
      <w:pPr>
        <w:pStyle w:val="CGCParaNumber"/>
      </w:pPr>
      <w:r w:rsidRPr="00976585">
        <w:t>The assessment of State transport expenses is considered in the following two components:</w:t>
      </w:r>
      <w:r w:rsidRPr="00976585">
        <w:rPr>
          <w:rStyle w:val="FootnoteReference"/>
        </w:rPr>
        <w:footnoteReference w:id="46"/>
      </w:r>
    </w:p>
    <w:p w14:paraId="4BE58D31" w14:textId="77777777" w:rsidR="007E365E" w:rsidRPr="00976585" w:rsidRDefault="007E365E" w:rsidP="007E365E">
      <w:pPr>
        <w:pStyle w:val="CGCBullet1"/>
      </w:pPr>
      <w:r w:rsidRPr="00976585">
        <w:t>urban transport</w:t>
      </w:r>
    </w:p>
    <w:p w14:paraId="40667B20" w14:textId="77777777" w:rsidR="007E365E" w:rsidRPr="00976585" w:rsidRDefault="007E365E" w:rsidP="007E365E">
      <w:pPr>
        <w:pStyle w:val="CGCBullet1"/>
      </w:pPr>
      <w:r w:rsidRPr="00976585">
        <w:t>non-urban transport.</w:t>
      </w:r>
    </w:p>
    <w:p w14:paraId="368E4ACD" w14:textId="77777777" w:rsidR="007E365E" w:rsidRPr="00976585" w:rsidRDefault="007E365E" w:rsidP="007E365E">
      <w:pPr>
        <w:pStyle w:val="CGCParaNumber"/>
      </w:pPr>
      <w:r w:rsidRPr="00976585">
        <w:t>Components allow different disability assessments to apply to sub-functions.</w:t>
      </w:r>
    </w:p>
    <w:p w14:paraId="0BD85B97" w14:textId="451EA207" w:rsidR="007E365E" w:rsidRPr="00976585" w:rsidRDefault="007E365E" w:rsidP="007E365E">
      <w:pPr>
        <w:pStyle w:val="CGCParaNumber"/>
      </w:pPr>
      <w:r>
        <w:fldChar w:fldCharType="begin"/>
      </w:r>
      <w:r>
        <w:instrText xml:space="preserve"> REF _Ref32845783 \h </w:instrText>
      </w:r>
      <w:r>
        <w:fldChar w:fldCharType="separate"/>
      </w:r>
      <w:r w:rsidR="007F721A" w:rsidRPr="00976585">
        <w:t xml:space="preserve">Table </w:t>
      </w:r>
      <w:r w:rsidR="007F721A">
        <w:t>21-</w:t>
      </w:r>
      <w:r w:rsidR="007F721A">
        <w:rPr>
          <w:noProof/>
        </w:rPr>
        <w:t>5</w:t>
      </w:r>
      <w:r>
        <w:fldChar w:fldCharType="end"/>
      </w:r>
      <w:r w:rsidRPr="00976585">
        <w:t xml:space="preserve"> shows the category’s assessment structure, the size of each component and the disabilities that apply.</w:t>
      </w:r>
    </w:p>
    <w:p w14:paraId="063E5D6A" w14:textId="44FE2BEA" w:rsidR="007E365E" w:rsidRDefault="007E365E" w:rsidP="007E365E">
      <w:pPr>
        <w:pStyle w:val="Caption"/>
        <w:widowControl w:val="0"/>
      </w:pPr>
      <w:bookmarkStart w:id="242" w:name="_Ref32845783"/>
      <w:r w:rsidRPr="00976585">
        <w:lastRenderedPageBreak/>
        <w:t xml:space="preserve">Table </w:t>
      </w:r>
      <w:r>
        <w:t>21-</w:t>
      </w:r>
      <w:fldSimple w:instr=" SEQ Table \* ARABIC ">
        <w:r w:rsidR="007F721A">
          <w:rPr>
            <w:noProof/>
          </w:rPr>
          <w:t>5</w:t>
        </w:r>
      </w:fldSimple>
      <w:bookmarkEnd w:id="242"/>
      <w:r w:rsidRPr="00976585">
        <w:tab/>
        <w:t>Category structure, Transport</w:t>
      </w:r>
      <w:r>
        <w:t xml:space="preserve">, </w:t>
      </w:r>
      <w:r w:rsidRPr="00976585">
        <w:t>201</w:t>
      </w:r>
      <w:r>
        <w:t>8</w:t>
      </w:r>
      <w:r w:rsidRPr="00976585">
        <w:t>-1</w:t>
      </w:r>
      <w:r>
        <w:t>9</w:t>
      </w:r>
    </w:p>
    <w:tbl>
      <w:tblPr>
        <w:tblW w:w="8902" w:type="dxa"/>
        <w:tblCellMar>
          <w:left w:w="28" w:type="dxa"/>
        </w:tblCellMar>
        <w:tblLook w:val="04A0" w:firstRow="1" w:lastRow="0" w:firstColumn="1" w:lastColumn="0" w:noHBand="0" w:noVBand="1"/>
      </w:tblPr>
      <w:tblGrid>
        <w:gridCol w:w="1923"/>
        <w:gridCol w:w="1210"/>
        <w:gridCol w:w="1840"/>
        <w:gridCol w:w="3929"/>
      </w:tblGrid>
      <w:tr w:rsidR="005A1631" w:rsidRPr="001F2730" w14:paraId="54617F58" w14:textId="77777777" w:rsidTr="005A1631">
        <w:trPr>
          <w:trHeight w:val="555"/>
        </w:trPr>
        <w:tc>
          <w:tcPr>
            <w:tcW w:w="1839" w:type="dxa"/>
            <w:tcBorders>
              <w:top w:val="single" w:sz="4" w:space="0" w:color="ADD6EA"/>
              <w:left w:val="nil"/>
              <w:bottom w:val="single" w:sz="4" w:space="0" w:color="ADD6EA"/>
              <w:right w:val="nil"/>
            </w:tcBorders>
            <w:shd w:val="clear" w:color="000000" w:fill="006991"/>
            <w:vAlign w:val="center"/>
            <w:hideMark/>
          </w:tcPr>
          <w:p w14:paraId="21926FC5" w14:textId="77777777" w:rsidR="005A1631" w:rsidRPr="001F2730" w:rsidRDefault="005A1631" w:rsidP="007D1D77">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1F2730">
              <w:rPr>
                <w:rFonts w:ascii="Open Sans SemiBold" w:eastAsia="Times New Roman" w:hAnsi="Open Sans SemiBold" w:cs="Open Sans SemiBold"/>
                <w:color w:val="FFFFFF"/>
                <w:sz w:val="16"/>
                <w:szCs w:val="16"/>
                <w:lang w:eastAsia="en-AU"/>
              </w:rPr>
              <w:t>Component</w:t>
            </w:r>
          </w:p>
        </w:tc>
        <w:tc>
          <w:tcPr>
            <w:tcW w:w="1124" w:type="dxa"/>
            <w:tcBorders>
              <w:top w:val="single" w:sz="4" w:space="0" w:color="ADD6EA"/>
              <w:left w:val="nil"/>
              <w:bottom w:val="single" w:sz="4" w:space="0" w:color="ADD6EA"/>
              <w:right w:val="nil"/>
            </w:tcBorders>
            <w:shd w:val="clear" w:color="000000" w:fill="006991"/>
            <w:vAlign w:val="center"/>
            <w:hideMark/>
          </w:tcPr>
          <w:p w14:paraId="09D69E41" w14:textId="77777777" w:rsidR="005A1631" w:rsidRPr="001F2730" w:rsidRDefault="005A1631" w:rsidP="005A1631">
            <w:pPr>
              <w:keepNext/>
              <w:keepLines/>
              <w:widowControl w:val="0"/>
              <w:tabs>
                <w:tab w:val="clear" w:pos="567"/>
              </w:tabs>
              <w:spacing w:before="0" w:line="240" w:lineRule="auto"/>
              <w:ind w:right="113"/>
              <w:jc w:val="right"/>
              <w:rPr>
                <w:rFonts w:ascii="Open Sans SemiBold" w:eastAsia="Times New Roman" w:hAnsi="Open Sans SemiBold" w:cs="Open Sans SemiBold"/>
                <w:color w:val="FFFFFF"/>
                <w:sz w:val="16"/>
                <w:szCs w:val="16"/>
                <w:lang w:eastAsia="en-AU"/>
              </w:rPr>
            </w:pPr>
            <w:r w:rsidRPr="001F2730">
              <w:rPr>
                <w:rFonts w:ascii="Open Sans SemiBold" w:eastAsia="Times New Roman" w:hAnsi="Open Sans SemiBold" w:cs="Open Sans SemiBold"/>
                <w:color w:val="FFFFFF"/>
                <w:sz w:val="16"/>
                <w:szCs w:val="16"/>
                <w:lang w:eastAsia="en-AU"/>
              </w:rPr>
              <w:t>Component expense</w:t>
            </w:r>
          </w:p>
        </w:tc>
        <w:tc>
          <w:tcPr>
            <w:tcW w:w="1760" w:type="dxa"/>
            <w:tcBorders>
              <w:top w:val="single" w:sz="4" w:space="0" w:color="ADD6EA"/>
              <w:left w:val="nil"/>
              <w:bottom w:val="single" w:sz="4" w:space="0" w:color="ADD6EA"/>
              <w:right w:val="nil"/>
            </w:tcBorders>
            <w:shd w:val="clear" w:color="000000" w:fill="006991"/>
            <w:vAlign w:val="center"/>
            <w:hideMark/>
          </w:tcPr>
          <w:p w14:paraId="54B823F1" w14:textId="77777777" w:rsidR="005A1631" w:rsidRPr="001F2730" w:rsidRDefault="005A1631" w:rsidP="007D1D77">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1F2730">
              <w:rPr>
                <w:rFonts w:ascii="Open Sans SemiBold" w:eastAsia="Times New Roman" w:hAnsi="Open Sans SemiBold" w:cs="Open Sans SemiBold"/>
                <w:color w:val="FFFFFF"/>
                <w:sz w:val="16"/>
                <w:szCs w:val="16"/>
                <w:lang w:eastAsia="en-AU"/>
              </w:rPr>
              <w:t>Disability</w:t>
            </w:r>
          </w:p>
        </w:tc>
        <w:tc>
          <w:tcPr>
            <w:tcW w:w="3757" w:type="dxa"/>
            <w:tcBorders>
              <w:top w:val="single" w:sz="4" w:space="0" w:color="ADD6EA"/>
              <w:left w:val="nil"/>
              <w:bottom w:val="single" w:sz="4" w:space="0" w:color="ADD6EA"/>
              <w:right w:val="nil"/>
            </w:tcBorders>
            <w:shd w:val="clear" w:color="000000" w:fill="006991"/>
            <w:vAlign w:val="center"/>
            <w:hideMark/>
          </w:tcPr>
          <w:p w14:paraId="3747B117" w14:textId="77777777" w:rsidR="005A1631" w:rsidRPr="001F2730" w:rsidRDefault="005A1631" w:rsidP="007D1D77">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1F2730">
              <w:rPr>
                <w:rFonts w:ascii="Open Sans SemiBold" w:eastAsia="Times New Roman" w:hAnsi="Open Sans SemiBold" w:cs="Open Sans SemiBold"/>
                <w:color w:val="FFFFFF"/>
                <w:sz w:val="16"/>
                <w:szCs w:val="16"/>
                <w:lang w:eastAsia="en-AU"/>
              </w:rPr>
              <w:t>Influence measured by disability</w:t>
            </w:r>
          </w:p>
        </w:tc>
      </w:tr>
      <w:tr w:rsidR="005A1631" w:rsidRPr="001F2730" w14:paraId="45D6A8D7" w14:textId="77777777" w:rsidTr="005A1631">
        <w:trPr>
          <w:trHeight w:val="259"/>
        </w:trPr>
        <w:tc>
          <w:tcPr>
            <w:tcW w:w="1839" w:type="dxa"/>
            <w:tcBorders>
              <w:top w:val="nil"/>
              <w:left w:val="nil"/>
              <w:bottom w:val="nil"/>
              <w:right w:val="nil"/>
            </w:tcBorders>
            <w:shd w:val="clear" w:color="000000" w:fill="B6D5E4"/>
            <w:vAlign w:val="bottom"/>
            <w:hideMark/>
          </w:tcPr>
          <w:p w14:paraId="3B5F3174" w14:textId="77777777" w:rsidR="005A1631" w:rsidRPr="001F2730" w:rsidRDefault="005A1631" w:rsidP="007D1D77">
            <w:pPr>
              <w:keepNext/>
              <w:keepLines/>
              <w:widowControl w:val="0"/>
              <w:tabs>
                <w:tab w:val="clear" w:pos="567"/>
              </w:tabs>
              <w:spacing w:before="0" w:line="240" w:lineRule="auto"/>
              <w:jc w:val="right"/>
              <w:rPr>
                <w:rFonts w:eastAsia="Times New Roman" w:cs="Open Sans Light"/>
                <w:sz w:val="16"/>
                <w:szCs w:val="16"/>
                <w:lang w:eastAsia="en-AU"/>
              </w:rPr>
            </w:pPr>
            <w:r w:rsidRPr="001F2730">
              <w:rPr>
                <w:rFonts w:eastAsia="Times New Roman" w:cs="Open Sans Light"/>
                <w:sz w:val="16"/>
                <w:szCs w:val="16"/>
                <w:lang w:eastAsia="en-AU"/>
              </w:rPr>
              <w:t> </w:t>
            </w:r>
          </w:p>
        </w:tc>
        <w:tc>
          <w:tcPr>
            <w:tcW w:w="1124" w:type="dxa"/>
            <w:tcBorders>
              <w:top w:val="nil"/>
              <w:left w:val="nil"/>
              <w:bottom w:val="nil"/>
              <w:right w:val="nil"/>
            </w:tcBorders>
            <w:shd w:val="clear" w:color="000000" w:fill="B6D5E4"/>
            <w:vAlign w:val="bottom"/>
            <w:hideMark/>
          </w:tcPr>
          <w:p w14:paraId="4DF90ADA" w14:textId="77777777" w:rsidR="005A1631" w:rsidRPr="001F2730" w:rsidRDefault="005A1631" w:rsidP="005A1631">
            <w:pPr>
              <w:keepNext/>
              <w:keepLines/>
              <w:widowControl w:val="0"/>
              <w:tabs>
                <w:tab w:val="clear" w:pos="567"/>
              </w:tabs>
              <w:spacing w:before="0" w:line="240" w:lineRule="auto"/>
              <w:ind w:right="113"/>
              <w:jc w:val="right"/>
              <w:rPr>
                <w:rFonts w:ascii="Open Sans SemiBold" w:eastAsia="Times New Roman" w:hAnsi="Open Sans SemiBold" w:cs="Open Sans SemiBold"/>
                <w:sz w:val="16"/>
                <w:szCs w:val="16"/>
                <w:lang w:eastAsia="en-AU"/>
              </w:rPr>
            </w:pPr>
            <w:r w:rsidRPr="001F2730">
              <w:rPr>
                <w:rFonts w:ascii="Open Sans SemiBold" w:eastAsia="Times New Roman" w:hAnsi="Open Sans SemiBold" w:cs="Open Sans SemiBold"/>
                <w:sz w:val="16"/>
                <w:szCs w:val="16"/>
                <w:lang w:eastAsia="en-AU"/>
              </w:rPr>
              <w:t>$m</w:t>
            </w:r>
          </w:p>
        </w:tc>
        <w:tc>
          <w:tcPr>
            <w:tcW w:w="1760" w:type="dxa"/>
            <w:tcBorders>
              <w:top w:val="nil"/>
              <w:left w:val="nil"/>
              <w:bottom w:val="nil"/>
              <w:right w:val="nil"/>
            </w:tcBorders>
            <w:shd w:val="clear" w:color="000000" w:fill="B6D5E4"/>
            <w:vAlign w:val="bottom"/>
            <w:hideMark/>
          </w:tcPr>
          <w:p w14:paraId="49234037" w14:textId="77777777" w:rsidR="005A1631" w:rsidRPr="001F2730" w:rsidRDefault="005A1631" w:rsidP="007D1D77">
            <w:pPr>
              <w:keepNext/>
              <w:keepLines/>
              <w:widowControl w:val="0"/>
              <w:tabs>
                <w:tab w:val="clear" w:pos="567"/>
              </w:tabs>
              <w:spacing w:before="0" w:line="240" w:lineRule="auto"/>
              <w:jc w:val="right"/>
              <w:rPr>
                <w:rFonts w:eastAsia="Times New Roman" w:cs="Open Sans Light"/>
                <w:sz w:val="16"/>
                <w:szCs w:val="16"/>
                <w:lang w:eastAsia="en-AU"/>
              </w:rPr>
            </w:pPr>
            <w:r w:rsidRPr="001F2730">
              <w:rPr>
                <w:rFonts w:eastAsia="Times New Roman" w:cs="Open Sans Light"/>
                <w:sz w:val="16"/>
                <w:szCs w:val="16"/>
                <w:lang w:eastAsia="en-AU"/>
              </w:rPr>
              <w:t> </w:t>
            </w:r>
          </w:p>
        </w:tc>
        <w:tc>
          <w:tcPr>
            <w:tcW w:w="3757" w:type="dxa"/>
            <w:tcBorders>
              <w:top w:val="nil"/>
              <w:left w:val="nil"/>
              <w:bottom w:val="nil"/>
              <w:right w:val="nil"/>
            </w:tcBorders>
            <w:shd w:val="clear" w:color="000000" w:fill="B6D5E4"/>
            <w:vAlign w:val="bottom"/>
            <w:hideMark/>
          </w:tcPr>
          <w:p w14:paraId="68635592" w14:textId="77777777" w:rsidR="005A1631" w:rsidRPr="001F2730" w:rsidRDefault="005A1631" w:rsidP="007D1D77">
            <w:pPr>
              <w:keepNext/>
              <w:keepLines/>
              <w:widowControl w:val="0"/>
              <w:tabs>
                <w:tab w:val="clear" w:pos="567"/>
              </w:tabs>
              <w:spacing w:before="0" w:line="240" w:lineRule="auto"/>
              <w:jc w:val="right"/>
              <w:rPr>
                <w:rFonts w:eastAsia="Times New Roman" w:cs="Open Sans Light"/>
                <w:sz w:val="16"/>
                <w:szCs w:val="16"/>
                <w:lang w:eastAsia="en-AU"/>
              </w:rPr>
            </w:pPr>
            <w:r w:rsidRPr="001F2730">
              <w:rPr>
                <w:rFonts w:eastAsia="Times New Roman" w:cs="Open Sans Light"/>
                <w:sz w:val="16"/>
                <w:szCs w:val="16"/>
                <w:lang w:eastAsia="en-AU"/>
              </w:rPr>
              <w:t> </w:t>
            </w:r>
          </w:p>
        </w:tc>
      </w:tr>
      <w:tr w:rsidR="005A1631" w:rsidRPr="001F2730" w14:paraId="5159EC03" w14:textId="77777777" w:rsidTr="005A1631">
        <w:trPr>
          <w:trHeight w:val="1275"/>
        </w:trPr>
        <w:tc>
          <w:tcPr>
            <w:tcW w:w="1839" w:type="dxa"/>
            <w:tcBorders>
              <w:top w:val="single" w:sz="4" w:space="0" w:color="ADD6EA"/>
              <w:left w:val="nil"/>
              <w:bottom w:val="nil"/>
              <w:right w:val="nil"/>
            </w:tcBorders>
            <w:shd w:val="clear" w:color="auto" w:fill="auto"/>
            <w:hideMark/>
          </w:tcPr>
          <w:p w14:paraId="57182209" w14:textId="77777777" w:rsidR="005A1631" w:rsidRPr="001F2730" w:rsidRDefault="005A1631" w:rsidP="007D1D77">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1F2730">
              <w:rPr>
                <w:rFonts w:ascii="Open Sans SemiBold" w:eastAsia="Times New Roman" w:hAnsi="Open Sans SemiBold" w:cs="Open Sans SemiBold"/>
                <w:sz w:val="16"/>
                <w:szCs w:val="16"/>
                <w:lang w:eastAsia="en-AU"/>
              </w:rPr>
              <w:t>Urban transport</w:t>
            </w:r>
          </w:p>
        </w:tc>
        <w:tc>
          <w:tcPr>
            <w:tcW w:w="1124" w:type="dxa"/>
            <w:tcBorders>
              <w:top w:val="single" w:sz="4" w:space="0" w:color="ADD6EA"/>
              <w:left w:val="nil"/>
              <w:bottom w:val="nil"/>
              <w:right w:val="nil"/>
            </w:tcBorders>
            <w:shd w:val="clear" w:color="auto" w:fill="auto"/>
            <w:hideMark/>
          </w:tcPr>
          <w:p w14:paraId="53DE9C9E" w14:textId="77777777" w:rsidR="005A1631" w:rsidRPr="001F2730" w:rsidRDefault="005A1631" w:rsidP="005A1631">
            <w:pPr>
              <w:keepNext/>
              <w:keepLines/>
              <w:widowControl w:val="0"/>
              <w:tabs>
                <w:tab w:val="clear" w:pos="567"/>
              </w:tabs>
              <w:spacing w:before="0" w:line="240" w:lineRule="auto"/>
              <w:ind w:right="113"/>
              <w:jc w:val="right"/>
              <w:rPr>
                <w:rFonts w:eastAsia="Times New Roman" w:cs="Open Sans Light"/>
                <w:sz w:val="16"/>
                <w:szCs w:val="16"/>
                <w:lang w:eastAsia="en-AU"/>
              </w:rPr>
            </w:pPr>
            <w:r w:rsidRPr="001F2730">
              <w:rPr>
                <w:rFonts w:eastAsia="Times New Roman" w:cs="Open Sans Light"/>
                <w:sz w:val="16"/>
                <w:szCs w:val="16"/>
                <w:lang w:eastAsia="en-AU"/>
              </w:rPr>
              <w:t>14,550</w:t>
            </w:r>
          </w:p>
        </w:tc>
        <w:tc>
          <w:tcPr>
            <w:tcW w:w="1760" w:type="dxa"/>
            <w:tcBorders>
              <w:top w:val="single" w:sz="4" w:space="0" w:color="ADD6EA"/>
              <w:left w:val="nil"/>
              <w:bottom w:val="single" w:sz="4" w:space="0" w:color="ADD6EA"/>
              <w:right w:val="nil"/>
            </w:tcBorders>
            <w:shd w:val="clear" w:color="auto" w:fill="auto"/>
            <w:hideMark/>
          </w:tcPr>
          <w:p w14:paraId="7C92A339" w14:textId="77777777" w:rsidR="005A1631" w:rsidRPr="001F2730" w:rsidRDefault="005A1631" w:rsidP="007D1D77">
            <w:pPr>
              <w:keepNext/>
              <w:keepLines/>
              <w:widowControl w:val="0"/>
              <w:tabs>
                <w:tab w:val="clear" w:pos="567"/>
              </w:tabs>
              <w:spacing w:before="0" w:line="240" w:lineRule="auto"/>
              <w:rPr>
                <w:rFonts w:eastAsia="Times New Roman" w:cs="Open Sans Light"/>
                <w:sz w:val="16"/>
                <w:szCs w:val="16"/>
                <w:lang w:eastAsia="en-AU"/>
              </w:rPr>
            </w:pPr>
            <w:r w:rsidRPr="001F2730">
              <w:rPr>
                <w:rFonts w:eastAsia="Times New Roman" w:cs="Open Sans Light"/>
                <w:sz w:val="16"/>
                <w:szCs w:val="16"/>
                <w:lang w:eastAsia="en-AU"/>
              </w:rPr>
              <w:t>Urban centre characteristics (weighted 75%)</w:t>
            </w:r>
          </w:p>
        </w:tc>
        <w:tc>
          <w:tcPr>
            <w:tcW w:w="3757" w:type="dxa"/>
            <w:tcBorders>
              <w:top w:val="single" w:sz="4" w:space="0" w:color="ADD6EA"/>
              <w:left w:val="nil"/>
              <w:bottom w:val="single" w:sz="4" w:space="0" w:color="ADD6EA"/>
              <w:right w:val="nil"/>
            </w:tcBorders>
            <w:shd w:val="clear" w:color="auto" w:fill="auto"/>
            <w:hideMark/>
          </w:tcPr>
          <w:p w14:paraId="208CB71F" w14:textId="77777777" w:rsidR="005A1631" w:rsidRPr="001F2730" w:rsidRDefault="005A1631" w:rsidP="007D1D77">
            <w:pPr>
              <w:keepNext/>
              <w:keepLines/>
              <w:widowControl w:val="0"/>
              <w:tabs>
                <w:tab w:val="clear" w:pos="567"/>
              </w:tabs>
              <w:spacing w:before="0" w:line="240" w:lineRule="auto"/>
              <w:rPr>
                <w:rFonts w:eastAsia="Times New Roman" w:cs="Open Sans Light"/>
                <w:sz w:val="16"/>
                <w:szCs w:val="16"/>
                <w:lang w:eastAsia="en-AU"/>
              </w:rPr>
            </w:pPr>
            <w:r w:rsidRPr="001F2730">
              <w:rPr>
                <w:rFonts w:eastAsia="Times New Roman" w:cs="Open Sans Light"/>
                <w:sz w:val="16"/>
                <w:szCs w:val="16"/>
                <w:lang w:eastAsia="en-AU"/>
              </w:rPr>
              <w:t>Demand for and cost of proving urban transport, and city specific characteristics, using population-weighted density, the use and presence of a public transport mode, distance to work and topography.</w:t>
            </w:r>
          </w:p>
        </w:tc>
      </w:tr>
      <w:tr w:rsidR="005A1631" w:rsidRPr="001F2730" w14:paraId="3B87742E" w14:textId="77777777" w:rsidTr="005A1631">
        <w:trPr>
          <w:trHeight w:val="510"/>
        </w:trPr>
        <w:tc>
          <w:tcPr>
            <w:tcW w:w="1839" w:type="dxa"/>
            <w:tcBorders>
              <w:top w:val="nil"/>
              <w:left w:val="nil"/>
              <w:bottom w:val="nil"/>
              <w:right w:val="nil"/>
            </w:tcBorders>
            <w:shd w:val="clear" w:color="auto" w:fill="auto"/>
            <w:hideMark/>
          </w:tcPr>
          <w:p w14:paraId="01C0216F" w14:textId="77777777" w:rsidR="005A1631" w:rsidRPr="001F2730" w:rsidRDefault="005A1631" w:rsidP="007D1D77">
            <w:pPr>
              <w:keepNext/>
              <w:keepLines/>
              <w:widowControl w:val="0"/>
              <w:tabs>
                <w:tab w:val="clear" w:pos="567"/>
              </w:tabs>
              <w:spacing w:before="0" w:line="240" w:lineRule="auto"/>
              <w:rPr>
                <w:rFonts w:eastAsia="Times New Roman" w:cs="Open Sans Light"/>
                <w:sz w:val="16"/>
                <w:szCs w:val="16"/>
                <w:lang w:eastAsia="en-AU"/>
              </w:rPr>
            </w:pPr>
          </w:p>
        </w:tc>
        <w:tc>
          <w:tcPr>
            <w:tcW w:w="1124" w:type="dxa"/>
            <w:tcBorders>
              <w:top w:val="nil"/>
              <w:left w:val="nil"/>
              <w:bottom w:val="nil"/>
              <w:right w:val="nil"/>
            </w:tcBorders>
            <w:shd w:val="clear" w:color="auto" w:fill="auto"/>
            <w:hideMark/>
          </w:tcPr>
          <w:p w14:paraId="42CF59D8" w14:textId="77777777" w:rsidR="005A1631" w:rsidRPr="001F2730" w:rsidRDefault="005A1631" w:rsidP="005A1631">
            <w:pPr>
              <w:keepNext/>
              <w:keepLines/>
              <w:widowControl w:val="0"/>
              <w:tabs>
                <w:tab w:val="clear" w:pos="567"/>
              </w:tabs>
              <w:spacing w:before="0" w:line="240" w:lineRule="auto"/>
              <w:ind w:right="113"/>
              <w:rPr>
                <w:rFonts w:ascii="Times New Roman" w:eastAsia="Times New Roman" w:hAnsi="Times New Roman" w:cs="Times New Roman"/>
                <w:szCs w:val="20"/>
                <w:lang w:eastAsia="en-AU"/>
              </w:rPr>
            </w:pPr>
          </w:p>
        </w:tc>
        <w:tc>
          <w:tcPr>
            <w:tcW w:w="1760" w:type="dxa"/>
            <w:tcBorders>
              <w:top w:val="nil"/>
              <w:left w:val="nil"/>
              <w:bottom w:val="single" w:sz="4" w:space="0" w:color="ADD6EA"/>
              <w:right w:val="nil"/>
            </w:tcBorders>
            <w:shd w:val="clear" w:color="auto" w:fill="auto"/>
            <w:hideMark/>
          </w:tcPr>
          <w:p w14:paraId="208BE18F" w14:textId="77777777" w:rsidR="005A1631" w:rsidRPr="001F2730" w:rsidRDefault="005A1631" w:rsidP="007D1D77">
            <w:pPr>
              <w:keepNext/>
              <w:keepLines/>
              <w:widowControl w:val="0"/>
              <w:tabs>
                <w:tab w:val="clear" w:pos="567"/>
              </w:tabs>
              <w:spacing w:before="0" w:line="240" w:lineRule="auto"/>
              <w:rPr>
                <w:rFonts w:eastAsia="Times New Roman" w:cs="Open Sans Light"/>
                <w:sz w:val="16"/>
                <w:szCs w:val="16"/>
                <w:lang w:eastAsia="en-AU"/>
              </w:rPr>
            </w:pPr>
            <w:r w:rsidRPr="001F2730">
              <w:rPr>
                <w:rFonts w:eastAsia="Times New Roman" w:cs="Open Sans Light"/>
                <w:sz w:val="16"/>
                <w:szCs w:val="16"/>
                <w:lang w:eastAsia="en-AU"/>
              </w:rPr>
              <w:t>Urban population (weighted 25%)</w:t>
            </w:r>
          </w:p>
        </w:tc>
        <w:tc>
          <w:tcPr>
            <w:tcW w:w="3757" w:type="dxa"/>
            <w:tcBorders>
              <w:top w:val="nil"/>
              <w:left w:val="nil"/>
              <w:bottom w:val="single" w:sz="4" w:space="0" w:color="ADD6EA"/>
              <w:right w:val="nil"/>
            </w:tcBorders>
            <w:shd w:val="clear" w:color="auto" w:fill="auto"/>
            <w:hideMark/>
          </w:tcPr>
          <w:p w14:paraId="3158ECF6" w14:textId="77777777" w:rsidR="005A1631" w:rsidRPr="001F2730" w:rsidRDefault="005A1631" w:rsidP="007D1D77">
            <w:pPr>
              <w:keepNext/>
              <w:keepLines/>
              <w:widowControl w:val="0"/>
              <w:tabs>
                <w:tab w:val="clear" w:pos="567"/>
              </w:tabs>
              <w:spacing w:before="0" w:line="240" w:lineRule="auto"/>
              <w:rPr>
                <w:rFonts w:eastAsia="Times New Roman" w:cs="Open Sans Light"/>
                <w:sz w:val="16"/>
                <w:szCs w:val="16"/>
                <w:lang w:eastAsia="en-AU"/>
              </w:rPr>
            </w:pPr>
            <w:r w:rsidRPr="001F2730">
              <w:rPr>
                <w:rFonts w:eastAsia="Times New Roman" w:cs="Open Sans Light"/>
                <w:sz w:val="16"/>
                <w:szCs w:val="16"/>
                <w:lang w:eastAsia="en-AU"/>
              </w:rPr>
              <w:t>The proportion of the State population living in urban centres.</w:t>
            </w:r>
          </w:p>
        </w:tc>
      </w:tr>
      <w:tr w:rsidR="005A1631" w:rsidRPr="001F2730" w14:paraId="603F1A6D" w14:textId="77777777" w:rsidTr="005A1631">
        <w:trPr>
          <w:trHeight w:val="510"/>
        </w:trPr>
        <w:tc>
          <w:tcPr>
            <w:tcW w:w="1839" w:type="dxa"/>
            <w:tcBorders>
              <w:top w:val="nil"/>
              <w:left w:val="nil"/>
              <w:bottom w:val="nil"/>
              <w:right w:val="nil"/>
            </w:tcBorders>
            <w:shd w:val="clear" w:color="auto" w:fill="auto"/>
            <w:hideMark/>
          </w:tcPr>
          <w:p w14:paraId="5680E83E" w14:textId="77777777" w:rsidR="005A1631" w:rsidRPr="001F2730" w:rsidRDefault="005A1631" w:rsidP="007D1D77">
            <w:pPr>
              <w:keepNext/>
              <w:keepLines/>
              <w:widowControl w:val="0"/>
              <w:tabs>
                <w:tab w:val="clear" w:pos="567"/>
              </w:tabs>
              <w:spacing w:before="0" w:line="240" w:lineRule="auto"/>
              <w:rPr>
                <w:rFonts w:eastAsia="Times New Roman" w:cs="Open Sans Light"/>
                <w:sz w:val="16"/>
                <w:szCs w:val="16"/>
                <w:lang w:eastAsia="en-AU"/>
              </w:rPr>
            </w:pPr>
          </w:p>
        </w:tc>
        <w:tc>
          <w:tcPr>
            <w:tcW w:w="1124" w:type="dxa"/>
            <w:tcBorders>
              <w:top w:val="nil"/>
              <w:left w:val="nil"/>
              <w:bottom w:val="nil"/>
              <w:right w:val="nil"/>
            </w:tcBorders>
            <w:shd w:val="clear" w:color="auto" w:fill="auto"/>
            <w:hideMark/>
          </w:tcPr>
          <w:p w14:paraId="2A5A8311" w14:textId="77777777" w:rsidR="005A1631" w:rsidRPr="001F2730" w:rsidRDefault="005A1631" w:rsidP="005A1631">
            <w:pPr>
              <w:keepNext/>
              <w:keepLines/>
              <w:widowControl w:val="0"/>
              <w:tabs>
                <w:tab w:val="clear" w:pos="567"/>
              </w:tabs>
              <w:spacing w:before="0" w:line="240" w:lineRule="auto"/>
              <w:ind w:right="113"/>
              <w:rPr>
                <w:rFonts w:ascii="Times New Roman" w:eastAsia="Times New Roman" w:hAnsi="Times New Roman" w:cs="Times New Roman"/>
                <w:szCs w:val="20"/>
                <w:lang w:eastAsia="en-AU"/>
              </w:rPr>
            </w:pPr>
          </w:p>
        </w:tc>
        <w:tc>
          <w:tcPr>
            <w:tcW w:w="1760" w:type="dxa"/>
            <w:tcBorders>
              <w:top w:val="nil"/>
              <w:left w:val="nil"/>
              <w:bottom w:val="nil"/>
              <w:right w:val="nil"/>
            </w:tcBorders>
            <w:shd w:val="clear" w:color="auto" w:fill="auto"/>
            <w:hideMark/>
          </w:tcPr>
          <w:p w14:paraId="088E9FC5" w14:textId="77777777" w:rsidR="005A1631" w:rsidRPr="001F2730" w:rsidRDefault="005A1631" w:rsidP="007D1D77">
            <w:pPr>
              <w:keepNext/>
              <w:keepLines/>
              <w:widowControl w:val="0"/>
              <w:tabs>
                <w:tab w:val="clear" w:pos="567"/>
              </w:tabs>
              <w:spacing w:before="0" w:line="240" w:lineRule="auto"/>
              <w:rPr>
                <w:rFonts w:eastAsia="Times New Roman" w:cs="Open Sans Light"/>
                <w:sz w:val="16"/>
                <w:szCs w:val="16"/>
                <w:lang w:eastAsia="en-AU"/>
              </w:rPr>
            </w:pPr>
            <w:r w:rsidRPr="001F2730">
              <w:rPr>
                <w:rFonts w:eastAsia="Times New Roman" w:cs="Open Sans Light"/>
                <w:sz w:val="16"/>
                <w:szCs w:val="16"/>
                <w:lang w:eastAsia="en-AU"/>
              </w:rPr>
              <w:t>Wage costs</w:t>
            </w:r>
          </w:p>
        </w:tc>
        <w:tc>
          <w:tcPr>
            <w:tcW w:w="3757" w:type="dxa"/>
            <w:tcBorders>
              <w:top w:val="nil"/>
              <w:left w:val="nil"/>
              <w:bottom w:val="nil"/>
              <w:right w:val="nil"/>
            </w:tcBorders>
            <w:shd w:val="clear" w:color="auto" w:fill="auto"/>
            <w:hideMark/>
          </w:tcPr>
          <w:p w14:paraId="6293EEDA" w14:textId="77777777" w:rsidR="005A1631" w:rsidRPr="001F2730" w:rsidRDefault="005A1631" w:rsidP="007D1D77">
            <w:pPr>
              <w:keepNext/>
              <w:keepLines/>
              <w:widowControl w:val="0"/>
              <w:tabs>
                <w:tab w:val="clear" w:pos="567"/>
              </w:tabs>
              <w:spacing w:before="0" w:line="240" w:lineRule="auto"/>
              <w:rPr>
                <w:rFonts w:eastAsia="Times New Roman" w:cs="Open Sans Light"/>
                <w:sz w:val="16"/>
                <w:szCs w:val="16"/>
                <w:lang w:eastAsia="en-AU"/>
              </w:rPr>
            </w:pPr>
            <w:r w:rsidRPr="001F2730">
              <w:rPr>
                <w:rFonts w:eastAsia="Times New Roman" w:cs="Open Sans Light"/>
                <w:sz w:val="16"/>
                <w:szCs w:val="16"/>
                <w:lang w:eastAsia="en-AU"/>
              </w:rPr>
              <w:t>Recognises the differences in wage costs between States.</w:t>
            </w:r>
          </w:p>
        </w:tc>
      </w:tr>
      <w:tr w:rsidR="005A1631" w:rsidRPr="001F2730" w14:paraId="48945CD7" w14:textId="77777777" w:rsidTr="005A1631">
        <w:trPr>
          <w:trHeight w:val="255"/>
        </w:trPr>
        <w:tc>
          <w:tcPr>
            <w:tcW w:w="1839" w:type="dxa"/>
            <w:tcBorders>
              <w:top w:val="single" w:sz="4" w:space="0" w:color="ADD6EA"/>
              <w:left w:val="nil"/>
              <w:bottom w:val="nil"/>
              <w:right w:val="nil"/>
            </w:tcBorders>
            <w:shd w:val="clear" w:color="auto" w:fill="auto"/>
            <w:hideMark/>
          </w:tcPr>
          <w:p w14:paraId="6FE5C3C0" w14:textId="77777777" w:rsidR="005A1631" w:rsidRPr="001F2730" w:rsidRDefault="005A1631" w:rsidP="007D1D77">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1F2730">
              <w:rPr>
                <w:rFonts w:ascii="Open Sans SemiBold" w:eastAsia="Times New Roman" w:hAnsi="Open Sans SemiBold" w:cs="Open Sans SemiBold"/>
                <w:sz w:val="16"/>
                <w:szCs w:val="16"/>
                <w:lang w:eastAsia="en-AU"/>
              </w:rPr>
              <w:t>Non-urban transport</w:t>
            </w:r>
          </w:p>
        </w:tc>
        <w:tc>
          <w:tcPr>
            <w:tcW w:w="1124" w:type="dxa"/>
            <w:tcBorders>
              <w:top w:val="single" w:sz="4" w:space="0" w:color="ADD6EA"/>
              <w:left w:val="nil"/>
              <w:bottom w:val="nil"/>
              <w:right w:val="nil"/>
            </w:tcBorders>
            <w:shd w:val="clear" w:color="auto" w:fill="auto"/>
            <w:hideMark/>
          </w:tcPr>
          <w:p w14:paraId="5C939C20" w14:textId="77777777" w:rsidR="005A1631" w:rsidRPr="001F2730" w:rsidRDefault="005A1631" w:rsidP="005A1631">
            <w:pPr>
              <w:keepNext/>
              <w:keepLines/>
              <w:widowControl w:val="0"/>
              <w:tabs>
                <w:tab w:val="clear" w:pos="567"/>
              </w:tabs>
              <w:spacing w:before="0" w:line="240" w:lineRule="auto"/>
              <w:ind w:right="113"/>
              <w:jc w:val="right"/>
              <w:rPr>
                <w:rFonts w:eastAsia="Times New Roman" w:cs="Open Sans Light"/>
                <w:sz w:val="16"/>
                <w:szCs w:val="16"/>
                <w:lang w:eastAsia="en-AU"/>
              </w:rPr>
            </w:pPr>
            <w:r w:rsidRPr="001F2730">
              <w:rPr>
                <w:rFonts w:eastAsia="Times New Roman" w:cs="Open Sans Light"/>
                <w:sz w:val="16"/>
                <w:szCs w:val="16"/>
                <w:lang w:eastAsia="en-AU"/>
              </w:rPr>
              <w:t>789</w:t>
            </w:r>
          </w:p>
        </w:tc>
        <w:tc>
          <w:tcPr>
            <w:tcW w:w="1760" w:type="dxa"/>
            <w:tcBorders>
              <w:top w:val="single" w:sz="4" w:space="0" w:color="ADD6EA"/>
              <w:left w:val="nil"/>
              <w:bottom w:val="single" w:sz="4" w:space="0" w:color="ADD6EA"/>
              <w:right w:val="nil"/>
            </w:tcBorders>
            <w:shd w:val="clear" w:color="auto" w:fill="auto"/>
            <w:hideMark/>
          </w:tcPr>
          <w:p w14:paraId="21A05FA8" w14:textId="77777777" w:rsidR="005A1631" w:rsidRPr="001F2730" w:rsidRDefault="005A1631" w:rsidP="007D1D77">
            <w:pPr>
              <w:keepNext/>
              <w:keepLines/>
              <w:widowControl w:val="0"/>
              <w:tabs>
                <w:tab w:val="clear" w:pos="567"/>
              </w:tabs>
              <w:spacing w:before="0" w:line="240" w:lineRule="auto"/>
              <w:rPr>
                <w:rFonts w:eastAsia="Times New Roman" w:cs="Open Sans Light"/>
                <w:sz w:val="16"/>
                <w:szCs w:val="16"/>
                <w:lang w:eastAsia="en-AU"/>
              </w:rPr>
            </w:pPr>
            <w:r w:rsidRPr="001F2730">
              <w:rPr>
                <w:rFonts w:eastAsia="Times New Roman" w:cs="Open Sans Light"/>
                <w:sz w:val="16"/>
                <w:szCs w:val="16"/>
                <w:lang w:eastAsia="en-AU"/>
              </w:rPr>
              <w:t>Equal per capita</w:t>
            </w:r>
          </w:p>
        </w:tc>
        <w:tc>
          <w:tcPr>
            <w:tcW w:w="3757" w:type="dxa"/>
            <w:tcBorders>
              <w:top w:val="single" w:sz="4" w:space="0" w:color="ADD6EA"/>
              <w:left w:val="nil"/>
              <w:bottom w:val="single" w:sz="4" w:space="0" w:color="ADD6EA"/>
              <w:right w:val="nil"/>
            </w:tcBorders>
            <w:shd w:val="clear" w:color="auto" w:fill="auto"/>
            <w:hideMark/>
          </w:tcPr>
          <w:p w14:paraId="20827A23" w14:textId="77777777" w:rsidR="005A1631" w:rsidRPr="001F2730" w:rsidRDefault="005A1631" w:rsidP="007D1D77">
            <w:pPr>
              <w:keepNext/>
              <w:keepLines/>
              <w:widowControl w:val="0"/>
              <w:tabs>
                <w:tab w:val="clear" w:pos="567"/>
              </w:tabs>
              <w:spacing w:before="0" w:line="240" w:lineRule="auto"/>
              <w:rPr>
                <w:rFonts w:eastAsia="Times New Roman" w:cs="Open Sans Light"/>
                <w:sz w:val="16"/>
                <w:szCs w:val="16"/>
                <w:lang w:eastAsia="en-AU"/>
              </w:rPr>
            </w:pPr>
            <w:r w:rsidRPr="001F2730">
              <w:rPr>
                <w:rFonts w:eastAsia="Times New Roman" w:cs="Open Sans Light"/>
                <w:sz w:val="16"/>
                <w:szCs w:val="16"/>
                <w:lang w:eastAsia="en-AU"/>
              </w:rPr>
              <w:t>This is an equal per capita assessment.</w:t>
            </w:r>
          </w:p>
        </w:tc>
      </w:tr>
      <w:tr w:rsidR="005A1631" w:rsidRPr="001F2730" w14:paraId="676E1440" w14:textId="77777777" w:rsidTr="005A1631">
        <w:trPr>
          <w:trHeight w:val="765"/>
        </w:trPr>
        <w:tc>
          <w:tcPr>
            <w:tcW w:w="1839" w:type="dxa"/>
            <w:tcBorders>
              <w:top w:val="nil"/>
              <w:left w:val="nil"/>
              <w:bottom w:val="single" w:sz="4" w:space="0" w:color="ADD6EA"/>
              <w:right w:val="nil"/>
            </w:tcBorders>
            <w:shd w:val="clear" w:color="auto" w:fill="auto"/>
            <w:hideMark/>
          </w:tcPr>
          <w:p w14:paraId="7EBA92EC" w14:textId="77777777" w:rsidR="005A1631" w:rsidRPr="001F2730" w:rsidRDefault="005A1631" w:rsidP="007D1D77">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1F2730">
              <w:rPr>
                <w:rFonts w:ascii="Open Sans SemiBold" w:eastAsia="Times New Roman" w:hAnsi="Open Sans SemiBold" w:cs="Open Sans SemiBold"/>
                <w:color w:val="FFFFFF"/>
                <w:sz w:val="16"/>
                <w:szCs w:val="16"/>
                <w:lang w:eastAsia="en-AU"/>
              </w:rPr>
              <w:t> </w:t>
            </w:r>
          </w:p>
        </w:tc>
        <w:tc>
          <w:tcPr>
            <w:tcW w:w="1124" w:type="dxa"/>
            <w:tcBorders>
              <w:top w:val="nil"/>
              <w:left w:val="nil"/>
              <w:bottom w:val="single" w:sz="4" w:space="0" w:color="ADD6EA"/>
              <w:right w:val="nil"/>
            </w:tcBorders>
            <w:shd w:val="clear" w:color="auto" w:fill="auto"/>
            <w:hideMark/>
          </w:tcPr>
          <w:p w14:paraId="56A35A60" w14:textId="77777777" w:rsidR="005A1631" w:rsidRPr="001F2730" w:rsidRDefault="005A1631" w:rsidP="005A1631">
            <w:pPr>
              <w:keepNext/>
              <w:keepLines/>
              <w:widowControl w:val="0"/>
              <w:tabs>
                <w:tab w:val="clear" w:pos="567"/>
              </w:tabs>
              <w:spacing w:before="0" w:line="240" w:lineRule="auto"/>
              <w:ind w:right="113"/>
              <w:jc w:val="right"/>
              <w:rPr>
                <w:rFonts w:eastAsia="Times New Roman" w:cs="Open Sans Light"/>
                <w:color w:val="FFFFFF"/>
                <w:sz w:val="16"/>
                <w:szCs w:val="16"/>
                <w:lang w:eastAsia="en-AU"/>
              </w:rPr>
            </w:pPr>
            <w:r w:rsidRPr="001F2730">
              <w:rPr>
                <w:rFonts w:eastAsia="Times New Roman" w:cs="Open Sans Light"/>
                <w:color w:val="FFFFFF"/>
                <w:sz w:val="16"/>
                <w:szCs w:val="16"/>
                <w:lang w:eastAsia="en-AU"/>
              </w:rPr>
              <w:t> </w:t>
            </w:r>
          </w:p>
        </w:tc>
        <w:tc>
          <w:tcPr>
            <w:tcW w:w="1760" w:type="dxa"/>
            <w:tcBorders>
              <w:top w:val="nil"/>
              <w:left w:val="nil"/>
              <w:bottom w:val="single" w:sz="4" w:space="0" w:color="ADD6EA"/>
              <w:right w:val="nil"/>
            </w:tcBorders>
            <w:shd w:val="clear" w:color="auto" w:fill="auto"/>
            <w:hideMark/>
          </w:tcPr>
          <w:p w14:paraId="442A39D8" w14:textId="77777777" w:rsidR="005A1631" w:rsidRPr="001F2730" w:rsidRDefault="005A1631" w:rsidP="007D1D77">
            <w:pPr>
              <w:keepNext/>
              <w:keepLines/>
              <w:widowControl w:val="0"/>
              <w:tabs>
                <w:tab w:val="clear" w:pos="567"/>
              </w:tabs>
              <w:spacing w:before="0" w:line="240" w:lineRule="auto"/>
              <w:rPr>
                <w:rFonts w:eastAsia="Times New Roman" w:cs="Open Sans Light"/>
                <w:sz w:val="16"/>
                <w:szCs w:val="16"/>
                <w:lang w:eastAsia="en-AU"/>
              </w:rPr>
            </w:pPr>
            <w:r w:rsidRPr="001F2730">
              <w:rPr>
                <w:rFonts w:eastAsia="Times New Roman" w:cs="Open Sans Light"/>
                <w:sz w:val="16"/>
                <w:szCs w:val="16"/>
                <w:lang w:eastAsia="en-AU"/>
              </w:rPr>
              <w:t>Wage and regional costs</w:t>
            </w:r>
          </w:p>
        </w:tc>
        <w:tc>
          <w:tcPr>
            <w:tcW w:w="3757" w:type="dxa"/>
            <w:tcBorders>
              <w:top w:val="nil"/>
              <w:left w:val="nil"/>
              <w:bottom w:val="single" w:sz="4" w:space="0" w:color="ADD6EA"/>
              <w:right w:val="nil"/>
            </w:tcBorders>
            <w:shd w:val="clear" w:color="auto" w:fill="auto"/>
            <w:hideMark/>
          </w:tcPr>
          <w:p w14:paraId="22F9E25F" w14:textId="77777777" w:rsidR="005A1631" w:rsidRPr="001F2730" w:rsidRDefault="005A1631" w:rsidP="007D1D77">
            <w:pPr>
              <w:keepNext/>
              <w:keepLines/>
              <w:widowControl w:val="0"/>
              <w:tabs>
                <w:tab w:val="clear" w:pos="567"/>
              </w:tabs>
              <w:spacing w:before="0" w:line="240" w:lineRule="auto"/>
              <w:rPr>
                <w:rFonts w:eastAsia="Times New Roman" w:cs="Open Sans Light"/>
                <w:sz w:val="16"/>
                <w:szCs w:val="16"/>
                <w:lang w:eastAsia="en-AU"/>
              </w:rPr>
            </w:pPr>
            <w:r w:rsidRPr="001F2730">
              <w:rPr>
                <w:rFonts w:eastAsia="Times New Roman" w:cs="Open Sans Light"/>
                <w:sz w:val="16"/>
                <w:szCs w:val="16"/>
                <w:lang w:eastAsia="en-AU"/>
              </w:rPr>
              <w:t>Recognises the differences in wage costs between States and in the cost of providing services to different areas within a State.</w:t>
            </w:r>
          </w:p>
        </w:tc>
      </w:tr>
    </w:tbl>
    <w:p w14:paraId="050BCEDE" w14:textId="77777777" w:rsidR="007E365E" w:rsidRPr="00E23377" w:rsidRDefault="007E365E" w:rsidP="007E365E">
      <w:pPr>
        <w:pStyle w:val="CGCTablenote"/>
        <w:keepNext/>
        <w:keepLines/>
        <w:widowControl w:val="0"/>
      </w:pPr>
      <w:r w:rsidRPr="00976585">
        <w:t>Note:</w:t>
      </w:r>
      <w:r>
        <w:tab/>
      </w:r>
      <w:r w:rsidRPr="00E23377">
        <w:t xml:space="preserve">This table only includes </w:t>
      </w:r>
      <w:r>
        <w:t xml:space="preserve">transport </w:t>
      </w:r>
      <w:r w:rsidRPr="00E23377">
        <w:t xml:space="preserve">expenses. It does not include </w:t>
      </w:r>
      <w:r>
        <w:t>Transport</w:t>
      </w:r>
      <w:r w:rsidRPr="00E23377">
        <w:t xml:space="preserve"> investment.</w:t>
      </w:r>
    </w:p>
    <w:p w14:paraId="310BD88A" w14:textId="77777777" w:rsidR="007E365E" w:rsidRPr="00976585" w:rsidRDefault="007E365E" w:rsidP="007E365E">
      <w:pPr>
        <w:pStyle w:val="CGCTablenote"/>
        <w:keepNext/>
        <w:keepLines/>
        <w:widowControl w:val="0"/>
      </w:pPr>
      <w:r w:rsidRPr="00976585">
        <w:t>Source:</w:t>
      </w:r>
      <w:r w:rsidRPr="00976585">
        <w:tab/>
        <w:t>Commission calculation using ABS GFS and State budget data.</w:t>
      </w:r>
    </w:p>
    <w:p w14:paraId="2E7F0152" w14:textId="77777777" w:rsidR="007E365E" w:rsidRPr="00976585" w:rsidRDefault="007E365E" w:rsidP="007E365E">
      <w:pPr>
        <w:pStyle w:val="Heading4"/>
      </w:pPr>
      <w:bookmarkStart w:id="243" w:name="_Toc6470667"/>
      <w:r w:rsidRPr="00976585">
        <w:t>Category and component expenses</w:t>
      </w:r>
      <w:bookmarkEnd w:id="243"/>
    </w:p>
    <w:p w14:paraId="596282CD" w14:textId="77777777" w:rsidR="007E365E" w:rsidRPr="00976585" w:rsidRDefault="007E365E" w:rsidP="007E365E">
      <w:pPr>
        <w:pStyle w:val="CGCParaNumber"/>
      </w:pPr>
      <w:r w:rsidRPr="00976585">
        <w:t xml:space="preserve">The main data sources for calculating category and component expenses are </w:t>
      </w:r>
      <w:r w:rsidRPr="00B9370A">
        <w:t xml:space="preserve">Australian Bureau of Statistics </w:t>
      </w:r>
      <w:r>
        <w:t>(</w:t>
      </w:r>
      <w:r w:rsidRPr="00976585">
        <w:t>ABS</w:t>
      </w:r>
      <w:r>
        <w:t>)</w:t>
      </w:r>
      <w:r w:rsidRPr="00976585">
        <w:t xml:space="preserve"> Government Finance Statistics </w:t>
      </w:r>
      <w:r>
        <w:t>(</w:t>
      </w:r>
      <w:r w:rsidRPr="00976585">
        <w:t>GFS</w:t>
      </w:r>
      <w:r>
        <w:t>)</w:t>
      </w:r>
      <w:r w:rsidRPr="00976585">
        <w:t xml:space="preserve"> and State budget data.</w:t>
      </w:r>
      <w:r w:rsidRPr="00976585">
        <w:rPr>
          <w:rStyle w:val="FootnoteReference"/>
        </w:rPr>
        <w:footnoteReference w:id="47"/>
      </w:r>
      <w:r w:rsidRPr="00976585">
        <w:t xml:space="preserve"> The Commission produces consolidated tables of general government sector and PNFC spending and investment </w:t>
      </w:r>
      <w:r>
        <w:t>in</w:t>
      </w:r>
      <w:r w:rsidRPr="00976585">
        <w:t xml:space="preserve"> urban passenger transport.</w:t>
      </w:r>
    </w:p>
    <w:p w14:paraId="3340CE69" w14:textId="77777777" w:rsidR="007E365E" w:rsidRPr="00976585" w:rsidRDefault="007E365E" w:rsidP="007E365E">
      <w:pPr>
        <w:pStyle w:val="CGCParaNumber"/>
      </w:pPr>
      <w:r w:rsidRPr="00976585">
        <w:t>In this review, the Commission decided to include student transport expenses in the urban transport component, instead of the Schools category. This is because student transport expenses are difficult to identify</w:t>
      </w:r>
      <w:r>
        <w:t xml:space="preserve"> and distinguish</w:t>
      </w:r>
      <w:r w:rsidRPr="00976585">
        <w:t xml:space="preserve"> general passenger transport expenses. In addition, the Commission has no reliable information to split student transport expenses between urban and non-urban areas. Given that 85% of the Australian population lives in urban areas (using the urban transport definition of urban area), it is reasonable to assume that the vast majority of these expenses would be in urban areas. Consequently, all urban passenger and student transport expenses are allocated to the urban transport component.</w:t>
      </w:r>
    </w:p>
    <w:p w14:paraId="583B671D" w14:textId="2DD29E06" w:rsidR="007E365E" w:rsidRPr="00976585" w:rsidRDefault="007E365E" w:rsidP="007E365E">
      <w:pPr>
        <w:pStyle w:val="Heading3"/>
      </w:pPr>
      <w:bookmarkStart w:id="244" w:name="_Toc6470668"/>
      <w:r w:rsidRPr="00976585">
        <w:t>Assessment approach</w:t>
      </w:r>
      <w:bookmarkEnd w:id="244"/>
    </w:p>
    <w:p w14:paraId="79EF9C9F" w14:textId="77777777" w:rsidR="007E365E" w:rsidRPr="00976585" w:rsidRDefault="007E365E" w:rsidP="007E365E">
      <w:pPr>
        <w:pStyle w:val="Heading4"/>
      </w:pPr>
      <w:bookmarkStart w:id="245" w:name="_Toc6470669"/>
      <w:r w:rsidRPr="00976585">
        <w:t>Urban transport</w:t>
      </w:r>
      <w:bookmarkEnd w:id="245"/>
    </w:p>
    <w:p w14:paraId="78587ED6" w14:textId="77777777" w:rsidR="007E365E" w:rsidRPr="00976585" w:rsidRDefault="007E365E" w:rsidP="007E365E">
      <w:pPr>
        <w:pStyle w:val="CGCParaNumber"/>
      </w:pPr>
      <w:r w:rsidRPr="00976585">
        <w:t>Expenses for this component include consolidated operating expenses (including depreciation expenses) for the general government and PNFC sectors on passenger transport within urban centres, net of revenues.</w:t>
      </w:r>
    </w:p>
    <w:p w14:paraId="7606DA57" w14:textId="77777777" w:rsidR="007E365E" w:rsidRPr="00976585" w:rsidRDefault="007E365E" w:rsidP="007E365E">
      <w:pPr>
        <w:pStyle w:val="CGCParaNumber"/>
      </w:pPr>
      <w:r w:rsidRPr="00976585">
        <w:t>The urban transport component is assessed using a blended approach that recognises:</w:t>
      </w:r>
    </w:p>
    <w:p w14:paraId="7FF32C85" w14:textId="77777777" w:rsidR="007E365E" w:rsidRPr="00976585" w:rsidRDefault="007E365E" w:rsidP="007E365E">
      <w:pPr>
        <w:pStyle w:val="CGCBullet1"/>
      </w:pPr>
      <w:r w:rsidRPr="00976585">
        <w:t>the proportion of State populations living in urban centres, with a weight of 25%</w:t>
      </w:r>
    </w:p>
    <w:p w14:paraId="2EFFE054" w14:textId="77777777" w:rsidR="007E365E" w:rsidRPr="00976585" w:rsidRDefault="007E365E" w:rsidP="007E365E">
      <w:pPr>
        <w:pStyle w:val="CGCBullet1"/>
      </w:pPr>
      <w:r w:rsidRPr="00976585">
        <w:lastRenderedPageBreak/>
        <w:t>the effect of urban centre characteristics on the cost of providing urban transport as measured by an econometric model developed by consultants engaged by the Commission in this review, with a weight of 75%.</w:t>
      </w:r>
    </w:p>
    <w:p w14:paraId="294DD3A7" w14:textId="77777777" w:rsidR="007E365E" w:rsidRPr="00976585" w:rsidRDefault="007E365E" w:rsidP="007E365E">
      <w:pPr>
        <w:pStyle w:val="CGCParaNumber"/>
      </w:pPr>
      <w:r w:rsidRPr="00976585">
        <w:t>The Commission’s decision to blend the urban transport assessment is based on two main data-related issues:</w:t>
      </w:r>
    </w:p>
    <w:p w14:paraId="29BD7F0B" w14:textId="77777777" w:rsidR="007E365E" w:rsidRPr="00976585" w:rsidRDefault="007E365E" w:rsidP="007E365E">
      <w:pPr>
        <w:pStyle w:val="CGCBullet1"/>
      </w:pPr>
      <w:r w:rsidRPr="00976585">
        <w:t>concerns about the reliability of net urban transport expense data provided by the States, which informed the regression model as the dependent variable</w:t>
      </w:r>
    </w:p>
    <w:p w14:paraId="65BF8683" w14:textId="77777777" w:rsidR="007E365E" w:rsidRPr="00976585" w:rsidRDefault="007E365E" w:rsidP="007E365E">
      <w:pPr>
        <w:pStyle w:val="CGCBullet1"/>
      </w:pPr>
      <w:r w:rsidRPr="00976585">
        <w:t>for policy neutrality and data availability reasons, several proxy variables are used in the model to capture supply and demand.</w:t>
      </w:r>
    </w:p>
    <w:p w14:paraId="7F982E4C" w14:textId="77777777" w:rsidR="007E365E" w:rsidRPr="00976585" w:rsidRDefault="007E365E" w:rsidP="007E365E">
      <w:pPr>
        <w:pStyle w:val="CGCParaNumber"/>
      </w:pPr>
      <w:r w:rsidRPr="00976585">
        <w:t>With the exception of New South Wales, all jurisdictions agreed that the econometric model in the urban transport assessments should not apply in full. New South Wales argued that the Commission is discounting the validity of an empirically strong methodology for unfounded reasons. It contended that the lack of bias demonstrated by the consultants in the process of evaluating the proposed model should be evidence enough that the proxy variables used in the model are fit for purpose.</w:t>
      </w:r>
    </w:p>
    <w:p w14:paraId="0C350A3B" w14:textId="77777777" w:rsidR="007E365E" w:rsidRPr="00976585" w:rsidRDefault="007E365E" w:rsidP="007E365E">
      <w:pPr>
        <w:pStyle w:val="CGCParaNumber"/>
      </w:pPr>
      <w:r w:rsidRPr="00976585">
        <w:t xml:space="preserve">In an analysis of actual and undiscounted assessed expenses, New South Wales noted that assessed expenditure for jurisdictions with the largest urban centres is already underestimated. In this case, it agreed that the gap between actual and assessed expenses is likely to be the result of differences in jurisdictional policy. Blending the assessment with an urban population model increases this gap even further for New South Wales and Victoria. New South Wales argued that such an outcome cannot be attributed to policy differences between jurisdictions. New South Wales provided extensive evidence in support of its arguments. </w:t>
      </w:r>
    </w:p>
    <w:p w14:paraId="69D62D35" w14:textId="77777777" w:rsidR="007E365E" w:rsidRPr="00976585" w:rsidRDefault="007E365E" w:rsidP="007E365E">
      <w:pPr>
        <w:pStyle w:val="CGCParaNumber"/>
      </w:pPr>
      <w:r w:rsidRPr="00976585">
        <w:t>The Commission notes New South Wales’ concerns. However, the issue is the reliability of data used to estimate assessed expenses from the model for the reasons stated above.</w:t>
      </w:r>
    </w:p>
    <w:p w14:paraId="589137CC" w14:textId="77777777" w:rsidR="007E365E" w:rsidRPr="00976585" w:rsidRDefault="007E365E" w:rsidP="007E365E">
      <w:pPr>
        <w:pStyle w:val="CGCParaNumber"/>
      </w:pPr>
      <w:r w:rsidRPr="00976585">
        <w:t xml:space="preserve">Victoria argued that blending the urban transport assessment benefits New South Wales more than any other State, but this assertion is incorrect. Blending the recurrent assessment by 25% reduces New South Wales’ GST share by 24%, compared with a reduction of </w:t>
      </w:r>
      <w:r>
        <w:t>17</w:t>
      </w:r>
      <w:r w:rsidRPr="00976585">
        <w:t xml:space="preserve">% for Victoria. In the case of the investment assessment, blending by 25% </w:t>
      </w:r>
      <w:r w:rsidRPr="00644065">
        <w:t>reduces</w:t>
      </w:r>
      <w:r w:rsidRPr="00976585">
        <w:t xml:space="preserve"> New</w:t>
      </w:r>
      <w:r>
        <w:t> </w:t>
      </w:r>
      <w:r w:rsidRPr="00976585">
        <w:t>South</w:t>
      </w:r>
      <w:r>
        <w:t> </w:t>
      </w:r>
      <w:r w:rsidRPr="00976585">
        <w:t xml:space="preserve">Wales’ GST share </w:t>
      </w:r>
      <w:r w:rsidRPr="00644065">
        <w:t>by 8%</w:t>
      </w:r>
      <w:r w:rsidRPr="00976585">
        <w:t xml:space="preserve"> while Victoria’s GST share increases by </w:t>
      </w:r>
      <w:r w:rsidRPr="00644065">
        <w:t>18</w:t>
      </w:r>
      <w:r w:rsidRPr="00976585">
        <w:t>%.</w:t>
      </w:r>
    </w:p>
    <w:p w14:paraId="56167C60" w14:textId="77777777" w:rsidR="007E365E" w:rsidRPr="00976585" w:rsidRDefault="007E365E" w:rsidP="007E365E">
      <w:pPr>
        <w:pStyle w:val="CGCParaNumber"/>
      </w:pPr>
      <w:r w:rsidRPr="00976585">
        <w:t>Tasmania and the ACT argued that a discount should be applied to the assessment, rather than a blend. The Commission considers that applying a discount (using total population shares or an EPC assessment), as opposed to a blend (using urban population shares), would result in an inferior outcome. A blend based on urban population broadly captures the service delivery population, whereas a discount attributes needs to the entire State population regardless of where they live, and hence, whether they make any use of public transport services.</w:t>
      </w:r>
    </w:p>
    <w:p w14:paraId="37AE64F6" w14:textId="77777777" w:rsidR="007E365E" w:rsidRPr="00976585" w:rsidRDefault="007E365E" w:rsidP="007E365E">
      <w:pPr>
        <w:pStyle w:val="CGCParaNumber"/>
      </w:pPr>
      <w:r w:rsidRPr="00976585">
        <w:t xml:space="preserve">Queensland, Tasmania and the Northern Territory supported the retention of a separate student transport assessment. Tasmania noted the new urban transport assessment does not contain any specific variable that accounts for the level of student transport services. The consultants rejected including student numbers as a variable because it did not improve the explanatory power of the model. The 2015 Review student transport assessment was marginally material and based on unreliable expense data. In the absence of reliable data, </w:t>
      </w:r>
      <w:r w:rsidRPr="00976585">
        <w:lastRenderedPageBreak/>
        <w:t xml:space="preserve">the Commission decided it would be impractical to develop a separate student transport assessment. </w:t>
      </w:r>
    </w:p>
    <w:p w14:paraId="38641566" w14:textId="77777777" w:rsidR="007E365E" w:rsidRPr="00976585" w:rsidRDefault="007E365E" w:rsidP="007E365E">
      <w:pPr>
        <w:pStyle w:val="Heading5"/>
      </w:pPr>
      <w:r w:rsidRPr="00976585">
        <w:t>Urban population</w:t>
      </w:r>
    </w:p>
    <w:p w14:paraId="7295B056" w14:textId="4A5D04C6" w:rsidR="007E365E" w:rsidRPr="00976585" w:rsidRDefault="007E365E" w:rsidP="007E365E">
      <w:pPr>
        <w:pStyle w:val="CGCParaNumber"/>
      </w:pPr>
      <w:r w:rsidRPr="00976585">
        <w:t xml:space="preserve">The service population for urban transport services is the population living in urban centres. </w:t>
      </w:r>
      <w:r w:rsidRPr="00976585">
        <w:fldChar w:fldCharType="begin"/>
      </w:r>
      <w:r w:rsidRPr="00976585">
        <w:instrText xml:space="preserve"> REF _Ref6221886 \h  \* MERGEFORMAT </w:instrText>
      </w:r>
      <w:r w:rsidRPr="00976585">
        <w:fldChar w:fldCharType="separate"/>
      </w:r>
      <w:r w:rsidR="007F721A" w:rsidRPr="00976585">
        <w:t xml:space="preserve">Table </w:t>
      </w:r>
      <w:r w:rsidR="007F721A">
        <w:rPr>
          <w:noProof/>
        </w:rPr>
        <w:t>21-6</w:t>
      </w:r>
      <w:r w:rsidRPr="00976585">
        <w:fldChar w:fldCharType="end"/>
      </w:r>
      <w:r w:rsidRPr="00976585">
        <w:t xml:space="preserve"> shows urban population shares for each State.</w:t>
      </w:r>
    </w:p>
    <w:p w14:paraId="739ABB9D" w14:textId="22321063" w:rsidR="007E365E" w:rsidRDefault="007E365E" w:rsidP="007E365E">
      <w:pPr>
        <w:pStyle w:val="Caption"/>
      </w:pPr>
      <w:bookmarkStart w:id="246" w:name="_Ref6221886"/>
      <w:r w:rsidRPr="00976585">
        <w:t xml:space="preserve">Table </w:t>
      </w:r>
      <w:r>
        <w:t>21-</w:t>
      </w:r>
      <w:fldSimple w:instr=" SEQ Table \* ARABIC ">
        <w:r w:rsidR="007F721A">
          <w:rPr>
            <w:noProof/>
          </w:rPr>
          <w:t>6</w:t>
        </w:r>
      </w:fldSimple>
      <w:bookmarkEnd w:id="246"/>
      <w:r w:rsidRPr="00976585">
        <w:tab/>
        <w:t>State urban population, 201</w:t>
      </w:r>
      <w:r>
        <w:t>8-19</w:t>
      </w:r>
    </w:p>
    <w:tbl>
      <w:tblPr>
        <w:tblW w:w="8900" w:type="dxa"/>
        <w:tblCellMar>
          <w:left w:w="28" w:type="dxa"/>
          <w:right w:w="28" w:type="dxa"/>
        </w:tblCellMar>
        <w:tblLook w:val="04A0" w:firstRow="1" w:lastRow="0" w:firstColumn="1" w:lastColumn="0" w:noHBand="0" w:noVBand="1"/>
        <w:tblCaption w:val="State urban population, 2018-19"/>
        <w:tblDescription w:val="Comparison of the number of residents living in UCLs within SUAs by State, total population by State and State shares of total urban population by State."/>
      </w:tblPr>
      <w:tblGrid>
        <w:gridCol w:w="2140"/>
        <w:gridCol w:w="760"/>
        <w:gridCol w:w="760"/>
        <w:gridCol w:w="760"/>
        <w:gridCol w:w="760"/>
        <w:gridCol w:w="760"/>
        <w:gridCol w:w="700"/>
        <w:gridCol w:w="700"/>
        <w:gridCol w:w="700"/>
        <w:gridCol w:w="860"/>
      </w:tblGrid>
      <w:tr w:rsidR="007E365E" w:rsidRPr="00D7740A" w14:paraId="391097B2" w14:textId="77777777" w:rsidTr="007D1D77">
        <w:trPr>
          <w:trHeight w:val="379"/>
        </w:trPr>
        <w:tc>
          <w:tcPr>
            <w:tcW w:w="2140" w:type="dxa"/>
            <w:tcBorders>
              <w:top w:val="single" w:sz="4" w:space="0" w:color="ADD6EA"/>
              <w:left w:val="nil"/>
              <w:bottom w:val="single" w:sz="4" w:space="0" w:color="ADD6EA"/>
              <w:right w:val="nil"/>
            </w:tcBorders>
            <w:shd w:val="clear" w:color="000000" w:fill="006991"/>
            <w:noWrap/>
            <w:vAlign w:val="center"/>
            <w:hideMark/>
          </w:tcPr>
          <w:p w14:paraId="121C774A" w14:textId="77777777" w:rsidR="007E365E" w:rsidRPr="00D7740A"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740A">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noWrap/>
            <w:vAlign w:val="center"/>
            <w:hideMark/>
          </w:tcPr>
          <w:p w14:paraId="69191218" w14:textId="77777777" w:rsidR="007E365E" w:rsidRPr="00D7740A"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740A">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noWrap/>
            <w:vAlign w:val="center"/>
            <w:hideMark/>
          </w:tcPr>
          <w:p w14:paraId="01D8161D" w14:textId="77777777" w:rsidR="007E365E" w:rsidRPr="00D7740A"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740A">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59D4FF85" w14:textId="77777777" w:rsidR="007E365E" w:rsidRPr="00D7740A"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740A">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5B5B78DE" w14:textId="77777777" w:rsidR="007E365E" w:rsidRPr="00D7740A"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740A">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noWrap/>
            <w:vAlign w:val="center"/>
            <w:hideMark/>
          </w:tcPr>
          <w:p w14:paraId="5F38CE8A" w14:textId="77777777" w:rsidR="007E365E" w:rsidRPr="00D7740A"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740A">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noWrap/>
            <w:vAlign w:val="center"/>
            <w:hideMark/>
          </w:tcPr>
          <w:p w14:paraId="21586192" w14:textId="77777777" w:rsidR="007E365E" w:rsidRPr="00D7740A"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740A">
              <w:rPr>
                <w:rFonts w:ascii="Open Sans SemiBold" w:eastAsia="Times New Roman" w:hAnsi="Open Sans SemiBold" w:cs="Open Sans SemiBold"/>
                <w:color w:val="FFFFFF"/>
                <w:sz w:val="16"/>
                <w:szCs w:val="16"/>
                <w:lang w:eastAsia="en-AU"/>
              </w:rPr>
              <w:t>Tas</w:t>
            </w:r>
          </w:p>
        </w:tc>
        <w:tc>
          <w:tcPr>
            <w:tcW w:w="700" w:type="dxa"/>
            <w:tcBorders>
              <w:top w:val="single" w:sz="4" w:space="0" w:color="ADD6EA"/>
              <w:left w:val="nil"/>
              <w:bottom w:val="single" w:sz="4" w:space="0" w:color="ADD6EA"/>
              <w:right w:val="nil"/>
            </w:tcBorders>
            <w:shd w:val="clear" w:color="000000" w:fill="006991"/>
            <w:noWrap/>
            <w:vAlign w:val="center"/>
            <w:hideMark/>
          </w:tcPr>
          <w:p w14:paraId="56A3E4EC" w14:textId="77777777" w:rsidR="007E365E" w:rsidRPr="00D7740A"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740A">
              <w:rPr>
                <w:rFonts w:ascii="Open Sans SemiBold" w:eastAsia="Times New Roman" w:hAnsi="Open Sans SemiBold" w:cs="Open Sans SemiBold"/>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noWrap/>
            <w:vAlign w:val="center"/>
            <w:hideMark/>
          </w:tcPr>
          <w:p w14:paraId="68920521" w14:textId="77777777" w:rsidR="007E365E" w:rsidRPr="00D7740A"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740A">
              <w:rPr>
                <w:rFonts w:ascii="Open Sans SemiBold" w:eastAsia="Times New Roman" w:hAnsi="Open Sans SemiBold" w:cs="Open Sans SemiBold"/>
                <w:color w:val="FFFFFF"/>
                <w:sz w:val="16"/>
                <w:szCs w:val="16"/>
                <w:lang w:eastAsia="en-AU"/>
              </w:rPr>
              <w:t>NT</w:t>
            </w:r>
          </w:p>
        </w:tc>
        <w:tc>
          <w:tcPr>
            <w:tcW w:w="860" w:type="dxa"/>
            <w:tcBorders>
              <w:top w:val="single" w:sz="4" w:space="0" w:color="ADD6EA"/>
              <w:left w:val="nil"/>
              <w:bottom w:val="single" w:sz="4" w:space="0" w:color="ADD6EA"/>
              <w:right w:val="nil"/>
            </w:tcBorders>
            <w:shd w:val="clear" w:color="000000" w:fill="006991"/>
            <w:noWrap/>
            <w:vAlign w:val="center"/>
            <w:hideMark/>
          </w:tcPr>
          <w:p w14:paraId="44DBA332" w14:textId="77777777" w:rsidR="007E365E" w:rsidRPr="00D7740A"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740A">
              <w:rPr>
                <w:rFonts w:ascii="Open Sans SemiBold" w:eastAsia="Times New Roman" w:hAnsi="Open Sans SemiBold" w:cs="Open Sans SemiBold"/>
                <w:color w:val="FFFFFF"/>
                <w:sz w:val="16"/>
                <w:szCs w:val="16"/>
                <w:lang w:eastAsia="en-AU"/>
              </w:rPr>
              <w:t>Total</w:t>
            </w:r>
          </w:p>
        </w:tc>
      </w:tr>
      <w:tr w:rsidR="007E365E" w:rsidRPr="00D7740A" w14:paraId="59A45A4C" w14:textId="77777777" w:rsidTr="007D1D77">
        <w:trPr>
          <w:trHeight w:val="315"/>
        </w:trPr>
        <w:tc>
          <w:tcPr>
            <w:tcW w:w="2140" w:type="dxa"/>
            <w:tcBorders>
              <w:top w:val="nil"/>
              <w:left w:val="nil"/>
              <w:bottom w:val="nil"/>
              <w:right w:val="nil"/>
            </w:tcBorders>
            <w:shd w:val="clear" w:color="auto" w:fill="auto"/>
            <w:vAlign w:val="bottom"/>
            <w:hideMark/>
          </w:tcPr>
          <w:p w14:paraId="4C985C08" w14:textId="77777777" w:rsidR="007E365E" w:rsidRPr="00D7740A" w:rsidRDefault="007E365E" w:rsidP="007D1D77">
            <w:pPr>
              <w:tabs>
                <w:tab w:val="clear" w:pos="567"/>
              </w:tabs>
              <w:spacing w:before="0" w:line="240" w:lineRule="auto"/>
              <w:rPr>
                <w:rFonts w:eastAsia="Times New Roman" w:cs="Open Sans Light"/>
                <w:sz w:val="16"/>
                <w:szCs w:val="16"/>
                <w:lang w:eastAsia="en-AU"/>
              </w:rPr>
            </w:pPr>
            <w:r w:rsidRPr="00D7740A">
              <w:rPr>
                <w:rFonts w:eastAsia="Times New Roman" w:cs="Open Sans Light"/>
                <w:sz w:val="16"/>
                <w:szCs w:val="16"/>
                <w:lang w:eastAsia="en-AU"/>
              </w:rPr>
              <w:t>Urban population ('000)</w:t>
            </w:r>
          </w:p>
        </w:tc>
        <w:tc>
          <w:tcPr>
            <w:tcW w:w="760" w:type="dxa"/>
            <w:tcBorders>
              <w:top w:val="nil"/>
              <w:left w:val="nil"/>
              <w:bottom w:val="nil"/>
              <w:right w:val="nil"/>
            </w:tcBorders>
            <w:shd w:val="clear" w:color="auto" w:fill="auto"/>
            <w:vAlign w:val="bottom"/>
            <w:hideMark/>
          </w:tcPr>
          <w:p w14:paraId="0C0F8CFB"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6,864</w:t>
            </w:r>
          </w:p>
        </w:tc>
        <w:tc>
          <w:tcPr>
            <w:tcW w:w="760" w:type="dxa"/>
            <w:tcBorders>
              <w:top w:val="nil"/>
              <w:left w:val="nil"/>
              <w:bottom w:val="nil"/>
              <w:right w:val="nil"/>
            </w:tcBorders>
            <w:shd w:val="clear" w:color="auto" w:fill="auto"/>
            <w:vAlign w:val="bottom"/>
            <w:hideMark/>
          </w:tcPr>
          <w:p w14:paraId="4BA02624"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5,684</w:t>
            </w:r>
          </w:p>
        </w:tc>
        <w:tc>
          <w:tcPr>
            <w:tcW w:w="760" w:type="dxa"/>
            <w:tcBorders>
              <w:top w:val="nil"/>
              <w:left w:val="nil"/>
              <w:bottom w:val="nil"/>
              <w:right w:val="nil"/>
            </w:tcBorders>
            <w:shd w:val="clear" w:color="auto" w:fill="auto"/>
            <w:vAlign w:val="bottom"/>
            <w:hideMark/>
          </w:tcPr>
          <w:p w14:paraId="59E40C51"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4,144</w:t>
            </w:r>
          </w:p>
        </w:tc>
        <w:tc>
          <w:tcPr>
            <w:tcW w:w="760" w:type="dxa"/>
            <w:tcBorders>
              <w:top w:val="nil"/>
              <w:left w:val="nil"/>
              <w:bottom w:val="nil"/>
              <w:right w:val="nil"/>
            </w:tcBorders>
            <w:shd w:val="clear" w:color="auto" w:fill="auto"/>
            <w:vAlign w:val="bottom"/>
            <w:hideMark/>
          </w:tcPr>
          <w:p w14:paraId="1CB96614"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2,272</w:t>
            </w:r>
          </w:p>
        </w:tc>
        <w:tc>
          <w:tcPr>
            <w:tcW w:w="760" w:type="dxa"/>
            <w:tcBorders>
              <w:top w:val="nil"/>
              <w:left w:val="nil"/>
              <w:bottom w:val="nil"/>
              <w:right w:val="nil"/>
            </w:tcBorders>
            <w:shd w:val="clear" w:color="auto" w:fill="auto"/>
            <w:vAlign w:val="bottom"/>
            <w:hideMark/>
          </w:tcPr>
          <w:p w14:paraId="0F8DE143"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1,441</w:t>
            </w:r>
          </w:p>
        </w:tc>
        <w:tc>
          <w:tcPr>
            <w:tcW w:w="700" w:type="dxa"/>
            <w:tcBorders>
              <w:top w:val="nil"/>
              <w:left w:val="nil"/>
              <w:bottom w:val="nil"/>
              <w:right w:val="nil"/>
            </w:tcBorders>
            <w:shd w:val="clear" w:color="auto" w:fill="auto"/>
            <w:vAlign w:val="bottom"/>
            <w:hideMark/>
          </w:tcPr>
          <w:p w14:paraId="51079291"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351</w:t>
            </w:r>
          </w:p>
        </w:tc>
        <w:tc>
          <w:tcPr>
            <w:tcW w:w="700" w:type="dxa"/>
            <w:tcBorders>
              <w:top w:val="nil"/>
              <w:left w:val="nil"/>
              <w:bottom w:val="nil"/>
              <w:right w:val="nil"/>
            </w:tcBorders>
            <w:shd w:val="clear" w:color="auto" w:fill="auto"/>
            <w:vAlign w:val="bottom"/>
            <w:hideMark/>
          </w:tcPr>
          <w:p w14:paraId="2A8EAC9A"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421</w:t>
            </w:r>
          </w:p>
        </w:tc>
        <w:tc>
          <w:tcPr>
            <w:tcW w:w="700" w:type="dxa"/>
            <w:tcBorders>
              <w:top w:val="nil"/>
              <w:left w:val="nil"/>
              <w:bottom w:val="nil"/>
              <w:right w:val="nil"/>
            </w:tcBorders>
            <w:shd w:val="clear" w:color="auto" w:fill="auto"/>
            <w:vAlign w:val="bottom"/>
            <w:hideMark/>
          </w:tcPr>
          <w:p w14:paraId="3E806750"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154</w:t>
            </w:r>
          </w:p>
        </w:tc>
        <w:tc>
          <w:tcPr>
            <w:tcW w:w="860" w:type="dxa"/>
            <w:tcBorders>
              <w:top w:val="nil"/>
              <w:left w:val="nil"/>
              <w:bottom w:val="nil"/>
              <w:right w:val="nil"/>
            </w:tcBorders>
            <w:shd w:val="clear" w:color="auto" w:fill="auto"/>
            <w:vAlign w:val="bottom"/>
            <w:hideMark/>
          </w:tcPr>
          <w:p w14:paraId="5F0839F5"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21,330</w:t>
            </w:r>
          </w:p>
        </w:tc>
      </w:tr>
      <w:tr w:rsidR="007E365E" w:rsidRPr="00D7740A" w14:paraId="4971228D" w14:textId="77777777" w:rsidTr="007D1D77">
        <w:trPr>
          <w:trHeight w:val="315"/>
        </w:trPr>
        <w:tc>
          <w:tcPr>
            <w:tcW w:w="2140" w:type="dxa"/>
            <w:tcBorders>
              <w:top w:val="single" w:sz="4" w:space="0" w:color="ADD6EA"/>
              <w:left w:val="nil"/>
              <w:bottom w:val="single" w:sz="4" w:space="0" w:color="ADD6EA"/>
              <w:right w:val="nil"/>
            </w:tcBorders>
            <w:shd w:val="clear" w:color="auto" w:fill="auto"/>
            <w:vAlign w:val="bottom"/>
            <w:hideMark/>
          </w:tcPr>
          <w:p w14:paraId="1128FDD6" w14:textId="77777777" w:rsidR="007E365E" w:rsidRPr="00D7740A" w:rsidRDefault="007E365E" w:rsidP="007D1D77">
            <w:pPr>
              <w:tabs>
                <w:tab w:val="clear" w:pos="567"/>
              </w:tabs>
              <w:spacing w:before="0" w:line="240" w:lineRule="auto"/>
              <w:rPr>
                <w:rFonts w:eastAsia="Times New Roman" w:cs="Open Sans Light"/>
                <w:sz w:val="16"/>
                <w:szCs w:val="16"/>
                <w:lang w:eastAsia="en-AU"/>
              </w:rPr>
            </w:pPr>
            <w:r w:rsidRPr="00D7740A">
              <w:rPr>
                <w:rFonts w:eastAsia="Times New Roman" w:cs="Open Sans Light"/>
                <w:sz w:val="16"/>
                <w:szCs w:val="16"/>
                <w:lang w:eastAsia="en-AU"/>
              </w:rPr>
              <w:t>Total population ('000)</w:t>
            </w:r>
          </w:p>
        </w:tc>
        <w:tc>
          <w:tcPr>
            <w:tcW w:w="760" w:type="dxa"/>
            <w:tcBorders>
              <w:top w:val="single" w:sz="4" w:space="0" w:color="ADD6EA"/>
              <w:left w:val="nil"/>
              <w:bottom w:val="single" w:sz="4" w:space="0" w:color="ADD6EA"/>
              <w:right w:val="nil"/>
            </w:tcBorders>
            <w:shd w:val="clear" w:color="auto" w:fill="auto"/>
            <w:vAlign w:val="bottom"/>
            <w:hideMark/>
          </w:tcPr>
          <w:p w14:paraId="6C9EC79E"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8,038</w:t>
            </w:r>
          </w:p>
        </w:tc>
        <w:tc>
          <w:tcPr>
            <w:tcW w:w="760" w:type="dxa"/>
            <w:tcBorders>
              <w:top w:val="single" w:sz="4" w:space="0" w:color="ADD6EA"/>
              <w:left w:val="nil"/>
              <w:bottom w:val="single" w:sz="4" w:space="0" w:color="ADD6EA"/>
              <w:right w:val="nil"/>
            </w:tcBorders>
            <w:shd w:val="clear" w:color="auto" w:fill="auto"/>
            <w:vAlign w:val="bottom"/>
            <w:hideMark/>
          </w:tcPr>
          <w:p w14:paraId="225CE02D"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6,527</w:t>
            </w:r>
          </w:p>
        </w:tc>
        <w:tc>
          <w:tcPr>
            <w:tcW w:w="760" w:type="dxa"/>
            <w:tcBorders>
              <w:top w:val="single" w:sz="4" w:space="0" w:color="ADD6EA"/>
              <w:left w:val="nil"/>
              <w:bottom w:val="single" w:sz="4" w:space="0" w:color="ADD6EA"/>
              <w:right w:val="nil"/>
            </w:tcBorders>
            <w:shd w:val="clear" w:color="auto" w:fill="auto"/>
            <w:vAlign w:val="bottom"/>
            <w:hideMark/>
          </w:tcPr>
          <w:p w14:paraId="6010E7DA"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5,051</w:t>
            </w:r>
          </w:p>
        </w:tc>
        <w:tc>
          <w:tcPr>
            <w:tcW w:w="760" w:type="dxa"/>
            <w:tcBorders>
              <w:top w:val="single" w:sz="4" w:space="0" w:color="ADD6EA"/>
              <w:left w:val="nil"/>
              <w:bottom w:val="single" w:sz="4" w:space="0" w:color="ADD6EA"/>
              <w:right w:val="nil"/>
            </w:tcBorders>
            <w:shd w:val="clear" w:color="auto" w:fill="auto"/>
            <w:vAlign w:val="bottom"/>
            <w:hideMark/>
          </w:tcPr>
          <w:p w14:paraId="039B774E"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2,606</w:t>
            </w:r>
          </w:p>
        </w:tc>
        <w:tc>
          <w:tcPr>
            <w:tcW w:w="760" w:type="dxa"/>
            <w:tcBorders>
              <w:top w:val="single" w:sz="4" w:space="0" w:color="ADD6EA"/>
              <w:left w:val="nil"/>
              <w:bottom w:val="single" w:sz="4" w:space="0" w:color="ADD6EA"/>
              <w:right w:val="nil"/>
            </w:tcBorders>
            <w:shd w:val="clear" w:color="auto" w:fill="auto"/>
            <w:vAlign w:val="bottom"/>
            <w:hideMark/>
          </w:tcPr>
          <w:p w14:paraId="7E3CAE65"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1,743</w:t>
            </w:r>
          </w:p>
        </w:tc>
        <w:tc>
          <w:tcPr>
            <w:tcW w:w="700" w:type="dxa"/>
            <w:tcBorders>
              <w:top w:val="single" w:sz="4" w:space="0" w:color="ADD6EA"/>
              <w:left w:val="nil"/>
              <w:bottom w:val="single" w:sz="4" w:space="0" w:color="ADD6EA"/>
              <w:right w:val="nil"/>
            </w:tcBorders>
            <w:shd w:val="clear" w:color="auto" w:fill="auto"/>
            <w:vAlign w:val="bottom"/>
            <w:hideMark/>
          </w:tcPr>
          <w:p w14:paraId="78FB4855"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532</w:t>
            </w:r>
          </w:p>
        </w:tc>
        <w:tc>
          <w:tcPr>
            <w:tcW w:w="700" w:type="dxa"/>
            <w:tcBorders>
              <w:top w:val="single" w:sz="4" w:space="0" w:color="ADD6EA"/>
              <w:left w:val="nil"/>
              <w:bottom w:val="single" w:sz="4" w:space="0" w:color="ADD6EA"/>
              <w:right w:val="nil"/>
            </w:tcBorders>
            <w:shd w:val="clear" w:color="auto" w:fill="auto"/>
            <w:vAlign w:val="bottom"/>
            <w:hideMark/>
          </w:tcPr>
          <w:p w14:paraId="5B12D798"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423</w:t>
            </w:r>
          </w:p>
        </w:tc>
        <w:tc>
          <w:tcPr>
            <w:tcW w:w="700" w:type="dxa"/>
            <w:tcBorders>
              <w:top w:val="single" w:sz="4" w:space="0" w:color="ADD6EA"/>
              <w:left w:val="nil"/>
              <w:bottom w:val="single" w:sz="4" w:space="0" w:color="ADD6EA"/>
              <w:right w:val="nil"/>
            </w:tcBorders>
            <w:shd w:val="clear" w:color="auto" w:fill="auto"/>
            <w:vAlign w:val="bottom"/>
            <w:hideMark/>
          </w:tcPr>
          <w:p w14:paraId="7CE5BFA7"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246</w:t>
            </w:r>
          </w:p>
        </w:tc>
        <w:tc>
          <w:tcPr>
            <w:tcW w:w="860" w:type="dxa"/>
            <w:tcBorders>
              <w:top w:val="single" w:sz="4" w:space="0" w:color="ADD6EA"/>
              <w:left w:val="nil"/>
              <w:bottom w:val="single" w:sz="4" w:space="0" w:color="ADD6EA"/>
              <w:right w:val="nil"/>
            </w:tcBorders>
            <w:shd w:val="clear" w:color="auto" w:fill="auto"/>
            <w:vAlign w:val="bottom"/>
            <w:hideMark/>
          </w:tcPr>
          <w:p w14:paraId="14F656EB"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25,166</w:t>
            </w:r>
          </w:p>
        </w:tc>
      </w:tr>
      <w:tr w:rsidR="007E365E" w:rsidRPr="00D7740A" w14:paraId="4F935738" w14:textId="77777777" w:rsidTr="007D1D77">
        <w:trPr>
          <w:trHeight w:val="315"/>
        </w:trPr>
        <w:tc>
          <w:tcPr>
            <w:tcW w:w="2140" w:type="dxa"/>
            <w:tcBorders>
              <w:top w:val="nil"/>
              <w:left w:val="nil"/>
              <w:bottom w:val="single" w:sz="4" w:space="0" w:color="ADD6EA"/>
              <w:right w:val="nil"/>
            </w:tcBorders>
            <w:shd w:val="clear" w:color="auto" w:fill="auto"/>
            <w:noWrap/>
            <w:vAlign w:val="bottom"/>
            <w:hideMark/>
          </w:tcPr>
          <w:p w14:paraId="1447695F" w14:textId="77777777" w:rsidR="007E365E" w:rsidRPr="00D7740A" w:rsidRDefault="007E365E" w:rsidP="007D1D77">
            <w:pPr>
              <w:tabs>
                <w:tab w:val="clear" w:pos="567"/>
              </w:tabs>
              <w:spacing w:before="0" w:line="240" w:lineRule="auto"/>
              <w:rPr>
                <w:rFonts w:eastAsia="Times New Roman" w:cs="Open Sans Light"/>
                <w:sz w:val="16"/>
                <w:szCs w:val="16"/>
                <w:lang w:eastAsia="en-AU"/>
              </w:rPr>
            </w:pPr>
            <w:r w:rsidRPr="00D7740A">
              <w:rPr>
                <w:rFonts w:eastAsia="Times New Roman" w:cs="Open Sans Light"/>
                <w:sz w:val="16"/>
                <w:szCs w:val="16"/>
                <w:lang w:eastAsia="en-AU"/>
              </w:rPr>
              <w:t>Shares (%)</w:t>
            </w:r>
          </w:p>
        </w:tc>
        <w:tc>
          <w:tcPr>
            <w:tcW w:w="760" w:type="dxa"/>
            <w:tcBorders>
              <w:top w:val="nil"/>
              <w:left w:val="nil"/>
              <w:bottom w:val="single" w:sz="4" w:space="0" w:color="ADD6EA"/>
              <w:right w:val="nil"/>
            </w:tcBorders>
            <w:shd w:val="clear" w:color="auto" w:fill="auto"/>
            <w:noWrap/>
            <w:vAlign w:val="bottom"/>
            <w:hideMark/>
          </w:tcPr>
          <w:p w14:paraId="12A21571"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85.4</w:t>
            </w:r>
          </w:p>
        </w:tc>
        <w:tc>
          <w:tcPr>
            <w:tcW w:w="760" w:type="dxa"/>
            <w:tcBorders>
              <w:top w:val="nil"/>
              <w:left w:val="nil"/>
              <w:bottom w:val="single" w:sz="4" w:space="0" w:color="ADD6EA"/>
              <w:right w:val="nil"/>
            </w:tcBorders>
            <w:shd w:val="clear" w:color="auto" w:fill="auto"/>
            <w:noWrap/>
            <w:vAlign w:val="bottom"/>
            <w:hideMark/>
          </w:tcPr>
          <w:p w14:paraId="6F1D3ECE"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87.1</w:t>
            </w:r>
          </w:p>
        </w:tc>
        <w:tc>
          <w:tcPr>
            <w:tcW w:w="760" w:type="dxa"/>
            <w:tcBorders>
              <w:top w:val="nil"/>
              <w:left w:val="nil"/>
              <w:bottom w:val="single" w:sz="4" w:space="0" w:color="ADD6EA"/>
              <w:right w:val="nil"/>
            </w:tcBorders>
            <w:shd w:val="clear" w:color="auto" w:fill="auto"/>
            <w:noWrap/>
            <w:vAlign w:val="bottom"/>
            <w:hideMark/>
          </w:tcPr>
          <w:p w14:paraId="4FFF4BDD"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82.1</w:t>
            </w:r>
          </w:p>
        </w:tc>
        <w:tc>
          <w:tcPr>
            <w:tcW w:w="760" w:type="dxa"/>
            <w:tcBorders>
              <w:top w:val="nil"/>
              <w:left w:val="nil"/>
              <w:bottom w:val="single" w:sz="4" w:space="0" w:color="ADD6EA"/>
              <w:right w:val="nil"/>
            </w:tcBorders>
            <w:shd w:val="clear" w:color="auto" w:fill="auto"/>
            <w:noWrap/>
            <w:vAlign w:val="bottom"/>
            <w:hideMark/>
          </w:tcPr>
          <w:p w14:paraId="100E2DD6"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87.2</w:t>
            </w:r>
          </w:p>
        </w:tc>
        <w:tc>
          <w:tcPr>
            <w:tcW w:w="760" w:type="dxa"/>
            <w:tcBorders>
              <w:top w:val="nil"/>
              <w:left w:val="nil"/>
              <w:bottom w:val="single" w:sz="4" w:space="0" w:color="ADD6EA"/>
              <w:right w:val="nil"/>
            </w:tcBorders>
            <w:shd w:val="clear" w:color="auto" w:fill="auto"/>
            <w:noWrap/>
            <w:vAlign w:val="bottom"/>
            <w:hideMark/>
          </w:tcPr>
          <w:p w14:paraId="0B012856"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82.7</w:t>
            </w:r>
          </w:p>
        </w:tc>
        <w:tc>
          <w:tcPr>
            <w:tcW w:w="700" w:type="dxa"/>
            <w:tcBorders>
              <w:top w:val="nil"/>
              <w:left w:val="nil"/>
              <w:bottom w:val="single" w:sz="4" w:space="0" w:color="ADD6EA"/>
              <w:right w:val="nil"/>
            </w:tcBorders>
            <w:shd w:val="clear" w:color="auto" w:fill="auto"/>
            <w:noWrap/>
            <w:vAlign w:val="bottom"/>
            <w:hideMark/>
          </w:tcPr>
          <w:p w14:paraId="46752A8E"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66.1</w:t>
            </w:r>
          </w:p>
        </w:tc>
        <w:tc>
          <w:tcPr>
            <w:tcW w:w="700" w:type="dxa"/>
            <w:tcBorders>
              <w:top w:val="nil"/>
              <w:left w:val="nil"/>
              <w:bottom w:val="single" w:sz="4" w:space="0" w:color="ADD6EA"/>
              <w:right w:val="nil"/>
            </w:tcBorders>
            <w:shd w:val="clear" w:color="auto" w:fill="auto"/>
            <w:noWrap/>
            <w:vAlign w:val="bottom"/>
            <w:hideMark/>
          </w:tcPr>
          <w:p w14:paraId="17EE7616"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99.3</w:t>
            </w:r>
          </w:p>
        </w:tc>
        <w:tc>
          <w:tcPr>
            <w:tcW w:w="700" w:type="dxa"/>
            <w:tcBorders>
              <w:top w:val="nil"/>
              <w:left w:val="nil"/>
              <w:bottom w:val="single" w:sz="4" w:space="0" w:color="ADD6EA"/>
              <w:right w:val="nil"/>
            </w:tcBorders>
            <w:shd w:val="clear" w:color="auto" w:fill="auto"/>
            <w:noWrap/>
            <w:vAlign w:val="bottom"/>
            <w:hideMark/>
          </w:tcPr>
          <w:p w14:paraId="3234DE12"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62.8</w:t>
            </w:r>
          </w:p>
        </w:tc>
        <w:tc>
          <w:tcPr>
            <w:tcW w:w="860" w:type="dxa"/>
            <w:tcBorders>
              <w:top w:val="nil"/>
              <w:left w:val="nil"/>
              <w:bottom w:val="single" w:sz="4" w:space="0" w:color="ADD6EA"/>
              <w:right w:val="nil"/>
            </w:tcBorders>
            <w:shd w:val="clear" w:color="auto" w:fill="auto"/>
            <w:noWrap/>
            <w:vAlign w:val="bottom"/>
            <w:hideMark/>
          </w:tcPr>
          <w:p w14:paraId="3138153B" w14:textId="77777777" w:rsidR="007E365E" w:rsidRPr="00D7740A" w:rsidRDefault="007E365E" w:rsidP="007D1D77">
            <w:pPr>
              <w:tabs>
                <w:tab w:val="clear" w:pos="567"/>
              </w:tabs>
              <w:spacing w:before="0" w:line="240" w:lineRule="auto"/>
              <w:jc w:val="right"/>
              <w:rPr>
                <w:rFonts w:eastAsia="Times New Roman" w:cs="Open Sans Light"/>
                <w:sz w:val="16"/>
                <w:szCs w:val="16"/>
                <w:lang w:eastAsia="en-AU"/>
              </w:rPr>
            </w:pPr>
            <w:r w:rsidRPr="00D7740A">
              <w:rPr>
                <w:rFonts w:eastAsia="Times New Roman" w:cs="Open Sans Light"/>
                <w:sz w:val="16"/>
                <w:szCs w:val="16"/>
                <w:lang w:eastAsia="en-AU"/>
              </w:rPr>
              <w:t>84.8</w:t>
            </w:r>
          </w:p>
        </w:tc>
      </w:tr>
    </w:tbl>
    <w:p w14:paraId="6285D090" w14:textId="767E08E8" w:rsidR="007E365E" w:rsidRPr="00976585" w:rsidRDefault="007E365E" w:rsidP="007E365E">
      <w:pPr>
        <w:pStyle w:val="CGCTablenote"/>
      </w:pPr>
      <w:r w:rsidRPr="00976585">
        <w:t xml:space="preserve">Note: </w:t>
      </w:r>
      <w:r>
        <w:tab/>
      </w:r>
      <w:r w:rsidRPr="00976585">
        <w:t xml:space="preserve">Urban population is defined in paragraph </w:t>
      </w:r>
      <w:r w:rsidRPr="00976585">
        <w:fldChar w:fldCharType="begin"/>
      </w:r>
      <w:r w:rsidRPr="00976585">
        <w:instrText xml:space="preserve"> REF _Ref24120185 \r \h  \* MERGEFORMAT </w:instrText>
      </w:r>
      <w:r w:rsidRPr="00976585">
        <w:fldChar w:fldCharType="separate"/>
      </w:r>
      <w:r w:rsidR="007F721A">
        <w:t>69</w:t>
      </w:r>
      <w:r w:rsidRPr="00976585">
        <w:fldChar w:fldCharType="end"/>
      </w:r>
      <w:r w:rsidRPr="00976585">
        <w:t>.</w:t>
      </w:r>
    </w:p>
    <w:p w14:paraId="429F209E" w14:textId="77777777" w:rsidR="007E365E" w:rsidRPr="00976585" w:rsidRDefault="007E365E" w:rsidP="007E365E">
      <w:pPr>
        <w:pStyle w:val="CGCTablenote"/>
      </w:pPr>
      <w:r w:rsidRPr="00976585">
        <w:t>Source:</w:t>
      </w:r>
      <w:r w:rsidRPr="00976585">
        <w:tab/>
        <w:t>Commission calculation using ABS estimated resident population (ERP) data.</w:t>
      </w:r>
    </w:p>
    <w:p w14:paraId="6DB33459" w14:textId="77777777" w:rsidR="007E365E" w:rsidRPr="00976585" w:rsidRDefault="007E365E" w:rsidP="007E365E">
      <w:pPr>
        <w:pStyle w:val="Heading5"/>
      </w:pPr>
      <w:r w:rsidRPr="00976585">
        <w:t>Urban centre characteristics</w:t>
      </w:r>
    </w:p>
    <w:p w14:paraId="0EEC2A34" w14:textId="77777777" w:rsidR="007E365E" w:rsidRPr="00976585" w:rsidRDefault="007E365E" w:rsidP="007E365E">
      <w:pPr>
        <w:pStyle w:val="CGCParaNumber"/>
      </w:pPr>
      <w:r w:rsidRPr="00976585">
        <w:t>In this review, the Commission engaged expert consultants</w:t>
      </w:r>
      <w:r w:rsidRPr="00976585">
        <w:rPr>
          <w:rStyle w:val="FootnoteReference"/>
          <w:rFonts w:cstheme="minorHAnsi"/>
        </w:rPr>
        <w:footnoteReference w:id="48"/>
      </w:r>
      <w:r w:rsidRPr="00976585">
        <w:t xml:space="preserve"> to review the urban transport assessments. The Commission and almost all States agree that the outcome of this work represents an improvement over the 2015 Review methodology in capturing State needs for urban transport expenses.</w:t>
      </w:r>
    </w:p>
    <w:p w14:paraId="151BC7B6" w14:textId="77777777" w:rsidR="007E365E" w:rsidRPr="00976585" w:rsidRDefault="007E365E" w:rsidP="007E365E">
      <w:pPr>
        <w:pStyle w:val="CGCParaNumber"/>
      </w:pPr>
      <w:r w:rsidRPr="00976585">
        <w:t>The urban centre characteristics recognised in the urban transport assessment are the following:</w:t>
      </w:r>
    </w:p>
    <w:p w14:paraId="65C95B25" w14:textId="77777777" w:rsidR="007E365E" w:rsidRPr="00976585" w:rsidRDefault="007E365E" w:rsidP="007E365E">
      <w:pPr>
        <w:pStyle w:val="CGCBullet1"/>
      </w:pPr>
      <w:r w:rsidRPr="00976585">
        <w:t>population density</w:t>
      </w:r>
    </w:p>
    <w:p w14:paraId="78BA85F6" w14:textId="77777777" w:rsidR="007E365E" w:rsidRPr="00976585" w:rsidRDefault="007E365E" w:rsidP="007E365E">
      <w:pPr>
        <w:pStyle w:val="CGCBullet1"/>
      </w:pPr>
      <w:r w:rsidRPr="00976585">
        <w:t xml:space="preserve">numbers of public transport passengers (separately assessed for bus/light rail and heavy rail) </w:t>
      </w:r>
    </w:p>
    <w:p w14:paraId="26B2214F" w14:textId="77777777" w:rsidR="007E365E" w:rsidRPr="00976585" w:rsidRDefault="007E365E" w:rsidP="007E365E">
      <w:pPr>
        <w:pStyle w:val="CGCBullet1"/>
      </w:pPr>
      <w:r w:rsidRPr="00976585">
        <w:t>the presence of ferry services</w:t>
      </w:r>
    </w:p>
    <w:p w14:paraId="1AB49FC1" w14:textId="77777777" w:rsidR="007E365E" w:rsidRPr="00976585" w:rsidRDefault="007E365E" w:rsidP="007E365E">
      <w:pPr>
        <w:pStyle w:val="CGCBullet1"/>
      </w:pPr>
      <w:r w:rsidRPr="00976585">
        <w:t xml:space="preserve">distance to work </w:t>
      </w:r>
    </w:p>
    <w:p w14:paraId="1E61709A" w14:textId="77777777" w:rsidR="007E365E" w:rsidRPr="00976585" w:rsidRDefault="007E365E" w:rsidP="007E365E">
      <w:pPr>
        <w:pStyle w:val="CGCBullet1"/>
      </w:pPr>
      <w:r w:rsidRPr="00976585">
        <w:t>topography.</w:t>
      </w:r>
    </w:p>
    <w:p w14:paraId="1B299459" w14:textId="77777777" w:rsidR="007E365E" w:rsidRPr="009F1807" w:rsidRDefault="007E365E" w:rsidP="007E365E">
      <w:pPr>
        <w:pStyle w:val="CGCParaNumber"/>
        <w:rPr>
          <w:rFonts w:cs="Open Sans Light"/>
        </w:rPr>
      </w:pPr>
      <w:r w:rsidRPr="00976585">
        <w:t>The effect of these urban centre characteristics on the cost of providing urban transport is me</w:t>
      </w:r>
      <w:r w:rsidRPr="009F1807">
        <w:rPr>
          <w:rFonts w:cs="Open Sans Light"/>
        </w:rPr>
        <w:t>asured through an econometric model, specified as:</w:t>
      </w:r>
    </w:p>
    <w:p w14:paraId="252CC9FD" w14:textId="77777777" w:rsidR="007E365E" w:rsidRPr="009F1807" w:rsidRDefault="007E365E" w:rsidP="007E365E">
      <w:pPr>
        <w:rPr>
          <w:rFonts w:cs="Open Sans Light"/>
        </w:rPr>
      </w:pPr>
      <m:oMathPara>
        <m:oMath>
          <m:r>
            <m:rPr>
              <m:sty m:val="p"/>
            </m:rPr>
            <w:rPr>
              <w:rFonts w:ascii="Cambria Math" w:hAnsi="Cambria Math" w:cs="Open Sans Light"/>
            </w:rPr>
            <m:t xml:space="preserve"> </m:t>
          </m:r>
          <m:r>
            <w:rPr>
              <w:rFonts w:ascii="Cambria Math" w:hAnsi="Cambria Math" w:cs="Open Sans Light"/>
            </w:rPr>
            <m:t>ex</m:t>
          </m:r>
          <m:sSub>
            <m:sSubPr>
              <m:ctrlPr>
                <w:rPr>
                  <w:rFonts w:ascii="Cambria Math" w:hAnsi="Cambria Math" w:cs="Open Sans Light"/>
                </w:rPr>
              </m:ctrlPr>
            </m:sSubPr>
            <m:e>
              <m:r>
                <w:rPr>
                  <w:rFonts w:ascii="Cambria Math" w:hAnsi="Cambria Math" w:cs="Open Sans Light"/>
                </w:rPr>
                <m:t>p</m:t>
              </m:r>
            </m:e>
            <m:sub>
              <m:r>
                <w:rPr>
                  <w:rFonts w:ascii="Cambria Math" w:hAnsi="Cambria Math" w:cs="Open Sans Light"/>
                </w:rPr>
                <m:t>i</m:t>
              </m:r>
            </m:sub>
          </m:sSub>
          <m:r>
            <m:rPr>
              <m:sty m:val="p"/>
            </m:rPr>
            <w:rPr>
              <w:rFonts w:ascii="Cambria Math" w:hAnsi="Cambria Math" w:cs="Open Sans Light"/>
            </w:rPr>
            <m:t>=</m:t>
          </m:r>
          <m:sSub>
            <m:sSubPr>
              <m:ctrlPr>
                <w:rPr>
                  <w:rFonts w:ascii="Cambria Math" w:hAnsi="Cambria Math" w:cs="Open Sans Light"/>
                </w:rPr>
              </m:ctrlPr>
            </m:sSubPr>
            <m:e>
              <m:r>
                <w:rPr>
                  <w:rFonts w:ascii="Cambria Math" w:hAnsi="Cambria Math" w:cs="Open Sans Light"/>
                </w:rPr>
                <m:t>β</m:t>
              </m:r>
            </m:e>
            <m:sub>
              <m:r>
                <m:rPr>
                  <m:sty m:val="p"/>
                </m:rPr>
                <w:rPr>
                  <w:rFonts w:ascii="Cambria Math" w:hAnsi="Cambria Math" w:cs="Open Sans Light"/>
                </w:rPr>
                <m:t>0</m:t>
              </m:r>
            </m:sub>
          </m:sSub>
          <m:r>
            <m:rPr>
              <m:sty m:val="p"/>
            </m:rPr>
            <w:rPr>
              <w:rFonts w:ascii="Cambria Math" w:hAnsi="Cambria Math" w:cs="Open Sans Light"/>
            </w:rPr>
            <m:t>+</m:t>
          </m:r>
          <m:sSub>
            <m:sSubPr>
              <m:ctrlPr>
                <w:rPr>
                  <w:rFonts w:ascii="Cambria Math" w:hAnsi="Cambria Math" w:cs="Open Sans Light"/>
                </w:rPr>
              </m:ctrlPr>
            </m:sSubPr>
            <m:e>
              <m:r>
                <w:rPr>
                  <w:rFonts w:ascii="Cambria Math" w:hAnsi="Cambria Math" w:cs="Open Sans Light"/>
                </w:rPr>
                <m:t>β</m:t>
              </m:r>
            </m:e>
            <m:sub>
              <m:r>
                <m:rPr>
                  <m:sty m:val="p"/>
                </m:rPr>
                <w:rPr>
                  <w:rFonts w:ascii="Cambria Math" w:hAnsi="Cambria Math" w:cs="Open Sans Light"/>
                </w:rPr>
                <m:t>1</m:t>
              </m:r>
            </m:sub>
          </m:sSub>
          <m:r>
            <w:rPr>
              <w:rFonts w:ascii="Cambria Math" w:hAnsi="Cambria Math" w:cs="Open Sans Light"/>
            </w:rPr>
            <m:t>dens</m:t>
          </m:r>
          <m:sSub>
            <m:sSubPr>
              <m:ctrlPr>
                <w:rPr>
                  <w:rFonts w:ascii="Cambria Math" w:hAnsi="Cambria Math" w:cs="Open Sans Light"/>
                </w:rPr>
              </m:ctrlPr>
            </m:sSubPr>
            <m:e>
              <m:r>
                <w:rPr>
                  <w:rFonts w:ascii="Cambria Math" w:hAnsi="Cambria Math" w:cs="Open Sans Light"/>
                </w:rPr>
                <m:t>e</m:t>
              </m:r>
            </m:e>
            <m:sub>
              <m:r>
                <w:rPr>
                  <w:rFonts w:ascii="Cambria Math" w:hAnsi="Cambria Math" w:cs="Open Sans Light"/>
                </w:rPr>
                <m:t>i</m:t>
              </m:r>
            </m:sub>
          </m:sSub>
          <m:r>
            <m:rPr>
              <m:sty m:val="p"/>
            </m:rPr>
            <w:rPr>
              <w:rFonts w:ascii="Cambria Math" w:hAnsi="Cambria Math" w:cs="Open Sans Light"/>
            </w:rPr>
            <m:t>+</m:t>
          </m:r>
          <m:sSub>
            <m:sSubPr>
              <m:ctrlPr>
                <w:rPr>
                  <w:rFonts w:ascii="Cambria Math" w:hAnsi="Cambria Math" w:cs="Open Sans Light"/>
                </w:rPr>
              </m:ctrlPr>
            </m:sSubPr>
            <m:e>
              <m:r>
                <w:rPr>
                  <w:rFonts w:ascii="Cambria Math" w:hAnsi="Cambria Math" w:cs="Open Sans Light"/>
                </w:rPr>
                <m:t>β</m:t>
              </m:r>
            </m:e>
            <m:sub>
              <m:r>
                <m:rPr>
                  <m:sty m:val="p"/>
                </m:rPr>
                <w:rPr>
                  <w:rFonts w:ascii="Cambria Math" w:hAnsi="Cambria Math" w:cs="Open Sans Light"/>
                </w:rPr>
                <m:t>2</m:t>
              </m:r>
            </m:sub>
          </m:sSub>
          <m:r>
            <w:rPr>
              <w:rFonts w:ascii="Cambria Math" w:hAnsi="Cambria Math" w:cs="Open Sans Light"/>
            </w:rPr>
            <m:t>dis</m:t>
          </m:r>
          <m:sSub>
            <m:sSubPr>
              <m:ctrlPr>
                <w:rPr>
                  <w:rFonts w:ascii="Cambria Math" w:hAnsi="Cambria Math" w:cs="Open Sans Light"/>
                </w:rPr>
              </m:ctrlPr>
            </m:sSubPr>
            <m:e>
              <m:r>
                <w:rPr>
                  <w:rFonts w:ascii="Cambria Math" w:hAnsi="Cambria Math" w:cs="Open Sans Light"/>
                </w:rPr>
                <m:t>t</m:t>
              </m:r>
            </m:e>
            <m:sub>
              <m:r>
                <w:rPr>
                  <w:rFonts w:ascii="Cambria Math" w:hAnsi="Cambria Math" w:cs="Open Sans Light"/>
                </w:rPr>
                <m:t>i</m:t>
              </m:r>
            </m:sub>
          </m:sSub>
          <m:r>
            <m:rPr>
              <m:sty m:val="p"/>
            </m:rPr>
            <w:rPr>
              <w:rFonts w:ascii="Cambria Math" w:hAnsi="Cambria Math" w:cs="Open Sans Light"/>
            </w:rPr>
            <m:t>+</m:t>
          </m:r>
          <m:sSub>
            <m:sSubPr>
              <m:ctrlPr>
                <w:rPr>
                  <w:rFonts w:ascii="Cambria Math" w:hAnsi="Cambria Math" w:cs="Open Sans Light"/>
                </w:rPr>
              </m:ctrlPr>
            </m:sSubPr>
            <m:e>
              <m:r>
                <w:rPr>
                  <w:rFonts w:ascii="Cambria Math" w:hAnsi="Cambria Math" w:cs="Open Sans Light"/>
                </w:rPr>
                <m:t>β</m:t>
              </m:r>
            </m:e>
            <m:sub>
              <m:r>
                <m:rPr>
                  <m:sty m:val="p"/>
                </m:rPr>
                <w:rPr>
                  <w:rFonts w:ascii="Cambria Math" w:hAnsi="Cambria Math" w:cs="Open Sans Light"/>
                </w:rPr>
                <m:t>3</m:t>
              </m:r>
            </m:sub>
          </m:sSub>
          <m:r>
            <w:rPr>
              <w:rFonts w:ascii="Cambria Math" w:hAnsi="Cambria Math" w:cs="Open Sans Light"/>
            </w:rPr>
            <m:t>slop</m:t>
          </m:r>
          <m:sSub>
            <m:sSubPr>
              <m:ctrlPr>
                <w:rPr>
                  <w:rFonts w:ascii="Cambria Math" w:hAnsi="Cambria Math" w:cs="Open Sans Light"/>
                </w:rPr>
              </m:ctrlPr>
            </m:sSubPr>
            <m:e>
              <m:r>
                <w:rPr>
                  <w:rFonts w:ascii="Cambria Math" w:hAnsi="Cambria Math" w:cs="Open Sans Light"/>
                </w:rPr>
                <m:t>e</m:t>
              </m:r>
            </m:e>
            <m:sub>
              <m:r>
                <w:rPr>
                  <w:rFonts w:ascii="Cambria Math" w:hAnsi="Cambria Math" w:cs="Open Sans Light"/>
                </w:rPr>
                <m:t>i</m:t>
              </m:r>
            </m:sub>
          </m:sSub>
          <m:r>
            <m:rPr>
              <m:sty m:val="p"/>
            </m:rPr>
            <w:rPr>
              <w:rFonts w:ascii="Cambria Math" w:hAnsi="Cambria Math" w:cs="Open Sans Light"/>
            </w:rPr>
            <m:t>+</m:t>
          </m:r>
          <m:sSub>
            <m:sSubPr>
              <m:ctrlPr>
                <w:rPr>
                  <w:rFonts w:ascii="Cambria Math" w:hAnsi="Cambria Math" w:cs="Open Sans Light"/>
                </w:rPr>
              </m:ctrlPr>
            </m:sSubPr>
            <m:e>
              <m:r>
                <w:rPr>
                  <w:rFonts w:ascii="Cambria Math" w:hAnsi="Cambria Math" w:cs="Open Sans Light"/>
                </w:rPr>
                <m:t>β</m:t>
              </m:r>
            </m:e>
            <m:sub>
              <m:r>
                <m:rPr>
                  <m:sty m:val="p"/>
                </m:rPr>
                <w:rPr>
                  <w:rFonts w:ascii="Cambria Math" w:hAnsi="Cambria Math" w:cs="Open Sans Light"/>
                </w:rPr>
                <m:t>4</m:t>
              </m:r>
            </m:sub>
          </m:sSub>
          <m:func>
            <m:funcPr>
              <m:ctrlPr>
                <w:rPr>
                  <w:rFonts w:ascii="Cambria Math" w:hAnsi="Cambria Math" w:cs="Open Sans Light"/>
                </w:rPr>
              </m:ctrlPr>
            </m:funcPr>
            <m:fName>
              <m:r>
                <m:rPr>
                  <m:sty m:val="p"/>
                </m:rPr>
                <w:rPr>
                  <w:rFonts w:ascii="Cambria Math" w:hAnsi="Cambria Math" w:cs="Open Sans Light"/>
                </w:rPr>
                <m:t>ln</m:t>
              </m:r>
            </m:fName>
            <m:e>
              <m:d>
                <m:dPr>
                  <m:ctrlPr>
                    <w:rPr>
                      <w:rFonts w:ascii="Cambria Math" w:hAnsi="Cambria Math" w:cs="Open Sans Light"/>
                    </w:rPr>
                  </m:ctrlPr>
                </m:dPr>
                <m:e>
                  <m:r>
                    <w:rPr>
                      <w:rFonts w:ascii="Cambria Math" w:hAnsi="Cambria Math" w:cs="Open Sans Light"/>
                    </w:rPr>
                    <m:t>pa</m:t>
                  </m:r>
                  <m:sSub>
                    <m:sSubPr>
                      <m:ctrlPr>
                        <w:rPr>
                          <w:rFonts w:ascii="Cambria Math" w:hAnsi="Cambria Math" w:cs="Open Sans Light"/>
                        </w:rPr>
                      </m:ctrlPr>
                    </m:sSubPr>
                    <m:e>
                      <m:r>
                        <w:rPr>
                          <w:rFonts w:ascii="Cambria Math" w:hAnsi="Cambria Math" w:cs="Open Sans Light"/>
                        </w:rPr>
                        <m:t>x</m:t>
                      </m:r>
                    </m:e>
                    <m:sub>
                      <m:r>
                        <w:rPr>
                          <w:rFonts w:ascii="Cambria Math" w:hAnsi="Cambria Math" w:cs="Open Sans Light"/>
                        </w:rPr>
                        <m:t>i</m:t>
                      </m:r>
                      <m:r>
                        <m:rPr>
                          <m:sty m:val="p"/>
                        </m:rPr>
                        <w:rPr>
                          <w:rFonts w:ascii="Cambria Math" w:hAnsi="Cambria Math" w:cs="Open Sans Light"/>
                        </w:rPr>
                        <m:t>,</m:t>
                      </m:r>
                      <m:r>
                        <w:rPr>
                          <w:rFonts w:ascii="Cambria Math" w:hAnsi="Cambria Math" w:cs="Open Sans Light"/>
                        </w:rPr>
                        <m:t>train</m:t>
                      </m:r>
                    </m:sub>
                  </m:sSub>
                </m:e>
              </m:d>
            </m:e>
          </m:func>
          <m:r>
            <m:rPr>
              <m:sty m:val="p"/>
            </m:rPr>
            <w:rPr>
              <w:rFonts w:ascii="Cambria Math" w:hAnsi="Cambria Math" w:cs="Open Sans Light"/>
            </w:rPr>
            <m:t>+</m:t>
          </m:r>
          <m:sSub>
            <m:sSubPr>
              <m:ctrlPr>
                <w:rPr>
                  <w:rFonts w:ascii="Cambria Math" w:hAnsi="Cambria Math" w:cs="Open Sans Light"/>
                </w:rPr>
              </m:ctrlPr>
            </m:sSubPr>
            <m:e>
              <m:r>
                <w:rPr>
                  <w:rFonts w:ascii="Cambria Math" w:hAnsi="Cambria Math" w:cs="Open Sans Light"/>
                </w:rPr>
                <m:t>β</m:t>
              </m:r>
            </m:e>
            <m:sub>
              <m:r>
                <m:rPr>
                  <m:sty m:val="p"/>
                </m:rPr>
                <w:rPr>
                  <w:rFonts w:ascii="Cambria Math" w:hAnsi="Cambria Math" w:cs="Open Sans Light"/>
                </w:rPr>
                <m:t>5</m:t>
              </m:r>
            </m:sub>
          </m:sSub>
          <m:func>
            <m:funcPr>
              <m:ctrlPr>
                <w:rPr>
                  <w:rFonts w:ascii="Cambria Math" w:hAnsi="Cambria Math" w:cs="Open Sans Light"/>
                </w:rPr>
              </m:ctrlPr>
            </m:funcPr>
            <m:fName>
              <m:r>
                <m:rPr>
                  <m:sty m:val="p"/>
                </m:rPr>
                <w:rPr>
                  <w:rFonts w:ascii="Cambria Math" w:hAnsi="Cambria Math" w:cs="Open Sans Light"/>
                </w:rPr>
                <m:t>ln</m:t>
              </m:r>
            </m:fName>
            <m:e>
              <m:d>
                <m:dPr>
                  <m:ctrlPr>
                    <w:rPr>
                      <w:rFonts w:ascii="Cambria Math" w:hAnsi="Cambria Math" w:cs="Open Sans Light"/>
                    </w:rPr>
                  </m:ctrlPr>
                </m:dPr>
                <m:e>
                  <m:r>
                    <w:rPr>
                      <w:rFonts w:ascii="Cambria Math" w:hAnsi="Cambria Math" w:cs="Open Sans Light"/>
                    </w:rPr>
                    <m:t>pa</m:t>
                  </m:r>
                  <m:sSub>
                    <m:sSubPr>
                      <m:ctrlPr>
                        <w:rPr>
                          <w:rFonts w:ascii="Cambria Math" w:hAnsi="Cambria Math" w:cs="Open Sans Light"/>
                        </w:rPr>
                      </m:ctrlPr>
                    </m:sSubPr>
                    <m:e>
                      <m:r>
                        <w:rPr>
                          <w:rFonts w:ascii="Cambria Math" w:hAnsi="Cambria Math" w:cs="Open Sans Light"/>
                        </w:rPr>
                        <m:t>x</m:t>
                      </m:r>
                    </m:e>
                    <m:sub>
                      <m:r>
                        <w:rPr>
                          <w:rFonts w:ascii="Cambria Math" w:hAnsi="Cambria Math" w:cs="Open Sans Light"/>
                        </w:rPr>
                        <m:t>i</m:t>
                      </m:r>
                      <m:r>
                        <m:rPr>
                          <m:sty m:val="p"/>
                        </m:rPr>
                        <w:rPr>
                          <w:rFonts w:ascii="Cambria Math" w:hAnsi="Cambria Math" w:cs="Open Sans Light"/>
                        </w:rPr>
                        <m:t>,</m:t>
                      </m:r>
                      <m:r>
                        <w:rPr>
                          <w:rFonts w:ascii="Cambria Math" w:hAnsi="Cambria Math" w:cs="Open Sans Light"/>
                        </w:rPr>
                        <m:t>bus</m:t>
                      </m:r>
                      <m:r>
                        <m:rPr>
                          <m:sty m:val="p"/>
                        </m:rPr>
                        <w:rPr>
                          <w:rFonts w:ascii="Cambria Math" w:hAnsi="Cambria Math" w:cs="Open Sans Light"/>
                        </w:rPr>
                        <m:t>+</m:t>
                      </m:r>
                      <m:r>
                        <w:rPr>
                          <w:rFonts w:ascii="Cambria Math" w:hAnsi="Cambria Math" w:cs="Open Sans Light"/>
                        </w:rPr>
                        <m:t>light</m:t>
                      </m:r>
                      <m:r>
                        <m:rPr>
                          <m:sty m:val="p"/>
                        </m:rPr>
                        <w:rPr>
                          <w:rFonts w:ascii="Cambria Math" w:hAnsi="Cambria Math" w:cs="Open Sans Light"/>
                        </w:rPr>
                        <m:t xml:space="preserve"> </m:t>
                      </m:r>
                      <m:r>
                        <w:rPr>
                          <w:rFonts w:ascii="Cambria Math" w:hAnsi="Cambria Math" w:cs="Open Sans Light"/>
                        </w:rPr>
                        <m:t>rail</m:t>
                      </m:r>
                    </m:sub>
                  </m:sSub>
                </m:e>
              </m:d>
            </m:e>
          </m:func>
          <m:r>
            <m:rPr>
              <m:sty m:val="p"/>
            </m:rPr>
            <w:rPr>
              <w:rFonts w:ascii="Cambria Math" w:hAnsi="Cambria Math" w:cs="Open Sans Light"/>
            </w:rPr>
            <m:t>+</m:t>
          </m:r>
          <m:sSub>
            <m:sSubPr>
              <m:ctrlPr>
                <w:rPr>
                  <w:rFonts w:ascii="Cambria Math" w:hAnsi="Cambria Math" w:cs="Open Sans Light"/>
                </w:rPr>
              </m:ctrlPr>
            </m:sSubPr>
            <m:e>
              <m:r>
                <w:rPr>
                  <w:rFonts w:ascii="Cambria Math" w:hAnsi="Cambria Math" w:cs="Open Sans Light"/>
                </w:rPr>
                <m:t>β</m:t>
              </m:r>
            </m:e>
            <m:sub>
              <m:r>
                <m:rPr>
                  <m:sty m:val="p"/>
                </m:rPr>
                <w:rPr>
                  <w:rFonts w:ascii="Cambria Math" w:hAnsi="Cambria Math" w:cs="Open Sans Light"/>
                </w:rPr>
                <m:t>6</m:t>
              </m:r>
            </m:sub>
          </m:sSub>
          <m:sSub>
            <m:sSubPr>
              <m:ctrlPr>
                <w:rPr>
                  <w:rFonts w:ascii="Cambria Math" w:hAnsi="Cambria Math" w:cs="Open Sans Light"/>
                </w:rPr>
              </m:ctrlPr>
            </m:sSubPr>
            <m:e>
              <m:r>
                <w:rPr>
                  <w:rFonts w:ascii="Cambria Math" w:hAnsi="Cambria Math" w:cs="Open Sans Light"/>
                </w:rPr>
                <m:t>D</m:t>
              </m:r>
            </m:e>
            <m:sub>
              <m:r>
                <w:rPr>
                  <w:rFonts w:ascii="Cambria Math" w:hAnsi="Cambria Math" w:cs="Open Sans Light"/>
                </w:rPr>
                <m:t>i</m:t>
              </m:r>
              <m:r>
                <m:rPr>
                  <m:sty m:val="p"/>
                </m:rPr>
                <w:rPr>
                  <w:rFonts w:ascii="Cambria Math" w:hAnsi="Cambria Math" w:cs="Open Sans Light"/>
                </w:rPr>
                <m:t>,</m:t>
              </m:r>
              <m:r>
                <w:rPr>
                  <w:rFonts w:ascii="Cambria Math" w:hAnsi="Cambria Math" w:cs="Open Sans Light"/>
                </w:rPr>
                <m:t>ferry</m:t>
              </m:r>
            </m:sub>
          </m:sSub>
        </m:oMath>
      </m:oMathPara>
    </w:p>
    <w:p w14:paraId="424DB678" w14:textId="77777777" w:rsidR="007E365E" w:rsidRPr="00976585" w:rsidRDefault="007E365E" w:rsidP="007E365E">
      <w:pPr>
        <w:pStyle w:val="CGCParaNumber"/>
      </w:pPr>
      <w:r w:rsidRPr="009F1807">
        <w:rPr>
          <w:rFonts w:cs="Open Sans Light"/>
        </w:rPr>
        <w:t>The d</w:t>
      </w:r>
      <w:r w:rsidRPr="00976585">
        <w:t>ependent variable (</w:t>
      </w:r>
      <m:oMath>
        <m:r>
          <w:rPr>
            <w:rFonts w:ascii="Cambria Math" w:hAnsi="Cambria Math" w:cstheme="minorHAnsi"/>
          </w:rPr>
          <m:t>ex</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r>
          <w:rPr>
            <w:rFonts w:ascii="Cambria Math" w:hAnsi="Cambria Math" w:cstheme="minorHAnsi"/>
          </w:rPr>
          <m:t>)</m:t>
        </m:r>
      </m:oMath>
      <w:r w:rsidRPr="00976585">
        <w:t xml:space="preserve"> is net per capita State expenses on public transport by urban centres. The Commission collected the net expenses data from States in a special data return in late 2017. </w:t>
      </w:r>
    </w:p>
    <w:p w14:paraId="3A5DDEFA" w14:textId="77777777" w:rsidR="007E365E" w:rsidRPr="00976585" w:rsidRDefault="007E365E" w:rsidP="007E365E">
      <w:pPr>
        <w:pStyle w:val="CGCParaNumber"/>
      </w:pPr>
      <w:r w:rsidRPr="00976585">
        <w:t>The independent variables of the model are described below.</w:t>
      </w:r>
    </w:p>
    <w:p w14:paraId="3E3FFE4D" w14:textId="77777777" w:rsidR="007E365E" w:rsidRPr="00E93785" w:rsidRDefault="007E365E" w:rsidP="007E365E">
      <w:pPr>
        <w:pStyle w:val="CGCBullet1"/>
      </w:pPr>
      <w:r w:rsidRPr="00976585">
        <w:t>Population-weighted density (PWD) (</w:t>
      </w:r>
      <m:oMath>
        <m:r>
          <w:rPr>
            <w:rFonts w:ascii="Cambria Math" w:hAnsi="Cambria Math"/>
          </w:rPr>
          <m:t>dens</m:t>
        </m:r>
        <m:sSub>
          <m:sSubPr>
            <m:ctrlPr>
              <w:rPr>
                <w:rFonts w:ascii="Cambria Math" w:hAnsi="Cambria Math"/>
                <w:i/>
              </w:rPr>
            </m:ctrlPr>
          </m:sSubPr>
          <m:e>
            <m:r>
              <w:rPr>
                <w:rFonts w:ascii="Cambria Math" w:hAnsi="Cambria Math"/>
              </w:rPr>
              <m:t>e</m:t>
            </m:r>
          </m:e>
          <m:sub>
            <m:r>
              <w:rPr>
                <w:rFonts w:ascii="Cambria Math" w:hAnsi="Cambria Math"/>
              </w:rPr>
              <m:t>i</m:t>
            </m:r>
          </m:sub>
        </m:sSub>
      </m:oMath>
      <w:r w:rsidRPr="00976585">
        <w:t xml:space="preserve">) depicts demand. It is </w:t>
      </w:r>
      <w:r w:rsidRPr="00513387">
        <w:t>calculated as the sum of density of each Statistical Area Level 1 (SA1) in all urban centre</w:t>
      </w:r>
      <w:r>
        <w:t xml:space="preserve">s and </w:t>
      </w:r>
      <w:r w:rsidRPr="00513387">
        <w:t xml:space="preserve">localities (UCL) within a </w:t>
      </w:r>
      <w:r>
        <w:t>s</w:t>
      </w:r>
      <w:r w:rsidRPr="00976585">
        <w:t xml:space="preserve">ignificant </w:t>
      </w:r>
      <w:r>
        <w:t>u</w:t>
      </w:r>
      <w:r w:rsidRPr="00976585">
        <w:t xml:space="preserve">rban </w:t>
      </w:r>
      <w:r>
        <w:t>a</w:t>
      </w:r>
      <w:r w:rsidRPr="00976585">
        <w:t>rea (</w:t>
      </w:r>
      <w:r w:rsidRPr="00513387">
        <w:t>SUA</w:t>
      </w:r>
      <w:r>
        <w:t>)</w:t>
      </w:r>
      <w:r w:rsidRPr="00513387">
        <w:t xml:space="preserve"> weighted by the SA1 population share of the UCLs in the SUA.</w:t>
      </w:r>
    </w:p>
    <w:p w14:paraId="380BB5E0" w14:textId="77777777" w:rsidR="007E365E" w:rsidRPr="00976585" w:rsidRDefault="007E365E" w:rsidP="007E365E">
      <w:pPr>
        <w:pStyle w:val="CGCBullet1"/>
      </w:pPr>
      <w:r w:rsidRPr="00976585">
        <w:lastRenderedPageBreak/>
        <w:t>Median commuter distance to work (</w:t>
      </w:r>
      <m:oMath>
        <m:r>
          <w:rPr>
            <w:rFonts w:ascii="Cambria Math" w:hAnsi="Cambria Math"/>
          </w:rPr>
          <m:t>dis</m:t>
        </m:r>
        <m:sSub>
          <m:sSubPr>
            <m:ctrlPr>
              <w:rPr>
                <w:rFonts w:ascii="Cambria Math" w:hAnsi="Cambria Math"/>
                <w:i/>
              </w:rPr>
            </m:ctrlPr>
          </m:sSubPr>
          <m:e>
            <m:r>
              <w:rPr>
                <w:rFonts w:ascii="Cambria Math" w:hAnsi="Cambria Math"/>
              </w:rPr>
              <m:t>t</m:t>
            </m:r>
          </m:e>
          <m:sub>
            <m:r>
              <w:rPr>
                <w:rFonts w:ascii="Cambria Math" w:hAnsi="Cambria Math"/>
              </w:rPr>
              <m:t>i</m:t>
            </m:r>
          </m:sub>
        </m:sSub>
      </m:oMath>
      <w:r w:rsidRPr="00976585">
        <w:t>) represents network complexity and the characteristics of individual urban centres. It is a derived data item based on the 2016</w:t>
      </w:r>
      <w:r>
        <w:t> </w:t>
      </w:r>
      <w:r w:rsidRPr="00976585">
        <w:t>Census data, measured as the distance travelled (shortest path of the road network) between an individual’s usual residence and place of work.</w:t>
      </w:r>
    </w:p>
    <w:p w14:paraId="344D2D6A" w14:textId="77777777" w:rsidR="007E365E" w:rsidRPr="00976585" w:rsidRDefault="007E365E" w:rsidP="007E365E">
      <w:pPr>
        <w:pStyle w:val="CGCBullet1"/>
      </w:pPr>
      <w:r w:rsidRPr="00976585">
        <w:t>Mean land slope (</w:t>
      </w:r>
      <m:oMath>
        <m:r>
          <w:rPr>
            <w:rFonts w:ascii="Cambria Math" w:hAnsi="Cambria Math"/>
          </w:rPr>
          <m:t>slop</m:t>
        </m:r>
        <m:sSub>
          <m:sSubPr>
            <m:ctrlPr>
              <w:rPr>
                <w:rFonts w:ascii="Cambria Math" w:hAnsi="Cambria Math"/>
                <w:i/>
              </w:rPr>
            </m:ctrlPr>
          </m:sSubPr>
          <m:e>
            <m:r>
              <w:rPr>
                <w:rFonts w:ascii="Cambria Math" w:hAnsi="Cambria Math"/>
              </w:rPr>
              <m:t>e</m:t>
            </m:r>
          </m:e>
          <m:sub>
            <m:r>
              <w:rPr>
                <w:rFonts w:ascii="Cambria Math" w:hAnsi="Cambria Math"/>
              </w:rPr>
              <m:t>i</m:t>
            </m:r>
          </m:sub>
        </m:sSub>
      </m:oMath>
      <w:r w:rsidRPr="00976585">
        <w:t>) accounts for jurisdictional topography, as measured by the average mean slope of the urban areas. The data were generated from a spatial analysis process developed by Geoscience Australia using ArcGIS v.10.0 and Feature Manipulation Engine (FME) 2012.</w:t>
      </w:r>
    </w:p>
    <w:p w14:paraId="0FD40996" w14:textId="77777777" w:rsidR="007E365E" w:rsidRPr="00976585" w:rsidRDefault="007E365E" w:rsidP="007E365E">
      <w:pPr>
        <w:pStyle w:val="CGCBullet1"/>
      </w:pPr>
      <w:r w:rsidRPr="00976585">
        <w:t>Passengers by public transport mode (</w:t>
      </w:r>
      <m:oMath>
        <m:r>
          <w:rPr>
            <w:rFonts w:ascii="Cambria Math" w:hAnsi="Cambria Math"/>
          </w:rPr>
          <m:t>pa</m:t>
        </m:r>
        <m:sSub>
          <m:sSubPr>
            <m:ctrlPr>
              <w:rPr>
                <w:rFonts w:ascii="Cambria Math" w:hAnsi="Cambria Math"/>
                <w:i/>
              </w:rPr>
            </m:ctrlPr>
          </m:sSubPr>
          <m:e>
            <m:r>
              <w:rPr>
                <w:rFonts w:ascii="Cambria Math" w:hAnsi="Cambria Math"/>
              </w:rPr>
              <m:t>x</m:t>
            </m:r>
          </m:e>
          <m:sub>
            <m:r>
              <w:rPr>
                <w:rFonts w:ascii="Cambria Math" w:hAnsi="Cambria Math"/>
              </w:rPr>
              <m:t>i,train</m:t>
            </m:r>
          </m:sub>
        </m:sSub>
      </m:oMath>
      <w:r w:rsidRPr="00976585">
        <w:t xml:space="preserve"> and </w:t>
      </w:r>
      <m:oMath>
        <m:r>
          <w:rPr>
            <w:rFonts w:ascii="Cambria Math" w:hAnsi="Cambria Math"/>
          </w:rPr>
          <m:t>pa</m:t>
        </m:r>
        <m:sSub>
          <m:sSubPr>
            <m:ctrlPr>
              <w:rPr>
                <w:rFonts w:ascii="Cambria Math" w:hAnsi="Cambria Math"/>
                <w:i/>
              </w:rPr>
            </m:ctrlPr>
          </m:sSubPr>
          <m:e>
            <m:r>
              <w:rPr>
                <w:rFonts w:ascii="Cambria Math" w:hAnsi="Cambria Math"/>
              </w:rPr>
              <m:t>x</m:t>
            </m:r>
          </m:e>
          <m:sub>
            <m:r>
              <w:rPr>
                <w:rFonts w:ascii="Cambria Math" w:hAnsi="Cambria Math"/>
              </w:rPr>
              <m:t>i,bus+light rail</m:t>
            </m:r>
          </m:sub>
        </m:sSub>
      </m:oMath>
      <w:r w:rsidRPr="00976585">
        <w:t>) represents mode availability (level of service) and congestion. Heavy rail passengers are considered separately from bus and light rail passengers. These data are derived using the 2016</w:t>
      </w:r>
      <w:r>
        <w:t> </w:t>
      </w:r>
      <w:r w:rsidRPr="00976585">
        <w:t>Census enumeration of persons by place of usual residence reporting their method of travel to work. The functional form of the model is reflected by considering the logarithm for both variables.</w:t>
      </w:r>
    </w:p>
    <w:p w14:paraId="54807D4F" w14:textId="77777777" w:rsidR="007E365E" w:rsidRPr="00976585" w:rsidRDefault="007E365E" w:rsidP="007E365E">
      <w:pPr>
        <w:pStyle w:val="CGCBullet1"/>
      </w:pPr>
      <w:r w:rsidRPr="00976585">
        <w:t>A dummy variable to indicate the presence or absence of a ferry service (</w:t>
      </w:r>
      <m:oMath>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m:t>
            </m:r>
            <m:r>
              <w:rPr>
                <w:rFonts w:ascii="Cambria Math" w:hAnsi="Cambria Math"/>
              </w:rPr>
              <m:t>ferry</m:t>
            </m:r>
          </m:sub>
        </m:sSub>
      </m:oMath>
      <w:r w:rsidRPr="00976585">
        <w:t>) is included to account for the presence of this public transport service in an urban centre.</w:t>
      </w:r>
    </w:p>
    <w:p w14:paraId="605413EB" w14:textId="77777777" w:rsidR="007E365E" w:rsidRPr="00976585" w:rsidRDefault="007E365E" w:rsidP="007E365E">
      <w:pPr>
        <w:pStyle w:val="CGCParaNumber"/>
      </w:pPr>
      <w:bookmarkStart w:id="247" w:name="_Ref7595535"/>
      <w:r w:rsidRPr="00513387">
        <w:t xml:space="preserve">A number of States, notably Victoria and Tasmania, were concerned that some variables, such as student numbers and income, were not included in the consultants’ preferred model. </w:t>
      </w:r>
      <w:r w:rsidRPr="00976585">
        <w:t>Tasmania considered that the demand associated with off-peak public transport users, such as concession passengers, is not appropriately captured. It argued the model disproportionately emphasises the demand of commuters at the expense of non</w:t>
      </w:r>
      <w:r w:rsidRPr="00976585">
        <w:noBreakHyphen/>
        <w:t>work related commutes. Furthermore, excluding a variable that captures low socio</w:t>
      </w:r>
      <w:r w:rsidRPr="00976585">
        <w:noBreakHyphen/>
        <w:t>economic status means that the impact of public transport use for purposes other than commuting is not measured, since the Census ‘journey to work’ dataset only measures the public transport use by employed persons.</w:t>
      </w:r>
    </w:p>
    <w:p w14:paraId="148CFE82" w14:textId="77777777" w:rsidR="007E365E" w:rsidRPr="00976585" w:rsidRDefault="007E365E" w:rsidP="007E365E">
      <w:pPr>
        <w:pStyle w:val="CGCParaNumber"/>
      </w:pPr>
      <w:r w:rsidRPr="00513387">
        <w:t>The consultants tested a range of variables, including student numbers and socio</w:t>
      </w:r>
      <w:r w:rsidRPr="00513387">
        <w:noBreakHyphen/>
        <w:t xml:space="preserve">economic status (SES). These and other variables suggested by States were not included when they did not improve the </w:t>
      </w:r>
      <w:r w:rsidRPr="00976585">
        <w:t xml:space="preserve">explanatory power of the </w:t>
      </w:r>
      <w:r w:rsidRPr="00513387">
        <w:t>model. Influences such as overseas visitors as raised by Victoria could not be modelled due to lack of data.</w:t>
      </w:r>
    </w:p>
    <w:p w14:paraId="000C766E" w14:textId="77777777" w:rsidR="007E365E" w:rsidRPr="00976585" w:rsidRDefault="007E365E" w:rsidP="007E365E">
      <w:pPr>
        <w:pStyle w:val="CGCParaNumber"/>
      </w:pPr>
      <w:r w:rsidRPr="00976585">
        <w:t>In addition, while SES may influence the need for public transport, its relationship to use is not clear. For example, outer-urban areas of Australian capital cities have a relatively higher concentration of low SES people. These areas can generally be described as transport disadvantaged areas – where accessibility to public transport is low and forced car ownership is relatively high.</w:t>
      </w:r>
      <w:r w:rsidRPr="00976585">
        <w:rPr>
          <w:rStyle w:val="FootnoteReference"/>
        </w:rPr>
        <w:footnoteReference w:id="49"/>
      </w:r>
      <w:r w:rsidRPr="00976585">
        <w:t xml:space="preserve"> </w:t>
      </w:r>
    </w:p>
    <w:p w14:paraId="79280C16" w14:textId="77777777" w:rsidR="007E365E" w:rsidRPr="00976585" w:rsidRDefault="007E365E" w:rsidP="007E365E">
      <w:pPr>
        <w:pStyle w:val="CGCParaNumber"/>
      </w:pPr>
      <w:r w:rsidRPr="00976585">
        <w:t xml:space="preserve">Queensland, Western Australia and Tasmania were concerned that there is a risk of multicollinearity, double counting of demand, or both in the final model. However, the consultants’ selection of variables aimed to minimise multicollinearity and double counting, as explained in their stage 2 report. </w:t>
      </w:r>
    </w:p>
    <w:p w14:paraId="106495B1" w14:textId="77777777" w:rsidR="007E365E" w:rsidRPr="00976585" w:rsidRDefault="007E365E" w:rsidP="007E365E">
      <w:pPr>
        <w:pStyle w:val="CGCParaNumber"/>
      </w:pPr>
      <w:r w:rsidRPr="00D71F3C">
        <w:rPr>
          <w:rStyle w:val="Heading6Char"/>
        </w:rPr>
        <w:t>Population density.</w:t>
      </w:r>
      <w:r w:rsidRPr="00976585">
        <w:t xml:space="preserve"> This variable captures the demand for services. International literature shows that demand for public transport is expected to be higher in cities with high densities </w:t>
      </w:r>
      <w:r w:rsidRPr="00976585">
        <w:lastRenderedPageBreak/>
        <w:t xml:space="preserve">than in those with lower densities. Population density is not only related to urban population but also to the surface area of urban centres. Surface area influences public transport demand in the following ways: </w:t>
      </w:r>
    </w:p>
    <w:p w14:paraId="7DCF6590" w14:textId="77777777" w:rsidR="007E365E" w:rsidRPr="00976585" w:rsidRDefault="007E365E" w:rsidP="007E365E">
      <w:pPr>
        <w:pStyle w:val="CGCBullet1"/>
      </w:pPr>
      <w:r w:rsidRPr="00976585">
        <w:t xml:space="preserve">The more dense an urban centre becomes, the higher the use of public transport because the use of private road vehicles tends to decline due to higher costs related to parking and heavy traffic conditions (congestion). </w:t>
      </w:r>
    </w:p>
    <w:p w14:paraId="18784358" w14:textId="77777777" w:rsidR="007E365E" w:rsidRPr="00976585" w:rsidRDefault="007E365E" w:rsidP="007E365E">
      <w:pPr>
        <w:pStyle w:val="CGCBullet1"/>
      </w:pPr>
      <w:r w:rsidRPr="00976585">
        <w:t>The Australian experience shows that large urban sprawl encourages people to have their own private transport because accessibility to the public transport network is poorer and travel distances are longer. This reduces the use of public transport.</w:t>
      </w:r>
      <w:r w:rsidRPr="00976585">
        <w:rPr>
          <w:rStyle w:val="FootnoteReference"/>
        </w:rPr>
        <w:footnoteReference w:id="50"/>
      </w:r>
      <w:r w:rsidRPr="00976585">
        <w:rPr>
          <w:vertAlign w:val="superscript"/>
        </w:rPr>
        <w:t>,</w:t>
      </w:r>
      <w:r w:rsidRPr="00976585">
        <w:rPr>
          <w:rStyle w:val="FootnoteReference"/>
        </w:rPr>
        <w:footnoteReference w:id="51"/>
      </w:r>
    </w:p>
    <w:p w14:paraId="58BC4E86" w14:textId="77777777" w:rsidR="007E365E" w:rsidRPr="00E93785" w:rsidRDefault="007E365E" w:rsidP="007E365E">
      <w:pPr>
        <w:pStyle w:val="CGCBullet1"/>
      </w:pPr>
      <w:r w:rsidRPr="00E93785">
        <w:t>The relationship between population density and public transport use is reflected in the major cities’ transport plans. For example, Plan Melbourne 2017 – 2050 states that high</w:t>
      </w:r>
      <w:r>
        <w:noBreakHyphen/>
      </w:r>
      <w:r w:rsidRPr="00E93785">
        <w:t xml:space="preserve">density residential developments will be used to deliver more housing closer to public transport. The South East Queensland Regional Plan 2017 states that 60% of population growth in </w:t>
      </w:r>
      <w:r>
        <w:t>S</w:t>
      </w:r>
      <w:r w:rsidRPr="00E93785">
        <w:t>outh</w:t>
      </w:r>
      <w:r>
        <w:t xml:space="preserve"> E</w:t>
      </w:r>
      <w:r w:rsidRPr="00E93785">
        <w:t>ast Queensland will be accommodated within existing urban areas and there would be a strong focus on concentrating the additional housing closer to public transport. The Perth METRONET program is seeking to support a more compact urban form that will make public transport use more viable.</w:t>
      </w:r>
    </w:p>
    <w:p w14:paraId="4B1D566D" w14:textId="4F308E94" w:rsidR="007E365E" w:rsidRPr="00513387" w:rsidRDefault="007E365E" w:rsidP="007E365E">
      <w:pPr>
        <w:pStyle w:val="CGCBullet1"/>
      </w:pPr>
      <w:r w:rsidRPr="00E93785">
        <w:t>There is evidence that, in the Australian context, population density is a better measure of demand for public transport than population</w:t>
      </w:r>
      <w:r w:rsidRPr="00D71F3C">
        <w:t xml:space="preserve">. </w:t>
      </w:r>
      <w:r w:rsidRPr="00976585">
        <w:rPr>
          <w:rStyle w:val="Heading6Char"/>
          <w:b/>
          <w:i w:val="0"/>
          <w:iCs w:val="0"/>
          <w:sz w:val="24"/>
        </w:rPr>
        <w:fldChar w:fldCharType="begin"/>
      </w:r>
      <w:r w:rsidRPr="00976585">
        <w:rPr>
          <w:rStyle w:val="Heading6Char"/>
          <w:i w:val="0"/>
          <w:iCs w:val="0"/>
          <w:sz w:val="24"/>
        </w:rPr>
        <w:instrText xml:space="preserve"> REF _Ref5977175 \h  \* MERGEFORMAT </w:instrText>
      </w:r>
      <w:r w:rsidRPr="00976585">
        <w:rPr>
          <w:rStyle w:val="Heading6Char"/>
          <w:b/>
          <w:i w:val="0"/>
          <w:iCs w:val="0"/>
          <w:sz w:val="24"/>
        </w:rPr>
      </w:r>
      <w:r w:rsidRPr="00976585">
        <w:rPr>
          <w:rStyle w:val="Heading6Char"/>
          <w:b/>
          <w:i w:val="0"/>
          <w:iCs w:val="0"/>
          <w:sz w:val="24"/>
        </w:rPr>
        <w:fldChar w:fldCharType="separate"/>
      </w:r>
      <w:r w:rsidR="007F721A" w:rsidRPr="00976585">
        <w:t xml:space="preserve">Figure </w:t>
      </w:r>
      <w:r w:rsidR="007F721A">
        <w:rPr>
          <w:noProof/>
        </w:rPr>
        <w:t>21-1</w:t>
      </w:r>
      <w:r w:rsidRPr="00976585">
        <w:rPr>
          <w:rStyle w:val="Heading6Char"/>
          <w:b/>
          <w:i w:val="0"/>
          <w:iCs w:val="0"/>
          <w:sz w:val="24"/>
        </w:rPr>
        <w:fldChar w:fldCharType="end"/>
      </w:r>
      <w:r w:rsidRPr="00513387">
        <w:t xml:space="preserve"> shows the relationship between the public transport share of total passenger kilometres travelled and population for the eight capital cities. While there is a good overall correlation, it appears that population size alone does not explain the difference in public transport use between Sydney and Melbourne. These two cities have similar population levels but markedly different use of public transport. </w:t>
      </w:r>
      <w:r w:rsidRPr="00976585">
        <w:rPr>
          <w:rStyle w:val="Heading6Char"/>
          <w:b/>
          <w:i w:val="0"/>
          <w:iCs w:val="0"/>
          <w:sz w:val="24"/>
        </w:rPr>
        <w:fldChar w:fldCharType="begin"/>
      </w:r>
      <w:r w:rsidRPr="00976585">
        <w:rPr>
          <w:rStyle w:val="Heading6Char"/>
          <w:i w:val="0"/>
          <w:iCs w:val="0"/>
          <w:sz w:val="24"/>
        </w:rPr>
        <w:instrText xml:space="preserve"> REF _Ref5977189 \h  \* MERGEFORMAT </w:instrText>
      </w:r>
      <w:r w:rsidRPr="00976585">
        <w:rPr>
          <w:rStyle w:val="Heading6Char"/>
          <w:b/>
          <w:i w:val="0"/>
          <w:iCs w:val="0"/>
          <w:sz w:val="24"/>
        </w:rPr>
      </w:r>
      <w:r w:rsidRPr="00976585">
        <w:rPr>
          <w:rStyle w:val="Heading6Char"/>
          <w:b/>
          <w:i w:val="0"/>
          <w:iCs w:val="0"/>
          <w:sz w:val="24"/>
        </w:rPr>
        <w:fldChar w:fldCharType="separate"/>
      </w:r>
      <w:r w:rsidR="007F721A" w:rsidRPr="00976585">
        <w:t xml:space="preserve">Figure </w:t>
      </w:r>
      <w:r w:rsidR="007F721A">
        <w:rPr>
          <w:noProof/>
        </w:rPr>
        <w:t>21-2</w:t>
      </w:r>
      <w:r w:rsidRPr="00976585">
        <w:rPr>
          <w:rStyle w:val="Heading6Char"/>
          <w:b/>
          <w:i w:val="0"/>
          <w:iCs w:val="0"/>
          <w:sz w:val="24"/>
        </w:rPr>
        <w:fldChar w:fldCharType="end"/>
      </w:r>
      <w:r w:rsidRPr="00513387">
        <w:t xml:space="preserve"> shows the relationship with population density instead of population. The correlation is stronger (higher R squared) and population density explains better the difference in public transport use between Sydney and Melbourne. </w:t>
      </w:r>
    </w:p>
    <w:p w14:paraId="3F897514" w14:textId="77777777" w:rsidR="007E365E" w:rsidRPr="00513387" w:rsidRDefault="007E365E" w:rsidP="007E365E">
      <w:pPr>
        <w:pStyle w:val="CGCParaNumber"/>
      </w:pPr>
      <w:r w:rsidRPr="00976585">
        <w:rPr>
          <w:rFonts w:cstheme="minorHAnsi"/>
        </w:rPr>
        <w:t>South Australia</w:t>
      </w:r>
      <w:r w:rsidRPr="00976585">
        <w:t xml:space="preserve"> argued that population density is not a reliable indicator of urban transport needs. </w:t>
      </w:r>
      <w:r w:rsidRPr="00976585">
        <w:rPr>
          <w:rFonts w:cstheme="minorHAnsi"/>
        </w:rPr>
        <w:t>It</w:t>
      </w:r>
      <w:r w:rsidRPr="00976585">
        <w:t xml:space="preserve"> said that the two most densely populated urban centres (Melbourne and Sydney) have vastly different per capita expenses. However, the Commission notes that Sydney’s population density is markedly higher than that of Melbourne, which largely explains the higher per capita expenses in Sydney compared with Melbourne.</w:t>
      </w:r>
    </w:p>
    <w:p w14:paraId="175D662C" w14:textId="0588D3F6" w:rsidR="007E365E" w:rsidRDefault="007E365E" w:rsidP="007E365E">
      <w:pPr>
        <w:pStyle w:val="Caption"/>
        <w:widowControl w:val="0"/>
      </w:pPr>
      <w:bookmarkStart w:id="248" w:name="_Ref5977175"/>
      <w:r w:rsidRPr="00976585">
        <w:lastRenderedPageBreak/>
        <w:t xml:space="preserve">Figure </w:t>
      </w:r>
      <w:r>
        <w:t>21-</w:t>
      </w:r>
      <w:fldSimple w:instr=" SEQ Figure \r1 \* ARABIC ">
        <w:r w:rsidR="007F721A">
          <w:rPr>
            <w:noProof/>
          </w:rPr>
          <w:t>1</w:t>
        </w:r>
      </w:fldSimple>
      <w:bookmarkEnd w:id="248"/>
      <w:r w:rsidRPr="00976585">
        <w:tab/>
        <w:t>Relationship between public transport s</w:t>
      </w:r>
      <w:r w:rsidRPr="00976585">
        <w:rPr>
          <w:rFonts w:cstheme="minorHAnsi"/>
        </w:rPr>
        <w:t>hare of total passenger kilometres travelled and population, 201</w:t>
      </w:r>
      <w:r>
        <w:rPr>
          <w:rFonts w:cstheme="minorHAnsi"/>
        </w:rPr>
        <w:t>8</w:t>
      </w:r>
      <w:r w:rsidRPr="00976585">
        <w:rPr>
          <w:rFonts w:cstheme="minorHAnsi"/>
        </w:rPr>
        <w:t>-1</w:t>
      </w:r>
      <w:r>
        <w:rPr>
          <w:rFonts w:cstheme="minorHAnsi"/>
        </w:rPr>
        <w:t>9</w:t>
      </w:r>
    </w:p>
    <w:p w14:paraId="75255AA8" w14:textId="77777777" w:rsidR="007E365E" w:rsidRDefault="007E365E" w:rsidP="007E365E">
      <w:pPr>
        <w:keepNext/>
        <w:keepLines/>
        <w:widowControl w:val="0"/>
      </w:pPr>
      <w:r w:rsidRPr="00AA7532">
        <w:rPr>
          <w:noProof/>
        </w:rPr>
        <w:drawing>
          <wp:inline distT="0" distB="0" distL="0" distR="0" wp14:anchorId="648AE658" wp14:editId="3FB39E40">
            <wp:extent cx="5676265" cy="355092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6265" cy="3550920"/>
                    </a:xfrm>
                    <a:prstGeom prst="rect">
                      <a:avLst/>
                    </a:prstGeom>
                    <a:noFill/>
                    <a:ln>
                      <a:noFill/>
                    </a:ln>
                  </pic:spPr>
                </pic:pic>
              </a:graphicData>
            </a:graphic>
          </wp:inline>
        </w:drawing>
      </w:r>
    </w:p>
    <w:p w14:paraId="3513D379" w14:textId="77777777" w:rsidR="007E365E" w:rsidRPr="00E93785" w:rsidRDefault="007E365E" w:rsidP="007E365E">
      <w:pPr>
        <w:pStyle w:val="CGCTablenote"/>
        <w:keepNext/>
        <w:keepLines/>
        <w:widowControl w:val="0"/>
      </w:pPr>
      <w:r w:rsidRPr="00976585">
        <w:t>Source:</w:t>
      </w:r>
      <w:r w:rsidRPr="00976585">
        <w:tab/>
        <w:t xml:space="preserve">Commission calculation based on </w:t>
      </w:r>
      <w:r w:rsidRPr="003924E0">
        <w:t xml:space="preserve">Bureau of Infrastructure, Transport and Regional Economics </w:t>
      </w:r>
      <w:r>
        <w:t>(</w:t>
      </w:r>
      <w:r w:rsidRPr="00976585">
        <w:t>BITRE</w:t>
      </w:r>
      <w:r>
        <w:t>)</w:t>
      </w:r>
      <w:r w:rsidRPr="00976585">
        <w:t xml:space="preserve"> and ABS data.</w:t>
      </w:r>
    </w:p>
    <w:p w14:paraId="54A486EC" w14:textId="4C4F4952" w:rsidR="007E365E" w:rsidRPr="00976585" w:rsidRDefault="007E365E" w:rsidP="007E365E">
      <w:pPr>
        <w:pStyle w:val="Caption"/>
        <w:widowControl w:val="0"/>
      </w:pPr>
      <w:bookmarkStart w:id="249" w:name="_Ref5977189"/>
      <w:r w:rsidRPr="00976585">
        <w:t xml:space="preserve">Figure </w:t>
      </w:r>
      <w:r>
        <w:t>21-</w:t>
      </w:r>
      <w:fldSimple w:instr=" SEQ Figure \* ARABIC ">
        <w:r w:rsidR="007F721A">
          <w:rPr>
            <w:noProof/>
          </w:rPr>
          <w:t>2</w:t>
        </w:r>
      </w:fldSimple>
      <w:bookmarkEnd w:id="249"/>
      <w:r w:rsidRPr="00976585">
        <w:tab/>
      </w:r>
      <w:bookmarkStart w:id="250" w:name="_Ref5977184"/>
      <w:r w:rsidRPr="00976585">
        <w:t>Relationship between public transport s</w:t>
      </w:r>
      <w:r w:rsidRPr="00976585">
        <w:rPr>
          <w:rFonts w:cstheme="minorHAnsi"/>
        </w:rPr>
        <w:t>hare of total passenger kilometres travelled and population</w:t>
      </w:r>
      <w:r w:rsidRPr="00976585">
        <w:t xml:space="preserve"> density, </w:t>
      </w:r>
      <w:bookmarkEnd w:id="250"/>
      <w:r w:rsidRPr="00976585">
        <w:rPr>
          <w:rFonts w:cstheme="minorHAnsi"/>
        </w:rPr>
        <w:t>201</w:t>
      </w:r>
      <w:r>
        <w:rPr>
          <w:rFonts w:cstheme="minorHAnsi"/>
        </w:rPr>
        <w:t>8</w:t>
      </w:r>
      <w:r w:rsidRPr="00976585">
        <w:rPr>
          <w:rFonts w:cstheme="minorHAnsi"/>
        </w:rPr>
        <w:t>-1</w:t>
      </w:r>
      <w:r>
        <w:rPr>
          <w:rFonts w:cstheme="minorHAnsi"/>
        </w:rPr>
        <w:t>9</w:t>
      </w:r>
    </w:p>
    <w:p w14:paraId="46D8EDE4" w14:textId="77777777" w:rsidR="007E365E" w:rsidRDefault="007E365E" w:rsidP="007E365E">
      <w:pPr>
        <w:keepNext/>
        <w:keepLines/>
        <w:widowControl w:val="0"/>
      </w:pPr>
      <w:r w:rsidRPr="00D31DBC">
        <w:rPr>
          <w:noProof/>
        </w:rPr>
        <w:drawing>
          <wp:inline distT="0" distB="0" distL="0" distR="0" wp14:anchorId="68CAE6BF" wp14:editId="4B0323FF">
            <wp:extent cx="5676265" cy="355092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6265" cy="3550920"/>
                    </a:xfrm>
                    <a:prstGeom prst="rect">
                      <a:avLst/>
                    </a:prstGeom>
                    <a:noFill/>
                    <a:ln>
                      <a:noFill/>
                    </a:ln>
                  </pic:spPr>
                </pic:pic>
              </a:graphicData>
            </a:graphic>
          </wp:inline>
        </w:drawing>
      </w:r>
    </w:p>
    <w:p w14:paraId="0B2B1BB9" w14:textId="77777777" w:rsidR="007E365E" w:rsidRPr="00E93785" w:rsidRDefault="007E365E" w:rsidP="007E365E">
      <w:pPr>
        <w:pStyle w:val="CGCTablenote"/>
        <w:keepNext/>
        <w:keepLines/>
        <w:widowControl w:val="0"/>
      </w:pPr>
      <w:r w:rsidRPr="00976585">
        <w:t>Source:</w:t>
      </w:r>
      <w:r w:rsidRPr="00976585">
        <w:tab/>
        <w:t>Commission calculation based on BITRE and ABS data.</w:t>
      </w:r>
    </w:p>
    <w:p w14:paraId="0FD33E29" w14:textId="77777777" w:rsidR="007E365E" w:rsidRPr="00D71F3C" w:rsidRDefault="007E365E" w:rsidP="007E365E">
      <w:pPr>
        <w:pStyle w:val="CGCParaNumber"/>
      </w:pPr>
      <w:r w:rsidRPr="00D71F3C">
        <w:t xml:space="preserve">Another concern held by Western Australia and South Australia is that population density is, to some extent, the result of State policies. </w:t>
      </w:r>
    </w:p>
    <w:p w14:paraId="360455FB" w14:textId="289DCF46" w:rsidR="007E365E" w:rsidRPr="00513387" w:rsidRDefault="007E365E" w:rsidP="007E365E">
      <w:pPr>
        <w:pStyle w:val="CGCParaNumber"/>
      </w:pPr>
      <w:r w:rsidRPr="00976585">
        <w:rPr>
          <w:rStyle w:val="Heading6Char"/>
          <w:rFonts w:cstheme="minorHAnsi"/>
          <w:b/>
          <w:i w:val="0"/>
          <w:iCs w:val="0"/>
          <w:sz w:val="24"/>
        </w:rPr>
        <w:lastRenderedPageBreak/>
        <w:fldChar w:fldCharType="begin"/>
      </w:r>
      <w:r w:rsidRPr="00976585">
        <w:rPr>
          <w:rStyle w:val="Heading6Char"/>
          <w:rFonts w:cstheme="minorHAnsi"/>
          <w:i w:val="0"/>
          <w:iCs w:val="0"/>
          <w:sz w:val="24"/>
        </w:rPr>
        <w:instrText xml:space="preserve"> REF _Ref7596172 \h  \* MERGEFORMAT </w:instrText>
      </w:r>
      <w:r w:rsidRPr="00976585">
        <w:rPr>
          <w:rStyle w:val="Heading6Char"/>
          <w:rFonts w:cstheme="minorHAnsi"/>
          <w:b/>
          <w:i w:val="0"/>
          <w:iCs w:val="0"/>
          <w:sz w:val="24"/>
        </w:rPr>
      </w:r>
      <w:r w:rsidRPr="00976585">
        <w:rPr>
          <w:rStyle w:val="Heading6Char"/>
          <w:rFonts w:cstheme="minorHAnsi"/>
          <w:b/>
          <w:i w:val="0"/>
          <w:iCs w:val="0"/>
          <w:sz w:val="24"/>
        </w:rPr>
        <w:fldChar w:fldCharType="separate"/>
      </w:r>
      <w:r w:rsidR="007F721A" w:rsidRPr="00D71F3C">
        <w:t xml:space="preserve">Figure </w:t>
      </w:r>
      <w:r w:rsidR="007F721A">
        <w:rPr>
          <w:noProof/>
        </w:rPr>
        <w:t>21-3</w:t>
      </w:r>
      <w:r w:rsidRPr="00976585">
        <w:rPr>
          <w:rStyle w:val="Heading6Char"/>
          <w:rFonts w:cstheme="minorHAnsi"/>
          <w:b/>
          <w:i w:val="0"/>
          <w:iCs w:val="0"/>
          <w:sz w:val="24"/>
        </w:rPr>
        <w:fldChar w:fldCharType="end"/>
      </w:r>
      <w:r w:rsidRPr="00513387">
        <w:t xml:space="preserve"> compares population density for the capital cities. It shows a strong relationship between population density and population for Melbourne, Brisbane, Perth, Adelaide and Hobart while Sydney, Darwin and Canberra are comparatively dense.</w:t>
      </w:r>
    </w:p>
    <w:p w14:paraId="5F6342AB" w14:textId="1B071D29" w:rsidR="007E365E" w:rsidRPr="00D71F3C" w:rsidRDefault="007E365E" w:rsidP="007E365E">
      <w:pPr>
        <w:pStyle w:val="Caption"/>
      </w:pPr>
      <w:bookmarkStart w:id="251" w:name="_Ref7596172"/>
      <w:r w:rsidRPr="00D71F3C">
        <w:t xml:space="preserve">Figure </w:t>
      </w:r>
      <w:r>
        <w:t>21-</w:t>
      </w:r>
      <w:fldSimple w:instr=" SEQ Figure \* ARABIC ">
        <w:r w:rsidR="007F721A">
          <w:rPr>
            <w:noProof/>
          </w:rPr>
          <w:t>3</w:t>
        </w:r>
      </w:fldSimple>
      <w:bookmarkEnd w:id="251"/>
      <w:r w:rsidRPr="00D71F3C">
        <w:tab/>
        <w:t xml:space="preserve">Population weighted density versus population, </w:t>
      </w:r>
      <w:r w:rsidRPr="00976585">
        <w:rPr>
          <w:rFonts w:cstheme="minorHAnsi"/>
        </w:rPr>
        <w:t>201</w:t>
      </w:r>
      <w:r>
        <w:rPr>
          <w:rFonts w:cstheme="minorHAnsi"/>
        </w:rPr>
        <w:t>8</w:t>
      </w:r>
      <w:r w:rsidRPr="00976585">
        <w:rPr>
          <w:rFonts w:cstheme="minorHAnsi"/>
        </w:rPr>
        <w:t>-1</w:t>
      </w:r>
      <w:r>
        <w:rPr>
          <w:rFonts w:cstheme="minorHAnsi"/>
        </w:rPr>
        <w:t>9</w:t>
      </w:r>
    </w:p>
    <w:p w14:paraId="7E0174B5" w14:textId="77777777" w:rsidR="007E365E" w:rsidRPr="00976585" w:rsidRDefault="007E365E" w:rsidP="007E365E">
      <w:r w:rsidRPr="000C3A5E">
        <w:rPr>
          <w:noProof/>
        </w:rPr>
        <w:drawing>
          <wp:inline distT="0" distB="0" distL="0" distR="0" wp14:anchorId="5288DC15" wp14:editId="676FE16D">
            <wp:extent cx="5676265" cy="355092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265" cy="3550920"/>
                    </a:xfrm>
                    <a:prstGeom prst="rect">
                      <a:avLst/>
                    </a:prstGeom>
                    <a:noFill/>
                    <a:ln>
                      <a:noFill/>
                    </a:ln>
                  </pic:spPr>
                </pic:pic>
              </a:graphicData>
            </a:graphic>
          </wp:inline>
        </w:drawing>
      </w:r>
    </w:p>
    <w:p w14:paraId="18E734C0" w14:textId="77777777" w:rsidR="007E365E" w:rsidRPr="00D71F3C" w:rsidRDefault="007E365E" w:rsidP="007E365E">
      <w:pPr>
        <w:pStyle w:val="CGCTablenote"/>
      </w:pPr>
      <w:r w:rsidRPr="00D71F3C">
        <w:t>Note:</w:t>
      </w:r>
      <w:r w:rsidRPr="00D71F3C">
        <w:tab/>
        <w:t>Linear relationship excludes Darwin, Canberra and Sydney.</w:t>
      </w:r>
    </w:p>
    <w:p w14:paraId="78DF59ED" w14:textId="77777777" w:rsidR="007E365E" w:rsidRPr="00D71F3C" w:rsidRDefault="007E365E" w:rsidP="007E365E">
      <w:pPr>
        <w:pStyle w:val="CGCTablenote"/>
      </w:pPr>
      <w:r w:rsidRPr="00D71F3C">
        <w:t>Source:</w:t>
      </w:r>
      <w:r w:rsidRPr="00D71F3C">
        <w:tab/>
        <w:t>Commission calculation using ABS data.</w:t>
      </w:r>
    </w:p>
    <w:p w14:paraId="2B89D16F" w14:textId="77777777" w:rsidR="007E365E" w:rsidRPr="00D71F3C" w:rsidRDefault="007E365E" w:rsidP="007E365E">
      <w:pPr>
        <w:pStyle w:val="CGCParaNumber"/>
      </w:pPr>
      <w:r w:rsidRPr="00D71F3C">
        <w:t>Sydney stands out as having a significantly higher population density than the other capital cities. New South Wales considered that Sydney’s high population density was effectively the result of:</w:t>
      </w:r>
    </w:p>
    <w:p w14:paraId="61345E5F" w14:textId="77777777" w:rsidR="007E365E" w:rsidRPr="00D71F3C" w:rsidRDefault="007E365E" w:rsidP="007E365E">
      <w:pPr>
        <w:pStyle w:val="CGCBullet1"/>
      </w:pPr>
      <w:r w:rsidRPr="00D71F3C">
        <w:t>topographical constraints and national parks that limit the availability of greenfield residential land</w:t>
      </w:r>
    </w:p>
    <w:p w14:paraId="3115548E" w14:textId="77777777" w:rsidR="007E365E" w:rsidRPr="00D71F3C" w:rsidRDefault="007E365E" w:rsidP="007E365E">
      <w:pPr>
        <w:pStyle w:val="CGCBullet1"/>
      </w:pPr>
      <w:r w:rsidRPr="00D71F3C">
        <w:t>historical and current policies. New South Wales said that State governments are adopting policies that aim to minimise expenses associated with urban growth. It argued that, for some jurisdictions, cost minimisation may be achieved through urban sprawl while others may opt for more aggressive urban densification policies. In the case of Sydney, urban infill policies are a necessity due to geographic constraints and associated infrastructure costs.</w:t>
      </w:r>
    </w:p>
    <w:p w14:paraId="1A599099" w14:textId="77777777" w:rsidR="007E365E" w:rsidRPr="00513387" w:rsidRDefault="007E365E" w:rsidP="007E365E">
      <w:pPr>
        <w:pStyle w:val="CGCParaNumber"/>
      </w:pPr>
      <w:r w:rsidRPr="00D71F3C">
        <w:t xml:space="preserve">A 2013 </w:t>
      </w:r>
      <w:r w:rsidRPr="00504601">
        <w:t xml:space="preserve">Bureau of Infrastructure, Transport and Regional Economics </w:t>
      </w:r>
      <w:r>
        <w:t>(</w:t>
      </w:r>
      <w:r w:rsidRPr="00D71F3C">
        <w:t>BITRE</w:t>
      </w:r>
      <w:r>
        <w:t>)</w:t>
      </w:r>
      <w:r w:rsidRPr="00D71F3C">
        <w:t xml:space="preserve"> report</w:t>
      </w:r>
      <w:r w:rsidRPr="00976585">
        <w:rPr>
          <w:rStyle w:val="FootnoteReference"/>
        </w:rPr>
        <w:footnoteReference w:id="52"/>
      </w:r>
      <w:r w:rsidRPr="00976585">
        <w:t xml:space="preserve"> </w:t>
      </w:r>
      <w:r w:rsidRPr="00513387">
        <w:t xml:space="preserve">concluded that the four larger States had similar policies in terms of limiting urban sprawl for their capital cities and increasing population density in and around activity centres. The report noted that, between 2001 and 2011, rates of infill development in Perth have been well below the strategic plan targets, but Sydney, Melbourne and Brisbane have been tracking </w:t>
      </w:r>
      <w:r w:rsidRPr="00513387">
        <w:lastRenderedPageBreak/>
        <w:t>above their long</w:t>
      </w:r>
      <w:r w:rsidRPr="00513387">
        <w:noBreakHyphen/>
        <w:t>term infill targets. It added that the shift towards higher density forms of housing was most pronounced in Sydney.</w:t>
      </w:r>
    </w:p>
    <w:p w14:paraId="790CFC38" w14:textId="525D40C0" w:rsidR="007E365E" w:rsidRPr="00513387" w:rsidRDefault="007E365E" w:rsidP="007E365E">
      <w:pPr>
        <w:pStyle w:val="CGCParaNumber"/>
      </w:pPr>
      <w:r w:rsidRPr="00976585">
        <w:rPr>
          <w:rStyle w:val="Heading6Char"/>
          <w:rFonts w:cstheme="minorHAnsi"/>
          <w:b/>
          <w:i w:val="0"/>
          <w:iCs w:val="0"/>
          <w:sz w:val="24"/>
        </w:rPr>
        <w:fldChar w:fldCharType="begin"/>
      </w:r>
      <w:r w:rsidRPr="00976585">
        <w:rPr>
          <w:rStyle w:val="Heading6Char"/>
          <w:rFonts w:cstheme="minorHAnsi"/>
          <w:i w:val="0"/>
          <w:iCs w:val="0"/>
          <w:sz w:val="24"/>
        </w:rPr>
        <w:instrText xml:space="preserve"> REF _Ref10033398 \h  \* MERGEFORMAT </w:instrText>
      </w:r>
      <w:r w:rsidRPr="00976585">
        <w:rPr>
          <w:rStyle w:val="Heading6Char"/>
          <w:rFonts w:cstheme="minorHAnsi"/>
          <w:b/>
          <w:i w:val="0"/>
          <w:iCs w:val="0"/>
          <w:sz w:val="24"/>
        </w:rPr>
      </w:r>
      <w:r w:rsidRPr="00976585">
        <w:rPr>
          <w:rStyle w:val="Heading6Char"/>
          <w:rFonts w:cstheme="minorHAnsi"/>
          <w:b/>
          <w:i w:val="0"/>
          <w:iCs w:val="0"/>
          <w:sz w:val="24"/>
        </w:rPr>
        <w:fldChar w:fldCharType="separate"/>
      </w:r>
      <w:r w:rsidR="007F721A" w:rsidRPr="00976585">
        <w:t xml:space="preserve">Table </w:t>
      </w:r>
      <w:r w:rsidR="007F721A">
        <w:rPr>
          <w:noProof/>
        </w:rPr>
        <w:t>21-7</w:t>
      </w:r>
      <w:r w:rsidRPr="00976585">
        <w:rPr>
          <w:rStyle w:val="Heading6Char"/>
          <w:rFonts w:cstheme="minorHAnsi"/>
          <w:b/>
          <w:i w:val="0"/>
          <w:iCs w:val="0"/>
          <w:sz w:val="24"/>
        </w:rPr>
        <w:fldChar w:fldCharType="end"/>
      </w:r>
      <w:r w:rsidRPr="00513387">
        <w:t xml:space="preserve"> shows the population density and population growth for the capital cities between 2000-01 and 201</w:t>
      </w:r>
      <w:r>
        <w:t>8</w:t>
      </w:r>
      <w:r w:rsidRPr="00513387">
        <w:t>-1</w:t>
      </w:r>
      <w:r>
        <w:t>9</w:t>
      </w:r>
      <w:r w:rsidRPr="00513387">
        <w:t>.</w:t>
      </w:r>
    </w:p>
    <w:p w14:paraId="0234EADB" w14:textId="08D792E5" w:rsidR="007E365E" w:rsidRDefault="007E365E" w:rsidP="007E365E">
      <w:pPr>
        <w:pStyle w:val="Caption"/>
      </w:pPr>
      <w:bookmarkStart w:id="252" w:name="_Ref10033398"/>
      <w:r w:rsidRPr="00976585">
        <w:t xml:space="preserve">Table </w:t>
      </w:r>
      <w:r>
        <w:t>21-</w:t>
      </w:r>
      <w:fldSimple w:instr=" SEQ Table \* ARABIC ">
        <w:r w:rsidR="007F721A">
          <w:rPr>
            <w:noProof/>
          </w:rPr>
          <w:t>7</w:t>
        </w:r>
      </w:fldSimple>
      <w:bookmarkEnd w:id="252"/>
      <w:r w:rsidRPr="00976585">
        <w:tab/>
        <w:t>Population weighted density and population growth for capital cities, 2000</w:t>
      </w:r>
      <w:r w:rsidRPr="00976585">
        <w:noBreakHyphen/>
        <w:t>01 to 201</w:t>
      </w:r>
      <w:r>
        <w:t>8</w:t>
      </w:r>
      <w:r w:rsidRPr="00976585">
        <w:t>-1</w:t>
      </w:r>
      <w:r>
        <w:t>9</w:t>
      </w:r>
    </w:p>
    <w:tbl>
      <w:tblPr>
        <w:tblW w:w="8960" w:type="dxa"/>
        <w:tblCellMar>
          <w:left w:w="28" w:type="dxa"/>
          <w:right w:w="28" w:type="dxa"/>
        </w:tblCellMar>
        <w:tblLook w:val="04A0" w:firstRow="1" w:lastRow="0" w:firstColumn="1" w:lastColumn="0" w:noHBand="0" w:noVBand="1"/>
      </w:tblPr>
      <w:tblGrid>
        <w:gridCol w:w="1140"/>
        <w:gridCol w:w="1955"/>
        <w:gridCol w:w="1955"/>
        <w:gridCol w:w="1955"/>
        <w:gridCol w:w="1955"/>
      </w:tblGrid>
      <w:tr w:rsidR="007E365E" w:rsidRPr="00A5583E" w14:paraId="21EDAB56" w14:textId="77777777" w:rsidTr="007D1D77">
        <w:trPr>
          <w:trHeight w:val="510"/>
        </w:trPr>
        <w:tc>
          <w:tcPr>
            <w:tcW w:w="1140" w:type="dxa"/>
            <w:tcBorders>
              <w:top w:val="single" w:sz="4" w:space="0" w:color="ADD6EA"/>
              <w:left w:val="nil"/>
              <w:bottom w:val="single" w:sz="4" w:space="0" w:color="ADD6EA"/>
              <w:right w:val="nil"/>
            </w:tcBorders>
            <w:shd w:val="clear" w:color="000000" w:fill="006991"/>
            <w:noWrap/>
            <w:vAlign w:val="center"/>
            <w:hideMark/>
          </w:tcPr>
          <w:p w14:paraId="4322866F" w14:textId="77777777" w:rsidR="007E365E" w:rsidRPr="00A5583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253" w:name="RANGE!A3:E13"/>
            <w:r w:rsidRPr="00A5583E">
              <w:rPr>
                <w:rFonts w:ascii="Open Sans SemiBold" w:eastAsia="Times New Roman" w:hAnsi="Open Sans SemiBold" w:cs="Open Sans SemiBold"/>
                <w:color w:val="FFFFFF"/>
                <w:sz w:val="16"/>
                <w:szCs w:val="16"/>
                <w:lang w:eastAsia="en-AU"/>
              </w:rPr>
              <w:t> </w:t>
            </w:r>
            <w:bookmarkEnd w:id="253"/>
          </w:p>
        </w:tc>
        <w:tc>
          <w:tcPr>
            <w:tcW w:w="1955" w:type="dxa"/>
            <w:tcBorders>
              <w:top w:val="single" w:sz="4" w:space="0" w:color="ADD6EA"/>
              <w:left w:val="nil"/>
              <w:bottom w:val="single" w:sz="4" w:space="0" w:color="ADD6EA"/>
              <w:right w:val="nil"/>
            </w:tcBorders>
            <w:shd w:val="clear" w:color="000000" w:fill="006991"/>
            <w:vAlign w:val="center"/>
            <w:hideMark/>
          </w:tcPr>
          <w:p w14:paraId="1E8C36FB" w14:textId="77777777" w:rsidR="007E365E" w:rsidRPr="00A5583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5583E">
              <w:rPr>
                <w:rFonts w:ascii="Open Sans SemiBold" w:eastAsia="Times New Roman" w:hAnsi="Open Sans SemiBold" w:cs="Open Sans SemiBold"/>
                <w:color w:val="FFFFFF"/>
                <w:sz w:val="16"/>
                <w:szCs w:val="16"/>
                <w:lang w:eastAsia="en-AU"/>
              </w:rPr>
              <w:t>Population weighted density 2000-01</w:t>
            </w:r>
          </w:p>
        </w:tc>
        <w:tc>
          <w:tcPr>
            <w:tcW w:w="1955" w:type="dxa"/>
            <w:tcBorders>
              <w:top w:val="single" w:sz="4" w:space="0" w:color="ADD6EA"/>
              <w:left w:val="nil"/>
              <w:bottom w:val="single" w:sz="4" w:space="0" w:color="ADD6EA"/>
              <w:right w:val="nil"/>
            </w:tcBorders>
            <w:shd w:val="clear" w:color="000000" w:fill="006991"/>
            <w:vAlign w:val="center"/>
            <w:hideMark/>
          </w:tcPr>
          <w:p w14:paraId="0425FFD2" w14:textId="77777777" w:rsidR="007E365E" w:rsidRPr="00A5583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5583E">
              <w:rPr>
                <w:rFonts w:ascii="Open Sans SemiBold" w:eastAsia="Times New Roman" w:hAnsi="Open Sans SemiBold" w:cs="Open Sans SemiBold"/>
                <w:color w:val="FFFFFF"/>
                <w:sz w:val="16"/>
                <w:szCs w:val="16"/>
                <w:lang w:eastAsia="en-AU"/>
              </w:rPr>
              <w:t>Population weighted density 2018-19</w:t>
            </w:r>
          </w:p>
        </w:tc>
        <w:tc>
          <w:tcPr>
            <w:tcW w:w="1955" w:type="dxa"/>
            <w:tcBorders>
              <w:top w:val="single" w:sz="4" w:space="0" w:color="ADD6EA"/>
              <w:left w:val="nil"/>
              <w:bottom w:val="single" w:sz="4" w:space="0" w:color="ADD6EA"/>
              <w:right w:val="nil"/>
            </w:tcBorders>
            <w:shd w:val="clear" w:color="000000" w:fill="006991"/>
            <w:vAlign w:val="center"/>
            <w:hideMark/>
          </w:tcPr>
          <w:p w14:paraId="40D3DD73" w14:textId="77777777" w:rsidR="007E365E" w:rsidRPr="00A5583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5583E">
              <w:rPr>
                <w:rFonts w:ascii="Open Sans SemiBold" w:eastAsia="Times New Roman" w:hAnsi="Open Sans SemiBold" w:cs="Open Sans SemiBold"/>
                <w:color w:val="FFFFFF"/>
                <w:sz w:val="16"/>
                <w:szCs w:val="16"/>
                <w:lang w:eastAsia="en-AU"/>
              </w:rPr>
              <w:t>Population growth            2000-01 to 2018-19</w:t>
            </w:r>
          </w:p>
        </w:tc>
        <w:tc>
          <w:tcPr>
            <w:tcW w:w="1955" w:type="dxa"/>
            <w:tcBorders>
              <w:top w:val="single" w:sz="4" w:space="0" w:color="ADD6EA"/>
              <w:left w:val="nil"/>
              <w:bottom w:val="single" w:sz="4" w:space="0" w:color="ADD6EA"/>
              <w:right w:val="nil"/>
            </w:tcBorders>
            <w:shd w:val="clear" w:color="000000" w:fill="006991"/>
            <w:vAlign w:val="center"/>
            <w:hideMark/>
          </w:tcPr>
          <w:p w14:paraId="1AE36D88" w14:textId="77777777" w:rsidR="007E365E" w:rsidRPr="00A5583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5583E">
              <w:rPr>
                <w:rFonts w:ascii="Open Sans SemiBold" w:eastAsia="Times New Roman" w:hAnsi="Open Sans SemiBold" w:cs="Open Sans SemiBold"/>
                <w:color w:val="FFFFFF"/>
                <w:sz w:val="16"/>
                <w:szCs w:val="16"/>
                <w:lang w:eastAsia="en-AU"/>
              </w:rPr>
              <w:t>Density growth 2000</w:t>
            </w:r>
            <w:r w:rsidRPr="00A5583E">
              <w:rPr>
                <w:rFonts w:ascii="Open Sans SemiBold" w:eastAsia="Times New Roman" w:hAnsi="Open Sans SemiBold" w:cs="Open Sans SemiBold"/>
                <w:color w:val="FFFFFF"/>
                <w:sz w:val="16"/>
                <w:szCs w:val="16"/>
                <w:lang w:eastAsia="en-AU"/>
              </w:rPr>
              <w:noBreakHyphen/>
              <w:t>01 to 2018-19</w:t>
            </w:r>
          </w:p>
        </w:tc>
      </w:tr>
      <w:tr w:rsidR="007E365E" w:rsidRPr="00A5583E" w14:paraId="0B85F200" w14:textId="77777777" w:rsidTr="007D1D77">
        <w:trPr>
          <w:trHeight w:val="261"/>
        </w:trPr>
        <w:tc>
          <w:tcPr>
            <w:tcW w:w="1140" w:type="dxa"/>
            <w:tcBorders>
              <w:top w:val="nil"/>
              <w:left w:val="nil"/>
              <w:bottom w:val="nil"/>
              <w:right w:val="nil"/>
            </w:tcBorders>
            <w:shd w:val="clear" w:color="000000" w:fill="B6D5E4"/>
            <w:vAlign w:val="bottom"/>
            <w:hideMark/>
          </w:tcPr>
          <w:p w14:paraId="35D2CD2C" w14:textId="77777777" w:rsidR="007E365E" w:rsidRPr="00A5583E"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A5583E">
              <w:rPr>
                <w:rFonts w:ascii="Open Sans SemiBold" w:eastAsia="Times New Roman" w:hAnsi="Open Sans SemiBold" w:cs="Open Sans SemiBold"/>
                <w:sz w:val="16"/>
                <w:szCs w:val="16"/>
                <w:lang w:eastAsia="en-AU"/>
              </w:rPr>
              <w:t> </w:t>
            </w:r>
          </w:p>
        </w:tc>
        <w:tc>
          <w:tcPr>
            <w:tcW w:w="1955" w:type="dxa"/>
            <w:tcBorders>
              <w:top w:val="nil"/>
              <w:left w:val="nil"/>
              <w:bottom w:val="nil"/>
              <w:right w:val="nil"/>
            </w:tcBorders>
            <w:shd w:val="clear" w:color="000000" w:fill="B6D5E4"/>
            <w:vAlign w:val="center"/>
            <w:hideMark/>
          </w:tcPr>
          <w:p w14:paraId="7315DD09" w14:textId="77777777" w:rsidR="007E365E" w:rsidRPr="00A5583E"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5583E">
              <w:rPr>
                <w:rFonts w:ascii="Open Sans SemiBold" w:eastAsia="Times New Roman" w:hAnsi="Open Sans SemiBold" w:cs="Open Sans SemiBold"/>
                <w:sz w:val="16"/>
                <w:szCs w:val="16"/>
                <w:lang w:eastAsia="en-AU"/>
              </w:rPr>
              <w:t>Person/sqkm</w:t>
            </w:r>
          </w:p>
        </w:tc>
        <w:tc>
          <w:tcPr>
            <w:tcW w:w="1955" w:type="dxa"/>
            <w:tcBorders>
              <w:top w:val="nil"/>
              <w:left w:val="nil"/>
              <w:bottom w:val="nil"/>
              <w:right w:val="nil"/>
            </w:tcBorders>
            <w:shd w:val="clear" w:color="000000" w:fill="B6D5E4"/>
            <w:vAlign w:val="center"/>
            <w:hideMark/>
          </w:tcPr>
          <w:p w14:paraId="28CD8A1F" w14:textId="77777777" w:rsidR="007E365E" w:rsidRPr="00A5583E"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5583E">
              <w:rPr>
                <w:rFonts w:ascii="Open Sans SemiBold" w:eastAsia="Times New Roman" w:hAnsi="Open Sans SemiBold" w:cs="Open Sans SemiBold"/>
                <w:sz w:val="16"/>
                <w:szCs w:val="16"/>
                <w:lang w:eastAsia="en-AU"/>
              </w:rPr>
              <w:t>Person/sqkm</w:t>
            </w:r>
          </w:p>
        </w:tc>
        <w:tc>
          <w:tcPr>
            <w:tcW w:w="1955" w:type="dxa"/>
            <w:tcBorders>
              <w:top w:val="nil"/>
              <w:left w:val="nil"/>
              <w:bottom w:val="nil"/>
              <w:right w:val="nil"/>
            </w:tcBorders>
            <w:shd w:val="clear" w:color="000000" w:fill="B6D5E4"/>
            <w:vAlign w:val="center"/>
            <w:hideMark/>
          </w:tcPr>
          <w:p w14:paraId="703897CF" w14:textId="77777777" w:rsidR="007E365E" w:rsidRPr="00A5583E"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5583E">
              <w:rPr>
                <w:rFonts w:ascii="Open Sans SemiBold" w:eastAsia="Times New Roman" w:hAnsi="Open Sans SemiBold" w:cs="Open Sans SemiBold"/>
                <w:sz w:val="16"/>
                <w:szCs w:val="16"/>
                <w:lang w:eastAsia="en-AU"/>
              </w:rPr>
              <w:t>%</w:t>
            </w:r>
          </w:p>
        </w:tc>
        <w:tc>
          <w:tcPr>
            <w:tcW w:w="1955" w:type="dxa"/>
            <w:tcBorders>
              <w:top w:val="nil"/>
              <w:left w:val="nil"/>
              <w:bottom w:val="nil"/>
              <w:right w:val="nil"/>
            </w:tcBorders>
            <w:shd w:val="clear" w:color="000000" w:fill="B6D5E4"/>
            <w:vAlign w:val="center"/>
            <w:hideMark/>
          </w:tcPr>
          <w:p w14:paraId="4624C427" w14:textId="77777777" w:rsidR="007E365E" w:rsidRPr="00A5583E"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5583E">
              <w:rPr>
                <w:rFonts w:ascii="Open Sans SemiBold" w:eastAsia="Times New Roman" w:hAnsi="Open Sans SemiBold" w:cs="Open Sans SemiBold"/>
                <w:sz w:val="16"/>
                <w:szCs w:val="16"/>
                <w:lang w:eastAsia="en-AU"/>
              </w:rPr>
              <w:t>%</w:t>
            </w:r>
          </w:p>
        </w:tc>
      </w:tr>
      <w:tr w:rsidR="007E365E" w:rsidRPr="00A5583E" w14:paraId="1ACA374E" w14:textId="77777777" w:rsidTr="007D1D77">
        <w:trPr>
          <w:trHeight w:val="315"/>
        </w:trPr>
        <w:tc>
          <w:tcPr>
            <w:tcW w:w="1140" w:type="dxa"/>
            <w:tcBorders>
              <w:top w:val="single" w:sz="4" w:space="0" w:color="ADD6EA"/>
              <w:left w:val="nil"/>
              <w:bottom w:val="single" w:sz="4" w:space="0" w:color="ADD6EA"/>
              <w:right w:val="nil"/>
            </w:tcBorders>
            <w:shd w:val="clear" w:color="auto" w:fill="auto"/>
            <w:vAlign w:val="bottom"/>
            <w:hideMark/>
          </w:tcPr>
          <w:p w14:paraId="2CA197B5" w14:textId="77777777" w:rsidR="007E365E" w:rsidRPr="00A5583E" w:rsidRDefault="007E365E" w:rsidP="007D1D77">
            <w:pPr>
              <w:tabs>
                <w:tab w:val="clear" w:pos="567"/>
              </w:tabs>
              <w:spacing w:before="0" w:line="240" w:lineRule="auto"/>
              <w:rPr>
                <w:rFonts w:eastAsia="Times New Roman" w:cs="Open Sans Light"/>
                <w:sz w:val="16"/>
                <w:szCs w:val="16"/>
                <w:lang w:eastAsia="en-AU"/>
              </w:rPr>
            </w:pPr>
            <w:r w:rsidRPr="00A5583E">
              <w:rPr>
                <w:rFonts w:eastAsia="Times New Roman" w:cs="Open Sans Light"/>
                <w:sz w:val="16"/>
                <w:szCs w:val="16"/>
                <w:lang w:eastAsia="en-AU"/>
              </w:rPr>
              <w:t>Sydney</w:t>
            </w:r>
          </w:p>
        </w:tc>
        <w:tc>
          <w:tcPr>
            <w:tcW w:w="1955" w:type="dxa"/>
            <w:tcBorders>
              <w:top w:val="single" w:sz="4" w:space="0" w:color="ADD6EA"/>
              <w:left w:val="nil"/>
              <w:bottom w:val="single" w:sz="4" w:space="0" w:color="ADD6EA"/>
              <w:right w:val="nil"/>
            </w:tcBorders>
            <w:shd w:val="clear" w:color="auto" w:fill="auto"/>
            <w:vAlign w:val="bottom"/>
            <w:hideMark/>
          </w:tcPr>
          <w:p w14:paraId="4E45CCF3"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4,967</w:t>
            </w:r>
          </w:p>
        </w:tc>
        <w:tc>
          <w:tcPr>
            <w:tcW w:w="1955" w:type="dxa"/>
            <w:tcBorders>
              <w:top w:val="single" w:sz="4" w:space="0" w:color="ADD6EA"/>
              <w:left w:val="nil"/>
              <w:bottom w:val="single" w:sz="4" w:space="0" w:color="ADD6EA"/>
              <w:right w:val="nil"/>
            </w:tcBorders>
            <w:shd w:val="clear" w:color="auto" w:fill="auto"/>
            <w:vAlign w:val="bottom"/>
            <w:hideMark/>
          </w:tcPr>
          <w:p w14:paraId="66D46A14"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6,925</w:t>
            </w:r>
          </w:p>
        </w:tc>
        <w:tc>
          <w:tcPr>
            <w:tcW w:w="1955" w:type="dxa"/>
            <w:tcBorders>
              <w:top w:val="single" w:sz="4" w:space="0" w:color="ADD6EA"/>
              <w:left w:val="nil"/>
              <w:bottom w:val="single" w:sz="4" w:space="0" w:color="ADD6EA"/>
              <w:right w:val="nil"/>
            </w:tcBorders>
            <w:shd w:val="clear" w:color="auto" w:fill="auto"/>
            <w:vAlign w:val="bottom"/>
            <w:hideMark/>
          </w:tcPr>
          <w:p w14:paraId="7DF67F5E"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31.9</w:t>
            </w:r>
          </w:p>
        </w:tc>
        <w:tc>
          <w:tcPr>
            <w:tcW w:w="1955" w:type="dxa"/>
            <w:tcBorders>
              <w:top w:val="single" w:sz="4" w:space="0" w:color="ADD6EA"/>
              <w:left w:val="nil"/>
              <w:bottom w:val="single" w:sz="4" w:space="0" w:color="ADD6EA"/>
              <w:right w:val="nil"/>
            </w:tcBorders>
            <w:shd w:val="clear" w:color="auto" w:fill="auto"/>
            <w:vAlign w:val="bottom"/>
            <w:hideMark/>
          </w:tcPr>
          <w:p w14:paraId="74812DE2"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39.4</w:t>
            </w:r>
          </w:p>
        </w:tc>
      </w:tr>
      <w:tr w:rsidR="007E365E" w:rsidRPr="00A5583E" w14:paraId="30B492AA" w14:textId="77777777" w:rsidTr="007D1D77">
        <w:trPr>
          <w:trHeight w:val="315"/>
        </w:trPr>
        <w:tc>
          <w:tcPr>
            <w:tcW w:w="1140" w:type="dxa"/>
            <w:tcBorders>
              <w:top w:val="nil"/>
              <w:left w:val="nil"/>
              <w:bottom w:val="nil"/>
              <w:right w:val="nil"/>
            </w:tcBorders>
            <w:shd w:val="clear" w:color="auto" w:fill="auto"/>
            <w:vAlign w:val="bottom"/>
            <w:hideMark/>
          </w:tcPr>
          <w:p w14:paraId="5AB87D15" w14:textId="77777777" w:rsidR="007E365E" w:rsidRPr="00A5583E" w:rsidRDefault="007E365E" w:rsidP="007D1D77">
            <w:pPr>
              <w:tabs>
                <w:tab w:val="clear" w:pos="567"/>
              </w:tabs>
              <w:spacing w:before="0" w:line="240" w:lineRule="auto"/>
              <w:rPr>
                <w:rFonts w:eastAsia="Times New Roman" w:cs="Open Sans Light"/>
                <w:sz w:val="16"/>
                <w:szCs w:val="16"/>
                <w:lang w:eastAsia="en-AU"/>
              </w:rPr>
            </w:pPr>
            <w:r w:rsidRPr="00A5583E">
              <w:rPr>
                <w:rFonts w:eastAsia="Times New Roman" w:cs="Open Sans Light"/>
                <w:sz w:val="16"/>
                <w:szCs w:val="16"/>
                <w:lang w:eastAsia="en-AU"/>
              </w:rPr>
              <w:t>Melbourne</w:t>
            </w:r>
          </w:p>
        </w:tc>
        <w:tc>
          <w:tcPr>
            <w:tcW w:w="1955" w:type="dxa"/>
            <w:tcBorders>
              <w:top w:val="nil"/>
              <w:left w:val="nil"/>
              <w:bottom w:val="nil"/>
              <w:right w:val="nil"/>
            </w:tcBorders>
            <w:shd w:val="clear" w:color="auto" w:fill="auto"/>
            <w:vAlign w:val="bottom"/>
            <w:hideMark/>
          </w:tcPr>
          <w:p w14:paraId="72A36EFC"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2,909</w:t>
            </w:r>
          </w:p>
        </w:tc>
        <w:tc>
          <w:tcPr>
            <w:tcW w:w="1955" w:type="dxa"/>
            <w:tcBorders>
              <w:top w:val="nil"/>
              <w:left w:val="nil"/>
              <w:bottom w:val="nil"/>
              <w:right w:val="nil"/>
            </w:tcBorders>
            <w:shd w:val="clear" w:color="auto" w:fill="auto"/>
            <w:vAlign w:val="bottom"/>
            <w:hideMark/>
          </w:tcPr>
          <w:p w14:paraId="02E5AA05"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4,649</w:t>
            </w:r>
          </w:p>
        </w:tc>
        <w:tc>
          <w:tcPr>
            <w:tcW w:w="1955" w:type="dxa"/>
            <w:tcBorders>
              <w:top w:val="nil"/>
              <w:left w:val="nil"/>
              <w:bottom w:val="nil"/>
              <w:right w:val="nil"/>
            </w:tcBorders>
            <w:shd w:val="clear" w:color="auto" w:fill="auto"/>
            <w:vAlign w:val="bottom"/>
            <w:hideMark/>
          </w:tcPr>
          <w:p w14:paraId="3FB827A8"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46.3</w:t>
            </w:r>
          </w:p>
        </w:tc>
        <w:tc>
          <w:tcPr>
            <w:tcW w:w="1955" w:type="dxa"/>
            <w:tcBorders>
              <w:top w:val="nil"/>
              <w:left w:val="nil"/>
              <w:bottom w:val="nil"/>
              <w:right w:val="nil"/>
            </w:tcBorders>
            <w:shd w:val="clear" w:color="auto" w:fill="auto"/>
            <w:vAlign w:val="bottom"/>
            <w:hideMark/>
          </w:tcPr>
          <w:p w14:paraId="16D62776"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59.8</w:t>
            </w:r>
          </w:p>
        </w:tc>
      </w:tr>
      <w:tr w:rsidR="007E365E" w:rsidRPr="00A5583E" w14:paraId="51C5A0E1" w14:textId="77777777" w:rsidTr="007D1D77">
        <w:trPr>
          <w:trHeight w:val="315"/>
        </w:trPr>
        <w:tc>
          <w:tcPr>
            <w:tcW w:w="1140" w:type="dxa"/>
            <w:tcBorders>
              <w:top w:val="single" w:sz="4" w:space="0" w:color="ADD6EA"/>
              <w:left w:val="nil"/>
              <w:bottom w:val="single" w:sz="4" w:space="0" w:color="ADD6EA"/>
              <w:right w:val="nil"/>
            </w:tcBorders>
            <w:shd w:val="clear" w:color="auto" w:fill="auto"/>
            <w:vAlign w:val="bottom"/>
            <w:hideMark/>
          </w:tcPr>
          <w:p w14:paraId="1A6B5176" w14:textId="77777777" w:rsidR="007E365E" w:rsidRPr="00A5583E" w:rsidRDefault="007E365E" w:rsidP="007D1D77">
            <w:pPr>
              <w:tabs>
                <w:tab w:val="clear" w:pos="567"/>
              </w:tabs>
              <w:spacing w:before="0" w:line="240" w:lineRule="auto"/>
              <w:rPr>
                <w:rFonts w:eastAsia="Times New Roman" w:cs="Open Sans Light"/>
                <w:sz w:val="16"/>
                <w:szCs w:val="16"/>
                <w:lang w:eastAsia="en-AU"/>
              </w:rPr>
            </w:pPr>
            <w:r w:rsidRPr="00A5583E">
              <w:rPr>
                <w:rFonts w:eastAsia="Times New Roman" w:cs="Open Sans Light"/>
                <w:sz w:val="16"/>
                <w:szCs w:val="16"/>
                <w:lang w:eastAsia="en-AU"/>
              </w:rPr>
              <w:t>Brisbane</w:t>
            </w:r>
          </w:p>
        </w:tc>
        <w:tc>
          <w:tcPr>
            <w:tcW w:w="1955" w:type="dxa"/>
            <w:tcBorders>
              <w:top w:val="single" w:sz="4" w:space="0" w:color="ADD6EA"/>
              <w:left w:val="nil"/>
              <w:bottom w:val="single" w:sz="4" w:space="0" w:color="ADD6EA"/>
              <w:right w:val="nil"/>
            </w:tcBorders>
            <w:shd w:val="clear" w:color="auto" w:fill="auto"/>
            <w:vAlign w:val="bottom"/>
            <w:hideMark/>
          </w:tcPr>
          <w:p w14:paraId="2220DD35"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2,124</w:t>
            </w:r>
          </w:p>
        </w:tc>
        <w:tc>
          <w:tcPr>
            <w:tcW w:w="1955" w:type="dxa"/>
            <w:tcBorders>
              <w:top w:val="single" w:sz="4" w:space="0" w:color="ADD6EA"/>
              <w:left w:val="nil"/>
              <w:bottom w:val="single" w:sz="4" w:space="0" w:color="ADD6EA"/>
              <w:right w:val="nil"/>
            </w:tcBorders>
            <w:shd w:val="clear" w:color="auto" w:fill="auto"/>
            <w:vAlign w:val="bottom"/>
            <w:hideMark/>
          </w:tcPr>
          <w:p w14:paraId="61D2FCB7"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2,832</w:t>
            </w:r>
          </w:p>
        </w:tc>
        <w:tc>
          <w:tcPr>
            <w:tcW w:w="1955" w:type="dxa"/>
            <w:tcBorders>
              <w:top w:val="single" w:sz="4" w:space="0" w:color="ADD6EA"/>
              <w:left w:val="nil"/>
              <w:bottom w:val="single" w:sz="4" w:space="0" w:color="ADD6EA"/>
              <w:right w:val="nil"/>
            </w:tcBorders>
            <w:shd w:val="clear" w:color="auto" w:fill="auto"/>
            <w:vAlign w:val="bottom"/>
            <w:hideMark/>
          </w:tcPr>
          <w:p w14:paraId="7635D6BD"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41.2</w:t>
            </w:r>
          </w:p>
        </w:tc>
        <w:tc>
          <w:tcPr>
            <w:tcW w:w="1955" w:type="dxa"/>
            <w:tcBorders>
              <w:top w:val="single" w:sz="4" w:space="0" w:color="ADD6EA"/>
              <w:left w:val="nil"/>
              <w:bottom w:val="single" w:sz="4" w:space="0" w:color="ADD6EA"/>
              <w:right w:val="nil"/>
            </w:tcBorders>
            <w:shd w:val="clear" w:color="auto" w:fill="auto"/>
            <w:vAlign w:val="bottom"/>
            <w:hideMark/>
          </w:tcPr>
          <w:p w14:paraId="0A7BFDD6"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33.4</w:t>
            </w:r>
          </w:p>
        </w:tc>
      </w:tr>
      <w:tr w:rsidR="007E365E" w:rsidRPr="00A5583E" w14:paraId="5458F038" w14:textId="77777777" w:rsidTr="007D1D77">
        <w:trPr>
          <w:trHeight w:val="315"/>
        </w:trPr>
        <w:tc>
          <w:tcPr>
            <w:tcW w:w="1140" w:type="dxa"/>
            <w:tcBorders>
              <w:top w:val="nil"/>
              <w:left w:val="nil"/>
              <w:bottom w:val="nil"/>
              <w:right w:val="nil"/>
            </w:tcBorders>
            <w:shd w:val="clear" w:color="auto" w:fill="auto"/>
            <w:vAlign w:val="bottom"/>
            <w:hideMark/>
          </w:tcPr>
          <w:p w14:paraId="25B9C30A" w14:textId="77777777" w:rsidR="007E365E" w:rsidRPr="00A5583E" w:rsidRDefault="007E365E" w:rsidP="007D1D77">
            <w:pPr>
              <w:tabs>
                <w:tab w:val="clear" w:pos="567"/>
              </w:tabs>
              <w:spacing w:before="0" w:line="240" w:lineRule="auto"/>
              <w:rPr>
                <w:rFonts w:eastAsia="Times New Roman" w:cs="Open Sans Light"/>
                <w:sz w:val="16"/>
                <w:szCs w:val="16"/>
                <w:lang w:eastAsia="en-AU"/>
              </w:rPr>
            </w:pPr>
            <w:r w:rsidRPr="00A5583E">
              <w:rPr>
                <w:rFonts w:eastAsia="Times New Roman" w:cs="Open Sans Light"/>
                <w:sz w:val="16"/>
                <w:szCs w:val="16"/>
                <w:lang w:eastAsia="en-AU"/>
              </w:rPr>
              <w:t>Perth</w:t>
            </w:r>
          </w:p>
        </w:tc>
        <w:tc>
          <w:tcPr>
            <w:tcW w:w="1955" w:type="dxa"/>
            <w:tcBorders>
              <w:top w:val="nil"/>
              <w:left w:val="nil"/>
              <w:bottom w:val="nil"/>
              <w:right w:val="nil"/>
            </w:tcBorders>
            <w:shd w:val="clear" w:color="auto" w:fill="auto"/>
            <w:vAlign w:val="bottom"/>
            <w:hideMark/>
          </w:tcPr>
          <w:p w14:paraId="627C0E4E"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2,119</w:t>
            </w:r>
          </w:p>
        </w:tc>
        <w:tc>
          <w:tcPr>
            <w:tcW w:w="1955" w:type="dxa"/>
            <w:tcBorders>
              <w:top w:val="nil"/>
              <w:left w:val="nil"/>
              <w:bottom w:val="nil"/>
              <w:right w:val="nil"/>
            </w:tcBorders>
            <w:shd w:val="clear" w:color="auto" w:fill="auto"/>
            <w:vAlign w:val="bottom"/>
            <w:hideMark/>
          </w:tcPr>
          <w:p w14:paraId="4C3D9E9A"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2,477</w:t>
            </w:r>
          </w:p>
        </w:tc>
        <w:tc>
          <w:tcPr>
            <w:tcW w:w="1955" w:type="dxa"/>
            <w:tcBorders>
              <w:top w:val="nil"/>
              <w:left w:val="nil"/>
              <w:bottom w:val="nil"/>
              <w:right w:val="nil"/>
            </w:tcBorders>
            <w:shd w:val="clear" w:color="auto" w:fill="auto"/>
            <w:vAlign w:val="bottom"/>
            <w:hideMark/>
          </w:tcPr>
          <w:p w14:paraId="72FA52BC"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43.5</w:t>
            </w:r>
          </w:p>
        </w:tc>
        <w:tc>
          <w:tcPr>
            <w:tcW w:w="1955" w:type="dxa"/>
            <w:tcBorders>
              <w:top w:val="nil"/>
              <w:left w:val="nil"/>
              <w:bottom w:val="nil"/>
              <w:right w:val="nil"/>
            </w:tcBorders>
            <w:shd w:val="clear" w:color="auto" w:fill="auto"/>
            <w:vAlign w:val="bottom"/>
            <w:hideMark/>
          </w:tcPr>
          <w:p w14:paraId="0844D981"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16.9</w:t>
            </w:r>
          </w:p>
        </w:tc>
      </w:tr>
      <w:tr w:rsidR="007E365E" w:rsidRPr="00A5583E" w14:paraId="1A43CCDF" w14:textId="77777777" w:rsidTr="007D1D77">
        <w:trPr>
          <w:trHeight w:val="315"/>
        </w:trPr>
        <w:tc>
          <w:tcPr>
            <w:tcW w:w="1140" w:type="dxa"/>
            <w:tcBorders>
              <w:top w:val="single" w:sz="4" w:space="0" w:color="ADD6EA"/>
              <w:left w:val="nil"/>
              <w:bottom w:val="single" w:sz="4" w:space="0" w:color="ADD6EA"/>
              <w:right w:val="nil"/>
            </w:tcBorders>
            <w:shd w:val="clear" w:color="auto" w:fill="auto"/>
            <w:vAlign w:val="bottom"/>
            <w:hideMark/>
          </w:tcPr>
          <w:p w14:paraId="730483AF" w14:textId="77777777" w:rsidR="007E365E" w:rsidRPr="00A5583E" w:rsidRDefault="007E365E" w:rsidP="007D1D77">
            <w:pPr>
              <w:tabs>
                <w:tab w:val="clear" w:pos="567"/>
              </w:tabs>
              <w:spacing w:before="0" w:line="240" w:lineRule="auto"/>
              <w:rPr>
                <w:rFonts w:eastAsia="Times New Roman" w:cs="Open Sans Light"/>
                <w:sz w:val="16"/>
                <w:szCs w:val="16"/>
                <w:lang w:eastAsia="en-AU"/>
              </w:rPr>
            </w:pPr>
            <w:r w:rsidRPr="00A5583E">
              <w:rPr>
                <w:rFonts w:eastAsia="Times New Roman" w:cs="Open Sans Light"/>
                <w:sz w:val="16"/>
                <w:szCs w:val="16"/>
                <w:lang w:eastAsia="en-AU"/>
              </w:rPr>
              <w:t>Adelaide</w:t>
            </w:r>
          </w:p>
        </w:tc>
        <w:tc>
          <w:tcPr>
            <w:tcW w:w="1955" w:type="dxa"/>
            <w:tcBorders>
              <w:top w:val="single" w:sz="4" w:space="0" w:color="ADD6EA"/>
              <w:left w:val="nil"/>
              <w:bottom w:val="single" w:sz="4" w:space="0" w:color="ADD6EA"/>
              <w:right w:val="nil"/>
            </w:tcBorders>
            <w:shd w:val="clear" w:color="auto" w:fill="auto"/>
            <w:vAlign w:val="bottom"/>
            <w:hideMark/>
          </w:tcPr>
          <w:p w14:paraId="0F3CCDA2"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2,121</w:t>
            </w:r>
          </w:p>
        </w:tc>
        <w:tc>
          <w:tcPr>
            <w:tcW w:w="1955" w:type="dxa"/>
            <w:tcBorders>
              <w:top w:val="single" w:sz="4" w:space="0" w:color="ADD6EA"/>
              <w:left w:val="nil"/>
              <w:bottom w:val="single" w:sz="4" w:space="0" w:color="ADD6EA"/>
              <w:right w:val="nil"/>
            </w:tcBorders>
            <w:shd w:val="clear" w:color="auto" w:fill="auto"/>
            <w:vAlign w:val="bottom"/>
            <w:hideMark/>
          </w:tcPr>
          <w:p w14:paraId="2AA97979"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2,393</w:t>
            </w:r>
          </w:p>
        </w:tc>
        <w:tc>
          <w:tcPr>
            <w:tcW w:w="1955" w:type="dxa"/>
            <w:tcBorders>
              <w:top w:val="single" w:sz="4" w:space="0" w:color="ADD6EA"/>
              <w:left w:val="nil"/>
              <w:bottom w:val="single" w:sz="4" w:space="0" w:color="ADD6EA"/>
              <w:right w:val="nil"/>
            </w:tcBorders>
            <w:shd w:val="clear" w:color="auto" w:fill="auto"/>
            <w:vAlign w:val="bottom"/>
            <w:hideMark/>
          </w:tcPr>
          <w:p w14:paraId="42A5E495"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18.1</w:t>
            </w:r>
          </w:p>
        </w:tc>
        <w:tc>
          <w:tcPr>
            <w:tcW w:w="1955" w:type="dxa"/>
            <w:tcBorders>
              <w:top w:val="single" w:sz="4" w:space="0" w:color="ADD6EA"/>
              <w:left w:val="nil"/>
              <w:bottom w:val="single" w:sz="4" w:space="0" w:color="ADD6EA"/>
              <w:right w:val="nil"/>
            </w:tcBorders>
            <w:shd w:val="clear" w:color="auto" w:fill="auto"/>
            <w:vAlign w:val="bottom"/>
            <w:hideMark/>
          </w:tcPr>
          <w:p w14:paraId="713F08DC"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12.8</w:t>
            </w:r>
          </w:p>
        </w:tc>
      </w:tr>
      <w:tr w:rsidR="007E365E" w:rsidRPr="00A5583E" w14:paraId="5425897D" w14:textId="77777777" w:rsidTr="007D1D77">
        <w:trPr>
          <w:trHeight w:val="315"/>
        </w:trPr>
        <w:tc>
          <w:tcPr>
            <w:tcW w:w="1140" w:type="dxa"/>
            <w:tcBorders>
              <w:top w:val="nil"/>
              <w:left w:val="nil"/>
              <w:bottom w:val="nil"/>
              <w:right w:val="nil"/>
            </w:tcBorders>
            <w:shd w:val="clear" w:color="auto" w:fill="auto"/>
            <w:vAlign w:val="bottom"/>
            <w:hideMark/>
          </w:tcPr>
          <w:p w14:paraId="36173EAF" w14:textId="77777777" w:rsidR="007E365E" w:rsidRPr="00A5583E" w:rsidRDefault="007E365E" w:rsidP="007D1D77">
            <w:pPr>
              <w:tabs>
                <w:tab w:val="clear" w:pos="567"/>
              </w:tabs>
              <w:spacing w:before="0" w:line="240" w:lineRule="auto"/>
              <w:rPr>
                <w:rFonts w:eastAsia="Times New Roman" w:cs="Open Sans Light"/>
                <w:sz w:val="16"/>
                <w:szCs w:val="16"/>
                <w:lang w:eastAsia="en-AU"/>
              </w:rPr>
            </w:pPr>
            <w:r w:rsidRPr="00A5583E">
              <w:rPr>
                <w:rFonts w:eastAsia="Times New Roman" w:cs="Open Sans Light"/>
                <w:sz w:val="16"/>
                <w:szCs w:val="16"/>
                <w:lang w:eastAsia="en-AU"/>
              </w:rPr>
              <w:t>Hobart</w:t>
            </w:r>
          </w:p>
        </w:tc>
        <w:tc>
          <w:tcPr>
            <w:tcW w:w="1955" w:type="dxa"/>
            <w:tcBorders>
              <w:top w:val="nil"/>
              <w:left w:val="nil"/>
              <w:bottom w:val="nil"/>
              <w:right w:val="nil"/>
            </w:tcBorders>
            <w:shd w:val="clear" w:color="auto" w:fill="auto"/>
            <w:vAlign w:val="bottom"/>
            <w:hideMark/>
          </w:tcPr>
          <w:p w14:paraId="34CC97D7"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1,646</w:t>
            </w:r>
          </w:p>
        </w:tc>
        <w:tc>
          <w:tcPr>
            <w:tcW w:w="1955" w:type="dxa"/>
            <w:tcBorders>
              <w:top w:val="nil"/>
              <w:left w:val="nil"/>
              <w:bottom w:val="nil"/>
              <w:right w:val="nil"/>
            </w:tcBorders>
            <w:shd w:val="clear" w:color="auto" w:fill="auto"/>
            <w:vAlign w:val="bottom"/>
            <w:hideMark/>
          </w:tcPr>
          <w:p w14:paraId="27E9EBE6"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1,724</w:t>
            </w:r>
          </w:p>
        </w:tc>
        <w:tc>
          <w:tcPr>
            <w:tcW w:w="1955" w:type="dxa"/>
            <w:tcBorders>
              <w:top w:val="nil"/>
              <w:left w:val="nil"/>
              <w:bottom w:val="nil"/>
              <w:right w:val="nil"/>
            </w:tcBorders>
            <w:shd w:val="clear" w:color="auto" w:fill="auto"/>
            <w:vAlign w:val="bottom"/>
            <w:hideMark/>
          </w:tcPr>
          <w:p w14:paraId="540B9365"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20.4</w:t>
            </w:r>
          </w:p>
        </w:tc>
        <w:tc>
          <w:tcPr>
            <w:tcW w:w="1955" w:type="dxa"/>
            <w:tcBorders>
              <w:top w:val="nil"/>
              <w:left w:val="nil"/>
              <w:bottom w:val="nil"/>
              <w:right w:val="nil"/>
            </w:tcBorders>
            <w:shd w:val="clear" w:color="auto" w:fill="auto"/>
            <w:vAlign w:val="bottom"/>
            <w:hideMark/>
          </w:tcPr>
          <w:p w14:paraId="5B227669"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4.7</w:t>
            </w:r>
          </w:p>
        </w:tc>
      </w:tr>
      <w:tr w:rsidR="007E365E" w:rsidRPr="00A5583E" w14:paraId="5FE78842" w14:textId="77777777" w:rsidTr="007D1D77">
        <w:trPr>
          <w:trHeight w:val="315"/>
        </w:trPr>
        <w:tc>
          <w:tcPr>
            <w:tcW w:w="1140" w:type="dxa"/>
            <w:tcBorders>
              <w:top w:val="single" w:sz="4" w:space="0" w:color="ADD6EA"/>
              <w:left w:val="nil"/>
              <w:bottom w:val="single" w:sz="4" w:space="0" w:color="ADD6EA"/>
              <w:right w:val="nil"/>
            </w:tcBorders>
            <w:shd w:val="clear" w:color="auto" w:fill="auto"/>
            <w:vAlign w:val="bottom"/>
            <w:hideMark/>
          </w:tcPr>
          <w:p w14:paraId="3F18571A" w14:textId="77777777" w:rsidR="007E365E" w:rsidRPr="00A5583E" w:rsidRDefault="007E365E" w:rsidP="007D1D77">
            <w:pPr>
              <w:tabs>
                <w:tab w:val="clear" w:pos="567"/>
              </w:tabs>
              <w:spacing w:before="0" w:line="240" w:lineRule="auto"/>
              <w:rPr>
                <w:rFonts w:eastAsia="Times New Roman" w:cs="Open Sans Light"/>
                <w:sz w:val="16"/>
                <w:szCs w:val="16"/>
                <w:lang w:eastAsia="en-AU"/>
              </w:rPr>
            </w:pPr>
            <w:r w:rsidRPr="00A5583E">
              <w:rPr>
                <w:rFonts w:eastAsia="Times New Roman" w:cs="Open Sans Light"/>
                <w:sz w:val="16"/>
                <w:szCs w:val="16"/>
                <w:lang w:eastAsia="en-AU"/>
              </w:rPr>
              <w:t>Canberra</w:t>
            </w:r>
          </w:p>
        </w:tc>
        <w:tc>
          <w:tcPr>
            <w:tcW w:w="1955" w:type="dxa"/>
            <w:tcBorders>
              <w:top w:val="single" w:sz="4" w:space="0" w:color="ADD6EA"/>
              <w:left w:val="nil"/>
              <w:bottom w:val="single" w:sz="4" w:space="0" w:color="ADD6EA"/>
              <w:right w:val="nil"/>
            </w:tcBorders>
            <w:shd w:val="clear" w:color="auto" w:fill="auto"/>
            <w:vAlign w:val="bottom"/>
            <w:hideMark/>
          </w:tcPr>
          <w:p w14:paraId="23D2605B"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2,247</w:t>
            </w:r>
          </w:p>
        </w:tc>
        <w:tc>
          <w:tcPr>
            <w:tcW w:w="1955" w:type="dxa"/>
            <w:tcBorders>
              <w:top w:val="single" w:sz="4" w:space="0" w:color="ADD6EA"/>
              <w:left w:val="nil"/>
              <w:bottom w:val="single" w:sz="4" w:space="0" w:color="ADD6EA"/>
              <w:right w:val="nil"/>
            </w:tcBorders>
            <w:shd w:val="clear" w:color="auto" w:fill="auto"/>
            <w:vAlign w:val="bottom"/>
            <w:hideMark/>
          </w:tcPr>
          <w:p w14:paraId="58C749B7"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2,918</w:t>
            </w:r>
          </w:p>
        </w:tc>
        <w:tc>
          <w:tcPr>
            <w:tcW w:w="1955" w:type="dxa"/>
            <w:tcBorders>
              <w:top w:val="single" w:sz="4" w:space="0" w:color="ADD6EA"/>
              <w:left w:val="nil"/>
              <w:bottom w:val="single" w:sz="4" w:space="0" w:color="ADD6EA"/>
              <w:right w:val="nil"/>
            </w:tcBorders>
            <w:shd w:val="clear" w:color="auto" w:fill="auto"/>
            <w:vAlign w:val="bottom"/>
            <w:hideMark/>
          </w:tcPr>
          <w:p w14:paraId="7063D655"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33.3</w:t>
            </w:r>
          </w:p>
        </w:tc>
        <w:tc>
          <w:tcPr>
            <w:tcW w:w="1955" w:type="dxa"/>
            <w:tcBorders>
              <w:top w:val="single" w:sz="4" w:space="0" w:color="ADD6EA"/>
              <w:left w:val="nil"/>
              <w:bottom w:val="single" w:sz="4" w:space="0" w:color="ADD6EA"/>
              <w:right w:val="nil"/>
            </w:tcBorders>
            <w:shd w:val="clear" w:color="auto" w:fill="auto"/>
            <w:vAlign w:val="bottom"/>
            <w:hideMark/>
          </w:tcPr>
          <w:p w14:paraId="41226773"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29.8</w:t>
            </w:r>
          </w:p>
        </w:tc>
      </w:tr>
      <w:tr w:rsidR="007E365E" w:rsidRPr="00A5583E" w14:paraId="6649876E" w14:textId="77777777" w:rsidTr="007D1D77">
        <w:trPr>
          <w:trHeight w:val="315"/>
        </w:trPr>
        <w:tc>
          <w:tcPr>
            <w:tcW w:w="1140" w:type="dxa"/>
            <w:tcBorders>
              <w:top w:val="nil"/>
              <w:left w:val="nil"/>
              <w:bottom w:val="nil"/>
              <w:right w:val="nil"/>
            </w:tcBorders>
            <w:shd w:val="clear" w:color="auto" w:fill="auto"/>
            <w:vAlign w:val="bottom"/>
            <w:hideMark/>
          </w:tcPr>
          <w:p w14:paraId="506331E1" w14:textId="77777777" w:rsidR="007E365E" w:rsidRPr="00A5583E" w:rsidRDefault="007E365E" w:rsidP="007D1D77">
            <w:pPr>
              <w:tabs>
                <w:tab w:val="clear" w:pos="567"/>
              </w:tabs>
              <w:spacing w:before="0" w:line="240" w:lineRule="auto"/>
              <w:rPr>
                <w:rFonts w:eastAsia="Times New Roman" w:cs="Open Sans Light"/>
                <w:sz w:val="16"/>
                <w:szCs w:val="16"/>
                <w:lang w:eastAsia="en-AU"/>
              </w:rPr>
            </w:pPr>
            <w:r w:rsidRPr="00A5583E">
              <w:rPr>
                <w:rFonts w:eastAsia="Times New Roman" w:cs="Open Sans Light"/>
                <w:sz w:val="16"/>
                <w:szCs w:val="16"/>
                <w:lang w:eastAsia="en-AU"/>
              </w:rPr>
              <w:t>Darwin</w:t>
            </w:r>
          </w:p>
        </w:tc>
        <w:tc>
          <w:tcPr>
            <w:tcW w:w="1955" w:type="dxa"/>
            <w:tcBorders>
              <w:top w:val="nil"/>
              <w:left w:val="nil"/>
              <w:bottom w:val="nil"/>
              <w:right w:val="nil"/>
            </w:tcBorders>
            <w:shd w:val="clear" w:color="auto" w:fill="auto"/>
            <w:vAlign w:val="bottom"/>
            <w:hideMark/>
          </w:tcPr>
          <w:p w14:paraId="087D5FC8"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2,052</w:t>
            </w:r>
          </w:p>
        </w:tc>
        <w:tc>
          <w:tcPr>
            <w:tcW w:w="1955" w:type="dxa"/>
            <w:tcBorders>
              <w:top w:val="nil"/>
              <w:left w:val="nil"/>
              <w:bottom w:val="nil"/>
              <w:right w:val="nil"/>
            </w:tcBorders>
            <w:shd w:val="clear" w:color="auto" w:fill="auto"/>
            <w:vAlign w:val="bottom"/>
            <w:hideMark/>
          </w:tcPr>
          <w:p w14:paraId="4CD0235E"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2,479</w:t>
            </w:r>
          </w:p>
        </w:tc>
        <w:tc>
          <w:tcPr>
            <w:tcW w:w="1955" w:type="dxa"/>
            <w:tcBorders>
              <w:top w:val="nil"/>
              <w:left w:val="nil"/>
              <w:bottom w:val="nil"/>
              <w:right w:val="nil"/>
            </w:tcBorders>
            <w:shd w:val="clear" w:color="auto" w:fill="auto"/>
            <w:vAlign w:val="bottom"/>
            <w:hideMark/>
          </w:tcPr>
          <w:p w14:paraId="67E9B153"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32.9</w:t>
            </w:r>
          </w:p>
        </w:tc>
        <w:tc>
          <w:tcPr>
            <w:tcW w:w="1955" w:type="dxa"/>
            <w:tcBorders>
              <w:top w:val="nil"/>
              <w:left w:val="nil"/>
              <w:bottom w:val="nil"/>
              <w:right w:val="nil"/>
            </w:tcBorders>
            <w:shd w:val="clear" w:color="auto" w:fill="auto"/>
            <w:vAlign w:val="bottom"/>
            <w:hideMark/>
          </w:tcPr>
          <w:p w14:paraId="0B44B7BD" w14:textId="77777777" w:rsidR="007E365E" w:rsidRPr="00A5583E" w:rsidRDefault="007E365E" w:rsidP="007D1D77">
            <w:pPr>
              <w:tabs>
                <w:tab w:val="clear" w:pos="567"/>
              </w:tabs>
              <w:spacing w:before="0" w:line="240" w:lineRule="auto"/>
              <w:jc w:val="right"/>
              <w:rPr>
                <w:rFonts w:eastAsia="Times New Roman" w:cs="Open Sans Light"/>
                <w:sz w:val="16"/>
                <w:szCs w:val="16"/>
                <w:lang w:eastAsia="en-AU"/>
              </w:rPr>
            </w:pPr>
            <w:r w:rsidRPr="00A5583E">
              <w:rPr>
                <w:rFonts w:eastAsia="Times New Roman" w:cs="Open Sans Light"/>
                <w:sz w:val="16"/>
                <w:szCs w:val="16"/>
                <w:lang w:eastAsia="en-AU"/>
              </w:rPr>
              <w:t>20.8</w:t>
            </w:r>
          </w:p>
        </w:tc>
      </w:tr>
      <w:tr w:rsidR="007E365E" w:rsidRPr="00A5583E" w14:paraId="3FEE0182" w14:textId="77777777" w:rsidTr="007D1D77">
        <w:trPr>
          <w:trHeight w:val="315"/>
        </w:trPr>
        <w:tc>
          <w:tcPr>
            <w:tcW w:w="1140" w:type="dxa"/>
            <w:tcBorders>
              <w:top w:val="single" w:sz="4" w:space="0" w:color="ADD6EA"/>
              <w:left w:val="nil"/>
              <w:bottom w:val="single" w:sz="4" w:space="0" w:color="ADD6EA"/>
              <w:right w:val="nil"/>
            </w:tcBorders>
            <w:shd w:val="clear" w:color="000000" w:fill="D6E7F0"/>
            <w:vAlign w:val="bottom"/>
            <w:hideMark/>
          </w:tcPr>
          <w:p w14:paraId="2DDD6286" w14:textId="77777777" w:rsidR="007E365E" w:rsidRPr="00A5583E"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A5583E">
              <w:rPr>
                <w:rFonts w:ascii="Open Sans SemiBold" w:eastAsia="Times New Roman" w:hAnsi="Open Sans SemiBold" w:cs="Open Sans SemiBold"/>
                <w:sz w:val="16"/>
                <w:szCs w:val="16"/>
                <w:lang w:eastAsia="en-AU"/>
              </w:rPr>
              <w:t>Average</w:t>
            </w:r>
          </w:p>
        </w:tc>
        <w:tc>
          <w:tcPr>
            <w:tcW w:w="1955" w:type="dxa"/>
            <w:tcBorders>
              <w:top w:val="single" w:sz="4" w:space="0" w:color="ADD6EA"/>
              <w:left w:val="nil"/>
              <w:bottom w:val="single" w:sz="4" w:space="0" w:color="ADD6EA"/>
              <w:right w:val="nil"/>
            </w:tcBorders>
            <w:shd w:val="clear" w:color="000000" w:fill="D6E7F0"/>
            <w:vAlign w:val="bottom"/>
            <w:hideMark/>
          </w:tcPr>
          <w:p w14:paraId="2119872C" w14:textId="77777777" w:rsidR="007E365E" w:rsidRPr="00A5583E"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5583E">
              <w:rPr>
                <w:rFonts w:ascii="Open Sans SemiBold" w:eastAsia="Times New Roman" w:hAnsi="Open Sans SemiBold" w:cs="Open Sans SemiBold"/>
                <w:sz w:val="16"/>
                <w:szCs w:val="16"/>
                <w:lang w:eastAsia="en-AU"/>
              </w:rPr>
              <w:t>2,523</w:t>
            </w:r>
          </w:p>
        </w:tc>
        <w:tc>
          <w:tcPr>
            <w:tcW w:w="1955" w:type="dxa"/>
            <w:tcBorders>
              <w:top w:val="single" w:sz="4" w:space="0" w:color="ADD6EA"/>
              <w:left w:val="nil"/>
              <w:bottom w:val="single" w:sz="4" w:space="0" w:color="ADD6EA"/>
              <w:right w:val="nil"/>
            </w:tcBorders>
            <w:shd w:val="clear" w:color="000000" w:fill="D6E7F0"/>
            <w:vAlign w:val="bottom"/>
            <w:hideMark/>
          </w:tcPr>
          <w:p w14:paraId="6B636A50" w14:textId="77777777" w:rsidR="007E365E" w:rsidRPr="00A5583E"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5583E">
              <w:rPr>
                <w:rFonts w:ascii="Open Sans SemiBold" w:eastAsia="Times New Roman" w:hAnsi="Open Sans SemiBold" w:cs="Open Sans SemiBold"/>
                <w:sz w:val="16"/>
                <w:szCs w:val="16"/>
                <w:lang w:eastAsia="en-AU"/>
              </w:rPr>
              <w:t>3,300</w:t>
            </w:r>
          </w:p>
        </w:tc>
        <w:tc>
          <w:tcPr>
            <w:tcW w:w="1955" w:type="dxa"/>
            <w:tcBorders>
              <w:top w:val="single" w:sz="4" w:space="0" w:color="ADD6EA"/>
              <w:left w:val="nil"/>
              <w:bottom w:val="single" w:sz="4" w:space="0" w:color="ADD6EA"/>
              <w:right w:val="nil"/>
            </w:tcBorders>
            <w:shd w:val="clear" w:color="000000" w:fill="D6E7F0"/>
            <w:vAlign w:val="bottom"/>
            <w:hideMark/>
          </w:tcPr>
          <w:p w14:paraId="5FF27C44" w14:textId="77777777" w:rsidR="007E365E" w:rsidRPr="00A5583E"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5583E">
              <w:rPr>
                <w:rFonts w:ascii="Open Sans SemiBold" w:eastAsia="Times New Roman" w:hAnsi="Open Sans SemiBold" w:cs="Open Sans SemiBold"/>
                <w:sz w:val="16"/>
                <w:szCs w:val="16"/>
                <w:lang w:eastAsia="en-AU"/>
              </w:rPr>
              <w:t>33.4</w:t>
            </w:r>
          </w:p>
        </w:tc>
        <w:tc>
          <w:tcPr>
            <w:tcW w:w="1955" w:type="dxa"/>
            <w:tcBorders>
              <w:top w:val="single" w:sz="4" w:space="0" w:color="ADD6EA"/>
              <w:left w:val="nil"/>
              <w:bottom w:val="single" w:sz="4" w:space="0" w:color="ADD6EA"/>
              <w:right w:val="nil"/>
            </w:tcBorders>
            <w:shd w:val="clear" w:color="000000" w:fill="D6E7F0"/>
            <w:vAlign w:val="bottom"/>
            <w:hideMark/>
          </w:tcPr>
          <w:p w14:paraId="74962A9F" w14:textId="77777777" w:rsidR="007E365E" w:rsidRPr="00A5583E"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5583E">
              <w:rPr>
                <w:rFonts w:ascii="Open Sans SemiBold" w:eastAsia="Times New Roman" w:hAnsi="Open Sans SemiBold" w:cs="Open Sans SemiBold"/>
                <w:sz w:val="16"/>
                <w:szCs w:val="16"/>
                <w:lang w:eastAsia="en-AU"/>
              </w:rPr>
              <w:t>27.2</w:t>
            </w:r>
          </w:p>
        </w:tc>
      </w:tr>
    </w:tbl>
    <w:p w14:paraId="28BCB9DC" w14:textId="77777777" w:rsidR="007E365E" w:rsidRPr="00976585" w:rsidRDefault="007E365E" w:rsidP="007E365E">
      <w:pPr>
        <w:pStyle w:val="CGCTablenote"/>
      </w:pPr>
      <w:r w:rsidRPr="00976585">
        <w:t>Source:</w:t>
      </w:r>
      <w:r w:rsidRPr="00976585">
        <w:tab/>
        <w:t>Commission calculation.</w:t>
      </w:r>
    </w:p>
    <w:p w14:paraId="6B32FA65" w14:textId="77777777" w:rsidR="007E365E" w:rsidRPr="00D71F3C" w:rsidRDefault="007E365E" w:rsidP="007E365E">
      <w:pPr>
        <w:pStyle w:val="CGCParaNumber"/>
      </w:pPr>
      <w:r w:rsidRPr="00D71F3C">
        <w:t>The rate of increase of population density gives some indication of longer-term urban densification strategies. Perth, for example, has exhibited strong population growth from 2000</w:t>
      </w:r>
      <w:r>
        <w:noBreakHyphen/>
      </w:r>
      <w:r w:rsidRPr="00D71F3C">
        <w:t>01 to 201</w:t>
      </w:r>
      <w:r>
        <w:t>8</w:t>
      </w:r>
      <w:r>
        <w:noBreakHyphen/>
      </w:r>
      <w:r w:rsidRPr="00D71F3C">
        <w:t>1</w:t>
      </w:r>
      <w:r>
        <w:t>9</w:t>
      </w:r>
      <w:r w:rsidRPr="00D71F3C">
        <w:t>, but weak growth in population density, suggesting policies (historical or current) that encouraged sprawling urban development. Sydney, in comparison, experienced a lower level of population growth but above average growth in population density. This is consistent with BITRE findings, and suggests more aggressive urban densification strategies in Sydney than in Perth, reflecting the particular circumstance of each city.</w:t>
      </w:r>
    </w:p>
    <w:p w14:paraId="1DBCEDDA" w14:textId="77777777" w:rsidR="007E365E" w:rsidRPr="00D71F3C" w:rsidRDefault="007E365E" w:rsidP="007E365E">
      <w:pPr>
        <w:pStyle w:val="CGCParaNumber"/>
      </w:pPr>
      <w:r w:rsidRPr="00D71F3C">
        <w:t>In its submission, New South Wales emphasised that its densification policy is not unique relative to other States. It presented evidence that there is consensus between the States regarding planning policy on urban consolidation. The difference is that while other jurisdictions have incorporated an urban growth boundary to limit urban sprawl, the topography surrounding Sydney means that it has effectively already grown to the limits of its boundary. As a result, Sydney’s circumstances are such that urban infill, and subsequent densification, is the only development strategy available to it.</w:t>
      </w:r>
    </w:p>
    <w:p w14:paraId="73FD9318" w14:textId="77777777" w:rsidR="007E365E" w:rsidRPr="00D71F3C" w:rsidRDefault="007E365E" w:rsidP="007E365E">
      <w:pPr>
        <w:pStyle w:val="CGCParaNumber"/>
      </w:pPr>
      <w:r w:rsidRPr="00D71F3C">
        <w:t>The Commission considers that Sydney’s high population density relative to that of other capital cities is mainly due to non-policy influences and historical policies. Undoubtedly, Sydney’s past and present policies have some level of influence. Nevertheless, Melbourne experienced the strongest growth in population density between 2000-01 and 201</w:t>
      </w:r>
      <w:r>
        <w:t>8</w:t>
      </w:r>
      <w:r w:rsidRPr="00D71F3C">
        <w:t>-1</w:t>
      </w:r>
      <w:r>
        <w:t>9</w:t>
      </w:r>
      <w:r w:rsidRPr="00D71F3C">
        <w:t>, not Sydney. Brisbane and Canberra also experienced relatively strong growth in density.</w:t>
      </w:r>
    </w:p>
    <w:p w14:paraId="6200E3D2" w14:textId="77777777" w:rsidR="007E365E" w:rsidRPr="00D71F3C" w:rsidRDefault="007E365E" w:rsidP="007E365E">
      <w:pPr>
        <w:pStyle w:val="CGCParaNumber"/>
      </w:pPr>
      <w:r w:rsidRPr="00D71F3C">
        <w:t xml:space="preserve">Overall, the Commission considers that the majority of the differences in population density are due to circumstances outside current State control. There is not strong evidence that policies in Sydney have deviated significantly from other fast growing capital cities dealing with the consequences of increasing congestion. It is difficult to know to what extent the densification policies are influenced by circumstances outside or within State control. Even if </w:t>
      </w:r>
      <w:r w:rsidRPr="00D71F3C">
        <w:lastRenderedPageBreak/>
        <w:t>policy influences were large enough to warrant adjustments, the Commission does not have the information necessary to make them.</w:t>
      </w:r>
    </w:p>
    <w:p w14:paraId="5730E2E7" w14:textId="77777777" w:rsidR="007E365E" w:rsidRPr="00F20EC5" w:rsidRDefault="007E365E" w:rsidP="007E365E">
      <w:pPr>
        <w:pStyle w:val="CGCParaNumber"/>
      </w:pPr>
      <w:r w:rsidRPr="00D71F3C">
        <w:t xml:space="preserve">South Australia argued that the relationship between cost recovery (revenue) and population density is </w:t>
      </w:r>
      <w:r w:rsidRPr="00F20EC5">
        <w:t>not appropriately represented in the preferred model. The capacity to raise fare revenue is in fact taken into account in the econometric model because it uses expenses net of fare revenue as the dependent variable. A consultancy prepared for New South Wales concluded that among the capital cities, Sydney has the greatest capacity to raise fare revenue because of higher density and increased congestion.</w:t>
      </w:r>
      <w:r w:rsidRPr="00F20EC5">
        <w:rPr>
          <w:rStyle w:val="FootnoteReference"/>
          <w:rFonts w:cs="Arial"/>
        </w:rPr>
        <w:footnoteReference w:id="53"/>
      </w:r>
    </w:p>
    <w:p w14:paraId="097D9C2D" w14:textId="524C3829" w:rsidR="007E365E" w:rsidRPr="00513387" w:rsidRDefault="007E365E" w:rsidP="007E365E">
      <w:pPr>
        <w:pStyle w:val="CGCParaNumber"/>
      </w:pPr>
      <w:r w:rsidRPr="004C2328">
        <w:rPr>
          <w:rStyle w:val="Heading6Char"/>
        </w:rPr>
        <w:t>Passenger numbers.</w:t>
      </w:r>
      <w:r w:rsidRPr="00976585">
        <w:t xml:space="preserve"> Passenger numbers are used to capture the supply or level of public transport services, and also are proxies for urban congestion. </w:t>
      </w:r>
      <w:r w:rsidRPr="00976585">
        <w:rPr>
          <w:rStyle w:val="Heading6Char"/>
          <w:b/>
          <w:i w:val="0"/>
          <w:iCs w:val="0"/>
          <w:sz w:val="24"/>
        </w:rPr>
        <w:fldChar w:fldCharType="begin"/>
      </w:r>
      <w:r w:rsidRPr="00976585">
        <w:rPr>
          <w:rStyle w:val="Heading6Char"/>
          <w:i w:val="0"/>
          <w:iCs w:val="0"/>
          <w:sz w:val="24"/>
        </w:rPr>
        <w:instrText xml:space="preserve"> REF _Ref5350781 \h  \* MERGEFORMAT </w:instrText>
      </w:r>
      <w:r w:rsidRPr="00976585">
        <w:rPr>
          <w:rStyle w:val="Heading6Char"/>
          <w:b/>
          <w:i w:val="0"/>
          <w:iCs w:val="0"/>
          <w:sz w:val="24"/>
        </w:rPr>
      </w:r>
      <w:r w:rsidRPr="00976585">
        <w:rPr>
          <w:rStyle w:val="Heading6Char"/>
          <w:b/>
          <w:i w:val="0"/>
          <w:iCs w:val="0"/>
          <w:sz w:val="24"/>
        </w:rPr>
        <w:fldChar w:fldCharType="separate"/>
      </w:r>
      <w:r w:rsidR="007F721A" w:rsidRPr="00976585">
        <w:t xml:space="preserve">Table </w:t>
      </w:r>
      <w:r w:rsidR="007F721A">
        <w:rPr>
          <w:noProof/>
        </w:rPr>
        <w:t>21-8</w:t>
      </w:r>
      <w:r w:rsidRPr="00976585">
        <w:rPr>
          <w:rStyle w:val="Heading6Char"/>
          <w:b/>
          <w:i w:val="0"/>
          <w:iCs w:val="0"/>
          <w:sz w:val="24"/>
        </w:rPr>
        <w:fldChar w:fldCharType="end"/>
      </w:r>
      <w:r w:rsidRPr="00513387">
        <w:t xml:space="preserve"> provides the shares of journey to work by public transport by urban centre population size. It shows that the use of public transport for commuting increases with urban centre size. The use of public transport in the five urban centres with a population over 1 million is significantly higher than those of smaller urban centres.</w:t>
      </w:r>
    </w:p>
    <w:p w14:paraId="32DD1F2C" w14:textId="2E97786D" w:rsidR="007E365E" w:rsidRDefault="007E365E" w:rsidP="007E365E">
      <w:pPr>
        <w:pStyle w:val="Caption"/>
      </w:pPr>
      <w:bookmarkStart w:id="254" w:name="_Ref5350781"/>
      <w:r w:rsidRPr="00976585">
        <w:t xml:space="preserve">Table </w:t>
      </w:r>
      <w:r>
        <w:t>21-</w:t>
      </w:r>
      <w:fldSimple w:instr=" SEQ Table \* ARABIC ">
        <w:r w:rsidR="007F721A">
          <w:rPr>
            <w:noProof/>
          </w:rPr>
          <w:t>8</w:t>
        </w:r>
      </w:fldSimple>
      <w:bookmarkEnd w:id="254"/>
      <w:r w:rsidRPr="00976585">
        <w:tab/>
        <w:t>Share of journey to work by public transport by urban centre size</w:t>
      </w:r>
    </w:p>
    <w:tbl>
      <w:tblPr>
        <w:tblW w:w="8969" w:type="dxa"/>
        <w:tblLayout w:type="fixed"/>
        <w:tblCellMar>
          <w:left w:w="28" w:type="dxa"/>
          <w:right w:w="28" w:type="dxa"/>
        </w:tblCellMar>
        <w:tblLook w:val="04A0" w:firstRow="1" w:lastRow="0" w:firstColumn="1" w:lastColumn="0" w:noHBand="0" w:noVBand="1"/>
      </w:tblPr>
      <w:tblGrid>
        <w:gridCol w:w="3402"/>
        <w:gridCol w:w="1113"/>
        <w:gridCol w:w="1113"/>
        <w:gridCol w:w="1114"/>
        <w:gridCol w:w="1113"/>
        <w:gridCol w:w="1114"/>
      </w:tblGrid>
      <w:tr w:rsidR="007E365E" w:rsidRPr="00625F5B" w14:paraId="3DE1F0CB" w14:textId="77777777" w:rsidTr="002C6DD2">
        <w:trPr>
          <w:trHeight w:val="556"/>
        </w:trPr>
        <w:tc>
          <w:tcPr>
            <w:tcW w:w="3402" w:type="dxa"/>
            <w:tcBorders>
              <w:top w:val="single" w:sz="4" w:space="0" w:color="ADD6EA"/>
              <w:left w:val="nil"/>
              <w:bottom w:val="single" w:sz="4" w:space="0" w:color="ADD6EA"/>
              <w:right w:val="nil"/>
            </w:tcBorders>
            <w:shd w:val="clear" w:color="000000" w:fill="006991"/>
            <w:noWrap/>
            <w:hideMark/>
          </w:tcPr>
          <w:p w14:paraId="6801B6FF" w14:textId="77777777" w:rsidR="007E365E" w:rsidRPr="00625F5B"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255" w:name="RANGE!A5:F7"/>
            <w:r w:rsidRPr="00625F5B">
              <w:rPr>
                <w:rFonts w:ascii="Open Sans SemiBold" w:eastAsia="Times New Roman" w:hAnsi="Open Sans SemiBold" w:cs="Open Sans SemiBold"/>
                <w:color w:val="FFFFFF"/>
                <w:sz w:val="16"/>
                <w:szCs w:val="16"/>
                <w:lang w:eastAsia="en-AU"/>
              </w:rPr>
              <w:t> </w:t>
            </w:r>
            <w:bookmarkEnd w:id="255"/>
          </w:p>
        </w:tc>
        <w:tc>
          <w:tcPr>
            <w:tcW w:w="1113" w:type="dxa"/>
            <w:tcBorders>
              <w:top w:val="single" w:sz="4" w:space="0" w:color="ADD6EA"/>
              <w:left w:val="nil"/>
              <w:bottom w:val="single" w:sz="4" w:space="0" w:color="ADD6EA"/>
              <w:right w:val="nil"/>
            </w:tcBorders>
            <w:shd w:val="clear" w:color="000000" w:fill="006991"/>
            <w:noWrap/>
            <w:hideMark/>
          </w:tcPr>
          <w:p w14:paraId="24D63093" w14:textId="77777777" w:rsidR="007E365E" w:rsidRPr="00625F5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5F5B">
              <w:rPr>
                <w:rFonts w:ascii="Open Sans SemiBold" w:eastAsia="Times New Roman" w:hAnsi="Open Sans SemiBold" w:cs="Open Sans SemiBold"/>
                <w:color w:val="FFFFFF"/>
                <w:sz w:val="16"/>
                <w:szCs w:val="16"/>
                <w:lang w:eastAsia="en-AU"/>
              </w:rPr>
              <w:t>&gt; 1 million</w:t>
            </w:r>
          </w:p>
        </w:tc>
        <w:tc>
          <w:tcPr>
            <w:tcW w:w="1113" w:type="dxa"/>
            <w:tcBorders>
              <w:top w:val="single" w:sz="4" w:space="0" w:color="ADD6EA"/>
              <w:left w:val="nil"/>
              <w:bottom w:val="single" w:sz="4" w:space="0" w:color="ADD6EA"/>
              <w:right w:val="nil"/>
            </w:tcBorders>
            <w:shd w:val="clear" w:color="000000" w:fill="006991"/>
            <w:noWrap/>
            <w:hideMark/>
          </w:tcPr>
          <w:p w14:paraId="48124C5F" w14:textId="77777777" w:rsidR="007E365E" w:rsidRPr="00625F5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5F5B">
              <w:rPr>
                <w:rFonts w:ascii="Open Sans SemiBold" w:eastAsia="Times New Roman" w:hAnsi="Open Sans SemiBold" w:cs="Open Sans SemiBold"/>
                <w:color w:val="FFFFFF"/>
                <w:sz w:val="16"/>
                <w:szCs w:val="16"/>
                <w:lang w:eastAsia="en-AU"/>
              </w:rPr>
              <w:t>0.25 to 1 million</w:t>
            </w:r>
          </w:p>
        </w:tc>
        <w:tc>
          <w:tcPr>
            <w:tcW w:w="1114" w:type="dxa"/>
            <w:tcBorders>
              <w:top w:val="single" w:sz="4" w:space="0" w:color="ADD6EA"/>
              <w:left w:val="nil"/>
              <w:bottom w:val="single" w:sz="4" w:space="0" w:color="ADD6EA"/>
              <w:right w:val="nil"/>
            </w:tcBorders>
            <w:shd w:val="clear" w:color="000000" w:fill="006991"/>
            <w:noWrap/>
            <w:hideMark/>
          </w:tcPr>
          <w:p w14:paraId="0108B19B" w14:textId="77777777" w:rsidR="007E365E" w:rsidRPr="00625F5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5F5B">
              <w:rPr>
                <w:rFonts w:ascii="Open Sans SemiBold" w:eastAsia="Times New Roman" w:hAnsi="Open Sans SemiBold" w:cs="Open Sans SemiBold"/>
                <w:color w:val="FFFFFF"/>
                <w:sz w:val="16"/>
                <w:szCs w:val="16"/>
                <w:lang w:eastAsia="en-AU"/>
              </w:rPr>
              <w:t>0.1 to .25 million</w:t>
            </w:r>
          </w:p>
        </w:tc>
        <w:tc>
          <w:tcPr>
            <w:tcW w:w="1113" w:type="dxa"/>
            <w:tcBorders>
              <w:top w:val="single" w:sz="4" w:space="0" w:color="ADD6EA"/>
              <w:left w:val="nil"/>
              <w:bottom w:val="single" w:sz="4" w:space="0" w:color="ADD6EA"/>
              <w:right w:val="nil"/>
            </w:tcBorders>
            <w:shd w:val="clear" w:color="000000" w:fill="006991"/>
            <w:noWrap/>
            <w:hideMark/>
          </w:tcPr>
          <w:p w14:paraId="459239A9" w14:textId="77777777" w:rsidR="007E365E" w:rsidRPr="00625F5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5F5B">
              <w:rPr>
                <w:rFonts w:ascii="Open Sans SemiBold" w:eastAsia="Times New Roman" w:hAnsi="Open Sans SemiBold" w:cs="Open Sans SemiBold"/>
                <w:color w:val="FFFFFF"/>
                <w:sz w:val="16"/>
                <w:szCs w:val="16"/>
                <w:lang w:eastAsia="en-AU"/>
              </w:rPr>
              <w:t>0.05 to .1 million</w:t>
            </w:r>
          </w:p>
        </w:tc>
        <w:tc>
          <w:tcPr>
            <w:tcW w:w="1114" w:type="dxa"/>
            <w:tcBorders>
              <w:top w:val="single" w:sz="4" w:space="0" w:color="ADD6EA"/>
              <w:left w:val="nil"/>
              <w:bottom w:val="single" w:sz="4" w:space="0" w:color="ADD6EA"/>
              <w:right w:val="nil"/>
            </w:tcBorders>
            <w:shd w:val="clear" w:color="000000" w:fill="006991"/>
            <w:noWrap/>
            <w:hideMark/>
          </w:tcPr>
          <w:p w14:paraId="15BAE4A3" w14:textId="77777777" w:rsidR="007E365E" w:rsidRPr="00625F5B"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5F5B">
              <w:rPr>
                <w:rFonts w:ascii="Open Sans SemiBold" w:eastAsia="Times New Roman" w:hAnsi="Open Sans SemiBold" w:cs="Open Sans SemiBold"/>
                <w:color w:val="FFFFFF"/>
                <w:sz w:val="16"/>
                <w:szCs w:val="16"/>
                <w:lang w:eastAsia="en-AU"/>
              </w:rPr>
              <w:t>&lt; 0.05 million</w:t>
            </w:r>
          </w:p>
        </w:tc>
      </w:tr>
      <w:tr w:rsidR="007E365E" w:rsidRPr="00625F5B" w14:paraId="1A4CBEED" w14:textId="77777777" w:rsidTr="007D1D77">
        <w:trPr>
          <w:trHeight w:hRule="exact" w:val="261"/>
        </w:trPr>
        <w:tc>
          <w:tcPr>
            <w:tcW w:w="3402" w:type="dxa"/>
            <w:tcBorders>
              <w:top w:val="nil"/>
              <w:left w:val="nil"/>
              <w:bottom w:val="nil"/>
              <w:right w:val="nil"/>
            </w:tcBorders>
            <w:shd w:val="clear" w:color="000000" w:fill="B6D5E4"/>
            <w:vAlign w:val="center"/>
            <w:hideMark/>
          </w:tcPr>
          <w:p w14:paraId="1FDF82B3" w14:textId="77777777" w:rsidR="007E365E" w:rsidRPr="005E7EA3"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5E7EA3">
              <w:rPr>
                <w:rFonts w:ascii="Open Sans SemiBold" w:eastAsia="Times New Roman" w:hAnsi="Open Sans SemiBold" w:cs="Open Sans SemiBold"/>
                <w:sz w:val="16"/>
                <w:szCs w:val="16"/>
                <w:lang w:eastAsia="en-AU"/>
              </w:rPr>
              <w:t> </w:t>
            </w:r>
          </w:p>
        </w:tc>
        <w:tc>
          <w:tcPr>
            <w:tcW w:w="1113" w:type="dxa"/>
            <w:tcBorders>
              <w:top w:val="nil"/>
              <w:left w:val="nil"/>
              <w:bottom w:val="nil"/>
              <w:right w:val="nil"/>
            </w:tcBorders>
            <w:shd w:val="clear" w:color="000000" w:fill="B6D5E4"/>
            <w:vAlign w:val="center"/>
            <w:hideMark/>
          </w:tcPr>
          <w:p w14:paraId="5CA5D688" w14:textId="77777777" w:rsidR="007E365E" w:rsidRPr="005E7EA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5E7EA3">
              <w:rPr>
                <w:rFonts w:ascii="Open Sans SemiBold" w:eastAsia="Times New Roman" w:hAnsi="Open Sans SemiBold" w:cs="Open Sans SemiBold"/>
                <w:sz w:val="16"/>
                <w:szCs w:val="16"/>
                <w:lang w:eastAsia="en-AU"/>
              </w:rPr>
              <w:t>%</w:t>
            </w:r>
          </w:p>
        </w:tc>
        <w:tc>
          <w:tcPr>
            <w:tcW w:w="1113" w:type="dxa"/>
            <w:tcBorders>
              <w:top w:val="nil"/>
              <w:left w:val="nil"/>
              <w:bottom w:val="nil"/>
              <w:right w:val="nil"/>
            </w:tcBorders>
            <w:shd w:val="clear" w:color="000000" w:fill="B6D5E4"/>
            <w:vAlign w:val="center"/>
            <w:hideMark/>
          </w:tcPr>
          <w:p w14:paraId="61240083" w14:textId="77777777" w:rsidR="007E365E" w:rsidRPr="005E7EA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5E7EA3">
              <w:rPr>
                <w:rFonts w:ascii="Open Sans SemiBold" w:eastAsia="Times New Roman" w:hAnsi="Open Sans SemiBold" w:cs="Open Sans SemiBold"/>
                <w:sz w:val="16"/>
                <w:szCs w:val="16"/>
                <w:lang w:eastAsia="en-AU"/>
              </w:rPr>
              <w:t>%</w:t>
            </w:r>
          </w:p>
        </w:tc>
        <w:tc>
          <w:tcPr>
            <w:tcW w:w="1114" w:type="dxa"/>
            <w:tcBorders>
              <w:top w:val="nil"/>
              <w:left w:val="nil"/>
              <w:bottom w:val="nil"/>
              <w:right w:val="nil"/>
            </w:tcBorders>
            <w:shd w:val="clear" w:color="000000" w:fill="B6D5E4"/>
            <w:vAlign w:val="center"/>
            <w:hideMark/>
          </w:tcPr>
          <w:p w14:paraId="3D348B04" w14:textId="77777777" w:rsidR="007E365E" w:rsidRPr="005E7EA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5E7EA3">
              <w:rPr>
                <w:rFonts w:ascii="Open Sans SemiBold" w:eastAsia="Times New Roman" w:hAnsi="Open Sans SemiBold" w:cs="Open Sans SemiBold"/>
                <w:sz w:val="16"/>
                <w:szCs w:val="16"/>
                <w:lang w:eastAsia="en-AU"/>
              </w:rPr>
              <w:t>%</w:t>
            </w:r>
          </w:p>
        </w:tc>
        <w:tc>
          <w:tcPr>
            <w:tcW w:w="1113" w:type="dxa"/>
            <w:tcBorders>
              <w:top w:val="nil"/>
              <w:left w:val="nil"/>
              <w:bottom w:val="nil"/>
              <w:right w:val="nil"/>
            </w:tcBorders>
            <w:shd w:val="clear" w:color="000000" w:fill="B6D5E4"/>
            <w:vAlign w:val="center"/>
            <w:hideMark/>
          </w:tcPr>
          <w:p w14:paraId="23C5E1BC" w14:textId="77777777" w:rsidR="007E365E" w:rsidRPr="005E7EA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5E7EA3">
              <w:rPr>
                <w:rFonts w:ascii="Open Sans SemiBold" w:eastAsia="Times New Roman" w:hAnsi="Open Sans SemiBold" w:cs="Open Sans SemiBold"/>
                <w:sz w:val="16"/>
                <w:szCs w:val="16"/>
                <w:lang w:eastAsia="en-AU"/>
              </w:rPr>
              <w:t>%</w:t>
            </w:r>
          </w:p>
        </w:tc>
        <w:tc>
          <w:tcPr>
            <w:tcW w:w="1114" w:type="dxa"/>
            <w:tcBorders>
              <w:top w:val="nil"/>
              <w:left w:val="nil"/>
              <w:bottom w:val="nil"/>
              <w:right w:val="nil"/>
            </w:tcBorders>
            <w:shd w:val="clear" w:color="000000" w:fill="B6D5E4"/>
            <w:vAlign w:val="center"/>
            <w:hideMark/>
          </w:tcPr>
          <w:p w14:paraId="7971B57F" w14:textId="77777777" w:rsidR="007E365E" w:rsidRPr="005E7EA3"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5E7EA3">
              <w:rPr>
                <w:rFonts w:ascii="Open Sans SemiBold" w:eastAsia="Times New Roman" w:hAnsi="Open Sans SemiBold" w:cs="Open Sans SemiBold"/>
                <w:sz w:val="16"/>
                <w:szCs w:val="16"/>
                <w:lang w:eastAsia="en-AU"/>
              </w:rPr>
              <w:t>%</w:t>
            </w:r>
          </w:p>
        </w:tc>
      </w:tr>
      <w:tr w:rsidR="007E365E" w:rsidRPr="00625F5B" w14:paraId="0D5BA63C" w14:textId="77777777" w:rsidTr="007D1D77">
        <w:trPr>
          <w:trHeight w:hRule="exact" w:val="318"/>
        </w:trPr>
        <w:tc>
          <w:tcPr>
            <w:tcW w:w="3402" w:type="dxa"/>
            <w:tcBorders>
              <w:top w:val="single" w:sz="4" w:space="0" w:color="ADD6EA"/>
              <w:left w:val="nil"/>
              <w:bottom w:val="single" w:sz="4" w:space="0" w:color="ADD6EA"/>
              <w:right w:val="nil"/>
            </w:tcBorders>
            <w:shd w:val="clear" w:color="auto" w:fill="auto"/>
            <w:vAlign w:val="bottom"/>
            <w:hideMark/>
          </w:tcPr>
          <w:p w14:paraId="0D455242" w14:textId="77777777" w:rsidR="007E365E" w:rsidRPr="00625F5B" w:rsidRDefault="007E365E" w:rsidP="007D1D77">
            <w:pPr>
              <w:tabs>
                <w:tab w:val="clear" w:pos="567"/>
              </w:tabs>
              <w:spacing w:before="0" w:line="240" w:lineRule="auto"/>
              <w:rPr>
                <w:rFonts w:eastAsia="Times New Roman" w:cs="Open Sans Light"/>
                <w:sz w:val="16"/>
                <w:szCs w:val="16"/>
                <w:lang w:eastAsia="en-AU"/>
              </w:rPr>
            </w:pPr>
            <w:r w:rsidRPr="00625F5B">
              <w:rPr>
                <w:rFonts w:eastAsia="Times New Roman" w:cs="Open Sans Light"/>
                <w:sz w:val="16"/>
                <w:szCs w:val="16"/>
                <w:lang w:eastAsia="en-AU"/>
              </w:rPr>
              <w:t>Share of journey to work by public transport</w:t>
            </w:r>
          </w:p>
        </w:tc>
        <w:tc>
          <w:tcPr>
            <w:tcW w:w="1113" w:type="dxa"/>
            <w:tcBorders>
              <w:top w:val="single" w:sz="4" w:space="0" w:color="ADD6EA"/>
              <w:left w:val="nil"/>
              <w:bottom w:val="single" w:sz="4" w:space="0" w:color="ADD6EA"/>
              <w:right w:val="nil"/>
            </w:tcBorders>
            <w:shd w:val="clear" w:color="auto" w:fill="auto"/>
            <w:vAlign w:val="bottom"/>
            <w:hideMark/>
          </w:tcPr>
          <w:p w14:paraId="37715E62" w14:textId="77777777" w:rsidR="007E365E" w:rsidRPr="00625F5B" w:rsidRDefault="007E365E" w:rsidP="007D1D77">
            <w:pPr>
              <w:tabs>
                <w:tab w:val="clear" w:pos="567"/>
              </w:tabs>
              <w:spacing w:before="0" w:line="240" w:lineRule="auto"/>
              <w:jc w:val="right"/>
              <w:rPr>
                <w:rFonts w:eastAsia="Times New Roman" w:cs="Open Sans Light"/>
                <w:sz w:val="16"/>
                <w:szCs w:val="16"/>
                <w:lang w:eastAsia="en-AU"/>
              </w:rPr>
            </w:pPr>
            <w:r w:rsidRPr="00625F5B">
              <w:rPr>
                <w:rFonts w:eastAsia="Times New Roman" w:cs="Open Sans Light"/>
                <w:sz w:val="16"/>
                <w:szCs w:val="16"/>
                <w:lang w:eastAsia="en-AU"/>
              </w:rPr>
              <w:t>19.2</w:t>
            </w:r>
          </w:p>
        </w:tc>
        <w:tc>
          <w:tcPr>
            <w:tcW w:w="1113" w:type="dxa"/>
            <w:tcBorders>
              <w:top w:val="single" w:sz="4" w:space="0" w:color="ADD6EA"/>
              <w:left w:val="nil"/>
              <w:bottom w:val="single" w:sz="4" w:space="0" w:color="ADD6EA"/>
              <w:right w:val="nil"/>
            </w:tcBorders>
            <w:shd w:val="clear" w:color="auto" w:fill="auto"/>
            <w:vAlign w:val="bottom"/>
            <w:hideMark/>
          </w:tcPr>
          <w:p w14:paraId="133E961E" w14:textId="77777777" w:rsidR="007E365E" w:rsidRPr="00625F5B" w:rsidRDefault="007E365E" w:rsidP="007D1D77">
            <w:pPr>
              <w:tabs>
                <w:tab w:val="clear" w:pos="567"/>
              </w:tabs>
              <w:spacing w:before="0" w:line="240" w:lineRule="auto"/>
              <w:jc w:val="right"/>
              <w:rPr>
                <w:rFonts w:eastAsia="Times New Roman" w:cs="Open Sans Light"/>
                <w:sz w:val="16"/>
                <w:szCs w:val="16"/>
                <w:lang w:eastAsia="en-AU"/>
              </w:rPr>
            </w:pPr>
            <w:r w:rsidRPr="00625F5B">
              <w:rPr>
                <w:rFonts w:eastAsia="Times New Roman" w:cs="Open Sans Light"/>
                <w:sz w:val="16"/>
                <w:szCs w:val="16"/>
                <w:lang w:eastAsia="en-AU"/>
              </w:rPr>
              <w:t>5.8</w:t>
            </w:r>
          </w:p>
        </w:tc>
        <w:tc>
          <w:tcPr>
            <w:tcW w:w="1114" w:type="dxa"/>
            <w:tcBorders>
              <w:top w:val="single" w:sz="4" w:space="0" w:color="ADD6EA"/>
              <w:left w:val="nil"/>
              <w:bottom w:val="single" w:sz="4" w:space="0" w:color="ADD6EA"/>
              <w:right w:val="nil"/>
            </w:tcBorders>
            <w:shd w:val="clear" w:color="auto" w:fill="auto"/>
            <w:vAlign w:val="bottom"/>
            <w:hideMark/>
          </w:tcPr>
          <w:p w14:paraId="6311BF6F" w14:textId="77777777" w:rsidR="007E365E" w:rsidRPr="00625F5B" w:rsidRDefault="007E365E" w:rsidP="007D1D77">
            <w:pPr>
              <w:tabs>
                <w:tab w:val="clear" w:pos="567"/>
              </w:tabs>
              <w:spacing w:before="0" w:line="240" w:lineRule="auto"/>
              <w:jc w:val="right"/>
              <w:rPr>
                <w:rFonts w:eastAsia="Times New Roman" w:cs="Open Sans Light"/>
                <w:sz w:val="16"/>
                <w:szCs w:val="16"/>
                <w:lang w:eastAsia="en-AU"/>
              </w:rPr>
            </w:pPr>
            <w:r w:rsidRPr="00625F5B">
              <w:rPr>
                <w:rFonts w:eastAsia="Times New Roman" w:cs="Open Sans Light"/>
                <w:sz w:val="16"/>
                <w:szCs w:val="16"/>
                <w:lang w:eastAsia="en-AU"/>
              </w:rPr>
              <w:t>3.6</w:t>
            </w:r>
          </w:p>
        </w:tc>
        <w:tc>
          <w:tcPr>
            <w:tcW w:w="1113" w:type="dxa"/>
            <w:tcBorders>
              <w:top w:val="single" w:sz="4" w:space="0" w:color="ADD6EA"/>
              <w:left w:val="nil"/>
              <w:bottom w:val="single" w:sz="4" w:space="0" w:color="ADD6EA"/>
              <w:right w:val="nil"/>
            </w:tcBorders>
            <w:shd w:val="clear" w:color="auto" w:fill="auto"/>
            <w:vAlign w:val="bottom"/>
            <w:hideMark/>
          </w:tcPr>
          <w:p w14:paraId="3AE9EA8E" w14:textId="77777777" w:rsidR="007E365E" w:rsidRPr="00625F5B" w:rsidRDefault="007E365E" w:rsidP="007D1D77">
            <w:pPr>
              <w:tabs>
                <w:tab w:val="clear" w:pos="567"/>
              </w:tabs>
              <w:spacing w:before="0" w:line="240" w:lineRule="auto"/>
              <w:jc w:val="right"/>
              <w:rPr>
                <w:rFonts w:eastAsia="Times New Roman" w:cs="Open Sans Light"/>
                <w:sz w:val="16"/>
                <w:szCs w:val="16"/>
                <w:lang w:eastAsia="en-AU"/>
              </w:rPr>
            </w:pPr>
            <w:r w:rsidRPr="00625F5B">
              <w:rPr>
                <w:rFonts w:eastAsia="Times New Roman" w:cs="Open Sans Light"/>
                <w:sz w:val="16"/>
                <w:szCs w:val="16"/>
                <w:lang w:eastAsia="en-AU"/>
              </w:rPr>
              <w:t>1.6</w:t>
            </w:r>
          </w:p>
        </w:tc>
        <w:tc>
          <w:tcPr>
            <w:tcW w:w="1114" w:type="dxa"/>
            <w:tcBorders>
              <w:top w:val="single" w:sz="4" w:space="0" w:color="ADD6EA"/>
              <w:left w:val="nil"/>
              <w:bottom w:val="single" w:sz="4" w:space="0" w:color="ADD6EA"/>
              <w:right w:val="nil"/>
            </w:tcBorders>
            <w:shd w:val="clear" w:color="auto" w:fill="auto"/>
            <w:vAlign w:val="bottom"/>
            <w:hideMark/>
          </w:tcPr>
          <w:p w14:paraId="3AD80C46" w14:textId="77777777" w:rsidR="007E365E" w:rsidRPr="00625F5B" w:rsidRDefault="007E365E" w:rsidP="007D1D77">
            <w:pPr>
              <w:tabs>
                <w:tab w:val="clear" w:pos="567"/>
              </w:tabs>
              <w:spacing w:before="0" w:line="240" w:lineRule="auto"/>
              <w:jc w:val="right"/>
              <w:rPr>
                <w:rFonts w:eastAsia="Times New Roman" w:cs="Open Sans Light"/>
                <w:sz w:val="16"/>
                <w:szCs w:val="16"/>
                <w:lang w:eastAsia="en-AU"/>
              </w:rPr>
            </w:pPr>
            <w:r w:rsidRPr="00625F5B">
              <w:rPr>
                <w:rFonts w:eastAsia="Times New Roman" w:cs="Open Sans Light"/>
                <w:sz w:val="16"/>
                <w:szCs w:val="16"/>
                <w:lang w:eastAsia="en-AU"/>
              </w:rPr>
              <w:t>1.4</w:t>
            </w:r>
          </w:p>
        </w:tc>
      </w:tr>
    </w:tbl>
    <w:p w14:paraId="1005063F" w14:textId="77777777" w:rsidR="007E365E" w:rsidRPr="00976585" w:rsidRDefault="007E365E" w:rsidP="007E365E">
      <w:pPr>
        <w:pStyle w:val="CGCTablenote"/>
      </w:pPr>
      <w:r w:rsidRPr="00976585">
        <w:t>Source:</w:t>
      </w:r>
      <w:r w:rsidRPr="00976585">
        <w:tab/>
        <w:t xml:space="preserve">Commission calculation based on </w:t>
      </w:r>
      <w:r>
        <w:t xml:space="preserve">the </w:t>
      </w:r>
      <w:r w:rsidRPr="00976585">
        <w:t>2016 Census.</w:t>
      </w:r>
    </w:p>
    <w:p w14:paraId="2BCD4613" w14:textId="77777777" w:rsidR="007E365E" w:rsidRPr="00976585" w:rsidRDefault="007E365E" w:rsidP="007E365E">
      <w:pPr>
        <w:pStyle w:val="CGCParaNumber"/>
      </w:pPr>
      <w:r w:rsidRPr="00976585">
        <w:t>A higher level of public transport use in large urban centres is attributable to the presence of heavy rail. As urban centres become sufficiently large, the Commission considers that the introduction of heavy rail into the public transport mode mix becomes unavoidable. This is consistent with New South Wales’ submission, which argued that heavy rail is recognised as a critical element of building an agglomeration economy because it is the most cost-effective form of mass transport. It presented evidence that there is a strong positive correlation between a city’s passenger rail task, density levels and economic productivity. The presence of heavy rail in large urban centres is average State policy and consistent with international experience.</w:t>
      </w:r>
    </w:p>
    <w:p w14:paraId="7D0620AA" w14:textId="77777777" w:rsidR="007E365E" w:rsidRPr="00976585" w:rsidRDefault="007E365E" w:rsidP="007E365E">
      <w:pPr>
        <w:pStyle w:val="CGCParaNumber"/>
      </w:pPr>
      <w:r w:rsidRPr="00976585">
        <w:t>A jurisdiction installs a heavy rail network out of necessity to cope with increasing burdens on the transport system both to take passengers further outside the Central Business District (CBD) and increase mobility within an environment that is less conducive to private vehicle use. High per capita net expenses in cities with heavy rail reflect the fact that heavy rail networks are vastly more expensive to implement and operate.</w:t>
      </w:r>
    </w:p>
    <w:p w14:paraId="6F200AD2" w14:textId="19F419AF" w:rsidR="007E365E" w:rsidRDefault="007E365E" w:rsidP="007E365E">
      <w:pPr>
        <w:pStyle w:val="CGCParaNumber"/>
      </w:pPr>
      <w:r w:rsidRPr="00976585">
        <w:fldChar w:fldCharType="begin"/>
      </w:r>
      <w:r w:rsidRPr="00976585">
        <w:instrText xml:space="preserve"> REF _Ref10640777 \h  \* MERGEFORMAT </w:instrText>
      </w:r>
      <w:r w:rsidRPr="00976585">
        <w:fldChar w:fldCharType="separate"/>
      </w:r>
      <w:r w:rsidR="007F721A" w:rsidRPr="00976585">
        <w:t xml:space="preserve">Figure </w:t>
      </w:r>
      <w:r w:rsidR="007F721A">
        <w:rPr>
          <w:noProof/>
        </w:rPr>
        <w:t>21-4</w:t>
      </w:r>
      <w:r w:rsidRPr="00976585">
        <w:fldChar w:fldCharType="end"/>
      </w:r>
      <w:r w:rsidRPr="00976585">
        <w:t xml:space="preserve"> presents urban transport </w:t>
      </w:r>
      <w:r>
        <w:t xml:space="preserve">net </w:t>
      </w:r>
      <w:r w:rsidRPr="00976585">
        <w:t>expenses by transport mode for States with heavy rail. It shows that heavy rail expenses dominate State transport budgets as capital city population and density increase.</w:t>
      </w:r>
    </w:p>
    <w:p w14:paraId="3B4C1E3D" w14:textId="77777777" w:rsidR="007E365E" w:rsidRDefault="007E365E" w:rsidP="007E365E">
      <w:pPr>
        <w:pStyle w:val="CGCParaNumber"/>
        <w:numPr>
          <w:ilvl w:val="0"/>
          <w:numId w:val="0"/>
        </w:numPr>
        <w:ind w:left="720"/>
      </w:pPr>
    </w:p>
    <w:p w14:paraId="7230DF0D" w14:textId="77777777" w:rsidR="007E365E" w:rsidRPr="00976585" w:rsidRDefault="007E365E" w:rsidP="007E365E">
      <w:pPr>
        <w:pStyle w:val="CGCParaNumber"/>
        <w:numPr>
          <w:ilvl w:val="0"/>
          <w:numId w:val="0"/>
        </w:numPr>
        <w:ind w:left="720"/>
      </w:pPr>
    </w:p>
    <w:p w14:paraId="57E9EE35" w14:textId="0E0B8FDC" w:rsidR="007E365E" w:rsidRDefault="007E365E" w:rsidP="007E365E">
      <w:pPr>
        <w:pStyle w:val="Caption"/>
      </w:pPr>
      <w:bookmarkStart w:id="256" w:name="_Ref10640777"/>
      <w:r w:rsidRPr="00976585">
        <w:lastRenderedPageBreak/>
        <w:t xml:space="preserve">Figure </w:t>
      </w:r>
      <w:r>
        <w:t>21-</w:t>
      </w:r>
      <w:fldSimple w:instr=" SEQ Figure \* ARABIC ">
        <w:r w:rsidR="007F721A">
          <w:rPr>
            <w:noProof/>
          </w:rPr>
          <w:t>4</w:t>
        </w:r>
      </w:fldSimple>
      <w:bookmarkEnd w:id="256"/>
      <w:r w:rsidRPr="00976585">
        <w:tab/>
        <w:t xml:space="preserve">Urban transport </w:t>
      </w:r>
      <w:r>
        <w:t xml:space="preserve">net </w:t>
      </w:r>
      <w:r w:rsidRPr="00976585">
        <w:t>expenses by transport mode for States with heavy rail, average of 2013</w:t>
      </w:r>
      <w:r>
        <w:noBreakHyphen/>
      </w:r>
      <w:r w:rsidRPr="00976585">
        <w:t>14 to 2015</w:t>
      </w:r>
      <w:r>
        <w:noBreakHyphen/>
      </w:r>
      <w:r w:rsidRPr="00976585">
        <w:t>16</w:t>
      </w:r>
    </w:p>
    <w:p w14:paraId="44644417" w14:textId="77777777" w:rsidR="007E365E" w:rsidRDefault="007E365E" w:rsidP="007E365E">
      <w:pPr>
        <w:pStyle w:val="CGCTablenote"/>
        <w:keepNext/>
        <w:keepLines/>
      </w:pPr>
      <w:r>
        <w:rPr>
          <w:noProof/>
        </w:rPr>
        <mc:AlternateContent>
          <mc:Choice Requires="wpg">
            <w:drawing>
              <wp:anchor distT="0" distB="0" distL="114300" distR="114300" simplePos="0" relativeHeight="251658240" behindDoc="0" locked="0" layoutInCell="1" allowOverlap="1" wp14:anchorId="4A27FD98" wp14:editId="7B3898BE">
                <wp:simplePos x="0" y="0"/>
                <wp:positionH relativeFrom="column">
                  <wp:posOffset>356</wp:posOffset>
                </wp:positionH>
                <wp:positionV relativeFrom="paragraph">
                  <wp:posOffset>610</wp:posOffset>
                </wp:positionV>
                <wp:extent cx="5018049" cy="5573877"/>
                <wp:effectExtent l="0" t="0" r="0" b="8255"/>
                <wp:wrapSquare wrapText="bothSides"/>
                <wp:docPr id="38" name="Group 38"/>
                <wp:cNvGraphicFramePr/>
                <a:graphic xmlns:a="http://schemas.openxmlformats.org/drawingml/2006/main">
                  <a:graphicData uri="http://schemas.microsoft.com/office/word/2010/wordprocessingGroup">
                    <wpg:wgp>
                      <wpg:cNvGrpSpPr/>
                      <wpg:grpSpPr>
                        <a:xfrm>
                          <a:off x="0" y="0"/>
                          <a:ext cx="5018049" cy="5573877"/>
                          <a:chOff x="0" y="0"/>
                          <a:chExt cx="5018049" cy="5573877"/>
                        </a:xfrm>
                      </wpg:grpSpPr>
                      <pic:pic xmlns:pic="http://schemas.openxmlformats.org/drawingml/2006/picture">
                        <pic:nvPicPr>
                          <pic:cNvPr id="39" name="Picture 39" descr="Urban transport net expenses by transport mode for New South Wales. &#10;Pie chart showing breakdown of expenses for Heavy rail, Bus, Light rail and Ferry."/>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5070" cy="1821180"/>
                          </a:xfrm>
                          <a:prstGeom prst="rect">
                            <a:avLst/>
                          </a:prstGeom>
                          <a:noFill/>
                          <a:ln>
                            <a:noFill/>
                          </a:ln>
                        </pic:spPr>
                      </pic:pic>
                      <pic:pic xmlns:pic="http://schemas.openxmlformats.org/drawingml/2006/picture">
                        <pic:nvPicPr>
                          <pic:cNvPr id="40" name="Picture 40" descr="Urban transport net expenses by transport mode for Victoria. Pie chart showing breakdown of expenses for Heavy rail, Bus and Light rail."/>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2538374" y="0"/>
                            <a:ext cx="2465070" cy="1821180"/>
                          </a:xfrm>
                          <a:prstGeom prst="rect">
                            <a:avLst/>
                          </a:prstGeom>
                          <a:noFill/>
                          <a:ln>
                            <a:noFill/>
                          </a:ln>
                        </pic:spPr>
                      </pic:pic>
                      <pic:pic xmlns:pic="http://schemas.openxmlformats.org/drawingml/2006/picture">
                        <pic:nvPicPr>
                          <pic:cNvPr id="41" name="Picture 41" descr="Urban transport net expenses by transport mode for Queensland. Pie chart showing breakdown of expenses for Heavy rail, Bus, Light rail and Ferry."/>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1872691"/>
                            <a:ext cx="2465070" cy="1821180"/>
                          </a:xfrm>
                          <a:prstGeom prst="rect">
                            <a:avLst/>
                          </a:prstGeom>
                          <a:noFill/>
                          <a:ln>
                            <a:noFill/>
                          </a:ln>
                        </pic:spPr>
                      </pic:pic>
                      <pic:pic xmlns:pic="http://schemas.openxmlformats.org/drawingml/2006/picture">
                        <pic:nvPicPr>
                          <pic:cNvPr id="42" name="Picture 42" descr="Urban transport net expenses by transport mode for Western Australia. Pie chart showing breakdown of expenses for Heavy rail, Bus and Ferry."/>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2538374" y="1872691"/>
                            <a:ext cx="2479675" cy="1821180"/>
                          </a:xfrm>
                          <a:prstGeom prst="rect">
                            <a:avLst/>
                          </a:prstGeom>
                          <a:noFill/>
                          <a:ln>
                            <a:noFill/>
                          </a:ln>
                        </pic:spPr>
                      </pic:pic>
                      <pic:pic xmlns:pic="http://schemas.openxmlformats.org/drawingml/2006/picture">
                        <pic:nvPicPr>
                          <pic:cNvPr id="43" name="Picture 43" descr="Urban transport net expenses by transport mode for South Australia. Pie chart showing breakdown of expenses for Heavy rail, Bus, Light rail and Ferry.&#1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3752697"/>
                            <a:ext cx="2465070" cy="1821180"/>
                          </a:xfrm>
                          <a:prstGeom prst="rect">
                            <a:avLst/>
                          </a:prstGeom>
                          <a:noFill/>
                          <a:ln>
                            <a:noFill/>
                          </a:ln>
                        </pic:spPr>
                      </pic:pic>
                    </wpg:wgp>
                  </a:graphicData>
                </a:graphic>
              </wp:anchor>
            </w:drawing>
          </mc:Choice>
          <mc:Fallback>
            <w:pict>
              <v:group w14:anchorId="09442B39" id="Group 38" o:spid="_x0000_s1026" style="position:absolute;margin-left:.05pt;margin-top:.05pt;width:395.1pt;height:438.9pt;z-index:251658240" coordsize="50180,557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Urban transport net expenses by transport mode for New South Wales. &#10;Pie chart showing breakdown of expenses for Heavy rail, Bus, Light rail and Ferry." style="position:absolute;width:24650;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">
                  <v:imagedata r:id="rId36" o:title="Urban transport net expenses by transport mode for New South Wales. &#10;Pie chart showing breakdown of expenses for Heavy rail, Bus, Light rail and Ferry"/>
                </v:shape>
                <v:shape id="Picture 40" o:spid="_x0000_s1028" type="#_x0000_t75" alt="Urban transport net expenses by transport mode for Victoria. Pie chart showing breakdown of expenses for Heavy rail, Bus and Light rail." style="position:absolute;left:25383;width:24651;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">
                  <v:imagedata r:id="rId37" o:title="Urban transport net expenses by transport mode for Victoria. Pie chart showing breakdown of expenses for Heavy rail, Bus and Light rail"/>
                </v:shape>
                <v:shape id="Picture 41" o:spid="_x0000_s1029" type="#_x0000_t75" alt="Urban transport net expenses by transport mode for Queensland. Pie chart showing breakdown of expenses for Heavy rail, Bus, Light rail and Ferry." style="position:absolute;top:18726;width:24650;height:1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">
                  <v:imagedata r:id="rId38" o:title="Urban transport net expenses by transport mode for Queensland. Pie chart showing breakdown of expenses for Heavy rail, Bus, Light rail and Ferry"/>
                </v:shape>
                <v:shape id="Picture 42" o:spid="_x0000_s1030" type="#_x0000_t75" alt="Urban transport net expenses by transport mode for Western Australia. Pie chart showing breakdown of expenses for Heavy rail, Bus and Ferry." style="position:absolute;left:25383;top:18726;width:24797;height:1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">
                  <v:imagedata r:id="rId39" o:title="Urban transport net expenses by transport mode for Western Australia. Pie chart showing breakdown of expenses for Heavy rail, Bus and Ferry"/>
                </v:shape>
                <v:shape id="Picture 43" o:spid="_x0000_s1031" type="#_x0000_t75" alt="Urban transport net expenses by transport mode for South Australia. Pie chart showing breakdown of expenses for Heavy rail, Bus, Light rail and Ferry.&#10;" style="position:absolute;top:37526;width:24650;height:18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">
                  <v:imagedata r:id="rId40" o:title="Urban transport net expenses by transport mode for South Australia. Pie chart showing breakdown of expenses for Heavy rail, Bus, Light rail and Ferry"/>
                </v:shape>
                <w10:wrap type="square"/>
              </v:group>
            </w:pict>
          </mc:Fallback>
        </mc:AlternateContent>
      </w:r>
    </w:p>
    <w:p w14:paraId="55950237" w14:textId="77777777" w:rsidR="007E365E" w:rsidRDefault="007E365E" w:rsidP="007E365E">
      <w:pPr>
        <w:pStyle w:val="CGCTablenote"/>
        <w:keepNext/>
        <w:keepLines/>
      </w:pPr>
    </w:p>
    <w:p w14:paraId="5082EC58" w14:textId="77777777" w:rsidR="007E365E" w:rsidRDefault="007E365E" w:rsidP="007E365E">
      <w:pPr>
        <w:pStyle w:val="CGCTablenote"/>
        <w:keepNext/>
        <w:keepLines/>
      </w:pPr>
    </w:p>
    <w:p w14:paraId="49B1C92E" w14:textId="77777777" w:rsidR="007E365E" w:rsidRDefault="007E365E" w:rsidP="007E365E">
      <w:pPr>
        <w:pStyle w:val="CGCTablenote"/>
        <w:keepNext/>
        <w:keepLines/>
      </w:pPr>
    </w:p>
    <w:p w14:paraId="447FC20D" w14:textId="77777777" w:rsidR="007E365E" w:rsidRDefault="007E365E" w:rsidP="007E365E">
      <w:pPr>
        <w:pStyle w:val="CGCTablenote"/>
        <w:keepNext/>
        <w:keepLines/>
      </w:pPr>
    </w:p>
    <w:p w14:paraId="74444C7A" w14:textId="77777777" w:rsidR="007E365E" w:rsidRDefault="007E365E" w:rsidP="007E365E">
      <w:pPr>
        <w:pStyle w:val="CGCTablenote"/>
        <w:keepNext/>
        <w:keepLines/>
      </w:pPr>
    </w:p>
    <w:p w14:paraId="7B36E9C4" w14:textId="77777777" w:rsidR="007E365E" w:rsidRDefault="007E365E" w:rsidP="007E365E">
      <w:pPr>
        <w:pStyle w:val="CGCTablenote"/>
        <w:keepNext/>
        <w:keepLines/>
      </w:pPr>
    </w:p>
    <w:p w14:paraId="04B2F161" w14:textId="77777777" w:rsidR="007E365E" w:rsidRDefault="007E365E" w:rsidP="007E365E">
      <w:pPr>
        <w:pStyle w:val="CGCTablenote"/>
        <w:keepNext/>
        <w:keepLines/>
      </w:pPr>
    </w:p>
    <w:p w14:paraId="5FE2BC60" w14:textId="77777777" w:rsidR="007E365E" w:rsidRDefault="007E365E" w:rsidP="007E365E">
      <w:pPr>
        <w:pStyle w:val="CGCTablenote"/>
        <w:keepNext/>
        <w:keepLines/>
      </w:pPr>
    </w:p>
    <w:p w14:paraId="18619A2D" w14:textId="77777777" w:rsidR="007E365E" w:rsidRDefault="007E365E" w:rsidP="007E365E">
      <w:pPr>
        <w:pStyle w:val="CGCTablenote"/>
        <w:keepNext/>
        <w:keepLines/>
      </w:pPr>
    </w:p>
    <w:p w14:paraId="73646804" w14:textId="77777777" w:rsidR="007E365E" w:rsidRDefault="007E365E" w:rsidP="007E365E">
      <w:pPr>
        <w:pStyle w:val="CGCTablenote"/>
        <w:keepNext/>
        <w:keepLines/>
      </w:pPr>
    </w:p>
    <w:p w14:paraId="6DF76014" w14:textId="77777777" w:rsidR="007E365E" w:rsidRDefault="007E365E" w:rsidP="007E365E">
      <w:pPr>
        <w:pStyle w:val="CGCTablenote"/>
        <w:keepNext/>
        <w:keepLines/>
      </w:pPr>
    </w:p>
    <w:p w14:paraId="462DDE92" w14:textId="77777777" w:rsidR="007E365E" w:rsidRDefault="007E365E" w:rsidP="007E365E">
      <w:pPr>
        <w:pStyle w:val="CGCTablenote"/>
        <w:keepNext/>
        <w:keepLines/>
      </w:pPr>
    </w:p>
    <w:p w14:paraId="68C051E4" w14:textId="77777777" w:rsidR="007E365E" w:rsidRDefault="007E365E" w:rsidP="007E365E">
      <w:pPr>
        <w:pStyle w:val="CGCTablenote"/>
        <w:keepNext/>
        <w:keepLines/>
      </w:pPr>
    </w:p>
    <w:p w14:paraId="35128347" w14:textId="77777777" w:rsidR="007E365E" w:rsidRDefault="007E365E" w:rsidP="007E365E">
      <w:pPr>
        <w:pStyle w:val="CGCTablenote"/>
        <w:keepNext/>
        <w:keepLines/>
      </w:pPr>
    </w:p>
    <w:p w14:paraId="22430067" w14:textId="77777777" w:rsidR="007E365E" w:rsidRDefault="007E365E" w:rsidP="007E365E">
      <w:pPr>
        <w:pStyle w:val="CGCTablenote"/>
        <w:keepNext/>
        <w:keepLines/>
      </w:pPr>
    </w:p>
    <w:p w14:paraId="7F733F70" w14:textId="77777777" w:rsidR="007E365E" w:rsidRDefault="007E365E" w:rsidP="007E365E">
      <w:pPr>
        <w:pStyle w:val="CGCTablenote"/>
        <w:keepNext/>
        <w:keepLines/>
      </w:pPr>
    </w:p>
    <w:p w14:paraId="0355AB98" w14:textId="77777777" w:rsidR="007E365E" w:rsidRDefault="007E365E" w:rsidP="007E365E">
      <w:pPr>
        <w:pStyle w:val="CGCTablenote"/>
        <w:keepNext/>
        <w:keepLines/>
      </w:pPr>
    </w:p>
    <w:p w14:paraId="08A49C19" w14:textId="77777777" w:rsidR="007E365E" w:rsidRDefault="007E365E" w:rsidP="007E365E">
      <w:pPr>
        <w:pStyle w:val="CGCTablenote"/>
        <w:keepNext/>
        <w:keepLines/>
      </w:pPr>
    </w:p>
    <w:p w14:paraId="2E050F33" w14:textId="77777777" w:rsidR="007E365E" w:rsidRDefault="007E365E" w:rsidP="007E365E">
      <w:pPr>
        <w:pStyle w:val="CGCTablenote"/>
        <w:keepNext/>
        <w:keepLines/>
      </w:pPr>
    </w:p>
    <w:p w14:paraId="1324E023" w14:textId="77777777" w:rsidR="007E365E" w:rsidRDefault="007E365E" w:rsidP="007E365E">
      <w:pPr>
        <w:pStyle w:val="CGCTablenote"/>
        <w:keepNext/>
        <w:keepLines/>
      </w:pPr>
    </w:p>
    <w:p w14:paraId="08B75292" w14:textId="77777777" w:rsidR="007E365E" w:rsidRDefault="007E365E" w:rsidP="007E365E">
      <w:pPr>
        <w:pStyle w:val="CGCTablenote"/>
        <w:keepNext/>
        <w:keepLines/>
      </w:pPr>
    </w:p>
    <w:p w14:paraId="7BE752D3" w14:textId="77777777" w:rsidR="007E365E" w:rsidRDefault="007E365E" w:rsidP="007E365E">
      <w:pPr>
        <w:pStyle w:val="CGCTablenote"/>
        <w:keepNext/>
        <w:keepLines/>
      </w:pPr>
    </w:p>
    <w:p w14:paraId="746153CC" w14:textId="77777777" w:rsidR="007E365E" w:rsidRDefault="007E365E" w:rsidP="007E365E">
      <w:pPr>
        <w:pStyle w:val="CGCTablenote"/>
        <w:keepNext/>
        <w:keepLines/>
      </w:pPr>
    </w:p>
    <w:p w14:paraId="54D8AFB8" w14:textId="77777777" w:rsidR="007E365E" w:rsidRDefault="007E365E" w:rsidP="007E365E">
      <w:pPr>
        <w:pStyle w:val="CGCTablenote"/>
        <w:keepNext/>
        <w:keepLines/>
      </w:pPr>
    </w:p>
    <w:p w14:paraId="17DA145E" w14:textId="77777777" w:rsidR="007E365E" w:rsidRDefault="007E365E" w:rsidP="007E365E">
      <w:pPr>
        <w:pStyle w:val="CGCTablenote"/>
        <w:keepNext/>
        <w:keepLines/>
      </w:pPr>
    </w:p>
    <w:p w14:paraId="244C0A8E" w14:textId="77777777" w:rsidR="007E365E" w:rsidRDefault="007E365E" w:rsidP="007E365E">
      <w:pPr>
        <w:pStyle w:val="CGCTablenote"/>
        <w:keepNext/>
        <w:keepLines/>
      </w:pPr>
    </w:p>
    <w:p w14:paraId="143DAA1A" w14:textId="77777777" w:rsidR="007E365E" w:rsidRDefault="007E365E" w:rsidP="007E365E">
      <w:pPr>
        <w:pStyle w:val="CGCTablenote"/>
        <w:keepNext/>
        <w:keepLines/>
      </w:pPr>
    </w:p>
    <w:p w14:paraId="1CB369FC" w14:textId="77777777" w:rsidR="007E365E" w:rsidRDefault="007E365E" w:rsidP="007E365E">
      <w:pPr>
        <w:pStyle w:val="CGCTablenote"/>
        <w:keepNext/>
        <w:keepLines/>
      </w:pPr>
    </w:p>
    <w:p w14:paraId="29F5A76A" w14:textId="77777777" w:rsidR="007E365E" w:rsidRDefault="007E365E" w:rsidP="007E365E">
      <w:pPr>
        <w:pStyle w:val="CGCTablenote"/>
        <w:keepNext/>
        <w:keepLines/>
      </w:pPr>
    </w:p>
    <w:p w14:paraId="50245031" w14:textId="77777777" w:rsidR="007E365E" w:rsidRDefault="007E365E" w:rsidP="007E365E">
      <w:pPr>
        <w:pStyle w:val="CGCTablenote"/>
        <w:keepNext/>
        <w:keepLines/>
      </w:pPr>
    </w:p>
    <w:p w14:paraId="1C255AF8" w14:textId="77777777" w:rsidR="007E365E" w:rsidRDefault="007E365E" w:rsidP="007E365E">
      <w:pPr>
        <w:pStyle w:val="CGCTablenote"/>
        <w:keepNext/>
        <w:keepLines/>
      </w:pPr>
    </w:p>
    <w:p w14:paraId="601F9689" w14:textId="77777777" w:rsidR="007E365E" w:rsidRDefault="007E365E" w:rsidP="007E365E">
      <w:pPr>
        <w:pStyle w:val="CGCTablenote"/>
        <w:keepNext/>
        <w:keepLines/>
      </w:pPr>
    </w:p>
    <w:p w14:paraId="36DEF9AF" w14:textId="77777777" w:rsidR="007E365E" w:rsidRDefault="007E365E" w:rsidP="007E365E">
      <w:pPr>
        <w:pStyle w:val="CGCTablenote"/>
        <w:keepNext/>
        <w:keepLines/>
      </w:pPr>
    </w:p>
    <w:p w14:paraId="231D8857" w14:textId="77777777" w:rsidR="007E365E" w:rsidRDefault="007E365E" w:rsidP="007E365E">
      <w:pPr>
        <w:pStyle w:val="CGCTablenote"/>
        <w:keepNext/>
        <w:keepLines/>
      </w:pPr>
    </w:p>
    <w:p w14:paraId="3F043C4F" w14:textId="77777777" w:rsidR="007E365E" w:rsidRDefault="007E365E" w:rsidP="007E365E">
      <w:pPr>
        <w:pStyle w:val="CGCTablenote"/>
        <w:keepNext/>
        <w:keepLines/>
      </w:pPr>
    </w:p>
    <w:p w14:paraId="208A8036" w14:textId="77777777" w:rsidR="007E365E" w:rsidRDefault="007E365E" w:rsidP="007E365E">
      <w:pPr>
        <w:pStyle w:val="CGCTablenote"/>
        <w:keepNext/>
        <w:keepLines/>
      </w:pPr>
    </w:p>
    <w:p w14:paraId="7C656577" w14:textId="77777777" w:rsidR="007E365E" w:rsidRDefault="007E365E" w:rsidP="007E365E">
      <w:pPr>
        <w:pStyle w:val="CGCTablenote"/>
        <w:keepNext/>
        <w:keepLines/>
      </w:pPr>
    </w:p>
    <w:p w14:paraId="58F27BDE" w14:textId="77777777" w:rsidR="007E365E" w:rsidRDefault="007E365E" w:rsidP="007E365E">
      <w:pPr>
        <w:pStyle w:val="CGCTablenote"/>
        <w:keepNext/>
        <w:keepLines/>
      </w:pPr>
    </w:p>
    <w:p w14:paraId="6986D461" w14:textId="77777777" w:rsidR="007E365E" w:rsidRPr="00976585" w:rsidRDefault="007E365E" w:rsidP="007E365E">
      <w:pPr>
        <w:pStyle w:val="CGCTablenote"/>
        <w:keepNext/>
        <w:keepLines/>
      </w:pPr>
      <w:r w:rsidRPr="00976585">
        <w:t>Source:</w:t>
      </w:r>
      <w:r>
        <w:tab/>
      </w:r>
      <w:r w:rsidRPr="00976585">
        <w:t>2020 Review State data return.</w:t>
      </w:r>
    </w:p>
    <w:p w14:paraId="748E7A2E" w14:textId="77777777" w:rsidR="007E365E" w:rsidRPr="00976585" w:rsidRDefault="007E365E" w:rsidP="007E365E">
      <w:pPr>
        <w:pStyle w:val="CGCParaNumber"/>
      </w:pPr>
      <w:r w:rsidRPr="00976585">
        <w:t>The Commission recognises that the number of public transport passengers is not a policy neutral measure of needs. For example, Queensland provided evidence that State policies (fares, concessions or service frequency, for example) can affect the number of passengers using its public transport services. The Commission has addressed this policy neutrality concern by using average passenger numbers grouped by urban centre population size and the availability of heavy rail.</w:t>
      </w:r>
    </w:p>
    <w:p w14:paraId="18F23AF6" w14:textId="7781E07E" w:rsidR="007E365E" w:rsidRPr="00976585" w:rsidRDefault="007E365E" w:rsidP="007E365E">
      <w:pPr>
        <w:pStyle w:val="CGCParaNumber"/>
      </w:pPr>
      <w:r w:rsidRPr="00976585">
        <w:t xml:space="preserve">The regression coefficients for the passenger number variables are derived using actual heavy rail, bus, and light rail passenger numbers. However, the passenger numbers used in the regression model that estimates each State’s assessed expenses uses modelled passenger numbers. Commission analysis has shown that the rate of public transport use is related to both urban centre size and whether or not heavy rail is present in that urban centre. </w:t>
      </w:r>
      <w:r w:rsidRPr="00976585">
        <w:fldChar w:fldCharType="begin"/>
      </w:r>
      <w:r w:rsidRPr="00976585">
        <w:instrText xml:space="preserve"> REF _Ref24720896 \h  \* MERGEFORMAT </w:instrText>
      </w:r>
      <w:r w:rsidRPr="00976585">
        <w:fldChar w:fldCharType="separate"/>
      </w:r>
      <w:r w:rsidR="007F721A" w:rsidRPr="00976585">
        <w:t xml:space="preserve">Table </w:t>
      </w:r>
      <w:r w:rsidR="007F721A">
        <w:rPr>
          <w:noProof/>
        </w:rPr>
        <w:t>21-9</w:t>
      </w:r>
      <w:r w:rsidRPr="00976585">
        <w:fldChar w:fldCharType="end"/>
      </w:r>
      <w:r w:rsidRPr="00976585">
        <w:t xml:space="preserve"> presents </w:t>
      </w:r>
      <w:bookmarkStart w:id="257" w:name="_Ref23245163"/>
      <w:r w:rsidRPr="00976585">
        <w:t>the public transport use patterns for all SUAs aggregated by population and State data on the presence or absence of heavy rail.</w:t>
      </w:r>
    </w:p>
    <w:p w14:paraId="1FCCB9C6" w14:textId="16E06A02" w:rsidR="007E365E" w:rsidRPr="00976585" w:rsidRDefault="007E365E" w:rsidP="007E365E">
      <w:pPr>
        <w:pStyle w:val="Caption"/>
      </w:pPr>
      <w:bookmarkStart w:id="258" w:name="_Ref24720896"/>
      <w:r w:rsidRPr="00976585">
        <w:lastRenderedPageBreak/>
        <w:t xml:space="preserve">Table </w:t>
      </w:r>
      <w:r>
        <w:t>21-</w:t>
      </w:r>
      <w:fldSimple w:instr=" SEQ Table \* ARABIC ">
        <w:r w:rsidR="007F721A">
          <w:rPr>
            <w:noProof/>
          </w:rPr>
          <w:t>9</w:t>
        </w:r>
      </w:fldSimple>
      <w:bookmarkEnd w:id="257"/>
      <w:bookmarkEnd w:id="258"/>
      <w:r w:rsidRPr="00976585">
        <w:tab/>
        <w:t>Urban public transport use rates by urban centre size and mode</w:t>
      </w:r>
    </w:p>
    <w:tbl>
      <w:tblPr>
        <w:tblW w:w="8942" w:type="dxa"/>
        <w:tblCellMar>
          <w:left w:w="28" w:type="dxa"/>
          <w:right w:w="28" w:type="dxa"/>
        </w:tblCellMar>
        <w:tblLook w:val="04A0" w:firstRow="1" w:lastRow="0" w:firstColumn="1" w:lastColumn="0" w:noHBand="0" w:noVBand="1"/>
      </w:tblPr>
      <w:tblGrid>
        <w:gridCol w:w="1841"/>
        <w:gridCol w:w="699"/>
        <w:gridCol w:w="1299"/>
        <w:gridCol w:w="1300"/>
        <w:gridCol w:w="1728"/>
        <w:gridCol w:w="79"/>
        <w:gridCol w:w="1996"/>
      </w:tblGrid>
      <w:tr w:rsidR="007E365E" w:rsidRPr="00B51A39" w14:paraId="58B6E398" w14:textId="77777777" w:rsidTr="007D1D77">
        <w:trPr>
          <w:trHeight w:val="630"/>
        </w:trPr>
        <w:tc>
          <w:tcPr>
            <w:tcW w:w="1841" w:type="dxa"/>
            <w:tcBorders>
              <w:top w:val="single" w:sz="4" w:space="0" w:color="ADD6EA"/>
              <w:left w:val="nil"/>
              <w:bottom w:val="single" w:sz="4" w:space="0" w:color="ADD6EA"/>
              <w:right w:val="nil"/>
            </w:tcBorders>
            <w:shd w:val="clear" w:color="000000" w:fill="006991"/>
            <w:vAlign w:val="center"/>
            <w:hideMark/>
          </w:tcPr>
          <w:p w14:paraId="0BFFA292" w14:textId="77777777" w:rsidR="007E365E" w:rsidRPr="00B51A39" w:rsidRDefault="007E365E" w:rsidP="007D1D77">
            <w:pPr>
              <w:tabs>
                <w:tab w:val="clear" w:pos="567"/>
              </w:tabs>
              <w:spacing w:before="0" w:line="240" w:lineRule="auto"/>
              <w:jc w:val="both"/>
              <w:rPr>
                <w:rFonts w:ascii="Open Sans SemiBold" w:eastAsia="Times New Roman" w:hAnsi="Open Sans SemiBold" w:cs="Open Sans SemiBold"/>
                <w:color w:val="FFFFFF"/>
                <w:sz w:val="16"/>
                <w:szCs w:val="16"/>
                <w:lang w:eastAsia="en-AU"/>
              </w:rPr>
            </w:pPr>
            <w:bookmarkStart w:id="259" w:name="RANGE!A6:F14"/>
            <w:r w:rsidRPr="00B51A39">
              <w:rPr>
                <w:rFonts w:ascii="Open Sans SemiBold" w:eastAsia="Times New Roman" w:hAnsi="Open Sans SemiBold" w:cs="Open Sans SemiBold"/>
                <w:color w:val="FFFFFF"/>
                <w:sz w:val="16"/>
                <w:szCs w:val="16"/>
                <w:lang w:eastAsia="en-AU"/>
              </w:rPr>
              <w:t>Population range</w:t>
            </w:r>
            <w:bookmarkEnd w:id="259"/>
          </w:p>
        </w:tc>
        <w:tc>
          <w:tcPr>
            <w:tcW w:w="699" w:type="dxa"/>
            <w:tcBorders>
              <w:top w:val="single" w:sz="4" w:space="0" w:color="ADD6EA"/>
              <w:left w:val="nil"/>
              <w:bottom w:val="single" w:sz="4" w:space="0" w:color="ADD6EA"/>
              <w:right w:val="nil"/>
            </w:tcBorders>
            <w:shd w:val="clear" w:color="000000" w:fill="006991"/>
            <w:vAlign w:val="center"/>
            <w:hideMark/>
          </w:tcPr>
          <w:p w14:paraId="690C7302" w14:textId="77777777" w:rsidR="007E365E" w:rsidRPr="00B51A39" w:rsidRDefault="007E365E" w:rsidP="007D1D77">
            <w:pPr>
              <w:tabs>
                <w:tab w:val="clear" w:pos="567"/>
              </w:tabs>
              <w:spacing w:before="0" w:line="240" w:lineRule="auto"/>
              <w:jc w:val="both"/>
              <w:rPr>
                <w:rFonts w:ascii="Open Sans SemiBold" w:eastAsia="Times New Roman" w:hAnsi="Open Sans SemiBold" w:cs="Open Sans SemiBold"/>
                <w:color w:val="FFFFFF"/>
                <w:sz w:val="16"/>
                <w:szCs w:val="16"/>
                <w:lang w:eastAsia="en-AU"/>
              </w:rPr>
            </w:pPr>
            <w:r w:rsidRPr="00B51A39">
              <w:rPr>
                <w:rFonts w:ascii="Open Sans SemiBold" w:eastAsia="Times New Roman" w:hAnsi="Open Sans SemiBold" w:cs="Open Sans SemiBold"/>
                <w:color w:val="FFFFFF"/>
                <w:sz w:val="16"/>
                <w:szCs w:val="16"/>
                <w:lang w:eastAsia="en-AU"/>
              </w:rPr>
              <w:t>Heavy Rail</w:t>
            </w:r>
          </w:p>
        </w:tc>
        <w:tc>
          <w:tcPr>
            <w:tcW w:w="1299" w:type="dxa"/>
            <w:tcBorders>
              <w:top w:val="single" w:sz="4" w:space="0" w:color="ADD6EA"/>
              <w:left w:val="nil"/>
              <w:bottom w:val="single" w:sz="4" w:space="0" w:color="ADD6EA"/>
              <w:right w:val="nil"/>
            </w:tcBorders>
            <w:shd w:val="clear" w:color="000000" w:fill="006991"/>
            <w:vAlign w:val="center"/>
            <w:hideMark/>
          </w:tcPr>
          <w:p w14:paraId="1DA507DE" w14:textId="77777777" w:rsidR="007E365E" w:rsidRPr="00B51A3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51A39">
              <w:rPr>
                <w:rFonts w:ascii="Open Sans SemiBold" w:eastAsia="Times New Roman" w:hAnsi="Open Sans SemiBold" w:cs="Open Sans SemiBold"/>
                <w:color w:val="FFFFFF"/>
                <w:sz w:val="16"/>
                <w:szCs w:val="16"/>
                <w:lang w:eastAsia="en-AU"/>
              </w:rPr>
              <w:t>Bus/light rail users (a)</w:t>
            </w:r>
          </w:p>
        </w:tc>
        <w:tc>
          <w:tcPr>
            <w:tcW w:w="1300" w:type="dxa"/>
            <w:tcBorders>
              <w:top w:val="single" w:sz="4" w:space="0" w:color="ADD6EA"/>
              <w:left w:val="nil"/>
              <w:bottom w:val="single" w:sz="4" w:space="0" w:color="ADD6EA"/>
              <w:right w:val="nil"/>
            </w:tcBorders>
            <w:shd w:val="clear" w:color="000000" w:fill="006991"/>
            <w:vAlign w:val="center"/>
            <w:hideMark/>
          </w:tcPr>
          <w:p w14:paraId="5F2B97F4" w14:textId="2291FD09" w:rsidR="007E365E" w:rsidRPr="00B51A3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51A39">
              <w:rPr>
                <w:rFonts w:ascii="Open Sans SemiBold" w:eastAsia="Times New Roman" w:hAnsi="Open Sans SemiBold" w:cs="Open Sans SemiBold"/>
                <w:color w:val="FFFFFF"/>
                <w:sz w:val="16"/>
                <w:szCs w:val="16"/>
                <w:lang w:eastAsia="en-AU"/>
              </w:rPr>
              <w:t xml:space="preserve">Heavy rail </w:t>
            </w:r>
            <w:r w:rsidR="00FA3910">
              <w:rPr>
                <w:rFonts w:ascii="Open Sans SemiBold" w:eastAsia="Times New Roman" w:hAnsi="Open Sans SemiBold" w:cs="Open Sans SemiBold"/>
                <w:color w:val="FFFFFF"/>
                <w:sz w:val="16"/>
                <w:szCs w:val="16"/>
                <w:lang w:eastAsia="en-AU"/>
              </w:rPr>
              <w:br/>
            </w:r>
            <w:r w:rsidRPr="00B51A39">
              <w:rPr>
                <w:rFonts w:ascii="Open Sans SemiBold" w:eastAsia="Times New Roman" w:hAnsi="Open Sans SemiBold" w:cs="Open Sans SemiBold"/>
                <w:color w:val="FFFFFF"/>
                <w:sz w:val="16"/>
                <w:szCs w:val="16"/>
                <w:lang w:eastAsia="en-AU"/>
              </w:rPr>
              <w:t>users (a)</w:t>
            </w:r>
          </w:p>
        </w:tc>
        <w:tc>
          <w:tcPr>
            <w:tcW w:w="1728" w:type="dxa"/>
            <w:tcBorders>
              <w:top w:val="single" w:sz="4" w:space="0" w:color="ADD6EA"/>
              <w:left w:val="nil"/>
              <w:bottom w:val="single" w:sz="4" w:space="0" w:color="ADD6EA"/>
              <w:right w:val="nil"/>
            </w:tcBorders>
            <w:shd w:val="clear" w:color="000000" w:fill="006991"/>
            <w:vAlign w:val="center"/>
            <w:hideMark/>
          </w:tcPr>
          <w:p w14:paraId="26715059" w14:textId="77777777" w:rsidR="007E365E" w:rsidRPr="00B51A3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51A39">
              <w:rPr>
                <w:rFonts w:ascii="Open Sans SemiBold" w:eastAsia="Times New Roman" w:hAnsi="Open Sans SemiBold" w:cs="Open Sans SemiBold"/>
                <w:color w:val="FFFFFF"/>
                <w:sz w:val="16"/>
                <w:szCs w:val="16"/>
                <w:lang w:eastAsia="en-AU"/>
              </w:rPr>
              <w:t>Public transport users (a)</w:t>
            </w:r>
            <w:r>
              <w:rPr>
                <w:rFonts w:ascii="Open Sans SemiBold" w:eastAsia="Times New Roman" w:hAnsi="Open Sans SemiBold" w:cs="Open Sans SemiBold"/>
                <w:color w:val="FFFFFF"/>
                <w:sz w:val="16"/>
                <w:szCs w:val="16"/>
                <w:lang w:eastAsia="en-AU"/>
              </w:rPr>
              <w:t xml:space="preserve"> (b)</w:t>
            </w:r>
          </w:p>
        </w:tc>
        <w:tc>
          <w:tcPr>
            <w:tcW w:w="2075" w:type="dxa"/>
            <w:gridSpan w:val="2"/>
            <w:tcBorders>
              <w:top w:val="single" w:sz="4" w:space="0" w:color="ADD6EA"/>
              <w:left w:val="nil"/>
              <w:bottom w:val="single" w:sz="4" w:space="0" w:color="ADD6EA"/>
              <w:right w:val="nil"/>
            </w:tcBorders>
            <w:shd w:val="clear" w:color="000000" w:fill="006991"/>
            <w:vAlign w:val="center"/>
            <w:hideMark/>
          </w:tcPr>
          <w:p w14:paraId="64241E9A" w14:textId="77777777" w:rsidR="007E365E" w:rsidRPr="00B51A3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51A39">
              <w:rPr>
                <w:rFonts w:ascii="Open Sans SemiBold" w:eastAsia="Times New Roman" w:hAnsi="Open Sans SemiBold" w:cs="Open Sans SemiBold"/>
                <w:color w:val="FFFFFF"/>
                <w:sz w:val="16"/>
                <w:szCs w:val="16"/>
                <w:lang w:eastAsia="en-AU"/>
              </w:rPr>
              <w:t>Public transport users, shares of total (</w:t>
            </w:r>
            <w:r>
              <w:rPr>
                <w:rFonts w:ascii="Open Sans SemiBold" w:eastAsia="Times New Roman" w:hAnsi="Open Sans SemiBold" w:cs="Open Sans SemiBold"/>
                <w:color w:val="FFFFFF"/>
                <w:sz w:val="16"/>
                <w:szCs w:val="16"/>
                <w:lang w:eastAsia="en-AU"/>
              </w:rPr>
              <w:t>c</w:t>
            </w:r>
            <w:r w:rsidRPr="00B51A39">
              <w:rPr>
                <w:rFonts w:ascii="Open Sans SemiBold" w:eastAsia="Times New Roman" w:hAnsi="Open Sans SemiBold" w:cs="Open Sans SemiBold"/>
                <w:color w:val="FFFFFF"/>
                <w:sz w:val="16"/>
                <w:szCs w:val="16"/>
                <w:lang w:eastAsia="en-AU"/>
              </w:rPr>
              <w:t>)</w:t>
            </w:r>
          </w:p>
        </w:tc>
      </w:tr>
      <w:tr w:rsidR="007E365E" w:rsidRPr="00B51A39" w14:paraId="7FB61AAA" w14:textId="77777777" w:rsidTr="007D1D77">
        <w:trPr>
          <w:trHeight w:val="270"/>
        </w:trPr>
        <w:tc>
          <w:tcPr>
            <w:tcW w:w="1841" w:type="dxa"/>
            <w:tcBorders>
              <w:top w:val="nil"/>
              <w:left w:val="nil"/>
              <w:bottom w:val="nil"/>
              <w:right w:val="nil"/>
            </w:tcBorders>
            <w:shd w:val="clear" w:color="000000" w:fill="B6D5E4"/>
            <w:vAlign w:val="bottom"/>
            <w:hideMark/>
          </w:tcPr>
          <w:p w14:paraId="7B461C66"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 </w:t>
            </w:r>
          </w:p>
        </w:tc>
        <w:tc>
          <w:tcPr>
            <w:tcW w:w="699" w:type="dxa"/>
            <w:tcBorders>
              <w:top w:val="nil"/>
              <w:left w:val="nil"/>
              <w:bottom w:val="nil"/>
              <w:right w:val="nil"/>
            </w:tcBorders>
            <w:shd w:val="clear" w:color="000000" w:fill="B6D5E4"/>
            <w:vAlign w:val="bottom"/>
            <w:hideMark/>
          </w:tcPr>
          <w:p w14:paraId="4BBC819F"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 </w:t>
            </w:r>
          </w:p>
        </w:tc>
        <w:tc>
          <w:tcPr>
            <w:tcW w:w="1299" w:type="dxa"/>
            <w:tcBorders>
              <w:top w:val="nil"/>
              <w:left w:val="nil"/>
              <w:bottom w:val="nil"/>
              <w:right w:val="nil"/>
            </w:tcBorders>
            <w:shd w:val="clear" w:color="000000" w:fill="B6D5E4"/>
            <w:vAlign w:val="center"/>
            <w:hideMark/>
          </w:tcPr>
          <w:p w14:paraId="19C58150" w14:textId="77777777" w:rsidR="007E365E" w:rsidRPr="00B51A39"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51A39">
              <w:rPr>
                <w:rFonts w:ascii="Open Sans SemiBold" w:eastAsia="Times New Roman" w:hAnsi="Open Sans SemiBold" w:cs="Open Sans SemiBold"/>
                <w:sz w:val="16"/>
                <w:szCs w:val="16"/>
                <w:lang w:eastAsia="en-AU"/>
              </w:rPr>
              <w:t>%</w:t>
            </w:r>
          </w:p>
        </w:tc>
        <w:tc>
          <w:tcPr>
            <w:tcW w:w="1300" w:type="dxa"/>
            <w:tcBorders>
              <w:top w:val="nil"/>
              <w:left w:val="nil"/>
              <w:bottom w:val="nil"/>
              <w:right w:val="nil"/>
            </w:tcBorders>
            <w:shd w:val="clear" w:color="000000" w:fill="B6D5E4"/>
            <w:vAlign w:val="center"/>
            <w:hideMark/>
          </w:tcPr>
          <w:p w14:paraId="48FE97A7" w14:textId="77777777" w:rsidR="007E365E" w:rsidRPr="00B51A39"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51A39">
              <w:rPr>
                <w:rFonts w:ascii="Open Sans SemiBold" w:eastAsia="Times New Roman" w:hAnsi="Open Sans SemiBold" w:cs="Open Sans SemiBold"/>
                <w:sz w:val="16"/>
                <w:szCs w:val="16"/>
                <w:lang w:eastAsia="en-AU"/>
              </w:rPr>
              <w:t>%</w:t>
            </w:r>
          </w:p>
        </w:tc>
        <w:tc>
          <w:tcPr>
            <w:tcW w:w="1807" w:type="dxa"/>
            <w:gridSpan w:val="2"/>
            <w:tcBorders>
              <w:top w:val="nil"/>
              <w:left w:val="nil"/>
              <w:bottom w:val="nil"/>
              <w:right w:val="nil"/>
            </w:tcBorders>
            <w:shd w:val="clear" w:color="000000" w:fill="B6D5E4"/>
            <w:vAlign w:val="center"/>
            <w:hideMark/>
          </w:tcPr>
          <w:p w14:paraId="6A0CC758" w14:textId="77777777" w:rsidR="007E365E" w:rsidRPr="00B51A39"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51A39">
              <w:rPr>
                <w:rFonts w:ascii="Open Sans SemiBold" w:eastAsia="Times New Roman" w:hAnsi="Open Sans SemiBold" w:cs="Open Sans SemiBold"/>
                <w:sz w:val="16"/>
                <w:szCs w:val="16"/>
                <w:lang w:eastAsia="en-AU"/>
              </w:rPr>
              <w:t>%</w:t>
            </w:r>
          </w:p>
        </w:tc>
        <w:tc>
          <w:tcPr>
            <w:tcW w:w="1996" w:type="dxa"/>
            <w:tcBorders>
              <w:top w:val="nil"/>
              <w:left w:val="nil"/>
              <w:bottom w:val="nil"/>
              <w:right w:val="nil"/>
            </w:tcBorders>
            <w:shd w:val="clear" w:color="000000" w:fill="B6D5E4"/>
            <w:vAlign w:val="center"/>
            <w:hideMark/>
          </w:tcPr>
          <w:p w14:paraId="07486778" w14:textId="77777777" w:rsidR="007E365E" w:rsidRPr="00B51A39"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B51A39">
              <w:rPr>
                <w:rFonts w:ascii="Open Sans SemiBold" w:eastAsia="Times New Roman" w:hAnsi="Open Sans SemiBold" w:cs="Open Sans SemiBold"/>
                <w:sz w:val="16"/>
                <w:szCs w:val="16"/>
                <w:lang w:eastAsia="en-AU"/>
              </w:rPr>
              <w:t>%</w:t>
            </w:r>
          </w:p>
        </w:tc>
      </w:tr>
      <w:tr w:rsidR="007E365E" w:rsidRPr="00B51A39" w14:paraId="5A35CC14" w14:textId="77777777" w:rsidTr="007D1D77">
        <w:trPr>
          <w:trHeight w:hRule="exact" w:val="318"/>
        </w:trPr>
        <w:tc>
          <w:tcPr>
            <w:tcW w:w="1841" w:type="dxa"/>
            <w:tcBorders>
              <w:top w:val="nil"/>
              <w:left w:val="nil"/>
              <w:bottom w:val="nil"/>
              <w:right w:val="nil"/>
            </w:tcBorders>
            <w:shd w:val="clear" w:color="auto" w:fill="auto"/>
            <w:vAlign w:val="bottom"/>
            <w:hideMark/>
          </w:tcPr>
          <w:p w14:paraId="0829F52E"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0 - 50,000</w:t>
            </w:r>
          </w:p>
        </w:tc>
        <w:tc>
          <w:tcPr>
            <w:tcW w:w="699" w:type="dxa"/>
            <w:tcBorders>
              <w:top w:val="nil"/>
              <w:left w:val="nil"/>
              <w:bottom w:val="nil"/>
              <w:right w:val="nil"/>
            </w:tcBorders>
            <w:shd w:val="clear" w:color="auto" w:fill="auto"/>
            <w:vAlign w:val="bottom"/>
            <w:hideMark/>
          </w:tcPr>
          <w:p w14:paraId="4CAF9E48"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No</w:t>
            </w:r>
          </w:p>
        </w:tc>
        <w:tc>
          <w:tcPr>
            <w:tcW w:w="1299" w:type="dxa"/>
            <w:tcBorders>
              <w:top w:val="nil"/>
              <w:left w:val="nil"/>
              <w:bottom w:val="nil"/>
              <w:right w:val="nil"/>
            </w:tcBorders>
            <w:shd w:val="clear" w:color="auto" w:fill="auto"/>
            <w:vAlign w:val="bottom"/>
            <w:hideMark/>
          </w:tcPr>
          <w:p w14:paraId="08580F52"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1.4</w:t>
            </w:r>
          </w:p>
        </w:tc>
        <w:tc>
          <w:tcPr>
            <w:tcW w:w="1300" w:type="dxa"/>
            <w:tcBorders>
              <w:top w:val="nil"/>
              <w:left w:val="nil"/>
              <w:bottom w:val="nil"/>
              <w:right w:val="nil"/>
            </w:tcBorders>
            <w:shd w:val="clear" w:color="auto" w:fill="auto"/>
            <w:vAlign w:val="bottom"/>
            <w:hideMark/>
          </w:tcPr>
          <w:p w14:paraId="35506421"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0.0</w:t>
            </w:r>
          </w:p>
        </w:tc>
        <w:tc>
          <w:tcPr>
            <w:tcW w:w="1807" w:type="dxa"/>
            <w:gridSpan w:val="2"/>
            <w:tcBorders>
              <w:top w:val="nil"/>
              <w:left w:val="nil"/>
              <w:bottom w:val="nil"/>
              <w:right w:val="nil"/>
            </w:tcBorders>
            <w:shd w:val="clear" w:color="auto" w:fill="auto"/>
            <w:vAlign w:val="bottom"/>
            <w:hideMark/>
          </w:tcPr>
          <w:p w14:paraId="681E0753"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1.4</w:t>
            </w:r>
          </w:p>
        </w:tc>
        <w:tc>
          <w:tcPr>
            <w:tcW w:w="1996" w:type="dxa"/>
            <w:tcBorders>
              <w:top w:val="nil"/>
              <w:left w:val="nil"/>
              <w:bottom w:val="nil"/>
              <w:right w:val="nil"/>
            </w:tcBorders>
            <w:shd w:val="clear" w:color="auto" w:fill="auto"/>
            <w:vAlign w:val="bottom"/>
            <w:hideMark/>
          </w:tcPr>
          <w:p w14:paraId="630BE3FA"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0.7</w:t>
            </w:r>
          </w:p>
        </w:tc>
      </w:tr>
      <w:tr w:rsidR="007E365E" w:rsidRPr="00B51A39" w14:paraId="0B138FBC" w14:textId="77777777" w:rsidTr="007D1D77">
        <w:trPr>
          <w:trHeight w:hRule="exact" w:val="318"/>
        </w:trPr>
        <w:tc>
          <w:tcPr>
            <w:tcW w:w="1841" w:type="dxa"/>
            <w:tcBorders>
              <w:top w:val="single" w:sz="4" w:space="0" w:color="ADD6EA"/>
              <w:left w:val="nil"/>
              <w:bottom w:val="single" w:sz="4" w:space="0" w:color="ADD6EA"/>
              <w:right w:val="nil"/>
            </w:tcBorders>
            <w:shd w:val="clear" w:color="auto" w:fill="auto"/>
            <w:vAlign w:val="bottom"/>
            <w:hideMark/>
          </w:tcPr>
          <w:p w14:paraId="5CE3086F"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50,001 - 100,000</w:t>
            </w:r>
          </w:p>
        </w:tc>
        <w:tc>
          <w:tcPr>
            <w:tcW w:w="699" w:type="dxa"/>
            <w:tcBorders>
              <w:top w:val="single" w:sz="4" w:space="0" w:color="ADD6EA"/>
              <w:left w:val="nil"/>
              <w:bottom w:val="single" w:sz="4" w:space="0" w:color="ADD6EA"/>
              <w:right w:val="nil"/>
            </w:tcBorders>
            <w:shd w:val="clear" w:color="auto" w:fill="auto"/>
            <w:vAlign w:val="bottom"/>
            <w:hideMark/>
          </w:tcPr>
          <w:p w14:paraId="0CC77D1E"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No</w:t>
            </w:r>
          </w:p>
        </w:tc>
        <w:tc>
          <w:tcPr>
            <w:tcW w:w="1299" w:type="dxa"/>
            <w:tcBorders>
              <w:top w:val="single" w:sz="4" w:space="0" w:color="ADD6EA"/>
              <w:left w:val="nil"/>
              <w:bottom w:val="single" w:sz="4" w:space="0" w:color="ADD6EA"/>
              <w:right w:val="nil"/>
            </w:tcBorders>
            <w:shd w:val="clear" w:color="auto" w:fill="auto"/>
            <w:vAlign w:val="bottom"/>
            <w:hideMark/>
          </w:tcPr>
          <w:p w14:paraId="5C17A5DD"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1.6</w:t>
            </w:r>
          </w:p>
        </w:tc>
        <w:tc>
          <w:tcPr>
            <w:tcW w:w="1300" w:type="dxa"/>
            <w:tcBorders>
              <w:top w:val="single" w:sz="4" w:space="0" w:color="ADD6EA"/>
              <w:left w:val="nil"/>
              <w:bottom w:val="single" w:sz="4" w:space="0" w:color="ADD6EA"/>
              <w:right w:val="nil"/>
            </w:tcBorders>
            <w:shd w:val="clear" w:color="auto" w:fill="auto"/>
            <w:vAlign w:val="bottom"/>
            <w:hideMark/>
          </w:tcPr>
          <w:p w14:paraId="1242F172"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0.0</w:t>
            </w:r>
          </w:p>
        </w:tc>
        <w:tc>
          <w:tcPr>
            <w:tcW w:w="1807" w:type="dxa"/>
            <w:gridSpan w:val="2"/>
            <w:tcBorders>
              <w:top w:val="single" w:sz="4" w:space="0" w:color="ADD6EA"/>
              <w:left w:val="nil"/>
              <w:bottom w:val="single" w:sz="4" w:space="0" w:color="ADD6EA"/>
              <w:right w:val="nil"/>
            </w:tcBorders>
            <w:shd w:val="clear" w:color="auto" w:fill="auto"/>
            <w:vAlign w:val="bottom"/>
            <w:hideMark/>
          </w:tcPr>
          <w:p w14:paraId="2D3553F1"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1.6</w:t>
            </w:r>
          </w:p>
        </w:tc>
        <w:tc>
          <w:tcPr>
            <w:tcW w:w="1996" w:type="dxa"/>
            <w:tcBorders>
              <w:top w:val="single" w:sz="4" w:space="0" w:color="ADD6EA"/>
              <w:left w:val="nil"/>
              <w:bottom w:val="single" w:sz="4" w:space="0" w:color="ADD6EA"/>
              <w:right w:val="nil"/>
            </w:tcBorders>
            <w:shd w:val="clear" w:color="auto" w:fill="auto"/>
            <w:vAlign w:val="bottom"/>
            <w:hideMark/>
          </w:tcPr>
          <w:p w14:paraId="71E220DC"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0.4</w:t>
            </w:r>
          </w:p>
        </w:tc>
      </w:tr>
      <w:tr w:rsidR="007E365E" w:rsidRPr="00B51A39" w14:paraId="22B6A0CD" w14:textId="77777777" w:rsidTr="007D1D77">
        <w:trPr>
          <w:trHeight w:hRule="exact" w:val="318"/>
        </w:trPr>
        <w:tc>
          <w:tcPr>
            <w:tcW w:w="1841" w:type="dxa"/>
            <w:tcBorders>
              <w:top w:val="nil"/>
              <w:left w:val="nil"/>
              <w:bottom w:val="nil"/>
              <w:right w:val="nil"/>
            </w:tcBorders>
            <w:shd w:val="clear" w:color="auto" w:fill="auto"/>
            <w:vAlign w:val="bottom"/>
            <w:hideMark/>
          </w:tcPr>
          <w:p w14:paraId="087DE3DC"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100,001 - 200,000</w:t>
            </w:r>
          </w:p>
        </w:tc>
        <w:tc>
          <w:tcPr>
            <w:tcW w:w="699" w:type="dxa"/>
            <w:tcBorders>
              <w:top w:val="nil"/>
              <w:left w:val="nil"/>
              <w:bottom w:val="nil"/>
              <w:right w:val="nil"/>
            </w:tcBorders>
            <w:shd w:val="clear" w:color="auto" w:fill="auto"/>
            <w:vAlign w:val="bottom"/>
            <w:hideMark/>
          </w:tcPr>
          <w:p w14:paraId="609B2A1D"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No</w:t>
            </w:r>
          </w:p>
        </w:tc>
        <w:tc>
          <w:tcPr>
            <w:tcW w:w="1299" w:type="dxa"/>
            <w:tcBorders>
              <w:top w:val="nil"/>
              <w:left w:val="nil"/>
              <w:bottom w:val="nil"/>
              <w:right w:val="nil"/>
            </w:tcBorders>
            <w:shd w:val="clear" w:color="auto" w:fill="auto"/>
            <w:vAlign w:val="bottom"/>
            <w:hideMark/>
          </w:tcPr>
          <w:p w14:paraId="3BAB8768"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4.1</w:t>
            </w:r>
          </w:p>
        </w:tc>
        <w:tc>
          <w:tcPr>
            <w:tcW w:w="1300" w:type="dxa"/>
            <w:tcBorders>
              <w:top w:val="nil"/>
              <w:left w:val="nil"/>
              <w:bottom w:val="nil"/>
              <w:right w:val="nil"/>
            </w:tcBorders>
            <w:shd w:val="clear" w:color="auto" w:fill="auto"/>
            <w:vAlign w:val="bottom"/>
            <w:hideMark/>
          </w:tcPr>
          <w:p w14:paraId="3E7677B3"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0.0</w:t>
            </w:r>
          </w:p>
        </w:tc>
        <w:tc>
          <w:tcPr>
            <w:tcW w:w="1807" w:type="dxa"/>
            <w:gridSpan w:val="2"/>
            <w:tcBorders>
              <w:top w:val="nil"/>
              <w:left w:val="nil"/>
              <w:bottom w:val="nil"/>
              <w:right w:val="nil"/>
            </w:tcBorders>
            <w:shd w:val="clear" w:color="auto" w:fill="auto"/>
            <w:vAlign w:val="bottom"/>
            <w:hideMark/>
          </w:tcPr>
          <w:p w14:paraId="61DADC7A"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4.2</w:t>
            </w:r>
          </w:p>
        </w:tc>
        <w:tc>
          <w:tcPr>
            <w:tcW w:w="1996" w:type="dxa"/>
            <w:tcBorders>
              <w:top w:val="nil"/>
              <w:left w:val="nil"/>
              <w:bottom w:val="nil"/>
              <w:right w:val="nil"/>
            </w:tcBorders>
            <w:shd w:val="clear" w:color="auto" w:fill="auto"/>
            <w:vAlign w:val="bottom"/>
            <w:hideMark/>
          </w:tcPr>
          <w:p w14:paraId="244914FB"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1.1</w:t>
            </w:r>
          </w:p>
        </w:tc>
      </w:tr>
      <w:tr w:rsidR="007E365E" w:rsidRPr="00B51A39" w14:paraId="7035F3CF" w14:textId="77777777" w:rsidTr="007D1D77">
        <w:trPr>
          <w:trHeight w:hRule="exact" w:val="318"/>
        </w:trPr>
        <w:tc>
          <w:tcPr>
            <w:tcW w:w="1841" w:type="dxa"/>
            <w:tcBorders>
              <w:top w:val="single" w:sz="4" w:space="0" w:color="ADD6EA"/>
              <w:left w:val="nil"/>
              <w:bottom w:val="single" w:sz="4" w:space="0" w:color="ADD6EA"/>
              <w:right w:val="nil"/>
            </w:tcBorders>
            <w:shd w:val="clear" w:color="auto" w:fill="auto"/>
            <w:vAlign w:val="bottom"/>
            <w:hideMark/>
          </w:tcPr>
          <w:p w14:paraId="5343941D"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200,001 - 1,000,000</w:t>
            </w:r>
          </w:p>
        </w:tc>
        <w:tc>
          <w:tcPr>
            <w:tcW w:w="699" w:type="dxa"/>
            <w:tcBorders>
              <w:top w:val="single" w:sz="4" w:space="0" w:color="ADD6EA"/>
              <w:left w:val="nil"/>
              <w:bottom w:val="single" w:sz="4" w:space="0" w:color="ADD6EA"/>
              <w:right w:val="nil"/>
            </w:tcBorders>
            <w:shd w:val="clear" w:color="auto" w:fill="auto"/>
            <w:vAlign w:val="bottom"/>
            <w:hideMark/>
          </w:tcPr>
          <w:p w14:paraId="62960CDA"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No</w:t>
            </w:r>
          </w:p>
        </w:tc>
        <w:tc>
          <w:tcPr>
            <w:tcW w:w="1299" w:type="dxa"/>
            <w:tcBorders>
              <w:top w:val="single" w:sz="4" w:space="0" w:color="ADD6EA"/>
              <w:left w:val="nil"/>
              <w:bottom w:val="single" w:sz="4" w:space="0" w:color="ADD6EA"/>
              <w:right w:val="nil"/>
            </w:tcBorders>
            <w:shd w:val="clear" w:color="auto" w:fill="auto"/>
            <w:vAlign w:val="bottom"/>
            <w:hideMark/>
          </w:tcPr>
          <w:p w14:paraId="3177EBC0"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5.6</w:t>
            </w:r>
          </w:p>
        </w:tc>
        <w:tc>
          <w:tcPr>
            <w:tcW w:w="1300" w:type="dxa"/>
            <w:tcBorders>
              <w:top w:val="single" w:sz="4" w:space="0" w:color="ADD6EA"/>
              <w:left w:val="nil"/>
              <w:bottom w:val="single" w:sz="4" w:space="0" w:color="ADD6EA"/>
              <w:right w:val="nil"/>
            </w:tcBorders>
            <w:shd w:val="clear" w:color="auto" w:fill="auto"/>
            <w:vAlign w:val="bottom"/>
            <w:hideMark/>
          </w:tcPr>
          <w:p w14:paraId="609BF572"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0.0</w:t>
            </w:r>
          </w:p>
        </w:tc>
        <w:tc>
          <w:tcPr>
            <w:tcW w:w="1807" w:type="dxa"/>
            <w:gridSpan w:val="2"/>
            <w:tcBorders>
              <w:top w:val="single" w:sz="4" w:space="0" w:color="ADD6EA"/>
              <w:left w:val="nil"/>
              <w:bottom w:val="single" w:sz="4" w:space="0" w:color="ADD6EA"/>
              <w:right w:val="nil"/>
            </w:tcBorders>
            <w:shd w:val="clear" w:color="auto" w:fill="auto"/>
            <w:vAlign w:val="bottom"/>
            <w:hideMark/>
          </w:tcPr>
          <w:p w14:paraId="5A24084E"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5.6</w:t>
            </w:r>
          </w:p>
        </w:tc>
        <w:tc>
          <w:tcPr>
            <w:tcW w:w="1996" w:type="dxa"/>
            <w:tcBorders>
              <w:top w:val="single" w:sz="4" w:space="0" w:color="ADD6EA"/>
              <w:left w:val="nil"/>
              <w:bottom w:val="single" w:sz="4" w:space="0" w:color="ADD6EA"/>
              <w:right w:val="nil"/>
            </w:tcBorders>
            <w:shd w:val="clear" w:color="auto" w:fill="auto"/>
            <w:vAlign w:val="bottom"/>
            <w:hideMark/>
          </w:tcPr>
          <w:p w14:paraId="335F75C6"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1.2</w:t>
            </w:r>
          </w:p>
        </w:tc>
      </w:tr>
      <w:tr w:rsidR="007E365E" w:rsidRPr="00B51A39" w14:paraId="43DDE3EE" w14:textId="77777777" w:rsidTr="007D1D77">
        <w:trPr>
          <w:trHeight w:hRule="exact" w:val="318"/>
        </w:trPr>
        <w:tc>
          <w:tcPr>
            <w:tcW w:w="1841" w:type="dxa"/>
            <w:tcBorders>
              <w:top w:val="nil"/>
              <w:left w:val="nil"/>
              <w:bottom w:val="nil"/>
              <w:right w:val="nil"/>
            </w:tcBorders>
            <w:shd w:val="clear" w:color="auto" w:fill="auto"/>
            <w:vAlign w:val="bottom"/>
            <w:hideMark/>
          </w:tcPr>
          <w:p w14:paraId="60D745F5"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200,001 - 1,000,000</w:t>
            </w:r>
          </w:p>
        </w:tc>
        <w:tc>
          <w:tcPr>
            <w:tcW w:w="699" w:type="dxa"/>
            <w:tcBorders>
              <w:top w:val="nil"/>
              <w:left w:val="nil"/>
              <w:bottom w:val="nil"/>
              <w:right w:val="nil"/>
            </w:tcBorders>
            <w:shd w:val="clear" w:color="auto" w:fill="auto"/>
            <w:vAlign w:val="bottom"/>
            <w:hideMark/>
          </w:tcPr>
          <w:p w14:paraId="3DA3A84A"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Yes</w:t>
            </w:r>
          </w:p>
        </w:tc>
        <w:tc>
          <w:tcPr>
            <w:tcW w:w="1299" w:type="dxa"/>
            <w:tcBorders>
              <w:top w:val="nil"/>
              <w:left w:val="nil"/>
              <w:bottom w:val="nil"/>
              <w:right w:val="nil"/>
            </w:tcBorders>
            <w:shd w:val="clear" w:color="auto" w:fill="auto"/>
            <w:vAlign w:val="bottom"/>
            <w:hideMark/>
          </w:tcPr>
          <w:p w14:paraId="4A7BE205"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2.1</w:t>
            </w:r>
          </w:p>
        </w:tc>
        <w:tc>
          <w:tcPr>
            <w:tcW w:w="1300" w:type="dxa"/>
            <w:tcBorders>
              <w:top w:val="nil"/>
              <w:left w:val="nil"/>
              <w:bottom w:val="nil"/>
              <w:right w:val="nil"/>
            </w:tcBorders>
            <w:shd w:val="clear" w:color="auto" w:fill="auto"/>
            <w:vAlign w:val="bottom"/>
            <w:hideMark/>
          </w:tcPr>
          <w:p w14:paraId="0D9AAA11"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3.2</w:t>
            </w:r>
          </w:p>
        </w:tc>
        <w:tc>
          <w:tcPr>
            <w:tcW w:w="1807" w:type="dxa"/>
            <w:gridSpan w:val="2"/>
            <w:tcBorders>
              <w:top w:val="nil"/>
              <w:left w:val="nil"/>
              <w:bottom w:val="nil"/>
              <w:right w:val="nil"/>
            </w:tcBorders>
            <w:shd w:val="clear" w:color="auto" w:fill="auto"/>
            <w:vAlign w:val="bottom"/>
            <w:hideMark/>
          </w:tcPr>
          <w:p w14:paraId="017B1643"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5.3</w:t>
            </w:r>
          </w:p>
        </w:tc>
        <w:tc>
          <w:tcPr>
            <w:tcW w:w="1996" w:type="dxa"/>
            <w:tcBorders>
              <w:top w:val="nil"/>
              <w:left w:val="nil"/>
              <w:bottom w:val="nil"/>
              <w:right w:val="nil"/>
            </w:tcBorders>
            <w:shd w:val="clear" w:color="auto" w:fill="auto"/>
            <w:vAlign w:val="bottom"/>
            <w:hideMark/>
          </w:tcPr>
          <w:p w14:paraId="6A11B1C6"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3.1</w:t>
            </w:r>
          </w:p>
        </w:tc>
      </w:tr>
      <w:tr w:rsidR="007E365E" w:rsidRPr="00B51A39" w14:paraId="0319C998" w14:textId="77777777" w:rsidTr="007D1D77">
        <w:trPr>
          <w:trHeight w:hRule="exact" w:val="318"/>
        </w:trPr>
        <w:tc>
          <w:tcPr>
            <w:tcW w:w="1841" w:type="dxa"/>
            <w:tcBorders>
              <w:top w:val="single" w:sz="4" w:space="0" w:color="ADD6EA"/>
              <w:left w:val="nil"/>
              <w:bottom w:val="single" w:sz="4" w:space="0" w:color="ADD6EA"/>
              <w:right w:val="nil"/>
            </w:tcBorders>
            <w:shd w:val="clear" w:color="auto" w:fill="auto"/>
            <w:vAlign w:val="bottom"/>
            <w:hideMark/>
          </w:tcPr>
          <w:p w14:paraId="327DEF16"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1,000,001 - 2,500,000</w:t>
            </w:r>
          </w:p>
        </w:tc>
        <w:tc>
          <w:tcPr>
            <w:tcW w:w="699" w:type="dxa"/>
            <w:tcBorders>
              <w:top w:val="single" w:sz="4" w:space="0" w:color="ADD6EA"/>
              <w:left w:val="nil"/>
              <w:bottom w:val="single" w:sz="4" w:space="0" w:color="ADD6EA"/>
              <w:right w:val="nil"/>
            </w:tcBorders>
            <w:shd w:val="clear" w:color="auto" w:fill="auto"/>
            <w:vAlign w:val="bottom"/>
            <w:hideMark/>
          </w:tcPr>
          <w:p w14:paraId="2449FFBA"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Yes</w:t>
            </w:r>
          </w:p>
        </w:tc>
        <w:tc>
          <w:tcPr>
            <w:tcW w:w="1299" w:type="dxa"/>
            <w:tcBorders>
              <w:top w:val="single" w:sz="4" w:space="0" w:color="ADD6EA"/>
              <w:left w:val="nil"/>
              <w:bottom w:val="single" w:sz="4" w:space="0" w:color="ADD6EA"/>
              <w:right w:val="nil"/>
            </w:tcBorders>
            <w:shd w:val="clear" w:color="auto" w:fill="auto"/>
            <w:vAlign w:val="bottom"/>
            <w:hideMark/>
          </w:tcPr>
          <w:p w14:paraId="45E44927"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6.2</w:t>
            </w:r>
          </w:p>
        </w:tc>
        <w:tc>
          <w:tcPr>
            <w:tcW w:w="1300" w:type="dxa"/>
            <w:tcBorders>
              <w:top w:val="single" w:sz="4" w:space="0" w:color="ADD6EA"/>
              <w:left w:val="nil"/>
              <w:bottom w:val="single" w:sz="4" w:space="0" w:color="ADD6EA"/>
              <w:right w:val="nil"/>
            </w:tcBorders>
            <w:shd w:val="clear" w:color="auto" w:fill="auto"/>
            <w:vAlign w:val="bottom"/>
            <w:hideMark/>
          </w:tcPr>
          <w:p w14:paraId="61D73B0D"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6.1</w:t>
            </w:r>
          </w:p>
        </w:tc>
        <w:tc>
          <w:tcPr>
            <w:tcW w:w="1807" w:type="dxa"/>
            <w:gridSpan w:val="2"/>
            <w:tcBorders>
              <w:top w:val="single" w:sz="4" w:space="0" w:color="ADD6EA"/>
              <w:left w:val="nil"/>
              <w:bottom w:val="single" w:sz="4" w:space="0" w:color="ADD6EA"/>
              <w:right w:val="nil"/>
            </w:tcBorders>
            <w:shd w:val="clear" w:color="auto" w:fill="auto"/>
            <w:vAlign w:val="bottom"/>
            <w:hideMark/>
          </w:tcPr>
          <w:p w14:paraId="1901526B"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12.5</w:t>
            </w:r>
          </w:p>
        </w:tc>
        <w:tc>
          <w:tcPr>
            <w:tcW w:w="1996" w:type="dxa"/>
            <w:tcBorders>
              <w:top w:val="single" w:sz="4" w:space="0" w:color="ADD6EA"/>
              <w:left w:val="nil"/>
              <w:bottom w:val="single" w:sz="4" w:space="0" w:color="ADD6EA"/>
              <w:right w:val="nil"/>
            </w:tcBorders>
            <w:shd w:val="clear" w:color="auto" w:fill="auto"/>
            <w:vAlign w:val="bottom"/>
            <w:hideMark/>
          </w:tcPr>
          <w:p w14:paraId="62C38D8A"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22.5</w:t>
            </w:r>
          </w:p>
        </w:tc>
      </w:tr>
      <w:tr w:rsidR="007E365E" w:rsidRPr="00B51A39" w14:paraId="1606CD46" w14:textId="77777777" w:rsidTr="007D1D77">
        <w:trPr>
          <w:trHeight w:hRule="exact" w:val="318"/>
        </w:trPr>
        <w:tc>
          <w:tcPr>
            <w:tcW w:w="1841" w:type="dxa"/>
            <w:tcBorders>
              <w:top w:val="nil"/>
              <w:left w:val="nil"/>
              <w:bottom w:val="single" w:sz="4" w:space="0" w:color="ADD6EA"/>
              <w:right w:val="nil"/>
            </w:tcBorders>
            <w:shd w:val="clear" w:color="auto" w:fill="auto"/>
            <w:vAlign w:val="bottom"/>
            <w:hideMark/>
          </w:tcPr>
          <w:p w14:paraId="0F577342"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2,500,001 - 5,000,000</w:t>
            </w:r>
          </w:p>
        </w:tc>
        <w:tc>
          <w:tcPr>
            <w:tcW w:w="699" w:type="dxa"/>
            <w:tcBorders>
              <w:top w:val="nil"/>
              <w:left w:val="nil"/>
              <w:bottom w:val="single" w:sz="4" w:space="0" w:color="ADD6EA"/>
              <w:right w:val="nil"/>
            </w:tcBorders>
            <w:shd w:val="clear" w:color="auto" w:fill="auto"/>
            <w:vAlign w:val="bottom"/>
            <w:hideMark/>
          </w:tcPr>
          <w:p w14:paraId="28ED76CF" w14:textId="77777777" w:rsidR="007E365E" w:rsidRPr="00B51A39" w:rsidRDefault="007E365E" w:rsidP="007D1D77">
            <w:pPr>
              <w:tabs>
                <w:tab w:val="clear" w:pos="567"/>
              </w:tabs>
              <w:spacing w:before="0" w:line="240" w:lineRule="auto"/>
              <w:rPr>
                <w:rFonts w:eastAsia="Times New Roman" w:cs="Open Sans Light"/>
                <w:sz w:val="16"/>
                <w:szCs w:val="16"/>
                <w:lang w:eastAsia="en-AU"/>
              </w:rPr>
            </w:pPr>
            <w:r w:rsidRPr="00B51A39">
              <w:rPr>
                <w:rFonts w:eastAsia="Times New Roman" w:cs="Open Sans Light"/>
                <w:sz w:val="16"/>
                <w:szCs w:val="16"/>
                <w:lang w:eastAsia="en-AU"/>
              </w:rPr>
              <w:t>Yes</w:t>
            </w:r>
          </w:p>
        </w:tc>
        <w:tc>
          <w:tcPr>
            <w:tcW w:w="1299" w:type="dxa"/>
            <w:tcBorders>
              <w:top w:val="nil"/>
              <w:left w:val="nil"/>
              <w:bottom w:val="single" w:sz="4" w:space="0" w:color="ADD6EA"/>
              <w:right w:val="nil"/>
            </w:tcBorders>
            <w:shd w:val="clear" w:color="auto" w:fill="auto"/>
            <w:vAlign w:val="bottom"/>
            <w:hideMark/>
          </w:tcPr>
          <w:p w14:paraId="38F3A6C9"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6.3</w:t>
            </w:r>
          </w:p>
        </w:tc>
        <w:tc>
          <w:tcPr>
            <w:tcW w:w="1300" w:type="dxa"/>
            <w:tcBorders>
              <w:top w:val="nil"/>
              <w:left w:val="nil"/>
              <w:bottom w:val="single" w:sz="4" w:space="0" w:color="ADD6EA"/>
              <w:right w:val="nil"/>
            </w:tcBorders>
            <w:shd w:val="clear" w:color="auto" w:fill="auto"/>
            <w:vAlign w:val="bottom"/>
            <w:hideMark/>
          </w:tcPr>
          <w:p w14:paraId="765240B6"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16.5</w:t>
            </w:r>
          </w:p>
        </w:tc>
        <w:tc>
          <w:tcPr>
            <w:tcW w:w="1807" w:type="dxa"/>
            <w:gridSpan w:val="2"/>
            <w:tcBorders>
              <w:top w:val="nil"/>
              <w:left w:val="nil"/>
              <w:bottom w:val="single" w:sz="4" w:space="0" w:color="ADD6EA"/>
              <w:right w:val="nil"/>
            </w:tcBorders>
            <w:shd w:val="clear" w:color="auto" w:fill="auto"/>
            <w:vAlign w:val="bottom"/>
            <w:hideMark/>
          </w:tcPr>
          <w:p w14:paraId="4C898233"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23.1</w:t>
            </w:r>
          </w:p>
        </w:tc>
        <w:tc>
          <w:tcPr>
            <w:tcW w:w="1996" w:type="dxa"/>
            <w:tcBorders>
              <w:top w:val="nil"/>
              <w:left w:val="nil"/>
              <w:bottom w:val="single" w:sz="4" w:space="0" w:color="ADD6EA"/>
              <w:right w:val="nil"/>
            </w:tcBorders>
            <w:shd w:val="clear" w:color="auto" w:fill="auto"/>
            <w:vAlign w:val="bottom"/>
            <w:hideMark/>
          </w:tcPr>
          <w:p w14:paraId="5254B093" w14:textId="77777777" w:rsidR="007E365E" w:rsidRPr="00B51A39" w:rsidRDefault="007E365E" w:rsidP="007D1D77">
            <w:pPr>
              <w:tabs>
                <w:tab w:val="clear" w:pos="567"/>
              </w:tabs>
              <w:spacing w:before="0" w:line="240" w:lineRule="auto"/>
              <w:jc w:val="right"/>
              <w:rPr>
                <w:rFonts w:eastAsia="Times New Roman" w:cs="Open Sans Light"/>
                <w:sz w:val="16"/>
                <w:szCs w:val="16"/>
                <w:lang w:eastAsia="en-AU"/>
              </w:rPr>
            </w:pPr>
            <w:r w:rsidRPr="00B51A39">
              <w:rPr>
                <w:rFonts w:eastAsia="Times New Roman" w:cs="Open Sans Light"/>
                <w:sz w:val="16"/>
                <w:szCs w:val="16"/>
                <w:lang w:eastAsia="en-AU"/>
              </w:rPr>
              <w:t>70.9</w:t>
            </w:r>
          </w:p>
        </w:tc>
      </w:tr>
    </w:tbl>
    <w:p w14:paraId="1DFDB00D" w14:textId="77777777" w:rsidR="007E365E" w:rsidRPr="00976585" w:rsidRDefault="007E365E" w:rsidP="007E365E">
      <w:pPr>
        <w:pStyle w:val="CGCTablenote"/>
      </w:pPr>
      <w:r w:rsidRPr="00976585">
        <w:t>Note:</w:t>
      </w:r>
      <w:r>
        <w:tab/>
      </w:r>
      <w:r w:rsidRPr="00976585">
        <w:t>Urban population</w:t>
      </w:r>
      <w:r>
        <w:t xml:space="preserve"> in the Census year</w:t>
      </w:r>
      <w:r w:rsidRPr="00976585">
        <w:t xml:space="preserve"> as defined by the Transport assessment</w:t>
      </w:r>
      <w:r>
        <w:t>.</w:t>
      </w:r>
      <w:r w:rsidRPr="00976585">
        <w:t xml:space="preserve">  </w:t>
      </w:r>
    </w:p>
    <w:p w14:paraId="2857B05A" w14:textId="77777777" w:rsidR="007E365E" w:rsidRPr="00976585" w:rsidRDefault="007E365E" w:rsidP="007E365E">
      <w:pPr>
        <w:pStyle w:val="CGCTablenote"/>
      </w:pPr>
      <w:r w:rsidRPr="00976585">
        <w:t>(a)</w:t>
      </w:r>
      <w:r>
        <w:tab/>
      </w:r>
      <w:r w:rsidRPr="00976585">
        <w:t xml:space="preserve">Use is </w:t>
      </w:r>
      <w:r>
        <w:t xml:space="preserve">the </w:t>
      </w:r>
      <w:r w:rsidRPr="00976585">
        <w:t xml:space="preserve">number of public transport passengers relative to total commuter population, </w:t>
      </w:r>
      <w:r>
        <w:t>this includes</w:t>
      </w:r>
      <w:r w:rsidRPr="00976585">
        <w:t xml:space="preserve"> private and active transport.</w:t>
      </w:r>
    </w:p>
    <w:p w14:paraId="47152710" w14:textId="77777777" w:rsidR="007E365E" w:rsidRDefault="007E365E" w:rsidP="007E365E">
      <w:pPr>
        <w:pStyle w:val="CGCTablenote"/>
      </w:pPr>
      <w:r>
        <w:t>(b)</w:t>
      </w:r>
      <w:r>
        <w:tab/>
        <w:t>This number includes ferry passengers.</w:t>
      </w:r>
    </w:p>
    <w:p w14:paraId="11887DC3" w14:textId="77777777" w:rsidR="007E365E" w:rsidRPr="00976585" w:rsidRDefault="007E365E" w:rsidP="007E365E">
      <w:pPr>
        <w:pStyle w:val="CGCTablenote"/>
      </w:pPr>
      <w:r w:rsidRPr="00976585">
        <w:t>(</w:t>
      </w:r>
      <w:r>
        <w:t>c</w:t>
      </w:r>
      <w:r w:rsidRPr="00976585">
        <w:t>)</w:t>
      </w:r>
      <w:r>
        <w:tab/>
      </w:r>
      <w:r w:rsidRPr="00976585">
        <w:t>Share of total public transport users by urban centre size.</w:t>
      </w:r>
    </w:p>
    <w:p w14:paraId="3C4D595D" w14:textId="77777777" w:rsidR="007E365E" w:rsidRPr="00976585" w:rsidRDefault="007E365E" w:rsidP="007E365E">
      <w:pPr>
        <w:pStyle w:val="CGCTablenote"/>
      </w:pPr>
      <w:r w:rsidRPr="00976585">
        <w:t>Source:</w:t>
      </w:r>
      <w:r w:rsidRPr="00976585">
        <w:tab/>
        <w:t>Commission calculation based on 2016 Census data.</w:t>
      </w:r>
    </w:p>
    <w:p w14:paraId="7E6A0F1C" w14:textId="77777777" w:rsidR="007E365E" w:rsidRPr="00976585" w:rsidRDefault="007E365E" w:rsidP="007E365E">
      <w:pPr>
        <w:pStyle w:val="CGCParaNumber"/>
      </w:pPr>
      <w:r w:rsidRPr="00976585">
        <w:t xml:space="preserve">The Commission considered two methods to derive assessed passenger numbers. The first method used regression analysis of passenger numbers by remoteness areas to derive assessed passenger numbers. However, upon further investigation, the Commission found that for some urban areas (especially those in regional areas), the regressions did not produce sensible results. This led the Commission to consider an approach based on urban centre size and the presence of heavy rail in an urban centre. This method proved simpler and the outcomes are more consistent with what States do. </w:t>
      </w:r>
    </w:p>
    <w:p w14:paraId="45D2AC91" w14:textId="77777777" w:rsidR="007E365E" w:rsidRPr="00976585" w:rsidRDefault="007E365E" w:rsidP="007E365E">
      <w:pPr>
        <w:pStyle w:val="CGCParaNumber"/>
      </w:pPr>
      <w:r w:rsidRPr="00976585">
        <w:t>Queensland and Western Australia did not support the revised method</w:t>
      </w:r>
      <w:r>
        <w:t xml:space="preserve"> for modelling passenger numbers</w:t>
      </w:r>
      <w:r w:rsidRPr="00976585">
        <w:t xml:space="preserve">. Queensland considered that </w:t>
      </w:r>
      <w:r>
        <w:t>the</w:t>
      </w:r>
      <w:r w:rsidRPr="00976585">
        <w:t xml:space="preserve"> former method better captures policy concerns. Western Australia questioned the validity of the passenger number variable because the two methods produce very different micro-level results but very similar assessment outcomes. The Commission considers that both models are policy neutral but the method based on urban centre size and the presence of heavy rail in an urban centre produces better results overall. The Commission does not accept Western Australia’s logic. While some changes may be large in percentage terms, in absolute terms they are not, and this is what drives the GST distribution. </w:t>
      </w:r>
    </w:p>
    <w:p w14:paraId="3E331935" w14:textId="77777777" w:rsidR="007E365E" w:rsidRPr="00976585" w:rsidRDefault="007E365E" w:rsidP="007E365E">
      <w:pPr>
        <w:pStyle w:val="CGCParaNumber"/>
      </w:pPr>
      <w:r w:rsidRPr="00976585">
        <w:t xml:space="preserve">Western Australia was uncomfortable with the use of passenger numbers to represent mode availability in a transport network, arguing that this variable does not capture excess supply within a network. The Commission does not intend for the Transport assessment to capture excess supply, which is most likely to be the result of State policy decisions on the timing of new transport infrastructure projects and timetabling. The regression model assumes that the level of supply is in equilibrium with the level of demand for all jurisdictions. The use of passenger numbers quantifies the average level of occupancy for each mode and urban centre size. </w:t>
      </w:r>
    </w:p>
    <w:p w14:paraId="495ADA9F" w14:textId="77777777" w:rsidR="007E365E" w:rsidRPr="00976585" w:rsidRDefault="007E365E" w:rsidP="007E365E">
      <w:pPr>
        <w:pStyle w:val="CGCParaNumber"/>
      </w:pPr>
      <w:r w:rsidRPr="00D71F3C">
        <w:rPr>
          <w:rStyle w:val="Heading6Char"/>
        </w:rPr>
        <w:t>The presence of ferry services.</w:t>
      </w:r>
      <w:r w:rsidRPr="00976585">
        <w:t xml:space="preserve"> A dummy variable is used to recognise the presence or absence of ferry services in a jurisdiction. The decision to introduce a ferry service into a public transport network is to address complex jurisdictional topography and to </w:t>
      </w:r>
      <w:r>
        <w:t>complement other</w:t>
      </w:r>
      <w:r w:rsidRPr="00976585">
        <w:t xml:space="preserve"> transport modes. Since the scale of ferry usage is not necessarily related to the overall level of transport demand in an urban centre, the assessment uses a dummy variable to indicate the presence or absence of this service rather than passenger numbers.</w:t>
      </w:r>
    </w:p>
    <w:p w14:paraId="3D81F3D5" w14:textId="77777777" w:rsidR="007E365E" w:rsidRPr="00976585" w:rsidRDefault="007E365E" w:rsidP="007E365E">
      <w:pPr>
        <w:pStyle w:val="CGCParaNumber"/>
      </w:pPr>
      <w:r w:rsidRPr="00976585">
        <w:lastRenderedPageBreak/>
        <w:t>Western Australia considered that the use of the ferry dummy variable is inappropriate and will not achieve fiscal equalisation. It said that Western Australia has limited ferry services compared to New South Wales and Queensland. However, Western Australia is assessed at the same ferry expenditure per capita as New South Wales and Queensland.</w:t>
      </w:r>
    </w:p>
    <w:p w14:paraId="3D7405B3" w14:textId="77777777" w:rsidR="007E365E" w:rsidRPr="00976585" w:rsidRDefault="007E365E" w:rsidP="007E365E">
      <w:pPr>
        <w:pStyle w:val="CGCParaNumber"/>
      </w:pPr>
      <w:r w:rsidRPr="00976585">
        <w:t>Western Australia is given the capacity to provide the average level of ferry services, which is consistent with fiscal equalisation.</w:t>
      </w:r>
    </w:p>
    <w:p w14:paraId="270B7D45" w14:textId="77777777" w:rsidR="007E365E" w:rsidRPr="00976585" w:rsidRDefault="007E365E" w:rsidP="007E365E">
      <w:pPr>
        <w:pStyle w:val="CGCParaNumber"/>
      </w:pPr>
      <w:r w:rsidRPr="00976585">
        <w:t xml:space="preserve">The ACT did not support the addition of a ferry dummy variable to the model, arguing that the standard error of the dummy variable for ferry services is significantly higher than the standard error for the other independent variables. It considered that the relatively low commuter usage of ferry services on a national basis indicates that the omission of this mode of transport would not profoundly affect the validity of the assessment. </w:t>
      </w:r>
    </w:p>
    <w:p w14:paraId="7ED1805A" w14:textId="77777777" w:rsidR="007E365E" w:rsidRPr="00976585" w:rsidRDefault="007E365E" w:rsidP="007E365E">
      <w:pPr>
        <w:pStyle w:val="CGCParaNumber"/>
      </w:pPr>
      <w:r w:rsidRPr="00976585">
        <w:t xml:space="preserve">The Commission notes the concerns of the ACT. The Commission has added the ferry variable to capture all transport modes and this was supported by the consultants. </w:t>
      </w:r>
    </w:p>
    <w:p w14:paraId="4635F70E" w14:textId="77777777" w:rsidR="007E365E" w:rsidRPr="00976585" w:rsidRDefault="007E365E" w:rsidP="007E365E">
      <w:pPr>
        <w:pStyle w:val="CGCParaNumber"/>
      </w:pPr>
      <w:r w:rsidRPr="004C2328">
        <w:rPr>
          <w:rStyle w:val="Heading6Char"/>
        </w:rPr>
        <w:t>Distance to work.</w:t>
      </w:r>
      <w:r w:rsidRPr="00976585">
        <w:t xml:space="preserve"> The assessment uses median distance to work to capture network complexity. Public transport costs increase with urban sprawl and distance. For example, larger cities, both in terms of population and geographical size, require more complex multi</w:t>
      </w:r>
      <w:r>
        <w:noBreakHyphen/>
      </w:r>
      <w:r w:rsidRPr="00976585">
        <w:t xml:space="preserve">modal interchanges and bus route networks. Distance to work can also go some way to capture topographical features within jurisdictions. </w:t>
      </w:r>
    </w:p>
    <w:p w14:paraId="1F539F64" w14:textId="77777777" w:rsidR="007E365E" w:rsidRPr="00976585" w:rsidRDefault="007E365E" w:rsidP="007E365E">
      <w:pPr>
        <w:pStyle w:val="CGCParaNumber"/>
      </w:pPr>
      <w:r w:rsidRPr="004C2328">
        <w:rPr>
          <w:rStyle w:val="Heading6Char"/>
        </w:rPr>
        <w:t>Topography.</w:t>
      </w:r>
      <w:r w:rsidRPr="00976585">
        <w:t xml:space="preserve"> Topography has affected the historical development of public transport modes and networks as well as the restructuring and expansion of current networks. For example, many rail lines today reflect the technical constraints on curves and gradients that existed when the line was first built, leaving many modern cities with a rail network that was spatially determined by the passenger needs of the mid-19th century. For bus services, networks are influenced by creeks, valleys, and rocky outcrops, creating discontinuous streets, one-way streets, and cul-de-sacs.</w:t>
      </w:r>
    </w:p>
    <w:p w14:paraId="661687DB" w14:textId="77777777" w:rsidR="007E365E" w:rsidRPr="00976585" w:rsidRDefault="007E365E" w:rsidP="007E365E">
      <w:pPr>
        <w:pStyle w:val="CGCParaNumber"/>
      </w:pPr>
      <w:r w:rsidRPr="00976585">
        <w:t>Topography also affects operating costs. In the case of rail, curves and gradients to overcome topographical features reduce operating speed, increas</w:t>
      </w:r>
      <w:r>
        <w:t>e</w:t>
      </w:r>
      <w:r w:rsidRPr="00976585">
        <w:t xml:space="preserve"> travel time, affect passenger comfort and reduce patronage. In addition, topographically difficult terrain usually results in increased maintenance and operating costs. For bus services, bus stops are required at closer spacing in steeper areas or in areas with topographical barriers to ensure continuing coverage. Closer stops increase dwell time </w:t>
      </w:r>
      <w:r>
        <w:t>(the time a bus or train spends at a scheduled stop without moving),</w:t>
      </w:r>
      <w:r w:rsidRPr="00976585">
        <w:t xml:space="preserve"> reduce overall operating speed</w:t>
      </w:r>
      <w:r>
        <w:t>s</w:t>
      </w:r>
      <w:r w:rsidRPr="00976585">
        <w:t>, increase total travel time and reduce patronage.</w:t>
      </w:r>
      <w:r w:rsidRPr="00976585">
        <w:rPr>
          <w:rStyle w:val="FootnoteReference"/>
        </w:rPr>
        <w:footnoteReference w:id="54"/>
      </w:r>
    </w:p>
    <w:p w14:paraId="0966D62C" w14:textId="77777777" w:rsidR="007E365E" w:rsidRPr="00D71F3C" w:rsidRDefault="007E365E" w:rsidP="007E365E">
      <w:pPr>
        <w:pStyle w:val="CGCParaNumber"/>
      </w:pPr>
      <w:r w:rsidRPr="00D71F3C">
        <w:t>Some States said that additional topographic variables should have been investigated, such as waterways, soil type and mountains. Upon investigation, a variable to capture waterways did not improve the model. While the presence of mountains and the existence of different soil types may affect the cost of public transport provision, the Commission did not have the information to test their effects on costs.</w:t>
      </w:r>
    </w:p>
    <w:p w14:paraId="493301E4" w14:textId="350191C8" w:rsidR="007E365E" w:rsidRPr="00976585" w:rsidRDefault="007E365E" w:rsidP="007E365E">
      <w:pPr>
        <w:pStyle w:val="Heading5"/>
      </w:pPr>
      <w:r w:rsidRPr="00976585">
        <w:lastRenderedPageBreak/>
        <w:t>Definition of urban centres</w:t>
      </w:r>
      <w:bookmarkEnd w:id="247"/>
    </w:p>
    <w:p w14:paraId="44DC729A" w14:textId="77777777" w:rsidR="007E365E" w:rsidRPr="00976585" w:rsidRDefault="007E365E" w:rsidP="007E365E">
      <w:pPr>
        <w:pStyle w:val="CGCParaNumber"/>
      </w:pPr>
      <w:bookmarkStart w:id="260" w:name="_Ref24120185"/>
      <w:r w:rsidRPr="00976585">
        <w:t>States generally supported defining urban centres included in the assessment and their populations using ABS UCLs contained within SUAs. While the definition of urban centres may not capture perfectly the population serviced by the urban transport networks, the Commission has adopted it because it is policy neutral. This was supported by the 2020 Review consultants in their stage 1 and stage 2 reports.</w:t>
      </w:r>
      <w:bookmarkEnd w:id="260"/>
    </w:p>
    <w:p w14:paraId="58255190" w14:textId="77777777" w:rsidR="007E365E" w:rsidRPr="00976585" w:rsidRDefault="007E365E" w:rsidP="007E365E">
      <w:pPr>
        <w:pStyle w:val="CGCParaNumber"/>
      </w:pPr>
      <w:r w:rsidRPr="00976585">
        <w:t>Based on the consultants’ findings, the Commission has treated Newcastle, Wollongong, the Central Coast, the Sunshine Coast, the Gold Coast and Geelong as separate cities, rather than amalgamating them with their capital cities.</w:t>
      </w:r>
    </w:p>
    <w:p w14:paraId="2AB6F66D" w14:textId="77777777" w:rsidR="007E365E" w:rsidRPr="00976585" w:rsidRDefault="007E365E" w:rsidP="007E365E">
      <w:pPr>
        <w:pStyle w:val="CGCParaNumber"/>
      </w:pPr>
      <w:r w:rsidRPr="00976585">
        <w:t xml:space="preserve">While States generally supported this approach, Queensland strongly opposed it. Queensland argued that satellite cities should be amalgamated with their capital city. This would more accurately reflect the State’s true transport task and mitigate issues of the SUA dataset used to frame urban centres. It said that, for planning and policy purposes, South-East Queensland is considered a single region. </w:t>
      </w:r>
    </w:p>
    <w:p w14:paraId="481889C4" w14:textId="77777777" w:rsidR="007E365E" w:rsidRPr="00976585" w:rsidRDefault="007E365E" w:rsidP="007E365E">
      <w:pPr>
        <w:pStyle w:val="CGCParaNumber"/>
      </w:pPr>
      <w:r w:rsidRPr="00976585">
        <w:t>Queensland used 2016 Census data on place of work by usual residence in Queensland to show that there were a significant number of people commuting to Brisbane from satellite cities, including by public transport.</w:t>
      </w:r>
    </w:p>
    <w:p w14:paraId="7069F9B2" w14:textId="77777777" w:rsidR="007E365E" w:rsidRPr="00976585" w:rsidRDefault="007E365E" w:rsidP="007E365E">
      <w:pPr>
        <w:pStyle w:val="CGCParaNumber"/>
      </w:pPr>
      <w:r w:rsidRPr="00976585">
        <w:t xml:space="preserve">In addition, Queensland said that the current SUA boundary used to define urban centres causes inconsistent treatment of similar areas. It provided examples of </w:t>
      </w:r>
      <w:r>
        <w:t>regions</w:t>
      </w:r>
      <w:r w:rsidRPr="00976585">
        <w:t xml:space="preserve"> </w:t>
      </w:r>
      <w:r>
        <w:t xml:space="preserve">at the </w:t>
      </w:r>
      <w:r w:rsidRPr="00513387">
        <w:t>Statistical Area Level 2 (SA2</w:t>
      </w:r>
      <w:r w:rsidRPr="00976585">
        <w:t>) within the Sydney SUA that have similar proportions of population commuting to the CBD as some SA2s within the Gold Coast SUA. Queensland concluded that some SA2s should be reallocated from the Gold Coast SUA to the Brisbane SUA.</w:t>
      </w:r>
    </w:p>
    <w:p w14:paraId="2C9D052C" w14:textId="77777777" w:rsidR="007E365E" w:rsidRPr="00976585" w:rsidRDefault="007E365E" w:rsidP="007E365E">
      <w:pPr>
        <w:pStyle w:val="CGCParaNumber"/>
      </w:pPr>
      <w:r w:rsidRPr="00976585">
        <w:t>The consultants were specifically tasked to address the definition of urban areas and the treatment of satellite cities. They started their investigation by noting that the ABS defines a SUA as follows:</w:t>
      </w:r>
    </w:p>
    <w:p w14:paraId="1EDC24DB" w14:textId="77777777" w:rsidR="007E365E" w:rsidRPr="00976585" w:rsidRDefault="007E365E" w:rsidP="007E365E">
      <w:pPr>
        <w:pStyle w:val="CGCQuotation"/>
      </w:pPr>
      <w:r w:rsidRPr="00976585">
        <w:t xml:space="preserve">The regions of the SUA structure are constructed from whole SA2s. They are clusters of one or more contiguous SA2s containing one or more related urban centres </w:t>
      </w:r>
      <w:r w:rsidRPr="004C2328">
        <w:rPr>
          <w:szCs w:val="22"/>
        </w:rPr>
        <w:t>joined</w:t>
      </w:r>
      <w:r w:rsidRPr="00976585">
        <w:t xml:space="preserve"> using the following criteria:</w:t>
      </w:r>
    </w:p>
    <w:p w14:paraId="7E7E9E0D" w14:textId="77777777" w:rsidR="007E365E" w:rsidRPr="00976585" w:rsidRDefault="007E365E" w:rsidP="007E365E">
      <w:pPr>
        <w:pStyle w:val="CGCQuoteBullet"/>
        <w:spacing w:after="120"/>
        <w:ind w:left="2058"/>
      </w:pPr>
      <w:r w:rsidRPr="00976585">
        <w:t>they are in the same labour market</w:t>
      </w:r>
    </w:p>
    <w:p w14:paraId="5A825746" w14:textId="77777777" w:rsidR="007E365E" w:rsidRPr="00976585" w:rsidRDefault="007E365E" w:rsidP="007E365E">
      <w:pPr>
        <w:pStyle w:val="CGCQuoteBullet"/>
        <w:spacing w:after="120"/>
        <w:ind w:left="2058"/>
      </w:pPr>
      <w:r w:rsidRPr="00976585">
        <w:t>they contain related urban centres where the edges of the urban centres are less than 5 km apart defined by road distance</w:t>
      </w:r>
    </w:p>
    <w:p w14:paraId="555B10B0" w14:textId="77777777" w:rsidR="007E365E" w:rsidRPr="00976585" w:rsidRDefault="007E365E" w:rsidP="007E365E">
      <w:pPr>
        <w:pStyle w:val="CGCQuoteBullet"/>
        <w:spacing w:after="120"/>
        <w:ind w:left="2058"/>
      </w:pPr>
      <w:r w:rsidRPr="00976585">
        <w:t>they have an aggregate urban population exceeding 10</w:t>
      </w:r>
      <w:r>
        <w:t>,</w:t>
      </w:r>
      <w:r w:rsidRPr="00976585">
        <w:t>000 persons</w:t>
      </w:r>
    </w:p>
    <w:p w14:paraId="219C1E3C" w14:textId="77777777" w:rsidR="007E365E" w:rsidRPr="00976585" w:rsidRDefault="007E365E" w:rsidP="007E365E">
      <w:pPr>
        <w:pStyle w:val="CGCQuoteBullet"/>
        <w:spacing w:after="120"/>
        <w:ind w:left="2058"/>
      </w:pPr>
      <w:r w:rsidRPr="00976585">
        <w:t>at least one of the related urban centres has an urban population of 7</w:t>
      </w:r>
      <w:r>
        <w:t>,</w:t>
      </w:r>
      <w:r w:rsidRPr="00976585">
        <w:t>000 persons or more.</w:t>
      </w:r>
      <w:r w:rsidRPr="00E93785">
        <w:rPr>
          <w:rStyle w:val="FootnoteReference"/>
        </w:rPr>
        <w:footnoteReference w:id="55"/>
      </w:r>
      <w:r w:rsidRPr="00976585">
        <w:t xml:space="preserve"> </w:t>
      </w:r>
    </w:p>
    <w:p w14:paraId="7D40A5A8" w14:textId="77777777" w:rsidR="007E365E" w:rsidRPr="00976585" w:rsidRDefault="007E365E" w:rsidP="007E365E">
      <w:pPr>
        <w:pStyle w:val="CGCParaNumber"/>
      </w:pPr>
      <w:r w:rsidRPr="00976585">
        <w:t xml:space="preserve">The consultants concluded that the ABS has in effect already made some economic judgments about the relationship between SA2s when aggregating them to form SUAs. The </w:t>
      </w:r>
      <w:r w:rsidRPr="00976585">
        <w:lastRenderedPageBreak/>
        <w:t xml:space="preserve">question in their view was therefore whether any SUAs should be combined. That is, whether any SUAs should be considered as having a sufficiently integrated labour market with the neighbouring capital city. </w:t>
      </w:r>
    </w:p>
    <w:p w14:paraId="34201146" w14:textId="77777777" w:rsidR="007E365E" w:rsidRPr="00976585" w:rsidRDefault="007E365E" w:rsidP="007E365E">
      <w:pPr>
        <w:pStyle w:val="CGCParaNumber"/>
      </w:pPr>
      <w:r w:rsidRPr="00976585">
        <w:t>The consultants considered that the best way to proceed was to apply criteria that assess if SUAs exist that could be considered labour market integrated satellites to a capital city. They constructed a suite of employment self</w:t>
      </w:r>
      <w:r w:rsidRPr="00976585">
        <w:noBreakHyphen/>
        <w:t>sufficiency indices. An SUA should be considered a satellite to a capital city if:</w:t>
      </w:r>
    </w:p>
    <w:p w14:paraId="4D436BFE" w14:textId="77777777" w:rsidR="007E365E" w:rsidRPr="00976585" w:rsidRDefault="007E365E" w:rsidP="007E365E">
      <w:pPr>
        <w:pStyle w:val="CGCBullet1"/>
      </w:pPr>
      <w:r w:rsidRPr="00976585">
        <w:t>it has a relatively high outside SUA dependency index value (that is, a high proportion of people working outside the SUA)</w:t>
      </w:r>
    </w:p>
    <w:p w14:paraId="2E92C6A4" w14:textId="77777777" w:rsidR="007E365E" w:rsidRPr="00976585" w:rsidRDefault="007E365E" w:rsidP="007E365E">
      <w:pPr>
        <w:pStyle w:val="CGCBullet1"/>
      </w:pPr>
      <w:r w:rsidRPr="00976585">
        <w:t>it has a relatively high dependency to the capital city index value (that is, a high proportion of people working within the capital city SUA).</w:t>
      </w:r>
    </w:p>
    <w:p w14:paraId="4FDB5379" w14:textId="348E723D" w:rsidR="007E365E" w:rsidRPr="00976585" w:rsidRDefault="007E365E" w:rsidP="007E365E">
      <w:pPr>
        <w:pStyle w:val="CGCParaNumber"/>
      </w:pPr>
      <w:r w:rsidRPr="00976585">
        <w:fldChar w:fldCharType="begin"/>
      </w:r>
      <w:r w:rsidRPr="00976585">
        <w:instrText xml:space="preserve"> REF _Ref536785568 \h  \* MERGEFORMAT </w:instrText>
      </w:r>
      <w:r w:rsidRPr="00976585">
        <w:fldChar w:fldCharType="separate"/>
      </w:r>
      <w:r w:rsidR="007F721A" w:rsidRPr="00976585">
        <w:t xml:space="preserve">Figure </w:t>
      </w:r>
      <w:r w:rsidR="007F721A">
        <w:rPr>
          <w:noProof/>
        </w:rPr>
        <w:t>21-5</w:t>
      </w:r>
      <w:r w:rsidRPr="00976585">
        <w:fldChar w:fldCharType="end"/>
      </w:r>
      <w:r w:rsidRPr="00976585">
        <w:t xml:space="preserve"> shows, for each SUA, the relationship between the proportion of the population employed outside the SUA and the proportion of the population employed within the capital city.</w:t>
      </w:r>
    </w:p>
    <w:p w14:paraId="2C1E3741" w14:textId="37AB31D1" w:rsidR="007E365E" w:rsidRPr="00976585" w:rsidRDefault="007E365E" w:rsidP="007E365E">
      <w:pPr>
        <w:pStyle w:val="Caption"/>
      </w:pPr>
      <w:bookmarkStart w:id="261" w:name="_Ref536785568"/>
      <w:r w:rsidRPr="00976585">
        <w:t xml:space="preserve">Figure </w:t>
      </w:r>
      <w:r>
        <w:t>21-</w:t>
      </w:r>
      <w:fldSimple w:instr=" SEQ Figure \* ARABIC ">
        <w:r w:rsidR="007F721A">
          <w:rPr>
            <w:noProof/>
          </w:rPr>
          <w:t>5</w:t>
        </w:r>
      </w:fldSimple>
      <w:bookmarkEnd w:id="261"/>
      <w:r w:rsidRPr="00976585">
        <w:t xml:space="preserve"> </w:t>
      </w:r>
      <w:r w:rsidRPr="00976585">
        <w:tab/>
        <w:t>Self-sufficiency indices for all SUAs, 2016</w:t>
      </w:r>
    </w:p>
    <w:p w14:paraId="1E3A7A7A" w14:textId="77777777" w:rsidR="007E365E" w:rsidRDefault="007E365E" w:rsidP="007E365E">
      <w:pPr>
        <w:pStyle w:val="CGCTablenote"/>
      </w:pPr>
      <w:r>
        <w:rPr>
          <w:noProof/>
        </w:rPr>
        <w:drawing>
          <wp:inline distT="0" distB="0" distL="0" distR="0" wp14:anchorId="454899C6" wp14:editId="0D401860">
            <wp:extent cx="5688330" cy="3566160"/>
            <wp:effectExtent l="0" t="0" r="7620" b="0"/>
            <wp:docPr id="47" name="Picture 47" descr="A scatter plot of persons employed outside of their resident SUAs against persons employed within their State's capital city.  Yanchep, Gisborne-Macedon, Melton and Bacchus Marsh are a distinct grouping from the rest of the SU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8330" cy="3566160"/>
                    </a:xfrm>
                    <a:prstGeom prst="rect">
                      <a:avLst/>
                    </a:prstGeom>
                    <a:noFill/>
                  </pic:spPr>
                </pic:pic>
              </a:graphicData>
            </a:graphic>
          </wp:inline>
        </w:drawing>
      </w:r>
    </w:p>
    <w:p w14:paraId="44796732" w14:textId="77777777" w:rsidR="007E365E" w:rsidRPr="00976585" w:rsidRDefault="007E365E" w:rsidP="007E365E">
      <w:pPr>
        <w:pStyle w:val="CGCTablenote"/>
      </w:pPr>
      <w:r w:rsidRPr="00976585">
        <w:t>Source:</w:t>
      </w:r>
      <w:r w:rsidRPr="00976585">
        <w:tab/>
        <w:t xml:space="preserve">Commission calculation based on </w:t>
      </w:r>
      <w:r>
        <w:t xml:space="preserve">advice from </w:t>
      </w:r>
      <w:r w:rsidRPr="00976585">
        <w:t>the Commission’s consultants for the stage 2 report.</w:t>
      </w:r>
    </w:p>
    <w:p w14:paraId="0078D0F2" w14:textId="1D5736E1" w:rsidR="007E365E" w:rsidRPr="00976585" w:rsidRDefault="007E365E" w:rsidP="007E365E">
      <w:pPr>
        <w:pStyle w:val="CGCParaNumber"/>
      </w:pPr>
      <w:r w:rsidRPr="00976585">
        <w:fldChar w:fldCharType="begin"/>
      </w:r>
      <w:r w:rsidRPr="00976585">
        <w:instrText xml:space="preserve"> REF _Ref536785568 \h  \* MERGEFORMAT </w:instrText>
      </w:r>
      <w:r w:rsidRPr="00976585">
        <w:fldChar w:fldCharType="separate"/>
      </w:r>
      <w:r w:rsidR="007F721A" w:rsidRPr="00976585">
        <w:t xml:space="preserve">Figure </w:t>
      </w:r>
      <w:r w:rsidR="007F721A">
        <w:rPr>
          <w:noProof/>
        </w:rPr>
        <w:t>21-5</w:t>
      </w:r>
      <w:r w:rsidRPr="00976585">
        <w:fldChar w:fldCharType="end"/>
      </w:r>
      <w:r w:rsidRPr="00976585">
        <w:t xml:space="preserve"> clearly shows the Gold Coast and the Sunshine Coast have a greater degree of self</w:t>
      </w:r>
      <w:r>
        <w:noBreakHyphen/>
      </w:r>
      <w:r w:rsidRPr="00976585">
        <w:t>sufficiency than most large satellite cities. Based on the indices the consultants concluded that:</w:t>
      </w:r>
    </w:p>
    <w:p w14:paraId="35F476FB" w14:textId="77777777" w:rsidR="007E365E" w:rsidRPr="00976585" w:rsidRDefault="007E365E" w:rsidP="007E365E">
      <w:pPr>
        <w:pStyle w:val="CGCBullet1"/>
        <w:keepNext/>
        <w:keepLines/>
      </w:pPr>
      <w:r w:rsidRPr="00976585">
        <w:lastRenderedPageBreak/>
        <w:t>Sydney’s surrounding SUAs are not satellites to Sydney and should be treated separately</w:t>
      </w:r>
    </w:p>
    <w:p w14:paraId="7E855552" w14:textId="77777777" w:rsidR="007E365E" w:rsidRPr="00976585" w:rsidRDefault="007E365E" w:rsidP="007E365E">
      <w:pPr>
        <w:pStyle w:val="CGCBullet1"/>
        <w:keepNext/>
        <w:keepLines/>
      </w:pPr>
      <w:r w:rsidRPr="00976585">
        <w:t xml:space="preserve">the SUAs of Gisborne-Macedon, Melton and Bacchus Marsh could be considered labour market integrated satellites to Melbourne based on their self-sufficiency index values </w:t>
      </w:r>
    </w:p>
    <w:p w14:paraId="5C2723CC" w14:textId="77777777" w:rsidR="007E365E" w:rsidRPr="00976585" w:rsidRDefault="007E365E" w:rsidP="007E365E">
      <w:pPr>
        <w:pStyle w:val="CGCBullet1"/>
        <w:keepNext/>
        <w:keepLines/>
      </w:pPr>
      <w:r w:rsidRPr="00976585">
        <w:t>Brisbane’s surrounding SUAs are not satellites to Brisbane and should be treated separately</w:t>
      </w:r>
    </w:p>
    <w:p w14:paraId="6495306F" w14:textId="77777777" w:rsidR="007E365E" w:rsidRPr="00976585" w:rsidRDefault="007E365E" w:rsidP="007E365E">
      <w:pPr>
        <w:pStyle w:val="CGCBullet1"/>
        <w:keepNext/>
        <w:keepLines/>
      </w:pPr>
      <w:r w:rsidRPr="00976585">
        <w:t>Yanchep should be considered a satellite to Perth.</w:t>
      </w:r>
    </w:p>
    <w:p w14:paraId="4A6FFEAC" w14:textId="77777777" w:rsidR="007E365E" w:rsidRPr="00976585" w:rsidRDefault="007E365E" w:rsidP="007E365E">
      <w:pPr>
        <w:pStyle w:val="CGCParaNumber"/>
      </w:pPr>
      <w:r w:rsidRPr="00976585">
        <w:t>The Commission considers the methodology used by the consultants to be robust and the supporting data reliable and has followed the consultants’ recommendations.</w:t>
      </w:r>
    </w:p>
    <w:p w14:paraId="4589D8FC" w14:textId="77777777" w:rsidR="007E365E" w:rsidRPr="00976585" w:rsidRDefault="007E365E" w:rsidP="007E365E">
      <w:pPr>
        <w:pStyle w:val="CGCParaNumber"/>
      </w:pPr>
      <w:r w:rsidRPr="00976585">
        <w:t>The Commission does not support reallocating SA2s between SUAs. It would go against the judgment of the ABS in its construction of SUAs. The Commission accepts the ABS definitions of SUA as evidence-based and policy neutral. Reallocating SA2s would amount to ‘cherry</w:t>
      </w:r>
      <w:r>
        <w:t> </w:t>
      </w:r>
      <w:r w:rsidRPr="00976585">
        <w:t>picking’ and it would be difficult to do so in a consistent way. In addition, urban transport expenses would need to be reallocated between SUAs, which would involve considerable additional judgment.</w:t>
      </w:r>
    </w:p>
    <w:p w14:paraId="545626D8" w14:textId="77777777" w:rsidR="007E365E" w:rsidRPr="00976585" w:rsidRDefault="007E365E" w:rsidP="007E365E">
      <w:pPr>
        <w:pStyle w:val="CGCParaNumber"/>
      </w:pPr>
      <w:r w:rsidRPr="00976585">
        <w:t>The Commission also disagrees with Queensland that the self-sufficiency indices are too simplistic. Queensland argued that a network’s entire transport task should be considered, rather than focusing on one aspect of the transport task related to the labour force — labour market integration. Furthermore, applying a threshold to the self-sufficiency indices means that the transport burden placed on capital city networks by neighbouring SUAs is not comprehensively accounted for. However, it is unclear how expenses could be disaggregated to accommodate Queensland’s proposal in a way that is consistent and policy</w:t>
      </w:r>
      <w:r>
        <w:t xml:space="preserve"> </w:t>
      </w:r>
      <w:r w:rsidRPr="00976585">
        <w:t>neutral. The consultants have confirmed that the method that they have proposed is standard practice for transport economists and superior to those proposed in their stage 1 report.</w:t>
      </w:r>
    </w:p>
    <w:p w14:paraId="081D0A82" w14:textId="77777777" w:rsidR="007E365E" w:rsidRPr="00976585" w:rsidRDefault="007E365E" w:rsidP="007E365E">
      <w:pPr>
        <w:pStyle w:val="CGCParaNumber"/>
      </w:pPr>
      <w:r w:rsidRPr="00976585">
        <w:t>The Commission has included all SUAs in the urban transport assessment. This increases the number of urban centres from 65 to 106</w:t>
      </w:r>
      <w:r w:rsidRPr="00976585">
        <w:rPr>
          <w:rStyle w:val="FootnoteReference"/>
          <w:rFonts w:cstheme="minorHAnsi"/>
        </w:rPr>
        <w:footnoteReference w:id="56"/>
      </w:r>
      <w:r w:rsidRPr="00976585">
        <w:t xml:space="preserve"> compared with the 2015 Review assessment where on</w:t>
      </w:r>
      <w:r>
        <w:t>ly SUAs with population over 20,</w:t>
      </w:r>
      <w:r w:rsidRPr="00976585">
        <w:t xml:space="preserve">000 were included. The vast majority of </w:t>
      </w:r>
      <w:r>
        <w:t>SUAs have a population above 10,</w:t>
      </w:r>
      <w:r w:rsidRPr="00976585">
        <w:t>000 and the majority have public transport services.</w:t>
      </w:r>
      <w:r w:rsidRPr="00976585">
        <w:rPr>
          <w:rStyle w:val="FootnoteReference"/>
        </w:rPr>
        <w:footnoteReference w:id="57"/>
      </w:r>
      <w:r w:rsidRPr="00976585">
        <w:t xml:space="preserve"> This change will better reflect what States do.</w:t>
      </w:r>
    </w:p>
    <w:p w14:paraId="5D28CF21" w14:textId="77777777" w:rsidR="007E365E" w:rsidRPr="00976585" w:rsidRDefault="007E365E" w:rsidP="007E365E">
      <w:pPr>
        <w:pStyle w:val="CGCParaNumber"/>
      </w:pPr>
      <w:r w:rsidRPr="00513387">
        <w:t xml:space="preserve">However, some States, notably Victoria and Queensland, could not provide financial data separately for all SUAs. As a result, the consultants used data for 70 SUAs in their econometric analysis. </w:t>
      </w:r>
      <w:r w:rsidRPr="00976585">
        <w:t>The consultants noted in the stage 2 report that the population of the SUAs omitted from the model represented only 3.8% of Australia’s urban population. While the omission of any SUA from consideration in the modelling is not ideal, the consultants did not report any bias towards a particular State in an analysis of the model’s residuals.</w:t>
      </w:r>
    </w:p>
    <w:p w14:paraId="019EFDC8" w14:textId="77777777" w:rsidR="007E365E" w:rsidRPr="004C2328" w:rsidRDefault="007E365E" w:rsidP="007E365E">
      <w:pPr>
        <w:pStyle w:val="CGCParaNumber"/>
      </w:pPr>
      <w:r w:rsidRPr="004C2328">
        <w:t xml:space="preserve">The consultants’ analysis included rail expenses for the </w:t>
      </w:r>
      <w:r>
        <w:t>five</w:t>
      </w:r>
      <w:r w:rsidRPr="004C2328">
        <w:t xml:space="preserve"> satellite cities of Sydney and Brisbane. Victoria argued that, based on its experience, heavy rail was not a form of transport used within non-capital city SUAs.</w:t>
      </w:r>
    </w:p>
    <w:p w14:paraId="4B7A9E7F" w14:textId="77777777" w:rsidR="007E365E" w:rsidRPr="00976585" w:rsidRDefault="007E365E" w:rsidP="007E365E">
      <w:pPr>
        <w:pStyle w:val="CGCParaNumber"/>
      </w:pPr>
      <w:r w:rsidRPr="00976585">
        <w:t xml:space="preserve">The decision to include the five non-capital city SUAs’ rail expenses reflects what States do. The number of stops in the satellite cities of Sydney and Brisbane suggest that these </w:t>
      </w:r>
      <w:r w:rsidRPr="00976585">
        <w:lastRenderedPageBreak/>
        <w:t>networks are complex enough to service a need other than regional transport. The data request sent to States sought data disaggregated to at least the SUA level. The Commission has not been able to consider the inclusion of Geelong, Ballarat and Bendigo in the modelling because Victoria was unable to provide the necessary expense data. Nevertheless, as noted earlier the Commission is confident that these omissions do not bias the results.</w:t>
      </w:r>
    </w:p>
    <w:p w14:paraId="3A1F5ADC" w14:textId="77777777" w:rsidR="007E365E" w:rsidRPr="00E93785" w:rsidRDefault="007E365E" w:rsidP="007E365E">
      <w:pPr>
        <w:pStyle w:val="Heading5"/>
      </w:pPr>
      <w:r w:rsidRPr="00E93785">
        <w:t>Calculating assessed expenses using the urban transport model</w:t>
      </w:r>
    </w:p>
    <w:p w14:paraId="5FED7E5D" w14:textId="36C4FB98" w:rsidR="007E365E" w:rsidRPr="00976585" w:rsidRDefault="007E365E" w:rsidP="007E365E">
      <w:pPr>
        <w:pStyle w:val="CGCParaNumber"/>
      </w:pPr>
      <w:r w:rsidRPr="00976585">
        <w:t>The regression model is calculated with the independent variables presented above and per</w:t>
      </w:r>
      <w:r>
        <w:t> </w:t>
      </w:r>
      <w:r w:rsidRPr="00976585">
        <w:t xml:space="preserve">capita expense data for 69 jurisdictions as the dependent variable. </w:t>
      </w:r>
      <w:r w:rsidRPr="00976585">
        <w:fldChar w:fldCharType="begin"/>
      </w:r>
      <w:r w:rsidRPr="00976585">
        <w:instrText xml:space="preserve"> REF _Ref6410071 \h  \* MERGEFORMAT </w:instrText>
      </w:r>
      <w:r w:rsidRPr="00976585">
        <w:fldChar w:fldCharType="separate"/>
      </w:r>
      <w:r w:rsidR="007F721A" w:rsidRPr="00976585">
        <w:t xml:space="preserve">Table </w:t>
      </w:r>
      <w:r w:rsidR="007F721A">
        <w:rPr>
          <w:noProof/>
        </w:rPr>
        <w:t>21-10</w:t>
      </w:r>
      <w:r w:rsidRPr="00976585">
        <w:fldChar w:fldCharType="end"/>
      </w:r>
      <w:r w:rsidRPr="00976585">
        <w:t xml:space="preserve"> presents the coefficients for this model.</w:t>
      </w:r>
    </w:p>
    <w:p w14:paraId="3515AAD3" w14:textId="168B7D37" w:rsidR="007E365E" w:rsidRPr="00976585" w:rsidRDefault="007E365E" w:rsidP="007E365E">
      <w:pPr>
        <w:pStyle w:val="Caption"/>
        <w:widowControl w:val="0"/>
        <w:rPr>
          <w:noProof/>
        </w:rPr>
      </w:pPr>
      <w:bookmarkStart w:id="262" w:name="_Ref6410071"/>
      <w:r w:rsidRPr="00976585">
        <w:t xml:space="preserve">Table </w:t>
      </w:r>
      <w:r>
        <w:t>21-</w:t>
      </w:r>
      <w:fldSimple w:instr=" SEQ Table \* ARABIC ">
        <w:r w:rsidR="007F721A">
          <w:rPr>
            <w:noProof/>
          </w:rPr>
          <w:t>10</w:t>
        </w:r>
      </w:fldSimple>
      <w:bookmarkEnd w:id="262"/>
      <w:r w:rsidRPr="00976585">
        <w:tab/>
        <w:t>U</w:t>
      </w:r>
      <w:r w:rsidRPr="00976585">
        <w:rPr>
          <w:noProof/>
        </w:rPr>
        <w:t>rban transport model regression coefficients</w:t>
      </w:r>
    </w:p>
    <w:tbl>
      <w:tblPr>
        <w:tblW w:w="8980" w:type="dxa"/>
        <w:tblCellMar>
          <w:left w:w="28" w:type="dxa"/>
          <w:right w:w="28" w:type="dxa"/>
        </w:tblCellMar>
        <w:tblLook w:val="04A0" w:firstRow="1" w:lastRow="0" w:firstColumn="1" w:lastColumn="0" w:noHBand="0" w:noVBand="1"/>
      </w:tblPr>
      <w:tblGrid>
        <w:gridCol w:w="5360"/>
        <w:gridCol w:w="3620"/>
      </w:tblGrid>
      <w:tr w:rsidR="007E365E" w:rsidRPr="00A12F11" w14:paraId="45E3C354" w14:textId="77777777" w:rsidTr="007D1D77">
        <w:trPr>
          <w:trHeight w:hRule="exact" w:val="380"/>
        </w:trPr>
        <w:tc>
          <w:tcPr>
            <w:tcW w:w="5360" w:type="dxa"/>
            <w:tcBorders>
              <w:top w:val="single" w:sz="4" w:space="0" w:color="ADD6EA"/>
              <w:left w:val="nil"/>
              <w:bottom w:val="single" w:sz="4" w:space="0" w:color="ADD6EA"/>
              <w:right w:val="nil"/>
            </w:tcBorders>
            <w:shd w:val="clear" w:color="000000" w:fill="006991"/>
            <w:noWrap/>
            <w:vAlign w:val="center"/>
            <w:hideMark/>
          </w:tcPr>
          <w:p w14:paraId="1B472FDB" w14:textId="77777777" w:rsidR="007E365E" w:rsidRPr="00A12F11" w:rsidRDefault="007E365E" w:rsidP="007D1D77">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A12F11">
              <w:rPr>
                <w:rFonts w:ascii="Open Sans SemiBold" w:eastAsia="Times New Roman" w:hAnsi="Open Sans SemiBold" w:cs="Open Sans SemiBold"/>
                <w:color w:val="FFFFFF"/>
                <w:sz w:val="16"/>
                <w:szCs w:val="16"/>
                <w:lang w:eastAsia="en-AU"/>
              </w:rPr>
              <w:t>Variable</w:t>
            </w:r>
          </w:p>
        </w:tc>
        <w:tc>
          <w:tcPr>
            <w:tcW w:w="3620" w:type="dxa"/>
            <w:tcBorders>
              <w:top w:val="single" w:sz="4" w:space="0" w:color="ADD6EA"/>
              <w:left w:val="nil"/>
              <w:bottom w:val="single" w:sz="4" w:space="0" w:color="ADD6EA"/>
              <w:right w:val="nil"/>
            </w:tcBorders>
            <w:shd w:val="clear" w:color="000000" w:fill="006991"/>
            <w:noWrap/>
            <w:vAlign w:val="center"/>
            <w:hideMark/>
          </w:tcPr>
          <w:p w14:paraId="150397D0" w14:textId="77777777" w:rsidR="007E365E" w:rsidRPr="00A12F11"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12F11">
              <w:rPr>
                <w:rFonts w:ascii="Open Sans SemiBold" w:eastAsia="Times New Roman" w:hAnsi="Open Sans SemiBold" w:cs="Open Sans SemiBold"/>
                <w:color w:val="FFFFFF"/>
                <w:sz w:val="16"/>
                <w:szCs w:val="16"/>
                <w:lang w:eastAsia="en-AU"/>
              </w:rPr>
              <w:t>Coefficient</w:t>
            </w:r>
          </w:p>
        </w:tc>
      </w:tr>
      <w:tr w:rsidR="007E365E" w:rsidRPr="00A12F11" w14:paraId="042C86F1" w14:textId="77777777" w:rsidTr="007D1D77">
        <w:trPr>
          <w:trHeight w:hRule="exact" w:val="261"/>
        </w:trPr>
        <w:tc>
          <w:tcPr>
            <w:tcW w:w="5360" w:type="dxa"/>
            <w:tcBorders>
              <w:top w:val="nil"/>
              <w:left w:val="nil"/>
              <w:bottom w:val="nil"/>
              <w:right w:val="nil"/>
            </w:tcBorders>
            <w:shd w:val="clear" w:color="000000" w:fill="B6D5E4"/>
            <w:noWrap/>
            <w:vAlign w:val="bottom"/>
            <w:hideMark/>
          </w:tcPr>
          <w:p w14:paraId="4DC95345" w14:textId="77777777" w:rsidR="007E365E" w:rsidRPr="00A12F11" w:rsidRDefault="007E365E" w:rsidP="007D1D77">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A12F11">
              <w:rPr>
                <w:rFonts w:ascii="Open Sans SemiBold" w:eastAsia="Times New Roman" w:hAnsi="Open Sans SemiBold" w:cs="Open Sans SemiBold"/>
                <w:sz w:val="16"/>
                <w:szCs w:val="16"/>
                <w:lang w:eastAsia="en-AU"/>
              </w:rPr>
              <w:t> </w:t>
            </w:r>
          </w:p>
        </w:tc>
        <w:tc>
          <w:tcPr>
            <w:tcW w:w="3620" w:type="dxa"/>
            <w:tcBorders>
              <w:top w:val="nil"/>
              <w:left w:val="nil"/>
              <w:bottom w:val="nil"/>
              <w:right w:val="nil"/>
            </w:tcBorders>
            <w:shd w:val="clear" w:color="000000" w:fill="B6D5E4"/>
            <w:noWrap/>
            <w:vAlign w:val="center"/>
            <w:hideMark/>
          </w:tcPr>
          <w:p w14:paraId="3F8C4B2B" w14:textId="77777777" w:rsidR="007E365E" w:rsidRPr="00A12F11"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Pr>
                <w:rFonts w:ascii="Open Sans SemiBold" w:eastAsia="Times New Roman" w:hAnsi="Open Sans SemiBold" w:cs="Open Sans SemiBold"/>
                <w:sz w:val="16"/>
                <w:szCs w:val="16"/>
                <w:lang w:eastAsia="en-AU"/>
              </w:rPr>
              <w:t>N</w:t>
            </w:r>
            <w:r w:rsidRPr="00A12F11">
              <w:rPr>
                <w:rFonts w:ascii="Open Sans SemiBold" w:eastAsia="Times New Roman" w:hAnsi="Open Sans SemiBold" w:cs="Open Sans SemiBold"/>
                <w:sz w:val="16"/>
                <w:szCs w:val="16"/>
                <w:lang w:eastAsia="en-AU"/>
              </w:rPr>
              <w:t>o.</w:t>
            </w:r>
          </w:p>
        </w:tc>
      </w:tr>
      <w:tr w:rsidR="007E365E" w:rsidRPr="00A12F11" w14:paraId="43776660" w14:textId="77777777" w:rsidTr="007D1D77">
        <w:trPr>
          <w:trHeight w:hRule="exact" w:val="318"/>
        </w:trPr>
        <w:tc>
          <w:tcPr>
            <w:tcW w:w="5360" w:type="dxa"/>
            <w:tcBorders>
              <w:top w:val="nil"/>
              <w:left w:val="nil"/>
              <w:bottom w:val="nil"/>
              <w:right w:val="nil"/>
            </w:tcBorders>
            <w:shd w:val="clear" w:color="auto" w:fill="auto"/>
            <w:noWrap/>
            <w:vAlign w:val="bottom"/>
            <w:hideMark/>
          </w:tcPr>
          <w:p w14:paraId="3B41889E" w14:textId="77777777" w:rsidR="007E365E" w:rsidRPr="00A12F11"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A12F11">
              <w:rPr>
                <w:rFonts w:eastAsia="Times New Roman" w:cs="Open Sans Light"/>
                <w:sz w:val="16"/>
                <w:szCs w:val="16"/>
                <w:lang w:eastAsia="en-AU"/>
              </w:rPr>
              <w:t>Intercept</w:t>
            </w:r>
          </w:p>
        </w:tc>
        <w:tc>
          <w:tcPr>
            <w:tcW w:w="3620" w:type="dxa"/>
            <w:tcBorders>
              <w:top w:val="nil"/>
              <w:left w:val="nil"/>
              <w:bottom w:val="nil"/>
              <w:right w:val="nil"/>
            </w:tcBorders>
            <w:shd w:val="clear" w:color="auto" w:fill="auto"/>
            <w:noWrap/>
            <w:vAlign w:val="bottom"/>
            <w:hideMark/>
          </w:tcPr>
          <w:p w14:paraId="5C22F0A9" w14:textId="77777777" w:rsidR="007E365E" w:rsidRPr="00A12F11"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A12F11">
              <w:rPr>
                <w:rFonts w:eastAsia="Times New Roman" w:cs="Open Sans Light"/>
                <w:sz w:val="16"/>
                <w:szCs w:val="16"/>
                <w:lang w:eastAsia="en-AU"/>
              </w:rPr>
              <w:t>-128.63</w:t>
            </w:r>
          </w:p>
        </w:tc>
      </w:tr>
      <w:tr w:rsidR="007E365E" w:rsidRPr="00A12F11" w14:paraId="232B2683" w14:textId="77777777" w:rsidTr="007D1D77">
        <w:trPr>
          <w:trHeight w:hRule="exact" w:val="318"/>
        </w:trPr>
        <w:tc>
          <w:tcPr>
            <w:tcW w:w="5360" w:type="dxa"/>
            <w:tcBorders>
              <w:top w:val="single" w:sz="4" w:space="0" w:color="ADD6EA"/>
              <w:left w:val="nil"/>
              <w:bottom w:val="single" w:sz="4" w:space="0" w:color="ADD6EA"/>
              <w:right w:val="nil"/>
            </w:tcBorders>
            <w:shd w:val="clear" w:color="auto" w:fill="auto"/>
            <w:noWrap/>
            <w:vAlign w:val="bottom"/>
            <w:hideMark/>
          </w:tcPr>
          <w:p w14:paraId="569F48B1" w14:textId="77777777" w:rsidR="007E365E" w:rsidRPr="00A12F11"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A12F11">
              <w:rPr>
                <w:rFonts w:eastAsia="Times New Roman" w:cs="Open Sans Light"/>
                <w:sz w:val="16"/>
                <w:szCs w:val="16"/>
                <w:lang w:eastAsia="en-AU"/>
              </w:rPr>
              <w:t>Population density (persons/sqkm)</w:t>
            </w:r>
          </w:p>
        </w:tc>
        <w:tc>
          <w:tcPr>
            <w:tcW w:w="3620" w:type="dxa"/>
            <w:tcBorders>
              <w:top w:val="single" w:sz="4" w:space="0" w:color="ADD6EA"/>
              <w:left w:val="nil"/>
              <w:bottom w:val="single" w:sz="4" w:space="0" w:color="ADD6EA"/>
              <w:right w:val="nil"/>
            </w:tcBorders>
            <w:shd w:val="clear" w:color="auto" w:fill="auto"/>
            <w:noWrap/>
            <w:vAlign w:val="bottom"/>
            <w:hideMark/>
          </w:tcPr>
          <w:p w14:paraId="37B483A5" w14:textId="77777777" w:rsidR="007E365E" w:rsidRPr="00A12F11"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A12F11">
              <w:rPr>
                <w:rFonts w:eastAsia="Times New Roman" w:cs="Open Sans Light"/>
                <w:sz w:val="16"/>
                <w:szCs w:val="16"/>
                <w:lang w:eastAsia="en-AU"/>
              </w:rPr>
              <w:t>0.08</w:t>
            </w:r>
          </w:p>
        </w:tc>
      </w:tr>
      <w:tr w:rsidR="007E365E" w:rsidRPr="00A12F11" w14:paraId="264B75F3" w14:textId="77777777" w:rsidTr="007D1D77">
        <w:trPr>
          <w:trHeight w:hRule="exact" w:val="318"/>
        </w:trPr>
        <w:tc>
          <w:tcPr>
            <w:tcW w:w="5360" w:type="dxa"/>
            <w:tcBorders>
              <w:top w:val="nil"/>
              <w:left w:val="nil"/>
              <w:bottom w:val="nil"/>
              <w:right w:val="nil"/>
            </w:tcBorders>
            <w:shd w:val="clear" w:color="auto" w:fill="auto"/>
            <w:noWrap/>
            <w:vAlign w:val="bottom"/>
            <w:hideMark/>
          </w:tcPr>
          <w:p w14:paraId="497133B3" w14:textId="77777777" w:rsidR="007E365E" w:rsidRPr="00A12F11"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A12F11">
              <w:rPr>
                <w:rFonts w:eastAsia="Times New Roman" w:cs="Open Sans Light"/>
                <w:sz w:val="16"/>
                <w:szCs w:val="16"/>
                <w:lang w:eastAsia="en-AU"/>
              </w:rPr>
              <w:t>Heavy rail passengers</w:t>
            </w:r>
          </w:p>
        </w:tc>
        <w:tc>
          <w:tcPr>
            <w:tcW w:w="3620" w:type="dxa"/>
            <w:tcBorders>
              <w:top w:val="nil"/>
              <w:left w:val="nil"/>
              <w:bottom w:val="nil"/>
              <w:right w:val="nil"/>
            </w:tcBorders>
            <w:shd w:val="clear" w:color="auto" w:fill="auto"/>
            <w:noWrap/>
            <w:vAlign w:val="bottom"/>
            <w:hideMark/>
          </w:tcPr>
          <w:p w14:paraId="16D93824" w14:textId="77777777" w:rsidR="007E365E" w:rsidRPr="00A12F11"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A12F11">
              <w:rPr>
                <w:rFonts w:eastAsia="Times New Roman" w:cs="Open Sans Light"/>
                <w:sz w:val="16"/>
                <w:szCs w:val="16"/>
                <w:lang w:eastAsia="en-AU"/>
              </w:rPr>
              <w:t>12.31</w:t>
            </w:r>
          </w:p>
        </w:tc>
      </w:tr>
      <w:tr w:rsidR="007E365E" w:rsidRPr="00A12F11" w14:paraId="6015ECF9" w14:textId="77777777" w:rsidTr="007D1D77">
        <w:trPr>
          <w:trHeight w:hRule="exact" w:val="318"/>
        </w:trPr>
        <w:tc>
          <w:tcPr>
            <w:tcW w:w="5360" w:type="dxa"/>
            <w:tcBorders>
              <w:top w:val="single" w:sz="4" w:space="0" w:color="ADD6EA"/>
              <w:left w:val="nil"/>
              <w:bottom w:val="single" w:sz="4" w:space="0" w:color="ADD6EA"/>
              <w:right w:val="nil"/>
            </w:tcBorders>
            <w:shd w:val="clear" w:color="auto" w:fill="auto"/>
            <w:noWrap/>
            <w:vAlign w:val="bottom"/>
            <w:hideMark/>
          </w:tcPr>
          <w:p w14:paraId="37F8BFF2" w14:textId="77777777" w:rsidR="007E365E" w:rsidRPr="00A12F11"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A12F11">
              <w:rPr>
                <w:rFonts w:eastAsia="Times New Roman" w:cs="Open Sans Light"/>
                <w:sz w:val="16"/>
                <w:szCs w:val="16"/>
                <w:lang w:eastAsia="en-AU"/>
              </w:rPr>
              <w:t>Bus and light rail passengers</w:t>
            </w:r>
          </w:p>
        </w:tc>
        <w:tc>
          <w:tcPr>
            <w:tcW w:w="3620" w:type="dxa"/>
            <w:tcBorders>
              <w:top w:val="single" w:sz="4" w:space="0" w:color="ADD6EA"/>
              <w:left w:val="nil"/>
              <w:bottom w:val="single" w:sz="4" w:space="0" w:color="ADD6EA"/>
              <w:right w:val="nil"/>
            </w:tcBorders>
            <w:shd w:val="clear" w:color="auto" w:fill="auto"/>
            <w:noWrap/>
            <w:vAlign w:val="bottom"/>
            <w:hideMark/>
          </w:tcPr>
          <w:p w14:paraId="5CE88A7E" w14:textId="77777777" w:rsidR="007E365E" w:rsidRPr="00A12F11"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A12F11">
              <w:rPr>
                <w:rFonts w:eastAsia="Times New Roman" w:cs="Open Sans Light"/>
                <w:sz w:val="16"/>
                <w:szCs w:val="16"/>
                <w:lang w:eastAsia="en-AU"/>
              </w:rPr>
              <w:t>5.60</w:t>
            </w:r>
          </w:p>
        </w:tc>
      </w:tr>
      <w:tr w:rsidR="007E365E" w:rsidRPr="00A12F11" w14:paraId="7440713B" w14:textId="77777777" w:rsidTr="007D1D77">
        <w:trPr>
          <w:trHeight w:hRule="exact" w:val="318"/>
        </w:trPr>
        <w:tc>
          <w:tcPr>
            <w:tcW w:w="5360" w:type="dxa"/>
            <w:tcBorders>
              <w:top w:val="nil"/>
              <w:left w:val="nil"/>
              <w:bottom w:val="nil"/>
              <w:right w:val="nil"/>
            </w:tcBorders>
            <w:shd w:val="clear" w:color="auto" w:fill="auto"/>
            <w:noWrap/>
            <w:vAlign w:val="bottom"/>
            <w:hideMark/>
          </w:tcPr>
          <w:p w14:paraId="4430E732" w14:textId="77777777" w:rsidR="007E365E" w:rsidRPr="00A12F11"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A12F11">
              <w:rPr>
                <w:rFonts w:eastAsia="Times New Roman" w:cs="Open Sans Light"/>
                <w:sz w:val="16"/>
                <w:szCs w:val="16"/>
                <w:lang w:eastAsia="en-AU"/>
              </w:rPr>
              <w:t>Mean slope</w:t>
            </w:r>
          </w:p>
        </w:tc>
        <w:tc>
          <w:tcPr>
            <w:tcW w:w="3620" w:type="dxa"/>
            <w:tcBorders>
              <w:top w:val="nil"/>
              <w:left w:val="nil"/>
              <w:bottom w:val="nil"/>
              <w:right w:val="nil"/>
            </w:tcBorders>
            <w:shd w:val="clear" w:color="auto" w:fill="auto"/>
            <w:noWrap/>
            <w:vAlign w:val="bottom"/>
            <w:hideMark/>
          </w:tcPr>
          <w:p w14:paraId="232241BB" w14:textId="77777777" w:rsidR="007E365E" w:rsidRPr="00A12F11"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A12F11">
              <w:rPr>
                <w:rFonts w:eastAsia="Times New Roman" w:cs="Open Sans Light"/>
                <w:sz w:val="16"/>
                <w:szCs w:val="16"/>
                <w:lang w:eastAsia="en-AU"/>
              </w:rPr>
              <w:t>6.92</w:t>
            </w:r>
          </w:p>
        </w:tc>
      </w:tr>
      <w:tr w:rsidR="007E365E" w:rsidRPr="00A12F11" w14:paraId="20341C3E" w14:textId="77777777" w:rsidTr="007D1D77">
        <w:trPr>
          <w:trHeight w:hRule="exact" w:val="318"/>
        </w:trPr>
        <w:tc>
          <w:tcPr>
            <w:tcW w:w="5360" w:type="dxa"/>
            <w:tcBorders>
              <w:top w:val="single" w:sz="4" w:space="0" w:color="ADD6EA"/>
              <w:left w:val="nil"/>
              <w:bottom w:val="single" w:sz="4" w:space="0" w:color="ADD6EA"/>
              <w:right w:val="nil"/>
            </w:tcBorders>
            <w:shd w:val="clear" w:color="auto" w:fill="auto"/>
            <w:noWrap/>
            <w:vAlign w:val="bottom"/>
            <w:hideMark/>
          </w:tcPr>
          <w:p w14:paraId="6744DD84" w14:textId="77777777" w:rsidR="007E365E" w:rsidRPr="00A12F11"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A12F11">
              <w:rPr>
                <w:rFonts w:eastAsia="Times New Roman" w:cs="Open Sans Light"/>
                <w:sz w:val="16"/>
                <w:szCs w:val="16"/>
                <w:lang w:eastAsia="en-AU"/>
              </w:rPr>
              <w:t>Distance to work</w:t>
            </w:r>
          </w:p>
        </w:tc>
        <w:tc>
          <w:tcPr>
            <w:tcW w:w="3620" w:type="dxa"/>
            <w:tcBorders>
              <w:top w:val="single" w:sz="4" w:space="0" w:color="ADD6EA"/>
              <w:left w:val="nil"/>
              <w:bottom w:val="single" w:sz="4" w:space="0" w:color="ADD6EA"/>
              <w:right w:val="nil"/>
            </w:tcBorders>
            <w:shd w:val="clear" w:color="auto" w:fill="auto"/>
            <w:noWrap/>
            <w:vAlign w:val="bottom"/>
            <w:hideMark/>
          </w:tcPr>
          <w:p w14:paraId="57F2FF2C" w14:textId="77777777" w:rsidR="007E365E" w:rsidRPr="00A12F11"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A12F11">
              <w:rPr>
                <w:rFonts w:eastAsia="Times New Roman" w:cs="Open Sans Light"/>
                <w:sz w:val="16"/>
                <w:szCs w:val="16"/>
                <w:lang w:eastAsia="en-AU"/>
              </w:rPr>
              <w:t>3.07</w:t>
            </w:r>
          </w:p>
        </w:tc>
      </w:tr>
      <w:tr w:rsidR="007E365E" w:rsidRPr="00A12F11" w14:paraId="7BE27FCB" w14:textId="77777777" w:rsidTr="007D1D77">
        <w:trPr>
          <w:trHeight w:hRule="exact" w:val="318"/>
        </w:trPr>
        <w:tc>
          <w:tcPr>
            <w:tcW w:w="5360" w:type="dxa"/>
            <w:tcBorders>
              <w:top w:val="nil"/>
              <w:left w:val="nil"/>
              <w:bottom w:val="single" w:sz="4" w:space="0" w:color="ADD6EA"/>
              <w:right w:val="nil"/>
            </w:tcBorders>
            <w:shd w:val="clear" w:color="auto" w:fill="auto"/>
            <w:noWrap/>
            <w:vAlign w:val="bottom"/>
            <w:hideMark/>
          </w:tcPr>
          <w:p w14:paraId="0A2C4786" w14:textId="77777777" w:rsidR="007E365E" w:rsidRPr="00A12F11"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A12F11">
              <w:rPr>
                <w:rFonts w:eastAsia="Times New Roman" w:cs="Open Sans Light"/>
                <w:sz w:val="16"/>
                <w:szCs w:val="16"/>
                <w:lang w:eastAsia="en-AU"/>
              </w:rPr>
              <w:t>Ferry dummy variable</w:t>
            </w:r>
          </w:p>
        </w:tc>
        <w:tc>
          <w:tcPr>
            <w:tcW w:w="3620" w:type="dxa"/>
            <w:tcBorders>
              <w:top w:val="nil"/>
              <w:left w:val="nil"/>
              <w:bottom w:val="single" w:sz="4" w:space="0" w:color="ADD6EA"/>
              <w:right w:val="nil"/>
            </w:tcBorders>
            <w:shd w:val="clear" w:color="auto" w:fill="auto"/>
            <w:noWrap/>
            <w:vAlign w:val="bottom"/>
            <w:hideMark/>
          </w:tcPr>
          <w:p w14:paraId="5FC0A0B7" w14:textId="77777777" w:rsidR="007E365E" w:rsidRPr="00A12F11"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A12F11">
              <w:rPr>
                <w:rFonts w:eastAsia="Times New Roman" w:cs="Open Sans Light"/>
                <w:sz w:val="16"/>
                <w:szCs w:val="16"/>
                <w:lang w:eastAsia="en-AU"/>
              </w:rPr>
              <w:t>13.86</w:t>
            </w:r>
          </w:p>
        </w:tc>
      </w:tr>
    </w:tbl>
    <w:p w14:paraId="3B4D7D7E" w14:textId="77777777" w:rsidR="007E365E" w:rsidRPr="00976585" w:rsidRDefault="007E365E" w:rsidP="007E365E">
      <w:pPr>
        <w:pStyle w:val="CGCTablenote"/>
        <w:keepNext/>
        <w:keepLines/>
        <w:widowControl w:val="0"/>
      </w:pPr>
      <w:r w:rsidRPr="00976585">
        <w:t>Source:</w:t>
      </w:r>
      <w:r w:rsidRPr="00976585">
        <w:tab/>
        <w:t>Commission calculation.</w:t>
      </w:r>
    </w:p>
    <w:p w14:paraId="26D4103C" w14:textId="77777777" w:rsidR="007E365E" w:rsidRPr="00976585" w:rsidRDefault="007E365E" w:rsidP="007E365E">
      <w:pPr>
        <w:pStyle w:val="CGCParaNumber"/>
      </w:pPr>
      <w:r w:rsidRPr="00976585">
        <w:t>For each urban centre, per capita assessed expenses are derived by multiplying the coefficients with the urban centre’s variable values and then summing the results. Assessed expenses for each State are then calculated as the sum of assessed per capita expenses for each urban centre multiplied by the urban centre’s population. In cases where the assessed per capita net expenses for a jurisdiction is less than $20, it is assigned a minimum value of $20. This minimum value is based on Commission staff analysis of State data returns.</w:t>
      </w:r>
      <w:r w:rsidRPr="00976585">
        <w:rPr>
          <w:rStyle w:val="FootnoteReference"/>
        </w:rPr>
        <w:footnoteReference w:id="58"/>
      </w:r>
    </w:p>
    <w:p w14:paraId="307F8FE3" w14:textId="77777777" w:rsidR="007E365E" w:rsidRPr="00976585" w:rsidRDefault="007E365E" w:rsidP="007E365E">
      <w:pPr>
        <w:pStyle w:val="CGCParaNumber"/>
      </w:pPr>
      <w:r w:rsidRPr="00976585">
        <w:t>The ACT asked for the regression coefficients to be recalculated after the 2021 Census. To do this, the Commission would need to collect new State net expense data by SUA to update the dependent variable of the model. The collection and quality auditing of these data in this Review took several months. The Commission does not consider it practical to gather these data during an update, but may consider recollecting this State data for a review.</w:t>
      </w:r>
    </w:p>
    <w:p w14:paraId="28BFB2E2" w14:textId="77777777" w:rsidR="007E365E" w:rsidRPr="00976585" w:rsidRDefault="007E365E" w:rsidP="007E365E">
      <w:pPr>
        <w:pStyle w:val="CGCParaNumber"/>
      </w:pPr>
      <w:r w:rsidRPr="00976585">
        <w:t>Queensland and South Australia remain concerned that the assessment still suffers from a lack of data points, as with the 2015 Review approach. They argued that Australia has too few major cities to develop a model that appropriately captures State needs so that the model is d</w:t>
      </w:r>
      <w:r w:rsidRPr="00976585">
        <w:rPr>
          <w:rFonts w:cstheme="minorHAnsi"/>
        </w:rPr>
        <w:t>isproportionally informed by only a small number of large cities.</w:t>
      </w:r>
    </w:p>
    <w:p w14:paraId="5D3E6383" w14:textId="77777777" w:rsidR="007E365E" w:rsidRPr="00976585" w:rsidRDefault="007E365E" w:rsidP="007E365E">
      <w:pPr>
        <w:pStyle w:val="CGCParaNumber"/>
      </w:pPr>
      <w:r w:rsidRPr="00976585">
        <w:t>The vast majority of public transport expenses are in</w:t>
      </w:r>
      <w:r>
        <w:t xml:space="preserve">curred </w:t>
      </w:r>
      <w:r w:rsidRPr="00976585">
        <w:t>in the five largest capital cities (89%, of which 66% are in Sydney and Melbourne).</w:t>
      </w:r>
      <w:r>
        <w:t xml:space="preserve"> </w:t>
      </w:r>
      <w:r w:rsidRPr="00976585">
        <w:t xml:space="preserve">Therefore, it is to be expected that the five largest cities should be the major determinants of the GST distribution. The limited number of data points is a constraint faced by the Commission in assessing needs for urban transport expenses. However, the lack of data points should not limit the Commission from recognising </w:t>
      </w:r>
      <w:r w:rsidRPr="00976585">
        <w:lastRenderedPageBreak/>
        <w:t>the evidence that larger cities have greater per capita needs. The issue for the Commission is to ensure that these needs are captured in a policy neutral way that reflects what States do on average. The Commission considers that this assessment is the best available way to achieve this.</w:t>
      </w:r>
    </w:p>
    <w:p w14:paraId="3D7C8982" w14:textId="77777777" w:rsidR="007E365E" w:rsidRPr="00976585" w:rsidRDefault="007E365E" w:rsidP="007E365E">
      <w:pPr>
        <w:pStyle w:val="Heading5"/>
      </w:pPr>
      <w:r w:rsidRPr="00976585">
        <w:t>Regional costs</w:t>
      </w:r>
    </w:p>
    <w:p w14:paraId="6DB40FCC" w14:textId="77777777" w:rsidR="007E365E" w:rsidRPr="00976585" w:rsidRDefault="007E365E" w:rsidP="007E365E">
      <w:pPr>
        <w:pStyle w:val="CGCParaNumber"/>
      </w:pPr>
      <w:r w:rsidRPr="00976585">
        <w:t xml:space="preserve">A separate regional costs factor is not applied to urban transport expenses because those costs are already captured in the econometric model, which includes urban centres in different remoteness areas. </w:t>
      </w:r>
    </w:p>
    <w:p w14:paraId="2FCF0191" w14:textId="77777777" w:rsidR="007E365E" w:rsidRPr="00976585" w:rsidRDefault="007E365E" w:rsidP="007E365E">
      <w:pPr>
        <w:pStyle w:val="Heading5"/>
      </w:pPr>
      <w:r w:rsidRPr="00976585">
        <w:t>Wage costs</w:t>
      </w:r>
    </w:p>
    <w:p w14:paraId="337BE647" w14:textId="77777777" w:rsidR="007E365E" w:rsidRPr="00976585" w:rsidRDefault="007E365E" w:rsidP="007E365E">
      <w:pPr>
        <w:pStyle w:val="CGCParaNumber"/>
      </w:pPr>
      <w:r w:rsidRPr="00976585">
        <w:t xml:space="preserve">Differences in wage costs between States have a differential effect on the cost of providing services. There is a general method for measuring the influence of wage costs in components where the disability applies. For a description of the method see Chapter 27 Wages costs. </w:t>
      </w:r>
    </w:p>
    <w:p w14:paraId="333DFA06" w14:textId="515E68AB" w:rsidR="007E365E" w:rsidRPr="00976585" w:rsidRDefault="007E365E" w:rsidP="007E365E">
      <w:pPr>
        <w:pStyle w:val="Heading4"/>
      </w:pPr>
      <w:bookmarkStart w:id="263" w:name="_Toc6470670"/>
      <w:r w:rsidRPr="00976585">
        <w:t>Component calculations</w:t>
      </w:r>
      <w:bookmarkEnd w:id="263"/>
    </w:p>
    <w:p w14:paraId="6BAD95EA" w14:textId="515F2CA6" w:rsidR="007E365E" w:rsidRPr="00976585" w:rsidRDefault="007E365E" w:rsidP="007E365E">
      <w:pPr>
        <w:pStyle w:val="CGCParaNumber"/>
      </w:pPr>
      <w:r>
        <w:fldChar w:fldCharType="begin"/>
      </w:r>
      <w:r>
        <w:instrText xml:space="preserve"> REF _Ref32849798 \h </w:instrText>
      </w:r>
      <w:r>
        <w:fldChar w:fldCharType="separate"/>
      </w:r>
      <w:r w:rsidR="007F721A" w:rsidRPr="00976585">
        <w:t xml:space="preserve">Table </w:t>
      </w:r>
      <w:r w:rsidR="007F721A">
        <w:t>21-</w:t>
      </w:r>
      <w:r w:rsidR="007F721A">
        <w:rPr>
          <w:noProof/>
        </w:rPr>
        <w:t>11</w:t>
      </w:r>
      <w:r>
        <w:fldChar w:fldCharType="end"/>
      </w:r>
      <w:r w:rsidRPr="00976585">
        <w:t xml:space="preserve"> shows the calculation of total assessed expenses for the component in 201</w:t>
      </w:r>
      <w:r>
        <w:t>8</w:t>
      </w:r>
      <w:r w:rsidRPr="00976585">
        <w:noBreakHyphen/>
        <w:t>1</w:t>
      </w:r>
      <w:r>
        <w:t>9</w:t>
      </w:r>
      <w:r w:rsidRPr="00976585">
        <w:t>.</w:t>
      </w:r>
    </w:p>
    <w:p w14:paraId="7D5D14C3" w14:textId="62D6DBDD" w:rsidR="007E365E" w:rsidRPr="00976585" w:rsidRDefault="007E365E" w:rsidP="007E365E">
      <w:pPr>
        <w:pStyle w:val="Caption"/>
        <w:widowControl w:val="0"/>
      </w:pPr>
      <w:bookmarkStart w:id="264" w:name="_Ref32849798"/>
      <w:r w:rsidRPr="00976585">
        <w:t xml:space="preserve">Table </w:t>
      </w:r>
      <w:r>
        <w:t>21-</w:t>
      </w:r>
      <w:fldSimple w:instr=" SEQ Table \* ARABIC ">
        <w:r w:rsidR="007F721A">
          <w:rPr>
            <w:noProof/>
          </w:rPr>
          <w:t>11</w:t>
        </w:r>
      </w:fldSimple>
      <w:bookmarkEnd w:id="264"/>
      <w:r w:rsidRPr="00976585">
        <w:tab/>
      </w:r>
      <w:r>
        <w:t>U</w:t>
      </w:r>
      <w:r w:rsidRPr="00976585">
        <w:t>rban transport component</w:t>
      </w:r>
      <w:r>
        <w:t xml:space="preserve"> assessment</w:t>
      </w:r>
      <w:r w:rsidRPr="00976585">
        <w:t>, 201</w:t>
      </w:r>
      <w:r>
        <w:t>8</w:t>
      </w:r>
      <w:r w:rsidRPr="00976585">
        <w:noBreakHyphen/>
        <w:t>1</w:t>
      </w:r>
      <w:r>
        <w:t>9</w:t>
      </w:r>
    </w:p>
    <w:tbl>
      <w:tblPr>
        <w:tblW w:w="8951" w:type="dxa"/>
        <w:tblLayout w:type="fixed"/>
        <w:tblCellMar>
          <w:left w:w="28" w:type="dxa"/>
          <w:right w:w="28" w:type="dxa"/>
        </w:tblCellMar>
        <w:tblLook w:val="04A0" w:firstRow="1" w:lastRow="0" w:firstColumn="1" w:lastColumn="0" w:noHBand="0" w:noVBand="1"/>
      </w:tblPr>
      <w:tblGrid>
        <w:gridCol w:w="2960"/>
        <w:gridCol w:w="657"/>
        <w:gridCol w:w="658"/>
        <w:gridCol w:w="658"/>
        <w:gridCol w:w="658"/>
        <w:gridCol w:w="657"/>
        <w:gridCol w:w="658"/>
        <w:gridCol w:w="658"/>
        <w:gridCol w:w="658"/>
        <w:gridCol w:w="729"/>
      </w:tblGrid>
      <w:tr w:rsidR="007E365E" w:rsidRPr="009968A7" w14:paraId="1D9105C2" w14:textId="77777777" w:rsidTr="007D1D77">
        <w:trPr>
          <w:trHeight w:val="375"/>
        </w:trPr>
        <w:tc>
          <w:tcPr>
            <w:tcW w:w="2960" w:type="dxa"/>
            <w:tcBorders>
              <w:top w:val="single" w:sz="4" w:space="0" w:color="B6D5E4"/>
              <w:left w:val="nil"/>
              <w:bottom w:val="nil"/>
              <w:right w:val="nil"/>
            </w:tcBorders>
            <w:shd w:val="clear" w:color="000000" w:fill="006991"/>
            <w:noWrap/>
            <w:vAlign w:val="center"/>
            <w:hideMark/>
          </w:tcPr>
          <w:p w14:paraId="76F26643"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265" w:name="RANGE!A4:J10"/>
            <w:r w:rsidRPr="009968A7">
              <w:rPr>
                <w:rFonts w:ascii="Open Sans SemiBold" w:eastAsia="Times New Roman" w:hAnsi="Open Sans SemiBold" w:cs="Open Sans SemiBold"/>
                <w:color w:val="FFFFFF"/>
                <w:sz w:val="16"/>
                <w:szCs w:val="16"/>
                <w:lang w:eastAsia="en-AU"/>
              </w:rPr>
              <w:t> </w:t>
            </w:r>
            <w:bookmarkEnd w:id="265"/>
          </w:p>
        </w:tc>
        <w:tc>
          <w:tcPr>
            <w:tcW w:w="657" w:type="dxa"/>
            <w:tcBorders>
              <w:top w:val="single" w:sz="4" w:space="0" w:color="B6D5E4"/>
              <w:left w:val="nil"/>
              <w:bottom w:val="nil"/>
              <w:right w:val="nil"/>
            </w:tcBorders>
            <w:shd w:val="clear" w:color="000000" w:fill="006991"/>
            <w:noWrap/>
            <w:vAlign w:val="center"/>
            <w:hideMark/>
          </w:tcPr>
          <w:p w14:paraId="4C4A080F"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8A7">
              <w:rPr>
                <w:rFonts w:ascii="Open Sans SemiBold" w:eastAsia="Times New Roman" w:hAnsi="Open Sans SemiBold" w:cs="Open Sans SemiBold"/>
                <w:color w:val="FFFFFF"/>
                <w:sz w:val="16"/>
                <w:szCs w:val="16"/>
                <w:lang w:eastAsia="en-AU"/>
              </w:rPr>
              <w:t>NSW</w:t>
            </w:r>
          </w:p>
        </w:tc>
        <w:tc>
          <w:tcPr>
            <w:tcW w:w="658" w:type="dxa"/>
            <w:tcBorders>
              <w:top w:val="single" w:sz="4" w:space="0" w:color="B6D5E4"/>
              <w:left w:val="nil"/>
              <w:bottom w:val="nil"/>
              <w:right w:val="nil"/>
            </w:tcBorders>
            <w:shd w:val="clear" w:color="000000" w:fill="006991"/>
            <w:noWrap/>
            <w:vAlign w:val="center"/>
            <w:hideMark/>
          </w:tcPr>
          <w:p w14:paraId="4F23FAB2"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8A7">
              <w:rPr>
                <w:rFonts w:ascii="Open Sans SemiBold" w:eastAsia="Times New Roman" w:hAnsi="Open Sans SemiBold" w:cs="Open Sans SemiBold"/>
                <w:color w:val="FFFFFF"/>
                <w:sz w:val="16"/>
                <w:szCs w:val="16"/>
                <w:lang w:eastAsia="en-AU"/>
              </w:rPr>
              <w:t>Vic</w:t>
            </w:r>
          </w:p>
        </w:tc>
        <w:tc>
          <w:tcPr>
            <w:tcW w:w="658" w:type="dxa"/>
            <w:tcBorders>
              <w:top w:val="single" w:sz="4" w:space="0" w:color="B6D5E4"/>
              <w:left w:val="nil"/>
              <w:bottom w:val="nil"/>
              <w:right w:val="nil"/>
            </w:tcBorders>
            <w:shd w:val="clear" w:color="000000" w:fill="006991"/>
            <w:noWrap/>
            <w:vAlign w:val="center"/>
            <w:hideMark/>
          </w:tcPr>
          <w:p w14:paraId="325550F0"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8A7">
              <w:rPr>
                <w:rFonts w:ascii="Open Sans SemiBold" w:eastAsia="Times New Roman" w:hAnsi="Open Sans SemiBold" w:cs="Open Sans SemiBold"/>
                <w:color w:val="FFFFFF"/>
                <w:sz w:val="16"/>
                <w:szCs w:val="16"/>
                <w:lang w:eastAsia="en-AU"/>
              </w:rPr>
              <w:t>Qld</w:t>
            </w:r>
          </w:p>
        </w:tc>
        <w:tc>
          <w:tcPr>
            <w:tcW w:w="658" w:type="dxa"/>
            <w:tcBorders>
              <w:top w:val="single" w:sz="4" w:space="0" w:color="B6D5E4"/>
              <w:left w:val="nil"/>
              <w:bottom w:val="nil"/>
              <w:right w:val="nil"/>
            </w:tcBorders>
            <w:shd w:val="clear" w:color="000000" w:fill="006991"/>
            <w:noWrap/>
            <w:vAlign w:val="center"/>
            <w:hideMark/>
          </w:tcPr>
          <w:p w14:paraId="0E0ECB9A"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8A7">
              <w:rPr>
                <w:rFonts w:ascii="Open Sans SemiBold" w:eastAsia="Times New Roman" w:hAnsi="Open Sans SemiBold" w:cs="Open Sans SemiBold"/>
                <w:color w:val="FFFFFF"/>
                <w:sz w:val="16"/>
                <w:szCs w:val="16"/>
                <w:lang w:eastAsia="en-AU"/>
              </w:rPr>
              <w:t>WA</w:t>
            </w:r>
          </w:p>
        </w:tc>
        <w:tc>
          <w:tcPr>
            <w:tcW w:w="657" w:type="dxa"/>
            <w:tcBorders>
              <w:top w:val="single" w:sz="4" w:space="0" w:color="B6D5E4"/>
              <w:left w:val="nil"/>
              <w:bottom w:val="nil"/>
              <w:right w:val="nil"/>
            </w:tcBorders>
            <w:shd w:val="clear" w:color="000000" w:fill="006991"/>
            <w:noWrap/>
            <w:vAlign w:val="center"/>
            <w:hideMark/>
          </w:tcPr>
          <w:p w14:paraId="68A58033"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8A7">
              <w:rPr>
                <w:rFonts w:ascii="Open Sans SemiBold" w:eastAsia="Times New Roman" w:hAnsi="Open Sans SemiBold" w:cs="Open Sans SemiBold"/>
                <w:color w:val="FFFFFF"/>
                <w:sz w:val="16"/>
                <w:szCs w:val="16"/>
                <w:lang w:eastAsia="en-AU"/>
              </w:rPr>
              <w:t>SA</w:t>
            </w:r>
          </w:p>
        </w:tc>
        <w:tc>
          <w:tcPr>
            <w:tcW w:w="658" w:type="dxa"/>
            <w:tcBorders>
              <w:top w:val="single" w:sz="4" w:space="0" w:color="B6D5E4"/>
              <w:left w:val="nil"/>
              <w:bottom w:val="nil"/>
              <w:right w:val="nil"/>
            </w:tcBorders>
            <w:shd w:val="clear" w:color="000000" w:fill="006991"/>
            <w:noWrap/>
            <w:vAlign w:val="center"/>
            <w:hideMark/>
          </w:tcPr>
          <w:p w14:paraId="303419A4"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8A7">
              <w:rPr>
                <w:rFonts w:ascii="Open Sans SemiBold" w:eastAsia="Times New Roman" w:hAnsi="Open Sans SemiBold" w:cs="Open Sans SemiBold"/>
                <w:color w:val="FFFFFF"/>
                <w:sz w:val="16"/>
                <w:szCs w:val="16"/>
                <w:lang w:eastAsia="en-AU"/>
              </w:rPr>
              <w:t>Tas</w:t>
            </w:r>
          </w:p>
        </w:tc>
        <w:tc>
          <w:tcPr>
            <w:tcW w:w="658" w:type="dxa"/>
            <w:tcBorders>
              <w:top w:val="single" w:sz="4" w:space="0" w:color="B6D5E4"/>
              <w:left w:val="nil"/>
              <w:bottom w:val="nil"/>
              <w:right w:val="nil"/>
            </w:tcBorders>
            <w:shd w:val="clear" w:color="000000" w:fill="006991"/>
            <w:noWrap/>
            <w:vAlign w:val="center"/>
            <w:hideMark/>
          </w:tcPr>
          <w:p w14:paraId="59C87EBF"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8A7">
              <w:rPr>
                <w:rFonts w:ascii="Open Sans SemiBold" w:eastAsia="Times New Roman" w:hAnsi="Open Sans SemiBold" w:cs="Open Sans SemiBold"/>
                <w:color w:val="FFFFFF"/>
                <w:sz w:val="16"/>
                <w:szCs w:val="16"/>
                <w:lang w:eastAsia="en-AU"/>
              </w:rPr>
              <w:t>ACT</w:t>
            </w:r>
          </w:p>
        </w:tc>
        <w:tc>
          <w:tcPr>
            <w:tcW w:w="658" w:type="dxa"/>
            <w:tcBorders>
              <w:top w:val="single" w:sz="4" w:space="0" w:color="B6D5E4"/>
              <w:left w:val="nil"/>
              <w:bottom w:val="nil"/>
              <w:right w:val="nil"/>
            </w:tcBorders>
            <w:shd w:val="clear" w:color="000000" w:fill="006991"/>
            <w:noWrap/>
            <w:vAlign w:val="center"/>
            <w:hideMark/>
          </w:tcPr>
          <w:p w14:paraId="7BB33AE0"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8A7">
              <w:rPr>
                <w:rFonts w:ascii="Open Sans SemiBold" w:eastAsia="Times New Roman" w:hAnsi="Open Sans SemiBold" w:cs="Open Sans SemiBold"/>
                <w:color w:val="FFFFFF"/>
                <w:sz w:val="16"/>
                <w:szCs w:val="16"/>
                <w:lang w:eastAsia="en-AU"/>
              </w:rPr>
              <w:t>NT</w:t>
            </w:r>
          </w:p>
        </w:tc>
        <w:tc>
          <w:tcPr>
            <w:tcW w:w="729" w:type="dxa"/>
            <w:tcBorders>
              <w:top w:val="single" w:sz="4" w:space="0" w:color="B6D5E4"/>
              <w:left w:val="nil"/>
              <w:bottom w:val="nil"/>
              <w:right w:val="nil"/>
            </w:tcBorders>
            <w:shd w:val="clear" w:color="000000" w:fill="006991"/>
            <w:noWrap/>
            <w:vAlign w:val="center"/>
            <w:hideMark/>
          </w:tcPr>
          <w:p w14:paraId="25E6AD3F"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968A7">
              <w:rPr>
                <w:rFonts w:ascii="Open Sans SemiBold" w:eastAsia="Times New Roman" w:hAnsi="Open Sans SemiBold" w:cs="Open Sans SemiBold"/>
                <w:color w:val="FFFFFF"/>
                <w:sz w:val="16"/>
                <w:szCs w:val="16"/>
                <w:lang w:eastAsia="en-AU"/>
              </w:rPr>
              <w:t>Total</w:t>
            </w:r>
          </w:p>
        </w:tc>
      </w:tr>
      <w:tr w:rsidR="007E365E" w:rsidRPr="009968A7" w14:paraId="40478638" w14:textId="77777777" w:rsidTr="007D1D77">
        <w:trPr>
          <w:trHeight w:val="319"/>
        </w:trPr>
        <w:tc>
          <w:tcPr>
            <w:tcW w:w="2960" w:type="dxa"/>
            <w:tcBorders>
              <w:top w:val="single" w:sz="4" w:space="0" w:color="B6D5E4"/>
              <w:left w:val="nil"/>
              <w:bottom w:val="single" w:sz="4" w:space="0" w:color="B6D5E4"/>
              <w:right w:val="nil"/>
            </w:tcBorders>
            <w:shd w:val="clear" w:color="auto" w:fill="auto"/>
            <w:vAlign w:val="bottom"/>
            <w:hideMark/>
          </w:tcPr>
          <w:p w14:paraId="5F969BF9" w14:textId="77777777" w:rsidR="007E365E" w:rsidRPr="00A04692"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xml:space="preserve">Assessed </w:t>
            </w:r>
            <w:r>
              <w:rPr>
                <w:rFonts w:ascii="Open Sans SemiBold" w:eastAsia="Times New Roman" w:hAnsi="Open Sans SemiBold" w:cs="Open Sans SemiBold"/>
                <w:sz w:val="16"/>
                <w:szCs w:val="16"/>
                <w:lang w:eastAsia="en-AU"/>
              </w:rPr>
              <w:t>e</w:t>
            </w:r>
            <w:r w:rsidRPr="00A04692">
              <w:rPr>
                <w:rFonts w:ascii="Open Sans SemiBold" w:eastAsia="Times New Roman" w:hAnsi="Open Sans SemiBold" w:cs="Open Sans SemiBold"/>
                <w:sz w:val="16"/>
                <w:szCs w:val="16"/>
                <w:lang w:eastAsia="en-AU"/>
              </w:rPr>
              <w:t>xpenses</w:t>
            </w:r>
          </w:p>
        </w:tc>
        <w:tc>
          <w:tcPr>
            <w:tcW w:w="657" w:type="dxa"/>
            <w:tcBorders>
              <w:top w:val="single" w:sz="4" w:space="0" w:color="B6D5E4"/>
              <w:left w:val="nil"/>
              <w:bottom w:val="single" w:sz="4" w:space="0" w:color="B6D5E4"/>
              <w:right w:val="nil"/>
            </w:tcBorders>
            <w:shd w:val="clear" w:color="auto" w:fill="auto"/>
            <w:vAlign w:val="bottom"/>
            <w:hideMark/>
          </w:tcPr>
          <w:p w14:paraId="2FEA77A6"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58" w:type="dxa"/>
            <w:tcBorders>
              <w:top w:val="single" w:sz="4" w:space="0" w:color="B6D5E4"/>
              <w:left w:val="nil"/>
              <w:bottom w:val="single" w:sz="4" w:space="0" w:color="B6D5E4"/>
              <w:right w:val="nil"/>
            </w:tcBorders>
            <w:shd w:val="clear" w:color="auto" w:fill="auto"/>
            <w:vAlign w:val="bottom"/>
            <w:hideMark/>
          </w:tcPr>
          <w:p w14:paraId="50FCED20"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58" w:type="dxa"/>
            <w:tcBorders>
              <w:top w:val="single" w:sz="4" w:space="0" w:color="B6D5E4"/>
              <w:left w:val="nil"/>
              <w:bottom w:val="single" w:sz="4" w:space="0" w:color="B6D5E4"/>
              <w:right w:val="nil"/>
            </w:tcBorders>
            <w:shd w:val="clear" w:color="auto" w:fill="auto"/>
            <w:vAlign w:val="bottom"/>
            <w:hideMark/>
          </w:tcPr>
          <w:p w14:paraId="1221CBF4"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58" w:type="dxa"/>
            <w:tcBorders>
              <w:top w:val="single" w:sz="4" w:space="0" w:color="B6D5E4"/>
              <w:left w:val="nil"/>
              <w:bottom w:val="single" w:sz="4" w:space="0" w:color="B6D5E4"/>
              <w:right w:val="nil"/>
            </w:tcBorders>
            <w:shd w:val="clear" w:color="auto" w:fill="auto"/>
            <w:vAlign w:val="bottom"/>
            <w:hideMark/>
          </w:tcPr>
          <w:p w14:paraId="359A15A0"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57" w:type="dxa"/>
            <w:tcBorders>
              <w:top w:val="single" w:sz="4" w:space="0" w:color="B6D5E4"/>
              <w:left w:val="nil"/>
              <w:bottom w:val="single" w:sz="4" w:space="0" w:color="B6D5E4"/>
              <w:right w:val="nil"/>
            </w:tcBorders>
            <w:shd w:val="clear" w:color="auto" w:fill="auto"/>
            <w:vAlign w:val="bottom"/>
            <w:hideMark/>
          </w:tcPr>
          <w:p w14:paraId="733C67A0"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58" w:type="dxa"/>
            <w:tcBorders>
              <w:top w:val="single" w:sz="4" w:space="0" w:color="B6D5E4"/>
              <w:left w:val="nil"/>
              <w:bottom w:val="single" w:sz="4" w:space="0" w:color="B6D5E4"/>
              <w:right w:val="nil"/>
            </w:tcBorders>
            <w:shd w:val="clear" w:color="auto" w:fill="auto"/>
            <w:vAlign w:val="bottom"/>
            <w:hideMark/>
          </w:tcPr>
          <w:p w14:paraId="6F60506B"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58" w:type="dxa"/>
            <w:tcBorders>
              <w:top w:val="single" w:sz="4" w:space="0" w:color="B6D5E4"/>
              <w:left w:val="nil"/>
              <w:bottom w:val="single" w:sz="4" w:space="0" w:color="B6D5E4"/>
              <w:right w:val="nil"/>
            </w:tcBorders>
            <w:shd w:val="clear" w:color="auto" w:fill="auto"/>
            <w:vAlign w:val="bottom"/>
            <w:hideMark/>
          </w:tcPr>
          <w:p w14:paraId="5CFA1D45"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58" w:type="dxa"/>
            <w:tcBorders>
              <w:top w:val="single" w:sz="4" w:space="0" w:color="B6D5E4"/>
              <w:left w:val="nil"/>
              <w:bottom w:val="single" w:sz="4" w:space="0" w:color="B6D5E4"/>
              <w:right w:val="nil"/>
            </w:tcBorders>
            <w:shd w:val="clear" w:color="auto" w:fill="auto"/>
            <w:vAlign w:val="bottom"/>
            <w:hideMark/>
          </w:tcPr>
          <w:p w14:paraId="0241B869"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729" w:type="dxa"/>
            <w:tcBorders>
              <w:top w:val="single" w:sz="4" w:space="0" w:color="B6D5E4"/>
              <w:left w:val="nil"/>
              <w:bottom w:val="single" w:sz="4" w:space="0" w:color="B6D5E4"/>
              <w:right w:val="nil"/>
            </w:tcBorders>
            <w:shd w:val="clear" w:color="auto" w:fill="auto"/>
            <w:vAlign w:val="bottom"/>
            <w:hideMark/>
          </w:tcPr>
          <w:p w14:paraId="2E4C4D8A"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r>
      <w:tr w:rsidR="007E365E" w:rsidRPr="009968A7" w14:paraId="6DEB2BA2" w14:textId="77777777" w:rsidTr="007D1D77">
        <w:trPr>
          <w:trHeight w:val="319"/>
        </w:trPr>
        <w:tc>
          <w:tcPr>
            <w:tcW w:w="2960" w:type="dxa"/>
            <w:tcBorders>
              <w:top w:val="nil"/>
              <w:left w:val="nil"/>
              <w:bottom w:val="nil"/>
              <w:right w:val="nil"/>
            </w:tcBorders>
            <w:shd w:val="clear" w:color="auto" w:fill="auto"/>
            <w:vAlign w:val="bottom"/>
            <w:hideMark/>
          </w:tcPr>
          <w:p w14:paraId="12F4F015" w14:textId="77777777" w:rsidR="007E365E" w:rsidRPr="009968A7"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9968A7">
              <w:rPr>
                <w:rFonts w:eastAsia="Times New Roman" w:cs="Open Sans Light"/>
                <w:sz w:val="16"/>
                <w:szCs w:val="16"/>
                <w:lang w:eastAsia="en-AU"/>
              </w:rPr>
              <w:t>Urban centre characteristics ($m)(a)</w:t>
            </w:r>
          </w:p>
        </w:tc>
        <w:tc>
          <w:tcPr>
            <w:tcW w:w="657" w:type="dxa"/>
            <w:tcBorders>
              <w:top w:val="nil"/>
              <w:left w:val="nil"/>
              <w:bottom w:val="nil"/>
              <w:right w:val="nil"/>
            </w:tcBorders>
            <w:shd w:val="clear" w:color="auto" w:fill="auto"/>
            <w:vAlign w:val="bottom"/>
            <w:hideMark/>
          </w:tcPr>
          <w:p w14:paraId="59AB1205"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4,685</w:t>
            </w:r>
          </w:p>
        </w:tc>
        <w:tc>
          <w:tcPr>
            <w:tcW w:w="658" w:type="dxa"/>
            <w:tcBorders>
              <w:top w:val="nil"/>
              <w:left w:val="nil"/>
              <w:bottom w:val="nil"/>
              <w:right w:val="nil"/>
            </w:tcBorders>
            <w:shd w:val="clear" w:color="auto" w:fill="auto"/>
            <w:vAlign w:val="bottom"/>
            <w:hideMark/>
          </w:tcPr>
          <w:p w14:paraId="12DF3318"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3,248</w:t>
            </w:r>
          </w:p>
        </w:tc>
        <w:tc>
          <w:tcPr>
            <w:tcW w:w="658" w:type="dxa"/>
            <w:tcBorders>
              <w:top w:val="nil"/>
              <w:left w:val="nil"/>
              <w:bottom w:val="nil"/>
              <w:right w:val="nil"/>
            </w:tcBorders>
            <w:shd w:val="clear" w:color="auto" w:fill="auto"/>
            <w:vAlign w:val="bottom"/>
            <w:hideMark/>
          </w:tcPr>
          <w:p w14:paraId="17B7DB11"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1,469</w:t>
            </w:r>
          </w:p>
        </w:tc>
        <w:tc>
          <w:tcPr>
            <w:tcW w:w="658" w:type="dxa"/>
            <w:tcBorders>
              <w:top w:val="nil"/>
              <w:left w:val="nil"/>
              <w:bottom w:val="nil"/>
              <w:right w:val="nil"/>
            </w:tcBorders>
            <w:shd w:val="clear" w:color="auto" w:fill="auto"/>
            <w:vAlign w:val="bottom"/>
            <w:hideMark/>
          </w:tcPr>
          <w:p w14:paraId="035BC943"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829</w:t>
            </w:r>
          </w:p>
        </w:tc>
        <w:tc>
          <w:tcPr>
            <w:tcW w:w="657" w:type="dxa"/>
            <w:tcBorders>
              <w:top w:val="nil"/>
              <w:left w:val="nil"/>
              <w:bottom w:val="nil"/>
              <w:right w:val="nil"/>
            </w:tcBorders>
            <w:shd w:val="clear" w:color="auto" w:fill="auto"/>
            <w:vAlign w:val="bottom"/>
            <w:hideMark/>
          </w:tcPr>
          <w:p w14:paraId="7344B7A6"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492</w:t>
            </w:r>
          </w:p>
        </w:tc>
        <w:tc>
          <w:tcPr>
            <w:tcW w:w="658" w:type="dxa"/>
            <w:tcBorders>
              <w:top w:val="nil"/>
              <w:left w:val="nil"/>
              <w:bottom w:val="nil"/>
              <w:right w:val="nil"/>
            </w:tcBorders>
            <w:shd w:val="clear" w:color="auto" w:fill="auto"/>
            <w:vAlign w:val="bottom"/>
            <w:hideMark/>
          </w:tcPr>
          <w:p w14:paraId="2E4650DE"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50</w:t>
            </w:r>
          </w:p>
        </w:tc>
        <w:tc>
          <w:tcPr>
            <w:tcW w:w="658" w:type="dxa"/>
            <w:tcBorders>
              <w:top w:val="nil"/>
              <w:left w:val="nil"/>
              <w:bottom w:val="nil"/>
              <w:right w:val="nil"/>
            </w:tcBorders>
            <w:shd w:val="clear" w:color="auto" w:fill="auto"/>
            <w:vAlign w:val="bottom"/>
            <w:hideMark/>
          </w:tcPr>
          <w:p w14:paraId="5A992E56"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111</w:t>
            </w:r>
          </w:p>
        </w:tc>
        <w:tc>
          <w:tcPr>
            <w:tcW w:w="658" w:type="dxa"/>
            <w:tcBorders>
              <w:top w:val="nil"/>
              <w:left w:val="nil"/>
              <w:bottom w:val="nil"/>
              <w:right w:val="nil"/>
            </w:tcBorders>
            <w:shd w:val="clear" w:color="auto" w:fill="auto"/>
            <w:vAlign w:val="bottom"/>
            <w:hideMark/>
          </w:tcPr>
          <w:p w14:paraId="41938357"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29</w:t>
            </w:r>
          </w:p>
        </w:tc>
        <w:tc>
          <w:tcPr>
            <w:tcW w:w="729" w:type="dxa"/>
            <w:tcBorders>
              <w:top w:val="nil"/>
              <w:left w:val="nil"/>
              <w:bottom w:val="nil"/>
              <w:right w:val="nil"/>
            </w:tcBorders>
            <w:shd w:val="clear" w:color="auto" w:fill="auto"/>
            <w:vAlign w:val="bottom"/>
            <w:hideMark/>
          </w:tcPr>
          <w:p w14:paraId="5322823C"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10,912</w:t>
            </w:r>
          </w:p>
        </w:tc>
      </w:tr>
      <w:tr w:rsidR="007E365E" w:rsidRPr="009968A7" w14:paraId="04F2CBE9" w14:textId="77777777" w:rsidTr="007D1D77">
        <w:trPr>
          <w:trHeight w:val="319"/>
        </w:trPr>
        <w:tc>
          <w:tcPr>
            <w:tcW w:w="2960" w:type="dxa"/>
            <w:tcBorders>
              <w:top w:val="single" w:sz="4" w:space="0" w:color="B6D5E4"/>
              <w:left w:val="nil"/>
              <w:bottom w:val="single" w:sz="4" w:space="0" w:color="B6D5E4"/>
              <w:right w:val="nil"/>
            </w:tcBorders>
            <w:shd w:val="clear" w:color="auto" w:fill="auto"/>
            <w:vAlign w:val="bottom"/>
            <w:hideMark/>
          </w:tcPr>
          <w:p w14:paraId="71F5DF02" w14:textId="77777777" w:rsidR="007E365E" w:rsidRPr="009968A7"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9968A7">
              <w:rPr>
                <w:rFonts w:eastAsia="Times New Roman" w:cs="Open Sans Light"/>
                <w:sz w:val="16"/>
                <w:szCs w:val="16"/>
                <w:lang w:eastAsia="en-AU"/>
              </w:rPr>
              <w:t>Urban population ($m)(b)</w:t>
            </w:r>
          </w:p>
        </w:tc>
        <w:tc>
          <w:tcPr>
            <w:tcW w:w="657" w:type="dxa"/>
            <w:tcBorders>
              <w:top w:val="single" w:sz="4" w:space="0" w:color="B6D5E4"/>
              <w:left w:val="nil"/>
              <w:bottom w:val="single" w:sz="4" w:space="0" w:color="B6D5E4"/>
              <w:right w:val="nil"/>
            </w:tcBorders>
            <w:shd w:val="clear" w:color="auto" w:fill="auto"/>
            <w:vAlign w:val="bottom"/>
            <w:hideMark/>
          </w:tcPr>
          <w:p w14:paraId="007944FE"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1,171</w:t>
            </w:r>
          </w:p>
        </w:tc>
        <w:tc>
          <w:tcPr>
            <w:tcW w:w="658" w:type="dxa"/>
            <w:tcBorders>
              <w:top w:val="single" w:sz="4" w:space="0" w:color="B6D5E4"/>
              <w:left w:val="nil"/>
              <w:bottom w:val="single" w:sz="4" w:space="0" w:color="B6D5E4"/>
              <w:right w:val="nil"/>
            </w:tcBorders>
            <w:shd w:val="clear" w:color="auto" w:fill="auto"/>
            <w:vAlign w:val="bottom"/>
            <w:hideMark/>
          </w:tcPr>
          <w:p w14:paraId="47588217"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969</w:t>
            </w:r>
          </w:p>
        </w:tc>
        <w:tc>
          <w:tcPr>
            <w:tcW w:w="658" w:type="dxa"/>
            <w:tcBorders>
              <w:top w:val="single" w:sz="4" w:space="0" w:color="B6D5E4"/>
              <w:left w:val="nil"/>
              <w:bottom w:val="single" w:sz="4" w:space="0" w:color="B6D5E4"/>
              <w:right w:val="nil"/>
            </w:tcBorders>
            <w:shd w:val="clear" w:color="auto" w:fill="auto"/>
            <w:vAlign w:val="bottom"/>
            <w:hideMark/>
          </w:tcPr>
          <w:p w14:paraId="29838094"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707</w:t>
            </w:r>
          </w:p>
        </w:tc>
        <w:tc>
          <w:tcPr>
            <w:tcW w:w="658" w:type="dxa"/>
            <w:tcBorders>
              <w:top w:val="single" w:sz="4" w:space="0" w:color="B6D5E4"/>
              <w:left w:val="nil"/>
              <w:bottom w:val="single" w:sz="4" w:space="0" w:color="B6D5E4"/>
              <w:right w:val="nil"/>
            </w:tcBorders>
            <w:shd w:val="clear" w:color="auto" w:fill="auto"/>
            <w:vAlign w:val="bottom"/>
            <w:hideMark/>
          </w:tcPr>
          <w:p w14:paraId="34E87300"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387</w:t>
            </w:r>
          </w:p>
        </w:tc>
        <w:tc>
          <w:tcPr>
            <w:tcW w:w="657" w:type="dxa"/>
            <w:tcBorders>
              <w:top w:val="single" w:sz="4" w:space="0" w:color="B6D5E4"/>
              <w:left w:val="nil"/>
              <w:bottom w:val="single" w:sz="4" w:space="0" w:color="B6D5E4"/>
              <w:right w:val="nil"/>
            </w:tcBorders>
            <w:shd w:val="clear" w:color="auto" w:fill="auto"/>
            <w:vAlign w:val="bottom"/>
            <w:hideMark/>
          </w:tcPr>
          <w:p w14:paraId="54909A8B"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246</w:t>
            </w:r>
          </w:p>
        </w:tc>
        <w:tc>
          <w:tcPr>
            <w:tcW w:w="658" w:type="dxa"/>
            <w:tcBorders>
              <w:top w:val="single" w:sz="4" w:space="0" w:color="B6D5E4"/>
              <w:left w:val="nil"/>
              <w:bottom w:val="single" w:sz="4" w:space="0" w:color="B6D5E4"/>
              <w:right w:val="nil"/>
            </w:tcBorders>
            <w:shd w:val="clear" w:color="auto" w:fill="auto"/>
            <w:vAlign w:val="bottom"/>
            <w:hideMark/>
          </w:tcPr>
          <w:p w14:paraId="4A85B4A4"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60</w:t>
            </w:r>
          </w:p>
        </w:tc>
        <w:tc>
          <w:tcPr>
            <w:tcW w:w="658" w:type="dxa"/>
            <w:tcBorders>
              <w:top w:val="single" w:sz="4" w:space="0" w:color="B6D5E4"/>
              <w:left w:val="nil"/>
              <w:bottom w:val="single" w:sz="4" w:space="0" w:color="B6D5E4"/>
              <w:right w:val="nil"/>
            </w:tcBorders>
            <w:shd w:val="clear" w:color="auto" w:fill="auto"/>
            <w:vAlign w:val="bottom"/>
            <w:hideMark/>
          </w:tcPr>
          <w:p w14:paraId="066FD1DF"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72</w:t>
            </w:r>
          </w:p>
        </w:tc>
        <w:tc>
          <w:tcPr>
            <w:tcW w:w="658" w:type="dxa"/>
            <w:tcBorders>
              <w:top w:val="single" w:sz="4" w:space="0" w:color="B6D5E4"/>
              <w:left w:val="nil"/>
              <w:bottom w:val="single" w:sz="4" w:space="0" w:color="B6D5E4"/>
              <w:right w:val="nil"/>
            </w:tcBorders>
            <w:shd w:val="clear" w:color="auto" w:fill="auto"/>
            <w:vAlign w:val="bottom"/>
            <w:hideMark/>
          </w:tcPr>
          <w:p w14:paraId="0AD306C5"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26</w:t>
            </w:r>
          </w:p>
        </w:tc>
        <w:tc>
          <w:tcPr>
            <w:tcW w:w="729" w:type="dxa"/>
            <w:tcBorders>
              <w:top w:val="single" w:sz="4" w:space="0" w:color="B6D5E4"/>
              <w:left w:val="nil"/>
              <w:bottom w:val="single" w:sz="4" w:space="0" w:color="B6D5E4"/>
              <w:right w:val="nil"/>
            </w:tcBorders>
            <w:shd w:val="clear" w:color="auto" w:fill="auto"/>
            <w:vAlign w:val="bottom"/>
            <w:hideMark/>
          </w:tcPr>
          <w:p w14:paraId="5CB7743A"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3,637</w:t>
            </w:r>
          </w:p>
        </w:tc>
      </w:tr>
      <w:tr w:rsidR="007E365E" w:rsidRPr="009968A7" w14:paraId="2DF5C6CB" w14:textId="77777777" w:rsidTr="007D1D77">
        <w:trPr>
          <w:trHeight w:val="319"/>
        </w:trPr>
        <w:tc>
          <w:tcPr>
            <w:tcW w:w="2960" w:type="dxa"/>
            <w:tcBorders>
              <w:top w:val="nil"/>
              <w:left w:val="nil"/>
              <w:bottom w:val="nil"/>
              <w:right w:val="nil"/>
            </w:tcBorders>
            <w:shd w:val="clear" w:color="auto" w:fill="auto"/>
            <w:vAlign w:val="bottom"/>
            <w:hideMark/>
          </w:tcPr>
          <w:p w14:paraId="71856044" w14:textId="77777777" w:rsidR="007E365E" w:rsidRPr="009968A7"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9968A7">
              <w:rPr>
                <w:rFonts w:eastAsia="Times New Roman" w:cs="Open Sans Light"/>
                <w:sz w:val="16"/>
                <w:szCs w:val="16"/>
                <w:lang w:eastAsia="en-AU"/>
              </w:rPr>
              <w:t>Wage costs factor</w:t>
            </w:r>
          </w:p>
        </w:tc>
        <w:tc>
          <w:tcPr>
            <w:tcW w:w="657" w:type="dxa"/>
            <w:tcBorders>
              <w:top w:val="nil"/>
              <w:left w:val="nil"/>
              <w:bottom w:val="nil"/>
              <w:right w:val="nil"/>
            </w:tcBorders>
            <w:shd w:val="clear" w:color="auto" w:fill="auto"/>
            <w:vAlign w:val="bottom"/>
            <w:hideMark/>
          </w:tcPr>
          <w:p w14:paraId="24CAFA81"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1.006</w:t>
            </w:r>
          </w:p>
        </w:tc>
        <w:tc>
          <w:tcPr>
            <w:tcW w:w="658" w:type="dxa"/>
            <w:tcBorders>
              <w:top w:val="nil"/>
              <w:left w:val="nil"/>
              <w:bottom w:val="nil"/>
              <w:right w:val="nil"/>
            </w:tcBorders>
            <w:shd w:val="clear" w:color="auto" w:fill="auto"/>
            <w:vAlign w:val="bottom"/>
            <w:hideMark/>
          </w:tcPr>
          <w:p w14:paraId="19F8ECA0"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0.994</w:t>
            </w:r>
          </w:p>
        </w:tc>
        <w:tc>
          <w:tcPr>
            <w:tcW w:w="658" w:type="dxa"/>
            <w:tcBorders>
              <w:top w:val="nil"/>
              <w:left w:val="nil"/>
              <w:bottom w:val="nil"/>
              <w:right w:val="nil"/>
            </w:tcBorders>
            <w:shd w:val="clear" w:color="auto" w:fill="auto"/>
            <w:vAlign w:val="bottom"/>
            <w:hideMark/>
          </w:tcPr>
          <w:p w14:paraId="7D9A6DB8"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0.996</w:t>
            </w:r>
          </w:p>
        </w:tc>
        <w:tc>
          <w:tcPr>
            <w:tcW w:w="658" w:type="dxa"/>
            <w:tcBorders>
              <w:top w:val="nil"/>
              <w:left w:val="nil"/>
              <w:bottom w:val="nil"/>
              <w:right w:val="nil"/>
            </w:tcBorders>
            <w:shd w:val="clear" w:color="auto" w:fill="auto"/>
            <w:vAlign w:val="bottom"/>
            <w:hideMark/>
          </w:tcPr>
          <w:p w14:paraId="28702382"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1.018</w:t>
            </w:r>
          </w:p>
        </w:tc>
        <w:tc>
          <w:tcPr>
            <w:tcW w:w="657" w:type="dxa"/>
            <w:tcBorders>
              <w:top w:val="nil"/>
              <w:left w:val="nil"/>
              <w:bottom w:val="nil"/>
              <w:right w:val="nil"/>
            </w:tcBorders>
            <w:shd w:val="clear" w:color="auto" w:fill="auto"/>
            <w:vAlign w:val="bottom"/>
            <w:hideMark/>
          </w:tcPr>
          <w:p w14:paraId="710EE8D9"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0.979</w:t>
            </w:r>
          </w:p>
        </w:tc>
        <w:tc>
          <w:tcPr>
            <w:tcW w:w="658" w:type="dxa"/>
            <w:tcBorders>
              <w:top w:val="nil"/>
              <w:left w:val="nil"/>
              <w:bottom w:val="nil"/>
              <w:right w:val="nil"/>
            </w:tcBorders>
            <w:shd w:val="clear" w:color="auto" w:fill="auto"/>
            <w:vAlign w:val="bottom"/>
            <w:hideMark/>
          </w:tcPr>
          <w:p w14:paraId="6407B6A1"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0.972</w:t>
            </w:r>
          </w:p>
        </w:tc>
        <w:tc>
          <w:tcPr>
            <w:tcW w:w="658" w:type="dxa"/>
            <w:tcBorders>
              <w:top w:val="nil"/>
              <w:left w:val="nil"/>
              <w:bottom w:val="nil"/>
              <w:right w:val="nil"/>
            </w:tcBorders>
            <w:shd w:val="clear" w:color="auto" w:fill="auto"/>
            <w:vAlign w:val="bottom"/>
            <w:hideMark/>
          </w:tcPr>
          <w:p w14:paraId="16F62A9D"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1.019</w:t>
            </w:r>
          </w:p>
        </w:tc>
        <w:tc>
          <w:tcPr>
            <w:tcW w:w="658" w:type="dxa"/>
            <w:tcBorders>
              <w:top w:val="nil"/>
              <w:left w:val="nil"/>
              <w:bottom w:val="nil"/>
              <w:right w:val="nil"/>
            </w:tcBorders>
            <w:shd w:val="clear" w:color="auto" w:fill="auto"/>
            <w:vAlign w:val="bottom"/>
            <w:hideMark/>
          </w:tcPr>
          <w:p w14:paraId="7CCD80A1"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1.029</w:t>
            </w:r>
          </w:p>
        </w:tc>
        <w:tc>
          <w:tcPr>
            <w:tcW w:w="729" w:type="dxa"/>
            <w:tcBorders>
              <w:top w:val="nil"/>
              <w:left w:val="nil"/>
              <w:bottom w:val="nil"/>
              <w:right w:val="nil"/>
            </w:tcBorders>
            <w:shd w:val="clear" w:color="auto" w:fill="auto"/>
            <w:vAlign w:val="bottom"/>
            <w:hideMark/>
          </w:tcPr>
          <w:p w14:paraId="72CC9825" w14:textId="77777777" w:rsidR="007E365E" w:rsidRPr="009968A7" w:rsidRDefault="007E365E" w:rsidP="007D1D77">
            <w:pPr>
              <w:tabs>
                <w:tab w:val="clear" w:pos="567"/>
              </w:tabs>
              <w:spacing w:before="0" w:line="240" w:lineRule="auto"/>
              <w:jc w:val="right"/>
              <w:rPr>
                <w:rFonts w:eastAsia="Times New Roman" w:cs="Open Sans Light"/>
                <w:sz w:val="16"/>
                <w:szCs w:val="16"/>
                <w:lang w:eastAsia="en-AU"/>
              </w:rPr>
            </w:pPr>
            <w:r w:rsidRPr="009968A7">
              <w:rPr>
                <w:rFonts w:eastAsia="Times New Roman" w:cs="Open Sans Light"/>
                <w:sz w:val="16"/>
                <w:szCs w:val="16"/>
                <w:lang w:eastAsia="en-AU"/>
              </w:rPr>
              <w:t>1.000</w:t>
            </w:r>
          </w:p>
        </w:tc>
      </w:tr>
      <w:tr w:rsidR="007E365E" w:rsidRPr="009968A7" w14:paraId="349935D1" w14:textId="77777777" w:rsidTr="007D1D77">
        <w:trPr>
          <w:trHeight w:val="319"/>
        </w:trPr>
        <w:tc>
          <w:tcPr>
            <w:tcW w:w="2960" w:type="dxa"/>
            <w:tcBorders>
              <w:top w:val="single" w:sz="4" w:space="0" w:color="ADD6EA"/>
              <w:left w:val="nil"/>
              <w:bottom w:val="single" w:sz="4" w:space="0" w:color="ADD6EA"/>
              <w:right w:val="nil"/>
            </w:tcBorders>
            <w:shd w:val="clear" w:color="000000" w:fill="D6E7F0"/>
            <w:vAlign w:val="bottom"/>
            <w:hideMark/>
          </w:tcPr>
          <w:p w14:paraId="48D81D42" w14:textId="77777777" w:rsidR="007E365E" w:rsidRPr="009968A7"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Assessed expenses ($m)</w:t>
            </w:r>
          </w:p>
        </w:tc>
        <w:tc>
          <w:tcPr>
            <w:tcW w:w="657" w:type="dxa"/>
            <w:tcBorders>
              <w:top w:val="single" w:sz="4" w:space="0" w:color="ADD6EA"/>
              <w:left w:val="nil"/>
              <w:bottom w:val="single" w:sz="4" w:space="0" w:color="ADD6EA"/>
              <w:right w:val="nil"/>
            </w:tcBorders>
            <w:shd w:val="clear" w:color="000000" w:fill="D6E7F0"/>
            <w:vAlign w:val="bottom"/>
            <w:hideMark/>
          </w:tcPr>
          <w:p w14:paraId="25E739B4"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5,888</w:t>
            </w:r>
          </w:p>
        </w:tc>
        <w:tc>
          <w:tcPr>
            <w:tcW w:w="658" w:type="dxa"/>
            <w:tcBorders>
              <w:top w:val="single" w:sz="4" w:space="0" w:color="ADD6EA"/>
              <w:left w:val="nil"/>
              <w:bottom w:val="single" w:sz="4" w:space="0" w:color="ADD6EA"/>
              <w:right w:val="nil"/>
            </w:tcBorders>
            <w:shd w:val="clear" w:color="000000" w:fill="D6E7F0"/>
            <w:vAlign w:val="bottom"/>
            <w:hideMark/>
          </w:tcPr>
          <w:p w14:paraId="329D883B"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4,189</w:t>
            </w:r>
          </w:p>
        </w:tc>
        <w:tc>
          <w:tcPr>
            <w:tcW w:w="658" w:type="dxa"/>
            <w:tcBorders>
              <w:top w:val="single" w:sz="4" w:space="0" w:color="ADD6EA"/>
              <w:left w:val="nil"/>
              <w:bottom w:val="single" w:sz="4" w:space="0" w:color="ADD6EA"/>
              <w:right w:val="nil"/>
            </w:tcBorders>
            <w:shd w:val="clear" w:color="000000" w:fill="D6E7F0"/>
            <w:vAlign w:val="bottom"/>
            <w:hideMark/>
          </w:tcPr>
          <w:p w14:paraId="6080111B"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2,165</w:t>
            </w:r>
          </w:p>
        </w:tc>
        <w:tc>
          <w:tcPr>
            <w:tcW w:w="658" w:type="dxa"/>
            <w:tcBorders>
              <w:top w:val="single" w:sz="4" w:space="0" w:color="ADD6EA"/>
              <w:left w:val="nil"/>
              <w:bottom w:val="single" w:sz="4" w:space="0" w:color="ADD6EA"/>
              <w:right w:val="nil"/>
            </w:tcBorders>
            <w:shd w:val="clear" w:color="000000" w:fill="D6E7F0"/>
            <w:vAlign w:val="bottom"/>
            <w:hideMark/>
          </w:tcPr>
          <w:p w14:paraId="2C1D1233"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1,237</w:t>
            </w:r>
          </w:p>
        </w:tc>
        <w:tc>
          <w:tcPr>
            <w:tcW w:w="657" w:type="dxa"/>
            <w:tcBorders>
              <w:top w:val="single" w:sz="4" w:space="0" w:color="ADD6EA"/>
              <w:left w:val="nil"/>
              <w:bottom w:val="single" w:sz="4" w:space="0" w:color="ADD6EA"/>
              <w:right w:val="nil"/>
            </w:tcBorders>
            <w:shd w:val="clear" w:color="000000" w:fill="D6E7F0"/>
            <w:vAlign w:val="bottom"/>
            <w:hideMark/>
          </w:tcPr>
          <w:p w14:paraId="724FFCC0"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721</w:t>
            </w:r>
          </w:p>
        </w:tc>
        <w:tc>
          <w:tcPr>
            <w:tcW w:w="658" w:type="dxa"/>
            <w:tcBorders>
              <w:top w:val="single" w:sz="4" w:space="0" w:color="ADD6EA"/>
              <w:left w:val="nil"/>
              <w:bottom w:val="single" w:sz="4" w:space="0" w:color="ADD6EA"/>
              <w:right w:val="nil"/>
            </w:tcBorders>
            <w:shd w:val="clear" w:color="000000" w:fill="D6E7F0"/>
            <w:vAlign w:val="bottom"/>
            <w:hideMark/>
          </w:tcPr>
          <w:p w14:paraId="01A043DF"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106</w:t>
            </w:r>
          </w:p>
        </w:tc>
        <w:tc>
          <w:tcPr>
            <w:tcW w:w="658" w:type="dxa"/>
            <w:tcBorders>
              <w:top w:val="single" w:sz="4" w:space="0" w:color="ADD6EA"/>
              <w:left w:val="nil"/>
              <w:bottom w:val="single" w:sz="4" w:space="0" w:color="ADD6EA"/>
              <w:right w:val="nil"/>
            </w:tcBorders>
            <w:shd w:val="clear" w:color="000000" w:fill="D6E7F0"/>
            <w:vAlign w:val="bottom"/>
            <w:hideMark/>
          </w:tcPr>
          <w:p w14:paraId="7C5867B3"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186</w:t>
            </w:r>
          </w:p>
        </w:tc>
        <w:tc>
          <w:tcPr>
            <w:tcW w:w="658" w:type="dxa"/>
            <w:tcBorders>
              <w:top w:val="single" w:sz="4" w:space="0" w:color="ADD6EA"/>
              <w:left w:val="nil"/>
              <w:bottom w:val="single" w:sz="4" w:space="0" w:color="ADD6EA"/>
              <w:right w:val="nil"/>
            </w:tcBorders>
            <w:shd w:val="clear" w:color="000000" w:fill="D6E7F0"/>
            <w:vAlign w:val="bottom"/>
            <w:hideMark/>
          </w:tcPr>
          <w:p w14:paraId="668F25E1"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57</w:t>
            </w:r>
          </w:p>
        </w:tc>
        <w:tc>
          <w:tcPr>
            <w:tcW w:w="729" w:type="dxa"/>
            <w:tcBorders>
              <w:top w:val="single" w:sz="4" w:space="0" w:color="ADD6EA"/>
              <w:left w:val="nil"/>
              <w:bottom w:val="single" w:sz="4" w:space="0" w:color="ADD6EA"/>
              <w:right w:val="nil"/>
            </w:tcBorders>
            <w:shd w:val="clear" w:color="000000" w:fill="D6E7F0"/>
            <w:vAlign w:val="bottom"/>
            <w:hideMark/>
          </w:tcPr>
          <w:p w14:paraId="1CAD04AE"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14,550</w:t>
            </w:r>
          </w:p>
        </w:tc>
      </w:tr>
      <w:tr w:rsidR="007E365E" w:rsidRPr="009968A7" w14:paraId="78C48FFA" w14:textId="77777777" w:rsidTr="007D1D77">
        <w:trPr>
          <w:trHeight w:val="319"/>
        </w:trPr>
        <w:tc>
          <w:tcPr>
            <w:tcW w:w="2960" w:type="dxa"/>
            <w:tcBorders>
              <w:top w:val="nil"/>
              <w:left w:val="nil"/>
              <w:bottom w:val="single" w:sz="4" w:space="0" w:color="ADD6EA"/>
              <w:right w:val="nil"/>
            </w:tcBorders>
            <w:shd w:val="clear" w:color="000000" w:fill="D6E7F0"/>
            <w:vAlign w:val="bottom"/>
            <w:hideMark/>
          </w:tcPr>
          <w:p w14:paraId="74B26C03" w14:textId="77777777" w:rsidR="007E365E" w:rsidRPr="009968A7"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Assessed expenses ($pc)</w:t>
            </w:r>
          </w:p>
        </w:tc>
        <w:tc>
          <w:tcPr>
            <w:tcW w:w="657" w:type="dxa"/>
            <w:tcBorders>
              <w:top w:val="nil"/>
              <w:left w:val="nil"/>
              <w:bottom w:val="single" w:sz="4" w:space="0" w:color="ADD6EA"/>
              <w:right w:val="nil"/>
            </w:tcBorders>
            <w:shd w:val="clear" w:color="000000" w:fill="D6E7F0"/>
            <w:vAlign w:val="bottom"/>
            <w:hideMark/>
          </w:tcPr>
          <w:p w14:paraId="7BE6AE2A"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733</w:t>
            </w:r>
          </w:p>
        </w:tc>
        <w:tc>
          <w:tcPr>
            <w:tcW w:w="658" w:type="dxa"/>
            <w:tcBorders>
              <w:top w:val="nil"/>
              <w:left w:val="nil"/>
              <w:bottom w:val="single" w:sz="4" w:space="0" w:color="ADD6EA"/>
              <w:right w:val="nil"/>
            </w:tcBorders>
            <w:shd w:val="clear" w:color="000000" w:fill="D6E7F0"/>
            <w:vAlign w:val="bottom"/>
            <w:hideMark/>
          </w:tcPr>
          <w:p w14:paraId="5BB483DB"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642</w:t>
            </w:r>
          </w:p>
        </w:tc>
        <w:tc>
          <w:tcPr>
            <w:tcW w:w="658" w:type="dxa"/>
            <w:tcBorders>
              <w:top w:val="nil"/>
              <w:left w:val="nil"/>
              <w:bottom w:val="single" w:sz="4" w:space="0" w:color="ADD6EA"/>
              <w:right w:val="nil"/>
            </w:tcBorders>
            <w:shd w:val="clear" w:color="000000" w:fill="D6E7F0"/>
            <w:vAlign w:val="bottom"/>
            <w:hideMark/>
          </w:tcPr>
          <w:p w14:paraId="3733597A"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429</w:t>
            </w:r>
          </w:p>
        </w:tc>
        <w:tc>
          <w:tcPr>
            <w:tcW w:w="658" w:type="dxa"/>
            <w:tcBorders>
              <w:top w:val="nil"/>
              <w:left w:val="nil"/>
              <w:bottom w:val="single" w:sz="4" w:space="0" w:color="ADD6EA"/>
              <w:right w:val="nil"/>
            </w:tcBorders>
            <w:shd w:val="clear" w:color="000000" w:fill="D6E7F0"/>
            <w:vAlign w:val="bottom"/>
            <w:hideMark/>
          </w:tcPr>
          <w:p w14:paraId="47FC6CE5"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475</w:t>
            </w:r>
          </w:p>
        </w:tc>
        <w:tc>
          <w:tcPr>
            <w:tcW w:w="657" w:type="dxa"/>
            <w:tcBorders>
              <w:top w:val="nil"/>
              <w:left w:val="nil"/>
              <w:bottom w:val="single" w:sz="4" w:space="0" w:color="ADD6EA"/>
              <w:right w:val="nil"/>
            </w:tcBorders>
            <w:shd w:val="clear" w:color="000000" w:fill="D6E7F0"/>
            <w:vAlign w:val="bottom"/>
            <w:hideMark/>
          </w:tcPr>
          <w:p w14:paraId="39EA6349"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414</w:t>
            </w:r>
          </w:p>
        </w:tc>
        <w:tc>
          <w:tcPr>
            <w:tcW w:w="658" w:type="dxa"/>
            <w:tcBorders>
              <w:top w:val="nil"/>
              <w:left w:val="nil"/>
              <w:bottom w:val="single" w:sz="4" w:space="0" w:color="ADD6EA"/>
              <w:right w:val="nil"/>
            </w:tcBorders>
            <w:shd w:val="clear" w:color="000000" w:fill="D6E7F0"/>
            <w:vAlign w:val="bottom"/>
            <w:hideMark/>
          </w:tcPr>
          <w:p w14:paraId="6FEFB60B"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200</w:t>
            </w:r>
          </w:p>
        </w:tc>
        <w:tc>
          <w:tcPr>
            <w:tcW w:w="658" w:type="dxa"/>
            <w:tcBorders>
              <w:top w:val="nil"/>
              <w:left w:val="nil"/>
              <w:bottom w:val="single" w:sz="4" w:space="0" w:color="ADD6EA"/>
              <w:right w:val="nil"/>
            </w:tcBorders>
            <w:shd w:val="clear" w:color="000000" w:fill="D6E7F0"/>
            <w:vAlign w:val="bottom"/>
            <w:hideMark/>
          </w:tcPr>
          <w:p w14:paraId="5A27AB9F"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439</w:t>
            </w:r>
          </w:p>
        </w:tc>
        <w:tc>
          <w:tcPr>
            <w:tcW w:w="658" w:type="dxa"/>
            <w:tcBorders>
              <w:top w:val="nil"/>
              <w:left w:val="nil"/>
              <w:bottom w:val="single" w:sz="4" w:space="0" w:color="ADD6EA"/>
              <w:right w:val="nil"/>
            </w:tcBorders>
            <w:shd w:val="clear" w:color="000000" w:fill="D6E7F0"/>
            <w:vAlign w:val="bottom"/>
            <w:hideMark/>
          </w:tcPr>
          <w:p w14:paraId="3EEFD4B2"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233</w:t>
            </w:r>
          </w:p>
        </w:tc>
        <w:tc>
          <w:tcPr>
            <w:tcW w:w="729" w:type="dxa"/>
            <w:tcBorders>
              <w:top w:val="nil"/>
              <w:left w:val="nil"/>
              <w:bottom w:val="single" w:sz="4" w:space="0" w:color="ADD6EA"/>
              <w:right w:val="nil"/>
            </w:tcBorders>
            <w:shd w:val="clear" w:color="000000" w:fill="D6E7F0"/>
            <w:vAlign w:val="bottom"/>
            <w:hideMark/>
          </w:tcPr>
          <w:p w14:paraId="11BF73A7" w14:textId="77777777" w:rsidR="007E365E" w:rsidRPr="009968A7"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9968A7">
              <w:rPr>
                <w:rFonts w:ascii="Open Sans SemiBold" w:eastAsia="Times New Roman" w:hAnsi="Open Sans SemiBold" w:cs="Open Sans SemiBold"/>
                <w:sz w:val="16"/>
                <w:szCs w:val="16"/>
                <w:lang w:eastAsia="en-AU"/>
              </w:rPr>
              <w:t>578</w:t>
            </w:r>
          </w:p>
        </w:tc>
      </w:tr>
    </w:tbl>
    <w:p w14:paraId="27D46082" w14:textId="77777777" w:rsidR="007E365E" w:rsidRDefault="007E365E" w:rsidP="007E365E">
      <w:pPr>
        <w:pStyle w:val="CGCTablenote"/>
        <w:keepNext/>
        <w:keepLines/>
        <w:widowControl w:val="0"/>
        <w:numPr>
          <w:ilvl w:val="0"/>
          <w:numId w:val="21"/>
        </w:numPr>
      </w:pPr>
      <w:r>
        <w:t xml:space="preserve">      75% weight</w:t>
      </w:r>
    </w:p>
    <w:p w14:paraId="19872A47" w14:textId="77777777" w:rsidR="007E365E" w:rsidRDefault="007E365E" w:rsidP="007E365E">
      <w:pPr>
        <w:pStyle w:val="CGCTablenote"/>
        <w:keepNext/>
        <w:keepLines/>
        <w:widowControl w:val="0"/>
        <w:numPr>
          <w:ilvl w:val="0"/>
          <w:numId w:val="21"/>
        </w:numPr>
      </w:pPr>
      <w:r>
        <w:t xml:space="preserve">      25% weight</w:t>
      </w:r>
    </w:p>
    <w:p w14:paraId="716DB178" w14:textId="77777777" w:rsidR="007E365E" w:rsidRPr="00976585" w:rsidRDefault="007E365E" w:rsidP="007E365E">
      <w:pPr>
        <w:pStyle w:val="CGCTablenote"/>
        <w:keepNext/>
        <w:keepLines/>
        <w:widowControl w:val="0"/>
        <w:ind w:left="113" w:firstLine="0"/>
      </w:pPr>
      <w:r w:rsidRPr="00976585">
        <w:t>Source:</w:t>
      </w:r>
      <w:r w:rsidRPr="00976585">
        <w:tab/>
        <w:t>Commission calculation.</w:t>
      </w:r>
    </w:p>
    <w:p w14:paraId="183E33F8" w14:textId="77777777" w:rsidR="007E365E" w:rsidRPr="00976585" w:rsidRDefault="007E365E" w:rsidP="007E365E">
      <w:pPr>
        <w:pStyle w:val="Heading4"/>
      </w:pPr>
      <w:bookmarkStart w:id="266" w:name="_Toc6470671"/>
      <w:r>
        <w:t>Non-urban t</w:t>
      </w:r>
      <w:r w:rsidRPr="00976585">
        <w:t>ransport</w:t>
      </w:r>
      <w:bookmarkEnd w:id="266"/>
    </w:p>
    <w:p w14:paraId="255C6FD0" w14:textId="77777777" w:rsidR="007E365E" w:rsidRPr="00976585" w:rsidRDefault="007E365E" w:rsidP="007E365E">
      <w:pPr>
        <w:pStyle w:val="CGCParaNumber"/>
      </w:pPr>
      <w:r w:rsidRPr="00976585">
        <w:t xml:space="preserve">Non-urban transport expenses include capital and operating subsidies for passenger and freight transport. </w:t>
      </w:r>
    </w:p>
    <w:p w14:paraId="663A334F" w14:textId="77777777" w:rsidR="007E365E" w:rsidRPr="00976585" w:rsidRDefault="007E365E" w:rsidP="007E365E">
      <w:pPr>
        <w:pStyle w:val="CGCParaNumber"/>
      </w:pPr>
      <w:r w:rsidRPr="00976585">
        <w:t>The Commission has assessed non</w:t>
      </w:r>
      <w:r w:rsidRPr="00976585">
        <w:noBreakHyphen/>
        <w:t>urban transport expenses EPC, except for adjustments for regional and wage costs. The Commission has investigated alternative policy neutral indicators but has been unable to find a more appropriate broad indicator that is material for the four most populous States, which account</w:t>
      </w:r>
      <w:r>
        <w:t>ed</w:t>
      </w:r>
      <w:r w:rsidRPr="00976585">
        <w:t xml:space="preserve"> for 9</w:t>
      </w:r>
      <w:r>
        <w:t>6</w:t>
      </w:r>
      <w:r w:rsidRPr="00976585">
        <w:t>% of total spending</w:t>
      </w:r>
      <w:r>
        <w:t xml:space="preserve"> in 2017-18.</w:t>
      </w:r>
    </w:p>
    <w:p w14:paraId="61CF591B" w14:textId="6A94AE23" w:rsidR="007E365E" w:rsidRPr="00976585" w:rsidRDefault="007E365E" w:rsidP="007E365E">
      <w:pPr>
        <w:pStyle w:val="CGCParaNumber"/>
      </w:pPr>
      <w:r w:rsidRPr="00976585">
        <w:t>Rail passenger services account</w:t>
      </w:r>
      <w:r>
        <w:t>ed</w:t>
      </w:r>
      <w:r w:rsidRPr="00976585">
        <w:t xml:space="preserve"> for 71% of </w:t>
      </w:r>
      <w:r>
        <w:t xml:space="preserve">2017-18 </w:t>
      </w:r>
      <w:r w:rsidRPr="00976585">
        <w:t xml:space="preserve">non-urban net transport expenses. Only the four most populous States have such expenses and they are concentrated in Victoria and Queensland, as shown in </w:t>
      </w:r>
      <w:r w:rsidRPr="00976585">
        <w:fldChar w:fldCharType="begin"/>
      </w:r>
      <w:r w:rsidRPr="00976585">
        <w:instrText xml:space="preserve"> REF _Ref2841778 \h  \* MERGEFORMAT </w:instrText>
      </w:r>
      <w:r w:rsidRPr="00976585">
        <w:fldChar w:fldCharType="separate"/>
      </w:r>
      <w:r w:rsidR="007F721A" w:rsidRPr="00976585">
        <w:t xml:space="preserve">Table </w:t>
      </w:r>
      <w:r w:rsidR="007F721A">
        <w:rPr>
          <w:noProof/>
        </w:rPr>
        <w:t>21-12</w:t>
      </w:r>
      <w:r w:rsidRPr="00976585">
        <w:fldChar w:fldCharType="end"/>
      </w:r>
      <w:r w:rsidRPr="00976585">
        <w:t>. This reflects that the three largest States, and to a lesser extent Western Australia, provide inter-city and regional train services. Therefore, the assessment should capture populations that are most likely to be serviced by non</w:t>
      </w:r>
      <w:r w:rsidRPr="00976585">
        <w:noBreakHyphen/>
        <w:t xml:space="preserve">urban passenger rail. </w:t>
      </w:r>
    </w:p>
    <w:p w14:paraId="6A9A40DD" w14:textId="73A4555D" w:rsidR="007E365E" w:rsidRDefault="007E365E" w:rsidP="007E365E">
      <w:pPr>
        <w:pStyle w:val="Caption"/>
      </w:pPr>
      <w:bookmarkStart w:id="267" w:name="_Ref2841778"/>
      <w:r w:rsidRPr="00976585">
        <w:lastRenderedPageBreak/>
        <w:t xml:space="preserve">Table </w:t>
      </w:r>
      <w:r>
        <w:t>21-</w:t>
      </w:r>
      <w:fldSimple w:instr=" SEQ Table \* ARABIC ">
        <w:r w:rsidR="007F721A">
          <w:rPr>
            <w:noProof/>
          </w:rPr>
          <w:t>12</w:t>
        </w:r>
      </w:fldSimple>
      <w:bookmarkEnd w:id="267"/>
      <w:r>
        <w:rPr>
          <w:noProof/>
        </w:rPr>
        <w:tab/>
      </w:r>
      <w:r w:rsidRPr="00976585">
        <w:t>Non-urban transport net expenses, 2017-18</w:t>
      </w:r>
    </w:p>
    <w:tbl>
      <w:tblPr>
        <w:tblW w:w="8942" w:type="dxa"/>
        <w:tblCellMar>
          <w:left w:w="28" w:type="dxa"/>
          <w:right w:w="28" w:type="dxa"/>
        </w:tblCellMar>
        <w:tblLook w:val="04A0" w:firstRow="1" w:lastRow="0" w:firstColumn="1" w:lastColumn="0" w:noHBand="0" w:noVBand="1"/>
      </w:tblPr>
      <w:tblGrid>
        <w:gridCol w:w="1952"/>
        <w:gridCol w:w="783"/>
        <w:gridCol w:w="784"/>
        <w:gridCol w:w="784"/>
        <w:gridCol w:w="784"/>
        <w:gridCol w:w="784"/>
        <w:gridCol w:w="784"/>
        <w:gridCol w:w="784"/>
        <w:gridCol w:w="784"/>
        <w:gridCol w:w="784"/>
      </w:tblGrid>
      <w:tr w:rsidR="007E365E" w:rsidRPr="00CA30F5" w14:paraId="1A471055" w14:textId="77777777" w:rsidTr="007D1D77">
        <w:trPr>
          <w:trHeight w:val="379"/>
        </w:trPr>
        <w:tc>
          <w:tcPr>
            <w:tcW w:w="2360" w:type="dxa"/>
            <w:tcBorders>
              <w:top w:val="single" w:sz="4" w:space="0" w:color="ADD6EA"/>
              <w:left w:val="nil"/>
              <w:bottom w:val="single" w:sz="4" w:space="0" w:color="ADD6EA"/>
              <w:right w:val="nil"/>
            </w:tcBorders>
            <w:shd w:val="clear" w:color="000000" w:fill="006991"/>
            <w:noWrap/>
            <w:vAlign w:val="center"/>
            <w:hideMark/>
          </w:tcPr>
          <w:p w14:paraId="3AB7593E"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30F5">
              <w:rPr>
                <w:rFonts w:ascii="Open Sans SemiBold" w:eastAsia="Times New Roman" w:hAnsi="Open Sans SemiBold" w:cs="Open Sans SemiBold"/>
                <w:color w:val="FFFFFF"/>
                <w:sz w:val="16"/>
                <w:szCs w:val="16"/>
                <w:lang w:eastAsia="en-AU"/>
              </w:rPr>
              <w:t> </w:t>
            </w:r>
          </w:p>
        </w:tc>
        <w:tc>
          <w:tcPr>
            <w:tcW w:w="940" w:type="dxa"/>
            <w:tcBorders>
              <w:top w:val="single" w:sz="4" w:space="0" w:color="ADD6EA"/>
              <w:left w:val="nil"/>
              <w:bottom w:val="single" w:sz="4" w:space="0" w:color="ADD6EA"/>
              <w:right w:val="nil"/>
            </w:tcBorders>
            <w:shd w:val="clear" w:color="000000" w:fill="006991"/>
            <w:noWrap/>
            <w:vAlign w:val="center"/>
            <w:hideMark/>
          </w:tcPr>
          <w:p w14:paraId="26E77C23"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30F5">
              <w:rPr>
                <w:rFonts w:ascii="Open Sans SemiBold" w:eastAsia="Times New Roman" w:hAnsi="Open Sans SemiBold" w:cs="Open Sans SemiBold"/>
                <w:color w:val="FFFFFF"/>
                <w:sz w:val="16"/>
                <w:szCs w:val="16"/>
                <w:lang w:eastAsia="en-AU"/>
              </w:rPr>
              <w:t>NSW</w:t>
            </w:r>
          </w:p>
        </w:tc>
        <w:tc>
          <w:tcPr>
            <w:tcW w:w="940" w:type="dxa"/>
            <w:tcBorders>
              <w:top w:val="single" w:sz="4" w:space="0" w:color="ADD6EA"/>
              <w:left w:val="nil"/>
              <w:bottom w:val="single" w:sz="4" w:space="0" w:color="ADD6EA"/>
              <w:right w:val="nil"/>
            </w:tcBorders>
            <w:shd w:val="clear" w:color="000000" w:fill="006991"/>
            <w:noWrap/>
            <w:vAlign w:val="center"/>
            <w:hideMark/>
          </w:tcPr>
          <w:p w14:paraId="199211AD"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30F5">
              <w:rPr>
                <w:rFonts w:ascii="Open Sans SemiBold" w:eastAsia="Times New Roman" w:hAnsi="Open Sans SemiBold" w:cs="Open Sans SemiBold"/>
                <w:color w:val="FFFFFF"/>
                <w:sz w:val="16"/>
                <w:szCs w:val="16"/>
                <w:lang w:eastAsia="en-AU"/>
              </w:rPr>
              <w:t>Vic</w:t>
            </w:r>
          </w:p>
        </w:tc>
        <w:tc>
          <w:tcPr>
            <w:tcW w:w="940" w:type="dxa"/>
            <w:tcBorders>
              <w:top w:val="single" w:sz="4" w:space="0" w:color="ADD6EA"/>
              <w:left w:val="nil"/>
              <w:bottom w:val="single" w:sz="4" w:space="0" w:color="ADD6EA"/>
              <w:right w:val="nil"/>
            </w:tcBorders>
            <w:shd w:val="clear" w:color="000000" w:fill="006991"/>
            <w:noWrap/>
            <w:vAlign w:val="center"/>
            <w:hideMark/>
          </w:tcPr>
          <w:p w14:paraId="13BCCDDA"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30F5">
              <w:rPr>
                <w:rFonts w:ascii="Open Sans SemiBold" w:eastAsia="Times New Roman" w:hAnsi="Open Sans SemiBold" w:cs="Open Sans SemiBold"/>
                <w:color w:val="FFFFFF"/>
                <w:sz w:val="16"/>
                <w:szCs w:val="16"/>
                <w:lang w:eastAsia="en-AU"/>
              </w:rPr>
              <w:t>Qld</w:t>
            </w:r>
          </w:p>
        </w:tc>
        <w:tc>
          <w:tcPr>
            <w:tcW w:w="940" w:type="dxa"/>
            <w:tcBorders>
              <w:top w:val="single" w:sz="4" w:space="0" w:color="ADD6EA"/>
              <w:left w:val="nil"/>
              <w:bottom w:val="single" w:sz="4" w:space="0" w:color="ADD6EA"/>
              <w:right w:val="nil"/>
            </w:tcBorders>
            <w:shd w:val="clear" w:color="000000" w:fill="006991"/>
            <w:noWrap/>
            <w:vAlign w:val="center"/>
            <w:hideMark/>
          </w:tcPr>
          <w:p w14:paraId="4D31D9EB"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30F5">
              <w:rPr>
                <w:rFonts w:ascii="Open Sans SemiBold" w:eastAsia="Times New Roman" w:hAnsi="Open Sans SemiBold" w:cs="Open Sans SemiBold"/>
                <w:color w:val="FFFFFF"/>
                <w:sz w:val="16"/>
                <w:szCs w:val="16"/>
                <w:lang w:eastAsia="en-AU"/>
              </w:rPr>
              <w:t>WA</w:t>
            </w:r>
          </w:p>
        </w:tc>
        <w:tc>
          <w:tcPr>
            <w:tcW w:w="940" w:type="dxa"/>
            <w:tcBorders>
              <w:top w:val="single" w:sz="4" w:space="0" w:color="ADD6EA"/>
              <w:left w:val="nil"/>
              <w:bottom w:val="single" w:sz="4" w:space="0" w:color="ADD6EA"/>
              <w:right w:val="nil"/>
            </w:tcBorders>
            <w:shd w:val="clear" w:color="000000" w:fill="006991"/>
            <w:noWrap/>
            <w:vAlign w:val="center"/>
            <w:hideMark/>
          </w:tcPr>
          <w:p w14:paraId="0C81EF48"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30F5">
              <w:rPr>
                <w:rFonts w:ascii="Open Sans SemiBold" w:eastAsia="Times New Roman" w:hAnsi="Open Sans SemiBold" w:cs="Open Sans SemiBold"/>
                <w:color w:val="FFFFFF"/>
                <w:sz w:val="16"/>
                <w:szCs w:val="16"/>
                <w:lang w:eastAsia="en-AU"/>
              </w:rPr>
              <w:t>SA</w:t>
            </w:r>
          </w:p>
        </w:tc>
        <w:tc>
          <w:tcPr>
            <w:tcW w:w="940" w:type="dxa"/>
            <w:tcBorders>
              <w:top w:val="single" w:sz="4" w:space="0" w:color="ADD6EA"/>
              <w:left w:val="nil"/>
              <w:bottom w:val="single" w:sz="4" w:space="0" w:color="ADD6EA"/>
              <w:right w:val="nil"/>
            </w:tcBorders>
            <w:shd w:val="clear" w:color="000000" w:fill="006991"/>
            <w:noWrap/>
            <w:vAlign w:val="center"/>
            <w:hideMark/>
          </w:tcPr>
          <w:p w14:paraId="6FC547A3"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30F5">
              <w:rPr>
                <w:rFonts w:ascii="Open Sans SemiBold" w:eastAsia="Times New Roman" w:hAnsi="Open Sans SemiBold" w:cs="Open Sans SemiBold"/>
                <w:color w:val="FFFFFF"/>
                <w:sz w:val="16"/>
                <w:szCs w:val="16"/>
                <w:lang w:eastAsia="en-AU"/>
              </w:rPr>
              <w:t>Tas</w:t>
            </w:r>
          </w:p>
        </w:tc>
        <w:tc>
          <w:tcPr>
            <w:tcW w:w="940" w:type="dxa"/>
            <w:tcBorders>
              <w:top w:val="single" w:sz="4" w:space="0" w:color="ADD6EA"/>
              <w:left w:val="nil"/>
              <w:bottom w:val="single" w:sz="4" w:space="0" w:color="ADD6EA"/>
              <w:right w:val="nil"/>
            </w:tcBorders>
            <w:shd w:val="clear" w:color="000000" w:fill="006991"/>
            <w:noWrap/>
            <w:vAlign w:val="center"/>
            <w:hideMark/>
          </w:tcPr>
          <w:p w14:paraId="7E5A380A"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30F5">
              <w:rPr>
                <w:rFonts w:ascii="Open Sans SemiBold" w:eastAsia="Times New Roman" w:hAnsi="Open Sans SemiBold" w:cs="Open Sans SemiBold"/>
                <w:color w:val="FFFFFF"/>
                <w:sz w:val="16"/>
                <w:szCs w:val="16"/>
                <w:lang w:eastAsia="en-AU"/>
              </w:rPr>
              <w:t>ACT</w:t>
            </w:r>
          </w:p>
        </w:tc>
        <w:tc>
          <w:tcPr>
            <w:tcW w:w="940" w:type="dxa"/>
            <w:tcBorders>
              <w:top w:val="single" w:sz="4" w:space="0" w:color="ADD6EA"/>
              <w:left w:val="nil"/>
              <w:bottom w:val="single" w:sz="4" w:space="0" w:color="ADD6EA"/>
              <w:right w:val="nil"/>
            </w:tcBorders>
            <w:shd w:val="clear" w:color="000000" w:fill="006991"/>
            <w:noWrap/>
            <w:vAlign w:val="center"/>
            <w:hideMark/>
          </w:tcPr>
          <w:p w14:paraId="6624D356"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30F5">
              <w:rPr>
                <w:rFonts w:ascii="Open Sans SemiBold" w:eastAsia="Times New Roman" w:hAnsi="Open Sans SemiBold" w:cs="Open Sans SemiBold"/>
                <w:color w:val="FFFFFF"/>
                <w:sz w:val="16"/>
                <w:szCs w:val="16"/>
                <w:lang w:eastAsia="en-AU"/>
              </w:rPr>
              <w:t>NT</w:t>
            </w:r>
          </w:p>
        </w:tc>
        <w:tc>
          <w:tcPr>
            <w:tcW w:w="940" w:type="dxa"/>
            <w:tcBorders>
              <w:top w:val="single" w:sz="4" w:space="0" w:color="ADD6EA"/>
              <w:left w:val="nil"/>
              <w:bottom w:val="single" w:sz="4" w:space="0" w:color="ADD6EA"/>
              <w:right w:val="nil"/>
            </w:tcBorders>
            <w:shd w:val="clear" w:color="000000" w:fill="006991"/>
            <w:noWrap/>
            <w:vAlign w:val="center"/>
            <w:hideMark/>
          </w:tcPr>
          <w:p w14:paraId="2DCC8640"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A30F5">
              <w:rPr>
                <w:rFonts w:ascii="Open Sans SemiBold" w:eastAsia="Times New Roman" w:hAnsi="Open Sans SemiBold" w:cs="Open Sans SemiBold"/>
                <w:color w:val="FFFFFF"/>
                <w:sz w:val="16"/>
                <w:szCs w:val="16"/>
                <w:lang w:eastAsia="en-AU"/>
              </w:rPr>
              <w:t>Total</w:t>
            </w:r>
          </w:p>
        </w:tc>
      </w:tr>
      <w:tr w:rsidR="007E365E" w:rsidRPr="00CA30F5" w14:paraId="4F29971B" w14:textId="77777777" w:rsidTr="007D1D77">
        <w:trPr>
          <w:trHeight w:val="259"/>
        </w:trPr>
        <w:tc>
          <w:tcPr>
            <w:tcW w:w="2360" w:type="dxa"/>
            <w:tcBorders>
              <w:top w:val="nil"/>
              <w:left w:val="nil"/>
              <w:bottom w:val="nil"/>
              <w:right w:val="nil"/>
            </w:tcBorders>
            <w:shd w:val="clear" w:color="000000" w:fill="B6D5E4"/>
            <w:noWrap/>
            <w:vAlign w:val="bottom"/>
            <w:hideMark/>
          </w:tcPr>
          <w:p w14:paraId="334A4081"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 </w:t>
            </w:r>
          </w:p>
        </w:tc>
        <w:tc>
          <w:tcPr>
            <w:tcW w:w="940" w:type="dxa"/>
            <w:tcBorders>
              <w:top w:val="nil"/>
              <w:left w:val="nil"/>
              <w:bottom w:val="nil"/>
              <w:right w:val="nil"/>
            </w:tcBorders>
            <w:shd w:val="clear" w:color="000000" w:fill="B6D5E4"/>
            <w:noWrap/>
            <w:vAlign w:val="center"/>
            <w:hideMark/>
          </w:tcPr>
          <w:p w14:paraId="42997479"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$m</w:t>
            </w:r>
          </w:p>
        </w:tc>
        <w:tc>
          <w:tcPr>
            <w:tcW w:w="940" w:type="dxa"/>
            <w:tcBorders>
              <w:top w:val="nil"/>
              <w:left w:val="nil"/>
              <w:bottom w:val="nil"/>
              <w:right w:val="nil"/>
            </w:tcBorders>
            <w:shd w:val="clear" w:color="000000" w:fill="B6D5E4"/>
            <w:noWrap/>
            <w:vAlign w:val="center"/>
            <w:hideMark/>
          </w:tcPr>
          <w:p w14:paraId="1416171B"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$m</w:t>
            </w:r>
          </w:p>
        </w:tc>
        <w:tc>
          <w:tcPr>
            <w:tcW w:w="940" w:type="dxa"/>
            <w:tcBorders>
              <w:top w:val="nil"/>
              <w:left w:val="nil"/>
              <w:bottom w:val="nil"/>
              <w:right w:val="nil"/>
            </w:tcBorders>
            <w:shd w:val="clear" w:color="000000" w:fill="B6D5E4"/>
            <w:noWrap/>
            <w:vAlign w:val="center"/>
            <w:hideMark/>
          </w:tcPr>
          <w:p w14:paraId="2E8135C9"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$m</w:t>
            </w:r>
          </w:p>
        </w:tc>
        <w:tc>
          <w:tcPr>
            <w:tcW w:w="940" w:type="dxa"/>
            <w:tcBorders>
              <w:top w:val="nil"/>
              <w:left w:val="nil"/>
              <w:bottom w:val="nil"/>
              <w:right w:val="nil"/>
            </w:tcBorders>
            <w:shd w:val="clear" w:color="000000" w:fill="B6D5E4"/>
            <w:noWrap/>
            <w:vAlign w:val="center"/>
            <w:hideMark/>
          </w:tcPr>
          <w:p w14:paraId="2DF924BB"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$m</w:t>
            </w:r>
          </w:p>
        </w:tc>
        <w:tc>
          <w:tcPr>
            <w:tcW w:w="940" w:type="dxa"/>
            <w:tcBorders>
              <w:top w:val="nil"/>
              <w:left w:val="nil"/>
              <w:bottom w:val="nil"/>
              <w:right w:val="nil"/>
            </w:tcBorders>
            <w:shd w:val="clear" w:color="000000" w:fill="B6D5E4"/>
            <w:noWrap/>
            <w:vAlign w:val="center"/>
            <w:hideMark/>
          </w:tcPr>
          <w:p w14:paraId="4A02E310"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$m</w:t>
            </w:r>
          </w:p>
        </w:tc>
        <w:tc>
          <w:tcPr>
            <w:tcW w:w="940" w:type="dxa"/>
            <w:tcBorders>
              <w:top w:val="nil"/>
              <w:left w:val="nil"/>
              <w:bottom w:val="nil"/>
              <w:right w:val="nil"/>
            </w:tcBorders>
            <w:shd w:val="clear" w:color="000000" w:fill="B6D5E4"/>
            <w:noWrap/>
            <w:vAlign w:val="center"/>
            <w:hideMark/>
          </w:tcPr>
          <w:p w14:paraId="6BCDC170"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$m</w:t>
            </w:r>
          </w:p>
        </w:tc>
        <w:tc>
          <w:tcPr>
            <w:tcW w:w="940" w:type="dxa"/>
            <w:tcBorders>
              <w:top w:val="nil"/>
              <w:left w:val="nil"/>
              <w:bottom w:val="nil"/>
              <w:right w:val="nil"/>
            </w:tcBorders>
            <w:shd w:val="clear" w:color="000000" w:fill="B6D5E4"/>
            <w:noWrap/>
            <w:vAlign w:val="center"/>
            <w:hideMark/>
          </w:tcPr>
          <w:p w14:paraId="4F82E3B7"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$m</w:t>
            </w:r>
          </w:p>
        </w:tc>
        <w:tc>
          <w:tcPr>
            <w:tcW w:w="940" w:type="dxa"/>
            <w:tcBorders>
              <w:top w:val="nil"/>
              <w:left w:val="nil"/>
              <w:bottom w:val="nil"/>
              <w:right w:val="nil"/>
            </w:tcBorders>
            <w:shd w:val="clear" w:color="000000" w:fill="B6D5E4"/>
            <w:noWrap/>
            <w:vAlign w:val="center"/>
            <w:hideMark/>
          </w:tcPr>
          <w:p w14:paraId="6B66D166"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$m</w:t>
            </w:r>
          </w:p>
        </w:tc>
        <w:tc>
          <w:tcPr>
            <w:tcW w:w="940" w:type="dxa"/>
            <w:tcBorders>
              <w:top w:val="nil"/>
              <w:left w:val="nil"/>
              <w:bottom w:val="nil"/>
              <w:right w:val="nil"/>
            </w:tcBorders>
            <w:shd w:val="clear" w:color="000000" w:fill="B6D5E4"/>
            <w:noWrap/>
            <w:vAlign w:val="center"/>
            <w:hideMark/>
          </w:tcPr>
          <w:p w14:paraId="627C21CD"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$m</w:t>
            </w:r>
          </w:p>
        </w:tc>
      </w:tr>
      <w:tr w:rsidR="007E365E" w:rsidRPr="00CA30F5" w14:paraId="2CCD82E9" w14:textId="77777777" w:rsidTr="007D1D77">
        <w:trPr>
          <w:trHeight w:val="315"/>
        </w:trPr>
        <w:tc>
          <w:tcPr>
            <w:tcW w:w="2360" w:type="dxa"/>
            <w:tcBorders>
              <w:top w:val="single" w:sz="4" w:space="0" w:color="ADD6EA"/>
              <w:left w:val="nil"/>
              <w:bottom w:val="single" w:sz="4" w:space="0" w:color="ADD6EA"/>
              <w:right w:val="nil"/>
            </w:tcBorders>
            <w:shd w:val="clear" w:color="auto" w:fill="auto"/>
            <w:vAlign w:val="bottom"/>
            <w:hideMark/>
          </w:tcPr>
          <w:p w14:paraId="0996B44A" w14:textId="77777777" w:rsidR="007E365E" w:rsidRPr="00CA30F5"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CA30F5">
              <w:rPr>
                <w:rFonts w:eastAsia="Times New Roman" w:cs="Open Sans Light"/>
                <w:sz w:val="16"/>
                <w:szCs w:val="16"/>
                <w:lang w:eastAsia="en-AU"/>
              </w:rPr>
              <w:t>Rail passenger</w:t>
            </w:r>
          </w:p>
        </w:tc>
        <w:tc>
          <w:tcPr>
            <w:tcW w:w="940" w:type="dxa"/>
            <w:tcBorders>
              <w:top w:val="single" w:sz="4" w:space="0" w:color="ADD6EA"/>
              <w:left w:val="nil"/>
              <w:bottom w:val="single" w:sz="4" w:space="0" w:color="ADD6EA"/>
              <w:right w:val="nil"/>
            </w:tcBorders>
            <w:shd w:val="clear" w:color="auto" w:fill="auto"/>
            <w:vAlign w:val="bottom"/>
            <w:hideMark/>
          </w:tcPr>
          <w:p w14:paraId="758F2750"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117</w:t>
            </w:r>
          </w:p>
        </w:tc>
        <w:tc>
          <w:tcPr>
            <w:tcW w:w="940" w:type="dxa"/>
            <w:tcBorders>
              <w:top w:val="single" w:sz="4" w:space="0" w:color="ADD6EA"/>
              <w:left w:val="nil"/>
              <w:bottom w:val="single" w:sz="4" w:space="0" w:color="ADD6EA"/>
              <w:right w:val="nil"/>
            </w:tcBorders>
            <w:shd w:val="clear" w:color="auto" w:fill="auto"/>
            <w:vAlign w:val="bottom"/>
            <w:hideMark/>
          </w:tcPr>
          <w:p w14:paraId="0FE41D41"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590</w:t>
            </w:r>
          </w:p>
        </w:tc>
        <w:tc>
          <w:tcPr>
            <w:tcW w:w="940" w:type="dxa"/>
            <w:tcBorders>
              <w:top w:val="single" w:sz="4" w:space="0" w:color="ADD6EA"/>
              <w:left w:val="nil"/>
              <w:bottom w:val="single" w:sz="4" w:space="0" w:color="ADD6EA"/>
              <w:right w:val="nil"/>
            </w:tcBorders>
            <w:shd w:val="clear" w:color="auto" w:fill="auto"/>
            <w:vAlign w:val="bottom"/>
            <w:hideMark/>
          </w:tcPr>
          <w:p w14:paraId="3D42FD63"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333</w:t>
            </w:r>
          </w:p>
        </w:tc>
        <w:tc>
          <w:tcPr>
            <w:tcW w:w="940" w:type="dxa"/>
            <w:tcBorders>
              <w:top w:val="single" w:sz="4" w:space="0" w:color="ADD6EA"/>
              <w:left w:val="nil"/>
              <w:bottom w:val="single" w:sz="4" w:space="0" w:color="ADD6EA"/>
              <w:right w:val="nil"/>
            </w:tcBorders>
            <w:shd w:val="clear" w:color="auto" w:fill="auto"/>
            <w:vAlign w:val="bottom"/>
            <w:hideMark/>
          </w:tcPr>
          <w:p w14:paraId="4DFF9056"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16</w:t>
            </w:r>
          </w:p>
        </w:tc>
        <w:tc>
          <w:tcPr>
            <w:tcW w:w="940" w:type="dxa"/>
            <w:tcBorders>
              <w:top w:val="single" w:sz="4" w:space="0" w:color="ADD6EA"/>
              <w:left w:val="nil"/>
              <w:bottom w:val="single" w:sz="4" w:space="0" w:color="ADD6EA"/>
              <w:right w:val="nil"/>
            </w:tcBorders>
            <w:shd w:val="clear" w:color="auto" w:fill="auto"/>
            <w:vAlign w:val="bottom"/>
            <w:hideMark/>
          </w:tcPr>
          <w:p w14:paraId="6051171F"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single" w:sz="4" w:space="0" w:color="ADD6EA"/>
              <w:left w:val="nil"/>
              <w:bottom w:val="single" w:sz="4" w:space="0" w:color="ADD6EA"/>
              <w:right w:val="nil"/>
            </w:tcBorders>
            <w:shd w:val="clear" w:color="auto" w:fill="auto"/>
            <w:vAlign w:val="bottom"/>
            <w:hideMark/>
          </w:tcPr>
          <w:p w14:paraId="21F0DEF9"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single" w:sz="4" w:space="0" w:color="ADD6EA"/>
              <w:left w:val="nil"/>
              <w:bottom w:val="single" w:sz="4" w:space="0" w:color="ADD6EA"/>
              <w:right w:val="nil"/>
            </w:tcBorders>
            <w:shd w:val="clear" w:color="auto" w:fill="auto"/>
            <w:vAlign w:val="bottom"/>
            <w:hideMark/>
          </w:tcPr>
          <w:p w14:paraId="30A6C0B6"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single" w:sz="4" w:space="0" w:color="ADD6EA"/>
              <w:left w:val="nil"/>
              <w:bottom w:val="single" w:sz="4" w:space="0" w:color="ADD6EA"/>
              <w:right w:val="nil"/>
            </w:tcBorders>
            <w:shd w:val="clear" w:color="auto" w:fill="auto"/>
            <w:vAlign w:val="bottom"/>
            <w:hideMark/>
          </w:tcPr>
          <w:p w14:paraId="083BE02F"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single" w:sz="4" w:space="0" w:color="ADD6EA"/>
              <w:left w:val="nil"/>
              <w:bottom w:val="single" w:sz="4" w:space="0" w:color="ADD6EA"/>
              <w:right w:val="nil"/>
            </w:tcBorders>
            <w:shd w:val="clear" w:color="auto" w:fill="auto"/>
            <w:vAlign w:val="bottom"/>
            <w:hideMark/>
          </w:tcPr>
          <w:p w14:paraId="7C142B49"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1,056</w:t>
            </w:r>
          </w:p>
        </w:tc>
      </w:tr>
      <w:tr w:rsidR="007E365E" w:rsidRPr="00CA30F5" w14:paraId="49915FC2" w14:textId="77777777" w:rsidTr="007D1D77">
        <w:trPr>
          <w:trHeight w:val="315"/>
        </w:trPr>
        <w:tc>
          <w:tcPr>
            <w:tcW w:w="2360" w:type="dxa"/>
            <w:tcBorders>
              <w:top w:val="nil"/>
              <w:left w:val="nil"/>
              <w:bottom w:val="nil"/>
              <w:right w:val="nil"/>
            </w:tcBorders>
            <w:shd w:val="clear" w:color="auto" w:fill="auto"/>
            <w:vAlign w:val="bottom"/>
            <w:hideMark/>
          </w:tcPr>
          <w:p w14:paraId="6323F3FE" w14:textId="77777777" w:rsidR="007E365E" w:rsidRPr="00CA30F5"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CA30F5">
              <w:rPr>
                <w:rFonts w:eastAsia="Times New Roman" w:cs="Open Sans Light"/>
                <w:sz w:val="16"/>
                <w:szCs w:val="16"/>
                <w:lang w:eastAsia="en-AU"/>
              </w:rPr>
              <w:t>Rail freight</w:t>
            </w:r>
          </w:p>
        </w:tc>
        <w:tc>
          <w:tcPr>
            <w:tcW w:w="940" w:type="dxa"/>
            <w:tcBorders>
              <w:top w:val="nil"/>
              <w:left w:val="nil"/>
              <w:bottom w:val="nil"/>
              <w:right w:val="nil"/>
            </w:tcBorders>
            <w:shd w:val="clear" w:color="auto" w:fill="auto"/>
            <w:vAlign w:val="bottom"/>
            <w:hideMark/>
          </w:tcPr>
          <w:p w14:paraId="75543ED2"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47</w:t>
            </w:r>
          </w:p>
        </w:tc>
        <w:tc>
          <w:tcPr>
            <w:tcW w:w="940" w:type="dxa"/>
            <w:tcBorders>
              <w:top w:val="nil"/>
              <w:left w:val="nil"/>
              <w:bottom w:val="nil"/>
              <w:right w:val="nil"/>
            </w:tcBorders>
            <w:shd w:val="clear" w:color="auto" w:fill="auto"/>
            <w:vAlign w:val="bottom"/>
            <w:hideMark/>
          </w:tcPr>
          <w:p w14:paraId="3BFAFF8A"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nil"/>
              <w:left w:val="nil"/>
              <w:bottom w:val="nil"/>
              <w:right w:val="nil"/>
            </w:tcBorders>
            <w:shd w:val="clear" w:color="auto" w:fill="auto"/>
            <w:vAlign w:val="bottom"/>
            <w:hideMark/>
          </w:tcPr>
          <w:p w14:paraId="272A37B6"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34</w:t>
            </w:r>
          </w:p>
        </w:tc>
        <w:tc>
          <w:tcPr>
            <w:tcW w:w="940" w:type="dxa"/>
            <w:tcBorders>
              <w:top w:val="nil"/>
              <w:left w:val="nil"/>
              <w:bottom w:val="nil"/>
              <w:right w:val="nil"/>
            </w:tcBorders>
            <w:shd w:val="clear" w:color="auto" w:fill="auto"/>
            <w:vAlign w:val="bottom"/>
            <w:hideMark/>
          </w:tcPr>
          <w:p w14:paraId="19A80E25"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8</w:t>
            </w:r>
          </w:p>
        </w:tc>
        <w:tc>
          <w:tcPr>
            <w:tcW w:w="940" w:type="dxa"/>
            <w:tcBorders>
              <w:top w:val="nil"/>
              <w:left w:val="nil"/>
              <w:bottom w:val="nil"/>
              <w:right w:val="nil"/>
            </w:tcBorders>
            <w:shd w:val="clear" w:color="auto" w:fill="auto"/>
            <w:vAlign w:val="bottom"/>
            <w:hideMark/>
          </w:tcPr>
          <w:p w14:paraId="5F3370CA"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nil"/>
              <w:left w:val="nil"/>
              <w:bottom w:val="nil"/>
              <w:right w:val="nil"/>
            </w:tcBorders>
            <w:shd w:val="clear" w:color="auto" w:fill="auto"/>
            <w:vAlign w:val="bottom"/>
            <w:hideMark/>
          </w:tcPr>
          <w:p w14:paraId="537ADCEF"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8</w:t>
            </w:r>
          </w:p>
        </w:tc>
        <w:tc>
          <w:tcPr>
            <w:tcW w:w="940" w:type="dxa"/>
            <w:tcBorders>
              <w:top w:val="nil"/>
              <w:left w:val="nil"/>
              <w:bottom w:val="nil"/>
              <w:right w:val="nil"/>
            </w:tcBorders>
            <w:shd w:val="clear" w:color="auto" w:fill="auto"/>
            <w:vAlign w:val="bottom"/>
            <w:hideMark/>
          </w:tcPr>
          <w:p w14:paraId="2B7A97B7"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nil"/>
              <w:left w:val="nil"/>
              <w:bottom w:val="nil"/>
              <w:right w:val="nil"/>
            </w:tcBorders>
            <w:shd w:val="clear" w:color="auto" w:fill="auto"/>
            <w:vAlign w:val="bottom"/>
            <w:hideMark/>
          </w:tcPr>
          <w:p w14:paraId="191B079F"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nil"/>
              <w:left w:val="nil"/>
              <w:bottom w:val="nil"/>
              <w:right w:val="nil"/>
            </w:tcBorders>
            <w:shd w:val="clear" w:color="auto" w:fill="auto"/>
            <w:vAlign w:val="bottom"/>
            <w:hideMark/>
          </w:tcPr>
          <w:p w14:paraId="3D0024D2"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97</w:t>
            </w:r>
          </w:p>
        </w:tc>
      </w:tr>
      <w:tr w:rsidR="007E365E" w:rsidRPr="00CA30F5" w14:paraId="1E6FC8F8" w14:textId="77777777" w:rsidTr="007D1D77">
        <w:trPr>
          <w:trHeight w:val="315"/>
        </w:trPr>
        <w:tc>
          <w:tcPr>
            <w:tcW w:w="2360" w:type="dxa"/>
            <w:tcBorders>
              <w:top w:val="single" w:sz="4" w:space="0" w:color="ADD6EA"/>
              <w:left w:val="nil"/>
              <w:bottom w:val="single" w:sz="4" w:space="0" w:color="ADD6EA"/>
              <w:right w:val="nil"/>
            </w:tcBorders>
            <w:shd w:val="clear" w:color="auto" w:fill="auto"/>
            <w:vAlign w:val="bottom"/>
            <w:hideMark/>
          </w:tcPr>
          <w:p w14:paraId="69137CA7" w14:textId="77777777" w:rsidR="007E365E" w:rsidRPr="00CA30F5"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CA30F5">
              <w:rPr>
                <w:rFonts w:eastAsia="Times New Roman" w:cs="Open Sans Light"/>
                <w:sz w:val="16"/>
                <w:szCs w:val="16"/>
                <w:lang w:eastAsia="en-AU"/>
              </w:rPr>
              <w:t xml:space="preserve">Bus </w:t>
            </w:r>
          </w:p>
        </w:tc>
        <w:tc>
          <w:tcPr>
            <w:tcW w:w="940" w:type="dxa"/>
            <w:tcBorders>
              <w:top w:val="single" w:sz="4" w:space="0" w:color="ADD6EA"/>
              <w:left w:val="nil"/>
              <w:bottom w:val="single" w:sz="4" w:space="0" w:color="ADD6EA"/>
              <w:right w:val="nil"/>
            </w:tcBorders>
            <w:shd w:val="clear" w:color="auto" w:fill="auto"/>
            <w:vAlign w:val="bottom"/>
            <w:hideMark/>
          </w:tcPr>
          <w:p w14:paraId="2BA1F114"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single" w:sz="4" w:space="0" w:color="ADD6EA"/>
              <w:left w:val="nil"/>
              <w:bottom w:val="single" w:sz="4" w:space="0" w:color="ADD6EA"/>
              <w:right w:val="nil"/>
            </w:tcBorders>
            <w:shd w:val="clear" w:color="auto" w:fill="auto"/>
            <w:vAlign w:val="bottom"/>
            <w:hideMark/>
          </w:tcPr>
          <w:p w14:paraId="7EAA6102"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single" w:sz="4" w:space="0" w:color="ADD6EA"/>
              <w:left w:val="nil"/>
              <w:bottom w:val="single" w:sz="4" w:space="0" w:color="ADD6EA"/>
              <w:right w:val="nil"/>
            </w:tcBorders>
            <w:shd w:val="clear" w:color="auto" w:fill="auto"/>
            <w:vAlign w:val="bottom"/>
            <w:hideMark/>
          </w:tcPr>
          <w:p w14:paraId="69587446"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59</w:t>
            </w:r>
          </w:p>
        </w:tc>
        <w:tc>
          <w:tcPr>
            <w:tcW w:w="940" w:type="dxa"/>
            <w:tcBorders>
              <w:top w:val="single" w:sz="4" w:space="0" w:color="ADD6EA"/>
              <w:left w:val="nil"/>
              <w:bottom w:val="single" w:sz="4" w:space="0" w:color="ADD6EA"/>
              <w:right w:val="nil"/>
            </w:tcBorders>
            <w:shd w:val="clear" w:color="auto" w:fill="auto"/>
            <w:vAlign w:val="bottom"/>
            <w:hideMark/>
          </w:tcPr>
          <w:p w14:paraId="017186A9"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34</w:t>
            </w:r>
          </w:p>
        </w:tc>
        <w:tc>
          <w:tcPr>
            <w:tcW w:w="940" w:type="dxa"/>
            <w:tcBorders>
              <w:top w:val="single" w:sz="4" w:space="0" w:color="ADD6EA"/>
              <w:left w:val="nil"/>
              <w:bottom w:val="single" w:sz="4" w:space="0" w:color="ADD6EA"/>
              <w:right w:val="nil"/>
            </w:tcBorders>
            <w:shd w:val="clear" w:color="auto" w:fill="auto"/>
            <w:vAlign w:val="bottom"/>
            <w:hideMark/>
          </w:tcPr>
          <w:p w14:paraId="7B47C414"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5</w:t>
            </w:r>
          </w:p>
        </w:tc>
        <w:tc>
          <w:tcPr>
            <w:tcW w:w="940" w:type="dxa"/>
            <w:tcBorders>
              <w:top w:val="single" w:sz="4" w:space="0" w:color="ADD6EA"/>
              <w:left w:val="nil"/>
              <w:bottom w:val="single" w:sz="4" w:space="0" w:color="ADD6EA"/>
              <w:right w:val="nil"/>
            </w:tcBorders>
            <w:shd w:val="clear" w:color="auto" w:fill="auto"/>
            <w:vAlign w:val="bottom"/>
            <w:hideMark/>
          </w:tcPr>
          <w:p w14:paraId="0B3A266F"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14</w:t>
            </w:r>
          </w:p>
        </w:tc>
        <w:tc>
          <w:tcPr>
            <w:tcW w:w="940" w:type="dxa"/>
            <w:tcBorders>
              <w:top w:val="single" w:sz="4" w:space="0" w:color="ADD6EA"/>
              <w:left w:val="nil"/>
              <w:bottom w:val="single" w:sz="4" w:space="0" w:color="ADD6EA"/>
              <w:right w:val="nil"/>
            </w:tcBorders>
            <w:shd w:val="clear" w:color="auto" w:fill="auto"/>
            <w:vAlign w:val="bottom"/>
            <w:hideMark/>
          </w:tcPr>
          <w:p w14:paraId="50E13662"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single" w:sz="4" w:space="0" w:color="ADD6EA"/>
              <w:left w:val="nil"/>
              <w:bottom w:val="single" w:sz="4" w:space="0" w:color="ADD6EA"/>
              <w:right w:val="nil"/>
            </w:tcBorders>
            <w:shd w:val="clear" w:color="auto" w:fill="auto"/>
            <w:vAlign w:val="bottom"/>
            <w:hideMark/>
          </w:tcPr>
          <w:p w14:paraId="6AF02112"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single" w:sz="4" w:space="0" w:color="ADD6EA"/>
              <w:left w:val="nil"/>
              <w:bottom w:val="single" w:sz="4" w:space="0" w:color="ADD6EA"/>
              <w:right w:val="nil"/>
            </w:tcBorders>
            <w:shd w:val="clear" w:color="auto" w:fill="auto"/>
            <w:vAlign w:val="bottom"/>
            <w:hideMark/>
          </w:tcPr>
          <w:p w14:paraId="193196B8"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112</w:t>
            </w:r>
          </w:p>
        </w:tc>
      </w:tr>
      <w:tr w:rsidR="007E365E" w:rsidRPr="00CA30F5" w14:paraId="5F9C5ADF" w14:textId="77777777" w:rsidTr="007D1D77">
        <w:trPr>
          <w:trHeight w:val="315"/>
        </w:trPr>
        <w:tc>
          <w:tcPr>
            <w:tcW w:w="2360" w:type="dxa"/>
            <w:tcBorders>
              <w:top w:val="nil"/>
              <w:left w:val="nil"/>
              <w:bottom w:val="nil"/>
              <w:right w:val="nil"/>
            </w:tcBorders>
            <w:shd w:val="clear" w:color="auto" w:fill="auto"/>
            <w:vAlign w:val="bottom"/>
            <w:hideMark/>
          </w:tcPr>
          <w:p w14:paraId="417D8771" w14:textId="77777777" w:rsidR="007E365E" w:rsidRPr="00CA30F5"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CA30F5">
              <w:rPr>
                <w:rFonts w:eastAsia="Times New Roman" w:cs="Open Sans Light"/>
                <w:sz w:val="16"/>
                <w:szCs w:val="16"/>
                <w:lang w:eastAsia="en-AU"/>
              </w:rPr>
              <w:t>Water transport</w:t>
            </w:r>
          </w:p>
        </w:tc>
        <w:tc>
          <w:tcPr>
            <w:tcW w:w="940" w:type="dxa"/>
            <w:tcBorders>
              <w:top w:val="nil"/>
              <w:left w:val="nil"/>
              <w:bottom w:val="nil"/>
              <w:right w:val="nil"/>
            </w:tcBorders>
            <w:shd w:val="clear" w:color="auto" w:fill="auto"/>
            <w:vAlign w:val="bottom"/>
            <w:hideMark/>
          </w:tcPr>
          <w:p w14:paraId="07C1E07B"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nil"/>
              <w:left w:val="nil"/>
              <w:bottom w:val="nil"/>
              <w:right w:val="nil"/>
            </w:tcBorders>
            <w:shd w:val="clear" w:color="auto" w:fill="auto"/>
            <w:vAlign w:val="bottom"/>
            <w:hideMark/>
          </w:tcPr>
          <w:p w14:paraId="33CD8DC6"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nil"/>
              <w:left w:val="nil"/>
              <w:bottom w:val="nil"/>
              <w:right w:val="nil"/>
            </w:tcBorders>
            <w:shd w:val="clear" w:color="auto" w:fill="auto"/>
            <w:vAlign w:val="bottom"/>
            <w:hideMark/>
          </w:tcPr>
          <w:p w14:paraId="6FC4BC85"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135</w:t>
            </w:r>
          </w:p>
        </w:tc>
        <w:tc>
          <w:tcPr>
            <w:tcW w:w="940" w:type="dxa"/>
            <w:tcBorders>
              <w:top w:val="nil"/>
              <w:left w:val="nil"/>
              <w:bottom w:val="nil"/>
              <w:right w:val="nil"/>
            </w:tcBorders>
            <w:shd w:val="clear" w:color="auto" w:fill="auto"/>
            <w:vAlign w:val="bottom"/>
            <w:hideMark/>
          </w:tcPr>
          <w:p w14:paraId="6981211E"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47</w:t>
            </w:r>
          </w:p>
        </w:tc>
        <w:tc>
          <w:tcPr>
            <w:tcW w:w="940" w:type="dxa"/>
            <w:tcBorders>
              <w:top w:val="nil"/>
              <w:left w:val="nil"/>
              <w:bottom w:val="nil"/>
              <w:right w:val="nil"/>
            </w:tcBorders>
            <w:shd w:val="clear" w:color="auto" w:fill="auto"/>
            <w:vAlign w:val="bottom"/>
            <w:hideMark/>
          </w:tcPr>
          <w:p w14:paraId="19E05DD5"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23</w:t>
            </w:r>
          </w:p>
        </w:tc>
        <w:tc>
          <w:tcPr>
            <w:tcW w:w="940" w:type="dxa"/>
            <w:tcBorders>
              <w:top w:val="nil"/>
              <w:left w:val="nil"/>
              <w:bottom w:val="nil"/>
              <w:right w:val="nil"/>
            </w:tcBorders>
            <w:shd w:val="clear" w:color="auto" w:fill="auto"/>
            <w:vAlign w:val="bottom"/>
            <w:hideMark/>
          </w:tcPr>
          <w:p w14:paraId="4F7C775D"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1</w:t>
            </w:r>
          </w:p>
        </w:tc>
        <w:tc>
          <w:tcPr>
            <w:tcW w:w="940" w:type="dxa"/>
            <w:tcBorders>
              <w:top w:val="nil"/>
              <w:left w:val="nil"/>
              <w:bottom w:val="nil"/>
              <w:right w:val="nil"/>
            </w:tcBorders>
            <w:shd w:val="clear" w:color="auto" w:fill="auto"/>
            <w:vAlign w:val="bottom"/>
            <w:hideMark/>
          </w:tcPr>
          <w:p w14:paraId="74FC1375"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nil"/>
              <w:left w:val="nil"/>
              <w:bottom w:val="nil"/>
              <w:right w:val="nil"/>
            </w:tcBorders>
            <w:shd w:val="clear" w:color="auto" w:fill="auto"/>
            <w:vAlign w:val="bottom"/>
            <w:hideMark/>
          </w:tcPr>
          <w:p w14:paraId="05836632"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1</w:t>
            </w:r>
          </w:p>
        </w:tc>
        <w:tc>
          <w:tcPr>
            <w:tcW w:w="940" w:type="dxa"/>
            <w:tcBorders>
              <w:top w:val="nil"/>
              <w:left w:val="nil"/>
              <w:bottom w:val="nil"/>
              <w:right w:val="nil"/>
            </w:tcBorders>
            <w:shd w:val="clear" w:color="auto" w:fill="auto"/>
            <w:vAlign w:val="bottom"/>
            <w:hideMark/>
          </w:tcPr>
          <w:p w14:paraId="1CF434DA"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207</w:t>
            </w:r>
          </w:p>
        </w:tc>
      </w:tr>
      <w:tr w:rsidR="007E365E" w:rsidRPr="00CA30F5" w14:paraId="4D425376" w14:textId="77777777" w:rsidTr="007D1D77">
        <w:trPr>
          <w:trHeight w:val="315"/>
        </w:trPr>
        <w:tc>
          <w:tcPr>
            <w:tcW w:w="2360" w:type="dxa"/>
            <w:tcBorders>
              <w:top w:val="single" w:sz="4" w:space="0" w:color="ADD6EA"/>
              <w:left w:val="nil"/>
              <w:bottom w:val="single" w:sz="4" w:space="0" w:color="ADD6EA"/>
              <w:right w:val="nil"/>
            </w:tcBorders>
            <w:shd w:val="clear" w:color="auto" w:fill="auto"/>
            <w:vAlign w:val="bottom"/>
            <w:hideMark/>
          </w:tcPr>
          <w:p w14:paraId="0C570863" w14:textId="77777777" w:rsidR="007E365E" w:rsidRPr="00CA30F5"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CA30F5">
              <w:rPr>
                <w:rFonts w:eastAsia="Times New Roman" w:cs="Open Sans Light"/>
                <w:sz w:val="16"/>
                <w:szCs w:val="16"/>
                <w:lang w:eastAsia="en-AU"/>
              </w:rPr>
              <w:t>Air transport</w:t>
            </w:r>
          </w:p>
        </w:tc>
        <w:tc>
          <w:tcPr>
            <w:tcW w:w="940" w:type="dxa"/>
            <w:tcBorders>
              <w:top w:val="single" w:sz="4" w:space="0" w:color="ADD6EA"/>
              <w:left w:val="nil"/>
              <w:bottom w:val="single" w:sz="4" w:space="0" w:color="ADD6EA"/>
              <w:right w:val="nil"/>
            </w:tcBorders>
            <w:shd w:val="clear" w:color="auto" w:fill="auto"/>
            <w:vAlign w:val="bottom"/>
            <w:hideMark/>
          </w:tcPr>
          <w:p w14:paraId="01E97C9C"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single" w:sz="4" w:space="0" w:color="ADD6EA"/>
              <w:left w:val="nil"/>
              <w:bottom w:val="single" w:sz="4" w:space="0" w:color="ADD6EA"/>
              <w:right w:val="nil"/>
            </w:tcBorders>
            <w:shd w:val="clear" w:color="auto" w:fill="auto"/>
            <w:vAlign w:val="bottom"/>
            <w:hideMark/>
          </w:tcPr>
          <w:p w14:paraId="755E1A73"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single" w:sz="4" w:space="0" w:color="ADD6EA"/>
              <w:left w:val="nil"/>
              <w:bottom w:val="single" w:sz="4" w:space="0" w:color="ADD6EA"/>
              <w:right w:val="nil"/>
            </w:tcBorders>
            <w:shd w:val="clear" w:color="auto" w:fill="auto"/>
            <w:vAlign w:val="bottom"/>
            <w:hideMark/>
          </w:tcPr>
          <w:p w14:paraId="3629AD4F"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single" w:sz="4" w:space="0" w:color="ADD6EA"/>
              <w:left w:val="nil"/>
              <w:bottom w:val="single" w:sz="4" w:space="0" w:color="ADD6EA"/>
              <w:right w:val="nil"/>
            </w:tcBorders>
            <w:shd w:val="clear" w:color="auto" w:fill="auto"/>
            <w:vAlign w:val="bottom"/>
            <w:hideMark/>
          </w:tcPr>
          <w:p w14:paraId="77EA8018"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5</w:t>
            </w:r>
          </w:p>
        </w:tc>
        <w:tc>
          <w:tcPr>
            <w:tcW w:w="940" w:type="dxa"/>
            <w:tcBorders>
              <w:top w:val="single" w:sz="4" w:space="0" w:color="ADD6EA"/>
              <w:left w:val="nil"/>
              <w:bottom w:val="single" w:sz="4" w:space="0" w:color="ADD6EA"/>
              <w:right w:val="nil"/>
            </w:tcBorders>
            <w:shd w:val="clear" w:color="auto" w:fill="auto"/>
            <w:vAlign w:val="bottom"/>
            <w:hideMark/>
          </w:tcPr>
          <w:p w14:paraId="7A411519"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single" w:sz="4" w:space="0" w:color="ADD6EA"/>
              <w:left w:val="nil"/>
              <w:bottom w:val="single" w:sz="4" w:space="0" w:color="ADD6EA"/>
              <w:right w:val="nil"/>
            </w:tcBorders>
            <w:shd w:val="clear" w:color="auto" w:fill="auto"/>
            <w:vAlign w:val="bottom"/>
            <w:hideMark/>
          </w:tcPr>
          <w:p w14:paraId="2DD34E01"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1</w:t>
            </w:r>
          </w:p>
        </w:tc>
        <w:tc>
          <w:tcPr>
            <w:tcW w:w="940" w:type="dxa"/>
            <w:tcBorders>
              <w:top w:val="single" w:sz="4" w:space="0" w:color="ADD6EA"/>
              <w:left w:val="nil"/>
              <w:bottom w:val="single" w:sz="4" w:space="0" w:color="ADD6EA"/>
              <w:right w:val="nil"/>
            </w:tcBorders>
            <w:shd w:val="clear" w:color="auto" w:fill="auto"/>
            <w:vAlign w:val="bottom"/>
            <w:hideMark/>
          </w:tcPr>
          <w:p w14:paraId="1E6441D3"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0</w:t>
            </w:r>
          </w:p>
        </w:tc>
        <w:tc>
          <w:tcPr>
            <w:tcW w:w="940" w:type="dxa"/>
            <w:tcBorders>
              <w:top w:val="single" w:sz="4" w:space="0" w:color="ADD6EA"/>
              <w:left w:val="nil"/>
              <w:bottom w:val="single" w:sz="4" w:space="0" w:color="ADD6EA"/>
              <w:right w:val="nil"/>
            </w:tcBorders>
            <w:shd w:val="clear" w:color="auto" w:fill="auto"/>
            <w:vAlign w:val="bottom"/>
            <w:hideMark/>
          </w:tcPr>
          <w:p w14:paraId="073DFDBE"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7</w:t>
            </w:r>
          </w:p>
        </w:tc>
        <w:tc>
          <w:tcPr>
            <w:tcW w:w="940" w:type="dxa"/>
            <w:tcBorders>
              <w:top w:val="single" w:sz="4" w:space="0" w:color="ADD6EA"/>
              <w:left w:val="nil"/>
              <w:bottom w:val="single" w:sz="4" w:space="0" w:color="ADD6EA"/>
              <w:right w:val="nil"/>
            </w:tcBorders>
            <w:shd w:val="clear" w:color="auto" w:fill="auto"/>
            <w:vAlign w:val="bottom"/>
            <w:hideMark/>
          </w:tcPr>
          <w:p w14:paraId="703C1D70" w14:textId="77777777" w:rsidR="007E365E" w:rsidRPr="00CA30F5"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CA30F5">
              <w:rPr>
                <w:rFonts w:eastAsia="Times New Roman" w:cs="Open Sans Light"/>
                <w:sz w:val="16"/>
                <w:szCs w:val="16"/>
                <w:lang w:eastAsia="en-AU"/>
              </w:rPr>
              <w:t>13</w:t>
            </w:r>
          </w:p>
        </w:tc>
      </w:tr>
      <w:tr w:rsidR="007E365E" w:rsidRPr="00CA30F5" w14:paraId="26BFE419" w14:textId="77777777" w:rsidTr="007D1D77">
        <w:trPr>
          <w:trHeight w:val="315"/>
        </w:trPr>
        <w:tc>
          <w:tcPr>
            <w:tcW w:w="2360" w:type="dxa"/>
            <w:tcBorders>
              <w:top w:val="nil"/>
              <w:left w:val="nil"/>
              <w:bottom w:val="single" w:sz="4" w:space="0" w:color="ADD6EA"/>
              <w:right w:val="nil"/>
            </w:tcBorders>
            <w:shd w:val="clear" w:color="000000" w:fill="D6E7F0"/>
            <w:vAlign w:val="bottom"/>
            <w:hideMark/>
          </w:tcPr>
          <w:p w14:paraId="0488C6CA" w14:textId="77777777" w:rsidR="007E365E" w:rsidRPr="00CA30F5" w:rsidRDefault="007E365E" w:rsidP="007D1D77">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Total</w:t>
            </w:r>
          </w:p>
        </w:tc>
        <w:tc>
          <w:tcPr>
            <w:tcW w:w="940" w:type="dxa"/>
            <w:tcBorders>
              <w:top w:val="nil"/>
              <w:left w:val="nil"/>
              <w:bottom w:val="single" w:sz="4" w:space="0" w:color="ADD6EA"/>
              <w:right w:val="nil"/>
            </w:tcBorders>
            <w:shd w:val="clear" w:color="000000" w:fill="D6E7F0"/>
            <w:vAlign w:val="bottom"/>
            <w:hideMark/>
          </w:tcPr>
          <w:p w14:paraId="0E3EDC99"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164</w:t>
            </w:r>
          </w:p>
        </w:tc>
        <w:tc>
          <w:tcPr>
            <w:tcW w:w="940" w:type="dxa"/>
            <w:tcBorders>
              <w:top w:val="nil"/>
              <w:left w:val="nil"/>
              <w:bottom w:val="single" w:sz="4" w:space="0" w:color="ADD6EA"/>
              <w:right w:val="nil"/>
            </w:tcBorders>
            <w:shd w:val="clear" w:color="000000" w:fill="D6E7F0"/>
            <w:vAlign w:val="bottom"/>
            <w:hideMark/>
          </w:tcPr>
          <w:p w14:paraId="1CA18950"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590</w:t>
            </w:r>
          </w:p>
        </w:tc>
        <w:tc>
          <w:tcPr>
            <w:tcW w:w="940" w:type="dxa"/>
            <w:tcBorders>
              <w:top w:val="nil"/>
              <w:left w:val="nil"/>
              <w:bottom w:val="single" w:sz="4" w:space="0" w:color="ADD6EA"/>
              <w:right w:val="nil"/>
            </w:tcBorders>
            <w:shd w:val="clear" w:color="000000" w:fill="D6E7F0"/>
            <w:vAlign w:val="bottom"/>
            <w:hideMark/>
          </w:tcPr>
          <w:p w14:paraId="7C1D9096"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561</w:t>
            </w:r>
          </w:p>
        </w:tc>
        <w:tc>
          <w:tcPr>
            <w:tcW w:w="940" w:type="dxa"/>
            <w:tcBorders>
              <w:top w:val="nil"/>
              <w:left w:val="nil"/>
              <w:bottom w:val="single" w:sz="4" w:space="0" w:color="ADD6EA"/>
              <w:right w:val="nil"/>
            </w:tcBorders>
            <w:shd w:val="clear" w:color="000000" w:fill="D6E7F0"/>
            <w:vAlign w:val="bottom"/>
            <w:hideMark/>
          </w:tcPr>
          <w:p w14:paraId="1540B21F"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110</w:t>
            </w:r>
          </w:p>
        </w:tc>
        <w:tc>
          <w:tcPr>
            <w:tcW w:w="940" w:type="dxa"/>
            <w:tcBorders>
              <w:top w:val="nil"/>
              <w:left w:val="nil"/>
              <w:bottom w:val="single" w:sz="4" w:space="0" w:color="ADD6EA"/>
              <w:right w:val="nil"/>
            </w:tcBorders>
            <w:shd w:val="clear" w:color="000000" w:fill="D6E7F0"/>
            <w:vAlign w:val="bottom"/>
            <w:hideMark/>
          </w:tcPr>
          <w:p w14:paraId="6DFE0AD4"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28</w:t>
            </w:r>
          </w:p>
        </w:tc>
        <w:tc>
          <w:tcPr>
            <w:tcW w:w="940" w:type="dxa"/>
            <w:tcBorders>
              <w:top w:val="nil"/>
              <w:left w:val="nil"/>
              <w:bottom w:val="single" w:sz="4" w:space="0" w:color="ADD6EA"/>
              <w:right w:val="nil"/>
            </w:tcBorders>
            <w:shd w:val="clear" w:color="000000" w:fill="D6E7F0"/>
            <w:vAlign w:val="bottom"/>
            <w:hideMark/>
          </w:tcPr>
          <w:p w14:paraId="45F2505D"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24</w:t>
            </w:r>
          </w:p>
        </w:tc>
        <w:tc>
          <w:tcPr>
            <w:tcW w:w="940" w:type="dxa"/>
            <w:tcBorders>
              <w:top w:val="nil"/>
              <w:left w:val="nil"/>
              <w:bottom w:val="single" w:sz="4" w:space="0" w:color="ADD6EA"/>
              <w:right w:val="nil"/>
            </w:tcBorders>
            <w:shd w:val="clear" w:color="000000" w:fill="D6E7F0"/>
            <w:vAlign w:val="bottom"/>
            <w:hideMark/>
          </w:tcPr>
          <w:p w14:paraId="7C01E89B"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0</w:t>
            </w:r>
          </w:p>
        </w:tc>
        <w:tc>
          <w:tcPr>
            <w:tcW w:w="940" w:type="dxa"/>
            <w:tcBorders>
              <w:top w:val="nil"/>
              <w:left w:val="nil"/>
              <w:bottom w:val="single" w:sz="4" w:space="0" w:color="ADD6EA"/>
              <w:right w:val="nil"/>
            </w:tcBorders>
            <w:shd w:val="clear" w:color="000000" w:fill="D6E7F0"/>
            <w:vAlign w:val="bottom"/>
            <w:hideMark/>
          </w:tcPr>
          <w:p w14:paraId="704586EE"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8</w:t>
            </w:r>
          </w:p>
        </w:tc>
        <w:tc>
          <w:tcPr>
            <w:tcW w:w="940" w:type="dxa"/>
            <w:tcBorders>
              <w:top w:val="nil"/>
              <w:left w:val="nil"/>
              <w:bottom w:val="single" w:sz="4" w:space="0" w:color="ADD6EA"/>
              <w:right w:val="nil"/>
            </w:tcBorders>
            <w:shd w:val="clear" w:color="000000" w:fill="D6E7F0"/>
            <w:vAlign w:val="bottom"/>
            <w:hideMark/>
          </w:tcPr>
          <w:p w14:paraId="365645C8" w14:textId="77777777" w:rsidR="007E365E" w:rsidRPr="00CA30F5"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CA30F5">
              <w:rPr>
                <w:rFonts w:ascii="Open Sans SemiBold" w:eastAsia="Times New Roman" w:hAnsi="Open Sans SemiBold" w:cs="Open Sans SemiBold"/>
                <w:sz w:val="16"/>
                <w:szCs w:val="16"/>
                <w:lang w:eastAsia="en-AU"/>
              </w:rPr>
              <w:t>1,485</w:t>
            </w:r>
          </w:p>
        </w:tc>
      </w:tr>
    </w:tbl>
    <w:p w14:paraId="2A9E4FC7" w14:textId="77777777" w:rsidR="007E365E" w:rsidRPr="00976585" w:rsidRDefault="007E365E" w:rsidP="007E365E">
      <w:pPr>
        <w:pStyle w:val="CGCTablenote"/>
      </w:pPr>
      <w:r w:rsidRPr="00976585">
        <w:t>Source:</w:t>
      </w:r>
      <w:r w:rsidRPr="00976585">
        <w:tab/>
      </w:r>
      <w:r>
        <w:t>A</w:t>
      </w:r>
      <w:r w:rsidRPr="00976585">
        <w:t>BS GFS.</w:t>
      </w:r>
    </w:p>
    <w:p w14:paraId="16673DB8" w14:textId="77777777" w:rsidR="007E365E" w:rsidRPr="00976585" w:rsidRDefault="007E365E" w:rsidP="007E365E">
      <w:pPr>
        <w:pStyle w:val="CGCParaNumber"/>
      </w:pPr>
      <w:r w:rsidRPr="00976585">
        <w:t xml:space="preserve">In the 2015 Review, the Commission concluded that the population living outside capital cities broadly captures the size of the transport task. While this may appear a reasonable indicator, the assessment mainly moves GST away from Victoria. Victoria has significant non-urban rail passenger expenses because the provision of rail passenger services to its satellite cities is mainly classified as non-urban expenses, while similar expenses in New South Wales and Queensland are mainly classified as urban. </w:t>
      </w:r>
    </w:p>
    <w:p w14:paraId="11B766B5" w14:textId="77777777" w:rsidR="007E365E" w:rsidRPr="00976585" w:rsidRDefault="007E365E" w:rsidP="007E365E">
      <w:pPr>
        <w:pStyle w:val="CGCParaNumber"/>
      </w:pPr>
      <w:r w:rsidRPr="00976585">
        <w:t>A reason for these different classifications of expenses would be that the satellite cities of Sydney and Brisbane are large, have many rail stations within their urban areas, and relatively few stations between the satellite cities and the capital city. In contrast, the satellite cities of Melbourne are smaller, have few stations within them and many in between them and Melbourne.</w:t>
      </w:r>
    </w:p>
    <w:p w14:paraId="43EBDD55" w14:textId="77777777" w:rsidR="007E365E" w:rsidRPr="00976585" w:rsidRDefault="007E365E" w:rsidP="007E365E">
      <w:pPr>
        <w:pStyle w:val="CGCParaNumber"/>
      </w:pPr>
      <w:r w:rsidRPr="00976585">
        <w:t>These three States appear to follow similar policies of providing commuter train connections to their satellite cities. However, differences in the spatial distribution of populations around Sydney, Melbourne and Brisbane meant it was not possible to identify a policy neutral indicator that would capture each State’s circumstances. Furthermore, it is apparent that the 2015 Review methodology is not reasonable. The Commission was concerned that the 2015</w:t>
      </w:r>
      <w:r>
        <w:t> </w:t>
      </w:r>
      <w:r w:rsidRPr="00976585">
        <w:t>Review assessment is material only for Tasmania and the ACT ($36 per capita and $52 per capita, respectively), which provide virtually no non</w:t>
      </w:r>
      <w:r w:rsidRPr="00976585">
        <w:noBreakHyphen/>
        <w:t xml:space="preserve">urban rail passenger services. The 2015 Review assessment is immaterial (less than $35 per capita) for those States that incur the majority of expenses. </w:t>
      </w:r>
    </w:p>
    <w:p w14:paraId="4A96ECD4" w14:textId="77777777" w:rsidR="007E365E" w:rsidRPr="00976585" w:rsidRDefault="007E365E" w:rsidP="007E365E">
      <w:pPr>
        <w:pStyle w:val="CGCParaNumber"/>
      </w:pPr>
      <w:r w:rsidRPr="00976585">
        <w:t xml:space="preserve">Queensland disagreed with the Commission’s decision. It argued that needs differ between States, using itself and the ACT as an example. It proposed a suite of indicators that could be combined to measure needs. However, based on the information provided by Queensland, an assessment using the proposed measures would not be material. </w:t>
      </w:r>
    </w:p>
    <w:p w14:paraId="1B0870E3" w14:textId="77777777" w:rsidR="007E365E" w:rsidRPr="00976585" w:rsidRDefault="007E365E" w:rsidP="007E365E">
      <w:pPr>
        <w:pStyle w:val="Heading5"/>
      </w:pPr>
      <w:r w:rsidRPr="00976585">
        <w:t>Regional costs</w:t>
      </w:r>
    </w:p>
    <w:p w14:paraId="2DDF6F36" w14:textId="77777777" w:rsidR="007E365E" w:rsidRPr="00976585" w:rsidRDefault="007E365E" w:rsidP="007E365E">
      <w:pPr>
        <w:pStyle w:val="CGCParaNumber"/>
      </w:pPr>
      <w:r w:rsidRPr="00976585">
        <w:t>Differences in the cost of providing services to different regions within a State affect State expenses. Non-urban transport services are those provided outside urban centres. The greater distances in remote areas affect transport costs. A regional cost gradient cannot be readily measured, but the conceptual case for one is valid.</w:t>
      </w:r>
    </w:p>
    <w:p w14:paraId="6FBA2DAD" w14:textId="77777777" w:rsidR="007E365E" w:rsidRPr="00976585" w:rsidRDefault="007E365E" w:rsidP="007E365E">
      <w:pPr>
        <w:pStyle w:val="CGCParaNumber"/>
      </w:pPr>
      <w:r w:rsidRPr="00976585">
        <w:t xml:space="preserve">As such, the Commission has retained the application of </w:t>
      </w:r>
      <w:r>
        <w:t>the</w:t>
      </w:r>
      <w:r w:rsidRPr="00976585">
        <w:t xml:space="preserve"> general cost gradient to non</w:t>
      </w:r>
      <w:r w:rsidRPr="00976585">
        <w:noBreakHyphen/>
        <w:t>urban transport expenses. For a description of the method, see Chapter 28 Geography.</w:t>
      </w:r>
    </w:p>
    <w:p w14:paraId="5477357D" w14:textId="77777777" w:rsidR="007E365E" w:rsidRPr="00976585" w:rsidRDefault="007E365E" w:rsidP="007E365E">
      <w:pPr>
        <w:pStyle w:val="CGCParaNumber"/>
      </w:pPr>
      <w:r w:rsidRPr="00976585">
        <w:t xml:space="preserve">Victoria argued that the current regional costs factor may not be appropriate to apply to the non-urban transport assessment. Subsidy payments are likely to reflect the costs faced by </w:t>
      </w:r>
      <w:r w:rsidRPr="00976585">
        <w:lastRenderedPageBreak/>
        <w:t>regional operators, rather than costs faced by States in providing schools education and police services. It added that the factor is immaterial in this assessment.</w:t>
      </w:r>
    </w:p>
    <w:p w14:paraId="7C4BEF1F" w14:textId="77777777" w:rsidR="007E365E" w:rsidRPr="00976585" w:rsidRDefault="007E365E" w:rsidP="007E365E">
      <w:pPr>
        <w:pStyle w:val="CGCParaNumber"/>
      </w:pPr>
      <w:r w:rsidRPr="00976585">
        <w:t xml:space="preserve">The Commission acknowledges that it would be preferable to apply a non-urban transport specific regional cost gradient. However, in the absence of one, the Commission considers that a general cost gradient would capture regional costs reasonably well. </w:t>
      </w:r>
    </w:p>
    <w:p w14:paraId="08217BFD" w14:textId="77777777" w:rsidR="007E365E" w:rsidRPr="00976585" w:rsidRDefault="007E365E" w:rsidP="007E365E">
      <w:pPr>
        <w:pStyle w:val="CGCParaNumber"/>
      </w:pPr>
      <w:r w:rsidRPr="00976585">
        <w:t>While the regional costs assessment may not be material in this component, it is material across all assessments. The Commission’s usual approach is to assess a disability for a category or component if there is a conceptual case for it and if the disability is material across all assessments.</w:t>
      </w:r>
    </w:p>
    <w:p w14:paraId="079E58FA" w14:textId="77777777" w:rsidR="007E365E" w:rsidRPr="00976585" w:rsidRDefault="007E365E" w:rsidP="007E365E">
      <w:pPr>
        <w:pStyle w:val="Heading5"/>
      </w:pPr>
      <w:r w:rsidRPr="00976585">
        <w:t>Wage costs</w:t>
      </w:r>
    </w:p>
    <w:p w14:paraId="60C82DE9" w14:textId="77777777" w:rsidR="007E365E" w:rsidRPr="00976585" w:rsidRDefault="007E365E" w:rsidP="007E365E">
      <w:pPr>
        <w:pStyle w:val="CGCParaNumber"/>
      </w:pPr>
      <w:r w:rsidRPr="00976585">
        <w:t>Differences in wage costs between States have a differential effect on the cost of providing services. There is a general method for measuring the influence of wage costs in components where the disability applies. For a description of the method, see Chapter 27 Wages costs.</w:t>
      </w:r>
    </w:p>
    <w:p w14:paraId="7A961B3C" w14:textId="77777777" w:rsidR="007E365E" w:rsidRPr="00976585" w:rsidRDefault="007E365E" w:rsidP="007E365E">
      <w:pPr>
        <w:pStyle w:val="Heading4"/>
      </w:pPr>
      <w:r w:rsidRPr="00976585">
        <w:t>Component calculations</w:t>
      </w:r>
    </w:p>
    <w:p w14:paraId="6B9FB399" w14:textId="1A154116" w:rsidR="007E365E" w:rsidRPr="00976585" w:rsidRDefault="007E365E" w:rsidP="007E365E">
      <w:pPr>
        <w:pStyle w:val="CGCParaNumber"/>
      </w:pPr>
      <w:r w:rsidRPr="00976585">
        <w:fldChar w:fldCharType="begin"/>
      </w:r>
      <w:r w:rsidRPr="00976585">
        <w:instrText xml:space="preserve"> REF _Ref6902762 \h  \* MERGEFORMAT </w:instrText>
      </w:r>
      <w:r w:rsidRPr="00976585">
        <w:fldChar w:fldCharType="separate"/>
      </w:r>
      <w:r w:rsidR="007F721A" w:rsidRPr="00976585">
        <w:t xml:space="preserve">Table </w:t>
      </w:r>
      <w:r w:rsidR="007F721A">
        <w:rPr>
          <w:noProof/>
        </w:rPr>
        <w:t>21-13</w:t>
      </w:r>
      <w:r w:rsidRPr="00976585">
        <w:fldChar w:fldCharType="end"/>
      </w:r>
      <w:r w:rsidRPr="00976585">
        <w:t xml:space="preserve"> shows the calculation of total assessed expenses for the component in 201</w:t>
      </w:r>
      <w:r>
        <w:t>8</w:t>
      </w:r>
      <w:r w:rsidRPr="00976585">
        <w:noBreakHyphen/>
        <w:t>1</w:t>
      </w:r>
      <w:r>
        <w:t>9</w:t>
      </w:r>
      <w:r w:rsidRPr="00976585">
        <w:t>.</w:t>
      </w:r>
    </w:p>
    <w:p w14:paraId="68B9D683" w14:textId="06B7C2BD" w:rsidR="007E365E" w:rsidRPr="00976585" w:rsidRDefault="007E365E" w:rsidP="007E365E">
      <w:pPr>
        <w:pStyle w:val="Caption"/>
      </w:pPr>
      <w:bookmarkStart w:id="268" w:name="_Ref6902762"/>
      <w:r w:rsidRPr="00976585">
        <w:t xml:space="preserve">Table </w:t>
      </w:r>
      <w:r>
        <w:t>21-</w:t>
      </w:r>
      <w:fldSimple w:instr=" SEQ Table \* ARABIC ">
        <w:r w:rsidR="007F721A">
          <w:rPr>
            <w:noProof/>
          </w:rPr>
          <w:t>13</w:t>
        </w:r>
      </w:fldSimple>
      <w:bookmarkEnd w:id="268"/>
      <w:r w:rsidRPr="00976585">
        <w:tab/>
      </w:r>
      <w:r>
        <w:t>N</w:t>
      </w:r>
      <w:r w:rsidRPr="00976585">
        <w:t>on-urban transport component</w:t>
      </w:r>
      <w:r>
        <w:t xml:space="preserve"> assessment</w:t>
      </w:r>
      <w:r w:rsidRPr="00976585">
        <w:t>, 201</w:t>
      </w:r>
      <w:r>
        <w:t>8</w:t>
      </w:r>
      <w:r w:rsidRPr="00976585">
        <w:noBreakHyphen/>
        <w:t>1</w:t>
      </w:r>
      <w:r>
        <w:t>9</w:t>
      </w:r>
    </w:p>
    <w:tbl>
      <w:tblPr>
        <w:tblW w:w="8951" w:type="dxa"/>
        <w:tblCellMar>
          <w:left w:w="28" w:type="dxa"/>
          <w:right w:w="28" w:type="dxa"/>
        </w:tblCellMar>
        <w:tblLook w:val="04A0" w:firstRow="1" w:lastRow="0" w:firstColumn="1" w:lastColumn="0" w:noHBand="0" w:noVBand="1"/>
      </w:tblPr>
      <w:tblGrid>
        <w:gridCol w:w="2675"/>
        <w:gridCol w:w="698"/>
        <w:gridCol w:w="698"/>
        <w:gridCol w:w="698"/>
        <w:gridCol w:w="697"/>
        <w:gridCol w:w="697"/>
        <w:gridCol w:w="697"/>
        <w:gridCol w:w="697"/>
        <w:gridCol w:w="697"/>
        <w:gridCol w:w="697"/>
      </w:tblGrid>
      <w:tr w:rsidR="007E365E" w:rsidRPr="006445A5" w14:paraId="3388741A" w14:textId="77777777" w:rsidTr="007D1D77">
        <w:trPr>
          <w:trHeight w:val="379"/>
        </w:trPr>
        <w:tc>
          <w:tcPr>
            <w:tcW w:w="2675" w:type="dxa"/>
            <w:tcBorders>
              <w:top w:val="single" w:sz="4" w:space="0" w:color="B6D5E4"/>
              <w:left w:val="nil"/>
              <w:bottom w:val="nil"/>
              <w:right w:val="nil"/>
            </w:tcBorders>
            <w:shd w:val="clear" w:color="000000" w:fill="006991"/>
            <w:noWrap/>
            <w:vAlign w:val="center"/>
            <w:hideMark/>
          </w:tcPr>
          <w:p w14:paraId="3C674904"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269" w:name="RANGE!A17:J23"/>
            <w:r w:rsidRPr="006445A5">
              <w:rPr>
                <w:rFonts w:ascii="Open Sans SemiBold" w:eastAsia="Times New Roman" w:hAnsi="Open Sans SemiBold" w:cs="Open Sans SemiBold"/>
                <w:color w:val="FFFFFF"/>
                <w:sz w:val="16"/>
                <w:szCs w:val="16"/>
                <w:lang w:eastAsia="en-AU"/>
              </w:rPr>
              <w:t> </w:t>
            </w:r>
            <w:bookmarkEnd w:id="269"/>
          </w:p>
        </w:tc>
        <w:tc>
          <w:tcPr>
            <w:tcW w:w="698" w:type="dxa"/>
            <w:tcBorders>
              <w:top w:val="single" w:sz="4" w:space="0" w:color="B6D5E4"/>
              <w:left w:val="nil"/>
              <w:bottom w:val="nil"/>
              <w:right w:val="nil"/>
            </w:tcBorders>
            <w:shd w:val="clear" w:color="000000" w:fill="006991"/>
            <w:noWrap/>
            <w:vAlign w:val="center"/>
            <w:hideMark/>
          </w:tcPr>
          <w:p w14:paraId="6168E7BB"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45A5">
              <w:rPr>
                <w:rFonts w:ascii="Open Sans SemiBold" w:eastAsia="Times New Roman" w:hAnsi="Open Sans SemiBold" w:cs="Open Sans SemiBold"/>
                <w:color w:val="FFFFFF"/>
                <w:sz w:val="16"/>
                <w:szCs w:val="16"/>
                <w:lang w:eastAsia="en-AU"/>
              </w:rPr>
              <w:t>NSW</w:t>
            </w:r>
          </w:p>
        </w:tc>
        <w:tc>
          <w:tcPr>
            <w:tcW w:w="698" w:type="dxa"/>
            <w:tcBorders>
              <w:top w:val="single" w:sz="4" w:space="0" w:color="B6D5E4"/>
              <w:left w:val="nil"/>
              <w:bottom w:val="nil"/>
              <w:right w:val="nil"/>
            </w:tcBorders>
            <w:shd w:val="clear" w:color="000000" w:fill="006991"/>
            <w:noWrap/>
            <w:vAlign w:val="center"/>
            <w:hideMark/>
          </w:tcPr>
          <w:p w14:paraId="108EE381"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45A5">
              <w:rPr>
                <w:rFonts w:ascii="Open Sans SemiBold" w:eastAsia="Times New Roman" w:hAnsi="Open Sans SemiBold" w:cs="Open Sans SemiBold"/>
                <w:color w:val="FFFFFF"/>
                <w:sz w:val="16"/>
                <w:szCs w:val="16"/>
                <w:lang w:eastAsia="en-AU"/>
              </w:rPr>
              <w:t>Vic</w:t>
            </w:r>
          </w:p>
        </w:tc>
        <w:tc>
          <w:tcPr>
            <w:tcW w:w="698" w:type="dxa"/>
            <w:tcBorders>
              <w:top w:val="single" w:sz="4" w:space="0" w:color="B6D5E4"/>
              <w:left w:val="nil"/>
              <w:bottom w:val="nil"/>
              <w:right w:val="nil"/>
            </w:tcBorders>
            <w:shd w:val="clear" w:color="000000" w:fill="006991"/>
            <w:noWrap/>
            <w:vAlign w:val="center"/>
            <w:hideMark/>
          </w:tcPr>
          <w:p w14:paraId="54BA74EC"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45A5">
              <w:rPr>
                <w:rFonts w:ascii="Open Sans SemiBold" w:eastAsia="Times New Roman" w:hAnsi="Open Sans SemiBold" w:cs="Open Sans SemiBold"/>
                <w:color w:val="FFFFFF"/>
                <w:sz w:val="16"/>
                <w:szCs w:val="16"/>
                <w:lang w:eastAsia="en-AU"/>
              </w:rPr>
              <w:t>Qld</w:t>
            </w:r>
          </w:p>
        </w:tc>
        <w:tc>
          <w:tcPr>
            <w:tcW w:w="697" w:type="dxa"/>
            <w:tcBorders>
              <w:top w:val="single" w:sz="4" w:space="0" w:color="B6D5E4"/>
              <w:left w:val="nil"/>
              <w:bottom w:val="nil"/>
              <w:right w:val="nil"/>
            </w:tcBorders>
            <w:shd w:val="clear" w:color="000000" w:fill="006991"/>
            <w:noWrap/>
            <w:vAlign w:val="center"/>
            <w:hideMark/>
          </w:tcPr>
          <w:p w14:paraId="10247042"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45A5">
              <w:rPr>
                <w:rFonts w:ascii="Open Sans SemiBold" w:eastAsia="Times New Roman" w:hAnsi="Open Sans SemiBold" w:cs="Open Sans SemiBold"/>
                <w:color w:val="FFFFFF"/>
                <w:sz w:val="16"/>
                <w:szCs w:val="16"/>
                <w:lang w:eastAsia="en-AU"/>
              </w:rPr>
              <w:t>WA</w:t>
            </w:r>
          </w:p>
        </w:tc>
        <w:tc>
          <w:tcPr>
            <w:tcW w:w="697" w:type="dxa"/>
            <w:tcBorders>
              <w:top w:val="single" w:sz="4" w:space="0" w:color="B6D5E4"/>
              <w:left w:val="nil"/>
              <w:bottom w:val="nil"/>
              <w:right w:val="nil"/>
            </w:tcBorders>
            <w:shd w:val="clear" w:color="000000" w:fill="006991"/>
            <w:noWrap/>
            <w:vAlign w:val="center"/>
            <w:hideMark/>
          </w:tcPr>
          <w:p w14:paraId="60F34461"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45A5">
              <w:rPr>
                <w:rFonts w:ascii="Open Sans SemiBold" w:eastAsia="Times New Roman" w:hAnsi="Open Sans SemiBold" w:cs="Open Sans SemiBold"/>
                <w:color w:val="FFFFFF"/>
                <w:sz w:val="16"/>
                <w:szCs w:val="16"/>
                <w:lang w:eastAsia="en-AU"/>
              </w:rPr>
              <w:t>SA</w:t>
            </w:r>
          </w:p>
        </w:tc>
        <w:tc>
          <w:tcPr>
            <w:tcW w:w="697" w:type="dxa"/>
            <w:tcBorders>
              <w:top w:val="single" w:sz="4" w:space="0" w:color="B6D5E4"/>
              <w:left w:val="nil"/>
              <w:bottom w:val="nil"/>
              <w:right w:val="nil"/>
            </w:tcBorders>
            <w:shd w:val="clear" w:color="000000" w:fill="006991"/>
            <w:noWrap/>
            <w:vAlign w:val="center"/>
            <w:hideMark/>
          </w:tcPr>
          <w:p w14:paraId="6F93241D"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45A5">
              <w:rPr>
                <w:rFonts w:ascii="Open Sans SemiBold" w:eastAsia="Times New Roman" w:hAnsi="Open Sans SemiBold" w:cs="Open Sans SemiBold"/>
                <w:color w:val="FFFFFF"/>
                <w:sz w:val="16"/>
                <w:szCs w:val="16"/>
                <w:lang w:eastAsia="en-AU"/>
              </w:rPr>
              <w:t>Tas</w:t>
            </w:r>
          </w:p>
        </w:tc>
        <w:tc>
          <w:tcPr>
            <w:tcW w:w="697" w:type="dxa"/>
            <w:tcBorders>
              <w:top w:val="single" w:sz="4" w:space="0" w:color="B6D5E4"/>
              <w:left w:val="nil"/>
              <w:bottom w:val="nil"/>
              <w:right w:val="nil"/>
            </w:tcBorders>
            <w:shd w:val="clear" w:color="000000" w:fill="006991"/>
            <w:noWrap/>
            <w:vAlign w:val="center"/>
            <w:hideMark/>
          </w:tcPr>
          <w:p w14:paraId="7ADD556E"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45A5">
              <w:rPr>
                <w:rFonts w:ascii="Open Sans SemiBold" w:eastAsia="Times New Roman" w:hAnsi="Open Sans SemiBold" w:cs="Open Sans SemiBold"/>
                <w:color w:val="FFFFFF"/>
                <w:sz w:val="16"/>
                <w:szCs w:val="16"/>
                <w:lang w:eastAsia="en-AU"/>
              </w:rPr>
              <w:t>ACT</w:t>
            </w:r>
          </w:p>
        </w:tc>
        <w:tc>
          <w:tcPr>
            <w:tcW w:w="697" w:type="dxa"/>
            <w:tcBorders>
              <w:top w:val="single" w:sz="4" w:space="0" w:color="B6D5E4"/>
              <w:left w:val="nil"/>
              <w:bottom w:val="nil"/>
              <w:right w:val="nil"/>
            </w:tcBorders>
            <w:shd w:val="clear" w:color="000000" w:fill="006991"/>
            <w:noWrap/>
            <w:vAlign w:val="center"/>
            <w:hideMark/>
          </w:tcPr>
          <w:p w14:paraId="1823688E"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45A5">
              <w:rPr>
                <w:rFonts w:ascii="Open Sans SemiBold" w:eastAsia="Times New Roman" w:hAnsi="Open Sans SemiBold" w:cs="Open Sans SemiBold"/>
                <w:color w:val="FFFFFF"/>
                <w:sz w:val="16"/>
                <w:szCs w:val="16"/>
                <w:lang w:eastAsia="en-AU"/>
              </w:rPr>
              <w:t>NT</w:t>
            </w:r>
          </w:p>
        </w:tc>
        <w:tc>
          <w:tcPr>
            <w:tcW w:w="697" w:type="dxa"/>
            <w:tcBorders>
              <w:top w:val="single" w:sz="4" w:space="0" w:color="B6D5E4"/>
              <w:left w:val="nil"/>
              <w:bottom w:val="nil"/>
              <w:right w:val="nil"/>
            </w:tcBorders>
            <w:shd w:val="clear" w:color="000000" w:fill="006991"/>
            <w:noWrap/>
            <w:vAlign w:val="center"/>
            <w:hideMark/>
          </w:tcPr>
          <w:p w14:paraId="216ED259"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45A5">
              <w:rPr>
                <w:rFonts w:ascii="Open Sans SemiBold" w:eastAsia="Times New Roman" w:hAnsi="Open Sans SemiBold" w:cs="Open Sans SemiBold"/>
                <w:color w:val="FFFFFF"/>
                <w:sz w:val="16"/>
                <w:szCs w:val="16"/>
                <w:lang w:eastAsia="en-AU"/>
              </w:rPr>
              <w:t>Total</w:t>
            </w:r>
          </w:p>
        </w:tc>
      </w:tr>
      <w:tr w:rsidR="007E365E" w:rsidRPr="006445A5" w14:paraId="6C8647EA" w14:textId="77777777" w:rsidTr="007D1D77">
        <w:trPr>
          <w:trHeight w:val="319"/>
        </w:trPr>
        <w:tc>
          <w:tcPr>
            <w:tcW w:w="2675" w:type="dxa"/>
            <w:tcBorders>
              <w:top w:val="single" w:sz="4" w:space="0" w:color="B6D5E4"/>
              <w:left w:val="nil"/>
              <w:bottom w:val="single" w:sz="4" w:space="0" w:color="B6D5E4"/>
              <w:right w:val="nil"/>
            </w:tcBorders>
            <w:shd w:val="clear" w:color="auto" w:fill="auto"/>
            <w:vAlign w:val="bottom"/>
            <w:hideMark/>
          </w:tcPr>
          <w:p w14:paraId="14DAE622" w14:textId="77777777" w:rsidR="007E365E" w:rsidRPr="00A04692"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xml:space="preserve">Assessed </w:t>
            </w:r>
            <w:r>
              <w:rPr>
                <w:rFonts w:ascii="Open Sans SemiBold" w:eastAsia="Times New Roman" w:hAnsi="Open Sans SemiBold" w:cs="Open Sans SemiBold"/>
                <w:sz w:val="16"/>
                <w:szCs w:val="16"/>
                <w:lang w:eastAsia="en-AU"/>
              </w:rPr>
              <w:t>e</w:t>
            </w:r>
            <w:r w:rsidRPr="00A04692">
              <w:rPr>
                <w:rFonts w:ascii="Open Sans SemiBold" w:eastAsia="Times New Roman" w:hAnsi="Open Sans SemiBold" w:cs="Open Sans SemiBold"/>
                <w:sz w:val="16"/>
                <w:szCs w:val="16"/>
                <w:lang w:eastAsia="en-AU"/>
              </w:rPr>
              <w:t>xpenses</w:t>
            </w:r>
          </w:p>
        </w:tc>
        <w:tc>
          <w:tcPr>
            <w:tcW w:w="698" w:type="dxa"/>
            <w:tcBorders>
              <w:top w:val="single" w:sz="4" w:space="0" w:color="B6D5E4"/>
              <w:left w:val="nil"/>
              <w:bottom w:val="single" w:sz="4" w:space="0" w:color="B6D5E4"/>
              <w:right w:val="nil"/>
            </w:tcBorders>
            <w:shd w:val="clear" w:color="auto" w:fill="auto"/>
            <w:vAlign w:val="bottom"/>
            <w:hideMark/>
          </w:tcPr>
          <w:p w14:paraId="2CBB7447"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98" w:type="dxa"/>
            <w:tcBorders>
              <w:top w:val="single" w:sz="4" w:space="0" w:color="B6D5E4"/>
              <w:left w:val="nil"/>
              <w:bottom w:val="single" w:sz="4" w:space="0" w:color="B6D5E4"/>
              <w:right w:val="nil"/>
            </w:tcBorders>
            <w:shd w:val="clear" w:color="auto" w:fill="auto"/>
            <w:vAlign w:val="bottom"/>
            <w:hideMark/>
          </w:tcPr>
          <w:p w14:paraId="2E689E09"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98" w:type="dxa"/>
            <w:tcBorders>
              <w:top w:val="single" w:sz="4" w:space="0" w:color="B6D5E4"/>
              <w:left w:val="nil"/>
              <w:bottom w:val="single" w:sz="4" w:space="0" w:color="B6D5E4"/>
              <w:right w:val="nil"/>
            </w:tcBorders>
            <w:shd w:val="clear" w:color="auto" w:fill="auto"/>
            <w:vAlign w:val="bottom"/>
            <w:hideMark/>
          </w:tcPr>
          <w:p w14:paraId="7E839BBA"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97" w:type="dxa"/>
            <w:tcBorders>
              <w:top w:val="single" w:sz="4" w:space="0" w:color="B6D5E4"/>
              <w:left w:val="nil"/>
              <w:bottom w:val="single" w:sz="4" w:space="0" w:color="B6D5E4"/>
              <w:right w:val="nil"/>
            </w:tcBorders>
            <w:shd w:val="clear" w:color="auto" w:fill="auto"/>
            <w:vAlign w:val="bottom"/>
            <w:hideMark/>
          </w:tcPr>
          <w:p w14:paraId="19FA3452"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97" w:type="dxa"/>
            <w:tcBorders>
              <w:top w:val="single" w:sz="4" w:space="0" w:color="B6D5E4"/>
              <w:left w:val="nil"/>
              <w:bottom w:val="single" w:sz="4" w:space="0" w:color="B6D5E4"/>
              <w:right w:val="nil"/>
            </w:tcBorders>
            <w:shd w:val="clear" w:color="auto" w:fill="auto"/>
            <w:vAlign w:val="bottom"/>
            <w:hideMark/>
          </w:tcPr>
          <w:p w14:paraId="2EB5EA1C"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97" w:type="dxa"/>
            <w:tcBorders>
              <w:top w:val="single" w:sz="4" w:space="0" w:color="B6D5E4"/>
              <w:left w:val="nil"/>
              <w:bottom w:val="single" w:sz="4" w:space="0" w:color="B6D5E4"/>
              <w:right w:val="nil"/>
            </w:tcBorders>
            <w:shd w:val="clear" w:color="auto" w:fill="auto"/>
            <w:vAlign w:val="bottom"/>
            <w:hideMark/>
          </w:tcPr>
          <w:p w14:paraId="13E2F01E"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97" w:type="dxa"/>
            <w:tcBorders>
              <w:top w:val="single" w:sz="4" w:space="0" w:color="B6D5E4"/>
              <w:left w:val="nil"/>
              <w:bottom w:val="single" w:sz="4" w:space="0" w:color="B6D5E4"/>
              <w:right w:val="nil"/>
            </w:tcBorders>
            <w:shd w:val="clear" w:color="auto" w:fill="auto"/>
            <w:vAlign w:val="bottom"/>
            <w:hideMark/>
          </w:tcPr>
          <w:p w14:paraId="04226E5E"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97" w:type="dxa"/>
            <w:tcBorders>
              <w:top w:val="single" w:sz="4" w:space="0" w:color="B6D5E4"/>
              <w:left w:val="nil"/>
              <w:bottom w:val="single" w:sz="4" w:space="0" w:color="B6D5E4"/>
              <w:right w:val="nil"/>
            </w:tcBorders>
            <w:shd w:val="clear" w:color="auto" w:fill="auto"/>
            <w:vAlign w:val="bottom"/>
            <w:hideMark/>
          </w:tcPr>
          <w:p w14:paraId="37F0B9DB"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c>
          <w:tcPr>
            <w:tcW w:w="697" w:type="dxa"/>
            <w:tcBorders>
              <w:top w:val="single" w:sz="4" w:space="0" w:color="B6D5E4"/>
              <w:left w:val="nil"/>
              <w:bottom w:val="single" w:sz="4" w:space="0" w:color="B6D5E4"/>
              <w:right w:val="nil"/>
            </w:tcBorders>
            <w:shd w:val="clear" w:color="auto" w:fill="auto"/>
            <w:vAlign w:val="bottom"/>
            <w:hideMark/>
          </w:tcPr>
          <w:p w14:paraId="2916D8C2" w14:textId="77777777" w:rsidR="007E365E" w:rsidRPr="00A04692"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A04692">
              <w:rPr>
                <w:rFonts w:ascii="Open Sans SemiBold" w:eastAsia="Times New Roman" w:hAnsi="Open Sans SemiBold" w:cs="Open Sans SemiBold"/>
                <w:sz w:val="16"/>
                <w:szCs w:val="16"/>
                <w:lang w:eastAsia="en-AU"/>
              </w:rPr>
              <w:t> </w:t>
            </w:r>
          </w:p>
        </w:tc>
      </w:tr>
      <w:tr w:rsidR="007E365E" w:rsidRPr="006445A5" w14:paraId="53AE41C0" w14:textId="77777777" w:rsidTr="007D1D77">
        <w:trPr>
          <w:trHeight w:val="319"/>
        </w:trPr>
        <w:tc>
          <w:tcPr>
            <w:tcW w:w="2675" w:type="dxa"/>
            <w:tcBorders>
              <w:top w:val="nil"/>
              <w:left w:val="nil"/>
              <w:bottom w:val="nil"/>
              <w:right w:val="nil"/>
            </w:tcBorders>
            <w:shd w:val="clear" w:color="auto" w:fill="auto"/>
            <w:vAlign w:val="bottom"/>
            <w:hideMark/>
          </w:tcPr>
          <w:p w14:paraId="7681DA1C" w14:textId="77777777" w:rsidR="007E365E" w:rsidRPr="006445A5"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6445A5">
              <w:rPr>
                <w:rFonts w:eastAsia="Times New Roman" w:cs="Open Sans Light"/>
                <w:sz w:val="16"/>
                <w:szCs w:val="16"/>
                <w:lang w:eastAsia="en-AU"/>
              </w:rPr>
              <w:t>Equal per capita ($m)</w:t>
            </w:r>
          </w:p>
        </w:tc>
        <w:tc>
          <w:tcPr>
            <w:tcW w:w="698" w:type="dxa"/>
            <w:tcBorders>
              <w:top w:val="nil"/>
              <w:left w:val="nil"/>
              <w:bottom w:val="nil"/>
              <w:right w:val="nil"/>
            </w:tcBorders>
            <w:shd w:val="clear" w:color="auto" w:fill="auto"/>
            <w:vAlign w:val="bottom"/>
            <w:hideMark/>
          </w:tcPr>
          <w:p w14:paraId="6E9958FC"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252</w:t>
            </w:r>
          </w:p>
        </w:tc>
        <w:tc>
          <w:tcPr>
            <w:tcW w:w="698" w:type="dxa"/>
            <w:tcBorders>
              <w:top w:val="nil"/>
              <w:left w:val="nil"/>
              <w:bottom w:val="nil"/>
              <w:right w:val="nil"/>
            </w:tcBorders>
            <w:shd w:val="clear" w:color="auto" w:fill="auto"/>
            <w:vAlign w:val="bottom"/>
            <w:hideMark/>
          </w:tcPr>
          <w:p w14:paraId="0BF79C48"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205</w:t>
            </w:r>
          </w:p>
        </w:tc>
        <w:tc>
          <w:tcPr>
            <w:tcW w:w="698" w:type="dxa"/>
            <w:tcBorders>
              <w:top w:val="nil"/>
              <w:left w:val="nil"/>
              <w:bottom w:val="nil"/>
              <w:right w:val="nil"/>
            </w:tcBorders>
            <w:shd w:val="clear" w:color="auto" w:fill="auto"/>
            <w:vAlign w:val="bottom"/>
            <w:hideMark/>
          </w:tcPr>
          <w:p w14:paraId="35333CD1"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158</w:t>
            </w:r>
          </w:p>
        </w:tc>
        <w:tc>
          <w:tcPr>
            <w:tcW w:w="697" w:type="dxa"/>
            <w:tcBorders>
              <w:top w:val="nil"/>
              <w:left w:val="nil"/>
              <w:bottom w:val="nil"/>
              <w:right w:val="nil"/>
            </w:tcBorders>
            <w:shd w:val="clear" w:color="auto" w:fill="auto"/>
            <w:vAlign w:val="bottom"/>
            <w:hideMark/>
          </w:tcPr>
          <w:p w14:paraId="09B0DC6B"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82</w:t>
            </w:r>
          </w:p>
        </w:tc>
        <w:tc>
          <w:tcPr>
            <w:tcW w:w="697" w:type="dxa"/>
            <w:tcBorders>
              <w:top w:val="nil"/>
              <w:left w:val="nil"/>
              <w:bottom w:val="nil"/>
              <w:right w:val="nil"/>
            </w:tcBorders>
            <w:shd w:val="clear" w:color="auto" w:fill="auto"/>
            <w:vAlign w:val="bottom"/>
            <w:hideMark/>
          </w:tcPr>
          <w:p w14:paraId="6104BB14"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55</w:t>
            </w:r>
          </w:p>
        </w:tc>
        <w:tc>
          <w:tcPr>
            <w:tcW w:w="697" w:type="dxa"/>
            <w:tcBorders>
              <w:top w:val="nil"/>
              <w:left w:val="nil"/>
              <w:bottom w:val="nil"/>
              <w:right w:val="nil"/>
            </w:tcBorders>
            <w:shd w:val="clear" w:color="auto" w:fill="auto"/>
            <w:vAlign w:val="bottom"/>
            <w:hideMark/>
          </w:tcPr>
          <w:p w14:paraId="0D89CFAD"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17</w:t>
            </w:r>
          </w:p>
        </w:tc>
        <w:tc>
          <w:tcPr>
            <w:tcW w:w="697" w:type="dxa"/>
            <w:tcBorders>
              <w:top w:val="nil"/>
              <w:left w:val="nil"/>
              <w:bottom w:val="nil"/>
              <w:right w:val="nil"/>
            </w:tcBorders>
            <w:shd w:val="clear" w:color="auto" w:fill="auto"/>
            <w:vAlign w:val="bottom"/>
            <w:hideMark/>
          </w:tcPr>
          <w:p w14:paraId="7AF0D86A"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13</w:t>
            </w:r>
          </w:p>
        </w:tc>
        <w:tc>
          <w:tcPr>
            <w:tcW w:w="697" w:type="dxa"/>
            <w:tcBorders>
              <w:top w:val="nil"/>
              <w:left w:val="nil"/>
              <w:bottom w:val="nil"/>
              <w:right w:val="nil"/>
            </w:tcBorders>
            <w:shd w:val="clear" w:color="auto" w:fill="auto"/>
            <w:vAlign w:val="bottom"/>
            <w:hideMark/>
          </w:tcPr>
          <w:p w14:paraId="04AB6009"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8</w:t>
            </w:r>
          </w:p>
        </w:tc>
        <w:tc>
          <w:tcPr>
            <w:tcW w:w="697" w:type="dxa"/>
            <w:tcBorders>
              <w:top w:val="nil"/>
              <w:left w:val="nil"/>
              <w:bottom w:val="nil"/>
              <w:right w:val="nil"/>
            </w:tcBorders>
            <w:shd w:val="clear" w:color="auto" w:fill="auto"/>
            <w:vAlign w:val="bottom"/>
            <w:hideMark/>
          </w:tcPr>
          <w:p w14:paraId="3D8FE0C2"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789</w:t>
            </w:r>
          </w:p>
        </w:tc>
      </w:tr>
      <w:tr w:rsidR="007E365E" w:rsidRPr="006445A5" w14:paraId="1EBC84CE" w14:textId="77777777" w:rsidTr="007D1D77">
        <w:trPr>
          <w:trHeight w:val="319"/>
        </w:trPr>
        <w:tc>
          <w:tcPr>
            <w:tcW w:w="2675" w:type="dxa"/>
            <w:tcBorders>
              <w:top w:val="single" w:sz="4" w:space="0" w:color="ADD6EA"/>
              <w:left w:val="nil"/>
              <w:bottom w:val="single" w:sz="4" w:space="0" w:color="ADD6EA"/>
              <w:right w:val="nil"/>
            </w:tcBorders>
            <w:shd w:val="clear" w:color="auto" w:fill="auto"/>
            <w:vAlign w:val="bottom"/>
            <w:hideMark/>
          </w:tcPr>
          <w:p w14:paraId="5F1D4355" w14:textId="77777777" w:rsidR="007E365E" w:rsidRPr="006445A5"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6445A5">
              <w:rPr>
                <w:rFonts w:eastAsia="Times New Roman" w:cs="Open Sans Light"/>
                <w:sz w:val="16"/>
                <w:szCs w:val="16"/>
                <w:lang w:eastAsia="en-AU"/>
              </w:rPr>
              <w:t>Regional costs factor</w:t>
            </w:r>
          </w:p>
        </w:tc>
        <w:tc>
          <w:tcPr>
            <w:tcW w:w="698" w:type="dxa"/>
            <w:tcBorders>
              <w:top w:val="single" w:sz="4" w:space="0" w:color="ADD6EA"/>
              <w:left w:val="nil"/>
              <w:bottom w:val="single" w:sz="4" w:space="0" w:color="ADD6EA"/>
              <w:right w:val="nil"/>
            </w:tcBorders>
            <w:shd w:val="clear" w:color="auto" w:fill="auto"/>
            <w:vAlign w:val="bottom"/>
            <w:hideMark/>
          </w:tcPr>
          <w:p w14:paraId="00ACF2E4"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0.996</w:t>
            </w:r>
          </w:p>
        </w:tc>
        <w:tc>
          <w:tcPr>
            <w:tcW w:w="698" w:type="dxa"/>
            <w:tcBorders>
              <w:top w:val="single" w:sz="4" w:space="0" w:color="ADD6EA"/>
              <w:left w:val="nil"/>
              <w:bottom w:val="single" w:sz="4" w:space="0" w:color="ADD6EA"/>
              <w:right w:val="nil"/>
            </w:tcBorders>
            <w:shd w:val="clear" w:color="auto" w:fill="auto"/>
            <w:vAlign w:val="bottom"/>
            <w:hideMark/>
          </w:tcPr>
          <w:p w14:paraId="05EED499"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0.994</w:t>
            </w:r>
          </w:p>
        </w:tc>
        <w:tc>
          <w:tcPr>
            <w:tcW w:w="698" w:type="dxa"/>
            <w:tcBorders>
              <w:top w:val="single" w:sz="4" w:space="0" w:color="ADD6EA"/>
              <w:left w:val="nil"/>
              <w:bottom w:val="single" w:sz="4" w:space="0" w:color="ADD6EA"/>
              <w:right w:val="nil"/>
            </w:tcBorders>
            <w:shd w:val="clear" w:color="auto" w:fill="auto"/>
            <w:vAlign w:val="bottom"/>
            <w:hideMark/>
          </w:tcPr>
          <w:p w14:paraId="365E94CD"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1.004</w:t>
            </w:r>
          </w:p>
        </w:tc>
        <w:tc>
          <w:tcPr>
            <w:tcW w:w="697" w:type="dxa"/>
            <w:tcBorders>
              <w:top w:val="single" w:sz="4" w:space="0" w:color="ADD6EA"/>
              <w:left w:val="nil"/>
              <w:bottom w:val="single" w:sz="4" w:space="0" w:color="ADD6EA"/>
              <w:right w:val="nil"/>
            </w:tcBorders>
            <w:shd w:val="clear" w:color="auto" w:fill="auto"/>
            <w:vAlign w:val="bottom"/>
            <w:hideMark/>
          </w:tcPr>
          <w:p w14:paraId="657F49AE"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1.009</w:t>
            </w:r>
          </w:p>
        </w:tc>
        <w:tc>
          <w:tcPr>
            <w:tcW w:w="697" w:type="dxa"/>
            <w:tcBorders>
              <w:top w:val="single" w:sz="4" w:space="0" w:color="ADD6EA"/>
              <w:left w:val="nil"/>
              <w:bottom w:val="single" w:sz="4" w:space="0" w:color="ADD6EA"/>
              <w:right w:val="nil"/>
            </w:tcBorders>
            <w:shd w:val="clear" w:color="auto" w:fill="auto"/>
            <w:vAlign w:val="bottom"/>
            <w:hideMark/>
          </w:tcPr>
          <w:p w14:paraId="5F3A848E"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1.004</w:t>
            </w:r>
          </w:p>
        </w:tc>
        <w:tc>
          <w:tcPr>
            <w:tcW w:w="697" w:type="dxa"/>
            <w:tcBorders>
              <w:top w:val="single" w:sz="4" w:space="0" w:color="ADD6EA"/>
              <w:left w:val="nil"/>
              <w:bottom w:val="single" w:sz="4" w:space="0" w:color="ADD6EA"/>
              <w:right w:val="nil"/>
            </w:tcBorders>
            <w:shd w:val="clear" w:color="auto" w:fill="auto"/>
            <w:vAlign w:val="bottom"/>
            <w:hideMark/>
          </w:tcPr>
          <w:p w14:paraId="62FC2E73"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1.009</w:t>
            </w:r>
          </w:p>
        </w:tc>
        <w:tc>
          <w:tcPr>
            <w:tcW w:w="697" w:type="dxa"/>
            <w:tcBorders>
              <w:top w:val="single" w:sz="4" w:space="0" w:color="ADD6EA"/>
              <w:left w:val="nil"/>
              <w:bottom w:val="single" w:sz="4" w:space="0" w:color="ADD6EA"/>
              <w:right w:val="nil"/>
            </w:tcBorders>
            <w:shd w:val="clear" w:color="auto" w:fill="auto"/>
            <w:vAlign w:val="bottom"/>
            <w:hideMark/>
          </w:tcPr>
          <w:p w14:paraId="7F8EDD12"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0.992</w:t>
            </w:r>
          </w:p>
        </w:tc>
        <w:tc>
          <w:tcPr>
            <w:tcW w:w="697" w:type="dxa"/>
            <w:tcBorders>
              <w:top w:val="single" w:sz="4" w:space="0" w:color="ADD6EA"/>
              <w:left w:val="nil"/>
              <w:bottom w:val="single" w:sz="4" w:space="0" w:color="ADD6EA"/>
              <w:right w:val="nil"/>
            </w:tcBorders>
            <w:shd w:val="clear" w:color="auto" w:fill="auto"/>
            <w:vAlign w:val="bottom"/>
            <w:hideMark/>
          </w:tcPr>
          <w:p w14:paraId="26C3FFF0"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1.107</w:t>
            </w:r>
          </w:p>
        </w:tc>
        <w:tc>
          <w:tcPr>
            <w:tcW w:w="697" w:type="dxa"/>
            <w:tcBorders>
              <w:top w:val="single" w:sz="4" w:space="0" w:color="ADD6EA"/>
              <w:left w:val="nil"/>
              <w:bottom w:val="single" w:sz="4" w:space="0" w:color="ADD6EA"/>
              <w:right w:val="nil"/>
            </w:tcBorders>
            <w:shd w:val="clear" w:color="auto" w:fill="auto"/>
            <w:vAlign w:val="bottom"/>
            <w:hideMark/>
          </w:tcPr>
          <w:p w14:paraId="483E7287"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1.000</w:t>
            </w:r>
          </w:p>
        </w:tc>
      </w:tr>
      <w:tr w:rsidR="007E365E" w:rsidRPr="006445A5" w14:paraId="13B9A815" w14:textId="77777777" w:rsidTr="007D1D77">
        <w:trPr>
          <w:trHeight w:val="319"/>
        </w:trPr>
        <w:tc>
          <w:tcPr>
            <w:tcW w:w="2675" w:type="dxa"/>
            <w:tcBorders>
              <w:top w:val="nil"/>
              <w:left w:val="nil"/>
              <w:bottom w:val="nil"/>
              <w:right w:val="nil"/>
            </w:tcBorders>
            <w:shd w:val="clear" w:color="auto" w:fill="auto"/>
            <w:vAlign w:val="bottom"/>
            <w:hideMark/>
          </w:tcPr>
          <w:p w14:paraId="413F8B8F" w14:textId="77777777" w:rsidR="007E365E" w:rsidRPr="006445A5"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6445A5">
              <w:rPr>
                <w:rFonts w:eastAsia="Times New Roman" w:cs="Open Sans Light"/>
                <w:sz w:val="16"/>
                <w:szCs w:val="16"/>
                <w:lang w:eastAsia="en-AU"/>
              </w:rPr>
              <w:t>Wage costs factor</w:t>
            </w:r>
          </w:p>
        </w:tc>
        <w:tc>
          <w:tcPr>
            <w:tcW w:w="698" w:type="dxa"/>
            <w:tcBorders>
              <w:top w:val="nil"/>
              <w:left w:val="nil"/>
              <w:bottom w:val="nil"/>
              <w:right w:val="nil"/>
            </w:tcBorders>
            <w:shd w:val="clear" w:color="auto" w:fill="auto"/>
            <w:vAlign w:val="bottom"/>
            <w:hideMark/>
          </w:tcPr>
          <w:p w14:paraId="3DD9B3AF"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1.006</w:t>
            </w:r>
          </w:p>
        </w:tc>
        <w:tc>
          <w:tcPr>
            <w:tcW w:w="698" w:type="dxa"/>
            <w:tcBorders>
              <w:top w:val="nil"/>
              <w:left w:val="nil"/>
              <w:bottom w:val="nil"/>
              <w:right w:val="nil"/>
            </w:tcBorders>
            <w:shd w:val="clear" w:color="auto" w:fill="auto"/>
            <w:vAlign w:val="bottom"/>
            <w:hideMark/>
          </w:tcPr>
          <w:p w14:paraId="63CF0608"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0.994</w:t>
            </w:r>
          </w:p>
        </w:tc>
        <w:tc>
          <w:tcPr>
            <w:tcW w:w="698" w:type="dxa"/>
            <w:tcBorders>
              <w:top w:val="nil"/>
              <w:left w:val="nil"/>
              <w:bottom w:val="nil"/>
              <w:right w:val="nil"/>
            </w:tcBorders>
            <w:shd w:val="clear" w:color="auto" w:fill="auto"/>
            <w:vAlign w:val="bottom"/>
            <w:hideMark/>
          </w:tcPr>
          <w:p w14:paraId="1827495C"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0.996</w:t>
            </w:r>
          </w:p>
        </w:tc>
        <w:tc>
          <w:tcPr>
            <w:tcW w:w="697" w:type="dxa"/>
            <w:tcBorders>
              <w:top w:val="nil"/>
              <w:left w:val="nil"/>
              <w:bottom w:val="nil"/>
              <w:right w:val="nil"/>
            </w:tcBorders>
            <w:shd w:val="clear" w:color="auto" w:fill="auto"/>
            <w:vAlign w:val="bottom"/>
            <w:hideMark/>
          </w:tcPr>
          <w:p w14:paraId="363609D7"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1.018</w:t>
            </w:r>
          </w:p>
        </w:tc>
        <w:tc>
          <w:tcPr>
            <w:tcW w:w="697" w:type="dxa"/>
            <w:tcBorders>
              <w:top w:val="nil"/>
              <w:left w:val="nil"/>
              <w:bottom w:val="nil"/>
              <w:right w:val="nil"/>
            </w:tcBorders>
            <w:shd w:val="clear" w:color="auto" w:fill="auto"/>
            <w:vAlign w:val="bottom"/>
            <w:hideMark/>
          </w:tcPr>
          <w:p w14:paraId="52245884"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0.979</w:t>
            </w:r>
          </w:p>
        </w:tc>
        <w:tc>
          <w:tcPr>
            <w:tcW w:w="697" w:type="dxa"/>
            <w:tcBorders>
              <w:top w:val="nil"/>
              <w:left w:val="nil"/>
              <w:bottom w:val="nil"/>
              <w:right w:val="nil"/>
            </w:tcBorders>
            <w:shd w:val="clear" w:color="auto" w:fill="auto"/>
            <w:vAlign w:val="bottom"/>
            <w:hideMark/>
          </w:tcPr>
          <w:p w14:paraId="5764B0DE"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0.972</w:t>
            </w:r>
          </w:p>
        </w:tc>
        <w:tc>
          <w:tcPr>
            <w:tcW w:w="697" w:type="dxa"/>
            <w:tcBorders>
              <w:top w:val="nil"/>
              <w:left w:val="nil"/>
              <w:bottom w:val="nil"/>
              <w:right w:val="nil"/>
            </w:tcBorders>
            <w:shd w:val="clear" w:color="auto" w:fill="auto"/>
            <w:vAlign w:val="bottom"/>
            <w:hideMark/>
          </w:tcPr>
          <w:p w14:paraId="4CE22A96"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1.019</w:t>
            </w:r>
          </w:p>
        </w:tc>
        <w:tc>
          <w:tcPr>
            <w:tcW w:w="697" w:type="dxa"/>
            <w:tcBorders>
              <w:top w:val="nil"/>
              <w:left w:val="nil"/>
              <w:bottom w:val="nil"/>
              <w:right w:val="nil"/>
            </w:tcBorders>
            <w:shd w:val="clear" w:color="auto" w:fill="auto"/>
            <w:vAlign w:val="bottom"/>
            <w:hideMark/>
          </w:tcPr>
          <w:p w14:paraId="1B889296"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1.029</w:t>
            </w:r>
          </w:p>
        </w:tc>
        <w:tc>
          <w:tcPr>
            <w:tcW w:w="697" w:type="dxa"/>
            <w:tcBorders>
              <w:top w:val="nil"/>
              <w:left w:val="nil"/>
              <w:bottom w:val="nil"/>
              <w:right w:val="nil"/>
            </w:tcBorders>
            <w:shd w:val="clear" w:color="auto" w:fill="auto"/>
            <w:vAlign w:val="bottom"/>
            <w:hideMark/>
          </w:tcPr>
          <w:p w14:paraId="616C5304" w14:textId="77777777" w:rsidR="007E365E" w:rsidRPr="006445A5" w:rsidRDefault="007E365E" w:rsidP="007D1D77">
            <w:pPr>
              <w:tabs>
                <w:tab w:val="clear" w:pos="567"/>
              </w:tabs>
              <w:spacing w:before="0" w:line="240" w:lineRule="auto"/>
              <w:jc w:val="right"/>
              <w:rPr>
                <w:rFonts w:eastAsia="Times New Roman" w:cs="Open Sans Light"/>
                <w:sz w:val="16"/>
                <w:szCs w:val="16"/>
                <w:lang w:eastAsia="en-AU"/>
              </w:rPr>
            </w:pPr>
            <w:r w:rsidRPr="006445A5">
              <w:rPr>
                <w:rFonts w:eastAsia="Times New Roman" w:cs="Open Sans Light"/>
                <w:sz w:val="16"/>
                <w:szCs w:val="16"/>
                <w:lang w:eastAsia="en-AU"/>
              </w:rPr>
              <w:t>1.000</w:t>
            </w:r>
          </w:p>
        </w:tc>
      </w:tr>
      <w:tr w:rsidR="007E365E" w:rsidRPr="006445A5" w14:paraId="6F837391" w14:textId="77777777" w:rsidTr="007D1D77">
        <w:trPr>
          <w:trHeight w:val="319"/>
        </w:trPr>
        <w:tc>
          <w:tcPr>
            <w:tcW w:w="2675" w:type="dxa"/>
            <w:tcBorders>
              <w:top w:val="single" w:sz="4" w:space="0" w:color="ADD6EA"/>
              <w:left w:val="nil"/>
              <w:bottom w:val="single" w:sz="4" w:space="0" w:color="ADD6EA"/>
              <w:right w:val="nil"/>
            </w:tcBorders>
            <w:shd w:val="clear" w:color="000000" w:fill="D6E7F0"/>
            <w:vAlign w:val="bottom"/>
            <w:hideMark/>
          </w:tcPr>
          <w:p w14:paraId="5471E91F" w14:textId="77777777" w:rsidR="007E365E" w:rsidRPr="006445A5"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Assessed expenses ($m)</w:t>
            </w:r>
          </w:p>
        </w:tc>
        <w:tc>
          <w:tcPr>
            <w:tcW w:w="698" w:type="dxa"/>
            <w:tcBorders>
              <w:top w:val="single" w:sz="4" w:space="0" w:color="ADD6EA"/>
              <w:left w:val="nil"/>
              <w:bottom w:val="single" w:sz="4" w:space="0" w:color="ADD6EA"/>
              <w:right w:val="nil"/>
            </w:tcBorders>
            <w:shd w:val="clear" w:color="000000" w:fill="D6E7F0"/>
            <w:vAlign w:val="bottom"/>
            <w:hideMark/>
          </w:tcPr>
          <w:p w14:paraId="31092CA5"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253</w:t>
            </w:r>
          </w:p>
        </w:tc>
        <w:tc>
          <w:tcPr>
            <w:tcW w:w="698" w:type="dxa"/>
            <w:tcBorders>
              <w:top w:val="single" w:sz="4" w:space="0" w:color="ADD6EA"/>
              <w:left w:val="nil"/>
              <w:bottom w:val="single" w:sz="4" w:space="0" w:color="ADD6EA"/>
              <w:right w:val="nil"/>
            </w:tcBorders>
            <w:shd w:val="clear" w:color="000000" w:fill="D6E7F0"/>
            <w:vAlign w:val="bottom"/>
            <w:hideMark/>
          </w:tcPr>
          <w:p w14:paraId="48027C60"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202</w:t>
            </w:r>
          </w:p>
        </w:tc>
        <w:tc>
          <w:tcPr>
            <w:tcW w:w="698" w:type="dxa"/>
            <w:tcBorders>
              <w:top w:val="single" w:sz="4" w:space="0" w:color="ADD6EA"/>
              <w:left w:val="nil"/>
              <w:bottom w:val="single" w:sz="4" w:space="0" w:color="ADD6EA"/>
              <w:right w:val="nil"/>
            </w:tcBorders>
            <w:shd w:val="clear" w:color="000000" w:fill="D6E7F0"/>
            <w:vAlign w:val="bottom"/>
            <w:hideMark/>
          </w:tcPr>
          <w:p w14:paraId="226A3ED3"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158</w:t>
            </w:r>
          </w:p>
        </w:tc>
        <w:tc>
          <w:tcPr>
            <w:tcW w:w="697" w:type="dxa"/>
            <w:tcBorders>
              <w:top w:val="single" w:sz="4" w:space="0" w:color="ADD6EA"/>
              <w:left w:val="nil"/>
              <w:bottom w:val="single" w:sz="4" w:space="0" w:color="ADD6EA"/>
              <w:right w:val="nil"/>
            </w:tcBorders>
            <w:shd w:val="clear" w:color="000000" w:fill="D6E7F0"/>
            <w:vAlign w:val="bottom"/>
            <w:hideMark/>
          </w:tcPr>
          <w:p w14:paraId="60F8F739"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84</w:t>
            </w:r>
          </w:p>
        </w:tc>
        <w:tc>
          <w:tcPr>
            <w:tcW w:w="697" w:type="dxa"/>
            <w:tcBorders>
              <w:top w:val="single" w:sz="4" w:space="0" w:color="ADD6EA"/>
              <w:left w:val="nil"/>
              <w:bottom w:val="single" w:sz="4" w:space="0" w:color="ADD6EA"/>
              <w:right w:val="nil"/>
            </w:tcBorders>
            <w:shd w:val="clear" w:color="000000" w:fill="D6E7F0"/>
            <w:vAlign w:val="bottom"/>
            <w:hideMark/>
          </w:tcPr>
          <w:p w14:paraId="4A3125FD"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54</w:t>
            </w:r>
          </w:p>
        </w:tc>
        <w:tc>
          <w:tcPr>
            <w:tcW w:w="697" w:type="dxa"/>
            <w:tcBorders>
              <w:top w:val="single" w:sz="4" w:space="0" w:color="ADD6EA"/>
              <w:left w:val="nil"/>
              <w:bottom w:val="single" w:sz="4" w:space="0" w:color="ADD6EA"/>
              <w:right w:val="nil"/>
            </w:tcBorders>
            <w:shd w:val="clear" w:color="000000" w:fill="D6E7F0"/>
            <w:vAlign w:val="bottom"/>
            <w:hideMark/>
          </w:tcPr>
          <w:p w14:paraId="5A8B4468"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16</w:t>
            </w:r>
          </w:p>
        </w:tc>
        <w:tc>
          <w:tcPr>
            <w:tcW w:w="697" w:type="dxa"/>
            <w:tcBorders>
              <w:top w:val="single" w:sz="4" w:space="0" w:color="ADD6EA"/>
              <w:left w:val="nil"/>
              <w:bottom w:val="single" w:sz="4" w:space="0" w:color="ADD6EA"/>
              <w:right w:val="nil"/>
            </w:tcBorders>
            <w:shd w:val="clear" w:color="000000" w:fill="D6E7F0"/>
            <w:vAlign w:val="bottom"/>
            <w:hideMark/>
          </w:tcPr>
          <w:p w14:paraId="2BCC4065"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13</w:t>
            </w:r>
          </w:p>
        </w:tc>
        <w:tc>
          <w:tcPr>
            <w:tcW w:w="697" w:type="dxa"/>
            <w:tcBorders>
              <w:top w:val="single" w:sz="4" w:space="0" w:color="ADD6EA"/>
              <w:left w:val="nil"/>
              <w:bottom w:val="single" w:sz="4" w:space="0" w:color="ADD6EA"/>
              <w:right w:val="nil"/>
            </w:tcBorders>
            <w:shd w:val="clear" w:color="000000" w:fill="D6E7F0"/>
            <w:vAlign w:val="bottom"/>
            <w:hideMark/>
          </w:tcPr>
          <w:p w14:paraId="55CF2AC5"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9</w:t>
            </w:r>
          </w:p>
        </w:tc>
        <w:tc>
          <w:tcPr>
            <w:tcW w:w="697" w:type="dxa"/>
            <w:tcBorders>
              <w:top w:val="single" w:sz="4" w:space="0" w:color="ADD6EA"/>
              <w:left w:val="nil"/>
              <w:bottom w:val="single" w:sz="4" w:space="0" w:color="ADD6EA"/>
              <w:right w:val="nil"/>
            </w:tcBorders>
            <w:shd w:val="clear" w:color="000000" w:fill="D6E7F0"/>
            <w:vAlign w:val="bottom"/>
            <w:hideMark/>
          </w:tcPr>
          <w:p w14:paraId="07A8BDBB"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789</w:t>
            </w:r>
          </w:p>
        </w:tc>
      </w:tr>
      <w:tr w:rsidR="007E365E" w:rsidRPr="006445A5" w14:paraId="3A928113" w14:textId="77777777" w:rsidTr="007D1D77">
        <w:trPr>
          <w:trHeight w:val="319"/>
        </w:trPr>
        <w:tc>
          <w:tcPr>
            <w:tcW w:w="2675" w:type="dxa"/>
            <w:tcBorders>
              <w:top w:val="nil"/>
              <w:left w:val="nil"/>
              <w:bottom w:val="single" w:sz="4" w:space="0" w:color="ADD6EA"/>
              <w:right w:val="nil"/>
            </w:tcBorders>
            <w:shd w:val="clear" w:color="000000" w:fill="D6E7F0"/>
            <w:vAlign w:val="bottom"/>
            <w:hideMark/>
          </w:tcPr>
          <w:p w14:paraId="20F56A34" w14:textId="77777777" w:rsidR="007E365E" w:rsidRPr="006445A5"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Assessed expenses ($pc)</w:t>
            </w:r>
          </w:p>
        </w:tc>
        <w:tc>
          <w:tcPr>
            <w:tcW w:w="698" w:type="dxa"/>
            <w:tcBorders>
              <w:top w:val="nil"/>
              <w:left w:val="nil"/>
              <w:bottom w:val="single" w:sz="4" w:space="0" w:color="ADD6EA"/>
              <w:right w:val="nil"/>
            </w:tcBorders>
            <w:shd w:val="clear" w:color="000000" w:fill="D6E7F0"/>
            <w:vAlign w:val="bottom"/>
            <w:hideMark/>
          </w:tcPr>
          <w:p w14:paraId="01F80F5B"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31</w:t>
            </w:r>
          </w:p>
        </w:tc>
        <w:tc>
          <w:tcPr>
            <w:tcW w:w="698" w:type="dxa"/>
            <w:tcBorders>
              <w:top w:val="nil"/>
              <w:left w:val="nil"/>
              <w:bottom w:val="single" w:sz="4" w:space="0" w:color="ADD6EA"/>
              <w:right w:val="nil"/>
            </w:tcBorders>
            <w:shd w:val="clear" w:color="000000" w:fill="D6E7F0"/>
            <w:vAlign w:val="bottom"/>
            <w:hideMark/>
          </w:tcPr>
          <w:p w14:paraId="2471CDF5"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31</w:t>
            </w:r>
          </w:p>
        </w:tc>
        <w:tc>
          <w:tcPr>
            <w:tcW w:w="698" w:type="dxa"/>
            <w:tcBorders>
              <w:top w:val="nil"/>
              <w:left w:val="nil"/>
              <w:bottom w:val="single" w:sz="4" w:space="0" w:color="ADD6EA"/>
              <w:right w:val="nil"/>
            </w:tcBorders>
            <w:shd w:val="clear" w:color="000000" w:fill="D6E7F0"/>
            <w:vAlign w:val="bottom"/>
            <w:hideMark/>
          </w:tcPr>
          <w:p w14:paraId="3CF6F6D0"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31</w:t>
            </w:r>
          </w:p>
        </w:tc>
        <w:tc>
          <w:tcPr>
            <w:tcW w:w="697" w:type="dxa"/>
            <w:tcBorders>
              <w:top w:val="nil"/>
              <w:left w:val="nil"/>
              <w:bottom w:val="single" w:sz="4" w:space="0" w:color="ADD6EA"/>
              <w:right w:val="nil"/>
            </w:tcBorders>
            <w:shd w:val="clear" w:color="000000" w:fill="D6E7F0"/>
            <w:vAlign w:val="bottom"/>
            <w:hideMark/>
          </w:tcPr>
          <w:p w14:paraId="69676CFD"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32</w:t>
            </w:r>
          </w:p>
        </w:tc>
        <w:tc>
          <w:tcPr>
            <w:tcW w:w="697" w:type="dxa"/>
            <w:tcBorders>
              <w:top w:val="nil"/>
              <w:left w:val="nil"/>
              <w:bottom w:val="single" w:sz="4" w:space="0" w:color="ADD6EA"/>
              <w:right w:val="nil"/>
            </w:tcBorders>
            <w:shd w:val="clear" w:color="000000" w:fill="D6E7F0"/>
            <w:vAlign w:val="bottom"/>
            <w:hideMark/>
          </w:tcPr>
          <w:p w14:paraId="3FCD2789"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31</w:t>
            </w:r>
          </w:p>
        </w:tc>
        <w:tc>
          <w:tcPr>
            <w:tcW w:w="697" w:type="dxa"/>
            <w:tcBorders>
              <w:top w:val="nil"/>
              <w:left w:val="nil"/>
              <w:bottom w:val="single" w:sz="4" w:space="0" w:color="ADD6EA"/>
              <w:right w:val="nil"/>
            </w:tcBorders>
            <w:shd w:val="clear" w:color="000000" w:fill="D6E7F0"/>
            <w:vAlign w:val="bottom"/>
            <w:hideMark/>
          </w:tcPr>
          <w:p w14:paraId="3C7295C0"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31</w:t>
            </w:r>
          </w:p>
        </w:tc>
        <w:tc>
          <w:tcPr>
            <w:tcW w:w="697" w:type="dxa"/>
            <w:tcBorders>
              <w:top w:val="nil"/>
              <w:left w:val="nil"/>
              <w:bottom w:val="single" w:sz="4" w:space="0" w:color="ADD6EA"/>
              <w:right w:val="nil"/>
            </w:tcBorders>
            <w:shd w:val="clear" w:color="000000" w:fill="D6E7F0"/>
            <w:vAlign w:val="bottom"/>
            <w:hideMark/>
          </w:tcPr>
          <w:p w14:paraId="12E7BE92"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32</w:t>
            </w:r>
          </w:p>
        </w:tc>
        <w:tc>
          <w:tcPr>
            <w:tcW w:w="697" w:type="dxa"/>
            <w:tcBorders>
              <w:top w:val="nil"/>
              <w:left w:val="nil"/>
              <w:bottom w:val="single" w:sz="4" w:space="0" w:color="ADD6EA"/>
              <w:right w:val="nil"/>
            </w:tcBorders>
            <w:shd w:val="clear" w:color="000000" w:fill="D6E7F0"/>
            <w:vAlign w:val="bottom"/>
            <w:hideMark/>
          </w:tcPr>
          <w:p w14:paraId="5F869604"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36</w:t>
            </w:r>
          </w:p>
        </w:tc>
        <w:tc>
          <w:tcPr>
            <w:tcW w:w="697" w:type="dxa"/>
            <w:tcBorders>
              <w:top w:val="nil"/>
              <w:left w:val="nil"/>
              <w:bottom w:val="single" w:sz="4" w:space="0" w:color="ADD6EA"/>
              <w:right w:val="nil"/>
            </w:tcBorders>
            <w:shd w:val="clear" w:color="000000" w:fill="D6E7F0"/>
            <w:vAlign w:val="bottom"/>
            <w:hideMark/>
          </w:tcPr>
          <w:p w14:paraId="49361362" w14:textId="77777777" w:rsidR="007E365E" w:rsidRPr="006445A5"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6445A5">
              <w:rPr>
                <w:rFonts w:ascii="Open Sans SemiBold" w:eastAsia="Times New Roman" w:hAnsi="Open Sans SemiBold" w:cs="Open Sans SemiBold"/>
                <w:sz w:val="16"/>
                <w:szCs w:val="16"/>
                <w:lang w:eastAsia="en-AU"/>
              </w:rPr>
              <w:t>31</w:t>
            </w:r>
          </w:p>
        </w:tc>
      </w:tr>
    </w:tbl>
    <w:p w14:paraId="216E9404" w14:textId="77777777" w:rsidR="007E365E" w:rsidRPr="00976585" w:rsidRDefault="007E365E" w:rsidP="007E365E">
      <w:pPr>
        <w:pStyle w:val="CGCTablenote"/>
      </w:pPr>
      <w:r w:rsidRPr="00976585">
        <w:t>Source:</w:t>
      </w:r>
      <w:r w:rsidRPr="00976585">
        <w:tab/>
        <w:t>Commission calculation.</w:t>
      </w:r>
    </w:p>
    <w:p w14:paraId="2A311653" w14:textId="77777777" w:rsidR="007E365E" w:rsidRPr="00976585" w:rsidRDefault="007E365E" w:rsidP="007E365E">
      <w:pPr>
        <w:pStyle w:val="Heading3"/>
      </w:pPr>
      <w:bookmarkStart w:id="270" w:name="_Toc6470672"/>
      <w:r w:rsidRPr="00976585">
        <w:t>Category calculations</w:t>
      </w:r>
      <w:bookmarkEnd w:id="270"/>
    </w:p>
    <w:p w14:paraId="383242D2" w14:textId="2ED0E635" w:rsidR="007E365E" w:rsidRPr="00976585" w:rsidRDefault="007E365E" w:rsidP="007E365E">
      <w:pPr>
        <w:pStyle w:val="CGCParaNumber"/>
      </w:pPr>
      <w:r>
        <w:fldChar w:fldCharType="begin"/>
      </w:r>
      <w:r>
        <w:instrText xml:space="preserve"> REF _Ref32845802 \h </w:instrText>
      </w:r>
      <w:r>
        <w:fldChar w:fldCharType="separate"/>
      </w:r>
      <w:r w:rsidR="007F721A" w:rsidRPr="00976585">
        <w:t xml:space="preserve">Table </w:t>
      </w:r>
      <w:r w:rsidR="007F721A">
        <w:t>21-</w:t>
      </w:r>
      <w:r w:rsidR="007F721A">
        <w:rPr>
          <w:noProof/>
        </w:rPr>
        <w:t>14</w:t>
      </w:r>
      <w:r>
        <w:fldChar w:fldCharType="end"/>
      </w:r>
      <w:r w:rsidRPr="00976585">
        <w:t xml:space="preserve"> brings the assessed expenses for each component together to derive the total assessed expenses for each State for the category. It shows at the component level how each disability assessment moves expenses away from an equal per capita (EPC) distribution to obtain assessed expenses.</w:t>
      </w:r>
    </w:p>
    <w:p w14:paraId="7B3A55DE" w14:textId="35D3C597" w:rsidR="007E365E" w:rsidRDefault="007E365E" w:rsidP="007E365E">
      <w:pPr>
        <w:pStyle w:val="Caption"/>
        <w:widowControl w:val="0"/>
      </w:pPr>
      <w:bookmarkStart w:id="271" w:name="_Ref32845802"/>
      <w:r w:rsidRPr="00976585">
        <w:lastRenderedPageBreak/>
        <w:t xml:space="preserve">Table </w:t>
      </w:r>
      <w:r>
        <w:t>21-</w:t>
      </w:r>
      <w:fldSimple w:instr=" SEQ Table \* ARABIC ">
        <w:r w:rsidR="007F721A">
          <w:rPr>
            <w:noProof/>
          </w:rPr>
          <w:t>14</w:t>
        </w:r>
      </w:fldSimple>
      <w:bookmarkEnd w:id="271"/>
      <w:r w:rsidRPr="00976585">
        <w:tab/>
        <w:t>Transport</w:t>
      </w:r>
      <w:r>
        <w:t xml:space="preserve"> category assessment</w:t>
      </w:r>
      <w:r w:rsidRPr="00976585">
        <w:t>, 201</w:t>
      </w:r>
      <w:r>
        <w:t>8</w:t>
      </w:r>
      <w:r w:rsidRPr="00976585">
        <w:noBreakHyphen/>
        <w:t>1</w:t>
      </w:r>
      <w:r>
        <w:t>9</w:t>
      </w:r>
    </w:p>
    <w:tbl>
      <w:tblPr>
        <w:tblW w:w="8942" w:type="dxa"/>
        <w:tblCellMar>
          <w:left w:w="28" w:type="dxa"/>
          <w:right w:w="28" w:type="dxa"/>
        </w:tblCellMar>
        <w:tblLook w:val="04A0" w:firstRow="1" w:lastRow="0" w:firstColumn="1" w:lastColumn="0" w:noHBand="0" w:noVBand="1"/>
      </w:tblPr>
      <w:tblGrid>
        <w:gridCol w:w="2763"/>
        <w:gridCol w:w="693"/>
        <w:gridCol w:w="693"/>
        <w:gridCol w:w="694"/>
        <w:gridCol w:w="694"/>
        <w:gridCol w:w="694"/>
        <w:gridCol w:w="694"/>
        <w:gridCol w:w="694"/>
        <w:gridCol w:w="694"/>
        <w:gridCol w:w="694"/>
      </w:tblGrid>
      <w:tr w:rsidR="007E365E" w:rsidRPr="0097695F" w14:paraId="41E06283" w14:textId="77777777" w:rsidTr="007D1D77">
        <w:trPr>
          <w:trHeight w:val="379"/>
        </w:trPr>
        <w:tc>
          <w:tcPr>
            <w:tcW w:w="3300" w:type="dxa"/>
            <w:tcBorders>
              <w:top w:val="single" w:sz="4" w:space="0" w:color="B6D5E4"/>
              <w:left w:val="nil"/>
              <w:bottom w:val="single" w:sz="4" w:space="0" w:color="B6D5E4"/>
              <w:right w:val="nil"/>
            </w:tcBorders>
            <w:shd w:val="clear" w:color="000000" w:fill="006991"/>
            <w:noWrap/>
            <w:vAlign w:val="center"/>
            <w:hideMark/>
          </w:tcPr>
          <w:p w14:paraId="07FD0EDA"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95F">
              <w:rPr>
                <w:rFonts w:ascii="Open Sans SemiBold" w:eastAsia="Times New Roman" w:hAnsi="Open Sans SemiBold" w:cs="Open Sans SemiBold"/>
                <w:color w:val="FFFFFF"/>
                <w:sz w:val="16"/>
                <w:szCs w:val="16"/>
                <w:lang w:eastAsia="en-AU"/>
              </w:rPr>
              <w:t> </w:t>
            </w:r>
          </w:p>
        </w:tc>
        <w:tc>
          <w:tcPr>
            <w:tcW w:w="820" w:type="dxa"/>
            <w:tcBorders>
              <w:top w:val="single" w:sz="4" w:space="0" w:color="B6D5E4"/>
              <w:left w:val="nil"/>
              <w:bottom w:val="single" w:sz="4" w:space="0" w:color="B6D5E4"/>
              <w:right w:val="nil"/>
            </w:tcBorders>
            <w:shd w:val="clear" w:color="000000" w:fill="006991"/>
            <w:noWrap/>
            <w:vAlign w:val="center"/>
            <w:hideMark/>
          </w:tcPr>
          <w:p w14:paraId="122F7593"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95F">
              <w:rPr>
                <w:rFonts w:ascii="Open Sans SemiBold" w:eastAsia="Times New Roman" w:hAnsi="Open Sans SemiBold" w:cs="Open Sans SemiBold"/>
                <w:color w:val="FFFFFF"/>
                <w:sz w:val="16"/>
                <w:szCs w:val="16"/>
                <w:lang w:eastAsia="en-AU"/>
              </w:rPr>
              <w:t>NSW</w:t>
            </w:r>
          </w:p>
        </w:tc>
        <w:tc>
          <w:tcPr>
            <w:tcW w:w="820" w:type="dxa"/>
            <w:tcBorders>
              <w:top w:val="single" w:sz="4" w:space="0" w:color="B6D5E4"/>
              <w:left w:val="nil"/>
              <w:bottom w:val="single" w:sz="4" w:space="0" w:color="B6D5E4"/>
              <w:right w:val="nil"/>
            </w:tcBorders>
            <w:shd w:val="clear" w:color="000000" w:fill="006991"/>
            <w:noWrap/>
            <w:vAlign w:val="center"/>
            <w:hideMark/>
          </w:tcPr>
          <w:p w14:paraId="41BE3A9B"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95F">
              <w:rPr>
                <w:rFonts w:ascii="Open Sans SemiBold" w:eastAsia="Times New Roman" w:hAnsi="Open Sans SemiBold" w:cs="Open Sans SemiBold"/>
                <w:color w:val="FFFFFF"/>
                <w:sz w:val="16"/>
                <w:szCs w:val="16"/>
                <w:lang w:eastAsia="en-AU"/>
              </w:rPr>
              <w:t>Vic</w:t>
            </w:r>
          </w:p>
        </w:tc>
        <w:tc>
          <w:tcPr>
            <w:tcW w:w="820" w:type="dxa"/>
            <w:tcBorders>
              <w:top w:val="single" w:sz="4" w:space="0" w:color="B6D5E4"/>
              <w:left w:val="nil"/>
              <w:bottom w:val="single" w:sz="4" w:space="0" w:color="B6D5E4"/>
              <w:right w:val="nil"/>
            </w:tcBorders>
            <w:shd w:val="clear" w:color="000000" w:fill="006991"/>
            <w:noWrap/>
            <w:vAlign w:val="center"/>
            <w:hideMark/>
          </w:tcPr>
          <w:p w14:paraId="39DB1A9C"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95F">
              <w:rPr>
                <w:rFonts w:ascii="Open Sans SemiBold" w:eastAsia="Times New Roman" w:hAnsi="Open Sans SemiBold" w:cs="Open Sans SemiBold"/>
                <w:color w:val="FFFFFF"/>
                <w:sz w:val="16"/>
                <w:szCs w:val="16"/>
                <w:lang w:eastAsia="en-AU"/>
              </w:rPr>
              <w:t>Qld</w:t>
            </w:r>
          </w:p>
        </w:tc>
        <w:tc>
          <w:tcPr>
            <w:tcW w:w="820" w:type="dxa"/>
            <w:tcBorders>
              <w:top w:val="single" w:sz="4" w:space="0" w:color="B6D5E4"/>
              <w:left w:val="nil"/>
              <w:bottom w:val="single" w:sz="4" w:space="0" w:color="B6D5E4"/>
              <w:right w:val="nil"/>
            </w:tcBorders>
            <w:shd w:val="clear" w:color="000000" w:fill="006991"/>
            <w:noWrap/>
            <w:vAlign w:val="center"/>
            <w:hideMark/>
          </w:tcPr>
          <w:p w14:paraId="2598A565"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95F">
              <w:rPr>
                <w:rFonts w:ascii="Open Sans SemiBold" w:eastAsia="Times New Roman" w:hAnsi="Open Sans SemiBold" w:cs="Open Sans SemiBold"/>
                <w:color w:val="FFFFFF"/>
                <w:sz w:val="16"/>
                <w:szCs w:val="16"/>
                <w:lang w:eastAsia="en-AU"/>
              </w:rPr>
              <w:t>WA</w:t>
            </w:r>
          </w:p>
        </w:tc>
        <w:tc>
          <w:tcPr>
            <w:tcW w:w="820" w:type="dxa"/>
            <w:tcBorders>
              <w:top w:val="single" w:sz="4" w:space="0" w:color="B6D5E4"/>
              <w:left w:val="nil"/>
              <w:bottom w:val="single" w:sz="4" w:space="0" w:color="B6D5E4"/>
              <w:right w:val="nil"/>
            </w:tcBorders>
            <w:shd w:val="clear" w:color="000000" w:fill="006991"/>
            <w:noWrap/>
            <w:vAlign w:val="center"/>
            <w:hideMark/>
          </w:tcPr>
          <w:p w14:paraId="6C0DDB8C"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95F">
              <w:rPr>
                <w:rFonts w:ascii="Open Sans SemiBold" w:eastAsia="Times New Roman" w:hAnsi="Open Sans SemiBold" w:cs="Open Sans SemiBold"/>
                <w:color w:val="FFFFFF"/>
                <w:sz w:val="16"/>
                <w:szCs w:val="16"/>
                <w:lang w:eastAsia="en-AU"/>
              </w:rPr>
              <w:t>SA</w:t>
            </w:r>
          </w:p>
        </w:tc>
        <w:tc>
          <w:tcPr>
            <w:tcW w:w="820" w:type="dxa"/>
            <w:tcBorders>
              <w:top w:val="single" w:sz="4" w:space="0" w:color="B6D5E4"/>
              <w:left w:val="nil"/>
              <w:bottom w:val="single" w:sz="4" w:space="0" w:color="B6D5E4"/>
              <w:right w:val="nil"/>
            </w:tcBorders>
            <w:shd w:val="clear" w:color="000000" w:fill="006991"/>
            <w:noWrap/>
            <w:vAlign w:val="center"/>
            <w:hideMark/>
          </w:tcPr>
          <w:p w14:paraId="6AAC6B1D"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95F">
              <w:rPr>
                <w:rFonts w:ascii="Open Sans SemiBold" w:eastAsia="Times New Roman" w:hAnsi="Open Sans SemiBold" w:cs="Open Sans SemiBold"/>
                <w:color w:val="FFFFFF"/>
                <w:sz w:val="16"/>
                <w:szCs w:val="16"/>
                <w:lang w:eastAsia="en-AU"/>
              </w:rPr>
              <w:t>Tas</w:t>
            </w:r>
          </w:p>
        </w:tc>
        <w:tc>
          <w:tcPr>
            <w:tcW w:w="820" w:type="dxa"/>
            <w:tcBorders>
              <w:top w:val="single" w:sz="4" w:space="0" w:color="B6D5E4"/>
              <w:left w:val="nil"/>
              <w:bottom w:val="single" w:sz="4" w:space="0" w:color="B6D5E4"/>
              <w:right w:val="nil"/>
            </w:tcBorders>
            <w:shd w:val="clear" w:color="000000" w:fill="006991"/>
            <w:noWrap/>
            <w:vAlign w:val="center"/>
            <w:hideMark/>
          </w:tcPr>
          <w:p w14:paraId="73962F0B"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95F">
              <w:rPr>
                <w:rFonts w:ascii="Open Sans SemiBold" w:eastAsia="Times New Roman" w:hAnsi="Open Sans SemiBold" w:cs="Open Sans SemiBold"/>
                <w:color w:val="FFFFFF"/>
                <w:sz w:val="16"/>
                <w:szCs w:val="16"/>
                <w:lang w:eastAsia="en-AU"/>
              </w:rPr>
              <w:t>ACT</w:t>
            </w:r>
          </w:p>
        </w:tc>
        <w:tc>
          <w:tcPr>
            <w:tcW w:w="820" w:type="dxa"/>
            <w:tcBorders>
              <w:top w:val="single" w:sz="4" w:space="0" w:color="B6D5E4"/>
              <w:left w:val="nil"/>
              <w:bottom w:val="single" w:sz="4" w:space="0" w:color="B6D5E4"/>
              <w:right w:val="nil"/>
            </w:tcBorders>
            <w:shd w:val="clear" w:color="000000" w:fill="006991"/>
            <w:noWrap/>
            <w:vAlign w:val="center"/>
            <w:hideMark/>
          </w:tcPr>
          <w:p w14:paraId="6397AE55"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95F">
              <w:rPr>
                <w:rFonts w:ascii="Open Sans SemiBold" w:eastAsia="Times New Roman" w:hAnsi="Open Sans SemiBold" w:cs="Open Sans SemiBold"/>
                <w:color w:val="FFFFFF"/>
                <w:sz w:val="16"/>
                <w:szCs w:val="16"/>
                <w:lang w:eastAsia="en-AU"/>
              </w:rPr>
              <w:t>NT</w:t>
            </w:r>
          </w:p>
        </w:tc>
        <w:tc>
          <w:tcPr>
            <w:tcW w:w="820" w:type="dxa"/>
            <w:tcBorders>
              <w:top w:val="single" w:sz="4" w:space="0" w:color="B6D5E4"/>
              <w:left w:val="nil"/>
              <w:bottom w:val="single" w:sz="4" w:space="0" w:color="B6D5E4"/>
              <w:right w:val="nil"/>
            </w:tcBorders>
            <w:shd w:val="clear" w:color="000000" w:fill="006991"/>
            <w:noWrap/>
            <w:vAlign w:val="center"/>
            <w:hideMark/>
          </w:tcPr>
          <w:p w14:paraId="4D07DE1A"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7695F">
              <w:rPr>
                <w:rFonts w:ascii="Open Sans SemiBold" w:eastAsia="Times New Roman" w:hAnsi="Open Sans SemiBold" w:cs="Open Sans SemiBold"/>
                <w:color w:val="FFFFFF"/>
                <w:sz w:val="16"/>
                <w:szCs w:val="16"/>
                <w:lang w:eastAsia="en-AU"/>
              </w:rPr>
              <w:t>Ave</w:t>
            </w:r>
          </w:p>
        </w:tc>
      </w:tr>
      <w:tr w:rsidR="007E365E" w:rsidRPr="0097695F" w14:paraId="2E680B68" w14:textId="77777777" w:rsidTr="007D1D77">
        <w:trPr>
          <w:trHeight w:hRule="exact" w:val="255"/>
        </w:trPr>
        <w:tc>
          <w:tcPr>
            <w:tcW w:w="3300" w:type="dxa"/>
            <w:tcBorders>
              <w:top w:val="nil"/>
              <w:left w:val="nil"/>
              <w:bottom w:val="single" w:sz="4" w:space="0" w:color="B6D5E4"/>
              <w:right w:val="nil"/>
            </w:tcBorders>
            <w:shd w:val="clear" w:color="000000" w:fill="B6D5E4"/>
            <w:vAlign w:val="center"/>
            <w:hideMark/>
          </w:tcPr>
          <w:p w14:paraId="583017FA"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B6D5E4"/>
              <w:right w:val="nil"/>
            </w:tcBorders>
            <w:shd w:val="clear" w:color="000000" w:fill="B6D5E4"/>
            <w:vAlign w:val="center"/>
            <w:hideMark/>
          </w:tcPr>
          <w:p w14:paraId="4814AA3C"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$pc</w:t>
            </w:r>
          </w:p>
        </w:tc>
        <w:tc>
          <w:tcPr>
            <w:tcW w:w="820" w:type="dxa"/>
            <w:tcBorders>
              <w:top w:val="nil"/>
              <w:left w:val="nil"/>
              <w:bottom w:val="single" w:sz="4" w:space="0" w:color="B6D5E4"/>
              <w:right w:val="nil"/>
            </w:tcBorders>
            <w:shd w:val="clear" w:color="000000" w:fill="B6D5E4"/>
            <w:vAlign w:val="center"/>
            <w:hideMark/>
          </w:tcPr>
          <w:p w14:paraId="5BD3A686"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$pc</w:t>
            </w:r>
          </w:p>
        </w:tc>
        <w:tc>
          <w:tcPr>
            <w:tcW w:w="820" w:type="dxa"/>
            <w:tcBorders>
              <w:top w:val="nil"/>
              <w:left w:val="nil"/>
              <w:bottom w:val="single" w:sz="4" w:space="0" w:color="B6D5E4"/>
              <w:right w:val="nil"/>
            </w:tcBorders>
            <w:shd w:val="clear" w:color="000000" w:fill="B6D5E4"/>
            <w:vAlign w:val="center"/>
            <w:hideMark/>
          </w:tcPr>
          <w:p w14:paraId="61A83DA4"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$pc</w:t>
            </w:r>
          </w:p>
        </w:tc>
        <w:tc>
          <w:tcPr>
            <w:tcW w:w="820" w:type="dxa"/>
            <w:tcBorders>
              <w:top w:val="nil"/>
              <w:left w:val="nil"/>
              <w:bottom w:val="single" w:sz="4" w:space="0" w:color="B6D5E4"/>
              <w:right w:val="nil"/>
            </w:tcBorders>
            <w:shd w:val="clear" w:color="000000" w:fill="B6D5E4"/>
            <w:vAlign w:val="center"/>
            <w:hideMark/>
          </w:tcPr>
          <w:p w14:paraId="0E51AA0D"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$pc</w:t>
            </w:r>
          </w:p>
        </w:tc>
        <w:tc>
          <w:tcPr>
            <w:tcW w:w="820" w:type="dxa"/>
            <w:tcBorders>
              <w:top w:val="nil"/>
              <w:left w:val="nil"/>
              <w:bottom w:val="single" w:sz="4" w:space="0" w:color="B6D5E4"/>
              <w:right w:val="nil"/>
            </w:tcBorders>
            <w:shd w:val="clear" w:color="000000" w:fill="B6D5E4"/>
            <w:vAlign w:val="center"/>
            <w:hideMark/>
          </w:tcPr>
          <w:p w14:paraId="6DF576A8"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$pc</w:t>
            </w:r>
          </w:p>
        </w:tc>
        <w:tc>
          <w:tcPr>
            <w:tcW w:w="820" w:type="dxa"/>
            <w:tcBorders>
              <w:top w:val="nil"/>
              <w:left w:val="nil"/>
              <w:bottom w:val="single" w:sz="4" w:space="0" w:color="B6D5E4"/>
              <w:right w:val="nil"/>
            </w:tcBorders>
            <w:shd w:val="clear" w:color="000000" w:fill="B6D5E4"/>
            <w:vAlign w:val="center"/>
            <w:hideMark/>
          </w:tcPr>
          <w:p w14:paraId="7CD6053C"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$pc</w:t>
            </w:r>
          </w:p>
        </w:tc>
        <w:tc>
          <w:tcPr>
            <w:tcW w:w="820" w:type="dxa"/>
            <w:tcBorders>
              <w:top w:val="nil"/>
              <w:left w:val="nil"/>
              <w:bottom w:val="single" w:sz="4" w:space="0" w:color="B6D5E4"/>
              <w:right w:val="nil"/>
            </w:tcBorders>
            <w:shd w:val="clear" w:color="000000" w:fill="B6D5E4"/>
            <w:vAlign w:val="center"/>
            <w:hideMark/>
          </w:tcPr>
          <w:p w14:paraId="3993D8E4"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$pc</w:t>
            </w:r>
          </w:p>
        </w:tc>
        <w:tc>
          <w:tcPr>
            <w:tcW w:w="820" w:type="dxa"/>
            <w:tcBorders>
              <w:top w:val="nil"/>
              <w:left w:val="nil"/>
              <w:bottom w:val="single" w:sz="4" w:space="0" w:color="B6D5E4"/>
              <w:right w:val="nil"/>
            </w:tcBorders>
            <w:shd w:val="clear" w:color="000000" w:fill="B6D5E4"/>
            <w:vAlign w:val="center"/>
            <w:hideMark/>
          </w:tcPr>
          <w:p w14:paraId="77F473AC"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$pc</w:t>
            </w:r>
          </w:p>
        </w:tc>
        <w:tc>
          <w:tcPr>
            <w:tcW w:w="820" w:type="dxa"/>
            <w:tcBorders>
              <w:top w:val="nil"/>
              <w:left w:val="nil"/>
              <w:bottom w:val="single" w:sz="4" w:space="0" w:color="B6D5E4"/>
              <w:right w:val="nil"/>
            </w:tcBorders>
            <w:shd w:val="clear" w:color="000000" w:fill="B6D5E4"/>
            <w:vAlign w:val="center"/>
            <w:hideMark/>
          </w:tcPr>
          <w:p w14:paraId="78068D4F"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$pc</w:t>
            </w:r>
          </w:p>
        </w:tc>
      </w:tr>
      <w:tr w:rsidR="007E365E" w:rsidRPr="0097695F" w14:paraId="30FE619D" w14:textId="77777777" w:rsidTr="007D1D77">
        <w:trPr>
          <w:trHeight w:val="319"/>
        </w:trPr>
        <w:tc>
          <w:tcPr>
            <w:tcW w:w="3300" w:type="dxa"/>
            <w:tcBorders>
              <w:top w:val="nil"/>
              <w:left w:val="nil"/>
              <w:bottom w:val="single" w:sz="4" w:space="0" w:color="B6D5E4"/>
              <w:right w:val="nil"/>
            </w:tcBorders>
            <w:shd w:val="clear" w:color="auto" w:fill="auto"/>
            <w:vAlign w:val="bottom"/>
            <w:hideMark/>
          </w:tcPr>
          <w:p w14:paraId="688A6A6C" w14:textId="77777777" w:rsidR="007E365E" w:rsidRPr="0097695F" w:rsidRDefault="007E365E" w:rsidP="007D1D77">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Urban transport</w:t>
            </w:r>
          </w:p>
        </w:tc>
        <w:tc>
          <w:tcPr>
            <w:tcW w:w="820" w:type="dxa"/>
            <w:tcBorders>
              <w:top w:val="nil"/>
              <w:left w:val="nil"/>
              <w:bottom w:val="single" w:sz="4" w:space="0" w:color="B6D5E4"/>
              <w:right w:val="nil"/>
            </w:tcBorders>
            <w:shd w:val="clear" w:color="auto" w:fill="auto"/>
            <w:vAlign w:val="bottom"/>
            <w:hideMark/>
          </w:tcPr>
          <w:p w14:paraId="2121A2AE"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nil"/>
              <w:left w:val="nil"/>
              <w:bottom w:val="single" w:sz="4" w:space="0" w:color="B6D5E4"/>
              <w:right w:val="nil"/>
            </w:tcBorders>
            <w:shd w:val="clear" w:color="auto" w:fill="auto"/>
            <w:vAlign w:val="bottom"/>
            <w:hideMark/>
          </w:tcPr>
          <w:p w14:paraId="226AA0D7"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nil"/>
              <w:left w:val="nil"/>
              <w:bottom w:val="single" w:sz="4" w:space="0" w:color="B6D5E4"/>
              <w:right w:val="nil"/>
            </w:tcBorders>
            <w:shd w:val="clear" w:color="auto" w:fill="auto"/>
            <w:vAlign w:val="bottom"/>
            <w:hideMark/>
          </w:tcPr>
          <w:p w14:paraId="6FA91159"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nil"/>
              <w:left w:val="nil"/>
              <w:bottom w:val="single" w:sz="4" w:space="0" w:color="B6D5E4"/>
              <w:right w:val="nil"/>
            </w:tcBorders>
            <w:shd w:val="clear" w:color="auto" w:fill="auto"/>
            <w:vAlign w:val="bottom"/>
            <w:hideMark/>
          </w:tcPr>
          <w:p w14:paraId="440B7AD8"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nil"/>
              <w:left w:val="nil"/>
              <w:bottom w:val="single" w:sz="4" w:space="0" w:color="B6D5E4"/>
              <w:right w:val="nil"/>
            </w:tcBorders>
            <w:shd w:val="clear" w:color="auto" w:fill="auto"/>
            <w:vAlign w:val="bottom"/>
            <w:hideMark/>
          </w:tcPr>
          <w:p w14:paraId="07747F86"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nil"/>
              <w:left w:val="nil"/>
              <w:bottom w:val="single" w:sz="4" w:space="0" w:color="B6D5E4"/>
              <w:right w:val="nil"/>
            </w:tcBorders>
            <w:shd w:val="clear" w:color="auto" w:fill="auto"/>
            <w:vAlign w:val="bottom"/>
            <w:hideMark/>
          </w:tcPr>
          <w:p w14:paraId="1B4CDCFF"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nil"/>
              <w:left w:val="nil"/>
              <w:bottom w:val="single" w:sz="4" w:space="0" w:color="B6D5E4"/>
              <w:right w:val="nil"/>
            </w:tcBorders>
            <w:shd w:val="clear" w:color="auto" w:fill="auto"/>
            <w:vAlign w:val="bottom"/>
            <w:hideMark/>
          </w:tcPr>
          <w:p w14:paraId="6EC6E7A5"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nil"/>
              <w:left w:val="nil"/>
              <w:bottom w:val="single" w:sz="4" w:space="0" w:color="B6D5E4"/>
              <w:right w:val="nil"/>
            </w:tcBorders>
            <w:shd w:val="clear" w:color="auto" w:fill="auto"/>
            <w:vAlign w:val="bottom"/>
            <w:hideMark/>
          </w:tcPr>
          <w:p w14:paraId="5FB189F1"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nil"/>
              <w:left w:val="nil"/>
              <w:bottom w:val="single" w:sz="4" w:space="0" w:color="B6D5E4"/>
              <w:right w:val="nil"/>
            </w:tcBorders>
            <w:shd w:val="clear" w:color="auto" w:fill="auto"/>
            <w:vAlign w:val="bottom"/>
            <w:hideMark/>
          </w:tcPr>
          <w:p w14:paraId="3905DD0F"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r>
      <w:tr w:rsidR="007E365E" w:rsidRPr="0097695F" w14:paraId="2738A380" w14:textId="77777777" w:rsidTr="007D1D77">
        <w:trPr>
          <w:trHeight w:val="319"/>
        </w:trPr>
        <w:tc>
          <w:tcPr>
            <w:tcW w:w="3300" w:type="dxa"/>
            <w:tcBorders>
              <w:top w:val="nil"/>
              <w:left w:val="nil"/>
              <w:bottom w:val="single" w:sz="4" w:space="0" w:color="B6D5E4"/>
              <w:right w:val="nil"/>
            </w:tcBorders>
            <w:shd w:val="clear" w:color="auto" w:fill="auto"/>
            <w:vAlign w:val="bottom"/>
            <w:hideMark/>
          </w:tcPr>
          <w:p w14:paraId="29F3A3B8" w14:textId="77777777" w:rsidR="007E365E" w:rsidRPr="0097695F" w:rsidRDefault="007E365E" w:rsidP="007D1D77">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97695F">
              <w:rPr>
                <w:rFonts w:eastAsia="Times New Roman" w:cs="Open Sans Light"/>
                <w:sz w:val="16"/>
                <w:szCs w:val="16"/>
                <w:lang w:eastAsia="en-AU"/>
              </w:rPr>
              <w:t>Equal per capita</w:t>
            </w:r>
          </w:p>
        </w:tc>
        <w:tc>
          <w:tcPr>
            <w:tcW w:w="820" w:type="dxa"/>
            <w:tcBorders>
              <w:top w:val="nil"/>
              <w:left w:val="nil"/>
              <w:bottom w:val="single" w:sz="4" w:space="0" w:color="B6D5E4"/>
              <w:right w:val="nil"/>
            </w:tcBorders>
            <w:shd w:val="clear" w:color="auto" w:fill="auto"/>
            <w:vAlign w:val="bottom"/>
            <w:hideMark/>
          </w:tcPr>
          <w:p w14:paraId="02DCA1F7"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578</w:t>
            </w:r>
          </w:p>
        </w:tc>
        <w:tc>
          <w:tcPr>
            <w:tcW w:w="820" w:type="dxa"/>
            <w:tcBorders>
              <w:top w:val="nil"/>
              <w:left w:val="nil"/>
              <w:bottom w:val="single" w:sz="4" w:space="0" w:color="B6D5E4"/>
              <w:right w:val="nil"/>
            </w:tcBorders>
            <w:shd w:val="clear" w:color="auto" w:fill="auto"/>
            <w:vAlign w:val="bottom"/>
            <w:hideMark/>
          </w:tcPr>
          <w:p w14:paraId="653E2538"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578</w:t>
            </w:r>
          </w:p>
        </w:tc>
        <w:tc>
          <w:tcPr>
            <w:tcW w:w="820" w:type="dxa"/>
            <w:tcBorders>
              <w:top w:val="nil"/>
              <w:left w:val="nil"/>
              <w:bottom w:val="single" w:sz="4" w:space="0" w:color="B6D5E4"/>
              <w:right w:val="nil"/>
            </w:tcBorders>
            <w:shd w:val="clear" w:color="auto" w:fill="auto"/>
            <w:vAlign w:val="bottom"/>
            <w:hideMark/>
          </w:tcPr>
          <w:p w14:paraId="1C26C0CC"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578</w:t>
            </w:r>
          </w:p>
        </w:tc>
        <w:tc>
          <w:tcPr>
            <w:tcW w:w="820" w:type="dxa"/>
            <w:tcBorders>
              <w:top w:val="nil"/>
              <w:left w:val="nil"/>
              <w:bottom w:val="single" w:sz="4" w:space="0" w:color="B6D5E4"/>
              <w:right w:val="nil"/>
            </w:tcBorders>
            <w:shd w:val="clear" w:color="auto" w:fill="auto"/>
            <w:vAlign w:val="bottom"/>
            <w:hideMark/>
          </w:tcPr>
          <w:p w14:paraId="15BF085C"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578</w:t>
            </w:r>
          </w:p>
        </w:tc>
        <w:tc>
          <w:tcPr>
            <w:tcW w:w="820" w:type="dxa"/>
            <w:tcBorders>
              <w:top w:val="nil"/>
              <w:left w:val="nil"/>
              <w:bottom w:val="single" w:sz="4" w:space="0" w:color="B6D5E4"/>
              <w:right w:val="nil"/>
            </w:tcBorders>
            <w:shd w:val="clear" w:color="auto" w:fill="auto"/>
            <w:vAlign w:val="bottom"/>
            <w:hideMark/>
          </w:tcPr>
          <w:p w14:paraId="5CB07861"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578</w:t>
            </w:r>
          </w:p>
        </w:tc>
        <w:tc>
          <w:tcPr>
            <w:tcW w:w="820" w:type="dxa"/>
            <w:tcBorders>
              <w:top w:val="nil"/>
              <w:left w:val="nil"/>
              <w:bottom w:val="single" w:sz="4" w:space="0" w:color="B6D5E4"/>
              <w:right w:val="nil"/>
            </w:tcBorders>
            <w:shd w:val="clear" w:color="auto" w:fill="auto"/>
            <w:vAlign w:val="bottom"/>
            <w:hideMark/>
          </w:tcPr>
          <w:p w14:paraId="7906FB99"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578</w:t>
            </w:r>
          </w:p>
        </w:tc>
        <w:tc>
          <w:tcPr>
            <w:tcW w:w="820" w:type="dxa"/>
            <w:tcBorders>
              <w:top w:val="nil"/>
              <w:left w:val="nil"/>
              <w:bottom w:val="single" w:sz="4" w:space="0" w:color="B6D5E4"/>
              <w:right w:val="nil"/>
            </w:tcBorders>
            <w:shd w:val="clear" w:color="auto" w:fill="auto"/>
            <w:vAlign w:val="bottom"/>
            <w:hideMark/>
          </w:tcPr>
          <w:p w14:paraId="1BEF1F09"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578</w:t>
            </w:r>
          </w:p>
        </w:tc>
        <w:tc>
          <w:tcPr>
            <w:tcW w:w="820" w:type="dxa"/>
            <w:tcBorders>
              <w:top w:val="nil"/>
              <w:left w:val="nil"/>
              <w:bottom w:val="single" w:sz="4" w:space="0" w:color="B6D5E4"/>
              <w:right w:val="nil"/>
            </w:tcBorders>
            <w:shd w:val="clear" w:color="auto" w:fill="auto"/>
            <w:vAlign w:val="bottom"/>
            <w:hideMark/>
          </w:tcPr>
          <w:p w14:paraId="3F8658E3"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578</w:t>
            </w:r>
          </w:p>
        </w:tc>
        <w:tc>
          <w:tcPr>
            <w:tcW w:w="820" w:type="dxa"/>
            <w:tcBorders>
              <w:top w:val="nil"/>
              <w:left w:val="nil"/>
              <w:bottom w:val="single" w:sz="4" w:space="0" w:color="B6D5E4"/>
              <w:right w:val="nil"/>
            </w:tcBorders>
            <w:shd w:val="clear" w:color="auto" w:fill="auto"/>
            <w:vAlign w:val="bottom"/>
            <w:hideMark/>
          </w:tcPr>
          <w:p w14:paraId="200CD448"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578</w:t>
            </w:r>
          </w:p>
        </w:tc>
      </w:tr>
      <w:tr w:rsidR="007E365E" w:rsidRPr="0097695F" w14:paraId="4CA54572" w14:textId="77777777" w:rsidTr="007D1D77">
        <w:trPr>
          <w:trHeight w:val="319"/>
        </w:trPr>
        <w:tc>
          <w:tcPr>
            <w:tcW w:w="3300" w:type="dxa"/>
            <w:tcBorders>
              <w:top w:val="nil"/>
              <w:left w:val="nil"/>
              <w:bottom w:val="nil"/>
              <w:right w:val="nil"/>
            </w:tcBorders>
            <w:shd w:val="clear" w:color="auto" w:fill="auto"/>
            <w:vAlign w:val="bottom"/>
            <w:hideMark/>
          </w:tcPr>
          <w:p w14:paraId="42E53B11" w14:textId="77777777" w:rsidR="007E365E" w:rsidRPr="0097695F" w:rsidRDefault="007E365E" w:rsidP="007D1D77">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97695F">
              <w:rPr>
                <w:rFonts w:eastAsia="Times New Roman" w:cs="Open Sans Light"/>
                <w:sz w:val="16"/>
                <w:szCs w:val="16"/>
                <w:lang w:eastAsia="en-AU"/>
              </w:rPr>
              <w:t>Urban centre characteristics</w:t>
            </w:r>
          </w:p>
        </w:tc>
        <w:tc>
          <w:tcPr>
            <w:tcW w:w="820" w:type="dxa"/>
            <w:tcBorders>
              <w:top w:val="nil"/>
              <w:left w:val="nil"/>
              <w:bottom w:val="nil"/>
              <w:right w:val="nil"/>
            </w:tcBorders>
            <w:shd w:val="clear" w:color="auto" w:fill="auto"/>
            <w:vAlign w:val="bottom"/>
            <w:hideMark/>
          </w:tcPr>
          <w:p w14:paraId="6F17E5A5"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149</w:t>
            </w:r>
          </w:p>
        </w:tc>
        <w:tc>
          <w:tcPr>
            <w:tcW w:w="820" w:type="dxa"/>
            <w:tcBorders>
              <w:top w:val="nil"/>
              <w:left w:val="nil"/>
              <w:bottom w:val="nil"/>
              <w:right w:val="nil"/>
            </w:tcBorders>
            <w:shd w:val="clear" w:color="auto" w:fill="auto"/>
            <w:vAlign w:val="bottom"/>
            <w:hideMark/>
          </w:tcPr>
          <w:p w14:paraId="02D1EF6B"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64</w:t>
            </w:r>
          </w:p>
        </w:tc>
        <w:tc>
          <w:tcPr>
            <w:tcW w:w="820" w:type="dxa"/>
            <w:tcBorders>
              <w:top w:val="nil"/>
              <w:left w:val="nil"/>
              <w:bottom w:val="nil"/>
              <w:right w:val="nil"/>
            </w:tcBorders>
            <w:shd w:val="clear" w:color="auto" w:fill="auto"/>
            <w:vAlign w:val="bottom"/>
            <w:hideMark/>
          </w:tcPr>
          <w:p w14:paraId="4ADA94BE"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-143</w:t>
            </w:r>
          </w:p>
        </w:tc>
        <w:tc>
          <w:tcPr>
            <w:tcW w:w="820" w:type="dxa"/>
            <w:tcBorders>
              <w:top w:val="nil"/>
              <w:left w:val="nil"/>
              <w:bottom w:val="nil"/>
              <w:right w:val="nil"/>
            </w:tcBorders>
            <w:shd w:val="clear" w:color="auto" w:fill="auto"/>
            <w:vAlign w:val="bottom"/>
            <w:hideMark/>
          </w:tcPr>
          <w:p w14:paraId="3E8911B2"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-116</w:t>
            </w:r>
          </w:p>
        </w:tc>
        <w:tc>
          <w:tcPr>
            <w:tcW w:w="820" w:type="dxa"/>
            <w:tcBorders>
              <w:top w:val="nil"/>
              <w:left w:val="nil"/>
              <w:bottom w:val="nil"/>
              <w:right w:val="nil"/>
            </w:tcBorders>
            <w:shd w:val="clear" w:color="auto" w:fill="auto"/>
            <w:vAlign w:val="bottom"/>
            <w:hideMark/>
          </w:tcPr>
          <w:p w14:paraId="2B78ADE3"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-151</w:t>
            </w:r>
          </w:p>
        </w:tc>
        <w:tc>
          <w:tcPr>
            <w:tcW w:w="820" w:type="dxa"/>
            <w:tcBorders>
              <w:top w:val="nil"/>
              <w:left w:val="nil"/>
              <w:bottom w:val="nil"/>
              <w:right w:val="nil"/>
            </w:tcBorders>
            <w:shd w:val="clear" w:color="auto" w:fill="auto"/>
            <w:vAlign w:val="bottom"/>
            <w:hideMark/>
          </w:tcPr>
          <w:p w14:paraId="4FB3973C"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-340</w:t>
            </w:r>
          </w:p>
        </w:tc>
        <w:tc>
          <w:tcPr>
            <w:tcW w:w="820" w:type="dxa"/>
            <w:tcBorders>
              <w:top w:val="nil"/>
              <w:left w:val="nil"/>
              <w:bottom w:val="nil"/>
              <w:right w:val="nil"/>
            </w:tcBorders>
            <w:shd w:val="clear" w:color="auto" w:fill="auto"/>
            <w:vAlign w:val="bottom"/>
            <w:hideMark/>
          </w:tcPr>
          <w:p w14:paraId="37BDB45C"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-172</w:t>
            </w:r>
          </w:p>
        </w:tc>
        <w:tc>
          <w:tcPr>
            <w:tcW w:w="820" w:type="dxa"/>
            <w:tcBorders>
              <w:top w:val="nil"/>
              <w:left w:val="nil"/>
              <w:bottom w:val="nil"/>
              <w:right w:val="nil"/>
            </w:tcBorders>
            <w:shd w:val="clear" w:color="auto" w:fill="auto"/>
            <w:vAlign w:val="bottom"/>
            <w:hideMark/>
          </w:tcPr>
          <w:p w14:paraId="03BD05EB"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-314</w:t>
            </w:r>
          </w:p>
        </w:tc>
        <w:tc>
          <w:tcPr>
            <w:tcW w:w="820" w:type="dxa"/>
            <w:tcBorders>
              <w:top w:val="nil"/>
              <w:left w:val="nil"/>
              <w:bottom w:val="nil"/>
              <w:right w:val="nil"/>
            </w:tcBorders>
            <w:shd w:val="clear" w:color="auto" w:fill="auto"/>
            <w:vAlign w:val="bottom"/>
            <w:hideMark/>
          </w:tcPr>
          <w:p w14:paraId="0598A958"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r>
      <w:tr w:rsidR="007E365E" w:rsidRPr="0097695F" w14:paraId="43D29CB1" w14:textId="77777777" w:rsidTr="007D1D77">
        <w:trPr>
          <w:trHeight w:val="319"/>
        </w:trPr>
        <w:tc>
          <w:tcPr>
            <w:tcW w:w="3300" w:type="dxa"/>
            <w:tcBorders>
              <w:top w:val="single" w:sz="4" w:space="0" w:color="B6D5E4"/>
              <w:left w:val="nil"/>
              <w:bottom w:val="single" w:sz="4" w:space="0" w:color="B6D5E4"/>
              <w:right w:val="nil"/>
            </w:tcBorders>
            <w:shd w:val="clear" w:color="auto" w:fill="auto"/>
            <w:vAlign w:val="bottom"/>
            <w:hideMark/>
          </w:tcPr>
          <w:p w14:paraId="7B661441" w14:textId="77777777" w:rsidR="007E365E" w:rsidRPr="0097695F" w:rsidRDefault="007E365E" w:rsidP="007D1D77">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97695F">
              <w:rPr>
                <w:rFonts w:eastAsia="Times New Roman" w:cs="Open Sans Light"/>
                <w:sz w:val="16"/>
                <w:szCs w:val="16"/>
                <w:lang w:eastAsia="en-AU"/>
              </w:rPr>
              <w:t>Urban population</w:t>
            </w:r>
          </w:p>
        </w:tc>
        <w:tc>
          <w:tcPr>
            <w:tcW w:w="820" w:type="dxa"/>
            <w:tcBorders>
              <w:top w:val="single" w:sz="4" w:space="0" w:color="B6D5E4"/>
              <w:left w:val="nil"/>
              <w:bottom w:val="single" w:sz="4" w:space="0" w:color="B6D5E4"/>
              <w:right w:val="nil"/>
            </w:tcBorders>
            <w:shd w:val="clear" w:color="auto" w:fill="auto"/>
            <w:vAlign w:val="bottom"/>
            <w:hideMark/>
          </w:tcPr>
          <w:p w14:paraId="16240CC2"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1</w:t>
            </w:r>
          </w:p>
        </w:tc>
        <w:tc>
          <w:tcPr>
            <w:tcW w:w="820" w:type="dxa"/>
            <w:tcBorders>
              <w:top w:val="single" w:sz="4" w:space="0" w:color="B6D5E4"/>
              <w:left w:val="nil"/>
              <w:bottom w:val="single" w:sz="4" w:space="0" w:color="B6D5E4"/>
              <w:right w:val="nil"/>
            </w:tcBorders>
            <w:shd w:val="clear" w:color="auto" w:fill="auto"/>
            <w:vAlign w:val="bottom"/>
            <w:hideMark/>
          </w:tcPr>
          <w:p w14:paraId="000A2DCC"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4</w:t>
            </w:r>
          </w:p>
        </w:tc>
        <w:tc>
          <w:tcPr>
            <w:tcW w:w="820" w:type="dxa"/>
            <w:tcBorders>
              <w:top w:val="single" w:sz="4" w:space="0" w:color="B6D5E4"/>
              <w:left w:val="nil"/>
              <w:bottom w:val="single" w:sz="4" w:space="0" w:color="B6D5E4"/>
              <w:right w:val="nil"/>
            </w:tcBorders>
            <w:shd w:val="clear" w:color="auto" w:fill="auto"/>
            <w:vAlign w:val="bottom"/>
            <w:hideMark/>
          </w:tcPr>
          <w:p w14:paraId="218B8AE2"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-5</w:t>
            </w:r>
          </w:p>
        </w:tc>
        <w:tc>
          <w:tcPr>
            <w:tcW w:w="820" w:type="dxa"/>
            <w:tcBorders>
              <w:top w:val="single" w:sz="4" w:space="0" w:color="B6D5E4"/>
              <w:left w:val="nil"/>
              <w:bottom w:val="single" w:sz="4" w:space="0" w:color="B6D5E4"/>
              <w:right w:val="nil"/>
            </w:tcBorders>
            <w:shd w:val="clear" w:color="auto" w:fill="auto"/>
            <w:vAlign w:val="bottom"/>
            <w:hideMark/>
          </w:tcPr>
          <w:p w14:paraId="015BB42F"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4</w:t>
            </w:r>
          </w:p>
        </w:tc>
        <w:tc>
          <w:tcPr>
            <w:tcW w:w="820" w:type="dxa"/>
            <w:tcBorders>
              <w:top w:val="single" w:sz="4" w:space="0" w:color="B6D5E4"/>
              <w:left w:val="nil"/>
              <w:bottom w:val="single" w:sz="4" w:space="0" w:color="B6D5E4"/>
              <w:right w:val="nil"/>
            </w:tcBorders>
            <w:shd w:val="clear" w:color="auto" w:fill="auto"/>
            <w:vAlign w:val="bottom"/>
            <w:hideMark/>
          </w:tcPr>
          <w:p w14:paraId="361C130A"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-4</w:t>
            </w:r>
          </w:p>
        </w:tc>
        <w:tc>
          <w:tcPr>
            <w:tcW w:w="820" w:type="dxa"/>
            <w:tcBorders>
              <w:top w:val="single" w:sz="4" w:space="0" w:color="B6D5E4"/>
              <w:left w:val="nil"/>
              <w:bottom w:val="single" w:sz="4" w:space="0" w:color="B6D5E4"/>
              <w:right w:val="nil"/>
            </w:tcBorders>
            <w:shd w:val="clear" w:color="auto" w:fill="auto"/>
            <w:vAlign w:val="bottom"/>
            <w:hideMark/>
          </w:tcPr>
          <w:p w14:paraId="6E1347AA"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-32</w:t>
            </w:r>
          </w:p>
        </w:tc>
        <w:tc>
          <w:tcPr>
            <w:tcW w:w="820" w:type="dxa"/>
            <w:tcBorders>
              <w:top w:val="single" w:sz="4" w:space="0" w:color="B6D5E4"/>
              <w:left w:val="nil"/>
              <w:bottom w:val="single" w:sz="4" w:space="0" w:color="B6D5E4"/>
              <w:right w:val="nil"/>
            </w:tcBorders>
            <w:shd w:val="clear" w:color="auto" w:fill="auto"/>
            <w:vAlign w:val="bottom"/>
            <w:hideMark/>
          </w:tcPr>
          <w:p w14:paraId="74B132AD"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25</w:t>
            </w:r>
          </w:p>
        </w:tc>
        <w:tc>
          <w:tcPr>
            <w:tcW w:w="820" w:type="dxa"/>
            <w:tcBorders>
              <w:top w:val="single" w:sz="4" w:space="0" w:color="B6D5E4"/>
              <w:left w:val="nil"/>
              <w:bottom w:val="single" w:sz="4" w:space="0" w:color="B6D5E4"/>
              <w:right w:val="nil"/>
            </w:tcBorders>
            <w:shd w:val="clear" w:color="auto" w:fill="auto"/>
            <w:vAlign w:val="bottom"/>
            <w:hideMark/>
          </w:tcPr>
          <w:p w14:paraId="4CF202AB"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-37</w:t>
            </w:r>
          </w:p>
        </w:tc>
        <w:tc>
          <w:tcPr>
            <w:tcW w:w="820" w:type="dxa"/>
            <w:tcBorders>
              <w:top w:val="single" w:sz="4" w:space="0" w:color="B6D5E4"/>
              <w:left w:val="nil"/>
              <w:bottom w:val="single" w:sz="4" w:space="0" w:color="B6D5E4"/>
              <w:right w:val="nil"/>
            </w:tcBorders>
            <w:shd w:val="clear" w:color="auto" w:fill="auto"/>
            <w:vAlign w:val="bottom"/>
            <w:hideMark/>
          </w:tcPr>
          <w:p w14:paraId="7B5D42A5"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r>
      <w:tr w:rsidR="007E365E" w:rsidRPr="0097695F" w14:paraId="0C11B0CD" w14:textId="77777777" w:rsidTr="007D1D77">
        <w:trPr>
          <w:trHeight w:val="319"/>
        </w:trPr>
        <w:tc>
          <w:tcPr>
            <w:tcW w:w="3300" w:type="dxa"/>
            <w:tcBorders>
              <w:top w:val="nil"/>
              <w:left w:val="nil"/>
              <w:bottom w:val="nil"/>
              <w:right w:val="nil"/>
            </w:tcBorders>
            <w:shd w:val="clear" w:color="auto" w:fill="auto"/>
            <w:vAlign w:val="bottom"/>
            <w:hideMark/>
          </w:tcPr>
          <w:p w14:paraId="01D209BF" w14:textId="77777777" w:rsidR="007E365E" w:rsidRPr="0097695F" w:rsidRDefault="007E365E" w:rsidP="007D1D77">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97695F">
              <w:rPr>
                <w:rFonts w:eastAsia="Times New Roman" w:cs="Open Sans Light"/>
                <w:sz w:val="16"/>
                <w:szCs w:val="16"/>
                <w:lang w:eastAsia="en-AU"/>
              </w:rPr>
              <w:t>Wage costs</w:t>
            </w:r>
          </w:p>
        </w:tc>
        <w:tc>
          <w:tcPr>
            <w:tcW w:w="820" w:type="dxa"/>
            <w:tcBorders>
              <w:top w:val="nil"/>
              <w:left w:val="nil"/>
              <w:bottom w:val="nil"/>
              <w:right w:val="nil"/>
            </w:tcBorders>
            <w:shd w:val="clear" w:color="auto" w:fill="auto"/>
            <w:vAlign w:val="bottom"/>
            <w:hideMark/>
          </w:tcPr>
          <w:p w14:paraId="71CC96E3"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4</w:t>
            </w:r>
          </w:p>
        </w:tc>
        <w:tc>
          <w:tcPr>
            <w:tcW w:w="820" w:type="dxa"/>
            <w:tcBorders>
              <w:top w:val="nil"/>
              <w:left w:val="nil"/>
              <w:bottom w:val="nil"/>
              <w:right w:val="nil"/>
            </w:tcBorders>
            <w:shd w:val="clear" w:color="auto" w:fill="auto"/>
            <w:vAlign w:val="bottom"/>
            <w:hideMark/>
          </w:tcPr>
          <w:p w14:paraId="50C56CA4"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-4</w:t>
            </w:r>
          </w:p>
        </w:tc>
        <w:tc>
          <w:tcPr>
            <w:tcW w:w="820" w:type="dxa"/>
            <w:tcBorders>
              <w:top w:val="nil"/>
              <w:left w:val="nil"/>
              <w:bottom w:val="nil"/>
              <w:right w:val="nil"/>
            </w:tcBorders>
            <w:shd w:val="clear" w:color="auto" w:fill="auto"/>
            <w:vAlign w:val="bottom"/>
            <w:hideMark/>
          </w:tcPr>
          <w:p w14:paraId="40E5A8D1"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-2</w:t>
            </w:r>
          </w:p>
        </w:tc>
        <w:tc>
          <w:tcPr>
            <w:tcW w:w="820" w:type="dxa"/>
            <w:tcBorders>
              <w:top w:val="nil"/>
              <w:left w:val="nil"/>
              <w:bottom w:val="nil"/>
              <w:right w:val="nil"/>
            </w:tcBorders>
            <w:shd w:val="clear" w:color="auto" w:fill="auto"/>
            <w:vAlign w:val="bottom"/>
            <w:hideMark/>
          </w:tcPr>
          <w:p w14:paraId="458A4094"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8</w:t>
            </w:r>
          </w:p>
        </w:tc>
        <w:tc>
          <w:tcPr>
            <w:tcW w:w="820" w:type="dxa"/>
            <w:tcBorders>
              <w:top w:val="nil"/>
              <w:left w:val="nil"/>
              <w:bottom w:val="nil"/>
              <w:right w:val="nil"/>
            </w:tcBorders>
            <w:shd w:val="clear" w:color="auto" w:fill="auto"/>
            <w:vAlign w:val="bottom"/>
            <w:hideMark/>
          </w:tcPr>
          <w:p w14:paraId="63DC41C2"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-9</w:t>
            </w:r>
          </w:p>
        </w:tc>
        <w:tc>
          <w:tcPr>
            <w:tcW w:w="820" w:type="dxa"/>
            <w:tcBorders>
              <w:top w:val="nil"/>
              <w:left w:val="nil"/>
              <w:bottom w:val="nil"/>
              <w:right w:val="nil"/>
            </w:tcBorders>
            <w:shd w:val="clear" w:color="auto" w:fill="auto"/>
            <w:vAlign w:val="bottom"/>
            <w:hideMark/>
          </w:tcPr>
          <w:p w14:paraId="13D3A112"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-6</w:t>
            </w:r>
          </w:p>
        </w:tc>
        <w:tc>
          <w:tcPr>
            <w:tcW w:w="820" w:type="dxa"/>
            <w:tcBorders>
              <w:top w:val="nil"/>
              <w:left w:val="nil"/>
              <w:bottom w:val="nil"/>
              <w:right w:val="nil"/>
            </w:tcBorders>
            <w:shd w:val="clear" w:color="auto" w:fill="auto"/>
            <w:vAlign w:val="bottom"/>
            <w:hideMark/>
          </w:tcPr>
          <w:p w14:paraId="38D6F11A"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8</w:t>
            </w:r>
          </w:p>
        </w:tc>
        <w:tc>
          <w:tcPr>
            <w:tcW w:w="820" w:type="dxa"/>
            <w:tcBorders>
              <w:top w:val="nil"/>
              <w:left w:val="nil"/>
              <w:bottom w:val="nil"/>
              <w:right w:val="nil"/>
            </w:tcBorders>
            <w:shd w:val="clear" w:color="auto" w:fill="auto"/>
            <w:vAlign w:val="bottom"/>
            <w:hideMark/>
          </w:tcPr>
          <w:p w14:paraId="28EC49D0"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6</w:t>
            </w:r>
          </w:p>
        </w:tc>
        <w:tc>
          <w:tcPr>
            <w:tcW w:w="820" w:type="dxa"/>
            <w:tcBorders>
              <w:top w:val="nil"/>
              <w:left w:val="nil"/>
              <w:bottom w:val="nil"/>
              <w:right w:val="nil"/>
            </w:tcBorders>
            <w:shd w:val="clear" w:color="auto" w:fill="auto"/>
            <w:vAlign w:val="bottom"/>
            <w:hideMark/>
          </w:tcPr>
          <w:p w14:paraId="0BD88276"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r>
      <w:tr w:rsidR="007E365E" w:rsidRPr="0097695F" w14:paraId="40536BAF" w14:textId="77777777" w:rsidTr="007D1D77">
        <w:trPr>
          <w:trHeight w:val="319"/>
        </w:trPr>
        <w:tc>
          <w:tcPr>
            <w:tcW w:w="3300" w:type="dxa"/>
            <w:tcBorders>
              <w:top w:val="single" w:sz="4" w:space="0" w:color="ADD6EA"/>
              <w:left w:val="nil"/>
              <w:bottom w:val="single" w:sz="4" w:space="0" w:color="ADD6EA"/>
              <w:right w:val="nil"/>
            </w:tcBorders>
            <w:shd w:val="clear" w:color="000000" w:fill="B6D5E4"/>
            <w:vAlign w:val="bottom"/>
            <w:hideMark/>
          </w:tcPr>
          <w:p w14:paraId="1DB86A56" w14:textId="77777777" w:rsidR="007E365E" w:rsidRPr="0097695F" w:rsidRDefault="007E365E" w:rsidP="007D1D77">
            <w:pPr>
              <w:keepNext/>
              <w:keepLines/>
              <w:widowControl w:val="0"/>
              <w:tabs>
                <w:tab w:val="clear" w:pos="567"/>
              </w:tabs>
              <w:spacing w:before="0" w:line="240" w:lineRule="auto"/>
              <w:ind w:firstLineChars="100" w:firstLine="160"/>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Assessed expenses</w:t>
            </w:r>
          </w:p>
        </w:tc>
        <w:tc>
          <w:tcPr>
            <w:tcW w:w="820" w:type="dxa"/>
            <w:tcBorders>
              <w:top w:val="single" w:sz="4" w:space="0" w:color="ADD6EA"/>
              <w:left w:val="nil"/>
              <w:bottom w:val="single" w:sz="4" w:space="0" w:color="ADD6EA"/>
              <w:right w:val="nil"/>
            </w:tcBorders>
            <w:shd w:val="clear" w:color="000000" w:fill="B6D5E4"/>
            <w:vAlign w:val="bottom"/>
            <w:hideMark/>
          </w:tcPr>
          <w:p w14:paraId="46D4321E"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733</w:t>
            </w:r>
          </w:p>
        </w:tc>
        <w:tc>
          <w:tcPr>
            <w:tcW w:w="820" w:type="dxa"/>
            <w:tcBorders>
              <w:top w:val="single" w:sz="4" w:space="0" w:color="ADD6EA"/>
              <w:left w:val="nil"/>
              <w:bottom w:val="single" w:sz="4" w:space="0" w:color="ADD6EA"/>
              <w:right w:val="nil"/>
            </w:tcBorders>
            <w:shd w:val="clear" w:color="000000" w:fill="B6D5E4"/>
            <w:vAlign w:val="bottom"/>
            <w:hideMark/>
          </w:tcPr>
          <w:p w14:paraId="559390AC"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642</w:t>
            </w:r>
          </w:p>
        </w:tc>
        <w:tc>
          <w:tcPr>
            <w:tcW w:w="820" w:type="dxa"/>
            <w:tcBorders>
              <w:top w:val="single" w:sz="4" w:space="0" w:color="ADD6EA"/>
              <w:left w:val="nil"/>
              <w:bottom w:val="single" w:sz="4" w:space="0" w:color="ADD6EA"/>
              <w:right w:val="nil"/>
            </w:tcBorders>
            <w:shd w:val="clear" w:color="000000" w:fill="B6D5E4"/>
            <w:vAlign w:val="bottom"/>
            <w:hideMark/>
          </w:tcPr>
          <w:p w14:paraId="19220648"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429</w:t>
            </w:r>
          </w:p>
        </w:tc>
        <w:tc>
          <w:tcPr>
            <w:tcW w:w="820" w:type="dxa"/>
            <w:tcBorders>
              <w:top w:val="single" w:sz="4" w:space="0" w:color="ADD6EA"/>
              <w:left w:val="nil"/>
              <w:bottom w:val="single" w:sz="4" w:space="0" w:color="ADD6EA"/>
              <w:right w:val="nil"/>
            </w:tcBorders>
            <w:shd w:val="clear" w:color="000000" w:fill="B6D5E4"/>
            <w:vAlign w:val="bottom"/>
            <w:hideMark/>
          </w:tcPr>
          <w:p w14:paraId="4957ABEE"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475</w:t>
            </w:r>
          </w:p>
        </w:tc>
        <w:tc>
          <w:tcPr>
            <w:tcW w:w="820" w:type="dxa"/>
            <w:tcBorders>
              <w:top w:val="single" w:sz="4" w:space="0" w:color="ADD6EA"/>
              <w:left w:val="nil"/>
              <w:bottom w:val="single" w:sz="4" w:space="0" w:color="ADD6EA"/>
              <w:right w:val="nil"/>
            </w:tcBorders>
            <w:shd w:val="clear" w:color="000000" w:fill="B6D5E4"/>
            <w:vAlign w:val="bottom"/>
            <w:hideMark/>
          </w:tcPr>
          <w:p w14:paraId="436BB702"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414</w:t>
            </w:r>
          </w:p>
        </w:tc>
        <w:tc>
          <w:tcPr>
            <w:tcW w:w="820" w:type="dxa"/>
            <w:tcBorders>
              <w:top w:val="single" w:sz="4" w:space="0" w:color="ADD6EA"/>
              <w:left w:val="nil"/>
              <w:bottom w:val="single" w:sz="4" w:space="0" w:color="ADD6EA"/>
              <w:right w:val="nil"/>
            </w:tcBorders>
            <w:shd w:val="clear" w:color="000000" w:fill="B6D5E4"/>
            <w:vAlign w:val="bottom"/>
            <w:hideMark/>
          </w:tcPr>
          <w:p w14:paraId="165890A2"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200</w:t>
            </w:r>
          </w:p>
        </w:tc>
        <w:tc>
          <w:tcPr>
            <w:tcW w:w="820" w:type="dxa"/>
            <w:tcBorders>
              <w:top w:val="single" w:sz="4" w:space="0" w:color="ADD6EA"/>
              <w:left w:val="nil"/>
              <w:bottom w:val="single" w:sz="4" w:space="0" w:color="ADD6EA"/>
              <w:right w:val="nil"/>
            </w:tcBorders>
            <w:shd w:val="clear" w:color="000000" w:fill="B6D5E4"/>
            <w:vAlign w:val="bottom"/>
            <w:hideMark/>
          </w:tcPr>
          <w:p w14:paraId="5EB16693"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439</w:t>
            </w:r>
          </w:p>
        </w:tc>
        <w:tc>
          <w:tcPr>
            <w:tcW w:w="820" w:type="dxa"/>
            <w:tcBorders>
              <w:top w:val="single" w:sz="4" w:space="0" w:color="ADD6EA"/>
              <w:left w:val="nil"/>
              <w:bottom w:val="single" w:sz="4" w:space="0" w:color="ADD6EA"/>
              <w:right w:val="nil"/>
            </w:tcBorders>
            <w:shd w:val="clear" w:color="000000" w:fill="B6D5E4"/>
            <w:vAlign w:val="bottom"/>
            <w:hideMark/>
          </w:tcPr>
          <w:p w14:paraId="56B8F96E"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233</w:t>
            </w:r>
          </w:p>
        </w:tc>
        <w:tc>
          <w:tcPr>
            <w:tcW w:w="820" w:type="dxa"/>
            <w:tcBorders>
              <w:top w:val="single" w:sz="4" w:space="0" w:color="ADD6EA"/>
              <w:left w:val="nil"/>
              <w:bottom w:val="single" w:sz="4" w:space="0" w:color="ADD6EA"/>
              <w:right w:val="nil"/>
            </w:tcBorders>
            <w:shd w:val="clear" w:color="000000" w:fill="B6D5E4"/>
            <w:vAlign w:val="bottom"/>
            <w:hideMark/>
          </w:tcPr>
          <w:p w14:paraId="1145DD9C"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578</w:t>
            </w:r>
          </w:p>
        </w:tc>
      </w:tr>
      <w:tr w:rsidR="007E365E" w:rsidRPr="0097695F" w14:paraId="1493B2C4" w14:textId="77777777" w:rsidTr="007D1D77">
        <w:trPr>
          <w:trHeight w:val="319"/>
        </w:trPr>
        <w:tc>
          <w:tcPr>
            <w:tcW w:w="3300" w:type="dxa"/>
            <w:tcBorders>
              <w:top w:val="single" w:sz="4" w:space="0" w:color="B6D5E4"/>
              <w:left w:val="nil"/>
              <w:bottom w:val="single" w:sz="4" w:space="0" w:color="B6D5E4"/>
              <w:right w:val="nil"/>
            </w:tcBorders>
            <w:shd w:val="clear" w:color="auto" w:fill="auto"/>
            <w:vAlign w:val="bottom"/>
            <w:hideMark/>
          </w:tcPr>
          <w:p w14:paraId="5B56F363" w14:textId="77777777" w:rsidR="007E365E" w:rsidRPr="0097695F" w:rsidRDefault="007E365E" w:rsidP="007D1D77">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Non-urban transport</w:t>
            </w:r>
          </w:p>
        </w:tc>
        <w:tc>
          <w:tcPr>
            <w:tcW w:w="820" w:type="dxa"/>
            <w:tcBorders>
              <w:top w:val="single" w:sz="4" w:space="0" w:color="B6D5E4"/>
              <w:left w:val="nil"/>
              <w:bottom w:val="single" w:sz="4" w:space="0" w:color="B6D5E4"/>
              <w:right w:val="nil"/>
            </w:tcBorders>
            <w:shd w:val="clear" w:color="auto" w:fill="auto"/>
            <w:vAlign w:val="bottom"/>
            <w:hideMark/>
          </w:tcPr>
          <w:p w14:paraId="31C3FC80"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single" w:sz="4" w:space="0" w:color="B6D5E4"/>
              <w:left w:val="nil"/>
              <w:bottom w:val="single" w:sz="4" w:space="0" w:color="B6D5E4"/>
              <w:right w:val="nil"/>
            </w:tcBorders>
            <w:shd w:val="clear" w:color="auto" w:fill="auto"/>
            <w:vAlign w:val="bottom"/>
            <w:hideMark/>
          </w:tcPr>
          <w:p w14:paraId="46BA84AE"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single" w:sz="4" w:space="0" w:color="B6D5E4"/>
              <w:left w:val="nil"/>
              <w:bottom w:val="single" w:sz="4" w:space="0" w:color="B6D5E4"/>
              <w:right w:val="nil"/>
            </w:tcBorders>
            <w:shd w:val="clear" w:color="auto" w:fill="auto"/>
            <w:vAlign w:val="bottom"/>
            <w:hideMark/>
          </w:tcPr>
          <w:p w14:paraId="7C80DA4E"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single" w:sz="4" w:space="0" w:color="B6D5E4"/>
              <w:left w:val="nil"/>
              <w:bottom w:val="single" w:sz="4" w:space="0" w:color="B6D5E4"/>
              <w:right w:val="nil"/>
            </w:tcBorders>
            <w:shd w:val="clear" w:color="auto" w:fill="auto"/>
            <w:vAlign w:val="bottom"/>
            <w:hideMark/>
          </w:tcPr>
          <w:p w14:paraId="7643CD08"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single" w:sz="4" w:space="0" w:color="B6D5E4"/>
              <w:left w:val="nil"/>
              <w:bottom w:val="single" w:sz="4" w:space="0" w:color="B6D5E4"/>
              <w:right w:val="nil"/>
            </w:tcBorders>
            <w:shd w:val="clear" w:color="auto" w:fill="auto"/>
            <w:vAlign w:val="bottom"/>
            <w:hideMark/>
          </w:tcPr>
          <w:p w14:paraId="221D9EEC"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single" w:sz="4" w:space="0" w:color="B6D5E4"/>
              <w:left w:val="nil"/>
              <w:bottom w:val="single" w:sz="4" w:space="0" w:color="B6D5E4"/>
              <w:right w:val="nil"/>
            </w:tcBorders>
            <w:shd w:val="clear" w:color="auto" w:fill="auto"/>
            <w:vAlign w:val="bottom"/>
            <w:hideMark/>
          </w:tcPr>
          <w:p w14:paraId="656696AE"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single" w:sz="4" w:space="0" w:color="B6D5E4"/>
              <w:left w:val="nil"/>
              <w:bottom w:val="single" w:sz="4" w:space="0" w:color="B6D5E4"/>
              <w:right w:val="nil"/>
            </w:tcBorders>
            <w:shd w:val="clear" w:color="auto" w:fill="auto"/>
            <w:vAlign w:val="bottom"/>
            <w:hideMark/>
          </w:tcPr>
          <w:p w14:paraId="2BAF6DF9"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single" w:sz="4" w:space="0" w:color="B6D5E4"/>
              <w:left w:val="nil"/>
              <w:bottom w:val="single" w:sz="4" w:space="0" w:color="B6D5E4"/>
              <w:right w:val="nil"/>
            </w:tcBorders>
            <w:shd w:val="clear" w:color="auto" w:fill="auto"/>
            <w:vAlign w:val="bottom"/>
            <w:hideMark/>
          </w:tcPr>
          <w:p w14:paraId="041ABE5B"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c>
          <w:tcPr>
            <w:tcW w:w="820" w:type="dxa"/>
            <w:tcBorders>
              <w:top w:val="single" w:sz="4" w:space="0" w:color="B6D5E4"/>
              <w:left w:val="nil"/>
              <w:bottom w:val="single" w:sz="4" w:space="0" w:color="B6D5E4"/>
              <w:right w:val="nil"/>
            </w:tcBorders>
            <w:shd w:val="clear" w:color="auto" w:fill="auto"/>
            <w:vAlign w:val="bottom"/>
            <w:hideMark/>
          </w:tcPr>
          <w:p w14:paraId="110554D2"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 </w:t>
            </w:r>
          </w:p>
        </w:tc>
      </w:tr>
      <w:tr w:rsidR="007E365E" w:rsidRPr="0097695F" w14:paraId="6E694357" w14:textId="77777777" w:rsidTr="007D1D77">
        <w:trPr>
          <w:trHeight w:val="319"/>
        </w:trPr>
        <w:tc>
          <w:tcPr>
            <w:tcW w:w="3300" w:type="dxa"/>
            <w:tcBorders>
              <w:top w:val="nil"/>
              <w:left w:val="nil"/>
              <w:bottom w:val="single" w:sz="4" w:space="0" w:color="B6D5E4"/>
              <w:right w:val="nil"/>
            </w:tcBorders>
            <w:shd w:val="clear" w:color="auto" w:fill="auto"/>
            <w:vAlign w:val="bottom"/>
            <w:hideMark/>
          </w:tcPr>
          <w:p w14:paraId="013DBEB5" w14:textId="77777777" w:rsidR="007E365E" w:rsidRPr="0097695F" w:rsidRDefault="007E365E" w:rsidP="007D1D77">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97695F">
              <w:rPr>
                <w:rFonts w:eastAsia="Times New Roman" w:cs="Open Sans Light"/>
                <w:sz w:val="16"/>
                <w:szCs w:val="16"/>
                <w:lang w:eastAsia="en-AU"/>
              </w:rPr>
              <w:t>Equal per capita</w:t>
            </w:r>
          </w:p>
        </w:tc>
        <w:tc>
          <w:tcPr>
            <w:tcW w:w="820" w:type="dxa"/>
            <w:tcBorders>
              <w:top w:val="nil"/>
              <w:left w:val="nil"/>
              <w:bottom w:val="single" w:sz="4" w:space="0" w:color="B6D5E4"/>
              <w:right w:val="nil"/>
            </w:tcBorders>
            <w:shd w:val="clear" w:color="auto" w:fill="auto"/>
            <w:vAlign w:val="bottom"/>
            <w:hideMark/>
          </w:tcPr>
          <w:p w14:paraId="38C9CD64"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31</w:t>
            </w:r>
          </w:p>
        </w:tc>
        <w:tc>
          <w:tcPr>
            <w:tcW w:w="820" w:type="dxa"/>
            <w:tcBorders>
              <w:top w:val="nil"/>
              <w:left w:val="nil"/>
              <w:bottom w:val="single" w:sz="4" w:space="0" w:color="B6D5E4"/>
              <w:right w:val="nil"/>
            </w:tcBorders>
            <w:shd w:val="clear" w:color="auto" w:fill="auto"/>
            <w:vAlign w:val="bottom"/>
            <w:hideMark/>
          </w:tcPr>
          <w:p w14:paraId="30D9528B"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31</w:t>
            </w:r>
          </w:p>
        </w:tc>
        <w:tc>
          <w:tcPr>
            <w:tcW w:w="820" w:type="dxa"/>
            <w:tcBorders>
              <w:top w:val="nil"/>
              <w:left w:val="nil"/>
              <w:bottom w:val="single" w:sz="4" w:space="0" w:color="B6D5E4"/>
              <w:right w:val="nil"/>
            </w:tcBorders>
            <w:shd w:val="clear" w:color="auto" w:fill="auto"/>
            <w:vAlign w:val="bottom"/>
            <w:hideMark/>
          </w:tcPr>
          <w:p w14:paraId="1C405BF1"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31</w:t>
            </w:r>
          </w:p>
        </w:tc>
        <w:tc>
          <w:tcPr>
            <w:tcW w:w="820" w:type="dxa"/>
            <w:tcBorders>
              <w:top w:val="nil"/>
              <w:left w:val="nil"/>
              <w:bottom w:val="single" w:sz="4" w:space="0" w:color="B6D5E4"/>
              <w:right w:val="nil"/>
            </w:tcBorders>
            <w:shd w:val="clear" w:color="auto" w:fill="auto"/>
            <w:vAlign w:val="bottom"/>
            <w:hideMark/>
          </w:tcPr>
          <w:p w14:paraId="6C13DDED"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31</w:t>
            </w:r>
          </w:p>
        </w:tc>
        <w:tc>
          <w:tcPr>
            <w:tcW w:w="820" w:type="dxa"/>
            <w:tcBorders>
              <w:top w:val="nil"/>
              <w:left w:val="nil"/>
              <w:bottom w:val="single" w:sz="4" w:space="0" w:color="B6D5E4"/>
              <w:right w:val="nil"/>
            </w:tcBorders>
            <w:shd w:val="clear" w:color="auto" w:fill="auto"/>
            <w:vAlign w:val="bottom"/>
            <w:hideMark/>
          </w:tcPr>
          <w:p w14:paraId="5135C1D6"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31</w:t>
            </w:r>
          </w:p>
        </w:tc>
        <w:tc>
          <w:tcPr>
            <w:tcW w:w="820" w:type="dxa"/>
            <w:tcBorders>
              <w:top w:val="nil"/>
              <w:left w:val="nil"/>
              <w:bottom w:val="single" w:sz="4" w:space="0" w:color="B6D5E4"/>
              <w:right w:val="nil"/>
            </w:tcBorders>
            <w:shd w:val="clear" w:color="auto" w:fill="auto"/>
            <w:vAlign w:val="bottom"/>
            <w:hideMark/>
          </w:tcPr>
          <w:p w14:paraId="165A0896"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31</w:t>
            </w:r>
          </w:p>
        </w:tc>
        <w:tc>
          <w:tcPr>
            <w:tcW w:w="820" w:type="dxa"/>
            <w:tcBorders>
              <w:top w:val="nil"/>
              <w:left w:val="nil"/>
              <w:bottom w:val="single" w:sz="4" w:space="0" w:color="B6D5E4"/>
              <w:right w:val="nil"/>
            </w:tcBorders>
            <w:shd w:val="clear" w:color="auto" w:fill="auto"/>
            <w:vAlign w:val="bottom"/>
            <w:hideMark/>
          </w:tcPr>
          <w:p w14:paraId="17080DCE"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31</w:t>
            </w:r>
          </w:p>
        </w:tc>
        <w:tc>
          <w:tcPr>
            <w:tcW w:w="820" w:type="dxa"/>
            <w:tcBorders>
              <w:top w:val="nil"/>
              <w:left w:val="nil"/>
              <w:bottom w:val="single" w:sz="4" w:space="0" w:color="B6D5E4"/>
              <w:right w:val="nil"/>
            </w:tcBorders>
            <w:shd w:val="clear" w:color="auto" w:fill="auto"/>
            <w:vAlign w:val="bottom"/>
            <w:hideMark/>
          </w:tcPr>
          <w:p w14:paraId="2B064ADD"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31</w:t>
            </w:r>
          </w:p>
        </w:tc>
        <w:tc>
          <w:tcPr>
            <w:tcW w:w="820" w:type="dxa"/>
            <w:tcBorders>
              <w:top w:val="nil"/>
              <w:left w:val="nil"/>
              <w:bottom w:val="single" w:sz="4" w:space="0" w:color="B6D5E4"/>
              <w:right w:val="nil"/>
            </w:tcBorders>
            <w:shd w:val="clear" w:color="auto" w:fill="auto"/>
            <w:vAlign w:val="bottom"/>
            <w:hideMark/>
          </w:tcPr>
          <w:p w14:paraId="2B72CE83"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31</w:t>
            </w:r>
          </w:p>
        </w:tc>
      </w:tr>
      <w:tr w:rsidR="007E365E" w:rsidRPr="0097695F" w14:paraId="3824C3A1" w14:textId="77777777" w:rsidTr="007D1D77">
        <w:trPr>
          <w:trHeight w:val="319"/>
        </w:trPr>
        <w:tc>
          <w:tcPr>
            <w:tcW w:w="3300" w:type="dxa"/>
            <w:tcBorders>
              <w:top w:val="nil"/>
              <w:left w:val="nil"/>
              <w:bottom w:val="nil"/>
              <w:right w:val="nil"/>
            </w:tcBorders>
            <w:shd w:val="clear" w:color="auto" w:fill="auto"/>
            <w:vAlign w:val="bottom"/>
            <w:hideMark/>
          </w:tcPr>
          <w:p w14:paraId="574952F2" w14:textId="77777777" w:rsidR="007E365E" w:rsidRPr="0097695F" w:rsidRDefault="007E365E" w:rsidP="007D1D77">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97695F">
              <w:rPr>
                <w:rFonts w:eastAsia="Times New Roman" w:cs="Open Sans Light"/>
                <w:sz w:val="16"/>
                <w:szCs w:val="16"/>
                <w:lang w:eastAsia="en-AU"/>
              </w:rPr>
              <w:t>Regional costs</w:t>
            </w:r>
          </w:p>
        </w:tc>
        <w:tc>
          <w:tcPr>
            <w:tcW w:w="820" w:type="dxa"/>
            <w:tcBorders>
              <w:top w:val="nil"/>
              <w:left w:val="nil"/>
              <w:bottom w:val="single" w:sz="4" w:space="0" w:color="B6D5E4"/>
              <w:right w:val="nil"/>
            </w:tcBorders>
            <w:shd w:val="clear" w:color="auto" w:fill="auto"/>
            <w:vAlign w:val="bottom"/>
            <w:hideMark/>
          </w:tcPr>
          <w:p w14:paraId="32FFEEF3"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c>
          <w:tcPr>
            <w:tcW w:w="820" w:type="dxa"/>
            <w:tcBorders>
              <w:top w:val="nil"/>
              <w:left w:val="nil"/>
              <w:bottom w:val="single" w:sz="4" w:space="0" w:color="B6D5E4"/>
              <w:right w:val="nil"/>
            </w:tcBorders>
            <w:shd w:val="clear" w:color="auto" w:fill="auto"/>
            <w:vAlign w:val="bottom"/>
            <w:hideMark/>
          </w:tcPr>
          <w:p w14:paraId="1F7E9C5F"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c>
          <w:tcPr>
            <w:tcW w:w="820" w:type="dxa"/>
            <w:tcBorders>
              <w:top w:val="nil"/>
              <w:left w:val="nil"/>
              <w:bottom w:val="single" w:sz="4" w:space="0" w:color="B6D5E4"/>
              <w:right w:val="nil"/>
            </w:tcBorders>
            <w:shd w:val="clear" w:color="auto" w:fill="auto"/>
            <w:vAlign w:val="bottom"/>
            <w:hideMark/>
          </w:tcPr>
          <w:p w14:paraId="5741B5E9"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c>
          <w:tcPr>
            <w:tcW w:w="820" w:type="dxa"/>
            <w:tcBorders>
              <w:top w:val="nil"/>
              <w:left w:val="nil"/>
              <w:bottom w:val="single" w:sz="4" w:space="0" w:color="B6D5E4"/>
              <w:right w:val="nil"/>
            </w:tcBorders>
            <w:shd w:val="clear" w:color="auto" w:fill="auto"/>
            <w:vAlign w:val="bottom"/>
            <w:hideMark/>
          </w:tcPr>
          <w:p w14:paraId="0EEC9DD7"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c>
          <w:tcPr>
            <w:tcW w:w="820" w:type="dxa"/>
            <w:tcBorders>
              <w:top w:val="nil"/>
              <w:left w:val="nil"/>
              <w:bottom w:val="single" w:sz="4" w:space="0" w:color="B6D5E4"/>
              <w:right w:val="nil"/>
            </w:tcBorders>
            <w:shd w:val="clear" w:color="auto" w:fill="auto"/>
            <w:vAlign w:val="bottom"/>
            <w:hideMark/>
          </w:tcPr>
          <w:p w14:paraId="266FEDB1"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c>
          <w:tcPr>
            <w:tcW w:w="820" w:type="dxa"/>
            <w:tcBorders>
              <w:top w:val="nil"/>
              <w:left w:val="nil"/>
              <w:bottom w:val="single" w:sz="4" w:space="0" w:color="B6D5E4"/>
              <w:right w:val="nil"/>
            </w:tcBorders>
            <w:shd w:val="clear" w:color="auto" w:fill="auto"/>
            <w:vAlign w:val="bottom"/>
            <w:hideMark/>
          </w:tcPr>
          <w:p w14:paraId="2EFE55B3"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c>
          <w:tcPr>
            <w:tcW w:w="820" w:type="dxa"/>
            <w:tcBorders>
              <w:top w:val="nil"/>
              <w:left w:val="nil"/>
              <w:bottom w:val="single" w:sz="4" w:space="0" w:color="B6D5E4"/>
              <w:right w:val="nil"/>
            </w:tcBorders>
            <w:shd w:val="clear" w:color="auto" w:fill="auto"/>
            <w:vAlign w:val="bottom"/>
            <w:hideMark/>
          </w:tcPr>
          <w:p w14:paraId="6E2A88EB"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c>
          <w:tcPr>
            <w:tcW w:w="820" w:type="dxa"/>
            <w:tcBorders>
              <w:top w:val="nil"/>
              <w:left w:val="nil"/>
              <w:bottom w:val="single" w:sz="4" w:space="0" w:color="B6D5E4"/>
              <w:right w:val="nil"/>
            </w:tcBorders>
            <w:shd w:val="clear" w:color="auto" w:fill="auto"/>
            <w:vAlign w:val="bottom"/>
            <w:hideMark/>
          </w:tcPr>
          <w:p w14:paraId="70D397DA"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3</w:t>
            </w:r>
          </w:p>
        </w:tc>
        <w:tc>
          <w:tcPr>
            <w:tcW w:w="820" w:type="dxa"/>
            <w:tcBorders>
              <w:top w:val="nil"/>
              <w:left w:val="nil"/>
              <w:bottom w:val="single" w:sz="4" w:space="0" w:color="B6D5E4"/>
              <w:right w:val="nil"/>
            </w:tcBorders>
            <w:shd w:val="clear" w:color="auto" w:fill="auto"/>
            <w:vAlign w:val="bottom"/>
            <w:hideMark/>
          </w:tcPr>
          <w:p w14:paraId="00758966"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r>
      <w:tr w:rsidR="007E365E" w:rsidRPr="0097695F" w14:paraId="12F2493A" w14:textId="77777777" w:rsidTr="007D1D77">
        <w:trPr>
          <w:trHeight w:val="319"/>
        </w:trPr>
        <w:tc>
          <w:tcPr>
            <w:tcW w:w="3300" w:type="dxa"/>
            <w:tcBorders>
              <w:top w:val="single" w:sz="4" w:space="0" w:color="B6D5E4"/>
              <w:left w:val="nil"/>
              <w:bottom w:val="nil"/>
              <w:right w:val="nil"/>
            </w:tcBorders>
            <w:shd w:val="clear" w:color="auto" w:fill="auto"/>
            <w:vAlign w:val="bottom"/>
            <w:hideMark/>
          </w:tcPr>
          <w:p w14:paraId="7571CC75" w14:textId="77777777" w:rsidR="007E365E" w:rsidRPr="0097695F" w:rsidRDefault="007E365E" w:rsidP="007D1D77">
            <w:pPr>
              <w:keepNext/>
              <w:keepLines/>
              <w:widowControl w:val="0"/>
              <w:tabs>
                <w:tab w:val="clear" w:pos="567"/>
              </w:tabs>
              <w:spacing w:before="0" w:line="240" w:lineRule="auto"/>
              <w:ind w:firstLineChars="100" w:firstLine="160"/>
              <w:rPr>
                <w:rFonts w:eastAsia="Times New Roman" w:cs="Open Sans Light"/>
                <w:sz w:val="16"/>
                <w:szCs w:val="16"/>
                <w:lang w:eastAsia="en-AU"/>
              </w:rPr>
            </w:pPr>
            <w:r w:rsidRPr="0097695F">
              <w:rPr>
                <w:rFonts w:eastAsia="Times New Roman" w:cs="Open Sans Light"/>
                <w:sz w:val="16"/>
                <w:szCs w:val="16"/>
                <w:lang w:eastAsia="en-AU"/>
              </w:rPr>
              <w:t>Wage costs</w:t>
            </w:r>
          </w:p>
        </w:tc>
        <w:tc>
          <w:tcPr>
            <w:tcW w:w="820" w:type="dxa"/>
            <w:tcBorders>
              <w:top w:val="nil"/>
              <w:left w:val="nil"/>
              <w:bottom w:val="nil"/>
              <w:right w:val="nil"/>
            </w:tcBorders>
            <w:shd w:val="clear" w:color="auto" w:fill="auto"/>
            <w:vAlign w:val="bottom"/>
            <w:hideMark/>
          </w:tcPr>
          <w:p w14:paraId="29BD890F"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c>
          <w:tcPr>
            <w:tcW w:w="820" w:type="dxa"/>
            <w:tcBorders>
              <w:top w:val="nil"/>
              <w:left w:val="nil"/>
              <w:bottom w:val="nil"/>
              <w:right w:val="nil"/>
            </w:tcBorders>
            <w:shd w:val="clear" w:color="auto" w:fill="auto"/>
            <w:vAlign w:val="bottom"/>
            <w:hideMark/>
          </w:tcPr>
          <w:p w14:paraId="673FD54B"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c>
          <w:tcPr>
            <w:tcW w:w="820" w:type="dxa"/>
            <w:tcBorders>
              <w:top w:val="nil"/>
              <w:left w:val="nil"/>
              <w:bottom w:val="nil"/>
              <w:right w:val="nil"/>
            </w:tcBorders>
            <w:shd w:val="clear" w:color="auto" w:fill="auto"/>
            <w:vAlign w:val="bottom"/>
            <w:hideMark/>
          </w:tcPr>
          <w:p w14:paraId="16E69E14"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c>
          <w:tcPr>
            <w:tcW w:w="820" w:type="dxa"/>
            <w:tcBorders>
              <w:top w:val="nil"/>
              <w:left w:val="nil"/>
              <w:bottom w:val="nil"/>
              <w:right w:val="nil"/>
            </w:tcBorders>
            <w:shd w:val="clear" w:color="auto" w:fill="auto"/>
            <w:vAlign w:val="bottom"/>
            <w:hideMark/>
          </w:tcPr>
          <w:p w14:paraId="284B1419"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1</w:t>
            </w:r>
          </w:p>
        </w:tc>
        <w:tc>
          <w:tcPr>
            <w:tcW w:w="820" w:type="dxa"/>
            <w:tcBorders>
              <w:top w:val="nil"/>
              <w:left w:val="nil"/>
              <w:bottom w:val="nil"/>
              <w:right w:val="nil"/>
            </w:tcBorders>
            <w:shd w:val="clear" w:color="auto" w:fill="auto"/>
            <w:vAlign w:val="bottom"/>
            <w:hideMark/>
          </w:tcPr>
          <w:p w14:paraId="634ECAB6"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-1</w:t>
            </w:r>
          </w:p>
        </w:tc>
        <w:tc>
          <w:tcPr>
            <w:tcW w:w="820" w:type="dxa"/>
            <w:tcBorders>
              <w:top w:val="nil"/>
              <w:left w:val="nil"/>
              <w:bottom w:val="nil"/>
              <w:right w:val="nil"/>
            </w:tcBorders>
            <w:shd w:val="clear" w:color="auto" w:fill="auto"/>
            <w:vAlign w:val="bottom"/>
            <w:hideMark/>
          </w:tcPr>
          <w:p w14:paraId="60C39AD5"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-1</w:t>
            </w:r>
          </w:p>
        </w:tc>
        <w:tc>
          <w:tcPr>
            <w:tcW w:w="820" w:type="dxa"/>
            <w:tcBorders>
              <w:top w:val="nil"/>
              <w:left w:val="nil"/>
              <w:bottom w:val="nil"/>
              <w:right w:val="nil"/>
            </w:tcBorders>
            <w:shd w:val="clear" w:color="auto" w:fill="auto"/>
            <w:vAlign w:val="bottom"/>
            <w:hideMark/>
          </w:tcPr>
          <w:p w14:paraId="4B17BABD"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1</w:t>
            </w:r>
          </w:p>
        </w:tc>
        <w:tc>
          <w:tcPr>
            <w:tcW w:w="820" w:type="dxa"/>
            <w:tcBorders>
              <w:top w:val="nil"/>
              <w:left w:val="nil"/>
              <w:bottom w:val="nil"/>
              <w:right w:val="nil"/>
            </w:tcBorders>
            <w:shd w:val="clear" w:color="auto" w:fill="auto"/>
            <w:vAlign w:val="bottom"/>
            <w:hideMark/>
          </w:tcPr>
          <w:p w14:paraId="6863CAEF"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1</w:t>
            </w:r>
          </w:p>
        </w:tc>
        <w:tc>
          <w:tcPr>
            <w:tcW w:w="820" w:type="dxa"/>
            <w:tcBorders>
              <w:top w:val="nil"/>
              <w:left w:val="nil"/>
              <w:bottom w:val="nil"/>
              <w:right w:val="nil"/>
            </w:tcBorders>
            <w:shd w:val="clear" w:color="auto" w:fill="auto"/>
            <w:vAlign w:val="bottom"/>
            <w:hideMark/>
          </w:tcPr>
          <w:p w14:paraId="576D30B4" w14:textId="77777777" w:rsidR="007E365E" w:rsidRPr="0097695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97695F">
              <w:rPr>
                <w:rFonts w:eastAsia="Times New Roman" w:cs="Open Sans Light"/>
                <w:sz w:val="16"/>
                <w:szCs w:val="16"/>
                <w:lang w:eastAsia="en-AU"/>
              </w:rPr>
              <w:t>0</w:t>
            </w:r>
          </w:p>
        </w:tc>
      </w:tr>
      <w:tr w:rsidR="007E365E" w:rsidRPr="0097695F" w14:paraId="71E88B0E" w14:textId="77777777" w:rsidTr="007D1D77">
        <w:trPr>
          <w:trHeight w:val="319"/>
        </w:trPr>
        <w:tc>
          <w:tcPr>
            <w:tcW w:w="3300" w:type="dxa"/>
            <w:tcBorders>
              <w:top w:val="single" w:sz="4" w:space="0" w:color="ADD6EA"/>
              <w:left w:val="nil"/>
              <w:bottom w:val="single" w:sz="4" w:space="0" w:color="ADD6EA"/>
              <w:right w:val="nil"/>
            </w:tcBorders>
            <w:shd w:val="clear" w:color="000000" w:fill="B6D5E4"/>
            <w:vAlign w:val="bottom"/>
            <w:hideMark/>
          </w:tcPr>
          <w:p w14:paraId="73EFF5C2" w14:textId="77777777" w:rsidR="007E365E" w:rsidRPr="0097695F" w:rsidRDefault="007E365E" w:rsidP="007D1D77">
            <w:pPr>
              <w:keepNext/>
              <w:keepLines/>
              <w:widowControl w:val="0"/>
              <w:tabs>
                <w:tab w:val="clear" w:pos="567"/>
              </w:tabs>
              <w:spacing w:before="0" w:line="240" w:lineRule="auto"/>
              <w:ind w:firstLineChars="100" w:firstLine="160"/>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Assessed expenses</w:t>
            </w:r>
          </w:p>
        </w:tc>
        <w:tc>
          <w:tcPr>
            <w:tcW w:w="820" w:type="dxa"/>
            <w:tcBorders>
              <w:top w:val="single" w:sz="4" w:space="0" w:color="ADD6EA"/>
              <w:left w:val="nil"/>
              <w:bottom w:val="single" w:sz="4" w:space="0" w:color="ADD6EA"/>
              <w:right w:val="nil"/>
            </w:tcBorders>
            <w:shd w:val="clear" w:color="000000" w:fill="B6D5E4"/>
            <w:vAlign w:val="bottom"/>
            <w:hideMark/>
          </w:tcPr>
          <w:p w14:paraId="57B3FC73"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31</w:t>
            </w:r>
          </w:p>
        </w:tc>
        <w:tc>
          <w:tcPr>
            <w:tcW w:w="820" w:type="dxa"/>
            <w:tcBorders>
              <w:top w:val="single" w:sz="4" w:space="0" w:color="ADD6EA"/>
              <w:left w:val="nil"/>
              <w:bottom w:val="single" w:sz="4" w:space="0" w:color="ADD6EA"/>
              <w:right w:val="nil"/>
            </w:tcBorders>
            <w:shd w:val="clear" w:color="000000" w:fill="B6D5E4"/>
            <w:vAlign w:val="bottom"/>
            <w:hideMark/>
          </w:tcPr>
          <w:p w14:paraId="2EE8B40D"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31</w:t>
            </w:r>
          </w:p>
        </w:tc>
        <w:tc>
          <w:tcPr>
            <w:tcW w:w="820" w:type="dxa"/>
            <w:tcBorders>
              <w:top w:val="single" w:sz="4" w:space="0" w:color="ADD6EA"/>
              <w:left w:val="nil"/>
              <w:bottom w:val="single" w:sz="4" w:space="0" w:color="ADD6EA"/>
              <w:right w:val="nil"/>
            </w:tcBorders>
            <w:shd w:val="clear" w:color="000000" w:fill="B6D5E4"/>
            <w:vAlign w:val="bottom"/>
            <w:hideMark/>
          </w:tcPr>
          <w:p w14:paraId="30501C42"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31</w:t>
            </w:r>
          </w:p>
        </w:tc>
        <w:tc>
          <w:tcPr>
            <w:tcW w:w="820" w:type="dxa"/>
            <w:tcBorders>
              <w:top w:val="single" w:sz="4" w:space="0" w:color="ADD6EA"/>
              <w:left w:val="nil"/>
              <w:bottom w:val="single" w:sz="4" w:space="0" w:color="ADD6EA"/>
              <w:right w:val="nil"/>
            </w:tcBorders>
            <w:shd w:val="clear" w:color="000000" w:fill="B6D5E4"/>
            <w:vAlign w:val="bottom"/>
            <w:hideMark/>
          </w:tcPr>
          <w:p w14:paraId="0C58D909"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32</w:t>
            </w:r>
          </w:p>
        </w:tc>
        <w:tc>
          <w:tcPr>
            <w:tcW w:w="820" w:type="dxa"/>
            <w:tcBorders>
              <w:top w:val="single" w:sz="4" w:space="0" w:color="ADD6EA"/>
              <w:left w:val="nil"/>
              <w:bottom w:val="single" w:sz="4" w:space="0" w:color="ADD6EA"/>
              <w:right w:val="nil"/>
            </w:tcBorders>
            <w:shd w:val="clear" w:color="000000" w:fill="B6D5E4"/>
            <w:vAlign w:val="bottom"/>
            <w:hideMark/>
          </w:tcPr>
          <w:p w14:paraId="478AE591"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31</w:t>
            </w:r>
          </w:p>
        </w:tc>
        <w:tc>
          <w:tcPr>
            <w:tcW w:w="820" w:type="dxa"/>
            <w:tcBorders>
              <w:top w:val="single" w:sz="4" w:space="0" w:color="ADD6EA"/>
              <w:left w:val="nil"/>
              <w:bottom w:val="single" w:sz="4" w:space="0" w:color="ADD6EA"/>
              <w:right w:val="nil"/>
            </w:tcBorders>
            <w:shd w:val="clear" w:color="000000" w:fill="B6D5E4"/>
            <w:vAlign w:val="bottom"/>
            <w:hideMark/>
          </w:tcPr>
          <w:p w14:paraId="3695C777"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31</w:t>
            </w:r>
          </w:p>
        </w:tc>
        <w:tc>
          <w:tcPr>
            <w:tcW w:w="820" w:type="dxa"/>
            <w:tcBorders>
              <w:top w:val="single" w:sz="4" w:space="0" w:color="ADD6EA"/>
              <w:left w:val="nil"/>
              <w:bottom w:val="single" w:sz="4" w:space="0" w:color="ADD6EA"/>
              <w:right w:val="nil"/>
            </w:tcBorders>
            <w:shd w:val="clear" w:color="000000" w:fill="B6D5E4"/>
            <w:vAlign w:val="bottom"/>
            <w:hideMark/>
          </w:tcPr>
          <w:p w14:paraId="2B11E744"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32</w:t>
            </w:r>
          </w:p>
        </w:tc>
        <w:tc>
          <w:tcPr>
            <w:tcW w:w="820" w:type="dxa"/>
            <w:tcBorders>
              <w:top w:val="single" w:sz="4" w:space="0" w:color="ADD6EA"/>
              <w:left w:val="nil"/>
              <w:bottom w:val="single" w:sz="4" w:space="0" w:color="ADD6EA"/>
              <w:right w:val="nil"/>
            </w:tcBorders>
            <w:shd w:val="clear" w:color="000000" w:fill="B6D5E4"/>
            <w:vAlign w:val="bottom"/>
            <w:hideMark/>
          </w:tcPr>
          <w:p w14:paraId="68E1D6AB"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36</w:t>
            </w:r>
          </w:p>
        </w:tc>
        <w:tc>
          <w:tcPr>
            <w:tcW w:w="820" w:type="dxa"/>
            <w:tcBorders>
              <w:top w:val="single" w:sz="4" w:space="0" w:color="ADD6EA"/>
              <w:left w:val="nil"/>
              <w:bottom w:val="single" w:sz="4" w:space="0" w:color="ADD6EA"/>
              <w:right w:val="nil"/>
            </w:tcBorders>
            <w:shd w:val="clear" w:color="000000" w:fill="B6D5E4"/>
            <w:vAlign w:val="bottom"/>
            <w:hideMark/>
          </w:tcPr>
          <w:p w14:paraId="3AF55C73"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31</w:t>
            </w:r>
          </w:p>
        </w:tc>
      </w:tr>
      <w:tr w:rsidR="007E365E" w:rsidRPr="0097695F" w14:paraId="2695ACA3" w14:textId="77777777" w:rsidTr="007D1D77">
        <w:trPr>
          <w:trHeight w:val="319"/>
        </w:trPr>
        <w:tc>
          <w:tcPr>
            <w:tcW w:w="3300" w:type="dxa"/>
            <w:tcBorders>
              <w:top w:val="nil"/>
              <w:left w:val="nil"/>
              <w:bottom w:val="single" w:sz="4" w:space="0" w:color="ADD6EA"/>
              <w:right w:val="nil"/>
            </w:tcBorders>
            <w:shd w:val="clear" w:color="000000" w:fill="D6E7F0"/>
            <w:vAlign w:val="bottom"/>
            <w:hideMark/>
          </w:tcPr>
          <w:p w14:paraId="012B8BC8" w14:textId="77777777" w:rsidR="007E365E" w:rsidRPr="0097695F" w:rsidRDefault="007E365E" w:rsidP="007D1D77">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Total assessed expenses</w:t>
            </w:r>
          </w:p>
        </w:tc>
        <w:tc>
          <w:tcPr>
            <w:tcW w:w="820" w:type="dxa"/>
            <w:tcBorders>
              <w:top w:val="nil"/>
              <w:left w:val="nil"/>
              <w:bottom w:val="single" w:sz="4" w:space="0" w:color="ADD6EA"/>
              <w:right w:val="nil"/>
            </w:tcBorders>
            <w:shd w:val="clear" w:color="000000" w:fill="D6E7F0"/>
            <w:vAlign w:val="bottom"/>
            <w:hideMark/>
          </w:tcPr>
          <w:p w14:paraId="7E9E1626"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764</w:t>
            </w:r>
          </w:p>
        </w:tc>
        <w:tc>
          <w:tcPr>
            <w:tcW w:w="820" w:type="dxa"/>
            <w:tcBorders>
              <w:top w:val="nil"/>
              <w:left w:val="nil"/>
              <w:bottom w:val="single" w:sz="4" w:space="0" w:color="ADD6EA"/>
              <w:right w:val="nil"/>
            </w:tcBorders>
            <w:shd w:val="clear" w:color="000000" w:fill="D6E7F0"/>
            <w:vAlign w:val="bottom"/>
            <w:hideMark/>
          </w:tcPr>
          <w:p w14:paraId="11C4AD3D"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673</w:t>
            </w:r>
          </w:p>
        </w:tc>
        <w:tc>
          <w:tcPr>
            <w:tcW w:w="820" w:type="dxa"/>
            <w:tcBorders>
              <w:top w:val="nil"/>
              <w:left w:val="nil"/>
              <w:bottom w:val="single" w:sz="4" w:space="0" w:color="ADD6EA"/>
              <w:right w:val="nil"/>
            </w:tcBorders>
            <w:shd w:val="clear" w:color="000000" w:fill="D6E7F0"/>
            <w:vAlign w:val="bottom"/>
            <w:hideMark/>
          </w:tcPr>
          <w:p w14:paraId="4136BEB9"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460</w:t>
            </w:r>
          </w:p>
        </w:tc>
        <w:tc>
          <w:tcPr>
            <w:tcW w:w="820" w:type="dxa"/>
            <w:tcBorders>
              <w:top w:val="nil"/>
              <w:left w:val="nil"/>
              <w:bottom w:val="single" w:sz="4" w:space="0" w:color="ADD6EA"/>
              <w:right w:val="nil"/>
            </w:tcBorders>
            <w:shd w:val="clear" w:color="000000" w:fill="D6E7F0"/>
            <w:vAlign w:val="bottom"/>
            <w:hideMark/>
          </w:tcPr>
          <w:p w14:paraId="6C3F9692"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507</w:t>
            </w:r>
          </w:p>
        </w:tc>
        <w:tc>
          <w:tcPr>
            <w:tcW w:w="820" w:type="dxa"/>
            <w:tcBorders>
              <w:top w:val="nil"/>
              <w:left w:val="nil"/>
              <w:bottom w:val="single" w:sz="4" w:space="0" w:color="ADD6EA"/>
              <w:right w:val="nil"/>
            </w:tcBorders>
            <w:shd w:val="clear" w:color="000000" w:fill="D6E7F0"/>
            <w:vAlign w:val="bottom"/>
            <w:hideMark/>
          </w:tcPr>
          <w:p w14:paraId="5E80574C"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445</w:t>
            </w:r>
          </w:p>
        </w:tc>
        <w:tc>
          <w:tcPr>
            <w:tcW w:w="820" w:type="dxa"/>
            <w:tcBorders>
              <w:top w:val="nil"/>
              <w:left w:val="nil"/>
              <w:bottom w:val="single" w:sz="4" w:space="0" w:color="ADD6EA"/>
              <w:right w:val="nil"/>
            </w:tcBorders>
            <w:shd w:val="clear" w:color="000000" w:fill="D6E7F0"/>
            <w:vAlign w:val="bottom"/>
            <w:hideMark/>
          </w:tcPr>
          <w:p w14:paraId="7CA1ECFA"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231</w:t>
            </w:r>
          </w:p>
        </w:tc>
        <w:tc>
          <w:tcPr>
            <w:tcW w:w="820" w:type="dxa"/>
            <w:tcBorders>
              <w:top w:val="nil"/>
              <w:left w:val="nil"/>
              <w:bottom w:val="single" w:sz="4" w:space="0" w:color="ADD6EA"/>
              <w:right w:val="nil"/>
            </w:tcBorders>
            <w:shd w:val="clear" w:color="000000" w:fill="D6E7F0"/>
            <w:vAlign w:val="bottom"/>
            <w:hideMark/>
          </w:tcPr>
          <w:p w14:paraId="6B0D2203"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471</w:t>
            </w:r>
          </w:p>
        </w:tc>
        <w:tc>
          <w:tcPr>
            <w:tcW w:w="820" w:type="dxa"/>
            <w:tcBorders>
              <w:top w:val="nil"/>
              <w:left w:val="nil"/>
              <w:bottom w:val="single" w:sz="4" w:space="0" w:color="ADD6EA"/>
              <w:right w:val="nil"/>
            </w:tcBorders>
            <w:shd w:val="clear" w:color="000000" w:fill="D6E7F0"/>
            <w:vAlign w:val="bottom"/>
            <w:hideMark/>
          </w:tcPr>
          <w:p w14:paraId="71DEBC35"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269</w:t>
            </w:r>
          </w:p>
        </w:tc>
        <w:tc>
          <w:tcPr>
            <w:tcW w:w="820" w:type="dxa"/>
            <w:tcBorders>
              <w:top w:val="nil"/>
              <w:left w:val="nil"/>
              <w:bottom w:val="single" w:sz="4" w:space="0" w:color="ADD6EA"/>
              <w:right w:val="nil"/>
            </w:tcBorders>
            <w:shd w:val="clear" w:color="000000" w:fill="D6E7F0"/>
            <w:vAlign w:val="bottom"/>
            <w:hideMark/>
          </w:tcPr>
          <w:p w14:paraId="08E7257C" w14:textId="77777777" w:rsidR="007E365E" w:rsidRPr="0097695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97695F">
              <w:rPr>
                <w:rFonts w:ascii="Open Sans SemiBold" w:eastAsia="Times New Roman" w:hAnsi="Open Sans SemiBold" w:cs="Open Sans SemiBold"/>
                <w:sz w:val="16"/>
                <w:szCs w:val="16"/>
                <w:lang w:eastAsia="en-AU"/>
              </w:rPr>
              <w:t>610</w:t>
            </w:r>
          </w:p>
        </w:tc>
      </w:tr>
    </w:tbl>
    <w:p w14:paraId="570CB198" w14:textId="77777777" w:rsidR="007E365E" w:rsidRPr="00976585" w:rsidRDefault="007E365E" w:rsidP="007E365E">
      <w:pPr>
        <w:pStyle w:val="CGCTablenote"/>
        <w:keepNext/>
        <w:keepLines/>
        <w:widowControl w:val="0"/>
      </w:pPr>
      <w:r w:rsidRPr="00976585">
        <w:t>Note:</w:t>
      </w:r>
      <w:r w:rsidRPr="00976585">
        <w:tab/>
        <w:t xml:space="preserve">Table may not add due to interactions between disabilities </w:t>
      </w:r>
      <w:r>
        <w:t xml:space="preserve">and </w:t>
      </w:r>
      <w:r w:rsidRPr="00976585">
        <w:t>rounding.</w:t>
      </w:r>
    </w:p>
    <w:p w14:paraId="1D05FFE5" w14:textId="77777777" w:rsidR="007E365E" w:rsidRPr="00976585" w:rsidRDefault="007E365E" w:rsidP="007E365E">
      <w:pPr>
        <w:pStyle w:val="CGCTablenote"/>
        <w:keepNext/>
        <w:keepLines/>
        <w:widowControl w:val="0"/>
      </w:pPr>
      <w:r w:rsidRPr="00976585">
        <w:t>Source:</w:t>
      </w:r>
      <w:r w:rsidRPr="00976585">
        <w:tab/>
        <w:t>Commission calculation.</w:t>
      </w:r>
    </w:p>
    <w:p w14:paraId="0A36A858" w14:textId="77777777" w:rsidR="007E365E" w:rsidRPr="00976585" w:rsidRDefault="007E365E" w:rsidP="007E365E">
      <w:pPr>
        <w:pStyle w:val="Heading3"/>
      </w:pPr>
      <w:bookmarkStart w:id="272" w:name="_Toc6470673"/>
      <w:r>
        <w:t>Infrastructure a</w:t>
      </w:r>
      <w:r w:rsidRPr="00976585">
        <w:t>ssessment</w:t>
      </w:r>
      <w:bookmarkEnd w:id="272"/>
    </w:p>
    <w:p w14:paraId="6DE4FBA0" w14:textId="77777777" w:rsidR="007E365E" w:rsidRPr="00976585" w:rsidRDefault="007E365E" w:rsidP="007E365E">
      <w:pPr>
        <w:pStyle w:val="CGCParaNumber"/>
      </w:pPr>
      <w:r w:rsidRPr="00976585">
        <w:t xml:space="preserve">States require infrastructure to support service delivery. State infrastructure requirements are assessed in the Investment category. </w:t>
      </w:r>
    </w:p>
    <w:p w14:paraId="04962A28" w14:textId="77777777" w:rsidR="007E365E" w:rsidRPr="00976585" w:rsidRDefault="007E365E" w:rsidP="007E365E">
      <w:pPr>
        <w:pStyle w:val="CGCParaNumber"/>
      </w:pPr>
      <w:r w:rsidRPr="00976585">
        <w:t>In this category, the Commission assesses infrastructure needs through a net investment assessment rather than a gross investment assessment. The urban transport model was developed using net expenses including depreciation. Consequently, a gross investment assessment is not possible.</w:t>
      </w:r>
    </w:p>
    <w:p w14:paraId="0FDBEBEB" w14:textId="77777777" w:rsidR="007E365E" w:rsidRPr="00976585" w:rsidRDefault="007E365E" w:rsidP="007E365E">
      <w:pPr>
        <w:pStyle w:val="CGCParaNumber"/>
      </w:pPr>
      <w:r w:rsidRPr="00976585">
        <w:t xml:space="preserve">As with the expense assessment, the </w:t>
      </w:r>
      <w:r>
        <w:t xml:space="preserve">urban transport </w:t>
      </w:r>
      <w:r w:rsidRPr="00976585">
        <w:t xml:space="preserve">investment assessment is blended. However, instead of using an assessment based on urban population, the blend is based on an assessment that </w:t>
      </w:r>
      <w:r>
        <w:t>use</w:t>
      </w:r>
      <w:r w:rsidRPr="00976585">
        <w:t>s the square of urban population. This approach recognises:</w:t>
      </w:r>
    </w:p>
    <w:p w14:paraId="02F6505F" w14:textId="77777777" w:rsidR="007E365E" w:rsidRPr="00976585" w:rsidRDefault="007E365E" w:rsidP="007E365E">
      <w:pPr>
        <w:pStyle w:val="CGCBullet1"/>
      </w:pPr>
      <w:r>
        <w:t>t</w:t>
      </w:r>
      <w:r w:rsidRPr="00976585">
        <w:t>he proportion of State populations living in urban centres through the population</w:t>
      </w:r>
      <w:r w:rsidRPr="00976585">
        <w:noBreakHyphen/>
        <w:t>squared model, with a weight of 25%</w:t>
      </w:r>
    </w:p>
    <w:p w14:paraId="3E75F041" w14:textId="77777777" w:rsidR="007E365E" w:rsidRPr="00976585" w:rsidRDefault="007E365E" w:rsidP="007E365E">
      <w:pPr>
        <w:pStyle w:val="CGCBullet1"/>
      </w:pPr>
      <w:r>
        <w:t>t</w:t>
      </w:r>
      <w:r w:rsidRPr="00976585">
        <w:t xml:space="preserve">he effect of urban centre characteristics on the cost of providing urban transport, with a weight of 75%. </w:t>
      </w:r>
    </w:p>
    <w:p w14:paraId="4D8EB9BE" w14:textId="77777777" w:rsidR="007E365E" w:rsidRPr="00976585" w:rsidRDefault="007E365E" w:rsidP="007E365E">
      <w:pPr>
        <w:pStyle w:val="CGCParaNumber"/>
      </w:pPr>
      <w:r w:rsidRPr="00976585">
        <w:t xml:space="preserve">As such, the main drivers of investment in urban transport infrastructure is growth in the factors that affect recurrent service delivery expenses, that is, urban </w:t>
      </w:r>
      <w:r>
        <w:t>centre</w:t>
      </w:r>
      <w:r w:rsidRPr="00976585">
        <w:t xml:space="preserve"> characteristics and urban population. Interstate differences in construction costs are also recognised. </w:t>
      </w:r>
    </w:p>
    <w:p w14:paraId="77788D7B" w14:textId="11FA4672" w:rsidR="007E365E" w:rsidRPr="00976585" w:rsidRDefault="007E365E" w:rsidP="007E365E">
      <w:pPr>
        <w:pStyle w:val="CGCParaNumber"/>
      </w:pPr>
      <w:bookmarkStart w:id="273" w:name="_Ref9926035"/>
      <w:r w:rsidRPr="00976585">
        <w:t xml:space="preserve">The decision to use the recurrent service delivery disabilities in the infrastructure assessment is based on advice from the consultants. In their analysis, they determined that the recurrent expense model is also suitable to assess investment needs. They argued that a system in ‘equilibrium’, one that appropriately grows with demand while meeting all maintenance requirements, should have operating and capital costs that are closely correlated. This is supported by data provided by the States and overseas public transport expenditure data. </w:t>
      </w:r>
      <w:bookmarkEnd w:id="273"/>
      <w:r w:rsidRPr="00976585">
        <w:t>The Commission supports their analysis.</w:t>
      </w:r>
    </w:p>
    <w:p w14:paraId="66D89141" w14:textId="77777777" w:rsidR="007E365E" w:rsidRPr="00976585" w:rsidRDefault="007E365E" w:rsidP="007E365E">
      <w:pPr>
        <w:pStyle w:val="CGCParaNumber"/>
      </w:pPr>
      <w:r w:rsidRPr="00976585">
        <w:lastRenderedPageBreak/>
        <w:t>For non</w:t>
      </w:r>
      <w:r w:rsidRPr="00976585">
        <w:noBreakHyphen/>
        <w:t>urban transport infrastructure, the main driver is total population because the Commission could not identify an appropriate broad indicator to capture needs.</w:t>
      </w:r>
    </w:p>
    <w:p w14:paraId="1D496845" w14:textId="77777777" w:rsidR="007E365E" w:rsidRPr="00976585" w:rsidRDefault="007E365E" w:rsidP="007E365E">
      <w:pPr>
        <w:pStyle w:val="CGCParaNumber"/>
      </w:pPr>
      <w:r w:rsidRPr="00976585">
        <w:t xml:space="preserve">Western Australia and the ACT disagreed with the proposal to blend the urban transport infrastructure assessment </w:t>
      </w:r>
      <w:r>
        <w:t>using</w:t>
      </w:r>
      <w:r w:rsidRPr="00976585">
        <w:t xml:space="preserve"> the population-squared model. They argued that if the Commission accepts that the recurrent and investment models should be similar because they have the same underpinning drivers, then blending the recurrent expense model with the population-squared model combines contradictory functional forms. </w:t>
      </w:r>
      <w:r w:rsidRPr="00976585" w:rsidDel="002420AD">
        <w:t>The Commission disagrees with this analysis.</w:t>
      </w:r>
    </w:p>
    <w:p w14:paraId="2431E9FF" w14:textId="77777777" w:rsidR="007E365E" w:rsidRPr="00976585" w:rsidRDefault="007E365E" w:rsidP="007E365E">
      <w:pPr>
        <w:pStyle w:val="CGCParaNumber"/>
      </w:pPr>
      <w:r w:rsidRPr="00976585">
        <w:t>While the econometric model was developed for recurrent expenses, the variables used in that model, such as population density and passenger numbers, would also be relevant to investment needs. By using the econometric model for recurrent expenses to estimate investment needs, the Commission implies that the relationship of per capita asset values to population is the same as that of per capita net expenses to population; that per capita investment tends to show a slower rate of growth for larger cities.</w:t>
      </w:r>
    </w:p>
    <w:p w14:paraId="29EAA7B1" w14:textId="77777777" w:rsidR="007E365E" w:rsidRPr="00976585" w:rsidRDefault="007E365E" w:rsidP="007E365E">
      <w:pPr>
        <w:pStyle w:val="CGCParaNumber"/>
      </w:pPr>
      <w:r w:rsidRPr="00976585">
        <w:t xml:space="preserve">In the 2015 Review, the Commission concluded that the relationship of per capita asset values to population was linear, indicating that per capita asset values continue to increase as population increases. This led the Commission to adopting the population-squared model. This relationship was different to that of per capita recurrent expenses to population, which was log linear, implying a slower rate of growth in per capita expenses for larger cities.  This led the Commission to adopt different models for recurrent and capital expenditure in the 2015 Review. </w:t>
      </w:r>
    </w:p>
    <w:p w14:paraId="2A2FF2CA" w14:textId="77777777" w:rsidR="007E365E" w:rsidRPr="00976585" w:rsidRDefault="007E365E" w:rsidP="007E365E">
      <w:pPr>
        <w:pStyle w:val="CGCParaNumber"/>
      </w:pPr>
      <w:r w:rsidRPr="00976585">
        <w:t xml:space="preserve">While the functional forms of the population-squared model from the 2015 Review and the recurrent model for this Review are different, they are not contradictory, since they both suggest that per capita assets increase with urban centre size. </w:t>
      </w:r>
    </w:p>
    <w:p w14:paraId="0C81FFC9" w14:textId="77777777" w:rsidR="007E365E" w:rsidRPr="00976585" w:rsidRDefault="007E365E" w:rsidP="007E365E">
      <w:pPr>
        <w:pStyle w:val="CGCParaNumber"/>
      </w:pPr>
      <w:r w:rsidRPr="00976585">
        <w:t xml:space="preserve">Data on the value of transport assets collected for this Review support the findings of the 2015 Review regarding the relationship between city size and per capita assets. This suggests some uncertainties about whether the 2020 Review econometric model captures capital expenditure needs sufficiently well. While there is strong evidence that per capita asset values increase as city size increases, the rate of this decrease is less clear. The Commission will further consider this issue in the next methodology review. For this Review, the Commission considers that blending the 2020 Review recurrent model with the 2015 Review population-squared model allows the resulting model to better capture investment needs. </w:t>
      </w:r>
    </w:p>
    <w:p w14:paraId="723E71AC" w14:textId="67CBE6FA" w:rsidR="007E365E" w:rsidRPr="00976585" w:rsidRDefault="007E365E" w:rsidP="007E365E">
      <w:pPr>
        <w:pStyle w:val="CGCParaNumber"/>
      </w:pPr>
      <w:r>
        <w:fldChar w:fldCharType="begin"/>
      </w:r>
      <w:r>
        <w:instrText xml:space="preserve"> REF _Ref32849830 \h </w:instrText>
      </w:r>
      <w:r>
        <w:fldChar w:fldCharType="separate"/>
      </w:r>
      <w:r w:rsidR="007F721A" w:rsidRPr="00976585">
        <w:t xml:space="preserve">Table </w:t>
      </w:r>
      <w:r w:rsidR="007F721A">
        <w:t>21-</w:t>
      </w:r>
      <w:r w:rsidR="007F721A">
        <w:rPr>
          <w:noProof/>
        </w:rPr>
        <w:t>15</w:t>
      </w:r>
      <w:r>
        <w:fldChar w:fldCharType="end"/>
      </w:r>
      <w:r w:rsidRPr="00976585">
        <w:t xml:space="preserve"> shows the State shares of the urban transport assessed closing stocks of infrastructure for 201</w:t>
      </w:r>
      <w:r>
        <w:t>8</w:t>
      </w:r>
      <w:r w:rsidRPr="00976585">
        <w:noBreakHyphen/>
        <w:t>1</w:t>
      </w:r>
      <w:r>
        <w:t>9</w:t>
      </w:r>
      <w:r w:rsidRPr="00976585">
        <w:t>.</w:t>
      </w:r>
    </w:p>
    <w:p w14:paraId="609BC167" w14:textId="27E18B71" w:rsidR="007E365E" w:rsidRDefault="007E365E" w:rsidP="007E365E">
      <w:pPr>
        <w:pStyle w:val="Caption"/>
      </w:pPr>
      <w:bookmarkStart w:id="274" w:name="_Ref32849830"/>
      <w:r w:rsidRPr="00976585">
        <w:t xml:space="preserve">Table </w:t>
      </w:r>
      <w:r>
        <w:t>21-</w:t>
      </w:r>
      <w:fldSimple w:instr=" SEQ Table \* ARABIC ">
        <w:r w:rsidR="007F721A">
          <w:rPr>
            <w:noProof/>
          </w:rPr>
          <w:t>15</w:t>
        </w:r>
      </w:fldSimple>
      <w:bookmarkEnd w:id="274"/>
      <w:r w:rsidRPr="00976585">
        <w:tab/>
      </w:r>
      <w:r>
        <w:t>State shares of assessed u</w:t>
      </w:r>
      <w:r w:rsidRPr="00976585">
        <w:t>rban transport</w:t>
      </w:r>
      <w:r>
        <w:t xml:space="preserve"> infrastructure</w:t>
      </w:r>
      <w:r w:rsidRPr="00976585">
        <w:t>, 201</w:t>
      </w:r>
      <w:r>
        <w:t>8</w:t>
      </w:r>
      <w:r w:rsidRPr="00976585">
        <w:noBreakHyphen/>
        <w:t>1</w:t>
      </w:r>
      <w:r>
        <w:t>9</w:t>
      </w:r>
    </w:p>
    <w:tbl>
      <w:tblPr>
        <w:tblW w:w="8942" w:type="dxa"/>
        <w:tblCellMar>
          <w:left w:w="28" w:type="dxa"/>
          <w:right w:w="28" w:type="dxa"/>
        </w:tblCellMar>
        <w:tblLook w:val="04A0" w:firstRow="1" w:lastRow="0" w:firstColumn="1" w:lastColumn="0" w:noHBand="0" w:noVBand="1"/>
      </w:tblPr>
      <w:tblGrid>
        <w:gridCol w:w="3360"/>
        <w:gridCol w:w="660"/>
        <w:gridCol w:w="660"/>
        <w:gridCol w:w="660"/>
        <w:gridCol w:w="580"/>
        <w:gridCol w:w="580"/>
        <w:gridCol w:w="580"/>
        <w:gridCol w:w="580"/>
        <w:gridCol w:w="580"/>
        <w:gridCol w:w="760"/>
      </w:tblGrid>
      <w:tr w:rsidR="007E365E" w:rsidRPr="002849AD" w14:paraId="4BA83B5F" w14:textId="77777777" w:rsidTr="007D1D77">
        <w:trPr>
          <w:trHeight w:val="379"/>
        </w:trPr>
        <w:tc>
          <w:tcPr>
            <w:tcW w:w="3360" w:type="dxa"/>
            <w:tcBorders>
              <w:top w:val="single" w:sz="4" w:space="0" w:color="ADD6EA"/>
              <w:left w:val="nil"/>
              <w:bottom w:val="single" w:sz="4" w:space="0" w:color="ADD6EA"/>
              <w:right w:val="nil"/>
            </w:tcBorders>
            <w:shd w:val="clear" w:color="000000" w:fill="006991"/>
            <w:noWrap/>
            <w:vAlign w:val="center"/>
            <w:hideMark/>
          </w:tcPr>
          <w:p w14:paraId="5257783D"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49AD">
              <w:rPr>
                <w:rFonts w:ascii="Open Sans SemiBold" w:eastAsia="Times New Roman" w:hAnsi="Open Sans SemiBold" w:cs="Open Sans SemiBold"/>
                <w:color w:val="FFFFFF"/>
                <w:sz w:val="16"/>
                <w:szCs w:val="16"/>
                <w:lang w:eastAsia="en-AU"/>
              </w:rPr>
              <w:t> </w:t>
            </w:r>
          </w:p>
        </w:tc>
        <w:tc>
          <w:tcPr>
            <w:tcW w:w="660" w:type="dxa"/>
            <w:tcBorders>
              <w:top w:val="single" w:sz="4" w:space="0" w:color="ADD6EA"/>
              <w:left w:val="nil"/>
              <w:bottom w:val="single" w:sz="4" w:space="0" w:color="ADD6EA"/>
              <w:right w:val="nil"/>
            </w:tcBorders>
            <w:shd w:val="clear" w:color="000000" w:fill="006991"/>
            <w:noWrap/>
            <w:vAlign w:val="center"/>
            <w:hideMark/>
          </w:tcPr>
          <w:p w14:paraId="00ACA49D"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49AD">
              <w:rPr>
                <w:rFonts w:ascii="Open Sans SemiBold" w:eastAsia="Times New Roman" w:hAnsi="Open Sans SemiBold" w:cs="Open Sans SemiBold"/>
                <w:color w:val="FFFFFF"/>
                <w:sz w:val="16"/>
                <w:szCs w:val="16"/>
                <w:lang w:eastAsia="en-AU"/>
              </w:rPr>
              <w:t>NSW</w:t>
            </w:r>
          </w:p>
        </w:tc>
        <w:tc>
          <w:tcPr>
            <w:tcW w:w="660" w:type="dxa"/>
            <w:tcBorders>
              <w:top w:val="single" w:sz="4" w:space="0" w:color="ADD6EA"/>
              <w:left w:val="nil"/>
              <w:bottom w:val="single" w:sz="4" w:space="0" w:color="ADD6EA"/>
              <w:right w:val="nil"/>
            </w:tcBorders>
            <w:shd w:val="clear" w:color="000000" w:fill="006991"/>
            <w:noWrap/>
            <w:vAlign w:val="center"/>
            <w:hideMark/>
          </w:tcPr>
          <w:p w14:paraId="7A33D673"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49AD">
              <w:rPr>
                <w:rFonts w:ascii="Open Sans SemiBold" w:eastAsia="Times New Roman" w:hAnsi="Open Sans SemiBold" w:cs="Open Sans SemiBold"/>
                <w:color w:val="FFFFFF"/>
                <w:sz w:val="16"/>
                <w:szCs w:val="16"/>
                <w:lang w:eastAsia="en-AU"/>
              </w:rPr>
              <w:t>Vic</w:t>
            </w:r>
          </w:p>
        </w:tc>
        <w:tc>
          <w:tcPr>
            <w:tcW w:w="660" w:type="dxa"/>
            <w:tcBorders>
              <w:top w:val="single" w:sz="4" w:space="0" w:color="ADD6EA"/>
              <w:left w:val="nil"/>
              <w:bottom w:val="single" w:sz="4" w:space="0" w:color="ADD6EA"/>
              <w:right w:val="nil"/>
            </w:tcBorders>
            <w:shd w:val="clear" w:color="000000" w:fill="006991"/>
            <w:noWrap/>
            <w:vAlign w:val="center"/>
            <w:hideMark/>
          </w:tcPr>
          <w:p w14:paraId="31B6FB8E"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49AD">
              <w:rPr>
                <w:rFonts w:ascii="Open Sans SemiBold" w:eastAsia="Times New Roman" w:hAnsi="Open Sans SemiBold" w:cs="Open Sans SemiBold"/>
                <w:color w:val="FFFFFF"/>
                <w:sz w:val="16"/>
                <w:szCs w:val="16"/>
                <w:lang w:eastAsia="en-AU"/>
              </w:rPr>
              <w:t>Qld</w:t>
            </w:r>
          </w:p>
        </w:tc>
        <w:tc>
          <w:tcPr>
            <w:tcW w:w="580" w:type="dxa"/>
            <w:tcBorders>
              <w:top w:val="single" w:sz="4" w:space="0" w:color="ADD6EA"/>
              <w:left w:val="nil"/>
              <w:bottom w:val="single" w:sz="4" w:space="0" w:color="ADD6EA"/>
              <w:right w:val="nil"/>
            </w:tcBorders>
            <w:shd w:val="clear" w:color="000000" w:fill="006991"/>
            <w:noWrap/>
            <w:vAlign w:val="center"/>
            <w:hideMark/>
          </w:tcPr>
          <w:p w14:paraId="53DD4CAD"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49AD">
              <w:rPr>
                <w:rFonts w:ascii="Open Sans SemiBold" w:eastAsia="Times New Roman" w:hAnsi="Open Sans SemiBold" w:cs="Open Sans SemiBold"/>
                <w:color w:val="FFFFFF"/>
                <w:sz w:val="16"/>
                <w:szCs w:val="16"/>
                <w:lang w:eastAsia="en-AU"/>
              </w:rPr>
              <w:t>WA</w:t>
            </w:r>
          </w:p>
        </w:tc>
        <w:tc>
          <w:tcPr>
            <w:tcW w:w="580" w:type="dxa"/>
            <w:tcBorders>
              <w:top w:val="single" w:sz="4" w:space="0" w:color="ADD6EA"/>
              <w:left w:val="nil"/>
              <w:bottom w:val="single" w:sz="4" w:space="0" w:color="ADD6EA"/>
              <w:right w:val="nil"/>
            </w:tcBorders>
            <w:shd w:val="clear" w:color="000000" w:fill="006991"/>
            <w:noWrap/>
            <w:vAlign w:val="center"/>
            <w:hideMark/>
          </w:tcPr>
          <w:p w14:paraId="6BD37DBC"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49AD">
              <w:rPr>
                <w:rFonts w:ascii="Open Sans SemiBold" w:eastAsia="Times New Roman" w:hAnsi="Open Sans SemiBold" w:cs="Open Sans SemiBold"/>
                <w:color w:val="FFFFFF"/>
                <w:sz w:val="16"/>
                <w:szCs w:val="16"/>
                <w:lang w:eastAsia="en-AU"/>
              </w:rPr>
              <w:t>SA</w:t>
            </w:r>
          </w:p>
        </w:tc>
        <w:tc>
          <w:tcPr>
            <w:tcW w:w="580" w:type="dxa"/>
            <w:tcBorders>
              <w:top w:val="single" w:sz="4" w:space="0" w:color="ADD6EA"/>
              <w:left w:val="nil"/>
              <w:bottom w:val="single" w:sz="4" w:space="0" w:color="ADD6EA"/>
              <w:right w:val="nil"/>
            </w:tcBorders>
            <w:shd w:val="clear" w:color="000000" w:fill="006991"/>
            <w:noWrap/>
            <w:vAlign w:val="center"/>
            <w:hideMark/>
          </w:tcPr>
          <w:p w14:paraId="2B8B7CED"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49AD">
              <w:rPr>
                <w:rFonts w:ascii="Open Sans SemiBold" w:eastAsia="Times New Roman" w:hAnsi="Open Sans SemiBold" w:cs="Open Sans SemiBold"/>
                <w:color w:val="FFFFFF"/>
                <w:sz w:val="16"/>
                <w:szCs w:val="16"/>
                <w:lang w:eastAsia="en-AU"/>
              </w:rPr>
              <w:t>Tas</w:t>
            </w:r>
          </w:p>
        </w:tc>
        <w:tc>
          <w:tcPr>
            <w:tcW w:w="580" w:type="dxa"/>
            <w:tcBorders>
              <w:top w:val="single" w:sz="4" w:space="0" w:color="ADD6EA"/>
              <w:left w:val="nil"/>
              <w:bottom w:val="single" w:sz="4" w:space="0" w:color="ADD6EA"/>
              <w:right w:val="nil"/>
            </w:tcBorders>
            <w:shd w:val="clear" w:color="000000" w:fill="006991"/>
            <w:noWrap/>
            <w:vAlign w:val="center"/>
            <w:hideMark/>
          </w:tcPr>
          <w:p w14:paraId="21444BAB"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49AD">
              <w:rPr>
                <w:rFonts w:ascii="Open Sans SemiBold" w:eastAsia="Times New Roman" w:hAnsi="Open Sans SemiBold" w:cs="Open Sans SemiBold"/>
                <w:color w:val="FFFFFF"/>
                <w:sz w:val="16"/>
                <w:szCs w:val="16"/>
                <w:lang w:eastAsia="en-AU"/>
              </w:rPr>
              <w:t>ACT</w:t>
            </w:r>
          </w:p>
        </w:tc>
        <w:tc>
          <w:tcPr>
            <w:tcW w:w="580" w:type="dxa"/>
            <w:tcBorders>
              <w:top w:val="single" w:sz="4" w:space="0" w:color="ADD6EA"/>
              <w:left w:val="nil"/>
              <w:bottom w:val="single" w:sz="4" w:space="0" w:color="ADD6EA"/>
              <w:right w:val="nil"/>
            </w:tcBorders>
            <w:shd w:val="clear" w:color="000000" w:fill="006991"/>
            <w:noWrap/>
            <w:vAlign w:val="center"/>
            <w:hideMark/>
          </w:tcPr>
          <w:p w14:paraId="5417A21B"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49AD">
              <w:rPr>
                <w:rFonts w:ascii="Open Sans SemiBold" w:eastAsia="Times New Roman"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noWrap/>
            <w:vAlign w:val="center"/>
            <w:hideMark/>
          </w:tcPr>
          <w:p w14:paraId="29B2CE7C"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49AD">
              <w:rPr>
                <w:rFonts w:ascii="Open Sans SemiBold" w:eastAsia="Times New Roman" w:hAnsi="Open Sans SemiBold" w:cs="Open Sans SemiBold"/>
                <w:color w:val="FFFFFF"/>
                <w:sz w:val="16"/>
                <w:szCs w:val="16"/>
                <w:lang w:eastAsia="en-AU"/>
              </w:rPr>
              <w:t>Total</w:t>
            </w:r>
          </w:p>
        </w:tc>
      </w:tr>
      <w:tr w:rsidR="007E365E" w:rsidRPr="002849AD" w14:paraId="2D8659DE" w14:textId="77777777" w:rsidTr="007D1D77">
        <w:trPr>
          <w:trHeight w:val="259"/>
        </w:trPr>
        <w:tc>
          <w:tcPr>
            <w:tcW w:w="3360" w:type="dxa"/>
            <w:tcBorders>
              <w:top w:val="nil"/>
              <w:left w:val="nil"/>
              <w:bottom w:val="nil"/>
              <w:right w:val="nil"/>
            </w:tcBorders>
            <w:shd w:val="clear" w:color="000000" w:fill="B6D5E4"/>
            <w:noWrap/>
            <w:vAlign w:val="bottom"/>
            <w:hideMark/>
          </w:tcPr>
          <w:p w14:paraId="0FFA7A90"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2849AD">
              <w:rPr>
                <w:rFonts w:ascii="Open Sans SemiBold" w:eastAsia="Times New Roman" w:hAnsi="Open Sans SemiBold" w:cs="Open Sans SemiBold"/>
                <w:sz w:val="16"/>
                <w:szCs w:val="16"/>
                <w:lang w:eastAsia="en-AU"/>
              </w:rPr>
              <w:t> </w:t>
            </w:r>
          </w:p>
        </w:tc>
        <w:tc>
          <w:tcPr>
            <w:tcW w:w="660" w:type="dxa"/>
            <w:tcBorders>
              <w:top w:val="nil"/>
              <w:left w:val="nil"/>
              <w:bottom w:val="nil"/>
              <w:right w:val="nil"/>
            </w:tcBorders>
            <w:shd w:val="clear" w:color="000000" w:fill="B6D5E4"/>
            <w:noWrap/>
            <w:vAlign w:val="bottom"/>
            <w:hideMark/>
          </w:tcPr>
          <w:p w14:paraId="173CB1FE"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2849AD">
              <w:rPr>
                <w:rFonts w:ascii="Open Sans SemiBold" w:eastAsia="Times New Roman" w:hAnsi="Open Sans SemiBold" w:cs="Open Sans SemiBold"/>
                <w:sz w:val="16"/>
                <w:szCs w:val="16"/>
                <w:lang w:eastAsia="en-AU"/>
              </w:rPr>
              <w:t>%</w:t>
            </w:r>
          </w:p>
        </w:tc>
        <w:tc>
          <w:tcPr>
            <w:tcW w:w="660" w:type="dxa"/>
            <w:tcBorders>
              <w:top w:val="nil"/>
              <w:left w:val="nil"/>
              <w:bottom w:val="nil"/>
              <w:right w:val="nil"/>
            </w:tcBorders>
            <w:shd w:val="clear" w:color="000000" w:fill="B6D5E4"/>
            <w:noWrap/>
            <w:vAlign w:val="bottom"/>
            <w:hideMark/>
          </w:tcPr>
          <w:p w14:paraId="0E852249"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2849AD">
              <w:rPr>
                <w:rFonts w:ascii="Open Sans SemiBold" w:eastAsia="Times New Roman" w:hAnsi="Open Sans SemiBold" w:cs="Open Sans SemiBold"/>
                <w:sz w:val="16"/>
                <w:szCs w:val="16"/>
                <w:lang w:eastAsia="en-AU"/>
              </w:rPr>
              <w:t>%</w:t>
            </w:r>
          </w:p>
        </w:tc>
        <w:tc>
          <w:tcPr>
            <w:tcW w:w="660" w:type="dxa"/>
            <w:tcBorders>
              <w:top w:val="nil"/>
              <w:left w:val="nil"/>
              <w:bottom w:val="nil"/>
              <w:right w:val="nil"/>
            </w:tcBorders>
            <w:shd w:val="clear" w:color="000000" w:fill="B6D5E4"/>
            <w:noWrap/>
            <w:vAlign w:val="bottom"/>
            <w:hideMark/>
          </w:tcPr>
          <w:p w14:paraId="24810929"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2849AD">
              <w:rPr>
                <w:rFonts w:ascii="Open Sans SemiBold" w:eastAsia="Times New Roman" w:hAnsi="Open Sans SemiBold" w:cs="Open Sans SemiBold"/>
                <w:sz w:val="16"/>
                <w:szCs w:val="16"/>
                <w:lang w:eastAsia="en-AU"/>
              </w:rPr>
              <w:t>%</w:t>
            </w:r>
          </w:p>
        </w:tc>
        <w:tc>
          <w:tcPr>
            <w:tcW w:w="580" w:type="dxa"/>
            <w:tcBorders>
              <w:top w:val="nil"/>
              <w:left w:val="nil"/>
              <w:bottom w:val="nil"/>
              <w:right w:val="nil"/>
            </w:tcBorders>
            <w:shd w:val="clear" w:color="000000" w:fill="B6D5E4"/>
            <w:noWrap/>
            <w:vAlign w:val="bottom"/>
            <w:hideMark/>
          </w:tcPr>
          <w:p w14:paraId="05493E0B"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2849AD">
              <w:rPr>
                <w:rFonts w:ascii="Open Sans SemiBold" w:eastAsia="Times New Roman" w:hAnsi="Open Sans SemiBold" w:cs="Open Sans SemiBold"/>
                <w:sz w:val="16"/>
                <w:szCs w:val="16"/>
                <w:lang w:eastAsia="en-AU"/>
              </w:rPr>
              <w:t>%</w:t>
            </w:r>
          </w:p>
        </w:tc>
        <w:tc>
          <w:tcPr>
            <w:tcW w:w="580" w:type="dxa"/>
            <w:tcBorders>
              <w:top w:val="nil"/>
              <w:left w:val="nil"/>
              <w:bottom w:val="nil"/>
              <w:right w:val="nil"/>
            </w:tcBorders>
            <w:shd w:val="clear" w:color="000000" w:fill="B6D5E4"/>
            <w:noWrap/>
            <w:vAlign w:val="bottom"/>
            <w:hideMark/>
          </w:tcPr>
          <w:p w14:paraId="65DDDECC"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2849AD">
              <w:rPr>
                <w:rFonts w:ascii="Open Sans SemiBold" w:eastAsia="Times New Roman" w:hAnsi="Open Sans SemiBold" w:cs="Open Sans SemiBold"/>
                <w:sz w:val="16"/>
                <w:szCs w:val="16"/>
                <w:lang w:eastAsia="en-AU"/>
              </w:rPr>
              <w:t>%</w:t>
            </w:r>
          </w:p>
        </w:tc>
        <w:tc>
          <w:tcPr>
            <w:tcW w:w="580" w:type="dxa"/>
            <w:tcBorders>
              <w:top w:val="nil"/>
              <w:left w:val="nil"/>
              <w:bottom w:val="nil"/>
              <w:right w:val="nil"/>
            </w:tcBorders>
            <w:shd w:val="clear" w:color="000000" w:fill="B6D5E4"/>
            <w:noWrap/>
            <w:vAlign w:val="bottom"/>
            <w:hideMark/>
          </w:tcPr>
          <w:p w14:paraId="0BB917CC"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2849AD">
              <w:rPr>
                <w:rFonts w:ascii="Open Sans SemiBold" w:eastAsia="Times New Roman" w:hAnsi="Open Sans SemiBold" w:cs="Open Sans SemiBold"/>
                <w:sz w:val="16"/>
                <w:szCs w:val="16"/>
                <w:lang w:eastAsia="en-AU"/>
              </w:rPr>
              <w:t>%</w:t>
            </w:r>
          </w:p>
        </w:tc>
        <w:tc>
          <w:tcPr>
            <w:tcW w:w="580" w:type="dxa"/>
            <w:tcBorders>
              <w:top w:val="nil"/>
              <w:left w:val="nil"/>
              <w:bottom w:val="nil"/>
              <w:right w:val="nil"/>
            </w:tcBorders>
            <w:shd w:val="clear" w:color="000000" w:fill="B6D5E4"/>
            <w:noWrap/>
            <w:vAlign w:val="bottom"/>
            <w:hideMark/>
          </w:tcPr>
          <w:p w14:paraId="56D29EDC"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2849AD">
              <w:rPr>
                <w:rFonts w:ascii="Open Sans SemiBold" w:eastAsia="Times New Roman" w:hAnsi="Open Sans SemiBold" w:cs="Open Sans SemiBold"/>
                <w:sz w:val="16"/>
                <w:szCs w:val="16"/>
                <w:lang w:eastAsia="en-AU"/>
              </w:rPr>
              <w:t>%</w:t>
            </w:r>
          </w:p>
        </w:tc>
        <w:tc>
          <w:tcPr>
            <w:tcW w:w="580" w:type="dxa"/>
            <w:tcBorders>
              <w:top w:val="nil"/>
              <w:left w:val="nil"/>
              <w:bottom w:val="nil"/>
              <w:right w:val="nil"/>
            </w:tcBorders>
            <w:shd w:val="clear" w:color="000000" w:fill="B6D5E4"/>
            <w:noWrap/>
            <w:vAlign w:val="bottom"/>
            <w:hideMark/>
          </w:tcPr>
          <w:p w14:paraId="69254F23"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2849AD">
              <w:rPr>
                <w:rFonts w:ascii="Open Sans SemiBold" w:eastAsia="Times New Roman" w:hAnsi="Open Sans SemiBold" w:cs="Open Sans SemiBold"/>
                <w:sz w:val="16"/>
                <w:szCs w:val="16"/>
                <w:lang w:eastAsia="en-AU"/>
              </w:rPr>
              <w:t>%</w:t>
            </w:r>
          </w:p>
        </w:tc>
        <w:tc>
          <w:tcPr>
            <w:tcW w:w="760" w:type="dxa"/>
            <w:tcBorders>
              <w:top w:val="nil"/>
              <w:left w:val="nil"/>
              <w:bottom w:val="nil"/>
              <w:right w:val="nil"/>
            </w:tcBorders>
            <w:shd w:val="clear" w:color="000000" w:fill="B6D5E4"/>
            <w:noWrap/>
            <w:vAlign w:val="bottom"/>
            <w:hideMark/>
          </w:tcPr>
          <w:p w14:paraId="5759DD29" w14:textId="77777777" w:rsidR="007E365E" w:rsidRPr="002849AD" w:rsidRDefault="007E365E" w:rsidP="007D1D77">
            <w:pPr>
              <w:keepNext/>
              <w:keepLines/>
              <w:tabs>
                <w:tab w:val="clear" w:pos="567"/>
              </w:tabs>
              <w:spacing w:before="0" w:line="240" w:lineRule="auto"/>
              <w:jc w:val="right"/>
              <w:rPr>
                <w:rFonts w:ascii="Open Sans SemiBold" w:eastAsia="Times New Roman" w:hAnsi="Open Sans SemiBold" w:cs="Open Sans SemiBold"/>
                <w:sz w:val="16"/>
                <w:szCs w:val="16"/>
                <w:lang w:eastAsia="en-AU"/>
              </w:rPr>
            </w:pPr>
            <w:r w:rsidRPr="002849AD">
              <w:rPr>
                <w:rFonts w:ascii="Open Sans SemiBold" w:eastAsia="Times New Roman" w:hAnsi="Open Sans SemiBold" w:cs="Open Sans SemiBold"/>
                <w:sz w:val="16"/>
                <w:szCs w:val="16"/>
                <w:lang w:eastAsia="en-AU"/>
              </w:rPr>
              <w:t>%</w:t>
            </w:r>
          </w:p>
        </w:tc>
      </w:tr>
      <w:tr w:rsidR="007E365E" w:rsidRPr="002849AD" w14:paraId="272C2E32" w14:textId="77777777" w:rsidTr="007D1D77">
        <w:trPr>
          <w:trHeight w:val="315"/>
        </w:trPr>
        <w:tc>
          <w:tcPr>
            <w:tcW w:w="3360" w:type="dxa"/>
            <w:tcBorders>
              <w:top w:val="single" w:sz="4" w:space="0" w:color="ADD6EA"/>
              <w:left w:val="nil"/>
              <w:bottom w:val="single" w:sz="4" w:space="0" w:color="ADD6EA"/>
              <w:right w:val="nil"/>
            </w:tcBorders>
            <w:shd w:val="clear" w:color="auto" w:fill="auto"/>
            <w:vAlign w:val="bottom"/>
            <w:hideMark/>
          </w:tcPr>
          <w:p w14:paraId="163269AD" w14:textId="77777777" w:rsidR="007E365E" w:rsidRPr="002849AD" w:rsidRDefault="007E365E" w:rsidP="007D1D77">
            <w:pPr>
              <w:keepNext/>
              <w:keepLines/>
              <w:tabs>
                <w:tab w:val="clear" w:pos="567"/>
              </w:tabs>
              <w:spacing w:before="0" w:line="240" w:lineRule="auto"/>
              <w:rPr>
                <w:rFonts w:eastAsia="Times New Roman" w:cs="Open Sans Light"/>
                <w:sz w:val="16"/>
                <w:szCs w:val="16"/>
                <w:lang w:eastAsia="en-AU"/>
              </w:rPr>
            </w:pPr>
            <w:r w:rsidRPr="002849AD">
              <w:rPr>
                <w:rFonts w:eastAsia="Times New Roman" w:cs="Open Sans Light"/>
                <w:sz w:val="16"/>
                <w:szCs w:val="16"/>
                <w:lang w:eastAsia="en-AU"/>
              </w:rPr>
              <w:t>Urban population-squared (25% weight)</w:t>
            </w:r>
          </w:p>
        </w:tc>
        <w:tc>
          <w:tcPr>
            <w:tcW w:w="660" w:type="dxa"/>
            <w:tcBorders>
              <w:top w:val="single" w:sz="4" w:space="0" w:color="ADD6EA"/>
              <w:left w:val="nil"/>
              <w:bottom w:val="single" w:sz="4" w:space="0" w:color="ADD6EA"/>
              <w:right w:val="nil"/>
            </w:tcBorders>
            <w:shd w:val="clear" w:color="auto" w:fill="auto"/>
            <w:vAlign w:val="bottom"/>
            <w:hideMark/>
          </w:tcPr>
          <w:p w14:paraId="270CC507"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39.6</w:t>
            </w:r>
          </w:p>
        </w:tc>
        <w:tc>
          <w:tcPr>
            <w:tcW w:w="660" w:type="dxa"/>
            <w:tcBorders>
              <w:top w:val="single" w:sz="4" w:space="0" w:color="ADD6EA"/>
              <w:left w:val="nil"/>
              <w:bottom w:val="single" w:sz="4" w:space="0" w:color="ADD6EA"/>
              <w:right w:val="nil"/>
            </w:tcBorders>
            <w:shd w:val="clear" w:color="auto" w:fill="auto"/>
            <w:vAlign w:val="bottom"/>
            <w:hideMark/>
          </w:tcPr>
          <w:p w14:paraId="2FEF5358"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40.2</w:t>
            </w:r>
          </w:p>
        </w:tc>
        <w:tc>
          <w:tcPr>
            <w:tcW w:w="660" w:type="dxa"/>
            <w:tcBorders>
              <w:top w:val="single" w:sz="4" w:space="0" w:color="ADD6EA"/>
              <w:left w:val="nil"/>
              <w:bottom w:val="single" w:sz="4" w:space="0" w:color="ADD6EA"/>
              <w:right w:val="nil"/>
            </w:tcBorders>
            <w:shd w:val="clear" w:color="auto" w:fill="auto"/>
            <w:vAlign w:val="bottom"/>
            <w:hideMark/>
          </w:tcPr>
          <w:p w14:paraId="0B5D1A7C"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10.1</w:t>
            </w:r>
          </w:p>
        </w:tc>
        <w:tc>
          <w:tcPr>
            <w:tcW w:w="580" w:type="dxa"/>
            <w:tcBorders>
              <w:top w:val="single" w:sz="4" w:space="0" w:color="ADD6EA"/>
              <w:left w:val="nil"/>
              <w:bottom w:val="single" w:sz="4" w:space="0" w:color="ADD6EA"/>
              <w:right w:val="nil"/>
            </w:tcBorders>
            <w:shd w:val="clear" w:color="auto" w:fill="auto"/>
            <w:vAlign w:val="bottom"/>
            <w:hideMark/>
          </w:tcPr>
          <w:p w14:paraId="0DCDAD6A"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6.8</w:t>
            </w:r>
          </w:p>
        </w:tc>
        <w:tc>
          <w:tcPr>
            <w:tcW w:w="580" w:type="dxa"/>
            <w:tcBorders>
              <w:top w:val="single" w:sz="4" w:space="0" w:color="ADD6EA"/>
              <w:left w:val="nil"/>
              <w:bottom w:val="single" w:sz="4" w:space="0" w:color="ADD6EA"/>
              <w:right w:val="nil"/>
            </w:tcBorders>
            <w:shd w:val="clear" w:color="auto" w:fill="auto"/>
            <w:vAlign w:val="bottom"/>
            <w:hideMark/>
          </w:tcPr>
          <w:p w14:paraId="26826EFC"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2.9</w:t>
            </w:r>
          </w:p>
        </w:tc>
        <w:tc>
          <w:tcPr>
            <w:tcW w:w="580" w:type="dxa"/>
            <w:tcBorders>
              <w:top w:val="single" w:sz="4" w:space="0" w:color="ADD6EA"/>
              <w:left w:val="nil"/>
              <w:bottom w:val="single" w:sz="4" w:space="0" w:color="ADD6EA"/>
              <w:right w:val="nil"/>
            </w:tcBorders>
            <w:shd w:val="clear" w:color="auto" w:fill="auto"/>
            <w:vAlign w:val="bottom"/>
            <w:hideMark/>
          </w:tcPr>
          <w:p w14:paraId="74E88B37"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0.1</w:t>
            </w:r>
          </w:p>
        </w:tc>
        <w:tc>
          <w:tcPr>
            <w:tcW w:w="580" w:type="dxa"/>
            <w:tcBorders>
              <w:top w:val="single" w:sz="4" w:space="0" w:color="ADD6EA"/>
              <w:left w:val="nil"/>
              <w:bottom w:val="single" w:sz="4" w:space="0" w:color="ADD6EA"/>
              <w:right w:val="nil"/>
            </w:tcBorders>
            <w:shd w:val="clear" w:color="auto" w:fill="auto"/>
            <w:vAlign w:val="bottom"/>
            <w:hideMark/>
          </w:tcPr>
          <w:p w14:paraId="1831BCBC"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0.3</w:t>
            </w:r>
          </w:p>
        </w:tc>
        <w:tc>
          <w:tcPr>
            <w:tcW w:w="580" w:type="dxa"/>
            <w:tcBorders>
              <w:top w:val="single" w:sz="4" w:space="0" w:color="ADD6EA"/>
              <w:left w:val="nil"/>
              <w:bottom w:val="single" w:sz="4" w:space="0" w:color="ADD6EA"/>
              <w:right w:val="nil"/>
            </w:tcBorders>
            <w:shd w:val="clear" w:color="auto" w:fill="auto"/>
            <w:vAlign w:val="bottom"/>
            <w:hideMark/>
          </w:tcPr>
          <w:p w14:paraId="47224699"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0.0</w:t>
            </w:r>
          </w:p>
        </w:tc>
        <w:tc>
          <w:tcPr>
            <w:tcW w:w="760" w:type="dxa"/>
            <w:tcBorders>
              <w:top w:val="single" w:sz="4" w:space="0" w:color="ADD6EA"/>
              <w:left w:val="nil"/>
              <w:bottom w:val="single" w:sz="4" w:space="0" w:color="ADD6EA"/>
              <w:right w:val="nil"/>
            </w:tcBorders>
            <w:shd w:val="clear" w:color="auto" w:fill="auto"/>
            <w:vAlign w:val="bottom"/>
            <w:hideMark/>
          </w:tcPr>
          <w:p w14:paraId="08FB2E4E"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100.0</w:t>
            </w:r>
          </w:p>
        </w:tc>
      </w:tr>
      <w:tr w:rsidR="007E365E" w:rsidRPr="002849AD" w14:paraId="2B3264B6" w14:textId="77777777" w:rsidTr="007D1D77">
        <w:trPr>
          <w:trHeight w:val="315"/>
        </w:trPr>
        <w:tc>
          <w:tcPr>
            <w:tcW w:w="3360" w:type="dxa"/>
            <w:tcBorders>
              <w:top w:val="nil"/>
              <w:left w:val="nil"/>
              <w:bottom w:val="nil"/>
              <w:right w:val="nil"/>
            </w:tcBorders>
            <w:shd w:val="clear" w:color="auto" w:fill="auto"/>
            <w:vAlign w:val="bottom"/>
            <w:hideMark/>
          </w:tcPr>
          <w:p w14:paraId="64F4EF0E" w14:textId="77777777" w:rsidR="007E365E" w:rsidRPr="002849AD" w:rsidRDefault="007E365E" w:rsidP="007D1D77">
            <w:pPr>
              <w:keepNext/>
              <w:keepLines/>
              <w:tabs>
                <w:tab w:val="clear" w:pos="567"/>
              </w:tabs>
              <w:spacing w:before="0" w:line="240" w:lineRule="auto"/>
              <w:rPr>
                <w:rFonts w:eastAsia="Times New Roman" w:cs="Open Sans Light"/>
                <w:sz w:val="16"/>
                <w:szCs w:val="16"/>
                <w:lang w:eastAsia="en-AU"/>
              </w:rPr>
            </w:pPr>
            <w:r w:rsidRPr="002849AD">
              <w:rPr>
                <w:rFonts w:eastAsia="Times New Roman" w:cs="Open Sans Light"/>
                <w:sz w:val="16"/>
                <w:szCs w:val="16"/>
                <w:lang w:eastAsia="en-AU"/>
              </w:rPr>
              <w:t>Urban centre characteristics (75% weight)</w:t>
            </w:r>
          </w:p>
        </w:tc>
        <w:tc>
          <w:tcPr>
            <w:tcW w:w="660" w:type="dxa"/>
            <w:tcBorders>
              <w:top w:val="nil"/>
              <w:left w:val="nil"/>
              <w:bottom w:val="nil"/>
              <w:right w:val="nil"/>
            </w:tcBorders>
            <w:shd w:val="clear" w:color="auto" w:fill="auto"/>
            <w:vAlign w:val="bottom"/>
            <w:hideMark/>
          </w:tcPr>
          <w:p w14:paraId="2383E373"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42.9</w:t>
            </w:r>
          </w:p>
        </w:tc>
        <w:tc>
          <w:tcPr>
            <w:tcW w:w="660" w:type="dxa"/>
            <w:tcBorders>
              <w:top w:val="nil"/>
              <w:left w:val="nil"/>
              <w:bottom w:val="nil"/>
              <w:right w:val="nil"/>
            </w:tcBorders>
            <w:shd w:val="clear" w:color="auto" w:fill="auto"/>
            <w:vAlign w:val="bottom"/>
            <w:hideMark/>
          </w:tcPr>
          <w:p w14:paraId="15B973D1"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29.8</w:t>
            </w:r>
          </w:p>
        </w:tc>
        <w:tc>
          <w:tcPr>
            <w:tcW w:w="660" w:type="dxa"/>
            <w:tcBorders>
              <w:top w:val="nil"/>
              <w:left w:val="nil"/>
              <w:bottom w:val="nil"/>
              <w:right w:val="nil"/>
            </w:tcBorders>
            <w:shd w:val="clear" w:color="auto" w:fill="auto"/>
            <w:vAlign w:val="bottom"/>
            <w:hideMark/>
          </w:tcPr>
          <w:p w14:paraId="069CE5E2"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13.5</w:t>
            </w:r>
          </w:p>
        </w:tc>
        <w:tc>
          <w:tcPr>
            <w:tcW w:w="580" w:type="dxa"/>
            <w:tcBorders>
              <w:top w:val="nil"/>
              <w:left w:val="nil"/>
              <w:bottom w:val="nil"/>
              <w:right w:val="nil"/>
            </w:tcBorders>
            <w:shd w:val="clear" w:color="auto" w:fill="auto"/>
            <w:vAlign w:val="bottom"/>
            <w:hideMark/>
          </w:tcPr>
          <w:p w14:paraId="4C2BB11E"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7.6</w:t>
            </w:r>
          </w:p>
        </w:tc>
        <w:tc>
          <w:tcPr>
            <w:tcW w:w="580" w:type="dxa"/>
            <w:tcBorders>
              <w:top w:val="nil"/>
              <w:left w:val="nil"/>
              <w:bottom w:val="nil"/>
              <w:right w:val="nil"/>
            </w:tcBorders>
            <w:shd w:val="clear" w:color="auto" w:fill="auto"/>
            <w:vAlign w:val="bottom"/>
            <w:hideMark/>
          </w:tcPr>
          <w:p w14:paraId="4336B792"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4.5</w:t>
            </w:r>
          </w:p>
        </w:tc>
        <w:tc>
          <w:tcPr>
            <w:tcW w:w="580" w:type="dxa"/>
            <w:tcBorders>
              <w:top w:val="nil"/>
              <w:left w:val="nil"/>
              <w:bottom w:val="nil"/>
              <w:right w:val="nil"/>
            </w:tcBorders>
            <w:shd w:val="clear" w:color="auto" w:fill="auto"/>
            <w:vAlign w:val="bottom"/>
            <w:hideMark/>
          </w:tcPr>
          <w:p w14:paraId="252D368E"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0.5</w:t>
            </w:r>
          </w:p>
        </w:tc>
        <w:tc>
          <w:tcPr>
            <w:tcW w:w="580" w:type="dxa"/>
            <w:tcBorders>
              <w:top w:val="nil"/>
              <w:left w:val="nil"/>
              <w:bottom w:val="nil"/>
              <w:right w:val="nil"/>
            </w:tcBorders>
            <w:shd w:val="clear" w:color="auto" w:fill="auto"/>
            <w:vAlign w:val="bottom"/>
            <w:hideMark/>
          </w:tcPr>
          <w:p w14:paraId="5292A93F"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1.0</w:t>
            </w:r>
          </w:p>
        </w:tc>
        <w:tc>
          <w:tcPr>
            <w:tcW w:w="580" w:type="dxa"/>
            <w:tcBorders>
              <w:top w:val="nil"/>
              <w:left w:val="nil"/>
              <w:bottom w:val="nil"/>
              <w:right w:val="nil"/>
            </w:tcBorders>
            <w:shd w:val="clear" w:color="auto" w:fill="auto"/>
            <w:vAlign w:val="bottom"/>
            <w:hideMark/>
          </w:tcPr>
          <w:p w14:paraId="5F73B08C"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0.3</w:t>
            </w:r>
          </w:p>
        </w:tc>
        <w:tc>
          <w:tcPr>
            <w:tcW w:w="760" w:type="dxa"/>
            <w:tcBorders>
              <w:top w:val="nil"/>
              <w:left w:val="nil"/>
              <w:bottom w:val="nil"/>
              <w:right w:val="nil"/>
            </w:tcBorders>
            <w:shd w:val="clear" w:color="auto" w:fill="auto"/>
            <w:vAlign w:val="bottom"/>
            <w:hideMark/>
          </w:tcPr>
          <w:p w14:paraId="7448E2D1"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100.0</w:t>
            </w:r>
          </w:p>
        </w:tc>
      </w:tr>
      <w:tr w:rsidR="007E365E" w:rsidRPr="002849AD" w14:paraId="404BA4DC" w14:textId="77777777" w:rsidTr="007D1D77">
        <w:trPr>
          <w:trHeight w:val="315"/>
        </w:trPr>
        <w:tc>
          <w:tcPr>
            <w:tcW w:w="3360" w:type="dxa"/>
            <w:tcBorders>
              <w:top w:val="single" w:sz="4" w:space="0" w:color="ADD6EA"/>
              <w:left w:val="nil"/>
              <w:bottom w:val="single" w:sz="4" w:space="0" w:color="ADD6EA"/>
              <w:right w:val="nil"/>
            </w:tcBorders>
            <w:shd w:val="clear" w:color="auto" w:fill="auto"/>
            <w:vAlign w:val="bottom"/>
            <w:hideMark/>
          </w:tcPr>
          <w:p w14:paraId="474E6C77" w14:textId="77777777" w:rsidR="007E365E" w:rsidRPr="002849AD" w:rsidRDefault="007E365E" w:rsidP="007D1D77">
            <w:pPr>
              <w:keepNext/>
              <w:keepLines/>
              <w:tabs>
                <w:tab w:val="clear" w:pos="567"/>
              </w:tabs>
              <w:spacing w:before="0" w:line="240" w:lineRule="auto"/>
              <w:rPr>
                <w:rFonts w:eastAsia="Times New Roman" w:cs="Open Sans Light"/>
                <w:sz w:val="16"/>
                <w:szCs w:val="16"/>
                <w:lang w:eastAsia="en-AU"/>
              </w:rPr>
            </w:pPr>
            <w:r w:rsidRPr="002849AD">
              <w:rPr>
                <w:rFonts w:eastAsia="Times New Roman" w:cs="Open Sans Light"/>
                <w:sz w:val="16"/>
                <w:szCs w:val="16"/>
                <w:lang w:eastAsia="en-AU"/>
              </w:rPr>
              <w:t>Combined investment assessment</w:t>
            </w:r>
          </w:p>
        </w:tc>
        <w:tc>
          <w:tcPr>
            <w:tcW w:w="660" w:type="dxa"/>
            <w:tcBorders>
              <w:top w:val="single" w:sz="4" w:space="0" w:color="ADD6EA"/>
              <w:left w:val="nil"/>
              <w:bottom w:val="single" w:sz="4" w:space="0" w:color="ADD6EA"/>
              <w:right w:val="nil"/>
            </w:tcBorders>
            <w:shd w:val="clear" w:color="auto" w:fill="auto"/>
            <w:vAlign w:val="bottom"/>
            <w:hideMark/>
          </w:tcPr>
          <w:p w14:paraId="26A3DC9C"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42.1</w:t>
            </w:r>
          </w:p>
        </w:tc>
        <w:tc>
          <w:tcPr>
            <w:tcW w:w="660" w:type="dxa"/>
            <w:tcBorders>
              <w:top w:val="single" w:sz="4" w:space="0" w:color="ADD6EA"/>
              <w:left w:val="nil"/>
              <w:bottom w:val="single" w:sz="4" w:space="0" w:color="ADD6EA"/>
              <w:right w:val="nil"/>
            </w:tcBorders>
            <w:shd w:val="clear" w:color="auto" w:fill="auto"/>
            <w:vAlign w:val="bottom"/>
            <w:hideMark/>
          </w:tcPr>
          <w:p w14:paraId="77531C2B"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32.4</w:t>
            </w:r>
          </w:p>
        </w:tc>
        <w:tc>
          <w:tcPr>
            <w:tcW w:w="660" w:type="dxa"/>
            <w:tcBorders>
              <w:top w:val="single" w:sz="4" w:space="0" w:color="ADD6EA"/>
              <w:left w:val="nil"/>
              <w:bottom w:val="single" w:sz="4" w:space="0" w:color="ADD6EA"/>
              <w:right w:val="nil"/>
            </w:tcBorders>
            <w:shd w:val="clear" w:color="auto" w:fill="auto"/>
            <w:vAlign w:val="bottom"/>
            <w:hideMark/>
          </w:tcPr>
          <w:p w14:paraId="4A6C931C"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12.6</w:t>
            </w:r>
          </w:p>
        </w:tc>
        <w:tc>
          <w:tcPr>
            <w:tcW w:w="580" w:type="dxa"/>
            <w:tcBorders>
              <w:top w:val="single" w:sz="4" w:space="0" w:color="ADD6EA"/>
              <w:left w:val="nil"/>
              <w:bottom w:val="single" w:sz="4" w:space="0" w:color="ADD6EA"/>
              <w:right w:val="nil"/>
            </w:tcBorders>
            <w:shd w:val="clear" w:color="auto" w:fill="auto"/>
            <w:vAlign w:val="bottom"/>
            <w:hideMark/>
          </w:tcPr>
          <w:p w14:paraId="42546BD1"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7.4</w:t>
            </w:r>
          </w:p>
        </w:tc>
        <w:tc>
          <w:tcPr>
            <w:tcW w:w="580" w:type="dxa"/>
            <w:tcBorders>
              <w:top w:val="single" w:sz="4" w:space="0" w:color="ADD6EA"/>
              <w:left w:val="nil"/>
              <w:bottom w:val="single" w:sz="4" w:space="0" w:color="ADD6EA"/>
              <w:right w:val="nil"/>
            </w:tcBorders>
            <w:shd w:val="clear" w:color="auto" w:fill="auto"/>
            <w:vAlign w:val="bottom"/>
            <w:hideMark/>
          </w:tcPr>
          <w:p w14:paraId="3BB9182D"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4.1</w:t>
            </w:r>
          </w:p>
        </w:tc>
        <w:tc>
          <w:tcPr>
            <w:tcW w:w="580" w:type="dxa"/>
            <w:tcBorders>
              <w:top w:val="single" w:sz="4" w:space="0" w:color="ADD6EA"/>
              <w:left w:val="nil"/>
              <w:bottom w:val="single" w:sz="4" w:space="0" w:color="ADD6EA"/>
              <w:right w:val="nil"/>
            </w:tcBorders>
            <w:shd w:val="clear" w:color="auto" w:fill="auto"/>
            <w:vAlign w:val="bottom"/>
            <w:hideMark/>
          </w:tcPr>
          <w:p w14:paraId="46E15BBA"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0.4</w:t>
            </w:r>
          </w:p>
        </w:tc>
        <w:tc>
          <w:tcPr>
            <w:tcW w:w="580" w:type="dxa"/>
            <w:tcBorders>
              <w:top w:val="single" w:sz="4" w:space="0" w:color="ADD6EA"/>
              <w:left w:val="nil"/>
              <w:bottom w:val="single" w:sz="4" w:space="0" w:color="ADD6EA"/>
              <w:right w:val="nil"/>
            </w:tcBorders>
            <w:shd w:val="clear" w:color="auto" w:fill="auto"/>
            <w:vAlign w:val="bottom"/>
            <w:hideMark/>
          </w:tcPr>
          <w:p w14:paraId="4E88BF31"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0.8</w:t>
            </w:r>
          </w:p>
        </w:tc>
        <w:tc>
          <w:tcPr>
            <w:tcW w:w="580" w:type="dxa"/>
            <w:tcBorders>
              <w:top w:val="single" w:sz="4" w:space="0" w:color="ADD6EA"/>
              <w:left w:val="nil"/>
              <w:bottom w:val="single" w:sz="4" w:space="0" w:color="ADD6EA"/>
              <w:right w:val="nil"/>
            </w:tcBorders>
            <w:shd w:val="clear" w:color="auto" w:fill="auto"/>
            <w:vAlign w:val="bottom"/>
            <w:hideMark/>
          </w:tcPr>
          <w:p w14:paraId="6F1BA5B9"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0.2</w:t>
            </w:r>
          </w:p>
        </w:tc>
        <w:tc>
          <w:tcPr>
            <w:tcW w:w="760" w:type="dxa"/>
            <w:tcBorders>
              <w:top w:val="single" w:sz="4" w:space="0" w:color="ADD6EA"/>
              <w:left w:val="nil"/>
              <w:bottom w:val="single" w:sz="4" w:space="0" w:color="ADD6EA"/>
              <w:right w:val="nil"/>
            </w:tcBorders>
            <w:shd w:val="clear" w:color="auto" w:fill="auto"/>
            <w:vAlign w:val="bottom"/>
            <w:hideMark/>
          </w:tcPr>
          <w:p w14:paraId="12B18BC4" w14:textId="77777777" w:rsidR="007E365E" w:rsidRPr="002849AD" w:rsidRDefault="007E365E" w:rsidP="007D1D77">
            <w:pPr>
              <w:keepNext/>
              <w:keepLines/>
              <w:tabs>
                <w:tab w:val="clear" w:pos="567"/>
              </w:tabs>
              <w:spacing w:before="0" w:line="240" w:lineRule="auto"/>
              <w:jc w:val="right"/>
              <w:rPr>
                <w:rFonts w:eastAsia="Times New Roman" w:cs="Open Sans Light"/>
                <w:sz w:val="16"/>
                <w:szCs w:val="16"/>
                <w:lang w:eastAsia="en-AU"/>
              </w:rPr>
            </w:pPr>
            <w:r w:rsidRPr="002849AD">
              <w:rPr>
                <w:rFonts w:eastAsia="Times New Roman" w:cs="Open Sans Light"/>
                <w:sz w:val="16"/>
                <w:szCs w:val="16"/>
                <w:lang w:eastAsia="en-AU"/>
              </w:rPr>
              <w:t>100.0</w:t>
            </w:r>
          </w:p>
        </w:tc>
      </w:tr>
    </w:tbl>
    <w:p w14:paraId="310070C7" w14:textId="77777777" w:rsidR="007E365E" w:rsidRPr="00976585" w:rsidRDefault="007E365E" w:rsidP="007E365E">
      <w:pPr>
        <w:pStyle w:val="CGCTablenote"/>
        <w:keepNext/>
        <w:keepLines/>
      </w:pPr>
      <w:r w:rsidRPr="00976585">
        <w:t>Source:</w:t>
      </w:r>
      <w:r w:rsidRPr="00976585">
        <w:tab/>
        <w:t>Commission calculation.</w:t>
      </w:r>
    </w:p>
    <w:p w14:paraId="78F3487F" w14:textId="07D675A5" w:rsidR="007E365E" w:rsidRPr="00976585" w:rsidRDefault="007E365E" w:rsidP="007E365E">
      <w:pPr>
        <w:pStyle w:val="CGCParaNumber"/>
      </w:pPr>
      <w:r w:rsidRPr="00976585">
        <w:fldChar w:fldCharType="begin"/>
      </w:r>
      <w:r w:rsidRPr="00976585">
        <w:instrText xml:space="preserve"> REF _Ref10021065 \h  \* MERGEFORMAT </w:instrText>
      </w:r>
      <w:r w:rsidRPr="00976585">
        <w:fldChar w:fldCharType="separate"/>
      </w:r>
      <w:r w:rsidR="007F721A" w:rsidRPr="00976585">
        <w:t xml:space="preserve">Table </w:t>
      </w:r>
      <w:r w:rsidR="007F721A">
        <w:rPr>
          <w:noProof/>
        </w:rPr>
        <w:t>21-16</w:t>
      </w:r>
      <w:r w:rsidRPr="00976585">
        <w:fldChar w:fldCharType="end"/>
      </w:r>
      <w:r w:rsidRPr="00976585">
        <w:t xml:space="preserve"> shows the calculation of assessed investment for the urban transport component in 201</w:t>
      </w:r>
      <w:r>
        <w:t>8</w:t>
      </w:r>
      <w:r w:rsidRPr="00976585">
        <w:noBreakHyphen/>
        <w:t>1</w:t>
      </w:r>
      <w:r>
        <w:t>9</w:t>
      </w:r>
      <w:r w:rsidRPr="00976585">
        <w:t>.</w:t>
      </w:r>
    </w:p>
    <w:p w14:paraId="283137E9" w14:textId="283FE13F" w:rsidR="007E365E" w:rsidRPr="00976585" w:rsidRDefault="007E365E" w:rsidP="007E365E">
      <w:pPr>
        <w:pStyle w:val="Caption"/>
      </w:pPr>
      <w:bookmarkStart w:id="275" w:name="_Ref10021065"/>
      <w:r w:rsidRPr="00976585">
        <w:lastRenderedPageBreak/>
        <w:t xml:space="preserve">Table </w:t>
      </w:r>
      <w:r>
        <w:t>21-</w:t>
      </w:r>
      <w:fldSimple w:instr=" SEQ Table \* ARABIC ">
        <w:r w:rsidR="007F721A">
          <w:rPr>
            <w:noProof/>
          </w:rPr>
          <w:t>16</w:t>
        </w:r>
      </w:fldSimple>
      <w:bookmarkEnd w:id="275"/>
      <w:r w:rsidRPr="00976585">
        <w:tab/>
      </w:r>
      <w:r>
        <w:t>Assessed</w:t>
      </w:r>
      <w:r w:rsidRPr="00976585">
        <w:t xml:space="preserve"> investment in urban transport component, 201</w:t>
      </w:r>
      <w:r>
        <w:t>8</w:t>
      </w:r>
      <w:r w:rsidRPr="00976585">
        <w:noBreakHyphen/>
        <w:t>1</w:t>
      </w:r>
      <w:r>
        <w:t>9</w:t>
      </w:r>
    </w:p>
    <w:tbl>
      <w:tblPr>
        <w:tblW w:w="8951" w:type="dxa"/>
        <w:tblLayout w:type="fixed"/>
        <w:tblCellMar>
          <w:left w:w="28" w:type="dxa"/>
          <w:right w:w="28" w:type="dxa"/>
        </w:tblCellMar>
        <w:tblLook w:val="04A0" w:firstRow="1" w:lastRow="0" w:firstColumn="1" w:lastColumn="0" w:noHBand="0" w:noVBand="1"/>
      </w:tblPr>
      <w:tblGrid>
        <w:gridCol w:w="2080"/>
        <w:gridCol w:w="763"/>
        <w:gridCol w:w="763"/>
        <w:gridCol w:w="745"/>
        <w:gridCol w:w="746"/>
        <w:gridCol w:w="746"/>
        <w:gridCol w:w="745"/>
        <w:gridCol w:w="746"/>
        <w:gridCol w:w="746"/>
        <w:gridCol w:w="871"/>
      </w:tblGrid>
      <w:tr w:rsidR="007E365E" w:rsidRPr="00D07170" w14:paraId="51E7B1D3" w14:textId="77777777" w:rsidTr="007D1D77">
        <w:trPr>
          <w:trHeight w:hRule="exact" w:val="380"/>
        </w:trPr>
        <w:tc>
          <w:tcPr>
            <w:tcW w:w="2080" w:type="dxa"/>
            <w:tcBorders>
              <w:top w:val="single" w:sz="4" w:space="0" w:color="ADD6EA"/>
              <w:left w:val="nil"/>
              <w:bottom w:val="single" w:sz="4" w:space="0" w:color="ADD6EA"/>
              <w:right w:val="nil"/>
            </w:tcBorders>
            <w:shd w:val="clear" w:color="000000" w:fill="006991"/>
            <w:noWrap/>
            <w:vAlign w:val="center"/>
            <w:hideMark/>
          </w:tcPr>
          <w:p w14:paraId="033A9E38" w14:textId="77777777" w:rsidR="007E365E" w:rsidRPr="00D07170"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276" w:name="RANGE!A5:J11"/>
            <w:r w:rsidRPr="00D07170">
              <w:rPr>
                <w:rFonts w:ascii="Open Sans SemiBold" w:eastAsia="Times New Roman" w:hAnsi="Open Sans SemiBold" w:cs="Open Sans SemiBold"/>
                <w:color w:val="FFFFFF"/>
                <w:sz w:val="16"/>
                <w:szCs w:val="16"/>
                <w:lang w:eastAsia="en-AU"/>
              </w:rPr>
              <w:t> </w:t>
            </w:r>
            <w:bookmarkEnd w:id="276"/>
          </w:p>
        </w:tc>
        <w:tc>
          <w:tcPr>
            <w:tcW w:w="763" w:type="dxa"/>
            <w:tcBorders>
              <w:top w:val="single" w:sz="4" w:space="0" w:color="ADD6EA"/>
              <w:left w:val="nil"/>
              <w:bottom w:val="single" w:sz="4" w:space="0" w:color="ADD6EA"/>
              <w:right w:val="nil"/>
            </w:tcBorders>
            <w:shd w:val="clear" w:color="000000" w:fill="006991"/>
            <w:noWrap/>
            <w:vAlign w:val="center"/>
            <w:hideMark/>
          </w:tcPr>
          <w:p w14:paraId="7AD48323"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7170">
              <w:rPr>
                <w:rFonts w:ascii="Open Sans SemiBold" w:eastAsia="Times New Roman" w:hAnsi="Open Sans SemiBold" w:cs="Open Sans SemiBold"/>
                <w:color w:val="FFFFFF"/>
                <w:sz w:val="16"/>
                <w:szCs w:val="16"/>
                <w:lang w:eastAsia="en-AU"/>
              </w:rPr>
              <w:t>NSW</w:t>
            </w:r>
          </w:p>
        </w:tc>
        <w:tc>
          <w:tcPr>
            <w:tcW w:w="763" w:type="dxa"/>
            <w:tcBorders>
              <w:top w:val="single" w:sz="4" w:space="0" w:color="ADD6EA"/>
              <w:left w:val="nil"/>
              <w:bottom w:val="single" w:sz="4" w:space="0" w:color="ADD6EA"/>
              <w:right w:val="nil"/>
            </w:tcBorders>
            <w:shd w:val="clear" w:color="000000" w:fill="006991"/>
            <w:noWrap/>
            <w:vAlign w:val="center"/>
            <w:hideMark/>
          </w:tcPr>
          <w:p w14:paraId="45B7C9C8"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7170">
              <w:rPr>
                <w:rFonts w:ascii="Open Sans SemiBold" w:eastAsia="Times New Roman" w:hAnsi="Open Sans SemiBold" w:cs="Open Sans SemiBold"/>
                <w:color w:val="FFFFFF"/>
                <w:sz w:val="16"/>
                <w:szCs w:val="16"/>
                <w:lang w:eastAsia="en-AU"/>
              </w:rPr>
              <w:t>Vic</w:t>
            </w:r>
          </w:p>
        </w:tc>
        <w:tc>
          <w:tcPr>
            <w:tcW w:w="745" w:type="dxa"/>
            <w:tcBorders>
              <w:top w:val="single" w:sz="4" w:space="0" w:color="ADD6EA"/>
              <w:left w:val="nil"/>
              <w:bottom w:val="single" w:sz="4" w:space="0" w:color="ADD6EA"/>
              <w:right w:val="nil"/>
            </w:tcBorders>
            <w:shd w:val="clear" w:color="000000" w:fill="006991"/>
            <w:noWrap/>
            <w:vAlign w:val="center"/>
            <w:hideMark/>
          </w:tcPr>
          <w:p w14:paraId="36C4D5FF"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7170">
              <w:rPr>
                <w:rFonts w:ascii="Open Sans SemiBold" w:eastAsia="Times New Roman" w:hAnsi="Open Sans SemiBold" w:cs="Open Sans SemiBold"/>
                <w:color w:val="FFFFFF"/>
                <w:sz w:val="16"/>
                <w:szCs w:val="16"/>
                <w:lang w:eastAsia="en-AU"/>
              </w:rPr>
              <w:t>Qld</w:t>
            </w:r>
          </w:p>
        </w:tc>
        <w:tc>
          <w:tcPr>
            <w:tcW w:w="746" w:type="dxa"/>
            <w:tcBorders>
              <w:top w:val="single" w:sz="4" w:space="0" w:color="ADD6EA"/>
              <w:left w:val="nil"/>
              <w:bottom w:val="single" w:sz="4" w:space="0" w:color="ADD6EA"/>
              <w:right w:val="nil"/>
            </w:tcBorders>
            <w:shd w:val="clear" w:color="000000" w:fill="006991"/>
            <w:noWrap/>
            <w:vAlign w:val="center"/>
            <w:hideMark/>
          </w:tcPr>
          <w:p w14:paraId="38527765"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7170">
              <w:rPr>
                <w:rFonts w:ascii="Open Sans SemiBold" w:eastAsia="Times New Roman" w:hAnsi="Open Sans SemiBold" w:cs="Open Sans SemiBold"/>
                <w:color w:val="FFFFFF"/>
                <w:sz w:val="16"/>
                <w:szCs w:val="16"/>
                <w:lang w:eastAsia="en-AU"/>
              </w:rPr>
              <w:t>WA</w:t>
            </w:r>
          </w:p>
        </w:tc>
        <w:tc>
          <w:tcPr>
            <w:tcW w:w="746" w:type="dxa"/>
            <w:tcBorders>
              <w:top w:val="single" w:sz="4" w:space="0" w:color="ADD6EA"/>
              <w:left w:val="nil"/>
              <w:bottom w:val="single" w:sz="4" w:space="0" w:color="ADD6EA"/>
              <w:right w:val="nil"/>
            </w:tcBorders>
            <w:shd w:val="clear" w:color="000000" w:fill="006991"/>
            <w:noWrap/>
            <w:vAlign w:val="center"/>
            <w:hideMark/>
          </w:tcPr>
          <w:p w14:paraId="4EBB3CC6"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7170">
              <w:rPr>
                <w:rFonts w:ascii="Open Sans SemiBold" w:eastAsia="Times New Roman" w:hAnsi="Open Sans SemiBold" w:cs="Open Sans SemiBold"/>
                <w:color w:val="FFFFFF"/>
                <w:sz w:val="16"/>
                <w:szCs w:val="16"/>
                <w:lang w:eastAsia="en-AU"/>
              </w:rPr>
              <w:t>SA</w:t>
            </w:r>
          </w:p>
        </w:tc>
        <w:tc>
          <w:tcPr>
            <w:tcW w:w="745" w:type="dxa"/>
            <w:tcBorders>
              <w:top w:val="single" w:sz="4" w:space="0" w:color="ADD6EA"/>
              <w:left w:val="nil"/>
              <w:bottom w:val="single" w:sz="4" w:space="0" w:color="ADD6EA"/>
              <w:right w:val="nil"/>
            </w:tcBorders>
            <w:shd w:val="clear" w:color="000000" w:fill="006991"/>
            <w:noWrap/>
            <w:vAlign w:val="center"/>
            <w:hideMark/>
          </w:tcPr>
          <w:p w14:paraId="00176508"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7170">
              <w:rPr>
                <w:rFonts w:ascii="Open Sans SemiBold" w:eastAsia="Times New Roman" w:hAnsi="Open Sans SemiBold" w:cs="Open Sans SemiBold"/>
                <w:color w:val="FFFFFF"/>
                <w:sz w:val="16"/>
                <w:szCs w:val="16"/>
                <w:lang w:eastAsia="en-AU"/>
              </w:rPr>
              <w:t>Tas</w:t>
            </w:r>
          </w:p>
        </w:tc>
        <w:tc>
          <w:tcPr>
            <w:tcW w:w="746" w:type="dxa"/>
            <w:tcBorders>
              <w:top w:val="single" w:sz="4" w:space="0" w:color="ADD6EA"/>
              <w:left w:val="nil"/>
              <w:bottom w:val="single" w:sz="4" w:space="0" w:color="ADD6EA"/>
              <w:right w:val="nil"/>
            </w:tcBorders>
            <w:shd w:val="clear" w:color="000000" w:fill="006991"/>
            <w:noWrap/>
            <w:vAlign w:val="center"/>
            <w:hideMark/>
          </w:tcPr>
          <w:p w14:paraId="1C8B8301"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7170">
              <w:rPr>
                <w:rFonts w:ascii="Open Sans SemiBold" w:eastAsia="Times New Roman" w:hAnsi="Open Sans SemiBold" w:cs="Open Sans SemiBold"/>
                <w:color w:val="FFFFFF"/>
                <w:sz w:val="16"/>
                <w:szCs w:val="16"/>
                <w:lang w:eastAsia="en-AU"/>
              </w:rPr>
              <w:t>ACT</w:t>
            </w:r>
          </w:p>
        </w:tc>
        <w:tc>
          <w:tcPr>
            <w:tcW w:w="746" w:type="dxa"/>
            <w:tcBorders>
              <w:top w:val="single" w:sz="4" w:space="0" w:color="ADD6EA"/>
              <w:left w:val="nil"/>
              <w:bottom w:val="single" w:sz="4" w:space="0" w:color="ADD6EA"/>
              <w:right w:val="nil"/>
            </w:tcBorders>
            <w:shd w:val="clear" w:color="000000" w:fill="006991"/>
            <w:noWrap/>
            <w:vAlign w:val="center"/>
            <w:hideMark/>
          </w:tcPr>
          <w:p w14:paraId="2F2D7F74"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7170">
              <w:rPr>
                <w:rFonts w:ascii="Open Sans SemiBold" w:eastAsia="Times New Roman" w:hAnsi="Open Sans SemiBold" w:cs="Open Sans SemiBold"/>
                <w:color w:val="FFFFFF"/>
                <w:sz w:val="16"/>
                <w:szCs w:val="16"/>
                <w:lang w:eastAsia="en-AU"/>
              </w:rPr>
              <w:t>NT</w:t>
            </w:r>
          </w:p>
        </w:tc>
        <w:tc>
          <w:tcPr>
            <w:tcW w:w="871" w:type="dxa"/>
            <w:tcBorders>
              <w:top w:val="single" w:sz="4" w:space="0" w:color="ADD6EA"/>
              <w:left w:val="nil"/>
              <w:bottom w:val="single" w:sz="4" w:space="0" w:color="ADD6EA"/>
              <w:right w:val="nil"/>
            </w:tcBorders>
            <w:shd w:val="clear" w:color="000000" w:fill="006991"/>
            <w:noWrap/>
            <w:vAlign w:val="center"/>
            <w:hideMark/>
          </w:tcPr>
          <w:p w14:paraId="7F7F4E31"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7170">
              <w:rPr>
                <w:rFonts w:ascii="Open Sans SemiBold" w:eastAsia="Times New Roman" w:hAnsi="Open Sans SemiBold" w:cs="Open Sans SemiBold"/>
                <w:color w:val="FFFFFF"/>
                <w:sz w:val="16"/>
                <w:szCs w:val="16"/>
                <w:lang w:eastAsia="en-AU"/>
              </w:rPr>
              <w:t>Total</w:t>
            </w:r>
          </w:p>
        </w:tc>
      </w:tr>
      <w:tr w:rsidR="007E365E" w:rsidRPr="00D07170" w14:paraId="04620EC5" w14:textId="77777777" w:rsidTr="007D1D77">
        <w:trPr>
          <w:trHeight w:hRule="exact" w:val="261"/>
        </w:trPr>
        <w:tc>
          <w:tcPr>
            <w:tcW w:w="2080" w:type="dxa"/>
            <w:tcBorders>
              <w:top w:val="nil"/>
              <w:left w:val="nil"/>
              <w:bottom w:val="nil"/>
              <w:right w:val="nil"/>
            </w:tcBorders>
            <w:shd w:val="clear" w:color="000000" w:fill="B6D5E4"/>
            <w:noWrap/>
            <w:vAlign w:val="center"/>
            <w:hideMark/>
          </w:tcPr>
          <w:p w14:paraId="409DC797"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 </w:t>
            </w:r>
          </w:p>
        </w:tc>
        <w:tc>
          <w:tcPr>
            <w:tcW w:w="763" w:type="dxa"/>
            <w:tcBorders>
              <w:top w:val="nil"/>
              <w:left w:val="nil"/>
              <w:bottom w:val="nil"/>
              <w:right w:val="nil"/>
            </w:tcBorders>
            <w:shd w:val="clear" w:color="000000" w:fill="B6D5E4"/>
            <w:noWrap/>
            <w:vAlign w:val="center"/>
            <w:hideMark/>
          </w:tcPr>
          <w:p w14:paraId="7FFEC0D2"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$m</w:t>
            </w:r>
          </w:p>
        </w:tc>
        <w:tc>
          <w:tcPr>
            <w:tcW w:w="763" w:type="dxa"/>
            <w:tcBorders>
              <w:top w:val="nil"/>
              <w:left w:val="nil"/>
              <w:bottom w:val="nil"/>
              <w:right w:val="nil"/>
            </w:tcBorders>
            <w:shd w:val="clear" w:color="000000" w:fill="B6D5E4"/>
            <w:noWrap/>
            <w:vAlign w:val="center"/>
            <w:hideMark/>
          </w:tcPr>
          <w:p w14:paraId="6B3837BD"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$m</w:t>
            </w:r>
          </w:p>
        </w:tc>
        <w:tc>
          <w:tcPr>
            <w:tcW w:w="745" w:type="dxa"/>
            <w:tcBorders>
              <w:top w:val="nil"/>
              <w:left w:val="nil"/>
              <w:bottom w:val="nil"/>
              <w:right w:val="nil"/>
            </w:tcBorders>
            <w:shd w:val="clear" w:color="000000" w:fill="B6D5E4"/>
            <w:noWrap/>
            <w:vAlign w:val="center"/>
            <w:hideMark/>
          </w:tcPr>
          <w:p w14:paraId="66BF4CD0"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$m</w:t>
            </w:r>
          </w:p>
        </w:tc>
        <w:tc>
          <w:tcPr>
            <w:tcW w:w="746" w:type="dxa"/>
            <w:tcBorders>
              <w:top w:val="nil"/>
              <w:left w:val="nil"/>
              <w:bottom w:val="nil"/>
              <w:right w:val="nil"/>
            </w:tcBorders>
            <w:shd w:val="clear" w:color="000000" w:fill="B6D5E4"/>
            <w:noWrap/>
            <w:vAlign w:val="center"/>
            <w:hideMark/>
          </w:tcPr>
          <w:p w14:paraId="53F2AAD7"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$m</w:t>
            </w:r>
          </w:p>
        </w:tc>
        <w:tc>
          <w:tcPr>
            <w:tcW w:w="746" w:type="dxa"/>
            <w:tcBorders>
              <w:top w:val="nil"/>
              <w:left w:val="nil"/>
              <w:bottom w:val="nil"/>
              <w:right w:val="nil"/>
            </w:tcBorders>
            <w:shd w:val="clear" w:color="000000" w:fill="B6D5E4"/>
            <w:noWrap/>
            <w:vAlign w:val="center"/>
            <w:hideMark/>
          </w:tcPr>
          <w:p w14:paraId="1F90EDCC"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$m</w:t>
            </w:r>
          </w:p>
        </w:tc>
        <w:tc>
          <w:tcPr>
            <w:tcW w:w="745" w:type="dxa"/>
            <w:tcBorders>
              <w:top w:val="nil"/>
              <w:left w:val="nil"/>
              <w:bottom w:val="nil"/>
              <w:right w:val="nil"/>
            </w:tcBorders>
            <w:shd w:val="clear" w:color="000000" w:fill="B6D5E4"/>
            <w:noWrap/>
            <w:vAlign w:val="center"/>
            <w:hideMark/>
          </w:tcPr>
          <w:p w14:paraId="15FF6FF9"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$m</w:t>
            </w:r>
          </w:p>
        </w:tc>
        <w:tc>
          <w:tcPr>
            <w:tcW w:w="746" w:type="dxa"/>
            <w:tcBorders>
              <w:top w:val="nil"/>
              <w:left w:val="nil"/>
              <w:bottom w:val="nil"/>
              <w:right w:val="nil"/>
            </w:tcBorders>
            <w:shd w:val="clear" w:color="000000" w:fill="B6D5E4"/>
            <w:noWrap/>
            <w:vAlign w:val="center"/>
            <w:hideMark/>
          </w:tcPr>
          <w:p w14:paraId="0377542A"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$m</w:t>
            </w:r>
          </w:p>
        </w:tc>
        <w:tc>
          <w:tcPr>
            <w:tcW w:w="746" w:type="dxa"/>
            <w:tcBorders>
              <w:top w:val="nil"/>
              <w:left w:val="nil"/>
              <w:bottom w:val="nil"/>
              <w:right w:val="nil"/>
            </w:tcBorders>
            <w:shd w:val="clear" w:color="000000" w:fill="B6D5E4"/>
            <w:noWrap/>
            <w:vAlign w:val="center"/>
            <w:hideMark/>
          </w:tcPr>
          <w:p w14:paraId="13E48549"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$m</w:t>
            </w:r>
          </w:p>
        </w:tc>
        <w:tc>
          <w:tcPr>
            <w:tcW w:w="871" w:type="dxa"/>
            <w:tcBorders>
              <w:top w:val="nil"/>
              <w:left w:val="nil"/>
              <w:bottom w:val="nil"/>
              <w:right w:val="nil"/>
            </w:tcBorders>
            <w:shd w:val="clear" w:color="000000" w:fill="B6D5E4"/>
            <w:noWrap/>
            <w:vAlign w:val="center"/>
            <w:hideMark/>
          </w:tcPr>
          <w:p w14:paraId="40D9F392"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$m</w:t>
            </w:r>
          </w:p>
        </w:tc>
      </w:tr>
      <w:tr w:rsidR="007E365E" w:rsidRPr="00D07170" w14:paraId="279B35D0" w14:textId="77777777" w:rsidTr="007D1D77">
        <w:trPr>
          <w:trHeight w:hRule="exact" w:val="318"/>
        </w:trPr>
        <w:tc>
          <w:tcPr>
            <w:tcW w:w="2080" w:type="dxa"/>
            <w:tcBorders>
              <w:top w:val="single" w:sz="4" w:space="0" w:color="ADD6EA"/>
              <w:left w:val="nil"/>
              <w:bottom w:val="single" w:sz="4" w:space="0" w:color="ADD6EA"/>
              <w:right w:val="nil"/>
            </w:tcBorders>
            <w:shd w:val="clear" w:color="auto" w:fill="auto"/>
            <w:vAlign w:val="bottom"/>
            <w:hideMark/>
          </w:tcPr>
          <w:p w14:paraId="40DD502B" w14:textId="77777777" w:rsidR="007E365E" w:rsidRPr="00D07170" w:rsidRDefault="007E365E" w:rsidP="007D1D77">
            <w:pPr>
              <w:tabs>
                <w:tab w:val="clear" w:pos="567"/>
              </w:tabs>
              <w:spacing w:before="0" w:line="240" w:lineRule="auto"/>
              <w:rPr>
                <w:rFonts w:eastAsia="Times New Roman" w:cs="Open Sans Light"/>
                <w:sz w:val="16"/>
                <w:szCs w:val="16"/>
                <w:lang w:eastAsia="en-AU"/>
              </w:rPr>
            </w:pPr>
            <w:r w:rsidRPr="00D07170">
              <w:rPr>
                <w:rFonts w:eastAsia="Times New Roman" w:cs="Open Sans Light"/>
                <w:sz w:val="16"/>
                <w:szCs w:val="16"/>
                <w:lang w:eastAsia="en-AU"/>
              </w:rPr>
              <w:t>Assessed opening stock</w:t>
            </w:r>
          </w:p>
        </w:tc>
        <w:tc>
          <w:tcPr>
            <w:tcW w:w="763" w:type="dxa"/>
            <w:tcBorders>
              <w:top w:val="single" w:sz="4" w:space="0" w:color="ADD6EA"/>
              <w:left w:val="nil"/>
              <w:bottom w:val="single" w:sz="4" w:space="0" w:color="ADD6EA"/>
              <w:right w:val="nil"/>
            </w:tcBorders>
            <w:shd w:val="clear" w:color="auto" w:fill="auto"/>
            <w:vAlign w:val="bottom"/>
            <w:hideMark/>
          </w:tcPr>
          <w:p w14:paraId="055948BB"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49,870</w:t>
            </w:r>
          </w:p>
        </w:tc>
        <w:tc>
          <w:tcPr>
            <w:tcW w:w="763" w:type="dxa"/>
            <w:tcBorders>
              <w:top w:val="single" w:sz="4" w:space="0" w:color="ADD6EA"/>
              <w:left w:val="nil"/>
              <w:bottom w:val="single" w:sz="4" w:space="0" w:color="ADD6EA"/>
              <w:right w:val="nil"/>
            </w:tcBorders>
            <w:shd w:val="clear" w:color="auto" w:fill="auto"/>
            <w:vAlign w:val="bottom"/>
            <w:hideMark/>
          </w:tcPr>
          <w:p w14:paraId="4D47EFDF"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37,690</w:t>
            </w:r>
          </w:p>
        </w:tc>
        <w:tc>
          <w:tcPr>
            <w:tcW w:w="745" w:type="dxa"/>
            <w:tcBorders>
              <w:top w:val="single" w:sz="4" w:space="0" w:color="ADD6EA"/>
              <w:left w:val="nil"/>
              <w:bottom w:val="single" w:sz="4" w:space="0" w:color="ADD6EA"/>
              <w:right w:val="nil"/>
            </w:tcBorders>
            <w:shd w:val="clear" w:color="auto" w:fill="auto"/>
            <w:vAlign w:val="bottom"/>
            <w:hideMark/>
          </w:tcPr>
          <w:p w14:paraId="5BCA11DB"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14,886</w:t>
            </w:r>
          </w:p>
        </w:tc>
        <w:tc>
          <w:tcPr>
            <w:tcW w:w="746" w:type="dxa"/>
            <w:tcBorders>
              <w:top w:val="single" w:sz="4" w:space="0" w:color="ADD6EA"/>
              <w:left w:val="nil"/>
              <w:bottom w:val="single" w:sz="4" w:space="0" w:color="ADD6EA"/>
              <w:right w:val="nil"/>
            </w:tcBorders>
            <w:shd w:val="clear" w:color="auto" w:fill="auto"/>
            <w:vAlign w:val="bottom"/>
            <w:hideMark/>
          </w:tcPr>
          <w:p w14:paraId="721BE236"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8,921</w:t>
            </w:r>
          </w:p>
        </w:tc>
        <w:tc>
          <w:tcPr>
            <w:tcW w:w="746" w:type="dxa"/>
            <w:tcBorders>
              <w:top w:val="single" w:sz="4" w:space="0" w:color="ADD6EA"/>
              <w:left w:val="nil"/>
              <w:bottom w:val="single" w:sz="4" w:space="0" w:color="ADD6EA"/>
              <w:right w:val="nil"/>
            </w:tcBorders>
            <w:shd w:val="clear" w:color="auto" w:fill="auto"/>
            <w:vAlign w:val="bottom"/>
            <w:hideMark/>
          </w:tcPr>
          <w:p w14:paraId="32C221C9"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4,933</w:t>
            </w:r>
          </w:p>
        </w:tc>
        <w:tc>
          <w:tcPr>
            <w:tcW w:w="745" w:type="dxa"/>
            <w:tcBorders>
              <w:top w:val="single" w:sz="4" w:space="0" w:color="ADD6EA"/>
              <w:left w:val="nil"/>
              <w:bottom w:val="single" w:sz="4" w:space="0" w:color="ADD6EA"/>
              <w:right w:val="nil"/>
            </w:tcBorders>
            <w:shd w:val="clear" w:color="auto" w:fill="auto"/>
            <w:vAlign w:val="bottom"/>
            <w:hideMark/>
          </w:tcPr>
          <w:p w14:paraId="5C96F2B6"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427</w:t>
            </w:r>
          </w:p>
        </w:tc>
        <w:tc>
          <w:tcPr>
            <w:tcW w:w="746" w:type="dxa"/>
            <w:tcBorders>
              <w:top w:val="single" w:sz="4" w:space="0" w:color="ADD6EA"/>
              <w:left w:val="nil"/>
              <w:bottom w:val="single" w:sz="4" w:space="0" w:color="ADD6EA"/>
              <w:right w:val="nil"/>
            </w:tcBorders>
            <w:shd w:val="clear" w:color="auto" w:fill="auto"/>
            <w:vAlign w:val="bottom"/>
            <w:hideMark/>
          </w:tcPr>
          <w:p w14:paraId="25EA1007"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981</w:t>
            </w:r>
          </w:p>
        </w:tc>
        <w:tc>
          <w:tcPr>
            <w:tcW w:w="746" w:type="dxa"/>
            <w:tcBorders>
              <w:top w:val="single" w:sz="4" w:space="0" w:color="ADD6EA"/>
              <w:left w:val="nil"/>
              <w:bottom w:val="single" w:sz="4" w:space="0" w:color="ADD6EA"/>
              <w:right w:val="nil"/>
            </w:tcBorders>
            <w:shd w:val="clear" w:color="auto" w:fill="auto"/>
            <w:vAlign w:val="bottom"/>
            <w:hideMark/>
          </w:tcPr>
          <w:p w14:paraId="1F75A334"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264</w:t>
            </w:r>
          </w:p>
        </w:tc>
        <w:tc>
          <w:tcPr>
            <w:tcW w:w="871" w:type="dxa"/>
            <w:tcBorders>
              <w:top w:val="single" w:sz="4" w:space="0" w:color="ADD6EA"/>
              <w:left w:val="nil"/>
              <w:bottom w:val="single" w:sz="4" w:space="0" w:color="ADD6EA"/>
              <w:right w:val="nil"/>
            </w:tcBorders>
            <w:shd w:val="clear" w:color="auto" w:fill="auto"/>
            <w:vAlign w:val="bottom"/>
            <w:hideMark/>
          </w:tcPr>
          <w:p w14:paraId="7F02C061"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117,973</w:t>
            </w:r>
          </w:p>
        </w:tc>
      </w:tr>
      <w:tr w:rsidR="007E365E" w:rsidRPr="00D07170" w14:paraId="1A5B1738" w14:textId="77777777" w:rsidTr="007D1D77">
        <w:trPr>
          <w:trHeight w:hRule="exact" w:val="318"/>
        </w:trPr>
        <w:tc>
          <w:tcPr>
            <w:tcW w:w="2080" w:type="dxa"/>
            <w:tcBorders>
              <w:top w:val="nil"/>
              <w:left w:val="nil"/>
              <w:bottom w:val="nil"/>
              <w:right w:val="nil"/>
            </w:tcBorders>
            <w:shd w:val="clear" w:color="auto" w:fill="auto"/>
            <w:vAlign w:val="bottom"/>
            <w:hideMark/>
          </w:tcPr>
          <w:p w14:paraId="086C27AF" w14:textId="77777777" w:rsidR="007E365E" w:rsidRPr="00D07170" w:rsidRDefault="007E365E" w:rsidP="007D1D77">
            <w:pPr>
              <w:tabs>
                <w:tab w:val="clear" w:pos="567"/>
              </w:tabs>
              <w:spacing w:before="0" w:line="240" w:lineRule="auto"/>
              <w:rPr>
                <w:rFonts w:eastAsia="Times New Roman" w:cs="Open Sans Light"/>
                <w:sz w:val="16"/>
                <w:szCs w:val="16"/>
                <w:lang w:eastAsia="en-AU"/>
              </w:rPr>
            </w:pPr>
            <w:r w:rsidRPr="00D07170">
              <w:rPr>
                <w:rFonts w:eastAsia="Times New Roman" w:cs="Open Sans Light"/>
                <w:sz w:val="16"/>
                <w:szCs w:val="16"/>
                <w:lang w:eastAsia="en-AU"/>
              </w:rPr>
              <w:t>Assessed closing stock</w:t>
            </w:r>
          </w:p>
        </w:tc>
        <w:tc>
          <w:tcPr>
            <w:tcW w:w="763" w:type="dxa"/>
            <w:tcBorders>
              <w:top w:val="nil"/>
              <w:left w:val="nil"/>
              <w:bottom w:val="nil"/>
              <w:right w:val="nil"/>
            </w:tcBorders>
            <w:shd w:val="clear" w:color="auto" w:fill="auto"/>
            <w:vAlign w:val="bottom"/>
            <w:hideMark/>
          </w:tcPr>
          <w:p w14:paraId="383B241D"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52,589</w:t>
            </w:r>
          </w:p>
        </w:tc>
        <w:tc>
          <w:tcPr>
            <w:tcW w:w="763" w:type="dxa"/>
            <w:tcBorders>
              <w:top w:val="nil"/>
              <w:left w:val="nil"/>
              <w:bottom w:val="nil"/>
              <w:right w:val="nil"/>
            </w:tcBorders>
            <w:shd w:val="clear" w:color="auto" w:fill="auto"/>
            <w:vAlign w:val="bottom"/>
            <w:hideMark/>
          </w:tcPr>
          <w:p w14:paraId="4FE54793"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40,440</w:t>
            </w:r>
          </w:p>
        </w:tc>
        <w:tc>
          <w:tcPr>
            <w:tcW w:w="745" w:type="dxa"/>
            <w:tcBorders>
              <w:top w:val="nil"/>
              <w:left w:val="nil"/>
              <w:bottom w:val="nil"/>
              <w:right w:val="nil"/>
            </w:tcBorders>
            <w:shd w:val="clear" w:color="auto" w:fill="auto"/>
            <w:vAlign w:val="bottom"/>
            <w:hideMark/>
          </w:tcPr>
          <w:p w14:paraId="29F7A07B"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15,777</w:t>
            </w:r>
          </w:p>
        </w:tc>
        <w:tc>
          <w:tcPr>
            <w:tcW w:w="746" w:type="dxa"/>
            <w:tcBorders>
              <w:top w:val="nil"/>
              <w:left w:val="nil"/>
              <w:bottom w:val="nil"/>
              <w:right w:val="nil"/>
            </w:tcBorders>
            <w:shd w:val="clear" w:color="auto" w:fill="auto"/>
            <w:vAlign w:val="bottom"/>
            <w:hideMark/>
          </w:tcPr>
          <w:p w14:paraId="1BD44C81"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9,253</w:t>
            </w:r>
          </w:p>
        </w:tc>
        <w:tc>
          <w:tcPr>
            <w:tcW w:w="746" w:type="dxa"/>
            <w:tcBorders>
              <w:top w:val="nil"/>
              <w:left w:val="nil"/>
              <w:bottom w:val="nil"/>
              <w:right w:val="nil"/>
            </w:tcBorders>
            <w:shd w:val="clear" w:color="auto" w:fill="auto"/>
            <w:vAlign w:val="bottom"/>
            <w:hideMark/>
          </w:tcPr>
          <w:p w14:paraId="3A879EB8"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5,124</w:t>
            </w:r>
          </w:p>
        </w:tc>
        <w:tc>
          <w:tcPr>
            <w:tcW w:w="745" w:type="dxa"/>
            <w:tcBorders>
              <w:top w:val="nil"/>
              <w:left w:val="nil"/>
              <w:bottom w:val="nil"/>
              <w:right w:val="nil"/>
            </w:tcBorders>
            <w:shd w:val="clear" w:color="auto" w:fill="auto"/>
            <w:vAlign w:val="bottom"/>
            <w:hideMark/>
          </w:tcPr>
          <w:p w14:paraId="7FE0D8F9"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453</w:t>
            </w:r>
          </w:p>
        </w:tc>
        <w:tc>
          <w:tcPr>
            <w:tcW w:w="746" w:type="dxa"/>
            <w:tcBorders>
              <w:top w:val="nil"/>
              <w:left w:val="nil"/>
              <w:bottom w:val="nil"/>
              <w:right w:val="nil"/>
            </w:tcBorders>
            <w:shd w:val="clear" w:color="auto" w:fill="auto"/>
            <w:vAlign w:val="bottom"/>
            <w:hideMark/>
          </w:tcPr>
          <w:p w14:paraId="6FF0CA61"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1,045</w:t>
            </w:r>
          </w:p>
        </w:tc>
        <w:tc>
          <w:tcPr>
            <w:tcW w:w="746" w:type="dxa"/>
            <w:tcBorders>
              <w:top w:val="nil"/>
              <w:left w:val="nil"/>
              <w:bottom w:val="nil"/>
              <w:right w:val="nil"/>
            </w:tcBorders>
            <w:shd w:val="clear" w:color="auto" w:fill="auto"/>
            <w:vAlign w:val="bottom"/>
            <w:hideMark/>
          </w:tcPr>
          <w:p w14:paraId="0390EA3F"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260</w:t>
            </w:r>
          </w:p>
        </w:tc>
        <w:tc>
          <w:tcPr>
            <w:tcW w:w="871" w:type="dxa"/>
            <w:tcBorders>
              <w:top w:val="nil"/>
              <w:left w:val="nil"/>
              <w:bottom w:val="nil"/>
              <w:right w:val="nil"/>
            </w:tcBorders>
            <w:shd w:val="clear" w:color="auto" w:fill="auto"/>
            <w:vAlign w:val="bottom"/>
            <w:hideMark/>
          </w:tcPr>
          <w:p w14:paraId="697721DD"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124,941</w:t>
            </w:r>
          </w:p>
        </w:tc>
      </w:tr>
      <w:tr w:rsidR="007E365E" w:rsidRPr="00D07170" w14:paraId="1D8CE856" w14:textId="77777777" w:rsidTr="007D1D77">
        <w:trPr>
          <w:trHeight w:hRule="exact" w:val="318"/>
        </w:trPr>
        <w:tc>
          <w:tcPr>
            <w:tcW w:w="2080" w:type="dxa"/>
            <w:tcBorders>
              <w:top w:val="single" w:sz="4" w:space="0" w:color="ADD6EA"/>
              <w:left w:val="nil"/>
              <w:bottom w:val="single" w:sz="4" w:space="0" w:color="ADD6EA"/>
              <w:right w:val="nil"/>
            </w:tcBorders>
            <w:shd w:val="clear" w:color="auto" w:fill="auto"/>
            <w:vAlign w:val="bottom"/>
            <w:hideMark/>
          </w:tcPr>
          <w:p w14:paraId="33968374" w14:textId="77777777" w:rsidR="007E365E" w:rsidRPr="00D07170" w:rsidRDefault="007E365E" w:rsidP="007D1D77">
            <w:pPr>
              <w:tabs>
                <w:tab w:val="clear" w:pos="567"/>
              </w:tabs>
              <w:spacing w:before="0" w:line="240" w:lineRule="auto"/>
              <w:rPr>
                <w:rFonts w:eastAsia="Times New Roman" w:cs="Open Sans Light"/>
                <w:sz w:val="16"/>
                <w:szCs w:val="16"/>
                <w:lang w:eastAsia="en-AU"/>
              </w:rPr>
            </w:pPr>
            <w:r w:rsidRPr="00D07170">
              <w:rPr>
                <w:rFonts w:eastAsia="Times New Roman" w:cs="Open Sans Light"/>
                <w:sz w:val="16"/>
                <w:szCs w:val="16"/>
                <w:lang w:eastAsia="en-AU"/>
              </w:rPr>
              <w:t>Assessed investment</w:t>
            </w:r>
          </w:p>
        </w:tc>
        <w:tc>
          <w:tcPr>
            <w:tcW w:w="763" w:type="dxa"/>
            <w:tcBorders>
              <w:top w:val="single" w:sz="4" w:space="0" w:color="ADD6EA"/>
              <w:left w:val="nil"/>
              <w:bottom w:val="single" w:sz="4" w:space="0" w:color="ADD6EA"/>
              <w:right w:val="nil"/>
            </w:tcBorders>
            <w:shd w:val="clear" w:color="auto" w:fill="auto"/>
            <w:vAlign w:val="bottom"/>
            <w:hideMark/>
          </w:tcPr>
          <w:p w14:paraId="303DD740"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2,720</w:t>
            </w:r>
          </w:p>
        </w:tc>
        <w:tc>
          <w:tcPr>
            <w:tcW w:w="763" w:type="dxa"/>
            <w:tcBorders>
              <w:top w:val="single" w:sz="4" w:space="0" w:color="ADD6EA"/>
              <w:left w:val="nil"/>
              <w:bottom w:val="single" w:sz="4" w:space="0" w:color="ADD6EA"/>
              <w:right w:val="nil"/>
            </w:tcBorders>
            <w:shd w:val="clear" w:color="auto" w:fill="auto"/>
            <w:vAlign w:val="bottom"/>
            <w:hideMark/>
          </w:tcPr>
          <w:p w14:paraId="4F77917C"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2,750</w:t>
            </w:r>
          </w:p>
        </w:tc>
        <w:tc>
          <w:tcPr>
            <w:tcW w:w="745" w:type="dxa"/>
            <w:tcBorders>
              <w:top w:val="single" w:sz="4" w:space="0" w:color="ADD6EA"/>
              <w:left w:val="nil"/>
              <w:bottom w:val="single" w:sz="4" w:space="0" w:color="ADD6EA"/>
              <w:right w:val="nil"/>
            </w:tcBorders>
            <w:shd w:val="clear" w:color="auto" w:fill="auto"/>
            <w:vAlign w:val="bottom"/>
            <w:hideMark/>
          </w:tcPr>
          <w:p w14:paraId="391516B7"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891</w:t>
            </w:r>
          </w:p>
        </w:tc>
        <w:tc>
          <w:tcPr>
            <w:tcW w:w="746" w:type="dxa"/>
            <w:tcBorders>
              <w:top w:val="single" w:sz="4" w:space="0" w:color="ADD6EA"/>
              <w:left w:val="nil"/>
              <w:bottom w:val="single" w:sz="4" w:space="0" w:color="ADD6EA"/>
              <w:right w:val="nil"/>
            </w:tcBorders>
            <w:shd w:val="clear" w:color="auto" w:fill="auto"/>
            <w:vAlign w:val="bottom"/>
            <w:hideMark/>
          </w:tcPr>
          <w:p w14:paraId="79154E0F"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332</w:t>
            </w:r>
          </w:p>
        </w:tc>
        <w:tc>
          <w:tcPr>
            <w:tcW w:w="746" w:type="dxa"/>
            <w:tcBorders>
              <w:top w:val="single" w:sz="4" w:space="0" w:color="ADD6EA"/>
              <w:left w:val="nil"/>
              <w:bottom w:val="single" w:sz="4" w:space="0" w:color="ADD6EA"/>
              <w:right w:val="nil"/>
            </w:tcBorders>
            <w:shd w:val="clear" w:color="auto" w:fill="auto"/>
            <w:vAlign w:val="bottom"/>
            <w:hideMark/>
          </w:tcPr>
          <w:p w14:paraId="41607EA6"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191</w:t>
            </w:r>
          </w:p>
        </w:tc>
        <w:tc>
          <w:tcPr>
            <w:tcW w:w="745" w:type="dxa"/>
            <w:tcBorders>
              <w:top w:val="single" w:sz="4" w:space="0" w:color="ADD6EA"/>
              <w:left w:val="nil"/>
              <w:bottom w:val="single" w:sz="4" w:space="0" w:color="ADD6EA"/>
              <w:right w:val="nil"/>
            </w:tcBorders>
            <w:shd w:val="clear" w:color="auto" w:fill="auto"/>
            <w:vAlign w:val="bottom"/>
            <w:hideMark/>
          </w:tcPr>
          <w:p w14:paraId="2DE7810B"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26</w:t>
            </w:r>
          </w:p>
        </w:tc>
        <w:tc>
          <w:tcPr>
            <w:tcW w:w="746" w:type="dxa"/>
            <w:tcBorders>
              <w:top w:val="single" w:sz="4" w:space="0" w:color="ADD6EA"/>
              <w:left w:val="nil"/>
              <w:bottom w:val="single" w:sz="4" w:space="0" w:color="ADD6EA"/>
              <w:right w:val="nil"/>
            </w:tcBorders>
            <w:shd w:val="clear" w:color="auto" w:fill="auto"/>
            <w:vAlign w:val="bottom"/>
            <w:hideMark/>
          </w:tcPr>
          <w:p w14:paraId="254E5B90"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63</w:t>
            </w:r>
          </w:p>
        </w:tc>
        <w:tc>
          <w:tcPr>
            <w:tcW w:w="746" w:type="dxa"/>
            <w:tcBorders>
              <w:top w:val="single" w:sz="4" w:space="0" w:color="ADD6EA"/>
              <w:left w:val="nil"/>
              <w:bottom w:val="single" w:sz="4" w:space="0" w:color="ADD6EA"/>
              <w:right w:val="nil"/>
            </w:tcBorders>
            <w:shd w:val="clear" w:color="auto" w:fill="auto"/>
            <w:vAlign w:val="bottom"/>
            <w:hideMark/>
          </w:tcPr>
          <w:p w14:paraId="4A1B719D"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-4</w:t>
            </w:r>
          </w:p>
        </w:tc>
        <w:tc>
          <w:tcPr>
            <w:tcW w:w="871" w:type="dxa"/>
            <w:tcBorders>
              <w:top w:val="single" w:sz="4" w:space="0" w:color="ADD6EA"/>
              <w:left w:val="nil"/>
              <w:bottom w:val="single" w:sz="4" w:space="0" w:color="ADD6EA"/>
              <w:right w:val="nil"/>
            </w:tcBorders>
            <w:shd w:val="clear" w:color="auto" w:fill="auto"/>
            <w:vAlign w:val="bottom"/>
            <w:hideMark/>
          </w:tcPr>
          <w:p w14:paraId="19E266C2"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6,968</w:t>
            </w:r>
          </w:p>
        </w:tc>
      </w:tr>
      <w:tr w:rsidR="007E365E" w:rsidRPr="00D07170" w14:paraId="2E6977A8" w14:textId="77777777" w:rsidTr="007D1D77">
        <w:trPr>
          <w:trHeight w:hRule="exact" w:val="318"/>
        </w:trPr>
        <w:tc>
          <w:tcPr>
            <w:tcW w:w="2080" w:type="dxa"/>
            <w:tcBorders>
              <w:top w:val="nil"/>
              <w:left w:val="nil"/>
              <w:bottom w:val="single" w:sz="4" w:space="0" w:color="ADD6EA"/>
              <w:right w:val="nil"/>
            </w:tcBorders>
            <w:shd w:val="clear" w:color="auto" w:fill="auto"/>
            <w:vAlign w:val="bottom"/>
            <w:hideMark/>
          </w:tcPr>
          <w:p w14:paraId="41B9E623" w14:textId="77777777" w:rsidR="007E365E" w:rsidRPr="00D07170" w:rsidRDefault="007E365E" w:rsidP="007D1D77">
            <w:pPr>
              <w:tabs>
                <w:tab w:val="clear" w:pos="567"/>
              </w:tabs>
              <w:spacing w:before="0" w:line="240" w:lineRule="auto"/>
              <w:rPr>
                <w:rFonts w:eastAsia="Times New Roman" w:cs="Open Sans Light"/>
                <w:sz w:val="16"/>
                <w:szCs w:val="16"/>
                <w:lang w:eastAsia="en-AU"/>
              </w:rPr>
            </w:pPr>
            <w:r w:rsidRPr="00D07170">
              <w:rPr>
                <w:rFonts w:eastAsia="Times New Roman" w:cs="Open Sans Light"/>
                <w:sz w:val="16"/>
                <w:szCs w:val="16"/>
                <w:lang w:eastAsia="en-AU"/>
              </w:rPr>
              <w:t>Cost factor</w:t>
            </w:r>
          </w:p>
        </w:tc>
        <w:tc>
          <w:tcPr>
            <w:tcW w:w="763" w:type="dxa"/>
            <w:tcBorders>
              <w:top w:val="nil"/>
              <w:left w:val="nil"/>
              <w:bottom w:val="single" w:sz="4" w:space="0" w:color="ADD6EA"/>
              <w:right w:val="nil"/>
            </w:tcBorders>
            <w:shd w:val="clear" w:color="auto" w:fill="auto"/>
            <w:vAlign w:val="bottom"/>
            <w:hideMark/>
          </w:tcPr>
          <w:p w14:paraId="13BE9DB7"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1.018</w:t>
            </w:r>
          </w:p>
        </w:tc>
        <w:tc>
          <w:tcPr>
            <w:tcW w:w="763" w:type="dxa"/>
            <w:tcBorders>
              <w:top w:val="nil"/>
              <w:left w:val="nil"/>
              <w:bottom w:val="single" w:sz="4" w:space="0" w:color="ADD6EA"/>
              <w:right w:val="nil"/>
            </w:tcBorders>
            <w:shd w:val="clear" w:color="auto" w:fill="auto"/>
            <w:vAlign w:val="bottom"/>
            <w:hideMark/>
          </w:tcPr>
          <w:p w14:paraId="12B53685"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0.985</w:t>
            </w:r>
          </w:p>
        </w:tc>
        <w:tc>
          <w:tcPr>
            <w:tcW w:w="745" w:type="dxa"/>
            <w:tcBorders>
              <w:top w:val="nil"/>
              <w:left w:val="nil"/>
              <w:bottom w:val="single" w:sz="4" w:space="0" w:color="ADD6EA"/>
              <w:right w:val="nil"/>
            </w:tcBorders>
            <w:shd w:val="clear" w:color="auto" w:fill="auto"/>
            <w:vAlign w:val="bottom"/>
            <w:hideMark/>
          </w:tcPr>
          <w:p w14:paraId="4CF95944"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0.969</w:t>
            </w:r>
          </w:p>
        </w:tc>
        <w:tc>
          <w:tcPr>
            <w:tcW w:w="746" w:type="dxa"/>
            <w:tcBorders>
              <w:top w:val="nil"/>
              <w:left w:val="nil"/>
              <w:bottom w:val="single" w:sz="4" w:space="0" w:color="ADD6EA"/>
              <w:right w:val="nil"/>
            </w:tcBorders>
            <w:shd w:val="clear" w:color="auto" w:fill="auto"/>
            <w:vAlign w:val="bottom"/>
            <w:hideMark/>
          </w:tcPr>
          <w:p w14:paraId="14E27473"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1.028</w:t>
            </w:r>
          </w:p>
        </w:tc>
        <w:tc>
          <w:tcPr>
            <w:tcW w:w="746" w:type="dxa"/>
            <w:tcBorders>
              <w:top w:val="nil"/>
              <w:left w:val="nil"/>
              <w:bottom w:val="single" w:sz="4" w:space="0" w:color="ADD6EA"/>
              <w:right w:val="nil"/>
            </w:tcBorders>
            <w:shd w:val="clear" w:color="auto" w:fill="auto"/>
            <w:vAlign w:val="bottom"/>
            <w:hideMark/>
          </w:tcPr>
          <w:p w14:paraId="4E9A2516"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0.988</w:t>
            </w:r>
          </w:p>
        </w:tc>
        <w:tc>
          <w:tcPr>
            <w:tcW w:w="745" w:type="dxa"/>
            <w:tcBorders>
              <w:top w:val="nil"/>
              <w:left w:val="nil"/>
              <w:bottom w:val="single" w:sz="4" w:space="0" w:color="ADD6EA"/>
              <w:right w:val="nil"/>
            </w:tcBorders>
            <w:shd w:val="clear" w:color="auto" w:fill="auto"/>
            <w:vAlign w:val="bottom"/>
            <w:hideMark/>
          </w:tcPr>
          <w:p w14:paraId="0A8D9782"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0.985</w:t>
            </w:r>
          </w:p>
        </w:tc>
        <w:tc>
          <w:tcPr>
            <w:tcW w:w="746" w:type="dxa"/>
            <w:tcBorders>
              <w:top w:val="nil"/>
              <w:left w:val="nil"/>
              <w:bottom w:val="single" w:sz="4" w:space="0" w:color="ADD6EA"/>
              <w:right w:val="nil"/>
            </w:tcBorders>
            <w:shd w:val="clear" w:color="auto" w:fill="auto"/>
            <w:vAlign w:val="bottom"/>
            <w:hideMark/>
          </w:tcPr>
          <w:p w14:paraId="74FA19E2"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1.061</w:t>
            </w:r>
          </w:p>
        </w:tc>
        <w:tc>
          <w:tcPr>
            <w:tcW w:w="746" w:type="dxa"/>
            <w:tcBorders>
              <w:top w:val="nil"/>
              <w:left w:val="nil"/>
              <w:bottom w:val="single" w:sz="4" w:space="0" w:color="ADD6EA"/>
              <w:right w:val="nil"/>
            </w:tcBorders>
            <w:shd w:val="clear" w:color="auto" w:fill="auto"/>
            <w:vAlign w:val="bottom"/>
            <w:hideMark/>
          </w:tcPr>
          <w:p w14:paraId="39BFF421"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1.155</w:t>
            </w:r>
          </w:p>
        </w:tc>
        <w:tc>
          <w:tcPr>
            <w:tcW w:w="871" w:type="dxa"/>
            <w:tcBorders>
              <w:top w:val="nil"/>
              <w:left w:val="nil"/>
              <w:bottom w:val="single" w:sz="4" w:space="0" w:color="ADD6EA"/>
              <w:right w:val="nil"/>
            </w:tcBorders>
            <w:shd w:val="clear" w:color="auto" w:fill="auto"/>
            <w:vAlign w:val="bottom"/>
            <w:hideMark/>
          </w:tcPr>
          <w:p w14:paraId="140567BD" w14:textId="77777777" w:rsidR="007E365E" w:rsidRPr="00D07170" w:rsidRDefault="007E365E" w:rsidP="007D1D77">
            <w:pPr>
              <w:tabs>
                <w:tab w:val="clear" w:pos="567"/>
              </w:tabs>
              <w:spacing w:before="0" w:line="240" w:lineRule="auto"/>
              <w:jc w:val="right"/>
              <w:rPr>
                <w:rFonts w:eastAsia="Times New Roman" w:cs="Open Sans Light"/>
                <w:sz w:val="16"/>
                <w:szCs w:val="16"/>
                <w:lang w:eastAsia="en-AU"/>
              </w:rPr>
            </w:pPr>
            <w:r w:rsidRPr="00D07170">
              <w:rPr>
                <w:rFonts w:eastAsia="Times New Roman" w:cs="Open Sans Light"/>
                <w:sz w:val="16"/>
                <w:szCs w:val="16"/>
                <w:lang w:eastAsia="en-AU"/>
              </w:rPr>
              <w:t>1.000</w:t>
            </w:r>
          </w:p>
        </w:tc>
      </w:tr>
      <w:tr w:rsidR="007E365E" w:rsidRPr="00D07170" w14:paraId="1CB0D8E3" w14:textId="77777777" w:rsidTr="007D1D77">
        <w:trPr>
          <w:trHeight w:hRule="exact" w:val="318"/>
        </w:trPr>
        <w:tc>
          <w:tcPr>
            <w:tcW w:w="2080" w:type="dxa"/>
            <w:tcBorders>
              <w:top w:val="nil"/>
              <w:left w:val="nil"/>
              <w:bottom w:val="single" w:sz="4" w:space="0" w:color="ADD6EA"/>
              <w:right w:val="nil"/>
            </w:tcBorders>
            <w:shd w:val="clear" w:color="000000" w:fill="D6E7F0"/>
            <w:vAlign w:val="bottom"/>
            <w:hideMark/>
          </w:tcPr>
          <w:p w14:paraId="1F203223" w14:textId="77777777" w:rsidR="007E365E" w:rsidRPr="00D07170"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Assessed investment</w:t>
            </w:r>
          </w:p>
        </w:tc>
        <w:tc>
          <w:tcPr>
            <w:tcW w:w="763" w:type="dxa"/>
            <w:tcBorders>
              <w:top w:val="nil"/>
              <w:left w:val="nil"/>
              <w:bottom w:val="single" w:sz="4" w:space="0" w:color="ADD6EA"/>
              <w:right w:val="nil"/>
            </w:tcBorders>
            <w:shd w:val="clear" w:color="000000" w:fill="D6E7F0"/>
            <w:vAlign w:val="bottom"/>
            <w:hideMark/>
          </w:tcPr>
          <w:p w14:paraId="313034D8"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2,771</w:t>
            </w:r>
          </w:p>
        </w:tc>
        <w:tc>
          <w:tcPr>
            <w:tcW w:w="763" w:type="dxa"/>
            <w:tcBorders>
              <w:top w:val="nil"/>
              <w:left w:val="nil"/>
              <w:bottom w:val="single" w:sz="4" w:space="0" w:color="ADD6EA"/>
              <w:right w:val="nil"/>
            </w:tcBorders>
            <w:shd w:val="clear" w:color="000000" w:fill="D6E7F0"/>
            <w:vAlign w:val="bottom"/>
            <w:hideMark/>
          </w:tcPr>
          <w:p w14:paraId="21680AED"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2,712</w:t>
            </w:r>
          </w:p>
        </w:tc>
        <w:tc>
          <w:tcPr>
            <w:tcW w:w="745" w:type="dxa"/>
            <w:tcBorders>
              <w:top w:val="nil"/>
              <w:left w:val="nil"/>
              <w:bottom w:val="single" w:sz="4" w:space="0" w:color="ADD6EA"/>
              <w:right w:val="nil"/>
            </w:tcBorders>
            <w:shd w:val="clear" w:color="000000" w:fill="D6E7F0"/>
            <w:vAlign w:val="bottom"/>
            <w:hideMark/>
          </w:tcPr>
          <w:p w14:paraId="2F77F260"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865</w:t>
            </w:r>
          </w:p>
        </w:tc>
        <w:tc>
          <w:tcPr>
            <w:tcW w:w="746" w:type="dxa"/>
            <w:tcBorders>
              <w:top w:val="nil"/>
              <w:left w:val="nil"/>
              <w:bottom w:val="single" w:sz="4" w:space="0" w:color="ADD6EA"/>
              <w:right w:val="nil"/>
            </w:tcBorders>
            <w:shd w:val="clear" w:color="000000" w:fill="D6E7F0"/>
            <w:vAlign w:val="bottom"/>
            <w:hideMark/>
          </w:tcPr>
          <w:p w14:paraId="279A2345"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342</w:t>
            </w:r>
          </w:p>
        </w:tc>
        <w:tc>
          <w:tcPr>
            <w:tcW w:w="746" w:type="dxa"/>
            <w:tcBorders>
              <w:top w:val="nil"/>
              <w:left w:val="nil"/>
              <w:bottom w:val="single" w:sz="4" w:space="0" w:color="ADD6EA"/>
              <w:right w:val="nil"/>
            </w:tcBorders>
            <w:shd w:val="clear" w:color="000000" w:fill="D6E7F0"/>
            <w:vAlign w:val="bottom"/>
            <w:hideMark/>
          </w:tcPr>
          <w:p w14:paraId="5F47D21A"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190</w:t>
            </w:r>
          </w:p>
        </w:tc>
        <w:tc>
          <w:tcPr>
            <w:tcW w:w="745" w:type="dxa"/>
            <w:tcBorders>
              <w:top w:val="nil"/>
              <w:left w:val="nil"/>
              <w:bottom w:val="single" w:sz="4" w:space="0" w:color="ADD6EA"/>
              <w:right w:val="nil"/>
            </w:tcBorders>
            <w:shd w:val="clear" w:color="000000" w:fill="D6E7F0"/>
            <w:vAlign w:val="bottom"/>
            <w:hideMark/>
          </w:tcPr>
          <w:p w14:paraId="61540696"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25</w:t>
            </w:r>
          </w:p>
        </w:tc>
        <w:tc>
          <w:tcPr>
            <w:tcW w:w="746" w:type="dxa"/>
            <w:tcBorders>
              <w:top w:val="nil"/>
              <w:left w:val="nil"/>
              <w:bottom w:val="single" w:sz="4" w:space="0" w:color="ADD6EA"/>
              <w:right w:val="nil"/>
            </w:tcBorders>
            <w:shd w:val="clear" w:color="000000" w:fill="D6E7F0"/>
            <w:vAlign w:val="bottom"/>
            <w:hideMark/>
          </w:tcPr>
          <w:p w14:paraId="6F8D8BD8"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67</w:t>
            </w:r>
          </w:p>
        </w:tc>
        <w:tc>
          <w:tcPr>
            <w:tcW w:w="746" w:type="dxa"/>
            <w:tcBorders>
              <w:top w:val="nil"/>
              <w:left w:val="nil"/>
              <w:bottom w:val="single" w:sz="4" w:space="0" w:color="ADD6EA"/>
              <w:right w:val="nil"/>
            </w:tcBorders>
            <w:shd w:val="clear" w:color="000000" w:fill="D6E7F0"/>
            <w:vAlign w:val="bottom"/>
            <w:hideMark/>
          </w:tcPr>
          <w:p w14:paraId="243AD821"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-4</w:t>
            </w:r>
          </w:p>
        </w:tc>
        <w:tc>
          <w:tcPr>
            <w:tcW w:w="871" w:type="dxa"/>
            <w:tcBorders>
              <w:top w:val="nil"/>
              <w:left w:val="nil"/>
              <w:bottom w:val="single" w:sz="4" w:space="0" w:color="ADD6EA"/>
              <w:right w:val="nil"/>
            </w:tcBorders>
            <w:shd w:val="clear" w:color="000000" w:fill="D6E7F0"/>
            <w:vAlign w:val="bottom"/>
            <w:hideMark/>
          </w:tcPr>
          <w:p w14:paraId="00822ACE" w14:textId="77777777" w:rsidR="007E365E" w:rsidRPr="00D07170"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7170">
              <w:rPr>
                <w:rFonts w:ascii="Open Sans SemiBold" w:eastAsia="Times New Roman" w:hAnsi="Open Sans SemiBold" w:cs="Open Sans SemiBold"/>
                <w:sz w:val="16"/>
                <w:szCs w:val="16"/>
                <w:lang w:eastAsia="en-AU"/>
              </w:rPr>
              <w:t>6,968</w:t>
            </w:r>
          </w:p>
        </w:tc>
      </w:tr>
    </w:tbl>
    <w:p w14:paraId="477D2AD9" w14:textId="77777777" w:rsidR="007E365E" w:rsidRPr="00976585" w:rsidRDefault="007E365E" w:rsidP="007E365E">
      <w:pPr>
        <w:pStyle w:val="CGCTablenote"/>
      </w:pPr>
      <w:r w:rsidRPr="00976585">
        <w:t xml:space="preserve">Source: </w:t>
      </w:r>
      <w:r w:rsidRPr="00976585">
        <w:tab/>
        <w:t>Commission calculation.</w:t>
      </w:r>
    </w:p>
    <w:p w14:paraId="27E19685" w14:textId="77777777" w:rsidR="007E365E" w:rsidRPr="00976585" w:rsidRDefault="007E365E" w:rsidP="007E365E">
      <w:pPr>
        <w:pStyle w:val="CGCParaNumber"/>
      </w:pPr>
      <w:r w:rsidRPr="00976585">
        <w:t>For a description of the urban and non-urban transport investment assessments, see Chapter 24 Investment.</w:t>
      </w:r>
    </w:p>
    <w:p w14:paraId="145839A5" w14:textId="77777777" w:rsidR="007E365E" w:rsidRPr="00976585" w:rsidRDefault="007E365E" w:rsidP="007E365E">
      <w:pPr>
        <w:pStyle w:val="Heading3"/>
      </w:pPr>
      <w:r w:rsidRPr="00976585">
        <w:t>Other issues considered by the Commission</w:t>
      </w:r>
    </w:p>
    <w:p w14:paraId="17A833CE" w14:textId="77777777" w:rsidR="007E365E" w:rsidRPr="00976585" w:rsidRDefault="007E365E" w:rsidP="007E365E">
      <w:pPr>
        <w:pStyle w:val="Heading4"/>
      </w:pPr>
      <w:r w:rsidRPr="00976585">
        <w:t>Economies of scale</w:t>
      </w:r>
    </w:p>
    <w:p w14:paraId="2AD8168A" w14:textId="77777777" w:rsidR="007E365E" w:rsidRPr="00083BCF" w:rsidRDefault="007E365E" w:rsidP="007E365E">
      <w:pPr>
        <w:pStyle w:val="CGCParaNumber"/>
      </w:pPr>
      <w:r w:rsidRPr="00083BCF">
        <w:t>Several States raised concerns about the appropriate functional form of the model. The Commission asked the 2020 Review consultants to investigate this issue. They determined that while evidence from international literature suggested that the model should exhibit some economies of scale, little of it was specific to the Australia context. As such, they considered that, to some extent, the functional form was an open question. They determined that State data suggested evidence of economies of scale in the provision of both rail and bus services. Taking the logarithm of passenger numbers in the model recognises that the rate of per capita expenses decreases as the size of an urban centre grows. This suggests that Australia’s most populous cities are approaching economies of scale for urban transport.</w:t>
      </w:r>
    </w:p>
    <w:p w14:paraId="3EE58885" w14:textId="1E8564D7" w:rsidR="007E365E" w:rsidRPr="00513387" w:rsidRDefault="007E365E" w:rsidP="007E365E">
      <w:pPr>
        <w:pStyle w:val="CGCParaNumber"/>
      </w:pPr>
      <w:r w:rsidRPr="00513387">
        <w:t>Western Australia argued that the consultants’ work is based on the false assumption that per capita expenses increase with urban centre size, providing data that showed passenger kilometre cost decreasing with population. The Commission disagrees that this is evidence that per capita costs should not increase with urban centre size. While the cost of a passenger kilometre may decrease with urban centre size, the overall transport task increases with urban centre size. This is because larger urban centres tend to have proportionally higher use of public transport (see </w:t>
      </w:r>
      <w:r w:rsidRPr="00513387">
        <w:fldChar w:fldCharType="begin"/>
      </w:r>
      <w:r w:rsidRPr="00513387">
        <w:instrText xml:space="preserve"> REF _Ref5977175 \h  \* MERGEFORMAT </w:instrText>
      </w:r>
      <w:r w:rsidRPr="00513387">
        <w:fldChar w:fldCharType="separate"/>
      </w:r>
      <w:r w:rsidR="007F721A" w:rsidRPr="00976585">
        <w:t xml:space="preserve">Figure </w:t>
      </w:r>
      <w:r w:rsidR="007F721A">
        <w:t>21-1</w:t>
      </w:r>
      <w:r w:rsidRPr="00513387">
        <w:fldChar w:fldCharType="end"/>
      </w:r>
      <w:r w:rsidRPr="00513387">
        <w:t>).</w:t>
      </w:r>
    </w:p>
    <w:p w14:paraId="06B32EBC" w14:textId="77777777" w:rsidR="007E365E" w:rsidRPr="00E93785" w:rsidRDefault="007E365E" w:rsidP="007E365E">
      <w:pPr>
        <w:pStyle w:val="Heading4"/>
      </w:pPr>
      <w:r w:rsidRPr="00976585">
        <w:t>Assessing urban transport needs EPC</w:t>
      </w:r>
    </w:p>
    <w:p w14:paraId="2314A2AA" w14:textId="77777777" w:rsidR="007E365E" w:rsidRPr="00976585" w:rsidRDefault="007E365E" w:rsidP="007E365E">
      <w:pPr>
        <w:pStyle w:val="CGCParaNumber"/>
      </w:pPr>
      <w:r w:rsidRPr="00976585">
        <w:t>Western Australia argued for an EPC assessment of urban transport expenses for a range of reasons</w:t>
      </w:r>
      <w:r>
        <w:t>:</w:t>
      </w:r>
    </w:p>
    <w:p w14:paraId="69B1085B" w14:textId="77777777" w:rsidR="007E365E" w:rsidRPr="00976585" w:rsidRDefault="007E365E" w:rsidP="007E365E">
      <w:pPr>
        <w:pStyle w:val="CGCBullet1"/>
      </w:pPr>
      <w:r>
        <w:t>p</w:t>
      </w:r>
      <w:r w:rsidRPr="00976585">
        <w:t xml:space="preserve">olicy and disability are entangled </w:t>
      </w:r>
    </w:p>
    <w:p w14:paraId="479A7887" w14:textId="77777777" w:rsidR="007E365E" w:rsidRPr="00976585" w:rsidRDefault="007E365E" w:rsidP="007E365E">
      <w:pPr>
        <w:pStyle w:val="CGCBullet1"/>
      </w:pPr>
      <w:r>
        <w:t>t</w:t>
      </w:r>
      <w:r w:rsidRPr="00976585">
        <w:t>here is no clear conceptual basis for a service standard or underlying disabilities</w:t>
      </w:r>
    </w:p>
    <w:p w14:paraId="0C0EBB59" w14:textId="77777777" w:rsidR="007E365E" w:rsidRPr="00976585" w:rsidRDefault="007E365E" w:rsidP="007E365E">
      <w:pPr>
        <w:pStyle w:val="CGCBullet1"/>
      </w:pPr>
      <w:r>
        <w:t>i</w:t>
      </w:r>
      <w:r w:rsidRPr="00976585">
        <w:t>nternational evidence provides no guidance</w:t>
      </w:r>
    </w:p>
    <w:p w14:paraId="2C35F2D1" w14:textId="77777777" w:rsidR="007E365E" w:rsidRPr="00976585" w:rsidRDefault="007E365E" w:rsidP="007E365E">
      <w:pPr>
        <w:pStyle w:val="CGCBullet1"/>
      </w:pPr>
      <w:r>
        <w:t>t</w:t>
      </w:r>
      <w:r w:rsidRPr="00976585">
        <w:t>here are concerns with the reliability of the method and the data not being fit for purpose</w:t>
      </w:r>
    </w:p>
    <w:p w14:paraId="2CB0F938" w14:textId="77777777" w:rsidR="007E365E" w:rsidRPr="00976585" w:rsidRDefault="007E365E" w:rsidP="007E365E">
      <w:pPr>
        <w:pStyle w:val="CGCBullet1"/>
      </w:pPr>
      <w:r>
        <w:t>t</w:t>
      </w:r>
      <w:r w:rsidRPr="00976585">
        <w:t>he consultants’ model does not isolate the underlying factors and State expenditure is not policy neutral</w:t>
      </w:r>
    </w:p>
    <w:p w14:paraId="1C55A327" w14:textId="77777777" w:rsidR="007E365E" w:rsidRPr="00976585" w:rsidRDefault="007E365E" w:rsidP="007E365E">
      <w:pPr>
        <w:pStyle w:val="CGCBullet1"/>
      </w:pPr>
      <w:r>
        <w:t>p</w:t>
      </w:r>
      <w:r w:rsidRPr="00976585">
        <w:t>olicy</w:t>
      </w:r>
      <w:r>
        <w:t xml:space="preserve"> </w:t>
      </w:r>
      <w:r w:rsidRPr="00976585">
        <w:t>neutral drivers of needs cannot be identified.</w:t>
      </w:r>
    </w:p>
    <w:p w14:paraId="1C60BF6D" w14:textId="77777777" w:rsidR="007E365E" w:rsidRPr="00976585" w:rsidRDefault="007E365E" w:rsidP="007E365E">
      <w:pPr>
        <w:pStyle w:val="CGCParaNumber"/>
      </w:pPr>
      <w:r w:rsidRPr="00976585">
        <w:lastRenderedPageBreak/>
        <w:t>It also argued that public transport is unlike remote area services because the former is the result of State policies and the latter due to an underlying need.</w:t>
      </w:r>
    </w:p>
    <w:p w14:paraId="469C6B2D" w14:textId="77777777" w:rsidR="007E365E" w:rsidRPr="00976585" w:rsidRDefault="007E365E" w:rsidP="007E365E">
      <w:pPr>
        <w:pStyle w:val="CGCParaNumber"/>
      </w:pPr>
      <w:r w:rsidRPr="00976585">
        <w:t>The Commission strongly disagrees that an EPC assessment of urban transport could be appropriate. The Commission cannot ignore the significant expenses and investment on urban public transport in Australia’s five largest cities, especially Sydney and Melbourne. An EPC assessment would mean that Sydney’s per capita urban transport expense requirements are the same as those of, say, Hobart or Broome. This would not pass a reality check.</w:t>
      </w:r>
    </w:p>
    <w:p w14:paraId="79C8681F" w14:textId="77777777" w:rsidR="007E365E" w:rsidRPr="00976585" w:rsidRDefault="007E365E" w:rsidP="007E365E">
      <w:pPr>
        <w:pStyle w:val="CGCParaNumber"/>
      </w:pPr>
      <w:r w:rsidRPr="00976585">
        <w:t>Western Australia seems to consider that the difficulties of disentangling policy and disability are more acute for the transport assessment than other areas of State spending. One of the Commission’s key tasks is to develop policy neutral assessments. The modelling of passenger numbers in the transport assessment seeks to address the potential for State policies to affect actual passenger numbers. The Commission accepts that population density is not policy free; however, it considers that the policy influences are not sufficient to disregard the influence of population density on the size of the urban transport task. Similar to urban centres, settlement patterns outside major cities reflect a mix of policy and non</w:t>
      </w:r>
      <w:r w:rsidRPr="00976585">
        <w:noBreakHyphen/>
        <w:t>policy factors. Past and present government decisions about the level of subsidies for water and electricity services, the location and standard of rural road and rail services, land use and industry assistance (for example, irrigation programs) have affected where people and industry are located. The regional costs assessments recognise the cost disadvantages for providing services outside major cities and the cost advantages of major cities. The Commission considers it is appropriate to recognise any cost disadvantages associated with large cities that are largely due to non</w:t>
      </w:r>
      <w:r w:rsidRPr="00976585">
        <w:noBreakHyphen/>
        <w:t>policy influences. In the 10 years to 2017</w:t>
      </w:r>
      <w:r w:rsidRPr="00976585">
        <w:noBreakHyphen/>
        <w:t>18, the population in Australia’s major cities grew by 21%. Growth in other ABS remoteness areas was 1</w:t>
      </w:r>
      <w:r>
        <w:t>2</w:t>
      </w:r>
      <w:r w:rsidRPr="00976585">
        <w:t>%.</w:t>
      </w:r>
      <w:r w:rsidRPr="00976585">
        <w:rPr>
          <w:rStyle w:val="FootnoteReference"/>
        </w:rPr>
        <w:footnoteReference w:id="59"/>
      </w:r>
      <w:r w:rsidRPr="00976585">
        <w:t xml:space="preserve"> The Commission cannot ignore the distribution of growth and its consequences for State budgets.</w:t>
      </w:r>
    </w:p>
    <w:p w14:paraId="184F781B" w14:textId="77777777" w:rsidR="007E365E" w:rsidRPr="00976585" w:rsidRDefault="007E365E" w:rsidP="007E365E">
      <w:pPr>
        <w:pStyle w:val="CGCParaNumber"/>
      </w:pPr>
      <w:r w:rsidRPr="00976585">
        <w:t>Western Australia’s comments imply that it is not possible to measure urban transport needs satisfactorily. However, the consultants did develop a conceptual framework underlying urban public transport services and used it to develop an econometric model to derive assessed expenses for each urban centre.</w:t>
      </w:r>
    </w:p>
    <w:p w14:paraId="3BBF6D9D" w14:textId="77777777" w:rsidR="007E365E" w:rsidRPr="00E93785" w:rsidRDefault="007E365E" w:rsidP="007E365E">
      <w:pPr>
        <w:pStyle w:val="CGCParaNumber"/>
      </w:pPr>
      <w:r w:rsidRPr="00E93785">
        <w:t>Western Australia also suggested that rail expenses should be assessed EPC because there are too few data points. The evidence strongly suggests that it costs significantly more on a per capita basis to provide public transport in major cities with heavy rail networks compared with smaller urban centres. The Commission would not achieve equalisation if it did not recognise the fiscal consequences of the presence of relatively high cost heavy rail services in its assessments.</w:t>
      </w:r>
    </w:p>
    <w:p w14:paraId="39DCF6A7" w14:textId="77777777" w:rsidR="007E365E" w:rsidRPr="00E93785" w:rsidRDefault="007E365E" w:rsidP="007E365E">
      <w:pPr>
        <w:pStyle w:val="CGCParaNumber"/>
      </w:pPr>
      <w:r w:rsidRPr="00E93785">
        <w:t>Western Australia warned the Commission that adopting a policy-centred rather than cost</w:t>
      </w:r>
      <w:r>
        <w:noBreakHyphen/>
      </w:r>
      <w:r w:rsidRPr="00E93785">
        <w:t xml:space="preserve">centred assessment of urban transport expenses (for example, ‘big cities choose to spend more on public transport than small cities’) would have ramifications across many other Commission assessments, such as utility subsidies, economic development and mining revenues. It is a long standing practice for the Commission to base its assessments on what States do and average State policy. The Commission considers it is average policy to provide rail passenger transport in large urban centres, in the same way it is average policy for States </w:t>
      </w:r>
      <w:r w:rsidRPr="00E93785">
        <w:lastRenderedPageBreak/>
        <w:t>with large remote areas to provide electricity subsidies. Observations from Australian and overseas cities show that the majority of larger cities have rail passenger transport.</w:t>
      </w:r>
    </w:p>
    <w:p w14:paraId="6CEF3D9B" w14:textId="77777777" w:rsidR="007E365E" w:rsidRPr="00E93785" w:rsidRDefault="007E365E" w:rsidP="007E365E">
      <w:pPr>
        <w:pStyle w:val="CGCParaNumber"/>
      </w:pPr>
      <w:r w:rsidRPr="00E93785">
        <w:t>The Commission acknowledges the concerns raised by Western Australia regarding the quality of State expense data and the need to rely on proxy variables. To address these concerns, the Commission has chosen to adopt a blended assessment. Blending reduces the impact of the econometric model on the GST distribution.</w:t>
      </w:r>
    </w:p>
    <w:p w14:paraId="311B5474" w14:textId="77777777" w:rsidR="007E365E" w:rsidRPr="00976585" w:rsidRDefault="007E365E" w:rsidP="007E365E">
      <w:pPr>
        <w:pStyle w:val="Heading4"/>
      </w:pPr>
      <w:r w:rsidRPr="00976585">
        <w:t>New South Wales’ urban transport consultancy</w:t>
      </w:r>
    </w:p>
    <w:p w14:paraId="0083A469" w14:textId="77777777" w:rsidR="007E365E" w:rsidRPr="00E93785" w:rsidRDefault="007E365E" w:rsidP="007E365E">
      <w:pPr>
        <w:pStyle w:val="CGCParaNumber"/>
      </w:pPr>
      <w:bookmarkStart w:id="277" w:name="_Ref7445842"/>
      <w:r w:rsidRPr="00513387">
        <w:t>New South Wales engaged its own consultant, Veitch Lister Consulting (VLC), to review the Commission’s urban transport assessment and the work of the Commission’s consultants.</w:t>
      </w:r>
      <w:r w:rsidRPr="00976585">
        <w:rPr>
          <w:rStyle w:val="FootnoteReference"/>
          <w:rFonts w:cstheme="minorHAnsi"/>
        </w:rPr>
        <w:footnoteReference w:id="60"/>
      </w:r>
      <w:r w:rsidRPr="00E93785">
        <w:t xml:space="preserve"> </w:t>
      </w:r>
      <w:r w:rsidRPr="00513387">
        <w:t xml:space="preserve">VLC generated separate cost and revenue models for the five largest capital cities using micro-data at </w:t>
      </w:r>
      <w:r>
        <w:t xml:space="preserve">the </w:t>
      </w:r>
      <w:r w:rsidRPr="00513387">
        <w:t>ABS SA2</w:t>
      </w:r>
      <w:r>
        <w:t xml:space="preserve"> level</w:t>
      </w:r>
      <w:r w:rsidRPr="00513387">
        <w:t>. The New South Wales’ consultant’s findings broadly accord with those of the Commission’s consultants. It found that:</w:t>
      </w:r>
      <w:bookmarkEnd w:id="277"/>
    </w:p>
    <w:p w14:paraId="55470172" w14:textId="77777777" w:rsidR="007E365E" w:rsidRPr="00E93785" w:rsidRDefault="007E365E" w:rsidP="007E365E">
      <w:pPr>
        <w:pStyle w:val="CGCBullet1"/>
      </w:pPr>
      <w:r w:rsidRPr="00E93785">
        <w:t>the supply of public transport per capita in Sydney is approximately 33% higher than average, due to higher employment density and increased congestion</w:t>
      </w:r>
    </w:p>
    <w:p w14:paraId="200F6030" w14:textId="77777777" w:rsidR="007E365E" w:rsidRPr="00E93785" w:rsidRDefault="007E365E" w:rsidP="007E365E">
      <w:pPr>
        <w:pStyle w:val="CGCBullet1"/>
      </w:pPr>
      <w:r w:rsidRPr="00E93785">
        <w:t>public transport productivity in Sydney is approximately 3.3% lower than average, which stems from lower bus/tram speeds, shorter bus/tram routes, and longer heavy rail routes</w:t>
      </w:r>
    </w:p>
    <w:p w14:paraId="08E9D45A" w14:textId="77777777" w:rsidR="007E365E" w:rsidRPr="00E93785" w:rsidRDefault="007E365E" w:rsidP="007E365E">
      <w:pPr>
        <w:pStyle w:val="CGCBullet1"/>
      </w:pPr>
      <w:r w:rsidRPr="00E93785">
        <w:t>revenue per capita in Sydney is approximately 37% higher than average, because of higher density and increased congestion.</w:t>
      </w:r>
    </w:p>
    <w:p w14:paraId="0D843C0B" w14:textId="77777777" w:rsidR="007E365E" w:rsidRPr="00083BCF" w:rsidRDefault="007E365E" w:rsidP="007E365E">
      <w:pPr>
        <w:pStyle w:val="CGCParaNumber"/>
      </w:pPr>
      <w:bookmarkStart w:id="278" w:name="_Ref7445849"/>
      <w:r w:rsidRPr="00083BCF">
        <w:t>New South Wales’ consultant found that Sydney and Melbourne were the only two large capital cities with above average urban transport needs.</w:t>
      </w:r>
      <w:bookmarkEnd w:id="278"/>
      <w:r w:rsidRPr="00083BCF">
        <w:t xml:space="preserve"> This is consistent with the results of the Commission’s urban transport model.</w:t>
      </w:r>
    </w:p>
    <w:p w14:paraId="25002014" w14:textId="77777777" w:rsidR="007E365E" w:rsidRPr="00976585" w:rsidRDefault="007E365E" w:rsidP="007E365E">
      <w:pPr>
        <w:pStyle w:val="Heading3"/>
      </w:pPr>
      <w:r w:rsidRPr="00976585">
        <w:t>Effect on the GST distribution</w:t>
      </w:r>
    </w:p>
    <w:p w14:paraId="10DB6DF2" w14:textId="77777777" w:rsidR="007E365E" w:rsidRPr="00976585" w:rsidRDefault="007E365E" w:rsidP="007E365E">
      <w:pPr>
        <w:pStyle w:val="Heading4"/>
      </w:pPr>
      <w:r w:rsidRPr="00976585">
        <w:t>Transport expenses</w:t>
      </w:r>
    </w:p>
    <w:p w14:paraId="4D1585C0" w14:textId="62E0ECA6" w:rsidR="007E365E" w:rsidRPr="00976585" w:rsidRDefault="007E365E" w:rsidP="007E365E">
      <w:pPr>
        <w:pStyle w:val="CGCParaNumber"/>
      </w:pPr>
      <w:r>
        <w:fldChar w:fldCharType="begin"/>
      </w:r>
      <w:r>
        <w:instrText xml:space="preserve"> REF _Ref32845824 \h </w:instrText>
      </w:r>
      <w:r>
        <w:fldChar w:fldCharType="separate"/>
      </w:r>
      <w:r w:rsidR="007F721A" w:rsidRPr="00976585">
        <w:t xml:space="preserve">Table </w:t>
      </w:r>
      <w:r w:rsidR="007F721A">
        <w:t>21-</w:t>
      </w:r>
      <w:r w:rsidR="007F721A">
        <w:rPr>
          <w:noProof/>
        </w:rPr>
        <w:t>17</w:t>
      </w:r>
      <w:r>
        <w:fldChar w:fldCharType="end"/>
      </w:r>
      <w:r w:rsidRPr="00976585">
        <w:t xml:space="preserve"> shows the extent to which the assessment for this category moves the distribution of GST away from an </w:t>
      </w:r>
      <w:r>
        <w:t>EPC</w:t>
      </w:r>
      <w:r w:rsidRPr="00976585">
        <w:t xml:space="preserve"> distribution. States with a positive redistribution are assessed to have above average spending requirements and States with a negative redistribution are assessed to have below average spending requirements. In per capita terms, the smalle</w:t>
      </w:r>
      <w:r>
        <w:t>r</w:t>
      </w:r>
      <w:r w:rsidRPr="00976585">
        <w:t xml:space="preserve"> States experience the largest redistributions, with well below average needs for urban passenger transport services.</w:t>
      </w:r>
    </w:p>
    <w:p w14:paraId="4DB8F05D" w14:textId="263D48AA" w:rsidR="007E365E" w:rsidRDefault="007E365E" w:rsidP="007E365E">
      <w:pPr>
        <w:pStyle w:val="Caption"/>
        <w:widowControl w:val="0"/>
      </w:pPr>
      <w:bookmarkStart w:id="279" w:name="_Ref32845824"/>
      <w:r w:rsidRPr="00976585">
        <w:t xml:space="preserve">Table </w:t>
      </w:r>
      <w:r>
        <w:t>21-</w:t>
      </w:r>
      <w:fldSimple w:instr=" SEQ Table \* ARABIC ">
        <w:r w:rsidR="007F721A">
          <w:rPr>
            <w:noProof/>
          </w:rPr>
          <w:t>17</w:t>
        </w:r>
      </w:fldSimple>
      <w:bookmarkEnd w:id="279"/>
      <w:r w:rsidRPr="00976585">
        <w:tab/>
      </w:r>
      <w:r>
        <w:t>Illustrative r</w:t>
      </w:r>
      <w:r w:rsidRPr="00976585">
        <w:t>edistribution from an EPC assessment, Transport</w:t>
      </w:r>
      <w:r>
        <w:t xml:space="preserve">, </w:t>
      </w:r>
      <w:r w:rsidRPr="00976585">
        <w:t>20</w:t>
      </w:r>
      <w:r>
        <w:t>20</w:t>
      </w:r>
      <w:r>
        <w:noBreakHyphen/>
        <w:t>21</w:t>
      </w:r>
    </w:p>
    <w:tbl>
      <w:tblPr>
        <w:tblW w:w="8951" w:type="dxa"/>
        <w:tblCellMar>
          <w:left w:w="28" w:type="dxa"/>
          <w:right w:w="28" w:type="dxa"/>
        </w:tblCellMar>
        <w:tblLook w:val="04A0" w:firstRow="1" w:lastRow="0" w:firstColumn="1" w:lastColumn="0" w:noHBand="0" w:noVBand="1"/>
      </w:tblPr>
      <w:tblGrid>
        <w:gridCol w:w="1524"/>
        <w:gridCol w:w="911"/>
        <w:gridCol w:w="773"/>
        <w:gridCol w:w="812"/>
        <w:gridCol w:w="812"/>
        <w:gridCol w:w="713"/>
        <w:gridCol w:w="812"/>
        <w:gridCol w:w="871"/>
        <w:gridCol w:w="733"/>
        <w:gridCol w:w="990"/>
      </w:tblGrid>
      <w:tr w:rsidR="007E365E" w:rsidRPr="001369B0" w14:paraId="0AD2ED35" w14:textId="77777777" w:rsidTr="007D1D77">
        <w:trPr>
          <w:trHeight w:hRule="exact" w:val="380"/>
        </w:trPr>
        <w:tc>
          <w:tcPr>
            <w:tcW w:w="1524" w:type="dxa"/>
            <w:tcBorders>
              <w:top w:val="single" w:sz="4" w:space="0" w:color="B6D5E4"/>
              <w:left w:val="nil"/>
              <w:bottom w:val="single" w:sz="4" w:space="0" w:color="B6D5E4"/>
              <w:right w:val="nil"/>
            </w:tcBorders>
            <w:shd w:val="clear" w:color="000000" w:fill="006991"/>
            <w:noWrap/>
            <w:vAlign w:val="center"/>
            <w:hideMark/>
          </w:tcPr>
          <w:p w14:paraId="4AEA02EA" w14:textId="77777777" w:rsidR="007E365E" w:rsidRPr="001369B0"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69B0">
              <w:rPr>
                <w:rFonts w:ascii="Open Sans SemiBold" w:eastAsia="Times New Roman" w:hAnsi="Open Sans SemiBold" w:cs="Open Sans SemiBold"/>
                <w:color w:val="FFFFFF"/>
                <w:sz w:val="16"/>
                <w:szCs w:val="16"/>
                <w:lang w:eastAsia="en-AU"/>
              </w:rPr>
              <w:t> </w:t>
            </w:r>
          </w:p>
        </w:tc>
        <w:tc>
          <w:tcPr>
            <w:tcW w:w="911" w:type="dxa"/>
            <w:tcBorders>
              <w:top w:val="single" w:sz="4" w:space="0" w:color="B6D5E4"/>
              <w:left w:val="nil"/>
              <w:bottom w:val="single" w:sz="4" w:space="0" w:color="B6D5E4"/>
              <w:right w:val="nil"/>
            </w:tcBorders>
            <w:shd w:val="clear" w:color="000000" w:fill="006991"/>
            <w:noWrap/>
            <w:vAlign w:val="center"/>
            <w:hideMark/>
          </w:tcPr>
          <w:p w14:paraId="0E7EB0C4" w14:textId="77777777" w:rsidR="007E365E" w:rsidRPr="001369B0"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69B0">
              <w:rPr>
                <w:rFonts w:ascii="Open Sans SemiBold" w:eastAsia="Times New Roman" w:hAnsi="Open Sans SemiBold" w:cs="Open Sans SemiBold"/>
                <w:color w:val="FFFFFF"/>
                <w:sz w:val="16"/>
                <w:szCs w:val="16"/>
                <w:lang w:eastAsia="en-AU"/>
              </w:rPr>
              <w:t>NSW</w:t>
            </w:r>
          </w:p>
        </w:tc>
        <w:tc>
          <w:tcPr>
            <w:tcW w:w="773" w:type="dxa"/>
            <w:tcBorders>
              <w:top w:val="single" w:sz="4" w:space="0" w:color="B6D5E4"/>
              <w:left w:val="nil"/>
              <w:bottom w:val="single" w:sz="4" w:space="0" w:color="B6D5E4"/>
              <w:right w:val="nil"/>
            </w:tcBorders>
            <w:shd w:val="clear" w:color="000000" w:fill="006991"/>
            <w:noWrap/>
            <w:vAlign w:val="center"/>
            <w:hideMark/>
          </w:tcPr>
          <w:p w14:paraId="2D4FF5F1" w14:textId="77777777" w:rsidR="007E365E" w:rsidRPr="001369B0"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69B0">
              <w:rPr>
                <w:rFonts w:ascii="Open Sans SemiBold" w:eastAsia="Times New Roman" w:hAnsi="Open Sans SemiBold" w:cs="Open Sans SemiBold"/>
                <w:color w:val="FFFFFF"/>
                <w:sz w:val="16"/>
                <w:szCs w:val="16"/>
                <w:lang w:eastAsia="en-AU"/>
              </w:rPr>
              <w:t>Vic</w:t>
            </w:r>
          </w:p>
        </w:tc>
        <w:tc>
          <w:tcPr>
            <w:tcW w:w="812" w:type="dxa"/>
            <w:tcBorders>
              <w:top w:val="single" w:sz="4" w:space="0" w:color="B6D5E4"/>
              <w:left w:val="nil"/>
              <w:bottom w:val="single" w:sz="4" w:space="0" w:color="B6D5E4"/>
              <w:right w:val="nil"/>
            </w:tcBorders>
            <w:shd w:val="clear" w:color="000000" w:fill="006991"/>
            <w:noWrap/>
            <w:vAlign w:val="center"/>
            <w:hideMark/>
          </w:tcPr>
          <w:p w14:paraId="6F9AF4DE" w14:textId="77777777" w:rsidR="007E365E" w:rsidRPr="001369B0"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69B0">
              <w:rPr>
                <w:rFonts w:ascii="Open Sans SemiBold" w:eastAsia="Times New Roman" w:hAnsi="Open Sans SemiBold" w:cs="Open Sans SemiBold"/>
                <w:color w:val="FFFFFF"/>
                <w:sz w:val="16"/>
                <w:szCs w:val="16"/>
                <w:lang w:eastAsia="en-AU"/>
              </w:rPr>
              <w:t>Qld</w:t>
            </w:r>
          </w:p>
        </w:tc>
        <w:tc>
          <w:tcPr>
            <w:tcW w:w="812" w:type="dxa"/>
            <w:tcBorders>
              <w:top w:val="single" w:sz="4" w:space="0" w:color="B6D5E4"/>
              <w:left w:val="nil"/>
              <w:bottom w:val="single" w:sz="4" w:space="0" w:color="B6D5E4"/>
              <w:right w:val="nil"/>
            </w:tcBorders>
            <w:shd w:val="clear" w:color="000000" w:fill="006991"/>
            <w:noWrap/>
            <w:vAlign w:val="center"/>
            <w:hideMark/>
          </w:tcPr>
          <w:p w14:paraId="26B0CC15" w14:textId="77777777" w:rsidR="007E365E" w:rsidRPr="001369B0"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69B0">
              <w:rPr>
                <w:rFonts w:ascii="Open Sans SemiBold" w:eastAsia="Times New Roman" w:hAnsi="Open Sans SemiBold" w:cs="Open Sans SemiBold"/>
                <w:color w:val="FFFFFF"/>
                <w:sz w:val="16"/>
                <w:szCs w:val="16"/>
                <w:lang w:eastAsia="en-AU"/>
              </w:rPr>
              <w:t>WA</w:t>
            </w:r>
          </w:p>
        </w:tc>
        <w:tc>
          <w:tcPr>
            <w:tcW w:w="713" w:type="dxa"/>
            <w:tcBorders>
              <w:top w:val="single" w:sz="4" w:space="0" w:color="B6D5E4"/>
              <w:left w:val="nil"/>
              <w:bottom w:val="single" w:sz="4" w:space="0" w:color="B6D5E4"/>
              <w:right w:val="nil"/>
            </w:tcBorders>
            <w:shd w:val="clear" w:color="000000" w:fill="006991"/>
            <w:noWrap/>
            <w:vAlign w:val="center"/>
            <w:hideMark/>
          </w:tcPr>
          <w:p w14:paraId="6791F69A" w14:textId="77777777" w:rsidR="007E365E" w:rsidRPr="001369B0"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69B0">
              <w:rPr>
                <w:rFonts w:ascii="Open Sans SemiBold" w:eastAsia="Times New Roman" w:hAnsi="Open Sans SemiBold" w:cs="Open Sans SemiBold"/>
                <w:color w:val="FFFFFF"/>
                <w:sz w:val="16"/>
                <w:szCs w:val="16"/>
                <w:lang w:eastAsia="en-AU"/>
              </w:rPr>
              <w:t>SA</w:t>
            </w:r>
          </w:p>
        </w:tc>
        <w:tc>
          <w:tcPr>
            <w:tcW w:w="812" w:type="dxa"/>
            <w:tcBorders>
              <w:top w:val="single" w:sz="4" w:space="0" w:color="B6D5E4"/>
              <w:left w:val="nil"/>
              <w:bottom w:val="single" w:sz="4" w:space="0" w:color="B6D5E4"/>
              <w:right w:val="nil"/>
            </w:tcBorders>
            <w:shd w:val="clear" w:color="000000" w:fill="006991"/>
            <w:noWrap/>
            <w:vAlign w:val="center"/>
            <w:hideMark/>
          </w:tcPr>
          <w:p w14:paraId="65AE5BE4" w14:textId="77777777" w:rsidR="007E365E" w:rsidRPr="001369B0"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69B0">
              <w:rPr>
                <w:rFonts w:ascii="Open Sans SemiBold" w:eastAsia="Times New Roman" w:hAnsi="Open Sans SemiBold" w:cs="Open Sans SemiBold"/>
                <w:color w:val="FFFFFF"/>
                <w:sz w:val="16"/>
                <w:szCs w:val="16"/>
                <w:lang w:eastAsia="en-AU"/>
              </w:rPr>
              <w:t>Tas</w:t>
            </w:r>
          </w:p>
        </w:tc>
        <w:tc>
          <w:tcPr>
            <w:tcW w:w="871" w:type="dxa"/>
            <w:tcBorders>
              <w:top w:val="single" w:sz="4" w:space="0" w:color="B6D5E4"/>
              <w:left w:val="nil"/>
              <w:bottom w:val="single" w:sz="4" w:space="0" w:color="B6D5E4"/>
              <w:right w:val="nil"/>
            </w:tcBorders>
            <w:shd w:val="clear" w:color="000000" w:fill="006991"/>
            <w:noWrap/>
            <w:vAlign w:val="center"/>
            <w:hideMark/>
          </w:tcPr>
          <w:p w14:paraId="6D0833E2" w14:textId="77777777" w:rsidR="007E365E" w:rsidRPr="001369B0"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69B0">
              <w:rPr>
                <w:rFonts w:ascii="Open Sans SemiBold" w:eastAsia="Times New Roman" w:hAnsi="Open Sans SemiBold" w:cs="Open Sans SemiBold"/>
                <w:color w:val="FFFFFF"/>
                <w:sz w:val="16"/>
                <w:szCs w:val="16"/>
                <w:lang w:eastAsia="en-AU"/>
              </w:rPr>
              <w:t>ACT</w:t>
            </w:r>
          </w:p>
        </w:tc>
        <w:tc>
          <w:tcPr>
            <w:tcW w:w="733" w:type="dxa"/>
            <w:tcBorders>
              <w:top w:val="single" w:sz="4" w:space="0" w:color="B6D5E4"/>
              <w:left w:val="nil"/>
              <w:bottom w:val="single" w:sz="4" w:space="0" w:color="B6D5E4"/>
              <w:right w:val="nil"/>
            </w:tcBorders>
            <w:shd w:val="clear" w:color="000000" w:fill="006991"/>
            <w:noWrap/>
            <w:vAlign w:val="center"/>
            <w:hideMark/>
          </w:tcPr>
          <w:p w14:paraId="6EBB612E" w14:textId="77777777" w:rsidR="007E365E" w:rsidRPr="001369B0"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69B0">
              <w:rPr>
                <w:rFonts w:ascii="Open Sans SemiBold" w:eastAsia="Times New Roman" w:hAnsi="Open Sans SemiBold" w:cs="Open Sans SemiBold"/>
                <w:color w:val="FFFFFF"/>
                <w:sz w:val="16"/>
                <w:szCs w:val="16"/>
                <w:lang w:eastAsia="en-AU"/>
              </w:rPr>
              <w:t>NT</w:t>
            </w:r>
          </w:p>
        </w:tc>
        <w:tc>
          <w:tcPr>
            <w:tcW w:w="990" w:type="dxa"/>
            <w:tcBorders>
              <w:top w:val="single" w:sz="4" w:space="0" w:color="B6D5E4"/>
              <w:left w:val="nil"/>
              <w:bottom w:val="single" w:sz="4" w:space="0" w:color="B6D5E4"/>
              <w:right w:val="nil"/>
            </w:tcBorders>
            <w:shd w:val="clear" w:color="000000" w:fill="006991"/>
            <w:noWrap/>
            <w:vAlign w:val="center"/>
            <w:hideMark/>
          </w:tcPr>
          <w:p w14:paraId="258C1A1F" w14:textId="77777777" w:rsidR="007E365E" w:rsidRPr="001369B0"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369B0">
              <w:rPr>
                <w:rFonts w:ascii="Open Sans SemiBold" w:eastAsia="Times New Roman" w:hAnsi="Open Sans SemiBold" w:cs="Open Sans SemiBold"/>
                <w:color w:val="FFFFFF"/>
                <w:sz w:val="16"/>
                <w:szCs w:val="16"/>
                <w:lang w:eastAsia="en-AU"/>
              </w:rPr>
              <w:t>Redist</w:t>
            </w:r>
          </w:p>
        </w:tc>
      </w:tr>
      <w:tr w:rsidR="007E365E" w:rsidRPr="001369B0" w14:paraId="2BDD759D" w14:textId="77777777" w:rsidTr="007D1D77">
        <w:trPr>
          <w:trHeight w:hRule="exact" w:val="318"/>
        </w:trPr>
        <w:tc>
          <w:tcPr>
            <w:tcW w:w="1524" w:type="dxa"/>
            <w:tcBorders>
              <w:top w:val="nil"/>
              <w:left w:val="nil"/>
              <w:bottom w:val="nil"/>
              <w:right w:val="nil"/>
            </w:tcBorders>
            <w:shd w:val="clear" w:color="auto" w:fill="auto"/>
            <w:vAlign w:val="bottom"/>
            <w:hideMark/>
          </w:tcPr>
          <w:p w14:paraId="58E2CAD7" w14:textId="77777777" w:rsidR="007E365E" w:rsidRPr="001369B0"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1369B0">
              <w:rPr>
                <w:rFonts w:eastAsia="Times New Roman" w:cs="Open Sans Light"/>
                <w:sz w:val="16"/>
                <w:szCs w:val="16"/>
                <w:lang w:eastAsia="en-AU"/>
              </w:rPr>
              <w:t>$ million</w:t>
            </w:r>
          </w:p>
        </w:tc>
        <w:tc>
          <w:tcPr>
            <w:tcW w:w="911" w:type="dxa"/>
            <w:tcBorders>
              <w:top w:val="nil"/>
              <w:left w:val="nil"/>
              <w:bottom w:val="nil"/>
              <w:right w:val="nil"/>
            </w:tcBorders>
            <w:shd w:val="clear" w:color="auto" w:fill="auto"/>
            <w:vAlign w:val="bottom"/>
            <w:hideMark/>
          </w:tcPr>
          <w:p w14:paraId="0F8C89FA"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1,240</w:t>
            </w:r>
          </w:p>
        </w:tc>
        <w:tc>
          <w:tcPr>
            <w:tcW w:w="773" w:type="dxa"/>
            <w:tcBorders>
              <w:top w:val="nil"/>
              <w:left w:val="nil"/>
              <w:bottom w:val="nil"/>
              <w:right w:val="nil"/>
            </w:tcBorders>
            <w:shd w:val="clear" w:color="auto" w:fill="auto"/>
            <w:vAlign w:val="bottom"/>
            <w:hideMark/>
          </w:tcPr>
          <w:p w14:paraId="1D95F691"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397</w:t>
            </w:r>
          </w:p>
        </w:tc>
        <w:tc>
          <w:tcPr>
            <w:tcW w:w="812" w:type="dxa"/>
            <w:tcBorders>
              <w:top w:val="nil"/>
              <w:left w:val="nil"/>
              <w:bottom w:val="nil"/>
              <w:right w:val="nil"/>
            </w:tcBorders>
            <w:shd w:val="clear" w:color="auto" w:fill="auto"/>
            <w:vAlign w:val="bottom"/>
            <w:hideMark/>
          </w:tcPr>
          <w:p w14:paraId="1D20DBBD"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-762</w:t>
            </w:r>
          </w:p>
        </w:tc>
        <w:tc>
          <w:tcPr>
            <w:tcW w:w="812" w:type="dxa"/>
            <w:tcBorders>
              <w:top w:val="nil"/>
              <w:left w:val="nil"/>
              <w:bottom w:val="nil"/>
              <w:right w:val="nil"/>
            </w:tcBorders>
            <w:shd w:val="clear" w:color="auto" w:fill="auto"/>
            <w:vAlign w:val="bottom"/>
            <w:hideMark/>
          </w:tcPr>
          <w:p w14:paraId="109AAAF1"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-259</w:t>
            </w:r>
          </w:p>
        </w:tc>
        <w:tc>
          <w:tcPr>
            <w:tcW w:w="713" w:type="dxa"/>
            <w:tcBorders>
              <w:top w:val="nil"/>
              <w:left w:val="nil"/>
              <w:bottom w:val="nil"/>
              <w:right w:val="nil"/>
            </w:tcBorders>
            <w:shd w:val="clear" w:color="auto" w:fill="auto"/>
            <w:vAlign w:val="bottom"/>
            <w:hideMark/>
          </w:tcPr>
          <w:p w14:paraId="189CABC1"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-277</w:t>
            </w:r>
          </w:p>
        </w:tc>
        <w:tc>
          <w:tcPr>
            <w:tcW w:w="812" w:type="dxa"/>
            <w:tcBorders>
              <w:top w:val="nil"/>
              <w:left w:val="nil"/>
              <w:bottom w:val="nil"/>
              <w:right w:val="nil"/>
            </w:tcBorders>
            <w:shd w:val="clear" w:color="auto" w:fill="auto"/>
            <w:vAlign w:val="bottom"/>
            <w:hideMark/>
          </w:tcPr>
          <w:p w14:paraId="4D75DA89"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-202</w:t>
            </w:r>
          </w:p>
        </w:tc>
        <w:tc>
          <w:tcPr>
            <w:tcW w:w="871" w:type="dxa"/>
            <w:tcBorders>
              <w:top w:val="nil"/>
              <w:left w:val="nil"/>
              <w:bottom w:val="nil"/>
              <w:right w:val="nil"/>
            </w:tcBorders>
            <w:shd w:val="clear" w:color="auto" w:fill="auto"/>
            <w:vAlign w:val="bottom"/>
            <w:hideMark/>
          </w:tcPr>
          <w:p w14:paraId="3D4DA84A"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-57</w:t>
            </w:r>
          </w:p>
        </w:tc>
        <w:tc>
          <w:tcPr>
            <w:tcW w:w="733" w:type="dxa"/>
            <w:tcBorders>
              <w:top w:val="nil"/>
              <w:left w:val="nil"/>
              <w:bottom w:val="nil"/>
              <w:right w:val="nil"/>
            </w:tcBorders>
            <w:shd w:val="clear" w:color="auto" w:fill="auto"/>
            <w:vAlign w:val="bottom"/>
            <w:hideMark/>
          </w:tcPr>
          <w:p w14:paraId="673DF5A6"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-80</w:t>
            </w:r>
          </w:p>
        </w:tc>
        <w:tc>
          <w:tcPr>
            <w:tcW w:w="990" w:type="dxa"/>
            <w:tcBorders>
              <w:top w:val="nil"/>
              <w:left w:val="nil"/>
              <w:bottom w:val="nil"/>
              <w:right w:val="nil"/>
            </w:tcBorders>
            <w:shd w:val="clear" w:color="auto" w:fill="auto"/>
            <w:vAlign w:val="bottom"/>
            <w:hideMark/>
          </w:tcPr>
          <w:p w14:paraId="4F05C82E"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1,637</w:t>
            </w:r>
          </w:p>
        </w:tc>
      </w:tr>
      <w:tr w:rsidR="007E365E" w:rsidRPr="001369B0" w14:paraId="54AF65A6" w14:textId="77777777" w:rsidTr="007D1D77">
        <w:trPr>
          <w:trHeight w:hRule="exact" w:val="318"/>
        </w:trPr>
        <w:tc>
          <w:tcPr>
            <w:tcW w:w="1524" w:type="dxa"/>
            <w:tcBorders>
              <w:top w:val="single" w:sz="4" w:space="0" w:color="B6D5E4"/>
              <w:left w:val="nil"/>
              <w:bottom w:val="single" w:sz="4" w:space="0" w:color="B6D5E4"/>
              <w:right w:val="nil"/>
            </w:tcBorders>
            <w:shd w:val="clear" w:color="auto" w:fill="auto"/>
            <w:vAlign w:val="bottom"/>
            <w:hideMark/>
          </w:tcPr>
          <w:p w14:paraId="69F5C6E6" w14:textId="77777777" w:rsidR="007E365E" w:rsidRPr="001369B0"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1369B0">
              <w:rPr>
                <w:rFonts w:eastAsia="Times New Roman" w:cs="Open Sans Light"/>
                <w:sz w:val="16"/>
                <w:szCs w:val="16"/>
                <w:lang w:eastAsia="en-AU"/>
              </w:rPr>
              <w:t>$ per capita</w:t>
            </w:r>
          </w:p>
        </w:tc>
        <w:tc>
          <w:tcPr>
            <w:tcW w:w="911" w:type="dxa"/>
            <w:tcBorders>
              <w:top w:val="single" w:sz="4" w:space="0" w:color="B6D5E4"/>
              <w:left w:val="nil"/>
              <w:bottom w:val="single" w:sz="4" w:space="0" w:color="B6D5E4"/>
              <w:right w:val="nil"/>
            </w:tcBorders>
            <w:shd w:val="clear" w:color="auto" w:fill="auto"/>
            <w:vAlign w:val="bottom"/>
            <w:hideMark/>
          </w:tcPr>
          <w:p w14:paraId="14DC4E9B"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149</w:t>
            </w:r>
          </w:p>
        </w:tc>
        <w:tc>
          <w:tcPr>
            <w:tcW w:w="773" w:type="dxa"/>
            <w:tcBorders>
              <w:top w:val="single" w:sz="4" w:space="0" w:color="B6D5E4"/>
              <w:left w:val="nil"/>
              <w:bottom w:val="single" w:sz="4" w:space="0" w:color="B6D5E4"/>
              <w:right w:val="nil"/>
            </w:tcBorders>
            <w:shd w:val="clear" w:color="auto" w:fill="auto"/>
            <w:vAlign w:val="bottom"/>
            <w:hideMark/>
          </w:tcPr>
          <w:p w14:paraId="62C05D1C"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58</w:t>
            </w:r>
          </w:p>
        </w:tc>
        <w:tc>
          <w:tcPr>
            <w:tcW w:w="812" w:type="dxa"/>
            <w:tcBorders>
              <w:top w:val="single" w:sz="4" w:space="0" w:color="B6D5E4"/>
              <w:left w:val="nil"/>
              <w:bottom w:val="single" w:sz="4" w:space="0" w:color="B6D5E4"/>
              <w:right w:val="nil"/>
            </w:tcBorders>
            <w:shd w:val="clear" w:color="auto" w:fill="auto"/>
            <w:vAlign w:val="bottom"/>
            <w:hideMark/>
          </w:tcPr>
          <w:p w14:paraId="08C0DBFC"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-146</w:t>
            </w:r>
          </w:p>
        </w:tc>
        <w:tc>
          <w:tcPr>
            <w:tcW w:w="812" w:type="dxa"/>
            <w:tcBorders>
              <w:top w:val="single" w:sz="4" w:space="0" w:color="B6D5E4"/>
              <w:left w:val="nil"/>
              <w:bottom w:val="single" w:sz="4" w:space="0" w:color="B6D5E4"/>
              <w:right w:val="nil"/>
            </w:tcBorders>
            <w:shd w:val="clear" w:color="auto" w:fill="auto"/>
            <w:vAlign w:val="bottom"/>
            <w:hideMark/>
          </w:tcPr>
          <w:p w14:paraId="69C3F9BB"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-97</w:t>
            </w:r>
          </w:p>
        </w:tc>
        <w:tc>
          <w:tcPr>
            <w:tcW w:w="713" w:type="dxa"/>
            <w:tcBorders>
              <w:top w:val="single" w:sz="4" w:space="0" w:color="B6D5E4"/>
              <w:left w:val="nil"/>
              <w:bottom w:val="single" w:sz="4" w:space="0" w:color="B6D5E4"/>
              <w:right w:val="nil"/>
            </w:tcBorders>
            <w:shd w:val="clear" w:color="auto" w:fill="auto"/>
            <w:vAlign w:val="bottom"/>
            <w:hideMark/>
          </w:tcPr>
          <w:p w14:paraId="1E507B10"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-156</w:t>
            </w:r>
          </w:p>
        </w:tc>
        <w:tc>
          <w:tcPr>
            <w:tcW w:w="812" w:type="dxa"/>
            <w:tcBorders>
              <w:top w:val="single" w:sz="4" w:space="0" w:color="B6D5E4"/>
              <w:left w:val="nil"/>
              <w:bottom w:val="single" w:sz="4" w:space="0" w:color="B6D5E4"/>
              <w:right w:val="nil"/>
            </w:tcBorders>
            <w:shd w:val="clear" w:color="auto" w:fill="auto"/>
            <w:vAlign w:val="bottom"/>
            <w:hideMark/>
          </w:tcPr>
          <w:p w14:paraId="108DDF85"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-370</w:t>
            </w:r>
          </w:p>
        </w:tc>
        <w:tc>
          <w:tcPr>
            <w:tcW w:w="871" w:type="dxa"/>
            <w:tcBorders>
              <w:top w:val="single" w:sz="4" w:space="0" w:color="B6D5E4"/>
              <w:left w:val="nil"/>
              <w:bottom w:val="single" w:sz="4" w:space="0" w:color="B6D5E4"/>
              <w:right w:val="nil"/>
            </w:tcBorders>
            <w:shd w:val="clear" w:color="auto" w:fill="auto"/>
            <w:vAlign w:val="bottom"/>
            <w:hideMark/>
          </w:tcPr>
          <w:p w14:paraId="2DC4A877"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-130</w:t>
            </w:r>
          </w:p>
        </w:tc>
        <w:tc>
          <w:tcPr>
            <w:tcW w:w="733" w:type="dxa"/>
            <w:tcBorders>
              <w:top w:val="single" w:sz="4" w:space="0" w:color="B6D5E4"/>
              <w:left w:val="nil"/>
              <w:bottom w:val="single" w:sz="4" w:space="0" w:color="B6D5E4"/>
              <w:right w:val="nil"/>
            </w:tcBorders>
            <w:shd w:val="clear" w:color="auto" w:fill="auto"/>
            <w:vAlign w:val="bottom"/>
            <w:hideMark/>
          </w:tcPr>
          <w:p w14:paraId="6C7FAB14"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-327</w:t>
            </w:r>
          </w:p>
        </w:tc>
        <w:tc>
          <w:tcPr>
            <w:tcW w:w="990" w:type="dxa"/>
            <w:tcBorders>
              <w:top w:val="single" w:sz="4" w:space="0" w:color="B6D5E4"/>
              <w:left w:val="nil"/>
              <w:bottom w:val="single" w:sz="4" w:space="0" w:color="B6D5E4"/>
              <w:right w:val="nil"/>
            </w:tcBorders>
            <w:shd w:val="clear" w:color="auto" w:fill="auto"/>
            <w:vAlign w:val="bottom"/>
            <w:hideMark/>
          </w:tcPr>
          <w:p w14:paraId="78D313E6" w14:textId="77777777" w:rsidR="007E365E" w:rsidRPr="001369B0"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1369B0">
              <w:rPr>
                <w:rFonts w:eastAsia="Times New Roman" w:cs="Open Sans Light"/>
                <w:sz w:val="16"/>
                <w:szCs w:val="16"/>
                <w:lang w:eastAsia="en-AU"/>
              </w:rPr>
              <w:t>63</w:t>
            </w:r>
          </w:p>
        </w:tc>
      </w:tr>
    </w:tbl>
    <w:p w14:paraId="67DB7E53" w14:textId="7E849FF2" w:rsidR="007E365E" w:rsidRPr="00976585" w:rsidRDefault="007E365E" w:rsidP="007E365E">
      <w:pPr>
        <w:pStyle w:val="CGCTablenote"/>
        <w:keepNext/>
        <w:keepLines/>
        <w:widowControl w:val="0"/>
      </w:pPr>
      <w:r w:rsidRPr="00976585">
        <w:t>Note:</w:t>
      </w:r>
      <w:r>
        <w:tab/>
      </w:r>
      <w:r w:rsidRPr="00976585">
        <w:t xml:space="preserve">The redistribution is the difference from an EPC assessment. This redistribution is for transport expenses only. </w:t>
      </w:r>
      <w:r w:rsidRPr="00976585">
        <w:fldChar w:fldCharType="begin"/>
      </w:r>
      <w:r w:rsidRPr="00976585">
        <w:instrText xml:space="preserve"> REF _Ref9930033 \h  \* MERGEFORMAT </w:instrText>
      </w:r>
      <w:r w:rsidRPr="00976585">
        <w:fldChar w:fldCharType="separate"/>
      </w:r>
      <w:r w:rsidR="007F721A" w:rsidRPr="00E23377">
        <w:t xml:space="preserve">Table </w:t>
      </w:r>
      <w:r w:rsidR="007F721A">
        <w:rPr>
          <w:noProof/>
        </w:rPr>
        <w:t>20-31</w:t>
      </w:r>
      <w:r w:rsidRPr="00976585">
        <w:fldChar w:fldCharType="end"/>
      </w:r>
      <w:r w:rsidRPr="00976585">
        <w:t xml:space="preserve"> shows the redistribution for the transport investment assessment.</w:t>
      </w:r>
    </w:p>
    <w:p w14:paraId="6A8A1B01" w14:textId="77777777" w:rsidR="007E365E" w:rsidRPr="00976585" w:rsidRDefault="007E365E" w:rsidP="007E365E">
      <w:pPr>
        <w:pStyle w:val="CGCTablenote"/>
        <w:keepNext/>
        <w:keepLines/>
        <w:widowControl w:val="0"/>
      </w:pPr>
      <w:r w:rsidRPr="00976585">
        <w:t>Source:</w:t>
      </w:r>
      <w:r w:rsidRPr="00976585">
        <w:tab/>
        <w:t>Commission calculation.</w:t>
      </w:r>
    </w:p>
    <w:p w14:paraId="4F3AE1EF" w14:textId="342075CE" w:rsidR="007E365E" w:rsidRPr="00976585" w:rsidRDefault="007E365E" w:rsidP="007E365E">
      <w:pPr>
        <w:pStyle w:val="CGCParaNumber"/>
      </w:pPr>
      <w:r>
        <w:fldChar w:fldCharType="begin"/>
      </w:r>
      <w:r>
        <w:instrText xml:space="preserve"> REF _Ref32849855 \h </w:instrText>
      </w:r>
      <w:r>
        <w:fldChar w:fldCharType="separate"/>
      </w:r>
      <w:r w:rsidR="007F721A" w:rsidRPr="00976585">
        <w:t xml:space="preserve">Table </w:t>
      </w:r>
      <w:r w:rsidR="007F721A">
        <w:t>21-</w:t>
      </w:r>
      <w:r w:rsidR="007F721A">
        <w:rPr>
          <w:noProof/>
        </w:rPr>
        <w:t>18</w:t>
      </w:r>
      <w:r>
        <w:fldChar w:fldCharType="end"/>
      </w:r>
      <w:r w:rsidRPr="00976585">
        <w:t xml:space="preserve"> provides a summary of the main disabilities contributing to the redistribution from an EPC assessment for this category. </w:t>
      </w:r>
    </w:p>
    <w:p w14:paraId="20FA6F3C" w14:textId="0459342D" w:rsidR="007E365E" w:rsidRPr="00976585" w:rsidRDefault="007E365E" w:rsidP="007E365E">
      <w:pPr>
        <w:pStyle w:val="Caption"/>
        <w:widowControl w:val="0"/>
      </w:pPr>
      <w:bookmarkStart w:id="280" w:name="_Ref32849855"/>
      <w:r w:rsidRPr="00976585">
        <w:lastRenderedPageBreak/>
        <w:t xml:space="preserve">Table </w:t>
      </w:r>
      <w:r>
        <w:t>21-</w:t>
      </w:r>
      <w:fldSimple w:instr=" SEQ Table \* ARABIC ">
        <w:r w:rsidR="007F721A">
          <w:rPr>
            <w:noProof/>
          </w:rPr>
          <w:t>18</w:t>
        </w:r>
      </w:fldSimple>
      <w:bookmarkEnd w:id="280"/>
      <w:r w:rsidRPr="00976585">
        <w:tab/>
      </w:r>
      <w:r>
        <w:tab/>
      </w:r>
      <w:r w:rsidRPr="00976585">
        <w:t xml:space="preserve">Major reasons for the </w:t>
      </w:r>
      <w:r>
        <w:t xml:space="preserve">illustrative </w:t>
      </w:r>
      <w:r w:rsidRPr="00976585">
        <w:t xml:space="preserve">redistribution, Transport expenses, </w:t>
      </w:r>
      <w:r>
        <w:t>2020</w:t>
      </w:r>
      <w:r>
        <w:noBreakHyphen/>
        <w:t>21</w:t>
      </w:r>
    </w:p>
    <w:tbl>
      <w:tblPr>
        <w:tblW w:w="8951" w:type="dxa"/>
        <w:tblLayout w:type="fixed"/>
        <w:tblCellMar>
          <w:left w:w="28" w:type="dxa"/>
          <w:right w:w="28" w:type="dxa"/>
        </w:tblCellMar>
        <w:tblLook w:val="04A0" w:firstRow="1" w:lastRow="0" w:firstColumn="1" w:lastColumn="0" w:noHBand="0" w:noVBand="1"/>
      </w:tblPr>
      <w:tblGrid>
        <w:gridCol w:w="2268"/>
        <w:gridCol w:w="744"/>
        <w:gridCol w:w="745"/>
        <w:gridCol w:w="744"/>
        <w:gridCol w:w="745"/>
        <w:gridCol w:w="745"/>
        <w:gridCol w:w="744"/>
        <w:gridCol w:w="745"/>
        <w:gridCol w:w="745"/>
        <w:gridCol w:w="726"/>
      </w:tblGrid>
      <w:tr w:rsidR="007E365E" w:rsidRPr="004D434F" w14:paraId="357C0CDA" w14:textId="77777777" w:rsidTr="007D1D77">
        <w:trPr>
          <w:trHeight w:val="379"/>
        </w:trPr>
        <w:tc>
          <w:tcPr>
            <w:tcW w:w="2268" w:type="dxa"/>
            <w:tcBorders>
              <w:top w:val="single" w:sz="4" w:space="0" w:color="B6D5E4"/>
              <w:left w:val="nil"/>
              <w:bottom w:val="single" w:sz="4" w:space="0" w:color="B6D5E4"/>
              <w:right w:val="nil"/>
            </w:tcBorders>
            <w:shd w:val="clear" w:color="000000" w:fill="006991"/>
            <w:noWrap/>
            <w:vAlign w:val="center"/>
            <w:hideMark/>
          </w:tcPr>
          <w:p w14:paraId="428A095E" w14:textId="77777777" w:rsidR="007E365E" w:rsidRPr="004D434F" w:rsidRDefault="007E365E" w:rsidP="007D1D77">
            <w:pPr>
              <w:keepNext/>
              <w:keepLines/>
              <w:widowControl w:val="0"/>
              <w:tabs>
                <w:tab w:val="clear" w:pos="567"/>
              </w:tabs>
              <w:spacing w:before="0" w:line="240" w:lineRule="auto"/>
              <w:rPr>
                <w:rFonts w:ascii="Open Sans SemiBold" w:eastAsia="Times New Roman" w:hAnsi="Open Sans SemiBold" w:cs="Open Sans SemiBold"/>
                <w:color w:val="FFFFFF"/>
                <w:sz w:val="16"/>
                <w:szCs w:val="16"/>
                <w:lang w:eastAsia="en-AU"/>
              </w:rPr>
            </w:pPr>
            <w:r w:rsidRPr="004D434F">
              <w:rPr>
                <w:rFonts w:ascii="Open Sans SemiBold" w:eastAsia="Times New Roman" w:hAnsi="Open Sans SemiBold" w:cs="Open Sans SemiBold"/>
                <w:color w:val="FFFFFF"/>
                <w:sz w:val="16"/>
                <w:szCs w:val="16"/>
                <w:lang w:eastAsia="en-AU"/>
              </w:rPr>
              <w:t> </w:t>
            </w:r>
          </w:p>
        </w:tc>
        <w:tc>
          <w:tcPr>
            <w:tcW w:w="744" w:type="dxa"/>
            <w:tcBorders>
              <w:top w:val="single" w:sz="4" w:space="0" w:color="B6D5E4"/>
              <w:left w:val="nil"/>
              <w:bottom w:val="single" w:sz="4" w:space="0" w:color="B6D5E4"/>
              <w:right w:val="nil"/>
            </w:tcBorders>
            <w:shd w:val="clear" w:color="000000" w:fill="006991"/>
            <w:noWrap/>
            <w:vAlign w:val="center"/>
            <w:hideMark/>
          </w:tcPr>
          <w:p w14:paraId="44963A4F"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434F">
              <w:rPr>
                <w:rFonts w:ascii="Open Sans SemiBold" w:eastAsia="Times New Roman" w:hAnsi="Open Sans SemiBold" w:cs="Open Sans SemiBold"/>
                <w:color w:val="FFFFFF"/>
                <w:sz w:val="16"/>
                <w:szCs w:val="16"/>
                <w:lang w:eastAsia="en-AU"/>
              </w:rPr>
              <w:t>NSW</w:t>
            </w:r>
          </w:p>
        </w:tc>
        <w:tc>
          <w:tcPr>
            <w:tcW w:w="745" w:type="dxa"/>
            <w:tcBorders>
              <w:top w:val="single" w:sz="4" w:space="0" w:color="B6D5E4"/>
              <w:left w:val="nil"/>
              <w:bottom w:val="single" w:sz="4" w:space="0" w:color="B6D5E4"/>
              <w:right w:val="nil"/>
            </w:tcBorders>
            <w:shd w:val="clear" w:color="000000" w:fill="006991"/>
            <w:noWrap/>
            <w:vAlign w:val="center"/>
            <w:hideMark/>
          </w:tcPr>
          <w:p w14:paraId="5247B666"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434F">
              <w:rPr>
                <w:rFonts w:ascii="Open Sans SemiBold" w:eastAsia="Times New Roman" w:hAnsi="Open Sans SemiBold" w:cs="Open Sans SemiBold"/>
                <w:color w:val="FFFFFF"/>
                <w:sz w:val="16"/>
                <w:szCs w:val="16"/>
                <w:lang w:eastAsia="en-AU"/>
              </w:rPr>
              <w:t>Vic</w:t>
            </w:r>
          </w:p>
        </w:tc>
        <w:tc>
          <w:tcPr>
            <w:tcW w:w="744" w:type="dxa"/>
            <w:tcBorders>
              <w:top w:val="single" w:sz="4" w:space="0" w:color="B6D5E4"/>
              <w:left w:val="nil"/>
              <w:bottom w:val="single" w:sz="4" w:space="0" w:color="B6D5E4"/>
              <w:right w:val="nil"/>
            </w:tcBorders>
            <w:shd w:val="clear" w:color="000000" w:fill="006991"/>
            <w:noWrap/>
            <w:vAlign w:val="center"/>
            <w:hideMark/>
          </w:tcPr>
          <w:p w14:paraId="242D4EC2"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434F">
              <w:rPr>
                <w:rFonts w:ascii="Open Sans SemiBold" w:eastAsia="Times New Roman" w:hAnsi="Open Sans SemiBold" w:cs="Open Sans SemiBold"/>
                <w:color w:val="FFFFFF"/>
                <w:sz w:val="16"/>
                <w:szCs w:val="16"/>
                <w:lang w:eastAsia="en-AU"/>
              </w:rPr>
              <w:t>Qld</w:t>
            </w:r>
          </w:p>
        </w:tc>
        <w:tc>
          <w:tcPr>
            <w:tcW w:w="745" w:type="dxa"/>
            <w:tcBorders>
              <w:top w:val="single" w:sz="4" w:space="0" w:color="B6D5E4"/>
              <w:left w:val="nil"/>
              <w:bottom w:val="single" w:sz="4" w:space="0" w:color="B6D5E4"/>
              <w:right w:val="nil"/>
            </w:tcBorders>
            <w:shd w:val="clear" w:color="000000" w:fill="006991"/>
            <w:noWrap/>
            <w:vAlign w:val="center"/>
            <w:hideMark/>
          </w:tcPr>
          <w:p w14:paraId="79332AEF"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434F">
              <w:rPr>
                <w:rFonts w:ascii="Open Sans SemiBold" w:eastAsia="Times New Roman" w:hAnsi="Open Sans SemiBold" w:cs="Open Sans SemiBold"/>
                <w:color w:val="FFFFFF"/>
                <w:sz w:val="16"/>
                <w:szCs w:val="16"/>
                <w:lang w:eastAsia="en-AU"/>
              </w:rPr>
              <w:t>WA</w:t>
            </w:r>
          </w:p>
        </w:tc>
        <w:tc>
          <w:tcPr>
            <w:tcW w:w="745" w:type="dxa"/>
            <w:tcBorders>
              <w:top w:val="single" w:sz="4" w:space="0" w:color="B6D5E4"/>
              <w:left w:val="nil"/>
              <w:bottom w:val="single" w:sz="4" w:space="0" w:color="B6D5E4"/>
              <w:right w:val="nil"/>
            </w:tcBorders>
            <w:shd w:val="clear" w:color="000000" w:fill="006991"/>
            <w:noWrap/>
            <w:vAlign w:val="center"/>
            <w:hideMark/>
          </w:tcPr>
          <w:p w14:paraId="3B031773"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434F">
              <w:rPr>
                <w:rFonts w:ascii="Open Sans SemiBold" w:eastAsia="Times New Roman" w:hAnsi="Open Sans SemiBold" w:cs="Open Sans SemiBold"/>
                <w:color w:val="FFFFFF"/>
                <w:sz w:val="16"/>
                <w:szCs w:val="16"/>
                <w:lang w:eastAsia="en-AU"/>
              </w:rPr>
              <w:t>SA</w:t>
            </w:r>
          </w:p>
        </w:tc>
        <w:tc>
          <w:tcPr>
            <w:tcW w:w="744" w:type="dxa"/>
            <w:tcBorders>
              <w:top w:val="single" w:sz="4" w:space="0" w:color="B6D5E4"/>
              <w:left w:val="nil"/>
              <w:bottom w:val="single" w:sz="4" w:space="0" w:color="B6D5E4"/>
              <w:right w:val="nil"/>
            </w:tcBorders>
            <w:shd w:val="clear" w:color="000000" w:fill="006991"/>
            <w:noWrap/>
            <w:vAlign w:val="center"/>
            <w:hideMark/>
          </w:tcPr>
          <w:p w14:paraId="00A75DBD"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434F">
              <w:rPr>
                <w:rFonts w:ascii="Open Sans SemiBold" w:eastAsia="Times New Roman" w:hAnsi="Open Sans SemiBold" w:cs="Open Sans SemiBold"/>
                <w:color w:val="FFFFFF"/>
                <w:sz w:val="16"/>
                <w:szCs w:val="16"/>
                <w:lang w:eastAsia="en-AU"/>
              </w:rPr>
              <w:t>Tas</w:t>
            </w:r>
          </w:p>
        </w:tc>
        <w:tc>
          <w:tcPr>
            <w:tcW w:w="745" w:type="dxa"/>
            <w:tcBorders>
              <w:top w:val="single" w:sz="4" w:space="0" w:color="B6D5E4"/>
              <w:left w:val="nil"/>
              <w:bottom w:val="single" w:sz="4" w:space="0" w:color="B6D5E4"/>
              <w:right w:val="nil"/>
            </w:tcBorders>
            <w:shd w:val="clear" w:color="000000" w:fill="006991"/>
            <w:noWrap/>
            <w:vAlign w:val="center"/>
            <w:hideMark/>
          </w:tcPr>
          <w:p w14:paraId="2FC3CFA9"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434F">
              <w:rPr>
                <w:rFonts w:ascii="Open Sans SemiBold" w:eastAsia="Times New Roman" w:hAnsi="Open Sans SemiBold" w:cs="Open Sans SemiBold"/>
                <w:color w:val="FFFFFF"/>
                <w:sz w:val="16"/>
                <w:szCs w:val="16"/>
                <w:lang w:eastAsia="en-AU"/>
              </w:rPr>
              <w:t>ACT</w:t>
            </w:r>
          </w:p>
        </w:tc>
        <w:tc>
          <w:tcPr>
            <w:tcW w:w="745" w:type="dxa"/>
            <w:tcBorders>
              <w:top w:val="single" w:sz="4" w:space="0" w:color="B6D5E4"/>
              <w:left w:val="nil"/>
              <w:bottom w:val="single" w:sz="4" w:space="0" w:color="B6D5E4"/>
              <w:right w:val="nil"/>
            </w:tcBorders>
            <w:shd w:val="clear" w:color="000000" w:fill="006991"/>
            <w:noWrap/>
            <w:vAlign w:val="center"/>
            <w:hideMark/>
          </w:tcPr>
          <w:p w14:paraId="0602627D"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434F">
              <w:rPr>
                <w:rFonts w:ascii="Open Sans SemiBold" w:eastAsia="Times New Roman" w:hAnsi="Open Sans SemiBold" w:cs="Open Sans SemiBold"/>
                <w:color w:val="FFFFFF"/>
                <w:sz w:val="16"/>
                <w:szCs w:val="16"/>
                <w:lang w:eastAsia="en-AU"/>
              </w:rPr>
              <w:t>NT</w:t>
            </w:r>
          </w:p>
        </w:tc>
        <w:tc>
          <w:tcPr>
            <w:tcW w:w="726" w:type="dxa"/>
            <w:tcBorders>
              <w:top w:val="single" w:sz="4" w:space="0" w:color="B6D5E4"/>
              <w:left w:val="nil"/>
              <w:bottom w:val="single" w:sz="4" w:space="0" w:color="B6D5E4"/>
              <w:right w:val="nil"/>
            </w:tcBorders>
            <w:shd w:val="clear" w:color="000000" w:fill="006991"/>
            <w:noWrap/>
            <w:vAlign w:val="center"/>
            <w:hideMark/>
          </w:tcPr>
          <w:p w14:paraId="2488F718"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D434F">
              <w:rPr>
                <w:rFonts w:ascii="Open Sans SemiBold" w:eastAsia="Times New Roman" w:hAnsi="Open Sans SemiBold" w:cs="Open Sans SemiBold"/>
                <w:color w:val="FFFFFF"/>
                <w:sz w:val="16"/>
                <w:szCs w:val="16"/>
                <w:lang w:eastAsia="en-AU"/>
              </w:rPr>
              <w:t>Redist</w:t>
            </w:r>
          </w:p>
        </w:tc>
      </w:tr>
      <w:tr w:rsidR="007E365E" w:rsidRPr="004D434F" w14:paraId="6CABE8CA" w14:textId="77777777" w:rsidTr="007D1D77">
        <w:trPr>
          <w:trHeight w:val="255"/>
        </w:trPr>
        <w:tc>
          <w:tcPr>
            <w:tcW w:w="2268" w:type="dxa"/>
            <w:tcBorders>
              <w:top w:val="nil"/>
              <w:left w:val="nil"/>
              <w:bottom w:val="nil"/>
              <w:right w:val="nil"/>
            </w:tcBorders>
            <w:shd w:val="clear" w:color="000000" w:fill="B6D5E4"/>
            <w:noWrap/>
            <w:vAlign w:val="center"/>
            <w:hideMark/>
          </w:tcPr>
          <w:p w14:paraId="7305E112"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 </w:t>
            </w:r>
          </w:p>
        </w:tc>
        <w:tc>
          <w:tcPr>
            <w:tcW w:w="744" w:type="dxa"/>
            <w:tcBorders>
              <w:top w:val="nil"/>
              <w:left w:val="nil"/>
              <w:bottom w:val="nil"/>
              <w:right w:val="nil"/>
            </w:tcBorders>
            <w:shd w:val="clear" w:color="000000" w:fill="B6D5E4"/>
            <w:vAlign w:val="center"/>
            <w:hideMark/>
          </w:tcPr>
          <w:p w14:paraId="439857D7"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$m</w:t>
            </w:r>
          </w:p>
        </w:tc>
        <w:tc>
          <w:tcPr>
            <w:tcW w:w="745" w:type="dxa"/>
            <w:tcBorders>
              <w:top w:val="nil"/>
              <w:left w:val="nil"/>
              <w:bottom w:val="nil"/>
              <w:right w:val="nil"/>
            </w:tcBorders>
            <w:shd w:val="clear" w:color="000000" w:fill="B6D5E4"/>
            <w:vAlign w:val="center"/>
            <w:hideMark/>
          </w:tcPr>
          <w:p w14:paraId="466EA6F3"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$m</w:t>
            </w:r>
          </w:p>
        </w:tc>
        <w:tc>
          <w:tcPr>
            <w:tcW w:w="744" w:type="dxa"/>
            <w:tcBorders>
              <w:top w:val="nil"/>
              <w:left w:val="nil"/>
              <w:bottom w:val="nil"/>
              <w:right w:val="nil"/>
            </w:tcBorders>
            <w:shd w:val="clear" w:color="000000" w:fill="B6D5E4"/>
            <w:vAlign w:val="center"/>
            <w:hideMark/>
          </w:tcPr>
          <w:p w14:paraId="1E079BEF"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$m</w:t>
            </w:r>
          </w:p>
        </w:tc>
        <w:tc>
          <w:tcPr>
            <w:tcW w:w="745" w:type="dxa"/>
            <w:tcBorders>
              <w:top w:val="nil"/>
              <w:left w:val="nil"/>
              <w:bottom w:val="nil"/>
              <w:right w:val="nil"/>
            </w:tcBorders>
            <w:shd w:val="clear" w:color="000000" w:fill="B6D5E4"/>
            <w:vAlign w:val="center"/>
            <w:hideMark/>
          </w:tcPr>
          <w:p w14:paraId="24F5E9A1"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$m</w:t>
            </w:r>
          </w:p>
        </w:tc>
        <w:tc>
          <w:tcPr>
            <w:tcW w:w="745" w:type="dxa"/>
            <w:tcBorders>
              <w:top w:val="nil"/>
              <w:left w:val="nil"/>
              <w:bottom w:val="nil"/>
              <w:right w:val="nil"/>
            </w:tcBorders>
            <w:shd w:val="clear" w:color="000000" w:fill="B6D5E4"/>
            <w:vAlign w:val="center"/>
            <w:hideMark/>
          </w:tcPr>
          <w:p w14:paraId="09109C1C"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$m</w:t>
            </w:r>
          </w:p>
        </w:tc>
        <w:tc>
          <w:tcPr>
            <w:tcW w:w="744" w:type="dxa"/>
            <w:tcBorders>
              <w:top w:val="nil"/>
              <w:left w:val="nil"/>
              <w:bottom w:val="nil"/>
              <w:right w:val="nil"/>
            </w:tcBorders>
            <w:shd w:val="clear" w:color="000000" w:fill="B6D5E4"/>
            <w:vAlign w:val="center"/>
            <w:hideMark/>
          </w:tcPr>
          <w:p w14:paraId="5D4190BF"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$m</w:t>
            </w:r>
          </w:p>
        </w:tc>
        <w:tc>
          <w:tcPr>
            <w:tcW w:w="745" w:type="dxa"/>
            <w:tcBorders>
              <w:top w:val="nil"/>
              <w:left w:val="nil"/>
              <w:bottom w:val="nil"/>
              <w:right w:val="nil"/>
            </w:tcBorders>
            <w:shd w:val="clear" w:color="000000" w:fill="B6D5E4"/>
            <w:vAlign w:val="center"/>
            <w:hideMark/>
          </w:tcPr>
          <w:p w14:paraId="375AE087"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$m</w:t>
            </w:r>
          </w:p>
        </w:tc>
        <w:tc>
          <w:tcPr>
            <w:tcW w:w="745" w:type="dxa"/>
            <w:tcBorders>
              <w:top w:val="nil"/>
              <w:left w:val="nil"/>
              <w:bottom w:val="nil"/>
              <w:right w:val="nil"/>
            </w:tcBorders>
            <w:shd w:val="clear" w:color="000000" w:fill="B6D5E4"/>
            <w:vAlign w:val="center"/>
            <w:hideMark/>
          </w:tcPr>
          <w:p w14:paraId="34647F86"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$m</w:t>
            </w:r>
          </w:p>
        </w:tc>
        <w:tc>
          <w:tcPr>
            <w:tcW w:w="726" w:type="dxa"/>
            <w:tcBorders>
              <w:top w:val="nil"/>
              <w:left w:val="nil"/>
              <w:bottom w:val="nil"/>
              <w:right w:val="nil"/>
            </w:tcBorders>
            <w:shd w:val="clear" w:color="000000" w:fill="B6D5E4"/>
            <w:vAlign w:val="center"/>
            <w:hideMark/>
          </w:tcPr>
          <w:p w14:paraId="0E7D016A"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$m</w:t>
            </w:r>
          </w:p>
        </w:tc>
      </w:tr>
      <w:tr w:rsidR="007E365E" w:rsidRPr="004D434F" w14:paraId="0C0922F3" w14:textId="77777777" w:rsidTr="007D1D77">
        <w:trPr>
          <w:trHeight w:hRule="exact" w:val="318"/>
        </w:trPr>
        <w:tc>
          <w:tcPr>
            <w:tcW w:w="2268" w:type="dxa"/>
            <w:tcBorders>
              <w:top w:val="single" w:sz="4" w:space="0" w:color="B6D5E4"/>
              <w:left w:val="nil"/>
              <w:bottom w:val="single" w:sz="4" w:space="0" w:color="B6D5E4"/>
              <w:right w:val="nil"/>
            </w:tcBorders>
            <w:shd w:val="clear" w:color="auto" w:fill="auto"/>
            <w:noWrap/>
            <w:vAlign w:val="bottom"/>
            <w:hideMark/>
          </w:tcPr>
          <w:p w14:paraId="1A0E90CF" w14:textId="77777777" w:rsidR="007E365E" w:rsidRPr="004D434F"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4D434F">
              <w:rPr>
                <w:rFonts w:eastAsia="Times New Roman" w:cs="Open Sans Light"/>
                <w:sz w:val="16"/>
                <w:szCs w:val="16"/>
                <w:lang w:eastAsia="en-AU"/>
              </w:rPr>
              <w:t>Urban centre characteristics</w:t>
            </w:r>
          </w:p>
        </w:tc>
        <w:tc>
          <w:tcPr>
            <w:tcW w:w="744" w:type="dxa"/>
            <w:tcBorders>
              <w:top w:val="single" w:sz="4" w:space="0" w:color="B6D5E4"/>
              <w:left w:val="nil"/>
              <w:bottom w:val="single" w:sz="4" w:space="0" w:color="B6D5E4"/>
              <w:right w:val="nil"/>
            </w:tcBorders>
            <w:shd w:val="clear" w:color="auto" w:fill="auto"/>
            <w:vAlign w:val="bottom"/>
            <w:hideMark/>
          </w:tcPr>
          <w:p w14:paraId="3BD61FC1"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1,210</w:t>
            </w:r>
          </w:p>
        </w:tc>
        <w:tc>
          <w:tcPr>
            <w:tcW w:w="745" w:type="dxa"/>
            <w:tcBorders>
              <w:top w:val="single" w:sz="4" w:space="0" w:color="B6D5E4"/>
              <w:left w:val="nil"/>
              <w:bottom w:val="single" w:sz="4" w:space="0" w:color="B6D5E4"/>
              <w:right w:val="nil"/>
            </w:tcBorders>
            <w:shd w:val="clear" w:color="auto" w:fill="auto"/>
            <w:vAlign w:val="bottom"/>
            <w:hideMark/>
          </w:tcPr>
          <w:p w14:paraId="208CFEB0"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387</w:t>
            </w:r>
          </w:p>
        </w:tc>
        <w:tc>
          <w:tcPr>
            <w:tcW w:w="744" w:type="dxa"/>
            <w:tcBorders>
              <w:top w:val="single" w:sz="4" w:space="0" w:color="B6D5E4"/>
              <w:left w:val="nil"/>
              <w:bottom w:val="single" w:sz="4" w:space="0" w:color="B6D5E4"/>
              <w:right w:val="nil"/>
            </w:tcBorders>
            <w:shd w:val="clear" w:color="auto" w:fill="auto"/>
            <w:vAlign w:val="bottom"/>
            <w:hideMark/>
          </w:tcPr>
          <w:p w14:paraId="5C137C07"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-725</w:t>
            </w:r>
          </w:p>
        </w:tc>
        <w:tc>
          <w:tcPr>
            <w:tcW w:w="745" w:type="dxa"/>
            <w:tcBorders>
              <w:top w:val="single" w:sz="4" w:space="0" w:color="B6D5E4"/>
              <w:left w:val="nil"/>
              <w:bottom w:val="single" w:sz="4" w:space="0" w:color="B6D5E4"/>
              <w:right w:val="nil"/>
            </w:tcBorders>
            <w:shd w:val="clear" w:color="auto" w:fill="auto"/>
            <w:vAlign w:val="bottom"/>
            <w:hideMark/>
          </w:tcPr>
          <w:p w14:paraId="728A0D6E"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-286</w:t>
            </w:r>
          </w:p>
        </w:tc>
        <w:tc>
          <w:tcPr>
            <w:tcW w:w="745" w:type="dxa"/>
            <w:tcBorders>
              <w:top w:val="single" w:sz="4" w:space="0" w:color="B6D5E4"/>
              <w:left w:val="nil"/>
              <w:bottom w:val="single" w:sz="4" w:space="0" w:color="B6D5E4"/>
              <w:right w:val="nil"/>
            </w:tcBorders>
            <w:shd w:val="clear" w:color="auto" w:fill="auto"/>
            <w:vAlign w:val="bottom"/>
            <w:hideMark/>
          </w:tcPr>
          <w:p w14:paraId="35321C96"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-255</w:t>
            </w:r>
          </w:p>
        </w:tc>
        <w:tc>
          <w:tcPr>
            <w:tcW w:w="744" w:type="dxa"/>
            <w:tcBorders>
              <w:top w:val="single" w:sz="4" w:space="0" w:color="B6D5E4"/>
              <w:left w:val="nil"/>
              <w:bottom w:val="single" w:sz="4" w:space="0" w:color="B6D5E4"/>
              <w:right w:val="nil"/>
            </w:tcBorders>
            <w:shd w:val="clear" w:color="auto" w:fill="auto"/>
            <w:vAlign w:val="bottom"/>
            <w:hideMark/>
          </w:tcPr>
          <w:p w14:paraId="5E7F886C"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-180</w:t>
            </w:r>
          </w:p>
        </w:tc>
        <w:tc>
          <w:tcPr>
            <w:tcW w:w="745" w:type="dxa"/>
            <w:tcBorders>
              <w:top w:val="single" w:sz="4" w:space="0" w:color="B6D5E4"/>
              <w:left w:val="nil"/>
              <w:bottom w:val="single" w:sz="4" w:space="0" w:color="B6D5E4"/>
              <w:right w:val="nil"/>
            </w:tcBorders>
            <w:shd w:val="clear" w:color="auto" w:fill="auto"/>
            <w:vAlign w:val="bottom"/>
            <w:hideMark/>
          </w:tcPr>
          <w:p w14:paraId="5DA18095"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-75</w:t>
            </w:r>
          </w:p>
        </w:tc>
        <w:tc>
          <w:tcPr>
            <w:tcW w:w="745" w:type="dxa"/>
            <w:tcBorders>
              <w:top w:val="single" w:sz="4" w:space="0" w:color="B6D5E4"/>
              <w:left w:val="nil"/>
              <w:bottom w:val="single" w:sz="4" w:space="0" w:color="B6D5E4"/>
              <w:right w:val="nil"/>
            </w:tcBorders>
            <w:shd w:val="clear" w:color="auto" w:fill="auto"/>
            <w:vAlign w:val="bottom"/>
            <w:hideMark/>
          </w:tcPr>
          <w:p w14:paraId="17CEBCCE"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-74</w:t>
            </w:r>
          </w:p>
        </w:tc>
        <w:tc>
          <w:tcPr>
            <w:tcW w:w="726" w:type="dxa"/>
            <w:tcBorders>
              <w:top w:val="single" w:sz="4" w:space="0" w:color="B6D5E4"/>
              <w:left w:val="nil"/>
              <w:bottom w:val="single" w:sz="4" w:space="0" w:color="B6D5E4"/>
              <w:right w:val="nil"/>
            </w:tcBorders>
            <w:shd w:val="clear" w:color="auto" w:fill="auto"/>
            <w:vAlign w:val="bottom"/>
            <w:hideMark/>
          </w:tcPr>
          <w:p w14:paraId="712DFB28"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1,596</w:t>
            </w:r>
          </w:p>
        </w:tc>
      </w:tr>
      <w:tr w:rsidR="007E365E" w:rsidRPr="004D434F" w14:paraId="7AED8F0B" w14:textId="77777777" w:rsidTr="007D1D77">
        <w:trPr>
          <w:trHeight w:hRule="exact" w:val="318"/>
        </w:trPr>
        <w:tc>
          <w:tcPr>
            <w:tcW w:w="2268" w:type="dxa"/>
            <w:tcBorders>
              <w:top w:val="nil"/>
              <w:left w:val="nil"/>
              <w:bottom w:val="single" w:sz="4" w:space="0" w:color="B6D5E4"/>
              <w:right w:val="nil"/>
            </w:tcBorders>
            <w:shd w:val="clear" w:color="auto" w:fill="auto"/>
            <w:noWrap/>
            <w:vAlign w:val="bottom"/>
            <w:hideMark/>
          </w:tcPr>
          <w:p w14:paraId="558E69AA" w14:textId="77777777" w:rsidR="007E365E" w:rsidRPr="004D434F"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4D434F">
              <w:rPr>
                <w:rFonts w:eastAsia="Times New Roman" w:cs="Open Sans Light"/>
                <w:sz w:val="16"/>
                <w:szCs w:val="16"/>
                <w:lang w:eastAsia="en-AU"/>
              </w:rPr>
              <w:t>Urban population shares</w:t>
            </w:r>
          </w:p>
        </w:tc>
        <w:tc>
          <w:tcPr>
            <w:tcW w:w="744" w:type="dxa"/>
            <w:tcBorders>
              <w:top w:val="nil"/>
              <w:left w:val="nil"/>
              <w:bottom w:val="single" w:sz="4" w:space="0" w:color="B6D5E4"/>
              <w:right w:val="nil"/>
            </w:tcBorders>
            <w:shd w:val="clear" w:color="auto" w:fill="auto"/>
            <w:vAlign w:val="bottom"/>
            <w:hideMark/>
          </w:tcPr>
          <w:p w14:paraId="53789119"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8</w:t>
            </w:r>
          </w:p>
        </w:tc>
        <w:tc>
          <w:tcPr>
            <w:tcW w:w="745" w:type="dxa"/>
            <w:tcBorders>
              <w:top w:val="nil"/>
              <w:left w:val="nil"/>
              <w:bottom w:val="single" w:sz="4" w:space="0" w:color="B6D5E4"/>
              <w:right w:val="nil"/>
            </w:tcBorders>
            <w:shd w:val="clear" w:color="auto" w:fill="auto"/>
            <w:vAlign w:val="bottom"/>
            <w:hideMark/>
          </w:tcPr>
          <w:p w14:paraId="53634CF7"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26</w:t>
            </w:r>
          </w:p>
        </w:tc>
        <w:tc>
          <w:tcPr>
            <w:tcW w:w="744" w:type="dxa"/>
            <w:tcBorders>
              <w:top w:val="nil"/>
              <w:left w:val="nil"/>
              <w:bottom w:val="single" w:sz="4" w:space="0" w:color="B6D5E4"/>
              <w:right w:val="nil"/>
            </w:tcBorders>
            <w:shd w:val="clear" w:color="auto" w:fill="auto"/>
            <w:vAlign w:val="bottom"/>
            <w:hideMark/>
          </w:tcPr>
          <w:p w14:paraId="238C7440"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-24</w:t>
            </w:r>
          </w:p>
        </w:tc>
        <w:tc>
          <w:tcPr>
            <w:tcW w:w="745" w:type="dxa"/>
            <w:tcBorders>
              <w:top w:val="nil"/>
              <w:left w:val="nil"/>
              <w:bottom w:val="single" w:sz="4" w:space="0" w:color="B6D5E4"/>
              <w:right w:val="nil"/>
            </w:tcBorders>
            <w:shd w:val="clear" w:color="auto" w:fill="auto"/>
            <w:vAlign w:val="bottom"/>
            <w:hideMark/>
          </w:tcPr>
          <w:p w14:paraId="5E5490E4"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11</w:t>
            </w:r>
          </w:p>
        </w:tc>
        <w:tc>
          <w:tcPr>
            <w:tcW w:w="745" w:type="dxa"/>
            <w:tcBorders>
              <w:top w:val="nil"/>
              <w:left w:val="nil"/>
              <w:bottom w:val="single" w:sz="4" w:space="0" w:color="B6D5E4"/>
              <w:right w:val="nil"/>
            </w:tcBorders>
            <w:shd w:val="clear" w:color="auto" w:fill="auto"/>
            <w:vAlign w:val="bottom"/>
            <w:hideMark/>
          </w:tcPr>
          <w:p w14:paraId="6D476C44"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-6</w:t>
            </w:r>
          </w:p>
        </w:tc>
        <w:tc>
          <w:tcPr>
            <w:tcW w:w="744" w:type="dxa"/>
            <w:tcBorders>
              <w:top w:val="nil"/>
              <w:left w:val="nil"/>
              <w:bottom w:val="single" w:sz="4" w:space="0" w:color="B6D5E4"/>
              <w:right w:val="nil"/>
            </w:tcBorders>
            <w:shd w:val="clear" w:color="auto" w:fill="auto"/>
            <w:vAlign w:val="bottom"/>
            <w:hideMark/>
          </w:tcPr>
          <w:p w14:paraId="68116D0E"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-17</w:t>
            </w:r>
          </w:p>
        </w:tc>
        <w:tc>
          <w:tcPr>
            <w:tcW w:w="745" w:type="dxa"/>
            <w:tcBorders>
              <w:top w:val="nil"/>
              <w:left w:val="nil"/>
              <w:bottom w:val="single" w:sz="4" w:space="0" w:color="B6D5E4"/>
              <w:right w:val="nil"/>
            </w:tcBorders>
            <w:shd w:val="clear" w:color="auto" w:fill="auto"/>
            <w:vAlign w:val="bottom"/>
            <w:hideMark/>
          </w:tcPr>
          <w:p w14:paraId="7F9191C4"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11</w:t>
            </w:r>
          </w:p>
        </w:tc>
        <w:tc>
          <w:tcPr>
            <w:tcW w:w="745" w:type="dxa"/>
            <w:tcBorders>
              <w:top w:val="nil"/>
              <w:left w:val="nil"/>
              <w:bottom w:val="single" w:sz="4" w:space="0" w:color="B6D5E4"/>
              <w:right w:val="nil"/>
            </w:tcBorders>
            <w:shd w:val="clear" w:color="auto" w:fill="auto"/>
            <w:vAlign w:val="bottom"/>
            <w:hideMark/>
          </w:tcPr>
          <w:p w14:paraId="0E920AAF"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-9</w:t>
            </w:r>
          </w:p>
        </w:tc>
        <w:tc>
          <w:tcPr>
            <w:tcW w:w="726" w:type="dxa"/>
            <w:tcBorders>
              <w:top w:val="nil"/>
              <w:left w:val="nil"/>
              <w:bottom w:val="single" w:sz="4" w:space="0" w:color="B6D5E4"/>
              <w:right w:val="nil"/>
            </w:tcBorders>
            <w:shd w:val="clear" w:color="auto" w:fill="auto"/>
            <w:vAlign w:val="bottom"/>
            <w:hideMark/>
          </w:tcPr>
          <w:p w14:paraId="13B0A66E"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56</w:t>
            </w:r>
          </w:p>
        </w:tc>
      </w:tr>
      <w:tr w:rsidR="007E365E" w:rsidRPr="004D434F" w14:paraId="7927E385" w14:textId="77777777" w:rsidTr="007D1D77">
        <w:trPr>
          <w:trHeight w:hRule="exact" w:val="318"/>
        </w:trPr>
        <w:tc>
          <w:tcPr>
            <w:tcW w:w="2268" w:type="dxa"/>
            <w:tcBorders>
              <w:top w:val="nil"/>
              <w:left w:val="nil"/>
              <w:bottom w:val="single" w:sz="4" w:space="0" w:color="B6D5E4"/>
              <w:right w:val="nil"/>
            </w:tcBorders>
            <w:shd w:val="clear" w:color="auto" w:fill="auto"/>
            <w:noWrap/>
            <w:vAlign w:val="bottom"/>
            <w:hideMark/>
          </w:tcPr>
          <w:p w14:paraId="069584F9" w14:textId="77777777" w:rsidR="007E365E" w:rsidRPr="004D434F"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4D434F">
              <w:rPr>
                <w:rFonts w:eastAsia="Times New Roman" w:cs="Open Sans Light"/>
                <w:sz w:val="16"/>
                <w:szCs w:val="16"/>
                <w:lang w:eastAsia="en-AU"/>
              </w:rPr>
              <w:t>Wage costs</w:t>
            </w:r>
          </w:p>
        </w:tc>
        <w:tc>
          <w:tcPr>
            <w:tcW w:w="744" w:type="dxa"/>
            <w:tcBorders>
              <w:top w:val="nil"/>
              <w:left w:val="nil"/>
              <w:bottom w:val="single" w:sz="4" w:space="0" w:color="B6D5E4"/>
              <w:right w:val="nil"/>
            </w:tcBorders>
            <w:shd w:val="clear" w:color="auto" w:fill="auto"/>
            <w:vAlign w:val="bottom"/>
            <w:hideMark/>
          </w:tcPr>
          <w:p w14:paraId="311AEE31"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23</w:t>
            </w:r>
          </w:p>
        </w:tc>
        <w:tc>
          <w:tcPr>
            <w:tcW w:w="745" w:type="dxa"/>
            <w:tcBorders>
              <w:top w:val="nil"/>
              <w:left w:val="nil"/>
              <w:bottom w:val="single" w:sz="4" w:space="0" w:color="B6D5E4"/>
              <w:right w:val="nil"/>
            </w:tcBorders>
            <w:shd w:val="clear" w:color="auto" w:fill="auto"/>
            <w:vAlign w:val="bottom"/>
            <w:hideMark/>
          </w:tcPr>
          <w:p w14:paraId="7130AE4E"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-15</w:t>
            </w:r>
          </w:p>
        </w:tc>
        <w:tc>
          <w:tcPr>
            <w:tcW w:w="744" w:type="dxa"/>
            <w:tcBorders>
              <w:top w:val="nil"/>
              <w:left w:val="nil"/>
              <w:bottom w:val="single" w:sz="4" w:space="0" w:color="B6D5E4"/>
              <w:right w:val="nil"/>
            </w:tcBorders>
            <w:shd w:val="clear" w:color="auto" w:fill="auto"/>
            <w:vAlign w:val="bottom"/>
            <w:hideMark/>
          </w:tcPr>
          <w:p w14:paraId="739BE4BD"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-13</w:t>
            </w:r>
          </w:p>
        </w:tc>
        <w:tc>
          <w:tcPr>
            <w:tcW w:w="745" w:type="dxa"/>
            <w:tcBorders>
              <w:top w:val="nil"/>
              <w:left w:val="nil"/>
              <w:bottom w:val="single" w:sz="4" w:space="0" w:color="B6D5E4"/>
              <w:right w:val="nil"/>
            </w:tcBorders>
            <w:shd w:val="clear" w:color="auto" w:fill="auto"/>
            <w:vAlign w:val="bottom"/>
            <w:hideMark/>
          </w:tcPr>
          <w:p w14:paraId="3EA310FC"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16</w:t>
            </w:r>
          </w:p>
        </w:tc>
        <w:tc>
          <w:tcPr>
            <w:tcW w:w="745" w:type="dxa"/>
            <w:tcBorders>
              <w:top w:val="nil"/>
              <w:left w:val="nil"/>
              <w:bottom w:val="single" w:sz="4" w:space="0" w:color="B6D5E4"/>
              <w:right w:val="nil"/>
            </w:tcBorders>
            <w:shd w:val="clear" w:color="auto" w:fill="auto"/>
            <w:vAlign w:val="bottom"/>
            <w:hideMark/>
          </w:tcPr>
          <w:p w14:paraId="10CF63CC"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-16</w:t>
            </w:r>
          </w:p>
        </w:tc>
        <w:tc>
          <w:tcPr>
            <w:tcW w:w="744" w:type="dxa"/>
            <w:tcBorders>
              <w:top w:val="nil"/>
              <w:left w:val="nil"/>
              <w:bottom w:val="single" w:sz="4" w:space="0" w:color="B6D5E4"/>
              <w:right w:val="nil"/>
            </w:tcBorders>
            <w:shd w:val="clear" w:color="auto" w:fill="auto"/>
            <w:vAlign w:val="bottom"/>
            <w:hideMark/>
          </w:tcPr>
          <w:p w14:paraId="7F345130"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-4</w:t>
            </w:r>
          </w:p>
        </w:tc>
        <w:tc>
          <w:tcPr>
            <w:tcW w:w="745" w:type="dxa"/>
            <w:tcBorders>
              <w:top w:val="nil"/>
              <w:left w:val="nil"/>
              <w:bottom w:val="single" w:sz="4" w:space="0" w:color="B6D5E4"/>
              <w:right w:val="nil"/>
            </w:tcBorders>
            <w:shd w:val="clear" w:color="auto" w:fill="auto"/>
            <w:vAlign w:val="bottom"/>
            <w:hideMark/>
          </w:tcPr>
          <w:p w14:paraId="151B949A"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7</w:t>
            </w:r>
          </w:p>
        </w:tc>
        <w:tc>
          <w:tcPr>
            <w:tcW w:w="745" w:type="dxa"/>
            <w:tcBorders>
              <w:top w:val="nil"/>
              <w:left w:val="nil"/>
              <w:bottom w:val="single" w:sz="4" w:space="0" w:color="B6D5E4"/>
              <w:right w:val="nil"/>
            </w:tcBorders>
            <w:shd w:val="clear" w:color="auto" w:fill="auto"/>
            <w:vAlign w:val="bottom"/>
            <w:hideMark/>
          </w:tcPr>
          <w:p w14:paraId="5E209CA7"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2</w:t>
            </w:r>
          </w:p>
        </w:tc>
        <w:tc>
          <w:tcPr>
            <w:tcW w:w="726" w:type="dxa"/>
            <w:tcBorders>
              <w:top w:val="nil"/>
              <w:left w:val="nil"/>
              <w:bottom w:val="single" w:sz="4" w:space="0" w:color="B6D5E4"/>
              <w:right w:val="nil"/>
            </w:tcBorders>
            <w:shd w:val="clear" w:color="auto" w:fill="auto"/>
            <w:vAlign w:val="bottom"/>
            <w:hideMark/>
          </w:tcPr>
          <w:p w14:paraId="2426A22A"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48</w:t>
            </w:r>
          </w:p>
        </w:tc>
      </w:tr>
      <w:tr w:rsidR="007E365E" w:rsidRPr="004D434F" w14:paraId="18D8B13D" w14:textId="77777777" w:rsidTr="007D1D77">
        <w:trPr>
          <w:trHeight w:hRule="exact" w:val="318"/>
        </w:trPr>
        <w:tc>
          <w:tcPr>
            <w:tcW w:w="2268" w:type="dxa"/>
            <w:tcBorders>
              <w:top w:val="nil"/>
              <w:left w:val="nil"/>
              <w:bottom w:val="single" w:sz="4" w:space="0" w:color="B6D5E4"/>
              <w:right w:val="nil"/>
            </w:tcBorders>
            <w:shd w:val="clear" w:color="auto" w:fill="auto"/>
            <w:noWrap/>
            <w:vAlign w:val="bottom"/>
            <w:hideMark/>
          </w:tcPr>
          <w:p w14:paraId="0A506359" w14:textId="77777777" w:rsidR="007E365E" w:rsidRPr="004D434F"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4D434F">
              <w:rPr>
                <w:rFonts w:eastAsia="Times New Roman" w:cs="Open Sans Light"/>
                <w:sz w:val="16"/>
                <w:szCs w:val="16"/>
                <w:lang w:eastAsia="en-AU"/>
              </w:rPr>
              <w:t>Regional costs</w:t>
            </w:r>
          </w:p>
        </w:tc>
        <w:tc>
          <w:tcPr>
            <w:tcW w:w="744" w:type="dxa"/>
            <w:tcBorders>
              <w:top w:val="nil"/>
              <w:left w:val="nil"/>
              <w:bottom w:val="single" w:sz="4" w:space="0" w:color="B6D5E4"/>
              <w:right w:val="nil"/>
            </w:tcBorders>
            <w:shd w:val="clear" w:color="auto" w:fill="auto"/>
            <w:vAlign w:val="bottom"/>
            <w:hideMark/>
          </w:tcPr>
          <w:p w14:paraId="490014E3"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w:t>
            </w:r>
          </w:p>
        </w:tc>
        <w:tc>
          <w:tcPr>
            <w:tcW w:w="745" w:type="dxa"/>
            <w:tcBorders>
              <w:top w:val="nil"/>
              <w:left w:val="nil"/>
              <w:bottom w:val="single" w:sz="4" w:space="0" w:color="B6D5E4"/>
              <w:right w:val="nil"/>
            </w:tcBorders>
            <w:shd w:val="clear" w:color="auto" w:fill="auto"/>
            <w:vAlign w:val="bottom"/>
            <w:hideMark/>
          </w:tcPr>
          <w:p w14:paraId="232E3437"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w:t>
            </w:r>
          </w:p>
        </w:tc>
        <w:tc>
          <w:tcPr>
            <w:tcW w:w="744" w:type="dxa"/>
            <w:tcBorders>
              <w:top w:val="nil"/>
              <w:left w:val="nil"/>
              <w:bottom w:val="single" w:sz="4" w:space="0" w:color="B6D5E4"/>
              <w:right w:val="nil"/>
            </w:tcBorders>
            <w:shd w:val="clear" w:color="auto" w:fill="auto"/>
            <w:vAlign w:val="bottom"/>
            <w:hideMark/>
          </w:tcPr>
          <w:p w14:paraId="3E95DD19"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w:t>
            </w:r>
          </w:p>
        </w:tc>
        <w:tc>
          <w:tcPr>
            <w:tcW w:w="745" w:type="dxa"/>
            <w:tcBorders>
              <w:top w:val="nil"/>
              <w:left w:val="nil"/>
              <w:bottom w:val="single" w:sz="4" w:space="0" w:color="B6D5E4"/>
              <w:right w:val="nil"/>
            </w:tcBorders>
            <w:shd w:val="clear" w:color="auto" w:fill="auto"/>
            <w:vAlign w:val="bottom"/>
            <w:hideMark/>
          </w:tcPr>
          <w:p w14:paraId="164FEDFD"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w:t>
            </w:r>
          </w:p>
        </w:tc>
        <w:tc>
          <w:tcPr>
            <w:tcW w:w="745" w:type="dxa"/>
            <w:tcBorders>
              <w:top w:val="nil"/>
              <w:left w:val="nil"/>
              <w:bottom w:val="single" w:sz="4" w:space="0" w:color="B6D5E4"/>
              <w:right w:val="nil"/>
            </w:tcBorders>
            <w:shd w:val="clear" w:color="auto" w:fill="auto"/>
            <w:vAlign w:val="bottom"/>
            <w:hideMark/>
          </w:tcPr>
          <w:p w14:paraId="1369B796"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0</w:t>
            </w:r>
          </w:p>
        </w:tc>
        <w:tc>
          <w:tcPr>
            <w:tcW w:w="744" w:type="dxa"/>
            <w:tcBorders>
              <w:top w:val="nil"/>
              <w:left w:val="nil"/>
              <w:bottom w:val="single" w:sz="4" w:space="0" w:color="B6D5E4"/>
              <w:right w:val="nil"/>
            </w:tcBorders>
            <w:shd w:val="clear" w:color="auto" w:fill="auto"/>
            <w:vAlign w:val="bottom"/>
            <w:hideMark/>
          </w:tcPr>
          <w:p w14:paraId="59B4C391"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0</w:t>
            </w:r>
          </w:p>
        </w:tc>
        <w:tc>
          <w:tcPr>
            <w:tcW w:w="745" w:type="dxa"/>
            <w:tcBorders>
              <w:top w:val="nil"/>
              <w:left w:val="nil"/>
              <w:bottom w:val="single" w:sz="4" w:space="0" w:color="B6D5E4"/>
              <w:right w:val="nil"/>
            </w:tcBorders>
            <w:shd w:val="clear" w:color="auto" w:fill="auto"/>
            <w:vAlign w:val="bottom"/>
            <w:hideMark/>
          </w:tcPr>
          <w:p w14:paraId="06BF75DC"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0</w:t>
            </w:r>
          </w:p>
        </w:tc>
        <w:tc>
          <w:tcPr>
            <w:tcW w:w="745" w:type="dxa"/>
            <w:tcBorders>
              <w:top w:val="nil"/>
              <w:left w:val="nil"/>
              <w:bottom w:val="single" w:sz="4" w:space="0" w:color="B6D5E4"/>
              <w:right w:val="nil"/>
            </w:tcBorders>
            <w:shd w:val="clear" w:color="auto" w:fill="auto"/>
            <w:vAlign w:val="bottom"/>
            <w:hideMark/>
          </w:tcPr>
          <w:p w14:paraId="7A1926C6"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1</w:t>
            </w:r>
          </w:p>
        </w:tc>
        <w:tc>
          <w:tcPr>
            <w:tcW w:w="726" w:type="dxa"/>
            <w:tcBorders>
              <w:top w:val="nil"/>
              <w:left w:val="nil"/>
              <w:bottom w:val="single" w:sz="4" w:space="0" w:color="B6D5E4"/>
              <w:right w:val="nil"/>
            </w:tcBorders>
            <w:shd w:val="clear" w:color="auto" w:fill="auto"/>
            <w:vAlign w:val="bottom"/>
            <w:hideMark/>
          </w:tcPr>
          <w:p w14:paraId="31F1806D" w14:textId="77777777" w:rsidR="007E365E" w:rsidRPr="004D434F"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4D434F">
              <w:rPr>
                <w:rFonts w:eastAsia="Times New Roman" w:cs="Open Sans Light"/>
                <w:sz w:val="16"/>
                <w:szCs w:val="16"/>
                <w:lang w:eastAsia="en-AU"/>
              </w:rPr>
              <w:t>3</w:t>
            </w:r>
          </w:p>
        </w:tc>
      </w:tr>
      <w:tr w:rsidR="007E365E" w:rsidRPr="004D434F" w14:paraId="7820F585" w14:textId="77777777" w:rsidTr="007D1D77">
        <w:trPr>
          <w:trHeight w:hRule="exact" w:val="318"/>
        </w:trPr>
        <w:tc>
          <w:tcPr>
            <w:tcW w:w="2268" w:type="dxa"/>
            <w:tcBorders>
              <w:top w:val="nil"/>
              <w:left w:val="nil"/>
              <w:bottom w:val="single" w:sz="4" w:space="0" w:color="B6D5E4"/>
              <w:right w:val="nil"/>
            </w:tcBorders>
            <w:shd w:val="clear" w:color="000000" w:fill="D6E7F0"/>
            <w:vAlign w:val="bottom"/>
            <w:hideMark/>
          </w:tcPr>
          <w:p w14:paraId="4C142A41" w14:textId="77777777" w:rsidR="007E365E" w:rsidRPr="004D434F" w:rsidRDefault="007E365E" w:rsidP="007D1D77">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Total</w:t>
            </w:r>
          </w:p>
        </w:tc>
        <w:tc>
          <w:tcPr>
            <w:tcW w:w="744" w:type="dxa"/>
            <w:tcBorders>
              <w:top w:val="nil"/>
              <w:left w:val="nil"/>
              <w:bottom w:val="single" w:sz="4" w:space="0" w:color="B6D5E4"/>
              <w:right w:val="nil"/>
            </w:tcBorders>
            <w:shd w:val="clear" w:color="000000" w:fill="D6E7F0"/>
            <w:vAlign w:val="bottom"/>
            <w:hideMark/>
          </w:tcPr>
          <w:p w14:paraId="3CA5E930"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1,240</w:t>
            </w:r>
          </w:p>
        </w:tc>
        <w:tc>
          <w:tcPr>
            <w:tcW w:w="745" w:type="dxa"/>
            <w:tcBorders>
              <w:top w:val="nil"/>
              <w:left w:val="nil"/>
              <w:bottom w:val="single" w:sz="4" w:space="0" w:color="B6D5E4"/>
              <w:right w:val="nil"/>
            </w:tcBorders>
            <w:shd w:val="clear" w:color="000000" w:fill="D6E7F0"/>
            <w:vAlign w:val="bottom"/>
            <w:hideMark/>
          </w:tcPr>
          <w:p w14:paraId="43EFADA7"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397</w:t>
            </w:r>
          </w:p>
        </w:tc>
        <w:tc>
          <w:tcPr>
            <w:tcW w:w="744" w:type="dxa"/>
            <w:tcBorders>
              <w:top w:val="nil"/>
              <w:left w:val="nil"/>
              <w:bottom w:val="single" w:sz="4" w:space="0" w:color="B6D5E4"/>
              <w:right w:val="nil"/>
            </w:tcBorders>
            <w:shd w:val="clear" w:color="000000" w:fill="D6E7F0"/>
            <w:vAlign w:val="bottom"/>
            <w:hideMark/>
          </w:tcPr>
          <w:p w14:paraId="5CE5C9FD"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-762</w:t>
            </w:r>
          </w:p>
        </w:tc>
        <w:tc>
          <w:tcPr>
            <w:tcW w:w="745" w:type="dxa"/>
            <w:tcBorders>
              <w:top w:val="nil"/>
              <w:left w:val="nil"/>
              <w:bottom w:val="single" w:sz="4" w:space="0" w:color="B6D5E4"/>
              <w:right w:val="nil"/>
            </w:tcBorders>
            <w:shd w:val="clear" w:color="000000" w:fill="D6E7F0"/>
            <w:vAlign w:val="bottom"/>
            <w:hideMark/>
          </w:tcPr>
          <w:p w14:paraId="7682E572"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-259</w:t>
            </w:r>
          </w:p>
        </w:tc>
        <w:tc>
          <w:tcPr>
            <w:tcW w:w="745" w:type="dxa"/>
            <w:tcBorders>
              <w:top w:val="nil"/>
              <w:left w:val="nil"/>
              <w:bottom w:val="single" w:sz="4" w:space="0" w:color="B6D5E4"/>
              <w:right w:val="nil"/>
            </w:tcBorders>
            <w:shd w:val="clear" w:color="000000" w:fill="D6E7F0"/>
            <w:vAlign w:val="bottom"/>
            <w:hideMark/>
          </w:tcPr>
          <w:p w14:paraId="16A92DE5"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-277</w:t>
            </w:r>
          </w:p>
        </w:tc>
        <w:tc>
          <w:tcPr>
            <w:tcW w:w="744" w:type="dxa"/>
            <w:tcBorders>
              <w:top w:val="nil"/>
              <w:left w:val="nil"/>
              <w:bottom w:val="single" w:sz="4" w:space="0" w:color="B6D5E4"/>
              <w:right w:val="nil"/>
            </w:tcBorders>
            <w:shd w:val="clear" w:color="000000" w:fill="D6E7F0"/>
            <w:vAlign w:val="bottom"/>
            <w:hideMark/>
          </w:tcPr>
          <w:p w14:paraId="735257D2"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-202</w:t>
            </w:r>
          </w:p>
        </w:tc>
        <w:tc>
          <w:tcPr>
            <w:tcW w:w="745" w:type="dxa"/>
            <w:tcBorders>
              <w:top w:val="nil"/>
              <w:left w:val="nil"/>
              <w:bottom w:val="single" w:sz="4" w:space="0" w:color="B6D5E4"/>
              <w:right w:val="nil"/>
            </w:tcBorders>
            <w:shd w:val="clear" w:color="000000" w:fill="D6E7F0"/>
            <w:vAlign w:val="bottom"/>
            <w:hideMark/>
          </w:tcPr>
          <w:p w14:paraId="390004E2"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-57</w:t>
            </w:r>
          </w:p>
        </w:tc>
        <w:tc>
          <w:tcPr>
            <w:tcW w:w="745" w:type="dxa"/>
            <w:tcBorders>
              <w:top w:val="nil"/>
              <w:left w:val="nil"/>
              <w:bottom w:val="single" w:sz="4" w:space="0" w:color="B6D5E4"/>
              <w:right w:val="nil"/>
            </w:tcBorders>
            <w:shd w:val="clear" w:color="000000" w:fill="D6E7F0"/>
            <w:vAlign w:val="bottom"/>
            <w:hideMark/>
          </w:tcPr>
          <w:p w14:paraId="50C813AA"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-80</w:t>
            </w:r>
          </w:p>
        </w:tc>
        <w:tc>
          <w:tcPr>
            <w:tcW w:w="726" w:type="dxa"/>
            <w:tcBorders>
              <w:top w:val="nil"/>
              <w:left w:val="nil"/>
              <w:bottom w:val="single" w:sz="4" w:space="0" w:color="B6D5E4"/>
              <w:right w:val="nil"/>
            </w:tcBorders>
            <w:shd w:val="clear" w:color="000000" w:fill="D6E7F0"/>
            <w:vAlign w:val="bottom"/>
            <w:hideMark/>
          </w:tcPr>
          <w:p w14:paraId="26A73820" w14:textId="77777777" w:rsidR="007E365E" w:rsidRPr="004D434F"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4D434F">
              <w:rPr>
                <w:rFonts w:ascii="Open Sans SemiBold" w:eastAsia="Times New Roman" w:hAnsi="Open Sans SemiBold" w:cs="Open Sans SemiBold"/>
                <w:sz w:val="16"/>
                <w:szCs w:val="16"/>
                <w:lang w:eastAsia="en-AU"/>
              </w:rPr>
              <w:t>1,637</w:t>
            </w:r>
          </w:p>
        </w:tc>
      </w:tr>
    </w:tbl>
    <w:p w14:paraId="2377DD9D" w14:textId="77777777" w:rsidR="007E365E" w:rsidRPr="00976585" w:rsidRDefault="007E365E" w:rsidP="007E365E">
      <w:pPr>
        <w:pStyle w:val="CGCTablenote"/>
        <w:keepNext/>
        <w:keepLines/>
        <w:widowControl w:val="0"/>
      </w:pPr>
      <w:r w:rsidRPr="00976585">
        <w:t>Note:</w:t>
      </w:r>
      <w:r w:rsidRPr="00976585">
        <w:tab/>
        <w:t>The redistributions from an EPC assessment are illustrative. Disabilities may not add due to rounding.</w:t>
      </w:r>
    </w:p>
    <w:p w14:paraId="487D91E6" w14:textId="77777777" w:rsidR="007E365E" w:rsidRPr="00976585" w:rsidRDefault="007E365E" w:rsidP="007E365E">
      <w:pPr>
        <w:pStyle w:val="CGCTablenote"/>
        <w:keepNext/>
        <w:keepLines/>
        <w:widowControl w:val="0"/>
      </w:pPr>
      <w:r w:rsidRPr="00976585">
        <w:t>Source:</w:t>
      </w:r>
      <w:r w:rsidRPr="00976585">
        <w:tab/>
        <w:t>Commission calculation.</w:t>
      </w:r>
    </w:p>
    <w:p w14:paraId="1452F16F" w14:textId="77777777" w:rsidR="007E365E" w:rsidRPr="00976585" w:rsidRDefault="007E365E" w:rsidP="007E365E">
      <w:pPr>
        <w:pStyle w:val="CGCParaNumber"/>
      </w:pPr>
      <w:bookmarkStart w:id="281" w:name="_Toc6470682"/>
      <w:r w:rsidRPr="00976585">
        <w:t xml:space="preserve">The main reasons for these redistributions are the differences between States in the population size of the urban centres (especially the largest ones), the population density of these centres and the presence of rail passenger transport. </w:t>
      </w:r>
    </w:p>
    <w:p w14:paraId="4D04F0BC" w14:textId="77777777" w:rsidR="007E365E" w:rsidRPr="00976585" w:rsidRDefault="007E365E" w:rsidP="007E365E">
      <w:pPr>
        <w:pStyle w:val="CGCParaNumber"/>
      </w:pPr>
      <w:r w:rsidRPr="00976585">
        <w:t>The main reasons for the redistributions for each State are the following:</w:t>
      </w:r>
    </w:p>
    <w:p w14:paraId="51944C17" w14:textId="77777777" w:rsidR="007E365E" w:rsidRPr="00976585" w:rsidRDefault="007E365E" w:rsidP="007E365E">
      <w:pPr>
        <w:pStyle w:val="CGCBullet1"/>
      </w:pPr>
      <w:r w:rsidRPr="00976585">
        <w:t>The size of the population of Sydney, its high population density and the presence of rail passenger transport have resulted in above average urban transport needs for New</w:t>
      </w:r>
      <w:r>
        <w:t> </w:t>
      </w:r>
      <w:r w:rsidRPr="00976585">
        <w:t xml:space="preserve">South Wales. </w:t>
      </w:r>
    </w:p>
    <w:p w14:paraId="4137E87F" w14:textId="77777777" w:rsidR="007E365E" w:rsidRPr="00976585" w:rsidRDefault="007E365E" w:rsidP="007E365E">
      <w:pPr>
        <w:pStyle w:val="CGCBullet1"/>
      </w:pPr>
      <w:r w:rsidRPr="00976585">
        <w:t>The size of the population of Melbourne, its high population density (but lower than that of Sydney) and the presence of rail passenger transport have resulted in above average urban transport needs for Victoria.</w:t>
      </w:r>
    </w:p>
    <w:p w14:paraId="18DF1752" w14:textId="77777777" w:rsidR="007E365E" w:rsidRPr="00976585" w:rsidRDefault="007E365E" w:rsidP="007E365E">
      <w:pPr>
        <w:pStyle w:val="CGCBullet1"/>
      </w:pPr>
      <w:r w:rsidRPr="00976585">
        <w:t xml:space="preserve">The lower population density of Brisbane relative to those of Sydney and Melbourne and the smaller proportion of the State population living in the capital city have resulted in below average urban transport needs for Queensland. These effects were partly offset by the </w:t>
      </w:r>
      <w:r>
        <w:t>presence</w:t>
      </w:r>
      <w:r w:rsidRPr="00976585">
        <w:t xml:space="preserve"> of rail passenger transport in Brisbane.</w:t>
      </w:r>
    </w:p>
    <w:p w14:paraId="418E6DB2" w14:textId="77777777" w:rsidR="007E365E" w:rsidRPr="00976585" w:rsidRDefault="007E365E" w:rsidP="007E365E">
      <w:pPr>
        <w:pStyle w:val="CGCBullet1"/>
      </w:pPr>
      <w:r w:rsidRPr="00976585">
        <w:t>The lower population density of Perth relative to those of Sydney and Melbourne has resulted in below average urban transport needs for Western Australia. These effects were partly offset by the above average proportion of the State population living in the capital city.</w:t>
      </w:r>
    </w:p>
    <w:p w14:paraId="10131564" w14:textId="77777777" w:rsidR="007E365E" w:rsidRPr="00976585" w:rsidRDefault="007E365E" w:rsidP="007E365E">
      <w:pPr>
        <w:pStyle w:val="CGCBullet1"/>
      </w:pPr>
      <w:r w:rsidRPr="00976585">
        <w:t xml:space="preserve">The lower population density of Adelaide relative to those of Sydney and Melbourne has resulted in below average urban transport needs for South Australia. These effects were partly offset by the </w:t>
      </w:r>
      <w:r>
        <w:t>presence</w:t>
      </w:r>
      <w:r w:rsidRPr="00976585">
        <w:t xml:space="preserve"> of rail passenger transport in Adelaide.</w:t>
      </w:r>
    </w:p>
    <w:p w14:paraId="47285AFE" w14:textId="77777777" w:rsidR="007E365E" w:rsidRPr="00976585" w:rsidRDefault="007E365E" w:rsidP="007E365E">
      <w:pPr>
        <w:pStyle w:val="CGCBullet1"/>
      </w:pPr>
      <w:r w:rsidRPr="00976585">
        <w:t xml:space="preserve">The small size of the population of Hobart, its low population density, the absence of rail passenger transport and the below average proportion of the population living in urban centres have resulted in below average urban transport needs for Tasmania. </w:t>
      </w:r>
    </w:p>
    <w:p w14:paraId="7237AEEB" w14:textId="77777777" w:rsidR="007E365E" w:rsidRPr="00976585" w:rsidRDefault="007E365E" w:rsidP="007E365E">
      <w:pPr>
        <w:pStyle w:val="CGCBullet1"/>
      </w:pPr>
      <w:r w:rsidRPr="00976585">
        <w:t>The small size of the population of Canberra, its relatively low population density and the absence of heavy rail passenger transport have resulted in below average urban transport needs for the ACT. These effects were partly offset by an above average proportion of the population living in urban centres.</w:t>
      </w:r>
    </w:p>
    <w:p w14:paraId="5D3E55BF" w14:textId="77777777" w:rsidR="007E365E" w:rsidRPr="00976585" w:rsidRDefault="007E365E" w:rsidP="007E365E">
      <w:pPr>
        <w:pStyle w:val="CGCBullet1"/>
      </w:pPr>
      <w:r w:rsidRPr="00976585">
        <w:t>The small size of the population of Darwin, its relatively low population density, the absence of heavy rail passenger transport and the smaller than average proportion of the population living in urban centres have resulted in below average urban transport needs for the Northern Territory.</w:t>
      </w:r>
    </w:p>
    <w:p w14:paraId="3B6C5B46" w14:textId="77777777" w:rsidR="007E365E" w:rsidRPr="00976585" w:rsidRDefault="007E365E" w:rsidP="007E365E">
      <w:pPr>
        <w:pStyle w:val="Heading4"/>
      </w:pPr>
      <w:r w:rsidRPr="00976585">
        <w:lastRenderedPageBreak/>
        <w:t>Transport investment</w:t>
      </w:r>
    </w:p>
    <w:p w14:paraId="46F672EE" w14:textId="375584E1" w:rsidR="007E365E" w:rsidRPr="00976585" w:rsidRDefault="007E365E" w:rsidP="007E365E">
      <w:pPr>
        <w:pStyle w:val="CGCParaNumber"/>
      </w:pPr>
      <w:r>
        <w:fldChar w:fldCharType="begin"/>
      </w:r>
      <w:r>
        <w:instrText xml:space="preserve"> REF _Ref32849894 \h </w:instrText>
      </w:r>
      <w:r>
        <w:fldChar w:fldCharType="separate"/>
      </w:r>
      <w:r w:rsidR="007F721A" w:rsidRPr="00976585">
        <w:t xml:space="preserve">Table </w:t>
      </w:r>
      <w:r w:rsidR="007F721A">
        <w:t>21-</w:t>
      </w:r>
      <w:r w:rsidR="007F721A">
        <w:rPr>
          <w:noProof/>
        </w:rPr>
        <w:t>19</w:t>
      </w:r>
      <w:r>
        <w:fldChar w:fldCharType="end"/>
      </w:r>
      <w:r w:rsidRPr="00976585">
        <w:t xml:space="preserve"> shows the extent to which the assessment for this category differs from an EPC assessment of transport investment.</w:t>
      </w:r>
    </w:p>
    <w:p w14:paraId="77A400E1" w14:textId="2B3586C5" w:rsidR="007E365E" w:rsidRPr="00976585" w:rsidRDefault="007E365E" w:rsidP="007E365E">
      <w:pPr>
        <w:pStyle w:val="Caption"/>
      </w:pPr>
      <w:bookmarkStart w:id="282" w:name="_Ref32849894"/>
      <w:r w:rsidRPr="00976585">
        <w:t xml:space="preserve">Table </w:t>
      </w:r>
      <w:r>
        <w:t>21-</w:t>
      </w:r>
      <w:fldSimple w:instr=" SEQ Table \* ARABIC ">
        <w:r w:rsidR="007F721A">
          <w:rPr>
            <w:noProof/>
          </w:rPr>
          <w:t>19</w:t>
        </w:r>
      </w:fldSimple>
      <w:bookmarkEnd w:id="282"/>
      <w:r w:rsidRPr="00976585">
        <w:tab/>
      </w:r>
      <w:r>
        <w:t>Illustrative r</w:t>
      </w:r>
      <w:r w:rsidRPr="00976585">
        <w:t xml:space="preserve">edistribution from an EPC assessment, Transport investment, </w:t>
      </w:r>
      <w:r>
        <w:t>2020-21</w:t>
      </w:r>
    </w:p>
    <w:tbl>
      <w:tblPr>
        <w:tblW w:w="8951" w:type="dxa"/>
        <w:tblCellMar>
          <w:left w:w="28" w:type="dxa"/>
          <w:right w:w="28" w:type="dxa"/>
        </w:tblCellMar>
        <w:tblLook w:val="04A0" w:firstRow="1" w:lastRow="0" w:firstColumn="1" w:lastColumn="0" w:noHBand="0" w:noVBand="1"/>
      </w:tblPr>
      <w:tblGrid>
        <w:gridCol w:w="1524"/>
        <w:gridCol w:w="911"/>
        <w:gridCol w:w="773"/>
        <w:gridCol w:w="812"/>
        <w:gridCol w:w="812"/>
        <w:gridCol w:w="713"/>
        <w:gridCol w:w="812"/>
        <w:gridCol w:w="871"/>
        <w:gridCol w:w="733"/>
        <w:gridCol w:w="990"/>
      </w:tblGrid>
      <w:tr w:rsidR="007E365E" w:rsidRPr="00DD2FFE" w14:paraId="6511A543" w14:textId="77777777" w:rsidTr="007D1D77">
        <w:trPr>
          <w:trHeight w:val="375"/>
        </w:trPr>
        <w:tc>
          <w:tcPr>
            <w:tcW w:w="1524" w:type="dxa"/>
            <w:tcBorders>
              <w:top w:val="single" w:sz="4" w:space="0" w:color="B6D5E4"/>
              <w:left w:val="nil"/>
              <w:bottom w:val="single" w:sz="4" w:space="0" w:color="B6D5E4"/>
              <w:right w:val="nil"/>
            </w:tcBorders>
            <w:shd w:val="clear" w:color="000000" w:fill="006991"/>
            <w:noWrap/>
            <w:vAlign w:val="center"/>
            <w:hideMark/>
          </w:tcPr>
          <w:p w14:paraId="69C2B192" w14:textId="77777777" w:rsidR="007E365E" w:rsidRPr="00DD2FF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2FFE">
              <w:rPr>
                <w:rFonts w:ascii="Open Sans SemiBold" w:eastAsia="Times New Roman" w:hAnsi="Open Sans SemiBold" w:cs="Open Sans SemiBold"/>
                <w:color w:val="FFFFFF"/>
                <w:sz w:val="16"/>
                <w:szCs w:val="16"/>
                <w:lang w:eastAsia="en-AU"/>
              </w:rPr>
              <w:t> </w:t>
            </w:r>
          </w:p>
        </w:tc>
        <w:tc>
          <w:tcPr>
            <w:tcW w:w="911" w:type="dxa"/>
            <w:tcBorders>
              <w:top w:val="single" w:sz="4" w:space="0" w:color="B6D5E4"/>
              <w:left w:val="nil"/>
              <w:bottom w:val="single" w:sz="4" w:space="0" w:color="B6D5E4"/>
              <w:right w:val="nil"/>
            </w:tcBorders>
            <w:shd w:val="clear" w:color="000000" w:fill="006991"/>
            <w:noWrap/>
            <w:vAlign w:val="center"/>
            <w:hideMark/>
          </w:tcPr>
          <w:p w14:paraId="6D23155D" w14:textId="77777777" w:rsidR="007E365E" w:rsidRPr="00DD2FF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2FFE">
              <w:rPr>
                <w:rFonts w:ascii="Open Sans SemiBold" w:eastAsia="Times New Roman" w:hAnsi="Open Sans SemiBold" w:cs="Open Sans SemiBold"/>
                <w:color w:val="FFFFFF"/>
                <w:sz w:val="16"/>
                <w:szCs w:val="16"/>
                <w:lang w:eastAsia="en-AU"/>
              </w:rPr>
              <w:t>NSW</w:t>
            </w:r>
          </w:p>
        </w:tc>
        <w:tc>
          <w:tcPr>
            <w:tcW w:w="773" w:type="dxa"/>
            <w:tcBorders>
              <w:top w:val="single" w:sz="4" w:space="0" w:color="B6D5E4"/>
              <w:left w:val="nil"/>
              <w:bottom w:val="single" w:sz="4" w:space="0" w:color="B6D5E4"/>
              <w:right w:val="nil"/>
            </w:tcBorders>
            <w:shd w:val="clear" w:color="000000" w:fill="006991"/>
            <w:noWrap/>
            <w:vAlign w:val="center"/>
            <w:hideMark/>
          </w:tcPr>
          <w:p w14:paraId="75F77D21" w14:textId="77777777" w:rsidR="007E365E" w:rsidRPr="00DD2FF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2FFE">
              <w:rPr>
                <w:rFonts w:ascii="Open Sans SemiBold" w:eastAsia="Times New Roman" w:hAnsi="Open Sans SemiBold" w:cs="Open Sans SemiBold"/>
                <w:color w:val="FFFFFF"/>
                <w:sz w:val="16"/>
                <w:szCs w:val="16"/>
                <w:lang w:eastAsia="en-AU"/>
              </w:rPr>
              <w:t>Vic</w:t>
            </w:r>
          </w:p>
        </w:tc>
        <w:tc>
          <w:tcPr>
            <w:tcW w:w="812" w:type="dxa"/>
            <w:tcBorders>
              <w:top w:val="single" w:sz="4" w:space="0" w:color="B6D5E4"/>
              <w:left w:val="nil"/>
              <w:bottom w:val="single" w:sz="4" w:space="0" w:color="B6D5E4"/>
              <w:right w:val="nil"/>
            </w:tcBorders>
            <w:shd w:val="clear" w:color="000000" w:fill="006991"/>
            <w:noWrap/>
            <w:vAlign w:val="center"/>
            <w:hideMark/>
          </w:tcPr>
          <w:p w14:paraId="32884E01" w14:textId="77777777" w:rsidR="007E365E" w:rsidRPr="00DD2FF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2FFE">
              <w:rPr>
                <w:rFonts w:ascii="Open Sans SemiBold" w:eastAsia="Times New Roman" w:hAnsi="Open Sans SemiBold" w:cs="Open Sans SemiBold"/>
                <w:color w:val="FFFFFF"/>
                <w:sz w:val="16"/>
                <w:szCs w:val="16"/>
                <w:lang w:eastAsia="en-AU"/>
              </w:rPr>
              <w:t>Qld</w:t>
            </w:r>
          </w:p>
        </w:tc>
        <w:tc>
          <w:tcPr>
            <w:tcW w:w="812" w:type="dxa"/>
            <w:tcBorders>
              <w:top w:val="single" w:sz="4" w:space="0" w:color="B6D5E4"/>
              <w:left w:val="nil"/>
              <w:bottom w:val="single" w:sz="4" w:space="0" w:color="B6D5E4"/>
              <w:right w:val="nil"/>
            </w:tcBorders>
            <w:shd w:val="clear" w:color="000000" w:fill="006991"/>
            <w:noWrap/>
            <w:vAlign w:val="center"/>
            <w:hideMark/>
          </w:tcPr>
          <w:p w14:paraId="32254F4F" w14:textId="77777777" w:rsidR="007E365E" w:rsidRPr="00DD2FF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2FFE">
              <w:rPr>
                <w:rFonts w:ascii="Open Sans SemiBold" w:eastAsia="Times New Roman" w:hAnsi="Open Sans SemiBold" w:cs="Open Sans SemiBold"/>
                <w:color w:val="FFFFFF"/>
                <w:sz w:val="16"/>
                <w:szCs w:val="16"/>
                <w:lang w:eastAsia="en-AU"/>
              </w:rPr>
              <w:t>WA</w:t>
            </w:r>
          </w:p>
        </w:tc>
        <w:tc>
          <w:tcPr>
            <w:tcW w:w="713" w:type="dxa"/>
            <w:tcBorders>
              <w:top w:val="single" w:sz="4" w:space="0" w:color="B6D5E4"/>
              <w:left w:val="nil"/>
              <w:bottom w:val="single" w:sz="4" w:space="0" w:color="B6D5E4"/>
              <w:right w:val="nil"/>
            </w:tcBorders>
            <w:shd w:val="clear" w:color="000000" w:fill="006991"/>
            <w:noWrap/>
            <w:vAlign w:val="center"/>
            <w:hideMark/>
          </w:tcPr>
          <w:p w14:paraId="5C606676" w14:textId="77777777" w:rsidR="007E365E" w:rsidRPr="00DD2FF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2FFE">
              <w:rPr>
                <w:rFonts w:ascii="Open Sans SemiBold" w:eastAsia="Times New Roman" w:hAnsi="Open Sans SemiBold" w:cs="Open Sans SemiBold"/>
                <w:color w:val="FFFFFF"/>
                <w:sz w:val="16"/>
                <w:szCs w:val="16"/>
                <w:lang w:eastAsia="en-AU"/>
              </w:rPr>
              <w:t>SA</w:t>
            </w:r>
          </w:p>
        </w:tc>
        <w:tc>
          <w:tcPr>
            <w:tcW w:w="812" w:type="dxa"/>
            <w:tcBorders>
              <w:top w:val="single" w:sz="4" w:space="0" w:color="B6D5E4"/>
              <w:left w:val="nil"/>
              <w:bottom w:val="single" w:sz="4" w:space="0" w:color="B6D5E4"/>
              <w:right w:val="nil"/>
            </w:tcBorders>
            <w:shd w:val="clear" w:color="000000" w:fill="006991"/>
            <w:noWrap/>
            <w:vAlign w:val="center"/>
            <w:hideMark/>
          </w:tcPr>
          <w:p w14:paraId="794791C2" w14:textId="77777777" w:rsidR="007E365E" w:rsidRPr="00DD2FF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2FFE">
              <w:rPr>
                <w:rFonts w:ascii="Open Sans SemiBold" w:eastAsia="Times New Roman" w:hAnsi="Open Sans SemiBold" w:cs="Open Sans SemiBold"/>
                <w:color w:val="FFFFFF"/>
                <w:sz w:val="16"/>
                <w:szCs w:val="16"/>
                <w:lang w:eastAsia="en-AU"/>
              </w:rPr>
              <w:t>Tas</w:t>
            </w:r>
          </w:p>
        </w:tc>
        <w:tc>
          <w:tcPr>
            <w:tcW w:w="871" w:type="dxa"/>
            <w:tcBorders>
              <w:top w:val="single" w:sz="4" w:space="0" w:color="B6D5E4"/>
              <w:left w:val="nil"/>
              <w:bottom w:val="single" w:sz="4" w:space="0" w:color="B6D5E4"/>
              <w:right w:val="nil"/>
            </w:tcBorders>
            <w:shd w:val="clear" w:color="000000" w:fill="006991"/>
            <w:noWrap/>
            <w:vAlign w:val="center"/>
            <w:hideMark/>
          </w:tcPr>
          <w:p w14:paraId="49AFB7F6" w14:textId="77777777" w:rsidR="007E365E" w:rsidRPr="00DD2FF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2FFE">
              <w:rPr>
                <w:rFonts w:ascii="Open Sans SemiBold" w:eastAsia="Times New Roman" w:hAnsi="Open Sans SemiBold" w:cs="Open Sans SemiBold"/>
                <w:color w:val="FFFFFF"/>
                <w:sz w:val="16"/>
                <w:szCs w:val="16"/>
                <w:lang w:eastAsia="en-AU"/>
              </w:rPr>
              <w:t>ACT</w:t>
            </w:r>
          </w:p>
        </w:tc>
        <w:tc>
          <w:tcPr>
            <w:tcW w:w="733" w:type="dxa"/>
            <w:tcBorders>
              <w:top w:val="single" w:sz="4" w:space="0" w:color="B6D5E4"/>
              <w:left w:val="nil"/>
              <w:bottom w:val="single" w:sz="4" w:space="0" w:color="B6D5E4"/>
              <w:right w:val="nil"/>
            </w:tcBorders>
            <w:shd w:val="clear" w:color="000000" w:fill="006991"/>
            <w:noWrap/>
            <w:vAlign w:val="center"/>
            <w:hideMark/>
          </w:tcPr>
          <w:p w14:paraId="75313533" w14:textId="77777777" w:rsidR="007E365E" w:rsidRPr="00DD2FF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2FFE">
              <w:rPr>
                <w:rFonts w:ascii="Open Sans SemiBold" w:eastAsia="Times New Roman" w:hAnsi="Open Sans SemiBold" w:cs="Open Sans SemiBold"/>
                <w:color w:val="FFFFFF"/>
                <w:sz w:val="16"/>
                <w:szCs w:val="16"/>
                <w:lang w:eastAsia="en-AU"/>
              </w:rPr>
              <w:t>NT</w:t>
            </w:r>
          </w:p>
        </w:tc>
        <w:tc>
          <w:tcPr>
            <w:tcW w:w="990" w:type="dxa"/>
            <w:tcBorders>
              <w:top w:val="single" w:sz="4" w:space="0" w:color="B6D5E4"/>
              <w:left w:val="nil"/>
              <w:bottom w:val="single" w:sz="4" w:space="0" w:color="B6D5E4"/>
              <w:right w:val="nil"/>
            </w:tcBorders>
            <w:shd w:val="clear" w:color="000000" w:fill="006991"/>
            <w:noWrap/>
            <w:vAlign w:val="center"/>
            <w:hideMark/>
          </w:tcPr>
          <w:p w14:paraId="7BD2E7C0" w14:textId="77777777" w:rsidR="007E365E" w:rsidRPr="00DD2FFE"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D2FFE">
              <w:rPr>
                <w:rFonts w:ascii="Open Sans SemiBold" w:eastAsia="Times New Roman" w:hAnsi="Open Sans SemiBold" w:cs="Open Sans SemiBold"/>
                <w:color w:val="FFFFFF"/>
                <w:sz w:val="16"/>
                <w:szCs w:val="16"/>
                <w:lang w:eastAsia="en-AU"/>
              </w:rPr>
              <w:t>Redist</w:t>
            </w:r>
          </w:p>
        </w:tc>
      </w:tr>
      <w:tr w:rsidR="007E365E" w:rsidRPr="00DD2FFE" w14:paraId="2F3C8D61" w14:textId="77777777" w:rsidTr="007D1D77">
        <w:trPr>
          <w:trHeight w:hRule="exact" w:val="318"/>
        </w:trPr>
        <w:tc>
          <w:tcPr>
            <w:tcW w:w="1524" w:type="dxa"/>
            <w:tcBorders>
              <w:top w:val="nil"/>
              <w:left w:val="nil"/>
              <w:bottom w:val="nil"/>
              <w:right w:val="nil"/>
            </w:tcBorders>
            <w:shd w:val="clear" w:color="auto" w:fill="auto"/>
            <w:vAlign w:val="bottom"/>
            <w:hideMark/>
          </w:tcPr>
          <w:p w14:paraId="70FDE68F" w14:textId="77777777" w:rsidR="007E365E" w:rsidRPr="00DD2FFE" w:rsidRDefault="007E365E" w:rsidP="007D1D77">
            <w:pPr>
              <w:tabs>
                <w:tab w:val="clear" w:pos="567"/>
              </w:tabs>
              <w:spacing w:before="0" w:line="240" w:lineRule="auto"/>
              <w:rPr>
                <w:rFonts w:eastAsia="Times New Roman" w:cs="Open Sans Light"/>
                <w:sz w:val="16"/>
                <w:szCs w:val="16"/>
                <w:lang w:eastAsia="en-AU"/>
              </w:rPr>
            </w:pPr>
            <w:r w:rsidRPr="00DD2FFE">
              <w:rPr>
                <w:rFonts w:eastAsia="Times New Roman" w:cs="Open Sans Light"/>
                <w:sz w:val="16"/>
                <w:szCs w:val="16"/>
                <w:lang w:eastAsia="en-AU"/>
              </w:rPr>
              <w:t>$ million</w:t>
            </w:r>
          </w:p>
        </w:tc>
        <w:tc>
          <w:tcPr>
            <w:tcW w:w="911" w:type="dxa"/>
            <w:tcBorders>
              <w:top w:val="nil"/>
              <w:left w:val="nil"/>
              <w:bottom w:val="nil"/>
              <w:right w:val="nil"/>
            </w:tcBorders>
            <w:shd w:val="clear" w:color="auto" w:fill="auto"/>
            <w:vAlign w:val="bottom"/>
            <w:hideMark/>
          </w:tcPr>
          <w:p w14:paraId="5782F961"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646</w:t>
            </w:r>
          </w:p>
        </w:tc>
        <w:tc>
          <w:tcPr>
            <w:tcW w:w="773" w:type="dxa"/>
            <w:tcBorders>
              <w:top w:val="nil"/>
              <w:left w:val="nil"/>
              <w:bottom w:val="nil"/>
              <w:right w:val="nil"/>
            </w:tcBorders>
            <w:shd w:val="clear" w:color="auto" w:fill="auto"/>
            <w:vAlign w:val="bottom"/>
            <w:hideMark/>
          </w:tcPr>
          <w:p w14:paraId="56A5DAC6"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873</w:t>
            </w:r>
          </w:p>
        </w:tc>
        <w:tc>
          <w:tcPr>
            <w:tcW w:w="812" w:type="dxa"/>
            <w:tcBorders>
              <w:top w:val="nil"/>
              <w:left w:val="nil"/>
              <w:bottom w:val="nil"/>
              <w:right w:val="nil"/>
            </w:tcBorders>
            <w:shd w:val="clear" w:color="auto" w:fill="auto"/>
            <w:vAlign w:val="bottom"/>
            <w:hideMark/>
          </w:tcPr>
          <w:p w14:paraId="33C6C448"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-576</w:t>
            </w:r>
          </w:p>
        </w:tc>
        <w:tc>
          <w:tcPr>
            <w:tcW w:w="812" w:type="dxa"/>
            <w:tcBorders>
              <w:top w:val="nil"/>
              <w:left w:val="nil"/>
              <w:bottom w:val="nil"/>
              <w:right w:val="nil"/>
            </w:tcBorders>
            <w:shd w:val="clear" w:color="auto" w:fill="auto"/>
            <w:vAlign w:val="bottom"/>
            <w:hideMark/>
          </w:tcPr>
          <w:p w14:paraId="6B64DCA3"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-414</w:t>
            </w:r>
          </w:p>
        </w:tc>
        <w:tc>
          <w:tcPr>
            <w:tcW w:w="713" w:type="dxa"/>
            <w:tcBorders>
              <w:top w:val="nil"/>
              <w:left w:val="nil"/>
              <w:bottom w:val="nil"/>
              <w:right w:val="nil"/>
            </w:tcBorders>
            <w:shd w:val="clear" w:color="auto" w:fill="auto"/>
            <w:vAlign w:val="bottom"/>
            <w:hideMark/>
          </w:tcPr>
          <w:p w14:paraId="17715B4B"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-309</w:t>
            </w:r>
          </w:p>
        </w:tc>
        <w:tc>
          <w:tcPr>
            <w:tcW w:w="812" w:type="dxa"/>
            <w:tcBorders>
              <w:top w:val="nil"/>
              <w:left w:val="nil"/>
              <w:bottom w:val="nil"/>
              <w:right w:val="nil"/>
            </w:tcBorders>
            <w:shd w:val="clear" w:color="auto" w:fill="auto"/>
            <w:vAlign w:val="bottom"/>
            <w:hideMark/>
          </w:tcPr>
          <w:p w14:paraId="72C80C4F"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-123</w:t>
            </w:r>
          </w:p>
        </w:tc>
        <w:tc>
          <w:tcPr>
            <w:tcW w:w="871" w:type="dxa"/>
            <w:tcBorders>
              <w:top w:val="nil"/>
              <w:left w:val="nil"/>
              <w:bottom w:val="nil"/>
              <w:right w:val="nil"/>
            </w:tcBorders>
            <w:shd w:val="clear" w:color="auto" w:fill="auto"/>
            <w:vAlign w:val="bottom"/>
            <w:hideMark/>
          </w:tcPr>
          <w:p w14:paraId="7F8D1826"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-39</w:t>
            </w:r>
          </w:p>
        </w:tc>
        <w:tc>
          <w:tcPr>
            <w:tcW w:w="733" w:type="dxa"/>
            <w:tcBorders>
              <w:top w:val="nil"/>
              <w:left w:val="nil"/>
              <w:bottom w:val="nil"/>
              <w:right w:val="nil"/>
            </w:tcBorders>
            <w:shd w:val="clear" w:color="auto" w:fill="auto"/>
            <w:vAlign w:val="bottom"/>
            <w:hideMark/>
          </w:tcPr>
          <w:p w14:paraId="62E467E8"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-58</w:t>
            </w:r>
          </w:p>
        </w:tc>
        <w:tc>
          <w:tcPr>
            <w:tcW w:w="990" w:type="dxa"/>
            <w:tcBorders>
              <w:top w:val="nil"/>
              <w:left w:val="nil"/>
              <w:bottom w:val="nil"/>
              <w:right w:val="nil"/>
            </w:tcBorders>
            <w:shd w:val="clear" w:color="auto" w:fill="auto"/>
            <w:vAlign w:val="bottom"/>
            <w:hideMark/>
          </w:tcPr>
          <w:p w14:paraId="6F732418"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1,520</w:t>
            </w:r>
          </w:p>
        </w:tc>
      </w:tr>
      <w:tr w:rsidR="007E365E" w:rsidRPr="00DD2FFE" w14:paraId="2E74F9E7" w14:textId="77777777" w:rsidTr="007D1D77">
        <w:trPr>
          <w:trHeight w:hRule="exact" w:val="318"/>
        </w:trPr>
        <w:tc>
          <w:tcPr>
            <w:tcW w:w="1524" w:type="dxa"/>
            <w:tcBorders>
              <w:top w:val="single" w:sz="4" w:space="0" w:color="B6D5E4"/>
              <w:left w:val="nil"/>
              <w:bottom w:val="single" w:sz="4" w:space="0" w:color="B6D5E4"/>
              <w:right w:val="nil"/>
            </w:tcBorders>
            <w:shd w:val="clear" w:color="auto" w:fill="auto"/>
            <w:vAlign w:val="bottom"/>
            <w:hideMark/>
          </w:tcPr>
          <w:p w14:paraId="41088201" w14:textId="77777777" w:rsidR="007E365E" w:rsidRPr="00DD2FFE" w:rsidRDefault="007E365E" w:rsidP="007D1D77">
            <w:pPr>
              <w:tabs>
                <w:tab w:val="clear" w:pos="567"/>
              </w:tabs>
              <w:spacing w:before="0" w:line="240" w:lineRule="auto"/>
              <w:rPr>
                <w:rFonts w:eastAsia="Times New Roman" w:cs="Open Sans Light"/>
                <w:sz w:val="16"/>
                <w:szCs w:val="16"/>
                <w:lang w:eastAsia="en-AU"/>
              </w:rPr>
            </w:pPr>
            <w:r w:rsidRPr="00DD2FFE">
              <w:rPr>
                <w:rFonts w:eastAsia="Times New Roman" w:cs="Open Sans Light"/>
                <w:sz w:val="16"/>
                <w:szCs w:val="16"/>
                <w:lang w:eastAsia="en-AU"/>
              </w:rPr>
              <w:t>$ per capita</w:t>
            </w:r>
          </w:p>
        </w:tc>
        <w:tc>
          <w:tcPr>
            <w:tcW w:w="911" w:type="dxa"/>
            <w:tcBorders>
              <w:top w:val="single" w:sz="4" w:space="0" w:color="B6D5E4"/>
              <w:left w:val="nil"/>
              <w:bottom w:val="single" w:sz="4" w:space="0" w:color="B6D5E4"/>
              <w:right w:val="nil"/>
            </w:tcBorders>
            <w:shd w:val="clear" w:color="auto" w:fill="auto"/>
            <w:vAlign w:val="bottom"/>
            <w:hideMark/>
          </w:tcPr>
          <w:p w14:paraId="7E7029F0"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78</w:t>
            </w:r>
          </w:p>
        </w:tc>
        <w:tc>
          <w:tcPr>
            <w:tcW w:w="773" w:type="dxa"/>
            <w:tcBorders>
              <w:top w:val="single" w:sz="4" w:space="0" w:color="B6D5E4"/>
              <w:left w:val="nil"/>
              <w:bottom w:val="single" w:sz="4" w:space="0" w:color="B6D5E4"/>
              <w:right w:val="nil"/>
            </w:tcBorders>
            <w:shd w:val="clear" w:color="auto" w:fill="auto"/>
            <w:vAlign w:val="bottom"/>
            <w:hideMark/>
          </w:tcPr>
          <w:p w14:paraId="3005EAA1"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128</w:t>
            </w:r>
          </w:p>
        </w:tc>
        <w:tc>
          <w:tcPr>
            <w:tcW w:w="812" w:type="dxa"/>
            <w:tcBorders>
              <w:top w:val="single" w:sz="4" w:space="0" w:color="B6D5E4"/>
              <w:left w:val="nil"/>
              <w:bottom w:val="single" w:sz="4" w:space="0" w:color="B6D5E4"/>
              <w:right w:val="nil"/>
            </w:tcBorders>
            <w:shd w:val="clear" w:color="auto" w:fill="auto"/>
            <w:vAlign w:val="bottom"/>
            <w:hideMark/>
          </w:tcPr>
          <w:p w14:paraId="6E06E180"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-110</w:t>
            </w:r>
          </w:p>
        </w:tc>
        <w:tc>
          <w:tcPr>
            <w:tcW w:w="812" w:type="dxa"/>
            <w:tcBorders>
              <w:top w:val="single" w:sz="4" w:space="0" w:color="B6D5E4"/>
              <w:left w:val="nil"/>
              <w:bottom w:val="single" w:sz="4" w:space="0" w:color="B6D5E4"/>
              <w:right w:val="nil"/>
            </w:tcBorders>
            <w:shd w:val="clear" w:color="auto" w:fill="auto"/>
            <w:vAlign w:val="bottom"/>
            <w:hideMark/>
          </w:tcPr>
          <w:p w14:paraId="1905E27D"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-156</w:t>
            </w:r>
          </w:p>
        </w:tc>
        <w:tc>
          <w:tcPr>
            <w:tcW w:w="713" w:type="dxa"/>
            <w:tcBorders>
              <w:top w:val="single" w:sz="4" w:space="0" w:color="B6D5E4"/>
              <w:left w:val="nil"/>
              <w:bottom w:val="single" w:sz="4" w:space="0" w:color="B6D5E4"/>
              <w:right w:val="nil"/>
            </w:tcBorders>
            <w:shd w:val="clear" w:color="auto" w:fill="auto"/>
            <w:vAlign w:val="bottom"/>
            <w:hideMark/>
          </w:tcPr>
          <w:p w14:paraId="11CE99F9"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-174</w:t>
            </w:r>
          </w:p>
        </w:tc>
        <w:tc>
          <w:tcPr>
            <w:tcW w:w="812" w:type="dxa"/>
            <w:tcBorders>
              <w:top w:val="single" w:sz="4" w:space="0" w:color="B6D5E4"/>
              <w:left w:val="nil"/>
              <w:bottom w:val="single" w:sz="4" w:space="0" w:color="B6D5E4"/>
              <w:right w:val="nil"/>
            </w:tcBorders>
            <w:shd w:val="clear" w:color="auto" w:fill="auto"/>
            <w:vAlign w:val="bottom"/>
            <w:hideMark/>
          </w:tcPr>
          <w:p w14:paraId="3DF5A0A7"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-227</w:t>
            </w:r>
          </w:p>
        </w:tc>
        <w:tc>
          <w:tcPr>
            <w:tcW w:w="871" w:type="dxa"/>
            <w:tcBorders>
              <w:top w:val="single" w:sz="4" w:space="0" w:color="B6D5E4"/>
              <w:left w:val="nil"/>
              <w:bottom w:val="single" w:sz="4" w:space="0" w:color="B6D5E4"/>
              <w:right w:val="nil"/>
            </w:tcBorders>
            <w:shd w:val="clear" w:color="auto" w:fill="auto"/>
            <w:vAlign w:val="bottom"/>
            <w:hideMark/>
          </w:tcPr>
          <w:p w14:paraId="1320ED2E"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-89</w:t>
            </w:r>
          </w:p>
        </w:tc>
        <w:tc>
          <w:tcPr>
            <w:tcW w:w="733" w:type="dxa"/>
            <w:tcBorders>
              <w:top w:val="single" w:sz="4" w:space="0" w:color="B6D5E4"/>
              <w:left w:val="nil"/>
              <w:bottom w:val="single" w:sz="4" w:space="0" w:color="B6D5E4"/>
              <w:right w:val="nil"/>
            </w:tcBorders>
            <w:shd w:val="clear" w:color="auto" w:fill="auto"/>
            <w:vAlign w:val="bottom"/>
            <w:hideMark/>
          </w:tcPr>
          <w:p w14:paraId="7137AE43"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-236</w:t>
            </w:r>
          </w:p>
        </w:tc>
        <w:tc>
          <w:tcPr>
            <w:tcW w:w="990" w:type="dxa"/>
            <w:tcBorders>
              <w:top w:val="single" w:sz="4" w:space="0" w:color="B6D5E4"/>
              <w:left w:val="nil"/>
              <w:bottom w:val="single" w:sz="4" w:space="0" w:color="B6D5E4"/>
              <w:right w:val="nil"/>
            </w:tcBorders>
            <w:shd w:val="clear" w:color="auto" w:fill="auto"/>
            <w:vAlign w:val="bottom"/>
            <w:hideMark/>
          </w:tcPr>
          <w:p w14:paraId="00253528" w14:textId="77777777" w:rsidR="007E365E" w:rsidRPr="00DD2FFE" w:rsidRDefault="007E365E" w:rsidP="007D1D77">
            <w:pPr>
              <w:tabs>
                <w:tab w:val="clear" w:pos="567"/>
              </w:tabs>
              <w:spacing w:before="0" w:line="240" w:lineRule="auto"/>
              <w:jc w:val="right"/>
              <w:rPr>
                <w:rFonts w:eastAsia="Times New Roman" w:cs="Open Sans Light"/>
                <w:sz w:val="16"/>
                <w:szCs w:val="16"/>
                <w:lang w:eastAsia="en-AU"/>
              </w:rPr>
            </w:pPr>
            <w:r w:rsidRPr="00DD2FFE">
              <w:rPr>
                <w:rFonts w:eastAsia="Times New Roman" w:cs="Open Sans Light"/>
                <w:sz w:val="16"/>
                <w:szCs w:val="16"/>
                <w:lang w:eastAsia="en-AU"/>
              </w:rPr>
              <w:t>58</w:t>
            </w:r>
          </w:p>
        </w:tc>
      </w:tr>
    </w:tbl>
    <w:p w14:paraId="58A3D980" w14:textId="77777777" w:rsidR="007E365E" w:rsidRPr="00976585" w:rsidRDefault="007E365E" w:rsidP="007E365E">
      <w:pPr>
        <w:pStyle w:val="CGCTablenote"/>
      </w:pPr>
      <w:r w:rsidRPr="00976585">
        <w:t>Note:</w:t>
      </w:r>
      <w:r>
        <w:tab/>
      </w:r>
      <w:r w:rsidRPr="00976585">
        <w:t>The redistribution is the difference from an EPC assessment of category expenses.</w:t>
      </w:r>
    </w:p>
    <w:p w14:paraId="20DBEFC6" w14:textId="77777777" w:rsidR="007E365E" w:rsidRPr="00976585" w:rsidRDefault="007E365E" w:rsidP="007E365E">
      <w:pPr>
        <w:pStyle w:val="CGCTablenote"/>
      </w:pPr>
      <w:r w:rsidRPr="00976585">
        <w:t>Source:</w:t>
      </w:r>
      <w:r w:rsidRPr="00976585">
        <w:tab/>
        <w:t>Commission calculation.</w:t>
      </w:r>
    </w:p>
    <w:bookmarkEnd w:id="281"/>
    <w:p w14:paraId="308A4477" w14:textId="77777777" w:rsidR="007E365E" w:rsidRPr="00976585" w:rsidRDefault="007E365E" w:rsidP="007E365E">
      <w:pPr>
        <w:pStyle w:val="Heading3"/>
      </w:pPr>
      <w:r w:rsidRPr="00976585">
        <w:t>Changes since the 2019 Update</w:t>
      </w:r>
    </w:p>
    <w:p w14:paraId="43715249" w14:textId="33647506" w:rsidR="007E365E" w:rsidRPr="00976585" w:rsidRDefault="007E365E" w:rsidP="007E365E">
      <w:pPr>
        <w:pStyle w:val="CGCParaNumber"/>
      </w:pPr>
      <w:r w:rsidRPr="00976585">
        <w:t xml:space="preserve">There are a number of data and method changes since the 2019 Update as well as changes in State circumstances. </w:t>
      </w:r>
      <w:r>
        <w:fldChar w:fldCharType="begin"/>
      </w:r>
      <w:r>
        <w:instrText xml:space="preserve"> REF _Ref32845846 \h </w:instrText>
      </w:r>
      <w:r>
        <w:fldChar w:fldCharType="separate"/>
      </w:r>
      <w:r w:rsidR="007F721A" w:rsidRPr="00976585">
        <w:t xml:space="preserve">Table </w:t>
      </w:r>
      <w:r w:rsidR="007F721A">
        <w:t>21-</w:t>
      </w:r>
      <w:r w:rsidR="007F721A">
        <w:rPr>
          <w:noProof/>
        </w:rPr>
        <w:t>20</w:t>
      </w:r>
      <w:r>
        <w:fldChar w:fldCharType="end"/>
      </w:r>
      <w:r w:rsidRPr="00976585">
        <w:t xml:space="preserve"> shows the effect of these changes. </w:t>
      </w:r>
    </w:p>
    <w:p w14:paraId="6D6E982D" w14:textId="327DC1D3" w:rsidR="007E365E" w:rsidRDefault="007E365E" w:rsidP="007E365E">
      <w:pPr>
        <w:pStyle w:val="Caption"/>
        <w:widowControl w:val="0"/>
      </w:pPr>
      <w:bookmarkStart w:id="283" w:name="_Ref32845846"/>
      <w:r w:rsidRPr="00976585">
        <w:t xml:space="preserve">Table </w:t>
      </w:r>
      <w:r>
        <w:t>21-</w:t>
      </w:r>
      <w:fldSimple w:instr=" SEQ Table \* ARABIC ">
        <w:r w:rsidR="007F721A">
          <w:rPr>
            <w:noProof/>
          </w:rPr>
          <w:t>20</w:t>
        </w:r>
      </w:fldSimple>
      <w:bookmarkStart w:id="284" w:name="_Toc6470674"/>
      <w:bookmarkEnd w:id="283"/>
      <w:r w:rsidRPr="00976585">
        <w:tab/>
      </w:r>
      <w:r>
        <w:t>Changes to the GST redistribution between the 2019 Update and the 2020 Review</w:t>
      </w:r>
    </w:p>
    <w:tbl>
      <w:tblPr>
        <w:tblW w:w="8942" w:type="dxa"/>
        <w:tblCellMar>
          <w:left w:w="28" w:type="dxa"/>
          <w:right w:w="28" w:type="dxa"/>
        </w:tblCellMar>
        <w:tblLook w:val="04A0" w:firstRow="1" w:lastRow="0" w:firstColumn="1" w:lastColumn="0" w:noHBand="0" w:noVBand="1"/>
      </w:tblPr>
      <w:tblGrid>
        <w:gridCol w:w="2380"/>
        <w:gridCol w:w="780"/>
        <w:gridCol w:w="740"/>
        <w:gridCol w:w="740"/>
        <w:gridCol w:w="740"/>
        <w:gridCol w:w="740"/>
        <w:gridCol w:w="660"/>
        <w:gridCol w:w="700"/>
        <w:gridCol w:w="640"/>
        <w:gridCol w:w="880"/>
      </w:tblGrid>
      <w:tr w:rsidR="007E365E" w:rsidRPr="00B63F4D" w14:paraId="102B184F" w14:textId="77777777" w:rsidTr="007D1D77">
        <w:trPr>
          <w:trHeight w:val="379"/>
        </w:trPr>
        <w:tc>
          <w:tcPr>
            <w:tcW w:w="2380" w:type="dxa"/>
            <w:tcBorders>
              <w:top w:val="single" w:sz="4" w:space="0" w:color="B6D5E4"/>
              <w:left w:val="nil"/>
              <w:bottom w:val="single" w:sz="4" w:space="0" w:color="B6D5E4"/>
              <w:right w:val="nil"/>
            </w:tcBorders>
            <w:shd w:val="clear" w:color="000000" w:fill="006991"/>
            <w:noWrap/>
            <w:vAlign w:val="center"/>
            <w:hideMark/>
          </w:tcPr>
          <w:p w14:paraId="46D0F87F"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3F4D">
              <w:rPr>
                <w:rFonts w:ascii="Open Sans SemiBold" w:eastAsia="Times New Roman" w:hAnsi="Open Sans SemiBold" w:cs="Open Sans SemiBold"/>
                <w:color w:val="FFFFFF"/>
                <w:sz w:val="16"/>
                <w:szCs w:val="16"/>
                <w:lang w:eastAsia="en-AU"/>
              </w:rPr>
              <w:t> </w:t>
            </w:r>
          </w:p>
        </w:tc>
        <w:tc>
          <w:tcPr>
            <w:tcW w:w="780" w:type="dxa"/>
            <w:tcBorders>
              <w:top w:val="single" w:sz="4" w:space="0" w:color="B6D5E4"/>
              <w:left w:val="nil"/>
              <w:bottom w:val="single" w:sz="4" w:space="0" w:color="B6D5E4"/>
              <w:right w:val="nil"/>
            </w:tcBorders>
            <w:shd w:val="clear" w:color="000000" w:fill="006991"/>
            <w:noWrap/>
            <w:vAlign w:val="center"/>
            <w:hideMark/>
          </w:tcPr>
          <w:p w14:paraId="59DA0D9B"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3F4D">
              <w:rPr>
                <w:rFonts w:ascii="Open Sans SemiBold" w:eastAsia="Times New Roman" w:hAnsi="Open Sans SemiBold" w:cs="Open Sans SemiBold"/>
                <w:color w:val="FFFFFF"/>
                <w:sz w:val="16"/>
                <w:szCs w:val="16"/>
                <w:lang w:eastAsia="en-AU"/>
              </w:rPr>
              <w:t>NSW</w:t>
            </w:r>
          </w:p>
        </w:tc>
        <w:tc>
          <w:tcPr>
            <w:tcW w:w="740" w:type="dxa"/>
            <w:tcBorders>
              <w:top w:val="single" w:sz="4" w:space="0" w:color="B6D5E4"/>
              <w:left w:val="nil"/>
              <w:bottom w:val="single" w:sz="4" w:space="0" w:color="B6D5E4"/>
              <w:right w:val="nil"/>
            </w:tcBorders>
            <w:shd w:val="clear" w:color="000000" w:fill="006991"/>
            <w:noWrap/>
            <w:vAlign w:val="center"/>
            <w:hideMark/>
          </w:tcPr>
          <w:p w14:paraId="1D48DB9C"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3F4D">
              <w:rPr>
                <w:rFonts w:ascii="Open Sans SemiBold" w:eastAsia="Times New Roman" w:hAnsi="Open Sans SemiBold" w:cs="Open Sans SemiBold"/>
                <w:color w:val="FFFFFF"/>
                <w:sz w:val="16"/>
                <w:szCs w:val="16"/>
                <w:lang w:eastAsia="en-AU"/>
              </w:rPr>
              <w:t>Vic</w:t>
            </w:r>
          </w:p>
        </w:tc>
        <w:tc>
          <w:tcPr>
            <w:tcW w:w="740" w:type="dxa"/>
            <w:tcBorders>
              <w:top w:val="single" w:sz="4" w:space="0" w:color="B6D5E4"/>
              <w:left w:val="nil"/>
              <w:bottom w:val="single" w:sz="4" w:space="0" w:color="B6D5E4"/>
              <w:right w:val="nil"/>
            </w:tcBorders>
            <w:shd w:val="clear" w:color="000000" w:fill="006991"/>
            <w:noWrap/>
            <w:vAlign w:val="center"/>
            <w:hideMark/>
          </w:tcPr>
          <w:p w14:paraId="0F1DC385"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3F4D">
              <w:rPr>
                <w:rFonts w:ascii="Open Sans SemiBold" w:eastAsia="Times New Roman" w:hAnsi="Open Sans SemiBold" w:cs="Open Sans SemiBold"/>
                <w:color w:val="FFFFFF"/>
                <w:sz w:val="16"/>
                <w:szCs w:val="16"/>
                <w:lang w:eastAsia="en-AU"/>
              </w:rPr>
              <w:t>Qld</w:t>
            </w:r>
          </w:p>
        </w:tc>
        <w:tc>
          <w:tcPr>
            <w:tcW w:w="740" w:type="dxa"/>
            <w:tcBorders>
              <w:top w:val="single" w:sz="4" w:space="0" w:color="B6D5E4"/>
              <w:left w:val="nil"/>
              <w:bottom w:val="single" w:sz="4" w:space="0" w:color="B6D5E4"/>
              <w:right w:val="nil"/>
            </w:tcBorders>
            <w:shd w:val="clear" w:color="000000" w:fill="006991"/>
            <w:noWrap/>
            <w:vAlign w:val="center"/>
            <w:hideMark/>
          </w:tcPr>
          <w:p w14:paraId="03E2829D"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3F4D">
              <w:rPr>
                <w:rFonts w:ascii="Open Sans SemiBold" w:eastAsia="Times New Roman" w:hAnsi="Open Sans SemiBold" w:cs="Open Sans SemiBold"/>
                <w:color w:val="FFFFFF"/>
                <w:sz w:val="16"/>
                <w:szCs w:val="16"/>
                <w:lang w:eastAsia="en-AU"/>
              </w:rPr>
              <w:t>WA</w:t>
            </w:r>
          </w:p>
        </w:tc>
        <w:tc>
          <w:tcPr>
            <w:tcW w:w="740" w:type="dxa"/>
            <w:tcBorders>
              <w:top w:val="single" w:sz="4" w:space="0" w:color="B6D5E4"/>
              <w:left w:val="nil"/>
              <w:bottom w:val="single" w:sz="4" w:space="0" w:color="B6D5E4"/>
              <w:right w:val="nil"/>
            </w:tcBorders>
            <w:shd w:val="clear" w:color="000000" w:fill="006991"/>
            <w:noWrap/>
            <w:vAlign w:val="center"/>
            <w:hideMark/>
          </w:tcPr>
          <w:p w14:paraId="23B9647A"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3F4D">
              <w:rPr>
                <w:rFonts w:ascii="Open Sans SemiBold" w:eastAsia="Times New Roman" w:hAnsi="Open Sans SemiBold" w:cs="Open Sans SemiBold"/>
                <w:color w:val="FFFFFF"/>
                <w:sz w:val="16"/>
                <w:szCs w:val="16"/>
                <w:lang w:eastAsia="en-AU"/>
              </w:rPr>
              <w:t>SA</w:t>
            </w:r>
          </w:p>
        </w:tc>
        <w:tc>
          <w:tcPr>
            <w:tcW w:w="660" w:type="dxa"/>
            <w:tcBorders>
              <w:top w:val="single" w:sz="4" w:space="0" w:color="B6D5E4"/>
              <w:left w:val="nil"/>
              <w:bottom w:val="single" w:sz="4" w:space="0" w:color="B6D5E4"/>
              <w:right w:val="nil"/>
            </w:tcBorders>
            <w:shd w:val="clear" w:color="000000" w:fill="006991"/>
            <w:noWrap/>
            <w:vAlign w:val="center"/>
            <w:hideMark/>
          </w:tcPr>
          <w:p w14:paraId="1A5072F1"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3F4D">
              <w:rPr>
                <w:rFonts w:ascii="Open Sans SemiBold" w:eastAsia="Times New Roman" w:hAnsi="Open Sans SemiBold" w:cs="Open Sans SemiBold"/>
                <w:color w:val="FFFFFF"/>
                <w:sz w:val="16"/>
                <w:szCs w:val="16"/>
                <w:lang w:eastAsia="en-AU"/>
              </w:rPr>
              <w:t>Tas</w:t>
            </w:r>
          </w:p>
        </w:tc>
        <w:tc>
          <w:tcPr>
            <w:tcW w:w="700" w:type="dxa"/>
            <w:tcBorders>
              <w:top w:val="single" w:sz="4" w:space="0" w:color="B6D5E4"/>
              <w:left w:val="nil"/>
              <w:bottom w:val="single" w:sz="4" w:space="0" w:color="B6D5E4"/>
              <w:right w:val="nil"/>
            </w:tcBorders>
            <w:shd w:val="clear" w:color="000000" w:fill="006991"/>
            <w:noWrap/>
            <w:vAlign w:val="center"/>
            <w:hideMark/>
          </w:tcPr>
          <w:p w14:paraId="1B563A21"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3F4D">
              <w:rPr>
                <w:rFonts w:ascii="Open Sans SemiBold" w:eastAsia="Times New Roman" w:hAnsi="Open Sans SemiBold" w:cs="Open Sans SemiBold"/>
                <w:color w:val="FFFFFF"/>
                <w:sz w:val="16"/>
                <w:szCs w:val="16"/>
                <w:lang w:eastAsia="en-AU"/>
              </w:rPr>
              <w:t>ACT</w:t>
            </w:r>
          </w:p>
        </w:tc>
        <w:tc>
          <w:tcPr>
            <w:tcW w:w="640" w:type="dxa"/>
            <w:tcBorders>
              <w:top w:val="single" w:sz="4" w:space="0" w:color="B6D5E4"/>
              <w:left w:val="nil"/>
              <w:bottom w:val="single" w:sz="4" w:space="0" w:color="B6D5E4"/>
              <w:right w:val="nil"/>
            </w:tcBorders>
            <w:shd w:val="clear" w:color="000000" w:fill="006991"/>
            <w:noWrap/>
            <w:vAlign w:val="center"/>
            <w:hideMark/>
          </w:tcPr>
          <w:p w14:paraId="5600CEC4"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3F4D">
              <w:rPr>
                <w:rFonts w:ascii="Open Sans SemiBold" w:eastAsia="Times New Roman" w:hAnsi="Open Sans SemiBold" w:cs="Open Sans SemiBold"/>
                <w:color w:val="FFFFFF"/>
                <w:sz w:val="16"/>
                <w:szCs w:val="16"/>
                <w:lang w:eastAsia="en-AU"/>
              </w:rPr>
              <w:t>NT</w:t>
            </w:r>
          </w:p>
        </w:tc>
        <w:tc>
          <w:tcPr>
            <w:tcW w:w="880" w:type="dxa"/>
            <w:tcBorders>
              <w:top w:val="single" w:sz="4" w:space="0" w:color="B6D5E4"/>
              <w:left w:val="nil"/>
              <w:bottom w:val="single" w:sz="4" w:space="0" w:color="B6D5E4"/>
              <w:right w:val="nil"/>
            </w:tcBorders>
            <w:shd w:val="clear" w:color="000000" w:fill="006991"/>
            <w:noWrap/>
            <w:vAlign w:val="center"/>
            <w:hideMark/>
          </w:tcPr>
          <w:p w14:paraId="780919AE"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63F4D">
              <w:rPr>
                <w:rFonts w:ascii="Open Sans SemiBold" w:eastAsia="Times New Roman" w:hAnsi="Open Sans SemiBold" w:cs="Open Sans SemiBold"/>
                <w:color w:val="FFFFFF"/>
                <w:sz w:val="16"/>
                <w:szCs w:val="16"/>
                <w:lang w:eastAsia="en-AU"/>
              </w:rPr>
              <w:t>Redist</w:t>
            </w:r>
          </w:p>
        </w:tc>
      </w:tr>
      <w:tr w:rsidR="007E365E" w:rsidRPr="00B63F4D" w14:paraId="44CF557F" w14:textId="77777777" w:rsidTr="007D1D77">
        <w:trPr>
          <w:trHeight w:val="255"/>
        </w:trPr>
        <w:tc>
          <w:tcPr>
            <w:tcW w:w="2380" w:type="dxa"/>
            <w:tcBorders>
              <w:top w:val="nil"/>
              <w:left w:val="nil"/>
              <w:bottom w:val="nil"/>
              <w:right w:val="nil"/>
            </w:tcBorders>
            <w:shd w:val="clear" w:color="000000" w:fill="B6D5E4"/>
            <w:noWrap/>
            <w:vAlign w:val="bottom"/>
            <w:hideMark/>
          </w:tcPr>
          <w:p w14:paraId="605037FC" w14:textId="77777777" w:rsidR="007E365E" w:rsidRPr="00B63F4D" w:rsidRDefault="007E365E" w:rsidP="007D1D77">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 </w:t>
            </w:r>
          </w:p>
        </w:tc>
        <w:tc>
          <w:tcPr>
            <w:tcW w:w="780" w:type="dxa"/>
            <w:tcBorders>
              <w:top w:val="nil"/>
              <w:left w:val="nil"/>
              <w:bottom w:val="nil"/>
              <w:right w:val="nil"/>
            </w:tcBorders>
            <w:shd w:val="clear" w:color="000000" w:fill="B6D5E4"/>
            <w:vAlign w:val="center"/>
            <w:hideMark/>
          </w:tcPr>
          <w:p w14:paraId="00809B9D"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$m</w:t>
            </w:r>
          </w:p>
        </w:tc>
        <w:tc>
          <w:tcPr>
            <w:tcW w:w="740" w:type="dxa"/>
            <w:tcBorders>
              <w:top w:val="nil"/>
              <w:left w:val="nil"/>
              <w:bottom w:val="nil"/>
              <w:right w:val="nil"/>
            </w:tcBorders>
            <w:shd w:val="clear" w:color="000000" w:fill="B6D5E4"/>
            <w:vAlign w:val="center"/>
            <w:hideMark/>
          </w:tcPr>
          <w:p w14:paraId="60DE7A13"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$m</w:t>
            </w:r>
          </w:p>
        </w:tc>
        <w:tc>
          <w:tcPr>
            <w:tcW w:w="740" w:type="dxa"/>
            <w:tcBorders>
              <w:top w:val="nil"/>
              <w:left w:val="nil"/>
              <w:bottom w:val="nil"/>
              <w:right w:val="nil"/>
            </w:tcBorders>
            <w:shd w:val="clear" w:color="000000" w:fill="B6D5E4"/>
            <w:vAlign w:val="center"/>
            <w:hideMark/>
          </w:tcPr>
          <w:p w14:paraId="51FE12E7"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$m</w:t>
            </w:r>
          </w:p>
        </w:tc>
        <w:tc>
          <w:tcPr>
            <w:tcW w:w="740" w:type="dxa"/>
            <w:tcBorders>
              <w:top w:val="nil"/>
              <w:left w:val="nil"/>
              <w:bottom w:val="nil"/>
              <w:right w:val="nil"/>
            </w:tcBorders>
            <w:shd w:val="clear" w:color="000000" w:fill="B6D5E4"/>
            <w:vAlign w:val="center"/>
            <w:hideMark/>
          </w:tcPr>
          <w:p w14:paraId="1B2811B8"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$m</w:t>
            </w:r>
          </w:p>
        </w:tc>
        <w:tc>
          <w:tcPr>
            <w:tcW w:w="740" w:type="dxa"/>
            <w:tcBorders>
              <w:top w:val="nil"/>
              <w:left w:val="nil"/>
              <w:bottom w:val="nil"/>
              <w:right w:val="nil"/>
            </w:tcBorders>
            <w:shd w:val="clear" w:color="000000" w:fill="B6D5E4"/>
            <w:vAlign w:val="center"/>
            <w:hideMark/>
          </w:tcPr>
          <w:p w14:paraId="6B3C859A"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$m</w:t>
            </w:r>
          </w:p>
        </w:tc>
        <w:tc>
          <w:tcPr>
            <w:tcW w:w="660" w:type="dxa"/>
            <w:tcBorders>
              <w:top w:val="nil"/>
              <w:left w:val="nil"/>
              <w:bottom w:val="nil"/>
              <w:right w:val="nil"/>
            </w:tcBorders>
            <w:shd w:val="clear" w:color="000000" w:fill="B6D5E4"/>
            <w:vAlign w:val="center"/>
            <w:hideMark/>
          </w:tcPr>
          <w:p w14:paraId="0BDE42E9"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$m</w:t>
            </w:r>
          </w:p>
        </w:tc>
        <w:tc>
          <w:tcPr>
            <w:tcW w:w="700" w:type="dxa"/>
            <w:tcBorders>
              <w:top w:val="nil"/>
              <w:left w:val="nil"/>
              <w:bottom w:val="nil"/>
              <w:right w:val="nil"/>
            </w:tcBorders>
            <w:shd w:val="clear" w:color="000000" w:fill="B6D5E4"/>
            <w:vAlign w:val="center"/>
            <w:hideMark/>
          </w:tcPr>
          <w:p w14:paraId="68B98FBA"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$m</w:t>
            </w:r>
          </w:p>
        </w:tc>
        <w:tc>
          <w:tcPr>
            <w:tcW w:w="640" w:type="dxa"/>
            <w:tcBorders>
              <w:top w:val="nil"/>
              <w:left w:val="nil"/>
              <w:bottom w:val="nil"/>
              <w:right w:val="nil"/>
            </w:tcBorders>
            <w:shd w:val="clear" w:color="000000" w:fill="B6D5E4"/>
            <w:vAlign w:val="center"/>
            <w:hideMark/>
          </w:tcPr>
          <w:p w14:paraId="31CBBD6B"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$m</w:t>
            </w:r>
          </w:p>
        </w:tc>
        <w:tc>
          <w:tcPr>
            <w:tcW w:w="880" w:type="dxa"/>
            <w:tcBorders>
              <w:top w:val="nil"/>
              <w:left w:val="nil"/>
              <w:bottom w:val="nil"/>
              <w:right w:val="nil"/>
            </w:tcBorders>
            <w:shd w:val="clear" w:color="000000" w:fill="B6D5E4"/>
            <w:vAlign w:val="center"/>
            <w:hideMark/>
          </w:tcPr>
          <w:p w14:paraId="702E8C75"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$m</w:t>
            </w:r>
          </w:p>
        </w:tc>
      </w:tr>
      <w:tr w:rsidR="007E365E" w:rsidRPr="00B63F4D" w14:paraId="5FCA451B" w14:textId="77777777" w:rsidTr="007D1D77">
        <w:trPr>
          <w:trHeight w:val="315"/>
        </w:trPr>
        <w:tc>
          <w:tcPr>
            <w:tcW w:w="2380" w:type="dxa"/>
            <w:tcBorders>
              <w:top w:val="nil"/>
              <w:left w:val="nil"/>
              <w:bottom w:val="nil"/>
              <w:right w:val="nil"/>
            </w:tcBorders>
            <w:shd w:val="clear" w:color="auto" w:fill="auto"/>
            <w:noWrap/>
            <w:vAlign w:val="bottom"/>
            <w:hideMark/>
          </w:tcPr>
          <w:p w14:paraId="610FBFAD" w14:textId="77777777" w:rsidR="007E365E" w:rsidRPr="00B63F4D"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B63F4D">
              <w:rPr>
                <w:rFonts w:eastAsia="Times New Roman" w:cs="Open Sans Light"/>
                <w:sz w:val="16"/>
                <w:szCs w:val="16"/>
                <w:lang w:eastAsia="en-AU"/>
              </w:rPr>
              <w:t>Method and data changes</w:t>
            </w:r>
          </w:p>
        </w:tc>
        <w:tc>
          <w:tcPr>
            <w:tcW w:w="780" w:type="dxa"/>
            <w:tcBorders>
              <w:top w:val="nil"/>
              <w:left w:val="nil"/>
              <w:bottom w:val="nil"/>
              <w:right w:val="nil"/>
            </w:tcBorders>
            <w:shd w:val="clear" w:color="auto" w:fill="auto"/>
            <w:vAlign w:val="bottom"/>
            <w:hideMark/>
          </w:tcPr>
          <w:p w14:paraId="3439482F"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896</w:t>
            </w:r>
          </w:p>
        </w:tc>
        <w:tc>
          <w:tcPr>
            <w:tcW w:w="740" w:type="dxa"/>
            <w:tcBorders>
              <w:top w:val="nil"/>
              <w:left w:val="nil"/>
              <w:bottom w:val="nil"/>
              <w:right w:val="nil"/>
            </w:tcBorders>
            <w:shd w:val="clear" w:color="auto" w:fill="auto"/>
            <w:vAlign w:val="bottom"/>
            <w:hideMark/>
          </w:tcPr>
          <w:p w14:paraId="149301FA"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-261</w:t>
            </w:r>
          </w:p>
        </w:tc>
        <w:tc>
          <w:tcPr>
            <w:tcW w:w="740" w:type="dxa"/>
            <w:tcBorders>
              <w:top w:val="nil"/>
              <w:left w:val="nil"/>
              <w:bottom w:val="nil"/>
              <w:right w:val="nil"/>
            </w:tcBorders>
            <w:shd w:val="clear" w:color="auto" w:fill="auto"/>
            <w:vAlign w:val="bottom"/>
            <w:hideMark/>
          </w:tcPr>
          <w:p w14:paraId="66BF918F"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-340</w:t>
            </w:r>
          </w:p>
        </w:tc>
        <w:tc>
          <w:tcPr>
            <w:tcW w:w="740" w:type="dxa"/>
            <w:tcBorders>
              <w:top w:val="nil"/>
              <w:left w:val="nil"/>
              <w:bottom w:val="nil"/>
              <w:right w:val="nil"/>
            </w:tcBorders>
            <w:shd w:val="clear" w:color="auto" w:fill="auto"/>
            <w:vAlign w:val="bottom"/>
            <w:hideMark/>
          </w:tcPr>
          <w:p w14:paraId="5E400E90"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-230</w:t>
            </w:r>
          </w:p>
        </w:tc>
        <w:tc>
          <w:tcPr>
            <w:tcW w:w="740" w:type="dxa"/>
            <w:tcBorders>
              <w:top w:val="nil"/>
              <w:left w:val="nil"/>
              <w:bottom w:val="nil"/>
              <w:right w:val="nil"/>
            </w:tcBorders>
            <w:shd w:val="clear" w:color="auto" w:fill="auto"/>
            <w:vAlign w:val="bottom"/>
            <w:hideMark/>
          </w:tcPr>
          <w:p w14:paraId="5A7B8E91"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-103</w:t>
            </w:r>
          </w:p>
        </w:tc>
        <w:tc>
          <w:tcPr>
            <w:tcW w:w="660" w:type="dxa"/>
            <w:tcBorders>
              <w:top w:val="nil"/>
              <w:left w:val="nil"/>
              <w:bottom w:val="nil"/>
              <w:right w:val="nil"/>
            </w:tcBorders>
            <w:shd w:val="clear" w:color="auto" w:fill="auto"/>
            <w:vAlign w:val="bottom"/>
            <w:hideMark/>
          </w:tcPr>
          <w:p w14:paraId="51192BDD"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9</w:t>
            </w:r>
          </w:p>
        </w:tc>
        <w:tc>
          <w:tcPr>
            <w:tcW w:w="700" w:type="dxa"/>
            <w:tcBorders>
              <w:top w:val="nil"/>
              <w:left w:val="nil"/>
              <w:bottom w:val="nil"/>
              <w:right w:val="nil"/>
            </w:tcBorders>
            <w:shd w:val="clear" w:color="auto" w:fill="auto"/>
            <w:vAlign w:val="bottom"/>
            <w:hideMark/>
          </w:tcPr>
          <w:p w14:paraId="4DB4994C"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11</w:t>
            </w:r>
          </w:p>
        </w:tc>
        <w:tc>
          <w:tcPr>
            <w:tcW w:w="640" w:type="dxa"/>
            <w:tcBorders>
              <w:top w:val="nil"/>
              <w:left w:val="nil"/>
              <w:bottom w:val="nil"/>
              <w:right w:val="nil"/>
            </w:tcBorders>
            <w:shd w:val="clear" w:color="auto" w:fill="auto"/>
            <w:vAlign w:val="bottom"/>
            <w:hideMark/>
          </w:tcPr>
          <w:p w14:paraId="2469D48C"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18</w:t>
            </w:r>
          </w:p>
        </w:tc>
        <w:tc>
          <w:tcPr>
            <w:tcW w:w="880" w:type="dxa"/>
            <w:tcBorders>
              <w:top w:val="nil"/>
              <w:left w:val="nil"/>
              <w:bottom w:val="nil"/>
              <w:right w:val="nil"/>
            </w:tcBorders>
            <w:shd w:val="clear" w:color="auto" w:fill="auto"/>
            <w:vAlign w:val="bottom"/>
            <w:hideMark/>
          </w:tcPr>
          <w:p w14:paraId="0B0BD3D5"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933</w:t>
            </w:r>
          </w:p>
        </w:tc>
      </w:tr>
      <w:tr w:rsidR="007E365E" w:rsidRPr="00B63F4D" w14:paraId="48A822B5" w14:textId="77777777" w:rsidTr="007D1D77">
        <w:trPr>
          <w:trHeight w:val="315"/>
        </w:trPr>
        <w:tc>
          <w:tcPr>
            <w:tcW w:w="2380" w:type="dxa"/>
            <w:tcBorders>
              <w:top w:val="single" w:sz="4" w:space="0" w:color="B6D5E4"/>
              <w:left w:val="nil"/>
              <w:bottom w:val="single" w:sz="4" w:space="0" w:color="B6D5E4"/>
              <w:right w:val="nil"/>
            </w:tcBorders>
            <w:shd w:val="clear" w:color="auto" w:fill="auto"/>
            <w:vAlign w:val="bottom"/>
            <w:hideMark/>
          </w:tcPr>
          <w:p w14:paraId="6DC9F585" w14:textId="77777777" w:rsidR="007E365E" w:rsidRPr="00B63F4D"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B63F4D">
              <w:rPr>
                <w:rFonts w:eastAsia="Times New Roman" w:cs="Open Sans Light"/>
                <w:sz w:val="16"/>
                <w:szCs w:val="16"/>
                <w:lang w:eastAsia="en-AU"/>
              </w:rPr>
              <w:t>Data revisions</w:t>
            </w:r>
          </w:p>
        </w:tc>
        <w:tc>
          <w:tcPr>
            <w:tcW w:w="780" w:type="dxa"/>
            <w:tcBorders>
              <w:top w:val="single" w:sz="4" w:space="0" w:color="B6D5E4"/>
              <w:left w:val="nil"/>
              <w:bottom w:val="single" w:sz="4" w:space="0" w:color="B6D5E4"/>
              <w:right w:val="nil"/>
            </w:tcBorders>
            <w:shd w:val="clear" w:color="auto" w:fill="auto"/>
            <w:vAlign w:val="bottom"/>
            <w:hideMark/>
          </w:tcPr>
          <w:p w14:paraId="77DCF1EA"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-1</w:t>
            </w:r>
          </w:p>
        </w:tc>
        <w:tc>
          <w:tcPr>
            <w:tcW w:w="740" w:type="dxa"/>
            <w:tcBorders>
              <w:top w:val="single" w:sz="4" w:space="0" w:color="B6D5E4"/>
              <w:left w:val="nil"/>
              <w:bottom w:val="single" w:sz="4" w:space="0" w:color="B6D5E4"/>
              <w:right w:val="nil"/>
            </w:tcBorders>
            <w:shd w:val="clear" w:color="auto" w:fill="auto"/>
            <w:vAlign w:val="bottom"/>
            <w:hideMark/>
          </w:tcPr>
          <w:p w14:paraId="72398EEC"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0</w:t>
            </w:r>
          </w:p>
        </w:tc>
        <w:tc>
          <w:tcPr>
            <w:tcW w:w="740" w:type="dxa"/>
            <w:tcBorders>
              <w:top w:val="single" w:sz="4" w:space="0" w:color="B6D5E4"/>
              <w:left w:val="nil"/>
              <w:bottom w:val="single" w:sz="4" w:space="0" w:color="B6D5E4"/>
              <w:right w:val="nil"/>
            </w:tcBorders>
            <w:shd w:val="clear" w:color="auto" w:fill="auto"/>
            <w:vAlign w:val="bottom"/>
            <w:hideMark/>
          </w:tcPr>
          <w:p w14:paraId="252CE9C0"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0</w:t>
            </w:r>
          </w:p>
        </w:tc>
        <w:tc>
          <w:tcPr>
            <w:tcW w:w="740" w:type="dxa"/>
            <w:tcBorders>
              <w:top w:val="single" w:sz="4" w:space="0" w:color="B6D5E4"/>
              <w:left w:val="nil"/>
              <w:bottom w:val="single" w:sz="4" w:space="0" w:color="B6D5E4"/>
              <w:right w:val="nil"/>
            </w:tcBorders>
            <w:shd w:val="clear" w:color="auto" w:fill="auto"/>
            <w:vAlign w:val="bottom"/>
            <w:hideMark/>
          </w:tcPr>
          <w:p w14:paraId="47102186"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0</w:t>
            </w:r>
          </w:p>
        </w:tc>
        <w:tc>
          <w:tcPr>
            <w:tcW w:w="740" w:type="dxa"/>
            <w:tcBorders>
              <w:top w:val="single" w:sz="4" w:space="0" w:color="B6D5E4"/>
              <w:left w:val="nil"/>
              <w:bottom w:val="single" w:sz="4" w:space="0" w:color="B6D5E4"/>
              <w:right w:val="nil"/>
            </w:tcBorders>
            <w:shd w:val="clear" w:color="auto" w:fill="auto"/>
            <w:vAlign w:val="bottom"/>
            <w:hideMark/>
          </w:tcPr>
          <w:p w14:paraId="50E2E30D"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0</w:t>
            </w:r>
          </w:p>
        </w:tc>
        <w:tc>
          <w:tcPr>
            <w:tcW w:w="660" w:type="dxa"/>
            <w:tcBorders>
              <w:top w:val="single" w:sz="4" w:space="0" w:color="B6D5E4"/>
              <w:left w:val="nil"/>
              <w:bottom w:val="single" w:sz="4" w:space="0" w:color="B6D5E4"/>
              <w:right w:val="nil"/>
            </w:tcBorders>
            <w:shd w:val="clear" w:color="auto" w:fill="auto"/>
            <w:vAlign w:val="bottom"/>
            <w:hideMark/>
          </w:tcPr>
          <w:p w14:paraId="2B2D4D9B"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0</w:t>
            </w:r>
          </w:p>
        </w:tc>
        <w:tc>
          <w:tcPr>
            <w:tcW w:w="700" w:type="dxa"/>
            <w:tcBorders>
              <w:top w:val="single" w:sz="4" w:space="0" w:color="B6D5E4"/>
              <w:left w:val="nil"/>
              <w:bottom w:val="single" w:sz="4" w:space="0" w:color="B6D5E4"/>
              <w:right w:val="nil"/>
            </w:tcBorders>
            <w:shd w:val="clear" w:color="auto" w:fill="auto"/>
            <w:vAlign w:val="bottom"/>
            <w:hideMark/>
          </w:tcPr>
          <w:p w14:paraId="0406EBA9"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0</w:t>
            </w:r>
          </w:p>
        </w:tc>
        <w:tc>
          <w:tcPr>
            <w:tcW w:w="640" w:type="dxa"/>
            <w:tcBorders>
              <w:top w:val="single" w:sz="4" w:space="0" w:color="B6D5E4"/>
              <w:left w:val="nil"/>
              <w:bottom w:val="single" w:sz="4" w:space="0" w:color="B6D5E4"/>
              <w:right w:val="nil"/>
            </w:tcBorders>
            <w:shd w:val="clear" w:color="auto" w:fill="auto"/>
            <w:vAlign w:val="bottom"/>
            <w:hideMark/>
          </w:tcPr>
          <w:p w14:paraId="188B564A"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0</w:t>
            </w:r>
          </w:p>
        </w:tc>
        <w:tc>
          <w:tcPr>
            <w:tcW w:w="880" w:type="dxa"/>
            <w:tcBorders>
              <w:top w:val="single" w:sz="4" w:space="0" w:color="B6D5E4"/>
              <w:left w:val="nil"/>
              <w:bottom w:val="single" w:sz="4" w:space="0" w:color="B6D5E4"/>
              <w:right w:val="nil"/>
            </w:tcBorders>
            <w:shd w:val="clear" w:color="auto" w:fill="auto"/>
            <w:vAlign w:val="bottom"/>
            <w:hideMark/>
          </w:tcPr>
          <w:p w14:paraId="347A0896"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1</w:t>
            </w:r>
          </w:p>
        </w:tc>
      </w:tr>
      <w:tr w:rsidR="007E365E" w:rsidRPr="00B63F4D" w14:paraId="6722D547" w14:textId="77777777" w:rsidTr="007D1D77">
        <w:trPr>
          <w:trHeight w:val="315"/>
        </w:trPr>
        <w:tc>
          <w:tcPr>
            <w:tcW w:w="2380" w:type="dxa"/>
            <w:tcBorders>
              <w:top w:val="nil"/>
              <w:left w:val="nil"/>
              <w:bottom w:val="single" w:sz="4" w:space="0" w:color="B6D5E4"/>
              <w:right w:val="nil"/>
            </w:tcBorders>
            <w:shd w:val="clear" w:color="auto" w:fill="auto"/>
            <w:vAlign w:val="bottom"/>
            <w:hideMark/>
          </w:tcPr>
          <w:p w14:paraId="754846C7" w14:textId="77777777" w:rsidR="007E365E" w:rsidRPr="00B63F4D" w:rsidRDefault="007E365E" w:rsidP="007D1D77">
            <w:pPr>
              <w:keepNext/>
              <w:keepLines/>
              <w:widowControl w:val="0"/>
              <w:tabs>
                <w:tab w:val="clear" w:pos="567"/>
              </w:tabs>
              <w:spacing w:before="0" w:line="240" w:lineRule="auto"/>
              <w:rPr>
                <w:rFonts w:eastAsia="Times New Roman" w:cs="Open Sans Light"/>
                <w:sz w:val="16"/>
                <w:szCs w:val="16"/>
                <w:lang w:eastAsia="en-AU"/>
              </w:rPr>
            </w:pPr>
            <w:r w:rsidRPr="00B63F4D">
              <w:rPr>
                <w:rFonts w:eastAsia="Times New Roman" w:cs="Open Sans Light"/>
                <w:sz w:val="16"/>
                <w:szCs w:val="16"/>
                <w:lang w:eastAsia="en-AU"/>
              </w:rPr>
              <w:t>State circumstances</w:t>
            </w:r>
          </w:p>
        </w:tc>
        <w:tc>
          <w:tcPr>
            <w:tcW w:w="780" w:type="dxa"/>
            <w:tcBorders>
              <w:top w:val="nil"/>
              <w:left w:val="nil"/>
              <w:bottom w:val="single" w:sz="4" w:space="0" w:color="B6D5E4"/>
              <w:right w:val="nil"/>
            </w:tcBorders>
            <w:shd w:val="clear" w:color="auto" w:fill="auto"/>
            <w:vAlign w:val="bottom"/>
            <w:hideMark/>
          </w:tcPr>
          <w:p w14:paraId="70D03601"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38</w:t>
            </w:r>
          </w:p>
        </w:tc>
        <w:tc>
          <w:tcPr>
            <w:tcW w:w="740" w:type="dxa"/>
            <w:tcBorders>
              <w:top w:val="nil"/>
              <w:left w:val="nil"/>
              <w:bottom w:val="single" w:sz="4" w:space="0" w:color="B6D5E4"/>
              <w:right w:val="nil"/>
            </w:tcBorders>
            <w:shd w:val="clear" w:color="auto" w:fill="auto"/>
            <w:vAlign w:val="bottom"/>
            <w:hideMark/>
          </w:tcPr>
          <w:p w14:paraId="7EB4ABFC"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44</w:t>
            </w:r>
          </w:p>
        </w:tc>
        <w:tc>
          <w:tcPr>
            <w:tcW w:w="740" w:type="dxa"/>
            <w:tcBorders>
              <w:top w:val="nil"/>
              <w:left w:val="nil"/>
              <w:bottom w:val="single" w:sz="4" w:space="0" w:color="B6D5E4"/>
              <w:right w:val="nil"/>
            </w:tcBorders>
            <w:shd w:val="clear" w:color="auto" w:fill="auto"/>
            <w:vAlign w:val="bottom"/>
            <w:hideMark/>
          </w:tcPr>
          <w:p w14:paraId="7436EAD7"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-27</w:t>
            </w:r>
          </w:p>
        </w:tc>
        <w:tc>
          <w:tcPr>
            <w:tcW w:w="740" w:type="dxa"/>
            <w:tcBorders>
              <w:top w:val="nil"/>
              <w:left w:val="nil"/>
              <w:bottom w:val="single" w:sz="4" w:space="0" w:color="B6D5E4"/>
              <w:right w:val="nil"/>
            </w:tcBorders>
            <w:shd w:val="clear" w:color="auto" w:fill="auto"/>
            <w:vAlign w:val="bottom"/>
            <w:hideMark/>
          </w:tcPr>
          <w:p w14:paraId="79DC2387"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-29</w:t>
            </w:r>
          </w:p>
        </w:tc>
        <w:tc>
          <w:tcPr>
            <w:tcW w:w="740" w:type="dxa"/>
            <w:tcBorders>
              <w:top w:val="nil"/>
              <w:left w:val="nil"/>
              <w:bottom w:val="single" w:sz="4" w:space="0" w:color="B6D5E4"/>
              <w:right w:val="nil"/>
            </w:tcBorders>
            <w:shd w:val="clear" w:color="auto" w:fill="auto"/>
            <w:vAlign w:val="bottom"/>
            <w:hideMark/>
          </w:tcPr>
          <w:p w14:paraId="0D4BE1C4"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-17</w:t>
            </w:r>
          </w:p>
        </w:tc>
        <w:tc>
          <w:tcPr>
            <w:tcW w:w="660" w:type="dxa"/>
            <w:tcBorders>
              <w:top w:val="nil"/>
              <w:left w:val="nil"/>
              <w:bottom w:val="single" w:sz="4" w:space="0" w:color="B6D5E4"/>
              <w:right w:val="nil"/>
            </w:tcBorders>
            <w:shd w:val="clear" w:color="auto" w:fill="auto"/>
            <w:vAlign w:val="bottom"/>
            <w:hideMark/>
          </w:tcPr>
          <w:p w14:paraId="3320C916"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-5</w:t>
            </w:r>
          </w:p>
        </w:tc>
        <w:tc>
          <w:tcPr>
            <w:tcW w:w="700" w:type="dxa"/>
            <w:tcBorders>
              <w:top w:val="nil"/>
              <w:left w:val="nil"/>
              <w:bottom w:val="single" w:sz="4" w:space="0" w:color="B6D5E4"/>
              <w:right w:val="nil"/>
            </w:tcBorders>
            <w:shd w:val="clear" w:color="auto" w:fill="auto"/>
            <w:vAlign w:val="bottom"/>
            <w:hideMark/>
          </w:tcPr>
          <w:p w14:paraId="0BCF2344"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-1</w:t>
            </w:r>
          </w:p>
        </w:tc>
        <w:tc>
          <w:tcPr>
            <w:tcW w:w="640" w:type="dxa"/>
            <w:tcBorders>
              <w:top w:val="nil"/>
              <w:left w:val="nil"/>
              <w:bottom w:val="single" w:sz="4" w:space="0" w:color="B6D5E4"/>
              <w:right w:val="nil"/>
            </w:tcBorders>
            <w:shd w:val="clear" w:color="auto" w:fill="auto"/>
            <w:vAlign w:val="bottom"/>
            <w:hideMark/>
          </w:tcPr>
          <w:p w14:paraId="2488AC1D"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-3</w:t>
            </w:r>
          </w:p>
        </w:tc>
        <w:tc>
          <w:tcPr>
            <w:tcW w:w="880" w:type="dxa"/>
            <w:tcBorders>
              <w:top w:val="nil"/>
              <w:left w:val="nil"/>
              <w:bottom w:val="single" w:sz="4" w:space="0" w:color="B6D5E4"/>
              <w:right w:val="nil"/>
            </w:tcBorders>
            <w:shd w:val="clear" w:color="auto" w:fill="auto"/>
            <w:vAlign w:val="bottom"/>
            <w:hideMark/>
          </w:tcPr>
          <w:p w14:paraId="2A3FA828" w14:textId="77777777" w:rsidR="007E365E" w:rsidRPr="00B63F4D" w:rsidRDefault="007E365E" w:rsidP="007D1D77">
            <w:pPr>
              <w:keepNext/>
              <w:keepLines/>
              <w:widowControl w:val="0"/>
              <w:tabs>
                <w:tab w:val="clear" w:pos="567"/>
              </w:tabs>
              <w:spacing w:before="0" w:line="240" w:lineRule="auto"/>
              <w:jc w:val="right"/>
              <w:rPr>
                <w:rFonts w:eastAsia="Times New Roman" w:cs="Open Sans Light"/>
                <w:sz w:val="16"/>
                <w:szCs w:val="16"/>
                <w:lang w:eastAsia="en-AU"/>
              </w:rPr>
            </w:pPr>
            <w:r w:rsidRPr="00B63F4D">
              <w:rPr>
                <w:rFonts w:eastAsia="Times New Roman" w:cs="Open Sans Light"/>
                <w:sz w:val="16"/>
                <w:szCs w:val="16"/>
                <w:lang w:eastAsia="en-AU"/>
              </w:rPr>
              <w:t>82</w:t>
            </w:r>
          </w:p>
        </w:tc>
      </w:tr>
      <w:tr w:rsidR="007E365E" w:rsidRPr="00B63F4D" w14:paraId="7C1C5B1F" w14:textId="77777777" w:rsidTr="007D1D77">
        <w:trPr>
          <w:trHeight w:val="315"/>
        </w:trPr>
        <w:tc>
          <w:tcPr>
            <w:tcW w:w="2380" w:type="dxa"/>
            <w:tcBorders>
              <w:top w:val="nil"/>
              <w:left w:val="nil"/>
              <w:bottom w:val="single" w:sz="4" w:space="0" w:color="B6D5E4"/>
              <w:right w:val="nil"/>
            </w:tcBorders>
            <w:shd w:val="clear" w:color="000000" w:fill="D6E7F0"/>
            <w:vAlign w:val="bottom"/>
            <w:hideMark/>
          </w:tcPr>
          <w:p w14:paraId="3E5D0153" w14:textId="77777777" w:rsidR="007E365E" w:rsidRPr="00B63F4D" w:rsidRDefault="007E365E" w:rsidP="007D1D77">
            <w:pPr>
              <w:keepNext/>
              <w:keepLines/>
              <w:widowControl w:val="0"/>
              <w:tabs>
                <w:tab w:val="clear" w:pos="567"/>
              </w:tabs>
              <w:spacing w:before="0" w:line="240" w:lineRule="auto"/>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Total</w:t>
            </w:r>
          </w:p>
        </w:tc>
        <w:tc>
          <w:tcPr>
            <w:tcW w:w="780" w:type="dxa"/>
            <w:tcBorders>
              <w:top w:val="nil"/>
              <w:left w:val="nil"/>
              <w:bottom w:val="single" w:sz="4" w:space="0" w:color="B6D5E4"/>
              <w:right w:val="nil"/>
            </w:tcBorders>
            <w:shd w:val="clear" w:color="000000" w:fill="D6E7F0"/>
            <w:vAlign w:val="bottom"/>
            <w:hideMark/>
          </w:tcPr>
          <w:p w14:paraId="1108A2A6"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933</w:t>
            </w:r>
          </w:p>
        </w:tc>
        <w:tc>
          <w:tcPr>
            <w:tcW w:w="740" w:type="dxa"/>
            <w:tcBorders>
              <w:top w:val="nil"/>
              <w:left w:val="nil"/>
              <w:bottom w:val="single" w:sz="4" w:space="0" w:color="B6D5E4"/>
              <w:right w:val="nil"/>
            </w:tcBorders>
            <w:shd w:val="clear" w:color="000000" w:fill="D6E7F0"/>
            <w:vAlign w:val="bottom"/>
            <w:hideMark/>
          </w:tcPr>
          <w:p w14:paraId="13547773"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-217</w:t>
            </w:r>
          </w:p>
        </w:tc>
        <w:tc>
          <w:tcPr>
            <w:tcW w:w="740" w:type="dxa"/>
            <w:tcBorders>
              <w:top w:val="nil"/>
              <w:left w:val="nil"/>
              <w:bottom w:val="single" w:sz="4" w:space="0" w:color="B6D5E4"/>
              <w:right w:val="nil"/>
            </w:tcBorders>
            <w:shd w:val="clear" w:color="000000" w:fill="D6E7F0"/>
            <w:vAlign w:val="bottom"/>
            <w:hideMark/>
          </w:tcPr>
          <w:p w14:paraId="2A7732A6"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-367</w:t>
            </w:r>
          </w:p>
        </w:tc>
        <w:tc>
          <w:tcPr>
            <w:tcW w:w="740" w:type="dxa"/>
            <w:tcBorders>
              <w:top w:val="nil"/>
              <w:left w:val="nil"/>
              <w:bottom w:val="single" w:sz="4" w:space="0" w:color="B6D5E4"/>
              <w:right w:val="nil"/>
            </w:tcBorders>
            <w:shd w:val="clear" w:color="000000" w:fill="D6E7F0"/>
            <w:vAlign w:val="bottom"/>
            <w:hideMark/>
          </w:tcPr>
          <w:p w14:paraId="39DEC2CD"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-258</w:t>
            </w:r>
          </w:p>
        </w:tc>
        <w:tc>
          <w:tcPr>
            <w:tcW w:w="740" w:type="dxa"/>
            <w:tcBorders>
              <w:top w:val="nil"/>
              <w:left w:val="nil"/>
              <w:bottom w:val="single" w:sz="4" w:space="0" w:color="B6D5E4"/>
              <w:right w:val="nil"/>
            </w:tcBorders>
            <w:shd w:val="clear" w:color="000000" w:fill="D6E7F0"/>
            <w:vAlign w:val="bottom"/>
            <w:hideMark/>
          </w:tcPr>
          <w:p w14:paraId="31E40AAA"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-120</w:t>
            </w:r>
          </w:p>
        </w:tc>
        <w:tc>
          <w:tcPr>
            <w:tcW w:w="660" w:type="dxa"/>
            <w:tcBorders>
              <w:top w:val="nil"/>
              <w:left w:val="nil"/>
              <w:bottom w:val="single" w:sz="4" w:space="0" w:color="B6D5E4"/>
              <w:right w:val="nil"/>
            </w:tcBorders>
            <w:shd w:val="clear" w:color="000000" w:fill="D6E7F0"/>
            <w:vAlign w:val="bottom"/>
            <w:hideMark/>
          </w:tcPr>
          <w:p w14:paraId="1479ED95"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4</w:t>
            </w:r>
          </w:p>
        </w:tc>
        <w:tc>
          <w:tcPr>
            <w:tcW w:w="700" w:type="dxa"/>
            <w:tcBorders>
              <w:top w:val="nil"/>
              <w:left w:val="nil"/>
              <w:bottom w:val="single" w:sz="4" w:space="0" w:color="B6D5E4"/>
              <w:right w:val="nil"/>
            </w:tcBorders>
            <w:shd w:val="clear" w:color="000000" w:fill="D6E7F0"/>
            <w:vAlign w:val="bottom"/>
            <w:hideMark/>
          </w:tcPr>
          <w:p w14:paraId="249C2E18"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10</w:t>
            </w:r>
          </w:p>
        </w:tc>
        <w:tc>
          <w:tcPr>
            <w:tcW w:w="640" w:type="dxa"/>
            <w:tcBorders>
              <w:top w:val="nil"/>
              <w:left w:val="nil"/>
              <w:bottom w:val="single" w:sz="4" w:space="0" w:color="B6D5E4"/>
              <w:right w:val="nil"/>
            </w:tcBorders>
            <w:shd w:val="clear" w:color="000000" w:fill="D6E7F0"/>
            <w:vAlign w:val="bottom"/>
            <w:hideMark/>
          </w:tcPr>
          <w:p w14:paraId="16A114B4"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15</w:t>
            </w:r>
          </w:p>
        </w:tc>
        <w:tc>
          <w:tcPr>
            <w:tcW w:w="880" w:type="dxa"/>
            <w:tcBorders>
              <w:top w:val="nil"/>
              <w:left w:val="nil"/>
              <w:bottom w:val="single" w:sz="4" w:space="0" w:color="B6D5E4"/>
              <w:right w:val="nil"/>
            </w:tcBorders>
            <w:shd w:val="clear" w:color="000000" w:fill="D6E7F0"/>
            <w:vAlign w:val="bottom"/>
            <w:hideMark/>
          </w:tcPr>
          <w:p w14:paraId="3CA409E5" w14:textId="77777777" w:rsidR="007E365E" w:rsidRPr="00B63F4D" w:rsidRDefault="007E365E" w:rsidP="007D1D77">
            <w:pPr>
              <w:keepNext/>
              <w:keepLines/>
              <w:widowControl w:val="0"/>
              <w:tabs>
                <w:tab w:val="clear" w:pos="567"/>
              </w:tabs>
              <w:spacing w:before="0" w:line="240" w:lineRule="auto"/>
              <w:jc w:val="right"/>
              <w:rPr>
                <w:rFonts w:ascii="Open Sans SemiBold" w:eastAsia="Times New Roman" w:hAnsi="Open Sans SemiBold" w:cs="Open Sans SemiBold"/>
                <w:sz w:val="16"/>
                <w:szCs w:val="16"/>
                <w:lang w:eastAsia="en-AU"/>
              </w:rPr>
            </w:pPr>
            <w:r w:rsidRPr="00B63F4D">
              <w:rPr>
                <w:rFonts w:ascii="Open Sans SemiBold" w:eastAsia="Times New Roman" w:hAnsi="Open Sans SemiBold" w:cs="Open Sans SemiBold"/>
                <w:sz w:val="16"/>
                <w:szCs w:val="16"/>
                <w:lang w:eastAsia="en-AU"/>
              </w:rPr>
              <w:t>962</w:t>
            </w:r>
          </w:p>
        </w:tc>
      </w:tr>
    </w:tbl>
    <w:p w14:paraId="66E0B8A8" w14:textId="77777777" w:rsidR="007E365E" w:rsidRPr="00976585" w:rsidRDefault="007E365E" w:rsidP="007E365E">
      <w:pPr>
        <w:pStyle w:val="CGCTablenote"/>
        <w:keepNext/>
        <w:keepLines/>
        <w:widowControl w:val="0"/>
      </w:pPr>
      <w:r w:rsidRPr="00976585">
        <w:t>Source:</w:t>
      </w:r>
      <w:r w:rsidRPr="00976585">
        <w:tab/>
        <w:t>Commission calculation.</w:t>
      </w:r>
    </w:p>
    <w:p w14:paraId="561903BC" w14:textId="77777777" w:rsidR="007E365E" w:rsidRPr="00976585" w:rsidRDefault="007E365E" w:rsidP="007E365E">
      <w:pPr>
        <w:pStyle w:val="Heading4"/>
      </w:pPr>
      <w:r w:rsidRPr="00976585">
        <w:t xml:space="preserve">Method </w:t>
      </w:r>
      <w:r>
        <w:t xml:space="preserve">and data </w:t>
      </w:r>
      <w:r w:rsidRPr="00976585">
        <w:t>changes</w:t>
      </w:r>
    </w:p>
    <w:p w14:paraId="18B1230F" w14:textId="77777777" w:rsidR="007E365E" w:rsidRPr="00976585" w:rsidRDefault="007E365E" w:rsidP="007E365E">
      <w:pPr>
        <w:pStyle w:val="CGCParaNumber"/>
      </w:pPr>
      <w:r w:rsidRPr="00976585">
        <w:t>In this Review, the Commission has introduced a new econometric model to measure State urban passenger transport needs. This model captures a greater range of influences than the population model used in the 2015 Review</w:t>
      </w:r>
      <w:r>
        <w:t>.</w:t>
      </w:r>
    </w:p>
    <w:p w14:paraId="5E9AAF2B" w14:textId="77777777" w:rsidR="007E365E" w:rsidRPr="00976585" w:rsidRDefault="007E365E" w:rsidP="007E365E">
      <w:pPr>
        <w:pStyle w:val="CGCParaNumber"/>
      </w:pPr>
      <w:r w:rsidRPr="00976585">
        <w:t>The urban transport assessment is now a blended assessment that recognises:</w:t>
      </w:r>
    </w:p>
    <w:p w14:paraId="6F3EF1B7" w14:textId="77777777" w:rsidR="007E365E" w:rsidRPr="00976585" w:rsidRDefault="007E365E" w:rsidP="007E365E">
      <w:pPr>
        <w:pStyle w:val="CGCBullet1"/>
      </w:pPr>
      <w:r w:rsidRPr="00976585">
        <w:t>the proportion of State populations living in urban centres, with a weight of 25%</w:t>
      </w:r>
    </w:p>
    <w:p w14:paraId="5CCBE54D" w14:textId="77777777" w:rsidR="007E365E" w:rsidRPr="00976585" w:rsidRDefault="007E365E" w:rsidP="007E365E">
      <w:pPr>
        <w:pStyle w:val="CGCBullet1"/>
      </w:pPr>
      <w:r w:rsidRPr="00976585">
        <w:t>the effect of urban centre characteristics on the cost of providing urban transport as measured by an econometric model, with a weight of 75%.</w:t>
      </w:r>
    </w:p>
    <w:p w14:paraId="1528A380" w14:textId="77777777" w:rsidR="007E365E" w:rsidRPr="00976585" w:rsidRDefault="007E365E" w:rsidP="007E365E">
      <w:pPr>
        <w:pStyle w:val="CGCParaNumber"/>
      </w:pPr>
      <w:r w:rsidRPr="00976585">
        <w:t xml:space="preserve">Non-urban transport expenses are assessed EPC, except for adjustment for regional and wage costs. </w:t>
      </w:r>
    </w:p>
    <w:p w14:paraId="531527E3" w14:textId="77777777" w:rsidR="007E365E" w:rsidRPr="00976585" w:rsidRDefault="007E365E" w:rsidP="007E365E">
      <w:pPr>
        <w:pStyle w:val="Heading4"/>
      </w:pPr>
      <w:r w:rsidRPr="00976585">
        <w:t xml:space="preserve">Data </w:t>
      </w:r>
      <w:r>
        <w:t>revisions</w:t>
      </w:r>
    </w:p>
    <w:p w14:paraId="6DA806C1" w14:textId="77777777" w:rsidR="007E365E" w:rsidRPr="00306E70" w:rsidRDefault="007E365E" w:rsidP="007E365E">
      <w:pPr>
        <w:pStyle w:val="CGCParaNumber"/>
      </w:pPr>
      <w:r>
        <w:t>Data revisions had a minor impact on the GST revenue distribution.</w:t>
      </w:r>
    </w:p>
    <w:p w14:paraId="62180B67" w14:textId="77777777" w:rsidR="007E365E" w:rsidRPr="00976585" w:rsidRDefault="007E365E" w:rsidP="007E365E">
      <w:pPr>
        <w:pStyle w:val="Heading4"/>
      </w:pPr>
      <w:r w:rsidRPr="00976585">
        <w:lastRenderedPageBreak/>
        <w:t>Changes in State circumstances</w:t>
      </w:r>
    </w:p>
    <w:p w14:paraId="4F7A60D5" w14:textId="77777777" w:rsidR="007E365E" w:rsidRDefault="007E365E" w:rsidP="007E365E">
      <w:pPr>
        <w:pStyle w:val="CGCParaNumber"/>
      </w:pPr>
      <w:r>
        <w:t xml:space="preserve">Between 2015-16 and 2018-19, urban transport expenses grew by 22%, which resulted in a GST redistribution towards States with above average needs (New South Wales and Victoria), and away from the other States. </w:t>
      </w:r>
    </w:p>
    <w:p w14:paraId="24E1B33B" w14:textId="77777777" w:rsidR="007E365E" w:rsidRPr="00976585" w:rsidRDefault="007E365E" w:rsidP="007E365E">
      <w:pPr>
        <w:pStyle w:val="CGCParaNumber"/>
      </w:pPr>
      <w:r>
        <w:t>In addition, between 2015-16 and 2018-19, Melbourne and Canberra experienced higher than average growth in population density, redistributing GST revenue towards Victoria and the ACT and away from the other States</w:t>
      </w:r>
      <w:r w:rsidRPr="00976585">
        <w:t>.</w:t>
      </w:r>
      <w:r>
        <w:t xml:space="preserve"> For Victoria, this compounded the GST effect due to the high growth in urban transport expenses. For the ACT, the effect of high population density growth did not fully offset the effect of the high growth in urban transport expenses.</w:t>
      </w:r>
    </w:p>
    <w:p w14:paraId="01A5AED6" w14:textId="77777777" w:rsidR="007E365E" w:rsidRPr="00976585" w:rsidRDefault="007E365E" w:rsidP="007E365E">
      <w:pPr>
        <w:pStyle w:val="Heading3"/>
      </w:pPr>
      <w:r w:rsidRPr="00976585">
        <w:t>Updating the assessment</w:t>
      </w:r>
    </w:p>
    <w:p w14:paraId="4C30F765" w14:textId="77777777" w:rsidR="007E365E" w:rsidRPr="00976585" w:rsidRDefault="007E365E" w:rsidP="007E365E">
      <w:pPr>
        <w:pStyle w:val="CGCParaNumber"/>
      </w:pPr>
      <w:r w:rsidRPr="00976585">
        <w:t xml:space="preserve">As required by the terms of reference, the Commission will incorporate the latest available data in the assessment during the annual updates. This will allow the assessment to reflect changes in State circumstances. </w:t>
      </w:r>
    </w:p>
    <w:p w14:paraId="0D8FCB9E" w14:textId="77777777" w:rsidR="007E365E" w:rsidRPr="00976585" w:rsidRDefault="007E365E" w:rsidP="007E365E">
      <w:pPr>
        <w:pStyle w:val="CGCBullet1"/>
      </w:pPr>
      <w:r w:rsidRPr="00976585">
        <w:t>The following data will be updated annually:</w:t>
      </w:r>
    </w:p>
    <w:p w14:paraId="608316E2" w14:textId="77777777" w:rsidR="007E365E" w:rsidRPr="00976585" w:rsidRDefault="007E365E" w:rsidP="007E365E">
      <w:pPr>
        <w:pStyle w:val="CGCBullet2"/>
        <w:numPr>
          <w:ilvl w:val="0"/>
          <w:numId w:val="3"/>
        </w:numPr>
        <w:ind w:left="1208" w:hanging="357"/>
      </w:pPr>
      <w:r w:rsidRPr="00976585">
        <w:t>population of urban centres</w:t>
      </w:r>
    </w:p>
    <w:p w14:paraId="2011B591" w14:textId="77777777" w:rsidR="007E365E" w:rsidRPr="00976585" w:rsidRDefault="007E365E" w:rsidP="007E365E">
      <w:pPr>
        <w:pStyle w:val="CGCBullet2"/>
        <w:numPr>
          <w:ilvl w:val="0"/>
          <w:numId w:val="3"/>
        </w:numPr>
        <w:ind w:left="1208" w:hanging="357"/>
      </w:pPr>
      <w:r w:rsidRPr="00976585">
        <w:t>population density</w:t>
      </w:r>
    </w:p>
    <w:p w14:paraId="626F50DE" w14:textId="77777777" w:rsidR="007E365E" w:rsidRPr="00976585" w:rsidRDefault="007E365E" w:rsidP="007E365E">
      <w:pPr>
        <w:pStyle w:val="CGCBullet2"/>
        <w:numPr>
          <w:ilvl w:val="0"/>
          <w:numId w:val="3"/>
        </w:numPr>
        <w:ind w:left="1208" w:hanging="357"/>
      </w:pPr>
      <w:r w:rsidRPr="00976585">
        <w:t xml:space="preserve">modelled passenger numbers. </w:t>
      </w:r>
    </w:p>
    <w:p w14:paraId="637E42A4" w14:textId="77777777" w:rsidR="007E365E" w:rsidRPr="00976585" w:rsidRDefault="007E365E" w:rsidP="007E365E">
      <w:pPr>
        <w:pStyle w:val="CGCBullet1"/>
      </w:pPr>
      <w:r w:rsidRPr="00976585">
        <w:t>The following data will be updated when the 2021 Census information becomes available:</w:t>
      </w:r>
    </w:p>
    <w:p w14:paraId="7DCF804A" w14:textId="77777777" w:rsidR="007E365E" w:rsidRPr="00976585" w:rsidRDefault="007E365E" w:rsidP="007E365E">
      <w:pPr>
        <w:pStyle w:val="CGCBullet2"/>
        <w:numPr>
          <w:ilvl w:val="0"/>
          <w:numId w:val="3"/>
        </w:numPr>
        <w:ind w:left="1208" w:hanging="357"/>
      </w:pPr>
      <w:r w:rsidRPr="00976585">
        <w:t>actual public transport passenger numbers</w:t>
      </w:r>
    </w:p>
    <w:p w14:paraId="1C799A9C" w14:textId="77777777" w:rsidR="007E365E" w:rsidRPr="00976585" w:rsidRDefault="007E365E" w:rsidP="007E365E">
      <w:pPr>
        <w:pStyle w:val="CGCBullet2"/>
        <w:numPr>
          <w:ilvl w:val="0"/>
          <w:numId w:val="3"/>
        </w:numPr>
        <w:ind w:left="1208" w:hanging="357"/>
      </w:pPr>
      <w:r w:rsidRPr="00976585">
        <w:t>distance to work.</w:t>
      </w:r>
    </w:p>
    <w:p w14:paraId="002D12BD" w14:textId="77777777" w:rsidR="007E365E" w:rsidRPr="00976585" w:rsidRDefault="007E365E" w:rsidP="007E365E">
      <w:pPr>
        <w:pStyle w:val="CGCBullet1"/>
      </w:pPr>
      <w:r w:rsidRPr="00976585">
        <w:t>Some of the assessment data will remain stable over time and will not be updated during the Review period:</w:t>
      </w:r>
    </w:p>
    <w:p w14:paraId="5C349BC0" w14:textId="49F254BF" w:rsidR="007E365E" w:rsidRPr="00976585" w:rsidRDefault="007E365E" w:rsidP="007E365E">
      <w:pPr>
        <w:pStyle w:val="CGCBullet2"/>
        <w:numPr>
          <w:ilvl w:val="0"/>
          <w:numId w:val="3"/>
        </w:numPr>
        <w:ind w:left="1208" w:hanging="357"/>
      </w:pPr>
      <w:r w:rsidRPr="00976585">
        <w:t>mean slope data.</w:t>
      </w:r>
      <w:bookmarkEnd w:id="284"/>
    </w:p>
    <w:p w14:paraId="6947EC57" w14:textId="77777777" w:rsidR="007E365E" w:rsidRDefault="007E365E" w:rsidP="007E365E">
      <w:pPr>
        <w:sectPr w:rsidR="007E365E" w:rsidSect="00917501">
          <w:footerReference w:type="default" r:id="rId42"/>
          <w:footnotePr>
            <w:numRestart w:val="eachSect"/>
          </w:footnotePr>
          <w:pgSz w:w="11899" w:h="16838" w:code="9"/>
          <w:pgMar w:top="1418" w:right="1474" w:bottom="1418" w:left="1474" w:header="709" w:footer="567" w:gutter="0"/>
          <w:cols w:space="708"/>
          <w:titlePg/>
          <w:docGrid w:linePitch="299"/>
        </w:sectPr>
      </w:pPr>
    </w:p>
    <w:p w14:paraId="0742BACC" w14:textId="77777777" w:rsidR="007E365E" w:rsidRPr="000C4987" w:rsidRDefault="007E365E" w:rsidP="007E365E">
      <w:pPr>
        <w:pStyle w:val="Heading1"/>
      </w:pPr>
      <w:bookmarkStart w:id="285" w:name="_Toc32922486"/>
      <w:r>
        <w:lastRenderedPageBreak/>
        <w:t>22</w:t>
      </w:r>
      <w:bookmarkStart w:id="286" w:name="_Toc22807476"/>
      <w:r>
        <w:tab/>
        <w:t>Services to industry</w:t>
      </w:r>
      <w:bookmarkEnd w:id="285"/>
      <w:bookmarkEnd w:id="286"/>
      <w:r w:rsidRPr="000C498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7E365E" w:rsidRPr="000C4987" w14:paraId="2E8EDF54" w14:textId="77777777" w:rsidTr="007D1D77">
        <w:tc>
          <w:tcPr>
            <w:tcW w:w="8951" w:type="dxa"/>
            <w:shd w:val="clear" w:color="auto" w:fill="EBF3F5"/>
          </w:tcPr>
          <w:p w14:paraId="2604DAE2" w14:textId="77777777" w:rsidR="007E365E" w:rsidRPr="000C4987" w:rsidRDefault="007E365E" w:rsidP="007D1D77">
            <w:pPr>
              <w:pStyle w:val="Heading4"/>
              <w:outlineLvl w:val="3"/>
            </w:pPr>
            <w:bookmarkStart w:id="287" w:name="_Toc22807477"/>
            <w:r w:rsidRPr="000C4987">
              <w:t xml:space="preserve">Summary of </w:t>
            </w:r>
            <w:r>
              <w:t>the assessment</w:t>
            </w:r>
            <w:bookmarkEnd w:id="287"/>
          </w:p>
          <w:p w14:paraId="234DE17A" w14:textId="77777777" w:rsidR="007E365E" w:rsidRPr="002D5ECA" w:rsidRDefault="007E365E" w:rsidP="007D1D77">
            <w:r w:rsidRPr="002D5ECA">
              <w:t>The Services to industry category covers State spending on the regulation and development of businesses and industries, and other economic affairs.</w:t>
            </w:r>
          </w:p>
          <w:p w14:paraId="7DCFC2D5" w14:textId="77777777" w:rsidR="007E365E" w:rsidRPr="002D5ECA" w:rsidRDefault="007E365E" w:rsidP="007D1D77">
            <w:r>
              <w:t>The</w:t>
            </w:r>
            <w:r w:rsidRPr="002D5ECA">
              <w:t xml:space="preserve"> assessment recognises that States face differing costs for industry regulation but not for spending on business development. </w:t>
            </w:r>
            <w:r>
              <w:t>The Commission has</w:t>
            </w:r>
            <w:r w:rsidRPr="002D5ECA">
              <w:t xml:space="preserve"> assessed regulatory expenses for agriculture, forestry and fishing</w:t>
            </w:r>
            <w:r>
              <w:t>,</w:t>
            </w:r>
            <w:r w:rsidRPr="002D5ECA">
              <w:t xml:space="preserve"> </w:t>
            </w:r>
            <w:r>
              <w:t xml:space="preserve">mining and </w:t>
            </w:r>
            <w:r w:rsidRPr="002D5ECA">
              <w:t>other industries</w:t>
            </w:r>
            <w:r>
              <w:t xml:space="preserve"> separately,</w:t>
            </w:r>
            <w:r w:rsidRPr="002D5ECA">
              <w:t xml:space="preserve"> as States regulate them differently. </w:t>
            </w:r>
            <w:r>
              <w:t>H</w:t>
            </w:r>
            <w:r w:rsidRPr="002D5ECA">
              <w:t xml:space="preserve">igher costs </w:t>
            </w:r>
            <w:r>
              <w:t xml:space="preserve">are </w:t>
            </w:r>
            <w:r w:rsidRPr="002D5ECA">
              <w:t>assessed:</w:t>
            </w:r>
          </w:p>
          <w:p w14:paraId="26726A74" w14:textId="77777777" w:rsidR="007E365E" w:rsidRDefault="007E365E" w:rsidP="00226E8B">
            <w:pPr>
              <w:pStyle w:val="CGCBullet1"/>
            </w:pPr>
            <w:r>
              <w:t xml:space="preserve">for the regulation of agriculture, forestry and fishing, in States with above average shares of agricultural production </w:t>
            </w:r>
          </w:p>
          <w:p w14:paraId="0E6AAE66" w14:textId="77777777" w:rsidR="007E365E" w:rsidRDefault="007E365E" w:rsidP="00226E8B">
            <w:pPr>
              <w:pStyle w:val="CGCBullet1"/>
            </w:pPr>
            <w:r>
              <w:t xml:space="preserve">for the regulation of mining, in States with above average shares of mining production </w:t>
            </w:r>
          </w:p>
          <w:p w14:paraId="2DB132C2" w14:textId="77777777" w:rsidR="007E365E" w:rsidRDefault="007E365E" w:rsidP="00226E8B">
            <w:pPr>
              <w:pStyle w:val="CGCBullet1"/>
            </w:pPr>
            <w:r>
              <w:t>for the regulation of other industries, in States with above average shares of other industries’ production.</w:t>
            </w:r>
          </w:p>
          <w:p w14:paraId="01F4FCB2" w14:textId="77777777" w:rsidR="007E365E" w:rsidRPr="000C4987" w:rsidRDefault="007E365E" w:rsidP="007D1D77">
            <w:pPr>
              <w:spacing w:after="120"/>
            </w:pPr>
            <w:r>
              <w:t>The</w:t>
            </w:r>
            <w:r w:rsidRPr="00425BF1">
              <w:t xml:space="preserve"> assessment also recognises the differences between States in wage costs and, in the case of regulatory expenses, the higher cost of providing services to more remotely located regions.</w:t>
            </w:r>
          </w:p>
        </w:tc>
      </w:tr>
    </w:tbl>
    <w:p w14:paraId="3A1A68DE" w14:textId="77777777" w:rsidR="007E365E" w:rsidRPr="000C4987" w:rsidRDefault="007E365E" w:rsidP="007E365E">
      <w:pPr>
        <w:pStyle w:val="Heading3"/>
      </w:pPr>
      <w:bookmarkStart w:id="288" w:name="_Toc22807478"/>
      <w:r w:rsidRPr="000C4987">
        <w:t>Service overview</w:t>
      </w:r>
      <w:bookmarkEnd w:id="288"/>
    </w:p>
    <w:p w14:paraId="2235E4D7" w14:textId="77777777" w:rsidR="007E365E" w:rsidRDefault="007E365E" w:rsidP="00EB09BE">
      <w:pPr>
        <w:pStyle w:val="CGCParaNumber"/>
        <w:numPr>
          <w:ilvl w:val="0"/>
          <w:numId w:val="60"/>
        </w:numPr>
        <w:ind w:left="567" w:hanging="567"/>
      </w:pPr>
      <w:r w:rsidRPr="00687CDA">
        <w:t>The Services to industry category comprises State expenses on the regulation and development of businesses and industries</w:t>
      </w:r>
      <w:r>
        <w:t>,</w:t>
      </w:r>
      <w:r w:rsidRPr="00396968">
        <w:t xml:space="preserve"> </w:t>
      </w:r>
      <w:r w:rsidRPr="00453FBC">
        <w:t>and other economic affairs.</w:t>
      </w:r>
      <w:r w:rsidRPr="00687CDA">
        <w:t xml:space="preserve"> Some spending relates to specific industries including </w:t>
      </w:r>
      <w:r>
        <w:t>a</w:t>
      </w:r>
      <w:r w:rsidRPr="00453FBC">
        <w:t xml:space="preserve">griculture, forestry, mining, </w:t>
      </w:r>
      <w:r>
        <w:t xml:space="preserve">manufacturing, </w:t>
      </w:r>
      <w:r w:rsidRPr="00453FBC">
        <w:t>tourism and construction</w:t>
      </w:r>
      <w:r w:rsidRPr="00687CDA">
        <w:t>. Other spending relates to a</w:t>
      </w:r>
      <w:r>
        <w:t>ll businesses, or to consumers.</w:t>
      </w:r>
    </w:p>
    <w:p w14:paraId="0898DDEE" w14:textId="77777777" w:rsidR="007E365E" w:rsidRDefault="007E365E" w:rsidP="007E365E">
      <w:pPr>
        <w:pStyle w:val="CGCBullet1"/>
      </w:pPr>
      <w:r>
        <w:t xml:space="preserve">Examples </w:t>
      </w:r>
      <w:r w:rsidRPr="00930C7C">
        <w:t xml:space="preserve">of regulatory functions include business registration, licensing of tradespeople, livestock identification schemes, chemical and pesticide regulation, building codes, energy market regulation, product safety, occupational health and safety, consumer protection, mine safety, </w:t>
      </w:r>
      <w:r>
        <w:t>industrial relations</w:t>
      </w:r>
      <w:r w:rsidRPr="00930C7C">
        <w:t xml:space="preserve"> and shop trading hours</w:t>
      </w:r>
      <w:r>
        <w:t>.</w:t>
      </w:r>
    </w:p>
    <w:p w14:paraId="6B86B46C" w14:textId="77777777" w:rsidR="007E365E" w:rsidRDefault="007E365E" w:rsidP="007E365E">
      <w:pPr>
        <w:pStyle w:val="CGCBullet1"/>
      </w:pPr>
      <w:r>
        <w:t xml:space="preserve">Examples </w:t>
      </w:r>
      <w:r w:rsidRPr="00930C7C">
        <w:t>of business development activities include mineral exploration,</w:t>
      </w:r>
      <w:r>
        <w:t xml:space="preserve"> geological mapping, </w:t>
      </w:r>
      <w:r w:rsidRPr="00930C7C">
        <w:t>agricultural irrigation systems, tourism and trade promotion, marketing</w:t>
      </w:r>
      <w:r>
        <w:t>,</w:t>
      </w:r>
      <w:r w:rsidRPr="00930C7C">
        <w:t xml:space="preserve"> and industry research and development</w:t>
      </w:r>
      <w:r>
        <w:t>.</w:t>
      </w:r>
    </w:p>
    <w:p w14:paraId="29C47F95" w14:textId="6B833279" w:rsidR="007E365E" w:rsidRDefault="007E365E" w:rsidP="007E365E">
      <w:pPr>
        <w:pStyle w:val="CGCParaNumber"/>
      </w:pPr>
      <w:r>
        <w:fldChar w:fldCharType="begin"/>
      </w:r>
      <w:r>
        <w:instrText xml:space="preserve"> REF _Ref31785830 \h </w:instrText>
      </w:r>
      <w:r>
        <w:fldChar w:fldCharType="separate"/>
      </w:r>
      <w:r w:rsidR="007F721A">
        <w:t>Table 22-</w:t>
      </w:r>
      <w:r w:rsidR="007F721A">
        <w:rPr>
          <w:noProof/>
        </w:rPr>
        <w:t>1</w:t>
      </w:r>
      <w:r>
        <w:fldChar w:fldCharType="end"/>
      </w:r>
      <w:r>
        <w:t xml:space="preserve"> shows that State expenses on services to industry (net of user charges) were </w:t>
      </w:r>
      <w:r w:rsidRPr="00B115C4">
        <w:rPr>
          <w:shd w:val="clear" w:color="auto" w:fill="FFFFFF" w:themeFill="background1"/>
        </w:rPr>
        <w:t>$5.</w:t>
      </w:r>
      <w:r>
        <w:rPr>
          <w:shd w:val="clear" w:color="auto" w:fill="FFFFFF" w:themeFill="background1"/>
        </w:rPr>
        <w:t>2</w:t>
      </w:r>
      <w:r w:rsidRPr="00B115C4">
        <w:rPr>
          <w:shd w:val="clear" w:color="auto" w:fill="FFFFFF" w:themeFill="background1"/>
        </w:rPr>
        <w:t xml:space="preserve"> billion in </w:t>
      </w:r>
      <w:r>
        <w:rPr>
          <w:shd w:val="clear" w:color="auto" w:fill="FFFFFF" w:themeFill="background1"/>
        </w:rPr>
        <w:t>2018-19</w:t>
      </w:r>
      <w:r>
        <w:t xml:space="preserve">, representing </w:t>
      </w:r>
      <w:r w:rsidRPr="00B115C4">
        <w:rPr>
          <w:shd w:val="clear" w:color="auto" w:fill="FFFFFF" w:themeFill="background1"/>
        </w:rPr>
        <w:t>2%</w:t>
      </w:r>
      <w:r>
        <w:t xml:space="preserve"> of total State expenses.</w:t>
      </w:r>
    </w:p>
    <w:p w14:paraId="725F43C7" w14:textId="3998CCE5" w:rsidR="007E365E" w:rsidRDefault="007E365E" w:rsidP="007E365E">
      <w:pPr>
        <w:pStyle w:val="Caption"/>
      </w:pPr>
      <w:bookmarkStart w:id="289" w:name="_Ref31785830"/>
      <w:r>
        <w:t>Table 22-</w:t>
      </w:r>
      <w:fldSimple w:instr=" SEQ Table \r1 \* ARABIC ">
        <w:r w:rsidR="007F721A">
          <w:rPr>
            <w:noProof/>
          </w:rPr>
          <w:t>1</w:t>
        </w:r>
      </w:fldSimple>
      <w:bookmarkEnd w:id="289"/>
      <w:r>
        <w:tab/>
      </w:r>
      <w:r w:rsidR="00905613" w:rsidRPr="00905613">
        <w:t>Services to industry</w:t>
      </w:r>
      <w:r w:rsidR="0025435D">
        <w:t xml:space="preserve"> expenses </w:t>
      </w:r>
      <w:r>
        <w:t>by State, 2018-19</w:t>
      </w:r>
    </w:p>
    <w:tbl>
      <w:tblPr>
        <w:tblW w:w="8880" w:type="dxa"/>
        <w:tblInd w:w="108" w:type="dxa"/>
        <w:tblCellMar>
          <w:left w:w="28" w:type="dxa"/>
          <w:right w:w="28" w:type="dxa"/>
        </w:tblCellMar>
        <w:tblLook w:val="04A0" w:firstRow="1" w:lastRow="0" w:firstColumn="1" w:lastColumn="0" w:noHBand="0" w:noVBand="1"/>
      </w:tblPr>
      <w:tblGrid>
        <w:gridCol w:w="3000"/>
        <w:gridCol w:w="720"/>
        <w:gridCol w:w="720"/>
        <w:gridCol w:w="600"/>
        <w:gridCol w:w="600"/>
        <w:gridCol w:w="600"/>
        <w:gridCol w:w="600"/>
        <w:gridCol w:w="600"/>
        <w:gridCol w:w="720"/>
        <w:gridCol w:w="720"/>
      </w:tblGrid>
      <w:tr w:rsidR="007E365E" w:rsidRPr="00265F7F" w14:paraId="3A09C06F" w14:textId="77777777" w:rsidTr="007D1D77">
        <w:trPr>
          <w:trHeight w:val="379"/>
        </w:trPr>
        <w:tc>
          <w:tcPr>
            <w:tcW w:w="3000" w:type="dxa"/>
            <w:tcBorders>
              <w:top w:val="single" w:sz="4" w:space="0" w:color="ADD6EA"/>
              <w:left w:val="nil"/>
              <w:bottom w:val="single" w:sz="4" w:space="0" w:color="ADD6EA"/>
              <w:right w:val="nil"/>
            </w:tcBorders>
            <w:shd w:val="clear" w:color="000000" w:fill="006991"/>
            <w:vAlign w:val="center"/>
            <w:hideMark/>
          </w:tcPr>
          <w:p w14:paraId="4BB82287" w14:textId="77777777" w:rsidR="007E365E" w:rsidRPr="00265F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F7F">
              <w:rPr>
                <w:rFonts w:ascii="Open Sans SemiBold" w:eastAsia="Times New Roman" w:hAnsi="Open Sans SemiBold" w:cs="Open Sans SemiBold"/>
                <w:color w:val="FFFFFF"/>
                <w:sz w:val="16"/>
                <w:szCs w:val="16"/>
                <w:lang w:eastAsia="en-AU"/>
              </w:rPr>
              <w:t> </w:t>
            </w:r>
          </w:p>
        </w:tc>
        <w:tc>
          <w:tcPr>
            <w:tcW w:w="720" w:type="dxa"/>
            <w:tcBorders>
              <w:top w:val="single" w:sz="4" w:space="0" w:color="ADD6EA"/>
              <w:left w:val="nil"/>
              <w:bottom w:val="single" w:sz="4" w:space="0" w:color="ADD6EA"/>
              <w:right w:val="nil"/>
            </w:tcBorders>
            <w:shd w:val="clear" w:color="000000" w:fill="006991"/>
            <w:vAlign w:val="center"/>
            <w:hideMark/>
          </w:tcPr>
          <w:p w14:paraId="72116AFC" w14:textId="77777777" w:rsidR="007E365E" w:rsidRPr="00265F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F7F">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vAlign w:val="center"/>
            <w:hideMark/>
          </w:tcPr>
          <w:p w14:paraId="21422C80" w14:textId="77777777" w:rsidR="007E365E" w:rsidRPr="00265F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F7F">
              <w:rPr>
                <w:rFonts w:ascii="Open Sans SemiBold" w:eastAsia="Times New Roman" w:hAnsi="Open Sans SemiBold" w:cs="Open Sans SemiBold"/>
                <w:color w:val="FFFFFF"/>
                <w:sz w:val="16"/>
                <w:szCs w:val="16"/>
                <w:lang w:eastAsia="en-AU"/>
              </w:rPr>
              <w:t>Vic</w:t>
            </w:r>
          </w:p>
        </w:tc>
        <w:tc>
          <w:tcPr>
            <w:tcW w:w="600" w:type="dxa"/>
            <w:tcBorders>
              <w:top w:val="single" w:sz="4" w:space="0" w:color="ADD6EA"/>
              <w:left w:val="nil"/>
              <w:bottom w:val="single" w:sz="4" w:space="0" w:color="ADD6EA"/>
              <w:right w:val="nil"/>
            </w:tcBorders>
            <w:shd w:val="clear" w:color="000000" w:fill="006991"/>
            <w:vAlign w:val="center"/>
            <w:hideMark/>
          </w:tcPr>
          <w:p w14:paraId="02B1F429" w14:textId="77777777" w:rsidR="007E365E" w:rsidRPr="00265F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F7F">
              <w:rPr>
                <w:rFonts w:ascii="Open Sans SemiBold" w:eastAsia="Times New Roman" w:hAnsi="Open Sans SemiBold" w:cs="Open Sans SemiBold"/>
                <w:color w:val="FFFFFF"/>
                <w:sz w:val="16"/>
                <w:szCs w:val="16"/>
                <w:lang w:eastAsia="en-AU"/>
              </w:rPr>
              <w:t>Qld</w:t>
            </w:r>
          </w:p>
        </w:tc>
        <w:tc>
          <w:tcPr>
            <w:tcW w:w="600" w:type="dxa"/>
            <w:tcBorders>
              <w:top w:val="single" w:sz="4" w:space="0" w:color="ADD6EA"/>
              <w:left w:val="nil"/>
              <w:bottom w:val="single" w:sz="4" w:space="0" w:color="ADD6EA"/>
              <w:right w:val="nil"/>
            </w:tcBorders>
            <w:shd w:val="clear" w:color="000000" w:fill="006991"/>
            <w:vAlign w:val="center"/>
            <w:hideMark/>
          </w:tcPr>
          <w:p w14:paraId="7FF06B35" w14:textId="77777777" w:rsidR="007E365E" w:rsidRPr="00265F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F7F">
              <w:rPr>
                <w:rFonts w:ascii="Open Sans SemiBold" w:eastAsia="Times New Roman" w:hAnsi="Open Sans SemiBold" w:cs="Open Sans SemiBold"/>
                <w:color w:val="FFFFFF"/>
                <w:sz w:val="16"/>
                <w:szCs w:val="16"/>
                <w:lang w:eastAsia="en-AU"/>
              </w:rPr>
              <w:t>WA</w:t>
            </w:r>
          </w:p>
        </w:tc>
        <w:tc>
          <w:tcPr>
            <w:tcW w:w="600" w:type="dxa"/>
            <w:tcBorders>
              <w:top w:val="single" w:sz="4" w:space="0" w:color="ADD6EA"/>
              <w:left w:val="nil"/>
              <w:bottom w:val="single" w:sz="4" w:space="0" w:color="ADD6EA"/>
              <w:right w:val="nil"/>
            </w:tcBorders>
            <w:shd w:val="clear" w:color="000000" w:fill="006991"/>
            <w:vAlign w:val="center"/>
            <w:hideMark/>
          </w:tcPr>
          <w:p w14:paraId="454DD7CD" w14:textId="77777777" w:rsidR="007E365E" w:rsidRPr="00265F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F7F">
              <w:rPr>
                <w:rFonts w:ascii="Open Sans SemiBold" w:eastAsia="Times New Roman" w:hAnsi="Open Sans SemiBold" w:cs="Open Sans SemiBold"/>
                <w:color w:val="FFFFFF"/>
                <w:sz w:val="16"/>
                <w:szCs w:val="16"/>
                <w:lang w:eastAsia="en-AU"/>
              </w:rPr>
              <w:t>SA</w:t>
            </w:r>
          </w:p>
        </w:tc>
        <w:tc>
          <w:tcPr>
            <w:tcW w:w="600" w:type="dxa"/>
            <w:tcBorders>
              <w:top w:val="single" w:sz="4" w:space="0" w:color="ADD6EA"/>
              <w:left w:val="nil"/>
              <w:bottom w:val="single" w:sz="4" w:space="0" w:color="ADD6EA"/>
              <w:right w:val="nil"/>
            </w:tcBorders>
            <w:shd w:val="clear" w:color="000000" w:fill="006991"/>
            <w:vAlign w:val="center"/>
            <w:hideMark/>
          </w:tcPr>
          <w:p w14:paraId="565CB481" w14:textId="77777777" w:rsidR="007E365E" w:rsidRPr="00265F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F7F">
              <w:rPr>
                <w:rFonts w:ascii="Open Sans SemiBold" w:eastAsia="Times New Roman" w:hAnsi="Open Sans SemiBold" w:cs="Open Sans SemiBold"/>
                <w:color w:val="FFFFFF"/>
                <w:sz w:val="16"/>
                <w:szCs w:val="16"/>
                <w:lang w:eastAsia="en-AU"/>
              </w:rPr>
              <w:t>Tas</w:t>
            </w:r>
          </w:p>
        </w:tc>
        <w:tc>
          <w:tcPr>
            <w:tcW w:w="600" w:type="dxa"/>
            <w:tcBorders>
              <w:top w:val="single" w:sz="4" w:space="0" w:color="ADD6EA"/>
              <w:left w:val="nil"/>
              <w:bottom w:val="single" w:sz="4" w:space="0" w:color="ADD6EA"/>
              <w:right w:val="nil"/>
            </w:tcBorders>
            <w:shd w:val="clear" w:color="000000" w:fill="006991"/>
            <w:vAlign w:val="center"/>
            <w:hideMark/>
          </w:tcPr>
          <w:p w14:paraId="3D859B52" w14:textId="77777777" w:rsidR="007E365E" w:rsidRPr="00265F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F7F">
              <w:rPr>
                <w:rFonts w:ascii="Open Sans SemiBold" w:eastAsia="Times New Roman" w:hAnsi="Open Sans SemiBold" w:cs="Open Sans SemiBold"/>
                <w:color w:val="FFFFFF"/>
                <w:sz w:val="16"/>
                <w:szCs w:val="16"/>
                <w:lang w:eastAsia="en-AU"/>
              </w:rPr>
              <w:t>ACT</w:t>
            </w:r>
          </w:p>
        </w:tc>
        <w:tc>
          <w:tcPr>
            <w:tcW w:w="720" w:type="dxa"/>
            <w:tcBorders>
              <w:top w:val="single" w:sz="4" w:space="0" w:color="ADD6EA"/>
              <w:left w:val="nil"/>
              <w:bottom w:val="single" w:sz="4" w:space="0" w:color="ADD6EA"/>
              <w:right w:val="nil"/>
            </w:tcBorders>
            <w:shd w:val="clear" w:color="000000" w:fill="006991"/>
            <w:vAlign w:val="center"/>
            <w:hideMark/>
          </w:tcPr>
          <w:p w14:paraId="49A46631" w14:textId="77777777" w:rsidR="007E365E" w:rsidRPr="00265F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F7F">
              <w:rPr>
                <w:rFonts w:ascii="Open Sans SemiBold" w:eastAsia="Times New Roman" w:hAnsi="Open Sans SemiBold" w:cs="Open Sans SemiBold"/>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vAlign w:val="center"/>
            <w:hideMark/>
          </w:tcPr>
          <w:p w14:paraId="42F131A1" w14:textId="77777777" w:rsidR="007E365E" w:rsidRPr="00265F7F"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F7F">
              <w:rPr>
                <w:rFonts w:ascii="Open Sans SemiBold" w:eastAsia="Times New Roman" w:hAnsi="Open Sans SemiBold" w:cs="Open Sans SemiBold"/>
                <w:color w:val="FFFFFF"/>
                <w:sz w:val="16"/>
                <w:szCs w:val="16"/>
                <w:lang w:eastAsia="en-AU"/>
              </w:rPr>
              <w:t>Total</w:t>
            </w:r>
          </w:p>
        </w:tc>
      </w:tr>
      <w:tr w:rsidR="007E365E" w:rsidRPr="00265F7F" w14:paraId="3102654E" w14:textId="77777777" w:rsidTr="007D1D77">
        <w:trPr>
          <w:trHeight w:val="315"/>
        </w:trPr>
        <w:tc>
          <w:tcPr>
            <w:tcW w:w="3000" w:type="dxa"/>
            <w:tcBorders>
              <w:top w:val="nil"/>
              <w:left w:val="nil"/>
              <w:bottom w:val="single" w:sz="4" w:space="0" w:color="ADD6EA"/>
              <w:right w:val="nil"/>
            </w:tcBorders>
            <w:shd w:val="clear" w:color="auto" w:fill="auto"/>
            <w:noWrap/>
            <w:vAlign w:val="bottom"/>
            <w:hideMark/>
          </w:tcPr>
          <w:p w14:paraId="23283F16" w14:textId="77777777" w:rsidR="007E365E" w:rsidRPr="00265F7F" w:rsidRDefault="007E365E" w:rsidP="007D1D77">
            <w:pPr>
              <w:tabs>
                <w:tab w:val="clear" w:pos="567"/>
              </w:tabs>
              <w:spacing w:before="0" w:line="240" w:lineRule="auto"/>
              <w:rPr>
                <w:rFonts w:eastAsia="Times New Roman" w:cs="Open Sans Light"/>
                <w:sz w:val="16"/>
                <w:szCs w:val="16"/>
                <w:lang w:eastAsia="en-AU"/>
              </w:rPr>
            </w:pPr>
            <w:r w:rsidRPr="00265F7F">
              <w:rPr>
                <w:rFonts w:eastAsia="Times New Roman" w:cs="Open Sans Light"/>
                <w:sz w:val="16"/>
                <w:szCs w:val="16"/>
                <w:lang w:eastAsia="en-AU"/>
              </w:rPr>
              <w:t>Total expenses ($m)</w:t>
            </w:r>
          </w:p>
        </w:tc>
        <w:tc>
          <w:tcPr>
            <w:tcW w:w="720" w:type="dxa"/>
            <w:tcBorders>
              <w:top w:val="nil"/>
              <w:left w:val="nil"/>
              <w:bottom w:val="single" w:sz="4" w:space="0" w:color="ADD6EA"/>
              <w:right w:val="nil"/>
            </w:tcBorders>
            <w:shd w:val="clear" w:color="auto" w:fill="auto"/>
            <w:noWrap/>
            <w:vAlign w:val="bottom"/>
            <w:hideMark/>
          </w:tcPr>
          <w:p w14:paraId="5A0903E2"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1,469</w:t>
            </w:r>
          </w:p>
        </w:tc>
        <w:tc>
          <w:tcPr>
            <w:tcW w:w="720" w:type="dxa"/>
            <w:tcBorders>
              <w:top w:val="nil"/>
              <w:left w:val="nil"/>
              <w:bottom w:val="single" w:sz="4" w:space="0" w:color="ADD6EA"/>
              <w:right w:val="nil"/>
            </w:tcBorders>
            <w:shd w:val="clear" w:color="auto" w:fill="auto"/>
            <w:noWrap/>
            <w:vAlign w:val="bottom"/>
            <w:hideMark/>
          </w:tcPr>
          <w:p w14:paraId="26E6ED97"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1,233</w:t>
            </w:r>
          </w:p>
        </w:tc>
        <w:tc>
          <w:tcPr>
            <w:tcW w:w="600" w:type="dxa"/>
            <w:tcBorders>
              <w:top w:val="nil"/>
              <w:left w:val="nil"/>
              <w:bottom w:val="single" w:sz="4" w:space="0" w:color="ADD6EA"/>
              <w:right w:val="nil"/>
            </w:tcBorders>
            <w:shd w:val="clear" w:color="auto" w:fill="auto"/>
            <w:noWrap/>
            <w:vAlign w:val="bottom"/>
            <w:hideMark/>
          </w:tcPr>
          <w:p w14:paraId="04357055"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790</w:t>
            </w:r>
          </w:p>
        </w:tc>
        <w:tc>
          <w:tcPr>
            <w:tcW w:w="600" w:type="dxa"/>
            <w:tcBorders>
              <w:top w:val="nil"/>
              <w:left w:val="nil"/>
              <w:bottom w:val="single" w:sz="4" w:space="0" w:color="ADD6EA"/>
              <w:right w:val="nil"/>
            </w:tcBorders>
            <w:shd w:val="clear" w:color="auto" w:fill="auto"/>
            <w:noWrap/>
            <w:vAlign w:val="bottom"/>
            <w:hideMark/>
          </w:tcPr>
          <w:p w14:paraId="11232262"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718</w:t>
            </w:r>
          </w:p>
        </w:tc>
        <w:tc>
          <w:tcPr>
            <w:tcW w:w="600" w:type="dxa"/>
            <w:tcBorders>
              <w:top w:val="nil"/>
              <w:left w:val="nil"/>
              <w:bottom w:val="single" w:sz="4" w:space="0" w:color="ADD6EA"/>
              <w:right w:val="nil"/>
            </w:tcBorders>
            <w:shd w:val="clear" w:color="auto" w:fill="auto"/>
            <w:noWrap/>
            <w:vAlign w:val="bottom"/>
            <w:hideMark/>
          </w:tcPr>
          <w:p w14:paraId="0BEAB13E"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562</w:t>
            </w:r>
          </w:p>
        </w:tc>
        <w:tc>
          <w:tcPr>
            <w:tcW w:w="600" w:type="dxa"/>
            <w:tcBorders>
              <w:top w:val="nil"/>
              <w:left w:val="nil"/>
              <w:bottom w:val="single" w:sz="4" w:space="0" w:color="ADD6EA"/>
              <w:right w:val="nil"/>
            </w:tcBorders>
            <w:shd w:val="clear" w:color="auto" w:fill="auto"/>
            <w:noWrap/>
            <w:vAlign w:val="bottom"/>
            <w:hideMark/>
          </w:tcPr>
          <w:p w14:paraId="459E4E5F"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107</w:t>
            </w:r>
          </w:p>
        </w:tc>
        <w:tc>
          <w:tcPr>
            <w:tcW w:w="600" w:type="dxa"/>
            <w:tcBorders>
              <w:top w:val="nil"/>
              <w:left w:val="nil"/>
              <w:bottom w:val="single" w:sz="4" w:space="0" w:color="ADD6EA"/>
              <w:right w:val="nil"/>
            </w:tcBorders>
            <w:shd w:val="clear" w:color="auto" w:fill="auto"/>
            <w:noWrap/>
            <w:vAlign w:val="bottom"/>
            <w:hideMark/>
          </w:tcPr>
          <w:p w14:paraId="65316ADA"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41</w:t>
            </w:r>
          </w:p>
        </w:tc>
        <w:tc>
          <w:tcPr>
            <w:tcW w:w="720" w:type="dxa"/>
            <w:tcBorders>
              <w:top w:val="nil"/>
              <w:left w:val="nil"/>
              <w:bottom w:val="single" w:sz="4" w:space="0" w:color="ADD6EA"/>
              <w:right w:val="nil"/>
            </w:tcBorders>
            <w:shd w:val="clear" w:color="auto" w:fill="auto"/>
            <w:noWrap/>
            <w:vAlign w:val="bottom"/>
            <w:hideMark/>
          </w:tcPr>
          <w:p w14:paraId="33DD0CF4"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307</w:t>
            </w:r>
          </w:p>
        </w:tc>
        <w:tc>
          <w:tcPr>
            <w:tcW w:w="720" w:type="dxa"/>
            <w:tcBorders>
              <w:top w:val="nil"/>
              <w:left w:val="nil"/>
              <w:bottom w:val="single" w:sz="4" w:space="0" w:color="ADD6EA"/>
              <w:right w:val="nil"/>
            </w:tcBorders>
            <w:shd w:val="clear" w:color="auto" w:fill="auto"/>
            <w:noWrap/>
            <w:vAlign w:val="bottom"/>
            <w:hideMark/>
          </w:tcPr>
          <w:p w14:paraId="4246CBBA"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5,227</w:t>
            </w:r>
          </w:p>
        </w:tc>
      </w:tr>
      <w:tr w:rsidR="007E365E" w:rsidRPr="00265F7F" w14:paraId="37CF645D" w14:textId="77777777" w:rsidTr="007D1D77">
        <w:trPr>
          <w:trHeight w:val="315"/>
        </w:trPr>
        <w:tc>
          <w:tcPr>
            <w:tcW w:w="3000" w:type="dxa"/>
            <w:tcBorders>
              <w:top w:val="nil"/>
              <w:left w:val="nil"/>
              <w:bottom w:val="single" w:sz="4" w:space="0" w:color="ADD6EA"/>
              <w:right w:val="nil"/>
            </w:tcBorders>
            <w:shd w:val="clear" w:color="auto" w:fill="auto"/>
            <w:noWrap/>
            <w:vAlign w:val="bottom"/>
            <w:hideMark/>
          </w:tcPr>
          <w:p w14:paraId="43F526CB" w14:textId="77777777" w:rsidR="007E365E" w:rsidRPr="00265F7F" w:rsidRDefault="007E365E" w:rsidP="007D1D77">
            <w:pPr>
              <w:tabs>
                <w:tab w:val="clear" w:pos="567"/>
              </w:tabs>
              <w:spacing w:before="0" w:line="240" w:lineRule="auto"/>
              <w:rPr>
                <w:rFonts w:eastAsia="Times New Roman" w:cs="Open Sans Light"/>
                <w:sz w:val="16"/>
                <w:szCs w:val="16"/>
                <w:lang w:eastAsia="en-AU"/>
              </w:rPr>
            </w:pPr>
            <w:r w:rsidRPr="00265F7F">
              <w:rPr>
                <w:rFonts w:eastAsia="Times New Roman" w:cs="Open Sans Light"/>
                <w:sz w:val="16"/>
                <w:szCs w:val="16"/>
                <w:lang w:eastAsia="en-AU"/>
              </w:rPr>
              <w:t>Total expenses ($pc)</w:t>
            </w:r>
          </w:p>
        </w:tc>
        <w:tc>
          <w:tcPr>
            <w:tcW w:w="720" w:type="dxa"/>
            <w:tcBorders>
              <w:top w:val="nil"/>
              <w:left w:val="nil"/>
              <w:bottom w:val="single" w:sz="4" w:space="0" w:color="ADD6EA"/>
              <w:right w:val="nil"/>
            </w:tcBorders>
            <w:shd w:val="clear" w:color="auto" w:fill="auto"/>
            <w:noWrap/>
            <w:vAlign w:val="bottom"/>
            <w:hideMark/>
          </w:tcPr>
          <w:p w14:paraId="2EDE2233"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183</w:t>
            </w:r>
          </w:p>
        </w:tc>
        <w:tc>
          <w:tcPr>
            <w:tcW w:w="720" w:type="dxa"/>
            <w:tcBorders>
              <w:top w:val="nil"/>
              <w:left w:val="nil"/>
              <w:bottom w:val="single" w:sz="4" w:space="0" w:color="ADD6EA"/>
              <w:right w:val="nil"/>
            </w:tcBorders>
            <w:shd w:val="clear" w:color="auto" w:fill="auto"/>
            <w:noWrap/>
            <w:vAlign w:val="bottom"/>
            <w:hideMark/>
          </w:tcPr>
          <w:p w14:paraId="1AD2B9F3"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189</w:t>
            </w:r>
          </w:p>
        </w:tc>
        <w:tc>
          <w:tcPr>
            <w:tcW w:w="600" w:type="dxa"/>
            <w:tcBorders>
              <w:top w:val="nil"/>
              <w:left w:val="nil"/>
              <w:bottom w:val="single" w:sz="4" w:space="0" w:color="ADD6EA"/>
              <w:right w:val="nil"/>
            </w:tcBorders>
            <w:shd w:val="clear" w:color="auto" w:fill="auto"/>
            <w:noWrap/>
            <w:vAlign w:val="bottom"/>
            <w:hideMark/>
          </w:tcPr>
          <w:p w14:paraId="21345454"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156</w:t>
            </w:r>
          </w:p>
        </w:tc>
        <w:tc>
          <w:tcPr>
            <w:tcW w:w="600" w:type="dxa"/>
            <w:tcBorders>
              <w:top w:val="nil"/>
              <w:left w:val="nil"/>
              <w:bottom w:val="single" w:sz="4" w:space="0" w:color="ADD6EA"/>
              <w:right w:val="nil"/>
            </w:tcBorders>
            <w:shd w:val="clear" w:color="auto" w:fill="auto"/>
            <w:noWrap/>
            <w:vAlign w:val="bottom"/>
            <w:hideMark/>
          </w:tcPr>
          <w:p w14:paraId="6F93E511"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276</w:t>
            </w:r>
          </w:p>
        </w:tc>
        <w:tc>
          <w:tcPr>
            <w:tcW w:w="600" w:type="dxa"/>
            <w:tcBorders>
              <w:top w:val="nil"/>
              <w:left w:val="nil"/>
              <w:bottom w:val="single" w:sz="4" w:space="0" w:color="ADD6EA"/>
              <w:right w:val="nil"/>
            </w:tcBorders>
            <w:shd w:val="clear" w:color="auto" w:fill="auto"/>
            <w:noWrap/>
            <w:vAlign w:val="bottom"/>
            <w:hideMark/>
          </w:tcPr>
          <w:p w14:paraId="17C7B31E"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322</w:t>
            </w:r>
          </w:p>
        </w:tc>
        <w:tc>
          <w:tcPr>
            <w:tcW w:w="600" w:type="dxa"/>
            <w:tcBorders>
              <w:top w:val="nil"/>
              <w:left w:val="nil"/>
              <w:bottom w:val="single" w:sz="4" w:space="0" w:color="ADD6EA"/>
              <w:right w:val="nil"/>
            </w:tcBorders>
            <w:shd w:val="clear" w:color="auto" w:fill="auto"/>
            <w:noWrap/>
            <w:vAlign w:val="bottom"/>
            <w:hideMark/>
          </w:tcPr>
          <w:p w14:paraId="632F35C7"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202</w:t>
            </w:r>
          </w:p>
        </w:tc>
        <w:tc>
          <w:tcPr>
            <w:tcW w:w="600" w:type="dxa"/>
            <w:tcBorders>
              <w:top w:val="nil"/>
              <w:left w:val="nil"/>
              <w:bottom w:val="single" w:sz="4" w:space="0" w:color="ADD6EA"/>
              <w:right w:val="nil"/>
            </w:tcBorders>
            <w:shd w:val="clear" w:color="auto" w:fill="auto"/>
            <w:noWrap/>
            <w:vAlign w:val="bottom"/>
            <w:hideMark/>
          </w:tcPr>
          <w:p w14:paraId="252EEFC2"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98</w:t>
            </w:r>
          </w:p>
        </w:tc>
        <w:tc>
          <w:tcPr>
            <w:tcW w:w="720" w:type="dxa"/>
            <w:tcBorders>
              <w:top w:val="nil"/>
              <w:left w:val="nil"/>
              <w:bottom w:val="single" w:sz="4" w:space="0" w:color="ADD6EA"/>
              <w:right w:val="nil"/>
            </w:tcBorders>
            <w:shd w:val="clear" w:color="auto" w:fill="auto"/>
            <w:noWrap/>
            <w:vAlign w:val="bottom"/>
            <w:hideMark/>
          </w:tcPr>
          <w:p w14:paraId="14B09E80"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1,249</w:t>
            </w:r>
          </w:p>
        </w:tc>
        <w:tc>
          <w:tcPr>
            <w:tcW w:w="720" w:type="dxa"/>
            <w:tcBorders>
              <w:top w:val="nil"/>
              <w:left w:val="nil"/>
              <w:bottom w:val="single" w:sz="4" w:space="0" w:color="ADD6EA"/>
              <w:right w:val="nil"/>
            </w:tcBorders>
            <w:shd w:val="clear" w:color="auto" w:fill="auto"/>
            <w:noWrap/>
            <w:vAlign w:val="bottom"/>
            <w:hideMark/>
          </w:tcPr>
          <w:p w14:paraId="56BD50BE"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208</w:t>
            </w:r>
          </w:p>
        </w:tc>
      </w:tr>
      <w:tr w:rsidR="007E365E" w:rsidRPr="00265F7F" w14:paraId="0B960EB7" w14:textId="77777777" w:rsidTr="007D1D77">
        <w:trPr>
          <w:trHeight w:val="315"/>
        </w:trPr>
        <w:tc>
          <w:tcPr>
            <w:tcW w:w="3000" w:type="dxa"/>
            <w:tcBorders>
              <w:top w:val="nil"/>
              <w:left w:val="nil"/>
              <w:bottom w:val="single" w:sz="4" w:space="0" w:color="ADD6EA"/>
              <w:right w:val="nil"/>
            </w:tcBorders>
            <w:shd w:val="clear" w:color="auto" w:fill="auto"/>
            <w:noWrap/>
            <w:vAlign w:val="bottom"/>
            <w:hideMark/>
          </w:tcPr>
          <w:p w14:paraId="2A4A075F" w14:textId="77777777" w:rsidR="007E365E" w:rsidRPr="00265F7F" w:rsidRDefault="007E365E" w:rsidP="007D1D77">
            <w:pPr>
              <w:tabs>
                <w:tab w:val="clear" w:pos="567"/>
              </w:tabs>
              <w:spacing w:before="0" w:line="240" w:lineRule="auto"/>
              <w:rPr>
                <w:rFonts w:eastAsia="Times New Roman" w:cs="Open Sans Light"/>
                <w:sz w:val="16"/>
                <w:szCs w:val="16"/>
                <w:lang w:eastAsia="en-AU"/>
              </w:rPr>
            </w:pPr>
            <w:r w:rsidRPr="00265F7F">
              <w:rPr>
                <w:rFonts w:eastAsia="Times New Roman" w:cs="Open Sans Light"/>
                <w:sz w:val="16"/>
                <w:szCs w:val="16"/>
                <w:lang w:eastAsia="en-AU"/>
              </w:rPr>
              <w:t>Proportion of operating expenses (%)</w:t>
            </w:r>
          </w:p>
        </w:tc>
        <w:tc>
          <w:tcPr>
            <w:tcW w:w="720" w:type="dxa"/>
            <w:tcBorders>
              <w:top w:val="nil"/>
              <w:left w:val="nil"/>
              <w:bottom w:val="single" w:sz="4" w:space="0" w:color="ADD6EA"/>
              <w:right w:val="nil"/>
            </w:tcBorders>
            <w:shd w:val="clear" w:color="auto" w:fill="auto"/>
            <w:noWrap/>
            <w:vAlign w:val="bottom"/>
            <w:hideMark/>
          </w:tcPr>
          <w:p w14:paraId="75099B34"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1.7</w:t>
            </w:r>
          </w:p>
        </w:tc>
        <w:tc>
          <w:tcPr>
            <w:tcW w:w="720" w:type="dxa"/>
            <w:tcBorders>
              <w:top w:val="nil"/>
              <w:left w:val="nil"/>
              <w:bottom w:val="single" w:sz="4" w:space="0" w:color="ADD6EA"/>
              <w:right w:val="nil"/>
            </w:tcBorders>
            <w:shd w:val="clear" w:color="auto" w:fill="auto"/>
            <w:noWrap/>
            <w:vAlign w:val="bottom"/>
            <w:hideMark/>
          </w:tcPr>
          <w:p w14:paraId="0C9415FA"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2.1</w:t>
            </w:r>
          </w:p>
        </w:tc>
        <w:tc>
          <w:tcPr>
            <w:tcW w:w="600" w:type="dxa"/>
            <w:tcBorders>
              <w:top w:val="nil"/>
              <w:left w:val="nil"/>
              <w:bottom w:val="single" w:sz="4" w:space="0" w:color="ADD6EA"/>
              <w:right w:val="nil"/>
            </w:tcBorders>
            <w:shd w:val="clear" w:color="auto" w:fill="auto"/>
            <w:noWrap/>
            <w:vAlign w:val="bottom"/>
            <w:hideMark/>
          </w:tcPr>
          <w:p w14:paraId="281BC381"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1.5</w:t>
            </w:r>
          </w:p>
        </w:tc>
        <w:tc>
          <w:tcPr>
            <w:tcW w:w="600" w:type="dxa"/>
            <w:tcBorders>
              <w:top w:val="nil"/>
              <w:left w:val="nil"/>
              <w:bottom w:val="single" w:sz="4" w:space="0" w:color="ADD6EA"/>
              <w:right w:val="nil"/>
            </w:tcBorders>
            <w:shd w:val="clear" w:color="auto" w:fill="auto"/>
            <w:noWrap/>
            <w:vAlign w:val="bottom"/>
            <w:hideMark/>
          </w:tcPr>
          <w:p w14:paraId="4C2801BB"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2.5</w:t>
            </w:r>
          </w:p>
        </w:tc>
        <w:tc>
          <w:tcPr>
            <w:tcW w:w="600" w:type="dxa"/>
            <w:tcBorders>
              <w:top w:val="nil"/>
              <w:left w:val="nil"/>
              <w:bottom w:val="single" w:sz="4" w:space="0" w:color="ADD6EA"/>
              <w:right w:val="nil"/>
            </w:tcBorders>
            <w:shd w:val="clear" w:color="auto" w:fill="auto"/>
            <w:noWrap/>
            <w:vAlign w:val="bottom"/>
            <w:hideMark/>
          </w:tcPr>
          <w:p w14:paraId="35D742EB"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3.5</w:t>
            </w:r>
          </w:p>
        </w:tc>
        <w:tc>
          <w:tcPr>
            <w:tcW w:w="600" w:type="dxa"/>
            <w:tcBorders>
              <w:top w:val="nil"/>
              <w:left w:val="nil"/>
              <w:bottom w:val="single" w:sz="4" w:space="0" w:color="ADD6EA"/>
              <w:right w:val="nil"/>
            </w:tcBorders>
            <w:shd w:val="clear" w:color="auto" w:fill="auto"/>
            <w:noWrap/>
            <w:vAlign w:val="bottom"/>
            <w:hideMark/>
          </w:tcPr>
          <w:p w14:paraId="1E2EFF00"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1.9</w:t>
            </w:r>
          </w:p>
        </w:tc>
        <w:tc>
          <w:tcPr>
            <w:tcW w:w="600" w:type="dxa"/>
            <w:tcBorders>
              <w:top w:val="nil"/>
              <w:left w:val="nil"/>
              <w:bottom w:val="single" w:sz="4" w:space="0" w:color="ADD6EA"/>
              <w:right w:val="nil"/>
            </w:tcBorders>
            <w:shd w:val="clear" w:color="auto" w:fill="auto"/>
            <w:noWrap/>
            <w:vAlign w:val="bottom"/>
            <w:hideMark/>
          </w:tcPr>
          <w:p w14:paraId="0BF95D5F"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0.8</w:t>
            </w:r>
          </w:p>
        </w:tc>
        <w:tc>
          <w:tcPr>
            <w:tcW w:w="720" w:type="dxa"/>
            <w:tcBorders>
              <w:top w:val="nil"/>
              <w:left w:val="nil"/>
              <w:bottom w:val="single" w:sz="4" w:space="0" w:color="ADD6EA"/>
              <w:right w:val="nil"/>
            </w:tcBorders>
            <w:shd w:val="clear" w:color="auto" w:fill="auto"/>
            <w:noWrap/>
            <w:vAlign w:val="bottom"/>
            <w:hideMark/>
          </w:tcPr>
          <w:p w14:paraId="787FCC17"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4.9</w:t>
            </w:r>
          </w:p>
        </w:tc>
        <w:tc>
          <w:tcPr>
            <w:tcW w:w="720" w:type="dxa"/>
            <w:tcBorders>
              <w:top w:val="nil"/>
              <w:left w:val="nil"/>
              <w:bottom w:val="single" w:sz="4" w:space="0" w:color="ADD6EA"/>
              <w:right w:val="nil"/>
            </w:tcBorders>
            <w:shd w:val="clear" w:color="auto" w:fill="auto"/>
            <w:noWrap/>
            <w:vAlign w:val="bottom"/>
            <w:hideMark/>
          </w:tcPr>
          <w:p w14:paraId="59C5929A" w14:textId="77777777" w:rsidR="007E365E" w:rsidRPr="00265F7F" w:rsidRDefault="007E365E" w:rsidP="007D1D77">
            <w:pPr>
              <w:tabs>
                <w:tab w:val="clear" w:pos="567"/>
              </w:tabs>
              <w:spacing w:before="0" w:line="240" w:lineRule="auto"/>
              <w:jc w:val="right"/>
              <w:rPr>
                <w:rFonts w:eastAsia="Times New Roman" w:cs="Open Sans Light"/>
                <w:sz w:val="16"/>
                <w:szCs w:val="16"/>
                <w:lang w:eastAsia="en-AU"/>
              </w:rPr>
            </w:pPr>
            <w:r w:rsidRPr="00265F7F">
              <w:rPr>
                <w:rFonts w:eastAsia="Times New Roman" w:cs="Open Sans Light"/>
                <w:sz w:val="16"/>
                <w:szCs w:val="16"/>
                <w:lang w:eastAsia="en-AU"/>
              </w:rPr>
              <w:t>2.0</w:t>
            </w:r>
          </w:p>
        </w:tc>
      </w:tr>
    </w:tbl>
    <w:p w14:paraId="16BF441F" w14:textId="77777777" w:rsidR="007E365E" w:rsidRDefault="007E365E" w:rsidP="007E365E">
      <w:pPr>
        <w:pStyle w:val="CGCTablenote"/>
      </w:pPr>
      <w:r>
        <w:t>Note:</w:t>
      </w:r>
      <w:r>
        <w:tab/>
        <w:t xml:space="preserve">Expenses shown on </w:t>
      </w:r>
      <w:r w:rsidRPr="00782EFA">
        <w:t>a net</w:t>
      </w:r>
      <w:r>
        <w:t xml:space="preserve"> basis or total expenses less user charges.</w:t>
      </w:r>
    </w:p>
    <w:p w14:paraId="42A5113C" w14:textId="77777777" w:rsidR="007E365E" w:rsidRDefault="007E365E" w:rsidP="007E365E">
      <w:pPr>
        <w:pStyle w:val="CGCTablenote"/>
      </w:pPr>
      <w:r>
        <w:t>Source:</w:t>
      </w:r>
      <w:r>
        <w:tab/>
        <w:t xml:space="preserve">Commission calculation using State budget data. </w:t>
      </w:r>
    </w:p>
    <w:p w14:paraId="5192F892" w14:textId="77777777" w:rsidR="007E365E" w:rsidRPr="00BE617B" w:rsidRDefault="007E365E" w:rsidP="007E365E">
      <w:pPr>
        <w:pStyle w:val="CGCParaNumber"/>
      </w:pPr>
      <w:r w:rsidRPr="00BE617B">
        <w:t xml:space="preserve">While this category includes expenses related to a number of the regulatory functions performed by States, it does not include all State regulatory expenses. For example, expenses </w:t>
      </w:r>
      <w:r>
        <w:lastRenderedPageBreak/>
        <w:t>for</w:t>
      </w:r>
      <w:r w:rsidRPr="00BE617B">
        <w:t xml:space="preserve"> health regulation are included in the Health category. Similarly, the business development expenses in this category do not include all State economic development expenses. These costs are spread across a number of expense categories including Post-secondary education, Services to communities, Other expenses and Investment.</w:t>
      </w:r>
    </w:p>
    <w:p w14:paraId="0E56E7B6" w14:textId="3C0D3B9B" w:rsidR="007E365E" w:rsidRDefault="007E365E" w:rsidP="007E365E">
      <w:pPr>
        <w:pStyle w:val="CGCParaNumber"/>
      </w:pPr>
      <w:r>
        <w:fldChar w:fldCharType="begin"/>
      </w:r>
      <w:r>
        <w:instrText xml:space="preserve"> REF _Ref31785899 \h </w:instrText>
      </w:r>
      <w:r>
        <w:fldChar w:fldCharType="separate"/>
      </w:r>
      <w:r w:rsidR="007F721A">
        <w:t>Table 22-</w:t>
      </w:r>
      <w:r w:rsidR="007F721A">
        <w:rPr>
          <w:noProof/>
        </w:rPr>
        <w:t>2</w:t>
      </w:r>
      <w:r>
        <w:fldChar w:fldCharType="end"/>
      </w:r>
      <w:r>
        <w:t xml:space="preserve"> shows the category’s level and share of State expenses </w:t>
      </w:r>
      <w:r w:rsidRPr="00B115C4">
        <w:rPr>
          <w:shd w:val="clear" w:color="auto" w:fill="FFFFFF" w:themeFill="background1"/>
        </w:rPr>
        <w:t>from 201</w:t>
      </w:r>
      <w:r>
        <w:rPr>
          <w:shd w:val="clear" w:color="auto" w:fill="FFFFFF" w:themeFill="background1"/>
        </w:rPr>
        <w:t>5-16</w:t>
      </w:r>
      <w:r w:rsidRPr="00B115C4">
        <w:rPr>
          <w:shd w:val="clear" w:color="auto" w:fill="FFFFFF" w:themeFill="background1"/>
        </w:rPr>
        <w:t xml:space="preserve"> to </w:t>
      </w:r>
      <w:r>
        <w:rPr>
          <w:shd w:val="clear" w:color="auto" w:fill="FFFFFF" w:themeFill="background1"/>
        </w:rPr>
        <w:t>2018-19</w:t>
      </w:r>
      <w:r w:rsidRPr="00B115C4">
        <w:rPr>
          <w:shd w:val="clear" w:color="auto" w:fill="FFFFFF" w:themeFill="background1"/>
        </w:rPr>
        <w:t>.</w:t>
      </w:r>
    </w:p>
    <w:p w14:paraId="3703EF75" w14:textId="00C42B85" w:rsidR="007E365E" w:rsidRDefault="007E365E" w:rsidP="007E365E">
      <w:pPr>
        <w:pStyle w:val="Caption"/>
      </w:pPr>
      <w:bookmarkStart w:id="290" w:name="_Ref31785899"/>
      <w:r>
        <w:t>Table 22-</w:t>
      </w:r>
      <w:fldSimple w:instr=" SEQ Table \* ARABIC ">
        <w:r w:rsidR="007F721A">
          <w:rPr>
            <w:noProof/>
          </w:rPr>
          <w:t>2</w:t>
        </w:r>
      </w:fldSimple>
      <w:bookmarkEnd w:id="290"/>
      <w:r>
        <w:tab/>
      </w:r>
      <w:r w:rsidR="00905613" w:rsidRPr="00905613">
        <w:t>Services to industry</w:t>
      </w:r>
      <w:r w:rsidR="003C39E9">
        <w:t xml:space="preserve"> </w:t>
      </w:r>
      <w:r>
        <w:t>expense</w:t>
      </w:r>
      <w:r w:rsidR="00905613">
        <w:t>s</w:t>
      </w:r>
      <w:r>
        <w:t xml:space="preserve">, </w:t>
      </w:r>
      <w:r w:rsidR="0025435D">
        <w:t xml:space="preserve">all States, </w:t>
      </w:r>
      <w:r>
        <w:t>2015</w:t>
      </w:r>
      <w:r>
        <w:noBreakHyphen/>
        <w:t>16 to 2018-19</w:t>
      </w:r>
    </w:p>
    <w:tbl>
      <w:tblPr>
        <w:tblW w:w="8980" w:type="dxa"/>
        <w:tblCellMar>
          <w:left w:w="28" w:type="dxa"/>
          <w:right w:w="28" w:type="dxa"/>
        </w:tblCellMar>
        <w:tblLook w:val="04A0" w:firstRow="1" w:lastRow="0" w:firstColumn="1" w:lastColumn="0" w:noHBand="0" w:noVBand="1"/>
      </w:tblPr>
      <w:tblGrid>
        <w:gridCol w:w="4260"/>
        <w:gridCol w:w="1180"/>
        <w:gridCol w:w="1180"/>
        <w:gridCol w:w="1180"/>
        <w:gridCol w:w="1180"/>
      </w:tblGrid>
      <w:tr w:rsidR="007E365E" w:rsidRPr="007652D7" w14:paraId="4EA8B18F" w14:textId="77777777" w:rsidTr="007D1D77">
        <w:trPr>
          <w:trHeight w:val="375"/>
        </w:trPr>
        <w:tc>
          <w:tcPr>
            <w:tcW w:w="4260" w:type="dxa"/>
            <w:tcBorders>
              <w:top w:val="single" w:sz="4" w:space="0" w:color="ADD6EA"/>
              <w:left w:val="nil"/>
              <w:bottom w:val="single" w:sz="4" w:space="0" w:color="ADD6EA"/>
              <w:right w:val="nil"/>
            </w:tcBorders>
            <w:shd w:val="clear" w:color="000000" w:fill="006991"/>
            <w:vAlign w:val="center"/>
            <w:hideMark/>
          </w:tcPr>
          <w:p w14:paraId="2D063A24" w14:textId="77777777" w:rsidR="007E365E" w:rsidRPr="007652D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652D7">
              <w:rPr>
                <w:rFonts w:ascii="Open Sans SemiBold" w:eastAsia="Times New Roman" w:hAnsi="Open Sans SemiBold" w:cs="Open Sans SemiBold"/>
                <w:color w:val="FFFFFF"/>
                <w:sz w:val="16"/>
                <w:szCs w:val="16"/>
                <w:lang w:eastAsia="en-AU"/>
              </w:rPr>
              <w:t> </w:t>
            </w:r>
          </w:p>
        </w:tc>
        <w:tc>
          <w:tcPr>
            <w:tcW w:w="1180" w:type="dxa"/>
            <w:tcBorders>
              <w:top w:val="single" w:sz="4" w:space="0" w:color="ADD6EA"/>
              <w:left w:val="nil"/>
              <w:bottom w:val="single" w:sz="4" w:space="0" w:color="ADD6EA"/>
              <w:right w:val="nil"/>
            </w:tcBorders>
            <w:shd w:val="clear" w:color="000000" w:fill="006991"/>
            <w:vAlign w:val="center"/>
            <w:hideMark/>
          </w:tcPr>
          <w:p w14:paraId="62F13A5D" w14:textId="77777777" w:rsidR="007E365E" w:rsidRPr="007652D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652D7">
              <w:rPr>
                <w:rFonts w:ascii="Open Sans SemiBold" w:eastAsia="Times New Roman" w:hAnsi="Open Sans SemiBold" w:cs="Open Sans SemiBold"/>
                <w:color w:val="FFFFFF"/>
                <w:sz w:val="16"/>
                <w:szCs w:val="16"/>
                <w:lang w:eastAsia="en-AU"/>
              </w:rPr>
              <w:t>2015-16</w:t>
            </w:r>
          </w:p>
        </w:tc>
        <w:tc>
          <w:tcPr>
            <w:tcW w:w="1180" w:type="dxa"/>
            <w:tcBorders>
              <w:top w:val="single" w:sz="4" w:space="0" w:color="ADD6EA"/>
              <w:left w:val="nil"/>
              <w:bottom w:val="single" w:sz="4" w:space="0" w:color="ADD6EA"/>
              <w:right w:val="nil"/>
            </w:tcBorders>
            <w:shd w:val="clear" w:color="000000" w:fill="006991"/>
            <w:vAlign w:val="center"/>
            <w:hideMark/>
          </w:tcPr>
          <w:p w14:paraId="5B58DFF8" w14:textId="77777777" w:rsidR="007E365E" w:rsidRPr="007652D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652D7">
              <w:rPr>
                <w:rFonts w:ascii="Open Sans SemiBold" w:eastAsia="Times New Roman" w:hAnsi="Open Sans SemiBold" w:cs="Open Sans SemiBold"/>
                <w:color w:val="FFFFFF"/>
                <w:sz w:val="16"/>
                <w:szCs w:val="16"/>
                <w:lang w:eastAsia="en-AU"/>
              </w:rPr>
              <w:t>2016-17</w:t>
            </w:r>
          </w:p>
        </w:tc>
        <w:tc>
          <w:tcPr>
            <w:tcW w:w="1180" w:type="dxa"/>
            <w:tcBorders>
              <w:top w:val="single" w:sz="4" w:space="0" w:color="ADD6EA"/>
              <w:left w:val="nil"/>
              <w:bottom w:val="single" w:sz="4" w:space="0" w:color="ADD6EA"/>
              <w:right w:val="nil"/>
            </w:tcBorders>
            <w:shd w:val="clear" w:color="000000" w:fill="006991"/>
            <w:vAlign w:val="center"/>
            <w:hideMark/>
          </w:tcPr>
          <w:p w14:paraId="7B95134B" w14:textId="77777777" w:rsidR="007E365E" w:rsidRPr="007652D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652D7">
              <w:rPr>
                <w:rFonts w:ascii="Open Sans SemiBold" w:eastAsia="Times New Roman" w:hAnsi="Open Sans SemiBold" w:cs="Open Sans SemiBold"/>
                <w:color w:val="FFFFFF"/>
                <w:sz w:val="16"/>
                <w:szCs w:val="16"/>
                <w:lang w:eastAsia="en-AU"/>
              </w:rPr>
              <w:t>2017-18</w:t>
            </w:r>
          </w:p>
        </w:tc>
        <w:tc>
          <w:tcPr>
            <w:tcW w:w="1180" w:type="dxa"/>
            <w:tcBorders>
              <w:top w:val="single" w:sz="4" w:space="0" w:color="ADD6EA"/>
              <w:left w:val="nil"/>
              <w:bottom w:val="single" w:sz="4" w:space="0" w:color="ADD6EA"/>
              <w:right w:val="nil"/>
            </w:tcBorders>
            <w:shd w:val="clear" w:color="000000" w:fill="006991"/>
            <w:vAlign w:val="center"/>
            <w:hideMark/>
          </w:tcPr>
          <w:p w14:paraId="21121B29" w14:textId="77777777" w:rsidR="007E365E" w:rsidRPr="007652D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652D7">
              <w:rPr>
                <w:rFonts w:ascii="Open Sans SemiBold" w:eastAsia="Times New Roman" w:hAnsi="Open Sans SemiBold" w:cs="Open Sans SemiBold"/>
                <w:color w:val="FFFFFF"/>
                <w:sz w:val="16"/>
                <w:szCs w:val="16"/>
                <w:lang w:eastAsia="en-AU"/>
              </w:rPr>
              <w:t>2018-19</w:t>
            </w:r>
          </w:p>
        </w:tc>
      </w:tr>
      <w:tr w:rsidR="007E365E" w:rsidRPr="007652D7" w14:paraId="6DA9A587" w14:textId="77777777" w:rsidTr="007D1D77">
        <w:trPr>
          <w:trHeight w:val="315"/>
        </w:trPr>
        <w:tc>
          <w:tcPr>
            <w:tcW w:w="4260" w:type="dxa"/>
            <w:tcBorders>
              <w:top w:val="nil"/>
              <w:left w:val="nil"/>
              <w:bottom w:val="single" w:sz="4" w:space="0" w:color="ADD6EA"/>
              <w:right w:val="nil"/>
            </w:tcBorders>
            <w:shd w:val="clear" w:color="auto" w:fill="auto"/>
            <w:noWrap/>
            <w:vAlign w:val="bottom"/>
            <w:hideMark/>
          </w:tcPr>
          <w:p w14:paraId="38B0A799" w14:textId="77777777" w:rsidR="007E365E" w:rsidRPr="007652D7" w:rsidRDefault="007E365E" w:rsidP="007D1D77">
            <w:pPr>
              <w:tabs>
                <w:tab w:val="clear" w:pos="567"/>
              </w:tabs>
              <w:spacing w:before="0" w:line="240" w:lineRule="auto"/>
              <w:rPr>
                <w:rFonts w:eastAsia="Times New Roman" w:cs="Open Sans Light"/>
                <w:sz w:val="16"/>
                <w:szCs w:val="16"/>
                <w:lang w:eastAsia="en-AU"/>
              </w:rPr>
            </w:pPr>
            <w:r w:rsidRPr="007652D7">
              <w:rPr>
                <w:rFonts w:eastAsia="Times New Roman" w:cs="Open Sans Light"/>
                <w:sz w:val="16"/>
                <w:szCs w:val="16"/>
                <w:lang w:eastAsia="en-AU"/>
              </w:rPr>
              <w:t>Total expenses ($m)</w:t>
            </w:r>
          </w:p>
        </w:tc>
        <w:tc>
          <w:tcPr>
            <w:tcW w:w="1180" w:type="dxa"/>
            <w:tcBorders>
              <w:top w:val="nil"/>
              <w:left w:val="nil"/>
              <w:bottom w:val="single" w:sz="4" w:space="0" w:color="ADD6EA"/>
              <w:right w:val="nil"/>
            </w:tcBorders>
            <w:shd w:val="clear" w:color="auto" w:fill="auto"/>
            <w:noWrap/>
            <w:vAlign w:val="bottom"/>
            <w:hideMark/>
          </w:tcPr>
          <w:p w14:paraId="6C1A5A97" w14:textId="77777777" w:rsidR="007E365E" w:rsidRPr="007652D7" w:rsidRDefault="007E365E" w:rsidP="007D1D77">
            <w:pPr>
              <w:tabs>
                <w:tab w:val="clear" w:pos="567"/>
              </w:tabs>
              <w:spacing w:before="0" w:line="240" w:lineRule="auto"/>
              <w:jc w:val="right"/>
              <w:rPr>
                <w:rFonts w:eastAsia="Times New Roman" w:cs="Open Sans Light"/>
                <w:sz w:val="16"/>
                <w:szCs w:val="16"/>
                <w:lang w:eastAsia="en-AU"/>
              </w:rPr>
            </w:pPr>
            <w:r w:rsidRPr="007652D7">
              <w:rPr>
                <w:rFonts w:eastAsia="Times New Roman" w:cs="Open Sans Light"/>
                <w:sz w:val="16"/>
                <w:szCs w:val="16"/>
                <w:lang w:eastAsia="en-AU"/>
              </w:rPr>
              <w:t>4,171</w:t>
            </w:r>
          </w:p>
        </w:tc>
        <w:tc>
          <w:tcPr>
            <w:tcW w:w="1180" w:type="dxa"/>
            <w:tcBorders>
              <w:top w:val="nil"/>
              <w:left w:val="nil"/>
              <w:bottom w:val="single" w:sz="4" w:space="0" w:color="ADD6EA"/>
              <w:right w:val="nil"/>
            </w:tcBorders>
            <w:shd w:val="clear" w:color="auto" w:fill="auto"/>
            <w:noWrap/>
            <w:vAlign w:val="bottom"/>
            <w:hideMark/>
          </w:tcPr>
          <w:p w14:paraId="4A125408" w14:textId="77777777" w:rsidR="007E365E" w:rsidRPr="007652D7" w:rsidRDefault="007E365E" w:rsidP="007D1D77">
            <w:pPr>
              <w:tabs>
                <w:tab w:val="clear" w:pos="567"/>
              </w:tabs>
              <w:spacing w:before="0" w:line="240" w:lineRule="auto"/>
              <w:jc w:val="right"/>
              <w:rPr>
                <w:rFonts w:eastAsia="Times New Roman" w:cs="Open Sans Light"/>
                <w:sz w:val="16"/>
                <w:szCs w:val="16"/>
                <w:lang w:eastAsia="en-AU"/>
              </w:rPr>
            </w:pPr>
            <w:r w:rsidRPr="007652D7">
              <w:rPr>
                <w:rFonts w:eastAsia="Times New Roman" w:cs="Open Sans Light"/>
                <w:sz w:val="16"/>
                <w:szCs w:val="16"/>
                <w:lang w:eastAsia="en-AU"/>
              </w:rPr>
              <w:t>4,970</w:t>
            </w:r>
          </w:p>
        </w:tc>
        <w:tc>
          <w:tcPr>
            <w:tcW w:w="1180" w:type="dxa"/>
            <w:tcBorders>
              <w:top w:val="nil"/>
              <w:left w:val="nil"/>
              <w:bottom w:val="single" w:sz="4" w:space="0" w:color="ADD6EA"/>
              <w:right w:val="nil"/>
            </w:tcBorders>
            <w:shd w:val="clear" w:color="auto" w:fill="auto"/>
            <w:noWrap/>
            <w:vAlign w:val="bottom"/>
            <w:hideMark/>
          </w:tcPr>
          <w:p w14:paraId="3C2E9671" w14:textId="77777777" w:rsidR="007E365E" w:rsidRPr="007652D7" w:rsidRDefault="007E365E" w:rsidP="007D1D77">
            <w:pPr>
              <w:tabs>
                <w:tab w:val="clear" w:pos="567"/>
              </w:tabs>
              <w:spacing w:before="0" w:line="240" w:lineRule="auto"/>
              <w:jc w:val="right"/>
              <w:rPr>
                <w:rFonts w:eastAsia="Times New Roman" w:cs="Open Sans Light"/>
                <w:sz w:val="16"/>
                <w:szCs w:val="16"/>
                <w:lang w:eastAsia="en-AU"/>
              </w:rPr>
            </w:pPr>
            <w:r w:rsidRPr="007652D7">
              <w:rPr>
                <w:rFonts w:eastAsia="Times New Roman" w:cs="Open Sans Light"/>
                <w:sz w:val="16"/>
                <w:szCs w:val="16"/>
                <w:lang w:eastAsia="en-AU"/>
              </w:rPr>
              <w:t>5,039</w:t>
            </w:r>
          </w:p>
        </w:tc>
        <w:tc>
          <w:tcPr>
            <w:tcW w:w="1180" w:type="dxa"/>
            <w:tcBorders>
              <w:top w:val="nil"/>
              <w:left w:val="nil"/>
              <w:bottom w:val="single" w:sz="4" w:space="0" w:color="ADD6EA"/>
              <w:right w:val="nil"/>
            </w:tcBorders>
            <w:shd w:val="clear" w:color="auto" w:fill="auto"/>
            <w:noWrap/>
            <w:vAlign w:val="bottom"/>
            <w:hideMark/>
          </w:tcPr>
          <w:p w14:paraId="624E373A" w14:textId="77777777" w:rsidR="007E365E" w:rsidRPr="007652D7" w:rsidRDefault="007E365E" w:rsidP="007D1D77">
            <w:pPr>
              <w:tabs>
                <w:tab w:val="clear" w:pos="567"/>
              </w:tabs>
              <w:spacing w:before="0" w:line="240" w:lineRule="auto"/>
              <w:jc w:val="right"/>
              <w:rPr>
                <w:rFonts w:eastAsia="Times New Roman" w:cs="Open Sans Light"/>
                <w:sz w:val="16"/>
                <w:szCs w:val="16"/>
                <w:lang w:eastAsia="en-AU"/>
              </w:rPr>
            </w:pPr>
            <w:r w:rsidRPr="007652D7">
              <w:rPr>
                <w:rFonts w:eastAsia="Times New Roman" w:cs="Open Sans Light"/>
                <w:sz w:val="16"/>
                <w:szCs w:val="16"/>
                <w:lang w:eastAsia="en-AU"/>
              </w:rPr>
              <w:t>5,227</w:t>
            </w:r>
          </w:p>
        </w:tc>
      </w:tr>
      <w:tr w:rsidR="007E365E" w:rsidRPr="007652D7" w14:paraId="40702D2E" w14:textId="77777777" w:rsidTr="007D1D77">
        <w:trPr>
          <w:trHeight w:val="315"/>
        </w:trPr>
        <w:tc>
          <w:tcPr>
            <w:tcW w:w="4260" w:type="dxa"/>
            <w:tcBorders>
              <w:top w:val="nil"/>
              <w:left w:val="nil"/>
              <w:bottom w:val="single" w:sz="4" w:space="0" w:color="ADD6EA"/>
              <w:right w:val="nil"/>
            </w:tcBorders>
            <w:shd w:val="clear" w:color="auto" w:fill="auto"/>
            <w:noWrap/>
            <w:vAlign w:val="bottom"/>
            <w:hideMark/>
          </w:tcPr>
          <w:p w14:paraId="204016BE" w14:textId="77777777" w:rsidR="007E365E" w:rsidRPr="007652D7" w:rsidRDefault="007E365E" w:rsidP="007D1D77">
            <w:pPr>
              <w:tabs>
                <w:tab w:val="clear" w:pos="567"/>
              </w:tabs>
              <w:spacing w:before="0" w:line="240" w:lineRule="auto"/>
              <w:rPr>
                <w:rFonts w:eastAsia="Times New Roman" w:cs="Open Sans Light"/>
                <w:sz w:val="16"/>
                <w:szCs w:val="16"/>
                <w:lang w:eastAsia="en-AU"/>
              </w:rPr>
            </w:pPr>
            <w:r w:rsidRPr="007652D7">
              <w:rPr>
                <w:rFonts w:eastAsia="Times New Roman" w:cs="Open Sans Light"/>
                <w:sz w:val="16"/>
                <w:szCs w:val="16"/>
                <w:lang w:eastAsia="en-AU"/>
              </w:rPr>
              <w:t>Proportion of total operating expenses (%)</w:t>
            </w:r>
          </w:p>
        </w:tc>
        <w:tc>
          <w:tcPr>
            <w:tcW w:w="1180" w:type="dxa"/>
            <w:tcBorders>
              <w:top w:val="nil"/>
              <w:left w:val="nil"/>
              <w:bottom w:val="single" w:sz="4" w:space="0" w:color="ADD6EA"/>
              <w:right w:val="nil"/>
            </w:tcBorders>
            <w:shd w:val="clear" w:color="auto" w:fill="auto"/>
            <w:noWrap/>
            <w:vAlign w:val="bottom"/>
            <w:hideMark/>
          </w:tcPr>
          <w:p w14:paraId="55B543AD" w14:textId="77777777" w:rsidR="007E365E" w:rsidRPr="007652D7" w:rsidRDefault="007E365E" w:rsidP="007D1D77">
            <w:pPr>
              <w:tabs>
                <w:tab w:val="clear" w:pos="567"/>
              </w:tabs>
              <w:spacing w:before="0" w:line="240" w:lineRule="auto"/>
              <w:jc w:val="right"/>
              <w:rPr>
                <w:rFonts w:eastAsia="Times New Roman" w:cs="Open Sans Light"/>
                <w:sz w:val="16"/>
                <w:szCs w:val="16"/>
                <w:lang w:eastAsia="en-AU"/>
              </w:rPr>
            </w:pPr>
            <w:r w:rsidRPr="007652D7">
              <w:rPr>
                <w:rFonts w:eastAsia="Times New Roman" w:cs="Open Sans Light"/>
                <w:sz w:val="16"/>
                <w:szCs w:val="16"/>
                <w:lang w:eastAsia="en-AU"/>
              </w:rPr>
              <w:t>2.0</w:t>
            </w:r>
          </w:p>
        </w:tc>
        <w:tc>
          <w:tcPr>
            <w:tcW w:w="1180" w:type="dxa"/>
            <w:tcBorders>
              <w:top w:val="nil"/>
              <w:left w:val="nil"/>
              <w:bottom w:val="single" w:sz="4" w:space="0" w:color="ADD6EA"/>
              <w:right w:val="nil"/>
            </w:tcBorders>
            <w:shd w:val="clear" w:color="auto" w:fill="auto"/>
            <w:noWrap/>
            <w:vAlign w:val="bottom"/>
            <w:hideMark/>
          </w:tcPr>
          <w:p w14:paraId="25F216B8" w14:textId="77777777" w:rsidR="007E365E" w:rsidRPr="007652D7" w:rsidRDefault="007E365E" w:rsidP="007D1D77">
            <w:pPr>
              <w:tabs>
                <w:tab w:val="clear" w:pos="567"/>
              </w:tabs>
              <w:spacing w:before="0" w:line="240" w:lineRule="auto"/>
              <w:jc w:val="right"/>
              <w:rPr>
                <w:rFonts w:eastAsia="Times New Roman" w:cs="Open Sans Light"/>
                <w:sz w:val="16"/>
                <w:szCs w:val="16"/>
                <w:lang w:eastAsia="en-AU"/>
              </w:rPr>
            </w:pPr>
            <w:r w:rsidRPr="007652D7">
              <w:rPr>
                <w:rFonts w:eastAsia="Times New Roman" w:cs="Open Sans Light"/>
                <w:sz w:val="16"/>
                <w:szCs w:val="16"/>
                <w:lang w:eastAsia="en-AU"/>
              </w:rPr>
              <w:t>2.2</w:t>
            </w:r>
          </w:p>
        </w:tc>
        <w:tc>
          <w:tcPr>
            <w:tcW w:w="1180" w:type="dxa"/>
            <w:tcBorders>
              <w:top w:val="nil"/>
              <w:left w:val="nil"/>
              <w:bottom w:val="single" w:sz="4" w:space="0" w:color="ADD6EA"/>
              <w:right w:val="nil"/>
            </w:tcBorders>
            <w:shd w:val="clear" w:color="auto" w:fill="auto"/>
            <w:noWrap/>
            <w:vAlign w:val="bottom"/>
            <w:hideMark/>
          </w:tcPr>
          <w:p w14:paraId="535E66A3" w14:textId="77777777" w:rsidR="007E365E" w:rsidRPr="007652D7" w:rsidRDefault="007E365E" w:rsidP="007D1D77">
            <w:pPr>
              <w:tabs>
                <w:tab w:val="clear" w:pos="567"/>
              </w:tabs>
              <w:spacing w:before="0" w:line="240" w:lineRule="auto"/>
              <w:jc w:val="right"/>
              <w:rPr>
                <w:rFonts w:eastAsia="Times New Roman" w:cs="Open Sans Light"/>
                <w:sz w:val="16"/>
                <w:szCs w:val="16"/>
                <w:lang w:eastAsia="en-AU"/>
              </w:rPr>
            </w:pPr>
            <w:r w:rsidRPr="007652D7">
              <w:rPr>
                <w:rFonts w:eastAsia="Times New Roman" w:cs="Open Sans Light"/>
                <w:sz w:val="16"/>
                <w:szCs w:val="16"/>
                <w:lang w:eastAsia="en-AU"/>
              </w:rPr>
              <w:t>2.1</w:t>
            </w:r>
          </w:p>
        </w:tc>
        <w:tc>
          <w:tcPr>
            <w:tcW w:w="1180" w:type="dxa"/>
            <w:tcBorders>
              <w:top w:val="nil"/>
              <w:left w:val="nil"/>
              <w:bottom w:val="single" w:sz="4" w:space="0" w:color="ADD6EA"/>
              <w:right w:val="nil"/>
            </w:tcBorders>
            <w:shd w:val="clear" w:color="auto" w:fill="auto"/>
            <w:noWrap/>
            <w:vAlign w:val="bottom"/>
            <w:hideMark/>
          </w:tcPr>
          <w:p w14:paraId="6794543A" w14:textId="77777777" w:rsidR="007E365E" w:rsidRPr="007652D7" w:rsidRDefault="007E365E" w:rsidP="007D1D77">
            <w:pPr>
              <w:tabs>
                <w:tab w:val="clear" w:pos="567"/>
              </w:tabs>
              <w:spacing w:before="0" w:line="240" w:lineRule="auto"/>
              <w:jc w:val="right"/>
              <w:rPr>
                <w:rFonts w:eastAsia="Times New Roman" w:cs="Open Sans Light"/>
                <w:sz w:val="16"/>
                <w:szCs w:val="16"/>
                <w:lang w:eastAsia="en-AU"/>
              </w:rPr>
            </w:pPr>
            <w:r w:rsidRPr="007652D7">
              <w:rPr>
                <w:rFonts w:eastAsia="Times New Roman" w:cs="Open Sans Light"/>
                <w:sz w:val="16"/>
                <w:szCs w:val="16"/>
                <w:lang w:eastAsia="en-AU"/>
              </w:rPr>
              <w:t>2.0</w:t>
            </w:r>
          </w:p>
        </w:tc>
      </w:tr>
    </w:tbl>
    <w:p w14:paraId="2A821E12" w14:textId="77777777" w:rsidR="007E365E" w:rsidRDefault="007E365E" w:rsidP="007E365E">
      <w:pPr>
        <w:pStyle w:val="CGCTablenote"/>
      </w:pPr>
      <w:r>
        <w:t>Note:</w:t>
      </w:r>
      <w:r>
        <w:tab/>
        <w:t xml:space="preserve">Expenses shown on </w:t>
      </w:r>
      <w:r w:rsidRPr="00782EFA">
        <w:t>a net</w:t>
      </w:r>
      <w:r>
        <w:t xml:space="preserve"> basis. </w:t>
      </w:r>
    </w:p>
    <w:p w14:paraId="5CC862A4" w14:textId="77777777" w:rsidR="007E365E" w:rsidRDefault="007E365E" w:rsidP="007E365E">
      <w:pPr>
        <w:pStyle w:val="CGCTablenote"/>
      </w:pPr>
      <w:r>
        <w:t>Source:</w:t>
      </w:r>
      <w:r>
        <w:tab/>
        <w:t>Commission calculation using A</w:t>
      </w:r>
      <w:r w:rsidRPr="00302BC8">
        <w:t xml:space="preserve">ustralian </w:t>
      </w:r>
      <w:r>
        <w:t>B</w:t>
      </w:r>
      <w:r w:rsidRPr="00302BC8">
        <w:t xml:space="preserve">ureau of </w:t>
      </w:r>
      <w:r>
        <w:t>S</w:t>
      </w:r>
      <w:r w:rsidRPr="00302BC8">
        <w:t>tatistics</w:t>
      </w:r>
      <w:r>
        <w:t xml:space="preserve"> (</w:t>
      </w:r>
      <w:r w:rsidRPr="00F82513">
        <w:t>ABS</w:t>
      </w:r>
      <w:r>
        <w:t>)</w:t>
      </w:r>
      <w:r w:rsidRPr="00F82513">
        <w:t xml:space="preserve"> </w:t>
      </w:r>
      <w:r>
        <w:t>Government Finance Statistics (GFS) and State budget data.</w:t>
      </w:r>
    </w:p>
    <w:p w14:paraId="0E7D2012" w14:textId="63A36880" w:rsidR="007E365E" w:rsidRDefault="007E365E" w:rsidP="007E365E">
      <w:pPr>
        <w:pStyle w:val="CGCParaNumber"/>
      </w:pPr>
      <w:r>
        <w:t xml:space="preserve">As seen in </w:t>
      </w:r>
      <w:r>
        <w:fldChar w:fldCharType="begin"/>
      </w:r>
      <w:r>
        <w:instrText xml:space="preserve"> REF _Ref22720173 \h  \* MERGEFORMAT </w:instrText>
      </w:r>
      <w:r>
        <w:fldChar w:fldCharType="separate"/>
      </w:r>
      <w:r w:rsidR="007F721A">
        <w:t xml:space="preserve">Table </w:t>
      </w:r>
      <w:r w:rsidR="007F721A">
        <w:rPr>
          <w:noProof/>
        </w:rPr>
        <w:t>22-3</w:t>
      </w:r>
      <w:r>
        <w:fldChar w:fldCharType="end"/>
      </w:r>
      <w:r>
        <w:t xml:space="preserve">, user charges were around </w:t>
      </w:r>
      <w:r w:rsidRPr="00B115C4">
        <w:rPr>
          <w:shd w:val="clear" w:color="auto" w:fill="FFFFFF" w:themeFill="background1"/>
        </w:rPr>
        <w:t>$1.</w:t>
      </w:r>
      <w:r>
        <w:rPr>
          <w:shd w:val="clear" w:color="auto" w:fill="FFFFFF" w:themeFill="background1"/>
        </w:rPr>
        <w:t>2</w:t>
      </w:r>
      <w:r w:rsidRPr="00B115C4">
        <w:rPr>
          <w:shd w:val="clear" w:color="auto" w:fill="FFFFFF" w:themeFill="background1"/>
        </w:rPr>
        <w:t xml:space="preserve"> billion in </w:t>
      </w:r>
      <w:r>
        <w:rPr>
          <w:shd w:val="clear" w:color="auto" w:fill="FFFFFF" w:themeFill="background1"/>
        </w:rPr>
        <w:t>2018-19</w:t>
      </w:r>
      <w:r>
        <w:t xml:space="preserve">, equivalent to </w:t>
      </w:r>
      <w:r w:rsidRPr="002127A5">
        <w:t>1</w:t>
      </w:r>
      <w:r>
        <w:t>8</w:t>
      </w:r>
      <w:r w:rsidRPr="002127A5">
        <w:t>%</w:t>
      </w:r>
      <w:r>
        <w:t xml:space="preserve"> of gross services to industry expenses.</w:t>
      </w:r>
      <w:r>
        <w:rPr>
          <w:rStyle w:val="FootnoteReference"/>
        </w:rPr>
        <w:footnoteReference w:id="61"/>
      </w:r>
      <w:r>
        <w:t xml:space="preserve"> In this category, user charges </w:t>
      </w:r>
      <w:r w:rsidRPr="00D319C3">
        <w:t>are deducted from total category expenses so that the assessment only ap</w:t>
      </w:r>
      <w:r>
        <w:t>plies to net expenses. User charges are mainly fees and charges that arise from the discharge of regulatory functions, including licensing and permit fees; charges for soil, plant or animal testing; mine safety and site rehabilitation; chemical and pesticide regulation; and building regulations.</w:t>
      </w:r>
    </w:p>
    <w:p w14:paraId="71441AFE" w14:textId="0753787C" w:rsidR="007E365E" w:rsidRDefault="007E365E" w:rsidP="007E365E">
      <w:pPr>
        <w:pStyle w:val="Caption"/>
      </w:pPr>
      <w:bookmarkStart w:id="291" w:name="_Ref22720173"/>
      <w:r>
        <w:t>Table 22-</w:t>
      </w:r>
      <w:fldSimple w:instr=" SEQ Table \* ARABIC ">
        <w:r w:rsidR="007F721A">
          <w:rPr>
            <w:noProof/>
          </w:rPr>
          <w:t>3</w:t>
        </w:r>
      </w:fldSimple>
      <w:bookmarkEnd w:id="291"/>
      <w:r>
        <w:tab/>
        <w:t>Services to industry</w:t>
      </w:r>
      <w:r w:rsidR="008752D6">
        <w:t>,</w:t>
      </w:r>
      <w:r>
        <w:t xml:space="preserve"> user charges, 2018-19 </w:t>
      </w:r>
    </w:p>
    <w:tbl>
      <w:tblPr>
        <w:tblW w:w="8880" w:type="dxa"/>
        <w:tblCellMar>
          <w:left w:w="28" w:type="dxa"/>
          <w:right w:w="28" w:type="dxa"/>
        </w:tblCellMar>
        <w:tblLook w:val="04A0" w:firstRow="1" w:lastRow="0" w:firstColumn="1" w:lastColumn="0" w:noHBand="0" w:noVBand="1"/>
      </w:tblPr>
      <w:tblGrid>
        <w:gridCol w:w="3000"/>
        <w:gridCol w:w="720"/>
        <w:gridCol w:w="720"/>
        <w:gridCol w:w="600"/>
        <w:gridCol w:w="600"/>
        <w:gridCol w:w="600"/>
        <w:gridCol w:w="600"/>
        <w:gridCol w:w="600"/>
        <w:gridCol w:w="720"/>
        <w:gridCol w:w="720"/>
      </w:tblGrid>
      <w:tr w:rsidR="007E365E" w:rsidRPr="007431A7" w14:paraId="49995812" w14:textId="77777777" w:rsidTr="007D1D77">
        <w:trPr>
          <w:trHeight w:val="375"/>
        </w:trPr>
        <w:tc>
          <w:tcPr>
            <w:tcW w:w="3000" w:type="dxa"/>
            <w:tcBorders>
              <w:top w:val="single" w:sz="4" w:space="0" w:color="ADD6EA"/>
              <w:left w:val="nil"/>
              <w:bottom w:val="single" w:sz="4" w:space="0" w:color="ADD6EA"/>
              <w:right w:val="nil"/>
            </w:tcBorders>
            <w:shd w:val="clear" w:color="000000" w:fill="006991"/>
            <w:vAlign w:val="center"/>
            <w:hideMark/>
          </w:tcPr>
          <w:p w14:paraId="5CCC74EA" w14:textId="77777777" w:rsidR="007E365E" w:rsidRPr="007431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431A7">
              <w:rPr>
                <w:rFonts w:ascii="Open Sans SemiBold" w:eastAsia="Times New Roman" w:hAnsi="Open Sans SemiBold" w:cs="Open Sans SemiBold"/>
                <w:color w:val="FFFFFF"/>
                <w:sz w:val="16"/>
                <w:szCs w:val="16"/>
                <w:lang w:eastAsia="en-AU"/>
              </w:rPr>
              <w:t> </w:t>
            </w:r>
          </w:p>
        </w:tc>
        <w:tc>
          <w:tcPr>
            <w:tcW w:w="720" w:type="dxa"/>
            <w:tcBorders>
              <w:top w:val="single" w:sz="4" w:space="0" w:color="ADD6EA"/>
              <w:left w:val="nil"/>
              <w:bottom w:val="single" w:sz="4" w:space="0" w:color="ADD6EA"/>
              <w:right w:val="nil"/>
            </w:tcBorders>
            <w:shd w:val="clear" w:color="000000" w:fill="006991"/>
            <w:vAlign w:val="center"/>
            <w:hideMark/>
          </w:tcPr>
          <w:p w14:paraId="2AAE0B8D" w14:textId="77777777" w:rsidR="007E365E" w:rsidRPr="007431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431A7">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vAlign w:val="center"/>
            <w:hideMark/>
          </w:tcPr>
          <w:p w14:paraId="71FDF231" w14:textId="77777777" w:rsidR="007E365E" w:rsidRPr="007431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431A7">
              <w:rPr>
                <w:rFonts w:ascii="Open Sans SemiBold" w:eastAsia="Times New Roman" w:hAnsi="Open Sans SemiBold" w:cs="Open Sans SemiBold"/>
                <w:color w:val="FFFFFF"/>
                <w:sz w:val="16"/>
                <w:szCs w:val="16"/>
                <w:lang w:eastAsia="en-AU"/>
              </w:rPr>
              <w:t>Vic</w:t>
            </w:r>
          </w:p>
        </w:tc>
        <w:tc>
          <w:tcPr>
            <w:tcW w:w="600" w:type="dxa"/>
            <w:tcBorders>
              <w:top w:val="single" w:sz="4" w:space="0" w:color="ADD6EA"/>
              <w:left w:val="nil"/>
              <w:bottom w:val="single" w:sz="4" w:space="0" w:color="ADD6EA"/>
              <w:right w:val="nil"/>
            </w:tcBorders>
            <w:shd w:val="clear" w:color="000000" w:fill="006991"/>
            <w:vAlign w:val="center"/>
            <w:hideMark/>
          </w:tcPr>
          <w:p w14:paraId="36413711" w14:textId="77777777" w:rsidR="007E365E" w:rsidRPr="007431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431A7">
              <w:rPr>
                <w:rFonts w:ascii="Open Sans SemiBold" w:eastAsia="Times New Roman" w:hAnsi="Open Sans SemiBold" w:cs="Open Sans SemiBold"/>
                <w:color w:val="FFFFFF"/>
                <w:sz w:val="16"/>
                <w:szCs w:val="16"/>
                <w:lang w:eastAsia="en-AU"/>
              </w:rPr>
              <w:t>Qld</w:t>
            </w:r>
          </w:p>
        </w:tc>
        <w:tc>
          <w:tcPr>
            <w:tcW w:w="600" w:type="dxa"/>
            <w:tcBorders>
              <w:top w:val="single" w:sz="4" w:space="0" w:color="ADD6EA"/>
              <w:left w:val="nil"/>
              <w:bottom w:val="single" w:sz="4" w:space="0" w:color="ADD6EA"/>
              <w:right w:val="nil"/>
            </w:tcBorders>
            <w:shd w:val="clear" w:color="000000" w:fill="006991"/>
            <w:vAlign w:val="center"/>
            <w:hideMark/>
          </w:tcPr>
          <w:p w14:paraId="7EEA44FD" w14:textId="77777777" w:rsidR="007E365E" w:rsidRPr="007431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431A7">
              <w:rPr>
                <w:rFonts w:ascii="Open Sans SemiBold" w:eastAsia="Times New Roman" w:hAnsi="Open Sans SemiBold" w:cs="Open Sans SemiBold"/>
                <w:color w:val="FFFFFF"/>
                <w:sz w:val="16"/>
                <w:szCs w:val="16"/>
                <w:lang w:eastAsia="en-AU"/>
              </w:rPr>
              <w:t>WA</w:t>
            </w:r>
          </w:p>
        </w:tc>
        <w:tc>
          <w:tcPr>
            <w:tcW w:w="600" w:type="dxa"/>
            <w:tcBorders>
              <w:top w:val="single" w:sz="4" w:space="0" w:color="ADD6EA"/>
              <w:left w:val="nil"/>
              <w:bottom w:val="single" w:sz="4" w:space="0" w:color="ADD6EA"/>
              <w:right w:val="nil"/>
            </w:tcBorders>
            <w:shd w:val="clear" w:color="000000" w:fill="006991"/>
            <w:vAlign w:val="center"/>
            <w:hideMark/>
          </w:tcPr>
          <w:p w14:paraId="7C65987D" w14:textId="77777777" w:rsidR="007E365E" w:rsidRPr="007431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431A7">
              <w:rPr>
                <w:rFonts w:ascii="Open Sans SemiBold" w:eastAsia="Times New Roman" w:hAnsi="Open Sans SemiBold" w:cs="Open Sans SemiBold"/>
                <w:color w:val="FFFFFF"/>
                <w:sz w:val="16"/>
                <w:szCs w:val="16"/>
                <w:lang w:eastAsia="en-AU"/>
              </w:rPr>
              <w:t>SA</w:t>
            </w:r>
          </w:p>
        </w:tc>
        <w:tc>
          <w:tcPr>
            <w:tcW w:w="600" w:type="dxa"/>
            <w:tcBorders>
              <w:top w:val="single" w:sz="4" w:space="0" w:color="ADD6EA"/>
              <w:left w:val="nil"/>
              <w:bottom w:val="single" w:sz="4" w:space="0" w:color="ADD6EA"/>
              <w:right w:val="nil"/>
            </w:tcBorders>
            <w:shd w:val="clear" w:color="000000" w:fill="006991"/>
            <w:vAlign w:val="center"/>
            <w:hideMark/>
          </w:tcPr>
          <w:p w14:paraId="6097F9E8" w14:textId="77777777" w:rsidR="007E365E" w:rsidRPr="007431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431A7">
              <w:rPr>
                <w:rFonts w:ascii="Open Sans SemiBold" w:eastAsia="Times New Roman" w:hAnsi="Open Sans SemiBold" w:cs="Open Sans SemiBold"/>
                <w:color w:val="FFFFFF"/>
                <w:sz w:val="16"/>
                <w:szCs w:val="16"/>
                <w:lang w:eastAsia="en-AU"/>
              </w:rPr>
              <w:t>Tas</w:t>
            </w:r>
          </w:p>
        </w:tc>
        <w:tc>
          <w:tcPr>
            <w:tcW w:w="600" w:type="dxa"/>
            <w:tcBorders>
              <w:top w:val="single" w:sz="4" w:space="0" w:color="ADD6EA"/>
              <w:left w:val="nil"/>
              <w:bottom w:val="single" w:sz="4" w:space="0" w:color="ADD6EA"/>
              <w:right w:val="nil"/>
            </w:tcBorders>
            <w:shd w:val="clear" w:color="000000" w:fill="006991"/>
            <w:vAlign w:val="center"/>
            <w:hideMark/>
          </w:tcPr>
          <w:p w14:paraId="415B14EB" w14:textId="77777777" w:rsidR="007E365E" w:rsidRPr="007431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431A7">
              <w:rPr>
                <w:rFonts w:ascii="Open Sans SemiBold" w:eastAsia="Times New Roman" w:hAnsi="Open Sans SemiBold" w:cs="Open Sans SemiBold"/>
                <w:color w:val="FFFFFF"/>
                <w:sz w:val="16"/>
                <w:szCs w:val="16"/>
                <w:lang w:eastAsia="en-AU"/>
              </w:rPr>
              <w:t>ACT</w:t>
            </w:r>
          </w:p>
        </w:tc>
        <w:tc>
          <w:tcPr>
            <w:tcW w:w="720" w:type="dxa"/>
            <w:tcBorders>
              <w:top w:val="single" w:sz="4" w:space="0" w:color="ADD6EA"/>
              <w:left w:val="nil"/>
              <w:bottom w:val="single" w:sz="4" w:space="0" w:color="ADD6EA"/>
              <w:right w:val="nil"/>
            </w:tcBorders>
            <w:shd w:val="clear" w:color="000000" w:fill="006991"/>
            <w:vAlign w:val="center"/>
            <w:hideMark/>
          </w:tcPr>
          <w:p w14:paraId="5E3E5AD4" w14:textId="77777777" w:rsidR="007E365E" w:rsidRPr="007431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431A7">
              <w:rPr>
                <w:rFonts w:ascii="Open Sans SemiBold" w:eastAsia="Times New Roman" w:hAnsi="Open Sans SemiBold" w:cs="Open Sans SemiBold"/>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vAlign w:val="center"/>
            <w:hideMark/>
          </w:tcPr>
          <w:p w14:paraId="192F6098" w14:textId="77777777" w:rsidR="007E365E" w:rsidRPr="007431A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431A7">
              <w:rPr>
                <w:rFonts w:ascii="Open Sans SemiBold" w:eastAsia="Times New Roman" w:hAnsi="Open Sans SemiBold" w:cs="Open Sans SemiBold"/>
                <w:color w:val="FFFFFF"/>
                <w:sz w:val="16"/>
                <w:szCs w:val="16"/>
                <w:lang w:eastAsia="en-AU"/>
              </w:rPr>
              <w:t>Total</w:t>
            </w:r>
          </w:p>
        </w:tc>
      </w:tr>
      <w:tr w:rsidR="007E365E" w:rsidRPr="007431A7" w14:paraId="382E26F9" w14:textId="77777777" w:rsidTr="007D1D77">
        <w:trPr>
          <w:trHeight w:val="315"/>
        </w:trPr>
        <w:tc>
          <w:tcPr>
            <w:tcW w:w="3000" w:type="dxa"/>
            <w:tcBorders>
              <w:top w:val="nil"/>
              <w:left w:val="nil"/>
              <w:bottom w:val="single" w:sz="4" w:space="0" w:color="ADD6EA"/>
              <w:right w:val="nil"/>
            </w:tcBorders>
            <w:shd w:val="clear" w:color="auto" w:fill="auto"/>
            <w:noWrap/>
            <w:vAlign w:val="bottom"/>
            <w:hideMark/>
          </w:tcPr>
          <w:p w14:paraId="1AD494DD" w14:textId="77777777" w:rsidR="007E365E" w:rsidRPr="007431A7" w:rsidRDefault="007E365E" w:rsidP="007D1D77">
            <w:pPr>
              <w:tabs>
                <w:tab w:val="clear" w:pos="567"/>
              </w:tabs>
              <w:spacing w:before="0" w:line="240" w:lineRule="auto"/>
              <w:rPr>
                <w:rFonts w:eastAsia="Times New Roman" w:cs="Open Sans Light"/>
                <w:sz w:val="16"/>
                <w:szCs w:val="16"/>
                <w:lang w:eastAsia="en-AU"/>
              </w:rPr>
            </w:pPr>
            <w:r w:rsidRPr="007431A7">
              <w:rPr>
                <w:rFonts w:eastAsia="Times New Roman" w:cs="Open Sans Light"/>
                <w:sz w:val="16"/>
                <w:szCs w:val="16"/>
                <w:lang w:eastAsia="en-AU"/>
              </w:rPr>
              <w:t>Revenue ($m)</w:t>
            </w:r>
          </w:p>
        </w:tc>
        <w:tc>
          <w:tcPr>
            <w:tcW w:w="720" w:type="dxa"/>
            <w:tcBorders>
              <w:top w:val="nil"/>
              <w:left w:val="nil"/>
              <w:bottom w:val="single" w:sz="4" w:space="0" w:color="ADD6EA"/>
              <w:right w:val="nil"/>
            </w:tcBorders>
            <w:shd w:val="clear" w:color="auto" w:fill="auto"/>
            <w:noWrap/>
            <w:vAlign w:val="bottom"/>
            <w:hideMark/>
          </w:tcPr>
          <w:p w14:paraId="685FB275"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191</w:t>
            </w:r>
          </w:p>
        </w:tc>
        <w:tc>
          <w:tcPr>
            <w:tcW w:w="720" w:type="dxa"/>
            <w:tcBorders>
              <w:top w:val="nil"/>
              <w:left w:val="nil"/>
              <w:bottom w:val="single" w:sz="4" w:space="0" w:color="ADD6EA"/>
              <w:right w:val="nil"/>
            </w:tcBorders>
            <w:shd w:val="clear" w:color="auto" w:fill="auto"/>
            <w:noWrap/>
            <w:vAlign w:val="bottom"/>
            <w:hideMark/>
          </w:tcPr>
          <w:p w14:paraId="3A4E19FB"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192</w:t>
            </w:r>
          </w:p>
        </w:tc>
        <w:tc>
          <w:tcPr>
            <w:tcW w:w="600" w:type="dxa"/>
            <w:tcBorders>
              <w:top w:val="nil"/>
              <w:left w:val="nil"/>
              <w:bottom w:val="single" w:sz="4" w:space="0" w:color="ADD6EA"/>
              <w:right w:val="nil"/>
            </w:tcBorders>
            <w:shd w:val="clear" w:color="auto" w:fill="auto"/>
            <w:noWrap/>
            <w:vAlign w:val="bottom"/>
            <w:hideMark/>
          </w:tcPr>
          <w:p w14:paraId="6147861A"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440</w:t>
            </w:r>
          </w:p>
        </w:tc>
        <w:tc>
          <w:tcPr>
            <w:tcW w:w="600" w:type="dxa"/>
            <w:tcBorders>
              <w:top w:val="nil"/>
              <w:left w:val="nil"/>
              <w:bottom w:val="single" w:sz="4" w:space="0" w:color="ADD6EA"/>
              <w:right w:val="nil"/>
            </w:tcBorders>
            <w:shd w:val="clear" w:color="auto" w:fill="auto"/>
            <w:noWrap/>
            <w:vAlign w:val="bottom"/>
            <w:hideMark/>
          </w:tcPr>
          <w:p w14:paraId="0FF07E12"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240</w:t>
            </w:r>
          </w:p>
        </w:tc>
        <w:tc>
          <w:tcPr>
            <w:tcW w:w="600" w:type="dxa"/>
            <w:tcBorders>
              <w:top w:val="nil"/>
              <w:left w:val="nil"/>
              <w:bottom w:val="single" w:sz="4" w:space="0" w:color="ADD6EA"/>
              <w:right w:val="nil"/>
            </w:tcBorders>
            <w:shd w:val="clear" w:color="auto" w:fill="auto"/>
            <w:noWrap/>
            <w:vAlign w:val="bottom"/>
            <w:hideMark/>
          </w:tcPr>
          <w:p w14:paraId="18213E3A"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107</w:t>
            </w:r>
          </w:p>
        </w:tc>
        <w:tc>
          <w:tcPr>
            <w:tcW w:w="600" w:type="dxa"/>
            <w:tcBorders>
              <w:top w:val="nil"/>
              <w:left w:val="nil"/>
              <w:bottom w:val="single" w:sz="4" w:space="0" w:color="ADD6EA"/>
              <w:right w:val="nil"/>
            </w:tcBorders>
            <w:shd w:val="clear" w:color="auto" w:fill="auto"/>
            <w:noWrap/>
            <w:vAlign w:val="bottom"/>
            <w:hideMark/>
          </w:tcPr>
          <w:p w14:paraId="4E5CE7B3"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32</w:t>
            </w:r>
          </w:p>
        </w:tc>
        <w:tc>
          <w:tcPr>
            <w:tcW w:w="600" w:type="dxa"/>
            <w:tcBorders>
              <w:top w:val="nil"/>
              <w:left w:val="nil"/>
              <w:bottom w:val="single" w:sz="4" w:space="0" w:color="ADD6EA"/>
              <w:right w:val="nil"/>
            </w:tcBorders>
            <w:shd w:val="clear" w:color="auto" w:fill="auto"/>
            <w:noWrap/>
            <w:vAlign w:val="bottom"/>
            <w:hideMark/>
          </w:tcPr>
          <w:p w14:paraId="5D319372"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14</w:t>
            </w:r>
          </w:p>
        </w:tc>
        <w:tc>
          <w:tcPr>
            <w:tcW w:w="720" w:type="dxa"/>
            <w:tcBorders>
              <w:top w:val="nil"/>
              <w:left w:val="nil"/>
              <w:bottom w:val="single" w:sz="4" w:space="0" w:color="ADD6EA"/>
              <w:right w:val="nil"/>
            </w:tcBorders>
            <w:shd w:val="clear" w:color="auto" w:fill="auto"/>
            <w:noWrap/>
            <w:vAlign w:val="bottom"/>
            <w:hideMark/>
          </w:tcPr>
          <w:p w14:paraId="51F258F3"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32</w:t>
            </w:r>
          </w:p>
        </w:tc>
        <w:tc>
          <w:tcPr>
            <w:tcW w:w="720" w:type="dxa"/>
            <w:tcBorders>
              <w:top w:val="nil"/>
              <w:left w:val="nil"/>
              <w:bottom w:val="single" w:sz="4" w:space="0" w:color="ADD6EA"/>
              <w:right w:val="nil"/>
            </w:tcBorders>
            <w:shd w:val="clear" w:color="auto" w:fill="auto"/>
            <w:noWrap/>
            <w:vAlign w:val="bottom"/>
            <w:hideMark/>
          </w:tcPr>
          <w:p w14:paraId="594B48A1"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1,249</w:t>
            </w:r>
          </w:p>
        </w:tc>
      </w:tr>
      <w:tr w:rsidR="007E365E" w:rsidRPr="007431A7" w14:paraId="26E267F9" w14:textId="77777777" w:rsidTr="007D1D77">
        <w:trPr>
          <w:trHeight w:val="315"/>
        </w:trPr>
        <w:tc>
          <w:tcPr>
            <w:tcW w:w="3000" w:type="dxa"/>
            <w:tcBorders>
              <w:top w:val="nil"/>
              <w:left w:val="nil"/>
              <w:bottom w:val="single" w:sz="4" w:space="0" w:color="ADD6EA"/>
              <w:right w:val="nil"/>
            </w:tcBorders>
            <w:shd w:val="clear" w:color="auto" w:fill="auto"/>
            <w:noWrap/>
            <w:vAlign w:val="bottom"/>
            <w:hideMark/>
          </w:tcPr>
          <w:p w14:paraId="5D99FA2B" w14:textId="77777777" w:rsidR="007E365E" w:rsidRPr="007431A7" w:rsidRDefault="007E365E" w:rsidP="007D1D77">
            <w:pPr>
              <w:tabs>
                <w:tab w:val="clear" w:pos="567"/>
              </w:tabs>
              <w:spacing w:before="0" w:line="240" w:lineRule="auto"/>
              <w:rPr>
                <w:rFonts w:eastAsia="Times New Roman" w:cs="Open Sans Light"/>
                <w:sz w:val="16"/>
                <w:szCs w:val="16"/>
                <w:lang w:eastAsia="en-AU"/>
              </w:rPr>
            </w:pPr>
            <w:r w:rsidRPr="007431A7">
              <w:rPr>
                <w:rFonts w:eastAsia="Times New Roman" w:cs="Open Sans Light"/>
                <w:sz w:val="16"/>
                <w:szCs w:val="16"/>
                <w:lang w:eastAsia="en-AU"/>
              </w:rPr>
              <w:t>Revenue ($pc)</w:t>
            </w:r>
          </w:p>
        </w:tc>
        <w:tc>
          <w:tcPr>
            <w:tcW w:w="720" w:type="dxa"/>
            <w:tcBorders>
              <w:top w:val="nil"/>
              <w:left w:val="nil"/>
              <w:bottom w:val="single" w:sz="4" w:space="0" w:color="ADD6EA"/>
              <w:right w:val="nil"/>
            </w:tcBorders>
            <w:shd w:val="clear" w:color="auto" w:fill="auto"/>
            <w:noWrap/>
            <w:vAlign w:val="bottom"/>
            <w:hideMark/>
          </w:tcPr>
          <w:p w14:paraId="771F2A0C"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24</w:t>
            </w:r>
          </w:p>
        </w:tc>
        <w:tc>
          <w:tcPr>
            <w:tcW w:w="720" w:type="dxa"/>
            <w:tcBorders>
              <w:top w:val="nil"/>
              <w:left w:val="nil"/>
              <w:bottom w:val="single" w:sz="4" w:space="0" w:color="ADD6EA"/>
              <w:right w:val="nil"/>
            </w:tcBorders>
            <w:shd w:val="clear" w:color="auto" w:fill="auto"/>
            <w:noWrap/>
            <w:vAlign w:val="bottom"/>
            <w:hideMark/>
          </w:tcPr>
          <w:p w14:paraId="019CF3D1"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29</w:t>
            </w:r>
          </w:p>
        </w:tc>
        <w:tc>
          <w:tcPr>
            <w:tcW w:w="600" w:type="dxa"/>
            <w:tcBorders>
              <w:top w:val="nil"/>
              <w:left w:val="nil"/>
              <w:bottom w:val="single" w:sz="4" w:space="0" w:color="ADD6EA"/>
              <w:right w:val="nil"/>
            </w:tcBorders>
            <w:shd w:val="clear" w:color="auto" w:fill="auto"/>
            <w:noWrap/>
            <w:vAlign w:val="bottom"/>
            <w:hideMark/>
          </w:tcPr>
          <w:p w14:paraId="7D424A4D"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87</w:t>
            </w:r>
          </w:p>
        </w:tc>
        <w:tc>
          <w:tcPr>
            <w:tcW w:w="600" w:type="dxa"/>
            <w:tcBorders>
              <w:top w:val="nil"/>
              <w:left w:val="nil"/>
              <w:bottom w:val="single" w:sz="4" w:space="0" w:color="ADD6EA"/>
              <w:right w:val="nil"/>
            </w:tcBorders>
            <w:shd w:val="clear" w:color="auto" w:fill="auto"/>
            <w:noWrap/>
            <w:vAlign w:val="bottom"/>
            <w:hideMark/>
          </w:tcPr>
          <w:p w14:paraId="732960B6"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92</w:t>
            </w:r>
          </w:p>
        </w:tc>
        <w:tc>
          <w:tcPr>
            <w:tcW w:w="600" w:type="dxa"/>
            <w:tcBorders>
              <w:top w:val="nil"/>
              <w:left w:val="nil"/>
              <w:bottom w:val="single" w:sz="4" w:space="0" w:color="ADD6EA"/>
              <w:right w:val="nil"/>
            </w:tcBorders>
            <w:shd w:val="clear" w:color="auto" w:fill="auto"/>
            <w:noWrap/>
            <w:vAlign w:val="bottom"/>
            <w:hideMark/>
          </w:tcPr>
          <w:p w14:paraId="15700B59"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62</w:t>
            </w:r>
          </w:p>
        </w:tc>
        <w:tc>
          <w:tcPr>
            <w:tcW w:w="600" w:type="dxa"/>
            <w:tcBorders>
              <w:top w:val="nil"/>
              <w:left w:val="nil"/>
              <w:bottom w:val="single" w:sz="4" w:space="0" w:color="ADD6EA"/>
              <w:right w:val="nil"/>
            </w:tcBorders>
            <w:shd w:val="clear" w:color="auto" w:fill="auto"/>
            <w:noWrap/>
            <w:vAlign w:val="bottom"/>
            <w:hideMark/>
          </w:tcPr>
          <w:p w14:paraId="06701819"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60</w:t>
            </w:r>
          </w:p>
        </w:tc>
        <w:tc>
          <w:tcPr>
            <w:tcW w:w="600" w:type="dxa"/>
            <w:tcBorders>
              <w:top w:val="nil"/>
              <w:left w:val="nil"/>
              <w:bottom w:val="single" w:sz="4" w:space="0" w:color="ADD6EA"/>
              <w:right w:val="nil"/>
            </w:tcBorders>
            <w:shd w:val="clear" w:color="auto" w:fill="auto"/>
            <w:noWrap/>
            <w:vAlign w:val="bottom"/>
            <w:hideMark/>
          </w:tcPr>
          <w:p w14:paraId="1559247E"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33</w:t>
            </w:r>
          </w:p>
        </w:tc>
        <w:tc>
          <w:tcPr>
            <w:tcW w:w="720" w:type="dxa"/>
            <w:tcBorders>
              <w:top w:val="nil"/>
              <w:left w:val="nil"/>
              <w:bottom w:val="single" w:sz="4" w:space="0" w:color="ADD6EA"/>
              <w:right w:val="nil"/>
            </w:tcBorders>
            <w:shd w:val="clear" w:color="auto" w:fill="auto"/>
            <w:noWrap/>
            <w:vAlign w:val="bottom"/>
            <w:hideMark/>
          </w:tcPr>
          <w:p w14:paraId="17D9AC19"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129</w:t>
            </w:r>
          </w:p>
        </w:tc>
        <w:tc>
          <w:tcPr>
            <w:tcW w:w="720" w:type="dxa"/>
            <w:tcBorders>
              <w:top w:val="nil"/>
              <w:left w:val="nil"/>
              <w:bottom w:val="single" w:sz="4" w:space="0" w:color="ADD6EA"/>
              <w:right w:val="nil"/>
            </w:tcBorders>
            <w:shd w:val="clear" w:color="auto" w:fill="auto"/>
            <w:noWrap/>
            <w:vAlign w:val="bottom"/>
            <w:hideMark/>
          </w:tcPr>
          <w:p w14:paraId="14AC0903" w14:textId="77777777" w:rsidR="007E365E" w:rsidRPr="007431A7" w:rsidRDefault="007E365E" w:rsidP="007D1D77">
            <w:pPr>
              <w:tabs>
                <w:tab w:val="clear" w:pos="567"/>
              </w:tabs>
              <w:spacing w:before="0" w:line="240" w:lineRule="auto"/>
              <w:jc w:val="right"/>
              <w:rPr>
                <w:rFonts w:eastAsia="Times New Roman" w:cs="Open Sans Light"/>
                <w:sz w:val="16"/>
                <w:szCs w:val="16"/>
                <w:lang w:eastAsia="en-AU"/>
              </w:rPr>
            </w:pPr>
            <w:r w:rsidRPr="007431A7">
              <w:rPr>
                <w:rFonts w:eastAsia="Times New Roman" w:cs="Open Sans Light"/>
                <w:sz w:val="16"/>
                <w:szCs w:val="16"/>
                <w:lang w:eastAsia="en-AU"/>
              </w:rPr>
              <w:t>50</w:t>
            </w:r>
          </w:p>
        </w:tc>
      </w:tr>
    </w:tbl>
    <w:p w14:paraId="56BB718E" w14:textId="77777777" w:rsidR="007E365E" w:rsidRDefault="007E365E" w:rsidP="007E365E">
      <w:pPr>
        <w:pStyle w:val="CGCTablenote"/>
      </w:pPr>
      <w:r>
        <w:t>Note:</w:t>
      </w:r>
      <w:r>
        <w:tab/>
        <w:t>User charges refer to revenue from the sale of goods and services classified in GFS to ETF 112.</w:t>
      </w:r>
    </w:p>
    <w:p w14:paraId="700033F8" w14:textId="77777777" w:rsidR="007E365E" w:rsidRPr="00BE617B" w:rsidRDefault="007E365E" w:rsidP="007E365E">
      <w:pPr>
        <w:pStyle w:val="CGCTablenote"/>
      </w:pPr>
      <w:r w:rsidRPr="00C36767">
        <w:t>Source</w:t>
      </w:r>
      <w:r>
        <w:t>:</w:t>
      </w:r>
      <w:r>
        <w:tab/>
        <w:t xml:space="preserve">Commission calculation using ABS GFS and State budget data. </w:t>
      </w:r>
    </w:p>
    <w:p w14:paraId="52D693B3" w14:textId="77777777" w:rsidR="007E365E" w:rsidRDefault="007E365E" w:rsidP="007E365E">
      <w:pPr>
        <w:pStyle w:val="Heading4"/>
      </w:pPr>
      <w:bookmarkStart w:id="292" w:name="_Toc22807479"/>
      <w:r w:rsidRPr="000C4987">
        <w:t>State roles and responsibilities</w:t>
      </w:r>
      <w:bookmarkEnd w:id="292"/>
    </w:p>
    <w:p w14:paraId="0CED155E" w14:textId="77777777" w:rsidR="007E365E" w:rsidRPr="00F25EB3" w:rsidRDefault="007E365E" w:rsidP="007E365E">
      <w:pPr>
        <w:pStyle w:val="Heading5"/>
      </w:pPr>
      <w:r>
        <w:t>Regulation</w:t>
      </w:r>
    </w:p>
    <w:p w14:paraId="7E597ABB" w14:textId="77777777" w:rsidR="007E365E" w:rsidRDefault="007E365E" w:rsidP="007E365E">
      <w:pPr>
        <w:pStyle w:val="CGCParaNumber"/>
      </w:pPr>
      <w:r>
        <w:t>All States provide a similar range of services for their agriculture, forestry and fishing industries (collectively referred to as agriculture). The main agriculture regulation activities relate to:</w:t>
      </w:r>
    </w:p>
    <w:p w14:paraId="49C651FE" w14:textId="77777777" w:rsidR="007E365E" w:rsidRDefault="007E365E" w:rsidP="007E365E">
      <w:pPr>
        <w:pStyle w:val="CGCBullet1"/>
      </w:pPr>
      <w:r>
        <w:t>biosecurity</w:t>
      </w:r>
    </w:p>
    <w:p w14:paraId="58445311" w14:textId="77777777" w:rsidR="007E365E" w:rsidRDefault="007E365E" w:rsidP="007E365E">
      <w:pPr>
        <w:pStyle w:val="CGCBullet1"/>
      </w:pPr>
      <w:r>
        <w:t>animal welfare</w:t>
      </w:r>
    </w:p>
    <w:p w14:paraId="50338C31" w14:textId="77777777" w:rsidR="007E365E" w:rsidRDefault="007E365E" w:rsidP="007E365E">
      <w:pPr>
        <w:pStyle w:val="CGCBullet1"/>
      </w:pPr>
      <w:r>
        <w:t>agriculture and veterinary chemicals</w:t>
      </w:r>
    </w:p>
    <w:p w14:paraId="6496058C" w14:textId="77777777" w:rsidR="007E365E" w:rsidRDefault="007E365E" w:rsidP="007E365E">
      <w:pPr>
        <w:pStyle w:val="CGCBullet1"/>
      </w:pPr>
      <w:r>
        <w:t>water resource management.</w:t>
      </w:r>
    </w:p>
    <w:p w14:paraId="6A5FAC37" w14:textId="77777777" w:rsidR="007E365E" w:rsidRDefault="007E365E" w:rsidP="007E365E">
      <w:pPr>
        <w:pStyle w:val="CGCParaNumber"/>
      </w:pPr>
      <w:r>
        <w:t xml:space="preserve">Mining industry regulation is a State function and all States have arrangements in place to regulate mining exploration, production and rehabilitation. </w:t>
      </w:r>
    </w:p>
    <w:p w14:paraId="735EAA72" w14:textId="77777777" w:rsidR="007E365E" w:rsidRDefault="007E365E" w:rsidP="007E365E">
      <w:pPr>
        <w:pStyle w:val="CGCParaNumber"/>
      </w:pPr>
      <w:r w:rsidRPr="00CA504A">
        <w:t>Other State regulatory responsibilities included in the Services to industry category are listed below</w:t>
      </w:r>
      <w:r>
        <w:t>:</w:t>
      </w:r>
      <w:r w:rsidRPr="00CA504A">
        <w:t xml:space="preserve"> </w:t>
      </w:r>
    </w:p>
    <w:p w14:paraId="11BDC9E8" w14:textId="77777777" w:rsidR="007E365E" w:rsidRPr="002F5E74" w:rsidRDefault="007E365E" w:rsidP="007E365E">
      <w:pPr>
        <w:pStyle w:val="CGCBullet1"/>
      </w:pPr>
      <w:r w:rsidRPr="002F5E74">
        <w:t>business registration</w:t>
      </w:r>
    </w:p>
    <w:p w14:paraId="38F791BD" w14:textId="77777777" w:rsidR="007E365E" w:rsidRPr="002F5E74" w:rsidRDefault="007E365E" w:rsidP="007E365E">
      <w:pPr>
        <w:pStyle w:val="CGCBullet1"/>
      </w:pPr>
      <w:r w:rsidRPr="002F5E74">
        <w:lastRenderedPageBreak/>
        <w:t>construction industry regulation</w:t>
      </w:r>
    </w:p>
    <w:p w14:paraId="0C9ECBF1" w14:textId="77777777" w:rsidR="007E365E" w:rsidRPr="002F5E74" w:rsidRDefault="007E365E" w:rsidP="007E365E">
      <w:pPr>
        <w:pStyle w:val="CGCBullet1"/>
      </w:pPr>
      <w:r w:rsidRPr="002F5E74">
        <w:t>workplace health and safety regulation</w:t>
      </w:r>
    </w:p>
    <w:p w14:paraId="43028C94" w14:textId="77777777" w:rsidR="007E365E" w:rsidRDefault="007E365E" w:rsidP="007E365E">
      <w:pPr>
        <w:pStyle w:val="CGCBullet1"/>
      </w:pPr>
      <w:r w:rsidRPr="002F5E74">
        <w:t>industrial relations</w:t>
      </w:r>
      <w:r>
        <w:t xml:space="preserve"> regulation</w:t>
      </w:r>
      <w:r w:rsidRPr="002F5E74">
        <w:t>.</w:t>
      </w:r>
    </w:p>
    <w:p w14:paraId="53D7F42A" w14:textId="77777777" w:rsidR="007E365E" w:rsidRPr="00407E98" w:rsidRDefault="007E365E" w:rsidP="007E365E">
      <w:pPr>
        <w:pStyle w:val="CGCParaNumber"/>
      </w:pPr>
      <w:r w:rsidRPr="00407E98">
        <w:t>There are fees and charges associated with many State regulatory functions.</w:t>
      </w:r>
    </w:p>
    <w:p w14:paraId="1EBEC667" w14:textId="77777777" w:rsidR="007E365E" w:rsidRDefault="007E365E" w:rsidP="007E365E">
      <w:pPr>
        <w:pStyle w:val="Heading5"/>
      </w:pPr>
      <w:r>
        <w:t>Business and industry development</w:t>
      </w:r>
    </w:p>
    <w:p w14:paraId="17CE1A6A" w14:textId="77777777" w:rsidR="007E365E" w:rsidRDefault="007E365E" w:rsidP="007E365E">
      <w:pPr>
        <w:pStyle w:val="CGCParaNumber"/>
      </w:pPr>
      <w:r>
        <w:t xml:space="preserve">All States engage in activities to promote employment and economic growth. Some programs target businesses, while others support some industries or regions. Activities include investment and trade promotion, regional development programs, major project facilitation, skills development, job creation projects, funding for research and development and support for small businesses. </w:t>
      </w:r>
    </w:p>
    <w:p w14:paraId="58D80270" w14:textId="77777777" w:rsidR="007E365E" w:rsidRPr="00BD1439" w:rsidRDefault="007E365E" w:rsidP="007E365E">
      <w:pPr>
        <w:pStyle w:val="CGCParaNumber"/>
      </w:pPr>
      <w:r>
        <w:t>All States have a geological survey office, or agency with similar functions, whose role is to support and promote exploration and land use planning. Most States offer mineral exploration grants to support the discovery of new resources and development of their mining industries.</w:t>
      </w:r>
    </w:p>
    <w:p w14:paraId="71E269C9" w14:textId="7C0A9B10" w:rsidR="007E365E" w:rsidRDefault="007E365E" w:rsidP="007E365E">
      <w:pPr>
        <w:pStyle w:val="Heading4"/>
      </w:pPr>
      <w:bookmarkStart w:id="293" w:name="_Toc22807480"/>
      <w:r w:rsidRPr="000C4987">
        <w:t>Commonwealth roles and responsibilities</w:t>
      </w:r>
      <w:bookmarkEnd w:id="293"/>
      <w:r w:rsidRPr="000C4987">
        <w:t xml:space="preserve"> </w:t>
      </w:r>
    </w:p>
    <w:p w14:paraId="160141D4" w14:textId="18A8DDD9" w:rsidR="007E365E" w:rsidRDefault="007E365E" w:rsidP="007E365E">
      <w:pPr>
        <w:pStyle w:val="CGCParaNumber"/>
      </w:pPr>
      <w:r w:rsidRPr="00C7077A">
        <w:t xml:space="preserve">The Commonwealth provides funding to States for </w:t>
      </w:r>
      <w:r>
        <w:t>s</w:t>
      </w:r>
      <w:r w:rsidRPr="00C7077A">
        <w:t>ervices to industry</w:t>
      </w:r>
      <w:r>
        <w:t xml:space="preserve"> programs through National P</w:t>
      </w:r>
      <w:r w:rsidRPr="00C7077A">
        <w:t xml:space="preserve">artnership </w:t>
      </w:r>
      <w:r>
        <w:t>P</w:t>
      </w:r>
      <w:r w:rsidRPr="00C7077A">
        <w:t>ayments (NPP</w:t>
      </w:r>
      <w:r>
        <w:t>s</w:t>
      </w:r>
      <w:r w:rsidRPr="00C7077A">
        <w:t xml:space="preserve">). </w:t>
      </w:r>
      <w:r>
        <w:fldChar w:fldCharType="begin"/>
      </w:r>
      <w:r>
        <w:instrText xml:space="preserve"> REF _Ref22720300 \h </w:instrText>
      </w:r>
      <w:r>
        <w:fldChar w:fldCharType="separate"/>
      </w:r>
      <w:r w:rsidR="007F721A">
        <w:t>Table 22-</w:t>
      </w:r>
      <w:r w:rsidR="007F721A">
        <w:rPr>
          <w:noProof/>
        </w:rPr>
        <w:t>4</w:t>
      </w:r>
      <w:r>
        <w:fldChar w:fldCharType="end"/>
      </w:r>
      <w:r>
        <w:t xml:space="preserve"> shows the main Commonwealth payments to the States for</w:t>
      </w:r>
      <w:r w:rsidRPr="00B45F6D">
        <w:t xml:space="preserve"> </w:t>
      </w:r>
      <w:r>
        <w:t xml:space="preserve">services to industry in </w:t>
      </w:r>
      <w:r>
        <w:rPr>
          <w:shd w:val="clear" w:color="auto" w:fill="FFFFFF" w:themeFill="background1"/>
        </w:rPr>
        <w:t>2018-19</w:t>
      </w:r>
      <w:r w:rsidRPr="00B115C4">
        <w:rPr>
          <w:shd w:val="clear" w:color="auto" w:fill="FFFFFF" w:themeFill="background1"/>
        </w:rPr>
        <w:t>.</w:t>
      </w:r>
      <w:r>
        <w:t xml:space="preserve"> </w:t>
      </w:r>
    </w:p>
    <w:p w14:paraId="49471498" w14:textId="4CA82841" w:rsidR="007E365E" w:rsidRDefault="007E365E" w:rsidP="007E365E">
      <w:pPr>
        <w:pStyle w:val="Caption"/>
      </w:pPr>
      <w:bookmarkStart w:id="294" w:name="_Ref22720300"/>
      <w:r>
        <w:t>Table 22-</w:t>
      </w:r>
      <w:fldSimple w:instr=" SEQ Table \* ARABIC ">
        <w:r w:rsidR="007F721A">
          <w:rPr>
            <w:noProof/>
          </w:rPr>
          <w:t>4</w:t>
        </w:r>
      </w:fldSimple>
      <w:bookmarkEnd w:id="294"/>
      <w:r>
        <w:tab/>
        <w:t>Commonwealth payments to the States for Services to industry, 2018-19</w:t>
      </w:r>
    </w:p>
    <w:tbl>
      <w:tblPr>
        <w:tblW w:w="8940" w:type="dxa"/>
        <w:tblCellMar>
          <w:left w:w="28" w:type="dxa"/>
          <w:right w:w="28" w:type="dxa"/>
        </w:tblCellMar>
        <w:tblLook w:val="04A0" w:firstRow="1" w:lastRow="0" w:firstColumn="1" w:lastColumn="0" w:noHBand="0" w:noVBand="1"/>
      </w:tblPr>
      <w:tblGrid>
        <w:gridCol w:w="3599"/>
        <w:gridCol w:w="581"/>
        <w:gridCol w:w="580"/>
        <w:gridCol w:w="580"/>
        <w:gridCol w:w="580"/>
        <w:gridCol w:w="580"/>
        <w:gridCol w:w="580"/>
        <w:gridCol w:w="580"/>
        <w:gridCol w:w="580"/>
        <w:gridCol w:w="700"/>
      </w:tblGrid>
      <w:tr w:rsidR="007E365E" w:rsidRPr="00DB1DE0" w14:paraId="48071E91" w14:textId="77777777" w:rsidTr="007D1D77">
        <w:trPr>
          <w:trHeight w:val="379"/>
        </w:trPr>
        <w:tc>
          <w:tcPr>
            <w:tcW w:w="3599" w:type="dxa"/>
            <w:tcBorders>
              <w:top w:val="single" w:sz="4" w:space="0" w:color="ADD6EA"/>
              <w:left w:val="nil"/>
              <w:bottom w:val="single" w:sz="4" w:space="0" w:color="ADD6EA"/>
              <w:right w:val="nil"/>
            </w:tcBorders>
            <w:shd w:val="clear" w:color="000000" w:fill="006991"/>
            <w:vAlign w:val="center"/>
            <w:hideMark/>
          </w:tcPr>
          <w:p w14:paraId="46EDD5FF" w14:textId="77777777" w:rsidR="007E365E" w:rsidRPr="00DB1DE0"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DB1DE0">
              <w:rPr>
                <w:rFonts w:ascii="Open Sans SemiBold" w:eastAsia="Times New Roman" w:hAnsi="Open Sans SemiBold" w:cs="Open Sans SemiBold"/>
                <w:color w:val="FFFFFF"/>
                <w:sz w:val="16"/>
                <w:szCs w:val="16"/>
                <w:lang w:eastAsia="en-AU"/>
              </w:rPr>
              <w:t> </w:t>
            </w:r>
          </w:p>
        </w:tc>
        <w:tc>
          <w:tcPr>
            <w:tcW w:w="581" w:type="dxa"/>
            <w:tcBorders>
              <w:top w:val="single" w:sz="4" w:space="0" w:color="ADD6EA"/>
              <w:left w:val="nil"/>
              <w:bottom w:val="single" w:sz="4" w:space="0" w:color="ADD6EA"/>
              <w:right w:val="nil"/>
            </w:tcBorders>
            <w:shd w:val="clear" w:color="000000" w:fill="006991"/>
            <w:vAlign w:val="center"/>
            <w:hideMark/>
          </w:tcPr>
          <w:p w14:paraId="2D377C1E"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B1DE0">
              <w:rPr>
                <w:rFonts w:ascii="Open Sans SemiBold" w:eastAsia="Times New Roman" w:hAnsi="Open Sans SemiBold" w:cs="Open Sans SemiBold"/>
                <w:color w:val="FFFFFF"/>
                <w:sz w:val="16"/>
                <w:szCs w:val="16"/>
                <w:lang w:eastAsia="en-AU"/>
              </w:rPr>
              <w:t>NSW</w:t>
            </w:r>
          </w:p>
        </w:tc>
        <w:tc>
          <w:tcPr>
            <w:tcW w:w="580" w:type="dxa"/>
            <w:tcBorders>
              <w:top w:val="single" w:sz="4" w:space="0" w:color="ADD6EA"/>
              <w:left w:val="nil"/>
              <w:bottom w:val="single" w:sz="4" w:space="0" w:color="ADD6EA"/>
              <w:right w:val="nil"/>
            </w:tcBorders>
            <w:shd w:val="clear" w:color="000000" w:fill="006991"/>
            <w:vAlign w:val="center"/>
            <w:hideMark/>
          </w:tcPr>
          <w:p w14:paraId="44A154A1"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B1DE0">
              <w:rPr>
                <w:rFonts w:ascii="Open Sans SemiBold" w:eastAsia="Times New Roman" w:hAnsi="Open Sans SemiBold" w:cs="Open Sans SemiBold"/>
                <w:color w:val="FFFFFF"/>
                <w:sz w:val="16"/>
                <w:szCs w:val="16"/>
                <w:lang w:eastAsia="en-AU"/>
              </w:rPr>
              <w:t>Vic</w:t>
            </w:r>
          </w:p>
        </w:tc>
        <w:tc>
          <w:tcPr>
            <w:tcW w:w="580" w:type="dxa"/>
            <w:tcBorders>
              <w:top w:val="single" w:sz="4" w:space="0" w:color="ADD6EA"/>
              <w:left w:val="nil"/>
              <w:bottom w:val="single" w:sz="4" w:space="0" w:color="ADD6EA"/>
              <w:right w:val="nil"/>
            </w:tcBorders>
            <w:shd w:val="clear" w:color="000000" w:fill="006991"/>
            <w:vAlign w:val="center"/>
            <w:hideMark/>
          </w:tcPr>
          <w:p w14:paraId="7C387422"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B1DE0">
              <w:rPr>
                <w:rFonts w:ascii="Open Sans SemiBold" w:eastAsia="Times New Roman" w:hAnsi="Open Sans SemiBold" w:cs="Open Sans SemiBold"/>
                <w:color w:val="FFFFFF"/>
                <w:sz w:val="16"/>
                <w:szCs w:val="16"/>
                <w:lang w:eastAsia="en-AU"/>
              </w:rPr>
              <w:t>Qld</w:t>
            </w:r>
          </w:p>
        </w:tc>
        <w:tc>
          <w:tcPr>
            <w:tcW w:w="580" w:type="dxa"/>
            <w:tcBorders>
              <w:top w:val="single" w:sz="4" w:space="0" w:color="ADD6EA"/>
              <w:left w:val="nil"/>
              <w:bottom w:val="single" w:sz="4" w:space="0" w:color="ADD6EA"/>
              <w:right w:val="nil"/>
            </w:tcBorders>
            <w:shd w:val="clear" w:color="000000" w:fill="006991"/>
            <w:vAlign w:val="center"/>
            <w:hideMark/>
          </w:tcPr>
          <w:p w14:paraId="1CCC3FC7"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B1DE0">
              <w:rPr>
                <w:rFonts w:ascii="Open Sans SemiBold" w:eastAsia="Times New Roman" w:hAnsi="Open Sans SemiBold" w:cs="Open Sans SemiBold"/>
                <w:color w:val="FFFFFF"/>
                <w:sz w:val="16"/>
                <w:szCs w:val="16"/>
                <w:lang w:eastAsia="en-AU"/>
              </w:rPr>
              <w:t>WA</w:t>
            </w:r>
          </w:p>
        </w:tc>
        <w:tc>
          <w:tcPr>
            <w:tcW w:w="580" w:type="dxa"/>
            <w:tcBorders>
              <w:top w:val="single" w:sz="4" w:space="0" w:color="ADD6EA"/>
              <w:left w:val="nil"/>
              <w:bottom w:val="single" w:sz="4" w:space="0" w:color="ADD6EA"/>
              <w:right w:val="nil"/>
            </w:tcBorders>
            <w:shd w:val="clear" w:color="000000" w:fill="006991"/>
            <w:vAlign w:val="center"/>
            <w:hideMark/>
          </w:tcPr>
          <w:p w14:paraId="62B77FD8"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B1DE0">
              <w:rPr>
                <w:rFonts w:ascii="Open Sans SemiBold" w:eastAsia="Times New Roman" w:hAnsi="Open Sans SemiBold" w:cs="Open Sans SemiBold"/>
                <w:color w:val="FFFFFF"/>
                <w:sz w:val="16"/>
                <w:szCs w:val="16"/>
                <w:lang w:eastAsia="en-AU"/>
              </w:rPr>
              <w:t>SA</w:t>
            </w:r>
          </w:p>
        </w:tc>
        <w:tc>
          <w:tcPr>
            <w:tcW w:w="580" w:type="dxa"/>
            <w:tcBorders>
              <w:top w:val="single" w:sz="4" w:space="0" w:color="ADD6EA"/>
              <w:left w:val="nil"/>
              <w:bottom w:val="single" w:sz="4" w:space="0" w:color="ADD6EA"/>
              <w:right w:val="nil"/>
            </w:tcBorders>
            <w:shd w:val="clear" w:color="000000" w:fill="006991"/>
            <w:vAlign w:val="center"/>
            <w:hideMark/>
          </w:tcPr>
          <w:p w14:paraId="34B07768"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B1DE0">
              <w:rPr>
                <w:rFonts w:ascii="Open Sans SemiBold" w:eastAsia="Times New Roman" w:hAnsi="Open Sans SemiBold" w:cs="Open Sans SemiBold"/>
                <w:color w:val="FFFFFF"/>
                <w:sz w:val="16"/>
                <w:szCs w:val="16"/>
                <w:lang w:eastAsia="en-AU"/>
              </w:rPr>
              <w:t>Tas</w:t>
            </w:r>
          </w:p>
        </w:tc>
        <w:tc>
          <w:tcPr>
            <w:tcW w:w="580" w:type="dxa"/>
            <w:tcBorders>
              <w:top w:val="single" w:sz="4" w:space="0" w:color="ADD6EA"/>
              <w:left w:val="nil"/>
              <w:bottom w:val="single" w:sz="4" w:space="0" w:color="ADD6EA"/>
              <w:right w:val="nil"/>
            </w:tcBorders>
            <w:shd w:val="clear" w:color="000000" w:fill="006991"/>
            <w:vAlign w:val="center"/>
            <w:hideMark/>
          </w:tcPr>
          <w:p w14:paraId="70E1A6DF"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B1DE0">
              <w:rPr>
                <w:rFonts w:ascii="Open Sans SemiBold" w:eastAsia="Times New Roman" w:hAnsi="Open Sans SemiBold" w:cs="Open Sans SemiBold"/>
                <w:color w:val="FFFFFF"/>
                <w:sz w:val="16"/>
                <w:szCs w:val="16"/>
                <w:lang w:eastAsia="en-AU"/>
              </w:rPr>
              <w:t>ACT</w:t>
            </w:r>
          </w:p>
        </w:tc>
        <w:tc>
          <w:tcPr>
            <w:tcW w:w="580" w:type="dxa"/>
            <w:tcBorders>
              <w:top w:val="single" w:sz="4" w:space="0" w:color="ADD6EA"/>
              <w:left w:val="nil"/>
              <w:bottom w:val="single" w:sz="4" w:space="0" w:color="ADD6EA"/>
              <w:right w:val="nil"/>
            </w:tcBorders>
            <w:shd w:val="clear" w:color="000000" w:fill="006991"/>
            <w:vAlign w:val="center"/>
            <w:hideMark/>
          </w:tcPr>
          <w:p w14:paraId="1BCBADE7"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B1DE0">
              <w:rPr>
                <w:rFonts w:ascii="Open Sans SemiBold" w:eastAsia="Times New Roman" w:hAnsi="Open Sans SemiBold" w:cs="Open Sans SemiBold"/>
                <w:color w:val="FFFFFF"/>
                <w:sz w:val="16"/>
                <w:szCs w:val="16"/>
                <w:lang w:eastAsia="en-AU"/>
              </w:rPr>
              <w:t>NT</w:t>
            </w:r>
          </w:p>
        </w:tc>
        <w:tc>
          <w:tcPr>
            <w:tcW w:w="700" w:type="dxa"/>
            <w:tcBorders>
              <w:top w:val="single" w:sz="4" w:space="0" w:color="ADD6EA"/>
              <w:left w:val="nil"/>
              <w:bottom w:val="single" w:sz="4" w:space="0" w:color="ADD6EA"/>
              <w:right w:val="nil"/>
            </w:tcBorders>
            <w:shd w:val="clear" w:color="000000" w:fill="006991"/>
            <w:vAlign w:val="center"/>
            <w:hideMark/>
          </w:tcPr>
          <w:p w14:paraId="6FDB382E"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B1DE0">
              <w:rPr>
                <w:rFonts w:ascii="Open Sans SemiBold" w:eastAsia="Times New Roman" w:hAnsi="Open Sans SemiBold" w:cs="Open Sans SemiBold"/>
                <w:color w:val="FFFFFF"/>
                <w:sz w:val="16"/>
                <w:szCs w:val="16"/>
                <w:lang w:eastAsia="en-AU"/>
              </w:rPr>
              <w:t>Total</w:t>
            </w:r>
          </w:p>
        </w:tc>
      </w:tr>
      <w:tr w:rsidR="007E365E" w:rsidRPr="00DB1DE0" w14:paraId="78D12BB0" w14:textId="77777777" w:rsidTr="007D1D77">
        <w:trPr>
          <w:trHeight w:val="555"/>
        </w:trPr>
        <w:tc>
          <w:tcPr>
            <w:tcW w:w="3599" w:type="dxa"/>
            <w:tcBorders>
              <w:top w:val="nil"/>
              <w:left w:val="nil"/>
              <w:bottom w:val="single" w:sz="4" w:space="0" w:color="ADD6EA"/>
              <w:right w:val="nil"/>
            </w:tcBorders>
            <w:shd w:val="clear" w:color="000000" w:fill="FFFFFF"/>
            <w:vAlign w:val="bottom"/>
            <w:hideMark/>
          </w:tcPr>
          <w:p w14:paraId="542C8335" w14:textId="77777777" w:rsidR="007E365E" w:rsidRPr="00DB1DE0" w:rsidRDefault="007E365E" w:rsidP="007D1D77">
            <w:pPr>
              <w:tabs>
                <w:tab w:val="clear" w:pos="567"/>
              </w:tabs>
              <w:spacing w:before="0" w:line="240" w:lineRule="auto"/>
              <w:rPr>
                <w:rFonts w:eastAsia="Times New Roman" w:cs="Open Sans Light"/>
                <w:sz w:val="16"/>
                <w:szCs w:val="16"/>
                <w:lang w:eastAsia="en-AU"/>
              </w:rPr>
            </w:pPr>
            <w:r w:rsidRPr="00DB1DE0">
              <w:rPr>
                <w:rFonts w:eastAsia="Times New Roman" w:cs="Open Sans Light"/>
                <w:sz w:val="16"/>
                <w:szCs w:val="16"/>
                <w:lang w:eastAsia="en-AU"/>
              </w:rPr>
              <w:t>Pest and disease preparedness and response programs ($m)</w:t>
            </w:r>
          </w:p>
        </w:tc>
        <w:tc>
          <w:tcPr>
            <w:tcW w:w="581" w:type="dxa"/>
            <w:tcBorders>
              <w:top w:val="nil"/>
              <w:left w:val="nil"/>
              <w:bottom w:val="single" w:sz="4" w:space="0" w:color="ADD6EA"/>
              <w:right w:val="nil"/>
            </w:tcBorders>
            <w:shd w:val="clear" w:color="000000" w:fill="FFFFFF"/>
            <w:vAlign w:val="bottom"/>
            <w:hideMark/>
          </w:tcPr>
          <w:p w14:paraId="4AB25C9F"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37982DD5"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642317B3"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39</w:t>
            </w:r>
          </w:p>
        </w:tc>
        <w:tc>
          <w:tcPr>
            <w:tcW w:w="580" w:type="dxa"/>
            <w:tcBorders>
              <w:top w:val="nil"/>
              <w:left w:val="nil"/>
              <w:bottom w:val="single" w:sz="4" w:space="0" w:color="ADD6EA"/>
              <w:right w:val="nil"/>
            </w:tcBorders>
            <w:shd w:val="clear" w:color="000000" w:fill="FFFFFF"/>
            <w:vAlign w:val="bottom"/>
            <w:hideMark/>
          </w:tcPr>
          <w:p w14:paraId="31510745"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1</w:t>
            </w:r>
          </w:p>
        </w:tc>
        <w:tc>
          <w:tcPr>
            <w:tcW w:w="580" w:type="dxa"/>
            <w:tcBorders>
              <w:top w:val="nil"/>
              <w:left w:val="nil"/>
              <w:bottom w:val="single" w:sz="4" w:space="0" w:color="ADD6EA"/>
              <w:right w:val="nil"/>
            </w:tcBorders>
            <w:shd w:val="clear" w:color="000000" w:fill="FFFFFF"/>
            <w:vAlign w:val="bottom"/>
            <w:hideMark/>
          </w:tcPr>
          <w:p w14:paraId="0C90A25C"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23B1510E"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647F5150"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035F51FE"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1</w:t>
            </w:r>
          </w:p>
        </w:tc>
        <w:tc>
          <w:tcPr>
            <w:tcW w:w="700" w:type="dxa"/>
            <w:tcBorders>
              <w:top w:val="nil"/>
              <w:left w:val="nil"/>
              <w:bottom w:val="single" w:sz="4" w:space="0" w:color="ADD6EA"/>
              <w:right w:val="nil"/>
            </w:tcBorders>
            <w:shd w:val="clear" w:color="000000" w:fill="FFFFFF"/>
            <w:vAlign w:val="bottom"/>
            <w:hideMark/>
          </w:tcPr>
          <w:p w14:paraId="7AD92E46"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41</w:t>
            </w:r>
          </w:p>
        </w:tc>
      </w:tr>
      <w:tr w:rsidR="007E365E" w:rsidRPr="00DB1DE0" w14:paraId="334729B1" w14:textId="77777777" w:rsidTr="007D1D77">
        <w:trPr>
          <w:trHeight w:val="315"/>
        </w:trPr>
        <w:tc>
          <w:tcPr>
            <w:tcW w:w="3599" w:type="dxa"/>
            <w:tcBorders>
              <w:top w:val="nil"/>
              <w:left w:val="nil"/>
              <w:bottom w:val="single" w:sz="4" w:space="0" w:color="ADD6EA"/>
              <w:right w:val="nil"/>
            </w:tcBorders>
            <w:shd w:val="clear" w:color="000000" w:fill="FFFFFF"/>
            <w:vAlign w:val="bottom"/>
            <w:hideMark/>
          </w:tcPr>
          <w:p w14:paraId="0B85ED4F" w14:textId="77777777" w:rsidR="007E365E" w:rsidRPr="00DB1DE0" w:rsidRDefault="007E365E" w:rsidP="007D1D77">
            <w:pPr>
              <w:tabs>
                <w:tab w:val="clear" w:pos="567"/>
              </w:tabs>
              <w:spacing w:before="0" w:line="240" w:lineRule="auto"/>
              <w:rPr>
                <w:rFonts w:eastAsia="Times New Roman" w:cs="Open Sans Light"/>
                <w:sz w:val="16"/>
                <w:szCs w:val="16"/>
                <w:lang w:eastAsia="en-AU"/>
              </w:rPr>
            </w:pPr>
            <w:r w:rsidRPr="00DB1DE0">
              <w:rPr>
                <w:rFonts w:eastAsia="Times New Roman" w:cs="Open Sans Light"/>
                <w:sz w:val="16"/>
                <w:szCs w:val="16"/>
                <w:lang w:eastAsia="en-AU"/>
              </w:rPr>
              <w:t>Small Business Regulatory Reform ($m)</w:t>
            </w:r>
          </w:p>
        </w:tc>
        <w:tc>
          <w:tcPr>
            <w:tcW w:w="581" w:type="dxa"/>
            <w:tcBorders>
              <w:top w:val="nil"/>
              <w:left w:val="nil"/>
              <w:bottom w:val="single" w:sz="4" w:space="0" w:color="ADD6EA"/>
              <w:right w:val="nil"/>
            </w:tcBorders>
            <w:shd w:val="clear" w:color="000000" w:fill="FFFFFF"/>
            <w:vAlign w:val="bottom"/>
            <w:hideMark/>
          </w:tcPr>
          <w:p w14:paraId="2BEDB89B"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39</w:t>
            </w:r>
          </w:p>
        </w:tc>
        <w:tc>
          <w:tcPr>
            <w:tcW w:w="580" w:type="dxa"/>
            <w:tcBorders>
              <w:top w:val="nil"/>
              <w:left w:val="nil"/>
              <w:bottom w:val="single" w:sz="4" w:space="0" w:color="ADD6EA"/>
              <w:right w:val="nil"/>
            </w:tcBorders>
            <w:shd w:val="clear" w:color="000000" w:fill="FFFFFF"/>
            <w:vAlign w:val="bottom"/>
            <w:hideMark/>
          </w:tcPr>
          <w:p w14:paraId="59CFE208"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171F30F0"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22A52D79"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35CE3CF8"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4405D0E8"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2E2C33D1"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70CCA31A"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759A15E7"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39</w:t>
            </w:r>
          </w:p>
        </w:tc>
      </w:tr>
      <w:tr w:rsidR="007E365E" w:rsidRPr="00DB1DE0" w14:paraId="63BD5019" w14:textId="77777777" w:rsidTr="007D1D77">
        <w:trPr>
          <w:trHeight w:val="315"/>
        </w:trPr>
        <w:tc>
          <w:tcPr>
            <w:tcW w:w="3599" w:type="dxa"/>
            <w:tcBorders>
              <w:top w:val="nil"/>
              <w:left w:val="nil"/>
              <w:bottom w:val="single" w:sz="4" w:space="0" w:color="ADD6EA"/>
              <w:right w:val="nil"/>
            </w:tcBorders>
            <w:shd w:val="clear" w:color="000000" w:fill="FFFFFF"/>
            <w:vAlign w:val="bottom"/>
            <w:hideMark/>
          </w:tcPr>
          <w:p w14:paraId="4C173EFF" w14:textId="77777777" w:rsidR="007E365E" w:rsidRPr="00DB1DE0" w:rsidRDefault="007E365E" w:rsidP="007D1D77">
            <w:pPr>
              <w:tabs>
                <w:tab w:val="clear" w:pos="567"/>
              </w:tabs>
              <w:spacing w:before="0" w:line="240" w:lineRule="auto"/>
              <w:rPr>
                <w:rFonts w:eastAsia="Times New Roman" w:cs="Open Sans Light"/>
                <w:sz w:val="16"/>
                <w:szCs w:val="16"/>
                <w:lang w:eastAsia="en-AU"/>
              </w:rPr>
            </w:pPr>
            <w:r w:rsidRPr="00DB1DE0">
              <w:rPr>
                <w:rFonts w:eastAsia="Times New Roman" w:cs="Open Sans Light"/>
                <w:sz w:val="16"/>
                <w:szCs w:val="16"/>
                <w:lang w:eastAsia="en-AU"/>
              </w:rPr>
              <w:t>SA River Murray Sustainability ($m)</w:t>
            </w:r>
          </w:p>
        </w:tc>
        <w:tc>
          <w:tcPr>
            <w:tcW w:w="581" w:type="dxa"/>
            <w:tcBorders>
              <w:top w:val="nil"/>
              <w:left w:val="nil"/>
              <w:bottom w:val="single" w:sz="4" w:space="0" w:color="ADD6EA"/>
              <w:right w:val="nil"/>
            </w:tcBorders>
            <w:shd w:val="clear" w:color="000000" w:fill="FFFFFF"/>
            <w:vAlign w:val="bottom"/>
            <w:hideMark/>
          </w:tcPr>
          <w:p w14:paraId="32D8925B"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39737F1B"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1EE004AE"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132040D5"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5763F901"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32</w:t>
            </w:r>
          </w:p>
        </w:tc>
        <w:tc>
          <w:tcPr>
            <w:tcW w:w="580" w:type="dxa"/>
            <w:tcBorders>
              <w:top w:val="nil"/>
              <w:left w:val="nil"/>
              <w:bottom w:val="single" w:sz="4" w:space="0" w:color="ADD6EA"/>
              <w:right w:val="nil"/>
            </w:tcBorders>
            <w:shd w:val="clear" w:color="000000" w:fill="FFFFFF"/>
            <w:vAlign w:val="bottom"/>
            <w:hideMark/>
          </w:tcPr>
          <w:p w14:paraId="31547C19"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112991AB"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02C604A6"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01ACF846"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32</w:t>
            </w:r>
          </w:p>
        </w:tc>
      </w:tr>
      <w:tr w:rsidR="007E365E" w:rsidRPr="00DB1DE0" w14:paraId="109EF2D4" w14:textId="77777777" w:rsidTr="007D1D77">
        <w:trPr>
          <w:trHeight w:val="315"/>
        </w:trPr>
        <w:tc>
          <w:tcPr>
            <w:tcW w:w="3599" w:type="dxa"/>
            <w:tcBorders>
              <w:top w:val="nil"/>
              <w:left w:val="nil"/>
              <w:bottom w:val="single" w:sz="4" w:space="0" w:color="ADD6EA"/>
              <w:right w:val="nil"/>
            </w:tcBorders>
            <w:shd w:val="clear" w:color="000000" w:fill="FFFFFF"/>
            <w:vAlign w:val="bottom"/>
            <w:hideMark/>
          </w:tcPr>
          <w:p w14:paraId="70B6C889" w14:textId="77777777" w:rsidR="007E365E" w:rsidRPr="00DB1DE0" w:rsidRDefault="007E365E" w:rsidP="007D1D77">
            <w:pPr>
              <w:tabs>
                <w:tab w:val="clear" w:pos="567"/>
              </w:tabs>
              <w:spacing w:before="0" w:line="240" w:lineRule="auto"/>
              <w:rPr>
                <w:rFonts w:eastAsia="Times New Roman" w:cs="Open Sans Light"/>
                <w:sz w:val="16"/>
                <w:szCs w:val="16"/>
                <w:lang w:eastAsia="en-AU"/>
              </w:rPr>
            </w:pPr>
            <w:r w:rsidRPr="00DB1DE0">
              <w:rPr>
                <w:rFonts w:eastAsia="Times New Roman" w:cs="Open Sans Light"/>
                <w:sz w:val="16"/>
                <w:szCs w:val="16"/>
                <w:lang w:eastAsia="en-AU"/>
              </w:rPr>
              <w:t>Other NPPs ($m)</w:t>
            </w:r>
          </w:p>
        </w:tc>
        <w:tc>
          <w:tcPr>
            <w:tcW w:w="581" w:type="dxa"/>
            <w:tcBorders>
              <w:top w:val="nil"/>
              <w:left w:val="nil"/>
              <w:bottom w:val="single" w:sz="4" w:space="0" w:color="ADD6EA"/>
              <w:right w:val="nil"/>
            </w:tcBorders>
            <w:shd w:val="clear" w:color="000000" w:fill="FFFFFF"/>
            <w:vAlign w:val="bottom"/>
            <w:hideMark/>
          </w:tcPr>
          <w:p w14:paraId="2F3812D3"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6</w:t>
            </w:r>
          </w:p>
        </w:tc>
        <w:tc>
          <w:tcPr>
            <w:tcW w:w="580" w:type="dxa"/>
            <w:tcBorders>
              <w:top w:val="nil"/>
              <w:left w:val="nil"/>
              <w:bottom w:val="single" w:sz="4" w:space="0" w:color="ADD6EA"/>
              <w:right w:val="nil"/>
            </w:tcBorders>
            <w:shd w:val="clear" w:color="000000" w:fill="FFFFFF"/>
            <w:vAlign w:val="bottom"/>
            <w:hideMark/>
          </w:tcPr>
          <w:p w14:paraId="15370797"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12</w:t>
            </w:r>
          </w:p>
        </w:tc>
        <w:tc>
          <w:tcPr>
            <w:tcW w:w="580" w:type="dxa"/>
            <w:tcBorders>
              <w:top w:val="nil"/>
              <w:left w:val="nil"/>
              <w:bottom w:val="single" w:sz="4" w:space="0" w:color="ADD6EA"/>
              <w:right w:val="nil"/>
            </w:tcBorders>
            <w:shd w:val="clear" w:color="000000" w:fill="FFFFFF"/>
            <w:vAlign w:val="bottom"/>
            <w:hideMark/>
          </w:tcPr>
          <w:p w14:paraId="7B2AE4A6"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16</w:t>
            </w:r>
          </w:p>
        </w:tc>
        <w:tc>
          <w:tcPr>
            <w:tcW w:w="580" w:type="dxa"/>
            <w:tcBorders>
              <w:top w:val="nil"/>
              <w:left w:val="nil"/>
              <w:bottom w:val="single" w:sz="4" w:space="0" w:color="ADD6EA"/>
              <w:right w:val="nil"/>
            </w:tcBorders>
            <w:shd w:val="clear" w:color="000000" w:fill="FFFFFF"/>
            <w:vAlign w:val="bottom"/>
            <w:hideMark/>
          </w:tcPr>
          <w:p w14:paraId="3792A85F"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3</w:t>
            </w:r>
          </w:p>
        </w:tc>
        <w:tc>
          <w:tcPr>
            <w:tcW w:w="580" w:type="dxa"/>
            <w:tcBorders>
              <w:top w:val="nil"/>
              <w:left w:val="nil"/>
              <w:bottom w:val="single" w:sz="4" w:space="0" w:color="ADD6EA"/>
              <w:right w:val="nil"/>
            </w:tcBorders>
            <w:shd w:val="clear" w:color="000000" w:fill="FFFFFF"/>
            <w:vAlign w:val="bottom"/>
            <w:hideMark/>
          </w:tcPr>
          <w:p w14:paraId="105205ED"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2</w:t>
            </w:r>
          </w:p>
        </w:tc>
        <w:tc>
          <w:tcPr>
            <w:tcW w:w="580" w:type="dxa"/>
            <w:tcBorders>
              <w:top w:val="nil"/>
              <w:left w:val="nil"/>
              <w:bottom w:val="single" w:sz="4" w:space="0" w:color="ADD6EA"/>
              <w:right w:val="nil"/>
            </w:tcBorders>
            <w:shd w:val="clear" w:color="000000" w:fill="FFFFFF"/>
            <w:vAlign w:val="bottom"/>
            <w:hideMark/>
          </w:tcPr>
          <w:p w14:paraId="35BA1E87"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4031FB2F"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0</w:t>
            </w:r>
          </w:p>
        </w:tc>
        <w:tc>
          <w:tcPr>
            <w:tcW w:w="580" w:type="dxa"/>
            <w:tcBorders>
              <w:top w:val="nil"/>
              <w:left w:val="nil"/>
              <w:bottom w:val="single" w:sz="4" w:space="0" w:color="ADD6EA"/>
              <w:right w:val="nil"/>
            </w:tcBorders>
            <w:shd w:val="clear" w:color="000000" w:fill="FFFFFF"/>
            <w:vAlign w:val="bottom"/>
            <w:hideMark/>
          </w:tcPr>
          <w:p w14:paraId="587E0141"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3</w:t>
            </w:r>
          </w:p>
        </w:tc>
        <w:tc>
          <w:tcPr>
            <w:tcW w:w="700" w:type="dxa"/>
            <w:tcBorders>
              <w:top w:val="nil"/>
              <w:left w:val="nil"/>
              <w:bottom w:val="single" w:sz="4" w:space="0" w:color="ADD6EA"/>
              <w:right w:val="nil"/>
            </w:tcBorders>
            <w:shd w:val="clear" w:color="000000" w:fill="FFFFFF"/>
            <w:vAlign w:val="bottom"/>
            <w:hideMark/>
          </w:tcPr>
          <w:p w14:paraId="750309E1" w14:textId="77777777" w:rsidR="007E365E" w:rsidRPr="00DB1DE0" w:rsidRDefault="007E365E" w:rsidP="007D1D77">
            <w:pPr>
              <w:tabs>
                <w:tab w:val="clear" w:pos="567"/>
              </w:tabs>
              <w:spacing w:before="0" w:line="240" w:lineRule="auto"/>
              <w:jc w:val="right"/>
              <w:rPr>
                <w:rFonts w:eastAsia="Times New Roman" w:cs="Open Sans Light"/>
                <w:color w:val="000000"/>
                <w:sz w:val="16"/>
                <w:szCs w:val="16"/>
                <w:lang w:eastAsia="en-AU"/>
              </w:rPr>
            </w:pPr>
            <w:r w:rsidRPr="00DB1DE0">
              <w:rPr>
                <w:rFonts w:eastAsia="Times New Roman" w:cs="Open Sans Light"/>
                <w:color w:val="000000"/>
                <w:sz w:val="16"/>
                <w:szCs w:val="16"/>
                <w:lang w:eastAsia="en-AU"/>
              </w:rPr>
              <w:t>42</w:t>
            </w:r>
          </w:p>
        </w:tc>
      </w:tr>
      <w:tr w:rsidR="007E365E" w:rsidRPr="00DB1DE0" w14:paraId="3D684217" w14:textId="77777777" w:rsidTr="007D1D77">
        <w:trPr>
          <w:trHeight w:val="315"/>
        </w:trPr>
        <w:tc>
          <w:tcPr>
            <w:tcW w:w="3599" w:type="dxa"/>
            <w:tcBorders>
              <w:top w:val="nil"/>
              <w:left w:val="nil"/>
              <w:bottom w:val="single" w:sz="4" w:space="0" w:color="ADD6EA"/>
              <w:right w:val="nil"/>
            </w:tcBorders>
            <w:shd w:val="clear" w:color="000000" w:fill="D6E7F0"/>
            <w:vAlign w:val="bottom"/>
            <w:hideMark/>
          </w:tcPr>
          <w:p w14:paraId="3CD66CAF" w14:textId="77777777" w:rsidR="007E365E" w:rsidRPr="00DB1DE0"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Total ($m)</w:t>
            </w:r>
          </w:p>
        </w:tc>
        <w:tc>
          <w:tcPr>
            <w:tcW w:w="581" w:type="dxa"/>
            <w:tcBorders>
              <w:top w:val="nil"/>
              <w:left w:val="nil"/>
              <w:bottom w:val="single" w:sz="4" w:space="0" w:color="ADD6EA"/>
              <w:right w:val="nil"/>
            </w:tcBorders>
            <w:shd w:val="clear" w:color="000000" w:fill="D6E7F0"/>
            <w:vAlign w:val="bottom"/>
            <w:hideMark/>
          </w:tcPr>
          <w:p w14:paraId="09143BDC"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45</w:t>
            </w:r>
          </w:p>
        </w:tc>
        <w:tc>
          <w:tcPr>
            <w:tcW w:w="580" w:type="dxa"/>
            <w:tcBorders>
              <w:top w:val="nil"/>
              <w:left w:val="nil"/>
              <w:bottom w:val="single" w:sz="4" w:space="0" w:color="ADD6EA"/>
              <w:right w:val="nil"/>
            </w:tcBorders>
            <w:shd w:val="clear" w:color="000000" w:fill="D6E7F0"/>
            <w:vAlign w:val="bottom"/>
            <w:hideMark/>
          </w:tcPr>
          <w:p w14:paraId="684928EE"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12</w:t>
            </w:r>
          </w:p>
        </w:tc>
        <w:tc>
          <w:tcPr>
            <w:tcW w:w="580" w:type="dxa"/>
            <w:tcBorders>
              <w:top w:val="nil"/>
              <w:left w:val="nil"/>
              <w:bottom w:val="single" w:sz="4" w:space="0" w:color="ADD6EA"/>
              <w:right w:val="nil"/>
            </w:tcBorders>
            <w:shd w:val="clear" w:color="000000" w:fill="D6E7F0"/>
            <w:vAlign w:val="bottom"/>
            <w:hideMark/>
          </w:tcPr>
          <w:p w14:paraId="59B433A3"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55</w:t>
            </w:r>
          </w:p>
        </w:tc>
        <w:tc>
          <w:tcPr>
            <w:tcW w:w="580" w:type="dxa"/>
            <w:tcBorders>
              <w:top w:val="nil"/>
              <w:left w:val="nil"/>
              <w:bottom w:val="single" w:sz="4" w:space="0" w:color="ADD6EA"/>
              <w:right w:val="nil"/>
            </w:tcBorders>
            <w:shd w:val="clear" w:color="000000" w:fill="D6E7F0"/>
            <w:vAlign w:val="bottom"/>
            <w:hideMark/>
          </w:tcPr>
          <w:p w14:paraId="712DD3BF"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4</w:t>
            </w:r>
          </w:p>
        </w:tc>
        <w:tc>
          <w:tcPr>
            <w:tcW w:w="580" w:type="dxa"/>
            <w:tcBorders>
              <w:top w:val="nil"/>
              <w:left w:val="nil"/>
              <w:bottom w:val="single" w:sz="4" w:space="0" w:color="ADD6EA"/>
              <w:right w:val="nil"/>
            </w:tcBorders>
            <w:shd w:val="clear" w:color="000000" w:fill="D6E7F0"/>
            <w:vAlign w:val="bottom"/>
            <w:hideMark/>
          </w:tcPr>
          <w:p w14:paraId="062136EF"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33</w:t>
            </w:r>
          </w:p>
        </w:tc>
        <w:tc>
          <w:tcPr>
            <w:tcW w:w="580" w:type="dxa"/>
            <w:tcBorders>
              <w:top w:val="nil"/>
              <w:left w:val="nil"/>
              <w:bottom w:val="single" w:sz="4" w:space="0" w:color="ADD6EA"/>
              <w:right w:val="nil"/>
            </w:tcBorders>
            <w:shd w:val="clear" w:color="000000" w:fill="D6E7F0"/>
            <w:vAlign w:val="bottom"/>
            <w:hideMark/>
          </w:tcPr>
          <w:p w14:paraId="43451BB5"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0</w:t>
            </w:r>
          </w:p>
        </w:tc>
        <w:tc>
          <w:tcPr>
            <w:tcW w:w="580" w:type="dxa"/>
            <w:tcBorders>
              <w:top w:val="nil"/>
              <w:left w:val="nil"/>
              <w:bottom w:val="single" w:sz="4" w:space="0" w:color="ADD6EA"/>
              <w:right w:val="nil"/>
            </w:tcBorders>
            <w:shd w:val="clear" w:color="000000" w:fill="D6E7F0"/>
            <w:vAlign w:val="bottom"/>
            <w:hideMark/>
          </w:tcPr>
          <w:p w14:paraId="4D44C106"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0</w:t>
            </w:r>
          </w:p>
        </w:tc>
        <w:tc>
          <w:tcPr>
            <w:tcW w:w="580" w:type="dxa"/>
            <w:tcBorders>
              <w:top w:val="nil"/>
              <w:left w:val="nil"/>
              <w:bottom w:val="single" w:sz="4" w:space="0" w:color="ADD6EA"/>
              <w:right w:val="nil"/>
            </w:tcBorders>
            <w:shd w:val="clear" w:color="000000" w:fill="D6E7F0"/>
            <w:vAlign w:val="bottom"/>
            <w:hideMark/>
          </w:tcPr>
          <w:p w14:paraId="61ADEDF3"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3</w:t>
            </w:r>
          </w:p>
        </w:tc>
        <w:tc>
          <w:tcPr>
            <w:tcW w:w="700" w:type="dxa"/>
            <w:tcBorders>
              <w:top w:val="nil"/>
              <w:left w:val="nil"/>
              <w:bottom w:val="single" w:sz="4" w:space="0" w:color="ADD6EA"/>
              <w:right w:val="nil"/>
            </w:tcBorders>
            <w:shd w:val="clear" w:color="000000" w:fill="D6E7F0"/>
            <w:vAlign w:val="bottom"/>
            <w:hideMark/>
          </w:tcPr>
          <w:p w14:paraId="688E7D42"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153</w:t>
            </w:r>
          </w:p>
        </w:tc>
      </w:tr>
      <w:tr w:rsidR="007E365E" w:rsidRPr="00DB1DE0" w14:paraId="3597044A" w14:textId="77777777" w:rsidTr="007D1D77">
        <w:trPr>
          <w:trHeight w:val="315"/>
        </w:trPr>
        <w:tc>
          <w:tcPr>
            <w:tcW w:w="3599" w:type="dxa"/>
            <w:tcBorders>
              <w:top w:val="nil"/>
              <w:left w:val="nil"/>
              <w:bottom w:val="single" w:sz="4" w:space="0" w:color="ADD6EA"/>
              <w:right w:val="nil"/>
            </w:tcBorders>
            <w:shd w:val="clear" w:color="000000" w:fill="D6E7F0"/>
            <w:vAlign w:val="bottom"/>
            <w:hideMark/>
          </w:tcPr>
          <w:p w14:paraId="63BC4285" w14:textId="77777777" w:rsidR="007E365E" w:rsidRPr="00DB1DE0"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Total ($pc)</w:t>
            </w:r>
          </w:p>
        </w:tc>
        <w:tc>
          <w:tcPr>
            <w:tcW w:w="581" w:type="dxa"/>
            <w:tcBorders>
              <w:top w:val="nil"/>
              <w:left w:val="nil"/>
              <w:bottom w:val="single" w:sz="4" w:space="0" w:color="ADD6EA"/>
              <w:right w:val="nil"/>
            </w:tcBorders>
            <w:shd w:val="clear" w:color="000000" w:fill="D6E7F0"/>
            <w:vAlign w:val="bottom"/>
            <w:hideMark/>
          </w:tcPr>
          <w:p w14:paraId="4850E42C"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6</w:t>
            </w:r>
          </w:p>
        </w:tc>
        <w:tc>
          <w:tcPr>
            <w:tcW w:w="580" w:type="dxa"/>
            <w:tcBorders>
              <w:top w:val="nil"/>
              <w:left w:val="nil"/>
              <w:bottom w:val="single" w:sz="4" w:space="0" w:color="ADD6EA"/>
              <w:right w:val="nil"/>
            </w:tcBorders>
            <w:shd w:val="clear" w:color="000000" w:fill="D6E7F0"/>
            <w:vAlign w:val="bottom"/>
            <w:hideMark/>
          </w:tcPr>
          <w:p w14:paraId="624E4F7D"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2</w:t>
            </w:r>
          </w:p>
        </w:tc>
        <w:tc>
          <w:tcPr>
            <w:tcW w:w="580" w:type="dxa"/>
            <w:tcBorders>
              <w:top w:val="nil"/>
              <w:left w:val="nil"/>
              <w:bottom w:val="single" w:sz="4" w:space="0" w:color="ADD6EA"/>
              <w:right w:val="nil"/>
            </w:tcBorders>
            <w:shd w:val="clear" w:color="000000" w:fill="D6E7F0"/>
            <w:vAlign w:val="bottom"/>
            <w:hideMark/>
          </w:tcPr>
          <w:p w14:paraId="714C50A3"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11</w:t>
            </w:r>
          </w:p>
        </w:tc>
        <w:tc>
          <w:tcPr>
            <w:tcW w:w="580" w:type="dxa"/>
            <w:tcBorders>
              <w:top w:val="nil"/>
              <w:left w:val="nil"/>
              <w:bottom w:val="single" w:sz="4" w:space="0" w:color="ADD6EA"/>
              <w:right w:val="nil"/>
            </w:tcBorders>
            <w:shd w:val="clear" w:color="000000" w:fill="D6E7F0"/>
            <w:vAlign w:val="bottom"/>
            <w:hideMark/>
          </w:tcPr>
          <w:p w14:paraId="17BE8271"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2</w:t>
            </w:r>
          </w:p>
        </w:tc>
        <w:tc>
          <w:tcPr>
            <w:tcW w:w="580" w:type="dxa"/>
            <w:tcBorders>
              <w:top w:val="nil"/>
              <w:left w:val="nil"/>
              <w:bottom w:val="single" w:sz="4" w:space="0" w:color="ADD6EA"/>
              <w:right w:val="nil"/>
            </w:tcBorders>
            <w:shd w:val="clear" w:color="000000" w:fill="D6E7F0"/>
            <w:vAlign w:val="bottom"/>
            <w:hideMark/>
          </w:tcPr>
          <w:p w14:paraId="029EDB08"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19</w:t>
            </w:r>
          </w:p>
        </w:tc>
        <w:tc>
          <w:tcPr>
            <w:tcW w:w="580" w:type="dxa"/>
            <w:tcBorders>
              <w:top w:val="nil"/>
              <w:left w:val="nil"/>
              <w:bottom w:val="single" w:sz="4" w:space="0" w:color="ADD6EA"/>
              <w:right w:val="nil"/>
            </w:tcBorders>
            <w:shd w:val="clear" w:color="000000" w:fill="D6E7F0"/>
            <w:vAlign w:val="bottom"/>
            <w:hideMark/>
          </w:tcPr>
          <w:p w14:paraId="23457B4E"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1</w:t>
            </w:r>
          </w:p>
        </w:tc>
        <w:tc>
          <w:tcPr>
            <w:tcW w:w="580" w:type="dxa"/>
            <w:tcBorders>
              <w:top w:val="nil"/>
              <w:left w:val="nil"/>
              <w:bottom w:val="single" w:sz="4" w:space="0" w:color="ADD6EA"/>
              <w:right w:val="nil"/>
            </w:tcBorders>
            <w:shd w:val="clear" w:color="000000" w:fill="D6E7F0"/>
            <w:vAlign w:val="bottom"/>
            <w:hideMark/>
          </w:tcPr>
          <w:p w14:paraId="3B98180F"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1</w:t>
            </w:r>
          </w:p>
        </w:tc>
        <w:tc>
          <w:tcPr>
            <w:tcW w:w="580" w:type="dxa"/>
            <w:tcBorders>
              <w:top w:val="nil"/>
              <w:left w:val="nil"/>
              <w:bottom w:val="single" w:sz="4" w:space="0" w:color="ADD6EA"/>
              <w:right w:val="nil"/>
            </w:tcBorders>
            <w:shd w:val="clear" w:color="000000" w:fill="D6E7F0"/>
            <w:vAlign w:val="bottom"/>
            <w:hideMark/>
          </w:tcPr>
          <w:p w14:paraId="54DFD52F"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14</w:t>
            </w:r>
          </w:p>
        </w:tc>
        <w:tc>
          <w:tcPr>
            <w:tcW w:w="700" w:type="dxa"/>
            <w:tcBorders>
              <w:top w:val="nil"/>
              <w:left w:val="nil"/>
              <w:bottom w:val="single" w:sz="4" w:space="0" w:color="ADD6EA"/>
              <w:right w:val="nil"/>
            </w:tcBorders>
            <w:shd w:val="clear" w:color="000000" w:fill="D6E7F0"/>
            <w:vAlign w:val="bottom"/>
            <w:hideMark/>
          </w:tcPr>
          <w:p w14:paraId="2A024ED5" w14:textId="77777777" w:rsidR="007E365E" w:rsidRPr="00DB1DE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B1DE0">
              <w:rPr>
                <w:rFonts w:ascii="Open Sans SemiBold" w:eastAsia="Times New Roman" w:hAnsi="Open Sans SemiBold" w:cs="Open Sans SemiBold"/>
                <w:color w:val="000000"/>
                <w:sz w:val="16"/>
                <w:szCs w:val="16"/>
                <w:lang w:eastAsia="en-AU"/>
              </w:rPr>
              <w:t>6</w:t>
            </w:r>
          </w:p>
        </w:tc>
      </w:tr>
    </w:tbl>
    <w:p w14:paraId="7D8C6C96" w14:textId="77777777" w:rsidR="007E365E" w:rsidRDefault="007E365E" w:rsidP="007E365E">
      <w:pPr>
        <w:pStyle w:val="CGCTablenote"/>
      </w:pPr>
      <w:r>
        <w:t>Note:</w:t>
      </w:r>
      <w:r>
        <w:tab/>
        <w:t>The table shows major payments only. Commonwealth Own Purpose Expenses (COPEs) are not included. Payments that the Commission treats as ‘no impact’ are included in the table.</w:t>
      </w:r>
    </w:p>
    <w:p w14:paraId="0F2EB14E" w14:textId="77777777" w:rsidR="007E365E" w:rsidRPr="009B1D73" w:rsidRDefault="007E365E" w:rsidP="007E365E">
      <w:pPr>
        <w:pStyle w:val="CGCTablenote"/>
      </w:pPr>
      <w:r>
        <w:t>Source:</w:t>
      </w:r>
      <w:r>
        <w:tab/>
        <w:t xml:space="preserve">Commonwealth </w:t>
      </w:r>
      <w:r w:rsidRPr="009B1D73">
        <w:t xml:space="preserve">Final Budget Outcome, </w:t>
      </w:r>
      <w:r>
        <w:rPr>
          <w:shd w:val="clear" w:color="auto" w:fill="FFFFFF" w:themeFill="background1"/>
        </w:rPr>
        <w:t>2018-19</w:t>
      </w:r>
      <w:r w:rsidRPr="00B115C4">
        <w:rPr>
          <w:shd w:val="clear" w:color="auto" w:fill="FFFFFF" w:themeFill="background1"/>
        </w:rPr>
        <w:t>.</w:t>
      </w:r>
    </w:p>
    <w:p w14:paraId="0D54A5BA" w14:textId="77777777" w:rsidR="007E365E" w:rsidRDefault="007E365E" w:rsidP="007E365E">
      <w:pPr>
        <w:pStyle w:val="CGCParaNumber"/>
      </w:pPr>
      <w:r>
        <w:t>T</w:t>
      </w:r>
      <w:r w:rsidRPr="000C4987">
        <w:t>he complete list of Commonwealth payments and their treatment</w:t>
      </w:r>
      <w:r>
        <w:t xml:space="preserve"> is available on the </w:t>
      </w:r>
      <w:hyperlink r:id="rId43" w:history="1">
        <w:r w:rsidRPr="000C4987">
          <w:rPr>
            <w:rStyle w:val="Hyperlink"/>
          </w:rPr>
          <w:t>Commission website</w:t>
        </w:r>
      </w:hyperlink>
      <w:r w:rsidRPr="00E65559">
        <w:rPr>
          <w:rStyle w:val="Hyperlink"/>
        </w:rPr>
        <w:t>,</w:t>
      </w:r>
      <w:r>
        <w:t xml:space="preserve"> (https://cgc.gov.au</w:t>
      </w:r>
      <w:r w:rsidRPr="000C4987">
        <w:t>)</w:t>
      </w:r>
      <w:r w:rsidRPr="0029490D">
        <w:t>.</w:t>
      </w:r>
      <w:r w:rsidRPr="0029490D">
        <w:rPr>
          <w:rStyle w:val="FootnoteReference"/>
        </w:rPr>
        <w:footnoteReference w:id="62"/>
      </w:r>
    </w:p>
    <w:p w14:paraId="03668061" w14:textId="77777777" w:rsidR="007E365E" w:rsidRPr="004A2545" w:rsidRDefault="007E365E" w:rsidP="007E365E">
      <w:pPr>
        <w:pStyle w:val="CGCParaNumber"/>
      </w:pPr>
      <w:r w:rsidRPr="004A2545">
        <w:t xml:space="preserve">Apart from payments to the States, the Commonwealth also provides direct assistance to businesses, industry and local </w:t>
      </w:r>
      <w:r w:rsidRPr="00CC13CC">
        <w:t>government. The ACT said the Commission should make an adjustment to State business development needs to account for Commonwealth assistance. In principle, if these payments affect a State’s fiscal capacity by relieving the State of a need to provide assistance, their effects should be included in the Commission’s assessments. In practice, the interstate distribution of these payments is unknown</w:t>
      </w:r>
      <w:r>
        <w:t>,</w:t>
      </w:r>
      <w:r w:rsidRPr="00CC13CC">
        <w:t xml:space="preserve"> and it would be difficult to </w:t>
      </w:r>
      <w:r w:rsidRPr="00CC13CC">
        <w:lastRenderedPageBreak/>
        <w:t>determine how they affect State fiscal capacities. For these reasons, the Commission does not consider payments by the Commonwealth to third parties in the equalisation process.</w:t>
      </w:r>
    </w:p>
    <w:p w14:paraId="0E57B85F" w14:textId="0B3EED9C" w:rsidR="007E365E" w:rsidRPr="000C4987" w:rsidRDefault="007E365E" w:rsidP="007E365E">
      <w:pPr>
        <w:pStyle w:val="Heading3"/>
      </w:pPr>
      <w:bookmarkStart w:id="295" w:name="_Toc22807481"/>
      <w:r w:rsidRPr="000C4987">
        <w:t xml:space="preserve">Category </w:t>
      </w:r>
      <w:r>
        <w:t>s</w:t>
      </w:r>
      <w:r w:rsidRPr="000C4987">
        <w:t>tructure</w:t>
      </w:r>
      <w:bookmarkEnd w:id="295"/>
    </w:p>
    <w:p w14:paraId="5648D1A7" w14:textId="77777777" w:rsidR="007E365E" w:rsidRDefault="007E365E" w:rsidP="007E365E">
      <w:pPr>
        <w:pStyle w:val="CGCParaNumber"/>
      </w:pPr>
      <w:r>
        <w:t>The Services to industry category has four components:</w:t>
      </w:r>
    </w:p>
    <w:p w14:paraId="429FD5E6" w14:textId="77777777" w:rsidR="007E365E" w:rsidRPr="002F5E74" w:rsidRDefault="007E365E" w:rsidP="007E365E">
      <w:pPr>
        <w:pStyle w:val="CGCBullet1"/>
      </w:pPr>
      <w:r w:rsidRPr="002F5E74">
        <w:t>agriculture regulation</w:t>
      </w:r>
    </w:p>
    <w:p w14:paraId="08DDB76B" w14:textId="77777777" w:rsidR="007E365E" w:rsidRPr="002F5E74" w:rsidRDefault="007E365E" w:rsidP="007E365E">
      <w:pPr>
        <w:pStyle w:val="CGCBullet1"/>
      </w:pPr>
      <w:r w:rsidRPr="002F5E74">
        <w:t>mining regulation</w:t>
      </w:r>
    </w:p>
    <w:p w14:paraId="3CD235B3" w14:textId="77777777" w:rsidR="007E365E" w:rsidRPr="002F5E74" w:rsidRDefault="007E365E" w:rsidP="007E365E">
      <w:pPr>
        <w:pStyle w:val="CGCBullet1"/>
      </w:pPr>
      <w:r w:rsidRPr="002F5E74">
        <w:t>other industries regulation</w:t>
      </w:r>
    </w:p>
    <w:p w14:paraId="6762E5D9" w14:textId="77777777" w:rsidR="007E365E" w:rsidRPr="002F5E74" w:rsidRDefault="007E365E" w:rsidP="007E365E">
      <w:pPr>
        <w:pStyle w:val="CGCBullet1"/>
      </w:pPr>
      <w:r w:rsidRPr="002F5E74">
        <w:t>business development.</w:t>
      </w:r>
    </w:p>
    <w:p w14:paraId="58189D28" w14:textId="77777777" w:rsidR="007E365E" w:rsidRDefault="007E365E" w:rsidP="007E365E">
      <w:pPr>
        <w:pStyle w:val="CGCParaNumber"/>
      </w:pPr>
      <w:r>
        <w:t>The components allow different disability assessments to apply to sub-functions.</w:t>
      </w:r>
    </w:p>
    <w:p w14:paraId="4351F3E1" w14:textId="0BE15B89" w:rsidR="007E365E" w:rsidRDefault="007E365E" w:rsidP="007E365E">
      <w:pPr>
        <w:pStyle w:val="CGCParaNumber"/>
      </w:pPr>
      <w:r>
        <w:fldChar w:fldCharType="begin"/>
      </w:r>
      <w:r>
        <w:instrText xml:space="preserve"> REF _Ref22720672 \h </w:instrText>
      </w:r>
      <w:r>
        <w:fldChar w:fldCharType="separate"/>
      </w:r>
      <w:r w:rsidR="007F721A">
        <w:t>Table 22-</w:t>
      </w:r>
      <w:r w:rsidR="007F721A">
        <w:rPr>
          <w:noProof/>
        </w:rPr>
        <w:t>5</w:t>
      </w:r>
      <w:r>
        <w:fldChar w:fldCharType="end"/>
      </w:r>
      <w:r>
        <w:t xml:space="preserve"> shows the category’s assessment structure, the size of each component and the disabilities that apply. </w:t>
      </w:r>
    </w:p>
    <w:p w14:paraId="3A05CB3E" w14:textId="37532876" w:rsidR="007E365E" w:rsidRDefault="007E365E" w:rsidP="007E365E">
      <w:pPr>
        <w:pStyle w:val="Caption"/>
      </w:pPr>
      <w:bookmarkStart w:id="296" w:name="_Ref22720672"/>
      <w:r>
        <w:t>Table 22-</w:t>
      </w:r>
      <w:fldSimple w:instr=" SEQ Table \* ARABIC ">
        <w:r w:rsidR="007F721A">
          <w:rPr>
            <w:noProof/>
          </w:rPr>
          <w:t>5</w:t>
        </w:r>
      </w:fldSimple>
      <w:bookmarkEnd w:id="296"/>
      <w:r>
        <w:tab/>
        <w:t>Category structure, Services to industry, 2018-19</w:t>
      </w:r>
    </w:p>
    <w:tbl>
      <w:tblPr>
        <w:tblW w:w="9102" w:type="dxa"/>
        <w:tblCellMar>
          <w:left w:w="28" w:type="dxa"/>
        </w:tblCellMar>
        <w:tblLook w:val="04A0" w:firstRow="1" w:lastRow="0" w:firstColumn="1" w:lastColumn="0" w:noHBand="0" w:noVBand="1"/>
      </w:tblPr>
      <w:tblGrid>
        <w:gridCol w:w="1660"/>
        <w:gridCol w:w="1124"/>
        <w:gridCol w:w="258"/>
        <w:gridCol w:w="1880"/>
        <w:gridCol w:w="4180"/>
      </w:tblGrid>
      <w:tr w:rsidR="007E365E" w:rsidRPr="00082DE5" w14:paraId="7A464B93" w14:textId="77777777" w:rsidTr="007D1D77">
        <w:trPr>
          <w:trHeight w:val="555"/>
        </w:trPr>
        <w:tc>
          <w:tcPr>
            <w:tcW w:w="1660" w:type="dxa"/>
            <w:tcBorders>
              <w:top w:val="nil"/>
              <w:left w:val="nil"/>
              <w:bottom w:val="single" w:sz="8" w:space="0" w:color="ADD6EA"/>
              <w:right w:val="nil"/>
            </w:tcBorders>
            <w:shd w:val="clear" w:color="000000" w:fill="006991"/>
            <w:vAlign w:val="center"/>
            <w:hideMark/>
          </w:tcPr>
          <w:p w14:paraId="0B52CE76" w14:textId="77777777" w:rsidR="007E365E" w:rsidRPr="00082DE5"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297" w:name="RANGE!B4:F5"/>
            <w:r w:rsidRPr="00082DE5">
              <w:rPr>
                <w:rFonts w:ascii="Open Sans SemiBold" w:eastAsia="Times New Roman" w:hAnsi="Open Sans SemiBold" w:cs="Open Sans SemiBold"/>
                <w:color w:val="FFFFFF"/>
                <w:sz w:val="16"/>
                <w:szCs w:val="16"/>
                <w:lang w:eastAsia="en-AU"/>
              </w:rPr>
              <w:t>Component</w:t>
            </w:r>
            <w:bookmarkEnd w:id="297"/>
          </w:p>
        </w:tc>
        <w:tc>
          <w:tcPr>
            <w:tcW w:w="1124" w:type="dxa"/>
            <w:tcBorders>
              <w:top w:val="nil"/>
              <w:left w:val="nil"/>
              <w:bottom w:val="single" w:sz="8" w:space="0" w:color="ADD6EA"/>
              <w:right w:val="nil"/>
            </w:tcBorders>
            <w:shd w:val="clear" w:color="000000" w:fill="006991"/>
            <w:vAlign w:val="center"/>
            <w:hideMark/>
          </w:tcPr>
          <w:p w14:paraId="02C73C8B" w14:textId="77777777" w:rsidR="007E365E" w:rsidRPr="00082DE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82DE5">
              <w:rPr>
                <w:rFonts w:ascii="Open Sans SemiBold" w:eastAsia="Times New Roman" w:hAnsi="Open Sans SemiBold" w:cs="Open Sans SemiBold"/>
                <w:color w:val="FFFFFF"/>
                <w:sz w:val="16"/>
                <w:szCs w:val="16"/>
                <w:lang w:eastAsia="en-AU"/>
              </w:rPr>
              <w:t>Component expense</w:t>
            </w:r>
          </w:p>
        </w:tc>
        <w:tc>
          <w:tcPr>
            <w:tcW w:w="258" w:type="dxa"/>
            <w:tcBorders>
              <w:top w:val="nil"/>
              <w:left w:val="nil"/>
              <w:bottom w:val="single" w:sz="8" w:space="0" w:color="ADD6EA"/>
              <w:right w:val="nil"/>
            </w:tcBorders>
            <w:shd w:val="clear" w:color="000000" w:fill="006991"/>
            <w:vAlign w:val="center"/>
            <w:hideMark/>
          </w:tcPr>
          <w:p w14:paraId="306A5266" w14:textId="77777777" w:rsidR="007E365E" w:rsidRPr="00082DE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82DE5">
              <w:rPr>
                <w:rFonts w:ascii="Open Sans SemiBold" w:eastAsia="Times New Roman" w:hAnsi="Open Sans SemiBold" w:cs="Open Sans SemiBold"/>
                <w:color w:val="FFFFFF"/>
                <w:sz w:val="16"/>
                <w:szCs w:val="16"/>
                <w:lang w:eastAsia="en-AU"/>
              </w:rPr>
              <w:t> </w:t>
            </w:r>
          </w:p>
        </w:tc>
        <w:tc>
          <w:tcPr>
            <w:tcW w:w="1880" w:type="dxa"/>
            <w:tcBorders>
              <w:top w:val="nil"/>
              <w:left w:val="nil"/>
              <w:bottom w:val="single" w:sz="8" w:space="0" w:color="ADD6EA"/>
              <w:right w:val="nil"/>
            </w:tcBorders>
            <w:shd w:val="clear" w:color="000000" w:fill="006991"/>
            <w:vAlign w:val="center"/>
            <w:hideMark/>
          </w:tcPr>
          <w:p w14:paraId="79E7EBD8" w14:textId="77777777" w:rsidR="007E365E" w:rsidRPr="00082DE5"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082DE5">
              <w:rPr>
                <w:rFonts w:ascii="Open Sans SemiBold" w:eastAsia="Times New Roman" w:hAnsi="Open Sans SemiBold" w:cs="Open Sans SemiBold"/>
                <w:color w:val="FFFFFF"/>
                <w:sz w:val="16"/>
                <w:szCs w:val="16"/>
                <w:lang w:eastAsia="en-AU"/>
              </w:rPr>
              <w:t>Disability</w:t>
            </w:r>
          </w:p>
        </w:tc>
        <w:tc>
          <w:tcPr>
            <w:tcW w:w="4180" w:type="dxa"/>
            <w:tcBorders>
              <w:top w:val="nil"/>
              <w:left w:val="nil"/>
              <w:bottom w:val="single" w:sz="8" w:space="0" w:color="ADD6EA"/>
              <w:right w:val="nil"/>
            </w:tcBorders>
            <w:shd w:val="clear" w:color="000000" w:fill="006991"/>
            <w:vAlign w:val="center"/>
            <w:hideMark/>
          </w:tcPr>
          <w:p w14:paraId="514FB7AD" w14:textId="77777777" w:rsidR="007E365E" w:rsidRPr="00082DE5"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082DE5">
              <w:rPr>
                <w:rFonts w:ascii="Open Sans SemiBold" w:eastAsia="Times New Roman" w:hAnsi="Open Sans SemiBold" w:cs="Open Sans SemiBold"/>
                <w:color w:val="FFFFFF"/>
                <w:sz w:val="16"/>
                <w:szCs w:val="16"/>
                <w:lang w:eastAsia="en-AU"/>
              </w:rPr>
              <w:t>Influence measured by disability</w:t>
            </w:r>
          </w:p>
        </w:tc>
      </w:tr>
      <w:tr w:rsidR="007E365E" w:rsidRPr="00082DE5" w14:paraId="19BF85C4" w14:textId="77777777" w:rsidTr="007D1D77">
        <w:trPr>
          <w:trHeight w:val="259"/>
        </w:trPr>
        <w:tc>
          <w:tcPr>
            <w:tcW w:w="1660" w:type="dxa"/>
            <w:tcBorders>
              <w:top w:val="nil"/>
              <w:left w:val="nil"/>
              <w:bottom w:val="single" w:sz="8" w:space="0" w:color="ADD6EA"/>
              <w:right w:val="nil"/>
            </w:tcBorders>
            <w:shd w:val="clear" w:color="000000" w:fill="B6D5E4"/>
            <w:noWrap/>
            <w:vAlign w:val="center"/>
            <w:hideMark/>
          </w:tcPr>
          <w:p w14:paraId="75CE3D89" w14:textId="77777777" w:rsidR="007E365E" w:rsidRPr="00082DE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82DE5">
              <w:rPr>
                <w:rFonts w:ascii="Open Sans SemiBold" w:eastAsia="Times New Roman" w:hAnsi="Open Sans SemiBold" w:cs="Open Sans SemiBold"/>
                <w:color w:val="000000"/>
                <w:sz w:val="16"/>
                <w:szCs w:val="16"/>
                <w:lang w:eastAsia="en-AU"/>
              </w:rPr>
              <w:t> </w:t>
            </w:r>
          </w:p>
        </w:tc>
        <w:tc>
          <w:tcPr>
            <w:tcW w:w="1124" w:type="dxa"/>
            <w:tcBorders>
              <w:top w:val="nil"/>
              <w:left w:val="nil"/>
              <w:bottom w:val="single" w:sz="8" w:space="0" w:color="ADD6EA"/>
              <w:right w:val="nil"/>
            </w:tcBorders>
            <w:shd w:val="clear" w:color="000000" w:fill="B6D5E4"/>
            <w:noWrap/>
            <w:vAlign w:val="center"/>
            <w:hideMark/>
          </w:tcPr>
          <w:p w14:paraId="041BA9C8" w14:textId="77777777" w:rsidR="007E365E" w:rsidRPr="00082DE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82DE5">
              <w:rPr>
                <w:rFonts w:ascii="Open Sans SemiBold" w:eastAsia="Times New Roman" w:hAnsi="Open Sans SemiBold" w:cs="Open Sans SemiBold"/>
                <w:color w:val="000000"/>
                <w:sz w:val="16"/>
                <w:szCs w:val="16"/>
                <w:lang w:eastAsia="en-AU"/>
              </w:rPr>
              <w:t>$m</w:t>
            </w:r>
          </w:p>
        </w:tc>
        <w:tc>
          <w:tcPr>
            <w:tcW w:w="258" w:type="dxa"/>
            <w:tcBorders>
              <w:top w:val="nil"/>
              <w:left w:val="nil"/>
              <w:bottom w:val="single" w:sz="8" w:space="0" w:color="ADD6EA"/>
              <w:right w:val="nil"/>
            </w:tcBorders>
            <w:shd w:val="clear" w:color="000000" w:fill="B6D5E4"/>
            <w:noWrap/>
            <w:vAlign w:val="center"/>
            <w:hideMark/>
          </w:tcPr>
          <w:p w14:paraId="344D1E9F" w14:textId="77777777" w:rsidR="007E365E" w:rsidRPr="00082DE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82DE5">
              <w:rPr>
                <w:rFonts w:ascii="Open Sans SemiBold" w:eastAsia="Times New Roman" w:hAnsi="Open Sans SemiBold" w:cs="Open Sans SemiBold"/>
                <w:color w:val="000000"/>
                <w:sz w:val="16"/>
                <w:szCs w:val="16"/>
                <w:lang w:eastAsia="en-AU"/>
              </w:rPr>
              <w:t> </w:t>
            </w:r>
          </w:p>
        </w:tc>
        <w:tc>
          <w:tcPr>
            <w:tcW w:w="1880" w:type="dxa"/>
            <w:tcBorders>
              <w:top w:val="nil"/>
              <w:left w:val="nil"/>
              <w:bottom w:val="single" w:sz="8" w:space="0" w:color="ADD6EA"/>
              <w:right w:val="nil"/>
            </w:tcBorders>
            <w:shd w:val="clear" w:color="000000" w:fill="B6D5E4"/>
            <w:noWrap/>
            <w:vAlign w:val="center"/>
            <w:hideMark/>
          </w:tcPr>
          <w:p w14:paraId="0D9C7FC0" w14:textId="77777777" w:rsidR="007E365E" w:rsidRPr="00082DE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82DE5">
              <w:rPr>
                <w:rFonts w:ascii="Open Sans SemiBold" w:eastAsia="Times New Roman" w:hAnsi="Open Sans SemiBold" w:cs="Open Sans SemiBold"/>
                <w:color w:val="000000"/>
                <w:sz w:val="16"/>
                <w:szCs w:val="16"/>
                <w:lang w:eastAsia="en-AU"/>
              </w:rPr>
              <w:t> </w:t>
            </w:r>
          </w:p>
        </w:tc>
        <w:tc>
          <w:tcPr>
            <w:tcW w:w="4180" w:type="dxa"/>
            <w:tcBorders>
              <w:top w:val="nil"/>
              <w:left w:val="nil"/>
              <w:bottom w:val="single" w:sz="8" w:space="0" w:color="ADD6EA"/>
              <w:right w:val="nil"/>
            </w:tcBorders>
            <w:shd w:val="clear" w:color="000000" w:fill="B6D5E4"/>
            <w:noWrap/>
            <w:vAlign w:val="center"/>
            <w:hideMark/>
          </w:tcPr>
          <w:p w14:paraId="47DD8EE3" w14:textId="77777777" w:rsidR="007E365E" w:rsidRPr="00082DE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82DE5">
              <w:rPr>
                <w:rFonts w:ascii="Open Sans SemiBold" w:eastAsia="Times New Roman" w:hAnsi="Open Sans SemiBold" w:cs="Open Sans SemiBold"/>
                <w:color w:val="000000"/>
                <w:sz w:val="16"/>
                <w:szCs w:val="16"/>
                <w:lang w:eastAsia="en-AU"/>
              </w:rPr>
              <w:t> </w:t>
            </w:r>
          </w:p>
        </w:tc>
      </w:tr>
      <w:tr w:rsidR="007E365E" w:rsidRPr="00082DE5" w14:paraId="586DA7DA" w14:textId="77777777" w:rsidTr="007D1D77">
        <w:trPr>
          <w:trHeight w:val="795"/>
        </w:trPr>
        <w:tc>
          <w:tcPr>
            <w:tcW w:w="1660" w:type="dxa"/>
            <w:tcBorders>
              <w:top w:val="nil"/>
              <w:left w:val="nil"/>
              <w:bottom w:val="nil"/>
              <w:right w:val="nil"/>
            </w:tcBorders>
            <w:shd w:val="clear" w:color="auto" w:fill="auto"/>
            <w:hideMark/>
          </w:tcPr>
          <w:p w14:paraId="637B67DF" w14:textId="77777777" w:rsidR="007E365E" w:rsidRPr="00082DE5"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082DE5">
              <w:rPr>
                <w:rFonts w:ascii="Open Sans SemiBold" w:eastAsia="Times New Roman" w:hAnsi="Open Sans SemiBold" w:cs="Open Sans SemiBold"/>
                <w:sz w:val="16"/>
                <w:szCs w:val="16"/>
                <w:lang w:eastAsia="en-AU"/>
              </w:rPr>
              <w:t>Agriculture regulation</w:t>
            </w:r>
          </w:p>
        </w:tc>
        <w:tc>
          <w:tcPr>
            <w:tcW w:w="1124" w:type="dxa"/>
            <w:tcBorders>
              <w:top w:val="nil"/>
              <w:left w:val="nil"/>
              <w:bottom w:val="nil"/>
              <w:right w:val="nil"/>
            </w:tcBorders>
            <w:shd w:val="clear" w:color="auto" w:fill="auto"/>
            <w:hideMark/>
          </w:tcPr>
          <w:p w14:paraId="104CD4A5" w14:textId="77777777" w:rsidR="007E365E" w:rsidRPr="00082DE5" w:rsidRDefault="007E365E" w:rsidP="007D1D77">
            <w:pPr>
              <w:tabs>
                <w:tab w:val="clear" w:pos="567"/>
              </w:tabs>
              <w:spacing w:before="0" w:line="240" w:lineRule="auto"/>
              <w:jc w:val="right"/>
              <w:rPr>
                <w:rFonts w:eastAsia="Times New Roman" w:cs="Open Sans Light"/>
                <w:sz w:val="16"/>
                <w:szCs w:val="16"/>
                <w:lang w:eastAsia="en-AU"/>
              </w:rPr>
            </w:pPr>
            <w:r w:rsidRPr="00082DE5">
              <w:rPr>
                <w:rFonts w:eastAsia="Times New Roman" w:cs="Open Sans Light"/>
                <w:sz w:val="16"/>
                <w:szCs w:val="16"/>
                <w:lang w:eastAsia="en-AU"/>
              </w:rPr>
              <w:t>615</w:t>
            </w:r>
          </w:p>
        </w:tc>
        <w:tc>
          <w:tcPr>
            <w:tcW w:w="258" w:type="dxa"/>
            <w:tcBorders>
              <w:top w:val="nil"/>
              <w:left w:val="nil"/>
              <w:bottom w:val="nil"/>
              <w:right w:val="nil"/>
            </w:tcBorders>
            <w:shd w:val="clear" w:color="auto" w:fill="auto"/>
            <w:hideMark/>
          </w:tcPr>
          <w:p w14:paraId="6E86705E" w14:textId="77777777" w:rsidR="007E365E" w:rsidRPr="00082DE5" w:rsidRDefault="007E365E" w:rsidP="007D1D77">
            <w:pPr>
              <w:tabs>
                <w:tab w:val="clear" w:pos="567"/>
              </w:tabs>
              <w:spacing w:before="0" w:line="240" w:lineRule="auto"/>
              <w:jc w:val="right"/>
              <w:rPr>
                <w:rFonts w:eastAsia="Times New Roman" w:cs="Open Sans Light"/>
                <w:sz w:val="16"/>
                <w:szCs w:val="16"/>
                <w:lang w:eastAsia="en-AU"/>
              </w:rPr>
            </w:pPr>
          </w:p>
        </w:tc>
        <w:tc>
          <w:tcPr>
            <w:tcW w:w="1880" w:type="dxa"/>
            <w:tcBorders>
              <w:top w:val="nil"/>
              <w:left w:val="nil"/>
              <w:bottom w:val="single" w:sz="4" w:space="0" w:color="ADD6EA"/>
              <w:right w:val="nil"/>
            </w:tcBorders>
            <w:shd w:val="clear" w:color="auto" w:fill="auto"/>
            <w:hideMark/>
          </w:tcPr>
          <w:p w14:paraId="3691A95B"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Economic environment</w:t>
            </w:r>
          </w:p>
        </w:tc>
        <w:tc>
          <w:tcPr>
            <w:tcW w:w="4180" w:type="dxa"/>
            <w:tcBorders>
              <w:top w:val="nil"/>
              <w:left w:val="nil"/>
              <w:bottom w:val="single" w:sz="4" w:space="0" w:color="ADD6EA"/>
              <w:right w:val="nil"/>
            </w:tcBorders>
            <w:shd w:val="clear" w:color="auto" w:fill="auto"/>
            <w:hideMark/>
          </w:tcPr>
          <w:p w14:paraId="0D1ACE6B"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Recognises the additional cost of providing regulatory services to the agricultural sector is determined by the level of economic activity in the sector</w:t>
            </w:r>
          </w:p>
        </w:tc>
      </w:tr>
      <w:tr w:rsidR="007E365E" w:rsidRPr="00082DE5" w14:paraId="04600BB4" w14:textId="77777777" w:rsidTr="007D1D77">
        <w:trPr>
          <w:trHeight w:val="555"/>
        </w:trPr>
        <w:tc>
          <w:tcPr>
            <w:tcW w:w="1660" w:type="dxa"/>
            <w:tcBorders>
              <w:top w:val="nil"/>
              <w:left w:val="nil"/>
              <w:bottom w:val="nil"/>
              <w:right w:val="nil"/>
            </w:tcBorders>
            <w:shd w:val="clear" w:color="auto" w:fill="auto"/>
            <w:hideMark/>
          </w:tcPr>
          <w:p w14:paraId="01CD2CE4"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p>
        </w:tc>
        <w:tc>
          <w:tcPr>
            <w:tcW w:w="1124" w:type="dxa"/>
            <w:tcBorders>
              <w:top w:val="nil"/>
              <w:left w:val="nil"/>
              <w:bottom w:val="nil"/>
              <w:right w:val="nil"/>
            </w:tcBorders>
            <w:shd w:val="clear" w:color="auto" w:fill="auto"/>
            <w:hideMark/>
          </w:tcPr>
          <w:p w14:paraId="373FE060" w14:textId="77777777" w:rsidR="007E365E" w:rsidRPr="00082DE5" w:rsidRDefault="007E365E" w:rsidP="007D1D77">
            <w:pPr>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bottom w:val="nil"/>
              <w:right w:val="nil"/>
            </w:tcBorders>
            <w:shd w:val="clear" w:color="auto" w:fill="auto"/>
            <w:hideMark/>
          </w:tcPr>
          <w:p w14:paraId="288F8989" w14:textId="77777777" w:rsidR="007E365E" w:rsidRPr="00082DE5" w:rsidRDefault="007E365E" w:rsidP="007D1D77">
            <w:pPr>
              <w:tabs>
                <w:tab w:val="clear" w:pos="567"/>
              </w:tabs>
              <w:spacing w:before="0" w:line="240" w:lineRule="auto"/>
              <w:jc w:val="right"/>
              <w:rPr>
                <w:rFonts w:ascii="Times New Roman" w:eastAsia="Times New Roman" w:hAnsi="Times New Roman" w:cs="Times New Roman"/>
                <w:szCs w:val="20"/>
                <w:lang w:eastAsia="en-AU"/>
              </w:rPr>
            </w:pPr>
          </w:p>
        </w:tc>
        <w:tc>
          <w:tcPr>
            <w:tcW w:w="1880" w:type="dxa"/>
            <w:tcBorders>
              <w:top w:val="nil"/>
              <w:left w:val="nil"/>
              <w:bottom w:val="single" w:sz="4" w:space="0" w:color="ADD6EA"/>
              <w:right w:val="nil"/>
            </w:tcBorders>
            <w:shd w:val="clear" w:color="auto" w:fill="auto"/>
            <w:hideMark/>
          </w:tcPr>
          <w:p w14:paraId="259C2244"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Wage costs</w:t>
            </w:r>
          </w:p>
        </w:tc>
        <w:tc>
          <w:tcPr>
            <w:tcW w:w="4180" w:type="dxa"/>
            <w:tcBorders>
              <w:top w:val="nil"/>
              <w:left w:val="nil"/>
              <w:bottom w:val="single" w:sz="4" w:space="0" w:color="ADD6EA"/>
              <w:right w:val="nil"/>
            </w:tcBorders>
            <w:shd w:val="clear" w:color="auto" w:fill="auto"/>
            <w:hideMark/>
          </w:tcPr>
          <w:p w14:paraId="71DB47D8"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Recognises the differences in wage costs between States</w:t>
            </w:r>
          </w:p>
        </w:tc>
      </w:tr>
      <w:tr w:rsidR="007E365E" w:rsidRPr="00082DE5" w14:paraId="70017F92" w14:textId="77777777" w:rsidTr="007D1D77">
        <w:trPr>
          <w:trHeight w:val="555"/>
        </w:trPr>
        <w:tc>
          <w:tcPr>
            <w:tcW w:w="1660" w:type="dxa"/>
            <w:tcBorders>
              <w:top w:val="nil"/>
              <w:left w:val="nil"/>
              <w:bottom w:val="nil"/>
              <w:right w:val="nil"/>
            </w:tcBorders>
            <w:shd w:val="clear" w:color="auto" w:fill="auto"/>
            <w:hideMark/>
          </w:tcPr>
          <w:p w14:paraId="73ADB0F5"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p>
        </w:tc>
        <w:tc>
          <w:tcPr>
            <w:tcW w:w="1124" w:type="dxa"/>
            <w:tcBorders>
              <w:top w:val="nil"/>
              <w:left w:val="nil"/>
              <w:bottom w:val="nil"/>
              <w:right w:val="nil"/>
            </w:tcBorders>
            <w:shd w:val="clear" w:color="auto" w:fill="auto"/>
            <w:hideMark/>
          </w:tcPr>
          <w:p w14:paraId="696AAC86" w14:textId="77777777" w:rsidR="007E365E" w:rsidRPr="00082DE5" w:rsidRDefault="007E365E" w:rsidP="007D1D77">
            <w:pPr>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bottom w:val="nil"/>
              <w:right w:val="nil"/>
            </w:tcBorders>
            <w:shd w:val="clear" w:color="auto" w:fill="auto"/>
            <w:hideMark/>
          </w:tcPr>
          <w:p w14:paraId="3C6984E5" w14:textId="77777777" w:rsidR="007E365E" w:rsidRPr="00082DE5" w:rsidRDefault="007E365E" w:rsidP="007D1D77">
            <w:pPr>
              <w:tabs>
                <w:tab w:val="clear" w:pos="567"/>
              </w:tabs>
              <w:spacing w:before="0" w:line="240" w:lineRule="auto"/>
              <w:jc w:val="right"/>
              <w:rPr>
                <w:rFonts w:ascii="Times New Roman" w:eastAsia="Times New Roman" w:hAnsi="Times New Roman" w:cs="Times New Roman"/>
                <w:szCs w:val="20"/>
                <w:lang w:eastAsia="en-AU"/>
              </w:rPr>
            </w:pPr>
          </w:p>
        </w:tc>
        <w:tc>
          <w:tcPr>
            <w:tcW w:w="1880" w:type="dxa"/>
            <w:tcBorders>
              <w:top w:val="nil"/>
              <w:left w:val="nil"/>
              <w:bottom w:val="single" w:sz="4" w:space="0" w:color="ADD6EA"/>
              <w:right w:val="nil"/>
            </w:tcBorders>
            <w:shd w:val="clear" w:color="auto" w:fill="auto"/>
            <w:hideMark/>
          </w:tcPr>
          <w:p w14:paraId="371C1477"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Regional costs</w:t>
            </w:r>
          </w:p>
        </w:tc>
        <w:tc>
          <w:tcPr>
            <w:tcW w:w="4180" w:type="dxa"/>
            <w:tcBorders>
              <w:top w:val="nil"/>
              <w:left w:val="nil"/>
              <w:bottom w:val="single" w:sz="4" w:space="0" w:color="ADD6EA"/>
              <w:right w:val="nil"/>
            </w:tcBorders>
            <w:shd w:val="clear" w:color="auto" w:fill="auto"/>
            <w:hideMark/>
          </w:tcPr>
          <w:p w14:paraId="4B49F9D0"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Recognises the higher cost of providing services in more remote areas</w:t>
            </w:r>
          </w:p>
        </w:tc>
      </w:tr>
      <w:tr w:rsidR="007E365E" w:rsidRPr="00082DE5" w14:paraId="0AB4221E" w14:textId="77777777" w:rsidTr="007D1D77">
        <w:trPr>
          <w:trHeight w:val="795"/>
        </w:trPr>
        <w:tc>
          <w:tcPr>
            <w:tcW w:w="1660" w:type="dxa"/>
            <w:tcBorders>
              <w:top w:val="nil"/>
              <w:left w:val="nil"/>
              <w:bottom w:val="nil"/>
              <w:right w:val="nil"/>
            </w:tcBorders>
            <w:shd w:val="clear" w:color="auto" w:fill="auto"/>
            <w:hideMark/>
          </w:tcPr>
          <w:p w14:paraId="0487EA2C" w14:textId="77777777" w:rsidR="007E365E" w:rsidRPr="00082DE5"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082DE5">
              <w:rPr>
                <w:rFonts w:ascii="Open Sans SemiBold" w:eastAsia="Times New Roman" w:hAnsi="Open Sans SemiBold" w:cs="Open Sans SemiBold"/>
                <w:sz w:val="16"/>
                <w:szCs w:val="16"/>
                <w:lang w:eastAsia="en-AU"/>
              </w:rPr>
              <w:t>Mining regulation</w:t>
            </w:r>
          </w:p>
        </w:tc>
        <w:tc>
          <w:tcPr>
            <w:tcW w:w="1124" w:type="dxa"/>
            <w:tcBorders>
              <w:top w:val="nil"/>
              <w:left w:val="nil"/>
              <w:bottom w:val="nil"/>
              <w:right w:val="nil"/>
            </w:tcBorders>
            <w:shd w:val="clear" w:color="auto" w:fill="auto"/>
            <w:hideMark/>
          </w:tcPr>
          <w:p w14:paraId="6D2F3D46" w14:textId="77777777" w:rsidR="007E365E" w:rsidRPr="00082DE5" w:rsidRDefault="007E365E" w:rsidP="007D1D77">
            <w:pPr>
              <w:tabs>
                <w:tab w:val="clear" w:pos="567"/>
              </w:tabs>
              <w:spacing w:before="0" w:line="240" w:lineRule="auto"/>
              <w:jc w:val="right"/>
              <w:rPr>
                <w:rFonts w:eastAsia="Times New Roman" w:cs="Open Sans Light"/>
                <w:sz w:val="16"/>
                <w:szCs w:val="16"/>
                <w:lang w:eastAsia="en-AU"/>
              </w:rPr>
            </w:pPr>
            <w:r w:rsidRPr="00082DE5">
              <w:rPr>
                <w:rFonts w:eastAsia="Times New Roman" w:cs="Open Sans Light"/>
                <w:sz w:val="16"/>
                <w:szCs w:val="16"/>
                <w:lang w:eastAsia="en-AU"/>
              </w:rPr>
              <w:t>341</w:t>
            </w:r>
          </w:p>
        </w:tc>
        <w:tc>
          <w:tcPr>
            <w:tcW w:w="258" w:type="dxa"/>
            <w:tcBorders>
              <w:top w:val="nil"/>
              <w:left w:val="nil"/>
              <w:bottom w:val="nil"/>
              <w:right w:val="nil"/>
            </w:tcBorders>
            <w:shd w:val="clear" w:color="auto" w:fill="auto"/>
            <w:hideMark/>
          </w:tcPr>
          <w:p w14:paraId="484E9579" w14:textId="77777777" w:rsidR="007E365E" w:rsidRPr="00082DE5" w:rsidRDefault="007E365E" w:rsidP="007D1D77">
            <w:pPr>
              <w:tabs>
                <w:tab w:val="clear" w:pos="567"/>
              </w:tabs>
              <w:spacing w:before="0" w:line="240" w:lineRule="auto"/>
              <w:jc w:val="right"/>
              <w:rPr>
                <w:rFonts w:eastAsia="Times New Roman" w:cs="Open Sans Light"/>
                <w:sz w:val="16"/>
                <w:szCs w:val="16"/>
                <w:lang w:eastAsia="en-AU"/>
              </w:rPr>
            </w:pPr>
          </w:p>
        </w:tc>
        <w:tc>
          <w:tcPr>
            <w:tcW w:w="1880" w:type="dxa"/>
            <w:tcBorders>
              <w:top w:val="nil"/>
              <w:left w:val="nil"/>
              <w:bottom w:val="single" w:sz="4" w:space="0" w:color="ADD6EA"/>
              <w:right w:val="nil"/>
            </w:tcBorders>
            <w:shd w:val="clear" w:color="auto" w:fill="auto"/>
            <w:hideMark/>
          </w:tcPr>
          <w:p w14:paraId="09C9244B"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Economic environment</w:t>
            </w:r>
          </w:p>
        </w:tc>
        <w:tc>
          <w:tcPr>
            <w:tcW w:w="4180" w:type="dxa"/>
            <w:tcBorders>
              <w:top w:val="nil"/>
              <w:left w:val="nil"/>
              <w:bottom w:val="single" w:sz="4" w:space="0" w:color="ADD6EA"/>
              <w:right w:val="nil"/>
            </w:tcBorders>
            <w:shd w:val="clear" w:color="auto" w:fill="auto"/>
            <w:hideMark/>
          </w:tcPr>
          <w:p w14:paraId="048202DA"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Recognises the additional cost of regulating the mining sector is determined by the level of economic activity in the sector</w:t>
            </w:r>
          </w:p>
        </w:tc>
      </w:tr>
      <w:tr w:rsidR="007E365E" w:rsidRPr="00082DE5" w14:paraId="0107C482" w14:textId="77777777" w:rsidTr="007D1D77">
        <w:trPr>
          <w:trHeight w:val="555"/>
        </w:trPr>
        <w:tc>
          <w:tcPr>
            <w:tcW w:w="1660" w:type="dxa"/>
            <w:tcBorders>
              <w:top w:val="nil"/>
              <w:left w:val="nil"/>
              <w:bottom w:val="nil"/>
              <w:right w:val="nil"/>
            </w:tcBorders>
            <w:shd w:val="clear" w:color="auto" w:fill="auto"/>
            <w:hideMark/>
          </w:tcPr>
          <w:p w14:paraId="3B8D7FDD"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p>
        </w:tc>
        <w:tc>
          <w:tcPr>
            <w:tcW w:w="1124" w:type="dxa"/>
            <w:tcBorders>
              <w:top w:val="nil"/>
              <w:left w:val="nil"/>
              <w:bottom w:val="nil"/>
              <w:right w:val="nil"/>
            </w:tcBorders>
            <w:shd w:val="clear" w:color="auto" w:fill="auto"/>
            <w:hideMark/>
          </w:tcPr>
          <w:p w14:paraId="3E6F0625" w14:textId="77777777" w:rsidR="007E365E" w:rsidRPr="00082DE5" w:rsidRDefault="007E365E" w:rsidP="007D1D77">
            <w:pPr>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bottom w:val="nil"/>
              <w:right w:val="nil"/>
            </w:tcBorders>
            <w:shd w:val="clear" w:color="auto" w:fill="auto"/>
            <w:hideMark/>
          </w:tcPr>
          <w:p w14:paraId="444B9082" w14:textId="77777777" w:rsidR="007E365E" w:rsidRPr="00082DE5" w:rsidRDefault="007E365E" w:rsidP="007D1D77">
            <w:pPr>
              <w:tabs>
                <w:tab w:val="clear" w:pos="567"/>
              </w:tabs>
              <w:spacing w:before="0" w:line="240" w:lineRule="auto"/>
              <w:jc w:val="right"/>
              <w:rPr>
                <w:rFonts w:ascii="Times New Roman" w:eastAsia="Times New Roman" w:hAnsi="Times New Roman" w:cs="Times New Roman"/>
                <w:szCs w:val="20"/>
                <w:lang w:eastAsia="en-AU"/>
              </w:rPr>
            </w:pPr>
          </w:p>
        </w:tc>
        <w:tc>
          <w:tcPr>
            <w:tcW w:w="1880" w:type="dxa"/>
            <w:tcBorders>
              <w:top w:val="nil"/>
              <w:left w:val="nil"/>
              <w:bottom w:val="single" w:sz="4" w:space="0" w:color="ADD6EA"/>
              <w:right w:val="nil"/>
            </w:tcBorders>
            <w:shd w:val="clear" w:color="auto" w:fill="auto"/>
            <w:hideMark/>
          </w:tcPr>
          <w:p w14:paraId="21F3A79E"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Wage costs</w:t>
            </w:r>
          </w:p>
        </w:tc>
        <w:tc>
          <w:tcPr>
            <w:tcW w:w="4180" w:type="dxa"/>
            <w:tcBorders>
              <w:top w:val="nil"/>
              <w:left w:val="nil"/>
              <w:bottom w:val="single" w:sz="4" w:space="0" w:color="ADD6EA"/>
              <w:right w:val="nil"/>
            </w:tcBorders>
            <w:shd w:val="clear" w:color="auto" w:fill="auto"/>
            <w:hideMark/>
          </w:tcPr>
          <w:p w14:paraId="1B720A74"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Recognises the differences in wage costs between States</w:t>
            </w:r>
          </w:p>
        </w:tc>
      </w:tr>
      <w:tr w:rsidR="007E365E" w:rsidRPr="00082DE5" w14:paraId="440EF84D" w14:textId="77777777" w:rsidTr="007D1D77">
        <w:trPr>
          <w:trHeight w:val="555"/>
        </w:trPr>
        <w:tc>
          <w:tcPr>
            <w:tcW w:w="1660" w:type="dxa"/>
            <w:tcBorders>
              <w:top w:val="nil"/>
              <w:left w:val="nil"/>
              <w:bottom w:val="nil"/>
              <w:right w:val="nil"/>
            </w:tcBorders>
            <w:shd w:val="clear" w:color="auto" w:fill="auto"/>
            <w:hideMark/>
          </w:tcPr>
          <w:p w14:paraId="220A63D4"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p>
        </w:tc>
        <w:tc>
          <w:tcPr>
            <w:tcW w:w="1124" w:type="dxa"/>
            <w:tcBorders>
              <w:top w:val="nil"/>
              <w:left w:val="nil"/>
              <w:bottom w:val="nil"/>
              <w:right w:val="nil"/>
            </w:tcBorders>
            <w:shd w:val="clear" w:color="auto" w:fill="auto"/>
            <w:hideMark/>
          </w:tcPr>
          <w:p w14:paraId="03A48321" w14:textId="77777777" w:rsidR="007E365E" w:rsidRPr="00082DE5" w:rsidRDefault="007E365E" w:rsidP="007D1D77">
            <w:pPr>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bottom w:val="nil"/>
              <w:right w:val="nil"/>
            </w:tcBorders>
            <w:shd w:val="clear" w:color="auto" w:fill="auto"/>
            <w:hideMark/>
          </w:tcPr>
          <w:p w14:paraId="59473010" w14:textId="77777777" w:rsidR="007E365E" w:rsidRPr="00082DE5" w:rsidRDefault="007E365E" w:rsidP="007D1D77">
            <w:pPr>
              <w:tabs>
                <w:tab w:val="clear" w:pos="567"/>
              </w:tabs>
              <w:spacing w:before="0" w:line="240" w:lineRule="auto"/>
              <w:jc w:val="right"/>
              <w:rPr>
                <w:rFonts w:ascii="Times New Roman" w:eastAsia="Times New Roman" w:hAnsi="Times New Roman" w:cs="Times New Roman"/>
                <w:szCs w:val="20"/>
                <w:lang w:eastAsia="en-AU"/>
              </w:rPr>
            </w:pPr>
          </w:p>
        </w:tc>
        <w:tc>
          <w:tcPr>
            <w:tcW w:w="1880" w:type="dxa"/>
            <w:tcBorders>
              <w:top w:val="nil"/>
              <w:left w:val="nil"/>
              <w:bottom w:val="single" w:sz="4" w:space="0" w:color="ADD6EA"/>
              <w:right w:val="nil"/>
            </w:tcBorders>
            <w:shd w:val="clear" w:color="auto" w:fill="auto"/>
            <w:hideMark/>
          </w:tcPr>
          <w:p w14:paraId="1B0BB84F"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Regional costs</w:t>
            </w:r>
          </w:p>
        </w:tc>
        <w:tc>
          <w:tcPr>
            <w:tcW w:w="4180" w:type="dxa"/>
            <w:tcBorders>
              <w:top w:val="nil"/>
              <w:left w:val="nil"/>
              <w:bottom w:val="single" w:sz="4" w:space="0" w:color="ADD6EA"/>
              <w:right w:val="nil"/>
            </w:tcBorders>
            <w:shd w:val="clear" w:color="auto" w:fill="auto"/>
            <w:hideMark/>
          </w:tcPr>
          <w:p w14:paraId="2BAA6C71"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Recognises the higher cost of providing services in more remote areas</w:t>
            </w:r>
          </w:p>
        </w:tc>
      </w:tr>
      <w:tr w:rsidR="007E365E" w:rsidRPr="00082DE5" w14:paraId="7A1C886E" w14:textId="77777777" w:rsidTr="007D1D77">
        <w:trPr>
          <w:trHeight w:val="795"/>
        </w:trPr>
        <w:tc>
          <w:tcPr>
            <w:tcW w:w="1660" w:type="dxa"/>
            <w:tcBorders>
              <w:top w:val="nil"/>
              <w:left w:val="nil"/>
              <w:bottom w:val="nil"/>
              <w:right w:val="nil"/>
            </w:tcBorders>
            <w:shd w:val="clear" w:color="auto" w:fill="auto"/>
            <w:hideMark/>
          </w:tcPr>
          <w:p w14:paraId="0D58863B" w14:textId="77777777" w:rsidR="007E365E" w:rsidRPr="00082DE5"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082DE5">
              <w:rPr>
                <w:rFonts w:ascii="Open Sans SemiBold" w:eastAsia="Times New Roman" w:hAnsi="Open Sans SemiBold" w:cs="Open Sans SemiBold"/>
                <w:sz w:val="16"/>
                <w:szCs w:val="16"/>
                <w:lang w:eastAsia="en-AU"/>
              </w:rPr>
              <w:t>Other industries regulation</w:t>
            </w:r>
          </w:p>
        </w:tc>
        <w:tc>
          <w:tcPr>
            <w:tcW w:w="1124" w:type="dxa"/>
            <w:tcBorders>
              <w:top w:val="nil"/>
              <w:left w:val="nil"/>
              <w:bottom w:val="nil"/>
              <w:right w:val="nil"/>
            </w:tcBorders>
            <w:shd w:val="clear" w:color="auto" w:fill="auto"/>
            <w:hideMark/>
          </w:tcPr>
          <w:p w14:paraId="18223A43" w14:textId="77777777" w:rsidR="007E365E" w:rsidRPr="00082DE5" w:rsidRDefault="007E365E" w:rsidP="007D1D77">
            <w:pPr>
              <w:tabs>
                <w:tab w:val="clear" w:pos="567"/>
              </w:tabs>
              <w:spacing w:before="0" w:line="240" w:lineRule="auto"/>
              <w:jc w:val="right"/>
              <w:rPr>
                <w:rFonts w:eastAsia="Times New Roman" w:cs="Open Sans Light"/>
                <w:sz w:val="16"/>
                <w:szCs w:val="16"/>
                <w:lang w:eastAsia="en-AU"/>
              </w:rPr>
            </w:pPr>
            <w:r w:rsidRPr="00082DE5">
              <w:rPr>
                <w:rFonts w:eastAsia="Times New Roman" w:cs="Open Sans Light"/>
                <w:sz w:val="16"/>
                <w:szCs w:val="16"/>
                <w:lang w:eastAsia="en-AU"/>
              </w:rPr>
              <w:t>1</w:t>
            </w:r>
            <w:r>
              <w:rPr>
                <w:rFonts w:eastAsia="Times New Roman" w:cs="Open Sans Light"/>
                <w:sz w:val="16"/>
                <w:szCs w:val="16"/>
                <w:lang w:eastAsia="en-AU"/>
              </w:rPr>
              <w:t>,</w:t>
            </w:r>
            <w:r w:rsidRPr="00082DE5">
              <w:rPr>
                <w:rFonts w:eastAsia="Times New Roman" w:cs="Open Sans Light"/>
                <w:sz w:val="16"/>
                <w:szCs w:val="16"/>
                <w:lang w:eastAsia="en-AU"/>
              </w:rPr>
              <w:t>553</w:t>
            </w:r>
          </w:p>
        </w:tc>
        <w:tc>
          <w:tcPr>
            <w:tcW w:w="258" w:type="dxa"/>
            <w:tcBorders>
              <w:top w:val="nil"/>
              <w:left w:val="nil"/>
              <w:bottom w:val="nil"/>
              <w:right w:val="nil"/>
            </w:tcBorders>
            <w:shd w:val="clear" w:color="auto" w:fill="auto"/>
            <w:hideMark/>
          </w:tcPr>
          <w:p w14:paraId="7421D1FC" w14:textId="77777777" w:rsidR="007E365E" w:rsidRPr="00082DE5" w:rsidRDefault="007E365E" w:rsidP="007D1D77">
            <w:pPr>
              <w:tabs>
                <w:tab w:val="clear" w:pos="567"/>
              </w:tabs>
              <w:spacing w:before="0" w:line="240" w:lineRule="auto"/>
              <w:jc w:val="right"/>
              <w:rPr>
                <w:rFonts w:eastAsia="Times New Roman" w:cs="Open Sans Light"/>
                <w:sz w:val="16"/>
                <w:szCs w:val="16"/>
                <w:lang w:eastAsia="en-AU"/>
              </w:rPr>
            </w:pPr>
          </w:p>
        </w:tc>
        <w:tc>
          <w:tcPr>
            <w:tcW w:w="1880" w:type="dxa"/>
            <w:tcBorders>
              <w:top w:val="nil"/>
              <w:left w:val="nil"/>
              <w:bottom w:val="single" w:sz="4" w:space="0" w:color="ADD6EA"/>
              <w:right w:val="nil"/>
            </w:tcBorders>
            <w:shd w:val="clear" w:color="auto" w:fill="auto"/>
            <w:hideMark/>
          </w:tcPr>
          <w:p w14:paraId="5081B2D9"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Economic environment</w:t>
            </w:r>
          </w:p>
        </w:tc>
        <w:tc>
          <w:tcPr>
            <w:tcW w:w="4180" w:type="dxa"/>
            <w:tcBorders>
              <w:top w:val="nil"/>
              <w:left w:val="nil"/>
              <w:bottom w:val="single" w:sz="4" w:space="0" w:color="ADD6EA"/>
              <w:right w:val="nil"/>
            </w:tcBorders>
            <w:shd w:val="clear" w:color="auto" w:fill="auto"/>
            <w:hideMark/>
          </w:tcPr>
          <w:p w14:paraId="1AB703E1"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Recognises the additional cost of regulating other industries is determined by the level of economic activity in the sector and population size</w:t>
            </w:r>
          </w:p>
        </w:tc>
      </w:tr>
      <w:tr w:rsidR="007E365E" w:rsidRPr="00082DE5" w14:paraId="2B5973AE" w14:textId="77777777" w:rsidTr="007D1D77">
        <w:trPr>
          <w:trHeight w:val="555"/>
        </w:trPr>
        <w:tc>
          <w:tcPr>
            <w:tcW w:w="1660" w:type="dxa"/>
            <w:tcBorders>
              <w:top w:val="nil"/>
              <w:left w:val="nil"/>
              <w:bottom w:val="nil"/>
              <w:right w:val="nil"/>
            </w:tcBorders>
            <w:shd w:val="clear" w:color="auto" w:fill="auto"/>
            <w:hideMark/>
          </w:tcPr>
          <w:p w14:paraId="33AADEEB"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p>
        </w:tc>
        <w:tc>
          <w:tcPr>
            <w:tcW w:w="1124" w:type="dxa"/>
            <w:tcBorders>
              <w:top w:val="nil"/>
              <w:left w:val="nil"/>
              <w:bottom w:val="nil"/>
              <w:right w:val="nil"/>
            </w:tcBorders>
            <w:shd w:val="clear" w:color="auto" w:fill="auto"/>
            <w:hideMark/>
          </w:tcPr>
          <w:p w14:paraId="3D36BA0F" w14:textId="77777777" w:rsidR="007E365E" w:rsidRPr="00082DE5" w:rsidRDefault="007E365E" w:rsidP="007D1D77">
            <w:pPr>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bottom w:val="nil"/>
              <w:right w:val="nil"/>
            </w:tcBorders>
            <w:shd w:val="clear" w:color="auto" w:fill="auto"/>
            <w:hideMark/>
          </w:tcPr>
          <w:p w14:paraId="778C9F5F" w14:textId="77777777" w:rsidR="007E365E" w:rsidRPr="00082DE5" w:rsidRDefault="007E365E" w:rsidP="007D1D77">
            <w:pPr>
              <w:tabs>
                <w:tab w:val="clear" w:pos="567"/>
              </w:tabs>
              <w:spacing w:before="0" w:line="240" w:lineRule="auto"/>
              <w:jc w:val="right"/>
              <w:rPr>
                <w:rFonts w:ascii="Times New Roman" w:eastAsia="Times New Roman" w:hAnsi="Times New Roman" w:cs="Times New Roman"/>
                <w:szCs w:val="20"/>
                <w:lang w:eastAsia="en-AU"/>
              </w:rPr>
            </w:pPr>
          </w:p>
        </w:tc>
        <w:tc>
          <w:tcPr>
            <w:tcW w:w="1880" w:type="dxa"/>
            <w:tcBorders>
              <w:top w:val="nil"/>
              <w:left w:val="nil"/>
              <w:bottom w:val="single" w:sz="4" w:space="0" w:color="ADD6EA"/>
              <w:right w:val="nil"/>
            </w:tcBorders>
            <w:shd w:val="clear" w:color="auto" w:fill="auto"/>
            <w:hideMark/>
          </w:tcPr>
          <w:p w14:paraId="68CAFC1E"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Wage costs</w:t>
            </w:r>
          </w:p>
        </w:tc>
        <w:tc>
          <w:tcPr>
            <w:tcW w:w="4180" w:type="dxa"/>
            <w:tcBorders>
              <w:top w:val="nil"/>
              <w:left w:val="nil"/>
              <w:bottom w:val="single" w:sz="4" w:space="0" w:color="ADD6EA"/>
              <w:right w:val="nil"/>
            </w:tcBorders>
            <w:shd w:val="clear" w:color="auto" w:fill="auto"/>
            <w:hideMark/>
          </w:tcPr>
          <w:p w14:paraId="4E36E76F"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Recognises the differences in wage costs between States</w:t>
            </w:r>
          </w:p>
        </w:tc>
      </w:tr>
      <w:tr w:rsidR="007E365E" w:rsidRPr="00082DE5" w14:paraId="66BB9524" w14:textId="77777777" w:rsidTr="007D1D77">
        <w:trPr>
          <w:trHeight w:val="555"/>
        </w:trPr>
        <w:tc>
          <w:tcPr>
            <w:tcW w:w="1660" w:type="dxa"/>
            <w:tcBorders>
              <w:top w:val="nil"/>
              <w:left w:val="nil"/>
              <w:bottom w:val="nil"/>
              <w:right w:val="nil"/>
            </w:tcBorders>
            <w:shd w:val="clear" w:color="auto" w:fill="auto"/>
            <w:hideMark/>
          </w:tcPr>
          <w:p w14:paraId="21B79256"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p>
        </w:tc>
        <w:tc>
          <w:tcPr>
            <w:tcW w:w="1124" w:type="dxa"/>
            <w:tcBorders>
              <w:top w:val="nil"/>
              <w:left w:val="nil"/>
              <w:bottom w:val="nil"/>
              <w:right w:val="nil"/>
            </w:tcBorders>
            <w:shd w:val="clear" w:color="auto" w:fill="auto"/>
            <w:hideMark/>
          </w:tcPr>
          <w:p w14:paraId="1A75A298" w14:textId="77777777" w:rsidR="007E365E" w:rsidRPr="00082DE5" w:rsidRDefault="007E365E" w:rsidP="007D1D77">
            <w:pPr>
              <w:tabs>
                <w:tab w:val="clear" w:pos="567"/>
              </w:tabs>
              <w:spacing w:before="0" w:line="240" w:lineRule="auto"/>
              <w:rPr>
                <w:rFonts w:ascii="Times New Roman" w:eastAsia="Times New Roman" w:hAnsi="Times New Roman" w:cs="Times New Roman"/>
                <w:szCs w:val="20"/>
                <w:lang w:eastAsia="en-AU"/>
              </w:rPr>
            </w:pPr>
          </w:p>
        </w:tc>
        <w:tc>
          <w:tcPr>
            <w:tcW w:w="258" w:type="dxa"/>
            <w:tcBorders>
              <w:top w:val="nil"/>
              <w:left w:val="nil"/>
              <w:bottom w:val="nil"/>
              <w:right w:val="nil"/>
            </w:tcBorders>
            <w:shd w:val="clear" w:color="auto" w:fill="auto"/>
            <w:hideMark/>
          </w:tcPr>
          <w:p w14:paraId="2DEB6149" w14:textId="77777777" w:rsidR="007E365E" w:rsidRPr="00082DE5" w:rsidRDefault="007E365E" w:rsidP="007D1D77">
            <w:pPr>
              <w:tabs>
                <w:tab w:val="clear" w:pos="567"/>
              </w:tabs>
              <w:spacing w:before="0" w:line="240" w:lineRule="auto"/>
              <w:jc w:val="right"/>
              <w:rPr>
                <w:rFonts w:ascii="Times New Roman" w:eastAsia="Times New Roman" w:hAnsi="Times New Roman" w:cs="Times New Roman"/>
                <w:szCs w:val="20"/>
                <w:lang w:eastAsia="en-AU"/>
              </w:rPr>
            </w:pPr>
          </w:p>
        </w:tc>
        <w:tc>
          <w:tcPr>
            <w:tcW w:w="1880" w:type="dxa"/>
            <w:tcBorders>
              <w:top w:val="nil"/>
              <w:left w:val="nil"/>
              <w:bottom w:val="single" w:sz="4" w:space="0" w:color="ADD6EA"/>
              <w:right w:val="nil"/>
            </w:tcBorders>
            <w:shd w:val="clear" w:color="auto" w:fill="auto"/>
            <w:hideMark/>
          </w:tcPr>
          <w:p w14:paraId="39FFEC9C"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Regional costs</w:t>
            </w:r>
          </w:p>
        </w:tc>
        <w:tc>
          <w:tcPr>
            <w:tcW w:w="4180" w:type="dxa"/>
            <w:tcBorders>
              <w:top w:val="nil"/>
              <w:left w:val="nil"/>
              <w:bottom w:val="single" w:sz="4" w:space="0" w:color="ADD6EA"/>
              <w:right w:val="nil"/>
            </w:tcBorders>
            <w:shd w:val="clear" w:color="auto" w:fill="auto"/>
            <w:hideMark/>
          </w:tcPr>
          <w:p w14:paraId="2A24F444"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Recognises the higher cost of providing services in more remote areas</w:t>
            </w:r>
          </w:p>
        </w:tc>
      </w:tr>
      <w:tr w:rsidR="007E365E" w:rsidRPr="00082DE5" w14:paraId="15FDD939" w14:textId="77777777" w:rsidTr="007D1D77">
        <w:trPr>
          <w:trHeight w:val="555"/>
        </w:trPr>
        <w:tc>
          <w:tcPr>
            <w:tcW w:w="1660" w:type="dxa"/>
            <w:tcBorders>
              <w:top w:val="nil"/>
              <w:left w:val="nil"/>
              <w:bottom w:val="nil"/>
              <w:right w:val="nil"/>
            </w:tcBorders>
            <w:shd w:val="clear" w:color="auto" w:fill="auto"/>
            <w:hideMark/>
          </w:tcPr>
          <w:p w14:paraId="45556802" w14:textId="77777777" w:rsidR="007E365E" w:rsidRPr="00082DE5"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082DE5">
              <w:rPr>
                <w:rFonts w:ascii="Open Sans SemiBold" w:eastAsia="Times New Roman" w:hAnsi="Open Sans SemiBold" w:cs="Open Sans SemiBold"/>
                <w:sz w:val="16"/>
                <w:szCs w:val="16"/>
                <w:lang w:eastAsia="en-AU"/>
              </w:rPr>
              <w:t>Business development</w:t>
            </w:r>
          </w:p>
        </w:tc>
        <w:tc>
          <w:tcPr>
            <w:tcW w:w="1124" w:type="dxa"/>
            <w:tcBorders>
              <w:top w:val="nil"/>
              <w:left w:val="nil"/>
              <w:bottom w:val="nil"/>
              <w:right w:val="nil"/>
            </w:tcBorders>
            <w:shd w:val="clear" w:color="auto" w:fill="auto"/>
            <w:hideMark/>
          </w:tcPr>
          <w:p w14:paraId="7883FE13" w14:textId="77777777" w:rsidR="007E365E" w:rsidRPr="00082DE5" w:rsidRDefault="007E365E" w:rsidP="007D1D77">
            <w:pPr>
              <w:tabs>
                <w:tab w:val="clear" w:pos="567"/>
              </w:tabs>
              <w:spacing w:before="0" w:line="240" w:lineRule="auto"/>
              <w:jc w:val="right"/>
              <w:rPr>
                <w:rFonts w:eastAsia="Times New Roman" w:cs="Open Sans Light"/>
                <w:sz w:val="16"/>
                <w:szCs w:val="16"/>
                <w:lang w:eastAsia="en-AU"/>
              </w:rPr>
            </w:pPr>
            <w:r w:rsidRPr="00082DE5">
              <w:rPr>
                <w:rFonts w:eastAsia="Times New Roman" w:cs="Open Sans Light"/>
                <w:sz w:val="16"/>
                <w:szCs w:val="16"/>
                <w:lang w:eastAsia="en-AU"/>
              </w:rPr>
              <w:t>2</w:t>
            </w:r>
            <w:r>
              <w:rPr>
                <w:rFonts w:eastAsia="Times New Roman" w:cs="Open Sans Light"/>
                <w:sz w:val="16"/>
                <w:szCs w:val="16"/>
                <w:lang w:eastAsia="en-AU"/>
              </w:rPr>
              <w:t>,</w:t>
            </w:r>
            <w:r w:rsidRPr="00082DE5">
              <w:rPr>
                <w:rFonts w:eastAsia="Times New Roman" w:cs="Open Sans Light"/>
                <w:sz w:val="16"/>
                <w:szCs w:val="16"/>
                <w:lang w:eastAsia="en-AU"/>
              </w:rPr>
              <w:t>719</w:t>
            </w:r>
          </w:p>
        </w:tc>
        <w:tc>
          <w:tcPr>
            <w:tcW w:w="258" w:type="dxa"/>
            <w:tcBorders>
              <w:top w:val="nil"/>
              <w:left w:val="nil"/>
              <w:bottom w:val="nil"/>
              <w:right w:val="nil"/>
            </w:tcBorders>
            <w:shd w:val="clear" w:color="auto" w:fill="auto"/>
            <w:hideMark/>
          </w:tcPr>
          <w:p w14:paraId="7AB70793" w14:textId="77777777" w:rsidR="007E365E" w:rsidRPr="00082DE5" w:rsidRDefault="007E365E" w:rsidP="007D1D77">
            <w:pPr>
              <w:tabs>
                <w:tab w:val="clear" w:pos="567"/>
              </w:tabs>
              <w:spacing w:before="0" w:line="240" w:lineRule="auto"/>
              <w:jc w:val="right"/>
              <w:rPr>
                <w:rFonts w:eastAsia="Times New Roman" w:cs="Open Sans Light"/>
                <w:sz w:val="16"/>
                <w:szCs w:val="16"/>
                <w:lang w:eastAsia="en-AU"/>
              </w:rPr>
            </w:pPr>
          </w:p>
        </w:tc>
        <w:tc>
          <w:tcPr>
            <w:tcW w:w="1880" w:type="dxa"/>
            <w:tcBorders>
              <w:top w:val="nil"/>
              <w:left w:val="nil"/>
              <w:bottom w:val="single" w:sz="4" w:space="0" w:color="ADD6EA"/>
              <w:right w:val="nil"/>
            </w:tcBorders>
            <w:shd w:val="clear" w:color="auto" w:fill="auto"/>
            <w:hideMark/>
          </w:tcPr>
          <w:p w14:paraId="5AAA892A"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EPC</w:t>
            </w:r>
          </w:p>
        </w:tc>
        <w:tc>
          <w:tcPr>
            <w:tcW w:w="4180" w:type="dxa"/>
            <w:tcBorders>
              <w:top w:val="nil"/>
              <w:left w:val="nil"/>
              <w:bottom w:val="single" w:sz="4" w:space="0" w:color="ADD6EA"/>
              <w:right w:val="nil"/>
            </w:tcBorders>
            <w:shd w:val="clear" w:color="auto" w:fill="auto"/>
            <w:hideMark/>
          </w:tcPr>
          <w:p w14:paraId="5B5CE659"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This is an equal per capita (EPC) assessment. The driver of these expenses is State population</w:t>
            </w:r>
          </w:p>
        </w:tc>
      </w:tr>
      <w:tr w:rsidR="007E365E" w:rsidRPr="00082DE5" w14:paraId="693D524D" w14:textId="77777777" w:rsidTr="007D1D77">
        <w:trPr>
          <w:trHeight w:val="555"/>
        </w:trPr>
        <w:tc>
          <w:tcPr>
            <w:tcW w:w="1660" w:type="dxa"/>
            <w:tcBorders>
              <w:top w:val="nil"/>
              <w:left w:val="nil"/>
              <w:bottom w:val="single" w:sz="4" w:space="0" w:color="ADD6EA"/>
              <w:right w:val="nil"/>
            </w:tcBorders>
            <w:shd w:val="clear" w:color="auto" w:fill="auto"/>
            <w:hideMark/>
          </w:tcPr>
          <w:p w14:paraId="468320F8"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 </w:t>
            </w:r>
          </w:p>
        </w:tc>
        <w:tc>
          <w:tcPr>
            <w:tcW w:w="1124" w:type="dxa"/>
            <w:tcBorders>
              <w:top w:val="nil"/>
              <w:left w:val="nil"/>
              <w:bottom w:val="single" w:sz="4" w:space="0" w:color="ADD6EA"/>
              <w:right w:val="nil"/>
            </w:tcBorders>
            <w:shd w:val="clear" w:color="auto" w:fill="auto"/>
            <w:hideMark/>
          </w:tcPr>
          <w:p w14:paraId="2F94ABF4"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 </w:t>
            </w:r>
          </w:p>
        </w:tc>
        <w:tc>
          <w:tcPr>
            <w:tcW w:w="258" w:type="dxa"/>
            <w:tcBorders>
              <w:top w:val="nil"/>
              <w:left w:val="nil"/>
              <w:bottom w:val="single" w:sz="4" w:space="0" w:color="ADD6EA"/>
              <w:right w:val="nil"/>
            </w:tcBorders>
            <w:shd w:val="clear" w:color="auto" w:fill="auto"/>
            <w:hideMark/>
          </w:tcPr>
          <w:p w14:paraId="75956BA8"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 </w:t>
            </w:r>
          </w:p>
        </w:tc>
        <w:tc>
          <w:tcPr>
            <w:tcW w:w="1880" w:type="dxa"/>
            <w:tcBorders>
              <w:top w:val="nil"/>
              <w:left w:val="nil"/>
              <w:bottom w:val="single" w:sz="4" w:space="0" w:color="ADD6EA"/>
              <w:right w:val="nil"/>
            </w:tcBorders>
            <w:shd w:val="clear" w:color="auto" w:fill="auto"/>
            <w:hideMark/>
          </w:tcPr>
          <w:p w14:paraId="004FF8D5"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Wage costs</w:t>
            </w:r>
          </w:p>
        </w:tc>
        <w:tc>
          <w:tcPr>
            <w:tcW w:w="4180" w:type="dxa"/>
            <w:tcBorders>
              <w:top w:val="nil"/>
              <w:left w:val="nil"/>
              <w:bottom w:val="single" w:sz="4" w:space="0" w:color="ADD6EA"/>
              <w:right w:val="nil"/>
            </w:tcBorders>
            <w:shd w:val="clear" w:color="auto" w:fill="auto"/>
            <w:hideMark/>
          </w:tcPr>
          <w:p w14:paraId="1709ACF8" w14:textId="77777777" w:rsidR="007E365E" w:rsidRPr="00082DE5" w:rsidRDefault="007E365E" w:rsidP="007D1D77">
            <w:pPr>
              <w:tabs>
                <w:tab w:val="clear" w:pos="567"/>
              </w:tabs>
              <w:spacing w:before="0" w:line="240" w:lineRule="auto"/>
              <w:rPr>
                <w:rFonts w:eastAsia="Times New Roman" w:cs="Open Sans Light"/>
                <w:sz w:val="16"/>
                <w:szCs w:val="16"/>
                <w:lang w:eastAsia="en-AU"/>
              </w:rPr>
            </w:pPr>
            <w:r w:rsidRPr="00082DE5">
              <w:rPr>
                <w:rFonts w:eastAsia="Times New Roman" w:cs="Open Sans Light"/>
                <w:sz w:val="16"/>
                <w:szCs w:val="16"/>
                <w:lang w:eastAsia="en-AU"/>
              </w:rPr>
              <w:t>Recognises the differences in wage costs between States</w:t>
            </w:r>
          </w:p>
        </w:tc>
      </w:tr>
    </w:tbl>
    <w:p w14:paraId="708B429F" w14:textId="77777777" w:rsidR="007E365E" w:rsidRDefault="007E365E" w:rsidP="007E365E">
      <w:pPr>
        <w:pStyle w:val="CGCTablenote"/>
      </w:pPr>
      <w:r>
        <w:t>Note:</w:t>
      </w:r>
      <w:r>
        <w:tab/>
        <w:t xml:space="preserve">Expenses shown on </w:t>
      </w:r>
      <w:r w:rsidRPr="00782EFA">
        <w:t>a net</w:t>
      </w:r>
      <w:r>
        <w:t xml:space="preserve"> basis. </w:t>
      </w:r>
    </w:p>
    <w:p w14:paraId="2987BA56" w14:textId="77777777" w:rsidR="007E365E" w:rsidRDefault="007E365E" w:rsidP="007E365E">
      <w:pPr>
        <w:pStyle w:val="CGCTablenote"/>
      </w:pPr>
      <w:r>
        <w:t>Source:</w:t>
      </w:r>
      <w:r>
        <w:tab/>
        <w:t>Commission calculation.</w:t>
      </w:r>
    </w:p>
    <w:p w14:paraId="5704305C" w14:textId="77777777" w:rsidR="007E365E" w:rsidRPr="000C4987" w:rsidRDefault="007E365E" w:rsidP="007E365E">
      <w:pPr>
        <w:pStyle w:val="Heading4"/>
      </w:pPr>
      <w:bookmarkStart w:id="298" w:name="_Toc22807482"/>
      <w:r w:rsidRPr="000C4987">
        <w:lastRenderedPageBreak/>
        <w:t>Category and component expenses</w:t>
      </w:r>
      <w:bookmarkEnd w:id="298"/>
    </w:p>
    <w:p w14:paraId="56C01F53" w14:textId="77777777" w:rsidR="007E365E" w:rsidRDefault="007E365E" w:rsidP="007E365E">
      <w:pPr>
        <w:pStyle w:val="CGCParaNumber"/>
      </w:pPr>
      <w:r>
        <w:t>The main data sources for calculating category and component expenses are the A</w:t>
      </w:r>
      <w:r w:rsidRPr="00302BC8">
        <w:t xml:space="preserve">ustralian </w:t>
      </w:r>
      <w:r>
        <w:t>B</w:t>
      </w:r>
      <w:r w:rsidRPr="00302BC8">
        <w:t xml:space="preserve">ureau of </w:t>
      </w:r>
      <w:r>
        <w:t>S</w:t>
      </w:r>
      <w:r w:rsidRPr="00302BC8">
        <w:t>tatistics</w:t>
      </w:r>
      <w:r>
        <w:t xml:space="preserve"> (</w:t>
      </w:r>
      <w:r w:rsidRPr="00F82513">
        <w:t>ABS</w:t>
      </w:r>
      <w:r>
        <w:t>)</w:t>
      </w:r>
      <w:r w:rsidRPr="00F82513">
        <w:t xml:space="preserve"> </w:t>
      </w:r>
      <w:r>
        <w:t>Government Finance Statistics (GFS) and State budget data.</w:t>
      </w:r>
      <w:r>
        <w:rPr>
          <w:rStyle w:val="FootnoteReference"/>
        </w:rPr>
        <w:footnoteReference w:id="63"/>
      </w:r>
      <w:r>
        <w:t xml:space="preserve"> </w:t>
      </w:r>
      <w:r w:rsidRPr="00516357">
        <w:t xml:space="preserve">The category also relies on State data to split </w:t>
      </w:r>
      <w:r>
        <w:t xml:space="preserve">GFS gross expenses by industry into these two broad functions — </w:t>
      </w:r>
      <w:r w:rsidRPr="00516357">
        <w:t>regulation and business development</w:t>
      </w:r>
      <w:r>
        <w:t xml:space="preserve">. </w:t>
      </w:r>
    </w:p>
    <w:p w14:paraId="237E8E31" w14:textId="77777777" w:rsidR="007E365E" w:rsidRDefault="007E365E" w:rsidP="007E365E">
      <w:pPr>
        <w:pStyle w:val="CGCParaNumber"/>
      </w:pPr>
      <w:r w:rsidRPr="003A049E">
        <w:t xml:space="preserve">Expenses are allocated to components and sub-components </w:t>
      </w:r>
      <w:r>
        <w:t>as follows:</w:t>
      </w:r>
    </w:p>
    <w:p w14:paraId="4921BBE0" w14:textId="77777777" w:rsidR="007E365E" w:rsidRPr="002F5E74" w:rsidRDefault="007E365E" w:rsidP="007E365E">
      <w:pPr>
        <w:pStyle w:val="CGCBullet1"/>
      </w:pPr>
      <w:r w:rsidRPr="002F5E74">
        <w:t>Total category expenses are allocated to industries using GFS data. There are three industry groups:</w:t>
      </w:r>
      <w:r w:rsidRPr="00195F1A">
        <w:rPr>
          <w:rStyle w:val="FootnoteReference"/>
        </w:rPr>
        <w:footnoteReference w:id="64"/>
      </w:r>
    </w:p>
    <w:p w14:paraId="2E31648E" w14:textId="77777777" w:rsidR="007E365E" w:rsidRDefault="007E365E" w:rsidP="007E365E">
      <w:pPr>
        <w:pStyle w:val="CGCBullet2"/>
        <w:numPr>
          <w:ilvl w:val="0"/>
          <w:numId w:val="3"/>
        </w:numPr>
        <w:ind w:left="1208" w:hanging="357"/>
      </w:pPr>
      <w:r w:rsidRPr="003A049E">
        <w:t>agriculture, forestry and fishing</w:t>
      </w:r>
    </w:p>
    <w:p w14:paraId="37EB6FCE" w14:textId="77777777" w:rsidR="007E365E" w:rsidRDefault="007E365E" w:rsidP="007E365E">
      <w:pPr>
        <w:pStyle w:val="CGCBullet2"/>
        <w:numPr>
          <w:ilvl w:val="0"/>
          <w:numId w:val="3"/>
        </w:numPr>
        <w:ind w:left="1208" w:hanging="357"/>
      </w:pPr>
      <w:r>
        <w:t>mining</w:t>
      </w:r>
    </w:p>
    <w:p w14:paraId="5E2D11F8" w14:textId="77777777" w:rsidR="007E365E" w:rsidRDefault="007E365E" w:rsidP="007E365E">
      <w:pPr>
        <w:pStyle w:val="CGCBullet2"/>
        <w:numPr>
          <w:ilvl w:val="0"/>
          <w:numId w:val="3"/>
        </w:numPr>
        <w:ind w:left="1208" w:hanging="357"/>
      </w:pPr>
      <w:r w:rsidRPr="003A049E">
        <w:t>other industries.</w:t>
      </w:r>
    </w:p>
    <w:p w14:paraId="021732A9" w14:textId="3C34BA60" w:rsidR="007E365E" w:rsidRPr="002F5E74" w:rsidRDefault="007E365E" w:rsidP="007E365E">
      <w:pPr>
        <w:pStyle w:val="CGCBullet1"/>
      </w:pPr>
      <w:r w:rsidRPr="002F5E74">
        <w:t>Industry expenses are classified as regulatory or busi</w:t>
      </w:r>
      <w:r>
        <w:t>ness development based on State</w:t>
      </w:r>
      <w:r>
        <w:noBreakHyphen/>
      </w:r>
      <w:r w:rsidRPr="002F5E74">
        <w:t>provided data.</w:t>
      </w:r>
      <w:r>
        <w:t xml:space="preserve"> </w:t>
      </w:r>
      <w:r>
        <w:fldChar w:fldCharType="begin"/>
      </w:r>
      <w:r>
        <w:instrText xml:space="preserve"> REF _Ref22725548 \h </w:instrText>
      </w:r>
      <w:r>
        <w:fldChar w:fldCharType="separate"/>
      </w:r>
      <w:r w:rsidR="007F721A">
        <w:t>Table 22-</w:t>
      </w:r>
      <w:r w:rsidR="007F721A">
        <w:rPr>
          <w:noProof/>
        </w:rPr>
        <w:t>6</w:t>
      </w:r>
      <w:r>
        <w:fldChar w:fldCharType="end"/>
      </w:r>
      <w:r>
        <w:t xml:space="preserve"> shows the proportions of State spending on regulation and business development based on data collected in the 2020 Review.</w:t>
      </w:r>
      <w:r>
        <w:rPr>
          <w:rStyle w:val="FootnoteReference"/>
        </w:rPr>
        <w:footnoteReference w:id="65"/>
      </w:r>
    </w:p>
    <w:p w14:paraId="4EFF2F85" w14:textId="07CE244C" w:rsidR="007E365E" w:rsidRDefault="007E365E" w:rsidP="007E365E">
      <w:pPr>
        <w:pStyle w:val="Caption"/>
      </w:pPr>
      <w:bookmarkStart w:id="299" w:name="_Ref22725548"/>
      <w:r>
        <w:t>Table 22-</w:t>
      </w:r>
      <w:fldSimple w:instr=" SEQ Table \* ARABIC ">
        <w:r w:rsidR="007F721A">
          <w:rPr>
            <w:noProof/>
          </w:rPr>
          <w:t>6</w:t>
        </w:r>
      </w:fldSimple>
      <w:bookmarkEnd w:id="299"/>
      <w:r>
        <w:tab/>
        <w:t>Proportion of State spending on regulation and business development by industry, 2010 and 2020 Reviews</w:t>
      </w:r>
    </w:p>
    <w:tbl>
      <w:tblPr>
        <w:tblW w:w="8920" w:type="dxa"/>
        <w:tblCellMar>
          <w:left w:w="28" w:type="dxa"/>
          <w:right w:w="28" w:type="dxa"/>
        </w:tblCellMar>
        <w:tblLook w:val="04A0" w:firstRow="1" w:lastRow="0" w:firstColumn="1" w:lastColumn="0" w:noHBand="0" w:noVBand="1"/>
      </w:tblPr>
      <w:tblGrid>
        <w:gridCol w:w="2200"/>
        <w:gridCol w:w="640"/>
        <w:gridCol w:w="640"/>
        <w:gridCol w:w="640"/>
        <w:gridCol w:w="640"/>
        <w:gridCol w:w="640"/>
        <w:gridCol w:w="640"/>
        <w:gridCol w:w="640"/>
        <w:gridCol w:w="640"/>
        <w:gridCol w:w="780"/>
        <w:gridCol w:w="820"/>
      </w:tblGrid>
      <w:tr w:rsidR="007E365E" w:rsidRPr="001D38C2" w14:paraId="1B657164" w14:textId="77777777" w:rsidTr="007D1D77">
        <w:trPr>
          <w:trHeight w:val="315"/>
        </w:trPr>
        <w:tc>
          <w:tcPr>
            <w:tcW w:w="2200" w:type="dxa"/>
            <w:vMerge w:val="restart"/>
            <w:tcBorders>
              <w:top w:val="nil"/>
              <w:left w:val="nil"/>
              <w:bottom w:val="nil"/>
              <w:right w:val="nil"/>
            </w:tcBorders>
            <w:shd w:val="clear" w:color="000000" w:fill="006991"/>
            <w:vAlign w:val="center"/>
            <w:hideMark/>
          </w:tcPr>
          <w:p w14:paraId="2ECEEF04"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38C2">
              <w:rPr>
                <w:rFonts w:ascii="Open Sans SemiBold" w:eastAsia="Times New Roman" w:hAnsi="Open Sans SemiBold" w:cs="Open Sans SemiBold"/>
                <w:color w:val="FFFFFF"/>
                <w:sz w:val="16"/>
                <w:szCs w:val="16"/>
                <w:lang w:eastAsia="en-AU"/>
              </w:rPr>
              <w:t> </w:t>
            </w:r>
          </w:p>
        </w:tc>
        <w:tc>
          <w:tcPr>
            <w:tcW w:w="5120" w:type="dxa"/>
            <w:gridSpan w:val="8"/>
            <w:tcBorders>
              <w:top w:val="nil"/>
              <w:left w:val="nil"/>
              <w:bottom w:val="single" w:sz="4" w:space="0" w:color="ADD6EA"/>
              <w:right w:val="nil"/>
            </w:tcBorders>
            <w:shd w:val="clear" w:color="000000" w:fill="006991"/>
            <w:vAlign w:val="center"/>
            <w:hideMark/>
          </w:tcPr>
          <w:p w14:paraId="53B433EF" w14:textId="77777777" w:rsidR="007E365E" w:rsidRPr="001D38C2" w:rsidRDefault="007E365E" w:rsidP="007D1D77">
            <w:pPr>
              <w:keepNext/>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1D38C2">
              <w:rPr>
                <w:rFonts w:ascii="Open Sans SemiBold" w:eastAsia="Times New Roman" w:hAnsi="Open Sans SemiBold" w:cs="Open Sans SemiBold"/>
                <w:color w:val="FFFFFF"/>
                <w:sz w:val="16"/>
                <w:szCs w:val="16"/>
                <w:lang w:eastAsia="en-AU"/>
              </w:rPr>
              <w:t>2020 Review by State</w:t>
            </w:r>
          </w:p>
        </w:tc>
        <w:tc>
          <w:tcPr>
            <w:tcW w:w="780" w:type="dxa"/>
            <w:vMerge w:val="restart"/>
            <w:tcBorders>
              <w:top w:val="nil"/>
              <w:left w:val="nil"/>
              <w:bottom w:val="nil"/>
              <w:right w:val="nil"/>
            </w:tcBorders>
            <w:shd w:val="clear" w:color="000000" w:fill="006991"/>
            <w:vAlign w:val="center"/>
            <w:hideMark/>
          </w:tcPr>
          <w:p w14:paraId="43393C9A"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38C2">
              <w:rPr>
                <w:rFonts w:ascii="Open Sans SemiBold" w:eastAsia="Times New Roman" w:hAnsi="Open Sans SemiBold" w:cs="Open Sans SemiBold"/>
                <w:color w:val="FFFFFF"/>
                <w:sz w:val="16"/>
                <w:szCs w:val="16"/>
                <w:lang w:eastAsia="en-AU"/>
              </w:rPr>
              <w:t>2020 Review</w:t>
            </w:r>
          </w:p>
        </w:tc>
        <w:tc>
          <w:tcPr>
            <w:tcW w:w="820" w:type="dxa"/>
            <w:vMerge w:val="restart"/>
            <w:tcBorders>
              <w:top w:val="nil"/>
              <w:left w:val="nil"/>
              <w:bottom w:val="nil"/>
              <w:right w:val="nil"/>
            </w:tcBorders>
            <w:shd w:val="clear" w:color="000000" w:fill="006991"/>
            <w:vAlign w:val="center"/>
            <w:hideMark/>
          </w:tcPr>
          <w:p w14:paraId="05D6C58D"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38C2">
              <w:rPr>
                <w:rFonts w:ascii="Open Sans SemiBold" w:eastAsia="Times New Roman" w:hAnsi="Open Sans SemiBold" w:cs="Open Sans SemiBold"/>
                <w:color w:val="FFFFFF"/>
                <w:sz w:val="16"/>
                <w:szCs w:val="16"/>
                <w:lang w:eastAsia="en-AU"/>
              </w:rPr>
              <w:t>2010 Review</w:t>
            </w:r>
          </w:p>
        </w:tc>
      </w:tr>
      <w:tr w:rsidR="007E365E" w:rsidRPr="001D38C2" w14:paraId="34964A1D" w14:textId="77777777" w:rsidTr="007D1D77">
        <w:trPr>
          <w:trHeight w:val="379"/>
        </w:trPr>
        <w:tc>
          <w:tcPr>
            <w:tcW w:w="2200" w:type="dxa"/>
            <w:vMerge/>
            <w:tcBorders>
              <w:top w:val="nil"/>
              <w:left w:val="nil"/>
              <w:bottom w:val="nil"/>
              <w:right w:val="nil"/>
            </w:tcBorders>
            <w:vAlign w:val="center"/>
            <w:hideMark/>
          </w:tcPr>
          <w:p w14:paraId="1DBBC187" w14:textId="77777777" w:rsidR="007E365E" w:rsidRPr="001D38C2" w:rsidRDefault="007E365E" w:rsidP="007D1D77">
            <w:pPr>
              <w:keepNext/>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640" w:type="dxa"/>
            <w:tcBorders>
              <w:top w:val="nil"/>
              <w:left w:val="nil"/>
              <w:bottom w:val="nil"/>
              <w:right w:val="nil"/>
            </w:tcBorders>
            <w:shd w:val="clear" w:color="000000" w:fill="006991"/>
            <w:vAlign w:val="center"/>
            <w:hideMark/>
          </w:tcPr>
          <w:p w14:paraId="46FC145C"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38C2">
              <w:rPr>
                <w:rFonts w:ascii="Open Sans SemiBold" w:eastAsia="Times New Roman" w:hAnsi="Open Sans SemiBold" w:cs="Open Sans SemiBold"/>
                <w:color w:val="FFFFFF"/>
                <w:sz w:val="16"/>
                <w:szCs w:val="16"/>
                <w:lang w:eastAsia="en-AU"/>
              </w:rPr>
              <w:t>NSW</w:t>
            </w:r>
          </w:p>
        </w:tc>
        <w:tc>
          <w:tcPr>
            <w:tcW w:w="640" w:type="dxa"/>
            <w:tcBorders>
              <w:top w:val="nil"/>
              <w:left w:val="nil"/>
              <w:bottom w:val="nil"/>
              <w:right w:val="nil"/>
            </w:tcBorders>
            <w:shd w:val="clear" w:color="000000" w:fill="006991"/>
            <w:vAlign w:val="center"/>
            <w:hideMark/>
          </w:tcPr>
          <w:p w14:paraId="4FA5EFBA"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38C2">
              <w:rPr>
                <w:rFonts w:ascii="Open Sans SemiBold" w:eastAsia="Times New Roman" w:hAnsi="Open Sans SemiBold" w:cs="Open Sans SemiBold"/>
                <w:color w:val="FFFFFF"/>
                <w:sz w:val="16"/>
                <w:szCs w:val="16"/>
                <w:lang w:eastAsia="en-AU"/>
              </w:rPr>
              <w:t>Vic</w:t>
            </w:r>
          </w:p>
        </w:tc>
        <w:tc>
          <w:tcPr>
            <w:tcW w:w="640" w:type="dxa"/>
            <w:tcBorders>
              <w:top w:val="nil"/>
              <w:left w:val="nil"/>
              <w:bottom w:val="nil"/>
              <w:right w:val="nil"/>
            </w:tcBorders>
            <w:shd w:val="clear" w:color="000000" w:fill="006991"/>
            <w:vAlign w:val="center"/>
            <w:hideMark/>
          </w:tcPr>
          <w:p w14:paraId="2BEA9866"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38C2">
              <w:rPr>
                <w:rFonts w:ascii="Open Sans SemiBold" w:eastAsia="Times New Roman" w:hAnsi="Open Sans SemiBold" w:cs="Open Sans SemiBold"/>
                <w:color w:val="FFFFFF"/>
                <w:sz w:val="16"/>
                <w:szCs w:val="16"/>
                <w:lang w:eastAsia="en-AU"/>
              </w:rPr>
              <w:t>Qld</w:t>
            </w:r>
          </w:p>
        </w:tc>
        <w:tc>
          <w:tcPr>
            <w:tcW w:w="640" w:type="dxa"/>
            <w:tcBorders>
              <w:top w:val="nil"/>
              <w:left w:val="nil"/>
              <w:bottom w:val="nil"/>
              <w:right w:val="nil"/>
            </w:tcBorders>
            <w:shd w:val="clear" w:color="000000" w:fill="006991"/>
            <w:vAlign w:val="center"/>
            <w:hideMark/>
          </w:tcPr>
          <w:p w14:paraId="61E5551F"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38C2">
              <w:rPr>
                <w:rFonts w:ascii="Open Sans SemiBold" w:eastAsia="Times New Roman" w:hAnsi="Open Sans SemiBold" w:cs="Open Sans SemiBold"/>
                <w:color w:val="FFFFFF"/>
                <w:sz w:val="16"/>
                <w:szCs w:val="16"/>
                <w:lang w:eastAsia="en-AU"/>
              </w:rPr>
              <w:t>WA</w:t>
            </w:r>
          </w:p>
        </w:tc>
        <w:tc>
          <w:tcPr>
            <w:tcW w:w="640" w:type="dxa"/>
            <w:tcBorders>
              <w:top w:val="nil"/>
              <w:left w:val="nil"/>
              <w:bottom w:val="nil"/>
              <w:right w:val="nil"/>
            </w:tcBorders>
            <w:shd w:val="clear" w:color="000000" w:fill="006991"/>
            <w:vAlign w:val="center"/>
            <w:hideMark/>
          </w:tcPr>
          <w:p w14:paraId="35FF7ED3"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38C2">
              <w:rPr>
                <w:rFonts w:ascii="Open Sans SemiBold" w:eastAsia="Times New Roman" w:hAnsi="Open Sans SemiBold" w:cs="Open Sans SemiBold"/>
                <w:color w:val="FFFFFF"/>
                <w:sz w:val="16"/>
                <w:szCs w:val="16"/>
                <w:lang w:eastAsia="en-AU"/>
              </w:rPr>
              <w:t>SA</w:t>
            </w:r>
          </w:p>
        </w:tc>
        <w:tc>
          <w:tcPr>
            <w:tcW w:w="640" w:type="dxa"/>
            <w:tcBorders>
              <w:top w:val="nil"/>
              <w:left w:val="nil"/>
              <w:bottom w:val="nil"/>
              <w:right w:val="nil"/>
            </w:tcBorders>
            <w:shd w:val="clear" w:color="000000" w:fill="006991"/>
            <w:vAlign w:val="center"/>
            <w:hideMark/>
          </w:tcPr>
          <w:p w14:paraId="25B12218"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38C2">
              <w:rPr>
                <w:rFonts w:ascii="Open Sans SemiBold" w:eastAsia="Times New Roman" w:hAnsi="Open Sans SemiBold" w:cs="Open Sans SemiBold"/>
                <w:color w:val="FFFFFF"/>
                <w:sz w:val="16"/>
                <w:szCs w:val="16"/>
                <w:lang w:eastAsia="en-AU"/>
              </w:rPr>
              <w:t>Tas</w:t>
            </w:r>
          </w:p>
        </w:tc>
        <w:tc>
          <w:tcPr>
            <w:tcW w:w="640" w:type="dxa"/>
            <w:tcBorders>
              <w:top w:val="nil"/>
              <w:left w:val="nil"/>
              <w:bottom w:val="nil"/>
              <w:right w:val="nil"/>
            </w:tcBorders>
            <w:shd w:val="clear" w:color="000000" w:fill="006991"/>
            <w:vAlign w:val="center"/>
            <w:hideMark/>
          </w:tcPr>
          <w:p w14:paraId="1775CA76"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38C2">
              <w:rPr>
                <w:rFonts w:ascii="Open Sans SemiBold" w:eastAsia="Times New Roman" w:hAnsi="Open Sans SemiBold" w:cs="Open Sans SemiBold"/>
                <w:color w:val="FFFFFF"/>
                <w:sz w:val="16"/>
                <w:szCs w:val="16"/>
                <w:lang w:eastAsia="en-AU"/>
              </w:rPr>
              <w:t>ACT</w:t>
            </w:r>
          </w:p>
        </w:tc>
        <w:tc>
          <w:tcPr>
            <w:tcW w:w="640" w:type="dxa"/>
            <w:tcBorders>
              <w:top w:val="nil"/>
              <w:left w:val="nil"/>
              <w:bottom w:val="nil"/>
              <w:right w:val="nil"/>
            </w:tcBorders>
            <w:shd w:val="clear" w:color="000000" w:fill="006991"/>
            <w:vAlign w:val="center"/>
            <w:hideMark/>
          </w:tcPr>
          <w:p w14:paraId="1CE4DF3F"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38C2">
              <w:rPr>
                <w:rFonts w:ascii="Open Sans SemiBold" w:eastAsia="Times New Roman" w:hAnsi="Open Sans SemiBold" w:cs="Open Sans SemiBold"/>
                <w:color w:val="FFFFFF"/>
                <w:sz w:val="16"/>
                <w:szCs w:val="16"/>
                <w:lang w:eastAsia="en-AU"/>
              </w:rPr>
              <w:t>NT</w:t>
            </w:r>
          </w:p>
        </w:tc>
        <w:tc>
          <w:tcPr>
            <w:tcW w:w="780" w:type="dxa"/>
            <w:vMerge/>
            <w:tcBorders>
              <w:top w:val="nil"/>
              <w:left w:val="nil"/>
              <w:bottom w:val="nil"/>
              <w:right w:val="nil"/>
            </w:tcBorders>
            <w:vAlign w:val="center"/>
            <w:hideMark/>
          </w:tcPr>
          <w:p w14:paraId="13552737" w14:textId="77777777" w:rsidR="007E365E" w:rsidRPr="001D38C2" w:rsidRDefault="007E365E" w:rsidP="007D1D77">
            <w:pPr>
              <w:keepNext/>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820" w:type="dxa"/>
            <w:vMerge/>
            <w:tcBorders>
              <w:top w:val="nil"/>
              <w:left w:val="nil"/>
              <w:bottom w:val="nil"/>
              <w:right w:val="nil"/>
            </w:tcBorders>
            <w:vAlign w:val="center"/>
            <w:hideMark/>
          </w:tcPr>
          <w:p w14:paraId="44CE2CB7" w14:textId="77777777" w:rsidR="007E365E" w:rsidRPr="001D38C2" w:rsidRDefault="007E365E" w:rsidP="007D1D77">
            <w:pPr>
              <w:keepNext/>
              <w:tabs>
                <w:tab w:val="clear" w:pos="567"/>
              </w:tabs>
              <w:spacing w:before="0" w:line="240" w:lineRule="auto"/>
              <w:rPr>
                <w:rFonts w:ascii="Open Sans SemiBold" w:eastAsia="Times New Roman" w:hAnsi="Open Sans SemiBold" w:cs="Open Sans SemiBold"/>
                <w:color w:val="FFFFFF"/>
                <w:sz w:val="16"/>
                <w:szCs w:val="16"/>
                <w:lang w:eastAsia="en-AU"/>
              </w:rPr>
            </w:pPr>
          </w:p>
        </w:tc>
      </w:tr>
      <w:tr w:rsidR="007E365E" w:rsidRPr="001D38C2" w14:paraId="2DAD1BD3" w14:textId="77777777" w:rsidTr="007D1D77">
        <w:trPr>
          <w:trHeight w:val="259"/>
        </w:trPr>
        <w:tc>
          <w:tcPr>
            <w:tcW w:w="2200" w:type="dxa"/>
            <w:tcBorders>
              <w:top w:val="single" w:sz="4" w:space="0" w:color="ADD6EA"/>
              <w:left w:val="nil"/>
              <w:bottom w:val="single" w:sz="4" w:space="0" w:color="ADD6EA"/>
              <w:right w:val="nil"/>
            </w:tcBorders>
            <w:shd w:val="clear" w:color="000000" w:fill="B6D5E4"/>
            <w:noWrap/>
            <w:vAlign w:val="center"/>
            <w:hideMark/>
          </w:tcPr>
          <w:p w14:paraId="04A60804"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38C2">
              <w:rPr>
                <w:rFonts w:ascii="Open Sans SemiBold" w:eastAsia="Times New Roman" w:hAnsi="Open Sans SemiBold" w:cs="Open Sans SemiBold"/>
                <w:color w:val="000000"/>
                <w:sz w:val="16"/>
                <w:szCs w:val="16"/>
                <w:lang w:eastAsia="en-AU"/>
              </w:rPr>
              <w:t> </w:t>
            </w:r>
          </w:p>
        </w:tc>
        <w:tc>
          <w:tcPr>
            <w:tcW w:w="640" w:type="dxa"/>
            <w:tcBorders>
              <w:top w:val="single" w:sz="4" w:space="0" w:color="ADD6EA"/>
              <w:left w:val="nil"/>
              <w:bottom w:val="single" w:sz="4" w:space="0" w:color="ADD6EA"/>
              <w:right w:val="nil"/>
            </w:tcBorders>
            <w:shd w:val="clear" w:color="000000" w:fill="B6D5E4"/>
            <w:noWrap/>
            <w:vAlign w:val="center"/>
            <w:hideMark/>
          </w:tcPr>
          <w:p w14:paraId="708E2DE2"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38C2">
              <w:rPr>
                <w:rFonts w:ascii="Open Sans SemiBold" w:eastAsia="Times New Roman" w:hAnsi="Open Sans SemiBold" w:cs="Open Sans SemiBold"/>
                <w:color w:val="000000"/>
                <w:sz w:val="16"/>
                <w:szCs w:val="16"/>
                <w:lang w:eastAsia="en-AU"/>
              </w:rPr>
              <w:t>%</w:t>
            </w:r>
          </w:p>
        </w:tc>
        <w:tc>
          <w:tcPr>
            <w:tcW w:w="640" w:type="dxa"/>
            <w:tcBorders>
              <w:top w:val="single" w:sz="4" w:space="0" w:color="ADD6EA"/>
              <w:left w:val="nil"/>
              <w:bottom w:val="single" w:sz="4" w:space="0" w:color="ADD6EA"/>
              <w:right w:val="nil"/>
            </w:tcBorders>
            <w:shd w:val="clear" w:color="000000" w:fill="B6D5E4"/>
            <w:noWrap/>
            <w:vAlign w:val="center"/>
            <w:hideMark/>
          </w:tcPr>
          <w:p w14:paraId="19832C4B"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38C2">
              <w:rPr>
                <w:rFonts w:ascii="Open Sans SemiBold" w:eastAsia="Times New Roman" w:hAnsi="Open Sans SemiBold" w:cs="Open Sans SemiBold"/>
                <w:color w:val="000000"/>
                <w:sz w:val="16"/>
                <w:szCs w:val="16"/>
                <w:lang w:eastAsia="en-AU"/>
              </w:rPr>
              <w:t>%</w:t>
            </w:r>
          </w:p>
        </w:tc>
        <w:tc>
          <w:tcPr>
            <w:tcW w:w="640" w:type="dxa"/>
            <w:tcBorders>
              <w:top w:val="single" w:sz="4" w:space="0" w:color="ADD6EA"/>
              <w:left w:val="nil"/>
              <w:bottom w:val="single" w:sz="4" w:space="0" w:color="ADD6EA"/>
              <w:right w:val="nil"/>
            </w:tcBorders>
            <w:shd w:val="clear" w:color="000000" w:fill="B6D5E4"/>
            <w:noWrap/>
            <w:vAlign w:val="center"/>
            <w:hideMark/>
          </w:tcPr>
          <w:p w14:paraId="5846F004"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38C2">
              <w:rPr>
                <w:rFonts w:ascii="Open Sans SemiBold" w:eastAsia="Times New Roman" w:hAnsi="Open Sans SemiBold" w:cs="Open Sans SemiBold"/>
                <w:color w:val="000000"/>
                <w:sz w:val="16"/>
                <w:szCs w:val="16"/>
                <w:lang w:eastAsia="en-AU"/>
              </w:rPr>
              <w:t>%</w:t>
            </w:r>
          </w:p>
        </w:tc>
        <w:tc>
          <w:tcPr>
            <w:tcW w:w="640" w:type="dxa"/>
            <w:tcBorders>
              <w:top w:val="single" w:sz="4" w:space="0" w:color="ADD6EA"/>
              <w:left w:val="nil"/>
              <w:bottom w:val="single" w:sz="4" w:space="0" w:color="ADD6EA"/>
              <w:right w:val="nil"/>
            </w:tcBorders>
            <w:shd w:val="clear" w:color="000000" w:fill="B6D5E4"/>
            <w:noWrap/>
            <w:vAlign w:val="center"/>
            <w:hideMark/>
          </w:tcPr>
          <w:p w14:paraId="3472C131"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38C2">
              <w:rPr>
                <w:rFonts w:ascii="Open Sans SemiBold" w:eastAsia="Times New Roman" w:hAnsi="Open Sans SemiBold" w:cs="Open Sans SemiBold"/>
                <w:color w:val="000000"/>
                <w:sz w:val="16"/>
                <w:szCs w:val="16"/>
                <w:lang w:eastAsia="en-AU"/>
              </w:rPr>
              <w:t>%</w:t>
            </w:r>
          </w:p>
        </w:tc>
        <w:tc>
          <w:tcPr>
            <w:tcW w:w="640" w:type="dxa"/>
            <w:tcBorders>
              <w:top w:val="single" w:sz="4" w:space="0" w:color="ADD6EA"/>
              <w:left w:val="nil"/>
              <w:bottom w:val="single" w:sz="4" w:space="0" w:color="ADD6EA"/>
              <w:right w:val="nil"/>
            </w:tcBorders>
            <w:shd w:val="clear" w:color="000000" w:fill="B6D5E4"/>
            <w:noWrap/>
            <w:vAlign w:val="center"/>
            <w:hideMark/>
          </w:tcPr>
          <w:p w14:paraId="316A3251"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38C2">
              <w:rPr>
                <w:rFonts w:ascii="Open Sans SemiBold" w:eastAsia="Times New Roman" w:hAnsi="Open Sans SemiBold" w:cs="Open Sans SemiBold"/>
                <w:color w:val="000000"/>
                <w:sz w:val="16"/>
                <w:szCs w:val="16"/>
                <w:lang w:eastAsia="en-AU"/>
              </w:rPr>
              <w:t>%</w:t>
            </w:r>
          </w:p>
        </w:tc>
        <w:tc>
          <w:tcPr>
            <w:tcW w:w="640" w:type="dxa"/>
            <w:tcBorders>
              <w:top w:val="single" w:sz="4" w:space="0" w:color="ADD6EA"/>
              <w:left w:val="nil"/>
              <w:bottom w:val="single" w:sz="4" w:space="0" w:color="ADD6EA"/>
              <w:right w:val="nil"/>
            </w:tcBorders>
            <w:shd w:val="clear" w:color="000000" w:fill="B6D5E4"/>
            <w:noWrap/>
            <w:vAlign w:val="center"/>
            <w:hideMark/>
          </w:tcPr>
          <w:p w14:paraId="52192C22"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38C2">
              <w:rPr>
                <w:rFonts w:ascii="Open Sans SemiBold" w:eastAsia="Times New Roman" w:hAnsi="Open Sans SemiBold" w:cs="Open Sans SemiBold"/>
                <w:color w:val="000000"/>
                <w:sz w:val="16"/>
                <w:szCs w:val="16"/>
                <w:lang w:eastAsia="en-AU"/>
              </w:rPr>
              <w:t>%</w:t>
            </w:r>
          </w:p>
        </w:tc>
        <w:tc>
          <w:tcPr>
            <w:tcW w:w="640" w:type="dxa"/>
            <w:tcBorders>
              <w:top w:val="single" w:sz="4" w:space="0" w:color="ADD6EA"/>
              <w:left w:val="nil"/>
              <w:bottom w:val="single" w:sz="4" w:space="0" w:color="ADD6EA"/>
              <w:right w:val="nil"/>
            </w:tcBorders>
            <w:shd w:val="clear" w:color="000000" w:fill="B6D5E4"/>
            <w:noWrap/>
            <w:vAlign w:val="center"/>
            <w:hideMark/>
          </w:tcPr>
          <w:p w14:paraId="2ABF04F8"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38C2">
              <w:rPr>
                <w:rFonts w:ascii="Open Sans SemiBold" w:eastAsia="Times New Roman" w:hAnsi="Open Sans SemiBold" w:cs="Open Sans SemiBold"/>
                <w:color w:val="000000"/>
                <w:sz w:val="16"/>
                <w:szCs w:val="16"/>
                <w:lang w:eastAsia="en-AU"/>
              </w:rPr>
              <w:t>%</w:t>
            </w:r>
          </w:p>
        </w:tc>
        <w:tc>
          <w:tcPr>
            <w:tcW w:w="640" w:type="dxa"/>
            <w:tcBorders>
              <w:top w:val="single" w:sz="4" w:space="0" w:color="ADD6EA"/>
              <w:left w:val="nil"/>
              <w:bottom w:val="single" w:sz="4" w:space="0" w:color="ADD6EA"/>
              <w:right w:val="nil"/>
            </w:tcBorders>
            <w:shd w:val="clear" w:color="000000" w:fill="B6D5E4"/>
            <w:noWrap/>
            <w:vAlign w:val="center"/>
            <w:hideMark/>
          </w:tcPr>
          <w:p w14:paraId="7D2E7827"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38C2">
              <w:rPr>
                <w:rFonts w:ascii="Open Sans SemiBold" w:eastAsia="Times New Roman" w:hAnsi="Open Sans SemiBold" w:cs="Open Sans SemiBold"/>
                <w:color w:val="000000"/>
                <w:sz w:val="16"/>
                <w:szCs w:val="16"/>
                <w:lang w:eastAsia="en-AU"/>
              </w:rPr>
              <w:t>%</w:t>
            </w:r>
          </w:p>
        </w:tc>
        <w:tc>
          <w:tcPr>
            <w:tcW w:w="780" w:type="dxa"/>
            <w:tcBorders>
              <w:top w:val="single" w:sz="4" w:space="0" w:color="ADD6EA"/>
              <w:left w:val="nil"/>
              <w:bottom w:val="single" w:sz="4" w:space="0" w:color="ADD6EA"/>
              <w:right w:val="nil"/>
            </w:tcBorders>
            <w:shd w:val="clear" w:color="000000" w:fill="B6D5E4"/>
            <w:noWrap/>
            <w:vAlign w:val="center"/>
            <w:hideMark/>
          </w:tcPr>
          <w:p w14:paraId="7AC47D1B"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38C2">
              <w:rPr>
                <w:rFonts w:ascii="Open Sans SemiBold" w:eastAsia="Times New Roman" w:hAnsi="Open Sans SemiBold" w:cs="Open Sans SemiBold"/>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B6D5E4"/>
            <w:noWrap/>
            <w:vAlign w:val="center"/>
            <w:hideMark/>
          </w:tcPr>
          <w:p w14:paraId="5F006846" w14:textId="77777777" w:rsidR="007E365E" w:rsidRPr="001D38C2" w:rsidRDefault="007E365E" w:rsidP="007D1D7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38C2">
              <w:rPr>
                <w:rFonts w:ascii="Open Sans SemiBold" w:eastAsia="Times New Roman" w:hAnsi="Open Sans SemiBold" w:cs="Open Sans SemiBold"/>
                <w:color w:val="000000"/>
                <w:sz w:val="16"/>
                <w:szCs w:val="16"/>
                <w:lang w:eastAsia="en-AU"/>
              </w:rPr>
              <w:t>%</w:t>
            </w:r>
          </w:p>
        </w:tc>
      </w:tr>
      <w:tr w:rsidR="007E365E" w:rsidRPr="001D38C2" w14:paraId="2893531C" w14:textId="77777777" w:rsidTr="007D1D77">
        <w:trPr>
          <w:trHeight w:val="315"/>
        </w:trPr>
        <w:tc>
          <w:tcPr>
            <w:tcW w:w="2200" w:type="dxa"/>
            <w:tcBorders>
              <w:top w:val="nil"/>
              <w:left w:val="nil"/>
              <w:bottom w:val="single" w:sz="4" w:space="0" w:color="ADD6EA"/>
              <w:right w:val="nil"/>
            </w:tcBorders>
            <w:shd w:val="clear" w:color="000000" w:fill="FFFFFF"/>
            <w:vAlign w:val="bottom"/>
            <w:hideMark/>
          </w:tcPr>
          <w:p w14:paraId="651131AF" w14:textId="77777777" w:rsidR="007E365E" w:rsidRPr="001D38C2"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1D38C2">
              <w:rPr>
                <w:rFonts w:ascii="Open Sans SemiBold" w:eastAsia="Times New Roman" w:hAnsi="Open Sans SemiBold" w:cs="Open Sans SemiBold"/>
                <w:sz w:val="16"/>
                <w:szCs w:val="16"/>
                <w:lang w:eastAsia="en-AU"/>
              </w:rPr>
              <w:t>Agriculture</w:t>
            </w:r>
          </w:p>
        </w:tc>
        <w:tc>
          <w:tcPr>
            <w:tcW w:w="640" w:type="dxa"/>
            <w:tcBorders>
              <w:top w:val="nil"/>
              <w:left w:val="nil"/>
              <w:bottom w:val="single" w:sz="4" w:space="0" w:color="ADD6EA"/>
              <w:right w:val="nil"/>
            </w:tcBorders>
            <w:shd w:val="clear" w:color="000000" w:fill="FFFFFF"/>
            <w:vAlign w:val="bottom"/>
            <w:hideMark/>
          </w:tcPr>
          <w:p w14:paraId="5FAC0414"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6525569E"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6478E60E"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0D1E8E31"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68419EE0"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3878F69B"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13995C1F"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7D6FD37F"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780" w:type="dxa"/>
            <w:tcBorders>
              <w:top w:val="nil"/>
              <w:left w:val="nil"/>
              <w:bottom w:val="single" w:sz="4" w:space="0" w:color="ADD6EA"/>
              <w:right w:val="nil"/>
            </w:tcBorders>
            <w:shd w:val="clear" w:color="000000" w:fill="FFFFFF"/>
            <w:vAlign w:val="bottom"/>
            <w:hideMark/>
          </w:tcPr>
          <w:p w14:paraId="46119EDB"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820" w:type="dxa"/>
            <w:tcBorders>
              <w:top w:val="nil"/>
              <w:left w:val="nil"/>
              <w:bottom w:val="single" w:sz="4" w:space="0" w:color="ADD6EA"/>
              <w:right w:val="nil"/>
            </w:tcBorders>
            <w:shd w:val="clear" w:color="000000" w:fill="FFFFFF"/>
            <w:vAlign w:val="bottom"/>
            <w:hideMark/>
          </w:tcPr>
          <w:p w14:paraId="2D080ACE" w14:textId="77777777" w:rsidR="007E365E" w:rsidRPr="001D38C2" w:rsidRDefault="007E365E" w:rsidP="007D1D77">
            <w:pPr>
              <w:keepNext/>
              <w:tabs>
                <w:tab w:val="clear" w:pos="567"/>
              </w:tabs>
              <w:spacing w:before="0" w:line="240" w:lineRule="auto"/>
              <w:rPr>
                <w:rFonts w:eastAsia="Times New Roman" w:cs="Open Sans Light"/>
                <w:sz w:val="16"/>
                <w:szCs w:val="16"/>
                <w:lang w:eastAsia="en-AU"/>
              </w:rPr>
            </w:pPr>
            <w:r w:rsidRPr="001D38C2">
              <w:rPr>
                <w:rFonts w:eastAsia="Times New Roman" w:cs="Open Sans Light"/>
                <w:sz w:val="16"/>
                <w:szCs w:val="16"/>
                <w:lang w:eastAsia="en-AU"/>
              </w:rPr>
              <w:t> </w:t>
            </w:r>
          </w:p>
        </w:tc>
      </w:tr>
      <w:tr w:rsidR="007E365E" w:rsidRPr="001D38C2" w14:paraId="15FD4271" w14:textId="77777777" w:rsidTr="007D1D77">
        <w:trPr>
          <w:trHeight w:val="315"/>
        </w:trPr>
        <w:tc>
          <w:tcPr>
            <w:tcW w:w="2200" w:type="dxa"/>
            <w:tcBorders>
              <w:top w:val="nil"/>
              <w:left w:val="nil"/>
              <w:bottom w:val="single" w:sz="4" w:space="0" w:color="ADD6EA"/>
              <w:right w:val="nil"/>
            </w:tcBorders>
            <w:shd w:val="clear" w:color="000000" w:fill="FFFFFF"/>
            <w:vAlign w:val="bottom"/>
            <w:hideMark/>
          </w:tcPr>
          <w:p w14:paraId="36E81D95" w14:textId="77777777" w:rsidR="007E365E" w:rsidRPr="001D38C2" w:rsidRDefault="007E365E" w:rsidP="007D1D77">
            <w:pPr>
              <w:keepNext/>
              <w:tabs>
                <w:tab w:val="clear" w:pos="567"/>
              </w:tabs>
              <w:spacing w:before="0" w:line="240" w:lineRule="auto"/>
              <w:rPr>
                <w:rFonts w:eastAsia="Times New Roman" w:cs="Open Sans Light"/>
                <w:sz w:val="16"/>
                <w:szCs w:val="16"/>
                <w:lang w:eastAsia="en-AU"/>
              </w:rPr>
            </w:pPr>
            <w:r w:rsidRPr="001D38C2">
              <w:rPr>
                <w:rFonts w:eastAsia="Times New Roman" w:cs="Open Sans Light"/>
                <w:sz w:val="16"/>
                <w:szCs w:val="16"/>
                <w:lang w:eastAsia="en-AU"/>
              </w:rPr>
              <w:t xml:space="preserve">   Regulation</w:t>
            </w:r>
          </w:p>
        </w:tc>
        <w:tc>
          <w:tcPr>
            <w:tcW w:w="640" w:type="dxa"/>
            <w:tcBorders>
              <w:top w:val="nil"/>
              <w:left w:val="nil"/>
              <w:bottom w:val="single" w:sz="4" w:space="0" w:color="ADD6EA"/>
              <w:right w:val="nil"/>
            </w:tcBorders>
            <w:shd w:val="clear" w:color="000000" w:fill="FFFFFF"/>
            <w:vAlign w:val="bottom"/>
            <w:hideMark/>
          </w:tcPr>
          <w:p w14:paraId="01C3B0C1"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26</w:t>
            </w:r>
          </w:p>
        </w:tc>
        <w:tc>
          <w:tcPr>
            <w:tcW w:w="640" w:type="dxa"/>
            <w:tcBorders>
              <w:top w:val="nil"/>
              <w:left w:val="nil"/>
              <w:bottom w:val="single" w:sz="4" w:space="0" w:color="ADD6EA"/>
              <w:right w:val="nil"/>
            </w:tcBorders>
            <w:shd w:val="clear" w:color="000000" w:fill="FFFFFF"/>
            <w:vAlign w:val="bottom"/>
            <w:hideMark/>
          </w:tcPr>
          <w:p w14:paraId="4B608480"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61</w:t>
            </w:r>
          </w:p>
        </w:tc>
        <w:tc>
          <w:tcPr>
            <w:tcW w:w="640" w:type="dxa"/>
            <w:tcBorders>
              <w:top w:val="nil"/>
              <w:left w:val="nil"/>
              <w:bottom w:val="single" w:sz="4" w:space="0" w:color="ADD6EA"/>
              <w:right w:val="nil"/>
            </w:tcBorders>
            <w:shd w:val="clear" w:color="000000" w:fill="FFFFFF"/>
            <w:vAlign w:val="bottom"/>
            <w:hideMark/>
          </w:tcPr>
          <w:p w14:paraId="50C7F8AB"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51</w:t>
            </w:r>
          </w:p>
        </w:tc>
        <w:tc>
          <w:tcPr>
            <w:tcW w:w="640" w:type="dxa"/>
            <w:tcBorders>
              <w:top w:val="nil"/>
              <w:left w:val="nil"/>
              <w:bottom w:val="single" w:sz="4" w:space="0" w:color="ADD6EA"/>
              <w:right w:val="nil"/>
            </w:tcBorders>
            <w:shd w:val="clear" w:color="000000" w:fill="FFFFFF"/>
            <w:vAlign w:val="bottom"/>
            <w:hideMark/>
          </w:tcPr>
          <w:p w14:paraId="229BA49F"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94</w:t>
            </w:r>
          </w:p>
        </w:tc>
        <w:tc>
          <w:tcPr>
            <w:tcW w:w="640" w:type="dxa"/>
            <w:tcBorders>
              <w:top w:val="nil"/>
              <w:left w:val="nil"/>
              <w:bottom w:val="single" w:sz="4" w:space="0" w:color="ADD6EA"/>
              <w:right w:val="nil"/>
            </w:tcBorders>
            <w:shd w:val="clear" w:color="000000" w:fill="FFFFFF"/>
            <w:vAlign w:val="bottom"/>
            <w:hideMark/>
          </w:tcPr>
          <w:p w14:paraId="48071BD6"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44</w:t>
            </w:r>
          </w:p>
        </w:tc>
        <w:tc>
          <w:tcPr>
            <w:tcW w:w="640" w:type="dxa"/>
            <w:tcBorders>
              <w:top w:val="nil"/>
              <w:left w:val="nil"/>
              <w:bottom w:val="single" w:sz="4" w:space="0" w:color="ADD6EA"/>
              <w:right w:val="nil"/>
            </w:tcBorders>
            <w:shd w:val="clear" w:color="000000" w:fill="FFFFFF"/>
            <w:vAlign w:val="bottom"/>
            <w:hideMark/>
          </w:tcPr>
          <w:p w14:paraId="53C3C3CC"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80</w:t>
            </w:r>
          </w:p>
        </w:tc>
        <w:tc>
          <w:tcPr>
            <w:tcW w:w="640" w:type="dxa"/>
            <w:tcBorders>
              <w:top w:val="nil"/>
              <w:left w:val="nil"/>
              <w:bottom w:val="single" w:sz="4" w:space="0" w:color="ADD6EA"/>
              <w:right w:val="nil"/>
            </w:tcBorders>
            <w:shd w:val="clear" w:color="000000" w:fill="FFFFFF"/>
            <w:vAlign w:val="bottom"/>
            <w:hideMark/>
          </w:tcPr>
          <w:p w14:paraId="183B47E5"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na</w:t>
            </w:r>
          </w:p>
        </w:tc>
        <w:tc>
          <w:tcPr>
            <w:tcW w:w="640" w:type="dxa"/>
            <w:tcBorders>
              <w:top w:val="nil"/>
              <w:left w:val="nil"/>
              <w:bottom w:val="single" w:sz="4" w:space="0" w:color="ADD6EA"/>
              <w:right w:val="nil"/>
            </w:tcBorders>
            <w:shd w:val="clear" w:color="000000" w:fill="FFFFFF"/>
            <w:vAlign w:val="bottom"/>
            <w:hideMark/>
          </w:tcPr>
          <w:p w14:paraId="3541ED6A"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29</w:t>
            </w:r>
          </w:p>
        </w:tc>
        <w:tc>
          <w:tcPr>
            <w:tcW w:w="780" w:type="dxa"/>
            <w:tcBorders>
              <w:top w:val="nil"/>
              <w:left w:val="nil"/>
              <w:bottom w:val="single" w:sz="4" w:space="0" w:color="ADD6EA"/>
              <w:right w:val="nil"/>
            </w:tcBorders>
            <w:shd w:val="clear" w:color="000000" w:fill="FFFFFF"/>
            <w:vAlign w:val="bottom"/>
            <w:hideMark/>
          </w:tcPr>
          <w:p w14:paraId="3D3DD173"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50</w:t>
            </w:r>
          </w:p>
        </w:tc>
        <w:tc>
          <w:tcPr>
            <w:tcW w:w="820" w:type="dxa"/>
            <w:tcBorders>
              <w:top w:val="nil"/>
              <w:left w:val="nil"/>
              <w:bottom w:val="single" w:sz="4" w:space="0" w:color="ADD6EA"/>
              <w:right w:val="nil"/>
            </w:tcBorders>
            <w:shd w:val="clear" w:color="000000" w:fill="FFFFFF"/>
            <w:vAlign w:val="bottom"/>
            <w:hideMark/>
          </w:tcPr>
          <w:p w14:paraId="07990FBC" w14:textId="77777777" w:rsidR="007E365E" w:rsidRPr="001D38C2" w:rsidRDefault="007E365E" w:rsidP="007D1D77">
            <w:pPr>
              <w:keepNext/>
              <w:tabs>
                <w:tab w:val="clear" w:pos="567"/>
              </w:tabs>
              <w:spacing w:before="0" w:line="240" w:lineRule="auto"/>
              <w:jc w:val="right"/>
              <w:rPr>
                <w:rFonts w:eastAsia="Times New Roman" w:cs="Open Sans Light"/>
                <w:sz w:val="16"/>
                <w:szCs w:val="16"/>
                <w:lang w:eastAsia="en-AU"/>
              </w:rPr>
            </w:pPr>
            <w:r w:rsidRPr="001D38C2">
              <w:rPr>
                <w:rFonts w:eastAsia="Times New Roman" w:cs="Open Sans Light"/>
                <w:sz w:val="16"/>
                <w:szCs w:val="16"/>
                <w:lang w:eastAsia="en-AU"/>
              </w:rPr>
              <w:t>50</w:t>
            </w:r>
          </w:p>
        </w:tc>
      </w:tr>
      <w:tr w:rsidR="007E365E" w:rsidRPr="001D38C2" w14:paraId="3397AD75" w14:textId="77777777" w:rsidTr="007D1D77">
        <w:trPr>
          <w:trHeight w:val="315"/>
        </w:trPr>
        <w:tc>
          <w:tcPr>
            <w:tcW w:w="2200" w:type="dxa"/>
            <w:tcBorders>
              <w:top w:val="nil"/>
              <w:left w:val="nil"/>
              <w:bottom w:val="single" w:sz="4" w:space="0" w:color="ADD6EA"/>
              <w:right w:val="nil"/>
            </w:tcBorders>
            <w:shd w:val="clear" w:color="000000" w:fill="FFFFFF"/>
            <w:vAlign w:val="bottom"/>
            <w:hideMark/>
          </w:tcPr>
          <w:p w14:paraId="2FEAA3CC" w14:textId="77777777" w:rsidR="007E365E" w:rsidRPr="001D38C2" w:rsidRDefault="007E365E" w:rsidP="007D1D77">
            <w:pPr>
              <w:keepNext/>
              <w:tabs>
                <w:tab w:val="clear" w:pos="567"/>
              </w:tabs>
              <w:spacing w:before="0" w:line="240" w:lineRule="auto"/>
              <w:rPr>
                <w:rFonts w:eastAsia="Times New Roman" w:cs="Open Sans Light"/>
                <w:sz w:val="16"/>
                <w:szCs w:val="16"/>
                <w:lang w:eastAsia="en-AU"/>
              </w:rPr>
            </w:pPr>
            <w:r w:rsidRPr="001D38C2">
              <w:rPr>
                <w:rFonts w:eastAsia="Times New Roman" w:cs="Open Sans Light"/>
                <w:sz w:val="16"/>
                <w:szCs w:val="16"/>
                <w:lang w:eastAsia="en-AU"/>
              </w:rPr>
              <w:t xml:space="preserve">   Business development</w:t>
            </w:r>
          </w:p>
        </w:tc>
        <w:tc>
          <w:tcPr>
            <w:tcW w:w="640" w:type="dxa"/>
            <w:tcBorders>
              <w:top w:val="nil"/>
              <w:left w:val="nil"/>
              <w:bottom w:val="single" w:sz="4" w:space="0" w:color="ADD6EA"/>
              <w:right w:val="nil"/>
            </w:tcBorders>
            <w:shd w:val="clear" w:color="000000" w:fill="FFFFFF"/>
            <w:vAlign w:val="bottom"/>
            <w:hideMark/>
          </w:tcPr>
          <w:p w14:paraId="579A8C2B"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74</w:t>
            </w:r>
          </w:p>
        </w:tc>
        <w:tc>
          <w:tcPr>
            <w:tcW w:w="640" w:type="dxa"/>
            <w:tcBorders>
              <w:top w:val="nil"/>
              <w:left w:val="nil"/>
              <w:bottom w:val="single" w:sz="4" w:space="0" w:color="ADD6EA"/>
              <w:right w:val="nil"/>
            </w:tcBorders>
            <w:shd w:val="clear" w:color="000000" w:fill="FFFFFF"/>
            <w:vAlign w:val="bottom"/>
            <w:hideMark/>
          </w:tcPr>
          <w:p w14:paraId="5F003D43"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39</w:t>
            </w:r>
          </w:p>
        </w:tc>
        <w:tc>
          <w:tcPr>
            <w:tcW w:w="640" w:type="dxa"/>
            <w:tcBorders>
              <w:top w:val="nil"/>
              <w:left w:val="nil"/>
              <w:bottom w:val="single" w:sz="4" w:space="0" w:color="ADD6EA"/>
              <w:right w:val="nil"/>
            </w:tcBorders>
            <w:shd w:val="clear" w:color="000000" w:fill="FFFFFF"/>
            <w:vAlign w:val="bottom"/>
            <w:hideMark/>
          </w:tcPr>
          <w:p w14:paraId="273B25E8"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49</w:t>
            </w:r>
          </w:p>
        </w:tc>
        <w:tc>
          <w:tcPr>
            <w:tcW w:w="640" w:type="dxa"/>
            <w:tcBorders>
              <w:top w:val="nil"/>
              <w:left w:val="nil"/>
              <w:bottom w:val="single" w:sz="4" w:space="0" w:color="ADD6EA"/>
              <w:right w:val="nil"/>
            </w:tcBorders>
            <w:shd w:val="clear" w:color="000000" w:fill="FFFFFF"/>
            <w:vAlign w:val="bottom"/>
            <w:hideMark/>
          </w:tcPr>
          <w:p w14:paraId="232A04B5"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6</w:t>
            </w:r>
          </w:p>
        </w:tc>
        <w:tc>
          <w:tcPr>
            <w:tcW w:w="640" w:type="dxa"/>
            <w:tcBorders>
              <w:top w:val="nil"/>
              <w:left w:val="nil"/>
              <w:bottom w:val="single" w:sz="4" w:space="0" w:color="ADD6EA"/>
              <w:right w:val="nil"/>
            </w:tcBorders>
            <w:shd w:val="clear" w:color="000000" w:fill="FFFFFF"/>
            <w:vAlign w:val="bottom"/>
            <w:hideMark/>
          </w:tcPr>
          <w:p w14:paraId="1E035BEA"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56</w:t>
            </w:r>
          </w:p>
        </w:tc>
        <w:tc>
          <w:tcPr>
            <w:tcW w:w="640" w:type="dxa"/>
            <w:tcBorders>
              <w:top w:val="nil"/>
              <w:left w:val="nil"/>
              <w:bottom w:val="single" w:sz="4" w:space="0" w:color="ADD6EA"/>
              <w:right w:val="nil"/>
            </w:tcBorders>
            <w:shd w:val="clear" w:color="000000" w:fill="FFFFFF"/>
            <w:vAlign w:val="bottom"/>
            <w:hideMark/>
          </w:tcPr>
          <w:p w14:paraId="01E9D06A"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20</w:t>
            </w:r>
          </w:p>
        </w:tc>
        <w:tc>
          <w:tcPr>
            <w:tcW w:w="640" w:type="dxa"/>
            <w:tcBorders>
              <w:top w:val="nil"/>
              <w:left w:val="nil"/>
              <w:bottom w:val="single" w:sz="4" w:space="0" w:color="ADD6EA"/>
              <w:right w:val="nil"/>
            </w:tcBorders>
            <w:shd w:val="clear" w:color="000000" w:fill="FFFFFF"/>
            <w:vAlign w:val="bottom"/>
            <w:hideMark/>
          </w:tcPr>
          <w:p w14:paraId="01ED3306"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na</w:t>
            </w:r>
          </w:p>
        </w:tc>
        <w:tc>
          <w:tcPr>
            <w:tcW w:w="640" w:type="dxa"/>
            <w:tcBorders>
              <w:top w:val="nil"/>
              <w:left w:val="nil"/>
              <w:bottom w:val="single" w:sz="4" w:space="0" w:color="ADD6EA"/>
              <w:right w:val="nil"/>
            </w:tcBorders>
            <w:shd w:val="clear" w:color="000000" w:fill="FFFFFF"/>
            <w:vAlign w:val="bottom"/>
            <w:hideMark/>
          </w:tcPr>
          <w:p w14:paraId="03CB2FB9"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71</w:t>
            </w:r>
          </w:p>
        </w:tc>
        <w:tc>
          <w:tcPr>
            <w:tcW w:w="780" w:type="dxa"/>
            <w:tcBorders>
              <w:top w:val="nil"/>
              <w:left w:val="nil"/>
              <w:bottom w:val="single" w:sz="4" w:space="0" w:color="ADD6EA"/>
              <w:right w:val="nil"/>
            </w:tcBorders>
            <w:shd w:val="clear" w:color="000000" w:fill="FFFFFF"/>
            <w:vAlign w:val="bottom"/>
            <w:hideMark/>
          </w:tcPr>
          <w:p w14:paraId="24F27BB5"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50</w:t>
            </w:r>
          </w:p>
        </w:tc>
        <w:tc>
          <w:tcPr>
            <w:tcW w:w="820" w:type="dxa"/>
            <w:tcBorders>
              <w:top w:val="nil"/>
              <w:left w:val="nil"/>
              <w:bottom w:val="single" w:sz="4" w:space="0" w:color="ADD6EA"/>
              <w:right w:val="nil"/>
            </w:tcBorders>
            <w:shd w:val="clear" w:color="000000" w:fill="FFFFFF"/>
            <w:vAlign w:val="bottom"/>
            <w:hideMark/>
          </w:tcPr>
          <w:p w14:paraId="0580A71D" w14:textId="77777777" w:rsidR="007E365E" w:rsidRPr="001D38C2" w:rsidRDefault="007E365E" w:rsidP="007D1D77">
            <w:pPr>
              <w:keepNext/>
              <w:tabs>
                <w:tab w:val="clear" w:pos="567"/>
              </w:tabs>
              <w:spacing w:before="0" w:line="240" w:lineRule="auto"/>
              <w:jc w:val="right"/>
              <w:rPr>
                <w:rFonts w:eastAsia="Times New Roman" w:cs="Open Sans Light"/>
                <w:sz w:val="16"/>
                <w:szCs w:val="16"/>
                <w:lang w:eastAsia="en-AU"/>
              </w:rPr>
            </w:pPr>
            <w:r w:rsidRPr="001D38C2">
              <w:rPr>
                <w:rFonts w:eastAsia="Times New Roman" w:cs="Open Sans Light"/>
                <w:sz w:val="16"/>
                <w:szCs w:val="16"/>
                <w:lang w:eastAsia="en-AU"/>
              </w:rPr>
              <w:t>50</w:t>
            </w:r>
          </w:p>
        </w:tc>
      </w:tr>
      <w:tr w:rsidR="007E365E" w:rsidRPr="001D38C2" w14:paraId="6E75E409" w14:textId="77777777" w:rsidTr="007D1D77">
        <w:trPr>
          <w:trHeight w:val="315"/>
        </w:trPr>
        <w:tc>
          <w:tcPr>
            <w:tcW w:w="2200" w:type="dxa"/>
            <w:tcBorders>
              <w:top w:val="nil"/>
              <w:left w:val="nil"/>
              <w:bottom w:val="single" w:sz="4" w:space="0" w:color="ADD6EA"/>
              <w:right w:val="nil"/>
            </w:tcBorders>
            <w:shd w:val="clear" w:color="000000" w:fill="FFFFFF"/>
            <w:vAlign w:val="bottom"/>
            <w:hideMark/>
          </w:tcPr>
          <w:p w14:paraId="5CE64040" w14:textId="77777777" w:rsidR="007E365E" w:rsidRPr="001D38C2"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1D38C2">
              <w:rPr>
                <w:rFonts w:ascii="Open Sans SemiBold" w:eastAsia="Times New Roman" w:hAnsi="Open Sans SemiBold" w:cs="Open Sans SemiBold"/>
                <w:sz w:val="16"/>
                <w:szCs w:val="16"/>
                <w:lang w:eastAsia="en-AU"/>
              </w:rPr>
              <w:t>Other industries</w:t>
            </w:r>
          </w:p>
        </w:tc>
        <w:tc>
          <w:tcPr>
            <w:tcW w:w="640" w:type="dxa"/>
            <w:tcBorders>
              <w:top w:val="nil"/>
              <w:left w:val="nil"/>
              <w:bottom w:val="single" w:sz="4" w:space="0" w:color="ADD6EA"/>
              <w:right w:val="nil"/>
            </w:tcBorders>
            <w:shd w:val="clear" w:color="000000" w:fill="FFFFFF"/>
            <w:vAlign w:val="bottom"/>
            <w:hideMark/>
          </w:tcPr>
          <w:p w14:paraId="083BB82C"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761534C4"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269639AB"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6C2F0F57"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646C5B9D"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2C037C2A"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1CBF20D7"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6B5B99D1"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780" w:type="dxa"/>
            <w:tcBorders>
              <w:top w:val="nil"/>
              <w:left w:val="nil"/>
              <w:bottom w:val="single" w:sz="4" w:space="0" w:color="ADD6EA"/>
              <w:right w:val="nil"/>
            </w:tcBorders>
            <w:shd w:val="clear" w:color="000000" w:fill="FFFFFF"/>
            <w:vAlign w:val="bottom"/>
            <w:hideMark/>
          </w:tcPr>
          <w:p w14:paraId="3428CC3B"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820" w:type="dxa"/>
            <w:tcBorders>
              <w:top w:val="nil"/>
              <w:left w:val="nil"/>
              <w:bottom w:val="single" w:sz="4" w:space="0" w:color="ADD6EA"/>
              <w:right w:val="nil"/>
            </w:tcBorders>
            <w:shd w:val="clear" w:color="000000" w:fill="FFFFFF"/>
            <w:vAlign w:val="bottom"/>
            <w:hideMark/>
          </w:tcPr>
          <w:p w14:paraId="1C2FBD17" w14:textId="77777777" w:rsidR="007E365E" w:rsidRPr="001D38C2" w:rsidRDefault="007E365E" w:rsidP="007D1D77">
            <w:pPr>
              <w:keepNext/>
              <w:tabs>
                <w:tab w:val="clear" w:pos="567"/>
              </w:tabs>
              <w:spacing w:before="0" w:line="240" w:lineRule="auto"/>
              <w:rPr>
                <w:rFonts w:eastAsia="Times New Roman" w:cs="Open Sans Light"/>
                <w:sz w:val="16"/>
                <w:szCs w:val="16"/>
                <w:lang w:eastAsia="en-AU"/>
              </w:rPr>
            </w:pPr>
            <w:r w:rsidRPr="001D38C2">
              <w:rPr>
                <w:rFonts w:eastAsia="Times New Roman" w:cs="Open Sans Light"/>
                <w:sz w:val="16"/>
                <w:szCs w:val="16"/>
                <w:lang w:eastAsia="en-AU"/>
              </w:rPr>
              <w:t> </w:t>
            </w:r>
          </w:p>
        </w:tc>
      </w:tr>
      <w:tr w:rsidR="007E365E" w:rsidRPr="001D38C2" w14:paraId="1CF30872" w14:textId="77777777" w:rsidTr="007D1D77">
        <w:trPr>
          <w:trHeight w:val="315"/>
        </w:trPr>
        <w:tc>
          <w:tcPr>
            <w:tcW w:w="2200" w:type="dxa"/>
            <w:tcBorders>
              <w:top w:val="nil"/>
              <w:left w:val="nil"/>
              <w:bottom w:val="single" w:sz="4" w:space="0" w:color="ADD6EA"/>
              <w:right w:val="nil"/>
            </w:tcBorders>
            <w:shd w:val="clear" w:color="000000" w:fill="FFFFFF"/>
            <w:vAlign w:val="bottom"/>
            <w:hideMark/>
          </w:tcPr>
          <w:p w14:paraId="3BBA0E74" w14:textId="77777777" w:rsidR="007E365E" w:rsidRPr="001D38C2" w:rsidRDefault="007E365E" w:rsidP="007D1D77">
            <w:pPr>
              <w:keepNext/>
              <w:tabs>
                <w:tab w:val="clear" w:pos="567"/>
              </w:tabs>
              <w:spacing w:before="0" w:line="240" w:lineRule="auto"/>
              <w:rPr>
                <w:rFonts w:eastAsia="Times New Roman" w:cs="Open Sans Light"/>
                <w:sz w:val="16"/>
                <w:szCs w:val="16"/>
                <w:lang w:eastAsia="en-AU"/>
              </w:rPr>
            </w:pPr>
            <w:r w:rsidRPr="001D38C2">
              <w:rPr>
                <w:rFonts w:eastAsia="Times New Roman" w:cs="Open Sans Light"/>
                <w:sz w:val="16"/>
                <w:szCs w:val="16"/>
                <w:lang w:eastAsia="en-AU"/>
              </w:rPr>
              <w:t xml:space="preserve">   Regulation</w:t>
            </w:r>
          </w:p>
        </w:tc>
        <w:tc>
          <w:tcPr>
            <w:tcW w:w="640" w:type="dxa"/>
            <w:tcBorders>
              <w:top w:val="nil"/>
              <w:left w:val="nil"/>
              <w:bottom w:val="single" w:sz="4" w:space="0" w:color="ADD6EA"/>
              <w:right w:val="nil"/>
            </w:tcBorders>
            <w:shd w:val="clear" w:color="000000" w:fill="FFFFFF"/>
            <w:vAlign w:val="bottom"/>
            <w:hideMark/>
          </w:tcPr>
          <w:p w14:paraId="6BC9423E"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52</w:t>
            </w:r>
          </w:p>
        </w:tc>
        <w:tc>
          <w:tcPr>
            <w:tcW w:w="640" w:type="dxa"/>
            <w:tcBorders>
              <w:top w:val="nil"/>
              <w:left w:val="nil"/>
              <w:bottom w:val="single" w:sz="4" w:space="0" w:color="ADD6EA"/>
              <w:right w:val="nil"/>
            </w:tcBorders>
            <w:shd w:val="clear" w:color="000000" w:fill="FFFFFF"/>
            <w:vAlign w:val="bottom"/>
            <w:hideMark/>
          </w:tcPr>
          <w:p w14:paraId="22FF3704"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na</w:t>
            </w:r>
          </w:p>
        </w:tc>
        <w:tc>
          <w:tcPr>
            <w:tcW w:w="640" w:type="dxa"/>
            <w:tcBorders>
              <w:top w:val="nil"/>
              <w:left w:val="nil"/>
              <w:bottom w:val="single" w:sz="4" w:space="0" w:color="ADD6EA"/>
              <w:right w:val="nil"/>
            </w:tcBorders>
            <w:shd w:val="clear" w:color="000000" w:fill="FFFFFF"/>
            <w:vAlign w:val="bottom"/>
            <w:hideMark/>
          </w:tcPr>
          <w:p w14:paraId="33EE5CE9"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61</w:t>
            </w:r>
          </w:p>
        </w:tc>
        <w:tc>
          <w:tcPr>
            <w:tcW w:w="640" w:type="dxa"/>
            <w:tcBorders>
              <w:top w:val="nil"/>
              <w:left w:val="nil"/>
              <w:bottom w:val="single" w:sz="4" w:space="0" w:color="ADD6EA"/>
              <w:right w:val="nil"/>
            </w:tcBorders>
            <w:shd w:val="clear" w:color="000000" w:fill="FFFFFF"/>
            <w:vAlign w:val="bottom"/>
            <w:hideMark/>
          </w:tcPr>
          <w:p w14:paraId="5A6F22EC"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54</w:t>
            </w:r>
          </w:p>
        </w:tc>
        <w:tc>
          <w:tcPr>
            <w:tcW w:w="640" w:type="dxa"/>
            <w:tcBorders>
              <w:top w:val="nil"/>
              <w:left w:val="nil"/>
              <w:bottom w:val="single" w:sz="4" w:space="0" w:color="ADD6EA"/>
              <w:right w:val="nil"/>
            </w:tcBorders>
            <w:shd w:val="clear" w:color="000000" w:fill="FFFFFF"/>
            <w:vAlign w:val="bottom"/>
            <w:hideMark/>
          </w:tcPr>
          <w:p w14:paraId="749B8E20"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50</w:t>
            </w:r>
          </w:p>
        </w:tc>
        <w:tc>
          <w:tcPr>
            <w:tcW w:w="640" w:type="dxa"/>
            <w:tcBorders>
              <w:top w:val="nil"/>
              <w:left w:val="nil"/>
              <w:bottom w:val="single" w:sz="4" w:space="0" w:color="ADD6EA"/>
              <w:right w:val="nil"/>
            </w:tcBorders>
            <w:shd w:val="clear" w:color="000000" w:fill="FFFFFF"/>
            <w:vAlign w:val="bottom"/>
            <w:hideMark/>
          </w:tcPr>
          <w:p w14:paraId="0EA84C07"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16</w:t>
            </w:r>
          </w:p>
        </w:tc>
        <w:tc>
          <w:tcPr>
            <w:tcW w:w="640" w:type="dxa"/>
            <w:tcBorders>
              <w:top w:val="nil"/>
              <w:left w:val="nil"/>
              <w:bottom w:val="single" w:sz="4" w:space="0" w:color="ADD6EA"/>
              <w:right w:val="nil"/>
            </w:tcBorders>
            <w:shd w:val="clear" w:color="000000" w:fill="FFFFFF"/>
            <w:vAlign w:val="bottom"/>
            <w:hideMark/>
          </w:tcPr>
          <w:p w14:paraId="69795952"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72</w:t>
            </w:r>
          </w:p>
        </w:tc>
        <w:tc>
          <w:tcPr>
            <w:tcW w:w="640" w:type="dxa"/>
            <w:tcBorders>
              <w:top w:val="nil"/>
              <w:left w:val="nil"/>
              <w:bottom w:val="single" w:sz="4" w:space="0" w:color="ADD6EA"/>
              <w:right w:val="nil"/>
            </w:tcBorders>
            <w:shd w:val="clear" w:color="000000" w:fill="FFFFFF"/>
            <w:vAlign w:val="bottom"/>
            <w:hideMark/>
          </w:tcPr>
          <w:p w14:paraId="6F648224"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49</w:t>
            </w:r>
          </w:p>
        </w:tc>
        <w:tc>
          <w:tcPr>
            <w:tcW w:w="780" w:type="dxa"/>
            <w:tcBorders>
              <w:top w:val="nil"/>
              <w:left w:val="nil"/>
              <w:bottom w:val="single" w:sz="4" w:space="0" w:color="ADD6EA"/>
              <w:right w:val="nil"/>
            </w:tcBorders>
            <w:shd w:val="clear" w:color="000000" w:fill="FFFFFF"/>
            <w:vAlign w:val="bottom"/>
            <w:hideMark/>
          </w:tcPr>
          <w:p w14:paraId="7DE199BB"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53</w:t>
            </w:r>
          </w:p>
        </w:tc>
        <w:tc>
          <w:tcPr>
            <w:tcW w:w="820" w:type="dxa"/>
            <w:tcBorders>
              <w:top w:val="nil"/>
              <w:left w:val="nil"/>
              <w:bottom w:val="single" w:sz="4" w:space="0" w:color="ADD6EA"/>
              <w:right w:val="nil"/>
            </w:tcBorders>
            <w:shd w:val="clear" w:color="000000" w:fill="FFFFFF"/>
            <w:vAlign w:val="bottom"/>
            <w:hideMark/>
          </w:tcPr>
          <w:p w14:paraId="52D3A879" w14:textId="77777777" w:rsidR="007E365E" w:rsidRPr="001D38C2" w:rsidRDefault="007E365E" w:rsidP="007D1D77">
            <w:pPr>
              <w:keepNext/>
              <w:tabs>
                <w:tab w:val="clear" w:pos="567"/>
              </w:tabs>
              <w:spacing w:before="0" w:line="240" w:lineRule="auto"/>
              <w:jc w:val="right"/>
              <w:rPr>
                <w:rFonts w:eastAsia="Times New Roman" w:cs="Open Sans Light"/>
                <w:sz w:val="16"/>
                <w:szCs w:val="16"/>
                <w:lang w:eastAsia="en-AU"/>
              </w:rPr>
            </w:pPr>
            <w:r w:rsidRPr="001D38C2">
              <w:rPr>
                <w:rFonts w:eastAsia="Times New Roman" w:cs="Open Sans Light"/>
                <w:sz w:val="16"/>
                <w:szCs w:val="16"/>
                <w:lang w:eastAsia="en-AU"/>
              </w:rPr>
              <w:t>37</w:t>
            </w:r>
          </w:p>
        </w:tc>
      </w:tr>
      <w:tr w:rsidR="007E365E" w:rsidRPr="001D38C2" w14:paraId="5B039A78" w14:textId="77777777" w:rsidTr="007D1D77">
        <w:trPr>
          <w:trHeight w:val="315"/>
        </w:trPr>
        <w:tc>
          <w:tcPr>
            <w:tcW w:w="2200" w:type="dxa"/>
            <w:tcBorders>
              <w:top w:val="nil"/>
              <w:left w:val="nil"/>
              <w:bottom w:val="single" w:sz="4" w:space="0" w:color="ADD6EA"/>
              <w:right w:val="nil"/>
            </w:tcBorders>
            <w:shd w:val="clear" w:color="000000" w:fill="FFFFFF"/>
            <w:vAlign w:val="bottom"/>
            <w:hideMark/>
          </w:tcPr>
          <w:p w14:paraId="3297B2C4" w14:textId="77777777" w:rsidR="007E365E" w:rsidRPr="001D38C2" w:rsidRDefault="007E365E" w:rsidP="007D1D77">
            <w:pPr>
              <w:keepNext/>
              <w:tabs>
                <w:tab w:val="clear" w:pos="567"/>
              </w:tabs>
              <w:spacing w:before="0" w:line="240" w:lineRule="auto"/>
              <w:rPr>
                <w:rFonts w:eastAsia="Times New Roman" w:cs="Open Sans Light"/>
                <w:sz w:val="16"/>
                <w:szCs w:val="16"/>
                <w:lang w:eastAsia="en-AU"/>
              </w:rPr>
            </w:pPr>
            <w:r w:rsidRPr="001D38C2">
              <w:rPr>
                <w:rFonts w:eastAsia="Times New Roman" w:cs="Open Sans Light"/>
                <w:sz w:val="16"/>
                <w:szCs w:val="16"/>
                <w:lang w:eastAsia="en-AU"/>
              </w:rPr>
              <w:t xml:space="preserve">   Business development</w:t>
            </w:r>
          </w:p>
        </w:tc>
        <w:tc>
          <w:tcPr>
            <w:tcW w:w="640" w:type="dxa"/>
            <w:tcBorders>
              <w:top w:val="nil"/>
              <w:left w:val="nil"/>
              <w:bottom w:val="single" w:sz="4" w:space="0" w:color="ADD6EA"/>
              <w:right w:val="nil"/>
            </w:tcBorders>
            <w:shd w:val="clear" w:color="000000" w:fill="FFFFFF"/>
            <w:vAlign w:val="bottom"/>
            <w:hideMark/>
          </w:tcPr>
          <w:p w14:paraId="00B1C945"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48</w:t>
            </w:r>
          </w:p>
        </w:tc>
        <w:tc>
          <w:tcPr>
            <w:tcW w:w="640" w:type="dxa"/>
            <w:tcBorders>
              <w:top w:val="nil"/>
              <w:left w:val="nil"/>
              <w:bottom w:val="single" w:sz="4" w:space="0" w:color="ADD6EA"/>
              <w:right w:val="nil"/>
            </w:tcBorders>
            <w:shd w:val="clear" w:color="000000" w:fill="FFFFFF"/>
            <w:vAlign w:val="bottom"/>
            <w:hideMark/>
          </w:tcPr>
          <w:p w14:paraId="3F831B28"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na</w:t>
            </w:r>
          </w:p>
        </w:tc>
        <w:tc>
          <w:tcPr>
            <w:tcW w:w="640" w:type="dxa"/>
            <w:tcBorders>
              <w:top w:val="nil"/>
              <w:left w:val="nil"/>
              <w:bottom w:val="single" w:sz="4" w:space="0" w:color="ADD6EA"/>
              <w:right w:val="nil"/>
            </w:tcBorders>
            <w:shd w:val="clear" w:color="000000" w:fill="FFFFFF"/>
            <w:vAlign w:val="bottom"/>
            <w:hideMark/>
          </w:tcPr>
          <w:p w14:paraId="23B5A520"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39</w:t>
            </w:r>
          </w:p>
        </w:tc>
        <w:tc>
          <w:tcPr>
            <w:tcW w:w="640" w:type="dxa"/>
            <w:tcBorders>
              <w:top w:val="nil"/>
              <w:left w:val="nil"/>
              <w:bottom w:val="single" w:sz="4" w:space="0" w:color="ADD6EA"/>
              <w:right w:val="nil"/>
            </w:tcBorders>
            <w:shd w:val="clear" w:color="000000" w:fill="FFFFFF"/>
            <w:vAlign w:val="bottom"/>
            <w:hideMark/>
          </w:tcPr>
          <w:p w14:paraId="0A8C8888"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46</w:t>
            </w:r>
          </w:p>
        </w:tc>
        <w:tc>
          <w:tcPr>
            <w:tcW w:w="640" w:type="dxa"/>
            <w:tcBorders>
              <w:top w:val="nil"/>
              <w:left w:val="nil"/>
              <w:bottom w:val="single" w:sz="4" w:space="0" w:color="ADD6EA"/>
              <w:right w:val="nil"/>
            </w:tcBorders>
            <w:shd w:val="clear" w:color="000000" w:fill="FFFFFF"/>
            <w:vAlign w:val="bottom"/>
            <w:hideMark/>
          </w:tcPr>
          <w:p w14:paraId="4C5E7CF5"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50</w:t>
            </w:r>
          </w:p>
        </w:tc>
        <w:tc>
          <w:tcPr>
            <w:tcW w:w="640" w:type="dxa"/>
            <w:tcBorders>
              <w:top w:val="nil"/>
              <w:left w:val="nil"/>
              <w:bottom w:val="single" w:sz="4" w:space="0" w:color="ADD6EA"/>
              <w:right w:val="nil"/>
            </w:tcBorders>
            <w:shd w:val="clear" w:color="000000" w:fill="FFFFFF"/>
            <w:vAlign w:val="bottom"/>
            <w:hideMark/>
          </w:tcPr>
          <w:p w14:paraId="5FEC9BA4"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84</w:t>
            </w:r>
          </w:p>
        </w:tc>
        <w:tc>
          <w:tcPr>
            <w:tcW w:w="640" w:type="dxa"/>
            <w:tcBorders>
              <w:top w:val="nil"/>
              <w:left w:val="nil"/>
              <w:bottom w:val="single" w:sz="4" w:space="0" w:color="ADD6EA"/>
              <w:right w:val="nil"/>
            </w:tcBorders>
            <w:shd w:val="clear" w:color="000000" w:fill="FFFFFF"/>
            <w:vAlign w:val="bottom"/>
            <w:hideMark/>
          </w:tcPr>
          <w:p w14:paraId="131BDE36"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28</w:t>
            </w:r>
          </w:p>
        </w:tc>
        <w:tc>
          <w:tcPr>
            <w:tcW w:w="640" w:type="dxa"/>
            <w:tcBorders>
              <w:top w:val="nil"/>
              <w:left w:val="nil"/>
              <w:bottom w:val="single" w:sz="4" w:space="0" w:color="ADD6EA"/>
              <w:right w:val="nil"/>
            </w:tcBorders>
            <w:shd w:val="clear" w:color="000000" w:fill="FFFFFF"/>
            <w:vAlign w:val="bottom"/>
            <w:hideMark/>
          </w:tcPr>
          <w:p w14:paraId="2F288C38"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51</w:t>
            </w:r>
          </w:p>
        </w:tc>
        <w:tc>
          <w:tcPr>
            <w:tcW w:w="780" w:type="dxa"/>
            <w:tcBorders>
              <w:top w:val="nil"/>
              <w:left w:val="nil"/>
              <w:bottom w:val="single" w:sz="4" w:space="0" w:color="ADD6EA"/>
              <w:right w:val="nil"/>
            </w:tcBorders>
            <w:shd w:val="clear" w:color="000000" w:fill="FFFFFF"/>
            <w:vAlign w:val="bottom"/>
            <w:hideMark/>
          </w:tcPr>
          <w:p w14:paraId="41980893"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47</w:t>
            </w:r>
          </w:p>
        </w:tc>
        <w:tc>
          <w:tcPr>
            <w:tcW w:w="820" w:type="dxa"/>
            <w:tcBorders>
              <w:top w:val="nil"/>
              <w:left w:val="nil"/>
              <w:bottom w:val="single" w:sz="4" w:space="0" w:color="ADD6EA"/>
              <w:right w:val="nil"/>
            </w:tcBorders>
            <w:shd w:val="clear" w:color="000000" w:fill="FFFFFF"/>
            <w:vAlign w:val="bottom"/>
            <w:hideMark/>
          </w:tcPr>
          <w:p w14:paraId="008DCD24" w14:textId="77777777" w:rsidR="007E365E" w:rsidRPr="001D38C2" w:rsidRDefault="007E365E" w:rsidP="007D1D77">
            <w:pPr>
              <w:keepNext/>
              <w:tabs>
                <w:tab w:val="clear" w:pos="567"/>
              </w:tabs>
              <w:spacing w:before="0" w:line="240" w:lineRule="auto"/>
              <w:jc w:val="right"/>
              <w:rPr>
                <w:rFonts w:eastAsia="Times New Roman" w:cs="Open Sans Light"/>
                <w:sz w:val="16"/>
                <w:szCs w:val="16"/>
                <w:lang w:eastAsia="en-AU"/>
              </w:rPr>
            </w:pPr>
            <w:r w:rsidRPr="001D38C2">
              <w:rPr>
                <w:rFonts w:eastAsia="Times New Roman" w:cs="Open Sans Light"/>
                <w:sz w:val="16"/>
                <w:szCs w:val="16"/>
                <w:lang w:eastAsia="en-AU"/>
              </w:rPr>
              <w:t>63</w:t>
            </w:r>
          </w:p>
        </w:tc>
      </w:tr>
      <w:tr w:rsidR="007E365E" w:rsidRPr="001D38C2" w14:paraId="78A414B0" w14:textId="77777777" w:rsidTr="007D1D77">
        <w:trPr>
          <w:trHeight w:val="315"/>
        </w:trPr>
        <w:tc>
          <w:tcPr>
            <w:tcW w:w="2200" w:type="dxa"/>
            <w:tcBorders>
              <w:top w:val="nil"/>
              <w:left w:val="nil"/>
              <w:bottom w:val="single" w:sz="4" w:space="0" w:color="ADD6EA"/>
              <w:right w:val="nil"/>
            </w:tcBorders>
            <w:shd w:val="clear" w:color="000000" w:fill="FFFFFF"/>
            <w:vAlign w:val="bottom"/>
            <w:hideMark/>
          </w:tcPr>
          <w:p w14:paraId="3449D6DF" w14:textId="77777777" w:rsidR="007E365E" w:rsidRPr="001D38C2"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1D38C2">
              <w:rPr>
                <w:rFonts w:ascii="Open Sans SemiBold" w:eastAsia="Times New Roman" w:hAnsi="Open Sans SemiBold" w:cs="Open Sans SemiBold"/>
                <w:sz w:val="16"/>
                <w:szCs w:val="16"/>
                <w:lang w:eastAsia="en-AU"/>
              </w:rPr>
              <w:t>Mining</w:t>
            </w:r>
          </w:p>
        </w:tc>
        <w:tc>
          <w:tcPr>
            <w:tcW w:w="640" w:type="dxa"/>
            <w:tcBorders>
              <w:top w:val="nil"/>
              <w:left w:val="nil"/>
              <w:bottom w:val="single" w:sz="4" w:space="0" w:color="ADD6EA"/>
              <w:right w:val="nil"/>
            </w:tcBorders>
            <w:shd w:val="clear" w:color="000000" w:fill="FFFFFF"/>
            <w:vAlign w:val="bottom"/>
            <w:hideMark/>
          </w:tcPr>
          <w:p w14:paraId="0FC4EFD2"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113117B8"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2367ABD0"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5B37065B"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68FBA8F3"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198D4E97"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5D0CC84D"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640" w:type="dxa"/>
            <w:tcBorders>
              <w:top w:val="nil"/>
              <w:left w:val="nil"/>
              <w:bottom w:val="single" w:sz="4" w:space="0" w:color="ADD6EA"/>
              <w:right w:val="nil"/>
            </w:tcBorders>
            <w:shd w:val="clear" w:color="000000" w:fill="FFFFFF"/>
            <w:vAlign w:val="bottom"/>
            <w:hideMark/>
          </w:tcPr>
          <w:p w14:paraId="4E6D1CD2"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780" w:type="dxa"/>
            <w:tcBorders>
              <w:top w:val="nil"/>
              <w:left w:val="nil"/>
              <w:bottom w:val="single" w:sz="4" w:space="0" w:color="ADD6EA"/>
              <w:right w:val="nil"/>
            </w:tcBorders>
            <w:shd w:val="clear" w:color="000000" w:fill="FFFFFF"/>
            <w:vAlign w:val="bottom"/>
            <w:hideMark/>
          </w:tcPr>
          <w:p w14:paraId="4AF77EE1"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 </w:t>
            </w:r>
          </w:p>
        </w:tc>
        <w:tc>
          <w:tcPr>
            <w:tcW w:w="820" w:type="dxa"/>
            <w:tcBorders>
              <w:top w:val="nil"/>
              <w:left w:val="nil"/>
              <w:bottom w:val="single" w:sz="4" w:space="0" w:color="ADD6EA"/>
              <w:right w:val="nil"/>
            </w:tcBorders>
            <w:shd w:val="clear" w:color="000000" w:fill="FFFFFF"/>
            <w:vAlign w:val="bottom"/>
            <w:hideMark/>
          </w:tcPr>
          <w:p w14:paraId="13CB485F" w14:textId="77777777" w:rsidR="007E365E" w:rsidRPr="001D38C2" w:rsidRDefault="007E365E" w:rsidP="007D1D77">
            <w:pPr>
              <w:keepNext/>
              <w:tabs>
                <w:tab w:val="clear" w:pos="567"/>
              </w:tabs>
              <w:spacing w:before="0" w:line="240" w:lineRule="auto"/>
              <w:rPr>
                <w:rFonts w:eastAsia="Times New Roman" w:cs="Open Sans Light"/>
                <w:sz w:val="16"/>
                <w:szCs w:val="16"/>
                <w:lang w:eastAsia="en-AU"/>
              </w:rPr>
            </w:pPr>
            <w:r w:rsidRPr="001D38C2">
              <w:rPr>
                <w:rFonts w:eastAsia="Times New Roman" w:cs="Open Sans Light"/>
                <w:sz w:val="16"/>
                <w:szCs w:val="16"/>
                <w:lang w:eastAsia="en-AU"/>
              </w:rPr>
              <w:t> </w:t>
            </w:r>
          </w:p>
        </w:tc>
      </w:tr>
      <w:tr w:rsidR="007E365E" w:rsidRPr="001D38C2" w14:paraId="59975DA8" w14:textId="77777777" w:rsidTr="007D1D77">
        <w:trPr>
          <w:trHeight w:val="315"/>
        </w:trPr>
        <w:tc>
          <w:tcPr>
            <w:tcW w:w="2200" w:type="dxa"/>
            <w:tcBorders>
              <w:top w:val="nil"/>
              <w:left w:val="nil"/>
              <w:bottom w:val="single" w:sz="4" w:space="0" w:color="ADD6EA"/>
              <w:right w:val="nil"/>
            </w:tcBorders>
            <w:shd w:val="clear" w:color="000000" w:fill="FFFFFF"/>
            <w:vAlign w:val="bottom"/>
            <w:hideMark/>
          </w:tcPr>
          <w:p w14:paraId="49BA9C46" w14:textId="77777777" w:rsidR="007E365E" w:rsidRPr="001D38C2" w:rsidRDefault="007E365E" w:rsidP="007D1D77">
            <w:pPr>
              <w:keepNext/>
              <w:tabs>
                <w:tab w:val="clear" w:pos="567"/>
              </w:tabs>
              <w:spacing w:before="0" w:line="240" w:lineRule="auto"/>
              <w:rPr>
                <w:rFonts w:eastAsia="Times New Roman" w:cs="Open Sans Light"/>
                <w:sz w:val="16"/>
                <w:szCs w:val="16"/>
                <w:lang w:eastAsia="en-AU"/>
              </w:rPr>
            </w:pPr>
            <w:r w:rsidRPr="001D38C2">
              <w:rPr>
                <w:rFonts w:eastAsia="Times New Roman" w:cs="Open Sans Light"/>
                <w:sz w:val="16"/>
                <w:szCs w:val="16"/>
                <w:lang w:eastAsia="en-AU"/>
              </w:rPr>
              <w:t xml:space="preserve">   Regulation</w:t>
            </w:r>
          </w:p>
        </w:tc>
        <w:tc>
          <w:tcPr>
            <w:tcW w:w="640" w:type="dxa"/>
            <w:tcBorders>
              <w:top w:val="nil"/>
              <w:left w:val="nil"/>
              <w:bottom w:val="single" w:sz="4" w:space="0" w:color="ADD6EA"/>
              <w:right w:val="nil"/>
            </w:tcBorders>
            <w:shd w:val="clear" w:color="000000" w:fill="FFFFFF"/>
            <w:vAlign w:val="bottom"/>
            <w:hideMark/>
          </w:tcPr>
          <w:p w14:paraId="1709F87B"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63</w:t>
            </w:r>
          </w:p>
        </w:tc>
        <w:tc>
          <w:tcPr>
            <w:tcW w:w="640" w:type="dxa"/>
            <w:tcBorders>
              <w:top w:val="nil"/>
              <w:left w:val="nil"/>
              <w:bottom w:val="single" w:sz="4" w:space="0" w:color="ADD6EA"/>
              <w:right w:val="nil"/>
            </w:tcBorders>
            <w:shd w:val="clear" w:color="000000" w:fill="FFFFFF"/>
            <w:vAlign w:val="bottom"/>
            <w:hideMark/>
          </w:tcPr>
          <w:p w14:paraId="748E525C"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83</w:t>
            </w:r>
          </w:p>
        </w:tc>
        <w:tc>
          <w:tcPr>
            <w:tcW w:w="640" w:type="dxa"/>
            <w:tcBorders>
              <w:top w:val="nil"/>
              <w:left w:val="nil"/>
              <w:bottom w:val="single" w:sz="4" w:space="0" w:color="ADD6EA"/>
              <w:right w:val="nil"/>
            </w:tcBorders>
            <w:shd w:val="clear" w:color="000000" w:fill="FFFFFF"/>
            <w:vAlign w:val="bottom"/>
            <w:hideMark/>
          </w:tcPr>
          <w:p w14:paraId="12FA7ECC"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88</w:t>
            </w:r>
          </w:p>
        </w:tc>
        <w:tc>
          <w:tcPr>
            <w:tcW w:w="640" w:type="dxa"/>
            <w:tcBorders>
              <w:top w:val="nil"/>
              <w:left w:val="nil"/>
              <w:bottom w:val="single" w:sz="4" w:space="0" w:color="ADD6EA"/>
              <w:right w:val="nil"/>
            </w:tcBorders>
            <w:shd w:val="clear" w:color="000000" w:fill="FFFFFF"/>
            <w:vAlign w:val="bottom"/>
            <w:hideMark/>
          </w:tcPr>
          <w:p w14:paraId="2EDF16D3"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78</w:t>
            </w:r>
          </w:p>
        </w:tc>
        <w:tc>
          <w:tcPr>
            <w:tcW w:w="640" w:type="dxa"/>
            <w:tcBorders>
              <w:top w:val="nil"/>
              <w:left w:val="nil"/>
              <w:bottom w:val="single" w:sz="4" w:space="0" w:color="ADD6EA"/>
              <w:right w:val="nil"/>
            </w:tcBorders>
            <w:shd w:val="clear" w:color="000000" w:fill="FFFFFF"/>
            <w:vAlign w:val="bottom"/>
            <w:hideMark/>
          </w:tcPr>
          <w:p w14:paraId="3F7B77C4"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85</w:t>
            </w:r>
          </w:p>
        </w:tc>
        <w:tc>
          <w:tcPr>
            <w:tcW w:w="640" w:type="dxa"/>
            <w:tcBorders>
              <w:top w:val="nil"/>
              <w:left w:val="nil"/>
              <w:bottom w:val="single" w:sz="4" w:space="0" w:color="ADD6EA"/>
              <w:right w:val="nil"/>
            </w:tcBorders>
            <w:shd w:val="clear" w:color="000000" w:fill="FFFFFF"/>
            <w:vAlign w:val="bottom"/>
            <w:hideMark/>
          </w:tcPr>
          <w:p w14:paraId="7EAE6F3E"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43</w:t>
            </w:r>
          </w:p>
        </w:tc>
        <w:tc>
          <w:tcPr>
            <w:tcW w:w="640" w:type="dxa"/>
            <w:tcBorders>
              <w:top w:val="nil"/>
              <w:left w:val="nil"/>
              <w:bottom w:val="single" w:sz="4" w:space="0" w:color="ADD6EA"/>
              <w:right w:val="nil"/>
            </w:tcBorders>
            <w:shd w:val="clear" w:color="000000" w:fill="FFFFFF"/>
            <w:vAlign w:val="bottom"/>
            <w:hideMark/>
          </w:tcPr>
          <w:p w14:paraId="04EEA3F3"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na</w:t>
            </w:r>
          </w:p>
        </w:tc>
        <w:tc>
          <w:tcPr>
            <w:tcW w:w="640" w:type="dxa"/>
            <w:tcBorders>
              <w:top w:val="nil"/>
              <w:left w:val="nil"/>
              <w:bottom w:val="single" w:sz="4" w:space="0" w:color="ADD6EA"/>
              <w:right w:val="nil"/>
            </w:tcBorders>
            <w:shd w:val="clear" w:color="000000" w:fill="FFFFFF"/>
            <w:vAlign w:val="bottom"/>
            <w:hideMark/>
          </w:tcPr>
          <w:p w14:paraId="52144FA8"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72</w:t>
            </w:r>
          </w:p>
        </w:tc>
        <w:tc>
          <w:tcPr>
            <w:tcW w:w="780" w:type="dxa"/>
            <w:tcBorders>
              <w:top w:val="nil"/>
              <w:left w:val="nil"/>
              <w:bottom w:val="single" w:sz="4" w:space="0" w:color="ADD6EA"/>
              <w:right w:val="nil"/>
            </w:tcBorders>
            <w:shd w:val="clear" w:color="000000" w:fill="FFFFFF"/>
            <w:vAlign w:val="bottom"/>
            <w:hideMark/>
          </w:tcPr>
          <w:p w14:paraId="7040CA94"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80</w:t>
            </w:r>
          </w:p>
        </w:tc>
        <w:tc>
          <w:tcPr>
            <w:tcW w:w="820" w:type="dxa"/>
            <w:tcBorders>
              <w:top w:val="nil"/>
              <w:left w:val="nil"/>
              <w:bottom w:val="single" w:sz="4" w:space="0" w:color="ADD6EA"/>
              <w:right w:val="nil"/>
            </w:tcBorders>
            <w:shd w:val="clear" w:color="000000" w:fill="FFFFFF"/>
            <w:vAlign w:val="bottom"/>
            <w:hideMark/>
          </w:tcPr>
          <w:p w14:paraId="00A874D9" w14:textId="77777777" w:rsidR="007E365E" w:rsidRPr="001D38C2" w:rsidRDefault="007E365E" w:rsidP="007D1D77">
            <w:pPr>
              <w:keepNext/>
              <w:tabs>
                <w:tab w:val="clear" w:pos="567"/>
              </w:tabs>
              <w:spacing w:before="0" w:line="240" w:lineRule="auto"/>
              <w:jc w:val="right"/>
              <w:rPr>
                <w:rFonts w:eastAsia="Times New Roman" w:cs="Open Sans Light"/>
                <w:sz w:val="16"/>
                <w:szCs w:val="16"/>
                <w:lang w:eastAsia="en-AU"/>
              </w:rPr>
            </w:pPr>
            <w:r>
              <w:rPr>
                <w:rFonts w:eastAsia="Times New Roman" w:cs="Open Sans Light"/>
                <w:sz w:val="16"/>
                <w:szCs w:val="16"/>
                <w:lang w:eastAsia="en-AU"/>
              </w:rPr>
              <w:t>n</w:t>
            </w:r>
            <w:r w:rsidRPr="001D38C2">
              <w:rPr>
                <w:rFonts w:eastAsia="Times New Roman" w:cs="Open Sans Light"/>
                <w:sz w:val="16"/>
                <w:szCs w:val="16"/>
                <w:lang w:eastAsia="en-AU"/>
              </w:rPr>
              <w:t>a</w:t>
            </w:r>
            <w:r>
              <w:rPr>
                <w:rFonts w:eastAsia="Times New Roman" w:cs="Open Sans Light"/>
                <w:sz w:val="16"/>
                <w:szCs w:val="16"/>
                <w:lang w:eastAsia="en-AU"/>
              </w:rPr>
              <w:t xml:space="preserve"> (a)</w:t>
            </w:r>
          </w:p>
        </w:tc>
      </w:tr>
      <w:tr w:rsidR="007E365E" w:rsidRPr="001D38C2" w14:paraId="2733DAF7" w14:textId="77777777" w:rsidTr="007D1D77">
        <w:trPr>
          <w:trHeight w:val="315"/>
        </w:trPr>
        <w:tc>
          <w:tcPr>
            <w:tcW w:w="2200" w:type="dxa"/>
            <w:tcBorders>
              <w:top w:val="nil"/>
              <w:left w:val="nil"/>
              <w:bottom w:val="single" w:sz="4" w:space="0" w:color="ADD6EA"/>
              <w:right w:val="nil"/>
            </w:tcBorders>
            <w:shd w:val="clear" w:color="000000" w:fill="FFFFFF"/>
            <w:vAlign w:val="bottom"/>
            <w:hideMark/>
          </w:tcPr>
          <w:p w14:paraId="1EF0D20C" w14:textId="77777777" w:rsidR="007E365E" w:rsidRPr="001D38C2" w:rsidRDefault="007E365E" w:rsidP="007D1D77">
            <w:pPr>
              <w:keepNext/>
              <w:tabs>
                <w:tab w:val="clear" w:pos="567"/>
              </w:tabs>
              <w:spacing w:before="0" w:line="240" w:lineRule="auto"/>
              <w:rPr>
                <w:rFonts w:eastAsia="Times New Roman" w:cs="Open Sans Light"/>
                <w:sz w:val="16"/>
                <w:szCs w:val="16"/>
                <w:lang w:eastAsia="en-AU"/>
              </w:rPr>
            </w:pPr>
            <w:r w:rsidRPr="001D38C2">
              <w:rPr>
                <w:rFonts w:eastAsia="Times New Roman" w:cs="Open Sans Light"/>
                <w:sz w:val="16"/>
                <w:szCs w:val="16"/>
                <w:lang w:eastAsia="en-AU"/>
              </w:rPr>
              <w:t xml:space="preserve">   Business development</w:t>
            </w:r>
          </w:p>
        </w:tc>
        <w:tc>
          <w:tcPr>
            <w:tcW w:w="640" w:type="dxa"/>
            <w:tcBorders>
              <w:top w:val="nil"/>
              <w:left w:val="nil"/>
              <w:bottom w:val="single" w:sz="4" w:space="0" w:color="ADD6EA"/>
              <w:right w:val="nil"/>
            </w:tcBorders>
            <w:shd w:val="clear" w:color="000000" w:fill="FFFFFF"/>
            <w:vAlign w:val="bottom"/>
            <w:hideMark/>
          </w:tcPr>
          <w:p w14:paraId="17B6D766"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37</w:t>
            </w:r>
          </w:p>
        </w:tc>
        <w:tc>
          <w:tcPr>
            <w:tcW w:w="640" w:type="dxa"/>
            <w:tcBorders>
              <w:top w:val="nil"/>
              <w:left w:val="nil"/>
              <w:bottom w:val="single" w:sz="4" w:space="0" w:color="ADD6EA"/>
              <w:right w:val="nil"/>
            </w:tcBorders>
            <w:shd w:val="clear" w:color="000000" w:fill="FFFFFF"/>
            <w:vAlign w:val="bottom"/>
            <w:hideMark/>
          </w:tcPr>
          <w:p w14:paraId="5C723101"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17</w:t>
            </w:r>
          </w:p>
        </w:tc>
        <w:tc>
          <w:tcPr>
            <w:tcW w:w="640" w:type="dxa"/>
            <w:tcBorders>
              <w:top w:val="nil"/>
              <w:left w:val="nil"/>
              <w:bottom w:val="single" w:sz="4" w:space="0" w:color="ADD6EA"/>
              <w:right w:val="nil"/>
            </w:tcBorders>
            <w:shd w:val="clear" w:color="000000" w:fill="FFFFFF"/>
            <w:vAlign w:val="bottom"/>
            <w:hideMark/>
          </w:tcPr>
          <w:p w14:paraId="23CEE21C"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12</w:t>
            </w:r>
          </w:p>
        </w:tc>
        <w:tc>
          <w:tcPr>
            <w:tcW w:w="640" w:type="dxa"/>
            <w:tcBorders>
              <w:top w:val="nil"/>
              <w:left w:val="nil"/>
              <w:bottom w:val="single" w:sz="4" w:space="0" w:color="ADD6EA"/>
              <w:right w:val="nil"/>
            </w:tcBorders>
            <w:shd w:val="clear" w:color="000000" w:fill="FFFFFF"/>
            <w:vAlign w:val="bottom"/>
            <w:hideMark/>
          </w:tcPr>
          <w:p w14:paraId="52C5117B"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22</w:t>
            </w:r>
          </w:p>
        </w:tc>
        <w:tc>
          <w:tcPr>
            <w:tcW w:w="640" w:type="dxa"/>
            <w:tcBorders>
              <w:top w:val="nil"/>
              <w:left w:val="nil"/>
              <w:bottom w:val="single" w:sz="4" w:space="0" w:color="ADD6EA"/>
              <w:right w:val="nil"/>
            </w:tcBorders>
            <w:shd w:val="clear" w:color="000000" w:fill="FFFFFF"/>
            <w:vAlign w:val="bottom"/>
            <w:hideMark/>
          </w:tcPr>
          <w:p w14:paraId="6D3C7632"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15</w:t>
            </w:r>
          </w:p>
        </w:tc>
        <w:tc>
          <w:tcPr>
            <w:tcW w:w="640" w:type="dxa"/>
            <w:tcBorders>
              <w:top w:val="nil"/>
              <w:left w:val="nil"/>
              <w:bottom w:val="single" w:sz="4" w:space="0" w:color="ADD6EA"/>
              <w:right w:val="nil"/>
            </w:tcBorders>
            <w:shd w:val="clear" w:color="000000" w:fill="FFFFFF"/>
            <w:vAlign w:val="bottom"/>
            <w:hideMark/>
          </w:tcPr>
          <w:p w14:paraId="438F4630"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57</w:t>
            </w:r>
          </w:p>
        </w:tc>
        <w:tc>
          <w:tcPr>
            <w:tcW w:w="640" w:type="dxa"/>
            <w:tcBorders>
              <w:top w:val="nil"/>
              <w:left w:val="nil"/>
              <w:bottom w:val="single" w:sz="4" w:space="0" w:color="ADD6EA"/>
              <w:right w:val="nil"/>
            </w:tcBorders>
            <w:shd w:val="clear" w:color="000000" w:fill="FFFFFF"/>
            <w:vAlign w:val="bottom"/>
            <w:hideMark/>
          </w:tcPr>
          <w:p w14:paraId="6A847A2C"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na</w:t>
            </w:r>
          </w:p>
        </w:tc>
        <w:tc>
          <w:tcPr>
            <w:tcW w:w="640" w:type="dxa"/>
            <w:tcBorders>
              <w:top w:val="nil"/>
              <w:left w:val="nil"/>
              <w:bottom w:val="single" w:sz="4" w:space="0" w:color="ADD6EA"/>
              <w:right w:val="nil"/>
            </w:tcBorders>
            <w:shd w:val="clear" w:color="000000" w:fill="FFFFFF"/>
            <w:vAlign w:val="bottom"/>
            <w:hideMark/>
          </w:tcPr>
          <w:p w14:paraId="774FE8E9"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28</w:t>
            </w:r>
          </w:p>
        </w:tc>
        <w:tc>
          <w:tcPr>
            <w:tcW w:w="780" w:type="dxa"/>
            <w:tcBorders>
              <w:top w:val="nil"/>
              <w:left w:val="nil"/>
              <w:bottom w:val="single" w:sz="4" w:space="0" w:color="ADD6EA"/>
              <w:right w:val="nil"/>
            </w:tcBorders>
            <w:shd w:val="clear" w:color="000000" w:fill="FFFFFF"/>
            <w:vAlign w:val="bottom"/>
            <w:hideMark/>
          </w:tcPr>
          <w:p w14:paraId="4FA7274F" w14:textId="77777777" w:rsidR="007E365E" w:rsidRPr="001D38C2" w:rsidRDefault="007E365E" w:rsidP="007D1D77">
            <w:pPr>
              <w:keepNext/>
              <w:tabs>
                <w:tab w:val="clear" w:pos="567"/>
              </w:tabs>
              <w:spacing w:before="0" w:line="240" w:lineRule="auto"/>
              <w:jc w:val="right"/>
              <w:rPr>
                <w:rFonts w:eastAsia="Times New Roman" w:cs="Open Sans Light"/>
                <w:color w:val="000000"/>
                <w:sz w:val="16"/>
                <w:szCs w:val="16"/>
                <w:lang w:eastAsia="en-AU"/>
              </w:rPr>
            </w:pPr>
            <w:r w:rsidRPr="001D38C2">
              <w:rPr>
                <w:rFonts w:eastAsia="Times New Roman" w:cs="Open Sans Light"/>
                <w:color w:val="000000"/>
                <w:sz w:val="16"/>
                <w:szCs w:val="16"/>
                <w:lang w:eastAsia="en-AU"/>
              </w:rPr>
              <w:t>20</w:t>
            </w:r>
          </w:p>
        </w:tc>
        <w:tc>
          <w:tcPr>
            <w:tcW w:w="820" w:type="dxa"/>
            <w:tcBorders>
              <w:top w:val="nil"/>
              <w:left w:val="nil"/>
              <w:bottom w:val="single" w:sz="4" w:space="0" w:color="ADD6EA"/>
              <w:right w:val="nil"/>
            </w:tcBorders>
            <w:shd w:val="clear" w:color="000000" w:fill="FFFFFF"/>
            <w:vAlign w:val="bottom"/>
            <w:hideMark/>
          </w:tcPr>
          <w:p w14:paraId="5A9BD47E" w14:textId="77777777" w:rsidR="007E365E" w:rsidRPr="001D38C2" w:rsidRDefault="007E365E" w:rsidP="007D1D77">
            <w:pPr>
              <w:keepNext/>
              <w:tabs>
                <w:tab w:val="clear" w:pos="567"/>
              </w:tabs>
              <w:spacing w:before="0" w:line="240" w:lineRule="auto"/>
              <w:jc w:val="right"/>
              <w:rPr>
                <w:rFonts w:eastAsia="Times New Roman" w:cs="Open Sans Light"/>
                <w:sz w:val="16"/>
                <w:szCs w:val="16"/>
                <w:lang w:eastAsia="en-AU"/>
              </w:rPr>
            </w:pPr>
            <w:r>
              <w:rPr>
                <w:rFonts w:eastAsia="Times New Roman" w:cs="Open Sans Light"/>
                <w:sz w:val="16"/>
                <w:szCs w:val="16"/>
                <w:lang w:eastAsia="en-AU"/>
              </w:rPr>
              <w:t>n</w:t>
            </w:r>
            <w:r w:rsidRPr="001D38C2">
              <w:rPr>
                <w:rFonts w:eastAsia="Times New Roman" w:cs="Open Sans Light"/>
                <w:sz w:val="16"/>
                <w:szCs w:val="16"/>
                <w:lang w:eastAsia="en-AU"/>
              </w:rPr>
              <w:t>a</w:t>
            </w:r>
            <w:r>
              <w:rPr>
                <w:rFonts w:eastAsia="Times New Roman" w:cs="Open Sans Light"/>
                <w:sz w:val="16"/>
                <w:szCs w:val="16"/>
                <w:lang w:eastAsia="en-AU"/>
              </w:rPr>
              <w:t xml:space="preserve"> (a)</w:t>
            </w:r>
          </w:p>
        </w:tc>
      </w:tr>
    </w:tbl>
    <w:p w14:paraId="0B63EC82" w14:textId="77777777" w:rsidR="007E365E" w:rsidRDefault="007E365E" w:rsidP="007E365E">
      <w:pPr>
        <w:pStyle w:val="CGCTablenote"/>
        <w:keepNext/>
      </w:pPr>
      <w:r>
        <w:t xml:space="preserve">na </w:t>
      </w:r>
      <w:r>
        <w:tab/>
        <w:t>Not available</w:t>
      </w:r>
      <w:r>
        <w:tab/>
      </w:r>
    </w:p>
    <w:p w14:paraId="1374E23D" w14:textId="77777777" w:rsidR="007E365E" w:rsidRDefault="007E365E" w:rsidP="007E365E">
      <w:pPr>
        <w:pStyle w:val="CGCTablenote"/>
        <w:keepNext/>
        <w:numPr>
          <w:ilvl w:val="0"/>
          <w:numId w:val="22"/>
        </w:numPr>
        <w:tabs>
          <w:tab w:val="clear" w:pos="680"/>
          <w:tab w:val="left" w:pos="709"/>
        </w:tabs>
        <w:ind w:left="709" w:hanging="596"/>
      </w:pPr>
      <w:r>
        <w:t>In the 2010 Review, other industries included mining.</w:t>
      </w:r>
    </w:p>
    <w:p w14:paraId="0617FBAE" w14:textId="77777777" w:rsidR="007E365E" w:rsidRDefault="007E365E" w:rsidP="007E365E">
      <w:pPr>
        <w:pStyle w:val="CGCTablenote"/>
        <w:keepNext/>
      </w:pPr>
      <w:r>
        <w:t xml:space="preserve">Source: </w:t>
      </w:r>
      <w:r>
        <w:tab/>
        <w:t>Commission calculation using State and GFS data.</w:t>
      </w:r>
    </w:p>
    <w:p w14:paraId="611EFA8E" w14:textId="77777777" w:rsidR="007E365E" w:rsidRDefault="007E365E" w:rsidP="007E365E">
      <w:pPr>
        <w:pStyle w:val="CGCParaNumber"/>
      </w:pPr>
      <w:r w:rsidRPr="007F05E9">
        <w:t>To obtain the split between regulation and business development expenses, the Commission collected data from the States on business development expense</w:t>
      </w:r>
      <w:r>
        <w:t>s</w:t>
      </w:r>
      <w:r w:rsidRPr="007F05E9">
        <w:t xml:space="preserve"> for each industry</w:t>
      </w:r>
      <w:r>
        <w:t xml:space="preserve"> for 2015</w:t>
      </w:r>
      <w:r>
        <w:noBreakHyphen/>
        <w:t>16 to 2018-19</w:t>
      </w:r>
      <w:r w:rsidRPr="007F05E9">
        <w:t xml:space="preserve">. Regulation expenses were calculated as a residual by deducting business development expenses from total industry expenses sourced </w:t>
      </w:r>
      <w:r>
        <w:t>from</w:t>
      </w:r>
      <w:r w:rsidRPr="007F05E9">
        <w:t xml:space="preserve"> GFS. The 2020</w:t>
      </w:r>
      <w:r>
        <w:t> </w:t>
      </w:r>
      <w:r w:rsidRPr="007F05E9">
        <w:t xml:space="preserve">Review proportions replace information States provided for the 2010 Review. The </w:t>
      </w:r>
      <w:r w:rsidRPr="007F05E9">
        <w:lastRenderedPageBreak/>
        <w:t xml:space="preserve">Commission considers the new approach is simpler and more reliable because it only requires States to identify business development expenses, which should be readily </w:t>
      </w:r>
      <w:r>
        <w:t xml:space="preserve">identifiable in State budgets. The proportions will apply in all updates using 2020 Review methods. </w:t>
      </w:r>
      <w:r w:rsidRPr="007F05E9">
        <w:t xml:space="preserve">Most States supported the new approach or did not comment. </w:t>
      </w:r>
    </w:p>
    <w:p w14:paraId="7C7F0A33" w14:textId="77777777" w:rsidR="007E365E" w:rsidRPr="00CC13CC" w:rsidRDefault="007E365E" w:rsidP="007E365E">
      <w:pPr>
        <w:pStyle w:val="CGCParaNumber"/>
      </w:pPr>
      <w:r w:rsidRPr="00CC13CC">
        <w:t>New South Wales requested that the proportion and allocation of expenses for business development be reviewed, particularly for mining. It said that information provided in the Draft Report appears inconsistent with the claims by some States of their extensive efforts to develop their industries. The Commission excluded some out of scope expenses for mining and added some administered expenses to other industries that resulted in slight changes to the business development proportions.</w:t>
      </w:r>
    </w:p>
    <w:p w14:paraId="30B746F5" w14:textId="3BD672C6" w:rsidR="007E365E" w:rsidRPr="00CC13CC" w:rsidRDefault="007E365E" w:rsidP="007E365E">
      <w:pPr>
        <w:pStyle w:val="CGCParaNumber"/>
      </w:pPr>
      <w:r w:rsidRPr="00CC13CC">
        <w:t xml:space="preserve">Western Australia said that the split of expenses should not be into ‘regulation’ and ‘business development’, but rather into ‘expenses related to existing industry’ (assessed according to sector size) and ‘expenses related to new industry’ (assessed </w:t>
      </w:r>
      <w:r w:rsidR="005760D3">
        <w:t>equal per capita</w:t>
      </w:r>
      <w:r w:rsidRPr="00CC13CC">
        <w:t xml:space="preserve">). The Commission considers that there is not sufficient information to take this approach, there is unlikely to be agreement about what constitutes new and existing industries, and that such an approach would be heavily policy influenced. </w:t>
      </w:r>
    </w:p>
    <w:p w14:paraId="0229E55F" w14:textId="77777777" w:rsidR="007E365E" w:rsidRPr="00CC13CC" w:rsidRDefault="007E365E" w:rsidP="007E365E">
      <w:pPr>
        <w:pStyle w:val="Heading4"/>
      </w:pPr>
      <w:r w:rsidRPr="00CC13CC">
        <w:t>User charges</w:t>
      </w:r>
    </w:p>
    <w:p w14:paraId="1C51221D" w14:textId="77777777" w:rsidR="007E365E" w:rsidRPr="00CC13CC" w:rsidRDefault="007E365E" w:rsidP="007E365E">
      <w:pPr>
        <w:pStyle w:val="CGCParaNumber"/>
      </w:pPr>
      <w:r w:rsidRPr="00CC13CC">
        <w:t>All revenue generated from user charges are offset against regulation expenses, because the Commission’s analysis of what States do indicate that most user charges relate to regulation activities and the same disabilities would apply to both expenses and revenue. No State objected to this approach.</w:t>
      </w:r>
    </w:p>
    <w:p w14:paraId="6F9679A4" w14:textId="6700F957" w:rsidR="007E365E" w:rsidRPr="00CC13CC" w:rsidRDefault="007E365E" w:rsidP="007E365E">
      <w:pPr>
        <w:pStyle w:val="Heading3"/>
      </w:pPr>
      <w:bookmarkStart w:id="300" w:name="RANGE!F22:J28"/>
      <w:bookmarkStart w:id="301" w:name="_Toc22807483"/>
      <w:bookmarkEnd w:id="300"/>
      <w:r w:rsidRPr="00CC13CC">
        <w:t xml:space="preserve">Assessment </w:t>
      </w:r>
      <w:r>
        <w:t>a</w:t>
      </w:r>
      <w:r w:rsidRPr="00CC13CC">
        <w:t>pproach</w:t>
      </w:r>
      <w:bookmarkEnd w:id="301"/>
    </w:p>
    <w:p w14:paraId="7AC587E1" w14:textId="77777777" w:rsidR="007E365E" w:rsidRPr="00CC13CC" w:rsidRDefault="007E365E" w:rsidP="007E365E">
      <w:pPr>
        <w:pStyle w:val="CGCParaNumber"/>
      </w:pPr>
      <w:r w:rsidRPr="00CC13CC">
        <w:t>The expenses in this category relate to two broad functions — regulation and business development. For regulation expenses, there are separate assessments for agriculture, mining and other industries because a disaggregate assessment is materially different to an assessment with a single regulation component. In addition, there is a single component for all business development expenses, which are assessed equal per capita (EPC).</w:t>
      </w:r>
    </w:p>
    <w:p w14:paraId="06FAB3F5" w14:textId="77777777" w:rsidR="007E365E" w:rsidRPr="00CC13CC" w:rsidRDefault="007E365E" w:rsidP="007E365E">
      <w:pPr>
        <w:pStyle w:val="Heading4"/>
      </w:pPr>
      <w:r w:rsidRPr="00CC13CC">
        <w:t>Regulation</w:t>
      </w:r>
    </w:p>
    <w:p w14:paraId="5AD68329" w14:textId="77777777" w:rsidR="007E365E" w:rsidRPr="00CC13CC" w:rsidRDefault="007E365E" w:rsidP="007E365E">
      <w:pPr>
        <w:pStyle w:val="CGCParaNumber"/>
      </w:pPr>
      <w:r w:rsidRPr="00CC13CC">
        <w:t>In the 2015 Review, the Services to industry category did not include a separate mining regulation component because it was not material. Mining regulation expenses were assessed in the other industries component. In this review, the Commission found that a separate mining component is justified on materiality grounds.</w:t>
      </w:r>
    </w:p>
    <w:p w14:paraId="7272AED5" w14:textId="77777777" w:rsidR="007E365E" w:rsidRPr="00CC13CC" w:rsidRDefault="007E365E" w:rsidP="007E365E">
      <w:pPr>
        <w:pStyle w:val="CGCParaNumber"/>
      </w:pPr>
      <w:r w:rsidRPr="00CC13CC">
        <w:t xml:space="preserve">In the 2015 Review, the Commission relied on a mix of indicators — sector size, number of businesses and population </w:t>
      </w:r>
      <w:r>
        <w:t xml:space="preserve">— </w:t>
      </w:r>
      <w:r w:rsidRPr="00CC13CC">
        <w:t xml:space="preserve">to assess the size of the regulation task. </w:t>
      </w:r>
    </w:p>
    <w:p w14:paraId="34AA13A5" w14:textId="77777777" w:rsidR="007E365E" w:rsidRPr="00CC13CC" w:rsidRDefault="007E365E" w:rsidP="007E365E">
      <w:pPr>
        <w:pStyle w:val="CGCParaNumber"/>
      </w:pPr>
      <w:r w:rsidRPr="00CC13CC">
        <w:t xml:space="preserve">In the 2020 Review, the Commission has decided to simplify the assessment, with agriculture and mining regulation based solely on sector size as measured by value of output. This approach was based on the premise that business counts tend to be proportionate to the size of the economy, which suggests that production measures alone could be used as a broad indicator for the regulation assessments. </w:t>
      </w:r>
    </w:p>
    <w:p w14:paraId="7BC07AED" w14:textId="77777777" w:rsidR="007E365E" w:rsidRPr="00CC13CC" w:rsidRDefault="007E365E" w:rsidP="007E365E">
      <w:pPr>
        <w:pStyle w:val="CGCParaNumber"/>
      </w:pPr>
      <w:r w:rsidRPr="00CC13CC">
        <w:t>Most States supported the simplified assessment of regulation expenses. However, New</w:t>
      </w:r>
      <w:r>
        <w:t> </w:t>
      </w:r>
      <w:r w:rsidRPr="00CC13CC">
        <w:t>South</w:t>
      </w:r>
      <w:r>
        <w:t> </w:t>
      </w:r>
      <w:r w:rsidRPr="00CC13CC">
        <w:t xml:space="preserve">Wales, Victoria and South Australia contended that value of output should not be the sole indicator of the size of the regulation task for agriculture and mining. They said that a </w:t>
      </w:r>
      <w:r w:rsidRPr="00CC13CC">
        <w:lastRenderedPageBreak/>
        <w:t>business counts disability should be included in the agriculture and mining assessments as the number of businesses in a State has a key bearing on the size and complexity, and therefore the cost, of the regulatory task. For example, the cost associated with regulating 100 firms each with an individual turnover of $1</w:t>
      </w:r>
      <w:r>
        <w:t> </w:t>
      </w:r>
      <w:r w:rsidRPr="00CC13CC">
        <w:t xml:space="preserve">million is generally significantly higher than the cost of regulating one business with a turnover of $100 million. </w:t>
      </w:r>
    </w:p>
    <w:p w14:paraId="2238DC12" w14:textId="5EDDBD2E" w:rsidR="007E365E" w:rsidRPr="00CC13CC" w:rsidRDefault="007E365E" w:rsidP="007E365E">
      <w:pPr>
        <w:pStyle w:val="CGCParaNumber"/>
      </w:pPr>
      <w:r w:rsidRPr="00CC13CC">
        <w:t>South Australia provided data on the cost of regulating its mining industry that showed most of its mining regulation costs arise from regulating its many small</w:t>
      </w:r>
      <w:r>
        <w:t>,</w:t>
      </w:r>
      <w:r w:rsidRPr="00CC13CC">
        <w:t xml:space="preserve"> low value producers. It also noted that mining production can be subject to significant variations in commodity prices, but this would have little or no effect on the regulation task. New South Wales concurred. </w:t>
      </w:r>
    </w:p>
    <w:p w14:paraId="7A5F6FAF" w14:textId="77777777" w:rsidR="007E365E" w:rsidRPr="00CC13CC" w:rsidRDefault="007E365E" w:rsidP="007E365E">
      <w:pPr>
        <w:pStyle w:val="CGCParaNumber"/>
      </w:pPr>
      <w:r w:rsidRPr="00CC13CC">
        <w:t>On the other hand, Western Australia said that the regulatory burden is greater for larger mines due to the complexity and scale of operations. It said that the higher costs of very large mines are incurred not just during the production phase but also during the post-production phase due to rehabilitation arrangements. While rehabilitation would partly relate to past value of production rather than to current levels, States with a large share of current production will also be the States with a large share of past production.</w:t>
      </w:r>
    </w:p>
    <w:p w14:paraId="3A4C81EA" w14:textId="6079EB13" w:rsidR="007E365E" w:rsidRPr="00CC13CC" w:rsidRDefault="007E365E" w:rsidP="007E365E">
      <w:pPr>
        <w:pStyle w:val="CGCParaNumber"/>
      </w:pPr>
      <w:r w:rsidRPr="00CC13CC">
        <w:t xml:space="preserve">On balance, there is a conceptual case for including a business count disability in addition to sector size. However, an assessment including a business count disability is not materially different from an assessment based solely on value of production. Hence, the Commission will solely use production measures for agriculture and mining regulation. </w:t>
      </w:r>
      <w:r w:rsidRPr="00CC13CC">
        <w:fldChar w:fldCharType="begin"/>
      </w:r>
      <w:r w:rsidRPr="00CC13CC">
        <w:instrText xml:space="preserve"> REF _Ref23502001 \h  \* MERGEFORMAT </w:instrText>
      </w:r>
      <w:r w:rsidRPr="00CC13CC">
        <w:fldChar w:fldCharType="separate"/>
      </w:r>
      <w:r w:rsidR="007F721A" w:rsidRPr="00CC13CC">
        <w:t xml:space="preserve">Table </w:t>
      </w:r>
      <w:r w:rsidR="007F721A">
        <w:rPr>
          <w:noProof/>
        </w:rPr>
        <w:t>22-7</w:t>
      </w:r>
      <w:r w:rsidRPr="00CC13CC">
        <w:fldChar w:fldCharType="end"/>
      </w:r>
      <w:r w:rsidRPr="00CC13CC">
        <w:t xml:space="preserve"> shows the results of the materiality test.</w:t>
      </w:r>
    </w:p>
    <w:p w14:paraId="2420B2DE" w14:textId="24D59C1C" w:rsidR="007E365E" w:rsidRDefault="007E365E" w:rsidP="007E365E">
      <w:pPr>
        <w:pStyle w:val="Caption"/>
      </w:pPr>
      <w:bookmarkStart w:id="302" w:name="_Ref23502001"/>
      <w:r w:rsidRPr="00CC13CC">
        <w:t xml:space="preserve">Table </w:t>
      </w:r>
      <w:r>
        <w:t>22-</w:t>
      </w:r>
      <w:fldSimple w:instr=" SEQ Table \* ARABIC ">
        <w:r w:rsidR="007F721A">
          <w:rPr>
            <w:noProof/>
          </w:rPr>
          <w:t>7</w:t>
        </w:r>
      </w:fldSimple>
      <w:bookmarkEnd w:id="302"/>
      <w:r w:rsidRPr="00CC13CC">
        <w:tab/>
        <w:t xml:space="preserve">Materiality of including business counts in the agriculture and mining regulation assessments, </w:t>
      </w:r>
      <w:r>
        <w:t>2018-19</w:t>
      </w:r>
    </w:p>
    <w:tbl>
      <w:tblPr>
        <w:tblW w:w="8940" w:type="dxa"/>
        <w:tblCellMar>
          <w:left w:w="28" w:type="dxa"/>
          <w:right w:w="28" w:type="dxa"/>
        </w:tblCellMar>
        <w:tblLook w:val="04A0" w:firstRow="1" w:lastRow="0" w:firstColumn="1" w:lastColumn="0" w:noHBand="0" w:noVBand="1"/>
      </w:tblPr>
      <w:tblGrid>
        <w:gridCol w:w="2160"/>
        <w:gridCol w:w="960"/>
        <w:gridCol w:w="820"/>
        <w:gridCol w:w="880"/>
        <w:gridCol w:w="820"/>
        <w:gridCol w:w="780"/>
        <w:gridCol w:w="820"/>
        <w:gridCol w:w="880"/>
        <w:gridCol w:w="820"/>
      </w:tblGrid>
      <w:tr w:rsidR="007E365E" w:rsidRPr="005B7690" w14:paraId="6A2670DC" w14:textId="77777777" w:rsidTr="007D1D77">
        <w:trPr>
          <w:trHeight w:val="375"/>
        </w:trPr>
        <w:tc>
          <w:tcPr>
            <w:tcW w:w="2160" w:type="dxa"/>
            <w:tcBorders>
              <w:top w:val="single" w:sz="4" w:space="0" w:color="ADD6EA"/>
              <w:left w:val="nil"/>
              <w:bottom w:val="single" w:sz="4" w:space="0" w:color="ADD6EA"/>
              <w:right w:val="nil"/>
            </w:tcBorders>
            <w:shd w:val="clear" w:color="000000" w:fill="006991"/>
            <w:vAlign w:val="center"/>
            <w:hideMark/>
          </w:tcPr>
          <w:p w14:paraId="157AC5B8"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7690">
              <w:rPr>
                <w:rFonts w:ascii="Open Sans SemiBold" w:eastAsia="Times New Roman" w:hAnsi="Open Sans SemiBold" w:cs="Open Sans SemiBold"/>
                <w:color w:val="FFFFFF"/>
                <w:sz w:val="16"/>
                <w:szCs w:val="16"/>
                <w:lang w:eastAsia="en-AU"/>
              </w:rPr>
              <w:t> </w:t>
            </w:r>
          </w:p>
        </w:tc>
        <w:tc>
          <w:tcPr>
            <w:tcW w:w="960" w:type="dxa"/>
            <w:tcBorders>
              <w:top w:val="single" w:sz="4" w:space="0" w:color="ADD6EA"/>
              <w:left w:val="nil"/>
              <w:bottom w:val="single" w:sz="4" w:space="0" w:color="ADD6EA"/>
              <w:right w:val="nil"/>
            </w:tcBorders>
            <w:shd w:val="clear" w:color="000000" w:fill="006991"/>
            <w:vAlign w:val="center"/>
            <w:hideMark/>
          </w:tcPr>
          <w:p w14:paraId="21FFD9DF"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7690">
              <w:rPr>
                <w:rFonts w:ascii="Open Sans SemiBold" w:eastAsia="Times New Roman" w:hAnsi="Open Sans SemiBold" w:cs="Open Sans SemiBold"/>
                <w:color w:val="FFFFFF"/>
                <w:sz w:val="16"/>
                <w:szCs w:val="16"/>
                <w:lang w:eastAsia="en-AU"/>
              </w:rPr>
              <w:t>NSW</w:t>
            </w:r>
          </w:p>
        </w:tc>
        <w:tc>
          <w:tcPr>
            <w:tcW w:w="820" w:type="dxa"/>
            <w:tcBorders>
              <w:top w:val="single" w:sz="4" w:space="0" w:color="ADD6EA"/>
              <w:left w:val="nil"/>
              <w:bottom w:val="single" w:sz="4" w:space="0" w:color="ADD6EA"/>
              <w:right w:val="nil"/>
            </w:tcBorders>
            <w:shd w:val="clear" w:color="000000" w:fill="006991"/>
            <w:vAlign w:val="center"/>
            <w:hideMark/>
          </w:tcPr>
          <w:p w14:paraId="6F55F210"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7690">
              <w:rPr>
                <w:rFonts w:ascii="Open Sans SemiBold" w:eastAsia="Times New Roman" w:hAnsi="Open Sans SemiBold" w:cs="Open Sans SemiBold"/>
                <w:color w:val="FFFFFF"/>
                <w:sz w:val="16"/>
                <w:szCs w:val="16"/>
                <w:lang w:eastAsia="en-AU"/>
              </w:rPr>
              <w:t>Vic</w:t>
            </w:r>
          </w:p>
        </w:tc>
        <w:tc>
          <w:tcPr>
            <w:tcW w:w="880" w:type="dxa"/>
            <w:tcBorders>
              <w:top w:val="single" w:sz="4" w:space="0" w:color="ADD6EA"/>
              <w:left w:val="nil"/>
              <w:bottom w:val="single" w:sz="4" w:space="0" w:color="ADD6EA"/>
              <w:right w:val="nil"/>
            </w:tcBorders>
            <w:shd w:val="clear" w:color="000000" w:fill="006991"/>
            <w:vAlign w:val="center"/>
            <w:hideMark/>
          </w:tcPr>
          <w:p w14:paraId="4F34368A"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7690">
              <w:rPr>
                <w:rFonts w:ascii="Open Sans SemiBold" w:eastAsia="Times New Roman" w:hAnsi="Open Sans SemiBold" w:cs="Open Sans SemiBold"/>
                <w:color w:val="FFFFFF"/>
                <w:sz w:val="16"/>
                <w:szCs w:val="16"/>
                <w:lang w:eastAsia="en-AU"/>
              </w:rPr>
              <w:t>Qld</w:t>
            </w:r>
          </w:p>
        </w:tc>
        <w:tc>
          <w:tcPr>
            <w:tcW w:w="820" w:type="dxa"/>
            <w:tcBorders>
              <w:top w:val="single" w:sz="4" w:space="0" w:color="ADD6EA"/>
              <w:left w:val="nil"/>
              <w:bottom w:val="single" w:sz="4" w:space="0" w:color="ADD6EA"/>
              <w:right w:val="nil"/>
            </w:tcBorders>
            <w:shd w:val="clear" w:color="000000" w:fill="006991"/>
            <w:vAlign w:val="center"/>
            <w:hideMark/>
          </w:tcPr>
          <w:p w14:paraId="211D272C"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7690">
              <w:rPr>
                <w:rFonts w:ascii="Open Sans SemiBold" w:eastAsia="Times New Roman" w:hAnsi="Open Sans SemiBold" w:cs="Open Sans SemiBold"/>
                <w:color w:val="FFFFFF"/>
                <w:sz w:val="16"/>
                <w:szCs w:val="16"/>
                <w:lang w:eastAsia="en-AU"/>
              </w:rPr>
              <w:t>WA</w:t>
            </w:r>
          </w:p>
        </w:tc>
        <w:tc>
          <w:tcPr>
            <w:tcW w:w="780" w:type="dxa"/>
            <w:tcBorders>
              <w:top w:val="single" w:sz="4" w:space="0" w:color="ADD6EA"/>
              <w:left w:val="nil"/>
              <w:bottom w:val="single" w:sz="4" w:space="0" w:color="ADD6EA"/>
              <w:right w:val="nil"/>
            </w:tcBorders>
            <w:shd w:val="clear" w:color="000000" w:fill="006991"/>
            <w:vAlign w:val="center"/>
            <w:hideMark/>
          </w:tcPr>
          <w:p w14:paraId="7674910F"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7690">
              <w:rPr>
                <w:rFonts w:ascii="Open Sans SemiBold" w:eastAsia="Times New Roman" w:hAnsi="Open Sans SemiBold" w:cs="Open Sans SemiBold"/>
                <w:color w:val="FFFFFF"/>
                <w:sz w:val="16"/>
                <w:szCs w:val="16"/>
                <w:lang w:eastAsia="en-AU"/>
              </w:rPr>
              <w:t>SA</w:t>
            </w:r>
          </w:p>
        </w:tc>
        <w:tc>
          <w:tcPr>
            <w:tcW w:w="820" w:type="dxa"/>
            <w:tcBorders>
              <w:top w:val="single" w:sz="4" w:space="0" w:color="ADD6EA"/>
              <w:left w:val="nil"/>
              <w:bottom w:val="single" w:sz="4" w:space="0" w:color="ADD6EA"/>
              <w:right w:val="nil"/>
            </w:tcBorders>
            <w:shd w:val="clear" w:color="000000" w:fill="006991"/>
            <w:vAlign w:val="center"/>
            <w:hideMark/>
          </w:tcPr>
          <w:p w14:paraId="70EDD0A0"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7690">
              <w:rPr>
                <w:rFonts w:ascii="Open Sans SemiBold" w:eastAsia="Times New Roman" w:hAnsi="Open Sans SemiBold" w:cs="Open Sans SemiBold"/>
                <w:color w:val="FFFFFF"/>
                <w:sz w:val="16"/>
                <w:szCs w:val="16"/>
                <w:lang w:eastAsia="en-AU"/>
              </w:rPr>
              <w:t>Tas</w:t>
            </w:r>
          </w:p>
        </w:tc>
        <w:tc>
          <w:tcPr>
            <w:tcW w:w="880" w:type="dxa"/>
            <w:tcBorders>
              <w:top w:val="single" w:sz="4" w:space="0" w:color="ADD6EA"/>
              <w:left w:val="nil"/>
              <w:bottom w:val="single" w:sz="4" w:space="0" w:color="ADD6EA"/>
              <w:right w:val="nil"/>
            </w:tcBorders>
            <w:shd w:val="clear" w:color="000000" w:fill="006991"/>
            <w:vAlign w:val="center"/>
            <w:hideMark/>
          </w:tcPr>
          <w:p w14:paraId="6E6984C8"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7690">
              <w:rPr>
                <w:rFonts w:ascii="Open Sans SemiBold" w:eastAsia="Times New Roman" w:hAnsi="Open Sans SemiBold" w:cs="Open Sans SemiBold"/>
                <w:color w:val="FFFFFF"/>
                <w:sz w:val="16"/>
                <w:szCs w:val="16"/>
                <w:lang w:eastAsia="en-AU"/>
              </w:rPr>
              <w:t>ACT</w:t>
            </w:r>
          </w:p>
        </w:tc>
        <w:tc>
          <w:tcPr>
            <w:tcW w:w="820" w:type="dxa"/>
            <w:tcBorders>
              <w:top w:val="single" w:sz="4" w:space="0" w:color="ADD6EA"/>
              <w:left w:val="nil"/>
              <w:bottom w:val="single" w:sz="4" w:space="0" w:color="ADD6EA"/>
              <w:right w:val="nil"/>
            </w:tcBorders>
            <w:shd w:val="clear" w:color="000000" w:fill="006991"/>
            <w:vAlign w:val="center"/>
            <w:hideMark/>
          </w:tcPr>
          <w:p w14:paraId="6117D3D5"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B7690">
              <w:rPr>
                <w:rFonts w:ascii="Open Sans SemiBold" w:eastAsia="Times New Roman" w:hAnsi="Open Sans SemiBold" w:cs="Open Sans SemiBold"/>
                <w:color w:val="FFFFFF"/>
                <w:sz w:val="16"/>
                <w:szCs w:val="16"/>
                <w:lang w:eastAsia="en-AU"/>
              </w:rPr>
              <w:t>NT</w:t>
            </w:r>
          </w:p>
        </w:tc>
      </w:tr>
      <w:tr w:rsidR="007E365E" w:rsidRPr="005B7690" w14:paraId="26CE6430" w14:textId="77777777" w:rsidTr="007D1D77">
        <w:trPr>
          <w:trHeight w:val="315"/>
        </w:trPr>
        <w:tc>
          <w:tcPr>
            <w:tcW w:w="2160" w:type="dxa"/>
            <w:tcBorders>
              <w:top w:val="nil"/>
              <w:left w:val="nil"/>
              <w:bottom w:val="single" w:sz="4" w:space="0" w:color="ADD6EA"/>
              <w:right w:val="nil"/>
            </w:tcBorders>
            <w:shd w:val="clear" w:color="000000" w:fill="FFFFFF"/>
            <w:vAlign w:val="bottom"/>
            <w:hideMark/>
          </w:tcPr>
          <w:p w14:paraId="5FC4A9FF" w14:textId="77777777" w:rsidR="007E365E" w:rsidRPr="005B7690" w:rsidRDefault="007E365E" w:rsidP="007D1D77">
            <w:pPr>
              <w:tabs>
                <w:tab w:val="clear" w:pos="567"/>
              </w:tabs>
              <w:spacing w:before="0" w:line="240" w:lineRule="auto"/>
              <w:rPr>
                <w:rFonts w:eastAsia="Times New Roman" w:cs="Open Sans Light"/>
                <w:sz w:val="16"/>
                <w:szCs w:val="16"/>
                <w:lang w:eastAsia="en-AU"/>
              </w:rPr>
            </w:pPr>
            <w:r w:rsidRPr="005B7690">
              <w:rPr>
                <w:rFonts w:eastAsia="Times New Roman" w:cs="Open Sans Light"/>
                <w:sz w:val="16"/>
                <w:szCs w:val="16"/>
                <w:lang w:eastAsia="en-AU"/>
              </w:rPr>
              <w:t>Agriculture ($m)</w:t>
            </w:r>
          </w:p>
        </w:tc>
        <w:tc>
          <w:tcPr>
            <w:tcW w:w="960" w:type="dxa"/>
            <w:tcBorders>
              <w:top w:val="nil"/>
              <w:left w:val="nil"/>
              <w:bottom w:val="single" w:sz="4" w:space="0" w:color="ADD6EA"/>
              <w:right w:val="nil"/>
            </w:tcBorders>
            <w:shd w:val="clear" w:color="000000" w:fill="FFFFFF"/>
            <w:vAlign w:val="bottom"/>
            <w:hideMark/>
          </w:tcPr>
          <w:p w14:paraId="16BA8211"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26</w:t>
            </w:r>
          </w:p>
        </w:tc>
        <w:tc>
          <w:tcPr>
            <w:tcW w:w="820" w:type="dxa"/>
            <w:tcBorders>
              <w:top w:val="nil"/>
              <w:left w:val="nil"/>
              <w:bottom w:val="single" w:sz="4" w:space="0" w:color="ADD6EA"/>
              <w:right w:val="nil"/>
            </w:tcBorders>
            <w:shd w:val="clear" w:color="000000" w:fill="FFFFFF"/>
            <w:vAlign w:val="bottom"/>
            <w:hideMark/>
          </w:tcPr>
          <w:p w14:paraId="0C1C8545"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12</w:t>
            </w:r>
          </w:p>
        </w:tc>
        <w:tc>
          <w:tcPr>
            <w:tcW w:w="880" w:type="dxa"/>
            <w:tcBorders>
              <w:top w:val="nil"/>
              <w:left w:val="nil"/>
              <w:bottom w:val="single" w:sz="4" w:space="0" w:color="ADD6EA"/>
              <w:right w:val="nil"/>
            </w:tcBorders>
            <w:shd w:val="clear" w:color="000000" w:fill="FFFFFF"/>
            <w:vAlign w:val="bottom"/>
            <w:hideMark/>
          </w:tcPr>
          <w:p w14:paraId="3D31594B"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-10</w:t>
            </w:r>
          </w:p>
        </w:tc>
        <w:tc>
          <w:tcPr>
            <w:tcW w:w="820" w:type="dxa"/>
            <w:tcBorders>
              <w:top w:val="nil"/>
              <w:left w:val="nil"/>
              <w:bottom w:val="single" w:sz="4" w:space="0" w:color="ADD6EA"/>
              <w:right w:val="nil"/>
            </w:tcBorders>
            <w:shd w:val="clear" w:color="000000" w:fill="FFFFFF"/>
            <w:vAlign w:val="bottom"/>
            <w:hideMark/>
          </w:tcPr>
          <w:p w14:paraId="293B790D"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-13</w:t>
            </w:r>
          </w:p>
        </w:tc>
        <w:tc>
          <w:tcPr>
            <w:tcW w:w="780" w:type="dxa"/>
            <w:tcBorders>
              <w:top w:val="nil"/>
              <w:left w:val="nil"/>
              <w:bottom w:val="single" w:sz="4" w:space="0" w:color="ADD6EA"/>
              <w:right w:val="nil"/>
            </w:tcBorders>
            <w:shd w:val="clear" w:color="000000" w:fill="FFFFFF"/>
            <w:vAlign w:val="bottom"/>
            <w:hideMark/>
          </w:tcPr>
          <w:p w14:paraId="699FA34A"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1</w:t>
            </w:r>
          </w:p>
        </w:tc>
        <w:tc>
          <w:tcPr>
            <w:tcW w:w="820" w:type="dxa"/>
            <w:tcBorders>
              <w:top w:val="nil"/>
              <w:left w:val="nil"/>
              <w:bottom w:val="single" w:sz="4" w:space="0" w:color="ADD6EA"/>
              <w:right w:val="nil"/>
            </w:tcBorders>
            <w:shd w:val="clear" w:color="000000" w:fill="FFFFFF"/>
            <w:vAlign w:val="bottom"/>
            <w:hideMark/>
          </w:tcPr>
          <w:p w14:paraId="2C48373C"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-11</w:t>
            </w:r>
          </w:p>
        </w:tc>
        <w:tc>
          <w:tcPr>
            <w:tcW w:w="880" w:type="dxa"/>
            <w:tcBorders>
              <w:top w:val="nil"/>
              <w:left w:val="nil"/>
              <w:bottom w:val="single" w:sz="4" w:space="0" w:color="ADD6EA"/>
              <w:right w:val="nil"/>
            </w:tcBorders>
            <w:shd w:val="clear" w:color="000000" w:fill="FFFFFF"/>
            <w:vAlign w:val="bottom"/>
            <w:hideMark/>
          </w:tcPr>
          <w:p w14:paraId="697BBB1B"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0</w:t>
            </w:r>
          </w:p>
        </w:tc>
        <w:tc>
          <w:tcPr>
            <w:tcW w:w="820" w:type="dxa"/>
            <w:tcBorders>
              <w:top w:val="nil"/>
              <w:left w:val="nil"/>
              <w:bottom w:val="single" w:sz="4" w:space="0" w:color="ADD6EA"/>
              <w:right w:val="nil"/>
            </w:tcBorders>
            <w:shd w:val="clear" w:color="000000" w:fill="FFFFFF"/>
            <w:vAlign w:val="bottom"/>
            <w:hideMark/>
          </w:tcPr>
          <w:p w14:paraId="4AC5F17F"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-5</w:t>
            </w:r>
          </w:p>
        </w:tc>
      </w:tr>
      <w:tr w:rsidR="007E365E" w:rsidRPr="005B7690" w14:paraId="5575BB3A" w14:textId="77777777" w:rsidTr="007D1D77">
        <w:trPr>
          <w:trHeight w:val="315"/>
        </w:trPr>
        <w:tc>
          <w:tcPr>
            <w:tcW w:w="2160" w:type="dxa"/>
            <w:tcBorders>
              <w:top w:val="nil"/>
              <w:left w:val="nil"/>
              <w:bottom w:val="single" w:sz="4" w:space="0" w:color="ADD6EA"/>
              <w:right w:val="nil"/>
            </w:tcBorders>
            <w:shd w:val="clear" w:color="000000" w:fill="FFFFFF"/>
            <w:vAlign w:val="bottom"/>
            <w:hideMark/>
          </w:tcPr>
          <w:p w14:paraId="56E6511D" w14:textId="77777777" w:rsidR="007E365E" w:rsidRPr="005B7690" w:rsidRDefault="007E365E" w:rsidP="007D1D77">
            <w:pPr>
              <w:tabs>
                <w:tab w:val="clear" w:pos="567"/>
              </w:tabs>
              <w:spacing w:before="0" w:line="240" w:lineRule="auto"/>
              <w:rPr>
                <w:rFonts w:eastAsia="Times New Roman" w:cs="Open Sans Light"/>
                <w:sz w:val="16"/>
                <w:szCs w:val="16"/>
                <w:lang w:eastAsia="en-AU"/>
              </w:rPr>
            </w:pPr>
            <w:r w:rsidRPr="005B7690">
              <w:rPr>
                <w:rFonts w:eastAsia="Times New Roman" w:cs="Open Sans Light"/>
                <w:sz w:val="16"/>
                <w:szCs w:val="16"/>
                <w:lang w:eastAsia="en-AU"/>
              </w:rPr>
              <w:t>Mining ($m)</w:t>
            </w:r>
          </w:p>
        </w:tc>
        <w:tc>
          <w:tcPr>
            <w:tcW w:w="960" w:type="dxa"/>
            <w:tcBorders>
              <w:top w:val="nil"/>
              <w:left w:val="nil"/>
              <w:bottom w:val="single" w:sz="4" w:space="0" w:color="ADD6EA"/>
              <w:right w:val="nil"/>
            </w:tcBorders>
            <w:shd w:val="clear" w:color="000000" w:fill="FFFFFF"/>
            <w:vAlign w:val="bottom"/>
            <w:hideMark/>
          </w:tcPr>
          <w:p w14:paraId="5CC2B0E8"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11</w:t>
            </w:r>
          </w:p>
        </w:tc>
        <w:tc>
          <w:tcPr>
            <w:tcW w:w="820" w:type="dxa"/>
            <w:tcBorders>
              <w:top w:val="nil"/>
              <w:left w:val="nil"/>
              <w:bottom w:val="single" w:sz="4" w:space="0" w:color="ADD6EA"/>
              <w:right w:val="nil"/>
            </w:tcBorders>
            <w:shd w:val="clear" w:color="000000" w:fill="FFFFFF"/>
            <w:vAlign w:val="bottom"/>
            <w:hideMark/>
          </w:tcPr>
          <w:p w14:paraId="34099949"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4</w:t>
            </w:r>
          </w:p>
        </w:tc>
        <w:tc>
          <w:tcPr>
            <w:tcW w:w="880" w:type="dxa"/>
            <w:tcBorders>
              <w:top w:val="nil"/>
              <w:left w:val="nil"/>
              <w:bottom w:val="single" w:sz="4" w:space="0" w:color="ADD6EA"/>
              <w:right w:val="nil"/>
            </w:tcBorders>
            <w:shd w:val="clear" w:color="000000" w:fill="FFFFFF"/>
            <w:vAlign w:val="bottom"/>
            <w:hideMark/>
          </w:tcPr>
          <w:p w14:paraId="6F4A59A9"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9</w:t>
            </w:r>
          </w:p>
        </w:tc>
        <w:tc>
          <w:tcPr>
            <w:tcW w:w="820" w:type="dxa"/>
            <w:tcBorders>
              <w:top w:val="nil"/>
              <w:left w:val="nil"/>
              <w:bottom w:val="single" w:sz="4" w:space="0" w:color="ADD6EA"/>
              <w:right w:val="nil"/>
            </w:tcBorders>
            <w:shd w:val="clear" w:color="000000" w:fill="FFFFFF"/>
            <w:vAlign w:val="bottom"/>
            <w:hideMark/>
          </w:tcPr>
          <w:p w14:paraId="125EA7ED"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-26</w:t>
            </w:r>
          </w:p>
        </w:tc>
        <w:tc>
          <w:tcPr>
            <w:tcW w:w="780" w:type="dxa"/>
            <w:tcBorders>
              <w:top w:val="nil"/>
              <w:left w:val="nil"/>
              <w:bottom w:val="single" w:sz="4" w:space="0" w:color="ADD6EA"/>
              <w:right w:val="nil"/>
            </w:tcBorders>
            <w:shd w:val="clear" w:color="000000" w:fill="FFFFFF"/>
            <w:vAlign w:val="bottom"/>
            <w:hideMark/>
          </w:tcPr>
          <w:p w14:paraId="545CE891"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2</w:t>
            </w:r>
          </w:p>
        </w:tc>
        <w:tc>
          <w:tcPr>
            <w:tcW w:w="820" w:type="dxa"/>
            <w:tcBorders>
              <w:top w:val="nil"/>
              <w:left w:val="nil"/>
              <w:bottom w:val="single" w:sz="4" w:space="0" w:color="ADD6EA"/>
              <w:right w:val="nil"/>
            </w:tcBorders>
            <w:shd w:val="clear" w:color="000000" w:fill="FFFFFF"/>
            <w:vAlign w:val="bottom"/>
            <w:hideMark/>
          </w:tcPr>
          <w:p w14:paraId="0B52E8BB"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3</w:t>
            </w:r>
          </w:p>
        </w:tc>
        <w:tc>
          <w:tcPr>
            <w:tcW w:w="880" w:type="dxa"/>
            <w:tcBorders>
              <w:top w:val="nil"/>
              <w:left w:val="nil"/>
              <w:bottom w:val="single" w:sz="4" w:space="0" w:color="ADD6EA"/>
              <w:right w:val="nil"/>
            </w:tcBorders>
            <w:shd w:val="clear" w:color="000000" w:fill="FFFFFF"/>
            <w:vAlign w:val="bottom"/>
            <w:hideMark/>
          </w:tcPr>
          <w:p w14:paraId="06B7108C"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1</w:t>
            </w:r>
          </w:p>
        </w:tc>
        <w:tc>
          <w:tcPr>
            <w:tcW w:w="820" w:type="dxa"/>
            <w:tcBorders>
              <w:top w:val="nil"/>
              <w:left w:val="nil"/>
              <w:bottom w:val="single" w:sz="4" w:space="0" w:color="ADD6EA"/>
              <w:right w:val="nil"/>
            </w:tcBorders>
            <w:shd w:val="clear" w:color="000000" w:fill="FFFFFF"/>
            <w:vAlign w:val="bottom"/>
            <w:hideMark/>
          </w:tcPr>
          <w:p w14:paraId="380290B1"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-3</w:t>
            </w:r>
          </w:p>
        </w:tc>
      </w:tr>
      <w:tr w:rsidR="007E365E" w:rsidRPr="005B7690" w14:paraId="1B2A2A84" w14:textId="77777777" w:rsidTr="007D1D77">
        <w:trPr>
          <w:trHeight w:val="315"/>
        </w:trPr>
        <w:tc>
          <w:tcPr>
            <w:tcW w:w="2160" w:type="dxa"/>
            <w:tcBorders>
              <w:top w:val="nil"/>
              <w:left w:val="nil"/>
              <w:bottom w:val="single" w:sz="4" w:space="0" w:color="ADD6EA"/>
              <w:right w:val="nil"/>
            </w:tcBorders>
            <w:shd w:val="clear" w:color="000000" w:fill="D6E7F0"/>
            <w:vAlign w:val="bottom"/>
            <w:hideMark/>
          </w:tcPr>
          <w:p w14:paraId="209C939D" w14:textId="77777777" w:rsidR="007E365E" w:rsidRPr="005B7690"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Total ($m)</w:t>
            </w:r>
          </w:p>
        </w:tc>
        <w:tc>
          <w:tcPr>
            <w:tcW w:w="960" w:type="dxa"/>
            <w:tcBorders>
              <w:top w:val="nil"/>
              <w:left w:val="nil"/>
              <w:bottom w:val="single" w:sz="4" w:space="0" w:color="ADD6EA"/>
              <w:right w:val="nil"/>
            </w:tcBorders>
            <w:shd w:val="clear" w:color="000000" w:fill="D6E7F0"/>
            <w:vAlign w:val="bottom"/>
            <w:hideMark/>
          </w:tcPr>
          <w:p w14:paraId="31D7A4F5"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38</w:t>
            </w:r>
          </w:p>
        </w:tc>
        <w:tc>
          <w:tcPr>
            <w:tcW w:w="820" w:type="dxa"/>
            <w:tcBorders>
              <w:top w:val="nil"/>
              <w:left w:val="nil"/>
              <w:bottom w:val="single" w:sz="4" w:space="0" w:color="ADD6EA"/>
              <w:right w:val="nil"/>
            </w:tcBorders>
            <w:shd w:val="clear" w:color="000000" w:fill="D6E7F0"/>
            <w:vAlign w:val="bottom"/>
            <w:hideMark/>
          </w:tcPr>
          <w:p w14:paraId="38E02A50"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15</w:t>
            </w:r>
          </w:p>
        </w:tc>
        <w:tc>
          <w:tcPr>
            <w:tcW w:w="880" w:type="dxa"/>
            <w:tcBorders>
              <w:top w:val="nil"/>
              <w:left w:val="nil"/>
              <w:bottom w:val="single" w:sz="4" w:space="0" w:color="ADD6EA"/>
              <w:right w:val="nil"/>
            </w:tcBorders>
            <w:shd w:val="clear" w:color="000000" w:fill="D6E7F0"/>
            <w:vAlign w:val="bottom"/>
            <w:hideMark/>
          </w:tcPr>
          <w:p w14:paraId="0AC41AB4"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-2</w:t>
            </w:r>
          </w:p>
        </w:tc>
        <w:tc>
          <w:tcPr>
            <w:tcW w:w="820" w:type="dxa"/>
            <w:tcBorders>
              <w:top w:val="nil"/>
              <w:left w:val="nil"/>
              <w:bottom w:val="single" w:sz="4" w:space="0" w:color="ADD6EA"/>
              <w:right w:val="nil"/>
            </w:tcBorders>
            <w:shd w:val="clear" w:color="000000" w:fill="D6E7F0"/>
            <w:vAlign w:val="bottom"/>
            <w:hideMark/>
          </w:tcPr>
          <w:p w14:paraId="2041247D"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-39</w:t>
            </w:r>
          </w:p>
        </w:tc>
        <w:tc>
          <w:tcPr>
            <w:tcW w:w="780" w:type="dxa"/>
            <w:tcBorders>
              <w:top w:val="nil"/>
              <w:left w:val="nil"/>
              <w:bottom w:val="single" w:sz="4" w:space="0" w:color="ADD6EA"/>
              <w:right w:val="nil"/>
            </w:tcBorders>
            <w:shd w:val="clear" w:color="000000" w:fill="D6E7F0"/>
            <w:vAlign w:val="bottom"/>
            <w:hideMark/>
          </w:tcPr>
          <w:p w14:paraId="7E21929E"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3</w:t>
            </w:r>
          </w:p>
        </w:tc>
        <w:tc>
          <w:tcPr>
            <w:tcW w:w="820" w:type="dxa"/>
            <w:tcBorders>
              <w:top w:val="nil"/>
              <w:left w:val="nil"/>
              <w:bottom w:val="single" w:sz="4" w:space="0" w:color="ADD6EA"/>
              <w:right w:val="nil"/>
            </w:tcBorders>
            <w:shd w:val="clear" w:color="000000" w:fill="D6E7F0"/>
            <w:vAlign w:val="bottom"/>
            <w:hideMark/>
          </w:tcPr>
          <w:p w14:paraId="6902B4FA"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-9</w:t>
            </w:r>
          </w:p>
        </w:tc>
        <w:tc>
          <w:tcPr>
            <w:tcW w:w="880" w:type="dxa"/>
            <w:tcBorders>
              <w:top w:val="nil"/>
              <w:left w:val="nil"/>
              <w:bottom w:val="single" w:sz="4" w:space="0" w:color="ADD6EA"/>
              <w:right w:val="nil"/>
            </w:tcBorders>
            <w:shd w:val="clear" w:color="000000" w:fill="D6E7F0"/>
            <w:vAlign w:val="bottom"/>
            <w:hideMark/>
          </w:tcPr>
          <w:p w14:paraId="27E5C525"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1</w:t>
            </w:r>
          </w:p>
        </w:tc>
        <w:tc>
          <w:tcPr>
            <w:tcW w:w="820" w:type="dxa"/>
            <w:tcBorders>
              <w:top w:val="nil"/>
              <w:left w:val="nil"/>
              <w:bottom w:val="single" w:sz="4" w:space="0" w:color="ADD6EA"/>
              <w:right w:val="nil"/>
            </w:tcBorders>
            <w:shd w:val="clear" w:color="000000" w:fill="D6E7F0"/>
            <w:vAlign w:val="bottom"/>
            <w:hideMark/>
          </w:tcPr>
          <w:p w14:paraId="34C8EC9E"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-8</w:t>
            </w:r>
          </w:p>
        </w:tc>
      </w:tr>
      <w:tr w:rsidR="007E365E" w:rsidRPr="005B7690" w14:paraId="12573815" w14:textId="77777777" w:rsidTr="007D1D77">
        <w:trPr>
          <w:trHeight w:val="315"/>
        </w:trPr>
        <w:tc>
          <w:tcPr>
            <w:tcW w:w="2160" w:type="dxa"/>
            <w:tcBorders>
              <w:top w:val="nil"/>
              <w:left w:val="nil"/>
              <w:bottom w:val="single" w:sz="4" w:space="0" w:color="ADD6EA"/>
              <w:right w:val="nil"/>
            </w:tcBorders>
            <w:shd w:val="clear" w:color="000000" w:fill="FFFFFF"/>
            <w:vAlign w:val="bottom"/>
            <w:hideMark/>
          </w:tcPr>
          <w:p w14:paraId="3BADB783" w14:textId="77777777" w:rsidR="007E365E" w:rsidRPr="005B7690" w:rsidRDefault="007E365E" w:rsidP="007D1D77">
            <w:pPr>
              <w:tabs>
                <w:tab w:val="clear" w:pos="567"/>
              </w:tabs>
              <w:spacing w:before="0" w:line="240" w:lineRule="auto"/>
              <w:rPr>
                <w:rFonts w:eastAsia="Times New Roman" w:cs="Open Sans Light"/>
                <w:sz w:val="16"/>
                <w:szCs w:val="16"/>
                <w:lang w:eastAsia="en-AU"/>
              </w:rPr>
            </w:pPr>
            <w:r w:rsidRPr="005B7690">
              <w:rPr>
                <w:rFonts w:eastAsia="Times New Roman" w:cs="Open Sans Light"/>
                <w:sz w:val="16"/>
                <w:szCs w:val="16"/>
                <w:lang w:eastAsia="en-AU"/>
              </w:rPr>
              <w:t>Agriculture ($pc)</w:t>
            </w:r>
          </w:p>
        </w:tc>
        <w:tc>
          <w:tcPr>
            <w:tcW w:w="960" w:type="dxa"/>
            <w:tcBorders>
              <w:top w:val="nil"/>
              <w:left w:val="nil"/>
              <w:bottom w:val="single" w:sz="4" w:space="0" w:color="ADD6EA"/>
              <w:right w:val="nil"/>
            </w:tcBorders>
            <w:shd w:val="clear" w:color="000000" w:fill="FFFFFF"/>
            <w:vAlign w:val="bottom"/>
            <w:hideMark/>
          </w:tcPr>
          <w:p w14:paraId="1265E0DA"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3</w:t>
            </w:r>
          </w:p>
        </w:tc>
        <w:tc>
          <w:tcPr>
            <w:tcW w:w="820" w:type="dxa"/>
            <w:tcBorders>
              <w:top w:val="nil"/>
              <w:left w:val="nil"/>
              <w:bottom w:val="single" w:sz="4" w:space="0" w:color="ADD6EA"/>
              <w:right w:val="nil"/>
            </w:tcBorders>
            <w:shd w:val="clear" w:color="000000" w:fill="FFFFFF"/>
            <w:vAlign w:val="bottom"/>
            <w:hideMark/>
          </w:tcPr>
          <w:p w14:paraId="696FD0E0"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2</w:t>
            </w:r>
          </w:p>
        </w:tc>
        <w:tc>
          <w:tcPr>
            <w:tcW w:w="880" w:type="dxa"/>
            <w:tcBorders>
              <w:top w:val="nil"/>
              <w:left w:val="nil"/>
              <w:bottom w:val="single" w:sz="4" w:space="0" w:color="ADD6EA"/>
              <w:right w:val="nil"/>
            </w:tcBorders>
            <w:shd w:val="clear" w:color="000000" w:fill="FFFFFF"/>
            <w:vAlign w:val="bottom"/>
            <w:hideMark/>
          </w:tcPr>
          <w:p w14:paraId="01AD1EBC"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-2</w:t>
            </w:r>
          </w:p>
        </w:tc>
        <w:tc>
          <w:tcPr>
            <w:tcW w:w="820" w:type="dxa"/>
            <w:tcBorders>
              <w:top w:val="nil"/>
              <w:left w:val="nil"/>
              <w:bottom w:val="single" w:sz="4" w:space="0" w:color="ADD6EA"/>
              <w:right w:val="nil"/>
            </w:tcBorders>
            <w:shd w:val="clear" w:color="000000" w:fill="FFFFFF"/>
            <w:vAlign w:val="bottom"/>
            <w:hideMark/>
          </w:tcPr>
          <w:p w14:paraId="6980C15A"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-5</w:t>
            </w:r>
          </w:p>
        </w:tc>
        <w:tc>
          <w:tcPr>
            <w:tcW w:w="780" w:type="dxa"/>
            <w:tcBorders>
              <w:top w:val="nil"/>
              <w:left w:val="nil"/>
              <w:bottom w:val="single" w:sz="4" w:space="0" w:color="ADD6EA"/>
              <w:right w:val="nil"/>
            </w:tcBorders>
            <w:shd w:val="clear" w:color="000000" w:fill="FFFFFF"/>
            <w:vAlign w:val="bottom"/>
            <w:hideMark/>
          </w:tcPr>
          <w:p w14:paraId="0B86763D"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1</w:t>
            </w:r>
          </w:p>
        </w:tc>
        <w:tc>
          <w:tcPr>
            <w:tcW w:w="820" w:type="dxa"/>
            <w:tcBorders>
              <w:top w:val="nil"/>
              <w:left w:val="nil"/>
              <w:bottom w:val="single" w:sz="4" w:space="0" w:color="ADD6EA"/>
              <w:right w:val="nil"/>
            </w:tcBorders>
            <w:shd w:val="clear" w:color="000000" w:fill="FFFFFF"/>
            <w:vAlign w:val="bottom"/>
            <w:hideMark/>
          </w:tcPr>
          <w:p w14:paraId="4072B2CA"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-22</w:t>
            </w:r>
          </w:p>
        </w:tc>
        <w:tc>
          <w:tcPr>
            <w:tcW w:w="880" w:type="dxa"/>
            <w:tcBorders>
              <w:top w:val="nil"/>
              <w:left w:val="nil"/>
              <w:bottom w:val="single" w:sz="4" w:space="0" w:color="ADD6EA"/>
              <w:right w:val="nil"/>
            </w:tcBorders>
            <w:shd w:val="clear" w:color="000000" w:fill="FFFFFF"/>
            <w:vAlign w:val="bottom"/>
            <w:hideMark/>
          </w:tcPr>
          <w:p w14:paraId="0B41C4CE"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0</w:t>
            </w:r>
          </w:p>
        </w:tc>
        <w:tc>
          <w:tcPr>
            <w:tcW w:w="820" w:type="dxa"/>
            <w:tcBorders>
              <w:top w:val="nil"/>
              <w:left w:val="nil"/>
              <w:bottom w:val="single" w:sz="4" w:space="0" w:color="ADD6EA"/>
              <w:right w:val="nil"/>
            </w:tcBorders>
            <w:shd w:val="clear" w:color="000000" w:fill="FFFFFF"/>
            <w:vAlign w:val="bottom"/>
            <w:hideMark/>
          </w:tcPr>
          <w:p w14:paraId="7527C902"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-21</w:t>
            </w:r>
          </w:p>
        </w:tc>
      </w:tr>
      <w:tr w:rsidR="007E365E" w:rsidRPr="005B7690" w14:paraId="000D754A" w14:textId="77777777" w:rsidTr="007D1D77">
        <w:trPr>
          <w:trHeight w:val="315"/>
        </w:trPr>
        <w:tc>
          <w:tcPr>
            <w:tcW w:w="2160" w:type="dxa"/>
            <w:tcBorders>
              <w:top w:val="nil"/>
              <w:left w:val="nil"/>
              <w:bottom w:val="single" w:sz="4" w:space="0" w:color="ADD6EA"/>
              <w:right w:val="nil"/>
            </w:tcBorders>
            <w:shd w:val="clear" w:color="000000" w:fill="FFFFFF"/>
            <w:vAlign w:val="bottom"/>
            <w:hideMark/>
          </w:tcPr>
          <w:p w14:paraId="370F35E7" w14:textId="77777777" w:rsidR="007E365E" w:rsidRPr="005B7690" w:rsidRDefault="007E365E" w:rsidP="007D1D77">
            <w:pPr>
              <w:tabs>
                <w:tab w:val="clear" w:pos="567"/>
              </w:tabs>
              <w:spacing w:before="0" w:line="240" w:lineRule="auto"/>
              <w:rPr>
                <w:rFonts w:eastAsia="Times New Roman" w:cs="Open Sans Light"/>
                <w:sz w:val="16"/>
                <w:szCs w:val="16"/>
                <w:lang w:eastAsia="en-AU"/>
              </w:rPr>
            </w:pPr>
            <w:r w:rsidRPr="005B7690">
              <w:rPr>
                <w:rFonts w:eastAsia="Times New Roman" w:cs="Open Sans Light"/>
                <w:sz w:val="16"/>
                <w:szCs w:val="16"/>
                <w:lang w:eastAsia="en-AU"/>
              </w:rPr>
              <w:t>Mining ($pc)</w:t>
            </w:r>
          </w:p>
        </w:tc>
        <w:tc>
          <w:tcPr>
            <w:tcW w:w="960" w:type="dxa"/>
            <w:tcBorders>
              <w:top w:val="nil"/>
              <w:left w:val="nil"/>
              <w:bottom w:val="single" w:sz="4" w:space="0" w:color="ADD6EA"/>
              <w:right w:val="nil"/>
            </w:tcBorders>
            <w:shd w:val="clear" w:color="000000" w:fill="FFFFFF"/>
            <w:vAlign w:val="bottom"/>
            <w:hideMark/>
          </w:tcPr>
          <w:p w14:paraId="5D93A234"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1</w:t>
            </w:r>
          </w:p>
        </w:tc>
        <w:tc>
          <w:tcPr>
            <w:tcW w:w="820" w:type="dxa"/>
            <w:tcBorders>
              <w:top w:val="nil"/>
              <w:left w:val="nil"/>
              <w:bottom w:val="single" w:sz="4" w:space="0" w:color="ADD6EA"/>
              <w:right w:val="nil"/>
            </w:tcBorders>
            <w:shd w:val="clear" w:color="000000" w:fill="FFFFFF"/>
            <w:vAlign w:val="bottom"/>
            <w:hideMark/>
          </w:tcPr>
          <w:p w14:paraId="03C28314"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1</w:t>
            </w:r>
          </w:p>
        </w:tc>
        <w:tc>
          <w:tcPr>
            <w:tcW w:w="880" w:type="dxa"/>
            <w:tcBorders>
              <w:top w:val="nil"/>
              <w:left w:val="nil"/>
              <w:bottom w:val="single" w:sz="4" w:space="0" w:color="ADD6EA"/>
              <w:right w:val="nil"/>
            </w:tcBorders>
            <w:shd w:val="clear" w:color="000000" w:fill="FFFFFF"/>
            <w:vAlign w:val="bottom"/>
            <w:hideMark/>
          </w:tcPr>
          <w:p w14:paraId="582B561A"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2</w:t>
            </w:r>
          </w:p>
        </w:tc>
        <w:tc>
          <w:tcPr>
            <w:tcW w:w="820" w:type="dxa"/>
            <w:tcBorders>
              <w:top w:val="nil"/>
              <w:left w:val="nil"/>
              <w:bottom w:val="single" w:sz="4" w:space="0" w:color="ADD6EA"/>
              <w:right w:val="nil"/>
            </w:tcBorders>
            <w:shd w:val="clear" w:color="000000" w:fill="FFFFFF"/>
            <w:vAlign w:val="bottom"/>
            <w:hideMark/>
          </w:tcPr>
          <w:p w14:paraId="11931A5C"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-10</w:t>
            </w:r>
          </w:p>
        </w:tc>
        <w:tc>
          <w:tcPr>
            <w:tcW w:w="780" w:type="dxa"/>
            <w:tcBorders>
              <w:top w:val="nil"/>
              <w:left w:val="nil"/>
              <w:bottom w:val="single" w:sz="4" w:space="0" w:color="ADD6EA"/>
              <w:right w:val="nil"/>
            </w:tcBorders>
            <w:shd w:val="clear" w:color="000000" w:fill="FFFFFF"/>
            <w:vAlign w:val="bottom"/>
            <w:hideMark/>
          </w:tcPr>
          <w:p w14:paraId="5366F903"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1</w:t>
            </w:r>
          </w:p>
        </w:tc>
        <w:tc>
          <w:tcPr>
            <w:tcW w:w="820" w:type="dxa"/>
            <w:tcBorders>
              <w:top w:val="nil"/>
              <w:left w:val="nil"/>
              <w:bottom w:val="single" w:sz="4" w:space="0" w:color="ADD6EA"/>
              <w:right w:val="nil"/>
            </w:tcBorders>
            <w:shd w:val="clear" w:color="000000" w:fill="FFFFFF"/>
            <w:vAlign w:val="bottom"/>
            <w:hideMark/>
          </w:tcPr>
          <w:p w14:paraId="306BCDC5"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5</w:t>
            </w:r>
          </w:p>
        </w:tc>
        <w:tc>
          <w:tcPr>
            <w:tcW w:w="880" w:type="dxa"/>
            <w:tcBorders>
              <w:top w:val="nil"/>
              <w:left w:val="nil"/>
              <w:bottom w:val="single" w:sz="4" w:space="0" w:color="ADD6EA"/>
              <w:right w:val="nil"/>
            </w:tcBorders>
            <w:shd w:val="clear" w:color="000000" w:fill="FFFFFF"/>
            <w:vAlign w:val="bottom"/>
            <w:hideMark/>
          </w:tcPr>
          <w:p w14:paraId="32C1C4B3"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3</w:t>
            </w:r>
          </w:p>
        </w:tc>
        <w:tc>
          <w:tcPr>
            <w:tcW w:w="820" w:type="dxa"/>
            <w:tcBorders>
              <w:top w:val="nil"/>
              <w:left w:val="nil"/>
              <w:bottom w:val="single" w:sz="4" w:space="0" w:color="ADD6EA"/>
              <w:right w:val="nil"/>
            </w:tcBorders>
            <w:shd w:val="clear" w:color="000000" w:fill="FFFFFF"/>
            <w:vAlign w:val="bottom"/>
            <w:hideMark/>
          </w:tcPr>
          <w:p w14:paraId="4EA3E177" w14:textId="77777777" w:rsidR="007E365E" w:rsidRPr="005B7690" w:rsidRDefault="007E365E" w:rsidP="007D1D77">
            <w:pPr>
              <w:tabs>
                <w:tab w:val="clear" w:pos="567"/>
              </w:tabs>
              <w:spacing w:before="0" w:line="240" w:lineRule="auto"/>
              <w:jc w:val="right"/>
              <w:rPr>
                <w:rFonts w:eastAsia="Times New Roman" w:cs="Open Sans Light"/>
                <w:color w:val="000000"/>
                <w:sz w:val="16"/>
                <w:szCs w:val="16"/>
                <w:lang w:eastAsia="en-AU"/>
              </w:rPr>
            </w:pPr>
            <w:r w:rsidRPr="005B7690">
              <w:rPr>
                <w:rFonts w:eastAsia="Times New Roman" w:cs="Open Sans Light"/>
                <w:color w:val="000000"/>
                <w:sz w:val="16"/>
                <w:szCs w:val="16"/>
                <w:lang w:eastAsia="en-AU"/>
              </w:rPr>
              <w:t>-10</w:t>
            </w:r>
          </w:p>
        </w:tc>
      </w:tr>
      <w:tr w:rsidR="007E365E" w:rsidRPr="005B7690" w14:paraId="65278F8D" w14:textId="77777777" w:rsidTr="007D1D77">
        <w:trPr>
          <w:trHeight w:val="315"/>
        </w:trPr>
        <w:tc>
          <w:tcPr>
            <w:tcW w:w="2160" w:type="dxa"/>
            <w:tcBorders>
              <w:top w:val="nil"/>
              <w:left w:val="nil"/>
              <w:bottom w:val="single" w:sz="4" w:space="0" w:color="ADD6EA"/>
              <w:right w:val="nil"/>
            </w:tcBorders>
            <w:shd w:val="clear" w:color="000000" w:fill="D6E7F0"/>
            <w:vAlign w:val="bottom"/>
            <w:hideMark/>
          </w:tcPr>
          <w:p w14:paraId="1F59504E" w14:textId="77777777" w:rsidR="007E365E" w:rsidRPr="005B7690"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Total ($pc)</w:t>
            </w:r>
          </w:p>
        </w:tc>
        <w:tc>
          <w:tcPr>
            <w:tcW w:w="960" w:type="dxa"/>
            <w:tcBorders>
              <w:top w:val="nil"/>
              <w:left w:val="nil"/>
              <w:bottom w:val="single" w:sz="4" w:space="0" w:color="ADD6EA"/>
              <w:right w:val="nil"/>
            </w:tcBorders>
            <w:shd w:val="clear" w:color="000000" w:fill="D6E7F0"/>
            <w:vAlign w:val="bottom"/>
            <w:hideMark/>
          </w:tcPr>
          <w:p w14:paraId="406A918F"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5</w:t>
            </w:r>
          </w:p>
        </w:tc>
        <w:tc>
          <w:tcPr>
            <w:tcW w:w="820" w:type="dxa"/>
            <w:tcBorders>
              <w:top w:val="nil"/>
              <w:left w:val="nil"/>
              <w:bottom w:val="single" w:sz="4" w:space="0" w:color="ADD6EA"/>
              <w:right w:val="nil"/>
            </w:tcBorders>
            <w:shd w:val="clear" w:color="000000" w:fill="D6E7F0"/>
            <w:vAlign w:val="bottom"/>
            <w:hideMark/>
          </w:tcPr>
          <w:p w14:paraId="535EFE87"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2</w:t>
            </w:r>
          </w:p>
        </w:tc>
        <w:tc>
          <w:tcPr>
            <w:tcW w:w="880" w:type="dxa"/>
            <w:tcBorders>
              <w:top w:val="nil"/>
              <w:left w:val="nil"/>
              <w:bottom w:val="single" w:sz="4" w:space="0" w:color="ADD6EA"/>
              <w:right w:val="nil"/>
            </w:tcBorders>
            <w:shd w:val="clear" w:color="000000" w:fill="D6E7F0"/>
            <w:vAlign w:val="bottom"/>
            <w:hideMark/>
          </w:tcPr>
          <w:p w14:paraId="7E576A3D"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0</w:t>
            </w:r>
          </w:p>
        </w:tc>
        <w:tc>
          <w:tcPr>
            <w:tcW w:w="820" w:type="dxa"/>
            <w:tcBorders>
              <w:top w:val="nil"/>
              <w:left w:val="nil"/>
              <w:bottom w:val="single" w:sz="4" w:space="0" w:color="ADD6EA"/>
              <w:right w:val="nil"/>
            </w:tcBorders>
            <w:shd w:val="clear" w:color="000000" w:fill="D6E7F0"/>
            <w:vAlign w:val="bottom"/>
            <w:hideMark/>
          </w:tcPr>
          <w:p w14:paraId="7A93A742"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-15</w:t>
            </w:r>
          </w:p>
        </w:tc>
        <w:tc>
          <w:tcPr>
            <w:tcW w:w="780" w:type="dxa"/>
            <w:tcBorders>
              <w:top w:val="nil"/>
              <w:left w:val="nil"/>
              <w:bottom w:val="single" w:sz="4" w:space="0" w:color="ADD6EA"/>
              <w:right w:val="nil"/>
            </w:tcBorders>
            <w:shd w:val="clear" w:color="000000" w:fill="D6E7F0"/>
            <w:vAlign w:val="bottom"/>
            <w:hideMark/>
          </w:tcPr>
          <w:p w14:paraId="0D848DFC"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2</w:t>
            </w:r>
          </w:p>
        </w:tc>
        <w:tc>
          <w:tcPr>
            <w:tcW w:w="820" w:type="dxa"/>
            <w:tcBorders>
              <w:top w:val="nil"/>
              <w:left w:val="nil"/>
              <w:bottom w:val="single" w:sz="4" w:space="0" w:color="ADD6EA"/>
              <w:right w:val="nil"/>
            </w:tcBorders>
            <w:shd w:val="clear" w:color="000000" w:fill="D6E7F0"/>
            <w:vAlign w:val="bottom"/>
            <w:hideMark/>
          </w:tcPr>
          <w:p w14:paraId="3147AB87"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-17</w:t>
            </w:r>
          </w:p>
        </w:tc>
        <w:tc>
          <w:tcPr>
            <w:tcW w:w="880" w:type="dxa"/>
            <w:tcBorders>
              <w:top w:val="nil"/>
              <w:left w:val="nil"/>
              <w:bottom w:val="single" w:sz="4" w:space="0" w:color="ADD6EA"/>
              <w:right w:val="nil"/>
            </w:tcBorders>
            <w:shd w:val="clear" w:color="000000" w:fill="D6E7F0"/>
            <w:vAlign w:val="bottom"/>
            <w:hideMark/>
          </w:tcPr>
          <w:p w14:paraId="258C2F9D"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3</w:t>
            </w:r>
          </w:p>
        </w:tc>
        <w:tc>
          <w:tcPr>
            <w:tcW w:w="820" w:type="dxa"/>
            <w:tcBorders>
              <w:top w:val="nil"/>
              <w:left w:val="nil"/>
              <w:bottom w:val="single" w:sz="4" w:space="0" w:color="ADD6EA"/>
              <w:right w:val="nil"/>
            </w:tcBorders>
            <w:shd w:val="clear" w:color="000000" w:fill="D6E7F0"/>
            <w:vAlign w:val="bottom"/>
            <w:hideMark/>
          </w:tcPr>
          <w:p w14:paraId="0E0B5E26" w14:textId="77777777" w:rsidR="007E365E" w:rsidRPr="005B7690"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B7690">
              <w:rPr>
                <w:rFonts w:ascii="Open Sans SemiBold" w:eastAsia="Times New Roman" w:hAnsi="Open Sans SemiBold" w:cs="Open Sans SemiBold"/>
                <w:color w:val="000000"/>
                <w:sz w:val="16"/>
                <w:szCs w:val="16"/>
                <w:lang w:eastAsia="en-AU"/>
              </w:rPr>
              <w:t>-31</w:t>
            </w:r>
          </w:p>
        </w:tc>
      </w:tr>
    </w:tbl>
    <w:p w14:paraId="39BAF375" w14:textId="77777777" w:rsidR="007E365E" w:rsidRPr="00CC13CC" w:rsidRDefault="007E365E" w:rsidP="007E365E">
      <w:pPr>
        <w:pStyle w:val="CGCTablenote"/>
        <w:keepNext/>
      </w:pPr>
      <w:r w:rsidRPr="00CC13CC">
        <w:t>Note:</w:t>
      </w:r>
      <w:r>
        <w:tab/>
      </w:r>
      <w:r w:rsidRPr="00CC13CC">
        <w:t>The materiality test was based on a 50% weight to business counts in the agriculture assessment and a 33% weight in mining. These weights were based on data from the 2010 Review.</w:t>
      </w:r>
    </w:p>
    <w:p w14:paraId="541AA42C" w14:textId="41DD99F6" w:rsidR="007E365E" w:rsidRPr="004E386A" w:rsidRDefault="007E365E" w:rsidP="007E365E">
      <w:pPr>
        <w:pStyle w:val="CGCTablenote"/>
        <w:keepNext/>
      </w:pPr>
      <w:r w:rsidRPr="00CC13CC">
        <w:t>Source:</w:t>
      </w:r>
      <w:r w:rsidRPr="00CC13CC">
        <w:tab/>
        <w:t>Commission calculation.</w:t>
      </w:r>
    </w:p>
    <w:p w14:paraId="1D190F91" w14:textId="77777777" w:rsidR="007E365E" w:rsidRDefault="007E365E" w:rsidP="007E365E">
      <w:pPr>
        <w:pStyle w:val="Heading5"/>
      </w:pPr>
      <w:bookmarkStart w:id="303" w:name="_Toc4686168"/>
      <w:bookmarkStart w:id="304" w:name="_Toc22807484"/>
      <w:r>
        <w:t>Agriculture regulation</w:t>
      </w:r>
      <w:bookmarkEnd w:id="303"/>
      <w:bookmarkEnd w:id="304"/>
    </w:p>
    <w:p w14:paraId="6576F083" w14:textId="77777777" w:rsidR="007E365E" w:rsidRPr="00B40576" w:rsidRDefault="007E365E" w:rsidP="007E365E">
      <w:pPr>
        <w:pStyle w:val="CGCParaNumber"/>
      </w:pPr>
      <w:r w:rsidRPr="008122FB">
        <w:t xml:space="preserve">The assessment of agriculture regulation is based on sector size. It uses the value of agricultural </w:t>
      </w:r>
      <w:r>
        <w:t>output</w:t>
      </w:r>
      <w:r w:rsidRPr="008122FB">
        <w:t xml:space="preserve"> a</w:t>
      </w:r>
      <w:r>
        <w:t>s the broad indicator of needs.</w:t>
      </w:r>
    </w:p>
    <w:p w14:paraId="1EF5AC55" w14:textId="77777777" w:rsidR="007E365E" w:rsidRDefault="007E365E" w:rsidP="007E365E">
      <w:pPr>
        <w:pStyle w:val="CGCParaNumber"/>
      </w:pPr>
      <w:r w:rsidRPr="004E386A">
        <w:rPr>
          <w:rStyle w:val="Heading6Char"/>
        </w:rPr>
        <w:t>Regional costs.</w:t>
      </w:r>
      <w:r>
        <w:t xml:space="preserve"> Differences in the cost of providing services to different regions within a State affect State regulation expenses. There is a general factor to measure the influence of regional costs in components where the disability applies. See Chapter </w:t>
      </w:r>
      <w:r w:rsidRPr="00910425">
        <w:t>2</w:t>
      </w:r>
      <w:r>
        <w:t>8 </w:t>
      </w:r>
      <w:r w:rsidRPr="00910425">
        <w:t>Geography</w:t>
      </w:r>
      <w:r>
        <w:t>, for a description of the calculation of this factor.</w:t>
      </w:r>
    </w:p>
    <w:p w14:paraId="51E0EB15" w14:textId="77777777" w:rsidR="007E365E" w:rsidRPr="004E386A" w:rsidRDefault="007E365E" w:rsidP="007E365E">
      <w:pPr>
        <w:pStyle w:val="CGCParaNumber"/>
      </w:pPr>
      <w:r w:rsidRPr="004E386A">
        <w:rPr>
          <w:rStyle w:val="Heading6Char"/>
        </w:rPr>
        <w:t>Wage costs</w:t>
      </w:r>
      <w:r w:rsidRPr="004E386A">
        <w:t xml:space="preserve">. Differences in wage costs between States have a differential effect on the cost of providing services. There is a general method for measuring the influence of wage costs in components where the disability applies. For a description of the method, see Chapter 27 Wage costs. </w:t>
      </w:r>
    </w:p>
    <w:p w14:paraId="3CA752EE" w14:textId="77777777" w:rsidR="007E365E" w:rsidRDefault="007E365E" w:rsidP="007E365E">
      <w:pPr>
        <w:pStyle w:val="CGCParaNumber"/>
      </w:pPr>
      <w:r w:rsidRPr="004E386A">
        <w:rPr>
          <w:rStyle w:val="Heading6Char"/>
        </w:rPr>
        <w:lastRenderedPageBreak/>
        <w:t>Data and method</w:t>
      </w:r>
      <w:r>
        <w:t xml:space="preserve">. The value of agricultural production </w:t>
      </w:r>
      <w:r w:rsidRPr="00B40576">
        <w:t xml:space="preserve">is </w:t>
      </w:r>
      <w:r>
        <w:t xml:space="preserve">calculated using agriculture, forestry and fishing </w:t>
      </w:r>
      <w:r w:rsidRPr="00B40576">
        <w:t>factor income estimates sourced from the ABS publication</w:t>
      </w:r>
      <w:r>
        <w:t>,</w:t>
      </w:r>
      <w:r w:rsidRPr="00B40576">
        <w:t xml:space="preserve"> </w:t>
      </w:r>
      <w:r w:rsidRPr="00553EED">
        <w:rPr>
          <w:i/>
        </w:rPr>
        <w:t>Australian National Accounts: State Accounts</w:t>
      </w:r>
      <w:r>
        <w:rPr>
          <w:i/>
        </w:rPr>
        <w:t>,</w:t>
      </w:r>
      <w:r w:rsidRPr="00E65559">
        <w:t xml:space="preserve"> </w:t>
      </w:r>
      <w:r>
        <w:t>c</w:t>
      </w:r>
      <w:r w:rsidRPr="00E65559">
        <w:t xml:space="preserve">at. </w:t>
      </w:r>
      <w:r>
        <w:t>n</w:t>
      </w:r>
      <w:r w:rsidRPr="00E65559">
        <w:t>o. 5220.0</w:t>
      </w:r>
      <w:r w:rsidRPr="00553EED">
        <w:rPr>
          <w:i/>
        </w:rPr>
        <w:t>.</w:t>
      </w:r>
    </w:p>
    <w:p w14:paraId="7A25472E" w14:textId="77777777" w:rsidR="007E365E" w:rsidRDefault="007E365E" w:rsidP="007E365E">
      <w:pPr>
        <w:pStyle w:val="CGCParaNumber"/>
      </w:pPr>
      <w:r>
        <w:t xml:space="preserve">Assessed expenses are calculated by applying State shares of factor income to total agriculture </w:t>
      </w:r>
      <w:r w:rsidRPr="003A47A1">
        <w:t>regulation expenses</w:t>
      </w:r>
      <w:r>
        <w:t>, then applying regional costs and wage costs factors.</w:t>
      </w:r>
    </w:p>
    <w:p w14:paraId="03289DEF" w14:textId="18694CCC" w:rsidR="007E365E" w:rsidRPr="00847F39" w:rsidRDefault="007E365E" w:rsidP="007E365E">
      <w:pPr>
        <w:pStyle w:val="CGCParaNumber"/>
      </w:pPr>
      <w:r w:rsidRPr="004E386A">
        <w:rPr>
          <w:rStyle w:val="Heading6Char"/>
        </w:rPr>
        <w:t>Component calculations</w:t>
      </w:r>
      <w:r>
        <w:t>.</w:t>
      </w:r>
      <w:r w:rsidRPr="004E386A">
        <w:t xml:space="preserve"> </w:t>
      </w:r>
      <w:r>
        <w:fldChar w:fldCharType="begin"/>
      </w:r>
      <w:r>
        <w:instrText xml:space="preserve"> REF _Ref4048264 \h </w:instrText>
      </w:r>
      <w:r>
        <w:fldChar w:fldCharType="separate"/>
      </w:r>
      <w:r w:rsidR="007F721A">
        <w:t>Table 22-</w:t>
      </w:r>
      <w:r w:rsidR="007F721A">
        <w:rPr>
          <w:noProof/>
        </w:rPr>
        <w:t>8</w:t>
      </w:r>
      <w:r>
        <w:fldChar w:fldCharType="end"/>
      </w:r>
      <w:r>
        <w:t xml:space="preserve"> shows the calculation of assessed expenses for the component in 2018-19.</w:t>
      </w:r>
    </w:p>
    <w:p w14:paraId="483F94CB" w14:textId="390DE92B" w:rsidR="007E365E" w:rsidRDefault="007E365E" w:rsidP="007E365E">
      <w:pPr>
        <w:pStyle w:val="Caption"/>
      </w:pPr>
      <w:bookmarkStart w:id="305" w:name="_Ref4048264"/>
      <w:r>
        <w:t>Table 22-</w:t>
      </w:r>
      <w:fldSimple w:instr=" SEQ Table \* ARABIC ">
        <w:r w:rsidR="007F721A">
          <w:rPr>
            <w:noProof/>
          </w:rPr>
          <w:t>8</w:t>
        </w:r>
      </w:fldSimple>
      <w:bookmarkEnd w:id="305"/>
      <w:r>
        <w:tab/>
        <w:t>Agriculture regulation component assessment, 2018-19</w:t>
      </w:r>
    </w:p>
    <w:tbl>
      <w:tblPr>
        <w:tblW w:w="8960" w:type="dxa"/>
        <w:tblCellMar>
          <w:left w:w="28" w:type="dxa"/>
          <w:right w:w="28" w:type="dxa"/>
        </w:tblCellMar>
        <w:tblLook w:val="04A0" w:firstRow="1" w:lastRow="0" w:firstColumn="1" w:lastColumn="0" w:noHBand="0" w:noVBand="1"/>
      </w:tblPr>
      <w:tblGrid>
        <w:gridCol w:w="2560"/>
        <w:gridCol w:w="820"/>
        <w:gridCol w:w="680"/>
        <w:gridCol w:w="720"/>
        <w:gridCol w:w="700"/>
        <w:gridCol w:w="620"/>
        <w:gridCol w:w="700"/>
        <w:gridCol w:w="720"/>
        <w:gridCol w:w="640"/>
        <w:gridCol w:w="800"/>
      </w:tblGrid>
      <w:tr w:rsidR="007E365E" w:rsidRPr="006455D5" w14:paraId="2F0ECD15" w14:textId="77777777" w:rsidTr="007D1D77">
        <w:trPr>
          <w:trHeight w:val="379"/>
        </w:trPr>
        <w:tc>
          <w:tcPr>
            <w:tcW w:w="2560" w:type="dxa"/>
            <w:tcBorders>
              <w:top w:val="single" w:sz="4" w:space="0" w:color="ADD6EA"/>
              <w:left w:val="nil"/>
              <w:bottom w:val="single" w:sz="4" w:space="0" w:color="ADD6EA"/>
              <w:right w:val="nil"/>
            </w:tcBorders>
            <w:shd w:val="clear" w:color="000000" w:fill="006991"/>
            <w:vAlign w:val="center"/>
            <w:hideMark/>
          </w:tcPr>
          <w:p w14:paraId="4A3C07B7" w14:textId="77777777" w:rsidR="007E365E" w:rsidRPr="006455D5"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306" w:name="RANGE!A24:J29"/>
            <w:r w:rsidRPr="006455D5">
              <w:rPr>
                <w:rFonts w:ascii="Open Sans SemiBold" w:eastAsia="Times New Roman" w:hAnsi="Open Sans SemiBold" w:cs="Open Sans SemiBold"/>
                <w:color w:val="FFFFFF"/>
                <w:sz w:val="16"/>
                <w:szCs w:val="16"/>
                <w:lang w:eastAsia="en-AU"/>
              </w:rPr>
              <w:t> </w:t>
            </w:r>
            <w:bookmarkEnd w:id="306"/>
          </w:p>
        </w:tc>
        <w:tc>
          <w:tcPr>
            <w:tcW w:w="820" w:type="dxa"/>
            <w:tcBorders>
              <w:top w:val="single" w:sz="4" w:space="0" w:color="ADD6EA"/>
              <w:left w:val="nil"/>
              <w:bottom w:val="single" w:sz="4" w:space="0" w:color="ADD6EA"/>
              <w:right w:val="nil"/>
            </w:tcBorders>
            <w:shd w:val="clear" w:color="000000" w:fill="006991"/>
            <w:vAlign w:val="center"/>
            <w:hideMark/>
          </w:tcPr>
          <w:p w14:paraId="7C00CB66"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5D5">
              <w:rPr>
                <w:rFonts w:ascii="Open Sans SemiBold" w:eastAsia="Times New Roman" w:hAnsi="Open Sans SemiBold" w:cs="Open Sans SemiBold"/>
                <w:color w:val="FFFFFF"/>
                <w:sz w:val="16"/>
                <w:szCs w:val="16"/>
                <w:lang w:eastAsia="en-AU"/>
              </w:rPr>
              <w:t>NSW</w:t>
            </w:r>
          </w:p>
        </w:tc>
        <w:tc>
          <w:tcPr>
            <w:tcW w:w="680" w:type="dxa"/>
            <w:tcBorders>
              <w:top w:val="single" w:sz="4" w:space="0" w:color="ADD6EA"/>
              <w:left w:val="nil"/>
              <w:bottom w:val="single" w:sz="4" w:space="0" w:color="ADD6EA"/>
              <w:right w:val="nil"/>
            </w:tcBorders>
            <w:shd w:val="clear" w:color="000000" w:fill="006991"/>
            <w:vAlign w:val="center"/>
            <w:hideMark/>
          </w:tcPr>
          <w:p w14:paraId="4587F2AD"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5D5">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vAlign w:val="center"/>
            <w:hideMark/>
          </w:tcPr>
          <w:p w14:paraId="0B75C2F9"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5D5">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3FC5820E"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5D5">
              <w:rPr>
                <w:rFonts w:ascii="Open Sans SemiBold" w:eastAsia="Times New Roman" w:hAnsi="Open Sans SemiBold" w:cs="Open Sans SemiBold"/>
                <w:color w:val="FFFFFF"/>
                <w:sz w:val="16"/>
                <w:szCs w:val="16"/>
                <w:lang w:eastAsia="en-AU"/>
              </w:rPr>
              <w:t>WA</w:t>
            </w:r>
          </w:p>
        </w:tc>
        <w:tc>
          <w:tcPr>
            <w:tcW w:w="620" w:type="dxa"/>
            <w:tcBorders>
              <w:top w:val="single" w:sz="4" w:space="0" w:color="ADD6EA"/>
              <w:left w:val="nil"/>
              <w:bottom w:val="single" w:sz="4" w:space="0" w:color="ADD6EA"/>
              <w:right w:val="nil"/>
            </w:tcBorders>
            <w:shd w:val="clear" w:color="000000" w:fill="006991"/>
            <w:vAlign w:val="center"/>
            <w:hideMark/>
          </w:tcPr>
          <w:p w14:paraId="171B2463"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5D5">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074FA084"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5D5">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14CDA46C"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5D5">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vAlign w:val="center"/>
            <w:hideMark/>
          </w:tcPr>
          <w:p w14:paraId="30298D1D"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5D5">
              <w:rPr>
                <w:rFonts w:ascii="Open Sans SemiBold" w:eastAsia="Times New Roman" w:hAnsi="Open Sans SemiBold" w:cs="Open Sans SemiBold"/>
                <w:color w:val="FFFFFF"/>
                <w:sz w:val="16"/>
                <w:szCs w:val="16"/>
                <w:lang w:eastAsia="en-AU"/>
              </w:rPr>
              <w:t>NT</w:t>
            </w:r>
          </w:p>
        </w:tc>
        <w:tc>
          <w:tcPr>
            <w:tcW w:w="800" w:type="dxa"/>
            <w:tcBorders>
              <w:top w:val="single" w:sz="4" w:space="0" w:color="ADD6EA"/>
              <w:left w:val="nil"/>
              <w:bottom w:val="single" w:sz="4" w:space="0" w:color="ADD6EA"/>
              <w:right w:val="nil"/>
            </w:tcBorders>
            <w:shd w:val="clear" w:color="000000" w:fill="006991"/>
            <w:vAlign w:val="center"/>
            <w:hideMark/>
          </w:tcPr>
          <w:p w14:paraId="45176F1F"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455D5">
              <w:rPr>
                <w:rFonts w:ascii="Open Sans SemiBold" w:eastAsia="Times New Roman" w:hAnsi="Open Sans SemiBold" w:cs="Open Sans SemiBold"/>
                <w:color w:val="FFFFFF"/>
                <w:sz w:val="16"/>
                <w:szCs w:val="16"/>
                <w:lang w:eastAsia="en-AU"/>
              </w:rPr>
              <w:t>Total</w:t>
            </w:r>
          </w:p>
        </w:tc>
      </w:tr>
      <w:tr w:rsidR="007E365E" w:rsidRPr="006455D5" w14:paraId="2078C722" w14:textId="77777777" w:rsidTr="007D1D77">
        <w:trPr>
          <w:trHeight w:val="315"/>
        </w:trPr>
        <w:tc>
          <w:tcPr>
            <w:tcW w:w="2560" w:type="dxa"/>
            <w:tcBorders>
              <w:top w:val="nil"/>
              <w:left w:val="nil"/>
              <w:bottom w:val="single" w:sz="4" w:space="0" w:color="ADD6EA"/>
              <w:right w:val="nil"/>
            </w:tcBorders>
            <w:shd w:val="clear" w:color="000000" w:fill="FFFFFF"/>
            <w:vAlign w:val="bottom"/>
            <w:hideMark/>
          </w:tcPr>
          <w:p w14:paraId="65DE69C8" w14:textId="77777777" w:rsidR="007E365E" w:rsidRPr="006455D5" w:rsidRDefault="007E365E" w:rsidP="007D1D77">
            <w:pPr>
              <w:tabs>
                <w:tab w:val="clear" w:pos="567"/>
              </w:tabs>
              <w:spacing w:before="0" w:line="240" w:lineRule="auto"/>
              <w:rPr>
                <w:rFonts w:eastAsia="Times New Roman" w:cs="Open Sans Light"/>
                <w:sz w:val="16"/>
                <w:szCs w:val="16"/>
                <w:lang w:eastAsia="en-AU"/>
              </w:rPr>
            </w:pPr>
            <w:r w:rsidRPr="006455D5">
              <w:rPr>
                <w:rFonts w:eastAsia="Times New Roman" w:cs="Open Sans Light"/>
                <w:sz w:val="16"/>
                <w:szCs w:val="16"/>
                <w:lang w:eastAsia="en-AU"/>
              </w:rPr>
              <w:t>Sector size ($m)</w:t>
            </w:r>
          </w:p>
        </w:tc>
        <w:tc>
          <w:tcPr>
            <w:tcW w:w="820" w:type="dxa"/>
            <w:tcBorders>
              <w:top w:val="nil"/>
              <w:left w:val="nil"/>
              <w:bottom w:val="single" w:sz="4" w:space="0" w:color="ADD6EA"/>
              <w:right w:val="nil"/>
            </w:tcBorders>
            <w:shd w:val="clear" w:color="000000" w:fill="FFFFFF"/>
            <w:vAlign w:val="bottom"/>
            <w:hideMark/>
          </w:tcPr>
          <w:p w14:paraId="208CFE9E"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135</w:t>
            </w:r>
          </w:p>
        </w:tc>
        <w:tc>
          <w:tcPr>
            <w:tcW w:w="680" w:type="dxa"/>
            <w:tcBorders>
              <w:top w:val="nil"/>
              <w:left w:val="nil"/>
              <w:bottom w:val="single" w:sz="4" w:space="0" w:color="ADD6EA"/>
              <w:right w:val="nil"/>
            </w:tcBorders>
            <w:shd w:val="clear" w:color="000000" w:fill="FFFFFF"/>
            <w:vAlign w:val="bottom"/>
            <w:hideMark/>
          </w:tcPr>
          <w:p w14:paraId="5C10A885"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128</w:t>
            </w:r>
          </w:p>
        </w:tc>
        <w:tc>
          <w:tcPr>
            <w:tcW w:w="720" w:type="dxa"/>
            <w:tcBorders>
              <w:top w:val="nil"/>
              <w:left w:val="nil"/>
              <w:bottom w:val="single" w:sz="4" w:space="0" w:color="ADD6EA"/>
              <w:right w:val="nil"/>
            </w:tcBorders>
            <w:shd w:val="clear" w:color="000000" w:fill="FFFFFF"/>
            <w:vAlign w:val="bottom"/>
            <w:hideMark/>
          </w:tcPr>
          <w:p w14:paraId="061DEE35"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128</w:t>
            </w:r>
          </w:p>
        </w:tc>
        <w:tc>
          <w:tcPr>
            <w:tcW w:w="700" w:type="dxa"/>
            <w:tcBorders>
              <w:top w:val="nil"/>
              <w:left w:val="nil"/>
              <w:bottom w:val="single" w:sz="4" w:space="0" w:color="ADD6EA"/>
              <w:right w:val="nil"/>
            </w:tcBorders>
            <w:shd w:val="clear" w:color="000000" w:fill="FFFFFF"/>
            <w:vAlign w:val="bottom"/>
            <w:hideMark/>
          </w:tcPr>
          <w:p w14:paraId="45480C58"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91</w:t>
            </w:r>
          </w:p>
        </w:tc>
        <w:tc>
          <w:tcPr>
            <w:tcW w:w="620" w:type="dxa"/>
            <w:tcBorders>
              <w:top w:val="nil"/>
              <w:left w:val="nil"/>
              <w:bottom w:val="single" w:sz="4" w:space="0" w:color="ADD6EA"/>
              <w:right w:val="nil"/>
            </w:tcBorders>
            <w:shd w:val="clear" w:color="000000" w:fill="FFFFFF"/>
            <w:vAlign w:val="bottom"/>
            <w:hideMark/>
          </w:tcPr>
          <w:p w14:paraId="780E626F"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76</w:t>
            </w:r>
          </w:p>
        </w:tc>
        <w:tc>
          <w:tcPr>
            <w:tcW w:w="700" w:type="dxa"/>
            <w:tcBorders>
              <w:top w:val="nil"/>
              <w:left w:val="nil"/>
              <w:bottom w:val="single" w:sz="4" w:space="0" w:color="ADD6EA"/>
              <w:right w:val="nil"/>
            </w:tcBorders>
            <w:shd w:val="clear" w:color="000000" w:fill="FFFFFF"/>
            <w:vAlign w:val="bottom"/>
            <w:hideMark/>
          </w:tcPr>
          <w:p w14:paraId="5AE32DB0"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47</w:t>
            </w:r>
          </w:p>
        </w:tc>
        <w:tc>
          <w:tcPr>
            <w:tcW w:w="720" w:type="dxa"/>
            <w:tcBorders>
              <w:top w:val="nil"/>
              <w:left w:val="nil"/>
              <w:bottom w:val="single" w:sz="4" w:space="0" w:color="ADD6EA"/>
              <w:right w:val="nil"/>
            </w:tcBorders>
            <w:shd w:val="clear" w:color="000000" w:fill="FFFFFF"/>
            <w:vAlign w:val="bottom"/>
            <w:hideMark/>
          </w:tcPr>
          <w:p w14:paraId="585CB265"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000000" w:fill="FFFFFF"/>
            <w:vAlign w:val="bottom"/>
            <w:hideMark/>
          </w:tcPr>
          <w:p w14:paraId="7734B763"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10</w:t>
            </w:r>
          </w:p>
        </w:tc>
        <w:tc>
          <w:tcPr>
            <w:tcW w:w="800" w:type="dxa"/>
            <w:tcBorders>
              <w:top w:val="nil"/>
              <w:left w:val="nil"/>
              <w:bottom w:val="single" w:sz="4" w:space="0" w:color="ADD6EA"/>
              <w:right w:val="nil"/>
            </w:tcBorders>
            <w:shd w:val="clear" w:color="000000" w:fill="FFFFFF"/>
            <w:vAlign w:val="bottom"/>
            <w:hideMark/>
          </w:tcPr>
          <w:p w14:paraId="3C6C43FB"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615</w:t>
            </w:r>
          </w:p>
        </w:tc>
      </w:tr>
      <w:tr w:rsidR="007E365E" w:rsidRPr="006455D5" w14:paraId="5FE67307" w14:textId="77777777" w:rsidTr="007D1D77">
        <w:trPr>
          <w:trHeight w:val="315"/>
        </w:trPr>
        <w:tc>
          <w:tcPr>
            <w:tcW w:w="2560" w:type="dxa"/>
            <w:tcBorders>
              <w:top w:val="nil"/>
              <w:left w:val="nil"/>
              <w:bottom w:val="single" w:sz="4" w:space="0" w:color="ADD6EA"/>
              <w:right w:val="nil"/>
            </w:tcBorders>
            <w:shd w:val="clear" w:color="000000" w:fill="FFFFFF"/>
            <w:vAlign w:val="bottom"/>
            <w:hideMark/>
          </w:tcPr>
          <w:p w14:paraId="547C19C0" w14:textId="77777777" w:rsidR="007E365E" w:rsidRPr="006455D5" w:rsidRDefault="007E365E" w:rsidP="007D1D77">
            <w:pPr>
              <w:tabs>
                <w:tab w:val="clear" w:pos="567"/>
              </w:tabs>
              <w:spacing w:before="0" w:line="240" w:lineRule="auto"/>
              <w:rPr>
                <w:rFonts w:eastAsia="Times New Roman" w:cs="Open Sans Light"/>
                <w:sz w:val="16"/>
                <w:szCs w:val="16"/>
                <w:lang w:eastAsia="en-AU"/>
              </w:rPr>
            </w:pPr>
            <w:r w:rsidRPr="006455D5">
              <w:rPr>
                <w:rFonts w:eastAsia="Times New Roman" w:cs="Open Sans Light"/>
                <w:sz w:val="16"/>
                <w:szCs w:val="16"/>
                <w:lang w:eastAsia="en-AU"/>
              </w:rPr>
              <w:t>Regional costs factor</w:t>
            </w:r>
          </w:p>
        </w:tc>
        <w:tc>
          <w:tcPr>
            <w:tcW w:w="820" w:type="dxa"/>
            <w:tcBorders>
              <w:top w:val="nil"/>
              <w:left w:val="nil"/>
              <w:bottom w:val="single" w:sz="4" w:space="0" w:color="ADD6EA"/>
              <w:right w:val="nil"/>
            </w:tcBorders>
            <w:shd w:val="clear" w:color="000000" w:fill="FFFFFF"/>
            <w:vAlign w:val="bottom"/>
            <w:hideMark/>
          </w:tcPr>
          <w:p w14:paraId="37F4AFA5"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0.994</w:t>
            </w:r>
          </w:p>
        </w:tc>
        <w:tc>
          <w:tcPr>
            <w:tcW w:w="680" w:type="dxa"/>
            <w:tcBorders>
              <w:top w:val="nil"/>
              <w:left w:val="nil"/>
              <w:bottom w:val="single" w:sz="4" w:space="0" w:color="ADD6EA"/>
              <w:right w:val="nil"/>
            </w:tcBorders>
            <w:shd w:val="clear" w:color="000000" w:fill="FFFFFF"/>
            <w:vAlign w:val="bottom"/>
            <w:hideMark/>
          </w:tcPr>
          <w:p w14:paraId="41031F10"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0.993</w:t>
            </w:r>
          </w:p>
        </w:tc>
        <w:tc>
          <w:tcPr>
            <w:tcW w:w="720" w:type="dxa"/>
            <w:tcBorders>
              <w:top w:val="nil"/>
              <w:left w:val="nil"/>
              <w:bottom w:val="single" w:sz="4" w:space="0" w:color="ADD6EA"/>
              <w:right w:val="nil"/>
            </w:tcBorders>
            <w:shd w:val="clear" w:color="000000" w:fill="FFFFFF"/>
            <w:vAlign w:val="bottom"/>
            <w:hideMark/>
          </w:tcPr>
          <w:p w14:paraId="2FCB85A6"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1.003</w:t>
            </w:r>
          </w:p>
        </w:tc>
        <w:tc>
          <w:tcPr>
            <w:tcW w:w="700" w:type="dxa"/>
            <w:tcBorders>
              <w:top w:val="nil"/>
              <w:left w:val="nil"/>
              <w:bottom w:val="single" w:sz="4" w:space="0" w:color="ADD6EA"/>
              <w:right w:val="nil"/>
            </w:tcBorders>
            <w:shd w:val="clear" w:color="000000" w:fill="FFFFFF"/>
            <w:vAlign w:val="bottom"/>
            <w:hideMark/>
          </w:tcPr>
          <w:p w14:paraId="2DD30D2B"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1.017</w:t>
            </w:r>
          </w:p>
        </w:tc>
        <w:tc>
          <w:tcPr>
            <w:tcW w:w="620" w:type="dxa"/>
            <w:tcBorders>
              <w:top w:val="nil"/>
              <w:left w:val="nil"/>
              <w:bottom w:val="single" w:sz="4" w:space="0" w:color="ADD6EA"/>
              <w:right w:val="nil"/>
            </w:tcBorders>
            <w:shd w:val="clear" w:color="000000" w:fill="FFFFFF"/>
            <w:vAlign w:val="bottom"/>
            <w:hideMark/>
          </w:tcPr>
          <w:p w14:paraId="14ACF8A0"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1.004</w:t>
            </w:r>
          </w:p>
        </w:tc>
        <w:tc>
          <w:tcPr>
            <w:tcW w:w="700" w:type="dxa"/>
            <w:tcBorders>
              <w:top w:val="nil"/>
              <w:left w:val="nil"/>
              <w:bottom w:val="single" w:sz="4" w:space="0" w:color="ADD6EA"/>
              <w:right w:val="nil"/>
            </w:tcBorders>
            <w:shd w:val="clear" w:color="000000" w:fill="FFFFFF"/>
            <w:vAlign w:val="bottom"/>
            <w:hideMark/>
          </w:tcPr>
          <w:p w14:paraId="4ACAC8F9"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1.006</w:t>
            </w:r>
          </w:p>
        </w:tc>
        <w:tc>
          <w:tcPr>
            <w:tcW w:w="720" w:type="dxa"/>
            <w:tcBorders>
              <w:top w:val="nil"/>
              <w:left w:val="nil"/>
              <w:bottom w:val="single" w:sz="4" w:space="0" w:color="ADD6EA"/>
              <w:right w:val="nil"/>
            </w:tcBorders>
            <w:shd w:val="clear" w:color="000000" w:fill="FFFFFF"/>
            <w:vAlign w:val="bottom"/>
            <w:hideMark/>
          </w:tcPr>
          <w:p w14:paraId="608CD0CC"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0.992</w:t>
            </w:r>
          </w:p>
        </w:tc>
        <w:tc>
          <w:tcPr>
            <w:tcW w:w="640" w:type="dxa"/>
            <w:tcBorders>
              <w:top w:val="nil"/>
              <w:left w:val="nil"/>
              <w:bottom w:val="single" w:sz="4" w:space="0" w:color="ADD6EA"/>
              <w:right w:val="nil"/>
            </w:tcBorders>
            <w:shd w:val="clear" w:color="000000" w:fill="FFFFFF"/>
            <w:vAlign w:val="bottom"/>
            <w:hideMark/>
          </w:tcPr>
          <w:p w14:paraId="153301DF"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1.091</w:t>
            </w:r>
          </w:p>
        </w:tc>
        <w:tc>
          <w:tcPr>
            <w:tcW w:w="800" w:type="dxa"/>
            <w:tcBorders>
              <w:top w:val="nil"/>
              <w:left w:val="nil"/>
              <w:bottom w:val="single" w:sz="4" w:space="0" w:color="ADD6EA"/>
              <w:right w:val="nil"/>
            </w:tcBorders>
            <w:shd w:val="clear" w:color="000000" w:fill="FFFFFF"/>
            <w:vAlign w:val="bottom"/>
            <w:hideMark/>
          </w:tcPr>
          <w:p w14:paraId="60DB80BB"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1.000</w:t>
            </w:r>
          </w:p>
        </w:tc>
      </w:tr>
      <w:tr w:rsidR="007E365E" w:rsidRPr="006455D5" w14:paraId="4500DF82" w14:textId="77777777" w:rsidTr="007D1D77">
        <w:trPr>
          <w:trHeight w:val="315"/>
        </w:trPr>
        <w:tc>
          <w:tcPr>
            <w:tcW w:w="2560" w:type="dxa"/>
            <w:tcBorders>
              <w:top w:val="nil"/>
              <w:left w:val="nil"/>
              <w:bottom w:val="single" w:sz="4" w:space="0" w:color="ADD6EA"/>
              <w:right w:val="nil"/>
            </w:tcBorders>
            <w:shd w:val="clear" w:color="000000" w:fill="FFFFFF"/>
            <w:vAlign w:val="bottom"/>
            <w:hideMark/>
          </w:tcPr>
          <w:p w14:paraId="26D7BF5E" w14:textId="77777777" w:rsidR="007E365E" w:rsidRPr="006455D5" w:rsidRDefault="007E365E" w:rsidP="007D1D77">
            <w:pPr>
              <w:tabs>
                <w:tab w:val="clear" w:pos="567"/>
              </w:tabs>
              <w:spacing w:before="0" w:line="240" w:lineRule="auto"/>
              <w:rPr>
                <w:rFonts w:eastAsia="Times New Roman" w:cs="Open Sans Light"/>
                <w:sz w:val="16"/>
                <w:szCs w:val="16"/>
                <w:lang w:eastAsia="en-AU"/>
              </w:rPr>
            </w:pPr>
            <w:r w:rsidRPr="006455D5">
              <w:rPr>
                <w:rFonts w:eastAsia="Times New Roman" w:cs="Open Sans Light"/>
                <w:sz w:val="16"/>
                <w:szCs w:val="16"/>
                <w:lang w:eastAsia="en-AU"/>
              </w:rPr>
              <w:t>Wage costs factor</w:t>
            </w:r>
          </w:p>
        </w:tc>
        <w:tc>
          <w:tcPr>
            <w:tcW w:w="820" w:type="dxa"/>
            <w:tcBorders>
              <w:top w:val="nil"/>
              <w:left w:val="nil"/>
              <w:bottom w:val="single" w:sz="4" w:space="0" w:color="ADD6EA"/>
              <w:right w:val="nil"/>
            </w:tcBorders>
            <w:shd w:val="clear" w:color="000000" w:fill="FFFFFF"/>
            <w:vAlign w:val="bottom"/>
            <w:hideMark/>
          </w:tcPr>
          <w:p w14:paraId="3DD53B3C"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1.005</w:t>
            </w:r>
          </w:p>
        </w:tc>
        <w:tc>
          <w:tcPr>
            <w:tcW w:w="680" w:type="dxa"/>
            <w:tcBorders>
              <w:top w:val="nil"/>
              <w:left w:val="nil"/>
              <w:bottom w:val="single" w:sz="4" w:space="0" w:color="ADD6EA"/>
              <w:right w:val="nil"/>
            </w:tcBorders>
            <w:shd w:val="clear" w:color="000000" w:fill="FFFFFF"/>
            <w:vAlign w:val="bottom"/>
            <w:hideMark/>
          </w:tcPr>
          <w:p w14:paraId="384E4E94"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0.996</w:t>
            </w:r>
          </w:p>
        </w:tc>
        <w:tc>
          <w:tcPr>
            <w:tcW w:w="720" w:type="dxa"/>
            <w:tcBorders>
              <w:top w:val="nil"/>
              <w:left w:val="nil"/>
              <w:bottom w:val="single" w:sz="4" w:space="0" w:color="ADD6EA"/>
              <w:right w:val="nil"/>
            </w:tcBorders>
            <w:shd w:val="clear" w:color="000000" w:fill="FFFFFF"/>
            <w:vAlign w:val="bottom"/>
            <w:hideMark/>
          </w:tcPr>
          <w:p w14:paraId="2F295F2E"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0.997</w:t>
            </w:r>
          </w:p>
        </w:tc>
        <w:tc>
          <w:tcPr>
            <w:tcW w:w="700" w:type="dxa"/>
            <w:tcBorders>
              <w:top w:val="nil"/>
              <w:left w:val="nil"/>
              <w:bottom w:val="single" w:sz="4" w:space="0" w:color="ADD6EA"/>
              <w:right w:val="nil"/>
            </w:tcBorders>
            <w:shd w:val="clear" w:color="000000" w:fill="FFFFFF"/>
            <w:vAlign w:val="bottom"/>
            <w:hideMark/>
          </w:tcPr>
          <w:p w14:paraId="61353243"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1.013</w:t>
            </w:r>
          </w:p>
        </w:tc>
        <w:tc>
          <w:tcPr>
            <w:tcW w:w="620" w:type="dxa"/>
            <w:tcBorders>
              <w:top w:val="nil"/>
              <w:left w:val="nil"/>
              <w:bottom w:val="single" w:sz="4" w:space="0" w:color="ADD6EA"/>
              <w:right w:val="nil"/>
            </w:tcBorders>
            <w:shd w:val="clear" w:color="000000" w:fill="FFFFFF"/>
            <w:vAlign w:val="bottom"/>
            <w:hideMark/>
          </w:tcPr>
          <w:p w14:paraId="50D62A47"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0.984</w:t>
            </w:r>
          </w:p>
        </w:tc>
        <w:tc>
          <w:tcPr>
            <w:tcW w:w="700" w:type="dxa"/>
            <w:tcBorders>
              <w:top w:val="nil"/>
              <w:left w:val="nil"/>
              <w:bottom w:val="single" w:sz="4" w:space="0" w:color="ADD6EA"/>
              <w:right w:val="nil"/>
            </w:tcBorders>
            <w:shd w:val="clear" w:color="000000" w:fill="FFFFFF"/>
            <w:vAlign w:val="bottom"/>
            <w:hideMark/>
          </w:tcPr>
          <w:p w14:paraId="4320BBE3"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0.979</w:t>
            </w:r>
          </w:p>
        </w:tc>
        <w:tc>
          <w:tcPr>
            <w:tcW w:w="720" w:type="dxa"/>
            <w:tcBorders>
              <w:top w:val="nil"/>
              <w:left w:val="nil"/>
              <w:bottom w:val="single" w:sz="4" w:space="0" w:color="ADD6EA"/>
              <w:right w:val="nil"/>
            </w:tcBorders>
            <w:shd w:val="clear" w:color="000000" w:fill="FFFFFF"/>
            <w:vAlign w:val="bottom"/>
            <w:hideMark/>
          </w:tcPr>
          <w:p w14:paraId="59D4C1FD"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1.014</w:t>
            </w:r>
          </w:p>
        </w:tc>
        <w:tc>
          <w:tcPr>
            <w:tcW w:w="640" w:type="dxa"/>
            <w:tcBorders>
              <w:top w:val="nil"/>
              <w:left w:val="nil"/>
              <w:bottom w:val="single" w:sz="4" w:space="0" w:color="ADD6EA"/>
              <w:right w:val="nil"/>
            </w:tcBorders>
            <w:shd w:val="clear" w:color="000000" w:fill="FFFFFF"/>
            <w:vAlign w:val="bottom"/>
            <w:hideMark/>
          </w:tcPr>
          <w:p w14:paraId="5222EE89"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1.022</w:t>
            </w:r>
          </w:p>
        </w:tc>
        <w:tc>
          <w:tcPr>
            <w:tcW w:w="800" w:type="dxa"/>
            <w:tcBorders>
              <w:top w:val="nil"/>
              <w:left w:val="nil"/>
              <w:bottom w:val="single" w:sz="4" w:space="0" w:color="ADD6EA"/>
              <w:right w:val="nil"/>
            </w:tcBorders>
            <w:shd w:val="clear" w:color="000000" w:fill="FFFFFF"/>
            <w:vAlign w:val="bottom"/>
            <w:hideMark/>
          </w:tcPr>
          <w:p w14:paraId="2125DFA1" w14:textId="77777777" w:rsidR="007E365E" w:rsidRPr="006455D5" w:rsidRDefault="007E365E" w:rsidP="007D1D77">
            <w:pPr>
              <w:tabs>
                <w:tab w:val="clear" w:pos="567"/>
              </w:tabs>
              <w:spacing w:before="0" w:line="240" w:lineRule="auto"/>
              <w:jc w:val="right"/>
              <w:rPr>
                <w:rFonts w:eastAsia="Times New Roman" w:cs="Open Sans Light"/>
                <w:sz w:val="16"/>
                <w:szCs w:val="16"/>
                <w:lang w:eastAsia="en-AU"/>
              </w:rPr>
            </w:pPr>
            <w:r w:rsidRPr="006455D5">
              <w:rPr>
                <w:rFonts w:eastAsia="Times New Roman" w:cs="Open Sans Light"/>
                <w:sz w:val="16"/>
                <w:szCs w:val="16"/>
                <w:lang w:eastAsia="en-AU"/>
              </w:rPr>
              <w:t>1.000</w:t>
            </w:r>
          </w:p>
        </w:tc>
      </w:tr>
      <w:tr w:rsidR="007E365E" w:rsidRPr="006455D5" w14:paraId="5447B16F" w14:textId="77777777" w:rsidTr="007D1D77">
        <w:trPr>
          <w:trHeight w:val="315"/>
        </w:trPr>
        <w:tc>
          <w:tcPr>
            <w:tcW w:w="2560" w:type="dxa"/>
            <w:tcBorders>
              <w:top w:val="nil"/>
              <w:left w:val="nil"/>
              <w:bottom w:val="single" w:sz="4" w:space="0" w:color="ADD6EA"/>
              <w:right w:val="nil"/>
            </w:tcBorders>
            <w:shd w:val="clear" w:color="000000" w:fill="D6E7F0"/>
            <w:vAlign w:val="bottom"/>
            <w:hideMark/>
          </w:tcPr>
          <w:p w14:paraId="4D8B44A9" w14:textId="77777777" w:rsidR="007E365E" w:rsidRPr="006455D5"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Assessed expenses ($m)</w:t>
            </w:r>
          </w:p>
        </w:tc>
        <w:tc>
          <w:tcPr>
            <w:tcW w:w="820" w:type="dxa"/>
            <w:tcBorders>
              <w:top w:val="nil"/>
              <w:left w:val="nil"/>
              <w:bottom w:val="single" w:sz="4" w:space="0" w:color="ADD6EA"/>
              <w:right w:val="nil"/>
            </w:tcBorders>
            <w:shd w:val="clear" w:color="000000" w:fill="D6E7F0"/>
            <w:vAlign w:val="bottom"/>
            <w:hideMark/>
          </w:tcPr>
          <w:p w14:paraId="72D5D757"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135</w:t>
            </w:r>
          </w:p>
        </w:tc>
        <w:tc>
          <w:tcPr>
            <w:tcW w:w="680" w:type="dxa"/>
            <w:tcBorders>
              <w:top w:val="nil"/>
              <w:left w:val="nil"/>
              <w:bottom w:val="single" w:sz="4" w:space="0" w:color="ADD6EA"/>
              <w:right w:val="nil"/>
            </w:tcBorders>
            <w:shd w:val="clear" w:color="000000" w:fill="D6E7F0"/>
            <w:vAlign w:val="bottom"/>
            <w:hideMark/>
          </w:tcPr>
          <w:p w14:paraId="10B31D8B"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126</w:t>
            </w:r>
          </w:p>
        </w:tc>
        <w:tc>
          <w:tcPr>
            <w:tcW w:w="720" w:type="dxa"/>
            <w:tcBorders>
              <w:top w:val="nil"/>
              <w:left w:val="nil"/>
              <w:bottom w:val="single" w:sz="4" w:space="0" w:color="ADD6EA"/>
              <w:right w:val="nil"/>
            </w:tcBorders>
            <w:shd w:val="clear" w:color="000000" w:fill="D6E7F0"/>
            <w:vAlign w:val="bottom"/>
            <w:hideMark/>
          </w:tcPr>
          <w:p w14:paraId="42811791"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127</w:t>
            </w:r>
          </w:p>
        </w:tc>
        <w:tc>
          <w:tcPr>
            <w:tcW w:w="700" w:type="dxa"/>
            <w:tcBorders>
              <w:top w:val="nil"/>
              <w:left w:val="nil"/>
              <w:bottom w:val="single" w:sz="4" w:space="0" w:color="ADD6EA"/>
              <w:right w:val="nil"/>
            </w:tcBorders>
            <w:shd w:val="clear" w:color="000000" w:fill="D6E7F0"/>
            <w:vAlign w:val="bottom"/>
            <w:hideMark/>
          </w:tcPr>
          <w:p w14:paraId="6D71E6BF"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94</w:t>
            </w:r>
          </w:p>
        </w:tc>
        <w:tc>
          <w:tcPr>
            <w:tcW w:w="620" w:type="dxa"/>
            <w:tcBorders>
              <w:top w:val="nil"/>
              <w:left w:val="nil"/>
              <w:bottom w:val="single" w:sz="4" w:space="0" w:color="ADD6EA"/>
              <w:right w:val="nil"/>
            </w:tcBorders>
            <w:shd w:val="clear" w:color="000000" w:fill="D6E7F0"/>
            <w:vAlign w:val="bottom"/>
            <w:hideMark/>
          </w:tcPr>
          <w:p w14:paraId="45AE1BC2"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75</w:t>
            </w:r>
          </w:p>
        </w:tc>
        <w:tc>
          <w:tcPr>
            <w:tcW w:w="700" w:type="dxa"/>
            <w:tcBorders>
              <w:top w:val="nil"/>
              <w:left w:val="nil"/>
              <w:bottom w:val="single" w:sz="4" w:space="0" w:color="ADD6EA"/>
              <w:right w:val="nil"/>
            </w:tcBorders>
            <w:shd w:val="clear" w:color="000000" w:fill="D6E7F0"/>
            <w:vAlign w:val="bottom"/>
            <w:hideMark/>
          </w:tcPr>
          <w:p w14:paraId="436BAA62"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46</w:t>
            </w:r>
          </w:p>
        </w:tc>
        <w:tc>
          <w:tcPr>
            <w:tcW w:w="720" w:type="dxa"/>
            <w:tcBorders>
              <w:top w:val="nil"/>
              <w:left w:val="nil"/>
              <w:bottom w:val="single" w:sz="4" w:space="0" w:color="ADD6EA"/>
              <w:right w:val="nil"/>
            </w:tcBorders>
            <w:shd w:val="clear" w:color="000000" w:fill="D6E7F0"/>
            <w:vAlign w:val="bottom"/>
            <w:hideMark/>
          </w:tcPr>
          <w:p w14:paraId="14744154"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0</w:t>
            </w:r>
          </w:p>
        </w:tc>
        <w:tc>
          <w:tcPr>
            <w:tcW w:w="640" w:type="dxa"/>
            <w:tcBorders>
              <w:top w:val="nil"/>
              <w:left w:val="nil"/>
              <w:bottom w:val="single" w:sz="4" w:space="0" w:color="ADD6EA"/>
              <w:right w:val="nil"/>
            </w:tcBorders>
            <w:shd w:val="clear" w:color="000000" w:fill="D6E7F0"/>
            <w:vAlign w:val="bottom"/>
            <w:hideMark/>
          </w:tcPr>
          <w:p w14:paraId="4AFAF12E"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12</w:t>
            </w:r>
          </w:p>
        </w:tc>
        <w:tc>
          <w:tcPr>
            <w:tcW w:w="800" w:type="dxa"/>
            <w:tcBorders>
              <w:top w:val="nil"/>
              <w:left w:val="nil"/>
              <w:bottom w:val="single" w:sz="4" w:space="0" w:color="ADD6EA"/>
              <w:right w:val="nil"/>
            </w:tcBorders>
            <w:shd w:val="clear" w:color="000000" w:fill="D6E7F0"/>
            <w:vAlign w:val="bottom"/>
            <w:hideMark/>
          </w:tcPr>
          <w:p w14:paraId="18035E5C"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615</w:t>
            </w:r>
          </w:p>
        </w:tc>
      </w:tr>
      <w:tr w:rsidR="007E365E" w:rsidRPr="006455D5" w14:paraId="4794CCAA" w14:textId="77777777" w:rsidTr="007D1D77">
        <w:trPr>
          <w:trHeight w:val="315"/>
        </w:trPr>
        <w:tc>
          <w:tcPr>
            <w:tcW w:w="2560" w:type="dxa"/>
            <w:tcBorders>
              <w:top w:val="nil"/>
              <w:left w:val="nil"/>
              <w:bottom w:val="single" w:sz="4" w:space="0" w:color="ADD6EA"/>
              <w:right w:val="nil"/>
            </w:tcBorders>
            <w:shd w:val="clear" w:color="000000" w:fill="D6E7F0"/>
            <w:vAlign w:val="bottom"/>
            <w:hideMark/>
          </w:tcPr>
          <w:p w14:paraId="5D6ECA23" w14:textId="77777777" w:rsidR="007E365E" w:rsidRPr="006455D5"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Assessed expenses ($pc)</w:t>
            </w:r>
          </w:p>
        </w:tc>
        <w:tc>
          <w:tcPr>
            <w:tcW w:w="820" w:type="dxa"/>
            <w:tcBorders>
              <w:top w:val="nil"/>
              <w:left w:val="nil"/>
              <w:bottom w:val="single" w:sz="4" w:space="0" w:color="ADD6EA"/>
              <w:right w:val="nil"/>
            </w:tcBorders>
            <w:shd w:val="clear" w:color="000000" w:fill="D6E7F0"/>
            <w:vAlign w:val="bottom"/>
            <w:hideMark/>
          </w:tcPr>
          <w:p w14:paraId="7E4D803F"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17</w:t>
            </w:r>
          </w:p>
        </w:tc>
        <w:tc>
          <w:tcPr>
            <w:tcW w:w="680" w:type="dxa"/>
            <w:tcBorders>
              <w:top w:val="nil"/>
              <w:left w:val="nil"/>
              <w:bottom w:val="single" w:sz="4" w:space="0" w:color="ADD6EA"/>
              <w:right w:val="nil"/>
            </w:tcBorders>
            <w:shd w:val="clear" w:color="000000" w:fill="D6E7F0"/>
            <w:vAlign w:val="bottom"/>
            <w:hideMark/>
          </w:tcPr>
          <w:p w14:paraId="7E3DE16D"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19</w:t>
            </w:r>
          </w:p>
        </w:tc>
        <w:tc>
          <w:tcPr>
            <w:tcW w:w="720" w:type="dxa"/>
            <w:tcBorders>
              <w:top w:val="nil"/>
              <w:left w:val="nil"/>
              <w:bottom w:val="single" w:sz="4" w:space="0" w:color="ADD6EA"/>
              <w:right w:val="nil"/>
            </w:tcBorders>
            <w:shd w:val="clear" w:color="000000" w:fill="D6E7F0"/>
            <w:vAlign w:val="bottom"/>
            <w:hideMark/>
          </w:tcPr>
          <w:p w14:paraId="26FE0C35"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25</w:t>
            </w:r>
          </w:p>
        </w:tc>
        <w:tc>
          <w:tcPr>
            <w:tcW w:w="700" w:type="dxa"/>
            <w:tcBorders>
              <w:top w:val="nil"/>
              <w:left w:val="nil"/>
              <w:bottom w:val="single" w:sz="4" w:space="0" w:color="ADD6EA"/>
              <w:right w:val="nil"/>
            </w:tcBorders>
            <w:shd w:val="clear" w:color="000000" w:fill="D6E7F0"/>
            <w:vAlign w:val="bottom"/>
            <w:hideMark/>
          </w:tcPr>
          <w:p w14:paraId="7B271F99"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36</w:t>
            </w:r>
          </w:p>
        </w:tc>
        <w:tc>
          <w:tcPr>
            <w:tcW w:w="620" w:type="dxa"/>
            <w:tcBorders>
              <w:top w:val="nil"/>
              <w:left w:val="nil"/>
              <w:bottom w:val="single" w:sz="4" w:space="0" w:color="ADD6EA"/>
              <w:right w:val="nil"/>
            </w:tcBorders>
            <w:shd w:val="clear" w:color="000000" w:fill="D6E7F0"/>
            <w:vAlign w:val="bottom"/>
            <w:hideMark/>
          </w:tcPr>
          <w:p w14:paraId="26F42253"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43</w:t>
            </w:r>
          </w:p>
        </w:tc>
        <w:tc>
          <w:tcPr>
            <w:tcW w:w="700" w:type="dxa"/>
            <w:tcBorders>
              <w:top w:val="nil"/>
              <w:left w:val="nil"/>
              <w:bottom w:val="single" w:sz="4" w:space="0" w:color="ADD6EA"/>
              <w:right w:val="nil"/>
            </w:tcBorders>
            <w:shd w:val="clear" w:color="000000" w:fill="D6E7F0"/>
            <w:vAlign w:val="bottom"/>
            <w:hideMark/>
          </w:tcPr>
          <w:p w14:paraId="7ED599CC"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87</w:t>
            </w:r>
          </w:p>
        </w:tc>
        <w:tc>
          <w:tcPr>
            <w:tcW w:w="720" w:type="dxa"/>
            <w:tcBorders>
              <w:top w:val="nil"/>
              <w:left w:val="nil"/>
              <w:bottom w:val="single" w:sz="4" w:space="0" w:color="ADD6EA"/>
              <w:right w:val="nil"/>
            </w:tcBorders>
            <w:shd w:val="clear" w:color="000000" w:fill="D6E7F0"/>
            <w:vAlign w:val="bottom"/>
            <w:hideMark/>
          </w:tcPr>
          <w:p w14:paraId="637A2A88"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1</w:t>
            </w:r>
          </w:p>
        </w:tc>
        <w:tc>
          <w:tcPr>
            <w:tcW w:w="640" w:type="dxa"/>
            <w:tcBorders>
              <w:top w:val="nil"/>
              <w:left w:val="nil"/>
              <w:bottom w:val="single" w:sz="4" w:space="0" w:color="ADD6EA"/>
              <w:right w:val="nil"/>
            </w:tcBorders>
            <w:shd w:val="clear" w:color="000000" w:fill="D6E7F0"/>
            <w:vAlign w:val="bottom"/>
            <w:hideMark/>
          </w:tcPr>
          <w:p w14:paraId="60BE9452"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48</w:t>
            </w:r>
          </w:p>
        </w:tc>
        <w:tc>
          <w:tcPr>
            <w:tcW w:w="800" w:type="dxa"/>
            <w:tcBorders>
              <w:top w:val="nil"/>
              <w:left w:val="nil"/>
              <w:bottom w:val="single" w:sz="4" w:space="0" w:color="ADD6EA"/>
              <w:right w:val="nil"/>
            </w:tcBorders>
            <w:shd w:val="clear" w:color="000000" w:fill="D6E7F0"/>
            <w:vAlign w:val="bottom"/>
            <w:hideMark/>
          </w:tcPr>
          <w:p w14:paraId="0A4D03BB" w14:textId="77777777" w:rsidR="007E365E" w:rsidRPr="006455D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455D5">
              <w:rPr>
                <w:rFonts w:ascii="Open Sans SemiBold" w:eastAsia="Times New Roman" w:hAnsi="Open Sans SemiBold" w:cs="Open Sans SemiBold"/>
                <w:color w:val="000000"/>
                <w:sz w:val="16"/>
                <w:szCs w:val="16"/>
                <w:lang w:eastAsia="en-AU"/>
              </w:rPr>
              <w:t>24</w:t>
            </w:r>
          </w:p>
        </w:tc>
      </w:tr>
    </w:tbl>
    <w:p w14:paraId="327C6449" w14:textId="77777777" w:rsidR="007E365E" w:rsidRDefault="007E365E" w:rsidP="007E365E">
      <w:pPr>
        <w:pStyle w:val="CGCTablenote"/>
      </w:pPr>
      <w:r>
        <w:t>Source:</w:t>
      </w:r>
      <w:r>
        <w:tab/>
        <w:t>Commission calculation.</w:t>
      </w:r>
    </w:p>
    <w:p w14:paraId="692005C8" w14:textId="77777777" w:rsidR="007E365E" w:rsidRDefault="007E365E" w:rsidP="007E365E">
      <w:pPr>
        <w:pStyle w:val="Heading5"/>
        <w:keepLines/>
      </w:pPr>
      <w:bookmarkStart w:id="307" w:name="_Toc4686169"/>
      <w:bookmarkStart w:id="308" w:name="_Toc22807485"/>
      <w:r>
        <w:t>Mining regulation</w:t>
      </w:r>
      <w:bookmarkEnd w:id="307"/>
      <w:bookmarkEnd w:id="308"/>
    </w:p>
    <w:p w14:paraId="0C8AAB84" w14:textId="77777777" w:rsidR="007E365E" w:rsidRPr="00B40576" w:rsidRDefault="007E365E" w:rsidP="007E365E">
      <w:pPr>
        <w:pStyle w:val="CGCParaNumber"/>
      </w:pPr>
      <w:r w:rsidRPr="00B40576">
        <w:t xml:space="preserve">The assessment of </w:t>
      </w:r>
      <w:r>
        <w:t xml:space="preserve">mining regulation is based on sector size. It uses the value of mining output as the broad indicator of needs. </w:t>
      </w:r>
    </w:p>
    <w:p w14:paraId="3EE2A2F9" w14:textId="77777777" w:rsidR="007E365E" w:rsidRDefault="007E365E" w:rsidP="007E365E">
      <w:pPr>
        <w:pStyle w:val="CGCParaNumber"/>
      </w:pPr>
      <w:r w:rsidRPr="004E386A">
        <w:rPr>
          <w:rStyle w:val="Heading6Char"/>
        </w:rPr>
        <w:t>Regional costs and wage costs</w:t>
      </w:r>
      <w:r>
        <w:t>. The same approach is taken as for agriculture regulation.</w:t>
      </w:r>
    </w:p>
    <w:p w14:paraId="1792F0E4" w14:textId="77777777" w:rsidR="007E365E" w:rsidRDefault="007E365E" w:rsidP="007E365E">
      <w:pPr>
        <w:pStyle w:val="CGCParaNumber"/>
      </w:pPr>
      <w:r w:rsidRPr="004E386A">
        <w:rPr>
          <w:rStyle w:val="Heading6Char"/>
        </w:rPr>
        <w:t>Data and method</w:t>
      </w:r>
      <w:r>
        <w:t xml:space="preserve">. The value of mining production </w:t>
      </w:r>
      <w:r w:rsidRPr="00B40576">
        <w:t xml:space="preserve">is </w:t>
      </w:r>
      <w:r>
        <w:t xml:space="preserve">calculated using mining </w:t>
      </w:r>
      <w:r w:rsidRPr="00B40576">
        <w:t>factor income estimates sourced from the ABS publication</w:t>
      </w:r>
      <w:r>
        <w:t>,</w:t>
      </w:r>
      <w:r w:rsidRPr="00B40576">
        <w:t xml:space="preserve"> </w:t>
      </w:r>
      <w:r w:rsidRPr="00195802">
        <w:rPr>
          <w:i/>
        </w:rPr>
        <w:t>Australian National Accounts: State Accounts</w:t>
      </w:r>
      <w:r>
        <w:rPr>
          <w:i/>
        </w:rPr>
        <w:t xml:space="preserve">, </w:t>
      </w:r>
      <w:r>
        <w:t>c</w:t>
      </w:r>
      <w:r w:rsidRPr="00E65559">
        <w:t>at.</w:t>
      </w:r>
      <w:r>
        <w:t> n</w:t>
      </w:r>
      <w:r w:rsidRPr="00E65559">
        <w:t>o. 5220.0</w:t>
      </w:r>
      <w:r w:rsidRPr="00B40576">
        <w:t>.</w:t>
      </w:r>
    </w:p>
    <w:p w14:paraId="7B302AC6" w14:textId="77777777" w:rsidR="007E365E" w:rsidRDefault="007E365E" w:rsidP="007E365E">
      <w:pPr>
        <w:pStyle w:val="CGCParaNumber"/>
      </w:pPr>
      <w:r>
        <w:t xml:space="preserve">Assessed expenses are calculated by applying State shares of factor income from mining to total mining </w:t>
      </w:r>
      <w:r w:rsidRPr="003A47A1">
        <w:t>regulation expenses</w:t>
      </w:r>
      <w:r>
        <w:t>, then applying regional cost and wage cost factors to it.</w:t>
      </w:r>
    </w:p>
    <w:p w14:paraId="01E5E6DE" w14:textId="4F44199D" w:rsidR="007E365E" w:rsidRDefault="007E365E" w:rsidP="007E365E">
      <w:pPr>
        <w:pStyle w:val="CGCParaNumber"/>
      </w:pPr>
      <w:r w:rsidRPr="004E386A">
        <w:rPr>
          <w:rStyle w:val="Heading6Char"/>
        </w:rPr>
        <w:t>Component calculations</w:t>
      </w:r>
      <w:r>
        <w:t xml:space="preserve">. </w:t>
      </w:r>
      <w:r>
        <w:fldChar w:fldCharType="begin"/>
      </w:r>
      <w:r>
        <w:instrText xml:space="preserve"> REF _Ref4048641 \h </w:instrText>
      </w:r>
      <w:r>
        <w:fldChar w:fldCharType="separate"/>
      </w:r>
      <w:r w:rsidR="007F721A">
        <w:t>Table 22-</w:t>
      </w:r>
      <w:r w:rsidR="007F721A">
        <w:rPr>
          <w:noProof/>
        </w:rPr>
        <w:t>9</w:t>
      </w:r>
      <w:r>
        <w:fldChar w:fldCharType="end"/>
      </w:r>
      <w:r>
        <w:t xml:space="preserve"> shows the calculation of assessed expenses for the component in 2018-19.</w:t>
      </w:r>
    </w:p>
    <w:p w14:paraId="6BD68CB7" w14:textId="2A958E1F" w:rsidR="007E365E" w:rsidRDefault="007E365E" w:rsidP="007E365E">
      <w:pPr>
        <w:pStyle w:val="Caption"/>
      </w:pPr>
      <w:bookmarkStart w:id="309" w:name="_Ref4048641"/>
      <w:r>
        <w:t>Table 22-</w:t>
      </w:r>
      <w:fldSimple w:instr=" SEQ Table \* ARABIC ">
        <w:r w:rsidR="007F721A">
          <w:rPr>
            <w:noProof/>
          </w:rPr>
          <w:t>9</w:t>
        </w:r>
      </w:fldSimple>
      <w:bookmarkEnd w:id="309"/>
      <w:r>
        <w:tab/>
        <w:t>Mining regulation component assessment, 2018-19</w:t>
      </w:r>
    </w:p>
    <w:tbl>
      <w:tblPr>
        <w:tblW w:w="8960" w:type="dxa"/>
        <w:tblCellMar>
          <w:left w:w="28" w:type="dxa"/>
          <w:right w:w="28" w:type="dxa"/>
        </w:tblCellMar>
        <w:tblLook w:val="04A0" w:firstRow="1" w:lastRow="0" w:firstColumn="1" w:lastColumn="0" w:noHBand="0" w:noVBand="1"/>
      </w:tblPr>
      <w:tblGrid>
        <w:gridCol w:w="2560"/>
        <w:gridCol w:w="820"/>
        <w:gridCol w:w="680"/>
        <w:gridCol w:w="720"/>
        <w:gridCol w:w="700"/>
        <w:gridCol w:w="620"/>
        <w:gridCol w:w="700"/>
        <w:gridCol w:w="720"/>
        <w:gridCol w:w="640"/>
        <w:gridCol w:w="800"/>
      </w:tblGrid>
      <w:tr w:rsidR="007E365E" w:rsidRPr="007C2C65" w14:paraId="1A30F637" w14:textId="77777777" w:rsidTr="007D1D77">
        <w:trPr>
          <w:trHeight w:val="379"/>
        </w:trPr>
        <w:tc>
          <w:tcPr>
            <w:tcW w:w="2560" w:type="dxa"/>
            <w:tcBorders>
              <w:top w:val="single" w:sz="4" w:space="0" w:color="ADD6EA"/>
              <w:left w:val="nil"/>
              <w:bottom w:val="single" w:sz="4" w:space="0" w:color="ADD6EA"/>
              <w:right w:val="nil"/>
            </w:tcBorders>
            <w:shd w:val="clear" w:color="000000" w:fill="006991"/>
            <w:vAlign w:val="center"/>
            <w:hideMark/>
          </w:tcPr>
          <w:p w14:paraId="20E13FEC" w14:textId="77777777" w:rsidR="007E365E" w:rsidRPr="007C2C65"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 </w:t>
            </w:r>
          </w:p>
        </w:tc>
        <w:tc>
          <w:tcPr>
            <w:tcW w:w="820" w:type="dxa"/>
            <w:tcBorders>
              <w:top w:val="single" w:sz="4" w:space="0" w:color="ADD6EA"/>
              <w:left w:val="nil"/>
              <w:bottom w:val="single" w:sz="4" w:space="0" w:color="ADD6EA"/>
              <w:right w:val="nil"/>
            </w:tcBorders>
            <w:shd w:val="clear" w:color="000000" w:fill="006991"/>
            <w:vAlign w:val="center"/>
            <w:hideMark/>
          </w:tcPr>
          <w:p w14:paraId="7C5DF974"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NSW</w:t>
            </w:r>
          </w:p>
        </w:tc>
        <w:tc>
          <w:tcPr>
            <w:tcW w:w="680" w:type="dxa"/>
            <w:tcBorders>
              <w:top w:val="single" w:sz="4" w:space="0" w:color="ADD6EA"/>
              <w:left w:val="nil"/>
              <w:bottom w:val="single" w:sz="4" w:space="0" w:color="ADD6EA"/>
              <w:right w:val="nil"/>
            </w:tcBorders>
            <w:shd w:val="clear" w:color="000000" w:fill="006991"/>
            <w:vAlign w:val="center"/>
            <w:hideMark/>
          </w:tcPr>
          <w:p w14:paraId="3C37C43D"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vAlign w:val="center"/>
            <w:hideMark/>
          </w:tcPr>
          <w:p w14:paraId="42701D9E"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622D1ED9"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WA</w:t>
            </w:r>
          </w:p>
        </w:tc>
        <w:tc>
          <w:tcPr>
            <w:tcW w:w="620" w:type="dxa"/>
            <w:tcBorders>
              <w:top w:val="single" w:sz="4" w:space="0" w:color="ADD6EA"/>
              <w:left w:val="nil"/>
              <w:bottom w:val="single" w:sz="4" w:space="0" w:color="ADD6EA"/>
              <w:right w:val="nil"/>
            </w:tcBorders>
            <w:shd w:val="clear" w:color="000000" w:fill="006991"/>
            <w:vAlign w:val="center"/>
            <w:hideMark/>
          </w:tcPr>
          <w:p w14:paraId="78054C9C"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7E58FE72"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37264C55"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vAlign w:val="center"/>
            <w:hideMark/>
          </w:tcPr>
          <w:p w14:paraId="534B2887"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NT</w:t>
            </w:r>
          </w:p>
        </w:tc>
        <w:tc>
          <w:tcPr>
            <w:tcW w:w="800" w:type="dxa"/>
            <w:tcBorders>
              <w:top w:val="single" w:sz="4" w:space="0" w:color="ADD6EA"/>
              <w:left w:val="nil"/>
              <w:bottom w:val="single" w:sz="4" w:space="0" w:color="ADD6EA"/>
              <w:right w:val="nil"/>
            </w:tcBorders>
            <w:shd w:val="clear" w:color="000000" w:fill="006991"/>
            <w:vAlign w:val="center"/>
            <w:hideMark/>
          </w:tcPr>
          <w:p w14:paraId="055EA01C"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Total</w:t>
            </w:r>
          </w:p>
        </w:tc>
      </w:tr>
      <w:tr w:rsidR="007E365E" w:rsidRPr="007C2C65" w14:paraId="763DAA0B" w14:textId="77777777" w:rsidTr="007D1D77">
        <w:trPr>
          <w:trHeight w:val="315"/>
        </w:trPr>
        <w:tc>
          <w:tcPr>
            <w:tcW w:w="2560" w:type="dxa"/>
            <w:tcBorders>
              <w:top w:val="nil"/>
              <w:left w:val="nil"/>
              <w:bottom w:val="single" w:sz="4" w:space="0" w:color="ADD6EA"/>
              <w:right w:val="nil"/>
            </w:tcBorders>
            <w:shd w:val="clear" w:color="000000" w:fill="FFFFFF"/>
            <w:vAlign w:val="bottom"/>
            <w:hideMark/>
          </w:tcPr>
          <w:p w14:paraId="63625D9E" w14:textId="77777777" w:rsidR="007E365E" w:rsidRPr="007C2C65" w:rsidRDefault="007E365E" w:rsidP="007D1D77">
            <w:pPr>
              <w:tabs>
                <w:tab w:val="clear" w:pos="567"/>
              </w:tabs>
              <w:spacing w:before="0" w:line="240" w:lineRule="auto"/>
              <w:rPr>
                <w:rFonts w:eastAsia="Times New Roman" w:cs="Open Sans Light"/>
                <w:sz w:val="16"/>
                <w:szCs w:val="16"/>
                <w:lang w:eastAsia="en-AU"/>
              </w:rPr>
            </w:pPr>
            <w:r w:rsidRPr="007C2C65">
              <w:rPr>
                <w:rFonts w:eastAsia="Times New Roman" w:cs="Open Sans Light"/>
                <w:sz w:val="16"/>
                <w:szCs w:val="16"/>
                <w:lang w:eastAsia="en-AU"/>
              </w:rPr>
              <w:t>Sector size ($m)</w:t>
            </w:r>
          </w:p>
        </w:tc>
        <w:tc>
          <w:tcPr>
            <w:tcW w:w="820" w:type="dxa"/>
            <w:tcBorders>
              <w:top w:val="nil"/>
              <w:left w:val="nil"/>
              <w:bottom w:val="single" w:sz="4" w:space="0" w:color="ADD6EA"/>
              <w:right w:val="nil"/>
            </w:tcBorders>
            <w:shd w:val="clear" w:color="000000" w:fill="FFFFFF"/>
            <w:vAlign w:val="bottom"/>
            <w:hideMark/>
          </w:tcPr>
          <w:p w14:paraId="4FAE54BC"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34</w:t>
            </w:r>
          </w:p>
        </w:tc>
        <w:tc>
          <w:tcPr>
            <w:tcW w:w="680" w:type="dxa"/>
            <w:tcBorders>
              <w:top w:val="nil"/>
              <w:left w:val="nil"/>
              <w:bottom w:val="single" w:sz="4" w:space="0" w:color="ADD6EA"/>
              <w:right w:val="nil"/>
            </w:tcBorders>
            <w:shd w:val="clear" w:color="000000" w:fill="FFFFFF"/>
            <w:vAlign w:val="bottom"/>
            <w:hideMark/>
          </w:tcPr>
          <w:p w14:paraId="6DF57E12"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9</w:t>
            </w:r>
          </w:p>
        </w:tc>
        <w:tc>
          <w:tcPr>
            <w:tcW w:w="720" w:type="dxa"/>
            <w:tcBorders>
              <w:top w:val="nil"/>
              <w:left w:val="nil"/>
              <w:bottom w:val="single" w:sz="4" w:space="0" w:color="ADD6EA"/>
              <w:right w:val="nil"/>
            </w:tcBorders>
            <w:shd w:val="clear" w:color="000000" w:fill="FFFFFF"/>
            <w:vAlign w:val="bottom"/>
            <w:hideMark/>
          </w:tcPr>
          <w:p w14:paraId="7DF26734"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86</w:t>
            </w:r>
          </w:p>
        </w:tc>
        <w:tc>
          <w:tcPr>
            <w:tcW w:w="700" w:type="dxa"/>
            <w:tcBorders>
              <w:top w:val="nil"/>
              <w:left w:val="nil"/>
              <w:bottom w:val="single" w:sz="4" w:space="0" w:color="ADD6EA"/>
              <w:right w:val="nil"/>
            </w:tcBorders>
            <w:shd w:val="clear" w:color="000000" w:fill="FFFFFF"/>
            <w:vAlign w:val="bottom"/>
            <w:hideMark/>
          </w:tcPr>
          <w:p w14:paraId="576E4108"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191</w:t>
            </w:r>
          </w:p>
        </w:tc>
        <w:tc>
          <w:tcPr>
            <w:tcW w:w="620" w:type="dxa"/>
            <w:tcBorders>
              <w:top w:val="nil"/>
              <w:left w:val="nil"/>
              <w:bottom w:val="single" w:sz="4" w:space="0" w:color="ADD6EA"/>
              <w:right w:val="nil"/>
            </w:tcBorders>
            <w:shd w:val="clear" w:color="000000" w:fill="FFFFFF"/>
            <w:vAlign w:val="bottom"/>
            <w:hideMark/>
          </w:tcPr>
          <w:p w14:paraId="3BC1B596"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6</w:t>
            </w:r>
          </w:p>
        </w:tc>
        <w:tc>
          <w:tcPr>
            <w:tcW w:w="700" w:type="dxa"/>
            <w:tcBorders>
              <w:top w:val="nil"/>
              <w:left w:val="nil"/>
              <w:bottom w:val="single" w:sz="4" w:space="0" w:color="ADD6EA"/>
              <w:right w:val="nil"/>
            </w:tcBorders>
            <w:shd w:val="clear" w:color="000000" w:fill="FFFFFF"/>
            <w:vAlign w:val="bottom"/>
            <w:hideMark/>
          </w:tcPr>
          <w:p w14:paraId="116001A1"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2</w:t>
            </w:r>
          </w:p>
        </w:tc>
        <w:tc>
          <w:tcPr>
            <w:tcW w:w="720" w:type="dxa"/>
            <w:tcBorders>
              <w:top w:val="nil"/>
              <w:left w:val="nil"/>
              <w:bottom w:val="single" w:sz="4" w:space="0" w:color="ADD6EA"/>
              <w:right w:val="nil"/>
            </w:tcBorders>
            <w:shd w:val="clear" w:color="000000" w:fill="FFFFFF"/>
            <w:vAlign w:val="bottom"/>
            <w:hideMark/>
          </w:tcPr>
          <w:p w14:paraId="2B2B3191"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000000" w:fill="FFFFFF"/>
            <w:vAlign w:val="bottom"/>
            <w:hideMark/>
          </w:tcPr>
          <w:p w14:paraId="3319445E"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12</w:t>
            </w:r>
          </w:p>
        </w:tc>
        <w:tc>
          <w:tcPr>
            <w:tcW w:w="800" w:type="dxa"/>
            <w:tcBorders>
              <w:top w:val="nil"/>
              <w:left w:val="nil"/>
              <w:bottom w:val="single" w:sz="4" w:space="0" w:color="ADD6EA"/>
              <w:right w:val="nil"/>
            </w:tcBorders>
            <w:shd w:val="clear" w:color="000000" w:fill="FFFFFF"/>
            <w:vAlign w:val="bottom"/>
            <w:hideMark/>
          </w:tcPr>
          <w:p w14:paraId="6B60A8EE"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341</w:t>
            </w:r>
          </w:p>
        </w:tc>
      </w:tr>
      <w:tr w:rsidR="007E365E" w:rsidRPr="007C2C65" w14:paraId="320528E9" w14:textId="77777777" w:rsidTr="007D1D77">
        <w:trPr>
          <w:trHeight w:val="315"/>
        </w:trPr>
        <w:tc>
          <w:tcPr>
            <w:tcW w:w="2560" w:type="dxa"/>
            <w:tcBorders>
              <w:top w:val="nil"/>
              <w:left w:val="nil"/>
              <w:bottom w:val="single" w:sz="4" w:space="0" w:color="ADD6EA"/>
              <w:right w:val="nil"/>
            </w:tcBorders>
            <w:shd w:val="clear" w:color="000000" w:fill="FFFFFF"/>
            <w:vAlign w:val="bottom"/>
            <w:hideMark/>
          </w:tcPr>
          <w:p w14:paraId="36B1644E" w14:textId="77777777" w:rsidR="007E365E" w:rsidRPr="007C2C65" w:rsidRDefault="007E365E" w:rsidP="007D1D77">
            <w:pPr>
              <w:tabs>
                <w:tab w:val="clear" w:pos="567"/>
              </w:tabs>
              <w:spacing w:before="0" w:line="240" w:lineRule="auto"/>
              <w:rPr>
                <w:rFonts w:eastAsia="Times New Roman" w:cs="Open Sans Light"/>
                <w:sz w:val="16"/>
                <w:szCs w:val="16"/>
                <w:lang w:eastAsia="en-AU"/>
              </w:rPr>
            </w:pPr>
            <w:r w:rsidRPr="007C2C65">
              <w:rPr>
                <w:rFonts w:eastAsia="Times New Roman" w:cs="Open Sans Light"/>
                <w:sz w:val="16"/>
                <w:szCs w:val="16"/>
                <w:lang w:eastAsia="en-AU"/>
              </w:rPr>
              <w:t>Regional costs factor</w:t>
            </w:r>
          </w:p>
        </w:tc>
        <w:tc>
          <w:tcPr>
            <w:tcW w:w="820" w:type="dxa"/>
            <w:tcBorders>
              <w:top w:val="nil"/>
              <w:left w:val="nil"/>
              <w:bottom w:val="single" w:sz="4" w:space="0" w:color="ADD6EA"/>
              <w:right w:val="nil"/>
            </w:tcBorders>
            <w:shd w:val="clear" w:color="000000" w:fill="FFFFFF"/>
            <w:vAlign w:val="bottom"/>
            <w:hideMark/>
          </w:tcPr>
          <w:p w14:paraId="4E61C500"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0.994</w:t>
            </w:r>
          </w:p>
        </w:tc>
        <w:tc>
          <w:tcPr>
            <w:tcW w:w="680" w:type="dxa"/>
            <w:tcBorders>
              <w:top w:val="nil"/>
              <w:left w:val="nil"/>
              <w:bottom w:val="single" w:sz="4" w:space="0" w:color="ADD6EA"/>
              <w:right w:val="nil"/>
            </w:tcBorders>
            <w:shd w:val="clear" w:color="000000" w:fill="FFFFFF"/>
            <w:vAlign w:val="bottom"/>
            <w:hideMark/>
          </w:tcPr>
          <w:p w14:paraId="17CF617A"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0.993</w:t>
            </w:r>
          </w:p>
        </w:tc>
        <w:tc>
          <w:tcPr>
            <w:tcW w:w="720" w:type="dxa"/>
            <w:tcBorders>
              <w:top w:val="nil"/>
              <w:left w:val="nil"/>
              <w:bottom w:val="single" w:sz="4" w:space="0" w:color="ADD6EA"/>
              <w:right w:val="nil"/>
            </w:tcBorders>
            <w:shd w:val="clear" w:color="000000" w:fill="FFFFFF"/>
            <w:vAlign w:val="bottom"/>
            <w:hideMark/>
          </w:tcPr>
          <w:p w14:paraId="09DB3BF2"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1.003</w:t>
            </w:r>
          </w:p>
        </w:tc>
        <w:tc>
          <w:tcPr>
            <w:tcW w:w="700" w:type="dxa"/>
            <w:tcBorders>
              <w:top w:val="nil"/>
              <w:left w:val="nil"/>
              <w:bottom w:val="single" w:sz="4" w:space="0" w:color="ADD6EA"/>
              <w:right w:val="nil"/>
            </w:tcBorders>
            <w:shd w:val="clear" w:color="000000" w:fill="FFFFFF"/>
            <w:vAlign w:val="bottom"/>
            <w:hideMark/>
          </w:tcPr>
          <w:p w14:paraId="3A97765A"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1.017</w:t>
            </w:r>
          </w:p>
        </w:tc>
        <w:tc>
          <w:tcPr>
            <w:tcW w:w="620" w:type="dxa"/>
            <w:tcBorders>
              <w:top w:val="nil"/>
              <w:left w:val="nil"/>
              <w:bottom w:val="single" w:sz="4" w:space="0" w:color="ADD6EA"/>
              <w:right w:val="nil"/>
            </w:tcBorders>
            <w:shd w:val="clear" w:color="000000" w:fill="FFFFFF"/>
            <w:vAlign w:val="bottom"/>
            <w:hideMark/>
          </w:tcPr>
          <w:p w14:paraId="5FA42074"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1.004</w:t>
            </w:r>
          </w:p>
        </w:tc>
        <w:tc>
          <w:tcPr>
            <w:tcW w:w="700" w:type="dxa"/>
            <w:tcBorders>
              <w:top w:val="nil"/>
              <w:left w:val="nil"/>
              <w:bottom w:val="single" w:sz="4" w:space="0" w:color="ADD6EA"/>
              <w:right w:val="nil"/>
            </w:tcBorders>
            <w:shd w:val="clear" w:color="000000" w:fill="FFFFFF"/>
            <w:vAlign w:val="bottom"/>
            <w:hideMark/>
          </w:tcPr>
          <w:p w14:paraId="367DE01A"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1.006</w:t>
            </w:r>
          </w:p>
        </w:tc>
        <w:tc>
          <w:tcPr>
            <w:tcW w:w="720" w:type="dxa"/>
            <w:tcBorders>
              <w:top w:val="nil"/>
              <w:left w:val="nil"/>
              <w:bottom w:val="single" w:sz="4" w:space="0" w:color="ADD6EA"/>
              <w:right w:val="nil"/>
            </w:tcBorders>
            <w:shd w:val="clear" w:color="000000" w:fill="FFFFFF"/>
            <w:vAlign w:val="bottom"/>
            <w:hideMark/>
          </w:tcPr>
          <w:p w14:paraId="160B16BF"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0.992</w:t>
            </w:r>
          </w:p>
        </w:tc>
        <w:tc>
          <w:tcPr>
            <w:tcW w:w="640" w:type="dxa"/>
            <w:tcBorders>
              <w:top w:val="nil"/>
              <w:left w:val="nil"/>
              <w:bottom w:val="single" w:sz="4" w:space="0" w:color="ADD6EA"/>
              <w:right w:val="nil"/>
            </w:tcBorders>
            <w:shd w:val="clear" w:color="000000" w:fill="FFFFFF"/>
            <w:vAlign w:val="bottom"/>
            <w:hideMark/>
          </w:tcPr>
          <w:p w14:paraId="427453EF"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1.091</w:t>
            </w:r>
          </w:p>
        </w:tc>
        <w:tc>
          <w:tcPr>
            <w:tcW w:w="800" w:type="dxa"/>
            <w:tcBorders>
              <w:top w:val="nil"/>
              <w:left w:val="nil"/>
              <w:bottom w:val="single" w:sz="4" w:space="0" w:color="ADD6EA"/>
              <w:right w:val="nil"/>
            </w:tcBorders>
            <w:shd w:val="clear" w:color="000000" w:fill="FFFFFF"/>
            <w:vAlign w:val="bottom"/>
            <w:hideMark/>
          </w:tcPr>
          <w:p w14:paraId="03C4DAA9"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1.000</w:t>
            </w:r>
          </w:p>
        </w:tc>
      </w:tr>
      <w:tr w:rsidR="007E365E" w:rsidRPr="007C2C65" w14:paraId="0D2EE5C3" w14:textId="77777777" w:rsidTr="007D1D77">
        <w:trPr>
          <w:trHeight w:val="315"/>
        </w:trPr>
        <w:tc>
          <w:tcPr>
            <w:tcW w:w="2560" w:type="dxa"/>
            <w:tcBorders>
              <w:top w:val="nil"/>
              <w:left w:val="nil"/>
              <w:bottom w:val="single" w:sz="4" w:space="0" w:color="ADD6EA"/>
              <w:right w:val="nil"/>
            </w:tcBorders>
            <w:shd w:val="clear" w:color="000000" w:fill="FFFFFF"/>
            <w:vAlign w:val="bottom"/>
            <w:hideMark/>
          </w:tcPr>
          <w:p w14:paraId="0AFF503C" w14:textId="77777777" w:rsidR="007E365E" w:rsidRPr="007C2C65" w:rsidRDefault="007E365E" w:rsidP="007D1D77">
            <w:pPr>
              <w:tabs>
                <w:tab w:val="clear" w:pos="567"/>
              </w:tabs>
              <w:spacing w:before="0" w:line="240" w:lineRule="auto"/>
              <w:rPr>
                <w:rFonts w:eastAsia="Times New Roman" w:cs="Open Sans Light"/>
                <w:sz w:val="16"/>
                <w:szCs w:val="16"/>
                <w:lang w:eastAsia="en-AU"/>
              </w:rPr>
            </w:pPr>
            <w:r w:rsidRPr="007C2C65">
              <w:rPr>
                <w:rFonts w:eastAsia="Times New Roman" w:cs="Open Sans Light"/>
                <w:sz w:val="16"/>
                <w:szCs w:val="16"/>
                <w:lang w:eastAsia="en-AU"/>
              </w:rPr>
              <w:t>Wage costs factor</w:t>
            </w:r>
          </w:p>
        </w:tc>
        <w:tc>
          <w:tcPr>
            <w:tcW w:w="820" w:type="dxa"/>
            <w:tcBorders>
              <w:top w:val="nil"/>
              <w:left w:val="nil"/>
              <w:bottom w:val="single" w:sz="4" w:space="0" w:color="ADD6EA"/>
              <w:right w:val="nil"/>
            </w:tcBorders>
            <w:shd w:val="clear" w:color="000000" w:fill="FFFFFF"/>
            <w:vAlign w:val="bottom"/>
            <w:hideMark/>
          </w:tcPr>
          <w:p w14:paraId="7FB5BC40"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1.005</w:t>
            </w:r>
          </w:p>
        </w:tc>
        <w:tc>
          <w:tcPr>
            <w:tcW w:w="680" w:type="dxa"/>
            <w:tcBorders>
              <w:top w:val="nil"/>
              <w:left w:val="nil"/>
              <w:bottom w:val="single" w:sz="4" w:space="0" w:color="ADD6EA"/>
              <w:right w:val="nil"/>
            </w:tcBorders>
            <w:shd w:val="clear" w:color="000000" w:fill="FFFFFF"/>
            <w:vAlign w:val="bottom"/>
            <w:hideMark/>
          </w:tcPr>
          <w:p w14:paraId="7A03D4C3"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0.996</w:t>
            </w:r>
          </w:p>
        </w:tc>
        <w:tc>
          <w:tcPr>
            <w:tcW w:w="720" w:type="dxa"/>
            <w:tcBorders>
              <w:top w:val="nil"/>
              <w:left w:val="nil"/>
              <w:bottom w:val="single" w:sz="4" w:space="0" w:color="ADD6EA"/>
              <w:right w:val="nil"/>
            </w:tcBorders>
            <w:shd w:val="clear" w:color="000000" w:fill="FFFFFF"/>
            <w:vAlign w:val="bottom"/>
            <w:hideMark/>
          </w:tcPr>
          <w:p w14:paraId="0006443D"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0.997</w:t>
            </w:r>
          </w:p>
        </w:tc>
        <w:tc>
          <w:tcPr>
            <w:tcW w:w="700" w:type="dxa"/>
            <w:tcBorders>
              <w:top w:val="nil"/>
              <w:left w:val="nil"/>
              <w:bottom w:val="single" w:sz="4" w:space="0" w:color="ADD6EA"/>
              <w:right w:val="nil"/>
            </w:tcBorders>
            <w:shd w:val="clear" w:color="000000" w:fill="FFFFFF"/>
            <w:vAlign w:val="bottom"/>
            <w:hideMark/>
          </w:tcPr>
          <w:p w14:paraId="0B749455"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1.013</w:t>
            </w:r>
          </w:p>
        </w:tc>
        <w:tc>
          <w:tcPr>
            <w:tcW w:w="620" w:type="dxa"/>
            <w:tcBorders>
              <w:top w:val="nil"/>
              <w:left w:val="nil"/>
              <w:bottom w:val="single" w:sz="4" w:space="0" w:color="ADD6EA"/>
              <w:right w:val="nil"/>
            </w:tcBorders>
            <w:shd w:val="clear" w:color="000000" w:fill="FFFFFF"/>
            <w:vAlign w:val="bottom"/>
            <w:hideMark/>
          </w:tcPr>
          <w:p w14:paraId="126B2EE4"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0.984</w:t>
            </w:r>
          </w:p>
        </w:tc>
        <w:tc>
          <w:tcPr>
            <w:tcW w:w="700" w:type="dxa"/>
            <w:tcBorders>
              <w:top w:val="nil"/>
              <w:left w:val="nil"/>
              <w:bottom w:val="single" w:sz="4" w:space="0" w:color="ADD6EA"/>
              <w:right w:val="nil"/>
            </w:tcBorders>
            <w:shd w:val="clear" w:color="000000" w:fill="FFFFFF"/>
            <w:vAlign w:val="bottom"/>
            <w:hideMark/>
          </w:tcPr>
          <w:p w14:paraId="34F28FD4"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0.979</w:t>
            </w:r>
          </w:p>
        </w:tc>
        <w:tc>
          <w:tcPr>
            <w:tcW w:w="720" w:type="dxa"/>
            <w:tcBorders>
              <w:top w:val="nil"/>
              <w:left w:val="nil"/>
              <w:bottom w:val="single" w:sz="4" w:space="0" w:color="ADD6EA"/>
              <w:right w:val="nil"/>
            </w:tcBorders>
            <w:shd w:val="clear" w:color="000000" w:fill="FFFFFF"/>
            <w:vAlign w:val="bottom"/>
            <w:hideMark/>
          </w:tcPr>
          <w:p w14:paraId="588485BC"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1.014</w:t>
            </w:r>
          </w:p>
        </w:tc>
        <w:tc>
          <w:tcPr>
            <w:tcW w:w="640" w:type="dxa"/>
            <w:tcBorders>
              <w:top w:val="nil"/>
              <w:left w:val="nil"/>
              <w:bottom w:val="single" w:sz="4" w:space="0" w:color="ADD6EA"/>
              <w:right w:val="nil"/>
            </w:tcBorders>
            <w:shd w:val="clear" w:color="000000" w:fill="FFFFFF"/>
            <w:vAlign w:val="bottom"/>
            <w:hideMark/>
          </w:tcPr>
          <w:p w14:paraId="6F0B5D21"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1.022</w:t>
            </w:r>
          </w:p>
        </w:tc>
        <w:tc>
          <w:tcPr>
            <w:tcW w:w="800" w:type="dxa"/>
            <w:tcBorders>
              <w:top w:val="nil"/>
              <w:left w:val="nil"/>
              <w:bottom w:val="single" w:sz="4" w:space="0" w:color="ADD6EA"/>
              <w:right w:val="nil"/>
            </w:tcBorders>
            <w:shd w:val="clear" w:color="000000" w:fill="FFFFFF"/>
            <w:vAlign w:val="bottom"/>
            <w:hideMark/>
          </w:tcPr>
          <w:p w14:paraId="2200A10B"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1.000</w:t>
            </w:r>
          </w:p>
        </w:tc>
      </w:tr>
      <w:tr w:rsidR="007E365E" w:rsidRPr="007C2C65" w14:paraId="4A750A90" w14:textId="77777777" w:rsidTr="007D1D77">
        <w:trPr>
          <w:trHeight w:val="315"/>
        </w:trPr>
        <w:tc>
          <w:tcPr>
            <w:tcW w:w="2560" w:type="dxa"/>
            <w:tcBorders>
              <w:top w:val="nil"/>
              <w:left w:val="nil"/>
              <w:bottom w:val="single" w:sz="4" w:space="0" w:color="ADD6EA"/>
              <w:right w:val="nil"/>
            </w:tcBorders>
            <w:shd w:val="clear" w:color="000000" w:fill="D6E7F0"/>
            <w:vAlign w:val="bottom"/>
            <w:hideMark/>
          </w:tcPr>
          <w:p w14:paraId="5B31173F" w14:textId="77777777" w:rsidR="007E365E" w:rsidRPr="007C2C65"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Assessed expenses ($m)</w:t>
            </w:r>
          </w:p>
        </w:tc>
        <w:tc>
          <w:tcPr>
            <w:tcW w:w="820" w:type="dxa"/>
            <w:tcBorders>
              <w:top w:val="nil"/>
              <w:left w:val="nil"/>
              <w:bottom w:val="single" w:sz="4" w:space="0" w:color="ADD6EA"/>
              <w:right w:val="nil"/>
            </w:tcBorders>
            <w:shd w:val="clear" w:color="000000" w:fill="D6E7F0"/>
            <w:vAlign w:val="bottom"/>
            <w:hideMark/>
          </w:tcPr>
          <w:p w14:paraId="0555A894"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33</w:t>
            </w:r>
          </w:p>
        </w:tc>
        <w:tc>
          <w:tcPr>
            <w:tcW w:w="680" w:type="dxa"/>
            <w:tcBorders>
              <w:top w:val="nil"/>
              <w:left w:val="nil"/>
              <w:bottom w:val="single" w:sz="4" w:space="0" w:color="ADD6EA"/>
              <w:right w:val="nil"/>
            </w:tcBorders>
            <w:shd w:val="clear" w:color="000000" w:fill="D6E7F0"/>
            <w:vAlign w:val="bottom"/>
            <w:hideMark/>
          </w:tcPr>
          <w:p w14:paraId="4230DD54"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9</w:t>
            </w:r>
          </w:p>
        </w:tc>
        <w:tc>
          <w:tcPr>
            <w:tcW w:w="720" w:type="dxa"/>
            <w:tcBorders>
              <w:top w:val="nil"/>
              <w:left w:val="nil"/>
              <w:bottom w:val="single" w:sz="4" w:space="0" w:color="ADD6EA"/>
              <w:right w:val="nil"/>
            </w:tcBorders>
            <w:shd w:val="clear" w:color="000000" w:fill="D6E7F0"/>
            <w:vAlign w:val="bottom"/>
            <w:hideMark/>
          </w:tcPr>
          <w:p w14:paraId="67A7B5C2"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84</w:t>
            </w:r>
          </w:p>
        </w:tc>
        <w:tc>
          <w:tcPr>
            <w:tcW w:w="700" w:type="dxa"/>
            <w:tcBorders>
              <w:top w:val="nil"/>
              <w:left w:val="nil"/>
              <w:bottom w:val="single" w:sz="4" w:space="0" w:color="ADD6EA"/>
              <w:right w:val="nil"/>
            </w:tcBorders>
            <w:shd w:val="clear" w:color="000000" w:fill="D6E7F0"/>
            <w:vAlign w:val="bottom"/>
            <w:hideMark/>
          </w:tcPr>
          <w:p w14:paraId="27F4AFF1"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193</w:t>
            </w:r>
          </w:p>
        </w:tc>
        <w:tc>
          <w:tcPr>
            <w:tcW w:w="620" w:type="dxa"/>
            <w:tcBorders>
              <w:top w:val="nil"/>
              <w:left w:val="nil"/>
              <w:bottom w:val="single" w:sz="4" w:space="0" w:color="ADD6EA"/>
              <w:right w:val="nil"/>
            </w:tcBorders>
            <w:shd w:val="clear" w:color="000000" w:fill="D6E7F0"/>
            <w:vAlign w:val="bottom"/>
            <w:hideMark/>
          </w:tcPr>
          <w:p w14:paraId="710E6992"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6</w:t>
            </w:r>
          </w:p>
        </w:tc>
        <w:tc>
          <w:tcPr>
            <w:tcW w:w="700" w:type="dxa"/>
            <w:tcBorders>
              <w:top w:val="nil"/>
              <w:left w:val="nil"/>
              <w:bottom w:val="single" w:sz="4" w:space="0" w:color="ADD6EA"/>
              <w:right w:val="nil"/>
            </w:tcBorders>
            <w:shd w:val="clear" w:color="000000" w:fill="D6E7F0"/>
            <w:vAlign w:val="bottom"/>
            <w:hideMark/>
          </w:tcPr>
          <w:p w14:paraId="50F4E8A5"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2</w:t>
            </w:r>
          </w:p>
        </w:tc>
        <w:tc>
          <w:tcPr>
            <w:tcW w:w="720" w:type="dxa"/>
            <w:tcBorders>
              <w:top w:val="nil"/>
              <w:left w:val="nil"/>
              <w:bottom w:val="single" w:sz="4" w:space="0" w:color="ADD6EA"/>
              <w:right w:val="nil"/>
            </w:tcBorders>
            <w:shd w:val="clear" w:color="000000" w:fill="D6E7F0"/>
            <w:vAlign w:val="bottom"/>
            <w:hideMark/>
          </w:tcPr>
          <w:p w14:paraId="5E8DDD47"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0</w:t>
            </w:r>
          </w:p>
        </w:tc>
        <w:tc>
          <w:tcPr>
            <w:tcW w:w="640" w:type="dxa"/>
            <w:tcBorders>
              <w:top w:val="nil"/>
              <w:left w:val="nil"/>
              <w:bottom w:val="single" w:sz="4" w:space="0" w:color="ADD6EA"/>
              <w:right w:val="nil"/>
            </w:tcBorders>
            <w:shd w:val="clear" w:color="000000" w:fill="D6E7F0"/>
            <w:vAlign w:val="bottom"/>
            <w:hideMark/>
          </w:tcPr>
          <w:p w14:paraId="036ED6BF"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13</w:t>
            </w:r>
          </w:p>
        </w:tc>
        <w:tc>
          <w:tcPr>
            <w:tcW w:w="800" w:type="dxa"/>
            <w:tcBorders>
              <w:top w:val="nil"/>
              <w:left w:val="nil"/>
              <w:bottom w:val="single" w:sz="4" w:space="0" w:color="ADD6EA"/>
              <w:right w:val="nil"/>
            </w:tcBorders>
            <w:shd w:val="clear" w:color="000000" w:fill="D6E7F0"/>
            <w:vAlign w:val="bottom"/>
            <w:hideMark/>
          </w:tcPr>
          <w:p w14:paraId="4E310AB8"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341</w:t>
            </w:r>
          </w:p>
        </w:tc>
      </w:tr>
      <w:tr w:rsidR="007E365E" w:rsidRPr="007C2C65" w14:paraId="1DA5C759" w14:textId="77777777" w:rsidTr="007D1D77">
        <w:trPr>
          <w:trHeight w:val="315"/>
        </w:trPr>
        <w:tc>
          <w:tcPr>
            <w:tcW w:w="2560" w:type="dxa"/>
            <w:tcBorders>
              <w:top w:val="nil"/>
              <w:left w:val="nil"/>
              <w:bottom w:val="single" w:sz="4" w:space="0" w:color="ADD6EA"/>
              <w:right w:val="nil"/>
            </w:tcBorders>
            <w:shd w:val="clear" w:color="000000" w:fill="D6E7F0"/>
            <w:vAlign w:val="bottom"/>
            <w:hideMark/>
          </w:tcPr>
          <w:p w14:paraId="0723085D" w14:textId="77777777" w:rsidR="007E365E" w:rsidRPr="007C2C65"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Assessed expenses ($pc)</w:t>
            </w:r>
          </w:p>
        </w:tc>
        <w:tc>
          <w:tcPr>
            <w:tcW w:w="820" w:type="dxa"/>
            <w:tcBorders>
              <w:top w:val="nil"/>
              <w:left w:val="nil"/>
              <w:bottom w:val="single" w:sz="4" w:space="0" w:color="ADD6EA"/>
              <w:right w:val="nil"/>
            </w:tcBorders>
            <w:shd w:val="clear" w:color="000000" w:fill="D6E7F0"/>
            <w:vAlign w:val="bottom"/>
            <w:hideMark/>
          </w:tcPr>
          <w:p w14:paraId="6604874A"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4</w:t>
            </w:r>
          </w:p>
        </w:tc>
        <w:tc>
          <w:tcPr>
            <w:tcW w:w="680" w:type="dxa"/>
            <w:tcBorders>
              <w:top w:val="nil"/>
              <w:left w:val="nil"/>
              <w:bottom w:val="single" w:sz="4" w:space="0" w:color="ADD6EA"/>
              <w:right w:val="nil"/>
            </w:tcBorders>
            <w:shd w:val="clear" w:color="000000" w:fill="D6E7F0"/>
            <w:vAlign w:val="bottom"/>
            <w:hideMark/>
          </w:tcPr>
          <w:p w14:paraId="56C701DD"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w:t>
            </w:r>
          </w:p>
        </w:tc>
        <w:tc>
          <w:tcPr>
            <w:tcW w:w="720" w:type="dxa"/>
            <w:tcBorders>
              <w:top w:val="nil"/>
              <w:left w:val="nil"/>
              <w:bottom w:val="single" w:sz="4" w:space="0" w:color="ADD6EA"/>
              <w:right w:val="nil"/>
            </w:tcBorders>
            <w:shd w:val="clear" w:color="000000" w:fill="D6E7F0"/>
            <w:vAlign w:val="bottom"/>
            <w:hideMark/>
          </w:tcPr>
          <w:p w14:paraId="2B9F6F47"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17</w:t>
            </w:r>
          </w:p>
        </w:tc>
        <w:tc>
          <w:tcPr>
            <w:tcW w:w="700" w:type="dxa"/>
            <w:tcBorders>
              <w:top w:val="nil"/>
              <w:left w:val="nil"/>
              <w:bottom w:val="single" w:sz="4" w:space="0" w:color="ADD6EA"/>
              <w:right w:val="nil"/>
            </w:tcBorders>
            <w:shd w:val="clear" w:color="000000" w:fill="D6E7F0"/>
            <w:vAlign w:val="bottom"/>
            <w:hideMark/>
          </w:tcPr>
          <w:p w14:paraId="1E7CB12A"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74</w:t>
            </w:r>
          </w:p>
        </w:tc>
        <w:tc>
          <w:tcPr>
            <w:tcW w:w="620" w:type="dxa"/>
            <w:tcBorders>
              <w:top w:val="nil"/>
              <w:left w:val="nil"/>
              <w:bottom w:val="single" w:sz="4" w:space="0" w:color="ADD6EA"/>
              <w:right w:val="nil"/>
            </w:tcBorders>
            <w:shd w:val="clear" w:color="000000" w:fill="D6E7F0"/>
            <w:vAlign w:val="bottom"/>
            <w:hideMark/>
          </w:tcPr>
          <w:p w14:paraId="30A55ED7"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4</w:t>
            </w:r>
          </w:p>
        </w:tc>
        <w:tc>
          <w:tcPr>
            <w:tcW w:w="700" w:type="dxa"/>
            <w:tcBorders>
              <w:top w:val="nil"/>
              <w:left w:val="nil"/>
              <w:bottom w:val="single" w:sz="4" w:space="0" w:color="ADD6EA"/>
              <w:right w:val="nil"/>
            </w:tcBorders>
            <w:shd w:val="clear" w:color="000000" w:fill="D6E7F0"/>
            <w:vAlign w:val="bottom"/>
            <w:hideMark/>
          </w:tcPr>
          <w:p w14:paraId="53343BFD"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4</w:t>
            </w:r>
          </w:p>
        </w:tc>
        <w:tc>
          <w:tcPr>
            <w:tcW w:w="720" w:type="dxa"/>
            <w:tcBorders>
              <w:top w:val="nil"/>
              <w:left w:val="nil"/>
              <w:bottom w:val="single" w:sz="4" w:space="0" w:color="ADD6EA"/>
              <w:right w:val="nil"/>
            </w:tcBorders>
            <w:shd w:val="clear" w:color="000000" w:fill="D6E7F0"/>
            <w:vAlign w:val="bottom"/>
            <w:hideMark/>
          </w:tcPr>
          <w:p w14:paraId="15EE499B"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0</w:t>
            </w:r>
          </w:p>
        </w:tc>
        <w:tc>
          <w:tcPr>
            <w:tcW w:w="640" w:type="dxa"/>
            <w:tcBorders>
              <w:top w:val="nil"/>
              <w:left w:val="nil"/>
              <w:bottom w:val="single" w:sz="4" w:space="0" w:color="ADD6EA"/>
              <w:right w:val="nil"/>
            </w:tcBorders>
            <w:shd w:val="clear" w:color="000000" w:fill="D6E7F0"/>
            <w:vAlign w:val="bottom"/>
            <w:hideMark/>
          </w:tcPr>
          <w:p w14:paraId="718A79FA"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54</w:t>
            </w:r>
          </w:p>
        </w:tc>
        <w:tc>
          <w:tcPr>
            <w:tcW w:w="800" w:type="dxa"/>
            <w:tcBorders>
              <w:top w:val="nil"/>
              <w:left w:val="nil"/>
              <w:bottom w:val="single" w:sz="4" w:space="0" w:color="ADD6EA"/>
              <w:right w:val="nil"/>
            </w:tcBorders>
            <w:shd w:val="clear" w:color="000000" w:fill="D6E7F0"/>
            <w:vAlign w:val="bottom"/>
            <w:hideMark/>
          </w:tcPr>
          <w:p w14:paraId="68764E46"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14</w:t>
            </w:r>
          </w:p>
        </w:tc>
      </w:tr>
    </w:tbl>
    <w:p w14:paraId="7BDD54BB" w14:textId="77777777" w:rsidR="007E365E" w:rsidRDefault="007E365E" w:rsidP="007E365E">
      <w:pPr>
        <w:pStyle w:val="CGCTablenote"/>
      </w:pPr>
      <w:r>
        <w:t>Source:</w:t>
      </w:r>
      <w:r>
        <w:tab/>
        <w:t>Commission calculation.</w:t>
      </w:r>
    </w:p>
    <w:p w14:paraId="75087AFF" w14:textId="77777777" w:rsidR="007E365E" w:rsidRDefault="007E365E" w:rsidP="007E365E">
      <w:pPr>
        <w:pStyle w:val="Heading5"/>
      </w:pPr>
      <w:bookmarkStart w:id="310" w:name="_Toc4686170"/>
      <w:bookmarkStart w:id="311" w:name="_Toc22807486"/>
      <w:r>
        <w:t>Other industries regulation</w:t>
      </w:r>
      <w:bookmarkEnd w:id="310"/>
      <w:bookmarkEnd w:id="311"/>
    </w:p>
    <w:p w14:paraId="61638C95" w14:textId="77777777" w:rsidR="007E365E" w:rsidRDefault="007E365E" w:rsidP="007E365E">
      <w:pPr>
        <w:pStyle w:val="CGCParaNumber"/>
      </w:pPr>
      <w:r w:rsidRPr="00B40576">
        <w:t xml:space="preserve">The assessment of </w:t>
      </w:r>
      <w:r>
        <w:t>other industries regulation is based on sector size (75%) and population (25%). The decision to give some weight to population recognises that some regulatory functions target the total population rather than businesses or industries. The main example is consumer protection services including fair trading, rental bond services and civil and administrative appeals tribunals.</w:t>
      </w:r>
    </w:p>
    <w:p w14:paraId="43152B63" w14:textId="77777777" w:rsidR="007E365E" w:rsidRPr="00CC13CC" w:rsidRDefault="007E365E" w:rsidP="007E365E">
      <w:pPr>
        <w:pStyle w:val="CGCParaNumber"/>
      </w:pPr>
      <w:r w:rsidRPr="00CC13CC">
        <w:lastRenderedPageBreak/>
        <w:t xml:space="preserve">Western Australia said that assessing 25% of other industries regulation using population is not justified as it is not materially different from an assessment using only industry size. While this is so, the materiality test in this circumstance is based on whether the assessment of the relevant expense (in this case 75% of other industry regulation expenses) is materially different to an EPC assessment. Sector size is material across all industries. </w:t>
      </w:r>
    </w:p>
    <w:p w14:paraId="1E2E4717" w14:textId="77777777" w:rsidR="007E365E" w:rsidRPr="00CC13CC" w:rsidRDefault="007E365E" w:rsidP="007E365E">
      <w:pPr>
        <w:pStyle w:val="CGCParaNumber"/>
      </w:pPr>
      <w:r w:rsidRPr="00CC13CC">
        <w:t>Queensland said the Commission should conduct a more detailed analysis to determine the weights, reflecting tourism, investment and trade regulation. The Commission</w:t>
      </w:r>
      <w:r>
        <w:t>’s</w:t>
      </w:r>
      <w:r w:rsidRPr="00CC13CC">
        <w:t xml:space="preserve"> attempt to use a more detailed approach in the 2010 Review was criticised by States. They argued that it involved too much judgement in identifying expenses and drivers. The Commission acknowledges that the 75:25 split is a judgement. It implies that States spend about $15 to $20</w:t>
      </w:r>
      <w:r>
        <w:t> </w:t>
      </w:r>
      <w:r w:rsidRPr="00CC13CC">
        <w:t xml:space="preserve">per capita on consumer protection and other services that target the whole population. </w:t>
      </w:r>
      <w:r>
        <w:t>Overall, t</w:t>
      </w:r>
      <w:r w:rsidRPr="00CC13CC">
        <w:t>his is consistent with the level of State spending on fair trading activities.</w:t>
      </w:r>
    </w:p>
    <w:p w14:paraId="7069F3D3" w14:textId="77777777" w:rsidR="007E365E" w:rsidRDefault="007E365E" w:rsidP="007E365E">
      <w:pPr>
        <w:pStyle w:val="CGCParaNumber"/>
      </w:pPr>
      <w:r w:rsidRPr="009149AD">
        <w:rPr>
          <w:rStyle w:val="Heading6Char"/>
        </w:rPr>
        <w:t>Regional costs and wage costs</w:t>
      </w:r>
      <w:r>
        <w:t>. The same approach is taken as for agriculture regulation.</w:t>
      </w:r>
    </w:p>
    <w:p w14:paraId="2BBBE7E1" w14:textId="77777777" w:rsidR="007E365E" w:rsidRPr="00535F5B" w:rsidRDefault="007E365E" w:rsidP="007E365E">
      <w:pPr>
        <w:pStyle w:val="CGCParaNumber"/>
        <w:rPr>
          <w:i/>
        </w:rPr>
      </w:pPr>
      <w:r w:rsidRPr="009149AD">
        <w:rPr>
          <w:rStyle w:val="Heading6Char"/>
        </w:rPr>
        <w:t>Data and method</w:t>
      </w:r>
      <w:r>
        <w:t xml:space="preserve">. The value of other industries production </w:t>
      </w:r>
      <w:r w:rsidRPr="00B40576">
        <w:t xml:space="preserve">is </w:t>
      </w:r>
      <w:r>
        <w:t xml:space="preserve">calculated using other industry </w:t>
      </w:r>
      <w:r w:rsidRPr="00B40576">
        <w:t>factor income estimates sourced from the ABS publication</w:t>
      </w:r>
      <w:r>
        <w:t>,</w:t>
      </w:r>
      <w:r w:rsidRPr="00B40576">
        <w:t xml:space="preserve"> </w:t>
      </w:r>
      <w:r w:rsidRPr="00195802">
        <w:rPr>
          <w:i/>
        </w:rPr>
        <w:t>Australian National Accounts: State Accounts</w:t>
      </w:r>
      <w:r>
        <w:rPr>
          <w:i/>
        </w:rPr>
        <w:t xml:space="preserve">, </w:t>
      </w:r>
      <w:r>
        <w:t>c</w:t>
      </w:r>
      <w:r w:rsidRPr="00E65559">
        <w:t>at.</w:t>
      </w:r>
      <w:r>
        <w:t> n</w:t>
      </w:r>
      <w:r w:rsidRPr="00E65559">
        <w:t>o. 5220.0</w:t>
      </w:r>
      <w:r w:rsidRPr="00B40576">
        <w:t>.</w:t>
      </w:r>
    </w:p>
    <w:p w14:paraId="62BB70E3" w14:textId="77777777" w:rsidR="007E365E" w:rsidRDefault="007E365E" w:rsidP="007E365E">
      <w:pPr>
        <w:pStyle w:val="CGCParaNumber"/>
      </w:pPr>
      <w:r>
        <w:t>Assessed expenses has two sub-components:</w:t>
      </w:r>
    </w:p>
    <w:p w14:paraId="4BE69F9D" w14:textId="77777777" w:rsidR="007E365E" w:rsidRDefault="007E365E" w:rsidP="007E365E">
      <w:pPr>
        <w:pStyle w:val="CGCBullet1"/>
      </w:pPr>
      <w:r>
        <w:t>expenses influenced by the size of the sector (75%) — calculated based on State shares of other industries’ factor income</w:t>
      </w:r>
    </w:p>
    <w:p w14:paraId="69861A22" w14:textId="77777777" w:rsidR="007E365E" w:rsidRDefault="007E365E" w:rsidP="007E365E">
      <w:pPr>
        <w:pStyle w:val="CGCBullet1"/>
      </w:pPr>
      <w:r>
        <w:t>expenses influenced by population size (25%) — calculated based on State shares of population.</w:t>
      </w:r>
    </w:p>
    <w:p w14:paraId="58A56ADC" w14:textId="77777777" w:rsidR="007E365E" w:rsidRDefault="007E365E" w:rsidP="007E365E">
      <w:pPr>
        <w:pStyle w:val="CGCParaNumber"/>
      </w:pPr>
      <w:r>
        <w:t>Regional cost and wage cost factors are applied to the sum of assessed expenses for the two sub-components.</w:t>
      </w:r>
    </w:p>
    <w:p w14:paraId="5D0151F6" w14:textId="3FEA0068" w:rsidR="007E365E" w:rsidRPr="00847F39" w:rsidRDefault="007E365E" w:rsidP="007E365E">
      <w:pPr>
        <w:pStyle w:val="CGCParaNumber"/>
      </w:pPr>
      <w:r w:rsidRPr="009149AD">
        <w:rPr>
          <w:rStyle w:val="Heading6Char"/>
        </w:rPr>
        <w:t>Component calculations</w:t>
      </w:r>
      <w:r>
        <w:t>.</w:t>
      </w:r>
      <w:r w:rsidRPr="002A19C2">
        <w:t xml:space="preserve"> </w:t>
      </w:r>
      <w:r>
        <w:fldChar w:fldCharType="begin"/>
      </w:r>
      <w:r>
        <w:instrText xml:space="preserve"> REF _Ref4049385 \h </w:instrText>
      </w:r>
      <w:r>
        <w:fldChar w:fldCharType="separate"/>
      </w:r>
      <w:r w:rsidR="007F721A">
        <w:t>Table 22-</w:t>
      </w:r>
      <w:r w:rsidR="007F721A">
        <w:rPr>
          <w:noProof/>
        </w:rPr>
        <w:t>10</w:t>
      </w:r>
      <w:r>
        <w:fldChar w:fldCharType="end"/>
      </w:r>
      <w:r>
        <w:t xml:space="preserve"> shows the calculation of assessed expenses for the component in 2018-19.</w:t>
      </w:r>
    </w:p>
    <w:p w14:paraId="16B2349E" w14:textId="6C0A7C95" w:rsidR="007E365E" w:rsidRDefault="007E365E" w:rsidP="007E365E">
      <w:pPr>
        <w:pStyle w:val="Caption"/>
      </w:pPr>
      <w:bookmarkStart w:id="312" w:name="_Ref4049385"/>
      <w:r>
        <w:t>Table 22-</w:t>
      </w:r>
      <w:fldSimple w:instr=" SEQ Table \* ARABIC ">
        <w:r w:rsidR="007F721A">
          <w:rPr>
            <w:noProof/>
          </w:rPr>
          <w:t>10</w:t>
        </w:r>
      </w:fldSimple>
      <w:bookmarkEnd w:id="312"/>
      <w:r>
        <w:tab/>
        <w:t>Other industries regulation component assessment, 2018-19</w:t>
      </w:r>
    </w:p>
    <w:tbl>
      <w:tblPr>
        <w:tblW w:w="8960" w:type="dxa"/>
        <w:tblCellMar>
          <w:left w:w="28" w:type="dxa"/>
          <w:right w:w="28" w:type="dxa"/>
        </w:tblCellMar>
        <w:tblLook w:val="04A0" w:firstRow="1" w:lastRow="0" w:firstColumn="1" w:lastColumn="0" w:noHBand="0" w:noVBand="1"/>
      </w:tblPr>
      <w:tblGrid>
        <w:gridCol w:w="2560"/>
        <w:gridCol w:w="820"/>
        <w:gridCol w:w="680"/>
        <w:gridCol w:w="720"/>
        <w:gridCol w:w="700"/>
        <w:gridCol w:w="620"/>
        <w:gridCol w:w="700"/>
        <w:gridCol w:w="720"/>
        <w:gridCol w:w="640"/>
        <w:gridCol w:w="800"/>
      </w:tblGrid>
      <w:tr w:rsidR="007E365E" w:rsidRPr="007C2C65" w14:paraId="0B9EB897" w14:textId="77777777" w:rsidTr="007D1D77">
        <w:trPr>
          <w:trHeight w:val="375"/>
        </w:trPr>
        <w:tc>
          <w:tcPr>
            <w:tcW w:w="2560" w:type="dxa"/>
            <w:tcBorders>
              <w:top w:val="single" w:sz="4" w:space="0" w:color="ADD6EA"/>
              <w:left w:val="nil"/>
              <w:bottom w:val="single" w:sz="4" w:space="0" w:color="ADD6EA"/>
              <w:right w:val="nil"/>
            </w:tcBorders>
            <w:shd w:val="clear" w:color="000000" w:fill="006991"/>
            <w:vAlign w:val="center"/>
            <w:hideMark/>
          </w:tcPr>
          <w:p w14:paraId="4D995A9A" w14:textId="77777777" w:rsidR="007E365E" w:rsidRPr="007C2C65"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 </w:t>
            </w:r>
          </w:p>
        </w:tc>
        <w:tc>
          <w:tcPr>
            <w:tcW w:w="820" w:type="dxa"/>
            <w:tcBorders>
              <w:top w:val="single" w:sz="4" w:space="0" w:color="ADD6EA"/>
              <w:left w:val="nil"/>
              <w:bottom w:val="single" w:sz="4" w:space="0" w:color="ADD6EA"/>
              <w:right w:val="nil"/>
            </w:tcBorders>
            <w:shd w:val="clear" w:color="000000" w:fill="006991"/>
            <w:vAlign w:val="center"/>
            <w:hideMark/>
          </w:tcPr>
          <w:p w14:paraId="0F35B18C"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NSW</w:t>
            </w:r>
          </w:p>
        </w:tc>
        <w:tc>
          <w:tcPr>
            <w:tcW w:w="680" w:type="dxa"/>
            <w:tcBorders>
              <w:top w:val="single" w:sz="4" w:space="0" w:color="ADD6EA"/>
              <w:left w:val="nil"/>
              <w:bottom w:val="single" w:sz="4" w:space="0" w:color="ADD6EA"/>
              <w:right w:val="nil"/>
            </w:tcBorders>
            <w:shd w:val="clear" w:color="000000" w:fill="006991"/>
            <w:vAlign w:val="center"/>
            <w:hideMark/>
          </w:tcPr>
          <w:p w14:paraId="19E8F50B"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vAlign w:val="center"/>
            <w:hideMark/>
          </w:tcPr>
          <w:p w14:paraId="190D6EC8"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335FA295"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WA</w:t>
            </w:r>
          </w:p>
        </w:tc>
        <w:tc>
          <w:tcPr>
            <w:tcW w:w="620" w:type="dxa"/>
            <w:tcBorders>
              <w:top w:val="single" w:sz="4" w:space="0" w:color="ADD6EA"/>
              <w:left w:val="nil"/>
              <w:bottom w:val="single" w:sz="4" w:space="0" w:color="ADD6EA"/>
              <w:right w:val="nil"/>
            </w:tcBorders>
            <w:shd w:val="clear" w:color="000000" w:fill="006991"/>
            <w:vAlign w:val="center"/>
            <w:hideMark/>
          </w:tcPr>
          <w:p w14:paraId="76ED033F"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7DA26EE9"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5B85D78E"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vAlign w:val="center"/>
            <w:hideMark/>
          </w:tcPr>
          <w:p w14:paraId="38AB469E"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NT</w:t>
            </w:r>
          </w:p>
        </w:tc>
        <w:tc>
          <w:tcPr>
            <w:tcW w:w="800" w:type="dxa"/>
            <w:tcBorders>
              <w:top w:val="single" w:sz="4" w:space="0" w:color="ADD6EA"/>
              <w:left w:val="nil"/>
              <w:bottom w:val="single" w:sz="4" w:space="0" w:color="ADD6EA"/>
              <w:right w:val="nil"/>
            </w:tcBorders>
            <w:shd w:val="clear" w:color="000000" w:fill="006991"/>
            <w:vAlign w:val="center"/>
            <w:hideMark/>
          </w:tcPr>
          <w:p w14:paraId="1DC0E1AF"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Total</w:t>
            </w:r>
          </w:p>
        </w:tc>
      </w:tr>
      <w:tr w:rsidR="007E365E" w:rsidRPr="007C2C65" w14:paraId="5459ADDB" w14:textId="77777777" w:rsidTr="007D1D77">
        <w:trPr>
          <w:trHeight w:val="315"/>
        </w:trPr>
        <w:tc>
          <w:tcPr>
            <w:tcW w:w="2560" w:type="dxa"/>
            <w:tcBorders>
              <w:top w:val="nil"/>
              <w:left w:val="nil"/>
              <w:bottom w:val="single" w:sz="4" w:space="0" w:color="ADD6EA"/>
              <w:right w:val="nil"/>
            </w:tcBorders>
            <w:shd w:val="clear" w:color="000000" w:fill="FFFFFF"/>
            <w:vAlign w:val="bottom"/>
            <w:hideMark/>
          </w:tcPr>
          <w:p w14:paraId="631C2D4E" w14:textId="77777777" w:rsidR="007E365E" w:rsidRPr="007C2C65" w:rsidRDefault="007E365E" w:rsidP="007D1D77">
            <w:pPr>
              <w:tabs>
                <w:tab w:val="clear" w:pos="567"/>
              </w:tabs>
              <w:spacing w:before="0" w:line="240" w:lineRule="auto"/>
              <w:rPr>
                <w:rFonts w:eastAsia="Times New Roman" w:cs="Open Sans Light"/>
                <w:sz w:val="16"/>
                <w:szCs w:val="16"/>
                <w:lang w:eastAsia="en-AU"/>
              </w:rPr>
            </w:pPr>
            <w:r w:rsidRPr="007C2C65">
              <w:rPr>
                <w:rFonts w:eastAsia="Times New Roman" w:cs="Open Sans Light"/>
                <w:sz w:val="16"/>
                <w:szCs w:val="16"/>
                <w:lang w:eastAsia="en-AU"/>
              </w:rPr>
              <w:t>Economic environment ($m)</w:t>
            </w:r>
          </w:p>
        </w:tc>
        <w:tc>
          <w:tcPr>
            <w:tcW w:w="820" w:type="dxa"/>
            <w:tcBorders>
              <w:top w:val="nil"/>
              <w:left w:val="nil"/>
              <w:bottom w:val="single" w:sz="4" w:space="0" w:color="ADD6EA"/>
              <w:right w:val="nil"/>
            </w:tcBorders>
            <w:shd w:val="clear" w:color="000000" w:fill="FFFFFF"/>
            <w:vAlign w:val="bottom"/>
            <w:hideMark/>
          </w:tcPr>
          <w:p w14:paraId="4B02E8DF"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514</w:t>
            </w:r>
          </w:p>
        </w:tc>
        <w:tc>
          <w:tcPr>
            <w:tcW w:w="680" w:type="dxa"/>
            <w:tcBorders>
              <w:top w:val="nil"/>
              <w:left w:val="nil"/>
              <w:bottom w:val="single" w:sz="4" w:space="0" w:color="ADD6EA"/>
              <w:right w:val="nil"/>
            </w:tcBorders>
            <w:shd w:val="clear" w:color="000000" w:fill="FFFFFF"/>
            <w:vAlign w:val="bottom"/>
            <w:hideMark/>
          </w:tcPr>
          <w:p w14:paraId="49AC7D31"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382</w:t>
            </w:r>
          </w:p>
        </w:tc>
        <w:tc>
          <w:tcPr>
            <w:tcW w:w="720" w:type="dxa"/>
            <w:tcBorders>
              <w:top w:val="nil"/>
              <w:left w:val="nil"/>
              <w:bottom w:val="single" w:sz="4" w:space="0" w:color="ADD6EA"/>
              <w:right w:val="nil"/>
            </w:tcBorders>
            <w:shd w:val="clear" w:color="000000" w:fill="FFFFFF"/>
            <w:vAlign w:val="bottom"/>
            <w:hideMark/>
          </w:tcPr>
          <w:p w14:paraId="794B93E5"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284</w:t>
            </w:r>
          </w:p>
        </w:tc>
        <w:tc>
          <w:tcPr>
            <w:tcW w:w="700" w:type="dxa"/>
            <w:tcBorders>
              <w:top w:val="nil"/>
              <w:left w:val="nil"/>
              <w:bottom w:val="single" w:sz="4" w:space="0" w:color="ADD6EA"/>
              <w:right w:val="nil"/>
            </w:tcBorders>
            <w:shd w:val="clear" w:color="000000" w:fill="FFFFFF"/>
            <w:vAlign w:val="bottom"/>
            <w:hideMark/>
          </w:tcPr>
          <w:p w14:paraId="6375A2E3"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162</w:t>
            </w:r>
          </w:p>
        </w:tc>
        <w:tc>
          <w:tcPr>
            <w:tcW w:w="620" w:type="dxa"/>
            <w:tcBorders>
              <w:top w:val="nil"/>
              <w:left w:val="nil"/>
              <w:bottom w:val="single" w:sz="4" w:space="0" w:color="ADD6EA"/>
              <w:right w:val="nil"/>
            </w:tcBorders>
            <w:shd w:val="clear" w:color="000000" w:fill="FFFFFF"/>
            <w:vAlign w:val="bottom"/>
            <w:hideMark/>
          </w:tcPr>
          <w:p w14:paraId="32F6D17B"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93</w:t>
            </w:r>
          </w:p>
        </w:tc>
        <w:tc>
          <w:tcPr>
            <w:tcW w:w="700" w:type="dxa"/>
            <w:tcBorders>
              <w:top w:val="nil"/>
              <w:left w:val="nil"/>
              <w:bottom w:val="single" w:sz="4" w:space="0" w:color="ADD6EA"/>
              <w:right w:val="nil"/>
            </w:tcBorders>
            <w:shd w:val="clear" w:color="000000" w:fill="FFFFFF"/>
            <w:vAlign w:val="bottom"/>
            <w:hideMark/>
          </w:tcPr>
          <w:p w14:paraId="41CF2E8E"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27</w:t>
            </w:r>
          </w:p>
        </w:tc>
        <w:tc>
          <w:tcPr>
            <w:tcW w:w="720" w:type="dxa"/>
            <w:tcBorders>
              <w:top w:val="nil"/>
              <w:left w:val="nil"/>
              <w:bottom w:val="single" w:sz="4" w:space="0" w:color="ADD6EA"/>
              <w:right w:val="nil"/>
            </w:tcBorders>
            <w:shd w:val="clear" w:color="000000" w:fill="FFFFFF"/>
            <w:vAlign w:val="bottom"/>
            <w:hideMark/>
          </w:tcPr>
          <w:p w14:paraId="4439D361"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29</w:t>
            </w:r>
          </w:p>
        </w:tc>
        <w:tc>
          <w:tcPr>
            <w:tcW w:w="640" w:type="dxa"/>
            <w:tcBorders>
              <w:top w:val="nil"/>
              <w:left w:val="nil"/>
              <w:bottom w:val="single" w:sz="4" w:space="0" w:color="ADD6EA"/>
              <w:right w:val="nil"/>
            </w:tcBorders>
            <w:shd w:val="clear" w:color="000000" w:fill="FFFFFF"/>
            <w:vAlign w:val="bottom"/>
            <w:hideMark/>
          </w:tcPr>
          <w:p w14:paraId="796F0940"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21</w:t>
            </w:r>
          </w:p>
        </w:tc>
        <w:tc>
          <w:tcPr>
            <w:tcW w:w="800" w:type="dxa"/>
            <w:tcBorders>
              <w:top w:val="nil"/>
              <w:left w:val="nil"/>
              <w:bottom w:val="single" w:sz="4" w:space="0" w:color="ADD6EA"/>
              <w:right w:val="nil"/>
            </w:tcBorders>
            <w:shd w:val="clear" w:color="000000" w:fill="FFFFFF"/>
            <w:vAlign w:val="bottom"/>
            <w:hideMark/>
          </w:tcPr>
          <w:p w14:paraId="33C2D45C"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1,511</w:t>
            </w:r>
          </w:p>
        </w:tc>
      </w:tr>
      <w:tr w:rsidR="007E365E" w:rsidRPr="007C2C65" w14:paraId="2825BD08" w14:textId="77777777" w:rsidTr="007D1D77">
        <w:trPr>
          <w:trHeight w:val="315"/>
        </w:trPr>
        <w:tc>
          <w:tcPr>
            <w:tcW w:w="2560" w:type="dxa"/>
            <w:tcBorders>
              <w:top w:val="nil"/>
              <w:left w:val="nil"/>
              <w:bottom w:val="single" w:sz="4" w:space="0" w:color="ADD6EA"/>
              <w:right w:val="nil"/>
            </w:tcBorders>
            <w:shd w:val="clear" w:color="000000" w:fill="FFFFFF"/>
            <w:vAlign w:val="bottom"/>
            <w:hideMark/>
          </w:tcPr>
          <w:p w14:paraId="0F6F7BA2" w14:textId="77777777" w:rsidR="007E365E" w:rsidRPr="007C2C65" w:rsidRDefault="007E365E" w:rsidP="007D1D77">
            <w:pPr>
              <w:tabs>
                <w:tab w:val="clear" w:pos="567"/>
              </w:tabs>
              <w:spacing w:before="0" w:line="240" w:lineRule="auto"/>
              <w:rPr>
                <w:rFonts w:eastAsia="Times New Roman" w:cs="Open Sans Light"/>
                <w:sz w:val="16"/>
                <w:szCs w:val="16"/>
                <w:lang w:eastAsia="en-AU"/>
              </w:rPr>
            </w:pPr>
            <w:r w:rsidRPr="007C2C65">
              <w:rPr>
                <w:rFonts w:eastAsia="Times New Roman" w:cs="Open Sans Light"/>
                <w:sz w:val="16"/>
                <w:szCs w:val="16"/>
                <w:lang w:eastAsia="en-AU"/>
              </w:rPr>
              <w:t>Size of sector</w:t>
            </w:r>
          </w:p>
        </w:tc>
        <w:tc>
          <w:tcPr>
            <w:tcW w:w="820" w:type="dxa"/>
            <w:tcBorders>
              <w:top w:val="nil"/>
              <w:left w:val="nil"/>
              <w:bottom w:val="single" w:sz="4" w:space="0" w:color="ADD6EA"/>
              <w:right w:val="nil"/>
            </w:tcBorders>
            <w:shd w:val="clear" w:color="000000" w:fill="FFFFFF"/>
            <w:vAlign w:val="bottom"/>
            <w:hideMark/>
          </w:tcPr>
          <w:p w14:paraId="42E6BDDC"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394</w:t>
            </w:r>
          </w:p>
        </w:tc>
        <w:tc>
          <w:tcPr>
            <w:tcW w:w="680" w:type="dxa"/>
            <w:tcBorders>
              <w:top w:val="nil"/>
              <w:left w:val="nil"/>
              <w:bottom w:val="single" w:sz="4" w:space="0" w:color="ADD6EA"/>
              <w:right w:val="nil"/>
            </w:tcBorders>
            <w:shd w:val="clear" w:color="000000" w:fill="FFFFFF"/>
            <w:vAlign w:val="bottom"/>
            <w:hideMark/>
          </w:tcPr>
          <w:p w14:paraId="290E69C1"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285</w:t>
            </w:r>
          </w:p>
        </w:tc>
        <w:tc>
          <w:tcPr>
            <w:tcW w:w="720" w:type="dxa"/>
            <w:tcBorders>
              <w:top w:val="nil"/>
              <w:left w:val="nil"/>
              <w:bottom w:val="single" w:sz="4" w:space="0" w:color="ADD6EA"/>
              <w:right w:val="nil"/>
            </w:tcBorders>
            <w:shd w:val="clear" w:color="000000" w:fill="FFFFFF"/>
            <w:vAlign w:val="bottom"/>
            <w:hideMark/>
          </w:tcPr>
          <w:p w14:paraId="28FBD9DF"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208</w:t>
            </w:r>
          </w:p>
        </w:tc>
        <w:tc>
          <w:tcPr>
            <w:tcW w:w="700" w:type="dxa"/>
            <w:tcBorders>
              <w:top w:val="nil"/>
              <w:left w:val="nil"/>
              <w:bottom w:val="single" w:sz="4" w:space="0" w:color="ADD6EA"/>
              <w:right w:val="nil"/>
            </w:tcBorders>
            <w:shd w:val="clear" w:color="000000" w:fill="FFFFFF"/>
            <w:vAlign w:val="bottom"/>
            <w:hideMark/>
          </w:tcPr>
          <w:p w14:paraId="60E201CC"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122</w:t>
            </w:r>
          </w:p>
        </w:tc>
        <w:tc>
          <w:tcPr>
            <w:tcW w:w="620" w:type="dxa"/>
            <w:tcBorders>
              <w:top w:val="nil"/>
              <w:left w:val="nil"/>
              <w:bottom w:val="single" w:sz="4" w:space="0" w:color="ADD6EA"/>
              <w:right w:val="nil"/>
            </w:tcBorders>
            <w:shd w:val="clear" w:color="000000" w:fill="FFFFFF"/>
            <w:vAlign w:val="bottom"/>
            <w:hideMark/>
          </w:tcPr>
          <w:p w14:paraId="596BDB61"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67</w:t>
            </w:r>
          </w:p>
        </w:tc>
        <w:tc>
          <w:tcPr>
            <w:tcW w:w="700" w:type="dxa"/>
            <w:tcBorders>
              <w:top w:val="nil"/>
              <w:left w:val="nil"/>
              <w:bottom w:val="single" w:sz="4" w:space="0" w:color="ADD6EA"/>
              <w:right w:val="nil"/>
            </w:tcBorders>
            <w:shd w:val="clear" w:color="000000" w:fill="FFFFFF"/>
            <w:vAlign w:val="bottom"/>
            <w:hideMark/>
          </w:tcPr>
          <w:p w14:paraId="19CC0423"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19</w:t>
            </w:r>
          </w:p>
        </w:tc>
        <w:tc>
          <w:tcPr>
            <w:tcW w:w="720" w:type="dxa"/>
            <w:tcBorders>
              <w:top w:val="nil"/>
              <w:left w:val="nil"/>
              <w:bottom w:val="single" w:sz="4" w:space="0" w:color="ADD6EA"/>
              <w:right w:val="nil"/>
            </w:tcBorders>
            <w:shd w:val="clear" w:color="000000" w:fill="FFFFFF"/>
            <w:vAlign w:val="bottom"/>
            <w:hideMark/>
          </w:tcPr>
          <w:p w14:paraId="42C77BC5"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22</w:t>
            </w:r>
          </w:p>
        </w:tc>
        <w:tc>
          <w:tcPr>
            <w:tcW w:w="640" w:type="dxa"/>
            <w:tcBorders>
              <w:top w:val="nil"/>
              <w:left w:val="nil"/>
              <w:bottom w:val="single" w:sz="4" w:space="0" w:color="ADD6EA"/>
              <w:right w:val="nil"/>
            </w:tcBorders>
            <w:shd w:val="clear" w:color="000000" w:fill="FFFFFF"/>
            <w:vAlign w:val="bottom"/>
            <w:hideMark/>
          </w:tcPr>
          <w:p w14:paraId="79E41239"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17</w:t>
            </w:r>
          </w:p>
        </w:tc>
        <w:tc>
          <w:tcPr>
            <w:tcW w:w="800" w:type="dxa"/>
            <w:tcBorders>
              <w:top w:val="nil"/>
              <w:left w:val="nil"/>
              <w:bottom w:val="single" w:sz="4" w:space="0" w:color="ADD6EA"/>
              <w:right w:val="nil"/>
            </w:tcBorders>
            <w:shd w:val="clear" w:color="000000" w:fill="FFFFFF"/>
            <w:vAlign w:val="bottom"/>
            <w:hideMark/>
          </w:tcPr>
          <w:p w14:paraId="3D9C16DC"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1,134</w:t>
            </w:r>
          </w:p>
        </w:tc>
      </w:tr>
      <w:tr w:rsidR="007E365E" w:rsidRPr="007C2C65" w14:paraId="3C2FDAA0" w14:textId="77777777" w:rsidTr="007D1D77">
        <w:trPr>
          <w:trHeight w:val="315"/>
        </w:trPr>
        <w:tc>
          <w:tcPr>
            <w:tcW w:w="2560" w:type="dxa"/>
            <w:tcBorders>
              <w:top w:val="nil"/>
              <w:left w:val="nil"/>
              <w:bottom w:val="single" w:sz="4" w:space="0" w:color="ADD6EA"/>
              <w:right w:val="nil"/>
            </w:tcBorders>
            <w:shd w:val="clear" w:color="000000" w:fill="FFFFFF"/>
            <w:vAlign w:val="bottom"/>
            <w:hideMark/>
          </w:tcPr>
          <w:p w14:paraId="4AD19DD8" w14:textId="77777777" w:rsidR="007E365E" w:rsidRPr="007C2C65" w:rsidRDefault="007E365E" w:rsidP="007D1D77">
            <w:pPr>
              <w:tabs>
                <w:tab w:val="clear" w:pos="567"/>
              </w:tabs>
              <w:spacing w:before="0" w:line="240" w:lineRule="auto"/>
              <w:rPr>
                <w:rFonts w:eastAsia="Times New Roman" w:cs="Open Sans Light"/>
                <w:sz w:val="16"/>
                <w:szCs w:val="16"/>
                <w:lang w:eastAsia="en-AU"/>
              </w:rPr>
            </w:pPr>
            <w:r w:rsidRPr="007C2C65">
              <w:rPr>
                <w:rFonts w:eastAsia="Times New Roman" w:cs="Open Sans Light"/>
                <w:sz w:val="16"/>
                <w:szCs w:val="16"/>
                <w:lang w:eastAsia="en-AU"/>
              </w:rPr>
              <w:t>Population</w:t>
            </w:r>
          </w:p>
        </w:tc>
        <w:tc>
          <w:tcPr>
            <w:tcW w:w="820" w:type="dxa"/>
            <w:tcBorders>
              <w:top w:val="nil"/>
              <w:left w:val="nil"/>
              <w:bottom w:val="single" w:sz="4" w:space="0" w:color="ADD6EA"/>
              <w:right w:val="nil"/>
            </w:tcBorders>
            <w:shd w:val="clear" w:color="000000" w:fill="FFFFFF"/>
            <w:vAlign w:val="bottom"/>
            <w:hideMark/>
          </w:tcPr>
          <w:p w14:paraId="66A13B50"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121</w:t>
            </w:r>
          </w:p>
        </w:tc>
        <w:tc>
          <w:tcPr>
            <w:tcW w:w="680" w:type="dxa"/>
            <w:tcBorders>
              <w:top w:val="nil"/>
              <w:left w:val="nil"/>
              <w:bottom w:val="single" w:sz="4" w:space="0" w:color="ADD6EA"/>
              <w:right w:val="nil"/>
            </w:tcBorders>
            <w:shd w:val="clear" w:color="000000" w:fill="FFFFFF"/>
            <w:vAlign w:val="bottom"/>
            <w:hideMark/>
          </w:tcPr>
          <w:p w14:paraId="526D4FB7"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97</w:t>
            </w:r>
          </w:p>
        </w:tc>
        <w:tc>
          <w:tcPr>
            <w:tcW w:w="720" w:type="dxa"/>
            <w:tcBorders>
              <w:top w:val="nil"/>
              <w:left w:val="nil"/>
              <w:bottom w:val="single" w:sz="4" w:space="0" w:color="ADD6EA"/>
              <w:right w:val="nil"/>
            </w:tcBorders>
            <w:shd w:val="clear" w:color="000000" w:fill="FFFFFF"/>
            <w:vAlign w:val="bottom"/>
            <w:hideMark/>
          </w:tcPr>
          <w:p w14:paraId="46980FA6"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76</w:t>
            </w:r>
          </w:p>
        </w:tc>
        <w:tc>
          <w:tcPr>
            <w:tcW w:w="700" w:type="dxa"/>
            <w:tcBorders>
              <w:top w:val="nil"/>
              <w:left w:val="nil"/>
              <w:bottom w:val="single" w:sz="4" w:space="0" w:color="ADD6EA"/>
              <w:right w:val="nil"/>
            </w:tcBorders>
            <w:shd w:val="clear" w:color="000000" w:fill="FFFFFF"/>
            <w:vAlign w:val="bottom"/>
            <w:hideMark/>
          </w:tcPr>
          <w:p w14:paraId="529D29EC"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39</w:t>
            </w:r>
          </w:p>
        </w:tc>
        <w:tc>
          <w:tcPr>
            <w:tcW w:w="620" w:type="dxa"/>
            <w:tcBorders>
              <w:top w:val="nil"/>
              <w:left w:val="nil"/>
              <w:bottom w:val="single" w:sz="4" w:space="0" w:color="ADD6EA"/>
              <w:right w:val="nil"/>
            </w:tcBorders>
            <w:shd w:val="clear" w:color="000000" w:fill="FFFFFF"/>
            <w:vAlign w:val="bottom"/>
            <w:hideMark/>
          </w:tcPr>
          <w:p w14:paraId="725E1BAC"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26</w:t>
            </w:r>
          </w:p>
        </w:tc>
        <w:tc>
          <w:tcPr>
            <w:tcW w:w="700" w:type="dxa"/>
            <w:tcBorders>
              <w:top w:val="nil"/>
              <w:left w:val="nil"/>
              <w:bottom w:val="single" w:sz="4" w:space="0" w:color="ADD6EA"/>
              <w:right w:val="nil"/>
            </w:tcBorders>
            <w:shd w:val="clear" w:color="000000" w:fill="FFFFFF"/>
            <w:vAlign w:val="bottom"/>
            <w:hideMark/>
          </w:tcPr>
          <w:p w14:paraId="1F5886A1"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8</w:t>
            </w:r>
          </w:p>
        </w:tc>
        <w:tc>
          <w:tcPr>
            <w:tcW w:w="720" w:type="dxa"/>
            <w:tcBorders>
              <w:top w:val="nil"/>
              <w:left w:val="nil"/>
              <w:bottom w:val="single" w:sz="4" w:space="0" w:color="ADD6EA"/>
              <w:right w:val="nil"/>
            </w:tcBorders>
            <w:shd w:val="clear" w:color="000000" w:fill="FFFFFF"/>
            <w:vAlign w:val="bottom"/>
            <w:hideMark/>
          </w:tcPr>
          <w:p w14:paraId="22318CC1"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6</w:t>
            </w:r>
          </w:p>
        </w:tc>
        <w:tc>
          <w:tcPr>
            <w:tcW w:w="640" w:type="dxa"/>
            <w:tcBorders>
              <w:top w:val="nil"/>
              <w:left w:val="nil"/>
              <w:bottom w:val="single" w:sz="4" w:space="0" w:color="ADD6EA"/>
              <w:right w:val="nil"/>
            </w:tcBorders>
            <w:shd w:val="clear" w:color="000000" w:fill="FFFFFF"/>
            <w:vAlign w:val="bottom"/>
            <w:hideMark/>
          </w:tcPr>
          <w:p w14:paraId="61F19FC7"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4</w:t>
            </w:r>
          </w:p>
        </w:tc>
        <w:tc>
          <w:tcPr>
            <w:tcW w:w="800" w:type="dxa"/>
            <w:tcBorders>
              <w:top w:val="nil"/>
              <w:left w:val="nil"/>
              <w:bottom w:val="single" w:sz="4" w:space="0" w:color="ADD6EA"/>
              <w:right w:val="nil"/>
            </w:tcBorders>
            <w:shd w:val="clear" w:color="000000" w:fill="FFFFFF"/>
            <w:vAlign w:val="bottom"/>
            <w:hideMark/>
          </w:tcPr>
          <w:p w14:paraId="0D8B8311"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378</w:t>
            </w:r>
          </w:p>
        </w:tc>
      </w:tr>
      <w:tr w:rsidR="007E365E" w:rsidRPr="007C2C65" w14:paraId="451A73BB" w14:textId="77777777" w:rsidTr="007D1D77">
        <w:trPr>
          <w:trHeight w:val="315"/>
        </w:trPr>
        <w:tc>
          <w:tcPr>
            <w:tcW w:w="2560" w:type="dxa"/>
            <w:tcBorders>
              <w:top w:val="nil"/>
              <w:left w:val="nil"/>
              <w:bottom w:val="single" w:sz="4" w:space="0" w:color="ADD6EA"/>
              <w:right w:val="nil"/>
            </w:tcBorders>
            <w:shd w:val="clear" w:color="000000" w:fill="FFFFFF"/>
            <w:vAlign w:val="bottom"/>
            <w:hideMark/>
          </w:tcPr>
          <w:p w14:paraId="12E2EF7D" w14:textId="77777777" w:rsidR="007E365E" w:rsidRPr="007C2C65" w:rsidRDefault="007E365E" w:rsidP="007D1D77">
            <w:pPr>
              <w:tabs>
                <w:tab w:val="clear" w:pos="567"/>
              </w:tabs>
              <w:spacing w:before="0" w:line="240" w:lineRule="auto"/>
              <w:rPr>
                <w:rFonts w:eastAsia="Times New Roman" w:cs="Open Sans Light"/>
                <w:sz w:val="16"/>
                <w:szCs w:val="16"/>
                <w:lang w:eastAsia="en-AU"/>
              </w:rPr>
            </w:pPr>
            <w:r w:rsidRPr="007C2C65">
              <w:rPr>
                <w:rFonts w:eastAsia="Times New Roman" w:cs="Open Sans Light"/>
                <w:sz w:val="16"/>
                <w:szCs w:val="16"/>
                <w:lang w:eastAsia="en-AU"/>
              </w:rPr>
              <w:t>Regional costs factor</w:t>
            </w:r>
          </w:p>
        </w:tc>
        <w:tc>
          <w:tcPr>
            <w:tcW w:w="820" w:type="dxa"/>
            <w:tcBorders>
              <w:top w:val="nil"/>
              <w:left w:val="nil"/>
              <w:bottom w:val="single" w:sz="4" w:space="0" w:color="ADD6EA"/>
              <w:right w:val="nil"/>
            </w:tcBorders>
            <w:shd w:val="clear" w:color="000000" w:fill="FFFFFF"/>
            <w:vAlign w:val="bottom"/>
            <w:hideMark/>
          </w:tcPr>
          <w:p w14:paraId="270A4D34"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0.994</w:t>
            </w:r>
          </w:p>
        </w:tc>
        <w:tc>
          <w:tcPr>
            <w:tcW w:w="680" w:type="dxa"/>
            <w:tcBorders>
              <w:top w:val="nil"/>
              <w:left w:val="nil"/>
              <w:bottom w:val="single" w:sz="4" w:space="0" w:color="ADD6EA"/>
              <w:right w:val="nil"/>
            </w:tcBorders>
            <w:shd w:val="clear" w:color="000000" w:fill="FFFFFF"/>
            <w:vAlign w:val="bottom"/>
            <w:hideMark/>
          </w:tcPr>
          <w:p w14:paraId="51407F9C"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0.993</w:t>
            </w:r>
          </w:p>
        </w:tc>
        <w:tc>
          <w:tcPr>
            <w:tcW w:w="720" w:type="dxa"/>
            <w:tcBorders>
              <w:top w:val="nil"/>
              <w:left w:val="nil"/>
              <w:bottom w:val="single" w:sz="4" w:space="0" w:color="ADD6EA"/>
              <w:right w:val="nil"/>
            </w:tcBorders>
            <w:shd w:val="clear" w:color="000000" w:fill="FFFFFF"/>
            <w:vAlign w:val="bottom"/>
            <w:hideMark/>
          </w:tcPr>
          <w:p w14:paraId="326C5498"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1.003</w:t>
            </w:r>
          </w:p>
        </w:tc>
        <w:tc>
          <w:tcPr>
            <w:tcW w:w="700" w:type="dxa"/>
            <w:tcBorders>
              <w:top w:val="nil"/>
              <w:left w:val="nil"/>
              <w:bottom w:val="single" w:sz="4" w:space="0" w:color="ADD6EA"/>
              <w:right w:val="nil"/>
            </w:tcBorders>
            <w:shd w:val="clear" w:color="000000" w:fill="FFFFFF"/>
            <w:vAlign w:val="bottom"/>
            <w:hideMark/>
          </w:tcPr>
          <w:p w14:paraId="00F62BA8"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1.017</w:t>
            </w:r>
          </w:p>
        </w:tc>
        <w:tc>
          <w:tcPr>
            <w:tcW w:w="620" w:type="dxa"/>
            <w:tcBorders>
              <w:top w:val="nil"/>
              <w:left w:val="nil"/>
              <w:bottom w:val="single" w:sz="4" w:space="0" w:color="ADD6EA"/>
              <w:right w:val="nil"/>
            </w:tcBorders>
            <w:shd w:val="clear" w:color="000000" w:fill="FFFFFF"/>
            <w:vAlign w:val="bottom"/>
            <w:hideMark/>
          </w:tcPr>
          <w:p w14:paraId="7EF576BD"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1.004</w:t>
            </w:r>
          </w:p>
        </w:tc>
        <w:tc>
          <w:tcPr>
            <w:tcW w:w="700" w:type="dxa"/>
            <w:tcBorders>
              <w:top w:val="nil"/>
              <w:left w:val="nil"/>
              <w:bottom w:val="single" w:sz="4" w:space="0" w:color="ADD6EA"/>
              <w:right w:val="nil"/>
            </w:tcBorders>
            <w:shd w:val="clear" w:color="000000" w:fill="FFFFFF"/>
            <w:vAlign w:val="bottom"/>
            <w:hideMark/>
          </w:tcPr>
          <w:p w14:paraId="29D91F08"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1.006</w:t>
            </w:r>
          </w:p>
        </w:tc>
        <w:tc>
          <w:tcPr>
            <w:tcW w:w="720" w:type="dxa"/>
            <w:tcBorders>
              <w:top w:val="nil"/>
              <w:left w:val="nil"/>
              <w:bottom w:val="single" w:sz="4" w:space="0" w:color="ADD6EA"/>
              <w:right w:val="nil"/>
            </w:tcBorders>
            <w:shd w:val="clear" w:color="000000" w:fill="FFFFFF"/>
            <w:vAlign w:val="bottom"/>
            <w:hideMark/>
          </w:tcPr>
          <w:p w14:paraId="09884A5B"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0.992</w:t>
            </w:r>
          </w:p>
        </w:tc>
        <w:tc>
          <w:tcPr>
            <w:tcW w:w="640" w:type="dxa"/>
            <w:tcBorders>
              <w:top w:val="nil"/>
              <w:left w:val="nil"/>
              <w:bottom w:val="single" w:sz="4" w:space="0" w:color="ADD6EA"/>
              <w:right w:val="nil"/>
            </w:tcBorders>
            <w:shd w:val="clear" w:color="000000" w:fill="FFFFFF"/>
            <w:vAlign w:val="bottom"/>
            <w:hideMark/>
          </w:tcPr>
          <w:p w14:paraId="4C992D5F"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1.091</w:t>
            </w:r>
          </w:p>
        </w:tc>
        <w:tc>
          <w:tcPr>
            <w:tcW w:w="800" w:type="dxa"/>
            <w:tcBorders>
              <w:top w:val="nil"/>
              <w:left w:val="nil"/>
              <w:bottom w:val="single" w:sz="4" w:space="0" w:color="ADD6EA"/>
              <w:right w:val="nil"/>
            </w:tcBorders>
            <w:shd w:val="clear" w:color="000000" w:fill="FFFFFF"/>
            <w:vAlign w:val="bottom"/>
            <w:hideMark/>
          </w:tcPr>
          <w:p w14:paraId="2B6E64B6"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1.000</w:t>
            </w:r>
          </w:p>
        </w:tc>
      </w:tr>
      <w:tr w:rsidR="007E365E" w:rsidRPr="007C2C65" w14:paraId="03F8BFC1" w14:textId="77777777" w:rsidTr="007D1D77">
        <w:trPr>
          <w:trHeight w:val="315"/>
        </w:trPr>
        <w:tc>
          <w:tcPr>
            <w:tcW w:w="2560" w:type="dxa"/>
            <w:tcBorders>
              <w:top w:val="nil"/>
              <w:left w:val="nil"/>
              <w:bottom w:val="single" w:sz="4" w:space="0" w:color="ADD6EA"/>
              <w:right w:val="nil"/>
            </w:tcBorders>
            <w:shd w:val="clear" w:color="000000" w:fill="FFFFFF"/>
            <w:vAlign w:val="bottom"/>
            <w:hideMark/>
          </w:tcPr>
          <w:p w14:paraId="22D6B011" w14:textId="77777777" w:rsidR="007E365E" w:rsidRPr="007C2C65" w:rsidRDefault="007E365E" w:rsidP="007D1D77">
            <w:pPr>
              <w:tabs>
                <w:tab w:val="clear" w:pos="567"/>
              </w:tabs>
              <w:spacing w:before="0" w:line="240" w:lineRule="auto"/>
              <w:rPr>
                <w:rFonts w:eastAsia="Times New Roman" w:cs="Open Sans Light"/>
                <w:sz w:val="16"/>
                <w:szCs w:val="16"/>
                <w:lang w:eastAsia="en-AU"/>
              </w:rPr>
            </w:pPr>
            <w:r w:rsidRPr="007C2C65">
              <w:rPr>
                <w:rFonts w:eastAsia="Times New Roman" w:cs="Open Sans Light"/>
                <w:sz w:val="16"/>
                <w:szCs w:val="16"/>
                <w:lang w:eastAsia="en-AU"/>
              </w:rPr>
              <w:t>Wage costs factor</w:t>
            </w:r>
          </w:p>
        </w:tc>
        <w:tc>
          <w:tcPr>
            <w:tcW w:w="820" w:type="dxa"/>
            <w:tcBorders>
              <w:top w:val="nil"/>
              <w:left w:val="nil"/>
              <w:bottom w:val="single" w:sz="4" w:space="0" w:color="ADD6EA"/>
              <w:right w:val="nil"/>
            </w:tcBorders>
            <w:shd w:val="clear" w:color="000000" w:fill="FFFFFF"/>
            <w:vAlign w:val="bottom"/>
            <w:hideMark/>
          </w:tcPr>
          <w:p w14:paraId="212D3B91"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1.005</w:t>
            </w:r>
          </w:p>
        </w:tc>
        <w:tc>
          <w:tcPr>
            <w:tcW w:w="680" w:type="dxa"/>
            <w:tcBorders>
              <w:top w:val="nil"/>
              <w:left w:val="nil"/>
              <w:bottom w:val="single" w:sz="4" w:space="0" w:color="ADD6EA"/>
              <w:right w:val="nil"/>
            </w:tcBorders>
            <w:shd w:val="clear" w:color="000000" w:fill="FFFFFF"/>
            <w:vAlign w:val="bottom"/>
            <w:hideMark/>
          </w:tcPr>
          <w:p w14:paraId="5F52F6C7"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0.996</w:t>
            </w:r>
          </w:p>
        </w:tc>
        <w:tc>
          <w:tcPr>
            <w:tcW w:w="720" w:type="dxa"/>
            <w:tcBorders>
              <w:top w:val="nil"/>
              <w:left w:val="nil"/>
              <w:bottom w:val="single" w:sz="4" w:space="0" w:color="ADD6EA"/>
              <w:right w:val="nil"/>
            </w:tcBorders>
            <w:shd w:val="clear" w:color="000000" w:fill="FFFFFF"/>
            <w:vAlign w:val="bottom"/>
            <w:hideMark/>
          </w:tcPr>
          <w:p w14:paraId="0CD2069D"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0.997</w:t>
            </w:r>
          </w:p>
        </w:tc>
        <w:tc>
          <w:tcPr>
            <w:tcW w:w="700" w:type="dxa"/>
            <w:tcBorders>
              <w:top w:val="nil"/>
              <w:left w:val="nil"/>
              <w:bottom w:val="single" w:sz="4" w:space="0" w:color="ADD6EA"/>
              <w:right w:val="nil"/>
            </w:tcBorders>
            <w:shd w:val="clear" w:color="000000" w:fill="FFFFFF"/>
            <w:vAlign w:val="bottom"/>
            <w:hideMark/>
          </w:tcPr>
          <w:p w14:paraId="70547219"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1.013</w:t>
            </w:r>
          </w:p>
        </w:tc>
        <w:tc>
          <w:tcPr>
            <w:tcW w:w="620" w:type="dxa"/>
            <w:tcBorders>
              <w:top w:val="nil"/>
              <w:left w:val="nil"/>
              <w:bottom w:val="single" w:sz="4" w:space="0" w:color="ADD6EA"/>
              <w:right w:val="nil"/>
            </w:tcBorders>
            <w:shd w:val="clear" w:color="000000" w:fill="FFFFFF"/>
            <w:vAlign w:val="bottom"/>
            <w:hideMark/>
          </w:tcPr>
          <w:p w14:paraId="72AA2AB5"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0.984</w:t>
            </w:r>
          </w:p>
        </w:tc>
        <w:tc>
          <w:tcPr>
            <w:tcW w:w="700" w:type="dxa"/>
            <w:tcBorders>
              <w:top w:val="nil"/>
              <w:left w:val="nil"/>
              <w:bottom w:val="single" w:sz="4" w:space="0" w:color="ADD6EA"/>
              <w:right w:val="nil"/>
            </w:tcBorders>
            <w:shd w:val="clear" w:color="000000" w:fill="FFFFFF"/>
            <w:vAlign w:val="bottom"/>
            <w:hideMark/>
          </w:tcPr>
          <w:p w14:paraId="053544E3"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0.979</w:t>
            </w:r>
          </w:p>
        </w:tc>
        <w:tc>
          <w:tcPr>
            <w:tcW w:w="720" w:type="dxa"/>
            <w:tcBorders>
              <w:top w:val="nil"/>
              <w:left w:val="nil"/>
              <w:bottom w:val="single" w:sz="4" w:space="0" w:color="ADD6EA"/>
              <w:right w:val="nil"/>
            </w:tcBorders>
            <w:shd w:val="clear" w:color="000000" w:fill="FFFFFF"/>
            <w:vAlign w:val="bottom"/>
            <w:hideMark/>
          </w:tcPr>
          <w:p w14:paraId="67A077ED"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1.014</w:t>
            </w:r>
          </w:p>
        </w:tc>
        <w:tc>
          <w:tcPr>
            <w:tcW w:w="640" w:type="dxa"/>
            <w:tcBorders>
              <w:top w:val="nil"/>
              <w:left w:val="nil"/>
              <w:bottom w:val="single" w:sz="4" w:space="0" w:color="ADD6EA"/>
              <w:right w:val="nil"/>
            </w:tcBorders>
            <w:shd w:val="clear" w:color="000000" w:fill="FFFFFF"/>
            <w:vAlign w:val="bottom"/>
            <w:hideMark/>
          </w:tcPr>
          <w:p w14:paraId="1225B989"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1.022</w:t>
            </w:r>
          </w:p>
        </w:tc>
        <w:tc>
          <w:tcPr>
            <w:tcW w:w="800" w:type="dxa"/>
            <w:tcBorders>
              <w:top w:val="nil"/>
              <w:left w:val="nil"/>
              <w:bottom w:val="single" w:sz="4" w:space="0" w:color="ADD6EA"/>
              <w:right w:val="nil"/>
            </w:tcBorders>
            <w:shd w:val="clear" w:color="000000" w:fill="FFFFFF"/>
            <w:vAlign w:val="bottom"/>
            <w:hideMark/>
          </w:tcPr>
          <w:p w14:paraId="4C4B689A"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1.000</w:t>
            </w:r>
          </w:p>
        </w:tc>
      </w:tr>
      <w:tr w:rsidR="007E365E" w:rsidRPr="007C2C65" w14:paraId="33366C1E" w14:textId="77777777" w:rsidTr="007D1D77">
        <w:trPr>
          <w:trHeight w:val="315"/>
        </w:trPr>
        <w:tc>
          <w:tcPr>
            <w:tcW w:w="2560" w:type="dxa"/>
            <w:tcBorders>
              <w:top w:val="nil"/>
              <w:left w:val="nil"/>
              <w:bottom w:val="single" w:sz="4" w:space="0" w:color="ADD6EA"/>
              <w:right w:val="nil"/>
            </w:tcBorders>
            <w:shd w:val="clear" w:color="000000" w:fill="D6E7F0"/>
            <w:vAlign w:val="bottom"/>
            <w:hideMark/>
          </w:tcPr>
          <w:p w14:paraId="78E1007D" w14:textId="77777777" w:rsidR="007E365E" w:rsidRPr="007C2C65"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Assessed expenses ($m)</w:t>
            </w:r>
          </w:p>
        </w:tc>
        <w:tc>
          <w:tcPr>
            <w:tcW w:w="820" w:type="dxa"/>
            <w:tcBorders>
              <w:top w:val="nil"/>
              <w:left w:val="nil"/>
              <w:bottom w:val="single" w:sz="4" w:space="0" w:color="ADD6EA"/>
              <w:right w:val="nil"/>
            </w:tcBorders>
            <w:shd w:val="clear" w:color="000000" w:fill="D6E7F0"/>
            <w:vAlign w:val="bottom"/>
            <w:hideMark/>
          </w:tcPr>
          <w:p w14:paraId="6ADCB025"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528</w:t>
            </w:r>
          </w:p>
        </w:tc>
        <w:tc>
          <w:tcPr>
            <w:tcW w:w="680" w:type="dxa"/>
            <w:tcBorders>
              <w:top w:val="nil"/>
              <w:left w:val="nil"/>
              <w:bottom w:val="single" w:sz="4" w:space="0" w:color="ADD6EA"/>
              <w:right w:val="nil"/>
            </w:tcBorders>
            <w:shd w:val="clear" w:color="000000" w:fill="D6E7F0"/>
            <w:vAlign w:val="bottom"/>
            <w:hideMark/>
          </w:tcPr>
          <w:p w14:paraId="2F5E7BA5"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392</w:t>
            </w:r>
          </w:p>
        </w:tc>
        <w:tc>
          <w:tcPr>
            <w:tcW w:w="720" w:type="dxa"/>
            <w:tcBorders>
              <w:top w:val="nil"/>
              <w:left w:val="nil"/>
              <w:bottom w:val="single" w:sz="4" w:space="0" w:color="ADD6EA"/>
              <w:right w:val="nil"/>
            </w:tcBorders>
            <w:shd w:val="clear" w:color="000000" w:fill="D6E7F0"/>
            <w:vAlign w:val="bottom"/>
            <w:hideMark/>
          </w:tcPr>
          <w:p w14:paraId="56BA3AB0"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291</w:t>
            </w:r>
          </w:p>
        </w:tc>
        <w:tc>
          <w:tcPr>
            <w:tcW w:w="700" w:type="dxa"/>
            <w:tcBorders>
              <w:top w:val="nil"/>
              <w:left w:val="nil"/>
              <w:bottom w:val="single" w:sz="4" w:space="0" w:color="ADD6EA"/>
              <w:right w:val="nil"/>
            </w:tcBorders>
            <w:shd w:val="clear" w:color="000000" w:fill="D6E7F0"/>
            <w:vAlign w:val="bottom"/>
            <w:hideMark/>
          </w:tcPr>
          <w:p w14:paraId="416A524C"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169</w:t>
            </w:r>
          </w:p>
        </w:tc>
        <w:tc>
          <w:tcPr>
            <w:tcW w:w="620" w:type="dxa"/>
            <w:tcBorders>
              <w:top w:val="nil"/>
              <w:left w:val="nil"/>
              <w:bottom w:val="single" w:sz="4" w:space="0" w:color="ADD6EA"/>
              <w:right w:val="nil"/>
            </w:tcBorders>
            <w:shd w:val="clear" w:color="000000" w:fill="D6E7F0"/>
            <w:vAlign w:val="bottom"/>
            <w:hideMark/>
          </w:tcPr>
          <w:p w14:paraId="26E3F7B7"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94</w:t>
            </w:r>
          </w:p>
        </w:tc>
        <w:tc>
          <w:tcPr>
            <w:tcW w:w="700" w:type="dxa"/>
            <w:tcBorders>
              <w:top w:val="nil"/>
              <w:left w:val="nil"/>
              <w:bottom w:val="single" w:sz="4" w:space="0" w:color="ADD6EA"/>
              <w:right w:val="nil"/>
            </w:tcBorders>
            <w:shd w:val="clear" w:color="000000" w:fill="D6E7F0"/>
            <w:vAlign w:val="bottom"/>
            <w:hideMark/>
          </w:tcPr>
          <w:p w14:paraId="12A2F39C"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27</w:t>
            </w:r>
          </w:p>
        </w:tc>
        <w:tc>
          <w:tcPr>
            <w:tcW w:w="720" w:type="dxa"/>
            <w:tcBorders>
              <w:top w:val="nil"/>
              <w:left w:val="nil"/>
              <w:bottom w:val="single" w:sz="4" w:space="0" w:color="ADD6EA"/>
              <w:right w:val="nil"/>
            </w:tcBorders>
            <w:shd w:val="clear" w:color="000000" w:fill="D6E7F0"/>
            <w:vAlign w:val="bottom"/>
            <w:hideMark/>
          </w:tcPr>
          <w:p w14:paraId="10687021"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30</w:t>
            </w:r>
          </w:p>
        </w:tc>
        <w:tc>
          <w:tcPr>
            <w:tcW w:w="640" w:type="dxa"/>
            <w:tcBorders>
              <w:top w:val="nil"/>
              <w:left w:val="nil"/>
              <w:bottom w:val="single" w:sz="4" w:space="0" w:color="ADD6EA"/>
              <w:right w:val="nil"/>
            </w:tcBorders>
            <w:shd w:val="clear" w:color="000000" w:fill="D6E7F0"/>
            <w:vAlign w:val="bottom"/>
            <w:hideMark/>
          </w:tcPr>
          <w:p w14:paraId="11A26E45"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21</w:t>
            </w:r>
          </w:p>
        </w:tc>
        <w:tc>
          <w:tcPr>
            <w:tcW w:w="800" w:type="dxa"/>
            <w:tcBorders>
              <w:top w:val="nil"/>
              <w:left w:val="nil"/>
              <w:bottom w:val="single" w:sz="4" w:space="0" w:color="ADD6EA"/>
              <w:right w:val="nil"/>
            </w:tcBorders>
            <w:shd w:val="clear" w:color="000000" w:fill="D6E7F0"/>
            <w:vAlign w:val="bottom"/>
            <w:hideMark/>
          </w:tcPr>
          <w:p w14:paraId="1F6CFD19"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1,555</w:t>
            </w:r>
          </w:p>
        </w:tc>
      </w:tr>
      <w:tr w:rsidR="007E365E" w:rsidRPr="007C2C65" w14:paraId="232CDC0F" w14:textId="77777777" w:rsidTr="007D1D77">
        <w:trPr>
          <w:trHeight w:val="315"/>
        </w:trPr>
        <w:tc>
          <w:tcPr>
            <w:tcW w:w="2560" w:type="dxa"/>
            <w:tcBorders>
              <w:top w:val="nil"/>
              <w:left w:val="nil"/>
              <w:bottom w:val="single" w:sz="4" w:space="0" w:color="ADD6EA"/>
              <w:right w:val="nil"/>
            </w:tcBorders>
            <w:shd w:val="clear" w:color="000000" w:fill="D6E7F0"/>
            <w:vAlign w:val="bottom"/>
            <w:hideMark/>
          </w:tcPr>
          <w:p w14:paraId="49DE920A" w14:textId="77777777" w:rsidR="007E365E" w:rsidRPr="007C2C65"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Assessed expenses ($pc)</w:t>
            </w:r>
          </w:p>
        </w:tc>
        <w:tc>
          <w:tcPr>
            <w:tcW w:w="820" w:type="dxa"/>
            <w:tcBorders>
              <w:top w:val="nil"/>
              <w:left w:val="nil"/>
              <w:bottom w:val="single" w:sz="4" w:space="0" w:color="ADD6EA"/>
              <w:right w:val="nil"/>
            </w:tcBorders>
            <w:shd w:val="clear" w:color="000000" w:fill="D6E7F0"/>
            <w:vAlign w:val="bottom"/>
            <w:hideMark/>
          </w:tcPr>
          <w:p w14:paraId="7A956CFC"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66</w:t>
            </w:r>
          </w:p>
        </w:tc>
        <w:tc>
          <w:tcPr>
            <w:tcW w:w="680" w:type="dxa"/>
            <w:tcBorders>
              <w:top w:val="nil"/>
              <w:left w:val="nil"/>
              <w:bottom w:val="single" w:sz="4" w:space="0" w:color="ADD6EA"/>
              <w:right w:val="nil"/>
            </w:tcBorders>
            <w:shd w:val="clear" w:color="000000" w:fill="D6E7F0"/>
            <w:vAlign w:val="bottom"/>
            <w:hideMark/>
          </w:tcPr>
          <w:p w14:paraId="5182FA34"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60</w:t>
            </w:r>
          </w:p>
        </w:tc>
        <w:tc>
          <w:tcPr>
            <w:tcW w:w="720" w:type="dxa"/>
            <w:tcBorders>
              <w:top w:val="nil"/>
              <w:left w:val="nil"/>
              <w:bottom w:val="single" w:sz="4" w:space="0" w:color="ADD6EA"/>
              <w:right w:val="nil"/>
            </w:tcBorders>
            <w:shd w:val="clear" w:color="000000" w:fill="D6E7F0"/>
            <w:vAlign w:val="bottom"/>
            <w:hideMark/>
          </w:tcPr>
          <w:p w14:paraId="28C58412"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58</w:t>
            </w:r>
          </w:p>
        </w:tc>
        <w:tc>
          <w:tcPr>
            <w:tcW w:w="700" w:type="dxa"/>
            <w:tcBorders>
              <w:top w:val="nil"/>
              <w:left w:val="nil"/>
              <w:bottom w:val="single" w:sz="4" w:space="0" w:color="ADD6EA"/>
              <w:right w:val="nil"/>
            </w:tcBorders>
            <w:shd w:val="clear" w:color="000000" w:fill="D6E7F0"/>
            <w:vAlign w:val="bottom"/>
            <w:hideMark/>
          </w:tcPr>
          <w:p w14:paraId="3C685E96"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65</w:t>
            </w:r>
          </w:p>
        </w:tc>
        <w:tc>
          <w:tcPr>
            <w:tcW w:w="620" w:type="dxa"/>
            <w:tcBorders>
              <w:top w:val="nil"/>
              <w:left w:val="nil"/>
              <w:bottom w:val="single" w:sz="4" w:space="0" w:color="ADD6EA"/>
              <w:right w:val="nil"/>
            </w:tcBorders>
            <w:shd w:val="clear" w:color="000000" w:fill="D6E7F0"/>
            <w:vAlign w:val="bottom"/>
            <w:hideMark/>
          </w:tcPr>
          <w:p w14:paraId="0B01753D"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54</w:t>
            </w:r>
          </w:p>
        </w:tc>
        <w:tc>
          <w:tcPr>
            <w:tcW w:w="700" w:type="dxa"/>
            <w:tcBorders>
              <w:top w:val="nil"/>
              <w:left w:val="nil"/>
              <w:bottom w:val="single" w:sz="4" w:space="0" w:color="ADD6EA"/>
              <w:right w:val="nil"/>
            </w:tcBorders>
            <w:shd w:val="clear" w:color="000000" w:fill="D6E7F0"/>
            <w:vAlign w:val="bottom"/>
            <w:hideMark/>
          </w:tcPr>
          <w:p w14:paraId="51FB6958"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51</w:t>
            </w:r>
          </w:p>
        </w:tc>
        <w:tc>
          <w:tcPr>
            <w:tcW w:w="720" w:type="dxa"/>
            <w:tcBorders>
              <w:top w:val="nil"/>
              <w:left w:val="nil"/>
              <w:bottom w:val="single" w:sz="4" w:space="0" w:color="ADD6EA"/>
              <w:right w:val="nil"/>
            </w:tcBorders>
            <w:shd w:val="clear" w:color="000000" w:fill="D6E7F0"/>
            <w:vAlign w:val="bottom"/>
            <w:hideMark/>
          </w:tcPr>
          <w:p w14:paraId="35053A0C"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70</w:t>
            </w:r>
          </w:p>
        </w:tc>
        <w:tc>
          <w:tcPr>
            <w:tcW w:w="640" w:type="dxa"/>
            <w:tcBorders>
              <w:top w:val="nil"/>
              <w:left w:val="nil"/>
              <w:bottom w:val="single" w:sz="4" w:space="0" w:color="ADD6EA"/>
              <w:right w:val="nil"/>
            </w:tcBorders>
            <w:shd w:val="clear" w:color="000000" w:fill="D6E7F0"/>
            <w:vAlign w:val="bottom"/>
            <w:hideMark/>
          </w:tcPr>
          <w:p w14:paraId="2490B979"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86</w:t>
            </w:r>
          </w:p>
        </w:tc>
        <w:tc>
          <w:tcPr>
            <w:tcW w:w="800" w:type="dxa"/>
            <w:tcBorders>
              <w:top w:val="nil"/>
              <w:left w:val="nil"/>
              <w:bottom w:val="single" w:sz="4" w:space="0" w:color="ADD6EA"/>
              <w:right w:val="nil"/>
            </w:tcBorders>
            <w:shd w:val="clear" w:color="000000" w:fill="D6E7F0"/>
            <w:vAlign w:val="bottom"/>
            <w:hideMark/>
          </w:tcPr>
          <w:p w14:paraId="5F282C00"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62</w:t>
            </w:r>
          </w:p>
        </w:tc>
      </w:tr>
    </w:tbl>
    <w:p w14:paraId="0B03000C" w14:textId="77777777" w:rsidR="007E365E" w:rsidRDefault="007E365E" w:rsidP="007E365E">
      <w:pPr>
        <w:pStyle w:val="CGCTablenote"/>
      </w:pPr>
      <w:r>
        <w:t>Source:</w:t>
      </w:r>
      <w:r>
        <w:tab/>
        <w:t>Commission calculation.</w:t>
      </w:r>
    </w:p>
    <w:p w14:paraId="0D25829C" w14:textId="77777777" w:rsidR="007E365E" w:rsidRDefault="007E365E" w:rsidP="007E365E">
      <w:pPr>
        <w:pStyle w:val="Heading4"/>
      </w:pPr>
      <w:bookmarkStart w:id="313" w:name="_Toc4686171"/>
      <w:bookmarkStart w:id="314" w:name="_Toc22807487"/>
      <w:r>
        <w:t>Business development</w:t>
      </w:r>
      <w:bookmarkEnd w:id="313"/>
      <w:bookmarkEnd w:id="314"/>
    </w:p>
    <w:p w14:paraId="731061A0" w14:textId="3BB1430F" w:rsidR="007E365E" w:rsidRPr="00DE4F63" w:rsidRDefault="007E365E" w:rsidP="007E365E">
      <w:pPr>
        <w:pStyle w:val="CGCParaNumber"/>
      </w:pPr>
      <w:r w:rsidRPr="00DE4F63">
        <w:t xml:space="preserve">Expenses for this component include business development expenses for agriculture, mining and other industries. Business development expenses account for </w:t>
      </w:r>
      <w:r>
        <w:t xml:space="preserve">50% </w:t>
      </w:r>
      <w:r w:rsidRPr="00DE4F63">
        <w:t xml:space="preserve">of agriculture expenses, </w:t>
      </w:r>
      <w:r>
        <w:t>20</w:t>
      </w:r>
      <w:r w:rsidRPr="00DE4F63">
        <w:t xml:space="preserve">% of mining expenses and </w:t>
      </w:r>
      <w:r>
        <w:t>47</w:t>
      </w:r>
      <w:r w:rsidRPr="00DE4F63">
        <w:t xml:space="preserve">% of other industries </w:t>
      </w:r>
      <w:r>
        <w:t xml:space="preserve">(see </w:t>
      </w:r>
      <w:r>
        <w:fldChar w:fldCharType="begin"/>
      </w:r>
      <w:r>
        <w:instrText xml:space="preserve"> REF _Ref22725548 \h </w:instrText>
      </w:r>
      <w:r>
        <w:fldChar w:fldCharType="separate"/>
      </w:r>
      <w:r w:rsidR="007F721A">
        <w:t>Table 22-</w:t>
      </w:r>
      <w:r w:rsidR="007F721A">
        <w:rPr>
          <w:noProof/>
        </w:rPr>
        <w:t>6</w:t>
      </w:r>
      <w:r>
        <w:fldChar w:fldCharType="end"/>
      </w:r>
      <w:r>
        <w:t>), or about 50% of total category expenses.</w:t>
      </w:r>
    </w:p>
    <w:p w14:paraId="567E37DA" w14:textId="77777777" w:rsidR="007E365E" w:rsidRDefault="007E365E" w:rsidP="007E365E">
      <w:pPr>
        <w:pStyle w:val="CGCParaNumber"/>
      </w:pPr>
      <w:r>
        <w:lastRenderedPageBreak/>
        <w:t>Business development expenses are assessed EPC because population is considered the driver</w:t>
      </w:r>
      <w:r w:rsidRPr="00FB7D06">
        <w:t>.</w:t>
      </w:r>
      <w:r>
        <w:t xml:space="preserve"> Most States supported or did not comment on this approach.</w:t>
      </w:r>
    </w:p>
    <w:p w14:paraId="4331826F" w14:textId="77777777" w:rsidR="007E365E" w:rsidRPr="00CC13CC" w:rsidRDefault="007E365E" w:rsidP="007E365E">
      <w:pPr>
        <w:pStyle w:val="CGCParaNumber"/>
      </w:pPr>
      <w:r w:rsidRPr="00CC13CC">
        <w:t xml:space="preserve">Western Australia proposed an assessment of assistance for existing industries using industry activity measures because assistance relates to export and private investment opportunities, and existing industry activity provides a guide to where these opportunities exist. It supported an EPC assessment for assistance to develop new industries. </w:t>
      </w:r>
    </w:p>
    <w:p w14:paraId="5D65A6CD" w14:textId="77777777" w:rsidR="007E365E" w:rsidRPr="00CC13CC" w:rsidRDefault="007E365E" w:rsidP="007E365E">
      <w:pPr>
        <w:pStyle w:val="CGCParaNumber"/>
      </w:pPr>
      <w:r w:rsidRPr="00CC13CC">
        <w:t xml:space="preserve">In contrast, the Northern Territory said that States with a proportionately larger public sector workforce spend more on business development to facilitate the development and diversification of the private sector. It further argued that States with high levels of private </w:t>
      </w:r>
      <w:r>
        <w:t>business</w:t>
      </w:r>
      <w:r w:rsidRPr="00CC13CC">
        <w:t xml:space="preserve"> investment to facilitate growth and development may not require as much business development expenditure. </w:t>
      </w:r>
    </w:p>
    <w:p w14:paraId="1FBCF572" w14:textId="77777777" w:rsidR="007E365E" w:rsidRPr="00CC13CC" w:rsidRDefault="007E365E" w:rsidP="007E365E">
      <w:pPr>
        <w:pStyle w:val="CGCParaNumber"/>
      </w:pPr>
      <w:r w:rsidRPr="00CC13CC">
        <w:t>The views of Western Australia and the Northern Territory illustrate the challenge for the Commission in identifying a policy neutral driver for business development expenses. Western</w:t>
      </w:r>
      <w:r>
        <w:t> </w:t>
      </w:r>
      <w:r w:rsidRPr="00CC13CC">
        <w:t>Australia argued the presence of existing industries provides a partial guide to where business development opportunities are. The presence of an industry would indicate a level of comparative advantage that the State would want to leverage through its development policies. In contrast, the Northern Territory argued the absence of a well</w:t>
      </w:r>
      <w:r w:rsidRPr="00CC13CC">
        <w:noBreakHyphen/>
        <w:t xml:space="preserve">established private sector is the driver. Its economic development policies aim to attract new businesses and industries, </w:t>
      </w:r>
      <w:r>
        <w:t>to</w:t>
      </w:r>
      <w:r w:rsidRPr="00CC13CC">
        <w:t xml:space="preserve"> diversify its economy.</w:t>
      </w:r>
    </w:p>
    <w:p w14:paraId="2F20CA44" w14:textId="77777777" w:rsidR="007E365E" w:rsidRPr="00CC13CC" w:rsidRDefault="007E365E" w:rsidP="007E365E">
      <w:pPr>
        <w:pStyle w:val="CGCParaNumber"/>
      </w:pPr>
      <w:r w:rsidRPr="00CC13CC">
        <w:t xml:space="preserve">The arguments put by Western Australia and the Northern Territory are plausible from their perspective, but neither State presented evidence that would allow the Commission to form a view on which circumstance results in a greater need for business development. </w:t>
      </w:r>
    </w:p>
    <w:p w14:paraId="17FC60DB" w14:textId="77777777" w:rsidR="007E365E" w:rsidRPr="00CC13CC" w:rsidRDefault="007E365E" w:rsidP="007E365E">
      <w:pPr>
        <w:pStyle w:val="CGCParaNumber"/>
      </w:pPr>
      <w:r w:rsidRPr="00CC13CC">
        <w:t xml:space="preserve">The Commission observes that all States have policies to develop their businesses, industries and regions. Some business development activities are broad and common across States, for example, tourism, trade and investment promotion, and business support. Other business development activities have a particular industry focus, for example, agriculture, mining, manufacturing, health or education. States have considerable discretion over the amount and types of programs that receive funding. The Commission considers that population remains the appropriate driver and has therefore retained an EPC assessment of business development expenses. Given this </w:t>
      </w:r>
      <w:r>
        <w:t xml:space="preserve">is </w:t>
      </w:r>
      <w:r w:rsidRPr="00CC13CC">
        <w:t>a deliberative EPC assessment, any related Commonwealth payments should affect State fiscal capacities.</w:t>
      </w:r>
    </w:p>
    <w:p w14:paraId="481C7658" w14:textId="77777777" w:rsidR="007E365E" w:rsidRPr="00CC13CC" w:rsidRDefault="007E365E" w:rsidP="007E365E">
      <w:pPr>
        <w:pStyle w:val="CGCParaNumber"/>
      </w:pPr>
      <w:r w:rsidRPr="00CC13CC">
        <w:t>Drought assistance is a special case. The Commission has not been able to identify a policy neutral driver of drought assistance expenses. State spending on drought assistance is assessed EPC but it is not considered a deliberative EPC assessment. As such, any related Commonwealth payments should not affect State fiscal capacities.</w:t>
      </w:r>
    </w:p>
    <w:p w14:paraId="06F4DE12" w14:textId="77777777" w:rsidR="007E365E" w:rsidRPr="00CC13CC" w:rsidRDefault="007E365E" w:rsidP="007E365E">
      <w:pPr>
        <w:pStyle w:val="Heading5"/>
      </w:pPr>
      <w:r w:rsidRPr="00CC13CC">
        <w:t>Regional costs</w:t>
      </w:r>
    </w:p>
    <w:p w14:paraId="7AF812AE" w14:textId="77777777" w:rsidR="007E365E" w:rsidRPr="00CC13CC" w:rsidRDefault="007E365E" w:rsidP="007E365E">
      <w:pPr>
        <w:pStyle w:val="CGCParaNumber"/>
      </w:pPr>
      <w:r w:rsidRPr="00CC13CC">
        <w:t xml:space="preserve">The Commission considers that </w:t>
      </w:r>
      <w:r>
        <w:t>most</w:t>
      </w:r>
      <w:r w:rsidRPr="00CC13CC">
        <w:t xml:space="preserve"> business development activities are based in capital cities and has decided not to apply regional cost disabilities. </w:t>
      </w:r>
      <w:bookmarkStart w:id="315" w:name="_Ref10105462"/>
      <w:r w:rsidRPr="00CC13CC">
        <w:t xml:space="preserve">Most States agreed. </w:t>
      </w:r>
    </w:p>
    <w:p w14:paraId="19F19B9E" w14:textId="76588FD5" w:rsidR="007E365E" w:rsidRPr="00CC13CC" w:rsidRDefault="007E365E" w:rsidP="007E365E">
      <w:pPr>
        <w:pStyle w:val="CGCParaNumber"/>
      </w:pPr>
      <w:r w:rsidRPr="00CC13CC">
        <w:t>Western Australia maintained that a regional cost factor should be applied to business development expenses. It said it has regional development commissions in most of the major regions of the State including the Kimberley and Pilbara. In addition, agriculture business development has a regional focus.</w:t>
      </w:r>
      <w:bookmarkEnd w:id="315"/>
      <w:r w:rsidRPr="00CC13CC">
        <w:t xml:space="preserve"> </w:t>
      </w:r>
    </w:p>
    <w:p w14:paraId="64EBC05B" w14:textId="1DFD26AA" w:rsidR="007E365E" w:rsidRPr="00CC13CC" w:rsidRDefault="007E365E" w:rsidP="007E365E">
      <w:pPr>
        <w:pStyle w:val="CGCParaNumber"/>
      </w:pPr>
      <w:bookmarkStart w:id="316" w:name="_Ref4741099"/>
      <w:r w:rsidRPr="00CC13CC">
        <w:t xml:space="preserve">A significant proportion of business development expenses are incurred in capital cities (for example, tourism, trade and investment promotion, business support, or are provided as </w:t>
      </w:r>
      <w:r w:rsidRPr="00CC13CC">
        <w:lastRenderedPageBreak/>
        <w:t>grants or subsidies to businesses or industry. The amounts allocated for grants and subsidies are set amounts with no provision for regional or other costs. The Commission therefore does not agree that regional cost disabilities should apply to business development expenses.</w:t>
      </w:r>
      <w:bookmarkEnd w:id="316"/>
      <w:r w:rsidRPr="00CC13CC">
        <w:t xml:space="preserve"> </w:t>
      </w:r>
    </w:p>
    <w:p w14:paraId="433F5998" w14:textId="77777777" w:rsidR="007E365E" w:rsidRDefault="007E365E" w:rsidP="007E365E">
      <w:pPr>
        <w:pStyle w:val="Heading5"/>
      </w:pPr>
      <w:r>
        <w:t>Wage costs</w:t>
      </w:r>
    </w:p>
    <w:p w14:paraId="705D03B1" w14:textId="77777777" w:rsidR="007E365E" w:rsidRDefault="007E365E" w:rsidP="007E365E">
      <w:pPr>
        <w:pStyle w:val="CGCParaNumber"/>
      </w:pPr>
      <w:r>
        <w:t xml:space="preserve">Differences in wage costs between States have a differential effect on the cost of providing services. There is a general method for measuring the influence of wage costs in components where the disability applies. For a description of the method, see Chapter 27 Wages costs. </w:t>
      </w:r>
    </w:p>
    <w:p w14:paraId="3B639796" w14:textId="77777777" w:rsidR="007E365E" w:rsidRDefault="007E365E" w:rsidP="007E365E">
      <w:pPr>
        <w:pStyle w:val="Heading5"/>
      </w:pPr>
      <w:r>
        <w:t>Data and method</w:t>
      </w:r>
    </w:p>
    <w:p w14:paraId="76BB19C0" w14:textId="77777777" w:rsidR="007E365E" w:rsidRDefault="007E365E" w:rsidP="007E365E">
      <w:pPr>
        <w:pStyle w:val="CGCParaNumber"/>
      </w:pPr>
      <w:r>
        <w:t xml:space="preserve">Assessed expenses are calculated by applying State population shares to total </w:t>
      </w:r>
      <w:r w:rsidRPr="003A47A1">
        <w:t>expenses</w:t>
      </w:r>
      <w:r>
        <w:t>, then applying the wage costs factors.</w:t>
      </w:r>
    </w:p>
    <w:p w14:paraId="02D7C6CD" w14:textId="77777777" w:rsidR="007E365E" w:rsidRDefault="007E365E" w:rsidP="007E365E">
      <w:pPr>
        <w:pStyle w:val="Heading5"/>
      </w:pPr>
      <w:r>
        <w:t>Component calculations</w:t>
      </w:r>
    </w:p>
    <w:p w14:paraId="2AF25741" w14:textId="6EF7391B" w:rsidR="007E365E" w:rsidRPr="00FD4FDC" w:rsidRDefault="007E365E" w:rsidP="007E365E">
      <w:pPr>
        <w:pStyle w:val="CGCParaNumber"/>
      </w:pPr>
      <w:r>
        <w:fldChar w:fldCharType="begin"/>
      </w:r>
      <w:r>
        <w:instrText xml:space="preserve"> REF _Ref4049400 \h </w:instrText>
      </w:r>
      <w:r>
        <w:fldChar w:fldCharType="separate"/>
      </w:r>
      <w:r w:rsidR="007F721A">
        <w:t>Table 22-</w:t>
      </w:r>
      <w:r w:rsidR="007F721A">
        <w:rPr>
          <w:noProof/>
        </w:rPr>
        <w:t>11</w:t>
      </w:r>
      <w:r>
        <w:fldChar w:fldCharType="end"/>
      </w:r>
      <w:r>
        <w:t xml:space="preserve"> shows the calculation of assessed expenses for the component in 2018-19.</w:t>
      </w:r>
    </w:p>
    <w:p w14:paraId="2E0A159C" w14:textId="2242E0B3" w:rsidR="007E365E" w:rsidRDefault="007E365E" w:rsidP="007E365E">
      <w:pPr>
        <w:pStyle w:val="Caption"/>
      </w:pPr>
      <w:bookmarkStart w:id="317" w:name="_Ref4049400"/>
      <w:r>
        <w:t>Table 22-</w:t>
      </w:r>
      <w:fldSimple w:instr=" SEQ Table \* ARABIC ">
        <w:r w:rsidR="007F721A">
          <w:rPr>
            <w:noProof/>
          </w:rPr>
          <w:t>11</w:t>
        </w:r>
      </w:fldSimple>
      <w:bookmarkEnd w:id="317"/>
      <w:r>
        <w:tab/>
        <w:t>Business development component assessment, 2018-19</w:t>
      </w:r>
    </w:p>
    <w:tbl>
      <w:tblPr>
        <w:tblW w:w="8960" w:type="dxa"/>
        <w:tblCellMar>
          <w:left w:w="28" w:type="dxa"/>
          <w:right w:w="28" w:type="dxa"/>
        </w:tblCellMar>
        <w:tblLook w:val="04A0" w:firstRow="1" w:lastRow="0" w:firstColumn="1" w:lastColumn="0" w:noHBand="0" w:noVBand="1"/>
      </w:tblPr>
      <w:tblGrid>
        <w:gridCol w:w="2560"/>
        <w:gridCol w:w="820"/>
        <w:gridCol w:w="680"/>
        <w:gridCol w:w="720"/>
        <w:gridCol w:w="700"/>
        <w:gridCol w:w="620"/>
        <w:gridCol w:w="700"/>
        <w:gridCol w:w="720"/>
        <w:gridCol w:w="640"/>
        <w:gridCol w:w="800"/>
      </w:tblGrid>
      <w:tr w:rsidR="007E365E" w:rsidRPr="007C2C65" w14:paraId="3E31E822" w14:textId="77777777" w:rsidTr="007D1D77">
        <w:trPr>
          <w:trHeight w:val="375"/>
        </w:trPr>
        <w:tc>
          <w:tcPr>
            <w:tcW w:w="2560" w:type="dxa"/>
            <w:tcBorders>
              <w:top w:val="single" w:sz="4" w:space="0" w:color="ADD6EA"/>
              <w:left w:val="nil"/>
              <w:bottom w:val="single" w:sz="4" w:space="0" w:color="ADD6EA"/>
              <w:right w:val="nil"/>
            </w:tcBorders>
            <w:shd w:val="clear" w:color="000000" w:fill="006991"/>
            <w:vAlign w:val="center"/>
            <w:hideMark/>
          </w:tcPr>
          <w:p w14:paraId="53EBC69B" w14:textId="77777777" w:rsidR="007E365E" w:rsidRPr="007C2C65"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 </w:t>
            </w:r>
          </w:p>
        </w:tc>
        <w:tc>
          <w:tcPr>
            <w:tcW w:w="820" w:type="dxa"/>
            <w:tcBorders>
              <w:top w:val="single" w:sz="4" w:space="0" w:color="ADD6EA"/>
              <w:left w:val="nil"/>
              <w:bottom w:val="single" w:sz="4" w:space="0" w:color="ADD6EA"/>
              <w:right w:val="nil"/>
            </w:tcBorders>
            <w:shd w:val="clear" w:color="000000" w:fill="006991"/>
            <w:vAlign w:val="center"/>
            <w:hideMark/>
          </w:tcPr>
          <w:p w14:paraId="172F0659"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NSW</w:t>
            </w:r>
          </w:p>
        </w:tc>
        <w:tc>
          <w:tcPr>
            <w:tcW w:w="680" w:type="dxa"/>
            <w:tcBorders>
              <w:top w:val="single" w:sz="4" w:space="0" w:color="ADD6EA"/>
              <w:left w:val="nil"/>
              <w:bottom w:val="single" w:sz="4" w:space="0" w:color="ADD6EA"/>
              <w:right w:val="nil"/>
            </w:tcBorders>
            <w:shd w:val="clear" w:color="000000" w:fill="006991"/>
            <w:vAlign w:val="center"/>
            <w:hideMark/>
          </w:tcPr>
          <w:p w14:paraId="0213363D"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vAlign w:val="center"/>
            <w:hideMark/>
          </w:tcPr>
          <w:p w14:paraId="36147496"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49C981B3"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WA</w:t>
            </w:r>
          </w:p>
        </w:tc>
        <w:tc>
          <w:tcPr>
            <w:tcW w:w="620" w:type="dxa"/>
            <w:tcBorders>
              <w:top w:val="single" w:sz="4" w:space="0" w:color="ADD6EA"/>
              <w:left w:val="nil"/>
              <w:bottom w:val="single" w:sz="4" w:space="0" w:color="ADD6EA"/>
              <w:right w:val="nil"/>
            </w:tcBorders>
            <w:shd w:val="clear" w:color="000000" w:fill="006991"/>
            <w:vAlign w:val="center"/>
            <w:hideMark/>
          </w:tcPr>
          <w:p w14:paraId="52818D63"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4F19F53E"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31E2230A"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single" w:sz="4" w:space="0" w:color="ADD6EA"/>
              <w:right w:val="nil"/>
            </w:tcBorders>
            <w:shd w:val="clear" w:color="000000" w:fill="006991"/>
            <w:vAlign w:val="center"/>
            <w:hideMark/>
          </w:tcPr>
          <w:p w14:paraId="4B671677"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NT</w:t>
            </w:r>
          </w:p>
        </w:tc>
        <w:tc>
          <w:tcPr>
            <w:tcW w:w="800" w:type="dxa"/>
            <w:tcBorders>
              <w:top w:val="single" w:sz="4" w:space="0" w:color="ADD6EA"/>
              <w:left w:val="nil"/>
              <w:bottom w:val="single" w:sz="4" w:space="0" w:color="ADD6EA"/>
              <w:right w:val="nil"/>
            </w:tcBorders>
            <w:shd w:val="clear" w:color="000000" w:fill="006991"/>
            <w:vAlign w:val="center"/>
            <w:hideMark/>
          </w:tcPr>
          <w:p w14:paraId="4CD5B948"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2C65">
              <w:rPr>
                <w:rFonts w:ascii="Open Sans SemiBold" w:eastAsia="Times New Roman" w:hAnsi="Open Sans SemiBold" w:cs="Open Sans SemiBold"/>
                <w:color w:val="FFFFFF"/>
                <w:sz w:val="16"/>
                <w:szCs w:val="16"/>
                <w:lang w:eastAsia="en-AU"/>
              </w:rPr>
              <w:t>Total</w:t>
            </w:r>
          </w:p>
        </w:tc>
      </w:tr>
      <w:tr w:rsidR="007E365E" w:rsidRPr="007C2C65" w14:paraId="545CD74B" w14:textId="77777777" w:rsidTr="007D1D77">
        <w:trPr>
          <w:trHeight w:val="315"/>
        </w:trPr>
        <w:tc>
          <w:tcPr>
            <w:tcW w:w="2560" w:type="dxa"/>
            <w:tcBorders>
              <w:top w:val="nil"/>
              <w:left w:val="nil"/>
              <w:bottom w:val="single" w:sz="4" w:space="0" w:color="ADD6EA"/>
              <w:right w:val="nil"/>
            </w:tcBorders>
            <w:shd w:val="clear" w:color="000000" w:fill="FFFFFF"/>
            <w:vAlign w:val="bottom"/>
            <w:hideMark/>
          </w:tcPr>
          <w:p w14:paraId="1BA32630" w14:textId="77777777" w:rsidR="007E365E" w:rsidRPr="007C2C65" w:rsidRDefault="007E365E" w:rsidP="007D1D77">
            <w:pPr>
              <w:tabs>
                <w:tab w:val="clear" w:pos="567"/>
              </w:tabs>
              <w:spacing w:before="0" w:line="240" w:lineRule="auto"/>
              <w:rPr>
                <w:rFonts w:eastAsia="Times New Roman" w:cs="Open Sans Light"/>
                <w:sz w:val="16"/>
                <w:szCs w:val="16"/>
                <w:lang w:eastAsia="en-AU"/>
              </w:rPr>
            </w:pPr>
            <w:r w:rsidRPr="007C2C65">
              <w:rPr>
                <w:rFonts w:eastAsia="Times New Roman" w:cs="Open Sans Light"/>
                <w:sz w:val="16"/>
                <w:szCs w:val="16"/>
                <w:lang w:eastAsia="en-AU"/>
              </w:rPr>
              <w:t>EPC ($m)</w:t>
            </w:r>
          </w:p>
        </w:tc>
        <w:tc>
          <w:tcPr>
            <w:tcW w:w="820" w:type="dxa"/>
            <w:tcBorders>
              <w:top w:val="nil"/>
              <w:left w:val="nil"/>
              <w:bottom w:val="single" w:sz="4" w:space="0" w:color="ADD6EA"/>
              <w:right w:val="nil"/>
            </w:tcBorders>
            <w:shd w:val="clear" w:color="000000" w:fill="FFFFFF"/>
            <w:vAlign w:val="bottom"/>
            <w:hideMark/>
          </w:tcPr>
          <w:p w14:paraId="5CFCBE00"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868</w:t>
            </w:r>
          </w:p>
        </w:tc>
        <w:tc>
          <w:tcPr>
            <w:tcW w:w="680" w:type="dxa"/>
            <w:tcBorders>
              <w:top w:val="nil"/>
              <w:left w:val="nil"/>
              <w:bottom w:val="single" w:sz="4" w:space="0" w:color="ADD6EA"/>
              <w:right w:val="nil"/>
            </w:tcBorders>
            <w:shd w:val="clear" w:color="000000" w:fill="FFFFFF"/>
            <w:vAlign w:val="bottom"/>
            <w:hideMark/>
          </w:tcPr>
          <w:p w14:paraId="6711F98A"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705</w:t>
            </w:r>
          </w:p>
        </w:tc>
        <w:tc>
          <w:tcPr>
            <w:tcW w:w="720" w:type="dxa"/>
            <w:tcBorders>
              <w:top w:val="nil"/>
              <w:left w:val="nil"/>
              <w:bottom w:val="single" w:sz="4" w:space="0" w:color="ADD6EA"/>
              <w:right w:val="nil"/>
            </w:tcBorders>
            <w:shd w:val="clear" w:color="000000" w:fill="FFFFFF"/>
            <w:vAlign w:val="bottom"/>
            <w:hideMark/>
          </w:tcPr>
          <w:p w14:paraId="379F006B"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546</w:t>
            </w:r>
          </w:p>
        </w:tc>
        <w:tc>
          <w:tcPr>
            <w:tcW w:w="700" w:type="dxa"/>
            <w:tcBorders>
              <w:top w:val="nil"/>
              <w:left w:val="nil"/>
              <w:bottom w:val="single" w:sz="4" w:space="0" w:color="ADD6EA"/>
              <w:right w:val="nil"/>
            </w:tcBorders>
            <w:shd w:val="clear" w:color="000000" w:fill="FFFFFF"/>
            <w:vAlign w:val="bottom"/>
            <w:hideMark/>
          </w:tcPr>
          <w:p w14:paraId="69DFE82D"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282</w:t>
            </w:r>
          </w:p>
        </w:tc>
        <w:tc>
          <w:tcPr>
            <w:tcW w:w="620" w:type="dxa"/>
            <w:tcBorders>
              <w:top w:val="nil"/>
              <w:left w:val="nil"/>
              <w:bottom w:val="single" w:sz="4" w:space="0" w:color="ADD6EA"/>
              <w:right w:val="nil"/>
            </w:tcBorders>
            <w:shd w:val="clear" w:color="000000" w:fill="FFFFFF"/>
            <w:vAlign w:val="bottom"/>
            <w:hideMark/>
          </w:tcPr>
          <w:p w14:paraId="4DDB0859"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188</w:t>
            </w:r>
          </w:p>
        </w:tc>
        <w:tc>
          <w:tcPr>
            <w:tcW w:w="700" w:type="dxa"/>
            <w:tcBorders>
              <w:top w:val="nil"/>
              <w:left w:val="nil"/>
              <w:bottom w:val="single" w:sz="4" w:space="0" w:color="ADD6EA"/>
              <w:right w:val="nil"/>
            </w:tcBorders>
            <w:shd w:val="clear" w:color="000000" w:fill="FFFFFF"/>
            <w:vAlign w:val="bottom"/>
            <w:hideMark/>
          </w:tcPr>
          <w:p w14:paraId="66DC1DCA"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57</w:t>
            </w:r>
          </w:p>
        </w:tc>
        <w:tc>
          <w:tcPr>
            <w:tcW w:w="720" w:type="dxa"/>
            <w:tcBorders>
              <w:top w:val="nil"/>
              <w:left w:val="nil"/>
              <w:bottom w:val="single" w:sz="4" w:space="0" w:color="ADD6EA"/>
              <w:right w:val="nil"/>
            </w:tcBorders>
            <w:shd w:val="clear" w:color="000000" w:fill="FFFFFF"/>
            <w:vAlign w:val="bottom"/>
            <w:hideMark/>
          </w:tcPr>
          <w:p w14:paraId="256FB7F5"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46</w:t>
            </w:r>
          </w:p>
        </w:tc>
        <w:tc>
          <w:tcPr>
            <w:tcW w:w="640" w:type="dxa"/>
            <w:tcBorders>
              <w:top w:val="nil"/>
              <w:left w:val="nil"/>
              <w:bottom w:val="single" w:sz="4" w:space="0" w:color="ADD6EA"/>
              <w:right w:val="nil"/>
            </w:tcBorders>
            <w:shd w:val="clear" w:color="000000" w:fill="FFFFFF"/>
            <w:vAlign w:val="bottom"/>
            <w:hideMark/>
          </w:tcPr>
          <w:p w14:paraId="49F10938"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27</w:t>
            </w:r>
          </w:p>
        </w:tc>
        <w:tc>
          <w:tcPr>
            <w:tcW w:w="800" w:type="dxa"/>
            <w:tcBorders>
              <w:top w:val="nil"/>
              <w:left w:val="nil"/>
              <w:bottom w:val="single" w:sz="4" w:space="0" w:color="ADD6EA"/>
              <w:right w:val="nil"/>
            </w:tcBorders>
            <w:shd w:val="clear" w:color="000000" w:fill="FFFFFF"/>
            <w:vAlign w:val="bottom"/>
            <w:hideMark/>
          </w:tcPr>
          <w:p w14:paraId="3EFB93AB"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2,719</w:t>
            </w:r>
          </w:p>
        </w:tc>
      </w:tr>
      <w:tr w:rsidR="007E365E" w:rsidRPr="007C2C65" w14:paraId="477CD2C2" w14:textId="77777777" w:rsidTr="007D1D77">
        <w:trPr>
          <w:trHeight w:val="315"/>
        </w:trPr>
        <w:tc>
          <w:tcPr>
            <w:tcW w:w="2560" w:type="dxa"/>
            <w:tcBorders>
              <w:top w:val="nil"/>
              <w:left w:val="nil"/>
              <w:bottom w:val="single" w:sz="4" w:space="0" w:color="ADD6EA"/>
              <w:right w:val="nil"/>
            </w:tcBorders>
            <w:shd w:val="clear" w:color="000000" w:fill="FFFFFF"/>
            <w:vAlign w:val="bottom"/>
            <w:hideMark/>
          </w:tcPr>
          <w:p w14:paraId="08BC3FBA" w14:textId="77777777" w:rsidR="007E365E" w:rsidRPr="007C2C65" w:rsidRDefault="007E365E" w:rsidP="007D1D77">
            <w:pPr>
              <w:tabs>
                <w:tab w:val="clear" w:pos="567"/>
              </w:tabs>
              <w:spacing w:before="0" w:line="240" w:lineRule="auto"/>
              <w:rPr>
                <w:rFonts w:eastAsia="Times New Roman" w:cs="Open Sans Light"/>
                <w:sz w:val="16"/>
                <w:szCs w:val="16"/>
                <w:lang w:eastAsia="en-AU"/>
              </w:rPr>
            </w:pPr>
            <w:r w:rsidRPr="007C2C65">
              <w:rPr>
                <w:rFonts w:eastAsia="Times New Roman" w:cs="Open Sans Light"/>
                <w:sz w:val="16"/>
                <w:szCs w:val="16"/>
                <w:lang w:eastAsia="en-AU"/>
              </w:rPr>
              <w:t>Wage costs factor</w:t>
            </w:r>
          </w:p>
        </w:tc>
        <w:tc>
          <w:tcPr>
            <w:tcW w:w="820" w:type="dxa"/>
            <w:tcBorders>
              <w:top w:val="nil"/>
              <w:left w:val="nil"/>
              <w:bottom w:val="single" w:sz="4" w:space="0" w:color="ADD6EA"/>
              <w:right w:val="nil"/>
            </w:tcBorders>
            <w:shd w:val="clear" w:color="000000" w:fill="FFFFFF"/>
            <w:vAlign w:val="bottom"/>
            <w:hideMark/>
          </w:tcPr>
          <w:p w14:paraId="38E57021"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1.005</w:t>
            </w:r>
          </w:p>
        </w:tc>
        <w:tc>
          <w:tcPr>
            <w:tcW w:w="680" w:type="dxa"/>
            <w:tcBorders>
              <w:top w:val="nil"/>
              <w:left w:val="nil"/>
              <w:bottom w:val="single" w:sz="4" w:space="0" w:color="ADD6EA"/>
              <w:right w:val="nil"/>
            </w:tcBorders>
            <w:shd w:val="clear" w:color="000000" w:fill="FFFFFF"/>
            <w:vAlign w:val="bottom"/>
            <w:hideMark/>
          </w:tcPr>
          <w:p w14:paraId="550B663F"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0.996</w:t>
            </w:r>
          </w:p>
        </w:tc>
        <w:tc>
          <w:tcPr>
            <w:tcW w:w="720" w:type="dxa"/>
            <w:tcBorders>
              <w:top w:val="nil"/>
              <w:left w:val="nil"/>
              <w:bottom w:val="single" w:sz="4" w:space="0" w:color="ADD6EA"/>
              <w:right w:val="nil"/>
            </w:tcBorders>
            <w:shd w:val="clear" w:color="000000" w:fill="FFFFFF"/>
            <w:vAlign w:val="bottom"/>
            <w:hideMark/>
          </w:tcPr>
          <w:p w14:paraId="315E6AEF"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0.997</w:t>
            </w:r>
          </w:p>
        </w:tc>
        <w:tc>
          <w:tcPr>
            <w:tcW w:w="700" w:type="dxa"/>
            <w:tcBorders>
              <w:top w:val="nil"/>
              <w:left w:val="nil"/>
              <w:bottom w:val="single" w:sz="4" w:space="0" w:color="ADD6EA"/>
              <w:right w:val="nil"/>
            </w:tcBorders>
            <w:shd w:val="clear" w:color="000000" w:fill="FFFFFF"/>
            <w:vAlign w:val="bottom"/>
            <w:hideMark/>
          </w:tcPr>
          <w:p w14:paraId="0E3929D2"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1.013</w:t>
            </w:r>
          </w:p>
        </w:tc>
        <w:tc>
          <w:tcPr>
            <w:tcW w:w="620" w:type="dxa"/>
            <w:tcBorders>
              <w:top w:val="nil"/>
              <w:left w:val="nil"/>
              <w:bottom w:val="single" w:sz="4" w:space="0" w:color="ADD6EA"/>
              <w:right w:val="nil"/>
            </w:tcBorders>
            <w:shd w:val="clear" w:color="000000" w:fill="FFFFFF"/>
            <w:vAlign w:val="bottom"/>
            <w:hideMark/>
          </w:tcPr>
          <w:p w14:paraId="42060C58"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0.984</w:t>
            </w:r>
          </w:p>
        </w:tc>
        <w:tc>
          <w:tcPr>
            <w:tcW w:w="700" w:type="dxa"/>
            <w:tcBorders>
              <w:top w:val="nil"/>
              <w:left w:val="nil"/>
              <w:bottom w:val="single" w:sz="4" w:space="0" w:color="ADD6EA"/>
              <w:right w:val="nil"/>
            </w:tcBorders>
            <w:shd w:val="clear" w:color="000000" w:fill="FFFFFF"/>
            <w:vAlign w:val="bottom"/>
            <w:hideMark/>
          </w:tcPr>
          <w:p w14:paraId="7D146880"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0.979</w:t>
            </w:r>
          </w:p>
        </w:tc>
        <w:tc>
          <w:tcPr>
            <w:tcW w:w="720" w:type="dxa"/>
            <w:tcBorders>
              <w:top w:val="nil"/>
              <w:left w:val="nil"/>
              <w:bottom w:val="single" w:sz="4" w:space="0" w:color="ADD6EA"/>
              <w:right w:val="nil"/>
            </w:tcBorders>
            <w:shd w:val="clear" w:color="000000" w:fill="FFFFFF"/>
            <w:vAlign w:val="bottom"/>
            <w:hideMark/>
          </w:tcPr>
          <w:p w14:paraId="12FA0338"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1.014</w:t>
            </w:r>
          </w:p>
        </w:tc>
        <w:tc>
          <w:tcPr>
            <w:tcW w:w="640" w:type="dxa"/>
            <w:tcBorders>
              <w:top w:val="nil"/>
              <w:left w:val="nil"/>
              <w:bottom w:val="single" w:sz="4" w:space="0" w:color="ADD6EA"/>
              <w:right w:val="nil"/>
            </w:tcBorders>
            <w:shd w:val="clear" w:color="000000" w:fill="FFFFFF"/>
            <w:vAlign w:val="bottom"/>
            <w:hideMark/>
          </w:tcPr>
          <w:p w14:paraId="1C5A339E"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1.022</w:t>
            </w:r>
          </w:p>
        </w:tc>
        <w:tc>
          <w:tcPr>
            <w:tcW w:w="800" w:type="dxa"/>
            <w:tcBorders>
              <w:top w:val="nil"/>
              <w:left w:val="nil"/>
              <w:bottom w:val="single" w:sz="4" w:space="0" w:color="ADD6EA"/>
              <w:right w:val="nil"/>
            </w:tcBorders>
            <w:shd w:val="clear" w:color="000000" w:fill="FFFFFF"/>
            <w:vAlign w:val="bottom"/>
            <w:hideMark/>
          </w:tcPr>
          <w:p w14:paraId="4B7AF7AF" w14:textId="77777777" w:rsidR="007E365E" w:rsidRPr="007C2C65" w:rsidRDefault="007E365E" w:rsidP="007D1D77">
            <w:pPr>
              <w:tabs>
                <w:tab w:val="clear" w:pos="567"/>
              </w:tabs>
              <w:spacing w:before="0" w:line="240" w:lineRule="auto"/>
              <w:jc w:val="right"/>
              <w:rPr>
                <w:rFonts w:eastAsia="Times New Roman" w:cs="Open Sans Light"/>
                <w:sz w:val="16"/>
                <w:szCs w:val="16"/>
                <w:lang w:eastAsia="en-AU"/>
              </w:rPr>
            </w:pPr>
            <w:r w:rsidRPr="007C2C65">
              <w:rPr>
                <w:rFonts w:eastAsia="Times New Roman" w:cs="Open Sans Light"/>
                <w:sz w:val="16"/>
                <w:szCs w:val="16"/>
                <w:lang w:eastAsia="en-AU"/>
              </w:rPr>
              <w:t>1.000</w:t>
            </w:r>
          </w:p>
        </w:tc>
      </w:tr>
      <w:tr w:rsidR="007E365E" w:rsidRPr="007C2C65" w14:paraId="051D3CF8" w14:textId="77777777" w:rsidTr="007D1D77">
        <w:trPr>
          <w:trHeight w:val="315"/>
        </w:trPr>
        <w:tc>
          <w:tcPr>
            <w:tcW w:w="2560" w:type="dxa"/>
            <w:tcBorders>
              <w:top w:val="nil"/>
              <w:left w:val="nil"/>
              <w:bottom w:val="single" w:sz="4" w:space="0" w:color="ADD6EA"/>
              <w:right w:val="nil"/>
            </w:tcBorders>
            <w:shd w:val="clear" w:color="000000" w:fill="D6E7F0"/>
            <w:vAlign w:val="bottom"/>
            <w:hideMark/>
          </w:tcPr>
          <w:p w14:paraId="1AAE42AE" w14:textId="77777777" w:rsidR="007E365E" w:rsidRPr="007C2C65"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Assessed expenses ($m)</w:t>
            </w:r>
          </w:p>
        </w:tc>
        <w:tc>
          <w:tcPr>
            <w:tcW w:w="820" w:type="dxa"/>
            <w:tcBorders>
              <w:top w:val="nil"/>
              <w:left w:val="nil"/>
              <w:bottom w:val="single" w:sz="4" w:space="0" w:color="ADD6EA"/>
              <w:right w:val="nil"/>
            </w:tcBorders>
            <w:shd w:val="clear" w:color="000000" w:fill="D6E7F0"/>
            <w:vAlign w:val="bottom"/>
            <w:hideMark/>
          </w:tcPr>
          <w:p w14:paraId="2A40DDC3"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872</w:t>
            </w:r>
          </w:p>
        </w:tc>
        <w:tc>
          <w:tcPr>
            <w:tcW w:w="680" w:type="dxa"/>
            <w:tcBorders>
              <w:top w:val="nil"/>
              <w:left w:val="nil"/>
              <w:bottom w:val="single" w:sz="4" w:space="0" w:color="ADD6EA"/>
              <w:right w:val="nil"/>
            </w:tcBorders>
            <w:shd w:val="clear" w:color="000000" w:fill="D6E7F0"/>
            <w:vAlign w:val="bottom"/>
            <w:hideMark/>
          </w:tcPr>
          <w:p w14:paraId="15883F6F"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702</w:t>
            </w:r>
          </w:p>
        </w:tc>
        <w:tc>
          <w:tcPr>
            <w:tcW w:w="720" w:type="dxa"/>
            <w:tcBorders>
              <w:top w:val="nil"/>
              <w:left w:val="nil"/>
              <w:bottom w:val="single" w:sz="4" w:space="0" w:color="ADD6EA"/>
              <w:right w:val="nil"/>
            </w:tcBorders>
            <w:shd w:val="clear" w:color="000000" w:fill="D6E7F0"/>
            <w:vAlign w:val="bottom"/>
            <w:hideMark/>
          </w:tcPr>
          <w:p w14:paraId="26F644A4"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544</w:t>
            </w:r>
          </w:p>
        </w:tc>
        <w:tc>
          <w:tcPr>
            <w:tcW w:w="700" w:type="dxa"/>
            <w:tcBorders>
              <w:top w:val="nil"/>
              <w:left w:val="nil"/>
              <w:bottom w:val="single" w:sz="4" w:space="0" w:color="ADD6EA"/>
              <w:right w:val="nil"/>
            </w:tcBorders>
            <w:shd w:val="clear" w:color="000000" w:fill="D6E7F0"/>
            <w:vAlign w:val="bottom"/>
            <w:hideMark/>
          </w:tcPr>
          <w:p w14:paraId="50B40DB6"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285</w:t>
            </w:r>
          </w:p>
        </w:tc>
        <w:tc>
          <w:tcPr>
            <w:tcW w:w="620" w:type="dxa"/>
            <w:tcBorders>
              <w:top w:val="nil"/>
              <w:left w:val="nil"/>
              <w:bottom w:val="single" w:sz="4" w:space="0" w:color="ADD6EA"/>
              <w:right w:val="nil"/>
            </w:tcBorders>
            <w:shd w:val="clear" w:color="000000" w:fill="D6E7F0"/>
            <w:vAlign w:val="bottom"/>
            <w:hideMark/>
          </w:tcPr>
          <w:p w14:paraId="267ED98F"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185</w:t>
            </w:r>
          </w:p>
        </w:tc>
        <w:tc>
          <w:tcPr>
            <w:tcW w:w="700" w:type="dxa"/>
            <w:tcBorders>
              <w:top w:val="nil"/>
              <w:left w:val="nil"/>
              <w:bottom w:val="single" w:sz="4" w:space="0" w:color="ADD6EA"/>
              <w:right w:val="nil"/>
            </w:tcBorders>
            <w:shd w:val="clear" w:color="000000" w:fill="D6E7F0"/>
            <w:vAlign w:val="bottom"/>
            <w:hideMark/>
          </w:tcPr>
          <w:p w14:paraId="6B6CFFA4"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56</w:t>
            </w:r>
          </w:p>
        </w:tc>
        <w:tc>
          <w:tcPr>
            <w:tcW w:w="720" w:type="dxa"/>
            <w:tcBorders>
              <w:top w:val="nil"/>
              <w:left w:val="nil"/>
              <w:bottom w:val="single" w:sz="4" w:space="0" w:color="ADD6EA"/>
              <w:right w:val="nil"/>
            </w:tcBorders>
            <w:shd w:val="clear" w:color="000000" w:fill="D6E7F0"/>
            <w:vAlign w:val="bottom"/>
            <w:hideMark/>
          </w:tcPr>
          <w:p w14:paraId="4F98155D"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46</w:t>
            </w:r>
          </w:p>
        </w:tc>
        <w:tc>
          <w:tcPr>
            <w:tcW w:w="640" w:type="dxa"/>
            <w:tcBorders>
              <w:top w:val="nil"/>
              <w:left w:val="nil"/>
              <w:bottom w:val="single" w:sz="4" w:space="0" w:color="ADD6EA"/>
              <w:right w:val="nil"/>
            </w:tcBorders>
            <w:shd w:val="clear" w:color="000000" w:fill="D6E7F0"/>
            <w:vAlign w:val="bottom"/>
            <w:hideMark/>
          </w:tcPr>
          <w:p w14:paraId="18786216"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27</w:t>
            </w:r>
          </w:p>
        </w:tc>
        <w:tc>
          <w:tcPr>
            <w:tcW w:w="800" w:type="dxa"/>
            <w:tcBorders>
              <w:top w:val="nil"/>
              <w:left w:val="nil"/>
              <w:bottom w:val="single" w:sz="4" w:space="0" w:color="ADD6EA"/>
              <w:right w:val="nil"/>
            </w:tcBorders>
            <w:shd w:val="clear" w:color="000000" w:fill="D6E7F0"/>
            <w:vAlign w:val="bottom"/>
            <w:hideMark/>
          </w:tcPr>
          <w:p w14:paraId="5D579C8A"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2,719</w:t>
            </w:r>
          </w:p>
        </w:tc>
      </w:tr>
      <w:tr w:rsidR="007E365E" w:rsidRPr="007C2C65" w14:paraId="0619E53B" w14:textId="77777777" w:rsidTr="007D1D77">
        <w:trPr>
          <w:trHeight w:val="315"/>
        </w:trPr>
        <w:tc>
          <w:tcPr>
            <w:tcW w:w="2560" w:type="dxa"/>
            <w:tcBorders>
              <w:top w:val="nil"/>
              <w:left w:val="nil"/>
              <w:bottom w:val="nil"/>
              <w:right w:val="nil"/>
            </w:tcBorders>
            <w:shd w:val="clear" w:color="000000" w:fill="D6E7F0"/>
            <w:vAlign w:val="bottom"/>
            <w:hideMark/>
          </w:tcPr>
          <w:p w14:paraId="4DB8999C" w14:textId="77777777" w:rsidR="007E365E" w:rsidRPr="007C2C65"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Assessed expenses ($pc)</w:t>
            </w:r>
          </w:p>
        </w:tc>
        <w:tc>
          <w:tcPr>
            <w:tcW w:w="820" w:type="dxa"/>
            <w:tcBorders>
              <w:top w:val="nil"/>
              <w:left w:val="nil"/>
              <w:bottom w:val="nil"/>
              <w:right w:val="nil"/>
            </w:tcBorders>
            <w:shd w:val="clear" w:color="000000" w:fill="D6E7F0"/>
            <w:vAlign w:val="bottom"/>
            <w:hideMark/>
          </w:tcPr>
          <w:p w14:paraId="3DE9D342"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109</w:t>
            </w:r>
          </w:p>
        </w:tc>
        <w:tc>
          <w:tcPr>
            <w:tcW w:w="680" w:type="dxa"/>
            <w:tcBorders>
              <w:top w:val="nil"/>
              <w:left w:val="nil"/>
              <w:bottom w:val="nil"/>
              <w:right w:val="nil"/>
            </w:tcBorders>
            <w:shd w:val="clear" w:color="000000" w:fill="D6E7F0"/>
            <w:vAlign w:val="bottom"/>
            <w:hideMark/>
          </w:tcPr>
          <w:p w14:paraId="4E5A5FCB"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108</w:t>
            </w:r>
          </w:p>
        </w:tc>
        <w:tc>
          <w:tcPr>
            <w:tcW w:w="720" w:type="dxa"/>
            <w:tcBorders>
              <w:top w:val="nil"/>
              <w:left w:val="nil"/>
              <w:bottom w:val="nil"/>
              <w:right w:val="nil"/>
            </w:tcBorders>
            <w:shd w:val="clear" w:color="000000" w:fill="D6E7F0"/>
            <w:vAlign w:val="bottom"/>
            <w:hideMark/>
          </w:tcPr>
          <w:p w14:paraId="7C19E042"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108</w:t>
            </w:r>
          </w:p>
        </w:tc>
        <w:tc>
          <w:tcPr>
            <w:tcW w:w="700" w:type="dxa"/>
            <w:tcBorders>
              <w:top w:val="nil"/>
              <w:left w:val="nil"/>
              <w:bottom w:val="nil"/>
              <w:right w:val="nil"/>
            </w:tcBorders>
            <w:shd w:val="clear" w:color="000000" w:fill="D6E7F0"/>
            <w:vAlign w:val="bottom"/>
            <w:hideMark/>
          </w:tcPr>
          <w:p w14:paraId="07BD4B4D"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109</w:t>
            </w:r>
          </w:p>
        </w:tc>
        <w:tc>
          <w:tcPr>
            <w:tcW w:w="620" w:type="dxa"/>
            <w:tcBorders>
              <w:top w:val="nil"/>
              <w:left w:val="nil"/>
              <w:bottom w:val="nil"/>
              <w:right w:val="nil"/>
            </w:tcBorders>
            <w:shd w:val="clear" w:color="000000" w:fill="D6E7F0"/>
            <w:vAlign w:val="bottom"/>
            <w:hideMark/>
          </w:tcPr>
          <w:p w14:paraId="03FE7E40"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106</w:t>
            </w:r>
          </w:p>
        </w:tc>
        <w:tc>
          <w:tcPr>
            <w:tcW w:w="700" w:type="dxa"/>
            <w:tcBorders>
              <w:top w:val="nil"/>
              <w:left w:val="nil"/>
              <w:bottom w:val="nil"/>
              <w:right w:val="nil"/>
            </w:tcBorders>
            <w:shd w:val="clear" w:color="000000" w:fill="D6E7F0"/>
            <w:vAlign w:val="bottom"/>
            <w:hideMark/>
          </w:tcPr>
          <w:p w14:paraId="553E1658"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106</w:t>
            </w:r>
          </w:p>
        </w:tc>
        <w:tc>
          <w:tcPr>
            <w:tcW w:w="720" w:type="dxa"/>
            <w:tcBorders>
              <w:top w:val="nil"/>
              <w:left w:val="nil"/>
              <w:bottom w:val="nil"/>
              <w:right w:val="nil"/>
            </w:tcBorders>
            <w:shd w:val="clear" w:color="000000" w:fill="D6E7F0"/>
            <w:vAlign w:val="bottom"/>
            <w:hideMark/>
          </w:tcPr>
          <w:p w14:paraId="49EC178B"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110</w:t>
            </w:r>
          </w:p>
        </w:tc>
        <w:tc>
          <w:tcPr>
            <w:tcW w:w="640" w:type="dxa"/>
            <w:tcBorders>
              <w:top w:val="nil"/>
              <w:left w:val="nil"/>
              <w:bottom w:val="nil"/>
              <w:right w:val="nil"/>
            </w:tcBorders>
            <w:shd w:val="clear" w:color="000000" w:fill="D6E7F0"/>
            <w:vAlign w:val="bottom"/>
            <w:hideMark/>
          </w:tcPr>
          <w:p w14:paraId="015006B7"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110</w:t>
            </w:r>
          </w:p>
        </w:tc>
        <w:tc>
          <w:tcPr>
            <w:tcW w:w="800" w:type="dxa"/>
            <w:tcBorders>
              <w:top w:val="nil"/>
              <w:left w:val="nil"/>
              <w:bottom w:val="nil"/>
              <w:right w:val="nil"/>
            </w:tcBorders>
            <w:shd w:val="clear" w:color="000000" w:fill="D6E7F0"/>
            <w:vAlign w:val="bottom"/>
            <w:hideMark/>
          </w:tcPr>
          <w:p w14:paraId="761E5E70" w14:textId="77777777" w:rsidR="007E365E" w:rsidRPr="007C2C65"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2C65">
              <w:rPr>
                <w:rFonts w:ascii="Open Sans SemiBold" w:eastAsia="Times New Roman" w:hAnsi="Open Sans SemiBold" w:cs="Open Sans SemiBold"/>
                <w:color w:val="000000"/>
                <w:sz w:val="16"/>
                <w:szCs w:val="16"/>
                <w:lang w:eastAsia="en-AU"/>
              </w:rPr>
              <w:t>108</w:t>
            </w:r>
          </w:p>
        </w:tc>
      </w:tr>
    </w:tbl>
    <w:p w14:paraId="2A7BAEB9" w14:textId="77777777" w:rsidR="007E365E" w:rsidRPr="0095559C" w:rsidRDefault="007E365E" w:rsidP="007E365E">
      <w:pPr>
        <w:pStyle w:val="CGCTablenote"/>
        <w:keepNext/>
      </w:pPr>
      <w:r>
        <w:t>Source:</w:t>
      </w:r>
      <w:r>
        <w:tab/>
        <w:t>Commission calculation.</w:t>
      </w:r>
    </w:p>
    <w:p w14:paraId="65EAC213" w14:textId="77777777" w:rsidR="007E365E" w:rsidRDefault="007E365E" w:rsidP="007E365E">
      <w:pPr>
        <w:pStyle w:val="Heading3"/>
      </w:pPr>
      <w:bookmarkStart w:id="318" w:name="_Toc4686172"/>
      <w:bookmarkStart w:id="319" w:name="_Toc22807488"/>
      <w:r>
        <w:t>Category calculations</w:t>
      </w:r>
      <w:bookmarkEnd w:id="318"/>
      <w:bookmarkEnd w:id="319"/>
    </w:p>
    <w:p w14:paraId="7A244F0E" w14:textId="2568AD16" w:rsidR="007E365E" w:rsidRPr="002C303B" w:rsidRDefault="007E365E" w:rsidP="007E365E">
      <w:pPr>
        <w:pStyle w:val="CGCParaNumber"/>
      </w:pPr>
      <w:r>
        <w:fldChar w:fldCharType="begin"/>
      </w:r>
      <w:r>
        <w:instrText xml:space="preserve"> REF _Ref32845867 \h </w:instrText>
      </w:r>
      <w:r>
        <w:fldChar w:fldCharType="separate"/>
      </w:r>
      <w:r w:rsidR="007F721A">
        <w:t>Table 22-</w:t>
      </w:r>
      <w:r w:rsidR="007F721A">
        <w:rPr>
          <w:noProof/>
        </w:rPr>
        <w:t>12</w:t>
      </w:r>
      <w:r>
        <w:fldChar w:fldCharType="end"/>
      </w:r>
      <w:r>
        <w:t xml:space="preserve"> brings the assessed expenses for each component together to derive total assessed expenses for each State for the category. </w:t>
      </w:r>
      <w:r w:rsidRPr="00FC6C49">
        <w:t xml:space="preserve">It shows at the component level how </w:t>
      </w:r>
      <w:r>
        <w:t xml:space="preserve">the assessment of </w:t>
      </w:r>
      <w:r w:rsidRPr="00FC6C49">
        <w:t>each disability moves expenses away from an EPC distribution to obtain assessed expenses.</w:t>
      </w:r>
    </w:p>
    <w:p w14:paraId="5DF9CB76" w14:textId="69119911" w:rsidR="007E365E" w:rsidRDefault="007E365E" w:rsidP="007E365E">
      <w:pPr>
        <w:pStyle w:val="Caption"/>
      </w:pPr>
      <w:bookmarkStart w:id="320" w:name="_Ref32845867"/>
      <w:r>
        <w:lastRenderedPageBreak/>
        <w:t>Table 22-</w:t>
      </w:r>
      <w:fldSimple w:instr=" SEQ Table \* ARABIC ">
        <w:r w:rsidR="007F721A">
          <w:rPr>
            <w:noProof/>
          </w:rPr>
          <w:t>12</w:t>
        </w:r>
      </w:fldSimple>
      <w:bookmarkEnd w:id="320"/>
      <w:r>
        <w:tab/>
      </w:r>
      <w:r>
        <w:tab/>
        <w:t>Services to industry category assessment, 2018-19</w:t>
      </w:r>
    </w:p>
    <w:tbl>
      <w:tblPr>
        <w:tblW w:w="8940" w:type="dxa"/>
        <w:tblCellMar>
          <w:left w:w="28" w:type="dxa"/>
          <w:right w:w="28" w:type="dxa"/>
        </w:tblCellMar>
        <w:tblLook w:val="04A0" w:firstRow="1" w:lastRow="0" w:firstColumn="1" w:lastColumn="0" w:noHBand="0" w:noVBand="1"/>
      </w:tblPr>
      <w:tblGrid>
        <w:gridCol w:w="2440"/>
        <w:gridCol w:w="820"/>
        <w:gridCol w:w="680"/>
        <w:gridCol w:w="720"/>
        <w:gridCol w:w="700"/>
        <w:gridCol w:w="620"/>
        <w:gridCol w:w="700"/>
        <w:gridCol w:w="720"/>
        <w:gridCol w:w="760"/>
        <w:gridCol w:w="780"/>
      </w:tblGrid>
      <w:tr w:rsidR="007E365E" w:rsidRPr="00E1594A" w14:paraId="0BE8F98F" w14:textId="77777777" w:rsidTr="007D1D77">
        <w:trPr>
          <w:trHeight w:val="375"/>
        </w:trPr>
        <w:tc>
          <w:tcPr>
            <w:tcW w:w="2440" w:type="dxa"/>
            <w:tcBorders>
              <w:top w:val="single" w:sz="4" w:space="0" w:color="ADD6EA"/>
              <w:left w:val="nil"/>
              <w:bottom w:val="single" w:sz="4" w:space="0" w:color="ADD6EA"/>
              <w:right w:val="nil"/>
            </w:tcBorders>
            <w:shd w:val="clear" w:color="000000" w:fill="006991"/>
            <w:vAlign w:val="center"/>
            <w:hideMark/>
          </w:tcPr>
          <w:p w14:paraId="52FF65FA"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321" w:name="RANGE!M64:V88"/>
            <w:r w:rsidRPr="00E1594A">
              <w:rPr>
                <w:rFonts w:ascii="Open Sans SemiBold" w:eastAsia="Times New Roman" w:hAnsi="Open Sans SemiBold" w:cs="Open Sans SemiBold"/>
                <w:color w:val="FFFFFF"/>
                <w:sz w:val="16"/>
                <w:szCs w:val="16"/>
                <w:lang w:eastAsia="en-AU"/>
              </w:rPr>
              <w:t> </w:t>
            </w:r>
            <w:bookmarkEnd w:id="321"/>
          </w:p>
        </w:tc>
        <w:tc>
          <w:tcPr>
            <w:tcW w:w="820" w:type="dxa"/>
            <w:tcBorders>
              <w:top w:val="single" w:sz="4" w:space="0" w:color="ADD6EA"/>
              <w:left w:val="nil"/>
              <w:bottom w:val="single" w:sz="4" w:space="0" w:color="ADD6EA"/>
              <w:right w:val="nil"/>
            </w:tcBorders>
            <w:shd w:val="clear" w:color="000000" w:fill="006991"/>
            <w:vAlign w:val="center"/>
            <w:hideMark/>
          </w:tcPr>
          <w:p w14:paraId="2AF8082E"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1594A">
              <w:rPr>
                <w:rFonts w:ascii="Open Sans SemiBold" w:eastAsia="Times New Roman" w:hAnsi="Open Sans SemiBold" w:cs="Open Sans SemiBold"/>
                <w:color w:val="FFFFFF"/>
                <w:sz w:val="16"/>
                <w:szCs w:val="16"/>
                <w:lang w:eastAsia="en-AU"/>
              </w:rPr>
              <w:t>NSW</w:t>
            </w:r>
          </w:p>
        </w:tc>
        <w:tc>
          <w:tcPr>
            <w:tcW w:w="680" w:type="dxa"/>
            <w:tcBorders>
              <w:top w:val="single" w:sz="4" w:space="0" w:color="ADD6EA"/>
              <w:left w:val="nil"/>
              <w:bottom w:val="single" w:sz="4" w:space="0" w:color="ADD6EA"/>
              <w:right w:val="nil"/>
            </w:tcBorders>
            <w:shd w:val="clear" w:color="000000" w:fill="006991"/>
            <w:vAlign w:val="center"/>
            <w:hideMark/>
          </w:tcPr>
          <w:p w14:paraId="085E96D2"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1594A">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vAlign w:val="center"/>
            <w:hideMark/>
          </w:tcPr>
          <w:p w14:paraId="2FCC9C0E"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1594A">
              <w:rPr>
                <w:rFonts w:ascii="Open Sans SemiBold" w:eastAsia="Times New Roman" w:hAnsi="Open Sans SemiBold" w:cs="Open Sans SemiBold"/>
                <w:color w:val="FFFFFF"/>
                <w:sz w:val="16"/>
                <w:szCs w:val="16"/>
                <w:lang w:eastAsia="en-AU"/>
              </w:rPr>
              <w:t>Qld</w:t>
            </w:r>
          </w:p>
        </w:tc>
        <w:tc>
          <w:tcPr>
            <w:tcW w:w="700" w:type="dxa"/>
            <w:tcBorders>
              <w:top w:val="single" w:sz="4" w:space="0" w:color="ADD6EA"/>
              <w:left w:val="nil"/>
              <w:bottom w:val="single" w:sz="4" w:space="0" w:color="ADD6EA"/>
              <w:right w:val="nil"/>
            </w:tcBorders>
            <w:shd w:val="clear" w:color="000000" w:fill="006991"/>
            <w:vAlign w:val="center"/>
            <w:hideMark/>
          </w:tcPr>
          <w:p w14:paraId="578B8D8A"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1594A">
              <w:rPr>
                <w:rFonts w:ascii="Open Sans SemiBold" w:eastAsia="Times New Roman" w:hAnsi="Open Sans SemiBold" w:cs="Open Sans SemiBold"/>
                <w:color w:val="FFFFFF"/>
                <w:sz w:val="16"/>
                <w:szCs w:val="16"/>
                <w:lang w:eastAsia="en-AU"/>
              </w:rPr>
              <w:t>WA</w:t>
            </w:r>
          </w:p>
        </w:tc>
        <w:tc>
          <w:tcPr>
            <w:tcW w:w="620" w:type="dxa"/>
            <w:tcBorders>
              <w:top w:val="single" w:sz="4" w:space="0" w:color="ADD6EA"/>
              <w:left w:val="nil"/>
              <w:bottom w:val="single" w:sz="4" w:space="0" w:color="ADD6EA"/>
              <w:right w:val="nil"/>
            </w:tcBorders>
            <w:shd w:val="clear" w:color="000000" w:fill="006991"/>
            <w:vAlign w:val="center"/>
            <w:hideMark/>
          </w:tcPr>
          <w:p w14:paraId="1FC1D9C6"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1594A">
              <w:rPr>
                <w:rFonts w:ascii="Open Sans SemiBold" w:eastAsia="Times New Roman" w:hAnsi="Open Sans SemiBold" w:cs="Open Sans SemiBold"/>
                <w:color w:val="FFFFFF"/>
                <w:sz w:val="16"/>
                <w:szCs w:val="16"/>
                <w:lang w:eastAsia="en-AU"/>
              </w:rPr>
              <w:t>SA</w:t>
            </w:r>
          </w:p>
        </w:tc>
        <w:tc>
          <w:tcPr>
            <w:tcW w:w="700" w:type="dxa"/>
            <w:tcBorders>
              <w:top w:val="single" w:sz="4" w:space="0" w:color="ADD6EA"/>
              <w:left w:val="nil"/>
              <w:bottom w:val="single" w:sz="4" w:space="0" w:color="ADD6EA"/>
              <w:right w:val="nil"/>
            </w:tcBorders>
            <w:shd w:val="clear" w:color="000000" w:fill="006991"/>
            <w:vAlign w:val="center"/>
            <w:hideMark/>
          </w:tcPr>
          <w:p w14:paraId="6ACC5752"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1594A">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vAlign w:val="center"/>
            <w:hideMark/>
          </w:tcPr>
          <w:p w14:paraId="3C3ECF30"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1594A">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vAlign w:val="center"/>
            <w:hideMark/>
          </w:tcPr>
          <w:p w14:paraId="509F3B94"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1594A">
              <w:rPr>
                <w:rFonts w:ascii="Open Sans SemiBold" w:eastAsia="Times New Roman" w:hAnsi="Open Sans SemiBold" w:cs="Open Sans SemiBold"/>
                <w:color w:val="FFFFFF"/>
                <w:sz w:val="16"/>
                <w:szCs w:val="16"/>
                <w:lang w:eastAsia="en-AU"/>
              </w:rPr>
              <w:t>NT</w:t>
            </w:r>
          </w:p>
        </w:tc>
        <w:tc>
          <w:tcPr>
            <w:tcW w:w="780" w:type="dxa"/>
            <w:tcBorders>
              <w:top w:val="single" w:sz="4" w:space="0" w:color="ADD6EA"/>
              <w:left w:val="nil"/>
              <w:bottom w:val="single" w:sz="4" w:space="0" w:color="ADD6EA"/>
              <w:right w:val="nil"/>
            </w:tcBorders>
            <w:shd w:val="clear" w:color="000000" w:fill="006991"/>
            <w:vAlign w:val="center"/>
            <w:hideMark/>
          </w:tcPr>
          <w:p w14:paraId="07BD8020"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1594A">
              <w:rPr>
                <w:rFonts w:ascii="Open Sans SemiBold" w:eastAsia="Times New Roman" w:hAnsi="Open Sans SemiBold" w:cs="Open Sans SemiBold"/>
                <w:color w:val="FFFFFF"/>
                <w:sz w:val="16"/>
                <w:szCs w:val="16"/>
                <w:lang w:eastAsia="en-AU"/>
              </w:rPr>
              <w:t>Ave</w:t>
            </w:r>
          </w:p>
        </w:tc>
      </w:tr>
      <w:tr w:rsidR="007E365E" w:rsidRPr="00E1594A" w14:paraId="572CFEA1" w14:textId="77777777" w:rsidTr="007D1D77">
        <w:trPr>
          <w:trHeight w:val="240"/>
        </w:trPr>
        <w:tc>
          <w:tcPr>
            <w:tcW w:w="2440" w:type="dxa"/>
            <w:tcBorders>
              <w:top w:val="nil"/>
              <w:left w:val="nil"/>
              <w:bottom w:val="single" w:sz="8" w:space="0" w:color="ADD6EA"/>
              <w:right w:val="nil"/>
            </w:tcBorders>
            <w:shd w:val="clear" w:color="000000" w:fill="B6D5E4"/>
            <w:noWrap/>
            <w:vAlign w:val="center"/>
            <w:hideMark/>
          </w:tcPr>
          <w:p w14:paraId="03BAA3B1"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 </w:t>
            </w:r>
          </w:p>
        </w:tc>
        <w:tc>
          <w:tcPr>
            <w:tcW w:w="820" w:type="dxa"/>
            <w:tcBorders>
              <w:top w:val="nil"/>
              <w:left w:val="nil"/>
              <w:bottom w:val="single" w:sz="8" w:space="0" w:color="ADD6EA"/>
              <w:right w:val="nil"/>
            </w:tcBorders>
            <w:shd w:val="clear" w:color="000000" w:fill="B6D5E4"/>
            <w:noWrap/>
            <w:vAlign w:val="center"/>
            <w:hideMark/>
          </w:tcPr>
          <w:p w14:paraId="2A266E61"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$pc</w:t>
            </w:r>
          </w:p>
        </w:tc>
        <w:tc>
          <w:tcPr>
            <w:tcW w:w="680" w:type="dxa"/>
            <w:tcBorders>
              <w:top w:val="nil"/>
              <w:left w:val="nil"/>
              <w:bottom w:val="single" w:sz="8" w:space="0" w:color="ADD6EA"/>
              <w:right w:val="nil"/>
            </w:tcBorders>
            <w:shd w:val="clear" w:color="000000" w:fill="B6D5E4"/>
            <w:noWrap/>
            <w:vAlign w:val="center"/>
            <w:hideMark/>
          </w:tcPr>
          <w:p w14:paraId="1F65581B"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$pc</w:t>
            </w:r>
          </w:p>
        </w:tc>
        <w:tc>
          <w:tcPr>
            <w:tcW w:w="720" w:type="dxa"/>
            <w:tcBorders>
              <w:top w:val="nil"/>
              <w:left w:val="nil"/>
              <w:bottom w:val="single" w:sz="8" w:space="0" w:color="ADD6EA"/>
              <w:right w:val="nil"/>
            </w:tcBorders>
            <w:shd w:val="clear" w:color="000000" w:fill="B6D5E4"/>
            <w:noWrap/>
            <w:vAlign w:val="center"/>
            <w:hideMark/>
          </w:tcPr>
          <w:p w14:paraId="0DF1C79F"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$pc</w:t>
            </w:r>
          </w:p>
        </w:tc>
        <w:tc>
          <w:tcPr>
            <w:tcW w:w="700" w:type="dxa"/>
            <w:tcBorders>
              <w:top w:val="nil"/>
              <w:left w:val="nil"/>
              <w:bottom w:val="single" w:sz="8" w:space="0" w:color="ADD6EA"/>
              <w:right w:val="nil"/>
            </w:tcBorders>
            <w:shd w:val="clear" w:color="000000" w:fill="B6D5E4"/>
            <w:noWrap/>
            <w:vAlign w:val="center"/>
            <w:hideMark/>
          </w:tcPr>
          <w:p w14:paraId="0F83E100"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$pc</w:t>
            </w:r>
          </w:p>
        </w:tc>
        <w:tc>
          <w:tcPr>
            <w:tcW w:w="620" w:type="dxa"/>
            <w:tcBorders>
              <w:top w:val="nil"/>
              <w:left w:val="nil"/>
              <w:bottom w:val="single" w:sz="8" w:space="0" w:color="ADD6EA"/>
              <w:right w:val="nil"/>
            </w:tcBorders>
            <w:shd w:val="clear" w:color="000000" w:fill="B6D5E4"/>
            <w:noWrap/>
            <w:vAlign w:val="center"/>
            <w:hideMark/>
          </w:tcPr>
          <w:p w14:paraId="515B865B"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$pc</w:t>
            </w:r>
          </w:p>
        </w:tc>
        <w:tc>
          <w:tcPr>
            <w:tcW w:w="700" w:type="dxa"/>
            <w:tcBorders>
              <w:top w:val="nil"/>
              <w:left w:val="nil"/>
              <w:bottom w:val="single" w:sz="8" w:space="0" w:color="ADD6EA"/>
              <w:right w:val="nil"/>
            </w:tcBorders>
            <w:shd w:val="clear" w:color="000000" w:fill="B6D5E4"/>
            <w:noWrap/>
            <w:vAlign w:val="center"/>
            <w:hideMark/>
          </w:tcPr>
          <w:p w14:paraId="3F3E243B"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$pc</w:t>
            </w:r>
          </w:p>
        </w:tc>
        <w:tc>
          <w:tcPr>
            <w:tcW w:w="720" w:type="dxa"/>
            <w:tcBorders>
              <w:top w:val="nil"/>
              <w:left w:val="nil"/>
              <w:bottom w:val="single" w:sz="8" w:space="0" w:color="ADD6EA"/>
              <w:right w:val="nil"/>
            </w:tcBorders>
            <w:shd w:val="clear" w:color="000000" w:fill="B6D5E4"/>
            <w:noWrap/>
            <w:vAlign w:val="center"/>
            <w:hideMark/>
          </w:tcPr>
          <w:p w14:paraId="4E00B6BC"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$pc</w:t>
            </w:r>
          </w:p>
        </w:tc>
        <w:tc>
          <w:tcPr>
            <w:tcW w:w="760" w:type="dxa"/>
            <w:tcBorders>
              <w:top w:val="nil"/>
              <w:left w:val="nil"/>
              <w:bottom w:val="single" w:sz="8" w:space="0" w:color="ADD6EA"/>
              <w:right w:val="nil"/>
            </w:tcBorders>
            <w:shd w:val="clear" w:color="000000" w:fill="B6D5E4"/>
            <w:noWrap/>
            <w:vAlign w:val="center"/>
            <w:hideMark/>
          </w:tcPr>
          <w:p w14:paraId="0C6F3932"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$pc</w:t>
            </w:r>
          </w:p>
        </w:tc>
        <w:tc>
          <w:tcPr>
            <w:tcW w:w="780" w:type="dxa"/>
            <w:tcBorders>
              <w:top w:val="nil"/>
              <w:left w:val="nil"/>
              <w:bottom w:val="single" w:sz="8" w:space="0" w:color="ADD6EA"/>
              <w:right w:val="nil"/>
            </w:tcBorders>
            <w:shd w:val="clear" w:color="000000" w:fill="B6D5E4"/>
            <w:noWrap/>
            <w:vAlign w:val="center"/>
            <w:hideMark/>
          </w:tcPr>
          <w:p w14:paraId="21F1E00C"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$pc</w:t>
            </w:r>
          </w:p>
        </w:tc>
      </w:tr>
      <w:tr w:rsidR="007E365E" w:rsidRPr="00E1594A" w14:paraId="66813F95"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74315142" w14:textId="77777777" w:rsidR="007E365E" w:rsidRPr="00E1594A" w:rsidRDefault="007E365E" w:rsidP="007D1D77">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E1594A">
              <w:rPr>
                <w:rFonts w:ascii="Open Sans SemiBold" w:eastAsia="Times New Roman" w:hAnsi="Open Sans SemiBold" w:cs="Open Sans SemiBold"/>
                <w:sz w:val="16"/>
                <w:szCs w:val="16"/>
                <w:lang w:eastAsia="en-AU"/>
              </w:rPr>
              <w:t>Regulation of agriculture</w:t>
            </w:r>
          </w:p>
        </w:tc>
        <w:tc>
          <w:tcPr>
            <w:tcW w:w="820" w:type="dxa"/>
            <w:tcBorders>
              <w:top w:val="nil"/>
              <w:left w:val="nil"/>
              <w:bottom w:val="single" w:sz="4" w:space="0" w:color="ADD6EA"/>
              <w:right w:val="nil"/>
            </w:tcBorders>
            <w:shd w:val="clear" w:color="000000" w:fill="FFFFFF"/>
            <w:vAlign w:val="bottom"/>
            <w:hideMark/>
          </w:tcPr>
          <w:p w14:paraId="23074AF6"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69D38E1D"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000000" w:fill="FFFFFF"/>
            <w:vAlign w:val="bottom"/>
            <w:hideMark/>
          </w:tcPr>
          <w:p w14:paraId="73FFEB10"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00" w:type="dxa"/>
            <w:tcBorders>
              <w:top w:val="nil"/>
              <w:left w:val="nil"/>
              <w:bottom w:val="single" w:sz="4" w:space="0" w:color="ADD6EA"/>
              <w:right w:val="nil"/>
            </w:tcBorders>
            <w:shd w:val="clear" w:color="000000" w:fill="FFFFFF"/>
            <w:vAlign w:val="bottom"/>
            <w:hideMark/>
          </w:tcPr>
          <w:p w14:paraId="3BE9C0AB"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620" w:type="dxa"/>
            <w:tcBorders>
              <w:top w:val="nil"/>
              <w:left w:val="nil"/>
              <w:bottom w:val="single" w:sz="4" w:space="0" w:color="ADD6EA"/>
              <w:right w:val="nil"/>
            </w:tcBorders>
            <w:shd w:val="clear" w:color="000000" w:fill="FFFFFF"/>
            <w:vAlign w:val="bottom"/>
            <w:hideMark/>
          </w:tcPr>
          <w:p w14:paraId="119143B4"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00" w:type="dxa"/>
            <w:tcBorders>
              <w:top w:val="nil"/>
              <w:left w:val="nil"/>
              <w:bottom w:val="single" w:sz="4" w:space="0" w:color="ADD6EA"/>
              <w:right w:val="nil"/>
            </w:tcBorders>
            <w:shd w:val="clear" w:color="000000" w:fill="FFFFFF"/>
            <w:vAlign w:val="bottom"/>
            <w:hideMark/>
          </w:tcPr>
          <w:p w14:paraId="0CDF133B"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000000" w:fill="FFFFFF"/>
            <w:vAlign w:val="bottom"/>
            <w:hideMark/>
          </w:tcPr>
          <w:p w14:paraId="64F172CE"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1DCE47C4"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000000" w:fill="FFFFFF"/>
            <w:vAlign w:val="bottom"/>
            <w:hideMark/>
          </w:tcPr>
          <w:p w14:paraId="0DA3F88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r>
      <w:tr w:rsidR="007E365E" w:rsidRPr="00E1594A" w14:paraId="7599E705"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0771255A" w14:textId="77777777" w:rsidR="007E365E" w:rsidRPr="00E1594A"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E1594A">
              <w:rPr>
                <w:rFonts w:eastAsia="Times New Roman" w:cs="Open Sans Light"/>
                <w:sz w:val="16"/>
                <w:szCs w:val="16"/>
                <w:lang w:eastAsia="en-AU"/>
              </w:rPr>
              <w:t>EPC</w:t>
            </w:r>
          </w:p>
        </w:tc>
        <w:tc>
          <w:tcPr>
            <w:tcW w:w="820" w:type="dxa"/>
            <w:tcBorders>
              <w:top w:val="nil"/>
              <w:left w:val="nil"/>
              <w:bottom w:val="single" w:sz="4" w:space="0" w:color="ADD6EA"/>
              <w:right w:val="nil"/>
            </w:tcBorders>
            <w:shd w:val="clear" w:color="000000" w:fill="FFFFFF"/>
            <w:vAlign w:val="bottom"/>
            <w:hideMark/>
          </w:tcPr>
          <w:p w14:paraId="1AB2A897"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24</w:t>
            </w:r>
          </w:p>
        </w:tc>
        <w:tc>
          <w:tcPr>
            <w:tcW w:w="680" w:type="dxa"/>
            <w:tcBorders>
              <w:top w:val="nil"/>
              <w:left w:val="nil"/>
              <w:bottom w:val="single" w:sz="4" w:space="0" w:color="ADD6EA"/>
              <w:right w:val="nil"/>
            </w:tcBorders>
            <w:shd w:val="clear" w:color="000000" w:fill="FFFFFF"/>
            <w:vAlign w:val="bottom"/>
            <w:hideMark/>
          </w:tcPr>
          <w:p w14:paraId="52FA79DA"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24</w:t>
            </w:r>
          </w:p>
        </w:tc>
        <w:tc>
          <w:tcPr>
            <w:tcW w:w="720" w:type="dxa"/>
            <w:tcBorders>
              <w:top w:val="nil"/>
              <w:left w:val="nil"/>
              <w:bottom w:val="single" w:sz="4" w:space="0" w:color="ADD6EA"/>
              <w:right w:val="nil"/>
            </w:tcBorders>
            <w:shd w:val="clear" w:color="000000" w:fill="FFFFFF"/>
            <w:vAlign w:val="bottom"/>
            <w:hideMark/>
          </w:tcPr>
          <w:p w14:paraId="6E218798"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24</w:t>
            </w:r>
          </w:p>
        </w:tc>
        <w:tc>
          <w:tcPr>
            <w:tcW w:w="700" w:type="dxa"/>
            <w:tcBorders>
              <w:top w:val="nil"/>
              <w:left w:val="nil"/>
              <w:bottom w:val="single" w:sz="4" w:space="0" w:color="ADD6EA"/>
              <w:right w:val="nil"/>
            </w:tcBorders>
            <w:shd w:val="clear" w:color="000000" w:fill="FFFFFF"/>
            <w:vAlign w:val="bottom"/>
            <w:hideMark/>
          </w:tcPr>
          <w:p w14:paraId="175BC589"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24</w:t>
            </w:r>
          </w:p>
        </w:tc>
        <w:tc>
          <w:tcPr>
            <w:tcW w:w="620" w:type="dxa"/>
            <w:tcBorders>
              <w:top w:val="nil"/>
              <w:left w:val="nil"/>
              <w:bottom w:val="single" w:sz="4" w:space="0" w:color="ADD6EA"/>
              <w:right w:val="nil"/>
            </w:tcBorders>
            <w:shd w:val="clear" w:color="000000" w:fill="FFFFFF"/>
            <w:vAlign w:val="bottom"/>
            <w:hideMark/>
          </w:tcPr>
          <w:p w14:paraId="36B5E13A"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24</w:t>
            </w:r>
          </w:p>
        </w:tc>
        <w:tc>
          <w:tcPr>
            <w:tcW w:w="700" w:type="dxa"/>
            <w:tcBorders>
              <w:top w:val="nil"/>
              <w:left w:val="nil"/>
              <w:bottom w:val="single" w:sz="4" w:space="0" w:color="ADD6EA"/>
              <w:right w:val="nil"/>
            </w:tcBorders>
            <w:shd w:val="clear" w:color="000000" w:fill="FFFFFF"/>
            <w:vAlign w:val="bottom"/>
            <w:hideMark/>
          </w:tcPr>
          <w:p w14:paraId="7A8E3A58"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24</w:t>
            </w:r>
          </w:p>
        </w:tc>
        <w:tc>
          <w:tcPr>
            <w:tcW w:w="720" w:type="dxa"/>
            <w:tcBorders>
              <w:top w:val="nil"/>
              <w:left w:val="nil"/>
              <w:bottom w:val="single" w:sz="4" w:space="0" w:color="ADD6EA"/>
              <w:right w:val="nil"/>
            </w:tcBorders>
            <w:shd w:val="clear" w:color="000000" w:fill="FFFFFF"/>
            <w:vAlign w:val="bottom"/>
            <w:hideMark/>
          </w:tcPr>
          <w:p w14:paraId="3D613EBA"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24</w:t>
            </w:r>
          </w:p>
        </w:tc>
        <w:tc>
          <w:tcPr>
            <w:tcW w:w="760" w:type="dxa"/>
            <w:tcBorders>
              <w:top w:val="nil"/>
              <w:left w:val="nil"/>
              <w:bottom w:val="single" w:sz="4" w:space="0" w:color="ADD6EA"/>
              <w:right w:val="nil"/>
            </w:tcBorders>
            <w:shd w:val="clear" w:color="000000" w:fill="FFFFFF"/>
            <w:vAlign w:val="bottom"/>
            <w:hideMark/>
          </w:tcPr>
          <w:p w14:paraId="56B029AE"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24</w:t>
            </w:r>
          </w:p>
        </w:tc>
        <w:tc>
          <w:tcPr>
            <w:tcW w:w="780" w:type="dxa"/>
            <w:tcBorders>
              <w:top w:val="nil"/>
              <w:left w:val="nil"/>
              <w:bottom w:val="single" w:sz="4" w:space="0" w:color="ADD6EA"/>
              <w:right w:val="nil"/>
            </w:tcBorders>
            <w:shd w:val="clear" w:color="000000" w:fill="FFFFFF"/>
            <w:vAlign w:val="bottom"/>
            <w:hideMark/>
          </w:tcPr>
          <w:p w14:paraId="3F3BD65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24</w:t>
            </w:r>
          </w:p>
        </w:tc>
      </w:tr>
      <w:tr w:rsidR="007E365E" w:rsidRPr="00E1594A" w14:paraId="3A57CA6A"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2C40A5DA" w14:textId="77777777" w:rsidR="007E365E" w:rsidRPr="00E1594A"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E1594A">
              <w:rPr>
                <w:rFonts w:eastAsia="Times New Roman" w:cs="Open Sans Light"/>
                <w:sz w:val="16"/>
                <w:szCs w:val="16"/>
                <w:lang w:eastAsia="en-AU"/>
              </w:rPr>
              <w:t>Sector size</w:t>
            </w:r>
          </w:p>
        </w:tc>
        <w:tc>
          <w:tcPr>
            <w:tcW w:w="820" w:type="dxa"/>
            <w:tcBorders>
              <w:top w:val="nil"/>
              <w:left w:val="nil"/>
              <w:bottom w:val="single" w:sz="4" w:space="0" w:color="ADD6EA"/>
              <w:right w:val="nil"/>
            </w:tcBorders>
            <w:shd w:val="clear" w:color="000000" w:fill="FFFFFF"/>
            <w:vAlign w:val="bottom"/>
            <w:hideMark/>
          </w:tcPr>
          <w:p w14:paraId="47275990"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-8</w:t>
            </w:r>
          </w:p>
        </w:tc>
        <w:tc>
          <w:tcPr>
            <w:tcW w:w="680" w:type="dxa"/>
            <w:tcBorders>
              <w:top w:val="nil"/>
              <w:left w:val="nil"/>
              <w:bottom w:val="single" w:sz="4" w:space="0" w:color="ADD6EA"/>
              <w:right w:val="nil"/>
            </w:tcBorders>
            <w:shd w:val="clear" w:color="000000" w:fill="FFFFFF"/>
            <w:vAlign w:val="bottom"/>
            <w:hideMark/>
          </w:tcPr>
          <w:p w14:paraId="4BA3BA16"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-5</w:t>
            </w:r>
          </w:p>
        </w:tc>
        <w:tc>
          <w:tcPr>
            <w:tcW w:w="720" w:type="dxa"/>
            <w:tcBorders>
              <w:top w:val="nil"/>
              <w:left w:val="nil"/>
              <w:bottom w:val="single" w:sz="4" w:space="0" w:color="ADD6EA"/>
              <w:right w:val="nil"/>
            </w:tcBorders>
            <w:shd w:val="clear" w:color="000000" w:fill="FFFFFF"/>
            <w:vAlign w:val="bottom"/>
            <w:hideMark/>
          </w:tcPr>
          <w:p w14:paraId="6326B07D"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000000" w:fill="FFFFFF"/>
            <w:vAlign w:val="bottom"/>
            <w:hideMark/>
          </w:tcPr>
          <w:p w14:paraId="5E4D84B9"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11</w:t>
            </w:r>
          </w:p>
        </w:tc>
        <w:tc>
          <w:tcPr>
            <w:tcW w:w="620" w:type="dxa"/>
            <w:tcBorders>
              <w:top w:val="nil"/>
              <w:left w:val="nil"/>
              <w:bottom w:val="single" w:sz="4" w:space="0" w:color="ADD6EA"/>
              <w:right w:val="nil"/>
            </w:tcBorders>
            <w:shd w:val="clear" w:color="000000" w:fill="FFFFFF"/>
            <w:vAlign w:val="bottom"/>
            <w:hideMark/>
          </w:tcPr>
          <w:p w14:paraId="5EE99AD3"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19</w:t>
            </w:r>
          </w:p>
        </w:tc>
        <w:tc>
          <w:tcPr>
            <w:tcW w:w="700" w:type="dxa"/>
            <w:tcBorders>
              <w:top w:val="nil"/>
              <w:left w:val="nil"/>
              <w:bottom w:val="single" w:sz="4" w:space="0" w:color="ADD6EA"/>
              <w:right w:val="nil"/>
            </w:tcBorders>
            <w:shd w:val="clear" w:color="000000" w:fill="FFFFFF"/>
            <w:vAlign w:val="bottom"/>
            <w:hideMark/>
          </w:tcPr>
          <w:p w14:paraId="42E586E4"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64</w:t>
            </w:r>
          </w:p>
        </w:tc>
        <w:tc>
          <w:tcPr>
            <w:tcW w:w="720" w:type="dxa"/>
            <w:tcBorders>
              <w:top w:val="nil"/>
              <w:left w:val="nil"/>
              <w:bottom w:val="single" w:sz="4" w:space="0" w:color="ADD6EA"/>
              <w:right w:val="nil"/>
            </w:tcBorders>
            <w:shd w:val="clear" w:color="000000" w:fill="FFFFFF"/>
            <w:vAlign w:val="bottom"/>
            <w:hideMark/>
          </w:tcPr>
          <w:p w14:paraId="7A74A46D"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-24</w:t>
            </w:r>
          </w:p>
        </w:tc>
        <w:tc>
          <w:tcPr>
            <w:tcW w:w="760" w:type="dxa"/>
            <w:tcBorders>
              <w:top w:val="nil"/>
              <w:left w:val="nil"/>
              <w:bottom w:val="single" w:sz="4" w:space="0" w:color="ADD6EA"/>
              <w:right w:val="nil"/>
            </w:tcBorders>
            <w:shd w:val="clear" w:color="000000" w:fill="FFFFFF"/>
            <w:vAlign w:val="bottom"/>
            <w:hideMark/>
          </w:tcPr>
          <w:p w14:paraId="67D4F45D"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18</w:t>
            </w:r>
          </w:p>
        </w:tc>
        <w:tc>
          <w:tcPr>
            <w:tcW w:w="780" w:type="dxa"/>
            <w:tcBorders>
              <w:top w:val="nil"/>
              <w:left w:val="nil"/>
              <w:bottom w:val="single" w:sz="4" w:space="0" w:color="ADD6EA"/>
              <w:right w:val="nil"/>
            </w:tcBorders>
            <w:shd w:val="clear" w:color="000000" w:fill="FFFFFF"/>
            <w:vAlign w:val="bottom"/>
            <w:hideMark/>
          </w:tcPr>
          <w:p w14:paraId="6FAF7CE8"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r>
      <w:tr w:rsidR="007E365E" w:rsidRPr="00E1594A" w14:paraId="0F2003E7"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54FD2158" w14:textId="77777777" w:rsidR="007E365E" w:rsidRPr="00E1594A"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E1594A">
              <w:rPr>
                <w:rFonts w:eastAsia="Times New Roman" w:cs="Open Sans Light"/>
                <w:sz w:val="16"/>
                <w:szCs w:val="16"/>
                <w:lang w:eastAsia="en-AU"/>
              </w:rPr>
              <w:t>Wage costs</w:t>
            </w:r>
          </w:p>
        </w:tc>
        <w:tc>
          <w:tcPr>
            <w:tcW w:w="820" w:type="dxa"/>
            <w:tcBorders>
              <w:top w:val="nil"/>
              <w:left w:val="nil"/>
              <w:bottom w:val="single" w:sz="4" w:space="0" w:color="ADD6EA"/>
              <w:right w:val="nil"/>
            </w:tcBorders>
            <w:shd w:val="clear" w:color="000000" w:fill="FFFFFF"/>
            <w:vAlign w:val="bottom"/>
            <w:hideMark/>
          </w:tcPr>
          <w:p w14:paraId="0DF508D6"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000000" w:fill="FFFFFF"/>
            <w:vAlign w:val="bottom"/>
            <w:hideMark/>
          </w:tcPr>
          <w:p w14:paraId="0C60A16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721BE37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32F18B1E"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w:t>
            </w:r>
          </w:p>
        </w:tc>
        <w:tc>
          <w:tcPr>
            <w:tcW w:w="620" w:type="dxa"/>
            <w:tcBorders>
              <w:top w:val="nil"/>
              <w:left w:val="nil"/>
              <w:bottom w:val="single" w:sz="4" w:space="0" w:color="ADD6EA"/>
              <w:right w:val="nil"/>
            </w:tcBorders>
            <w:shd w:val="clear" w:color="000000" w:fill="FFFFFF"/>
            <w:vAlign w:val="bottom"/>
            <w:hideMark/>
          </w:tcPr>
          <w:p w14:paraId="7772DDBB"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000000" w:fill="FFFFFF"/>
            <w:vAlign w:val="bottom"/>
            <w:hideMark/>
          </w:tcPr>
          <w:p w14:paraId="0CB134FD"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w:t>
            </w:r>
          </w:p>
        </w:tc>
        <w:tc>
          <w:tcPr>
            <w:tcW w:w="720" w:type="dxa"/>
            <w:tcBorders>
              <w:top w:val="nil"/>
              <w:left w:val="nil"/>
              <w:bottom w:val="single" w:sz="4" w:space="0" w:color="ADD6EA"/>
              <w:right w:val="nil"/>
            </w:tcBorders>
            <w:shd w:val="clear" w:color="000000" w:fill="FFFFFF"/>
            <w:vAlign w:val="bottom"/>
            <w:hideMark/>
          </w:tcPr>
          <w:p w14:paraId="054A90AD"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189CEA4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w:t>
            </w:r>
          </w:p>
        </w:tc>
        <w:tc>
          <w:tcPr>
            <w:tcW w:w="780" w:type="dxa"/>
            <w:tcBorders>
              <w:top w:val="nil"/>
              <w:left w:val="nil"/>
              <w:bottom w:val="single" w:sz="4" w:space="0" w:color="ADD6EA"/>
              <w:right w:val="nil"/>
            </w:tcBorders>
            <w:shd w:val="clear" w:color="000000" w:fill="FFFFFF"/>
            <w:vAlign w:val="bottom"/>
            <w:hideMark/>
          </w:tcPr>
          <w:p w14:paraId="56D39C4C"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r>
      <w:tr w:rsidR="007E365E" w:rsidRPr="00E1594A" w14:paraId="38EB39FE"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5A4264CC" w14:textId="77777777" w:rsidR="007E365E" w:rsidRPr="00E1594A"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E1594A">
              <w:rPr>
                <w:rFonts w:eastAsia="Times New Roman" w:cs="Open Sans Light"/>
                <w:sz w:val="16"/>
                <w:szCs w:val="16"/>
                <w:lang w:eastAsia="en-AU"/>
              </w:rPr>
              <w:t>Regional costs</w:t>
            </w:r>
          </w:p>
        </w:tc>
        <w:tc>
          <w:tcPr>
            <w:tcW w:w="820" w:type="dxa"/>
            <w:tcBorders>
              <w:top w:val="nil"/>
              <w:left w:val="nil"/>
              <w:bottom w:val="single" w:sz="4" w:space="0" w:color="ADD6EA"/>
              <w:right w:val="nil"/>
            </w:tcBorders>
            <w:shd w:val="clear" w:color="000000" w:fill="FFFFFF"/>
            <w:vAlign w:val="bottom"/>
            <w:hideMark/>
          </w:tcPr>
          <w:p w14:paraId="4021C29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000000" w:fill="FFFFFF"/>
            <w:vAlign w:val="bottom"/>
            <w:hideMark/>
          </w:tcPr>
          <w:p w14:paraId="6A323A6C"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23F823D8"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0183CA7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620" w:type="dxa"/>
            <w:tcBorders>
              <w:top w:val="nil"/>
              <w:left w:val="nil"/>
              <w:bottom w:val="single" w:sz="4" w:space="0" w:color="ADD6EA"/>
              <w:right w:val="nil"/>
            </w:tcBorders>
            <w:shd w:val="clear" w:color="000000" w:fill="FFFFFF"/>
            <w:vAlign w:val="bottom"/>
            <w:hideMark/>
          </w:tcPr>
          <w:p w14:paraId="37FA3B00"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15B642B3"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0C2987D9"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304D59DD"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4</w:t>
            </w:r>
          </w:p>
        </w:tc>
        <w:tc>
          <w:tcPr>
            <w:tcW w:w="780" w:type="dxa"/>
            <w:tcBorders>
              <w:top w:val="nil"/>
              <w:left w:val="nil"/>
              <w:bottom w:val="single" w:sz="4" w:space="0" w:color="ADD6EA"/>
              <w:right w:val="nil"/>
            </w:tcBorders>
            <w:shd w:val="clear" w:color="000000" w:fill="FFFFFF"/>
            <w:vAlign w:val="bottom"/>
            <w:hideMark/>
          </w:tcPr>
          <w:p w14:paraId="227D387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r>
      <w:tr w:rsidR="007E365E" w:rsidRPr="00E1594A" w14:paraId="37526997" w14:textId="77777777" w:rsidTr="007D1D77">
        <w:trPr>
          <w:trHeight w:val="315"/>
        </w:trPr>
        <w:tc>
          <w:tcPr>
            <w:tcW w:w="2440" w:type="dxa"/>
            <w:tcBorders>
              <w:top w:val="nil"/>
              <w:left w:val="nil"/>
              <w:bottom w:val="single" w:sz="4" w:space="0" w:color="ADD6EA"/>
              <w:right w:val="nil"/>
            </w:tcBorders>
            <w:shd w:val="clear" w:color="000000" w:fill="B6D5E4"/>
            <w:noWrap/>
            <w:vAlign w:val="bottom"/>
            <w:hideMark/>
          </w:tcPr>
          <w:p w14:paraId="331C912D" w14:textId="77777777" w:rsidR="007E365E" w:rsidRPr="00E1594A" w:rsidRDefault="007E365E" w:rsidP="007D1D77">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Assessed expenses</w:t>
            </w:r>
          </w:p>
        </w:tc>
        <w:tc>
          <w:tcPr>
            <w:tcW w:w="820" w:type="dxa"/>
            <w:tcBorders>
              <w:top w:val="nil"/>
              <w:left w:val="nil"/>
              <w:bottom w:val="single" w:sz="4" w:space="0" w:color="ADD6EA"/>
              <w:right w:val="nil"/>
            </w:tcBorders>
            <w:shd w:val="clear" w:color="000000" w:fill="B6D5E4"/>
            <w:noWrap/>
            <w:vAlign w:val="bottom"/>
            <w:hideMark/>
          </w:tcPr>
          <w:p w14:paraId="69FA4542"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17</w:t>
            </w:r>
          </w:p>
        </w:tc>
        <w:tc>
          <w:tcPr>
            <w:tcW w:w="680" w:type="dxa"/>
            <w:tcBorders>
              <w:top w:val="nil"/>
              <w:left w:val="nil"/>
              <w:bottom w:val="single" w:sz="4" w:space="0" w:color="ADD6EA"/>
              <w:right w:val="nil"/>
            </w:tcBorders>
            <w:shd w:val="clear" w:color="000000" w:fill="B6D5E4"/>
            <w:noWrap/>
            <w:vAlign w:val="bottom"/>
            <w:hideMark/>
          </w:tcPr>
          <w:p w14:paraId="413FF3FB"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19</w:t>
            </w:r>
          </w:p>
        </w:tc>
        <w:tc>
          <w:tcPr>
            <w:tcW w:w="720" w:type="dxa"/>
            <w:tcBorders>
              <w:top w:val="nil"/>
              <w:left w:val="nil"/>
              <w:bottom w:val="single" w:sz="4" w:space="0" w:color="ADD6EA"/>
              <w:right w:val="nil"/>
            </w:tcBorders>
            <w:shd w:val="clear" w:color="000000" w:fill="B6D5E4"/>
            <w:noWrap/>
            <w:vAlign w:val="bottom"/>
            <w:hideMark/>
          </w:tcPr>
          <w:p w14:paraId="4D7FB974"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25</w:t>
            </w:r>
          </w:p>
        </w:tc>
        <w:tc>
          <w:tcPr>
            <w:tcW w:w="700" w:type="dxa"/>
            <w:tcBorders>
              <w:top w:val="nil"/>
              <w:left w:val="nil"/>
              <w:bottom w:val="single" w:sz="4" w:space="0" w:color="ADD6EA"/>
              <w:right w:val="nil"/>
            </w:tcBorders>
            <w:shd w:val="clear" w:color="000000" w:fill="B6D5E4"/>
            <w:noWrap/>
            <w:vAlign w:val="bottom"/>
            <w:hideMark/>
          </w:tcPr>
          <w:p w14:paraId="37FA65BE"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36</w:t>
            </w:r>
          </w:p>
        </w:tc>
        <w:tc>
          <w:tcPr>
            <w:tcW w:w="620" w:type="dxa"/>
            <w:tcBorders>
              <w:top w:val="nil"/>
              <w:left w:val="nil"/>
              <w:bottom w:val="single" w:sz="4" w:space="0" w:color="ADD6EA"/>
              <w:right w:val="nil"/>
            </w:tcBorders>
            <w:shd w:val="clear" w:color="000000" w:fill="B6D5E4"/>
            <w:noWrap/>
            <w:vAlign w:val="bottom"/>
            <w:hideMark/>
          </w:tcPr>
          <w:p w14:paraId="1C1DF242"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43</w:t>
            </w:r>
          </w:p>
        </w:tc>
        <w:tc>
          <w:tcPr>
            <w:tcW w:w="700" w:type="dxa"/>
            <w:tcBorders>
              <w:top w:val="nil"/>
              <w:left w:val="nil"/>
              <w:bottom w:val="single" w:sz="4" w:space="0" w:color="ADD6EA"/>
              <w:right w:val="nil"/>
            </w:tcBorders>
            <w:shd w:val="clear" w:color="000000" w:fill="B6D5E4"/>
            <w:noWrap/>
            <w:vAlign w:val="bottom"/>
            <w:hideMark/>
          </w:tcPr>
          <w:p w14:paraId="43E38559"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87</w:t>
            </w:r>
          </w:p>
        </w:tc>
        <w:tc>
          <w:tcPr>
            <w:tcW w:w="720" w:type="dxa"/>
            <w:tcBorders>
              <w:top w:val="nil"/>
              <w:left w:val="nil"/>
              <w:bottom w:val="single" w:sz="4" w:space="0" w:color="ADD6EA"/>
              <w:right w:val="nil"/>
            </w:tcBorders>
            <w:shd w:val="clear" w:color="000000" w:fill="B6D5E4"/>
            <w:noWrap/>
            <w:vAlign w:val="bottom"/>
            <w:hideMark/>
          </w:tcPr>
          <w:p w14:paraId="0A7F8A17"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w:t>
            </w:r>
          </w:p>
        </w:tc>
        <w:tc>
          <w:tcPr>
            <w:tcW w:w="760" w:type="dxa"/>
            <w:tcBorders>
              <w:top w:val="nil"/>
              <w:left w:val="nil"/>
              <w:bottom w:val="single" w:sz="4" w:space="0" w:color="ADD6EA"/>
              <w:right w:val="nil"/>
            </w:tcBorders>
            <w:shd w:val="clear" w:color="000000" w:fill="B6D5E4"/>
            <w:noWrap/>
            <w:vAlign w:val="bottom"/>
            <w:hideMark/>
          </w:tcPr>
          <w:p w14:paraId="59E15744"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48</w:t>
            </w:r>
          </w:p>
        </w:tc>
        <w:tc>
          <w:tcPr>
            <w:tcW w:w="780" w:type="dxa"/>
            <w:tcBorders>
              <w:top w:val="nil"/>
              <w:left w:val="nil"/>
              <w:bottom w:val="single" w:sz="4" w:space="0" w:color="ADD6EA"/>
              <w:right w:val="nil"/>
            </w:tcBorders>
            <w:shd w:val="clear" w:color="000000" w:fill="B6D5E4"/>
            <w:noWrap/>
            <w:vAlign w:val="bottom"/>
            <w:hideMark/>
          </w:tcPr>
          <w:p w14:paraId="34DDAD69"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24</w:t>
            </w:r>
          </w:p>
        </w:tc>
      </w:tr>
      <w:tr w:rsidR="007E365E" w:rsidRPr="00E1594A" w14:paraId="064228EF"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6FA99487" w14:textId="77777777" w:rsidR="007E365E" w:rsidRPr="00E1594A" w:rsidRDefault="007E365E" w:rsidP="007D1D77">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E1594A">
              <w:rPr>
                <w:rFonts w:ascii="Open Sans SemiBold" w:eastAsia="Times New Roman" w:hAnsi="Open Sans SemiBold" w:cs="Open Sans SemiBold"/>
                <w:sz w:val="16"/>
                <w:szCs w:val="16"/>
                <w:lang w:eastAsia="en-AU"/>
              </w:rPr>
              <w:t>Regulation of mining</w:t>
            </w:r>
          </w:p>
        </w:tc>
        <w:tc>
          <w:tcPr>
            <w:tcW w:w="820" w:type="dxa"/>
            <w:tcBorders>
              <w:top w:val="nil"/>
              <w:left w:val="nil"/>
              <w:bottom w:val="single" w:sz="4" w:space="0" w:color="ADD6EA"/>
              <w:right w:val="nil"/>
            </w:tcBorders>
            <w:shd w:val="clear" w:color="000000" w:fill="FFFFFF"/>
            <w:vAlign w:val="bottom"/>
            <w:hideMark/>
          </w:tcPr>
          <w:p w14:paraId="57B3F49B"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2DBBB800"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000000" w:fill="FFFFFF"/>
            <w:vAlign w:val="bottom"/>
            <w:hideMark/>
          </w:tcPr>
          <w:p w14:paraId="158E9BBD"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00" w:type="dxa"/>
            <w:tcBorders>
              <w:top w:val="nil"/>
              <w:left w:val="nil"/>
              <w:bottom w:val="single" w:sz="4" w:space="0" w:color="ADD6EA"/>
              <w:right w:val="nil"/>
            </w:tcBorders>
            <w:shd w:val="clear" w:color="000000" w:fill="FFFFFF"/>
            <w:vAlign w:val="bottom"/>
            <w:hideMark/>
          </w:tcPr>
          <w:p w14:paraId="1AF95CEE"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620" w:type="dxa"/>
            <w:tcBorders>
              <w:top w:val="nil"/>
              <w:left w:val="nil"/>
              <w:bottom w:val="single" w:sz="4" w:space="0" w:color="ADD6EA"/>
              <w:right w:val="nil"/>
            </w:tcBorders>
            <w:shd w:val="clear" w:color="000000" w:fill="FFFFFF"/>
            <w:vAlign w:val="bottom"/>
            <w:hideMark/>
          </w:tcPr>
          <w:p w14:paraId="6B6EE3EF"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00" w:type="dxa"/>
            <w:tcBorders>
              <w:top w:val="nil"/>
              <w:left w:val="nil"/>
              <w:bottom w:val="single" w:sz="4" w:space="0" w:color="ADD6EA"/>
              <w:right w:val="nil"/>
            </w:tcBorders>
            <w:shd w:val="clear" w:color="000000" w:fill="FFFFFF"/>
            <w:vAlign w:val="bottom"/>
            <w:hideMark/>
          </w:tcPr>
          <w:p w14:paraId="182B40FC"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000000" w:fill="FFFFFF"/>
            <w:vAlign w:val="bottom"/>
            <w:hideMark/>
          </w:tcPr>
          <w:p w14:paraId="4E68D27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265E4385"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000000" w:fill="FFFFFF"/>
            <w:vAlign w:val="bottom"/>
            <w:hideMark/>
          </w:tcPr>
          <w:p w14:paraId="0951129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r>
      <w:tr w:rsidR="007E365E" w:rsidRPr="00E1594A" w14:paraId="460A632E"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33290DA6" w14:textId="77777777" w:rsidR="007E365E" w:rsidRPr="00E1594A"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E1594A">
              <w:rPr>
                <w:rFonts w:eastAsia="Times New Roman" w:cs="Open Sans Light"/>
                <w:sz w:val="16"/>
                <w:szCs w:val="16"/>
                <w:lang w:eastAsia="en-AU"/>
              </w:rPr>
              <w:t>EPC</w:t>
            </w:r>
          </w:p>
        </w:tc>
        <w:tc>
          <w:tcPr>
            <w:tcW w:w="820" w:type="dxa"/>
            <w:tcBorders>
              <w:top w:val="nil"/>
              <w:left w:val="nil"/>
              <w:bottom w:val="single" w:sz="4" w:space="0" w:color="ADD6EA"/>
              <w:right w:val="nil"/>
            </w:tcBorders>
            <w:shd w:val="clear" w:color="000000" w:fill="FFFFFF"/>
            <w:vAlign w:val="bottom"/>
            <w:hideMark/>
          </w:tcPr>
          <w:p w14:paraId="48FD7551"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14</w:t>
            </w:r>
          </w:p>
        </w:tc>
        <w:tc>
          <w:tcPr>
            <w:tcW w:w="680" w:type="dxa"/>
            <w:tcBorders>
              <w:top w:val="nil"/>
              <w:left w:val="nil"/>
              <w:bottom w:val="single" w:sz="4" w:space="0" w:color="ADD6EA"/>
              <w:right w:val="nil"/>
            </w:tcBorders>
            <w:shd w:val="clear" w:color="000000" w:fill="FFFFFF"/>
            <w:vAlign w:val="bottom"/>
            <w:hideMark/>
          </w:tcPr>
          <w:p w14:paraId="3E8A805D"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14</w:t>
            </w:r>
          </w:p>
        </w:tc>
        <w:tc>
          <w:tcPr>
            <w:tcW w:w="720" w:type="dxa"/>
            <w:tcBorders>
              <w:top w:val="nil"/>
              <w:left w:val="nil"/>
              <w:bottom w:val="single" w:sz="4" w:space="0" w:color="ADD6EA"/>
              <w:right w:val="nil"/>
            </w:tcBorders>
            <w:shd w:val="clear" w:color="000000" w:fill="FFFFFF"/>
            <w:vAlign w:val="bottom"/>
            <w:hideMark/>
          </w:tcPr>
          <w:p w14:paraId="626B44C1"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14</w:t>
            </w:r>
          </w:p>
        </w:tc>
        <w:tc>
          <w:tcPr>
            <w:tcW w:w="700" w:type="dxa"/>
            <w:tcBorders>
              <w:top w:val="nil"/>
              <w:left w:val="nil"/>
              <w:bottom w:val="single" w:sz="4" w:space="0" w:color="ADD6EA"/>
              <w:right w:val="nil"/>
            </w:tcBorders>
            <w:shd w:val="clear" w:color="000000" w:fill="FFFFFF"/>
            <w:vAlign w:val="bottom"/>
            <w:hideMark/>
          </w:tcPr>
          <w:p w14:paraId="48397934"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14</w:t>
            </w:r>
          </w:p>
        </w:tc>
        <w:tc>
          <w:tcPr>
            <w:tcW w:w="620" w:type="dxa"/>
            <w:tcBorders>
              <w:top w:val="nil"/>
              <w:left w:val="nil"/>
              <w:bottom w:val="single" w:sz="4" w:space="0" w:color="ADD6EA"/>
              <w:right w:val="nil"/>
            </w:tcBorders>
            <w:shd w:val="clear" w:color="000000" w:fill="FFFFFF"/>
            <w:vAlign w:val="bottom"/>
            <w:hideMark/>
          </w:tcPr>
          <w:p w14:paraId="5FEB989B"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14</w:t>
            </w:r>
          </w:p>
        </w:tc>
        <w:tc>
          <w:tcPr>
            <w:tcW w:w="700" w:type="dxa"/>
            <w:tcBorders>
              <w:top w:val="nil"/>
              <w:left w:val="nil"/>
              <w:bottom w:val="single" w:sz="4" w:space="0" w:color="ADD6EA"/>
              <w:right w:val="nil"/>
            </w:tcBorders>
            <w:shd w:val="clear" w:color="000000" w:fill="FFFFFF"/>
            <w:vAlign w:val="bottom"/>
            <w:hideMark/>
          </w:tcPr>
          <w:p w14:paraId="6C4A4E8B"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14</w:t>
            </w:r>
          </w:p>
        </w:tc>
        <w:tc>
          <w:tcPr>
            <w:tcW w:w="720" w:type="dxa"/>
            <w:tcBorders>
              <w:top w:val="nil"/>
              <w:left w:val="nil"/>
              <w:bottom w:val="single" w:sz="4" w:space="0" w:color="ADD6EA"/>
              <w:right w:val="nil"/>
            </w:tcBorders>
            <w:shd w:val="clear" w:color="000000" w:fill="FFFFFF"/>
            <w:vAlign w:val="bottom"/>
            <w:hideMark/>
          </w:tcPr>
          <w:p w14:paraId="79B41B56"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000000" w:fill="FFFFFF"/>
            <w:vAlign w:val="bottom"/>
            <w:hideMark/>
          </w:tcPr>
          <w:p w14:paraId="0D89A15D"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14</w:t>
            </w:r>
          </w:p>
        </w:tc>
        <w:tc>
          <w:tcPr>
            <w:tcW w:w="780" w:type="dxa"/>
            <w:tcBorders>
              <w:top w:val="nil"/>
              <w:left w:val="nil"/>
              <w:bottom w:val="single" w:sz="4" w:space="0" w:color="ADD6EA"/>
              <w:right w:val="nil"/>
            </w:tcBorders>
            <w:shd w:val="clear" w:color="000000" w:fill="FFFFFF"/>
            <w:vAlign w:val="bottom"/>
            <w:hideMark/>
          </w:tcPr>
          <w:p w14:paraId="74002EA5"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14</w:t>
            </w:r>
          </w:p>
        </w:tc>
      </w:tr>
      <w:tr w:rsidR="007E365E" w:rsidRPr="00E1594A" w14:paraId="02B2F5D4"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178BC3A4" w14:textId="77777777" w:rsidR="007E365E" w:rsidRPr="00E1594A"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E1594A">
              <w:rPr>
                <w:rFonts w:eastAsia="Times New Roman" w:cs="Open Sans Light"/>
                <w:sz w:val="16"/>
                <w:szCs w:val="16"/>
                <w:lang w:eastAsia="en-AU"/>
              </w:rPr>
              <w:t>Sector size</w:t>
            </w:r>
          </w:p>
        </w:tc>
        <w:tc>
          <w:tcPr>
            <w:tcW w:w="820" w:type="dxa"/>
            <w:tcBorders>
              <w:top w:val="nil"/>
              <w:left w:val="nil"/>
              <w:bottom w:val="single" w:sz="4" w:space="0" w:color="ADD6EA"/>
              <w:right w:val="nil"/>
            </w:tcBorders>
            <w:shd w:val="clear" w:color="000000" w:fill="FFFFFF"/>
            <w:vAlign w:val="bottom"/>
            <w:hideMark/>
          </w:tcPr>
          <w:p w14:paraId="67DD1B94"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-9</w:t>
            </w:r>
          </w:p>
        </w:tc>
        <w:tc>
          <w:tcPr>
            <w:tcW w:w="680" w:type="dxa"/>
            <w:tcBorders>
              <w:top w:val="nil"/>
              <w:left w:val="nil"/>
              <w:bottom w:val="single" w:sz="4" w:space="0" w:color="ADD6EA"/>
              <w:right w:val="nil"/>
            </w:tcBorders>
            <w:shd w:val="clear" w:color="000000" w:fill="FFFFFF"/>
            <w:vAlign w:val="bottom"/>
            <w:hideMark/>
          </w:tcPr>
          <w:p w14:paraId="2877F507"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-12</w:t>
            </w:r>
          </w:p>
        </w:tc>
        <w:tc>
          <w:tcPr>
            <w:tcW w:w="720" w:type="dxa"/>
            <w:tcBorders>
              <w:top w:val="nil"/>
              <w:left w:val="nil"/>
              <w:bottom w:val="single" w:sz="4" w:space="0" w:color="ADD6EA"/>
              <w:right w:val="nil"/>
            </w:tcBorders>
            <w:shd w:val="clear" w:color="000000" w:fill="FFFFFF"/>
            <w:vAlign w:val="bottom"/>
            <w:hideMark/>
          </w:tcPr>
          <w:p w14:paraId="1CFFD57A"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3</w:t>
            </w:r>
          </w:p>
        </w:tc>
        <w:tc>
          <w:tcPr>
            <w:tcW w:w="700" w:type="dxa"/>
            <w:tcBorders>
              <w:top w:val="nil"/>
              <w:left w:val="nil"/>
              <w:bottom w:val="single" w:sz="4" w:space="0" w:color="ADD6EA"/>
              <w:right w:val="nil"/>
            </w:tcBorders>
            <w:shd w:val="clear" w:color="000000" w:fill="FFFFFF"/>
            <w:vAlign w:val="bottom"/>
            <w:hideMark/>
          </w:tcPr>
          <w:p w14:paraId="1DAD6B2F"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60</w:t>
            </w:r>
          </w:p>
        </w:tc>
        <w:tc>
          <w:tcPr>
            <w:tcW w:w="620" w:type="dxa"/>
            <w:tcBorders>
              <w:top w:val="nil"/>
              <w:left w:val="nil"/>
              <w:bottom w:val="single" w:sz="4" w:space="0" w:color="ADD6EA"/>
              <w:right w:val="nil"/>
            </w:tcBorders>
            <w:shd w:val="clear" w:color="000000" w:fill="FFFFFF"/>
            <w:vAlign w:val="bottom"/>
            <w:hideMark/>
          </w:tcPr>
          <w:p w14:paraId="20F5B6F4"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-10</w:t>
            </w:r>
          </w:p>
        </w:tc>
        <w:tc>
          <w:tcPr>
            <w:tcW w:w="700" w:type="dxa"/>
            <w:tcBorders>
              <w:top w:val="nil"/>
              <w:left w:val="nil"/>
              <w:bottom w:val="single" w:sz="4" w:space="0" w:color="ADD6EA"/>
              <w:right w:val="nil"/>
            </w:tcBorders>
            <w:shd w:val="clear" w:color="000000" w:fill="FFFFFF"/>
            <w:vAlign w:val="bottom"/>
            <w:hideMark/>
          </w:tcPr>
          <w:p w14:paraId="0D78700E"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-10</w:t>
            </w:r>
          </w:p>
        </w:tc>
        <w:tc>
          <w:tcPr>
            <w:tcW w:w="720" w:type="dxa"/>
            <w:tcBorders>
              <w:top w:val="nil"/>
              <w:left w:val="nil"/>
              <w:bottom w:val="single" w:sz="4" w:space="0" w:color="ADD6EA"/>
              <w:right w:val="nil"/>
            </w:tcBorders>
            <w:shd w:val="clear" w:color="000000" w:fill="FFFFFF"/>
            <w:vAlign w:val="bottom"/>
            <w:hideMark/>
          </w:tcPr>
          <w:p w14:paraId="606F9284"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000000" w:fill="FFFFFF"/>
            <w:vAlign w:val="bottom"/>
            <w:hideMark/>
          </w:tcPr>
          <w:p w14:paraId="3354AC18"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36</w:t>
            </w:r>
          </w:p>
        </w:tc>
        <w:tc>
          <w:tcPr>
            <w:tcW w:w="780" w:type="dxa"/>
            <w:tcBorders>
              <w:top w:val="nil"/>
              <w:left w:val="nil"/>
              <w:bottom w:val="single" w:sz="4" w:space="0" w:color="ADD6EA"/>
              <w:right w:val="nil"/>
            </w:tcBorders>
            <w:shd w:val="clear" w:color="000000" w:fill="FFFFFF"/>
            <w:vAlign w:val="bottom"/>
            <w:hideMark/>
          </w:tcPr>
          <w:p w14:paraId="525ADBE6"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r>
      <w:tr w:rsidR="007E365E" w:rsidRPr="00E1594A" w14:paraId="7B514A02"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268D6F61" w14:textId="77777777" w:rsidR="007E365E" w:rsidRPr="00E1594A"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E1594A">
              <w:rPr>
                <w:rFonts w:eastAsia="Times New Roman" w:cs="Open Sans Light"/>
                <w:sz w:val="16"/>
                <w:szCs w:val="16"/>
                <w:lang w:eastAsia="en-AU"/>
              </w:rPr>
              <w:t>Wage costs</w:t>
            </w:r>
          </w:p>
        </w:tc>
        <w:tc>
          <w:tcPr>
            <w:tcW w:w="820" w:type="dxa"/>
            <w:tcBorders>
              <w:top w:val="nil"/>
              <w:left w:val="nil"/>
              <w:bottom w:val="single" w:sz="4" w:space="0" w:color="ADD6EA"/>
              <w:right w:val="nil"/>
            </w:tcBorders>
            <w:shd w:val="clear" w:color="000000" w:fill="FFFFFF"/>
            <w:vAlign w:val="bottom"/>
            <w:hideMark/>
          </w:tcPr>
          <w:p w14:paraId="1AF699E9"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000000" w:fill="FFFFFF"/>
            <w:vAlign w:val="bottom"/>
            <w:hideMark/>
          </w:tcPr>
          <w:p w14:paraId="017B369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6EE937FB"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04159A30"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620" w:type="dxa"/>
            <w:tcBorders>
              <w:top w:val="nil"/>
              <w:left w:val="nil"/>
              <w:bottom w:val="single" w:sz="4" w:space="0" w:color="ADD6EA"/>
              <w:right w:val="nil"/>
            </w:tcBorders>
            <w:shd w:val="clear" w:color="000000" w:fill="FFFFFF"/>
            <w:vAlign w:val="bottom"/>
            <w:hideMark/>
          </w:tcPr>
          <w:p w14:paraId="4BC8E825"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757EC2EF"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1B092F75"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4A6E4CE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w:t>
            </w:r>
          </w:p>
        </w:tc>
        <w:tc>
          <w:tcPr>
            <w:tcW w:w="780" w:type="dxa"/>
            <w:tcBorders>
              <w:top w:val="nil"/>
              <w:left w:val="nil"/>
              <w:bottom w:val="single" w:sz="4" w:space="0" w:color="ADD6EA"/>
              <w:right w:val="nil"/>
            </w:tcBorders>
            <w:shd w:val="clear" w:color="000000" w:fill="FFFFFF"/>
            <w:vAlign w:val="bottom"/>
            <w:hideMark/>
          </w:tcPr>
          <w:p w14:paraId="0488487B"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r>
      <w:tr w:rsidR="007E365E" w:rsidRPr="00E1594A" w14:paraId="5652361A"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789118D2" w14:textId="77777777" w:rsidR="007E365E" w:rsidRPr="00E1594A"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E1594A">
              <w:rPr>
                <w:rFonts w:eastAsia="Times New Roman" w:cs="Open Sans Light"/>
                <w:sz w:val="16"/>
                <w:szCs w:val="16"/>
                <w:lang w:eastAsia="en-AU"/>
              </w:rPr>
              <w:t>Regional costs</w:t>
            </w:r>
          </w:p>
        </w:tc>
        <w:tc>
          <w:tcPr>
            <w:tcW w:w="820" w:type="dxa"/>
            <w:tcBorders>
              <w:top w:val="nil"/>
              <w:left w:val="nil"/>
              <w:bottom w:val="single" w:sz="4" w:space="0" w:color="ADD6EA"/>
              <w:right w:val="nil"/>
            </w:tcBorders>
            <w:shd w:val="clear" w:color="000000" w:fill="FFFFFF"/>
            <w:vAlign w:val="bottom"/>
            <w:hideMark/>
          </w:tcPr>
          <w:p w14:paraId="71723848"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000000" w:fill="FFFFFF"/>
            <w:vAlign w:val="bottom"/>
            <w:hideMark/>
          </w:tcPr>
          <w:p w14:paraId="45E6161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26E98A61"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686E7CE8"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620" w:type="dxa"/>
            <w:tcBorders>
              <w:top w:val="nil"/>
              <w:left w:val="nil"/>
              <w:bottom w:val="single" w:sz="4" w:space="0" w:color="ADD6EA"/>
              <w:right w:val="nil"/>
            </w:tcBorders>
            <w:shd w:val="clear" w:color="000000" w:fill="FFFFFF"/>
            <w:vAlign w:val="bottom"/>
            <w:hideMark/>
          </w:tcPr>
          <w:p w14:paraId="71BAD008"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26CBB77F"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704B4EE3"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141E4CCF"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4</w:t>
            </w:r>
          </w:p>
        </w:tc>
        <w:tc>
          <w:tcPr>
            <w:tcW w:w="780" w:type="dxa"/>
            <w:tcBorders>
              <w:top w:val="nil"/>
              <w:left w:val="nil"/>
              <w:bottom w:val="single" w:sz="4" w:space="0" w:color="ADD6EA"/>
              <w:right w:val="nil"/>
            </w:tcBorders>
            <w:shd w:val="clear" w:color="000000" w:fill="FFFFFF"/>
            <w:vAlign w:val="bottom"/>
            <w:hideMark/>
          </w:tcPr>
          <w:p w14:paraId="69755BDE"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r>
      <w:tr w:rsidR="007E365E" w:rsidRPr="00E1594A" w14:paraId="165904C7" w14:textId="77777777" w:rsidTr="007D1D77">
        <w:trPr>
          <w:trHeight w:val="315"/>
        </w:trPr>
        <w:tc>
          <w:tcPr>
            <w:tcW w:w="2440" w:type="dxa"/>
            <w:tcBorders>
              <w:top w:val="nil"/>
              <w:left w:val="nil"/>
              <w:bottom w:val="single" w:sz="4" w:space="0" w:color="ADD6EA"/>
              <w:right w:val="nil"/>
            </w:tcBorders>
            <w:shd w:val="clear" w:color="000000" w:fill="B6D5E4"/>
            <w:noWrap/>
            <w:vAlign w:val="bottom"/>
            <w:hideMark/>
          </w:tcPr>
          <w:p w14:paraId="2AF27736" w14:textId="77777777" w:rsidR="007E365E" w:rsidRPr="00E1594A" w:rsidRDefault="007E365E" w:rsidP="007D1D77">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Assessed expenses</w:t>
            </w:r>
          </w:p>
        </w:tc>
        <w:tc>
          <w:tcPr>
            <w:tcW w:w="820" w:type="dxa"/>
            <w:tcBorders>
              <w:top w:val="nil"/>
              <w:left w:val="nil"/>
              <w:bottom w:val="single" w:sz="4" w:space="0" w:color="ADD6EA"/>
              <w:right w:val="nil"/>
            </w:tcBorders>
            <w:shd w:val="clear" w:color="000000" w:fill="B6D5E4"/>
            <w:noWrap/>
            <w:vAlign w:val="bottom"/>
            <w:hideMark/>
          </w:tcPr>
          <w:p w14:paraId="32D41E72"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4</w:t>
            </w:r>
          </w:p>
        </w:tc>
        <w:tc>
          <w:tcPr>
            <w:tcW w:w="680" w:type="dxa"/>
            <w:tcBorders>
              <w:top w:val="nil"/>
              <w:left w:val="nil"/>
              <w:bottom w:val="single" w:sz="4" w:space="0" w:color="ADD6EA"/>
              <w:right w:val="nil"/>
            </w:tcBorders>
            <w:shd w:val="clear" w:color="000000" w:fill="B6D5E4"/>
            <w:noWrap/>
            <w:vAlign w:val="bottom"/>
            <w:hideMark/>
          </w:tcPr>
          <w:p w14:paraId="0EA0CE5D"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w:t>
            </w:r>
          </w:p>
        </w:tc>
        <w:tc>
          <w:tcPr>
            <w:tcW w:w="720" w:type="dxa"/>
            <w:tcBorders>
              <w:top w:val="nil"/>
              <w:left w:val="nil"/>
              <w:bottom w:val="single" w:sz="4" w:space="0" w:color="ADD6EA"/>
              <w:right w:val="nil"/>
            </w:tcBorders>
            <w:shd w:val="clear" w:color="000000" w:fill="B6D5E4"/>
            <w:noWrap/>
            <w:vAlign w:val="bottom"/>
            <w:hideMark/>
          </w:tcPr>
          <w:p w14:paraId="4A197C2F"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17</w:t>
            </w:r>
          </w:p>
        </w:tc>
        <w:tc>
          <w:tcPr>
            <w:tcW w:w="700" w:type="dxa"/>
            <w:tcBorders>
              <w:top w:val="nil"/>
              <w:left w:val="nil"/>
              <w:bottom w:val="single" w:sz="4" w:space="0" w:color="ADD6EA"/>
              <w:right w:val="nil"/>
            </w:tcBorders>
            <w:shd w:val="clear" w:color="000000" w:fill="B6D5E4"/>
            <w:noWrap/>
            <w:vAlign w:val="bottom"/>
            <w:hideMark/>
          </w:tcPr>
          <w:p w14:paraId="4EBDEBF8"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74</w:t>
            </w:r>
          </w:p>
        </w:tc>
        <w:tc>
          <w:tcPr>
            <w:tcW w:w="620" w:type="dxa"/>
            <w:tcBorders>
              <w:top w:val="nil"/>
              <w:left w:val="nil"/>
              <w:bottom w:val="single" w:sz="4" w:space="0" w:color="ADD6EA"/>
              <w:right w:val="nil"/>
            </w:tcBorders>
            <w:shd w:val="clear" w:color="000000" w:fill="B6D5E4"/>
            <w:noWrap/>
            <w:vAlign w:val="bottom"/>
            <w:hideMark/>
          </w:tcPr>
          <w:p w14:paraId="67125B37"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4</w:t>
            </w:r>
          </w:p>
        </w:tc>
        <w:tc>
          <w:tcPr>
            <w:tcW w:w="700" w:type="dxa"/>
            <w:tcBorders>
              <w:top w:val="nil"/>
              <w:left w:val="nil"/>
              <w:bottom w:val="single" w:sz="4" w:space="0" w:color="ADD6EA"/>
              <w:right w:val="nil"/>
            </w:tcBorders>
            <w:shd w:val="clear" w:color="000000" w:fill="B6D5E4"/>
            <w:noWrap/>
            <w:vAlign w:val="bottom"/>
            <w:hideMark/>
          </w:tcPr>
          <w:p w14:paraId="464229D1"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4</w:t>
            </w:r>
          </w:p>
        </w:tc>
        <w:tc>
          <w:tcPr>
            <w:tcW w:w="720" w:type="dxa"/>
            <w:tcBorders>
              <w:top w:val="nil"/>
              <w:left w:val="nil"/>
              <w:bottom w:val="single" w:sz="4" w:space="0" w:color="ADD6EA"/>
              <w:right w:val="nil"/>
            </w:tcBorders>
            <w:shd w:val="clear" w:color="000000" w:fill="B6D5E4"/>
            <w:noWrap/>
            <w:vAlign w:val="bottom"/>
            <w:hideMark/>
          </w:tcPr>
          <w:p w14:paraId="734B12C9"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0</w:t>
            </w:r>
          </w:p>
        </w:tc>
        <w:tc>
          <w:tcPr>
            <w:tcW w:w="760" w:type="dxa"/>
            <w:tcBorders>
              <w:top w:val="nil"/>
              <w:left w:val="nil"/>
              <w:bottom w:val="single" w:sz="4" w:space="0" w:color="ADD6EA"/>
              <w:right w:val="nil"/>
            </w:tcBorders>
            <w:shd w:val="clear" w:color="000000" w:fill="B6D5E4"/>
            <w:noWrap/>
            <w:vAlign w:val="bottom"/>
            <w:hideMark/>
          </w:tcPr>
          <w:p w14:paraId="221C9D63"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54</w:t>
            </w:r>
          </w:p>
        </w:tc>
        <w:tc>
          <w:tcPr>
            <w:tcW w:w="780" w:type="dxa"/>
            <w:tcBorders>
              <w:top w:val="nil"/>
              <w:left w:val="nil"/>
              <w:bottom w:val="single" w:sz="4" w:space="0" w:color="ADD6EA"/>
              <w:right w:val="nil"/>
            </w:tcBorders>
            <w:shd w:val="clear" w:color="000000" w:fill="B6D5E4"/>
            <w:noWrap/>
            <w:vAlign w:val="bottom"/>
            <w:hideMark/>
          </w:tcPr>
          <w:p w14:paraId="3ECE95E3"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14</w:t>
            </w:r>
          </w:p>
        </w:tc>
      </w:tr>
      <w:tr w:rsidR="007E365E" w:rsidRPr="00E1594A" w14:paraId="391B9B6D" w14:textId="77777777" w:rsidTr="007D1D77">
        <w:trPr>
          <w:trHeight w:val="315"/>
        </w:trPr>
        <w:tc>
          <w:tcPr>
            <w:tcW w:w="4660" w:type="dxa"/>
            <w:gridSpan w:val="4"/>
            <w:tcBorders>
              <w:top w:val="nil"/>
              <w:left w:val="nil"/>
              <w:bottom w:val="single" w:sz="4" w:space="0" w:color="ADD6EA"/>
              <w:right w:val="nil"/>
            </w:tcBorders>
            <w:shd w:val="clear" w:color="000000" w:fill="FFFFFF"/>
            <w:vAlign w:val="bottom"/>
            <w:hideMark/>
          </w:tcPr>
          <w:p w14:paraId="7018FB90" w14:textId="77777777" w:rsidR="007E365E" w:rsidRPr="00E1594A" w:rsidRDefault="007E365E" w:rsidP="007D1D77">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E1594A">
              <w:rPr>
                <w:rFonts w:ascii="Open Sans SemiBold" w:eastAsia="Times New Roman" w:hAnsi="Open Sans SemiBold" w:cs="Open Sans SemiBold"/>
                <w:sz w:val="16"/>
                <w:szCs w:val="16"/>
                <w:lang w:eastAsia="en-AU"/>
              </w:rPr>
              <w:t>Regulation of other industries</w:t>
            </w:r>
          </w:p>
        </w:tc>
        <w:tc>
          <w:tcPr>
            <w:tcW w:w="700" w:type="dxa"/>
            <w:tcBorders>
              <w:top w:val="nil"/>
              <w:left w:val="nil"/>
              <w:bottom w:val="single" w:sz="4" w:space="0" w:color="ADD6EA"/>
              <w:right w:val="nil"/>
            </w:tcBorders>
            <w:shd w:val="clear" w:color="000000" w:fill="FFFFFF"/>
            <w:vAlign w:val="bottom"/>
            <w:hideMark/>
          </w:tcPr>
          <w:p w14:paraId="0977C923"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620" w:type="dxa"/>
            <w:tcBorders>
              <w:top w:val="nil"/>
              <w:left w:val="nil"/>
              <w:bottom w:val="single" w:sz="4" w:space="0" w:color="ADD6EA"/>
              <w:right w:val="nil"/>
            </w:tcBorders>
            <w:shd w:val="clear" w:color="000000" w:fill="FFFFFF"/>
            <w:vAlign w:val="bottom"/>
            <w:hideMark/>
          </w:tcPr>
          <w:p w14:paraId="536C0713"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00" w:type="dxa"/>
            <w:tcBorders>
              <w:top w:val="nil"/>
              <w:left w:val="nil"/>
              <w:bottom w:val="single" w:sz="4" w:space="0" w:color="ADD6EA"/>
              <w:right w:val="nil"/>
            </w:tcBorders>
            <w:shd w:val="clear" w:color="000000" w:fill="FFFFFF"/>
            <w:vAlign w:val="bottom"/>
            <w:hideMark/>
          </w:tcPr>
          <w:p w14:paraId="7258490E"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000000" w:fill="FFFFFF"/>
            <w:vAlign w:val="bottom"/>
            <w:hideMark/>
          </w:tcPr>
          <w:p w14:paraId="3FF7802B"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14FCC29F"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000000" w:fill="FFFFFF"/>
            <w:vAlign w:val="bottom"/>
            <w:hideMark/>
          </w:tcPr>
          <w:p w14:paraId="3FC30ECD"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r>
      <w:tr w:rsidR="007E365E" w:rsidRPr="00E1594A" w14:paraId="2E925A24"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73266CFA" w14:textId="77777777" w:rsidR="007E365E" w:rsidRPr="00E1594A"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E1594A">
              <w:rPr>
                <w:rFonts w:eastAsia="Times New Roman" w:cs="Open Sans Light"/>
                <w:sz w:val="16"/>
                <w:szCs w:val="16"/>
                <w:lang w:eastAsia="en-AU"/>
              </w:rPr>
              <w:t>EPC</w:t>
            </w:r>
          </w:p>
        </w:tc>
        <w:tc>
          <w:tcPr>
            <w:tcW w:w="820" w:type="dxa"/>
            <w:tcBorders>
              <w:top w:val="nil"/>
              <w:left w:val="nil"/>
              <w:bottom w:val="single" w:sz="4" w:space="0" w:color="ADD6EA"/>
              <w:right w:val="nil"/>
            </w:tcBorders>
            <w:shd w:val="clear" w:color="000000" w:fill="FFFFFF"/>
            <w:vAlign w:val="bottom"/>
            <w:hideMark/>
          </w:tcPr>
          <w:p w14:paraId="242F9E7F"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62</w:t>
            </w:r>
          </w:p>
        </w:tc>
        <w:tc>
          <w:tcPr>
            <w:tcW w:w="680" w:type="dxa"/>
            <w:tcBorders>
              <w:top w:val="nil"/>
              <w:left w:val="nil"/>
              <w:bottom w:val="single" w:sz="4" w:space="0" w:color="ADD6EA"/>
              <w:right w:val="nil"/>
            </w:tcBorders>
            <w:shd w:val="clear" w:color="000000" w:fill="FFFFFF"/>
            <w:vAlign w:val="bottom"/>
            <w:hideMark/>
          </w:tcPr>
          <w:p w14:paraId="51E0225C"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62</w:t>
            </w:r>
          </w:p>
        </w:tc>
        <w:tc>
          <w:tcPr>
            <w:tcW w:w="720" w:type="dxa"/>
            <w:tcBorders>
              <w:top w:val="nil"/>
              <w:left w:val="nil"/>
              <w:bottom w:val="single" w:sz="4" w:space="0" w:color="ADD6EA"/>
              <w:right w:val="nil"/>
            </w:tcBorders>
            <w:shd w:val="clear" w:color="000000" w:fill="FFFFFF"/>
            <w:vAlign w:val="bottom"/>
            <w:hideMark/>
          </w:tcPr>
          <w:p w14:paraId="1E93146B"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62</w:t>
            </w:r>
          </w:p>
        </w:tc>
        <w:tc>
          <w:tcPr>
            <w:tcW w:w="700" w:type="dxa"/>
            <w:tcBorders>
              <w:top w:val="nil"/>
              <w:left w:val="nil"/>
              <w:bottom w:val="single" w:sz="4" w:space="0" w:color="ADD6EA"/>
              <w:right w:val="nil"/>
            </w:tcBorders>
            <w:shd w:val="clear" w:color="000000" w:fill="FFFFFF"/>
            <w:vAlign w:val="bottom"/>
            <w:hideMark/>
          </w:tcPr>
          <w:p w14:paraId="0B82FD0E"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62</w:t>
            </w:r>
          </w:p>
        </w:tc>
        <w:tc>
          <w:tcPr>
            <w:tcW w:w="620" w:type="dxa"/>
            <w:tcBorders>
              <w:top w:val="nil"/>
              <w:left w:val="nil"/>
              <w:bottom w:val="single" w:sz="4" w:space="0" w:color="ADD6EA"/>
              <w:right w:val="nil"/>
            </w:tcBorders>
            <w:shd w:val="clear" w:color="000000" w:fill="FFFFFF"/>
            <w:vAlign w:val="bottom"/>
            <w:hideMark/>
          </w:tcPr>
          <w:p w14:paraId="3B32ADB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62</w:t>
            </w:r>
          </w:p>
        </w:tc>
        <w:tc>
          <w:tcPr>
            <w:tcW w:w="700" w:type="dxa"/>
            <w:tcBorders>
              <w:top w:val="nil"/>
              <w:left w:val="nil"/>
              <w:bottom w:val="single" w:sz="4" w:space="0" w:color="ADD6EA"/>
              <w:right w:val="nil"/>
            </w:tcBorders>
            <w:shd w:val="clear" w:color="000000" w:fill="FFFFFF"/>
            <w:vAlign w:val="bottom"/>
            <w:hideMark/>
          </w:tcPr>
          <w:p w14:paraId="223E5491"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62</w:t>
            </w:r>
          </w:p>
        </w:tc>
        <w:tc>
          <w:tcPr>
            <w:tcW w:w="720" w:type="dxa"/>
            <w:tcBorders>
              <w:top w:val="nil"/>
              <w:left w:val="nil"/>
              <w:bottom w:val="single" w:sz="4" w:space="0" w:color="ADD6EA"/>
              <w:right w:val="nil"/>
            </w:tcBorders>
            <w:shd w:val="clear" w:color="000000" w:fill="FFFFFF"/>
            <w:vAlign w:val="bottom"/>
            <w:hideMark/>
          </w:tcPr>
          <w:p w14:paraId="4C3EFC6B"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62</w:t>
            </w:r>
          </w:p>
        </w:tc>
        <w:tc>
          <w:tcPr>
            <w:tcW w:w="760" w:type="dxa"/>
            <w:tcBorders>
              <w:top w:val="nil"/>
              <w:left w:val="nil"/>
              <w:bottom w:val="single" w:sz="4" w:space="0" w:color="ADD6EA"/>
              <w:right w:val="nil"/>
            </w:tcBorders>
            <w:shd w:val="clear" w:color="000000" w:fill="FFFFFF"/>
            <w:vAlign w:val="bottom"/>
            <w:hideMark/>
          </w:tcPr>
          <w:p w14:paraId="27666220"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62</w:t>
            </w:r>
          </w:p>
        </w:tc>
        <w:tc>
          <w:tcPr>
            <w:tcW w:w="780" w:type="dxa"/>
            <w:tcBorders>
              <w:top w:val="nil"/>
              <w:left w:val="nil"/>
              <w:bottom w:val="single" w:sz="4" w:space="0" w:color="ADD6EA"/>
              <w:right w:val="nil"/>
            </w:tcBorders>
            <w:shd w:val="clear" w:color="000000" w:fill="FFFFFF"/>
            <w:vAlign w:val="bottom"/>
            <w:hideMark/>
          </w:tcPr>
          <w:p w14:paraId="1DCF2385"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62</w:t>
            </w:r>
          </w:p>
        </w:tc>
      </w:tr>
      <w:tr w:rsidR="007E365E" w:rsidRPr="00E1594A" w14:paraId="2CC1134B"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3F98F317" w14:textId="77777777" w:rsidR="007E365E" w:rsidRPr="00E1594A"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E1594A">
              <w:rPr>
                <w:rFonts w:eastAsia="Times New Roman" w:cs="Open Sans Light"/>
                <w:sz w:val="16"/>
                <w:szCs w:val="16"/>
                <w:lang w:eastAsia="en-AU"/>
              </w:rPr>
              <w:t>Sector size</w:t>
            </w:r>
          </w:p>
        </w:tc>
        <w:tc>
          <w:tcPr>
            <w:tcW w:w="820" w:type="dxa"/>
            <w:tcBorders>
              <w:top w:val="nil"/>
              <w:left w:val="nil"/>
              <w:bottom w:val="single" w:sz="4" w:space="0" w:color="ADD6EA"/>
              <w:right w:val="nil"/>
            </w:tcBorders>
            <w:shd w:val="clear" w:color="000000" w:fill="FFFFFF"/>
            <w:vAlign w:val="bottom"/>
            <w:hideMark/>
          </w:tcPr>
          <w:p w14:paraId="69B2954A"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6</w:t>
            </w:r>
          </w:p>
        </w:tc>
        <w:tc>
          <w:tcPr>
            <w:tcW w:w="680" w:type="dxa"/>
            <w:tcBorders>
              <w:top w:val="nil"/>
              <w:left w:val="nil"/>
              <w:bottom w:val="single" w:sz="4" w:space="0" w:color="ADD6EA"/>
              <w:right w:val="nil"/>
            </w:tcBorders>
            <w:shd w:val="clear" w:color="000000" w:fill="FFFFFF"/>
            <w:vAlign w:val="bottom"/>
            <w:hideMark/>
          </w:tcPr>
          <w:p w14:paraId="03163338"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000000" w:fill="FFFFFF"/>
            <w:vAlign w:val="bottom"/>
            <w:hideMark/>
          </w:tcPr>
          <w:p w14:paraId="05B79E13"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000000" w:fill="FFFFFF"/>
            <w:vAlign w:val="bottom"/>
            <w:hideMark/>
          </w:tcPr>
          <w:p w14:paraId="7037F141"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3</w:t>
            </w:r>
          </w:p>
        </w:tc>
        <w:tc>
          <w:tcPr>
            <w:tcW w:w="620" w:type="dxa"/>
            <w:tcBorders>
              <w:top w:val="nil"/>
              <w:left w:val="nil"/>
              <w:bottom w:val="single" w:sz="4" w:space="0" w:color="ADD6EA"/>
              <w:right w:val="nil"/>
            </w:tcBorders>
            <w:shd w:val="clear" w:color="000000" w:fill="FFFFFF"/>
            <w:vAlign w:val="bottom"/>
            <w:hideMark/>
          </w:tcPr>
          <w:p w14:paraId="2D2F3DD8"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-5</w:t>
            </w:r>
          </w:p>
        </w:tc>
        <w:tc>
          <w:tcPr>
            <w:tcW w:w="700" w:type="dxa"/>
            <w:tcBorders>
              <w:top w:val="nil"/>
              <w:left w:val="nil"/>
              <w:bottom w:val="single" w:sz="4" w:space="0" w:color="ADD6EA"/>
              <w:right w:val="nil"/>
            </w:tcBorders>
            <w:shd w:val="clear" w:color="000000" w:fill="FFFFFF"/>
            <w:vAlign w:val="bottom"/>
            <w:hideMark/>
          </w:tcPr>
          <w:p w14:paraId="0864601D"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-8</w:t>
            </w:r>
          </w:p>
        </w:tc>
        <w:tc>
          <w:tcPr>
            <w:tcW w:w="720" w:type="dxa"/>
            <w:tcBorders>
              <w:top w:val="nil"/>
              <w:left w:val="nil"/>
              <w:bottom w:val="single" w:sz="4" w:space="0" w:color="ADD6EA"/>
              <w:right w:val="nil"/>
            </w:tcBorders>
            <w:shd w:val="clear" w:color="000000" w:fill="FFFFFF"/>
            <w:vAlign w:val="bottom"/>
            <w:hideMark/>
          </w:tcPr>
          <w:p w14:paraId="0DC7E77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000000" w:fill="FFFFFF"/>
            <w:vAlign w:val="bottom"/>
            <w:hideMark/>
          </w:tcPr>
          <w:p w14:paraId="4906A8A6"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18</w:t>
            </w:r>
          </w:p>
        </w:tc>
        <w:tc>
          <w:tcPr>
            <w:tcW w:w="780" w:type="dxa"/>
            <w:tcBorders>
              <w:top w:val="nil"/>
              <w:left w:val="nil"/>
              <w:bottom w:val="single" w:sz="4" w:space="0" w:color="ADD6EA"/>
              <w:right w:val="nil"/>
            </w:tcBorders>
            <w:shd w:val="clear" w:color="000000" w:fill="FFFFFF"/>
            <w:vAlign w:val="bottom"/>
            <w:hideMark/>
          </w:tcPr>
          <w:p w14:paraId="1F80D6E7"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r>
      <w:tr w:rsidR="007E365E" w:rsidRPr="00E1594A" w14:paraId="09CBCBF4"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060DE0A4" w14:textId="77777777" w:rsidR="007E365E" w:rsidRPr="00E1594A"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E1594A">
              <w:rPr>
                <w:rFonts w:eastAsia="Times New Roman" w:cs="Open Sans Light"/>
                <w:sz w:val="16"/>
                <w:szCs w:val="16"/>
                <w:lang w:eastAsia="en-AU"/>
              </w:rPr>
              <w:t>Wage costs</w:t>
            </w:r>
          </w:p>
        </w:tc>
        <w:tc>
          <w:tcPr>
            <w:tcW w:w="820" w:type="dxa"/>
            <w:tcBorders>
              <w:top w:val="nil"/>
              <w:left w:val="nil"/>
              <w:bottom w:val="single" w:sz="4" w:space="0" w:color="ADD6EA"/>
              <w:right w:val="nil"/>
            </w:tcBorders>
            <w:shd w:val="clear" w:color="000000" w:fill="FFFFFF"/>
            <w:vAlign w:val="bottom"/>
            <w:hideMark/>
          </w:tcPr>
          <w:p w14:paraId="5D6FB67D"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000000" w:fill="FFFFFF"/>
            <w:vAlign w:val="bottom"/>
            <w:hideMark/>
          </w:tcPr>
          <w:p w14:paraId="21B8BB1E"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46EF4258"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63D0F8A4"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w:t>
            </w:r>
          </w:p>
        </w:tc>
        <w:tc>
          <w:tcPr>
            <w:tcW w:w="620" w:type="dxa"/>
            <w:tcBorders>
              <w:top w:val="nil"/>
              <w:left w:val="nil"/>
              <w:bottom w:val="single" w:sz="4" w:space="0" w:color="ADD6EA"/>
              <w:right w:val="nil"/>
            </w:tcBorders>
            <w:shd w:val="clear" w:color="000000" w:fill="FFFFFF"/>
            <w:vAlign w:val="bottom"/>
            <w:hideMark/>
          </w:tcPr>
          <w:p w14:paraId="62DFA124"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000000" w:fill="FFFFFF"/>
            <w:vAlign w:val="bottom"/>
            <w:hideMark/>
          </w:tcPr>
          <w:p w14:paraId="3835BBB1"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000000" w:fill="FFFFFF"/>
            <w:vAlign w:val="bottom"/>
            <w:hideMark/>
          </w:tcPr>
          <w:p w14:paraId="006E586F"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244359B7"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w:t>
            </w:r>
          </w:p>
        </w:tc>
        <w:tc>
          <w:tcPr>
            <w:tcW w:w="780" w:type="dxa"/>
            <w:tcBorders>
              <w:top w:val="nil"/>
              <w:left w:val="nil"/>
              <w:bottom w:val="single" w:sz="4" w:space="0" w:color="ADD6EA"/>
              <w:right w:val="nil"/>
            </w:tcBorders>
            <w:shd w:val="clear" w:color="000000" w:fill="FFFFFF"/>
            <w:vAlign w:val="bottom"/>
            <w:hideMark/>
          </w:tcPr>
          <w:p w14:paraId="46D58E95"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r>
      <w:tr w:rsidR="007E365E" w:rsidRPr="00E1594A" w14:paraId="1C869FBF"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6A5BF4F4" w14:textId="77777777" w:rsidR="007E365E" w:rsidRPr="00E1594A"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E1594A">
              <w:rPr>
                <w:rFonts w:eastAsia="Times New Roman" w:cs="Open Sans Light"/>
                <w:sz w:val="16"/>
                <w:szCs w:val="16"/>
                <w:lang w:eastAsia="en-AU"/>
              </w:rPr>
              <w:t>Regional costs</w:t>
            </w:r>
          </w:p>
        </w:tc>
        <w:tc>
          <w:tcPr>
            <w:tcW w:w="820" w:type="dxa"/>
            <w:tcBorders>
              <w:top w:val="nil"/>
              <w:left w:val="nil"/>
              <w:bottom w:val="single" w:sz="4" w:space="0" w:color="ADD6EA"/>
              <w:right w:val="nil"/>
            </w:tcBorders>
            <w:shd w:val="clear" w:color="000000" w:fill="FFFFFF"/>
            <w:vAlign w:val="bottom"/>
            <w:hideMark/>
          </w:tcPr>
          <w:p w14:paraId="64D12003"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680" w:type="dxa"/>
            <w:tcBorders>
              <w:top w:val="nil"/>
              <w:left w:val="nil"/>
              <w:bottom w:val="single" w:sz="4" w:space="0" w:color="ADD6EA"/>
              <w:right w:val="nil"/>
            </w:tcBorders>
            <w:shd w:val="clear" w:color="000000" w:fill="FFFFFF"/>
            <w:vAlign w:val="bottom"/>
            <w:hideMark/>
          </w:tcPr>
          <w:p w14:paraId="45C5F818"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56CB84DD"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58B4EB73"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w:t>
            </w:r>
          </w:p>
        </w:tc>
        <w:tc>
          <w:tcPr>
            <w:tcW w:w="620" w:type="dxa"/>
            <w:tcBorders>
              <w:top w:val="nil"/>
              <w:left w:val="nil"/>
              <w:bottom w:val="single" w:sz="4" w:space="0" w:color="ADD6EA"/>
              <w:right w:val="nil"/>
            </w:tcBorders>
            <w:shd w:val="clear" w:color="000000" w:fill="FFFFFF"/>
            <w:vAlign w:val="bottom"/>
            <w:hideMark/>
          </w:tcPr>
          <w:p w14:paraId="2FB97A76"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799BD8FB"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6AE00666"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2F626294"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7</w:t>
            </w:r>
          </w:p>
        </w:tc>
        <w:tc>
          <w:tcPr>
            <w:tcW w:w="780" w:type="dxa"/>
            <w:tcBorders>
              <w:top w:val="nil"/>
              <w:left w:val="nil"/>
              <w:bottom w:val="single" w:sz="4" w:space="0" w:color="ADD6EA"/>
              <w:right w:val="nil"/>
            </w:tcBorders>
            <w:shd w:val="clear" w:color="000000" w:fill="FFFFFF"/>
            <w:vAlign w:val="bottom"/>
            <w:hideMark/>
          </w:tcPr>
          <w:p w14:paraId="6C6C946A"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r>
      <w:tr w:rsidR="007E365E" w:rsidRPr="00E1594A" w14:paraId="1AC06D8F" w14:textId="77777777" w:rsidTr="007D1D77">
        <w:trPr>
          <w:trHeight w:val="315"/>
        </w:trPr>
        <w:tc>
          <w:tcPr>
            <w:tcW w:w="2440" w:type="dxa"/>
            <w:tcBorders>
              <w:top w:val="nil"/>
              <w:left w:val="nil"/>
              <w:bottom w:val="single" w:sz="4" w:space="0" w:color="ADD6EA"/>
              <w:right w:val="nil"/>
            </w:tcBorders>
            <w:shd w:val="clear" w:color="000000" w:fill="B6D5E4"/>
            <w:noWrap/>
            <w:vAlign w:val="bottom"/>
            <w:hideMark/>
          </w:tcPr>
          <w:p w14:paraId="73AB11F7" w14:textId="77777777" w:rsidR="007E365E" w:rsidRPr="00E1594A" w:rsidRDefault="007E365E" w:rsidP="007D1D77">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Assessed expenses</w:t>
            </w:r>
          </w:p>
        </w:tc>
        <w:tc>
          <w:tcPr>
            <w:tcW w:w="820" w:type="dxa"/>
            <w:tcBorders>
              <w:top w:val="nil"/>
              <w:left w:val="nil"/>
              <w:bottom w:val="single" w:sz="4" w:space="0" w:color="ADD6EA"/>
              <w:right w:val="nil"/>
            </w:tcBorders>
            <w:shd w:val="clear" w:color="000000" w:fill="B6D5E4"/>
            <w:noWrap/>
            <w:vAlign w:val="bottom"/>
            <w:hideMark/>
          </w:tcPr>
          <w:p w14:paraId="04DD17B0"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66</w:t>
            </w:r>
          </w:p>
        </w:tc>
        <w:tc>
          <w:tcPr>
            <w:tcW w:w="680" w:type="dxa"/>
            <w:tcBorders>
              <w:top w:val="nil"/>
              <w:left w:val="nil"/>
              <w:bottom w:val="single" w:sz="4" w:space="0" w:color="ADD6EA"/>
              <w:right w:val="nil"/>
            </w:tcBorders>
            <w:shd w:val="clear" w:color="000000" w:fill="B6D5E4"/>
            <w:noWrap/>
            <w:vAlign w:val="bottom"/>
            <w:hideMark/>
          </w:tcPr>
          <w:p w14:paraId="30E25E3B"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60</w:t>
            </w:r>
          </w:p>
        </w:tc>
        <w:tc>
          <w:tcPr>
            <w:tcW w:w="720" w:type="dxa"/>
            <w:tcBorders>
              <w:top w:val="nil"/>
              <w:left w:val="nil"/>
              <w:bottom w:val="single" w:sz="4" w:space="0" w:color="ADD6EA"/>
              <w:right w:val="nil"/>
            </w:tcBorders>
            <w:shd w:val="clear" w:color="000000" w:fill="B6D5E4"/>
            <w:noWrap/>
            <w:vAlign w:val="bottom"/>
            <w:hideMark/>
          </w:tcPr>
          <w:p w14:paraId="7745C61C"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58</w:t>
            </w:r>
          </w:p>
        </w:tc>
        <w:tc>
          <w:tcPr>
            <w:tcW w:w="700" w:type="dxa"/>
            <w:tcBorders>
              <w:top w:val="nil"/>
              <w:left w:val="nil"/>
              <w:bottom w:val="single" w:sz="4" w:space="0" w:color="ADD6EA"/>
              <w:right w:val="nil"/>
            </w:tcBorders>
            <w:shd w:val="clear" w:color="000000" w:fill="B6D5E4"/>
            <w:noWrap/>
            <w:vAlign w:val="bottom"/>
            <w:hideMark/>
          </w:tcPr>
          <w:p w14:paraId="4ACE27B8"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65</w:t>
            </w:r>
          </w:p>
        </w:tc>
        <w:tc>
          <w:tcPr>
            <w:tcW w:w="620" w:type="dxa"/>
            <w:tcBorders>
              <w:top w:val="nil"/>
              <w:left w:val="nil"/>
              <w:bottom w:val="single" w:sz="4" w:space="0" w:color="ADD6EA"/>
              <w:right w:val="nil"/>
            </w:tcBorders>
            <w:shd w:val="clear" w:color="000000" w:fill="B6D5E4"/>
            <w:noWrap/>
            <w:vAlign w:val="bottom"/>
            <w:hideMark/>
          </w:tcPr>
          <w:p w14:paraId="61D687F2"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54</w:t>
            </w:r>
          </w:p>
        </w:tc>
        <w:tc>
          <w:tcPr>
            <w:tcW w:w="700" w:type="dxa"/>
            <w:tcBorders>
              <w:top w:val="nil"/>
              <w:left w:val="nil"/>
              <w:bottom w:val="single" w:sz="4" w:space="0" w:color="ADD6EA"/>
              <w:right w:val="nil"/>
            </w:tcBorders>
            <w:shd w:val="clear" w:color="000000" w:fill="B6D5E4"/>
            <w:noWrap/>
            <w:vAlign w:val="bottom"/>
            <w:hideMark/>
          </w:tcPr>
          <w:p w14:paraId="7E2A4167"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51</w:t>
            </w:r>
          </w:p>
        </w:tc>
        <w:tc>
          <w:tcPr>
            <w:tcW w:w="720" w:type="dxa"/>
            <w:tcBorders>
              <w:top w:val="nil"/>
              <w:left w:val="nil"/>
              <w:bottom w:val="single" w:sz="4" w:space="0" w:color="ADD6EA"/>
              <w:right w:val="nil"/>
            </w:tcBorders>
            <w:shd w:val="clear" w:color="000000" w:fill="B6D5E4"/>
            <w:noWrap/>
            <w:vAlign w:val="bottom"/>
            <w:hideMark/>
          </w:tcPr>
          <w:p w14:paraId="361BFB3D"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70</w:t>
            </w:r>
          </w:p>
        </w:tc>
        <w:tc>
          <w:tcPr>
            <w:tcW w:w="760" w:type="dxa"/>
            <w:tcBorders>
              <w:top w:val="nil"/>
              <w:left w:val="nil"/>
              <w:bottom w:val="single" w:sz="4" w:space="0" w:color="ADD6EA"/>
              <w:right w:val="nil"/>
            </w:tcBorders>
            <w:shd w:val="clear" w:color="000000" w:fill="B6D5E4"/>
            <w:noWrap/>
            <w:vAlign w:val="bottom"/>
            <w:hideMark/>
          </w:tcPr>
          <w:p w14:paraId="6A821F83"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86</w:t>
            </w:r>
          </w:p>
        </w:tc>
        <w:tc>
          <w:tcPr>
            <w:tcW w:w="780" w:type="dxa"/>
            <w:tcBorders>
              <w:top w:val="nil"/>
              <w:left w:val="nil"/>
              <w:bottom w:val="single" w:sz="4" w:space="0" w:color="ADD6EA"/>
              <w:right w:val="nil"/>
            </w:tcBorders>
            <w:shd w:val="clear" w:color="000000" w:fill="B6D5E4"/>
            <w:noWrap/>
            <w:vAlign w:val="bottom"/>
            <w:hideMark/>
          </w:tcPr>
          <w:p w14:paraId="1CFFC1F4"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62</w:t>
            </w:r>
          </w:p>
        </w:tc>
      </w:tr>
      <w:tr w:rsidR="007E365E" w:rsidRPr="00E1594A" w14:paraId="6DB4A291"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6337B81A" w14:textId="77777777" w:rsidR="007E365E" w:rsidRPr="00E1594A" w:rsidRDefault="007E365E" w:rsidP="007D1D77">
            <w:pPr>
              <w:keepNext/>
              <w:keepLines/>
              <w:tabs>
                <w:tab w:val="clear" w:pos="567"/>
              </w:tabs>
              <w:spacing w:before="0" w:line="240" w:lineRule="auto"/>
              <w:rPr>
                <w:rFonts w:ascii="Open Sans SemiBold" w:eastAsia="Times New Roman" w:hAnsi="Open Sans SemiBold" w:cs="Open Sans SemiBold"/>
                <w:sz w:val="16"/>
                <w:szCs w:val="16"/>
                <w:lang w:eastAsia="en-AU"/>
              </w:rPr>
            </w:pPr>
            <w:r w:rsidRPr="00E1594A">
              <w:rPr>
                <w:rFonts w:ascii="Open Sans SemiBold" w:eastAsia="Times New Roman" w:hAnsi="Open Sans SemiBold" w:cs="Open Sans SemiBold"/>
                <w:sz w:val="16"/>
                <w:szCs w:val="16"/>
                <w:lang w:eastAsia="en-AU"/>
              </w:rPr>
              <w:t xml:space="preserve">Business development </w:t>
            </w:r>
          </w:p>
        </w:tc>
        <w:tc>
          <w:tcPr>
            <w:tcW w:w="820" w:type="dxa"/>
            <w:tcBorders>
              <w:top w:val="nil"/>
              <w:left w:val="nil"/>
              <w:bottom w:val="single" w:sz="4" w:space="0" w:color="ADD6EA"/>
              <w:right w:val="nil"/>
            </w:tcBorders>
            <w:shd w:val="clear" w:color="000000" w:fill="FFFFFF"/>
            <w:vAlign w:val="bottom"/>
            <w:hideMark/>
          </w:tcPr>
          <w:p w14:paraId="6B9E9D47"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680" w:type="dxa"/>
            <w:tcBorders>
              <w:top w:val="nil"/>
              <w:left w:val="nil"/>
              <w:bottom w:val="single" w:sz="4" w:space="0" w:color="ADD6EA"/>
              <w:right w:val="nil"/>
            </w:tcBorders>
            <w:shd w:val="clear" w:color="000000" w:fill="FFFFFF"/>
            <w:vAlign w:val="bottom"/>
            <w:hideMark/>
          </w:tcPr>
          <w:p w14:paraId="3F0492D8"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000000" w:fill="FFFFFF"/>
            <w:vAlign w:val="bottom"/>
            <w:hideMark/>
          </w:tcPr>
          <w:p w14:paraId="2D825198"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00" w:type="dxa"/>
            <w:tcBorders>
              <w:top w:val="nil"/>
              <w:left w:val="nil"/>
              <w:bottom w:val="single" w:sz="4" w:space="0" w:color="ADD6EA"/>
              <w:right w:val="nil"/>
            </w:tcBorders>
            <w:shd w:val="clear" w:color="000000" w:fill="FFFFFF"/>
            <w:vAlign w:val="bottom"/>
            <w:hideMark/>
          </w:tcPr>
          <w:p w14:paraId="7B8107FC"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620" w:type="dxa"/>
            <w:tcBorders>
              <w:top w:val="nil"/>
              <w:left w:val="nil"/>
              <w:bottom w:val="single" w:sz="4" w:space="0" w:color="ADD6EA"/>
              <w:right w:val="nil"/>
            </w:tcBorders>
            <w:shd w:val="clear" w:color="000000" w:fill="FFFFFF"/>
            <w:vAlign w:val="bottom"/>
            <w:hideMark/>
          </w:tcPr>
          <w:p w14:paraId="201C5199"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00" w:type="dxa"/>
            <w:tcBorders>
              <w:top w:val="nil"/>
              <w:left w:val="nil"/>
              <w:bottom w:val="single" w:sz="4" w:space="0" w:color="ADD6EA"/>
              <w:right w:val="nil"/>
            </w:tcBorders>
            <w:shd w:val="clear" w:color="000000" w:fill="FFFFFF"/>
            <w:vAlign w:val="bottom"/>
            <w:hideMark/>
          </w:tcPr>
          <w:p w14:paraId="79732894"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000000" w:fill="FFFFFF"/>
            <w:vAlign w:val="bottom"/>
            <w:hideMark/>
          </w:tcPr>
          <w:p w14:paraId="51E8B957"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681B16F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c>
          <w:tcPr>
            <w:tcW w:w="780" w:type="dxa"/>
            <w:tcBorders>
              <w:top w:val="nil"/>
              <w:left w:val="nil"/>
              <w:bottom w:val="single" w:sz="4" w:space="0" w:color="ADD6EA"/>
              <w:right w:val="nil"/>
            </w:tcBorders>
            <w:shd w:val="clear" w:color="000000" w:fill="FFFFFF"/>
            <w:vAlign w:val="bottom"/>
            <w:hideMark/>
          </w:tcPr>
          <w:p w14:paraId="724C21AB"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 </w:t>
            </w:r>
          </w:p>
        </w:tc>
      </w:tr>
      <w:tr w:rsidR="007E365E" w:rsidRPr="00E1594A" w14:paraId="1C299266"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45CD81D9" w14:textId="77777777" w:rsidR="007E365E" w:rsidRPr="00E1594A"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E1594A">
              <w:rPr>
                <w:rFonts w:eastAsia="Times New Roman" w:cs="Open Sans Light"/>
                <w:sz w:val="16"/>
                <w:szCs w:val="16"/>
                <w:lang w:eastAsia="en-AU"/>
              </w:rPr>
              <w:t>EPC</w:t>
            </w:r>
          </w:p>
        </w:tc>
        <w:tc>
          <w:tcPr>
            <w:tcW w:w="820" w:type="dxa"/>
            <w:tcBorders>
              <w:top w:val="nil"/>
              <w:left w:val="nil"/>
              <w:bottom w:val="single" w:sz="4" w:space="0" w:color="ADD6EA"/>
              <w:right w:val="nil"/>
            </w:tcBorders>
            <w:shd w:val="clear" w:color="000000" w:fill="FFFFFF"/>
            <w:vAlign w:val="bottom"/>
            <w:hideMark/>
          </w:tcPr>
          <w:p w14:paraId="77FB2E55"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108</w:t>
            </w:r>
          </w:p>
        </w:tc>
        <w:tc>
          <w:tcPr>
            <w:tcW w:w="680" w:type="dxa"/>
            <w:tcBorders>
              <w:top w:val="nil"/>
              <w:left w:val="nil"/>
              <w:bottom w:val="single" w:sz="4" w:space="0" w:color="ADD6EA"/>
              <w:right w:val="nil"/>
            </w:tcBorders>
            <w:shd w:val="clear" w:color="000000" w:fill="FFFFFF"/>
            <w:vAlign w:val="bottom"/>
            <w:hideMark/>
          </w:tcPr>
          <w:p w14:paraId="7A2D5E2C"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108</w:t>
            </w:r>
          </w:p>
        </w:tc>
        <w:tc>
          <w:tcPr>
            <w:tcW w:w="720" w:type="dxa"/>
            <w:tcBorders>
              <w:top w:val="nil"/>
              <w:left w:val="nil"/>
              <w:bottom w:val="single" w:sz="4" w:space="0" w:color="ADD6EA"/>
              <w:right w:val="nil"/>
            </w:tcBorders>
            <w:shd w:val="clear" w:color="000000" w:fill="FFFFFF"/>
            <w:vAlign w:val="bottom"/>
            <w:hideMark/>
          </w:tcPr>
          <w:p w14:paraId="3982C26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108</w:t>
            </w:r>
          </w:p>
        </w:tc>
        <w:tc>
          <w:tcPr>
            <w:tcW w:w="700" w:type="dxa"/>
            <w:tcBorders>
              <w:top w:val="nil"/>
              <w:left w:val="nil"/>
              <w:bottom w:val="single" w:sz="4" w:space="0" w:color="ADD6EA"/>
              <w:right w:val="nil"/>
            </w:tcBorders>
            <w:shd w:val="clear" w:color="000000" w:fill="FFFFFF"/>
            <w:vAlign w:val="bottom"/>
            <w:hideMark/>
          </w:tcPr>
          <w:p w14:paraId="686801F1"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108</w:t>
            </w:r>
          </w:p>
        </w:tc>
        <w:tc>
          <w:tcPr>
            <w:tcW w:w="620" w:type="dxa"/>
            <w:tcBorders>
              <w:top w:val="nil"/>
              <w:left w:val="nil"/>
              <w:bottom w:val="single" w:sz="4" w:space="0" w:color="ADD6EA"/>
              <w:right w:val="nil"/>
            </w:tcBorders>
            <w:shd w:val="clear" w:color="000000" w:fill="FFFFFF"/>
            <w:vAlign w:val="bottom"/>
            <w:hideMark/>
          </w:tcPr>
          <w:p w14:paraId="791F5A4E"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108</w:t>
            </w:r>
          </w:p>
        </w:tc>
        <w:tc>
          <w:tcPr>
            <w:tcW w:w="700" w:type="dxa"/>
            <w:tcBorders>
              <w:top w:val="nil"/>
              <w:left w:val="nil"/>
              <w:bottom w:val="single" w:sz="4" w:space="0" w:color="ADD6EA"/>
              <w:right w:val="nil"/>
            </w:tcBorders>
            <w:shd w:val="clear" w:color="000000" w:fill="FFFFFF"/>
            <w:vAlign w:val="bottom"/>
            <w:hideMark/>
          </w:tcPr>
          <w:p w14:paraId="42D867C9"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108</w:t>
            </w:r>
          </w:p>
        </w:tc>
        <w:tc>
          <w:tcPr>
            <w:tcW w:w="720" w:type="dxa"/>
            <w:tcBorders>
              <w:top w:val="nil"/>
              <w:left w:val="nil"/>
              <w:bottom w:val="single" w:sz="4" w:space="0" w:color="ADD6EA"/>
              <w:right w:val="nil"/>
            </w:tcBorders>
            <w:shd w:val="clear" w:color="000000" w:fill="FFFFFF"/>
            <w:vAlign w:val="bottom"/>
            <w:hideMark/>
          </w:tcPr>
          <w:p w14:paraId="031250D5"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108</w:t>
            </w:r>
          </w:p>
        </w:tc>
        <w:tc>
          <w:tcPr>
            <w:tcW w:w="760" w:type="dxa"/>
            <w:tcBorders>
              <w:top w:val="nil"/>
              <w:left w:val="nil"/>
              <w:bottom w:val="single" w:sz="4" w:space="0" w:color="ADD6EA"/>
              <w:right w:val="nil"/>
            </w:tcBorders>
            <w:shd w:val="clear" w:color="000000" w:fill="FFFFFF"/>
            <w:vAlign w:val="bottom"/>
            <w:hideMark/>
          </w:tcPr>
          <w:p w14:paraId="70B3A171"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108</w:t>
            </w:r>
          </w:p>
        </w:tc>
        <w:tc>
          <w:tcPr>
            <w:tcW w:w="780" w:type="dxa"/>
            <w:tcBorders>
              <w:top w:val="nil"/>
              <w:left w:val="nil"/>
              <w:bottom w:val="single" w:sz="4" w:space="0" w:color="ADD6EA"/>
              <w:right w:val="nil"/>
            </w:tcBorders>
            <w:shd w:val="clear" w:color="000000" w:fill="FFFFFF"/>
            <w:vAlign w:val="bottom"/>
            <w:hideMark/>
          </w:tcPr>
          <w:p w14:paraId="36455062"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108</w:t>
            </w:r>
          </w:p>
        </w:tc>
      </w:tr>
      <w:tr w:rsidR="007E365E" w:rsidRPr="00E1594A" w14:paraId="2F4D5741" w14:textId="77777777" w:rsidTr="007D1D77">
        <w:trPr>
          <w:trHeight w:val="315"/>
        </w:trPr>
        <w:tc>
          <w:tcPr>
            <w:tcW w:w="2440" w:type="dxa"/>
            <w:tcBorders>
              <w:top w:val="nil"/>
              <w:left w:val="nil"/>
              <w:bottom w:val="single" w:sz="4" w:space="0" w:color="ADD6EA"/>
              <w:right w:val="nil"/>
            </w:tcBorders>
            <w:shd w:val="clear" w:color="000000" w:fill="FFFFFF"/>
            <w:vAlign w:val="bottom"/>
            <w:hideMark/>
          </w:tcPr>
          <w:p w14:paraId="01E221E2" w14:textId="77777777" w:rsidR="007E365E" w:rsidRPr="00E1594A"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E1594A">
              <w:rPr>
                <w:rFonts w:eastAsia="Times New Roman" w:cs="Open Sans Light"/>
                <w:sz w:val="16"/>
                <w:szCs w:val="16"/>
                <w:lang w:eastAsia="en-AU"/>
              </w:rPr>
              <w:t>Wage costs</w:t>
            </w:r>
          </w:p>
        </w:tc>
        <w:tc>
          <w:tcPr>
            <w:tcW w:w="820" w:type="dxa"/>
            <w:tcBorders>
              <w:top w:val="nil"/>
              <w:left w:val="nil"/>
              <w:bottom w:val="single" w:sz="4" w:space="0" w:color="ADD6EA"/>
              <w:right w:val="nil"/>
            </w:tcBorders>
            <w:shd w:val="clear" w:color="000000" w:fill="FFFFFF"/>
            <w:vAlign w:val="bottom"/>
            <w:hideMark/>
          </w:tcPr>
          <w:p w14:paraId="5B3A91DF"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w:t>
            </w:r>
          </w:p>
        </w:tc>
        <w:tc>
          <w:tcPr>
            <w:tcW w:w="680" w:type="dxa"/>
            <w:tcBorders>
              <w:top w:val="nil"/>
              <w:left w:val="nil"/>
              <w:bottom w:val="single" w:sz="4" w:space="0" w:color="ADD6EA"/>
              <w:right w:val="nil"/>
            </w:tcBorders>
            <w:shd w:val="clear" w:color="000000" w:fill="FFFFFF"/>
            <w:vAlign w:val="bottom"/>
            <w:hideMark/>
          </w:tcPr>
          <w:p w14:paraId="70FB0FBF"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6A980D44"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000000" w:fill="FFFFFF"/>
            <w:vAlign w:val="bottom"/>
            <w:hideMark/>
          </w:tcPr>
          <w:p w14:paraId="6641E5B5"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1</w:t>
            </w:r>
          </w:p>
        </w:tc>
        <w:tc>
          <w:tcPr>
            <w:tcW w:w="620" w:type="dxa"/>
            <w:tcBorders>
              <w:top w:val="nil"/>
              <w:left w:val="nil"/>
              <w:bottom w:val="single" w:sz="4" w:space="0" w:color="ADD6EA"/>
              <w:right w:val="nil"/>
            </w:tcBorders>
            <w:shd w:val="clear" w:color="000000" w:fill="FFFFFF"/>
            <w:vAlign w:val="bottom"/>
            <w:hideMark/>
          </w:tcPr>
          <w:p w14:paraId="09164233"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000000" w:fill="FFFFFF"/>
            <w:vAlign w:val="bottom"/>
            <w:hideMark/>
          </w:tcPr>
          <w:p w14:paraId="35F65227"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w:t>
            </w:r>
          </w:p>
        </w:tc>
        <w:tc>
          <w:tcPr>
            <w:tcW w:w="720" w:type="dxa"/>
            <w:tcBorders>
              <w:top w:val="nil"/>
              <w:left w:val="nil"/>
              <w:bottom w:val="single" w:sz="4" w:space="0" w:color="ADD6EA"/>
              <w:right w:val="nil"/>
            </w:tcBorders>
            <w:shd w:val="clear" w:color="000000" w:fill="FFFFFF"/>
            <w:vAlign w:val="bottom"/>
            <w:hideMark/>
          </w:tcPr>
          <w:p w14:paraId="45BA81C7"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000000" w:fill="FFFFFF"/>
            <w:vAlign w:val="bottom"/>
            <w:hideMark/>
          </w:tcPr>
          <w:p w14:paraId="1F118071"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2</w:t>
            </w:r>
          </w:p>
        </w:tc>
        <w:tc>
          <w:tcPr>
            <w:tcW w:w="780" w:type="dxa"/>
            <w:tcBorders>
              <w:top w:val="nil"/>
              <w:left w:val="nil"/>
              <w:bottom w:val="single" w:sz="4" w:space="0" w:color="ADD6EA"/>
              <w:right w:val="nil"/>
            </w:tcBorders>
            <w:shd w:val="clear" w:color="000000" w:fill="FFFFFF"/>
            <w:vAlign w:val="bottom"/>
            <w:hideMark/>
          </w:tcPr>
          <w:p w14:paraId="7D793E06" w14:textId="77777777" w:rsidR="007E365E" w:rsidRPr="00E1594A" w:rsidRDefault="007E365E" w:rsidP="007D1D77">
            <w:pPr>
              <w:keepNext/>
              <w:keepLines/>
              <w:tabs>
                <w:tab w:val="clear" w:pos="567"/>
              </w:tabs>
              <w:spacing w:before="0" w:line="240" w:lineRule="auto"/>
              <w:jc w:val="right"/>
              <w:rPr>
                <w:rFonts w:eastAsia="Times New Roman" w:cs="Open Sans Light"/>
                <w:sz w:val="16"/>
                <w:szCs w:val="16"/>
                <w:lang w:eastAsia="en-AU"/>
              </w:rPr>
            </w:pPr>
            <w:r w:rsidRPr="00E1594A">
              <w:rPr>
                <w:rFonts w:eastAsia="Times New Roman" w:cs="Open Sans Light"/>
                <w:sz w:val="16"/>
                <w:szCs w:val="16"/>
                <w:lang w:eastAsia="en-AU"/>
              </w:rPr>
              <w:t>0</w:t>
            </w:r>
          </w:p>
        </w:tc>
      </w:tr>
      <w:tr w:rsidR="007E365E" w:rsidRPr="00E1594A" w14:paraId="475A5621" w14:textId="77777777" w:rsidTr="007D1D77">
        <w:trPr>
          <w:trHeight w:val="315"/>
        </w:trPr>
        <w:tc>
          <w:tcPr>
            <w:tcW w:w="2440" w:type="dxa"/>
            <w:tcBorders>
              <w:top w:val="nil"/>
              <w:left w:val="nil"/>
              <w:bottom w:val="single" w:sz="4" w:space="0" w:color="ADD6EA"/>
              <w:right w:val="nil"/>
            </w:tcBorders>
            <w:shd w:val="clear" w:color="000000" w:fill="B6D5E4"/>
            <w:noWrap/>
            <w:vAlign w:val="bottom"/>
            <w:hideMark/>
          </w:tcPr>
          <w:p w14:paraId="451921D1" w14:textId="77777777" w:rsidR="007E365E" w:rsidRPr="00E1594A" w:rsidRDefault="007E365E" w:rsidP="007D1D77">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Assessed expenses</w:t>
            </w:r>
          </w:p>
        </w:tc>
        <w:tc>
          <w:tcPr>
            <w:tcW w:w="820" w:type="dxa"/>
            <w:tcBorders>
              <w:top w:val="nil"/>
              <w:left w:val="nil"/>
              <w:bottom w:val="single" w:sz="4" w:space="0" w:color="ADD6EA"/>
              <w:right w:val="nil"/>
            </w:tcBorders>
            <w:shd w:val="clear" w:color="000000" w:fill="B6D5E4"/>
            <w:noWrap/>
            <w:vAlign w:val="bottom"/>
            <w:hideMark/>
          </w:tcPr>
          <w:p w14:paraId="70333A85"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109</w:t>
            </w:r>
          </w:p>
        </w:tc>
        <w:tc>
          <w:tcPr>
            <w:tcW w:w="680" w:type="dxa"/>
            <w:tcBorders>
              <w:top w:val="nil"/>
              <w:left w:val="nil"/>
              <w:bottom w:val="single" w:sz="4" w:space="0" w:color="ADD6EA"/>
              <w:right w:val="nil"/>
            </w:tcBorders>
            <w:shd w:val="clear" w:color="000000" w:fill="B6D5E4"/>
            <w:noWrap/>
            <w:vAlign w:val="bottom"/>
            <w:hideMark/>
          </w:tcPr>
          <w:p w14:paraId="7858FA39"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108</w:t>
            </w:r>
          </w:p>
        </w:tc>
        <w:tc>
          <w:tcPr>
            <w:tcW w:w="720" w:type="dxa"/>
            <w:tcBorders>
              <w:top w:val="nil"/>
              <w:left w:val="nil"/>
              <w:bottom w:val="single" w:sz="4" w:space="0" w:color="ADD6EA"/>
              <w:right w:val="nil"/>
            </w:tcBorders>
            <w:shd w:val="clear" w:color="000000" w:fill="B6D5E4"/>
            <w:noWrap/>
            <w:vAlign w:val="bottom"/>
            <w:hideMark/>
          </w:tcPr>
          <w:p w14:paraId="08844AEE"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108</w:t>
            </w:r>
          </w:p>
        </w:tc>
        <w:tc>
          <w:tcPr>
            <w:tcW w:w="700" w:type="dxa"/>
            <w:tcBorders>
              <w:top w:val="nil"/>
              <w:left w:val="nil"/>
              <w:bottom w:val="single" w:sz="4" w:space="0" w:color="ADD6EA"/>
              <w:right w:val="nil"/>
            </w:tcBorders>
            <w:shd w:val="clear" w:color="000000" w:fill="B6D5E4"/>
            <w:noWrap/>
            <w:vAlign w:val="bottom"/>
            <w:hideMark/>
          </w:tcPr>
          <w:p w14:paraId="563B476E"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109</w:t>
            </w:r>
          </w:p>
        </w:tc>
        <w:tc>
          <w:tcPr>
            <w:tcW w:w="620" w:type="dxa"/>
            <w:tcBorders>
              <w:top w:val="nil"/>
              <w:left w:val="nil"/>
              <w:bottom w:val="single" w:sz="4" w:space="0" w:color="ADD6EA"/>
              <w:right w:val="nil"/>
            </w:tcBorders>
            <w:shd w:val="clear" w:color="000000" w:fill="B6D5E4"/>
            <w:noWrap/>
            <w:vAlign w:val="bottom"/>
            <w:hideMark/>
          </w:tcPr>
          <w:p w14:paraId="3B301EED"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106</w:t>
            </w:r>
          </w:p>
        </w:tc>
        <w:tc>
          <w:tcPr>
            <w:tcW w:w="700" w:type="dxa"/>
            <w:tcBorders>
              <w:top w:val="nil"/>
              <w:left w:val="nil"/>
              <w:bottom w:val="single" w:sz="4" w:space="0" w:color="ADD6EA"/>
              <w:right w:val="nil"/>
            </w:tcBorders>
            <w:shd w:val="clear" w:color="000000" w:fill="B6D5E4"/>
            <w:noWrap/>
            <w:vAlign w:val="bottom"/>
            <w:hideMark/>
          </w:tcPr>
          <w:p w14:paraId="401F4D61"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106</w:t>
            </w:r>
          </w:p>
        </w:tc>
        <w:tc>
          <w:tcPr>
            <w:tcW w:w="720" w:type="dxa"/>
            <w:tcBorders>
              <w:top w:val="nil"/>
              <w:left w:val="nil"/>
              <w:bottom w:val="single" w:sz="4" w:space="0" w:color="ADD6EA"/>
              <w:right w:val="nil"/>
            </w:tcBorders>
            <w:shd w:val="clear" w:color="000000" w:fill="B6D5E4"/>
            <w:noWrap/>
            <w:vAlign w:val="bottom"/>
            <w:hideMark/>
          </w:tcPr>
          <w:p w14:paraId="0BE84F91"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110</w:t>
            </w:r>
          </w:p>
        </w:tc>
        <w:tc>
          <w:tcPr>
            <w:tcW w:w="760" w:type="dxa"/>
            <w:tcBorders>
              <w:top w:val="nil"/>
              <w:left w:val="nil"/>
              <w:bottom w:val="single" w:sz="4" w:space="0" w:color="ADD6EA"/>
              <w:right w:val="nil"/>
            </w:tcBorders>
            <w:shd w:val="clear" w:color="000000" w:fill="B6D5E4"/>
            <w:noWrap/>
            <w:vAlign w:val="bottom"/>
            <w:hideMark/>
          </w:tcPr>
          <w:p w14:paraId="6A413288"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110</w:t>
            </w:r>
          </w:p>
        </w:tc>
        <w:tc>
          <w:tcPr>
            <w:tcW w:w="780" w:type="dxa"/>
            <w:tcBorders>
              <w:top w:val="nil"/>
              <w:left w:val="nil"/>
              <w:bottom w:val="single" w:sz="4" w:space="0" w:color="ADD6EA"/>
              <w:right w:val="nil"/>
            </w:tcBorders>
            <w:shd w:val="clear" w:color="000000" w:fill="B6D5E4"/>
            <w:noWrap/>
            <w:vAlign w:val="bottom"/>
            <w:hideMark/>
          </w:tcPr>
          <w:p w14:paraId="623C88D6"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108</w:t>
            </w:r>
          </w:p>
        </w:tc>
      </w:tr>
      <w:tr w:rsidR="007E365E" w:rsidRPr="00E1594A" w14:paraId="1CE4ADF8" w14:textId="77777777" w:rsidTr="007D1D77">
        <w:trPr>
          <w:trHeight w:val="315"/>
        </w:trPr>
        <w:tc>
          <w:tcPr>
            <w:tcW w:w="2440" w:type="dxa"/>
            <w:tcBorders>
              <w:top w:val="nil"/>
              <w:left w:val="nil"/>
              <w:bottom w:val="single" w:sz="4" w:space="0" w:color="ADD6EA"/>
              <w:right w:val="nil"/>
            </w:tcBorders>
            <w:shd w:val="clear" w:color="000000" w:fill="D6E7F0"/>
            <w:vAlign w:val="bottom"/>
            <w:hideMark/>
          </w:tcPr>
          <w:p w14:paraId="6FA70867" w14:textId="77777777" w:rsidR="007E365E" w:rsidRPr="00E1594A" w:rsidRDefault="007E365E" w:rsidP="007D1D77">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Total assessed expenses</w:t>
            </w:r>
          </w:p>
        </w:tc>
        <w:tc>
          <w:tcPr>
            <w:tcW w:w="820" w:type="dxa"/>
            <w:tcBorders>
              <w:top w:val="nil"/>
              <w:left w:val="nil"/>
              <w:bottom w:val="nil"/>
              <w:right w:val="nil"/>
            </w:tcBorders>
            <w:shd w:val="clear" w:color="000000" w:fill="D6E7F0"/>
            <w:vAlign w:val="bottom"/>
            <w:hideMark/>
          </w:tcPr>
          <w:p w14:paraId="75FA3E24"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bookmarkStart w:id="322" w:name="RANGE!N88:V88"/>
            <w:r w:rsidRPr="00E1594A">
              <w:rPr>
                <w:rFonts w:ascii="Open Sans SemiBold" w:eastAsia="Times New Roman" w:hAnsi="Open Sans SemiBold" w:cs="Open Sans SemiBold"/>
                <w:color w:val="000000"/>
                <w:sz w:val="16"/>
                <w:szCs w:val="16"/>
                <w:lang w:eastAsia="en-AU"/>
              </w:rPr>
              <w:t>195</w:t>
            </w:r>
            <w:bookmarkEnd w:id="322"/>
          </w:p>
        </w:tc>
        <w:tc>
          <w:tcPr>
            <w:tcW w:w="680" w:type="dxa"/>
            <w:tcBorders>
              <w:top w:val="nil"/>
              <w:left w:val="nil"/>
              <w:bottom w:val="nil"/>
              <w:right w:val="nil"/>
            </w:tcBorders>
            <w:shd w:val="clear" w:color="000000" w:fill="D6E7F0"/>
            <w:vAlign w:val="bottom"/>
            <w:hideMark/>
          </w:tcPr>
          <w:p w14:paraId="1C2EEC7B"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188</w:t>
            </w:r>
          </w:p>
        </w:tc>
        <w:tc>
          <w:tcPr>
            <w:tcW w:w="720" w:type="dxa"/>
            <w:tcBorders>
              <w:top w:val="nil"/>
              <w:left w:val="nil"/>
              <w:bottom w:val="nil"/>
              <w:right w:val="nil"/>
            </w:tcBorders>
            <w:shd w:val="clear" w:color="000000" w:fill="D6E7F0"/>
            <w:vAlign w:val="bottom"/>
            <w:hideMark/>
          </w:tcPr>
          <w:p w14:paraId="4F32F8D5"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207</w:t>
            </w:r>
          </w:p>
        </w:tc>
        <w:tc>
          <w:tcPr>
            <w:tcW w:w="700" w:type="dxa"/>
            <w:tcBorders>
              <w:top w:val="nil"/>
              <w:left w:val="nil"/>
              <w:bottom w:val="nil"/>
              <w:right w:val="nil"/>
            </w:tcBorders>
            <w:shd w:val="clear" w:color="000000" w:fill="D6E7F0"/>
            <w:vAlign w:val="bottom"/>
            <w:hideMark/>
          </w:tcPr>
          <w:p w14:paraId="7180EE86"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285</w:t>
            </w:r>
          </w:p>
        </w:tc>
        <w:tc>
          <w:tcPr>
            <w:tcW w:w="620" w:type="dxa"/>
            <w:tcBorders>
              <w:top w:val="nil"/>
              <w:left w:val="nil"/>
              <w:bottom w:val="nil"/>
              <w:right w:val="nil"/>
            </w:tcBorders>
            <w:shd w:val="clear" w:color="000000" w:fill="D6E7F0"/>
            <w:vAlign w:val="bottom"/>
            <w:hideMark/>
          </w:tcPr>
          <w:p w14:paraId="7A4B8123"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207</w:t>
            </w:r>
          </w:p>
        </w:tc>
        <w:tc>
          <w:tcPr>
            <w:tcW w:w="700" w:type="dxa"/>
            <w:tcBorders>
              <w:top w:val="nil"/>
              <w:left w:val="nil"/>
              <w:bottom w:val="nil"/>
              <w:right w:val="nil"/>
            </w:tcBorders>
            <w:shd w:val="clear" w:color="000000" w:fill="D6E7F0"/>
            <w:vAlign w:val="bottom"/>
            <w:hideMark/>
          </w:tcPr>
          <w:p w14:paraId="3DA622A9"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248</w:t>
            </w:r>
          </w:p>
        </w:tc>
        <w:tc>
          <w:tcPr>
            <w:tcW w:w="720" w:type="dxa"/>
            <w:tcBorders>
              <w:top w:val="nil"/>
              <w:left w:val="nil"/>
              <w:bottom w:val="nil"/>
              <w:right w:val="nil"/>
            </w:tcBorders>
            <w:shd w:val="clear" w:color="000000" w:fill="D6E7F0"/>
            <w:vAlign w:val="bottom"/>
            <w:hideMark/>
          </w:tcPr>
          <w:p w14:paraId="298C8C7B"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180</w:t>
            </w:r>
          </w:p>
        </w:tc>
        <w:tc>
          <w:tcPr>
            <w:tcW w:w="760" w:type="dxa"/>
            <w:tcBorders>
              <w:top w:val="nil"/>
              <w:left w:val="nil"/>
              <w:bottom w:val="nil"/>
              <w:right w:val="nil"/>
            </w:tcBorders>
            <w:shd w:val="clear" w:color="000000" w:fill="D6E7F0"/>
            <w:vAlign w:val="bottom"/>
            <w:hideMark/>
          </w:tcPr>
          <w:p w14:paraId="0FF6116B"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299</w:t>
            </w:r>
          </w:p>
        </w:tc>
        <w:tc>
          <w:tcPr>
            <w:tcW w:w="780" w:type="dxa"/>
            <w:tcBorders>
              <w:top w:val="nil"/>
              <w:left w:val="nil"/>
              <w:bottom w:val="nil"/>
              <w:right w:val="nil"/>
            </w:tcBorders>
            <w:shd w:val="clear" w:color="000000" w:fill="D6E7F0"/>
            <w:vAlign w:val="bottom"/>
            <w:hideMark/>
          </w:tcPr>
          <w:p w14:paraId="6E06FB54" w14:textId="77777777" w:rsidR="007E365E" w:rsidRPr="00E1594A"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1594A">
              <w:rPr>
                <w:rFonts w:ascii="Open Sans SemiBold" w:eastAsia="Times New Roman" w:hAnsi="Open Sans SemiBold" w:cs="Open Sans SemiBold"/>
                <w:color w:val="000000"/>
                <w:sz w:val="16"/>
                <w:szCs w:val="16"/>
                <w:lang w:eastAsia="en-AU"/>
              </w:rPr>
              <w:t>208</w:t>
            </w:r>
          </w:p>
        </w:tc>
      </w:tr>
    </w:tbl>
    <w:p w14:paraId="0BF2BEAA" w14:textId="77777777" w:rsidR="007E365E" w:rsidRDefault="007E365E" w:rsidP="007E365E">
      <w:pPr>
        <w:pStyle w:val="CGCTablenote"/>
        <w:keepNext/>
        <w:keepLines/>
      </w:pPr>
      <w:r>
        <w:t>Note:</w:t>
      </w:r>
      <w:r>
        <w:tab/>
      </w:r>
      <w:r w:rsidRPr="00F82513">
        <w:t>The EPC and assessed expenses lines represent total spending per capita. The amounts for each disability are additive, as each disability represents the stepwise change from building the assessment.</w:t>
      </w:r>
    </w:p>
    <w:p w14:paraId="7A8942BE" w14:textId="77777777" w:rsidR="007E365E" w:rsidRDefault="007E365E" w:rsidP="007E365E">
      <w:pPr>
        <w:pStyle w:val="CGCTablenote"/>
        <w:keepNext/>
        <w:keepLines/>
      </w:pPr>
      <w:r>
        <w:t>Source:</w:t>
      </w:r>
      <w:r>
        <w:tab/>
        <w:t>Commission calculation.</w:t>
      </w:r>
    </w:p>
    <w:p w14:paraId="7ED25BB2" w14:textId="77777777" w:rsidR="007E365E" w:rsidRPr="000C4987" w:rsidRDefault="007E365E" w:rsidP="007E365E">
      <w:pPr>
        <w:pStyle w:val="Heading3"/>
      </w:pPr>
      <w:bookmarkStart w:id="323" w:name="_Toc22807490"/>
      <w:r w:rsidRPr="000C4987">
        <w:t xml:space="preserve">Infrastructure </w:t>
      </w:r>
      <w:r>
        <w:t>a</w:t>
      </w:r>
      <w:r w:rsidRPr="000C4987">
        <w:t>ssessment</w:t>
      </w:r>
      <w:bookmarkEnd w:id="323"/>
    </w:p>
    <w:p w14:paraId="6714B26C" w14:textId="77777777" w:rsidR="007E365E" w:rsidRDefault="007E365E" w:rsidP="007E365E">
      <w:pPr>
        <w:pStyle w:val="CGCParaNumber"/>
      </w:pPr>
      <w:bookmarkStart w:id="324" w:name="_Toc22807491"/>
      <w:r>
        <w:t>States require infrastructure to support service delivery. State infrastructure requirements are assessed in the Investment category. The main driver of investment in services to industry related infrastructure is growth in the size of the regulation task.</w:t>
      </w:r>
    </w:p>
    <w:p w14:paraId="200DD5B1" w14:textId="77777777" w:rsidR="007E365E" w:rsidRDefault="007E365E" w:rsidP="007E365E">
      <w:pPr>
        <w:pStyle w:val="CGCParaNumber"/>
      </w:pPr>
      <w:r>
        <w:t xml:space="preserve">The service use disabilities that affect recurrent service delivery expenses also affect the quantity of infrastructure each State requires to provide the average level of </w:t>
      </w:r>
      <w:r w:rsidRPr="00605E5B">
        <w:t>service</w:t>
      </w:r>
      <w:r>
        <w:t>. In this category, the size of the agriculture, mining and other industries sectors, and population, contribute to the capital stock factor.</w:t>
      </w:r>
    </w:p>
    <w:p w14:paraId="4DCBB5D3" w14:textId="77777777" w:rsidR="007E365E" w:rsidRDefault="007E365E" w:rsidP="007E365E">
      <w:pPr>
        <w:pStyle w:val="CGCParaNumber"/>
      </w:pPr>
      <w:r>
        <w:t xml:space="preserve">Interstate differences in construction costs are also recognised. </w:t>
      </w:r>
    </w:p>
    <w:p w14:paraId="1B0B4748" w14:textId="77777777" w:rsidR="007E365E" w:rsidRDefault="007E365E" w:rsidP="007E365E">
      <w:pPr>
        <w:pStyle w:val="CGCParaNumber"/>
      </w:pPr>
      <w:r>
        <w:t>For a description of the investment assessment, see Chapter 24 Investment.</w:t>
      </w:r>
    </w:p>
    <w:p w14:paraId="1ABA50A7" w14:textId="1CE1C4EB" w:rsidR="007E365E" w:rsidRPr="000C4987" w:rsidRDefault="007E365E" w:rsidP="007E365E">
      <w:pPr>
        <w:pStyle w:val="Heading3"/>
      </w:pPr>
      <w:r w:rsidRPr="000C4987">
        <w:lastRenderedPageBreak/>
        <w:t>Other issues considered by the Commission</w:t>
      </w:r>
      <w:bookmarkEnd w:id="324"/>
    </w:p>
    <w:p w14:paraId="78B4D2AF" w14:textId="77777777" w:rsidR="007E365E" w:rsidRPr="00CC13CC" w:rsidRDefault="007E365E" w:rsidP="007E365E">
      <w:pPr>
        <w:pStyle w:val="CGCParaNumber"/>
      </w:pPr>
      <w:r w:rsidRPr="00CC13CC">
        <w:t>In the 2015 Review, the Commission introduced an assessment of State spending on planning and regulation of major infrastructure projects. The assessment recognised that States with high levels of private sector investment, including for mining, incur higher planning and regulation costs. Private non-dwelling construction expenditure was considered the appropriate non</w:t>
      </w:r>
      <w:r w:rsidRPr="00CC13CC">
        <w:noBreakHyphen/>
        <w:t>policy indicator of State spending.</w:t>
      </w:r>
    </w:p>
    <w:p w14:paraId="4C03705F" w14:textId="77777777" w:rsidR="007E365E" w:rsidRPr="00CC13CC" w:rsidRDefault="007E365E" w:rsidP="007E365E">
      <w:pPr>
        <w:pStyle w:val="CGCParaNumber"/>
      </w:pPr>
      <w:r w:rsidRPr="00CC13CC">
        <w:t>For the 2020 Review, staff collected data from States to update the expense estimate used in the assessment. Several States found it difficult to identify the relevant expenses. The estimates States provided were significantly less than the amounts reported for 2010-11 to 2012-13. The assessment is immaterial.</w:t>
      </w:r>
    </w:p>
    <w:p w14:paraId="3AFABC76" w14:textId="77777777" w:rsidR="007E365E" w:rsidRPr="00CC13CC" w:rsidRDefault="007E365E" w:rsidP="007E365E">
      <w:pPr>
        <w:pStyle w:val="CGCParaNumber"/>
      </w:pPr>
      <w:r w:rsidRPr="00CC13CC">
        <w:t>Given the difficulties in identifying the expenses, and significant differences between the 2015</w:t>
      </w:r>
      <w:r>
        <w:t> </w:t>
      </w:r>
      <w:r w:rsidRPr="00CC13CC">
        <w:t>and 2020 Review estimates, the Commission has decided to discontinue the major infrastructure projects regulation assessment in the 2020 Review. Several States said the Commission should monitor developments and consider alternative data sources. The Commission has been unable to identify other potential data sources for measuring these expenses.</w:t>
      </w:r>
    </w:p>
    <w:p w14:paraId="401CCD70" w14:textId="41ADE874" w:rsidR="007E365E" w:rsidRDefault="007E365E" w:rsidP="007E365E">
      <w:pPr>
        <w:pStyle w:val="Heading3"/>
      </w:pPr>
      <w:bookmarkStart w:id="325" w:name="_Toc22807492"/>
      <w:r>
        <w:t xml:space="preserve">Effect on the GST </w:t>
      </w:r>
      <w:bookmarkEnd w:id="325"/>
      <w:r>
        <w:t>distribution</w:t>
      </w:r>
    </w:p>
    <w:p w14:paraId="2C0221F9" w14:textId="70E71622" w:rsidR="007E365E" w:rsidRDefault="007E365E" w:rsidP="007E365E">
      <w:pPr>
        <w:pStyle w:val="CGCParaNumber"/>
      </w:pPr>
      <w:r>
        <w:fldChar w:fldCharType="begin"/>
      </w:r>
      <w:r>
        <w:instrText xml:space="preserve"> REF _Ref32845918 \h </w:instrText>
      </w:r>
      <w:r>
        <w:fldChar w:fldCharType="separate"/>
      </w:r>
      <w:r w:rsidR="007F721A">
        <w:t>Table 22-</w:t>
      </w:r>
      <w:r w:rsidR="007F721A">
        <w:rPr>
          <w:noProof/>
        </w:rPr>
        <w:t>13</w:t>
      </w:r>
      <w:r>
        <w:fldChar w:fldCharType="end"/>
      </w:r>
      <w:r>
        <w:t xml:space="preserve"> shows the extent to which the assessment for this category moves the distribution of GST away from an EPC distribution. States with a positive redistribution are assessed to have above average spending requirements and States with a negative redistribution are assessed to have below average spending requirements. In per capita terms, Northern Territory and Western Australia experience the largest redistributions.</w:t>
      </w:r>
    </w:p>
    <w:p w14:paraId="68DE1097" w14:textId="0878DDC0" w:rsidR="007E365E" w:rsidRDefault="007E365E" w:rsidP="007E365E">
      <w:pPr>
        <w:pStyle w:val="Caption"/>
      </w:pPr>
      <w:bookmarkStart w:id="326" w:name="_Ref32845918"/>
      <w:r>
        <w:t>Table 22-</w:t>
      </w:r>
      <w:fldSimple w:instr=" SEQ Table \* ARABIC ">
        <w:r w:rsidR="007F721A">
          <w:rPr>
            <w:noProof/>
          </w:rPr>
          <w:t>13</w:t>
        </w:r>
      </w:fldSimple>
      <w:bookmarkEnd w:id="326"/>
      <w:r>
        <w:tab/>
        <w:t>Illustrative redistribution from an EPC assessment, Services to industry, 2020</w:t>
      </w:r>
      <w:r>
        <w:noBreakHyphen/>
        <w:t>21</w:t>
      </w:r>
    </w:p>
    <w:tbl>
      <w:tblPr>
        <w:tblW w:w="9020" w:type="dxa"/>
        <w:tblCellMar>
          <w:left w:w="28" w:type="dxa"/>
          <w:right w:w="28" w:type="dxa"/>
        </w:tblCellMar>
        <w:tblLook w:val="04A0" w:firstRow="1" w:lastRow="0" w:firstColumn="1" w:lastColumn="0" w:noHBand="0" w:noVBand="1"/>
      </w:tblPr>
      <w:tblGrid>
        <w:gridCol w:w="2120"/>
        <w:gridCol w:w="760"/>
        <w:gridCol w:w="760"/>
        <w:gridCol w:w="760"/>
        <w:gridCol w:w="760"/>
        <w:gridCol w:w="760"/>
        <w:gridCol w:w="760"/>
        <w:gridCol w:w="760"/>
        <w:gridCol w:w="760"/>
        <w:gridCol w:w="820"/>
      </w:tblGrid>
      <w:tr w:rsidR="007E365E" w:rsidRPr="00A74139" w14:paraId="6F768013" w14:textId="77777777" w:rsidTr="007D1D77">
        <w:trPr>
          <w:trHeight w:val="379"/>
        </w:trPr>
        <w:tc>
          <w:tcPr>
            <w:tcW w:w="2120" w:type="dxa"/>
            <w:tcBorders>
              <w:top w:val="single" w:sz="4" w:space="0" w:color="ADD6EA"/>
              <w:left w:val="nil"/>
              <w:bottom w:val="single" w:sz="4" w:space="0" w:color="ADD6EA"/>
              <w:right w:val="nil"/>
            </w:tcBorders>
            <w:shd w:val="clear" w:color="000000" w:fill="006991"/>
            <w:vAlign w:val="center"/>
            <w:hideMark/>
          </w:tcPr>
          <w:p w14:paraId="2A2F6778" w14:textId="77777777" w:rsidR="007E365E" w:rsidRPr="00A74139"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A74139">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vAlign w:val="center"/>
            <w:hideMark/>
          </w:tcPr>
          <w:p w14:paraId="77A12EAC" w14:textId="77777777" w:rsidR="007E365E" w:rsidRPr="00A7413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4139">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vAlign w:val="center"/>
            <w:hideMark/>
          </w:tcPr>
          <w:p w14:paraId="7D8872A5" w14:textId="77777777" w:rsidR="007E365E" w:rsidRPr="00A7413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4139">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vAlign w:val="center"/>
            <w:hideMark/>
          </w:tcPr>
          <w:p w14:paraId="76A30F03" w14:textId="77777777" w:rsidR="007E365E" w:rsidRPr="00A7413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4139">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vAlign w:val="center"/>
            <w:hideMark/>
          </w:tcPr>
          <w:p w14:paraId="6883D5A8" w14:textId="77777777" w:rsidR="007E365E" w:rsidRPr="00A7413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4139">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vAlign w:val="center"/>
            <w:hideMark/>
          </w:tcPr>
          <w:p w14:paraId="24A879B5" w14:textId="77777777" w:rsidR="007E365E" w:rsidRPr="00A7413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4139">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vAlign w:val="center"/>
            <w:hideMark/>
          </w:tcPr>
          <w:p w14:paraId="6E51C8E7" w14:textId="77777777" w:rsidR="007E365E" w:rsidRPr="00A7413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4139">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vAlign w:val="center"/>
            <w:hideMark/>
          </w:tcPr>
          <w:p w14:paraId="52952FF1" w14:textId="77777777" w:rsidR="007E365E" w:rsidRPr="00A7413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4139">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vAlign w:val="center"/>
            <w:hideMark/>
          </w:tcPr>
          <w:p w14:paraId="405D0B4A" w14:textId="77777777" w:rsidR="007E365E" w:rsidRPr="00A7413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4139">
              <w:rPr>
                <w:rFonts w:ascii="Open Sans SemiBold" w:eastAsia="Times New Roman" w:hAnsi="Open Sans SemiBold" w:cs="Open Sans SemiBold"/>
                <w:color w:val="FFFFFF"/>
                <w:sz w:val="16"/>
                <w:szCs w:val="16"/>
                <w:lang w:eastAsia="en-AU"/>
              </w:rPr>
              <w:t>NT</w:t>
            </w:r>
          </w:p>
        </w:tc>
        <w:tc>
          <w:tcPr>
            <w:tcW w:w="820" w:type="dxa"/>
            <w:tcBorders>
              <w:top w:val="single" w:sz="4" w:space="0" w:color="ADD6EA"/>
              <w:left w:val="nil"/>
              <w:bottom w:val="single" w:sz="4" w:space="0" w:color="ADD6EA"/>
              <w:right w:val="nil"/>
            </w:tcBorders>
            <w:shd w:val="clear" w:color="000000" w:fill="006991"/>
            <w:vAlign w:val="center"/>
            <w:hideMark/>
          </w:tcPr>
          <w:p w14:paraId="4C86EE73" w14:textId="77777777" w:rsidR="007E365E" w:rsidRPr="00A74139"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4139">
              <w:rPr>
                <w:rFonts w:ascii="Open Sans SemiBold" w:eastAsia="Times New Roman" w:hAnsi="Open Sans SemiBold" w:cs="Open Sans SemiBold"/>
                <w:color w:val="FFFFFF"/>
                <w:sz w:val="16"/>
                <w:szCs w:val="16"/>
                <w:lang w:eastAsia="en-AU"/>
              </w:rPr>
              <w:t>Redist</w:t>
            </w:r>
          </w:p>
        </w:tc>
      </w:tr>
      <w:tr w:rsidR="007E365E" w:rsidRPr="00A74139" w14:paraId="29D27054" w14:textId="77777777" w:rsidTr="007D1D77">
        <w:trPr>
          <w:trHeight w:val="315"/>
        </w:trPr>
        <w:tc>
          <w:tcPr>
            <w:tcW w:w="2120" w:type="dxa"/>
            <w:tcBorders>
              <w:top w:val="nil"/>
              <w:left w:val="nil"/>
              <w:bottom w:val="single" w:sz="4" w:space="0" w:color="ADD6EA"/>
              <w:right w:val="nil"/>
            </w:tcBorders>
            <w:shd w:val="clear" w:color="000000" w:fill="FFFFFF"/>
            <w:vAlign w:val="bottom"/>
            <w:hideMark/>
          </w:tcPr>
          <w:p w14:paraId="301C51FD" w14:textId="77777777" w:rsidR="007E365E" w:rsidRPr="00A74139" w:rsidRDefault="007E365E" w:rsidP="007D1D77">
            <w:pPr>
              <w:tabs>
                <w:tab w:val="clear" w:pos="567"/>
              </w:tabs>
              <w:spacing w:before="0" w:line="240" w:lineRule="auto"/>
              <w:rPr>
                <w:rFonts w:eastAsia="Times New Roman" w:cs="Open Sans Light"/>
                <w:sz w:val="16"/>
                <w:szCs w:val="16"/>
                <w:lang w:eastAsia="en-AU"/>
              </w:rPr>
            </w:pPr>
            <w:r w:rsidRPr="00A74139">
              <w:rPr>
                <w:rFonts w:eastAsia="Times New Roman" w:cs="Open Sans Light"/>
                <w:sz w:val="16"/>
                <w:szCs w:val="16"/>
                <w:lang w:eastAsia="en-AU"/>
              </w:rPr>
              <w:t>$ million</w:t>
            </w:r>
          </w:p>
        </w:tc>
        <w:tc>
          <w:tcPr>
            <w:tcW w:w="760" w:type="dxa"/>
            <w:tcBorders>
              <w:top w:val="nil"/>
              <w:left w:val="nil"/>
              <w:bottom w:val="single" w:sz="4" w:space="0" w:color="ADD6EA"/>
              <w:right w:val="nil"/>
            </w:tcBorders>
            <w:shd w:val="clear" w:color="000000" w:fill="FFFFFF"/>
            <w:vAlign w:val="bottom"/>
            <w:hideMark/>
          </w:tcPr>
          <w:p w14:paraId="49821EC4"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-101</w:t>
            </w:r>
          </w:p>
        </w:tc>
        <w:tc>
          <w:tcPr>
            <w:tcW w:w="760" w:type="dxa"/>
            <w:tcBorders>
              <w:top w:val="nil"/>
              <w:left w:val="nil"/>
              <w:bottom w:val="single" w:sz="4" w:space="0" w:color="ADD6EA"/>
              <w:right w:val="nil"/>
            </w:tcBorders>
            <w:shd w:val="clear" w:color="000000" w:fill="FFFFFF"/>
            <w:vAlign w:val="bottom"/>
            <w:hideMark/>
          </w:tcPr>
          <w:p w14:paraId="1FE32676"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-132</w:t>
            </w:r>
          </w:p>
        </w:tc>
        <w:tc>
          <w:tcPr>
            <w:tcW w:w="760" w:type="dxa"/>
            <w:tcBorders>
              <w:top w:val="nil"/>
              <w:left w:val="nil"/>
              <w:bottom w:val="single" w:sz="4" w:space="0" w:color="ADD6EA"/>
              <w:right w:val="nil"/>
            </w:tcBorders>
            <w:shd w:val="clear" w:color="000000" w:fill="FFFFFF"/>
            <w:vAlign w:val="bottom"/>
            <w:hideMark/>
          </w:tcPr>
          <w:p w14:paraId="68474DDD"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000000" w:fill="FFFFFF"/>
            <w:vAlign w:val="bottom"/>
            <w:hideMark/>
          </w:tcPr>
          <w:p w14:paraId="1282FEB0"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204</w:t>
            </w:r>
          </w:p>
        </w:tc>
        <w:tc>
          <w:tcPr>
            <w:tcW w:w="760" w:type="dxa"/>
            <w:tcBorders>
              <w:top w:val="nil"/>
              <w:left w:val="nil"/>
              <w:bottom w:val="single" w:sz="4" w:space="0" w:color="ADD6EA"/>
              <w:right w:val="nil"/>
            </w:tcBorders>
            <w:shd w:val="clear" w:color="000000" w:fill="FFFFFF"/>
            <w:vAlign w:val="bottom"/>
            <w:hideMark/>
          </w:tcPr>
          <w:p w14:paraId="467172E4"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000000" w:fill="FFFFFF"/>
            <w:vAlign w:val="bottom"/>
            <w:hideMark/>
          </w:tcPr>
          <w:p w14:paraId="09515D36"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000000" w:fill="FFFFFF"/>
            <w:vAlign w:val="bottom"/>
            <w:hideMark/>
          </w:tcPr>
          <w:p w14:paraId="1171A5EE"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-12</w:t>
            </w:r>
          </w:p>
        </w:tc>
        <w:tc>
          <w:tcPr>
            <w:tcW w:w="760" w:type="dxa"/>
            <w:tcBorders>
              <w:top w:val="nil"/>
              <w:left w:val="nil"/>
              <w:bottom w:val="single" w:sz="4" w:space="0" w:color="ADD6EA"/>
              <w:right w:val="nil"/>
            </w:tcBorders>
            <w:shd w:val="clear" w:color="000000" w:fill="FFFFFF"/>
            <w:vAlign w:val="bottom"/>
            <w:hideMark/>
          </w:tcPr>
          <w:p w14:paraId="4FF74F9C"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21</w:t>
            </w:r>
          </w:p>
        </w:tc>
        <w:tc>
          <w:tcPr>
            <w:tcW w:w="820" w:type="dxa"/>
            <w:tcBorders>
              <w:top w:val="nil"/>
              <w:left w:val="nil"/>
              <w:bottom w:val="single" w:sz="4" w:space="0" w:color="ADD6EA"/>
              <w:right w:val="nil"/>
            </w:tcBorders>
            <w:shd w:val="clear" w:color="000000" w:fill="FFFFFF"/>
            <w:vAlign w:val="bottom"/>
            <w:hideMark/>
          </w:tcPr>
          <w:p w14:paraId="5DB5FDB2"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249</w:t>
            </w:r>
          </w:p>
        </w:tc>
      </w:tr>
      <w:tr w:rsidR="007E365E" w:rsidRPr="00A74139" w14:paraId="2E9B1704" w14:textId="77777777" w:rsidTr="007D1D77">
        <w:trPr>
          <w:trHeight w:val="315"/>
        </w:trPr>
        <w:tc>
          <w:tcPr>
            <w:tcW w:w="2120" w:type="dxa"/>
            <w:tcBorders>
              <w:top w:val="nil"/>
              <w:left w:val="nil"/>
              <w:bottom w:val="single" w:sz="4" w:space="0" w:color="ADD6EA"/>
              <w:right w:val="nil"/>
            </w:tcBorders>
            <w:shd w:val="clear" w:color="000000" w:fill="FFFFFF"/>
            <w:vAlign w:val="bottom"/>
            <w:hideMark/>
          </w:tcPr>
          <w:p w14:paraId="092C181E" w14:textId="77777777" w:rsidR="007E365E" w:rsidRPr="00A74139" w:rsidRDefault="007E365E" w:rsidP="007D1D77">
            <w:pPr>
              <w:tabs>
                <w:tab w:val="clear" w:pos="567"/>
              </w:tabs>
              <w:spacing w:before="0" w:line="240" w:lineRule="auto"/>
              <w:rPr>
                <w:rFonts w:eastAsia="Times New Roman" w:cs="Open Sans Light"/>
                <w:sz w:val="16"/>
                <w:szCs w:val="16"/>
                <w:lang w:eastAsia="en-AU"/>
              </w:rPr>
            </w:pPr>
            <w:r w:rsidRPr="00A74139">
              <w:rPr>
                <w:rFonts w:eastAsia="Times New Roman" w:cs="Open Sans Light"/>
                <w:sz w:val="16"/>
                <w:szCs w:val="16"/>
                <w:lang w:eastAsia="en-AU"/>
              </w:rPr>
              <w:t>$ per capita</w:t>
            </w:r>
          </w:p>
        </w:tc>
        <w:tc>
          <w:tcPr>
            <w:tcW w:w="760" w:type="dxa"/>
            <w:tcBorders>
              <w:top w:val="nil"/>
              <w:left w:val="nil"/>
              <w:bottom w:val="single" w:sz="4" w:space="0" w:color="ADD6EA"/>
              <w:right w:val="nil"/>
            </w:tcBorders>
            <w:shd w:val="clear" w:color="000000" w:fill="FFFFFF"/>
            <w:vAlign w:val="bottom"/>
            <w:hideMark/>
          </w:tcPr>
          <w:p w14:paraId="7BA5E2F4"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-12</w:t>
            </w:r>
          </w:p>
        </w:tc>
        <w:tc>
          <w:tcPr>
            <w:tcW w:w="760" w:type="dxa"/>
            <w:tcBorders>
              <w:top w:val="nil"/>
              <w:left w:val="nil"/>
              <w:bottom w:val="single" w:sz="4" w:space="0" w:color="ADD6EA"/>
              <w:right w:val="nil"/>
            </w:tcBorders>
            <w:shd w:val="clear" w:color="000000" w:fill="FFFFFF"/>
            <w:vAlign w:val="bottom"/>
            <w:hideMark/>
          </w:tcPr>
          <w:p w14:paraId="2600A35A"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-19</w:t>
            </w:r>
          </w:p>
        </w:tc>
        <w:tc>
          <w:tcPr>
            <w:tcW w:w="760" w:type="dxa"/>
            <w:tcBorders>
              <w:top w:val="nil"/>
              <w:left w:val="nil"/>
              <w:bottom w:val="single" w:sz="4" w:space="0" w:color="ADD6EA"/>
              <w:right w:val="nil"/>
            </w:tcBorders>
            <w:shd w:val="clear" w:color="000000" w:fill="FFFFFF"/>
            <w:vAlign w:val="bottom"/>
            <w:hideMark/>
          </w:tcPr>
          <w:p w14:paraId="01877F27"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000000" w:fill="FFFFFF"/>
            <w:vAlign w:val="bottom"/>
            <w:hideMark/>
          </w:tcPr>
          <w:p w14:paraId="4625AB46"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77</w:t>
            </w:r>
          </w:p>
        </w:tc>
        <w:tc>
          <w:tcPr>
            <w:tcW w:w="760" w:type="dxa"/>
            <w:tcBorders>
              <w:top w:val="nil"/>
              <w:left w:val="nil"/>
              <w:bottom w:val="single" w:sz="4" w:space="0" w:color="ADD6EA"/>
              <w:right w:val="nil"/>
            </w:tcBorders>
            <w:shd w:val="clear" w:color="000000" w:fill="FFFFFF"/>
            <w:vAlign w:val="bottom"/>
            <w:hideMark/>
          </w:tcPr>
          <w:p w14:paraId="2E28676F"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000000" w:fill="FFFFFF"/>
            <w:vAlign w:val="bottom"/>
            <w:hideMark/>
          </w:tcPr>
          <w:p w14:paraId="5F14EBCF"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28</w:t>
            </w:r>
          </w:p>
        </w:tc>
        <w:tc>
          <w:tcPr>
            <w:tcW w:w="760" w:type="dxa"/>
            <w:tcBorders>
              <w:top w:val="nil"/>
              <w:left w:val="nil"/>
              <w:bottom w:val="single" w:sz="4" w:space="0" w:color="ADD6EA"/>
              <w:right w:val="nil"/>
            </w:tcBorders>
            <w:shd w:val="clear" w:color="000000" w:fill="FFFFFF"/>
            <w:vAlign w:val="bottom"/>
            <w:hideMark/>
          </w:tcPr>
          <w:p w14:paraId="40A73FE9"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-26</w:t>
            </w:r>
          </w:p>
        </w:tc>
        <w:tc>
          <w:tcPr>
            <w:tcW w:w="760" w:type="dxa"/>
            <w:tcBorders>
              <w:top w:val="nil"/>
              <w:left w:val="nil"/>
              <w:bottom w:val="single" w:sz="4" w:space="0" w:color="ADD6EA"/>
              <w:right w:val="nil"/>
            </w:tcBorders>
            <w:shd w:val="clear" w:color="000000" w:fill="FFFFFF"/>
            <w:vAlign w:val="bottom"/>
            <w:hideMark/>
          </w:tcPr>
          <w:p w14:paraId="6B4BB412"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86</w:t>
            </w:r>
          </w:p>
        </w:tc>
        <w:tc>
          <w:tcPr>
            <w:tcW w:w="820" w:type="dxa"/>
            <w:tcBorders>
              <w:top w:val="nil"/>
              <w:left w:val="nil"/>
              <w:bottom w:val="single" w:sz="4" w:space="0" w:color="ADD6EA"/>
              <w:right w:val="nil"/>
            </w:tcBorders>
            <w:shd w:val="clear" w:color="000000" w:fill="FFFFFF"/>
            <w:vAlign w:val="bottom"/>
            <w:hideMark/>
          </w:tcPr>
          <w:p w14:paraId="5247FBFE" w14:textId="77777777" w:rsidR="007E365E" w:rsidRPr="00A74139" w:rsidRDefault="007E365E" w:rsidP="007D1D77">
            <w:pPr>
              <w:tabs>
                <w:tab w:val="clear" w:pos="567"/>
              </w:tabs>
              <w:spacing w:before="0" w:line="240" w:lineRule="auto"/>
              <w:jc w:val="right"/>
              <w:rPr>
                <w:rFonts w:eastAsia="Times New Roman" w:cs="Open Sans Light"/>
                <w:sz w:val="16"/>
                <w:szCs w:val="16"/>
                <w:lang w:eastAsia="en-AU"/>
              </w:rPr>
            </w:pPr>
            <w:r w:rsidRPr="00A74139">
              <w:rPr>
                <w:rFonts w:eastAsia="Times New Roman" w:cs="Open Sans Light"/>
                <w:sz w:val="16"/>
                <w:szCs w:val="16"/>
                <w:lang w:eastAsia="en-AU"/>
              </w:rPr>
              <w:t>10</w:t>
            </w:r>
          </w:p>
        </w:tc>
      </w:tr>
    </w:tbl>
    <w:p w14:paraId="0ECEC2D5" w14:textId="77777777" w:rsidR="007E365E" w:rsidRPr="00D4277D" w:rsidRDefault="007E365E" w:rsidP="007E365E">
      <w:pPr>
        <w:pStyle w:val="CGCTablenote"/>
      </w:pPr>
      <w:r w:rsidRPr="00D4277D">
        <w:t>Note:</w:t>
      </w:r>
      <w:r>
        <w:tab/>
      </w:r>
      <w:r w:rsidRPr="00C172B0">
        <w:t xml:space="preserve">The redistribution is the difference from an EPC assessment </w:t>
      </w:r>
      <w:r>
        <w:t>derived using 2016-17 to 2018-19 assessed expenses and 2020-21 GST revenue.</w:t>
      </w:r>
    </w:p>
    <w:p w14:paraId="2D1518B5" w14:textId="77777777" w:rsidR="007E365E" w:rsidRPr="00D4277D" w:rsidRDefault="007E365E" w:rsidP="007E365E">
      <w:pPr>
        <w:pStyle w:val="CGCTablenote"/>
      </w:pPr>
      <w:r w:rsidRPr="00D4277D">
        <w:t>Source:</w:t>
      </w:r>
      <w:r w:rsidRPr="00D4277D">
        <w:tab/>
        <w:t>C</w:t>
      </w:r>
      <w:r>
        <w:t>ommission</w:t>
      </w:r>
      <w:r w:rsidRPr="00D4277D">
        <w:t xml:space="preserve"> calculation.</w:t>
      </w:r>
    </w:p>
    <w:p w14:paraId="1D619B7E" w14:textId="77777777" w:rsidR="007E365E" w:rsidRDefault="007E365E" w:rsidP="007E365E">
      <w:pPr>
        <w:pStyle w:val="CGCParaNumber"/>
      </w:pPr>
      <w:r>
        <w:t xml:space="preserve">The main reasons for these redistributions, overall, are the differences between States in the level of activity in different industries (particularly mining), which affect regulation costs, along with differences between States in regional costs and wages. </w:t>
      </w:r>
    </w:p>
    <w:p w14:paraId="4496EC0B" w14:textId="77777777" w:rsidR="007E365E" w:rsidRDefault="007E365E" w:rsidP="007E365E">
      <w:pPr>
        <w:pStyle w:val="CGCParaNumber"/>
      </w:pPr>
      <w:r>
        <w:t>The main reasons for the redistributions for each State are described below.</w:t>
      </w:r>
    </w:p>
    <w:p w14:paraId="6CEA2F78" w14:textId="77777777" w:rsidR="007E365E" w:rsidRDefault="007E365E" w:rsidP="007E365E">
      <w:pPr>
        <w:pStyle w:val="CGCBullet1"/>
      </w:pPr>
      <w:r>
        <w:t xml:space="preserve">For </w:t>
      </w:r>
      <w:r w:rsidRPr="006C1474">
        <w:t xml:space="preserve">New South Wales, Victoria and the ACT, the below average need for spending is due to their relatively small agricultural </w:t>
      </w:r>
      <w:r>
        <w:t xml:space="preserve">and mining </w:t>
      </w:r>
      <w:r w:rsidRPr="006C1474">
        <w:t xml:space="preserve">industries </w:t>
      </w:r>
      <w:r>
        <w:t>and relatively low regional costs. Victoria also has low wage costs. Similarly, South Australia has relatively small mining and other industries and low wage costs.</w:t>
      </w:r>
    </w:p>
    <w:p w14:paraId="6F2C07C0" w14:textId="77777777" w:rsidR="007E365E" w:rsidRDefault="007E365E" w:rsidP="007E365E">
      <w:pPr>
        <w:pStyle w:val="CGCBullet1"/>
      </w:pPr>
      <w:r>
        <w:t xml:space="preserve">Queensland’s above </w:t>
      </w:r>
      <w:r w:rsidRPr="004D4744">
        <w:t xml:space="preserve">average need for spending is due to </w:t>
      </w:r>
      <w:r>
        <w:t xml:space="preserve">its relatively large agriculture and mining sectors. Tasmania’s above average need for spending is due to its relatively large agriculture sector. </w:t>
      </w:r>
    </w:p>
    <w:p w14:paraId="07324604" w14:textId="77777777" w:rsidR="007E365E" w:rsidRDefault="007E365E" w:rsidP="007E365E">
      <w:pPr>
        <w:pStyle w:val="CGCBullet1"/>
      </w:pPr>
      <w:r>
        <w:lastRenderedPageBreak/>
        <w:t xml:space="preserve">For </w:t>
      </w:r>
      <w:r w:rsidRPr="004D4744">
        <w:t>Western Australia</w:t>
      </w:r>
      <w:r>
        <w:t xml:space="preserve"> and the Northern Territory, the </w:t>
      </w:r>
      <w:r w:rsidRPr="004D4744">
        <w:t>above average need for spending is due to</w:t>
      </w:r>
      <w:r>
        <w:t xml:space="preserve"> their </w:t>
      </w:r>
      <w:r w:rsidRPr="004D4744">
        <w:t xml:space="preserve">high level of economic activity in </w:t>
      </w:r>
      <w:r>
        <w:t>all s</w:t>
      </w:r>
      <w:r w:rsidRPr="004D4744">
        <w:t>ectors</w:t>
      </w:r>
      <w:r>
        <w:t>, particularly mining, and relatively high regional and wage costs.</w:t>
      </w:r>
    </w:p>
    <w:p w14:paraId="2EB4C545" w14:textId="419DA46E" w:rsidR="007E365E" w:rsidRDefault="007E365E" w:rsidP="007E365E">
      <w:pPr>
        <w:pStyle w:val="CGCParaNumber"/>
      </w:pPr>
      <w:r>
        <w:fldChar w:fldCharType="begin"/>
      </w:r>
      <w:r>
        <w:instrText xml:space="preserve"> REF _Ref32849978 \h </w:instrText>
      </w:r>
      <w:r>
        <w:fldChar w:fldCharType="separate"/>
      </w:r>
      <w:r w:rsidR="007F721A">
        <w:t>Table 22-</w:t>
      </w:r>
      <w:r w:rsidR="007F721A">
        <w:rPr>
          <w:noProof/>
        </w:rPr>
        <w:t>14</w:t>
      </w:r>
      <w:r>
        <w:fldChar w:fldCharType="end"/>
      </w:r>
      <w:r>
        <w:t xml:space="preserve"> provides a summary of the main disabilities contributing to the redistribution from an EPC assessment for this category. </w:t>
      </w:r>
    </w:p>
    <w:p w14:paraId="6800BC49" w14:textId="59D89889" w:rsidR="007E365E" w:rsidRDefault="007E365E" w:rsidP="007E365E">
      <w:pPr>
        <w:pStyle w:val="Caption"/>
      </w:pPr>
      <w:bookmarkStart w:id="327" w:name="_Ref32849978"/>
      <w:r>
        <w:t>Table 22-</w:t>
      </w:r>
      <w:fldSimple w:instr=" SEQ Table \* ARABIC ">
        <w:r w:rsidR="007F721A">
          <w:rPr>
            <w:noProof/>
          </w:rPr>
          <w:t>14</w:t>
        </w:r>
      </w:fldSimple>
      <w:bookmarkEnd w:id="327"/>
      <w:r>
        <w:tab/>
        <w:t>Major reasons for the illustrative redistribution, Services to industry, 2020-21</w:t>
      </w:r>
    </w:p>
    <w:tbl>
      <w:tblPr>
        <w:tblW w:w="9020" w:type="dxa"/>
        <w:tblCellMar>
          <w:left w:w="28" w:type="dxa"/>
          <w:right w:w="28" w:type="dxa"/>
        </w:tblCellMar>
        <w:tblLook w:val="04A0" w:firstRow="1" w:lastRow="0" w:firstColumn="1" w:lastColumn="0" w:noHBand="0" w:noVBand="1"/>
      </w:tblPr>
      <w:tblGrid>
        <w:gridCol w:w="2120"/>
        <w:gridCol w:w="760"/>
        <w:gridCol w:w="760"/>
        <w:gridCol w:w="760"/>
        <w:gridCol w:w="760"/>
        <w:gridCol w:w="760"/>
        <w:gridCol w:w="760"/>
        <w:gridCol w:w="760"/>
        <w:gridCol w:w="760"/>
        <w:gridCol w:w="820"/>
      </w:tblGrid>
      <w:tr w:rsidR="007E365E" w:rsidRPr="003C2848" w14:paraId="1412375A" w14:textId="77777777" w:rsidTr="007D1D77">
        <w:trPr>
          <w:trHeight w:val="379"/>
        </w:trPr>
        <w:tc>
          <w:tcPr>
            <w:tcW w:w="2120" w:type="dxa"/>
            <w:tcBorders>
              <w:top w:val="single" w:sz="4" w:space="0" w:color="ADD6EA"/>
              <w:left w:val="nil"/>
              <w:bottom w:val="single" w:sz="4" w:space="0" w:color="ADD6EA"/>
              <w:right w:val="nil"/>
            </w:tcBorders>
            <w:shd w:val="clear" w:color="000000" w:fill="006991"/>
            <w:vAlign w:val="center"/>
            <w:hideMark/>
          </w:tcPr>
          <w:p w14:paraId="7F441CA6" w14:textId="77777777" w:rsidR="007E365E" w:rsidRPr="003C2848"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3C2848">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vAlign w:val="center"/>
            <w:hideMark/>
          </w:tcPr>
          <w:p w14:paraId="730C0E3A"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C2848">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vAlign w:val="center"/>
            <w:hideMark/>
          </w:tcPr>
          <w:p w14:paraId="308AC613"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C2848">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vAlign w:val="center"/>
            <w:hideMark/>
          </w:tcPr>
          <w:p w14:paraId="56DD9C3F"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C2848">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vAlign w:val="center"/>
            <w:hideMark/>
          </w:tcPr>
          <w:p w14:paraId="0EBFF275"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C2848">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vAlign w:val="center"/>
            <w:hideMark/>
          </w:tcPr>
          <w:p w14:paraId="74C5369C"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C2848">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vAlign w:val="center"/>
            <w:hideMark/>
          </w:tcPr>
          <w:p w14:paraId="4CCD0325"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C2848">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vAlign w:val="center"/>
            <w:hideMark/>
          </w:tcPr>
          <w:p w14:paraId="6FFE81AC"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C2848">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vAlign w:val="center"/>
            <w:hideMark/>
          </w:tcPr>
          <w:p w14:paraId="11C19E85"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C2848">
              <w:rPr>
                <w:rFonts w:ascii="Open Sans SemiBold" w:eastAsia="Times New Roman" w:hAnsi="Open Sans SemiBold" w:cs="Open Sans SemiBold"/>
                <w:color w:val="FFFFFF"/>
                <w:sz w:val="16"/>
                <w:szCs w:val="16"/>
                <w:lang w:eastAsia="en-AU"/>
              </w:rPr>
              <w:t>NT</w:t>
            </w:r>
          </w:p>
        </w:tc>
        <w:tc>
          <w:tcPr>
            <w:tcW w:w="820" w:type="dxa"/>
            <w:tcBorders>
              <w:top w:val="single" w:sz="4" w:space="0" w:color="ADD6EA"/>
              <w:left w:val="nil"/>
              <w:bottom w:val="single" w:sz="4" w:space="0" w:color="ADD6EA"/>
              <w:right w:val="nil"/>
            </w:tcBorders>
            <w:shd w:val="clear" w:color="000000" w:fill="006991"/>
            <w:vAlign w:val="center"/>
            <w:hideMark/>
          </w:tcPr>
          <w:p w14:paraId="4BEB11AF"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C2848">
              <w:rPr>
                <w:rFonts w:ascii="Open Sans SemiBold" w:eastAsia="Times New Roman" w:hAnsi="Open Sans SemiBold" w:cs="Open Sans SemiBold"/>
                <w:color w:val="FFFFFF"/>
                <w:sz w:val="16"/>
                <w:szCs w:val="16"/>
                <w:lang w:eastAsia="en-AU"/>
              </w:rPr>
              <w:t>Redist</w:t>
            </w:r>
          </w:p>
        </w:tc>
      </w:tr>
      <w:tr w:rsidR="007E365E" w:rsidRPr="003C2848" w14:paraId="7C69747E" w14:textId="77777777" w:rsidTr="007D1D77">
        <w:trPr>
          <w:trHeight w:val="259"/>
        </w:trPr>
        <w:tc>
          <w:tcPr>
            <w:tcW w:w="2120" w:type="dxa"/>
            <w:tcBorders>
              <w:top w:val="nil"/>
              <w:left w:val="nil"/>
              <w:bottom w:val="single" w:sz="8" w:space="0" w:color="ADD6EA"/>
              <w:right w:val="nil"/>
            </w:tcBorders>
            <w:shd w:val="clear" w:color="000000" w:fill="B6D5E4"/>
            <w:noWrap/>
            <w:vAlign w:val="center"/>
            <w:hideMark/>
          </w:tcPr>
          <w:p w14:paraId="19E223D5"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 </w:t>
            </w:r>
          </w:p>
        </w:tc>
        <w:tc>
          <w:tcPr>
            <w:tcW w:w="760" w:type="dxa"/>
            <w:tcBorders>
              <w:top w:val="nil"/>
              <w:left w:val="nil"/>
              <w:bottom w:val="single" w:sz="8" w:space="0" w:color="ADD6EA"/>
              <w:right w:val="nil"/>
            </w:tcBorders>
            <w:shd w:val="clear" w:color="000000" w:fill="B6D5E4"/>
            <w:noWrap/>
            <w:vAlign w:val="center"/>
            <w:hideMark/>
          </w:tcPr>
          <w:p w14:paraId="13855555"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7D276522"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6B5FBF96"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5345CF9B"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383A5FBA"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3277240F"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1FAF23D9"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1CFF11DA"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$m</w:t>
            </w:r>
          </w:p>
        </w:tc>
        <w:tc>
          <w:tcPr>
            <w:tcW w:w="820" w:type="dxa"/>
            <w:tcBorders>
              <w:top w:val="nil"/>
              <w:left w:val="nil"/>
              <w:bottom w:val="single" w:sz="8" w:space="0" w:color="ADD6EA"/>
              <w:right w:val="nil"/>
            </w:tcBorders>
            <w:shd w:val="clear" w:color="000000" w:fill="B6D5E4"/>
            <w:noWrap/>
            <w:vAlign w:val="center"/>
            <w:hideMark/>
          </w:tcPr>
          <w:p w14:paraId="005C9FC2"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$m</w:t>
            </w:r>
          </w:p>
        </w:tc>
      </w:tr>
      <w:tr w:rsidR="007E365E" w:rsidRPr="003C2848" w14:paraId="41CB706D" w14:textId="77777777" w:rsidTr="007D1D77">
        <w:trPr>
          <w:trHeight w:val="318"/>
        </w:trPr>
        <w:tc>
          <w:tcPr>
            <w:tcW w:w="2120" w:type="dxa"/>
            <w:tcBorders>
              <w:top w:val="nil"/>
              <w:left w:val="nil"/>
              <w:bottom w:val="single" w:sz="4" w:space="0" w:color="ADD6EA"/>
              <w:right w:val="nil"/>
            </w:tcBorders>
            <w:shd w:val="clear" w:color="000000" w:fill="FFFFFF"/>
            <w:vAlign w:val="bottom"/>
            <w:hideMark/>
          </w:tcPr>
          <w:p w14:paraId="74A70D9E" w14:textId="77777777" w:rsidR="007E365E" w:rsidRPr="003C2848" w:rsidRDefault="007E365E" w:rsidP="007D1D77">
            <w:pPr>
              <w:tabs>
                <w:tab w:val="clear" w:pos="567"/>
              </w:tabs>
              <w:spacing w:before="0" w:line="240" w:lineRule="auto"/>
              <w:rPr>
                <w:rFonts w:eastAsia="Times New Roman" w:cs="Open Sans Light"/>
                <w:sz w:val="16"/>
                <w:szCs w:val="16"/>
                <w:lang w:eastAsia="en-AU"/>
              </w:rPr>
            </w:pPr>
            <w:r w:rsidRPr="003C2848">
              <w:rPr>
                <w:rFonts w:eastAsia="Times New Roman" w:cs="Open Sans Light"/>
                <w:sz w:val="16"/>
                <w:szCs w:val="16"/>
                <w:lang w:eastAsia="en-AU"/>
              </w:rPr>
              <w:t>Sector size</w:t>
            </w:r>
          </w:p>
        </w:tc>
        <w:tc>
          <w:tcPr>
            <w:tcW w:w="760" w:type="dxa"/>
            <w:tcBorders>
              <w:top w:val="nil"/>
              <w:left w:val="nil"/>
              <w:bottom w:val="single" w:sz="4" w:space="0" w:color="ADD6EA"/>
              <w:right w:val="nil"/>
            </w:tcBorders>
            <w:shd w:val="clear" w:color="000000" w:fill="FFFFFF"/>
            <w:vAlign w:val="bottom"/>
            <w:hideMark/>
          </w:tcPr>
          <w:p w14:paraId="47C25AC3"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0620C821"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32AA52EF"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4B3C7676"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69996C53"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3DDD95BA"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78C5D7C9"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 </w:t>
            </w:r>
          </w:p>
        </w:tc>
        <w:tc>
          <w:tcPr>
            <w:tcW w:w="760" w:type="dxa"/>
            <w:tcBorders>
              <w:top w:val="nil"/>
              <w:left w:val="nil"/>
              <w:bottom w:val="single" w:sz="4" w:space="0" w:color="ADD6EA"/>
              <w:right w:val="nil"/>
            </w:tcBorders>
            <w:shd w:val="clear" w:color="000000" w:fill="FFFFFF"/>
            <w:vAlign w:val="bottom"/>
            <w:hideMark/>
          </w:tcPr>
          <w:p w14:paraId="58F42457"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 </w:t>
            </w:r>
          </w:p>
        </w:tc>
        <w:tc>
          <w:tcPr>
            <w:tcW w:w="820" w:type="dxa"/>
            <w:tcBorders>
              <w:top w:val="nil"/>
              <w:left w:val="nil"/>
              <w:bottom w:val="single" w:sz="4" w:space="0" w:color="ADD6EA"/>
              <w:right w:val="nil"/>
            </w:tcBorders>
            <w:shd w:val="clear" w:color="000000" w:fill="FFFFFF"/>
            <w:vAlign w:val="bottom"/>
            <w:hideMark/>
          </w:tcPr>
          <w:p w14:paraId="29231438"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 </w:t>
            </w:r>
          </w:p>
        </w:tc>
      </w:tr>
      <w:tr w:rsidR="007E365E" w:rsidRPr="003C2848" w14:paraId="29F9A8F4" w14:textId="77777777" w:rsidTr="007D1D77">
        <w:trPr>
          <w:trHeight w:val="318"/>
        </w:trPr>
        <w:tc>
          <w:tcPr>
            <w:tcW w:w="2120" w:type="dxa"/>
            <w:tcBorders>
              <w:top w:val="nil"/>
              <w:left w:val="nil"/>
              <w:bottom w:val="single" w:sz="4" w:space="0" w:color="ADD6EA"/>
              <w:right w:val="nil"/>
            </w:tcBorders>
            <w:shd w:val="clear" w:color="000000" w:fill="FFFFFF"/>
            <w:vAlign w:val="bottom"/>
            <w:hideMark/>
          </w:tcPr>
          <w:p w14:paraId="34A4D566" w14:textId="77777777" w:rsidR="007E365E" w:rsidRPr="003C2848"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3C2848">
              <w:rPr>
                <w:rFonts w:eastAsia="Times New Roman" w:cs="Open Sans Light"/>
                <w:sz w:val="16"/>
                <w:szCs w:val="16"/>
                <w:lang w:eastAsia="en-AU"/>
              </w:rPr>
              <w:t>Agriculture</w:t>
            </w:r>
          </w:p>
        </w:tc>
        <w:tc>
          <w:tcPr>
            <w:tcW w:w="760" w:type="dxa"/>
            <w:tcBorders>
              <w:top w:val="nil"/>
              <w:left w:val="nil"/>
              <w:bottom w:val="single" w:sz="4" w:space="0" w:color="ADD6EA"/>
              <w:right w:val="nil"/>
            </w:tcBorders>
            <w:shd w:val="clear" w:color="000000" w:fill="FFFFFF"/>
            <w:vAlign w:val="bottom"/>
            <w:hideMark/>
          </w:tcPr>
          <w:p w14:paraId="329B6EB1"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-57</w:t>
            </w:r>
          </w:p>
        </w:tc>
        <w:tc>
          <w:tcPr>
            <w:tcW w:w="760" w:type="dxa"/>
            <w:tcBorders>
              <w:top w:val="nil"/>
              <w:left w:val="nil"/>
              <w:bottom w:val="single" w:sz="4" w:space="0" w:color="ADD6EA"/>
              <w:right w:val="nil"/>
            </w:tcBorders>
            <w:shd w:val="clear" w:color="000000" w:fill="FFFFFF"/>
            <w:vAlign w:val="bottom"/>
            <w:hideMark/>
          </w:tcPr>
          <w:p w14:paraId="0FF23E77"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-30</w:t>
            </w:r>
          </w:p>
        </w:tc>
        <w:tc>
          <w:tcPr>
            <w:tcW w:w="760" w:type="dxa"/>
            <w:tcBorders>
              <w:top w:val="nil"/>
              <w:left w:val="nil"/>
              <w:bottom w:val="single" w:sz="4" w:space="0" w:color="ADD6EA"/>
              <w:right w:val="nil"/>
            </w:tcBorders>
            <w:shd w:val="clear" w:color="000000" w:fill="FFFFFF"/>
            <w:vAlign w:val="bottom"/>
            <w:hideMark/>
          </w:tcPr>
          <w:p w14:paraId="5B531D9E"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11</w:t>
            </w:r>
          </w:p>
        </w:tc>
        <w:tc>
          <w:tcPr>
            <w:tcW w:w="760" w:type="dxa"/>
            <w:tcBorders>
              <w:top w:val="nil"/>
              <w:left w:val="nil"/>
              <w:bottom w:val="single" w:sz="4" w:space="0" w:color="ADD6EA"/>
              <w:right w:val="nil"/>
            </w:tcBorders>
            <w:shd w:val="clear" w:color="000000" w:fill="FFFFFF"/>
            <w:vAlign w:val="bottom"/>
            <w:hideMark/>
          </w:tcPr>
          <w:p w14:paraId="1EA40DB1"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23</w:t>
            </w:r>
          </w:p>
        </w:tc>
        <w:tc>
          <w:tcPr>
            <w:tcW w:w="760" w:type="dxa"/>
            <w:tcBorders>
              <w:top w:val="nil"/>
              <w:left w:val="nil"/>
              <w:bottom w:val="single" w:sz="4" w:space="0" w:color="ADD6EA"/>
              <w:right w:val="nil"/>
            </w:tcBorders>
            <w:shd w:val="clear" w:color="000000" w:fill="FFFFFF"/>
            <w:vAlign w:val="bottom"/>
            <w:hideMark/>
          </w:tcPr>
          <w:p w14:paraId="16AE0A3B"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32</w:t>
            </w:r>
          </w:p>
        </w:tc>
        <w:tc>
          <w:tcPr>
            <w:tcW w:w="760" w:type="dxa"/>
            <w:tcBorders>
              <w:top w:val="nil"/>
              <w:left w:val="nil"/>
              <w:bottom w:val="single" w:sz="4" w:space="0" w:color="ADD6EA"/>
              <w:right w:val="nil"/>
            </w:tcBorders>
            <w:shd w:val="clear" w:color="000000" w:fill="FFFFFF"/>
            <w:vAlign w:val="bottom"/>
            <w:hideMark/>
          </w:tcPr>
          <w:p w14:paraId="2DCB457D"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29</w:t>
            </w:r>
          </w:p>
        </w:tc>
        <w:tc>
          <w:tcPr>
            <w:tcW w:w="760" w:type="dxa"/>
            <w:tcBorders>
              <w:top w:val="nil"/>
              <w:left w:val="nil"/>
              <w:bottom w:val="single" w:sz="4" w:space="0" w:color="ADD6EA"/>
              <w:right w:val="nil"/>
            </w:tcBorders>
            <w:shd w:val="clear" w:color="000000" w:fill="FFFFFF"/>
            <w:vAlign w:val="bottom"/>
            <w:hideMark/>
          </w:tcPr>
          <w:p w14:paraId="6A358DE5"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-11</w:t>
            </w:r>
          </w:p>
        </w:tc>
        <w:tc>
          <w:tcPr>
            <w:tcW w:w="760" w:type="dxa"/>
            <w:tcBorders>
              <w:top w:val="nil"/>
              <w:left w:val="nil"/>
              <w:bottom w:val="single" w:sz="4" w:space="0" w:color="ADD6EA"/>
              <w:right w:val="nil"/>
            </w:tcBorders>
            <w:shd w:val="clear" w:color="000000" w:fill="FFFFFF"/>
            <w:vAlign w:val="bottom"/>
            <w:hideMark/>
          </w:tcPr>
          <w:p w14:paraId="239180F4"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4</w:t>
            </w:r>
          </w:p>
        </w:tc>
        <w:tc>
          <w:tcPr>
            <w:tcW w:w="820" w:type="dxa"/>
            <w:tcBorders>
              <w:top w:val="nil"/>
              <w:left w:val="nil"/>
              <w:bottom w:val="single" w:sz="4" w:space="0" w:color="ADD6EA"/>
              <w:right w:val="nil"/>
            </w:tcBorders>
            <w:shd w:val="clear" w:color="000000" w:fill="FFFFFF"/>
            <w:vAlign w:val="bottom"/>
            <w:hideMark/>
          </w:tcPr>
          <w:p w14:paraId="200CE6A9"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99</w:t>
            </w:r>
          </w:p>
        </w:tc>
      </w:tr>
      <w:tr w:rsidR="007E365E" w:rsidRPr="003C2848" w14:paraId="124E159D" w14:textId="77777777" w:rsidTr="007D1D77">
        <w:trPr>
          <w:trHeight w:val="318"/>
        </w:trPr>
        <w:tc>
          <w:tcPr>
            <w:tcW w:w="2120" w:type="dxa"/>
            <w:tcBorders>
              <w:top w:val="nil"/>
              <w:left w:val="nil"/>
              <w:bottom w:val="single" w:sz="4" w:space="0" w:color="ADD6EA"/>
              <w:right w:val="nil"/>
            </w:tcBorders>
            <w:shd w:val="clear" w:color="000000" w:fill="FFFFFF"/>
            <w:vAlign w:val="bottom"/>
            <w:hideMark/>
          </w:tcPr>
          <w:p w14:paraId="69D35E06" w14:textId="77777777" w:rsidR="007E365E" w:rsidRPr="003C2848"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3C2848">
              <w:rPr>
                <w:rFonts w:eastAsia="Times New Roman" w:cs="Open Sans Light"/>
                <w:sz w:val="16"/>
                <w:szCs w:val="16"/>
                <w:lang w:eastAsia="en-AU"/>
              </w:rPr>
              <w:t>Mining</w:t>
            </w:r>
          </w:p>
        </w:tc>
        <w:tc>
          <w:tcPr>
            <w:tcW w:w="760" w:type="dxa"/>
            <w:tcBorders>
              <w:top w:val="nil"/>
              <w:left w:val="nil"/>
              <w:bottom w:val="single" w:sz="4" w:space="0" w:color="ADD6EA"/>
              <w:right w:val="nil"/>
            </w:tcBorders>
            <w:shd w:val="clear" w:color="000000" w:fill="FFFFFF"/>
            <w:vAlign w:val="bottom"/>
            <w:hideMark/>
          </w:tcPr>
          <w:p w14:paraId="6CCAEDA9"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-76</w:t>
            </w:r>
          </w:p>
        </w:tc>
        <w:tc>
          <w:tcPr>
            <w:tcW w:w="760" w:type="dxa"/>
            <w:tcBorders>
              <w:top w:val="nil"/>
              <w:left w:val="nil"/>
              <w:bottom w:val="single" w:sz="4" w:space="0" w:color="ADD6EA"/>
              <w:right w:val="nil"/>
            </w:tcBorders>
            <w:shd w:val="clear" w:color="000000" w:fill="FFFFFF"/>
            <w:vAlign w:val="bottom"/>
            <w:hideMark/>
          </w:tcPr>
          <w:p w14:paraId="400C524C"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-88</w:t>
            </w:r>
          </w:p>
        </w:tc>
        <w:tc>
          <w:tcPr>
            <w:tcW w:w="760" w:type="dxa"/>
            <w:tcBorders>
              <w:top w:val="nil"/>
              <w:left w:val="nil"/>
              <w:bottom w:val="single" w:sz="4" w:space="0" w:color="ADD6EA"/>
              <w:right w:val="nil"/>
            </w:tcBorders>
            <w:shd w:val="clear" w:color="000000" w:fill="FFFFFF"/>
            <w:vAlign w:val="bottom"/>
            <w:hideMark/>
          </w:tcPr>
          <w:p w14:paraId="33BE08A6"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22</w:t>
            </w:r>
          </w:p>
        </w:tc>
        <w:tc>
          <w:tcPr>
            <w:tcW w:w="760" w:type="dxa"/>
            <w:tcBorders>
              <w:top w:val="nil"/>
              <w:left w:val="nil"/>
              <w:bottom w:val="single" w:sz="4" w:space="0" w:color="ADD6EA"/>
              <w:right w:val="nil"/>
            </w:tcBorders>
            <w:shd w:val="clear" w:color="000000" w:fill="FFFFFF"/>
            <w:vAlign w:val="bottom"/>
            <w:hideMark/>
          </w:tcPr>
          <w:p w14:paraId="1C5E9662"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164</w:t>
            </w:r>
          </w:p>
        </w:tc>
        <w:tc>
          <w:tcPr>
            <w:tcW w:w="760" w:type="dxa"/>
            <w:tcBorders>
              <w:top w:val="nil"/>
              <w:left w:val="nil"/>
              <w:bottom w:val="single" w:sz="4" w:space="0" w:color="ADD6EA"/>
              <w:right w:val="nil"/>
            </w:tcBorders>
            <w:shd w:val="clear" w:color="000000" w:fill="FFFFFF"/>
            <w:vAlign w:val="bottom"/>
            <w:hideMark/>
          </w:tcPr>
          <w:p w14:paraId="73BBEB6A"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-18</w:t>
            </w:r>
          </w:p>
        </w:tc>
        <w:tc>
          <w:tcPr>
            <w:tcW w:w="760" w:type="dxa"/>
            <w:tcBorders>
              <w:top w:val="nil"/>
              <w:left w:val="nil"/>
              <w:bottom w:val="single" w:sz="4" w:space="0" w:color="ADD6EA"/>
              <w:right w:val="nil"/>
            </w:tcBorders>
            <w:shd w:val="clear" w:color="000000" w:fill="FFFFFF"/>
            <w:vAlign w:val="bottom"/>
            <w:hideMark/>
          </w:tcPr>
          <w:p w14:paraId="0B433C18"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000000" w:fill="FFFFFF"/>
            <w:vAlign w:val="bottom"/>
            <w:hideMark/>
          </w:tcPr>
          <w:p w14:paraId="2D651E7D"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000000" w:fill="FFFFFF"/>
            <w:vAlign w:val="bottom"/>
            <w:hideMark/>
          </w:tcPr>
          <w:p w14:paraId="1B4F7CFA"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7</w:t>
            </w:r>
          </w:p>
        </w:tc>
        <w:tc>
          <w:tcPr>
            <w:tcW w:w="820" w:type="dxa"/>
            <w:tcBorders>
              <w:top w:val="nil"/>
              <w:left w:val="nil"/>
              <w:bottom w:val="single" w:sz="4" w:space="0" w:color="ADD6EA"/>
              <w:right w:val="nil"/>
            </w:tcBorders>
            <w:shd w:val="clear" w:color="000000" w:fill="FFFFFF"/>
            <w:vAlign w:val="bottom"/>
            <w:hideMark/>
          </w:tcPr>
          <w:p w14:paraId="537A34F2"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193</w:t>
            </w:r>
          </w:p>
        </w:tc>
      </w:tr>
      <w:tr w:rsidR="007E365E" w:rsidRPr="003C2848" w14:paraId="413BCA58" w14:textId="77777777" w:rsidTr="007D1D77">
        <w:trPr>
          <w:trHeight w:val="318"/>
        </w:trPr>
        <w:tc>
          <w:tcPr>
            <w:tcW w:w="2120" w:type="dxa"/>
            <w:tcBorders>
              <w:top w:val="nil"/>
              <w:left w:val="nil"/>
              <w:bottom w:val="single" w:sz="4" w:space="0" w:color="ADD6EA"/>
              <w:right w:val="nil"/>
            </w:tcBorders>
            <w:shd w:val="clear" w:color="000000" w:fill="FFFFFF"/>
            <w:vAlign w:val="bottom"/>
            <w:hideMark/>
          </w:tcPr>
          <w:p w14:paraId="589FD883" w14:textId="77777777" w:rsidR="007E365E" w:rsidRPr="003C2848"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3C2848">
              <w:rPr>
                <w:rFonts w:eastAsia="Times New Roman" w:cs="Open Sans Light"/>
                <w:sz w:val="16"/>
                <w:szCs w:val="16"/>
                <w:lang w:eastAsia="en-AU"/>
              </w:rPr>
              <w:t>Other industries</w:t>
            </w:r>
          </w:p>
        </w:tc>
        <w:tc>
          <w:tcPr>
            <w:tcW w:w="760" w:type="dxa"/>
            <w:tcBorders>
              <w:top w:val="nil"/>
              <w:left w:val="nil"/>
              <w:bottom w:val="single" w:sz="4" w:space="0" w:color="ADD6EA"/>
              <w:right w:val="nil"/>
            </w:tcBorders>
            <w:shd w:val="clear" w:color="000000" w:fill="FFFFFF"/>
            <w:vAlign w:val="bottom"/>
            <w:hideMark/>
          </w:tcPr>
          <w:p w14:paraId="07420770"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33</w:t>
            </w:r>
          </w:p>
        </w:tc>
        <w:tc>
          <w:tcPr>
            <w:tcW w:w="760" w:type="dxa"/>
            <w:tcBorders>
              <w:top w:val="nil"/>
              <w:left w:val="nil"/>
              <w:bottom w:val="single" w:sz="4" w:space="0" w:color="ADD6EA"/>
              <w:right w:val="nil"/>
            </w:tcBorders>
            <w:shd w:val="clear" w:color="000000" w:fill="FFFFFF"/>
            <w:vAlign w:val="bottom"/>
            <w:hideMark/>
          </w:tcPr>
          <w:p w14:paraId="0B24121B"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000000" w:fill="FFFFFF"/>
            <w:vAlign w:val="bottom"/>
            <w:hideMark/>
          </w:tcPr>
          <w:p w14:paraId="01D7550D"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-21</w:t>
            </w:r>
          </w:p>
        </w:tc>
        <w:tc>
          <w:tcPr>
            <w:tcW w:w="760" w:type="dxa"/>
            <w:tcBorders>
              <w:top w:val="nil"/>
              <w:left w:val="nil"/>
              <w:bottom w:val="single" w:sz="4" w:space="0" w:color="ADD6EA"/>
              <w:right w:val="nil"/>
            </w:tcBorders>
            <w:shd w:val="clear" w:color="000000" w:fill="FFFFFF"/>
            <w:vAlign w:val="bottom"/>
            <w:hideMark/>
          </w:tcPr>
          <w:p w14:paraId="3CE692E3"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000000" w:fill="FFFFFF"/>
            <w:vAlign w:val="bottom"/>
            <w:hideMark/>
          </w:tcPr>
          <w:p w14:paraId="749DED06"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000000" w:fill="FFFFFF"/>
            <w:vAlign w:val="bottom"/>
            <w:hideMark/>
          </w:tcPr>
          <w:p w14:paraId="699AF8DC"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000000" w:fill="FFFFFF"/>
            <w:vAlign w:val="bottom"/>
            <w:hideMark/>
          </w:tcPr>
          <w:p w14:paraId="794A0F86"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000000" w:fill="FFFFFF"/>
            <w:vAlign w:val="bottom"/>
            <w:hideMark/>
          </w:tcPr>
          <w:p w14:paraId="29426E55"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5</w:t>
            </w:r>
          </w:p>
        </w:tc>
        <w:tc>
          <w:tcPr>
            <w:tcW w:w="820" w:type="dxa"/>
            <w:tcBorders>
              <w:top w:val="nil"/>
              <w:left w:val="nil"/>
              <w:bottom w:val="single" w:sz="4" w:space="0" w:color="ADD6EA"/>
              <w:right w:val="nil"/>
            </w:tcBorders>
            <w:shd w:val="clear" w:color="000000" w:fill="FFFFFF"/>
            <w:vAlign w:val="bottom"/>
            <w:hideMark/>
          </w:tcPr>
          <w:p w14:paraId="748F8705"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47</w:t>
            </w:r>
          </w:p>
        </w:tc>
      </w:tr>
      <w:tr w:rsidR="007E365E" w:rsidRPr="003C2848" w14:paraId="5FD87EF7" w14:textId="77777777" w:rsidTr="007D1D77">
        <w:trPr>
          <w:trHeight w:val="315"/>
        </w:trPr>
        <w:tc>
          <w:tcPr>
            <w:tcW w:w="2120" w:type="dxa"/>
            <w:tcBorders>
              <w:top w:val="nil"/>
              <w:left w:val="nil"/>
              <w:bottom w:val="single" w:sz="4" w:space="0" w:color="ADD6EA"/>
              <w:right w:val="nil"/>
            </w:tcBorders>
            <w:shd w:val="clear" w:color="000000" w:fill="D6E7F0"/>
            <w:vAlign w:val="bottom"/>
            <w:hideMark/>
          </w:tcPr>
          <w:p w14:paraId="2DCE71CE" w14:textId="77777777" w:rsidR="007E365E" w:rsidRPr="003C2848"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Total sector size</w:t>
            </w:r>
          </w:p>
        </w:tc>
        <w:tc>
          <w:tcPr>
            <w:tcW w:w="760" w:type="dxa"/>
            <w:tcBorders>
              <w:top w:val="nil"/>
              <w:left w:val="nil"/>
              <w:bottom w:val="single" w:sz="4" w:space="0" w:color="ADD6EA"/>
              <w:right w:val="nil"/>
            </w:tcBorders>
            <w:shd w:val="clear" w:color="000000" w:fill="D6E7F0"/>
            <w:vAlign w:val="bottom"/>
            <w:hideMark/>
          </w:tcPr>
          <w:p w14:paraId="63F0AB86"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-101</w:t>
            </w:r>
          </w:p>
        </w:tc>
        <w:tc>
          <w:tcPr>
            <w:tcW w:w="760" w:type="dxa"/>
            <w:tcBorders>
              <w:top w:val="nil"/>
              <w:left w:val="nil"/>
              <w:bottom w:val="single" w:sz="4" w:space="0" w:color="ADD6EA"/>
              <w:right w:val="nil"/>
            </w:tcBorders>
            <w:shd w:val="clear" w:color="000000" w:fill="D6E7F0"/>
            <w:vAlign w:val="bottom"/>
            <w:hideMark/>
          </w:tcPr>
          <w:p w14:paraId="22F11CA8"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-125</w:t>
            </w:r>
          </w:p>
        </w:tc>
        <w:tc>
          <w:tcPr>
            <w:tcW w:w="760" w:type="dxa"/>
            <w:tcBorders>
              <w:top w:val="nil"/>
              <w:left w:val="nil"/>
              <w:bottom w:val="single" w:sz="4" w:space="0" w:color="ADD6EA"/>
              <w:right w:val="nil"/>
            </w:tcBorders>
            <w:shd w:val="clear" w:color="000000" w:fill="D6E7F0"/>
            <w:vAlign w:val="bottom"/>
            <w:hideMark/>
          </w:tcPr>
          <w:p w14:paraId="16E51EDE"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12</w:t>
            </w:r>
          </w:p>
        </w:tc>
        <w:tc>
          <w:tcPr>
            <w:tcW w:w="760" w:type="dxa"/>
            <w:tcBorders>
              <w:top w:val="nil"/>
              <w:left w:val="nil"/>
              <w:bottom w:val="single" w:sz="4" w:space="0" w:color="ADD6EA"/>
              <w:right w:val="nil"/>
            </w:tcBorders>
            <w:shd w:val="clear" w:color="000000" w:fill="D6E7F0"/>
            <w:vAlign w:val="bottom"/>
            <w:hideMark/>
          </w:tcPr>
          <w:p w14:paraId="6EDDE936"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192</w:t>
            </w:r>
          </w:p>
        </w:tc>
        <w:tc>
          <w:tcPr>
            <w:tcW w:w="760" w:type="dxa"/>
            <w:tcBorders>
              <w:top w:val="nil"/>
              <w:left w:val="nil"/>
              <w:bottom w:val="single" w:sz="4" w:space="0" w:color="ADD6EA"/>
              <w:right w:val="nil"/>
            </w:tcBorders>
            <w:shd w:val="clear" w:color="000000" w:fill="D6E7F0"/>
            <w:vAlign w:val="bottom"/>
            <w:hideMark/>
          </w:tcPr>
          <w:p w14:paraId="5248B028"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1</w:t>
            </w:r>
          </w:p>
        </w:tc>
        <w:tc>
          <w:tcPr>
            <w:tcW w:w="760" w:type="dxa"/>
            <w:tcBorders>
              <w:top w:val="nil"/>
              <w:left w:val="nil"/>
              <w:bottom w:val="single" w:sz="4" w:space="0" w:color="ADD6EA"/>
              <w:right w:val="nil"/>
            </w:tcBorders>
            <w:shd w:val="clear" w:color="000000" w:fill="D6E7F0"/>
            <w:vAlign w:val="bottom"/>
            <w:hideMark/>
          </w:tcPr>
          <w:p w14:paraId="499ACBF7"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18</w:t>
            </w:r>
          </w:p>
        </w:tc>
        <w:tc>
          <w:tcPr>
            <w:tcW w:w="760" w:type="dxa"/>
            <w:tcBorders>
              <w:top w:val="nil"/>
              <w:left w:val="nil"/>
              <w:bottom w:val="single" w:sz="4" w:space="0" w:color="ADD6EA"/>
              <w:right w:val="nil"/>
            </w:tcBorders>
            <w:shd w:val="clear" w:color="000000" w:fill="D6E7F0"/>
            <w:vAlign w:val="bottom"/>
            <w:hideMark/>
          </w:tcPr>
          <w:p w14:paraId="528FAFFA"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-13</w:t>
            </w:r>
          </w:p>
        </w:tc>
        <w:tc>
          <w:tcPr>
            <w:tcW w:w="760" w:type="dxa"/>
            <w:tcBorders>
              <w:top w:val="nil"/>
              <w:left w:val="nil"/>
              <w:bottom w:val="single" w:sz="4" w:space="0" w:color="ADD6EA"/>
              <w:right w:val="nil"/>
            </w:tcBorders>
            <w:shd w:val="clear" w:color="000000" w:fill="D6E7F0"/>
            <w:vAlign w:val="bottom"/>
            <w:hideMark/>
          </w:tcPr>
          <w:p w14:paraId="6D5EDD37"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16</w:t>
            </w:r>
          </w:p>
        </w:tc>
        <w:tc>
          <w:tcPr>
            <w:tcW w:w="820" w:type="dxa"/>
            <w:tcBorders>
              <w:top w:val="nil"/>
              <w:left w:val="nil"/>
              <w:bottom w:val="single" w:sz="4" w:space="0" w:color="ADD6EA"/>
              <w:right w:val="nil"/>
            </w:tcBorders>
            <w:shd w:val="clear" w:color="000000" w:fill="D6E7F0"/>
            <w:vAlign w:val="bottom"/>
            <w:hideMark/>
          </w:tcPr>
          <w:p w14:paraId="6B596730"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240</w:t>
            </w:r>
          </w:p>
        </w:tc>
      </w:tr>
      <w:tr w:rsidR="007E365E" w:rsidRPr="003C2848" w14:paraId="77CBFF7D" w14:textId="77777777" w:rsidTr="007D1D77">
        <w:trPr>
          <w:trHeight w:val="315"/>
        </w:trPr>
        <w:tc>
          <w:tcPr>
            <w:tcW w:w="2120" w:type="dxa"/>
            <w:tcBorders>
              <w:top w:val="nil"/>
              <w:left w:val="nil"/>
              <w:bottom w:val="single" w:sz="4" w:space="0" w:color="ADD6EA"/>
              <w:right w:val="nil"/>
            </w:tcBorders>
            <w:shd w:val="clear" w:color="000000" w:fill="FFFFFF"/>
            <w:vAlign w:val="bottom"/>
            <w:hideMark/>
          </w:tcPr>
          <w:p w14:paraId="0F8BC48B" w14:textId="77777777" w:rsidR="007E365E" w:rsidRPr="003C2848" w:rsidRDefault="007E365E" w:rsidP="007D1D77">
            <w:pPr>
              <w:tabs>
                <w:tab w:val="clear" w:pos="567"/>
              </w:tabs>
              <w:spacing w:before="0" w:line="240" w:lineRule="auto"/>
              <w:rPr>
                <w:rFonts w:eastAsia="Times New Roman" w:cs="Open Sans Light"/>
                <w:sz w:val="16"/>
                <w:szCs w:val="16"/>
                <w:lang w:eastAsia="en-AU"/>
              </w:rPr>
            </w:pPr>
            <w:r w:rsidRPr="003C2848">
              <w:rPr>
                <w:rFonts w:eastAsia="Times New Roman" w:cs="Open Sans Light"/>
                <w:sz w:val="16"/>
                <w:szCs w:val="16"/>
                <w:lang w:eastAsia="en-AU"/>
              </w:rPr>
              <w:t>Regional costs</w:t>
            </w:r>
          </w:p>
        </w:tc>
        <w:tc>
          <w:tcPr>
            <w:tcW w:w="760" w:type="dxa"/>
            <w:tcBorders>
              <w:top w:val="nil"/>
              <w:left w:val="nil"/>
              <w:bottom w:val="single" w:sz="4" w:space="0" w:color="ADD6EA"/>
              <w:right w:val="nil"/>
            </w:tcBorders>
            <w:shd w:val="clear" w:color="000000" w:fill="FFFFFF"/>
            <w:vAlign w:val="bottom"/>
            <w:hideMark/>
          </w:tcPr>
          <w:p w14:paraId="7FFFB0CE"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000000" w:fill="FFFFFF"/>
            <w:vAlign w:val="bottom"/>
            <w:hideMark/>
          </w:tcPr>
          <w:p w14:paraId="0F2EC467"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000000" w:fill="FFFFFF"/>
            <w:vAlign w:val="bottom"/>
            <w:hideMark/>
          </w:tcPr>
          <w:p w14:paraId="103156BF"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4FD9A11F"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000000" w:fill="FFFFFF"/>
            <w:vAlign w:val="bottom"/>
            <w:hideMark/>
          </w:tcPr>
          <w:p w14:paraId="6B0703E4"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072D35AC"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6C70B410"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3AB8CCF0"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4</w:t>
            </w:r>
          </w:p>
        </w:tc>
        <w:tc>
          <w:tcPr>
            <w:tcW w:w="820" w:type="dxa"/>
            <w:tcBorders>
              <w:top w:val="nil"/>
              <w:left w:val="nil"/>
              <w:bottom w:val="single" w:sz="4" w:space="0" w:color="ADD6EA"/>
              <w:right w:val="nil"/>
            </w:tcBorders>
            <w:shd w:val="clear" w:color="000000" w:fill="FFFFFF"/>
            <w:vAlign w:val="bottom"/>
            <w:hideMark/>
          </w:tcPr>
          <w:p w14:paraId="5E9AE83B"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10</w:t>
            </w:r>
          </w:p>
        </w:tc>
      </w:tr>
      <w:tr w:rsidR="007E365E" w:rsidRPr="003C2848" w14:paraId="3B0C1C2A" w14:textId="77777777" w:rsidTr="007D1D77">
        <w:trPr>
          <w:trHeight w:val="315"/>
        </w:trPr>
        <w:tc>
          <w:tcPr>
            <w:tcW w:w="2120" w:type="dxa"/>
            <w:tcBorders>
              <w:top w:val="nil"/>
              <w:left w:val="nil"/>
              <w:bottom w:val="nil"/>
              <w:right w:val="nil"/>
            </w:tcBorders>
            <w:shd w:val="clear" w:color="000000" w:fill="FFFFFF"/>
            <w:vAlign w:val="bottom"/>
            <w:hideMark/>
          </w:tcPr>
          <w:p w14:paraId="6815595E" w14:textId="77777777" w:rsidR="007E365E" w:rsidRPr="003C2848" w:rsidRDefault="007E365E" w:rsidP="007D1D77">
            <w:pPr>
              <w:tabs>
                <w:tab w:val="clear" w:pos="567"/>
              </w:tabs>
              <w:spacing w:before="0" w:line="240" w:lineRule="auto"/>
              <w:rPr>
                <w:rFonts w:eastAsia="Times New Roman" w:cs="Open Sans Light"/>
                <w:sz w:val="16"/>
                <w:szCs w:val="16"/>
                <w:lang w:eastAsia="en-AU"/>
              </w:rPr>
            </w:pPr>
            <w:r w:rsidRPr="003C2848">
              <w:rPr>
                <w:rFonts w:eastAsia="Times New Roman" w:cs="Open Sans Light"/>
                <w:sz w:val="16"/>
                <w:szCs w:val="16"/>
                <w:lang w:eastAsia="en-AU"/>
              </w:rPr>
              <w:t>Wage costs</w:t>
            </w:r>
          </w:p>
        </w:tc>
        <w:tc>
          <w:tcPr>
            <w:tcW w:w="760" w:type="dxa"/>
            <w:tcBorders>
              <w:top w:val="nil"/>
              <w:left w:val="nil"/>
              <w:bottom w:val="nil"/>
              <w:right w:val="nil"/>
            </w:tcBorders>
            <w:shd w:val="clear" w:color="000000" w:fill="FFFFFF"/>
            <w:vAlign w:val="bottom"/>
            <w:hideMark/>
          </w:tcPr>
          <w:p w14:paraId="161247D6"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5</w:t>
            </w:r>
          </w:p>
        </w:tc>
        <w:tc>
          <w:tcPr>
            <w:tcW w:w="760" w:type="dxa"/>
            <w:tcBorders>
              <w:top w:val="nil"/>
              <w:left w:val="nil"/>
              <w:bottom w:val="nil"/>
              <w:right w:val="nil"/>
            </w:tcBorders>
            <w:shd w:val="clear" w:color="000000" w:fill="FFFFFF"/>
            <w:vAlign w:val="bottom"/>
            <w:hideMark/>
          </w:tcPr>
          <w:p w14:paraId="565AAAAB"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-3</w:t>
            </w:r>
          </w:p>
        </w:tc>
        <w:tc>
          <w:tcPr>
            <w:tcW w:w="760" w:type="dxa"/>
            <w:tcBorders>
              <w:top w:val="nil"/>
              <w:left w:val="nil"/>
              <w:bottom w:val="nil"/>
              <w:right w:val="nil"/>
            </w:tcBorders>
            <w:shd w:val="clear" w:color="000000" w:fill="FFFFFF"/>
            <w:vAlign w:val="bottom"/>
            <w:hideMark/>
          </w:tcPr>
          <w:p w14:paraId="6F52385C"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-4</w:t>
            </w:r>
          </w:p>
        </w:tc>
        <w:tc>
          <w:tcPr>
            <w:tcW w:w="760" w:type="dxa"/>
            <w:tcBorders>
              <w:top w:val="nil"/>
              <w:left w:val="nil"/>
              <w:bottom w:val="nil"/>
              <w:right w:val="nil"/>
            </w:tcBorders>
            <w:shd w:val="clear" w:color="000000" w:fill="FFFFFF"/>
            <w:vAlign w:val="bottom"/>
            <w:hideMark/>
          </w:tcPr>
          <w:p w14:paraId="4049243F"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7</w:t>
            </w:r>
          </w:p>
        </w:tc>
        <w:tc>
          <w:tcPr>
            <w:tcW w:w="760" w:type="dxa"/>
            <w:tcBorders>
              <w:top w:val="nil"/>
              <w:left w:val="nil"/>
              <w:bottom w:val="nil"/>
              <w:right w:val="nil"/>
            </w:tcBorders>
            <w:shd w:val="clear" w:color="000000" w:fill="FFFFFF"/>
            <w:vAlign w:val="bottom"/>
            <w:hideMark/>
          </w:tcPr>
          <w:p w14:paraId="5100646B"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-5</w:t>
            </w:r>
          </w:p>
        </w:tc>
        <w:tc>
          <w:tcPr>
            <w:tcW w:w="760" w:type="dxa"/>
            <w:tcBorders>
              <w:top w:val="nil"/>
              <w:left w:val="nil"/>
              <w:bottom w:val="nil"/>
              <w:right w:val="nil"/>
            </w:tcBorders>
            <w:shd w:val="clear" w:color="000000" w:fill="FFFFFF"/>
            <w:vAlign w:val="bottom"/>
            <w:hideMark/>
          </w:tcPr>
          <w:p w14:paraId="17194D6B"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-3</w:t>
            </w:r>
          </w:p>
        </w:tc>
        <w:tc>
          <w:tcPr>
            <w:tcW w:w="760" w:type="dxa"/>
            <w:tcBorders>
              <w:top w:val="nil"/>
              <w:left w:val="nil"/>
              <w:bottom w:val="nil"/>
              <w:right w:val="nil"/>
            </w:tcBorders>
            <w:shd w:val="clear" w:color="000000" w:fill="FFFFFF"/>
            <w:vAlign w:val="bottom"/>
            <w:hideMark/>
          </w:tcPr>
          <w:p w14:paraId="40BBAE9B"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2</w:t>
            </w:r>
          </w:p>
        </w:tc>
        <w:tc>
          <w:tcPr>
            <w:tcW w:w="760" w:type="dxa"/>
            <w:tcBorders>
              <w:top w:val="nil"/>
              <w:left w:val="nil"/>
              <w:bottom w:val="nil"/>
              <w:right w:val="nil"/>
            </w:tcBorders>
            <w:shd w:val="clear" w:color="000000" w:fill="FFFFFF"/>
            <w:vAlign w:val="bottom"/>
            <w:hideMark/>
          </w:tcPr>
          <w:p w14:paraId="7B2634A4"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2</w:t>
            </w:r>
          </w:p>
        </w:tc>
        <w:tc>
          <w:tcPr>
            <w:tcW w:w="820" w:type="dxa"/>
            <w:tcBorders>
              <w:top w:val="nil"/>
              <w:left w:val="nil"/>
              <w:bottom w:val="nil"/>
              <w:right w:val="nil"/>
            </w:tcBorders>
            <w:shd w:val="clear" w:color="000000" w:fill="FFFFFF"/>
            <w:vAlign w:val="bottom"/>
            <w:hideMark/>
          </w:tcPr>
          <w:p w14:paraId="03BE6A99" w14:textId="77777777" w:rsidR="007E365E" w:rsidRPr="003C2848" w:rsidRDefault="007E365E" w:rsidP="007D1D77">
            <w:pPr>
              <w:tabs>
                <w:tab w:val="clear" w:pos="567"/>
              </w:tabs>
              <w:spacing w:before="0" w:line="240" w:lineRule="auto"/>
              <w:jc w:val="right"/>
              <w:rPr>
                <w:rFonts w:eastAsia="Times New Roman" w:cs="Open Sans Light"/>
                <w:sz w:val="16"/>
                <w:szCs w:val="16"/>
                <w:lang w:eastAsia="en-AU"/>
              </w:rPr>
            </w:pPr>
            <w:r w:rsidRPr="003C2848">
              <w:rPr>
                <w:rFonts w:eastAsia="Times New Roman" w:cs="Open Sans Light"/>
                <w:sz w:val="16"/>
                <w:szCs w:val="16"/>
                <w:lang w:eastAsia="en-AU"/>
              </w:rPr>
              <w:t>16</w:t>
            </w:r>
          </w:p>
        </w:tc>
      </w:tr>
      <w:tr w:rsidR="007E365E" w:rsidRPr="003C2848" w14:paraId="2772D868" w14:textId="77777777" w:rsidTr="007D1D77">
        <w:trPr>
          <w:trHeight w:val="315"/>
        </w:trPr>
        <w:tc>
          <w:tcPr>
            <w:tcW w:w="2120" w:type="dxa"/>
            <w:tcBorders>
              <w:top w:val="nil"/>
              <w:left w:val="nil"/>
              <w:bottom w:val="single" w:sz="4" w:space="0" w:color="ADD6EA"/>
              <w:right w:val="nil"/>
            </w:tcBorders>
            <w:shd w:val="clear" w:color="000000" w:fill="D6E7F0"/>
            <w:vAlign w:val="bottom"/>
            <w:hideMark/>
          </w:tcPr>
          <w:p w14:paraId="5AA15405" w14:textId="77777777" w:rsidR="007E365E" w:rsidRPr="003C2848"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7A2118B5"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-101</w:t>
            </w:r>
          </w:p>
        </w:tc>
        <w:tc>
          <w:tcPr>
            <w:tcW w:w="760" w:type="dxa"/>
            <w:tcBorders>
              <w:top w:val="nil"/>
              <w:left w:val="nil"/>
              <w:bottom w:val="single" w:sz="4" w:space="0" w:color="ADD6EA"/>
              <w:right w:val="nil"/>
            </w:tcBorders>
            <w:shd w:val="clear" w:color="000000" w:fill="D6E7F0"/>
            <w:vAlign w:val="bottom"/>
            <w:hideMark/>
          </w:tcPr>
          <w:p w14:paraId="62BDD03D"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-132</w:t>
            </w:r>
          </w:p>
        </w:tc>
        <w:tc>
          <w:tcPr>
            <w:tcW w:w="760" w:type="dxa"/>
            <w:tcBorders>
              <w:top w:val="nil"/>
              <w:left w:val="nil"/>
              <w:bottom w:val="single" w:sz="4" w:space="0" w:color="ADD6EA"/>
              <w:right w:val="nil"/>
            </w:tcBorders>
            <w:shd w:val="clear" w:color="000000" w:fill="D6E7F0"/>
            <w:vAlign w:val="bottom"/>
            <w:hideMark/>
          </w:tcPr>
          <w:p w14:paraId="26EA9100"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8</w:t>
            </w:r>
          </w:p>
        </w:tc>
        <w:tc>
          <w:tcPr>
            <w:tcW w:w="760" w:type="dxa"/>
            <w:tcBorders>
              <w:top w:val="nil"/>
              <w:left w:val="nil"/>
              <w:bottom w:val="single" w:sz="4" w:space="0" w:color="ADD6EA"/>
              <w:right w:val="nil"/>
            </w:tcBorders>
            <w:shd w:val="clear" w:color="000000" w:fill="D6E7F0"/>
            <w:vAlign w:val="bottom"/>
            <w:hideMark/>
          </w:tcPr>
          <w:p w14:paraId="0FC96281"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204</w:t>
            </w:r>
          </w:p>
        </w:tc>
        <w:tc>
          <w:tcPr>
            <w:tcW w:w="760" w:type="dxa"/>
            <w:tcBorders>
              <w:top w:val="nil"/>
              <w:left w:val="nil"/>
              <w:bottom w:val="single" w:sz="4" w:space="0" w:color="ADD6EA"/>
              <w:right w:val="nil"/>
            </w:tcBorders>
            <w:shd w:val="clear" w:color="000000" w:fill="D6E7F0"/>
            <w:vAlign w:val="bottom"/>
            <w:hideMark/>
          </w:tcPr>
          <w:p w14:paraId="3BD49680"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-4</w:t>
            </w:r>
          </w:p>
        </w:tc>
        <w:tc>
          <w:tcPr>
            <w:tcW w:w="760" w:type="dxa"/>
            <w:tcBorders>
              <w:top w:val="nil"/>
              <w:left w:val="nil"/>
              <w:bottom w:val="single" w:sz="4" w:space="0" w:color="ADD6EA"/>
              <w:right w:val="nil"/>
            </w:tcBorders>
            <w:shd w:val="clear" w:color="000000" w:fill="D6E7F0"/>
            <w:vAlign w:val="bottom"/>
            <w:hideMark/>
          </w:tcPr>
          <w:p w14:paraId="659E89B5"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15</w:t>
            </w:r>
          </w:p>
        </w:tc>
        <w:tc>
          <w:tcPr>
            <w:tcW w:w="760" w:type="dxa"/>
            <w:tcBorders>
              <w:top w:val="nil"/>
              <w:left w:val="nil"/>
              <w:bottom w:val="single" w:sz="4" w:space="0" w:color="ADD6EA"/>
              <w:right w:val="nil"/>
            </w:tcBorders>
            <w:shd w:val="clear" w:color="000000" w:fill="D6E7F0"/>
            <w:vAlign w:val="bottom"/>
            <w:hideMark/>
          </w:tcPr>
          <w:p w14:paraId="0E15E376"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-12</w:t>
            </w:r>
          </w:p>
        </w:tc>
        <w:tc>
          <w:tcPr>
            <w:tcW w:w="760" w:type="dxa"/>
            <w:tcBorders>
              <w:top w:val="nil"/>
              <w:left w:val="nil"/>
              <w:bottom w:val="single" w:sz="4" w:space="0" w:color="ADD6EA"/>
              <w:right w:val="nil"/>
            </w:tcBorders>
            <w:shd w:val="clear" w:color="000000" w:fill="D6E7F0"/>
            <w:vAlign w:val="bottom"/>
            <w:hideMark/>
          </w:tcPr>
          <w:p w14:paraId="78C3DF42"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21</w:t>
            </w:r>
          </w:p>
        </w:tc>
        <w:tc>
          <w:tcPr>
            <w:tcW w:w="820" w:type="dxa"/>
            <w:tcBorders>
              <w:top w:val="nil"/>
              <w:left w:val="nil"/>
              <w:bottom w:val="single" w:sz="4" w:space="0" w:color="ADD6EA"/>
              <w:right w:val="nil"/>
            </w:tcBorders>
            <w:shd w:val="clear" w:color="000000" w:fill="D6E7F0"/>
            <w:vAlign w:val="bottom"/>
            <w:hideMark/>
          </w:tcPr>
          <w:p w14:paraId="0D58EC6D" w14:textId="77777777" w:rsidR="007E365E" w:rsidRPr="003C2848"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C2848">
              <w:rPr>
                <w:rFonts w:ascii="Open Sans SemiBold" w:eastAsia="Times New Roman" w:hAnsi="Open Sans SemiBold" w:cs="Open Sans SemiBold"/>
                <w:color w:val="000000"/>
                <w:sz w:val="16"/>
                <w:szCs w:val="16"/>
                <w:lang w:eastAsia="en-AU"/>
              </w:rPr>
              <w:t>249</w:t>
            </w:r>
          </w:p>
        </w:tc>
      </w:tr>
    </w:tbl>
    <w:p w14:paraId="7BE4DA34" w14:textId="77777777" w:rsidR="007E365E" w:rsidRDefault="007E365E" w:rsidP="007E365E">
      <w:pPr>
        <w:pStyle w:val="CGCTablenote"/>
      </w:pPr>
      <w:r>
        <w:t>Note:</w:t>
      </w:r>
      <w:r>
        <w:tab/>
      </w:r>
      <w:r w:rsidRPr="000C4987">
        <w:t xml:space="preserve">The redistributions from an EPC assessment are illustrative. </w:t>
      </w:r>
      <w:r>
        <w:t>Disabilities may not add up due to rounding.</w:t>
      </w:r>
    </w:p>
    <w:p w14:paraId="15940796" w14:textId="77777777" w:rsidR="007E365E" w:rsidRDefault="007E365E" w:rsidP="007E365E">
      <w:pPr>
        <w:pStyle w:val="CGCTablenote"/>
      </w:pPr>
      <w:r>
        <w:t>Source:</w:t>
      </w:r>
      <w:r>
        <w:tab/>
        <w:t>Commission calculation.</w:t>
      </w:r>
    </w:p>
    <w:p w14:paraId="6AF3C15C" w14:textId="77777777" w:rsidR="007E365E" w:rsidRDefault="007E365E" w:rsidP="007E365E">
      <w:pPr>
        <w:pStyle w:val="Heading3"/>
      </w:pPr>
      <w:bookmarkStart w:id="328" w:name="_Toc22807493"/>
      <w:r w:rsidRPr="000C4987">
        <w:t xml:space="preserve">Changes since the </w:t>
      </w:r>
      <w:r>
        <w:t>2019 Update</w:t>
      </w:r>
      <w:bookmarkEnd w:id="328"/>
    </w:p>
    <w:p w14:paraId="244DC548" w14:textId="0E2CB9F8" w:rsidR="007E365E" w:rsidRDefault="007E365E" w:rsidP="007E365E">
      <w:pPr>
        <w:pStyle w:val="CGCParaNumber"/>
      </w:pPr>
      <w:r>
        <w:fldChar w:fldCharType="begin"/>
      </w:r>
      <w:r>
        <w:instrText xml:space="preserve"> REF _Ref32850033 \h </w:instrText>
      </w:r>
      <w:r>
        <w:fldChar w:fldCharType="separate"/>
      </w:r>
      <w:r w:rsidR="007F721A">
        <w:t>Table 22-</w:t>
      </w:r>
      <w:r w:rsidR="007F721A">
        <w:rPr>
          <w:noProof/>
        </w:rPr>
        <w:t>15</w:t>
      </w:r>
      <w:r>
        <w:fldChar w:fldCharType="end"/>
      </w:r>
      <w:r>
        <w:t xml:space="preserve"> breaks down the total change in the GST distribution since the 2019 Update that is attributable to the Services to industry category. It shows the effects of changes in data, category specific method changes and changes in State circumstances. </w:t>
      </w:r>
    </w:p>
    <w:p w14:paraId="5696337F" w14:textId="688300B3" w:rsidR="007E365E" w:rsidRDefault="007E365E" w:rsidP="007E365E">
      <w:pPr>
        <w:pStyle w:val="Caption"/>
      </w:pPr>
      <w:bookmarkStart w:id="329" w:name="_Ref32850033"/>
      <w:r>
        <w:t>Table 22-</w:t>
      </w:r>
      <w:fldSimple w:instr=" SEQ Table \* ARABIC ">
        <w:r w:rsidR="007F721A">
          <w:rPr>
            <w:noProof/>
          </w:rPr>
          <w:t>15</w:t>
        </w:r>
      </w:fldSimple>
      <w:bookmarkEnd w:id="329"/>
      <w:r>
        <w:tab/>
        <w:t>Changes to the GST redistribution between the 2019 Update and the 2020 Review</w:t>
      </w:r>
    </w:p>
    <w:tbl>
      <w:tblPr>
        <w:tblW w:w="9020" w:type="dxa"/>
        <w:tblCellMar>
          <w:left w:w="28" w:type="dxa"/>
          <w:right w:w="28" w:type="dxa"/>
        </w:tblCellMar>
        <w:tblLook w:val="04A0" w:firstRow="1" w:lastRow="0" w:firstColumn="1" w:lastColumn="0" w:noHBand="0" w:noVBand="1"/>
      </w:tblPr>
      <w:tblGrid>
        <w:gridCol w:w="2120"/>
        <w:gridCol w:w="760"/>
        <w:gridCol w:w="760"/>
        <w:gridCol w:w="760"/>
        <w:gridCol w:w="760"/>
        <w:gridCol w:w="760"/>
        <w:gridCol w:w="760"/>
        <w:gridCol w:w="760"/>
        <w:gridCol w:w="760"/>
        <w:gridCol w:w="820"/>
      </w:tblGrid>
      <w:tr w:rsidR="007E365E" w:rsidRPr="00AA6304" w14:paraId="7E6EF63A" w14:textId="77777777" w:rsidTr="007D1D77">
        <w:trPr>
          <w:trHeight w:val="379"/>
        </w:trPr>
        <w:tc>
          <w:tcPr>
            <w:tcW w:w="2120" w:type="dxa"/>
            <w:tcBorders>
              <w:top w:val="single" w:sz="4" w:space="0" w:color="ADD6EA"/>
              <w:left w:val="nil"/>
              <w:bottom w:val="single" w:sz="4" w:space="0" w:color="ADD6EA"/>
              <w:right w:val="nil"/>
            </w:tcBorders>
            <w:shd w:val="clear" w:color="000000" w:fill="006991"/>
            <w:vAlign w:val="center"/>
            <w:hideMark/>
          </w:tcPr>
          <w:p w14:paraId="5B426EE5" w14:textId="77777777" w:rsidR="007E365E" w:rsidRPr="00AA6304"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AA6304">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vAlign w:val="center"/>
            <w:hideMark/>
          </w:tcPr>
          <w:p w14:paraId="1EA52647"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6304">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vAlign w:val="center"/>
            <w:hideMark/>
          </w:tcPr>
          <w:p w14:paraId="40BA3887"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6304">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vAlign w:val="center"/>
            <w:hideMark/>
          </w:tcPr>
          <w:p w14:paraId="43175880"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6304">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vAlign w:val="center"/>
            <w:hideMark/>
          </w:tcPr>
          <w:p w14:paraId="71AB0EF3"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6304">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vAlign w:val="center"/>
            <w:hideMark/>
          </w:tcPr>
          <w:p w14:paraId="4A69620F"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6304">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vAlign w:val="center"/>
            <w:hideMark/>
          </w:tcPr>
          <w:p w14:paraId="47E3B4F0"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6304">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vAlign w:val="center"/>
            <w:hideMark/>
          </w:tcPr>
          <w:p w14:paraId="05A12CB7"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6304">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vAlign w:val="center"/>
            <w:hideMark/>
          </w:tcPr>
          <w:p w14:paraId="133D0D93"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6304">
              <w:rPr>
                <w:rFonts w:ascii="Open Sans SemiBold" w:eastAsia="Times New Roman" w:hAnsi="Open Sans SemiBold" w:cs="Open Sans SemiBold"/>
                <w:color w:val="FFFFFF"/>
                <w:sz w:val="16"/>
                <w:szCs w:val="16"/>
                <w:lang w:eastAsia="en-AU"/>
              </w:rPr>
              <w:t>NT</w:t>
            </w:r>
          </w:p>
        </w:tc>
        <w:tc>
          <w:tcPr>
            <w:tcW w:w="820" w:type="dxa"/>
            <w:tcBorders>
              <w:top w:val="single" w:sz="4" w:space="0" w:color="ADD6EA"/>
              <w:left w:val="nil"/>
              <w:bottom w:val="single" w:sz="4" w:space="0" w:color="ADD6EA"/>
              <w:right w:val="nil"/>
            </w:tcBorders>
            <w:shd w:val="clear" w:color="000000" w:fill="006991"/>
            <w:vAlign w:val="center"/>
            <w:hideMark/>
          </w:tcPr>
          <w:p w14:paraId="283E7082"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A6304">
              <w:rPr>
                <w:rFonts w:ascii="Open Sans SemiBold" w:eastAsia="Times New Roman" w:hAnsi="Open Sans SemiBold" w:cs="Open Sans SemiBold"/>
                <w:color w:val="FFFFFF"/>
                <w:sz w:val="16"/>
                <w:szCs w:val="16"/>
                <w:lang w:eastAsia="en-AU"/>
              </w:rPr>
              <w:t>Redist</w:t>
            </w:r>
          </w:p>
        </w:tc>
      </w:tr>
      <w:tr w:rsidR="007E365E" w:rsidRPr="00AA6304" w14:paraId="12220C96" w14:textId="77777777" w:rsidTr="007D1D77">
        <w:trPr>
          <w:trHeight w:val="255"/>
        </w:trPr>
        <w:tc>
          <w:tcPr>
            <w:tcW w:w="2120" w:type="dxa"/>
            <w:tcBorders>
              <w:top w:val="nil"/>
              <w:left w:val="nil"/>
              <w:bottom w:val="single" w:sz="8" w:space="0" w:color="ADD6EA"/>
              <w:right w:val="nil"/>
            </w:tcBorders>
            <w:shd w:val="clear" w:color="000000" w:fill="B6D5E4"/>
            <w:noWrap/>
            <w:vAlign w:val="center"/>
            <w:hideMark/>
          </w:tcPr>
          <w:p w14:paraId="01E90875"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 </w:t>
            </w:r>
          </w:p>
        </w:tc>
        <w:tc>
          <w:tcPr>
            <w:tcW w:w="760" w:type="dxa"/>
            <w:tcBorders>
              <w:top w:val="nil"/>
              <w:left w:val="nil"/>
              <w:bottom w:val="single" w:sz="8" w:space="0" w:color="ADD6EA"/>
              <w:right w:val="nil"/>
            </w:tcBorders>
            <w:shd w:val="clear" w:color="000000" w:fill="B6D5E4"/>
            <w:noWrap/>
            <w:vAlign w:val="center"/>
            <w:hideMark/>
          </w:tcPr>
          <w:p w14:paraId="63F62DDE"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764A94C9"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263ACC85"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38C4DA91"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7301B4C1"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23804647"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0B14D681"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8" w:space="0" w:color="ADD6EA"/>
              <w:right w:val="nil"/>
            </w:tcBorders>
            <w:shd w:val="clear" w:color="000000" w:fill="B6D5E4"/>
            <w:noWrap/>
            <w:vAlign w:val="center"/>
            <w:hideMark/>
          </w:tcPr>
          <w:p w14:paraId="3975DBFE"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$m</w:t>
            </w:r>
          </w:p>
        </w:tc>
        <w:tc>
          <w:tcPr>
            <w:tcW w:w="820" w:type="dxa"/>
            <w:tcBorders>
              <w:top w:val="nil"/>
              <w:left w:val="nil"/>
              <w:bottom w:val="single" w:sz="8" w:space="0" w:color="ADD6EA"/>
              <w:right w:val="nil"/>
            </w:tcBorders>
            <w:shd w:val="clear" w:color="000000" w:fill="B6D5E4"/>
            <w:noWrap/>
            <w:vAlign w:val="center"/>
            <w:hideMark/>
          </w:tcPr>
          <w:p w14:paraId="798583E6"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$m</w:t>
            </w:r>
          </w:p>
        </w:tc>
      </w:tr>
      <w:tr w:rsidR="007E365E" w:rsidRPr="00AA6304" w14:paraId="6010C767" w14:textId="77777777" w:rsidTr="007D1D77">
        <w:trPr>
          <w:trHeight w:val="315"/>
        </w:trPr>
        <w:tc>
          <w:tcPr>
            <w:tcW w:w="2120" w:type="dxa"/>
            <w:tcBorders>
              <w:top w:val="nil"/>
              <w:left w:val="nil"/>
              <w:bottom w:val="single" w:sz="4" w:space="0" w:color="ADD6EA"/>
              <w:right w:val="nil"/>
            </w:tcBorders>
            <w:shd w:val="clear" w:color="000000" w:fill="FFFFFF"/>
            <w:vAlign w:val="bottom"/>
            <w:hideMark/>
          </w:tcPr>
          <w:p w14:paraId="3F499E0D" w14:textId="77777777" w:rsidR="007E365E" w:rsidRPr="00AA6304" w:rsidRDefault="007E365E" w:rsidP="007D1D77">
            <w:pPr>
              <w:tabs>
                <w:tab w:val="clear" w:pos="567"/>
              </w:tabs>
              <w:spacing w:before="0" w:line="240" w:lineRule="auto"/>
              <w:rPr>
                <w:rFonts w:eastAsia="Times New Roman" w:cs="Open Sans Light"/>
                <w:sz w:val="16"/>
                <w:szCs w:val="16"/>
                <w:lang w:eastAsia="en-AU"/>
              </w:rPr>
            </w:pPr>
            <w:r w:rsidRPr="00AA6304">
              <w:rPr>
                <w:rFonts w:eastAsia="Times New Roman" w:cs="Open Sans Light"/>
                <w:sz w:val="16"/>
                <w:szCs w:val="16"/>
                <w:lang w:eastAsia="en-AU"/>
              </w:rPr>
              <w:t>Method changes</w:t>
            </w:r>
          </w:p>
        </w:tc>
        <w:tc>
          <w:tcPr>
            <w:tcW w:w="760" w:type="dxa"/>
            <w:tcBorders>
              <w:top w:val="nil"/>
              <w:left w:val="nil"/>
              <w:bottom w:val="single" w:sz="4" w:space="0" w:color="ADD6EA"/>
              <w:right w:val="nil"/>
            </w:tcBorders>
            <w:shd w:val="clear" w:color="000000" w:fill="FFFFFF"/>
            <w:vAlign w:val="bottom"/>
            <w:hideMark/>
          </w:tcPr>
          <w:p w14:paraId="06411E1C"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-26</w:t>
            </w:r>
          </w:p>
        </w:tc>
        <w:tc>
          <w:tcPr>
            <w:tcW w:w="760" w:type="dxa"/>
            <w:tcBorders>
              <w:top w:val="nil"/>
              <w:left w:val="nil"/>
              <w:bottom w:val="single" w:sz="4" w:space="0" w:color="ADD6EA"/>
              <w:right w:val="nil"/>
            </w:tcBorders>
            <w:shd w:val="clear" w:color="000000" w:fill="FFFFFF"/>
            <w:vAlign w:val="bottom"/>
            <w:hideMark/>
          </w:tcPr>
          <w:p w14:paraId="0B2CD34B"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-60</w:t>
            </w:r>
          </w:p>
        </w:tc>
        <w:tc>
          <w:tcPr>
            <w:tcW w:w="760" w:type="dxa"/>
            <w:tcBorders>
              <w:top w:val="nil"/>
              <w:left w:val="nil"/>
              <w:bottom w:val="single" w:sz="4" w:space="0" w:color="ADD6EA"/>
              <w:right w:val="nil"/>
            </w:tcBorders>
            <w:shd w:val="clear" w:color="000000" w:fill="FFFFFF"/>
            <w:vAlign w:val="bottom"/>
            <w:hideMark/>
          </w:tcPr>
          <w:p w14:paraId="51B2A3C9"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000000" w:fill="FFFFFF"/>
            <w:vAlign w:val="bottom"/>
            <w:hideMark/>
          </w:tcPr>
          <w:p w14:paraId="4D42310F"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117</w:t>
            </w:r>
          </w:p>
        </w:tc>
        <w:tc>
          <w:tcPr>
            <w:tcW w:w="760" w:type="dxa"/>
            <w:tcBorders>
              <w:top w:val="nil"/>
              <w:left w:val="nil"/>
              <w:bottom w:val="single" w:sz="4" w:space="0" w:color="ADD6EA"/>
              <w:right w:val="nil"/>
            </w:tcBorders>
            <w:shd w:val="clear" w:color="000000" w:fill="FFFFFF"/>
            <w:vAlign w:val="bottom"/>
            <w:hideMark/>
          </w:tcPr>
          <w:p w14:paraId="7F60DA85"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-18</w:t>
            </w:r>
          </w:p>
        </w:tc>
        <w:tc>
          <w:tcPr>
            <w:tcW w:w="760" w:type="dxa"/>
            <w:tcBorders>
              <w:top w:val="nil"/>
              <w:left w:val="nil"/>
              <w:bottom w:val="single" w:sz="4" w:space="0" w:color="ADD6EA"/>
              <w:right w:val="nil"/>
            </w:tcBorders>
            <w:shd w:val="clear" w:color="000000" w:fill="FFFFFF"/>
            <w:vAlign w:val="bottom"/>
            <w:hideMark/>
          </w:tcPr>
          <w:p w14:paraId="41AC2ADC"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000000" w:fill="FFFFFF"/>
            <w:vAlign w:val="bottom"/>
            <w:hideMark/>
          </w:tcPr>
          <w:p w14:paraId="04F50E38"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482F3B15"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-11</w:t>
            </w:r>
          </w:p>
        </w:tc>
        <w:tc>
          <w:tcPr>
            <w:tcW w:w="820" w:type="dxa"/>
            <w:tcBorders>
              <w:top w:val="nil"/>
              <w:left w:val="nil"/>
              <w:bottom w:val="single" w:sz="4" w:space="0" w:color="ADD6EA"/>
              <w:right w:val="nil"/>
            </w:tcBorders>
            <w:shd w:val="clear" w:color="000000" w:fill="FFFFFF"/>
            <w:vAlign w:val="bottom"/>
            <w:hideMark/>
          </w:tcPr>
          <w:p w14:paraId="56FA6C12"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121</w:t>
            </w:r>
          </w:p>
        </w:tc>
      </w:tr>
      <w:tr w:rsidR="007E365E" w:rsidRPr="00AA6304" w14:paraId="2182382C" w14:textId="77777777" w:rsidTr="007D1D77">
        <w:trPr>
          <w:trHeight w:val="315"/>
        </w:trPr>
        <w:tc>
          <w:tcPr>
            <w:tcW w:w="2120" w:type="dxa"/>
            <w:tcBorders>
              <w:top w:val="nil"/>
              <w:left w:val="nil"/>
              <w:bottom w:val="single" w:sz="4" w:space="0" w:color="ADD6EA"/>
              <w:right w:val="nil"/>
            </w:tcBorders>
            <w:shd w:val="clear" w:color="000000" w:fill="FFFFFF"/>
            <w:vAlign w:val="bottom"/>
            <w:hideMark/>
          </w:tcPr>
          <w:p w14:paraId="7EBEA496" w14:textId="77777777" w:rsidR="007E365E" w:rsidRPr="00AA6304" w:rsidRDefault="007E365E" w:rsidP="007D1D77">
            <w:pPr>
              <w:tabs>
                <w:tab w:val="clear" w:pos="567"/>
              </w:tabs>
              <w:spacing w:before="0" w:line="240" w:lineRule="auto"/>
              <w:rPr>
                <w:rFonts w:eastAsia="Times New Roman" w:cs="Open Sans Light"/>
                <w:sz w:val="16"/>
                <w:szCs w:val="16"/>
                <w:lang w:eastAsia="en-AU"/>
              </w:rPr>
            </w:pPr>
            <w:r w:rsidRPr="00AA6304">
              <w:rPr>
                <w:rFonts w:eastAsia="Times New Roman" w:cs="Open Sans Light"/>
                <w:sz w:val="16"/>
                <w:szCs w:val="16"/>
                <w:lang w:eastAsia="en-AU"/>
              </w:rPr>
              <w:t>Data revisions</w:t>
            </w:r>
          </w:p>
        </w:tc>
        <w:tc>
          <w:tcPr>
            <w:tcW w:w="760" w:type="dxa"/>
            <w:tcBorders>
              <w:top w:val="nil"/>
              <w:left w:val="nil"/>
              <w:bottom w:val="single" w:sz="4" w:space="0" w:color="ADD6EA"/>
              <w:right w:val="nil"/>
            </w:tcBorders>
            <w:shd w:val="clear" w:color="000000" w:fill="FFFFFF"/>
            <w:vAlign w:val="bottom"/>
            <w:hideMark/>
          </w:tcPr>
          <w:p w14:paraId="72BD1D74"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000000" w:fill="FFFFFF"/>
            <w:vAlign w:val="bottom"/>
            <w:hideMark/>
          </w:tcPr>
          <w:p w14:paraId="5C1FDADB"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000000" w:fill="FFFFFF"/>
            <w:vAlign w:val="bottom"/>
            <w:hideMark/>
          </w:tcPr>
          <w:p w14:paraId="4D1BFD2B"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000000" w:fill="FFFFFF"/>
            <w:vAlign w:val="bottom"/>
            <w:hideMark/>
          </w:tcPr>
          <w:p w14:paraId="45CC2CE4"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000000" w:fill="FFFFFF"/>
            <w:vAlign w:val="bottom"/>
            <w:hideMark/>
          </w:tcPr>
          <w:p w14:paraId="44E3119A"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56271490"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344CCD6D"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0171A4C5"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w:t>
            </w:r>
          </w:p>
        </w:tc>
        <w:tc>
          <w:tcPr>
            <w:tcW w:w="820" w:type="dxa"/>
            <w:tcBorders>
              <w:top w:val="nil"/>
              <w:left w:val="nil"/>
              <w:bottom w:val="single" w:sz="4" w:space="0" w:color="ADD6EA"/>
              <w:right w:val="nil"/>
            </w:tcBorders>
            <w:shd w:val="clear" w:color="000000" w:fill="FFFFFF"/>
            <w:vAlign w:val="bottom"/>
            <w:hideMark/>
          </w:tcPr>
          <w:p w14:paraId="7FCAC8B1"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18</w:t>
            </w:r>
          </w:p>
        </w:tc>
      </w:tr>
      <w:tr w:rsidR="007E365E" w:rsidRPr="00AA6304" w14:paraId="7A12D3DE" w14:textId="77777777" w:rsidTr="007D1D77">
        <w:trPr>
          <w:trHeight w:val="315"/>
        </w:trPr>
        <w:tc>
          <w:tcPr>
            <w:tcW w:w="2120" w:type="dxa"/>
            <w:tcBorders>
              <w:top w:val="nil"/>
              <w:left w:val="nil"/>
              <w:bottom w:val="single" w:sz="4" w:space="0" w:color="ADD6EA"/>
              <w:right w:val="nil"/>
            </w:tcBorders>
            <w:shd w:val="clear" w:color="000000" w:fill="FFFFFF"/>
            <w:vAlign w:val="bottom"/>
            <w:hideMark/>
          </w:tcPr>
          <w:p w14:paraId="1BB1B765" w14:textId="77777777" w:rsidR="007E365E" w:rsidRPr="00AA6304" w:rsidRDefault="007E365E" w:rsidP="007D1D77">
            <w:pPr>
              <w:tabs>
                <w:tab w:val="clear" w:pos="567"/>
              </w:tabs>
              <w:spacing w:before="0" w:line="240" w:lineRule="auto"/>
              <w:rPr>
                <w:rFonts w:eastAsia="Times New Roman" w:cs="Open Sans Light"/>
                <w:sz w:val="16"/>
                <w:szCs w:val="16"/>
                <w:lang w:eastAsia="en-AU"/>
              </w:rPr>
            </w:pPr>
            <w:r w:rsidRPr="00AA6304">
              <w:rPr>
                <w:rFonts w:eastAsia="Times New Roman" w:cs="Open Sans Light"/>
                <w:sz w:val="16"/>
                <w:szCs w:val="16"/>
                <w:lang w:eastAsia="en-AU"/>
              </w:rPr>
              <w:t>State circumstances</w:t>
            </w:r>
          </w:p>
        </w:tc>
        <w:tc>
          <w:tcPr>
            <w:tcW w:w="760" w:type="dxa"/>
            <w:tcBorders>
              <w:top w:val="nil"/>
              <w:left w:val="nil"/>
              <w:bottom w:val="single" w:sz="4" w:space="0" w:color="ADD6EA"/>
              <w:right w:val="nil"/>
            </w:tcBorders>
            <w:shd w:val="clear" w:color="000000" w:fill="FFFFFF"/>
            <w:vAlign w:val="bottom"/>
            <w:hideMark/>
          </w:tcPr>
          <w:p w14:paraId="0BD55524"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10</w:t>
            </w:r>
          </w:p>
        </w:tc>
        <w:tc>
          <w:tcPr>
            <w:tcW w:w="760" w:type="dxa"/>
            <w:tcBorders>
              <w:top w:val="nil"/>
              <w:left w:val="nil"/>
              <w:bottom w:val="single" w:sz="4" w:space="0" w:color="ADD6EA"/>
              <w:right w:val="nil"/>
            </w:tcBorders>
            <w:shd w:val="clear" w:color="000000" w:fill="FFFFFF"/>
            <w:vAlign w:val="bottom"/>
            <w:hideMark/>
          </w:tcPr>
          <w:p w14:paraId="12300971"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000000" w:fill="FFFFFF"/>
            <w:vAlign w:val="bottom"/>
            <w:hideMark/>
          </w:tcPr>
          <w:p w14:paraId="57E6F2D7"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51FF0430"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000000" w:fill="FFFFFF"/>
            <w:vAlign w:val="bottom"/>
            <w:hideMark/>
          </w:tcPr>
          <w:p w14:paraId="3F50765C"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0CD987DC"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103DADA2"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000000" w:fill="FFFFFF"/>
            <w:vAlign w:val="bottom"/>
            <w:hideMark/>
          </w:tcPr>
          <w:p w14:paraId="293AE7DC"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0</w:t>
            </w:r>
          </w:p>
        </w:tc>
        <w:tc>
          <w:tcPr>
            <w:tcW w:w="820" w:type="dxa"/>
            <w:tcBorders>
              <w:top w:val="nil"/>
              <w:left w:val="nil"/>
              <w:bottom w:val="single" w:sz="4" w:space="0" w:color="ADD6EA"/>
              <w:right w:val="nil"/>
            </w:tcBorders>
            <w:shd w:val="clear" w:color="000000" w:fill="FFFFFF"/>
            <w:vAlign w:val="bottom"/>
            <w:hideMark/>
          </w:tcPr>
          <w:p w14:paraId="53DDABC0" w14:textId="77777777" w:rsidR="007E365E" w:rsidRPr="00AA6304" w:rsidRDefault="007E365E" w:rsidP="007D1D77">
            <w:pPr>
              <w:tabs>
                <w:tab w:val="clear" w:pos="567"/>
              </w:tabs>
              <w:spacing w:before="0" w:line="240" w:lineRule="auto"/>
              <w:jc w:val="right"/>
              <w:rPr>
                <w:rFonts w:eastAsia="Times New Roman" w:cs="Open Sans Light"/>
                <w:sz w:val="16"/>
                <w:szCs w:val="16"/>
                <w:lang w:eastAsia="en-AU"/>
              </w:rPr>
            </w:pPr>
            <w:r w:rsidRPr="00AA6304">
              <w:rPr>
                <w:rFonts w:eastAsia="Times New Roman" w:cs="Open Sans Light"/>
                <w:sz w:val="16"/>
                <w:szCs w:val="16"/>
                <w:lang w:eastAsia="en-AU"/>
              </w:rPr>
              <w:t>12</w:t>
            </w:r>
          </w:p>
        </w:tc>
      </w:tr>
      <w:tr w:rsidR="007E365E" w:rsidRPr="00AA6304" w14:paraId="01AD097D" w14:textId="77777777" w:rsidTr="007D1D77">
        <w:trPr>
          <w:trHeight w:val="315"/>
        </w:trPr>
        <w:tc>
          <w:tcPr>
            <w:tcW w:w="2120" w:type="dxa"/>
            <w:tcBorders>
              <w:top w:val="nil"/>
              <w:left w:val="nil"/>
              <w:bottom w:val="single" w:sz="4" w:space="0" w:color="ADD6EA"/>
              <w:right w:val="nil"/>
            </w:tcBorders>
            <w:shd w:val="clear" w:color="000000" w:fill="D6E7F0"/>
            <w:vAlign w:val="bottom"/>
            <w:hideMark/>
          </w:tcPr>
          <w:p w14:paraId="3F56D3CD" w14:textId="77777777" w:rsidR="007E365E" w:rsidRPr="00AA6304"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01082589"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-9</w:t>
            </w:r>
          </w:p>
        </w:tc>
        <w:tc>
          <w:tcPr>
            <w:tcW w:w="760" w:type="dxa"/>
            <w:tcBorders>
              <w:top w:val="nil"/>
              <w:left w:val="nil"/>
              <w:bottom w:val="single" w:sz="4" w:space="0" w:color="ADD6EA"/>
              <w:right w:val="nil"/>
            </w:tcBorders>
            <w:shd w:val="clear" w:color="000000" w:fill="D6E7F0"/>
            <w:vAlign w:val="bottom"/>
            <w:hideMark/>
          </w:tcPr>
          <w:p w14:paraId="3094A5E1"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-54</w:t>
            </w:r>
          </w:p>
        </w:tc>
        <w:tc>
          <w:tcPr>
            <w:tcW w:w="760" w:type="dxa"/>
            <w:tcBorders>
              <w:top w:val="nil"/>
              <w:left w:val="nil"/>
              <w:bottom w:val="single" w:sz="4" w:space="0" w:color="ADD6EA"/>
              <w:right w:val="nil"/>
            </w:tcBorders>
            <w:shd w:val="clear" w:color="000000" w:fill="D6E7F0"/>
            <w:vAlign w:val="bottom"/>
            <w:hideMark/>
          </w:tcPr>
          <w:p w14:paraId="51AC698D"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-9</w:t>
            </w:r>
          </w:p>
        </w:tc>
        <w:tc>
          <w:tcPr>
            <w:tcW w:w="760" w:type="dxa"/>
            <w:tcBorders>
              <w:top w:val="nil"/>
              <w:left w:val="nil"/>
              <w:bottom w:val="single" w:sz="4" w:space="0" w:color="ADD6EA"/>
              <w:right w:val="nil"/>
            </w:tcBorders>
            <w:shd w:val="clear" w:color="000000" w:fill="D6E7F0"/>
            <w:vAlign w:val="bottom"/>
            <w:hideMark/>
          </w:tcPr>
          <w:p w14:paraId="5E5A3022"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94</w:t>
            </w:r>
          </w:p>
        </w:tc>
        <w:tc>
          <w:tcPr>
            <w:tcW w:w="760" w:type="dxa"/>
            <w:tcBorders>
              <w:top w:val="nil"/>
              <w:left w:val="nil"/>
              <w:bottom w:val="single" w:sz="4" w:space="0" w:color="ADD6EA"/>
              <w:right w:val="nil"/>
            </w:tcBorders>
            <w:shd w:val="clear" w:color="000000" w:fill="D6E7F0"/>
            <w:vAlign w:val="bottom"/>
            <w:hideMark/>
          </w:tcPr>
          <w:p w14:paraId="44F56BB5"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-18</w:t>
            </w:r>
          </w:p>
        </w:tc>
        <w:tc>
          <w:tcPr>
            <w:tcW w:w="760" w:type="dxa"/>
            <w:tcBorders>
              <w:top w:val="nil"/>
              <w:left w:val="nil"/>
              <w:bottom w:val="single" w:sz="4" w:space="0" w:color="ADD6EA"/>
              <w:right w:val="nil"/>
            </w:tcBorders>
            <w:shd w:val="clear" w:color="000000" w:fill="D6E7F0"/>
            <w:vAlign w:val="bottom"/>
            <w:hideMark/>
          </w:tcPr>
          <w:p w14:paraId="1631D30D"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6</w:t>
            </w:r>
          </w:p>
        </w:tc>
        <w:tc>
          <w:tcPr>
            <w:tcW w:w="760" w:type="dxa"/>
            <w:tcBorders>
              <w:top w:val="nil"/>
              <w:left w:val="nil"/>
              <w:bottom w:val="single" w:sz="4" w:space="0" w:color="ADD6EA"/>
              <w:right w:val="nil"/>
            </w:tcBorders>
            <w:shd w:val="clear" w:color="000000" w:fill="D6E7F0"/>
            <w:vAlign w:val="bottom"/>
            <w:hideMark/>
          </w:tcPr>
          <w:p w14:paraId="107A5A77"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1</w:t>
            </w:r>
          </w:p>
        </w:tc>
        <w:tc>
          <w:tcPr>
            <w:tcW w:w="760" w:type="dxa"/>
            <w:tcBorders>
              <w:top w:val="nil"/>
              <w:left w:val="nil"/>
              <w:bottom w:val="single" w:sz="4" w:space="0" w:color="ADD6EA"/>
              <w:right w:val="nil"/>
            </w:tcBorders>
            <w:shd w:val="clear" w:color="000000" w:fill="D6E7F0"/>
            <w:vAlign w:val="bottom"/>
            <w:hideMark/>
          </w:tcPr>
          <w:p w14:paraId="40ED384F"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-11</w:t>
            </w:r>
          </w:p>
        </w:tc>
        <w:tc>
          <w:tcPr>
            <w:tcW w:w="820" w:type="dxa"/>
            <w:tcBorders>
              <w:top w:val="nil"/>
              <w:left w:val="nil"/>
              <w:bottom w:val="single" w:sz="4" w:space="0" w:color="ADD6EA"/>
              <w:right w:val="nil"/>
            </w:tcBorders>
            <w:shd w:val="clear" w:color="000000" w:fill="D6E7F0"/>
            <w:vAlign w:val="bottom"/>
            <w:hideMark/>
          </w:tcPr>
          <w:p w14:paraId="67960790" w14:textId="77777777" w:rsidR="007E365E" w:rsidRPr="00AA630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A6304">
              <w:rPr>
                <w:rFonts w:ascii="Open Sans SemiBold" w:eastAsia="Times New Roman" w:hAnsi="Open Sans SemiBold" w:cs="Open Sans SemiBold"/>
                <w:color w:val="000000"/>
                <w:sz w:val="16"/>
                <w:szCs w:val="16"/>
                <w:lang w:eastAsia="en-AU"/>
              </w:rPr>
              <w:t>101</w:t>
            </w:r>
          </w:p>
        </w:tc>
      </w:tr>
    </w:tbl>
    <w:p w14:paraId="6651C2A5" w14:textId="77777777" w:rsidR="007E365E" w:rsidRDefault="007E365E" w:rsidP="007E365E">
      <w:pPr>
        <w:pStyle w:val="CGCTablenote"/>
      </w:pPr>
      <w:r>
        <w:t>Source:</w:t>
      </w:r>
      <w:r>
        <w:tab/>
        <w:t>Commission calculation</w:t>
      </w:r>
    </w:p>
    <w:p w14:paraId="69A523A9" w14:textId="77777777" w:rsidR="007E365E" w:rsidRDefault="007E365E" w:rsidP="007E365E">
      <w:pPr>
        <w:pStyle w:val="Heading4"/>
      </w:pPr>
      <w:r>
        <w:t>Method changes</w:t>
      </w:r>
    </w:p>
    <w:p w14:paraId="7F55F490" w14:textId="77777777" w:rsidR="007E365E" w:rsidRDefault="007E365E" w:rsidP="007E365E">
      <w:pPr>
        <w:pStyle w:val="CGCParaNumber"/>
      </w:pPr>
      <w:r>
        <w:t>There are several category-specific method changes since the 2015 Review.</w:t>
      </w:r>
    </w:p>
    <w:p w14:paraId="1F944747" w14:textId="77777777" w:rsidR="007E365E" w:rsidRDefault="007E365E" w:rsidP="007E365E">
      <w:pPr>
        <w:pStyle w:val="CGCBullet1"/>
      </w:pPr>
      <w:r w:rsidRPr="0000075C">
        <w:t>The weights for splitting industry expenses between regulation and business development have been updated using State provided data on business development expenses</w:t>
      </w:r>
      <w:r>
        <w:t xml:space="preserve"> and GFS expenses.</w:t>
      </w:r>
    </w:p>
    <w:p w14:paraId="167F3827" w14:textId="77777777" w:rsidR="007E365E" w:rsidRDefault="007E365E" w:rsidP="007E365E">
      <w:pPr>
        <w:pStyle w:val="CGCBullet1"/>
      </w:pPr>
      <w:r>
        <w:t>Mining regulation expenses are assessed in a separate component instead of being included with other industry regulation expenses. The assessment is based solely on sector size as measured by value of output.</w:t>
      </w:r>
    </w:p>
    <w:p w14:paraId="2999DCFA" w14:textId="77777777" w:rsidR="007E365E" w:rsidRDefault="007E365E" w:rsidP="007E365E">
      <w:pPr>
        <w:pStyle w:val="CGCBullet1"/>
      </w:pPr>
      <w:r>
        <w:lastRenderedPageBreak/>
        <w:t>Agriculture regulation expenses are assessed based solely on sector size as measured by value of output. In the 2015 Review, the assessment gave roughly equal weighting to three drivers: the value of output, business count and population. An assessment based solely on the value of output is simpler and not materially different to one that includes business counts.</w:t>
      </w:r>
    </w:p>
    <w:p w14:paraId="0EBF2E20" w14:textId="77777777" w:rsidR="007E365E" w:rsidRDefault="007E365E" w:rsidP="007E365E">
      <w:pPr>
        <w:pStyle w:val="CGCBullet1"/>
      </w:pPr>
      <w:r>
        <w:t>All user charges for the category are deducted from the relevant industry regulation expenses. In the 2015 Review, only mining user changes were offset against expenses (in the other industries component).</w:t>
      </w:r>
    </w:p>
    <w:p w14:paraId="57594A28" w14:textId="77777777" w:rsidR="007E365E" w:rsidRDefault="007E365E" w:rsidP="007E365E">
      <w:pPr>
        <w:pStyle w:val="CGCBullet1"/>
      </w:pPr>
      <w:r>
        <w:t>The assessment of regulation costs related to major infrastructure projects has been removed because States were unable to provide reliable expense estimates.</w:t>
      </w:r>
    </w:p>
    <w:p w14:paraId="177EB3C8" w14:textId="77777777" w:rsidR="007E365E" w:rsidRDefault="007E365E" w:rsidP="007E365E">
      <w:pPr>
        <w:pStyle w:val="CGCParaNumber"/>
      </w:pPr>
      <w:r>
        <w:t>Including a separate mining regulation assessment and removing the assessment of major infrastructure project regulation expenses had the biggest effects.</w:t>
      </w:r>
    </w:p>
    <w:p w14:paraId="72C3AB90" w14:textId="77777777" w:rsidR="007E365E" w:rsidRDefault="007E365E" w:rsidP="007E365E">
      <w:pPr>
        <w:pStyle w:val="Heading4"/>
      </w:pPr>
      <w:r>
        <w:t>Data revisions</w:t>
      </w:r>
    </w:p>
    <w:p w14:paraId="57999E16" w14:textId="77777777" w:rsidR="007E365E" w:rsidRDefault="007E365E" w:rsidP="007E365E">
      <w:pPr>
        <w:pStyle w:val="CGCParaNumber"/>
      </w:pPr>
      <w:r>
        <w:t>There have been minor revisions to GFS estimates of State spending by component and ABS factor income by industry.</w:t>
      </w:r>
    </w:p>
    <w:p w14:paraId="3B5285B0" w14:textId="77777777" w:rsidR="007E365E" w:rsidRDefault="007E365E" w:rsidP="007E365E">
      <w:pPr>
        <w:pStyle w:val="Heading4"/>
      </w:pPr>
      <w:r>
        <w:t>Changes in State circumstances</w:t>
      </w:r>
    </w:p>
    <w:p w14:paraId="67DF86A7" w14:textId="77777777" w:rsidR="007E365E" w:rsidRPr="0023671C" w:rsidRDefault="007E365E" w:rsidP="007E365E">
      <w:pPr>
        <w:pStyle w:val="CGCParaNumber"/>
      </w:pPr>
      <w:r>
        <w:t>There were only minor changes in the assessment due to changes in State circumstances. As State expenses grew at a faster rate than GST revenue, this resulted in increased GST for States with above average needs. T</w:t>
      </w:r>
      <w:r w:rsidRPr="002D5ECA">
        <w:t>he change</w:t>
      </w:r>
      <w:r>
        <w:t>s</w:t>
      </w:r>
      <w:r w:rsidRPr="002D5ECA">
        <w:t xml:space="preserve"> </w:t>
      </w:r>
      <w:r>
        <w:t xml:space="preserve">in </w:t>
      </w:r>
      <w:r w:rsidRPr="002D5ECA">
        <w:t>State circumstances w</w:t>
      </w:r>
      <w:r>
        <w:t xml:space="preserve">ere </w:t>
      </w:r>
      <w:r w:rsidRPr="002D5ECA">
        <w:t>largely driven by changes in State shares of agricultural output</w:t>
      </w:r>
      <w:r>
        <w:t>,</w:t>
      </w:r>
      <w:r w:rsidRPr="002D5ECA">
        <w:t xml:space="preserve"> which </w:t>
      </w:r>
      <w:r>
        <w:t>were</w:t>
      </w:r>
      <w:r w:rsidRPr="002D5ECA">
        <w:t xml:space="preserve"> affected by seasonal conditions, and </w:t>
      </w:r>
      <w:r>
        <w:t>mining and other industries output</w:t>
      </w:r>
      <w:r w:rsidRPr="002D5ECA">
        <w:t xml:space="preserve">. </w:t>
      </w:r>
    </w:p>
    <w:p w14:paraId="053DAD15" w14:textId="472C4394" w:rsidR="007E365E" w:rsidRPr="000C4987" w:rsidRDefault="007E365E" w:rsidP="007E365E">
      <w:pPr>
        <w:pStyle w:val="Heading3"/>
      </w:pPr>
      <w:bookmarkStart w:id="330" w:name="_Toc22807494"/>
      <w:r w:rsidRPr="000C4987">
        <w:t>Updating the assessment</w:t>
      </w:r>
      <w:bookmarkEnd w:id="330"/>
    </w:p>
    <w:p w14:paraId="2A25AE23" w14:textId="77777777" w:rsidR="007E365E" w:rsidRDefault="007E365E" w:rsidP="007E365E">
      <w:pPr>
        <w:pStyle w:val="CGCParaNumber"/>
      </w:pPr>
      <w:r>
        <w:t xml:space="preserve">As required by the terms of reference, the Commission will incorporate the latest available data in the assessment during the annual updates. This will allow the assessment to reflect changes in State circumstances. </w:t>
      </w:r>
    </w:p>
    <w:p w14:paraId="02962E57" w14:textId="77777777" w:rsidR="007E365E" w:rsidRDefault="007E365E" w:rsidP="007E365E">
      <w:pPr>
        <w:pStyle w:val="CGCBullet1"/>
      </w:pPr>
      <w:r>
        <w:t>The following data will be updated annually:</w:t>
      </w:r>
    </w:p>
    <w:p w14:paraId="567C66DE" w14:textId="77777777" w:rsidR="007E365E" w:rsidRDefault="007E365E" w:rsidP="007E365E">
      <w:pPr>
        <w:pStyle w:val="CGCBullet2"/>
        <w:numPr>
          <w:ilvl w:val="0"/>
          <w:numId w:val="3"/>
        </w:numPr>
        <w:ind w:left="1208" w:hanging="357"/>
      </w:pPr>
      <w:r>
        <w:t>category and industry expenses</w:t>
      </w:r>
    </w:p>
    <w:p w14:paraId="7D833361" w14:textId="77777777" w:rsidR="007E365E" w:rsidRDefault="007E365E" w:rsidP="007E365E">
      <w:pPr>
        <w:pStyle w:val="CGCBullet2"/>
        <w:numPr>
          <w:ilvl w:val="0"/>
          <w:numId w:val="3"/>
        </w:numPr>
        <w:ind w:left="1208" w:hanging="357"/>
      </w:pPr>
      <w:r>
        <w:t>f</w:t>
      </w:r>
      <w:r w:rsidRPr="00D47666">
        <w:t xml:space="preserve">actor income </w:t>
      </w:r>
      <w:r>
        <w:t>data used to measure sector size</w:t>
      </w:r>
    </w:p>
    <w:p w14:paraId="2D571430" w14:textId="77777777" w:rsidR="007E365E" w:rsidRPr="00D47666" w:rsidRDefault="007E365E" w:rsidP="007E365E">
      <w:pPr>
        <w:pStyle w:val="CGCBullet2"/>
        <w:numPr>
          <w:ilvl w:val="0"/>
          <w:numId w:val="3"/>
        </w:numPr>
        <w:ind w:left="1208" w:hanging="357"/>
      </w:pPr>
      <w:r>
        <w:t>population data.</w:t>
      </w:r>
    </w:p>
    <w:p w14:paraId="00AE4A56" w14:textId="77777777" w:rsidR="007E365E" w:rsidRPr="00D47666" w:rsidRDefault="007E365E" w:rsidP="007E365E">
      <w:pPr>
        <w:pStyle w:val="CGCBullet1"/>
      </w:pPr>
      <w:r>
        <w:t>Some of the assessment data are not readily available on an annual basis or will not remain stable over time. The data below will not be updated during the review period:</w:t>
      </w:r>
    </w:p>
    <w:p w14:paraId="39667100" w14:textId="77777777" w:rsidR="007E365E" w:rsidRPr="00D47666" w:rsidRDefault="007E365E" w:rsidP="007E365E">
      <w:pPr>
        <w:pStyle w:val="CGCBullet2"/>
        <w:numPr>
          <w:ilvl w:val="0"/>
          <w:numId w:val="3"/>
        </w:numPr>
        <w:ind w:left="1208" w:hanging="357"/>
      </w:pPr>
      <w:r>
        <w:t>the proportion of industry expenses allocated to regulation and business development, which are calculated from State-provided and GFS data.</w:t>
      </w:r>
    </w:p>
    <w:p w14:paraId="2A09E9D7" w14:textId="77777777" w:rsidR="007E365E" w:rsidRDefault="007E365E" w:rsidP="007E365E">
      <w:pPr>
        <w:sectPr w:rsidR="007E365E" w:rsidSect="00917501">
          <w:footerReference w:type="default" r:id="rId44"/>
          <w:footnotePr>
            <w:numRestart w:val="eachSect"/>
          </w:footnotePr>
          <w:pgSz w:w="11899" w:h="16838" w:code="9"/>
          <w:pgMar w:top="1418" w:right="1474" w:bottom="1418" w:left="1474" w:header="709" w:footer="567" w:gutter="0"/>
          <w:cols w:space="708"/>
          <w:titlePg/>
          <w:docGrid w:linePitch="299"/>
        </w:sectPr>
      </w:pPr>
    </w:p>
    <w:p w14:paraId="595C9E11" w14:textId="77777777" w:rsidR="007E365E" w:rsidRPr="00542984" w:rsidRDefault="007E365E" w:rsidP="007E365E">
      <w:pPr>
        <w:pStyle w:val="Heading1"/>
      </w:pPr>
      <w:bookmarkStart w:id="331" w:name="_Ref26535833"/>
      <w:bookmarkStart w:id="332" w:name="_Toc32922487"/>
      <w:r w:rsidRPr="00542984">
        <w:lastRenderedPageBreak/>
        <w:t>23</w:t>
      </w:r>
      <w:bookmarkStart w:id="333" w:name="_Toc4764708"/>
      <w:bookmarkStart w:id="334" w:name="_Ref26535834"/>
      <w:bookmarkEnd w:id="331"/>
      <w:r>
        <w:tab/>
      </w:r>
      <w:r w:rsidRPr="00542984">
        <w:t>Other expenses</w:t>
      </w:r>
      <w:bookmarkEnd w:id="332"/>
      <w:bookmarkEnd w:id="333"/>
      <w:bookmarkEnd w:id="334"/>
      <w:r w:rsidRPr="0054298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ayout w:type="fixed"/>
        <w:tblCellMar>
          <w:left w:w="113" w:type="dxa"/>
          <w:right w:w="0" w:type="dxa"/>
        </w:tblCellMar>
        <w:tblLook w:val="04A0" w:firstRow="1" w:lastRow="0" w:firstColumn="1" w:lastColumn="0" w:noHBand="0" w:noVBand="1"/>
      </w:tblPr>
      <w:tblGrid>
        <w:gridCol w:w="8951"/>
      </w:tblGrid>
      <w:tr w:rsidR="007E365E" w:rsidRPr="00542984" w14:paraId="7F565298" w14:textId="77777777" w:rsidTr="007D1D77">
        <w:tc>
          <w:tcPr>
            <w:tcW w:w="8951" w:type="dxa"/>
            <w:shd w:val="clear" w:color="auto" w:fill="EBF3F5"/>
            <w:vAlign w:val="center"/>
          </w:tcPr>
          <w:p w14:paraId="5128DE85" w14:textId="77777777" w:rsidR="007E365E" w:rsidRPr="00542984" w:rsidRDefault="007E365E" w:rsidP="007D1D77">
            <w:pPr>
              <w:pStyle w:val="Heading4"/>
              <w:outlineLvl w:val="3"/>
            </w:pPr>
            <w:bookmarkStart w:id="335" w:name="_Toc4764709"/>
            <w:r w:rsidRPr="00542984">
              <w:t xml:space="preserve">Summary of </w:t>
            </w:r>
            <w:bookmarkEnd w:id="335"/>
            <w:r w:rsidRPr="00542984">
              <w:t>the assessment</w:t>
            </w:r>
          </w:p>
          <w:p w14:paraId="27ED872F" w14:textId="77777777" w:rsidR="007E365E" w:rsidRPr="00542984" w:rsidRDefault="007E365E" w:rsidP="007D1D77">
            <w:r w:rsidRPr="00542984">
              <w:t>The Other expenses category is a residual category and includes service expenses (general administration, public safety, recreation and communication services) and natural disaster relief expenses. In addition, administrative scale expenses, native title and land rights expenses and national capital expenses (except those relating to police) are presented in this category.</w:t>
            </w:r>
          </w:p>
          <w:p w14:paraId="5E67DB02" w14:textId="77777777" w:rsidR="007E365E" w:rsidRPr="00542984" w:rsidRDefault="007E365E" w:rsidP="007D1D77">
            <w:r w:rsidRPr="00542984">
              <w:t xml:space="preserve">Service expenses are assessed on the basis of State population shares, adjusted for differences between States in wage costs and the higher cost of providing services to more remotely located populations. </w:t>
            </w:r>
          </w:p>
          <w:p w14:paraId="5149B9C3" w14:textId="77777777" w:rsidR="007E365E" w:rsidRPr="00542984" w:rsidRDefault="007E365E" w:rsidP="007D1D77">
            <w:r w:rsidRPr="00542984">
              <w:t>Natural disaster relief expenses are assessed based on actual costs for State and local government, less an assessed contribution by local government.</w:t>
            </w:r>
          </w:p>
          <w:p w14:paraId="1468461C" w14:textId="77777777" w:rsidR="007E365E" w:rsidRPr="00542984" w:rsidRDefault="007E365E" w:rsidP="007D1D77">
            <w:pPr>
              <w:spacing w:after="120"/>
            </w:pPr>
            <w:r w:rsidRPr="00542984">
              <w:t xml:space="preserve">The administrative scale assessment is discussed in Chapter 26 </w:t>
            </w:r>
            <w:r>
              <w:t xml:space="preserve">Administrative scale </w:t>
            </w:r>
            <w:r w:rsidRPr="00542984">
              <w:t>while the native title and land rights and the national capital assessments are discussed in Chapter 29</w:t>
            </w:r>
            <w:r>
              <w:t xml:space="preserve"> Other disabilities</w:t>
            </w:r>
            <w:r w:rsidRPr="00542984">
              <w:t>.</w:t>
            </w:r>
          </w:p>
        </w:tc>
      </w:tr>
    </w:tbl>
    <w:p w14:paraId="2DAB9ACA" w14:textId="77777777" w:rsidR="007E365E" w:rsidRPr="00542984" w:rsidRDefault="007E365E" w:rsidP="007E365E">
      <w:pPr>
        <w:pStyle w:val="Heading3"/>
      </w:pPr>
      <w:bookmarkStart w:id="336" w:name="_Toc4764710"/>
      <w:r w:rsidRPr="00542984">
        <w:t>Service overview</w:t>
      </w:r>
      <w:bookmarkEnd w:id="336"/>
    </w:p>
    <w:p w14:paraId="2B5DFDBE" w14:textId="47D584D3" w:rsidR="007E365E" w:rsidRPr="00542984" w:rsidRDefault="007E365E" w:rsidP="00E0013F">
      <w:pPr>
        <w:pStyle w:val="CGCParaNumber"/>
        <w:numPr>
          <w:ilvl w:val="0"/>
          <w:numId w:val="61"/>
        </w:numPr>
        <w:ind w:left="567" w:hanging="567"/>
      </w:pPr>
      <w:r w:rsidRPr="00542984">
        <w:t>Other expenses were $26.5 billion in 2018</w:t>
      </w:r>
      <w:r w:rsidRPr="00542984">
        <w:noBreakHyphen/>
        <w:t>19, representing 11.7% of total State expenses (</w:t>
      </w:r>
      <w:r>
        <w:fldChar w:fldCharType="begin"/>
      </w:r>
      <w:r>
        <w:instrText xml:space="preserve"> REF _Ref32850056 \h </w:instrText>
      </w:r>
      <w:r>
        <w:fldChar w:fldCharType="separate"/>
      </w:r>
      <w:r w:rsidR="007F721A" w:rsidRPr="00542984">
        <w:t xml:space="preserve">Table </w:t>
      </w:r>
      <w:r w:rsidR="007F721A">
        <w:t>23-</w:t>
      </w:r>
      <w:r w:rsidR="007F721A">
        <w:rPr>
          <w:noProof/>
        </w:rPr>
        <w:t>1</w:t>
      </w:r>
      <w:r>
        <w:fldChar w:fldCharType="end"/>
      </w:r>
      <w:r w:rsidR="00F953A4">
        <w:t>).</w:t>
      </w:r>
      <w:r w:rsidRPr="00542984">
        <w:t xml:space="preserve"> State spending on this function comprises expenses for:</w:t>
      </w:r>
    </w:p>
    <w:p w14:paraId="4FDC2B01" w14:textId="77777777" w:rsidR="007E365E" w:rsidRPr="00542984" w:rsidRDefault="007E365E" w:rsidP="007E365E">
      <w:pPr>
        <w:pStyle w:val="CGCBullet1"/>
      </w:pPr>
      <w:r w:rsidRPr="00542984">
        <w:t>general public services — public debt transactions and transfers of a general nature between different levels of government, and other general public services such as central administrative agencies that support State service delivery agencies</w:t>
      </w:r>
    </w:p>
    <w:p w14:paraId="4C6A9C0E" w14:textId="77777777" w:rsidR="007E365E" w:rsidRPr="00542984" w:rsidRDefault="007E365E" w:rsidP="007E365E">
      <w:pPr>
        <w:pStyle w:val="CGCBullet1"/>
      </w:pPr>
      <w:r w:rsidRPr="00542984">
        <w:t>public order and safety services other than those provided by police, such as emergency services and fire protection</w:t>
      </w:r>
    </w:p>
    <w:p w14:paraId="30F1A4FF" w14:textId="77777777" w:rsidR="007E365E" w:rsidRPr="00542984" w:rsidRDefault="007E365E" w:rsidP="007E365E">
      <w:pPr>
        <w:pStyle w:val="CGCBullet1"/>
      </w:pPr>
      <w:r w:rsidRPr="00542984">
        <w:t>expenses for recreation, culture and religion — including libraries, public halls, art and sport facilities</w:t>
      </w:r>
    </w:p>
    <w:p w14:paraId="4153914B" w14:textId="77777777" w:rsidR="007E365E" w:rsidRPr="00542984" w:rsidRDefault="007E365E" w:rsidP="007E365E">
      <w:pPr>
        <w:pStyle w:val="CGCBullet1"/>
      </w:pPr>
      <w:r w:rsidRPr="00542984">
        <w:t>communication services, such as film production, broadcasting and publishing</w:t>
      </w:r>
    </w:p>
    <w:p w14:paraId="3DF9CF1A" w14:textId="77777777" w:rsidR="007E365E" w:rsidRPr="00542984" w:rsidRDefault="007E365E" w:rsidP="007E365E">
      <w:pPr>
        <w:pStyle w:val="CGCBullet1"/>
      </w:pPr>
      <w:r w:rsidRPr="00542984">
        <w:t>expenses on natural disaster relief.</w:t>
      </w:r>
    </w:p>
    <w:p w14:paraId="338ADEA7" w14:textId="77777777" w:rsidR="007E365E" w:rsidRPr="00542984" w:rsidRDefault="007E365E" w:rsidP="007E365E">
      <w:pPr>
        <w:pStyle w:val="CGCParaNumber"/>
      </w:pPr>
      <w:r w:rsidRPr="00542984">
        <w:t>The category also includes administrative scale, native title and land rights, and national capital expenses.</w:t>
      </w:r>
      <w:r w:rsidRPr="00542984">
        <w:rPr>
          <w:rStyle w:val="FootnoteReference"/>
        </w:rPr>
        <w:footnoteReference w:id="66"/>
      </w:r>
    </w:p>
    <w:p w14:paraId="718C8E12" w14:textId="0EFB5CC8" w:rsidR="007E365E" w:rsidRPr="00542984" w:rsidRDefault="007E365E" w:rsidP="007E365E">
      <w:pPr>
        <w:pStyle w:val="Caption"/>
      </w:pPr>
      <w:bookmarkStart w:id="337" w:name="_Ref32850056"/>
      <w:r w:rsidRPr="00542984">
        <w:lastRenderedPageBreak/>
        <w:t xml:space="preserve">Table </w:t>
      </w:r>
      <w:r>
        <w:t>23-</w:t>
      </w:r>
      <w:fldSimple w:instr=" SEQ Table \r1 \* ARABIC ">
        <w:r w:rsidR="007F721A">
          <w:rPr>
            <w:noProof/>
          </w:rPr>
          <w:t>1</w:t>
        </w:r>
      </w:fldSimple>
      <w:bookmarkEnd w:id="337"/>
      <w:r w:rsidRPr="00542984">
        <w:tab/>
        <w:t>Other expenses by State, 2018</w:t>
      </w:r>
      <w:r w:rsidRPr="00542984">
        <w:noBreakHyphen/>
        <w:t>19</w:t>
      </w:r>
    </w:p>
    <w:tbl>
      <w:tblPr>
        <w:tblW w:w="8880" w:type="dxa"/>
        <w:tblLayout w:type="fixed"/>
        <w:tblCellMar>
          <w:left w:w="28" w:type="dxa"/>
          <w:right w:w="28" w:type="dxa"/>
        </w:tblCellMar>
        <w:tblLook w:val="04A0" w:firstRow="1" w:lastRow="0" w:firstColumn="1" w:lastColumn="0" w:noHBand="0" w:noVBand="1"/>
      </w:tblPr>
      <w:tblGrid>
        <w:gridCol w:w="2863"/>
        <w:gridCol w:w="685"/>
        <w:gridCol w:w="685"/>
        <w:gridCol w:w="685"/>
        <w:gridCol w:w="685"/>
        <w:gridCol w:w="685"/>
        <w:gridCol w:w="686"/>
        <w:gridCol w:w="709"/>
        <w:gridCol w:w="567"/>
        <w:gridCol w:w="630"/>
      </w:tblGrid>
      <w:tr w:rsidR="007E365E" w:rsidRPr="00622CB3" w14:paraId="3059B136" w14:textId="77777777" w:rsidTr="007D1D77">
        <w:trPr>
          <w:trHeight w:val="379"/>
        </w:trPr>
        <w:tc>
          <w:tcPr>
            <w:tcW w:w="2863" w:type="dxa"/>
            <w:tcBorders>
              <w:top w:val="nil"/>
              <w:left w:val="nil"/>
              <w:bottom w:val="nil"/>
              <w:right w:val="nil"/>
            </w:tcBorders>
            <w:shd w:val="clear" w:color="000000" w:fill="006991"/>
            <w:vAlign w:val="center"/>
            <w:hideMark/>
          </w:tcPr>
          <w:p w14:paraId="38334DD6" w14:textId="77777777" w:rsidR="007E365E" w:rsidRPr="00622CB3"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CB3">
              <w:rPr>
                <w:rFonts w:ascii="Open Sans SemiBold" w:eastAsia="Times New Roman" w:hAnsi="Open Sans SemiBold" w:cs="Open Sans SemiBold"/>
                <w:color w:val="FFFFFF"/>
                <w:sz w:val="16"/>
                <w:szCs w:val="16"/>
                <w:lang w:eastAsia="en-AU"/>
              </w:rPr>
              <w:t> </w:t>
            </w:r>
          </w:p>
        </w:tc>
        <w:tc>
          <w:tcPr>
            <w:tcW w:w="685" w:type="dxa"/>
            <w:tcBorders>
              <w:top w:val="nil"/>
              <w:left w:val="nil"/>
              <w:bottom w:val="nil"/>
              <w:right w:val="nil"/>
            </w:tcBorders>
            <w:shd w:val="clear" w:color="000000" w:fill="006991"/>
            <w:vAlign w:val="center"/>
            <w:hideMark/>
          </w:tcPr>
          <w:p w14:paraId="233DE9FA" w14:textId="77777777" w:rsidR="007E365E" w:rsidRPr="00622CB3"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CB3">
              <w:rPr>
                <w:rFonts w:ascii="Open Sans SemiBold" w:eastAsia="Times New Roman" w:hAnsi="Open Sans SemiBold" w:cs="Open Sans SemiBold"/>
                <w:color w:val="FFFFFF"/>
                <w:sz w:val="16"/>
                <w:szCs w:val="16"/>
                <w:lang w:eastAsia="en-AU"/>
              </w:rPr>
              <w:t>NSW</w:t>
            </w:r>
          </w:p>
        </w:tc>
        <w:tc>
          <w:tcPr>
            <w:tcW w:w="685" w:type="dxa"/>
            <w:tcBorders>
              <w:top w:val="nil"/>
              <w:left w:val="nil"/>
              <w:bottom w:val="nil"/>
              <w:right w:val="nil"/>
            </w:tcBorders>
            <w:shd w:val="clear" w:color="000000" w:fill="006991"/>
            <w:vAlign w:val="center"/>
            <w:hideMark/>
          </w:tcPr>
          <w:p w14:paraId="1945F07E" w14:textId="77777777" w:rsidR="007E365E" w:rsidRPr="00622CB3"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CB3">
              <w:rPr>
                <w:rFonts w:ascii="Open Sans SemiBold" w:eastAsia="Times New Roman" w:hAnsi="Open Sans SemiBold" w:cs="Open Sans SemiBold"/>
                <w:color w:val="FFFFFF"/>
                <w:sz w:val="16"/>
                <w:szCs w:val="16"/>
                <w:lang w:eastAsia="en-AU"/>
              </w:rPr>
              <w:t>Vic</w:t>
            </w:r>
          </w:p>
        </w:tc>
        <w:tc>
          <w:tcPr>
            <w:tcW w:w="685" w:type="dxa"/>
            <w:tcBorders>
              <w:top w:val="nil"/>
              <w:left w:val="nil"/>
              <w:bottom w:val="nil"/>
              <w:right w:val="nil"/>
            </w:tcBorders>
            <w:shd w:val="clear" w:color="000000" w:fill="006991"/>
            <w:vAlign w:val="center"/>
            <w:hideMark/>
          </w:tcPr>
          <w:p w14:paraId="2B27CEFE" w14:textId="77777777" w:rsidR="007E365E" w:rsidRPr="00622CB3"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CB3">
              <w:rPr>
                <w:rFonts w:ascii="Open Sans SemiBold" w:eastAsia="Times New Roman" w:hAnsi="Open Sans SemiBold" w:cs="Open Sans SemiBold"/>
                <w:color w:val="FFFFFF"/>
                <w:sz w:val="16"/>
                <w:szCs w:val="16"/>
                <w:lang w:eastAsia="en-AU"/>
              </w:rPr>
              <w:t>Qld</w:t>
            </w:r>
          </w:p>
        </w:tc>
        <w:tc>
          <w:tcPr>
            <w:tcW w:w="685" w:type="dxa"/>
            <w:tcBorders>
              <w:top w:val="nil"/>
              <w:left w:val="nil"/>
              <w:bottom w:val="nil"/>
              <w:right w:val="nil"/>
            </w:tcBorders>
            <w:shd w:val="clear" w:color="000000" w:fill="006991"/>
            <w:vAlign w:val="center"/>
            <w:hideMark/>
          </w:tcPr>
          <w:p w14:paraId="313CA91C" w14:textId="77777777" w:rsidR="007E365E" w:rsidRPr="00622CB3"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CB3">
              <w:rPr>
                <w:rFonts w:ascii="Open Sans SemiBold" w:eastAsia="Times New Roman" w:hAnsi="Open Sans SemiBold" w:cs="Open Sans SemiBold"/>
                <w:color w:val="FFFFFF"/>
                <w:sz w:val="16"/>
                <w:szCs w:val="16"/>
                <w:lang w:eastAsia="en-AU"/>
              </w:rPr>
              <w:t>WA</w:t>
            </w:r>
          </w:p>
        </w:tc>
        <w:tc>
          <w:tcPr>
            <w:tcW w:w="685" w:type="dxa"/>
            <w:tcBorders>
              <w:top w:val="nil"/>
              <w:left w:val="nil"/>
              <w:bottom w:val="nil"/>
              <w:right w:val="nil"/>
            </w:tcBorders>
            <w:shd w:val="clear" w:color="000000" w:fill="006991"/>
            <w:vAlign w:val="center"/>
            <w:hideMark/>
          </w:tcPr>
          <w:p w14:paraId="7F3071E8" w14:textId="77777777" w:rsidR="007E365E" w:rsidRPr="00622CB3"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CB3">
              <w:rPr>
                <w:rFonts w:ascii="Open Sans SemiBold" w:eastAsia="Times New Roman" w:hAnsi="Open Sans SemiBold" w:cs="Open Sans SemiBold"/>
                <w:color w:val="FFFFFF"/>
                <w:sz w:val="16"/>
                <w:szCs w:val="16"/>
                <w:lang w:eastAsia="en-AU"/>
              </w:rPr>
              <w:t>SA</w:t>
            </w:r>
          </w:p>
        </w:tc>
        <w:tc>
          <w:tcPr>
            <w:tcW w:w="686" w:type="dxa"/>
            <w:tcBorders>
              <w:top w:val="nil"/>
              <w:left w:val="nil"/>
              <w:bottom w:val="nil"/>
              <w:right w:val="nil"/>
            </w:tcBorders>
            <w:shd w:val="clear" w:color="000000" w:fill="006991"/>
            <w:vAlign w:val="center"/>
            <w:hideMark/>
          </w:tcPr>
          <w:p w14:paraId="008ED037" w14:textId="77777777" w:rsidR="007E365E" w:rsidRPr="00622CB3"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CB3">
              <w:rPr>
                <w:rFonts w:ascii="Open Sans SemiBold" w:eastAsia="Times New Roman" w:hAnsi="Open Sans SemiBold" w:cs="Open Sans SemiBold"/>
                <w:color w:val="FFFFFF"/>
                <w:sz w:val="16"/>
                <w:szCs w:val="16"/>
                <w:lang w:eastAsia="en-AU"/>
              </w:rPr>
              <w:t>Tas</w:t>
            </w:r>
          </w:p>
        </w:tc>
        <w:tc>
          <w:tcPr>
            <w:tcW w:w="709" w:type="dxa"/>
            <w:tcBorders>
              <w:top w:val="nil"/>
              <w:left w:val="nil"/>
              <w:bottom w:val="nil"/>
              <w:right w:val="nil"/>
            </w:tcBorders>
            <w:shd w:val="clear" w:color="000000" w:fill="006991"/>
            <w:vAlign w:val="center"/>
            <w:hideMark/>
          </w:tcPr>
          <w:p w14:paraId="01D67612" w14:textId="77777777" w:rsidR="007E365E" w:rsidRPr="00622CB3"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CB3">
              <w:rPr>
                <w:rFonts w:ascii="Open Sans SemiBold" w:eastAsia="Times New Roman" w:hAnsi="Open Sans SemiBold" w:cs="Open Sans SemiBold"/>
                <w:color w:val="FFFFFF"/>
                <w:sz w:val="16"/>
                <w:szCs w:val="16"/>
                <w:lang w:eastAsia="en-AU"/>
              </w:rPr>
              <w:t>ACT</w:t>
            </w:r>
            <w:r>
              <w:rPr>
                <w:rFonts w:ascii="Open Sans SemiBold" w:eastAsia="Times New Roman" w:hAnsi="Open Sans SemiBold" w:cs="Open Sans SemiBold"/>
                <w:color w:val="FFFFFF"/>
                <w:sz w:val="16"/>
                <w:szCs w:val="16"/>
                <w:lang w:eastAsia="en-AU"/>
              </w:rPr>
              <w:t xml:space="preserve"> (a)</w:t>
            </w:r>
          </w:p>
        </w:tc>
        <w:tc>
          <w:tcPr>
            <w:tcW w:w="567" w:type="dxa"/>
            <w:tcBorders>
              <w:top w:val="nil"/>
              <w:left w:val="nil"/>
              <w:bottom w:val="nil"/>
              <w:right w:val="nil"/>
            </w:tcBorders>
            <w:shd w:val="clear" w:color="000000" w:fill="006991"/>
            <w:vAlign w:val="center"/>
            <w:hideMark/>
          </w:tcPr>
          <w:p w14:paraId="1B7C4AD6" w14:textId="77777777" w:rsidR="007E365E" w:rsidRPr="00622CB3"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CB3">
              <w:rPr>
                <w:rFonts w:ascii="Open Sans SemiBold" w:eastAsia="Times New Roman" w:hAnsi="Open Sans SemiBold" w:cs="Open Sans SemiBold"/>
                <w:color w:val="FFFFFF"/>
                <w:sz w:val="16"/>
                <w:szCs w:val="16"/>
                <w:lang w:eastAsia="en-AU"/>
              </w:rPr>
              <w:t>NT</w:t>
            </w:r>
          </w:p>
        </w:tc>
        <w:tc>
          <w:tcPr>
            <w:tcW w:w="630" w:type="dxa"/>
            <w:tcBorders>
              <w:top w:val="nil"/>
              <w:left w:val="nil"/>
              <w:bottom w:val="nil"/>
              <w:right w:val="nil"/>
            </w:tcBorders>
            <w:shd w:val="clear" w:color="000000" w:fill="006991"/>
            <w:vAlign w:val="center"/>
            <w:hideMark/>
          </w:tcPr>
          <w:p w14:paraId="0A4FBEDC" w14:textId="77777777" w:rsidR="007E365E" w:rsidRPr="00622CB3"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CB3">
              <w:rPr>
                <w:rFonts w:ascii="Open Sans SemiBold" w:eastAsia="Times New Roman" w:hAnsi="Open Sans SemiBold" w:cs="Open Sans SemiBold"/>
                <w:color w:val="FFFFFF"/>
                <w:sz w:val="16"/>
                <w:szCs w:val="16"/>
                <w:lang w:eastAsia="en-AU"/>
              </w:rPr>
              <w:t>Total</w:t>
            </w:r>
          </w:p>
        </w:tc>
      </w:tr>
      <w:tr w:rsidR="007E365E" w:rsidRPr="00622CB3" w14:paraId="02D31680" w14:textId="77777777" w:rsidTr="007D1D77">
        <w:trPr>
          <w:trHeight w:val="315"/>
        </w:trPr>
        <w:tc>
          <w:tcPr>
            <w:tcW w:w="2863" w:type="dxa"/>
            <w:tcBorders>
              <w:top w:val="single" w:sz="4" w:space="0" w:color="ADD6EA"/>
              <w:left w:val="nil"/>
              <w:bottom w:val="single" w:sz="4" w:space="0" w:color="ADD6EA"/>
              <w:right w:val="nil"/>
            </w:tcBorders>
            <w:shd w:val="clear" w:color="auto" w:fill="auto"/>
            <w:noWrap/>
            <w:vAlign w:val="bottom"/>
            <w:hideMark/>
          </w:tcPr>
          <w:p w14:paraId="7BF0380C" w14:textId="77777777" w:rsidR="007E365E" w:rsidRPr="00622CB3" w:rsidRDefault="007E365E" w:rsidP="007D1D77">
            <w:pPr>
              <w:keepNext/>
              <w:keepLines/>
              <w:tabs>
                <w:tab w:val="clear" w:pos="567"/>
              </w:tabs>
              <w:spacing w:before="0" w:line="240" w:lineRule="auto"/>
              <w:rPr>
                <w:rFonts w:eastAsia="Times New Roman" w:cs="Open Sans Light"/>
                <w:sz w:val="16"/>
                <w:szCs w:val="16"/>
                <w:lang w:eastAsia="en-AU"/>
              </w:rPr>
            </w:pPr>
            <w:r w:rsidRPr="00622CB3">
              <w:rPr>
                <w:rFonts w:eastAsia="Times New Roman" w:cs="Open Sans Light"/>
                <w:sz w:val="16"/>
                <w:szCs w:val="16"/>
                <w:lang w:eastAsia="en-AU"/>
              </w:rPr>
              <w:t>Total expenses ($m)</w:t>
            </w:r>
          </w:p>
        </w:tc>
        <w:tc>
          <w:tcPr>
            <w:tcW w:w="685" w:type="dxa"/>
            <w:tcBorders>
              <w:top w:val="single" w:sz="4" w:space="0" w:color="ADD6EA"/>
              <w:left w:val="nil"/>
              <w:bottom w:val="single" w:sz="4" w:space="0" w:color="ADD6EA"/>
              <w:right w:val="nil"/>
            </w:tcBorders>
            <w:shd w:val="clear" w:color="auto" w:fill="auto"/>
            <w:noWrap/>
            <w:vAlign w:val="bottom"/>
            <w:hideMark/>
          </w:tcPr>
          <w:p w14:paraId="49A31B3C"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9,282</w:t>
            </w:r>
          </w:p>
        </w:tc>
        <w:tc>
          <w:tcPr>
            <w:tcW w:w="685" w:type="dxa"/>
            <w:tcBorders>
              <w:top w:val="single" w:sz="4" w:space="0" w:color="ADD6EA"/>
              <w:left w:val="nil"/>
              <w:bottom w:val="single" w:sz="4" w:space="0" w:color="ADD6EA"/>
              <w:right w:val="nil"/>
            </w:tcBorders>
            <w:shd w:val="clear" w:color="auto" w:fill="auto"/>
            <w:noWrap/>
            <w:vAlign w:val="bottom"/>
            <w:hideMark/>
          </w:tcPr>
          <w:p w14:paraId="11589A33"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6,184</w:t>
            </w:r>
          </w:p>
        </w:tc>
        <w:tc>
          <w:tcPr>
            <w:tcW w:w="685" w:type="dxa"/>
            <w:tcBorders>
              <w:top w:val="single" w:sz="4" w:space="0" w:color="ADD6EA"/>
              <w:left w:val="nil"/>
              <w:bottom w:val="single" w:sz="4" w:space="0" w:color="ADD6EA"/>
              <w:right w:val="nil"/>
            </w:tcBorders>
            <w:shd w:val="clear" w:color="auto" w:fill="auto"/>
            <w:noWrap/>
            <w:vAlign w:val="bottom"/>
            <w:hideMark/>
          </w:tcPr>
          <w:p w14:paraId="0F20625C"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4,997</w:t>
            </w:r>
          </w:p>
        </w:tc>
        <w:tc>
          <w:tcPr>
            <w:tcW w:w="685" w:type="dxa"/>
            <w:tcBorders>
              <w:top w:val="single" w:sz="4" w:space="0" w:color="ADD6EA"/>
              <w:left w:val="nil"/>
              <w:bottom w:val="single" w:sz="4" w:space="0" w:color="ADD6EA"/>
              <w:right w:val="nil"/>
            </w:tcBorders>
            <w:shd w:val="clear" w:color="auto" w:fill="auto"/>
            <w:noWrap/>
            <w:vAlign w:val="bottom"/>
            <w:hideMark/>
          </w:tcPr>
          <w:p w14:paraId="686A1001"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1,729</w:t>
            </w:r>
          </w:p>
        </w:tc>
        <w:tc>
          <w:tcPr>
            <w:tcW w:w="685" w:type="dxa"/>
            <w:tcBorders>
              <w:top w:val="single" w:sz="4" w:space="0" w:color="ADD6EA"/>
              <w:left w:val="nil"/>
              <w:bottom w:val="single" w:sz="4" w:space="0" w:color="ADD6EA"/>
              <w:right w:val="nil"/>
            </w:tcBorders>
            <w:shd w:val="clear" w:color="auto" w:fill="auto"/>
            <w:noWrap/>
            <w:vAlign w:val="bottom"/>
            <w:hideMark/>
          </w:tcPr>
          <w:p w14:paraId="47F4D320"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1,505</w:t>
            </w:r>
          </w:p>
        </w:tc>
        <w:tc>
          <w:tcPr>
            <w:tcW w:w="686" w:type="dxa"/>
            <w:tcBorders>
              <w:top w:val="single" w:sz="4" w:space="0" w:color="ADD6EA"/>
              <w:left w:val="nil"/>
              <w:bottom w:val="single" w:sz="4" w:space="0" w:color="ADD6EA"/>
              <w:right w:val="nil"/>
            </w:tcBorders>
            <w:shd w:val="clear" w:color="auto" w:fill="auto"/>
            <w:noWrap/>
            <w:vAlign w:val="bottom"/>
            <w:hideMark/>
          </w:tcPr>
          <w:p w14:paraId="16544786"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889</w:t>
            </w:r>
          </w:p>
        </w:tc>
        <w:tc>
          <w:tcPr>
            <w:tcW w:w="709" w:type="dxa"/>
            <w:tcBorders>
              <w:top w:val="single" w:sz="4" w:space="0" w:color="ADD6EA"/>
              <w:left w:val="nil"/>
              <w:bottom w:val="single" w:sz="4" w:space="0" w:color="ADD6EA"/>
              <w:right w:val="nil"/>
            </w:tcBorders>
            <w:shd w:val="clear" w:color="auto" w:fill="auto"/>
            <w:noWrap/>
            <w:vAlign w:val="bottom"/>
            <w:hideMark/>
          </w:tcPr>
          <w:p w14:paraId="3A488B70"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1,183</w:t>
            </w:r>
          </w:p>
        </w:tc>
        <w:tc>
          <w:tcPr>
            <w:tcW w:w="567" w:type="dxa"/>
            <w:tcBorders>
              <w:top w:val="single" w:sz="4" w:space="0" w:color="ADD6EA"/>
              <w:left w:val="nil"/>
              <w:bottom w:val="single" w:sz="4" w:space="0" w:color="ADD6EA"/>
              <w:right w:val="nil"/>
            </w:tcBorders>
            <w:shd w:val="clear" w:color="auto" w:fill="auto"/>
            <w:noWrap/>
            <w:vAlign w:val="bottom"/>
            <w:hideMark/>
          </w:tcPr>
          <w:p w14:paraId="0C1A2487"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763</w:t>
            </w:r>
          </w:p>
        </w:tc>
        <w:tc>
          <w:tcPr>
            <w:tcW w:w="630" w:type="dxa"/>
            <w:tcBorders>
              <w:top w:val="single" w:sz="4" w:space="0" w:color="ADD6EA"/>
              <w:left w:val="nil"/>
              <w:bottom w:val="single" w:sz="4" w:space="0" w:color="ADD6EA"/>
              <w:right w:val="nil"/>
            </w:tcBorders>
            <w:shd w:val="clear" w:color="auto" w:fill="auto"/>
            <w:noWrap/>
            <w:vAlign w:val="bottom"/>
            <w:hideMark/>
          </w:tcPr>
          <w:p w14:paraId="61F8048A"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26,533</w:t>
            </w:r>
          </w:p>
        </w:tc>
      </w:tr>
      <w:tr w:rsidR="007E365E" w:rsidRPr="00622CB3" w14:paraId="6BDC8F74" w14:textId="77777777" w:rsidTr="007D1D77">
        <w:trPr>
          <w:trHeight w:val="315"/>
        </w:trPr>
        <w:tc>
          <w:tcPr>
            <w:tcW w:w="2863" w:type="dxa"/>
            <w:tcBorders>
              <w:top w:val="nil"/>
              <w:left w:val="nil"/>
              <w:bottom w:val="single" w:sz="4" w:space="0" w:color="ADD6EA"/>
              <w:right w:val="nil"/>
            </w:tcBorders>
            <w:shd w:val="clear" w:color="auto" w:fill="auto"/>
            <w:noWrap/>
            <w:vAlign w:val="bottom"/>
            <w:hideMark/>
          </w:tcPr>
          <w:p w14:paraId="7712E358" w14:textId="77777777" w:rsidR="007E365E" w:rsidRPr="00622CB3" w:rsidRDefault="007E365E" w:rsidP="007D1D77">
            <w:pPr>
              <w:keepNext/>
              <w:keepLines/>
              <w:tabs>
                <w:tab w:val="clear" w:pos="567"/>
              </w:tabs>
              <w:spacing w:before="0" w:line="240" w:lineRule="auto"/>
              <w:rPr>
                <w:rFonts w:eastAsia="Times New Roman" w:cs="Open Sans Light"/>
                <w:sz w:val="16"/>
                <w:szCs w:val="16"/>
                <w:lang w:eastAsia="en-AU"/>
              </w:rPr>
            </w:pPr>
            <w:r w:rsidRPr="00622CB3">
              <w:rPr>
                <w:rFonts w:eastAsia="Times New Roman" w:cs="Open Sans Light"/>
                <w:sz w:val="16"/>
                <w:szCs w:val="16"/>
                <w:lang w:eastAsia="en-AU"/>
              </w:rPr>
              <w:t>Total expenses ($pc)</w:t>
            </w:r>
          </w:p>
        </w:tc>
        <w:tc>
          <w:tcPr>
            <w:tcW w:w="685" w:type="dxa"/>
            <w:tcBorders>
              <w:top w:val="nil"/>
              <w:left w:val="nil"/>
              <w:bottom w:val="single" w:sz="4" w:space="0" w:color="ADD6EA"/>
              <w:right w:val="nil"/>
            </w:tcBorders>
            <w:shd w:val="clear" w:color="auto" w:fill="auto"/>
            <w:noWrap/>
            <w:vAlign w:val="bottom"/>
            <w:hideMark/>
          </w:tcPr>
          <w:p w14:paraId="2AA8A5AD"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1,155</w:t>
            </w:r>
          </w:p>
        </w:tc>
        <w:tc>
          <w:tcPr>
            <w:tcW w:w="685" w:type="dxa"/>
            <w:tcBorders>
              <w:top w:val="nil"/>
              <w:left w:val="nil"/>
              <w:bottom w:val="single" w:sz="4" w:space="0" w:color="ADD6EA"/>
              <w:right w:val="nil"/>
            </w:tcBorders>
            <w:shd w:val="clear" w:color="auto" w:fill="auto"/>
            <w:noWrap/>
            <w:vAlign w:val="bottom"/>
            <w:hideMark/>
          </w:tcPr>
          <w:p w14:paraId="22E8AE3F"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947</w:t>
            </w:r>
          </w:p>
        </w:tc>
        <w:tc>
          <w:tcPr>
            <w:tcW w:w="685" w:type="dxa"/>
            <w:tcBorders>
              <w:top w:val="nil"/>
              <w:left w:val="nil"/>
              <w:bottom w:val="single" w:sz="4" w:space="0" w:color="ADD6EA"/>
              <w:right w:val="nil"/>
            </w:tcBorders>
            <w:shd w:val="clear" w:color="auto" w:fill="auto"/>
            <w:noWrap/>
            <w:vAlign w:val="bottom"/>
            <w:hideMark/>
          </w:tcPr>
          <w:p w14:paraId="53717CE7"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989</w:t>
            </w:r>
          </w:p>
        </w:tc>
        <w:tc>
          <w:tcPr>
            <w:tcW w:w="685" w:type="dxa"/>
            <w:tcBorders>
              <w:top w:val="nil"/>
              <w:left w:val="nil"/>
              <w:bottom w:val="single" w:sz="4" w:space="0" w:color="ADD6EA"/>
              <w:right w:val="nil"/>
            </w:tcBorders>
            <w:shd w:val="clear" w:color="auto" w:fill="auto"/>
            <w:noWrap/>
            <w:vAlign w:val="bottom"/>
            <w:hideMark/>
          </w:tcPr>
          <w:p w14:paraId="43D197D6"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664</w:t>
            </w:r>
          </w:p>
        </w:tc>
        <w:tc>
          <w:tcPr>
            <w:tcW w:w="685" w:type="dxa"/>
            <w:tcBorders>
              <w:top w:val="nil"/>
              <w:left w:val="nil"/>
              <w:bottom w:val="single" w:sz="4" w:space="0" w:color="ADD6EA"/>
              <w:right w:val="nil"/>
            </w:tcBorders>
            <w:shd w:val="clear" w:color="auto" w:fill="auto"/>
            <w:noWrap/>
            <w:vAlign w:val="bottom"/>
            <w:hideMark/>
          </w:tcPr>
          <w:p w14:paraId="5ABAD87D"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864</w:t>
            </w:r>
          </w:p>
        </w:tc>
        <w:tc>
          <w:tcPr>
            <w:tcW w:w="686" w:type="dxa"/>
            <w:tcBorders>
              <w:top w:val="nil"/>
              <w:left w:val="nil"/>
              <w:bottom w:val="single" w:sz="4" w:space="0" w:color="ADD6EA"/>
              <w:right w:val="nil"/>
            </w:tcBorders>
            <w:shd w:val="clear" w:color="auto" w:fill="auto"/>
            <w:noWrap/>
            <w:vAlign w:val="bottom"/>
            <w:hideMark/>
          </w:tcPr>
          <w:p w14:paraId="4D1014E4"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1,672</w:t>
            </w:r>
          </w:p>
        </w:tc>
        <w:tc>
          <w:tcPr>
            <w:tcW w:w="709" w:type="dxa"/>
            <w:tcBorders>
              <w:top w:val="nil"/>
              <w:left w:val="nil"/>
              <w:bottom w:val="single" w:sz="4" w:space="0" w:color="ADD6EA"/>
              <w:right w:val="nil"/>
            </w:tcBorders>
            <w:shd w:val="clear" w:color="auto" w:fill="auto"/>
            <w:noWrap/>
            <w:vAlign w:val="bottom"/>
            <w:hideMark/>
          </w:tcPr>
          <w:p w14:paraId="7CFE54BA"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2,795</w:t>
            </w:r>
          </w:p>
        </w:tc>
        <w:tc>
          <w:tcPr>
            <w:tcW w:w="567" w:type="dxa"/>
            <w:tcBorders>
              <w:top w:val="nil"/>
              <w:left w:val="nil"/>
              <w:bottom w:val="single" w:sz="4" w:space="0" w:color="ADD6EA"/>
              <w:right w:val="nil"/>
            </w:tcBorders>
            <w:shd w:val="clear" w:color="auto" w:fill="auto"/>
            <w:noWrap/>
            <w:vAlign w:val="bottom"/>
            <w:hideMark/>
          </w:tcPr>
          <w:p w14:paraId="440564F9"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3,107</w:t>
            </w:r>
          </w:p>
        </w:tc>
        <w:tc>
          <w:tcPr>
            <w:tcW w:w="630" w:type="dxa"/>
            <w:tcBorders>
              <w:top w:val="nil"/>
              <w:left w:val="nil"/>
              <w:bottom w:val="single" w:sz="4" w:space="0" w:color="ADD6EA"/>
              <w:right w:val="nil"/>
            </w:tcBorders>
            <w:shd w:val="clear" w:color="auto" w:fill="auto"/>
            <w:noWrap/>
            <w:vAlign w:val="bottom"/>
            <w:hideMark/>
          </w:tcPr>
          <w:p w14:paraId="1DFF729C"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1,054</w:t>
            </w:r>
          </w:p>
        </w:tc>
      </w:tr>
      <w:tr w:rsidR="007E365E" w:rsidRPr="00622CB3" w14:paraId="711E2DE9" w14:textId="77777777" w:rsidTr="007D1D77">
        <w:trPr>
          <w:trHeight w:val="315"/>
        </w:trPr>
        <w:tc>
          <w:tcPr>
            <w:tcW w:w="2863" w:type="dxa"/>
            <w:tcBorders>
              <w:top w:val="nil"/>
              <w:left w:val="nil"/>
              <w:bottom w:val="single" w:sz="4" w:space="0" w:color="ADD6EA"/>
              <w:right w:val="nil"/>
            </w:tcBorders>
            <w:shd w:val="clear" w:color="auto" w:fill="auto"/>
            <w:noWrap/>
            <w:vAlign w:val="bottom"/>
            <w:hideMark/>
          </w:tcPr>
          <w:p w14:paraId="07784B9B" w14:textId="77777777" w:rsidR="007E365E" w:rsidRPr="00622CB3" w:rsidRDefault="007E365E" w:rsidP="007D1D77">
            <w:pPr>
              <w:keepNext/>
              <w:keepLines/>
              <w:tabs>
                <w:tab w:val="clear" w:pos="567"/>
              </w:tabs>
              <w:spacing w:before="0" w:line="240" w:lineRule="auto"/>
              <w:rPr>
                <w:rFonts w:eastAsia="Times New Roman" w:cs="Open Sans Light"/>
                <w:sz w:val="16"/>
                <w:szCs w:val="16"/>
                <w:lang w:eastAsia="en-AU"/>
              </w:rPr>
            </w:pPr>
            <w:r w:rsidRPr="00622CB3">
              <w:rPr>
                <w:rFonts w:eastAsia="Times New Roman" w:cs="Open Sans Light"/>
                <w:sz w:val="16"/>
                <w:szCs w:val="16"/>
                <w:lang w:eastAsia="en-AU"/>
              </w:rPr>
              <w:t>Proportion of operating expenses (%)</w:t>
            </w:r>
          </w:p>
        </w:tc>
        <w:tc>
          <w:tcPr>
            <w:tcW w:w="685" w:type="dxa"/>
            <w:tcBorders>
              <w:top w:val="nil"/>
              <w:left w:val="nil"/>
              <w:bottom w:val="single" w:sz="4" w:space="0" w:color="ADD6EA"/>
              <w:right w:val="nil"/>
            </w:tcBorders>
            <w:shd w:val="clear" w:color="auto" w:fill="auto"/>
            <w:noWrap/>
            <w:vAlign w:val="bottom"/>
            <w:hideMark/>
          </w:tcPr>
          <w:p w14:paraId="2CF93388"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13.2</w:t>
            </w:r>
          </w:p>
        </w:tc>
        <w:tc>
          <w:tcPr>
            <w:tcW w:w="685" w:type="dxa"/>
            <w:tcBorders>
              <w:top w:val="nil"/>
              <w:left w:val="nil"/>
              <w:bottom w:val="single" w:sz="4" w:space="0" w:color="ADD6EA"/>
              <w:right w:val="nil"/>
            </w:tcBorders>
            <w:shd w:val="clear" w:color="auto" w:fill="auto"/>
            <w:noWrap/>
            <w:vAlign w:val="bottom"/>
            <w:hideMark/>
          </w:tcPr>
          <w:p w14:paraId="6F3AA10D"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11.5</w:t>
            </w:r>
          </w:p>
        </w:tc>
        <w:tc>
          <w:tcPr>
            <w:tcW w:w="685" w:type="dxa"/>
            <w:tcBorders>
              <w:top w:val="nil"/>
              <w:left w:val="nil"/>
              <w:bottom w:val="single" w:sz="4" w:space="0" w:color="ADD6EA"/>
              <w:right w:val="nil"/>
            </w:tcBorders>
            <w:shd w:val="clear" w:color="auto" w:fill="auto"/>
            <w:noWrap/>
            <w:vAlign w:val="bottom"/>
            <w:hideMark/>
          </w:tcPr>
          <w:p w14:paraId="374155DA"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10.9</w:t>
            </w:r>
          </w:p>
        </w:tc>
        <w:tc>
          <w:tcPr>
            <w:tcW w:w="685" w:type="dxa"/>
            <w:tcBorders>
              <w:top w:val="nil"/>
              <w:left w:val="nil"/>
              <w:bottom w:val="single" w:sz="4" w:space="0" w:color="ADD6EA"/>
              <w:right w:val="nil"/>
            </w:tcBorders>
            <w:shd w:val="clear" w:color="auto" w:fill="auto"/>
            <w:noWrap/>
            <w:vAlign w:val="bottom"/>
            <w:hideMark/>
          </w:tcPr>
          <w:p w14:paraId="608755D9"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6.6</w:t>
            </w:r>
          </w:p>
        </w:tc>
        <w:tc>
          <w:tcPr>
            <w:tcW w:w="685" w:type="dxa"/>
            <w:tcBorders>
              <w:top w:val="nil"/>
              <w:left w:val="nil"/>
              <w:bottom w:val="single" w:sz="4" w:space="0" w:color="ADD6EA"/>
              <w:right w:val="nil"/>
            </w:tcBorders>
            <w:shd w:val="clear" w:color="auto" w:fill="auto"/>
            <w:noWrap/>
            <w:vAlign w:val="bottom"/>
            <w:hideMark/>
          </w:tcPr>
          <w:p w14:paraId="42F554E0"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10.1</w:t>
            </w:r>
          </w:p>
        </w:tc>
        <w:tc>
          <w:tcPr>
            <w:tcW w:w="686" w:type="dxa"/>
            <w:tcBorders>
              <w:top w:val="nil"/>
              <w:left w:val="nil"/>
              <w:bottom w:val="single" w:sz="4" w:space="0" w:color="ADD6EA"/>
              <w:right w:val="nil"/>
            </w:tcBorders>
            <w:shd w:val="clear" w:color="auto" w:fill="auto"/>
            <w:noWrap/>
            <w:vAlign w:val="bottom"/>
            <w:hideMark/>
          </w:tcPr>
          <w:p w14:paraId="58C5F68E"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17.7</w:t>
            </w:r>
          </w:p>
        </w:tc>
        <w:tc>
          <w:tcPr>
            <w:tcW w:w="709" w:type="dxa"/>
            <w:tcBorders>
              <w:top w:val="nil"/>
              <w:left w:val="nil"/>
              <w:bottom w:val="single" w:sz="4" w:space="0" w:color="ADD6EA"/>
              <w:right w:val="nil"/>
            </w:tcBorders>
            <w:shd w:val="clear" w:color="auto" w:fill="auto"/>
            <w:noWrap/>
            <w:vAlign w:val="bottom"/>
            <w:hideMark/>
          </w:tcPr>
          <w:p w14:paraId="3D9095FB"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25.7</w:t>
            </w:r>
          </w:p>
        </w:tc>
        <w:tc>
          <w:tcPr>
            <w:tcW w:w="567" w:type="dxa"/>
            <w:tcBorders>
              <w:top w:val="nil"/>
              <w:left w:val="nil"/>
              <w:bottom w:val="single" w:sz="4" w:space="0" w:color="ADD6EA"/>
              <w:right w:val="nil"/>
            </w:tcBorders>
            <w:shd w:val="clear" w:color="auto" w:fill="auto"/>
            <w:noWrap/>
            <w:vAlign w:val="bottom"/>
            <w:hideMark/>
          </w:tcPr>
          <w:p w14:paraId="6ED68357"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14.0</w:t>
            </w:r>
          </w:p>
        </w:tc>
        <w:tc>
          <w:tcPr>
            <w:tcW w:w="630" w:type="dxa"/>
            <w:tcBorders>
              <w:top w:val="nil"/>
              <w:left w:val="nil"/>
              <w:bottom w:val="single" w:sz="4" w:space="0" w:color="ADD6EA"/>
              <w:right w:val="nil"/>
            </w:tcBorders>
            <w:shd w:val="clear" w:color="auto" w:fill="auto"/>
            <w:noWrap/>
            <w:vAlign w:val="bottom"/>
            <w:hideMark/>
          </w:tcPr>
          <w:p w14:paraId="3679938C" w14:textId="77777777" w:rsidR="007E365E" w:rsidRPr="00622CB3" w:rsidRDefault="007E365E" w:rsidP="007D1D77">
            <w:pPr>
              <w:keepNext/>
              <w:keepLines/>
              <w:tabs>
                <w:tab w:val="clear" w:pos="567"/>
              </w:tabs>
              <w:spacing w:before="0" w:line="240" w:lineRule="auto"/>
              <w:jc w:val="right"/>
              <w:rPr>
                <w:rFonts w:eastAsia="Times New Roman" w:cs="Open Sans Light"/>
                <w:sz w:val="16"/>
                <w:szCs w:val="16"/>
                <w:lang w:eastAsia="en-AU"/>
              </w:rPr>
            </w:pPr>
            <w:r w:rsidRPr="00622CB3">
              <w:rPr>
                <w:rFonts w:eastAsia="Times New Roman" w:cs="Open Sans Light"/>
                <w:sz w:val="16"/>
                <w:szCs w:val="16"/>
                <w:lang w:eastAsia="en-AU"/>
              </w:rPr>
              <w:t>11.7</w:t>
            </w:r>
          </w:p>
        </w:tc>
      </w:tr>
    </w:tbl>
    <w:p w14:paraId="2DD42B7F" w14:textId="77777777" w:rsidR="007E365E" w:rsidRPr="00542984" w:rsidRDefault="007E365E" w:rsidP="007E365E">
      <w:pPr>
        <w:pStyle w:val="CGCTablenote"/>
        <w:keepNext/>
        <w:keepLines/>
      </w:pPr>
      <w:r w:rsidRPr="00542984">
        <w:t>Note:</w:t>
      </w:r>
      <w:r w:rsidRPr="00542984">
        <w:tab/>
        <w:t xml:space="preserve">Expenses shown on a net basis. </w:t>
      </w:r>
    </w:p>
    <w:p w14:paraId="3F9577AF" w14:textId="77777777" w:rsidR="007E365E" w:rsidRPr="00542984" w:rsidRDefault="007E365E" w:rsidP="007E365E">
      <w:pPr>
        <w:pStyle w:val="CGCTablenote"/>
        <w:keepNext/>
        <w:keepLines/>
      </w:pPr>
      <w:r>
        <w:t>(a)</w:t>
      </w:r>
      <w:r>
        <w:tab/>
      </w:r>
      <w:r w:rsidRPr="00542984">
        <w:t xml:space="preserve">The ACT has classified a large proportion of </w:t>
      </w:r>
      <w:r>
        <w:t xml:space="preserve">its </w:t>
      </w:r>
      <w:r w:rsidRPr="00542984">
        <w:t xml:space="preserve">expenses as general public services, mainly relating to the Chief Minister, Treasury and Economic Development Directorate. Some of these expenses may be </w:t>
      </w:r>
      <w:r>
        <w:t xml:space="preserve">classified under </w:t>
      </w:r>
      <w:r w:rsidRPr="00542984">
        <w:t>other functions in other States</w:t>
      </w:r>
      <w:r>
        <w:t>, such as local government-type expenses</w:t>
      </w:r>
      <w:r w:rsidRPr="00542984">
        <w:t>.</w:t>
      </w:r>
    </w:p>
    <w:p w14:paraId="641D5887" w14:textId="77777777" w:rsidR="007E365E" w:rsidRPr="00542984" w:rsidRDefault="007E365E" w:rsidP="007E365E">
      <w:pPr>
        <w:pStyle w:val="CGCTablenote"/>
        <w:keepNext/>
        <w:keepLines/>
      </w:pPr>
      <w:r w:rsidRPr="00542984">
        <w:t>Source:</w:t>
      </w:r>
      <w:r w:rsidRPr="00542984">
        <w:tab/>
        <w:t xml:space="preserve">Commission calculation using State budget data. </w:t>
      </w:r>
    </w:p>
    <w:p w14:paraId="54DA18B8" w14:textId="61042D70" w:rsidR="007E365E" w:rsidRPr="00542984" w:rsidRDefault="007E365E" w:rsidP="007E365E">
      <w:pPr>
        <w:pStyle w:val="CGCParaNumber"/>
      </w:pPr>
      <w:r w:rsidRPr="00542984">
        <w:fldChar w:fldCharType="begin"/>
      </w:r>
      <w:r w:rsidRPr="00542984">
        <w:instrText xml:space="preserve"> REF _Ref31640707 \h </w:instrText>
      </w:r>
      <w:r>
        <w:instrText xml:space="preserve"> \* MERGEFORMAT </w:instrText>
      </w:r>
      <w:r w:rsidRPr="00542984">
        <w:fldChar w:fldCharType="separate"/>
      </w:r>
      <w:r w:rsidR="007F721A" w:rsidRPr="00542984">
        <w:t xml:space="preserve">Table </w:t>
      </w:r>
      <w:r w:rsidR="007F721A">
        <w:rPr>
          <w:noProof/>
        </w:rPr>
        <w:t>23-2</w:t>
      </w:r>
      <w:r w:rsidRPr="00542984">
        <w:fldChar w:fldCharType="end"/>
      </w:r>
      <w:r w:rsidRPr="00542984">
        <w:t xml:space="preserve"> shows the share of State expenses on other expenses from 2015</w:t>
      </w:r>
      <w:r w:rsidRPr="00542984">
        <w:noBreakHyphen/>
        <w:t>16 to 2018</w:t>
      </w:r>
      <w:r w:rsidRPr="00542984">
        <w:noBreakHyphen/>
        <w:t xml:space="preserve">19. </w:t>
      </w:r>
    </w:p>
    <w:p w14:paraId="4DF33757" w14:textId="76684C98" w:rsidR="007E365E" w:rsidRPr="00542984" w:rsidRDefault="007E365E" w:rsidP="007E365E">
      <w:pPr>
        <w:pStyle w:val="Caption"/>
      </w:pPr>
      <w:bookmarkStart w:id="338" w:name="_Ref31640707"/>
      <w:r w:rsidRPr="00542984">
        <w:t xml:space="preserve">Table </w:t>
      </w:r>
      <w:r>
        <w:t>23-</w:t>
      </w:r>
      <w:fldSimple w:instr=" SEQ Table \* ARABIC ">
        <w:r w:rsidR="007F721A">
          <w:rPr>
            <w:noProof/>
          </w:rPr>
          <w:t>2</w:t>
        </w:r>
      </w:fldSimple>
      <w:bookmarkEnd w:id="338"/>
      <w:r w:rsidRPr="00542984">
        <w:tab/>
        <w:t xml:space="preserve">Other expenses, </w:t>
      </w:r>
      <w:r w:rsidR="0025435D">
        <w:t xml:space="preserve">all States, </w:t>
      </w:r>
      <w:r w:rsidRPr="00542984">
        <w:t>2015</w:t>
      </w:r>
      <w:r w:rsidRPr="00542984">
        <w:noBreakHyphen/>
        <w:t>16 to 2018</w:t>
      </w:r>
      <w:r w:rsidRPr="00542984">
        <w:noBreakHyphen/>
        <w:t>19</w:t>
      </w:r>
    </w:p>
    <w:tbl>
      <w:tblPr>
        <w:tblW w:w="8940" w:type="dxa"/>
        <w:tblCellMar>
          <w:left w:w="28" w:type="dxa"/>
          <w:right w:w="28" w:type="dxa"/>
        </w:tblCellMar>
        <w:tblLook w:val="04A0" w:firstRow="1" w:lastRow="0" w:firstColumn="1" w:lastColumn="0" w:noHBand="0" w:noVBand="1"/>
      </w:tblPr>
      <w:tblGrid>
        <w:gridCol w:w="3900"/>
        <w:gridCol w:w="1260"/>
        <w:gridCol w:w="1260"/>
        <w:gridCol w:w="1260"/>
        <w:gridCol w:w="1260"/>
      </w:tblGrid>
      <w:tr w:rsidR="007E365E" w:rsidRPr="00A7120C" w14:paraId="1079B3CC" w14:textId="77777777" w:rsidTr="007D1D77">
        <w:trPr>
          <w:trHeight w:val="375"/>
        </w:trPr>
        <w:tc>
          <w:tcPr>
            <w:tcW w:w="3900" w:type="dxa"/>
            <w:tcBorders>
              <w:top w:val="nil"/>
              <w:left w:val="nil"/>
              <w:bottom w:val="nil"/>
              <w:right w:val="nil"/>
            </w:tcBorders>
            <w:shd w:val="clear" w:color="000000" w:fill="006991"/>
            <w:vAlign w:val="center"/>
            <w:hideMark/>
          </w:tcPr>
          <w:p w14:paraId="069EDF0C" w14:textId="77777777" w:rsidR="007E365E" w:rsidRPr="00A7120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120C">
              <w:rPr>
                <w:rFonts w:ascii="Open Sans SemiBold" w:eastAsia="Times New Roman" w:hAnsi="Open Sans SemiBold" w:cs="Open Sans SemiBold"/>
                <w:color w:val="FFFFFF"/>
                <w:sz w:val="16"/>
                <w:szCs w:val="16"/>
                <w:lang w:eastAsia="en-AU"/>
              </w:rPr>
              <w:t> </w:t>
            </w:r>
          </w:p>
        </w:tc>
        <w:tc>
          <w:tcPr>
            <w:tcW w:w="1260" w:type="dxa"/>
            <w:tcBorders>
              <w:top w:val="nil"/>
              <w:left w:val="nil"/>
              <w:bottom w:val="nil"/>
              <w:right w:val="nil"/>
            </w:tcBorders>
            <w:shd w:val="clear" w:color="000000" w:fill="006991"/>
            <w:vAlign w:val="center"/>
            <w:hideMark/>
          </w:tcPr>
          <w:p w14:paraId="17DF8C0E" w14:textId="77777777" w:rsidR="007E365E" w:rsidRPr="00A7120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120C">
              <w:rPr>
                <w:rFonts w:ascii="Open Sans SemiBold" w:eastAsia="Times New Roman" w:hAnsi="Open Sans SemiBold" w:cs="Open Sans SemiBold"/>
                <w:color w:val="FFFFFF"/>
                <w:sz w:val="16"/>
                <w:szCs w:val="16"/>
                <w:lang w:eastAsia="en-AU"/>
              </w:rPr>
              <w:t>2015-16</w:t>
            </w:r>
          </w:p>
        </w:tc>
        <w:tc>
          <w:tcPr>
            <w:tcW w:w="1260" w:type="dxa"/>
            <w:tcBorders>
              <w:top w:val="nil"/>
              <w:left w:val="nil"/>
              <w:bottom w:val="nil"/>
              <w:right w:val="nil"/>
            </w:tcBorders>
            <w:shd w:val="clear" w:color="000000" w:fill="006991"/>
            <w:vAlign w:val="center"/>
            <w:hideMark/>
          </w:tcPr>
          <w:p w14:paraId="760CAD81" w14:textId="77777777" w:rsidR="007E365E" w:rsidRPr="00A7120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120C">
              <w:rPr>
                <w:rFonts w:ascii="Open Sans SemiBold" w:eastAsia="Times New Roman" w:hAnsi="Open Sans SemiBold" w:cs="Open Sans SemiBold"/>
                <w:color w:val="FFFFFF"/>
                <w:sz w:val="16"/>
                <w:szCs w:val="16"/>
                <w:lang w:eastAsia="en-AU"/>
              </w:rPr>
              <w:t>2016-17</w:t>
            </w:r>
          </w:p>
        </w:tc>
        <w:tc>
          <w:tcPr>
            <w:tcW w:w="1260" w:type="dxa"/>
            <w:tcBorders>
              <w:top w:val="nil"/>
              <w:left w:val="nil"/>
              <w:bottom w:val="nil"/>
              <w:right w:val="nil"/>
            </w:tcBorders>
            <w:shd w:val="clear" w:color="000000" w:fill="006991"/>
            <w:vAlign w:val="center"/>
            <w:hideMark/>
          </w:tcPr>
          <w:p w14:paraId="5F692572" w14:textId="77777777" w:rsidR="007E365E" w:rsidRPr="00A7120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120C">
              <w:rPr>
                <w:rFonts w:ascii="Open Sans SemiBold" w:eastAsia="Times New Roman" w:hAnsi="Open Sans SemiBold" w:cs="Open Sans SemiBold"/>
                <w:color w:val="FFFFFF"/>
                <w:sz w:val="16"/>
                <w:szCs w:val="16"/>
                <w:lang w:eastAsia="en-AU"/>
              </w:rPr>
              <w:t>2017-18</w:t>
            </w:r>
          </w:p>
        </w:tc>
        <w:tc>
          <w:tcPr>
            <w:tcW w:w="1260" w:type="dxa"/>
            <w:tcBorders>
              <w:top w:val="nil"/>
              <w:left w:val="nil"/>
              <w:bottom w:val="nil"/>
              <w:right w:val="nil"/>
            </w:tcBorders>
            <w:shd w:val="clear" w:color="000000" w:fill="006991"/>
            <w:vAlign w:val="center"/>
            <w:hideMark/>
          </w:tcPr>
          <w:p w14:paraId="5FCE82B8" w14:textId="77777777" w:rsidR="007E365E" w:rsidRPr="00A7120C"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7120C">
              <w:rPr>
                <w:rFonts w:ascii="Open Sans SemiBold" w:eastAsia="Times New Roman" w:hAnsi="Open Sans SemiBold" w:cs="Open Sans SemiBold"/>
                <w:color w:val="FFFFFF"/>
                <w:sz w:val="16"/>
                <w:szCs w:val="16"/>
                <w:lang w:eastAsia="en-AU"/>
              </w:rPr>
              <w:t>2018-19</w:t>
            </w:r>
          </w:p>
        </w:tc>
      </w:tr>
      <w:tr w:rsidR="007E365E" w:rsidRPr="00A7120C" w14:paraId="4F3CDA5D" w14:textId="77777777" w:rsidTr="007D1D77">
        <w:trPr>
          <w:trHeight w:val="315"/>
        </w:trPr>
        <w:tc>
          <w:tcPr>
            <w:tcW w:w="3900" w:type="dxa"/>
            <w:tcBorders>
              <w:top w:val="single" w:sz="4" w:space="0" w:color="ADD6EA"/>
              <w:left w:val="nil"/>
              <w:bottom w:val="single" w:sz="4" w:space="0" w:color="ADD6EA"/>
              <w:right w:val="nil"/>
            </w:tcBorders>
            <w:shd w:val="clear" w:color="auto" w:fill="auto"/>
            <w:noWrap/>
            <w:vAlign w:val="bottom"/>
            <w:hideMark/>
          </w:tcPr>
          <w:p w14:paraId="27F3629E" w14:textId="77777777" w:rsidR="007E365E" w:rsidRPr="00A7120C" w:rsidRDefault="007E365E" w:rsidP="007D1D77">
            <w:pPr>
              <w:tabs>
                <w:tab w:val="clear" w:pos="567"/>
              </w:tabs>
              <w:spacing w:before="0" w:line="240" w:lineRule="auto"/>
              <w:rPr>
                <w:rFonts w:eastAsia="Times New Roman" w:cs="Open Sans Light"/>
                <w:sz w:val="16"/>
                <w:szCs w:val="16"/>
                <w:lang w:eastAsia="en-AU"/>
              </w:rPr>
            </w:pPr>
            <w:r w:rsidRPr="00A7120C">
              <w:rPr>
                <w:rFonts w:eastAsia="Times New Roman" w:cs="Open Sans Light"/>
                <w:sz w:val="16"/>
                <w:szCs w:val="16"/>
                <w:lang w:eastAsia="en-AU"/>
              </w:rPr>
              <w:t>Total expenses ($m)</w:t>
            </w:r>
          </w:p>
        </w:tc>
        <w:tc>
          <w:tcPr>
            <w:tcW w:w="1260" w:type="dxa"/>
            <w:tcBorders>
              <w:top w:val="single" w:sz="4" w:space="0" w:color="ADD6EA"/>
              <w:left w:val="nil"/>
              <w:bottom w:val="single" w:sz="4" w:space="0" w:color="ADD6EA"/>
              <w:right w:val="nil"/>
            </w:tcBorders>
            <w:shd w:val="clear" w:color="auto" w:fill="auto"/>
            <w:noWrap/>
            <w:vAlign w:val="bottom"/>
            <w:hideMark/>
          </w:tcPr>
          <w:p w14:paraId="3F1B0225" w14:textId="77777777" w:rsidR="007E365E" w:rsidRPr="00A7120C" w:rsidRDefault="007E365E" w:rsidP="007D1D77">
            <w:pPr>
              <w:tabs>
                <w:tab w:val="clear" w:pos="567"/>
              </w:tabs>
              <w:spacing w:before="0" w:line="240" w:lineRule="auto"/>
              <w:jc w:val="right"/>
              <w:rPr>
                <w:rFonts w:eastAsia="Times New Roman" w:cs="Open Sans Light"/>
                <w:sz w:val="16"/>
                <w:szCs w:val="16"/>
                <w:lang w:eastAsia="en-AU"/>
              </w:rPr>
            </w:pPr>
            <w:r w:rsidRPr="00A7120C">
              <w:rPr>
                <w:rFonts w:eastAsia="Times New Roman" w:cs="Open Sans Light"/>
                <w:sz w:val="16"/>
                <w:szCs w:val="16"/>
                <w:lang w:eastAsia="en-AU"/>
              </w:rPr>
              <w:t>24,509</w:t>
            </w:r>
          </w:p>
        </w:tc>
        <w:tc>
          <w:tcPr>
            <w:tcW w:w="1260" w:type="dxa"/>
            <w:tcBorders>
              <w:top w:val="single" w:sz="4" w:space="0" w:color="ADD6EA"/>
              <w:left w:val="nil"/>
              <w:bottom w:val="single" w:sz="4" w:space="0" w:color="ADD6EA"/>
              <w:right w:val="nil"/>
            </w:tcBorders>
            <w:shd w:val="clear" w:color="auto" w:fill="auto"/>
            <w:noWrap/>
            <w:vAlign w:val="bottom"/>
            <w:hideMark/>
          </w:tcPr>
          <w:p w14:paraId="0A2E0881" w14:textId="77777777" w:rsidR="007E365E" w:rsidRPr="00A7120C" w:rsidRDefault="007E365E" w:rsidP="007D1D77">
            <w:pPr>
              <w:tabs>
                <w:tab w:val="clear" w:pos="567"/>
              </w:tabs>
              <w:spacing w:before="0" w:line="240" w:lineRule="auto"/>
              <w:jc w:val="right"/>
              <w:rPr>
                <w:rFonts w:eastAsia="Times New Roman" w:cs="Open Sans Light"/>
                <w:sz w:val="16"/>
                <w:szCs w:val="16"/>
                <w:lang w:eastAsia="en-AU"/>
              </w:rPr>
            </w:pPr>
            <w:r w:rsidRPr="00A7120C">
              <w:rPr>
                <w:rFonts w:eastAsia="Times New Roman" w:cs="Open Sans Light"/>
                <w:sz w:val="16"/>
                <w:szCs w:val="16"/>
                <w:lang w:eastAsia="en-AU"/>
              </w:rPr>
              <w:t>24,643</w:t>
            </w:r>
          </w:p>
        </w:tc>
        <w:tc>
          <w:tcPr>
            <w:tcW w:w="1260" w:type="dxa"/>
            <w:tcBorders>
              <w:top w:val="single" w:sz="4" w:space="0" w:color="ADD6EA"/>
              <w:left w:val="nil"/>
              <w:bottom w:val="single" w:sz="4" w:space="0" w:color="ADD6EA"/>
              <w:right w:val="nil"/>
            </w:tcBorders>
            <w:shd w:val="clear" w:color="auto" w:fill="auto"/>
            <w:noWrap/>
            <w:vAlign w:val="bottom"/>
            <w:hideMark/>
          </w:tcPr>
          <w:p w14:paraId="23090625" w14:textId="77777777" w:rsidR="007E365E" w:rsidRPr="00A7120C" w:rsidRDefault="007E365E" w:rsidP="007D1D77">
            <w:pPr>
              <w:tabs>
                <w:tab w:val="clear" w:pos="567"/>
              </w:tabs>
              <w:spacing w:before="0" w:line="240" w:lineRule="auto"/>
              <w:jc w:val="right"/>
              <w:rPr>
                <w:rFonts w:eastAsia="Times New Roman" w:cs="Open Sans Light"/>
                <w:sz w:val="16"/>
                <w:szCs w:val="16"/>
                <w:lang w:eastAsia="en-AU"/>
              </w:rPr>
            </w:pPr>
            <w:r w:rsidRPr="00A7120C">
              <w:rPr>
                <w:rFonts w:eastAsia="Times New Roman" w:cs="Open Sans Light"/>
                <w:sz w:val="16"/>
                <w:szCs w:val="16"/>
                <w:lang w:eastAsia="en-AU"/>
              </w:rPr>
              <w:t>26,742</w:t>
            </w:r>
          </w:p>
        </w:tc>
        <w:tc>
          <w:tcPr>
            <w:tcW w:w="1260" w:type="dxa"/>
            <w:tcBorders>
              <w:top w:val="single" w:sz="4" w:space="0" w:color="ADD6EA"/>
              <w:left w:val="nil"/>
              <w:bottom w:val="single" w:sz="4" w:space="0" w:color="ADD6EA"/>
              <w:right w:val="nil"/>
            </w:tcBorders>
            <w:shd w:val="clear" w:color="auto" w:fill="auto"/>
            <w:noWrap/>
            <w:vAlign w:val="bottom"/>
            <w:hideMark/>
          </w:tcPr>
          <w:p w14:paraId="2C3D85A5" w14:textId="77777777" w:rsidR="007E365E" w:rsidRPr="00A7120C" w:rsidRDefault="007E365E" w:rsidP="007D1D77">
            <w:pPr>
              <w:tabs>
                <w:tab w:val="clear" w:pos="567"/>
              </w:tabs>
              <w:spacing w:before="0" w:line="240" w:lineRule="auto"/>
              <w:jc w:val="right"/>
              <w:rPr>
                <w:rFonts w:eastAsia="Times New Roman" w:cs="Open Sans Light"/>
                <w:sz w:val="16"/>
                <w:szCs w:val="16"/>
                <w:lang w:eastAsia="en-AU"/>
              </w:rPr>
            </w:pPr>
            <w:r w:rsidRPr="00A7120C">
              <w:rPr>
                <w:rFonts w:eastAsia="Times New Roman" w:cs="Open Sans Light"/>
                <w:sz w:val="16"/>
                <w:szCs w:val="16"/>
                <w:lang w:eastAsia="en-AU"/>
              </w:rPr>
              <w:t>26,533</w:t>
            </w:r>
          </w:p>
        </w:tc>
      </w:tr>
      <w:tr w:rsidR="007E365E" w:rsidRPr="00A7120C" w14:paraId="50E42AC9" w14:textId="77777777" w:rsidTr="007D1D77">
        <w:trPr>
          <w:trHeight w:val="315"/>
        </w:trPr>
        <w:tc>
          <w:tcPr>
            <w:tcW w:w="3900" w:type="dxa"/>
            <w:tcBorders>
              <w:top w:val="nil"/>
              <w:left w:val="nil"/>
              <w:bottom w:val="single" w:sz="4" w:space="0" w:color="ADD6EA"/>
              <w:right w:val="nil"/>
            </w:tcBorders>
            <w:shd w:val="clear" w:color="auto" w:fill="auto"/>
            <w:noWrap/>
            <w:vAlign w:val="bottom"/>
            <w:hideMark/>
          </w:tcPr>
          <w:p w14:paraId="6C92104D" w14:textId="77777777" w:rsidR="007E365E" w:rsidRPr="00A7120C" w:rsidRDefault="007E365E" w:rsidP="007D1D77">
            <w:pPr>
              <w:tabs>
                <w:tab w:val="clear" w:pos="567"/>
              </w:tabs>
              <w:spacing w:before="0" w:line="240" w:lineRule="auto"/>
              <w:rPr>
                <w:rFonts w:eastAsia="Times New Roman" w:cs="Open Sans Light"/>
                <w:sz w:val="16"/>
                <w:szCs w:val="16"/>
                <w:lang w:eastAsia="en-AU"/>
              </w:rPr>
            </w:pPr>
            <w:r w:rsidRPr="00A7120C">
              <w:rPr>
                <w:rFonts w:eastAsia="Times New Roman" w:cs="Open Sans Light"/>
                <w:sz w:val="16"/>
                <w:szCs w:val="16"/>
                <w:lang w:eastAsia="en-AU"/>
              </w:rPr>
              <w:t>Proportion of total operating expenses (%)</w:t>
            </w:r>
          </w:p>
        </w:tc>
        <w:tc>
          <w:tcPr>
            <w:tcW w:w="1260" w:type="dxa"/>
            <w:tcBorders>
              <w:top w:val="nil"/>
              <w:left w:val="nil"/>
              <w:bottom w:val="single" w:sz="4" w:space="0" w:color="ADD6EA"/>
              <w:right w:val="nil"/>
            </w:tcBorders>
            <w:shd w:val="clear" w:color="auto" w:fill="auto"/>
            <w:noWrap/>
            <w:vAlign w:val="bottom"/>
            <w:hideMark/>
          </w:tcPr>
          <w:p w14:paraId="3A88571B" w14:textId="77777777" w:rsidR="007E365E" w:rsidRPr="00A7120C" w:rsidRDefault="007E365E" w:rsidP="007D1D77">
            <w:pPr>
              <w:tabs>
                <w:tab w:val="clear" w:pos="567"/>
              </w:tabs>
              <w:spacing w:before="0" w:line="240" w:lineRule="auto"/>
              <w:jc w:val="right"/>
              <w:rPr>
                <w:rFonts w:eastAsia="Times New Roman" w:cs="Open Sans Light"/>
                <w:sz w:val="16"/>
                <w:szCs w:val="16"/>
                <w:lang w:eastAsia="en-AU"/>
              </w:rPr>
            </w:pPr>
            <w:r w:rsidRPr="00A7120C">
              <w:rPr>
                <w:rFonts w:eastAsia="Times New Roman" w:cs="Open Sans Light"/>
                <w:sz w:val="16"/>
                <w:szCs w:val="16"/>
                <w:lang w:eastAsia="en-AU"/>
              </w:rPr>
              <w:t>12.8</w:t>
            </w:r>
          </w:p>
        </w:tc>
        <w:tc>
          <w:tcPr>
            <w:tcW w:w="1260" w:type="dxa"/>
            <w:tcBorders>
              <w:top w:val="nil"/>
              <w:left w:val="nil"/>
              <w:bottom w:val="single" w:sz="4" w:space="0" w:color="ADD6EA"/>
              <w:right w:val="nil"/>
            </w:tcBorders>
            <w:shd w:val="clear" w:color="auto" w:fill="auto"/>
            <w:noWrap/>
            <w:vAlign w:val="bottom"/>
            <w:hideMark/>
          </w:tcPr>
          <w:p w14:paraId="1B826779" w14:textId="77777777" w:rsidR="007E365E" w:rsidRPr="00A7120C" w:rsidRDefault="007E365E" w:rsidP="007D1D77">
            <w:pPr>
              <w:tabs>
                <w:tab w:val="clear" w:pos="567"/>
              </w:tabs>
              <w:spacing w:before="0" w:line="240" w:lineRule="auto"/>
              <w:jc w:val="right"/>
              <w:rPr>
                <w:rFonts w:eastAsia="Times New Roman" w:cs="Open Sans Light"/>
                <w:sz w:val="16"/>
                <w:szCs w:val="16"/>
                <w:lang w:eastAsia="en-AU"/>
              </w:rPr>
            </w:pPr>
            <w:r w:rsidRPr="00A7120C">
              <w:rPr>
                <w:rFonts w:eastAsia="Times New Roman" w:cs="Open Sans Light"/>
                <w:sz w:val="16"/>
                <w:szCs w:val="16"/>
                <w:lang w:eastAsia="en-AU"/>
              </w:rPr>
              <w:t>12.2</w:t>
            </w:r>
          </w:p>
        </w:tc>
        <w:tc>
          <w:tcPr>
            <w:tcW w:w="1260" w:type="dxa"/>
            <w:tcBorders>
              <w:top w:val="nil"/>
              <w:left w:val="nil"/>
              <w:bottom w:val="single" w:sz="4" w:space="0" w:color="ADD6EA"/>
              <w:right w:val="nil"/>
            </w:tcBorders>
            <w:shd w:val="clear" w:color="auto" w:fill="auto"/>
            <w:noWrap/>
            <w:vAlign w:val="bottom"/>
            <w:hideMark/>
          </w:tcPr>
          <w:p w14:paraId="74C85D6D" w14:textId="77777777" w:rsidR="007E365E" w:rsidRPr="00A7120C" w:rsidRDefault="007E365E" w:rsidP="007D1D77">
            <w:pPr>
              <w:tabs>
                <w:tab w:val="clear" w:pos="567"/>
              </w:tabs>
              <w:spacing w:before="0" w:line="240" w:lineRule="auto"/>
              <w:jc w:val="right"/>
              <w:rPr>
                <w:rFonts w:eastAsia="Times New Roman" w:cs="Open Sans Light"/>
                <w:sz w:val="16"/>
                <w:szCs w:val="16"/>
                <w:lang w:eastAsia="en-AU"/>
              </w:rPr>
            </w:pPr>
            <w:r w:rsidRPr="00A7120C">
              <w:rPr>
                <w:rFonts w:eastAsia="Times New Roman" w:cs="Open Sans Light"/>
                <w:sz w:val="16"/>
                <w:szCs w:val="16"/>
                <w:lang w:eastAsia="en-AU"/>
              </w:rPr>
              <w:t>12.4</w:t>
            </w:r>
          </w:p>
        </w:tc>
        <w:tc>
          <w:tcPr>
            <w:tcW w:w="1260" w:type="dxa"/>
            <w:tcBorders>
              <w:top w:val="nil"/>
              <w:left w:val="nil"/>
              <w:bottom w:val="single" w:sz="4" w:space="0" w:color="ADD6EA"/>
              <w:right w:val="nil"/>
            </w:tcBorders>
            <w:shd w:val="clear" w:color="auto" w:fill="auto"/>
            <w:noWrap/>
            <w:vAlign w:val="bottom"/>
            <w:hideMark/>
          </w:tcPr>
          <w:p w14:paraId="45B521F2" w14:textId="77777777" w:rsidR="007E365E" w:rsidRPr="00A7120C" w:rsidRDefault="007E365E" w:rsidP="007D1D77">
            <w:pPr>
              <w:tabs>
                <w:tab w:val="clear" w:pos="567"/>
              </w:tabs>
              <w:spacing w:before="0" w:line="240" w:lineRule="auto"/>
              <w:jc w:val="right"/>
              <w:rPr>
                <w:rFonts w:eastAsia="Times New Roman" w:cs="Open Sans Light"/>
                <w:sz w:val="16"/>
                <w:szCs w:val="16"/>
                <w:lang w:eastAsia="en-AU"/>
              </w:rPr>
            </w:pPr>
            <w:r w:rsidRPr="00A7120C">
              <w:rPr>
                <w:rFonts w:eastAsia="Times New Roman" w:cs="Open Sans Light"/>
                <w:sz w:val="16"/>
                <w:szCs w:val="16"/>
                <w:lang w:eastAsia="en-AU"/>
              </w:rPr>
              <w:t>11.7</w:t>
            </w:r>
          </w:p>
        </w:tc>
      </w:tr>
    </w:tbl>
    <w:p w14:paraId="5C4A541C" w14:textId="77777777" w:rsidR="007E365E" w:rsidRPr="00542984" w:rsidRDefault="007E365E" w:rsidP="007E365E">
      <w:pPr>
        <w:pStyle w:val="CGCTablenote"/>
      </w:pPr>
      <w:r w:rsidRPr="00542984">
        <w:t>Note:</w:t>
      </w:r>
      <w:r w:rsidRPr="00542984">
        <w:tab/>
        <w:t xml:space="preserve">Expenses shown on a net basis. </w:t>
      </w:r>
    </w:p>
    <w:p w14:paraId="2A899003" w14:textId="77777777" w:rsidR="007E365E" w:rsidRPr="00542984" w:rsidRDefault="007E365E" w:rsidP="007E365E">
      <w:pPr>
        <w:pStyle w:val="CGCTablenote"/>
      </w:pPr>
      <w:r w:rsidRPr="00542984">
        <w:t>Source:</w:t>
      </w:r>
      <w:r w:rsidRPr="00542984">
        <w:tab/>
        <w:t xml:space="preserve">Commission calculation using </w:t>
      </w:r>
      <w:r>
        <w:t>A</w:t>
      </w:r>
      <w:r w:rsidRPr="00302BC8">
        <w:t xml:space="preserve">ustralian </w:t>
      </w:r>
      <w:r>
        <w:t>B</w:t>
      </w:r>
      <w:r w:rsidRPr="00302BC8">
        <w:t xml:space="preserve">ureau of </w:t>
      </w:r>
      <w:r>
        <w:t>S</w:t>
      </w:r>
      <w:r w:rsidRPr="00302BC8">
        <w:t>tatistics</w:t>
      </w:r>
      <w:r>
        <w:t xml:space="preserve"> (</w:t>
      </w:r>
      <w:r w:rsidRPr="00F82513">
        <w:t>ABS</w:t>
      </w:r>
      <w:r>
        <w:t>)</w:t>
      </w:r>
      <w:r w:rsidRPr="00F82513">
        <w:t xml:space="preserve"> </w:t>
      </w:r>
      <w:r w:rsidRPr="00542984">
        <w:t>Government Finance Statistics (GFS) and State budget data.</w:t>
      </w:r>
    </w:p>
    <w:p w14:paraId="7A6694C2" w14:textId="77777777" w:rsidR="007E365E" w:rsidRPr="00542984" w:rsidRDefault="007E365E" w:rsidP="007E365E">
      <w:pPr>
        <w:pStyle w:val="CGCParaNumber"/>
      </w:pPr>
      <w:r w:rsidRPr="00542984">
        <w:t>User charges were $6.0 billion in 2018-19. They mainly included fire and emergency services levies (FESLs) and revenue related to cultural and recreational services such as museum entry fees.</w:t>
      </w:r>
      <w:r w:rsidRPr="00542984">
        <w:rPr>
          <w:rStyle w:val="FootnoteReference"/>
        </w:rPr>
        <w:footnoteReference w:id="67"/>
      </w:r>
      <w:r w:rsidRPr="00542984">
        <w:t xml:space="preserve"> In this category, user charges are deducted from total category expenses so that the assessment only applies to net category expenses.</w:t>
      </w:r>
    </w:p>
    <w:p w14:paraId="4C65D63B" w14:textId="6F34F952" w:rsidR="007E365E" w:rsidRPr="00542984" w:rsidRDefault="007E365E" w:rsidP="007E365E">
      <w:pPr>
        <w:pStyle w:val="Caption"/>
      </w:pPr>
      <w:r w:rsidRPr="00542984">
        <w:t xml:space="preserve">Table </w:t>
      </w:r>
      <w:r>
        <w:t>23-</w:t>
      </w:r>
      <w:fldSimple w:instr=" SEQ Table \* ARABIC ">
        <w:r w:rsidR="007F721A">
          <w:rPr>
            <w:noProof/>
          </w:rPr>
          <w:t>3</w:t>
        </w:r>
      </w:fldSimple>
      <w:r w:rsidRPr="00542984">
        <w:tab/>
        <w:t>Other expenses, user charges, 2018</w:t>
      </w:r>
      <w:r w:rsidRPr="00542984">
        <w:noBreakHyphen/>
        <w:t>19</w:t>
      </w:r>
    </w:p>
    <w:tbl>
      <w:tblPr>
        <w:tblW w:w="8940" w:type="dxa"/>
        <w:tblCellMar>
          <w:left w:w="28" w:type="dxa"/>
          <w:right w:w="28" w:type="dxa"/>
        </w:tblCellMar>
        <w:tblLook w:val="04A0" w:firstRow="1" w:lastRow="0" w:firstColumn="1" w:lastColumn="0" w:noHBand="0" w:noVBand="1"/>
      </w:tblPr>
      <w:tblGrid>
        <w:gridCol w:w="2360"/>
        <w:gridCol w:w="720"/>
        <w:gridCol w:w="720"/>
        <w:gridCol w:w="720"/>
        <w:gridCol w:w="720"/>
        <w:gridCol w:w="720"/>
        <w:gridCol w:w="720"/>
        <w:gridCol w:w="720"/>
        <w:gridCol w:w="720"/>
        <w:gridCol w:w="820"/>
      </w:tblGrid>
      <w:tr w:rsidR="007E365E" w:rsidRPr="006C1EA3" w14:paraId="080AEC92" w14:textId="77777777" w:rsidTr="007D1D77">
        <w:trPr>
          <w:trHeight w:val="379"/>
        </w:trPr>
        <w:tc>
          <w:tcPr>
            <w:tcW w:w="2360" w:type="dxa"/>
            <w:tcBorders>
              <w:top w:val="nil"/>
              <w:left w:val="nil"/>
              <w:bottom w:val="nil"/>
              <w:right w:val="nil"/>
            </w:tcBorders>
            <w:shd w:val="clear" w:color="000000" w:fill="006991"/>
            <w:vAlign w:val="center"/>
            <w:hideMark/>
          </w:tcPr>
          <w:p w14:paraId="79D863BB" w14:textId="77777777" w:rsidR="007E365E" w:rsidRPr="006C1EA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1EA3">
              <w:rPr>
                <w:rFonts w:ascii="Open Sans SemiBold" w:eastAsia="Times New Roman" w:hAnsi="Open Sans SemiBold" w:cs="Open Sans SemiBold"/>
                <w:color w:val="FFFFFF"/>
                <w:sz w:val="16"/>
                <w:szCs w:val="16"/>
                <w:lang w:eastAsia="en-AU"/>
              </w:rPr>
              <w:t> </w:t>
            </w:r>
          </w:p>
        </w:tc>
        <w:tc>
          <w:tcPr>
            <w:tcW w:w="720" w:type="dxa"/>
            <w:tcBorders>
              <w:top w:val="nil"/>
              <w:left w:val="nil"/>
              <w:bottom w:val="nil"/>
              <w:right w:val="nil"/>
            </w:tcBorders>
            <w:shd w:val="clear" w:color="000000" w:fill="006991"/>
            <w:vAlign w:val="center"/>
            <w:hideMark/>
          </w:tcPr>
          <w:p w14:paraId="7D76F604" w14:textId="77777777" w:rsidR="007E365E" w:rsidRPr="006C1EA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1EA3">
              <w:rPr>
                <w:rFonts w:ascii="Open Sans SemiBold" w:eastAsia="Times New Roman" w:hAnsi="Open Sans SemiBold" w:cs="Open Sans SemiBold"/>
                <w:color w:val="FFFFFF"/>
                <w:sz w:val="16"/>
                <w:szCs w:val="16"/>
                <w:lang w:eastAsia="en-AU"/>
              </w:rPr>
              <w:t>NSW</w:t>
            </w:r>
          </w:p>
        </w:tc>
        <w:tc>
          <w:tcPr>
            <w:tcW w:w="720" w:type="dxa"/>
            <w:tcBorders>
              <w:top w:val="nil"/>
              <w:left w:val="nil"/>
              <w:bottom w:val="nil"/>
              <w:right w:val="nil"/>
            </w:tcBorders>
            <w:shd w:val="clear" w:color="000000" w:fill="006991"/>
            <w:vAlign w:val="center"/>
            <w:hideMark/>
          </w:tcPr>
          <w:p w14:paraId="57C8E5AC" w14:textId="77777777" w:rsidR="007E365E" w:rsidRPr="006C1EA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1EA3">
              <w:rPr>
                <w:rFonts w:ascii="Open Sans SemiBold" w:eastAsia="Times New Roman" w:hAnsi="Open Sans SemiBold" w:cs="Open Sans SemiBold"/>
                <w:color w:val="FFFFFF"/>
                <w:sz w:val="16"/>
                <w:szCs w:val="16"/>
                <w:lang w:eastAsia="en-AU"/>
              </w:rPr>
              <w:t>Vic</w:t>
            </w:r>
          </w:p>
        </w:tc>
        <w:tc>
          <w:tcPr>
            <w:tcW w:w="720" w:type="dxa"/>
            <w:tcBorders>
              <w:top w:val="nil"/>
              <w:left w:val="nil"/>
              <w:bottom w:val="nil"/>
              <w:right w:val="nil"/>
            </w:tcBorders>
            <w:shd w:val="clear" w:color="000000" w:fill="006991"/>
            <w:vAlign w:val="center"/>
            <w:hideMark/>
          </w:tcPr>
          <w:p w14:paraId="511FD8D1" w14:textId="77777777" w:rsidR="007E365E" w:rsidRPr="006C1EA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1EA3">
              <w:rPr>
                <w:rFonts w:ascii="Open Sans SemiBold" w:eastAsia="Times New Roman" w:hAnsi="Open Sans SemiBold" w:cs="Open Sans SemiBold"/>
                <w:color w:val="FFFFFF"/>
                <w:sz w:val="16"/>
                <w:szCs w:val="16"/>
                <w:lang w:eastAsia="en-AU"/>
              </w:rPr>
              <w:t>Qld</w:t>
            </w:r>
          </w:p>
        </w:tc>
        <w:tc>
          <w:tcPr>
            <w:tcW w:w="720" w:type="dxa"/>
            <w:tcBorders>
              <w:top w:val="nil"/>
              <w:left w:val="nil"/>
              <w:bottom w:val="nil"/>
              <w:right w:val="nil"/>
            </w:tcBorders>
            <w:shd w:val="clear" w:color="000000" w:fill="006991"/>
            <w:vAlign w:val="center"/>
            <w:hideMark/>
          </w:tcPr>
          <w:p w14:paraId="4DCDA1E4" w14:textId="77777777" w:rsidR="007E365E" w:rsidRPr="006C1EA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1EA3">
              <w:rPr>
                <w:rFonts w:ascii="Open Sans SemiBold" w:eastAsia="Times New Roman" w:hAnsi="Open Sans SemiBold" w:cs="Open Sans SemiBold"/>
                <w:color w:val="FFFFFF"/>
                <w:sz w:val="16"/>
                <w:szCs w:val="16"/>
                <w:lang w:eastAsia="en-AU"/>
              </w:rPr>
              <w:t>WA</w:t>
            </w:r>
          </w:p>
        </w:tc>
        <w:tc>
          <w:tcPr>
            <w:tcW w:w="720" w:type="dxa"/>
            <w:tcBorders>
              <w:top w:val="nil"/>
              <w:left w:val="nil"/>
              <w:bottom w:val="nil"/>
              <w:right w:val="nil"/>
            </w:tcBorders>
            <w:shd w:val="clear" w:color="000000" w:fill="006991"/>
            <w:vAlign w:val="center"/>
            <w:hideMark/>
          </w:tcPr>
          <w:p w14:paraId="64C88B1B" w14:textId="77777777" w:rsidR="007E365E" w:rsidRPr="006C1EA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1EA3">
              <w:rPr>
                <w:rFonts w:ascii="Open Sans SemiBold" w:eastAsia="Times New Roman" w:hAnsi="Open Sans SemiBold" w:cs="Open Sans SemiBold"/>
                <w:color w:val="FFFFFF"/>
                <w:sz w:val="16"/>
                <w:szCs w:val="16"/>
                <w:lang w:eastAsia="en-AU"/>
              </w:rPr>
              <w:t>SA</w:t>
            </w:r>
          </w:p>
        </w:tc>
        <w:tc>
          <w:tcPr>
            <w:tcW w:w="720" w:type="dxa"/>
            <w:tcBorders>
              <w:top w:val="nil"/>
              <w:left w:val="nil"/>
              <w:bottom w:val="nil"/>
              <w:right w:val="nil"/>
            </w:tcBorders>
            <w:shd w:val="clear" w:color="000000" w:fill="006991"/>
            <w:vAlign w:val="center"/>
            <w:hideMark/>
          </w:tcPr>
          <w:p w14:paraId="7C8D7E7F" w14:textId="77777777" w:rsidR="007E365E" w:rsidRPr="006C1EA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1EA3">
              <w:rPr>
                <w:rFonts w:ascii="Open Sans SemiBold" w:eastAsia="Times New Roman" w:hAnsi="Open Sans SemiBold" w:cs="Open Sans SemiBold"/>
                <w:color w:val="FFFFFF"/>
                <w:sz w:val="16"/>
                <w:szCs w:val="16"/>
                <w:lang w:eastAsia="en-AU"/>
              </w:rPr>
              <w:t>Tas</w:t>
            </w:r>
          </w:p>
        </w:tc>
        <w:tc>
          <w:tcPr>
            <w:tcW w:w="720" w:type="dxa"/>
            <w:tcBorders>
              <w:top w:val="nil"/>
              <w:left w:val="nil"/>
              <w:bottom w:val="nil"/>
              <w:right w:val="nil"/>
            </w:tcBorders>
            <w:shd w:val="clear" w:color="000000" w:fill="006991"/>
            <w:vAlign w:val="center"/>
            <w:hideMark/>
          </w:tcPr>
          <w:p w14:paraId="5B3AB95C" w14:textId="77777777" w:rsidR="007E365E" w:rsidRPr="006C1EA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1EA3">
              <w:rPr>
                <w:rFonts w:ascii="Open Sans SemiBold" w:eastAsia="Times New Roman" w:hAnsi="Open Sans SemiBold" w:cs="Open Sans SemiBold"/>
                <w:color w:val="FFFFFF"/>
                <w:sz w:val="16"/>
                <w:szCs w:val="16"/>
                <w:lang w:eastAsia="en-AU"/>
              </w:rPr>
              <w:t>ACT</w:t>
            </w:r>
          </w:p>
        </w:tc>
        <w:tc>
          <w:tcPr>
            <w:tcW w:w="720" w:type="dxa"/>
            <w:tcBorders>
              <w:top w:val="nil"/>
              <w:left w:val="nil"/>
              <w:bottom w:val="nil"/>
              <w:right w:val="nil"/>
            </w:tcBorders>
            <w:shd w:val="clear" w:color="000000" w:fill="006991"/>
            <w:vAlign w:val="center"/>
            <w:hideMark/>
          </w:tcPr>
          <w:p w14:paraId="76E5D58F" w14:textId="77777777" w:rsidR="007E365E" w:rsidRPr="006C1EA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1EA3">
              <w:rPr>
                <w:rFonts w:ascii="Open Sans SemiBold" w:eastAsia="Times New Roman" w:hAnsi="Open Sans SemiBold" w:cs="Open Sans SemiBold"/>
                <w:color w:val="FFFFFF"/>
                <w:sz w:val="16"/>
                <w:szCs w:val="16"/>
                <w:lang w:eastAsia="en-AU"/>
              </w:rPr>
              <w:t>NT</w:t>
            </w:r>
          </w:p>
        </w:tc>
        <w:tc>
          <w:tcPr>
            <w:tcW w:w="820" w:type="dxa"/>
            <w:tcBorders>
              <w:top w:val="nil"/>
              <w:left w:val="nil"/>
              <w:bottom w:val="nil"/>
              <w:right w:val="nil"/>
            </w:tcBorders>
            <w:shd w:val="clear" w:color="000000" w:fill="006991"/>
            <w:vAlign w:val="center"/>
            <w:hideMark/>
          </w:tcPr>
          <w:p w14:paraId="6A3ED8AA" w14:textId="77777777" w:rsidR="007E365E" w:rsidRPr="006C1EA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C1EA3">
              <w:rPr>
                <w:rFonts w:ascii="Open Sans SemiBold" w:eastAsia="Times New Roman" w:hAnsi="Open Sans SemiBold" w:cs="Open Sans SemiBold"/>
                <w:color w:val="FFFFFF"/>
                <w:sz w:val="16"/>
                <w:szCs w:val="16"/>
                <w:lang w:eastAsia="en-AU"/>
              </w:rPr>
              <w:t>Total</w:t>
            </w:r>
          </w:p>
        </w:tc>
      </w:tr>
      <w:tr w:rsidR="007E365E" w:rsidRPr="006C1EA3" w14:paraId="6CA0CF0F" w14:textId="77777777" w:rsidTr="007D1D77">
        <w:trPr>
          <w:trHeight w:val="315"/>
        </w:trPr>
        <w:tc>
          <w:tcPr>
            <w:tcW w:w="2360" w:type="dxa"/>
            <w:tcBorders>
              <w:top w:val="single" w:sz="4" w:space="0" w:color="ADD6EA"/>
              <w:left w:val="nil"/>
              <w:bottom w:val="single" w:sz="4" w:space="0" w:color="ADD6EA"/>
              <w:right w:val="nil"/>
            </w:tcBorders>
            <w:shd w:val="clear" w:color="auto" w:fill="auto"/>
            <w:noWrap/>
            <w:vAlign w:val="bottom"/>
            <w:hideMark/>
          </w:tcPr>
          <w:p w14:paraId="2622455A" w14:textId="77777777" w:rsidR="007E365E" w:rsidRPr="006C1EA3" w:rsidRDefault="007E365E" w:rsidP="007D1D77">
            <w:pPr>
              <w:tabs>
                <w:tab w:val="clear" w:pos="567"/>
              </w:tabs>
              <w:spacing w:before="0" w:line="240" w:lineRule="auto"/>
              <w:rPr>
                <w:rFonts w:eastAsia="Times New Roman" w:cs="Open Sans Light"/>
                <w:sz w:val="16"/>
                <w:szCs w:val="16"/>
                <w:lang w:eastAsia="en-AU"/>
              </w:rPr>
            </w:pPr>
            <w:r w:rsidRPr="006C1EA3">
              <w:rPr>
                <w:rFonts w:eastAsia="Times New Roman" w:cs="Open Sans Light"/>
                <w:sz w:val="16"/>
                <w:szCs w:val="16"/>
                <w:lang w:eastAsia="en-AU"/>
              </w:rPr>
              <w:t>Revenue ($m)</w:t>
            </w:r>
          </w:p>
        </w:tc>
        <w:tc>
          <w:tcPr>
            <w:tcW w:w="720" w:type="dxa"/>
            <w:tcBorders>
              <w:top w:val="single" w:sz="4" w:space="0" w:color="ADD6EA"/>
              <w:left w:val="nil"/>
              <w:bottom w:val="single" w:sz="4" w:space="0" w:color="ADD6EA"/>
              <w:right w:val="nil"/>
            </w:tcBorders>
            <w:shd w:val="clear" w:color="auto" w:fill="auto"/>
            <w:noWrap/>
            <w:vAlign w:val="bottom"/>
            <w:hideMark/>
          </w:tcPr>
          <w:p w14:paraId="0BCB5CE6"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2,233</w:t>
            </w:r>
          </w:p>
        </w:tc>
        <w:tc>
          <w:tcPr>
            <w:tcW w:w="720" w:type="dxa"/>
            <w:tcBorders>
              <w:top w:val="single" w:sz="4" w:space="0" w:color="ADD6EA"/>
              <w:left w:val="nil"/>
              <w:bottom w:val="single" w:sz="4" w:space="0" w:color="ADD6EA"/>
              <w:right w:val="nil"/>
            </w:tcBorders>
            <w:shd w:val="clear" w:color="auto" w:fill="auto"/>
            <w:noWrap/>
            <w:vAlign w:val="bottom"/>
            <w:hideMark/>
          </w:tcPr>
          <w:p w14:paraId="13B796CF"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832</w:t>
            </w:r>
          </w:p>
        </w:tc>
        <w:tc>
          <w:tcPr>
            <w:tcW w:w="720" w:type="dxa"/>
            <w:tcBorders>
              <w:top w:val="single" w:sz="4" w:space="0" w:color="ADD6EA"/>
              <w:left w:val="nil"/>
              <w:bottom w:val="single" w:sz="4" w:space="0" w:color="ADD6EA"/>
              <w:right w:val="nil"/>
            </w:tcBorders>
            <w:shd w:val="clear" w:color="auto" w:fill="auto"/>
            <w:noWrap/>
            <w:vAlign w:val="bottom"/>
            <w:hideMark/>
          </w:tcPr>
          <w:p w14:paraId="05213FF8"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1,261</w:t>
            </w:r>
          </w:p>
        </w:tc>
        <w:tc>
          <w:tcPr>
            <w:tcW w:w="720" w:type="dxa"/>
            <w:tcBorders>
              <w:top w:val="single" w:sz="4" w:space="0" w:color="ADD6EA"/>
              <w:left w:val="nil"/>
              <w:bottom w:val="single" w:sz="4" w:space="0" w:color="ADD6EA"/>
              <w:right w:val="nil"/>
            </w:tcBorders>
            <w:shd w:val="clear" w:color="auto" w:fill="auto"/>
            <w:noWrap/>
            <w:vAlign w:val="bottom"/>
            <w:hideMark/>
          </w:tcPr>
          <w:p w14:paraId="679FCC7B"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733</w:t>
            </w:r>
          </w:p>
        </w:tc>
        <w:tc>
          <w:tcPr>
            <w:tcW w:w="720" w:type="dxa"/>
            <w:tcBorders>
              <w:top w:val="single" w:sz="4" w:space="0" w:color="ADD6EA"/>
              <w:left w:val="nil"/>
              <w:bottom w:val="single" w:sz="4" w:space="0" w:color="ADD6EA"/>
              <w:right w:val="nil"/>
            </w:tcBorders>
            <w:shd w:val="clear" w:color="auto" w:fill="auto"/>
            <w:noWrap/>
            <w:vAlign w:val="bottom"/>
            <w:hideMark/>
          </w:tcPr>
          <w:p w14:paraId="78747E25"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565</w:t>
            </w:r>
          </w:p>
        </w:tc>
        <w:tc>
          <w:tcPr>
            <w:tcW w:w="720" w:type="dxa"/>
            <w:tcBorders>
              <w:top w:val="single" w:sz="4" w:space="0" w:color="ADD6EA"/>
              <w:left w:val="nil"/>
              <w:bottom w:val="single" w:sz="4" w:space="0" w:color="ADD6EA"/>
              <w:right w:val="nil"/>
            </w:tcBorders>
            <w:shd w:val="clear" w:color="auto" w:fill="auto"/>
            <w:noWrap/>
            <w:vAlign w:val="bottom"/>
            <w:hideMark/>
          </w:tcPr>
          <w:p w14:paraId="28184E20"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138</w:t>
            </w:r>
          </w:p>
        </w:tc>
        <w:tc>
          <w:tcPr>
            <w:tcW w:w="720" w:type="dxa"/>
            <w:tcBorders>
              <w:top w:val="single" w:sz="4" w:space="0" w:color="ADD6EA"/>
              <w:left w:val="nil"/>
              <w:bottom w:val="single" w:sz="4" w:space="0" w:color="ADD6EA"/>
              <w:right w:val="nil"/>
            </w:tcBorders>
            <w:shd w:val="clear" w:color="auto" w:fill="auto"/>
            <w:noWrap/>
            <w:vAlign w:val="bottom"/>
            <w:hideMark/>
          </w:tcPr>
          <w:p w14:paraId="4779DEB1"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218</w:t>
            </w:r>
          </w:p>
        </w:tc>
        <w:tc>
          <w:tcPr>
            <w:tcW w:w="720" w:type="dxa"/>
            <w:tcBorders>
              <w:top w:val="single" w:sz="4" w:space="0" w:color="ADD6EA"/>
              <w:left w:val="nil"/>
              <w:bottom w:val="single" w:sz="4" w:space="0" w:color="ADD6EA"/>
              <w:right w:val="nil"/>
            </w:tcBorders>
            <w:shd w:val="clear" w:color="auto" w:fill="auto"/>
            <w:noWrap/>
            <w:vAlign w:val="bottom"/>
            <w:hideMark/>
          </w:tcPr>
          <w:p w14:paraId="29610791"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17</w:t>
            </w:r>
          </w:p>
        </w:tc>
        <w:tc>
          <w:tcPr>
            <w:tcW w:w="820" w:type="dxa"/>
            <w:tcBorders>
              <w:top w:val="single" w:sz="4" w:space="0" w:color="ADD6EA"/>
              <w:left w:val="nil"/>
              <w:bottom w:val="single" w:sz="4" w:space="0" w:color="ADD6EA"/>
              <w:right w:val="nil"/>
            </w:tcBorders>
            <w:shd w:val="clear" w:color="auto" w:fill="auto"/>
            <w:noWrap/>
            <w:vAlign w:val="bottom"/>
            <w:hideMark/>
          </w:tcPr>
          <w:p w14:paraId="0A6C024C"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5,998</w:t>
            </w:r>
          </w:p>
        </w:tc>
      </w:tr>
      <w:tr w:rsidR="007E365E" w:rsidRPr="006C1EA3" w14:paraId="73B8EF24" w14:textId="77777777" w:rsidTr="007D1D77">
        <w:trPr>
          <w:trHeight w:val="315"/>
        </w:trPr>
        <w:tc>
          <w:tcPr>
            <w:tcW w:w="2360" w:type="dxa"/>
            <w:tcBorders>
              <w:top w:val="nil"/>
              <w:left w:val="nil"/>
              <w:bottom w:val="single" w:sz="4" w:space="0" w:color="ADD6EA"/>
              <w:right w:val="nil"/>
            </w:tcBorders>
            <w:shd w:val="clear" w:color="auto" w:fill="auto"/>
            <w:noWrap/>
            <w:vAlign w:val="bottom"/>
            <w:hideMark/>
          </w:tcPr>
          <w:p w14:paraId="70346E27" w14:textId="77777777" w:rsidR="007E365E" w:rsidRPr="006C1EA3" w:rsidRDefault="007E365E" w:rsidP="007D1D77">
            <w:pPr>
              <w:tabs>
                <w:tab w:val="clear" w:pos="567"/>
              </w:tabs>
              <w:spacing w:before="0" w:line="240" w:lineRule="auto"/>
              <w:rPr>
                <w:rFonts w:eastAsia="Times New Roman" w:cs="Open Sans Light"/>
                <w:sz w:val="16"/>
                <w:szCs w:val="16"/>
                <w:lang w:eastAsia="en-AU"/>
              </w:rPr>
            </w:pPr>
            <w:r w:rsidRPr="006C1EA3">
              <w:rPr>
                <w:rFonts w:eastAsia="Times New Roman" w:cs="Open Sans Light"/>
                <w:sz w:val="16"/>
                <w:szCs w:val="16"/>
                <w:lang w:eastAsia="en-AU"/>
              </w:rPr>
              <w:t>Revenue ($pc)</w:t>
            </w:r>
          </w:p>
        </w:tc>
        <w:tc>
          <w:tcPr>
            <w:tcW w:w="720" w:type="dxa"/>
            <w:tcBorders>
              <w:top w:val="nil"/>
              <w:left w:val="nil"/>
              <w:bottom w:val="single" w:sz="4" w:space="0" w:color="ADD6EA"/>
              <w:right w:val="nil"/>
            </w:tcBorders>
            <w:shd w:val="clear" w:color="auto" w:fill="auto"/>
            <w:noWrap/>
            <w:vAlign w:val="bottom"/>
            <w:hideMark/>
          </w:tcPr>
          <w:p w14:paraId="2672CA2D"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278</w:t>
            </w:r>
          </w:p>
        </w:tc>
        <w:tc>
          <w:tcPr>
            <w:tcW w:w="720" w:type="dxa"/>
            <w:tcBorders>
              <w:top w:val="nil"/>
              <w:left w:val="nil"/>
              <w:bottom w:val="single" w:sz="4" w:space="0" w:color="ADD6EA"/>
              <w:right w:val="nil"/>
            </w:tcBorders>
            <w:shd w:val="clear" w:color="auto" w:fill="auto"/>
            <w:noWrap/>
            <w:vAlign w:val="bottom"/>
            <w:hideMark/>
          </w:tcPr>
          <w:p w14:paraId="1CC2EB81"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128</w:t>
            </w:r>
          </w:p>
        </w:tc>
        <w:tc>
          <w:tcPr>
            <w:tcW w:w="720" w:type="dxa"/>
            <w:tcBorders>
              <w:top w:val="nil"/>
              <w:left w:val="nil"/>
              <w:bottom w:val="single" w:sz="4" w:space="0" w:color="ADD6EA"/>
              <w:right w:val="nil"/>
            </w:tcBorders>
            <w:shd w:val="clear" w:color="auto" w:fill="auto"/>
            <w:noWrap/>
            <w:vAlign w:val="bottom"/>
            <w:hideMark/>
          </w:tcPr>
          <w:p w14:paraId="7CD16E74"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250</w:t>
            </w:r>
          </w:p>
        </w:tc>
        <w:tc>
          <w:tcPr>
            <w:tcW w:w="720" w:type="dxa"/>
            <w:tcBorders>
              <w:top w:val="nil"/>
              <w:left w:val="nil"/>
              <w:bottom w:val="single" w:sz="4" w:space="0" w:color="ADD6EA"/>
              <w:right w:val="nil"/>
            </w:tcBorders>
            <w:shd w:val="clear" w:color="auto" w:fill="auto"/>
            <w:noWrap/>
            <w:vAlign w:val="bottom"/>
            <w:hideMark/>
          </w:tcPr>
          <w:p w14:paraId="098759FF"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281</w:t>
            </w:r>
          </w:p>
        </w:tc>
        <w:tc>
          <w:tcPr>
            <w:tcW w:w="720" w:type="dxa"/>
            <w:tcBorders>
              <w:top w:val="nil"/>
              <w:left w:val="nil"/>
              <w:bottom w:val="single" w:sz="4" w:space="0" w:color="ADD6EA"/>
              <w:right w:val="nil"/>
            </w:tcBorders>
            <w:shd w:val="clear" w:color="auto" w:fill="auto"/>
            <w:noWrap/>
            <w:vAlign w:val="bottom"/>
            <w:hideMark/>
          </w:tcPr>
          <w:p w14:paraId="289436DF"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324</w:t>
            </w:r>
          </w:p>
        </w:tc>
        <w:tc>
          <w:tcPr>
            <w:tcW w:w="720" w:type="dxa"/>
            <w:tcBorders>
              <w:top w:val="nil"/>
              <w:left w:val="nil"/>
              <w:bottom w:val="single" w:sz="4" w:space="0" w:color="ADD6EA"/>
              <w:right w:val="nil"/>
            </w:tcBorders>
            <w:shd w:val="clear" w:color="auto" w:fill="auto"/>
            <w:noWrap/>
            <w:vAlign w:val="bottom"/>
            <w:hideMark/>
          </w:tcPr>
          <w:p w14:paraId="5909DB6E"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260</w:t>
            </w:r>
          </w:p>
        </w:tc>
        <w:tc>
          <w:tcPr>
            <w:tcW w:w="720" w:type="dxa"/>
            <w:tcBorders>
              <w:top w:val="nil"/>
              <w:left w:val="nil"/>
              <w:bottom w:val="single" w:sz="4" w:space="0" w:color="ADD6EA"/>
              <w:right w:val="nil"/>
            </w:tcBorders>
            <w:shd w:val="clear" w:color="auto" w:fill="auto"/>
            <w:noWrap/>
            <w:vAlign w:val="bottom"/>
            <w:hideMark/>
          </w:tcPr>
          <w:p w14:paraId="6A3403AB"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515</w:t>
            </w:r>
          </w:p>
        </w:tc>
        <w:tc>
          <w:tcPr>
            <w:tcW w:w="720" w:type="dxa"/>
            <w:tcBorders>
              <w:top w:val="nil"/>
              <w:left w:val="nil"/>
              <w:bottom w:val="single" w:sz="4" w:space="0" w:color="ADD6EA"/>
              <w:right w:val="nil"/>
            </w:tcBorders>
            <w:shd w:val="clear" w:color="auto" w:fill="auto"/>
            <w:noWrap/>
            <w:vAlign w:val="bottom"/>
            <w:hideMark/>
          </w:tcPr>
          <w:p w14:paraId="687DA8DC"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69</w:t>
            </w:r>
          </w:p>
        </w:tc>
        <w:tc>
          <w:tcPr>
            <w:tcW w:w="820" w:type="dxa"/>
            <w:tcBorders>
              <w:top w:val="nil"/>
              <w:left w:val="nil"/>
              <w:bottom w:val="single" w:sz="4" w:space="0" w:color="ADD6EA"/>
              <w:right w:val="nil"/>
            </w:tcBorders>
            <w:shd w:val="clear" w:color="auto" w:fill="auto"/>
            <w:noWrap/>
            <w:vAlign w:val="bottom"/>
            <w:hideMark/>
          </w:tcPr>
          <w:p w14:paraId="37C3F5C9" w14:textId="77777777" w:rsidR="007E365E" w:rsidRPr="006C1EA3" w:rsidRDefault="007E365E" w:rsidP="007D1D77">
            <w:pPr>
              <w:tabs>
                <w:tab w:val="clear" w:pos="567"/>
              </w:tabs>
              <w:spacing w:before="0" w:line="240" w:lineRule="auto"/>
              <w:jc w:val="right"/>
              <w:rPr>
                <w:rFonts w:eastAsia="Times New Roman" w:cs="Open Sans Light"/>
                <w:sz w:val="16"/>
                <w:szCs w:val="16"/>
                <w:lang w:eastAsia="en-AU"/>
              </w:rPr>
            </w:pPr>
            <w:r w:rsidRPr="006C1EA3">
              <w:rPr>
                <w:rFonts w:eastAsia="Times New Roman" w:cs="Open Sans Light"/>
                <w:sz w:val="16"/>
                <w:szCs w:val="16"/>
                <w:lang w:eastAsia="en-AU"/>
              </w:rPr>
              <w:t>238</w:t>
            </w:r>
          </w:p>
        </w:tc>
      </w:tr>
    </w:tbl>
    <w:p w14:paraId="18BB3117" w14:textId="77777777" w:rsidR="007E365E" w:rsidRPr="00542984" w:rsidRDefault="007E365E" w:rsidP="007E365E">
      <w:pPr>
        <w:pStyle w:val="CGCTablenote"/>
      </w:pPr>
      <w:r w:rsidRPr="00542984">
        <w:t>Note:</w:t>
      </w:r>
      <w:r>
        <w:tab/>
      </w:r>
      <w:r w:rsidRPr="00542984">
        <w:t>User charges refer to revenue from the sale of goods and services classified in GFS to economic type framework (ETF) 112.</w:t>
      </w:r>
    </w:p>
    <w:p w14:paraId="60570051" w14:textId="77777777" w:rsidR="007E365E" w:rsidRPr="00542984" w:rsidRDefault="007E365E" w:rsidP="007E365E">
      <w:pPr>
        <w:pStyle w:val="CGCTablenote"/>
      </w:pPr>
      <w:r w:rsidRPr="00542984">
        <w:t>Source:</w:t>
      </w:r>
      <w:r w:rsidRPr="00542984">
        <w:tab/>
        <w:t xml:space="preserve">Commission calculation using ABS GFS and State budget data. </w:t>
      </w:r>
    </w:p>
    <w:p w14:paraId="04B40FC7" w14:textId="77777777" w:rsidR="007E365E" w:rsidRPr="00542984" w:rsidRDefault="007E365E" w:rsidP="007E365E">
      <w:pPr>
        <w:pStyle w:val="Heading4"/>
      </w:pPr>
      <w:bookmarkStart w:id="339" w:name="_Toc4764711"/>
      <w:r w:rsidRPr="00542984">
        <w:t>State roles and responsibilities</w:t>
      </w:r>
      <w:bookmarkEnd w:id="339"/>
    </w:p>
    <w:p w14:paraId="0ACDEB6F" w14:textId="77777777" w:rsidR="007E365E" w:rsidRPr="00542984" w:rsidRDefault="007E365E" w:rsidP="007E365E">
      <w:pPr>
        <w:pStyle w:val="CGCParaNumber"/>
      </w:pPr>
      <w:r w:rsidRPr="00542984">
        <w:t>The diversity of services in this category means there is also a diverse range of service delivery processes. Large proportions of the legislative and general administrative services and some cultural, recreation and communication services are delivered through major agencies and institutions located in metropolitan areas. Many cultural, recreational and public safety services are provided closer to where people live through State funding for local and community organisations or a network of State service delivery units.</w:t>
      </w:r>
    </w:p>
    <w:p w14:paraId="18CDC643" w14:textId="066F0BA4" w:rsidR="007E365E" w:rsidRPr="00542984" w:rsidRDefault="007E365E" w:rsidP="007E365E">
      <w:pPr>
        <w:pStyle w:val="Heading4"/>
      </w:pPr>
      <w:bookmarkStart w:id="340" w:name="_Toc4764712"/>
      <w:r w:rsidRPr="00542984">
        <w:t>Commonwealth roles and responsibilities</w:t>
      </w:r>
      <w:bookmarkEnd w:id="340"/>
      <w:r w:rsidRPr="00542984">
        <w:t xml:space="preserve"> </w:t>
      </w:r>
    </w:p>
    <w:p w14:paraId="293BB003" w14:textId="77777777" w:rsidR="007E365E" w:rsidRPr="00542984" w:rsidRDefault="007E365E" w:rsidP="007E365E">
      <w:pPr>
        <w:pStyle w:val="CGCParaNumber"/>
      </w:pPr>
      <w:r w:rsidRPr="00542984">
        <w:t xml:space="preserve">The Commonwealth provides funding to States to assist them in meeting their expenses. Most Commonwealth payments in the Other expenses category do not have an impact on the relativities. Some, like the general purpose assistance grants for local governments, are </w:t>
      </w:r>
      <w:r w:rsidRPr="00542984">
        <w:lastRenderedPageBreak/>
        <w:t xml:space="preserve">paid to third parties and do not have a direct impact upon State fiscal capacities. </w:t>
      </w:r>
      <w:bookmarkStart w:id="341" w:name="_Ref339370444"/>
      <w:r w:rsidRPr="00542984">
        <w:t>Commonwealth natural disaster relief payments to the States under the Disaster Recovery Funding Arrangements 2018 (DRFA) are also treated as having no impact on the relativities. They are netted off State expenses claimed under the DRFA.</w:t>
      </w:r>
      <w:bookmarkEnd w:id="341"/>
    </w:p>
    <w:p w14:paraId="71DC3B5A" w14:textId="0862A0BF" w:rsidR="007E365E" w:rsidRPr="00542984" w:rsidRDefault="007E365E" w:rsidP="007E365E">
      <w:pPr>
        <w:pStyle w:val="CGCParaNumber"/>
      </w:pPr>
      <w:r>
        <w:fldChar w:fldCharType="begin"/>
      </w:r>
      <w:r>
        <w:instrText xml:space="preserve"> REF _Ref32850081 \h </w:instrText>
      </w:r>
      <w:r>
        <w:fldChar w:fldCharType="separate"/>
      </w:r>
      <w:r w:rsidR="007F721A" w:rsidRPr="00542984">
        <w:t xml:space="preserve">Table </w:t>
      </w:r>
      <w:r w:rsidR="007F721A">
        <w:t>23-</w:t>
      </w:r>
      <w:r w:rsidR="007F721A">
        <w:rPr>
          <w:noProof/>
        </w:rPr>
        <w:t>4</w:t>
      </w:r>
      <w:r>
        <w:fldChar w:fldCharType="end"/>
      </w:r>
      <w:r w:rsidRPr="00542984">
        <w:t xml:space="preserve"> shows the main Commonwealth payments to the States for Other expenses in 2018</w:t>
      </w:r>
      <w:r w:rsidRPr="00542984">
        <w:noBreakHyphen/>
        <w:t xml:space="preserve">19. </w:t>
      </w:r>
    </w:p>
    <w:p w14:paraId="28DDEADA" w14:textId="74428ECB" w:rsidR="007E365E" w:rsidRPr="00542984" w:rsidRDefault="007E365E" w:rsidP="007E365E">
      <w:pPr>
        <w:pStyle w:val="Caption"/>
      </w:pPr>
      <w:bookmarkStart w:id="342" w:name="_Ref32850081"/>
      <w:r w:rsidRPr="00542984">
        <w:t xml:space="preserve">Table </w:t>
      </w:r>
      <w:r>
        <w:t>23-</w:t>
      </w:r>
      <w:fldSimple w:instr=" SEQ Table \* ARABIC ">
        <w:r w:rsidR="007F721A">
          <w:rPr>
            <w:noProof/>
          </w:rPr>
          <w:t>4</w:t>
        </w:r>
      </w:fldSimple>
      <w:bookmarkEnd w:id="342"/>
      <w:r w:rsidRPr="00542984">
        <w:tab/>
        <w:t>Commonwealth payments to the States for Other expenses, 2018</w:t>
      </w:r>
      <w:r w:rsidRPr="00542984">
        <w:noBreakHyphen/>
        <w:t>19</w:t>
      </w:r>
    </w:p>
    <w:tbl>
      <w:tblPr>
        <w:tblW w:w="9020" w:type="dxa"/>
        <w:tblCellMar>
          <w:left w:w="28" w:type="dxa"/>
          <w:right w:w="28" w:type="dxa"/>
        </w:tblCellMar>
        <w:tblLook w:val="04A0" w:firstRow="1" w:lastRow="0" w:firstColumn="1" w:lastColumn="0" w:noHBand="0" w:noVBand="1"/>
      </w:tblPr>
      <w:tblGrid>
        <w:gridCol w:w="2740"/>
        <w:gridCol w:w="700"/>
        <w:gridCol w:w="700"/>
        <w:gridCol w:w="700"/>
        <w:gridCol w:w="700"/>
        <w:gridCol w:w="700"/>
        <w:gridCol w:w="580"/>
        <w:gridCol w:w="700"/>
        <w:gridCol w:w="700"/>
        <w:gridCol w:w="800"/>
      </w:tblGrid>
      <w:tr w:rsidR="007E365E" w:rsidRPr="00541963" w14:paraId="03839EBF" w14:textId="77777777" w:rsidTr="007D1D77">
        <w:trPr>
          <w:trHeight w:val="379"/>
        </w:trPr>
        <w:tc>
          <w:tcPr>
            <w:tcW w:w="2740" w:type="dxa"/>
            <w:tcBorders>
              <w:top w:val="nil"/>
              <w:left w:val="nil"/>
              <w:bottom w:val="nil"/>
              <w:right w:val="nil"/>
            </w:tcBorders>
            <w:shd w:val="clear" w:color="000000" w:fill="006991"/>
            <w:vAlign w:val="center"/>
            <w:hideMark/>
          </w:tcPr>
          <w:p w14:paraId="64876A1C"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343" w:name="RANGE!A3:J10"/>
            <w:r w:rsidRPr="00541963">
              <w:rPr>
                <w:rFonts w:ascii="Open Sans SemiBold" w:eastAsia="Times New Roman" w:hAnsi="Open Sans SemiBold" w:cs="Open Sans SemiBold"/>
                <w:color w:val="FFFFFF"/>
                <w:sz w:val="16"/>
                <w:szCs w:val="16"/>
                <w:lang w:eastAsia="en-AU"/>
              </w:rPr>
              <w:t> </w:t>
            </w:r>
            <w:bookmarkEnd w:id="343"/>
          </w:p>
        </w:tc>
        <w:tc>
          <w:tcPr>
            <w:tcW w:w="700" w:type="dxa"/>
            <w:tcBorders>
              <w:top w:val="nil"/>
              <w:left w:val="nil"/>
              <w:bottom w:val="nil"/>
              <w:right w:val="nil"/>
            </w:tcBorders>
            <w:shd w:val="clear" w:color="000000" w:fill="006991"/>
            <w:vAlign w:val="center"/>
            <w:hideMark/>
          </w:tcPr>
          <w:p w14:paraId="39FEA7DD"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41963">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797A8E24"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41963">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6DABF881"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41963">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79696FC3"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41963">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5CF17244"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41963">
              <w:rPr>
                <w:rFonts w:ascii="Open Sans SemiBold" w:eastAsia="Times New Roman" w:hAnsi="Open Sans SemiBold" w:cs="Open Sans SemiBold"/>
                <w:color w:val="FFFFFF"/>
                <w:sz w:val="16"/>
                <w:szCs w:val="16"/>
                <w:lang w:eastAsia="en-AU"/>
              </w:rPr>
              <w:t>SA</w:t>
            </w:r>
          </w:p>
        </w:tc>
        <w:tc>
          <w:tcPr>
            <w:tcW w:w="580" w:type="dxa"/>
            <w:tcBorders>
              <w:top w:val="nil"/>
              <w:left w:val="nil"/>
              <w:bottom w:val="nil"/>
              <w:right w:val="nil"/>
            </w:tcBorders>
            <w:shd w:val="clear" w:color="000000" w:fill="006991"/>
            <w:vAlign w:val="center"/>
            <w:hideMark/>
          </w:tcPr>
          <w:p w14:paraId="35B9803B"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41963">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287935FF"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41963">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4D1933F4"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41963">
              <w:rPr>
                <w:rFonts w:ascii="Open Sans SemiBold" w:eastAsia="Times New Roman" w:hAnsi="Open Sans SemiBold" w:cs="Open Sans SemiBold"/>
                <w:color w:val="FFFFFF"/>
                <w:sz w:val="16"/>
                <w:szCs w:val="16"/>
                <w:lang w:eastAsia="en-AU"/>
              </w:rPr>
              <w:t>NT</w:t>
            </w:r>
          </w:p>
        </w:tc>
        <w:tc>
          <w:tcPr>
            <w:tcW w:w="800" w:type="dxa"/>
            <w:tcBorders>
              <w:top w:val="nil"/>
              <w:left w:val="nil"/>
              <w:bottom w:val="nil"/>
              <w:right w:val="nil"/>
            </w:tcBorders>
            <w:shd w:val="clear" w:color="000000" w:fill="006991"/>
            <w:vAlign w:val="center"/>
            <w:hideMark/>
          </w:tcPr>
          <w:p w14:paraId="5AEAF9F2"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41963">
              <w:rPr>
                <w:rFonts w:ascii="Open Sans SemiBold" w:eastAsia="Times New Roman" w:hAnsi="Open Sans SemiBold" w:cs="Open Sans SemiBold"/>
                <w:color w:val="FFFFFF"/>
                <w:sz w:val="16"/>
                <w:szCs w:val="16"/>
                <w:lang w:eastAsia="en-AU"/>
              </w:rPr>
              <w:t>Total</w:t>
            </w:r>
          </w:p>
        </w:tc>
      </w:tr>
      <w:tr w:rsidR="007E365E" w:rsidRPr="00541963" w14:paraId="1F4104CF" w14:textId="77777777" w:rsidTr="007D1D77">
        <w:trPr>
          <w:trHeight w:val="555"/>
        </w:trPr>
        <w:tc>
          <w:tcPr>
            <w:tcW w:w="2740" w:type="dxa"/>
            <w:tcBorders>
              <w:top w:val="single" w:sz="4" w:space="0" w:color="ADD6EA"/>
              <w:left w:val="nil"/>
              <w:bottom w:val="single" w:sz="4" w:space="0" w:color="ADD6EA"/>
              <w:right w:val="nil"/>
            </w:tcBorders>
            <w:shd w:val="clear" w:color="auto" w:fill="auto"/>
            <w:vAlign w:val="bottom"/>
            <w:hideMark/>
          </w:tcPr>
          <w:p w14:paraId="6B6DB317" w14:textId="77777777" w:rsidR="007E365E" w:rsidRPr="00541963" w:rsidRDefault="007E365E" w:rsidP="007D1D77">
            <w:pPr>
              <w:tabs>
                <w:tab w:val="clear" w:pos="567"/>
              </w:tabs>
              <w:spacing w:before="0" w:line="240" w:lineRule="auto"/>
              <w:rPr>
                <w:rFonts w:eastAsia="Times New Roman" w:cs="Open Sans Light"/>
                <w:sz w:val="16"/>
                <w:szCs w:val="16"/>
                <w:lang w:eastAsia="en-AU"/>
              </w:rPr>
            </w:pPr>
            <w:r w:rsidRPr="00541963">
              <w:rPr>
                <w:rFonts w:eastAsia="Times New Roman" w:cs="Open Sans Light"/>
                <w:sz w:val="16"/>
                <w:szCs w:val="16"/>
                <w:lang w:eastAsia="en-AU"/>
              </w:rPr>
              <w:t>General purpose assistance to local government ($m)</w:t>
            </w:r>
          </w:p>
        </w:tc>
        <w:tc>
          <w:tcPr>
            <w:tcW w:w="700" w:type="dxa"/>
            <w:tcBorders>
              <w:top w:val="single" w:sz="4" w:space="0" w:color="ADD6EA"/>
              <w:left w:val="nil"/>
              <w:bottom w:val="single" w:sz="4" w:space="0" w:color="ADD6EA"/>
              <w:right w:val="nil"/>
            </w:tcBorders>
            <w:shd w:val="clear" w:color="auto" w:fill="auto"/>
            <w:vAlign w:val="bottom"/>
            <w:hideMark/>
          </w:tcPr>
          <w:p w14:paraId="6A7C71EA"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550</w:t>
            </w:r>
          </w:p>
        </w:tc>
        <w:tc>
          <w:tcPr>
            <w:tcW w:w="700" w:type="dxa"/>
            <w:tcBorders>
              <w:top w:val="single" w:sz="4" w:space="0" w:color="ADD6EA"/>
              <w:left w:val="nil"/>
              <w:bottom w:val="single" w:sz="4" w:space="0" w:color="ADD6EA"/>
              <w:right w:val="nil"/>
            </w:tcBorders>
            <w:shd w:val="clear" w:color="auto" w:fill="auto"/>
            <w:vAlign w:val="bottom"/>
            <w:hideMark/>
          </w:tcPr>
          <w:p w14:paraId="432B01E3"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444</w:t>
            </w:r>
          </w:p>
        </w:tc>
        <w:tc>
          <w:tcPr>
            <w:tcW w:w="700" w:type="dxa"/>
            <w:tcBorders>
              <w:top w:val="single" w:sz="4" w:space="0" w:color="ADD6EA"/>
              <w:left w:val="nil"/>
              <w:bottom w:val="single" w:sz="4" w:space="0" w:color="ADD6EA"/>
              <w:right w:val="nil"/>
            </w:tcBorders>
            <w:shd w:val="clear" w:color="auto" w:fill="auto"/>
            <w:vAlign w:val="bottom"/>
            <w:hideMark/>
          </w:tcPr>
          <w:p w14:paraId="63F4402C"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345</w:t>
            </w:r>
          </w:p>
        </w:tc>
        <w:tc>
          <w:tcPr>
            <w:tcW w:w="700" w:type="dxa"/>
            <w:tcBorders>
              <w:top w:val="single" w:sz="4" w:space="0" w:color="ADD6EA"/>
              <w:left w:val="nil"/>
              <w:bottom w:val="single" w:sz="4" w:space="0" w:color="ADD6EA"/>
              <w:right w:val="nil"/>
            </w:tcBorders>
            <w:shd w:val="clear" w:color="auto" w:fill="auto"/>
            <w:vAlign w:val="bottom"/>
            <w:hideMark/>
          </w:tcPr>
          <w:p w14:paraId="2C4EC89A"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179</w:t>
            </w:r>
          </w:p>
        </w:tc>
        <w:tc>
          <w:tcPr>
            <w:tcW w:w="700" w:type="dxa"/>
            <w:tcBorders>
              <w:top w:val="single" w:sz="4" w:space="0" w:color="ADD6EA"/>
              <w:left w:val="nil"/>
              <w:bottom w:val="single" w:sz="4" w:space="0" w:color="ADD6EA"/>
              <w:right w:val="nil"/>
            </w:tcBorders>
            <w:shd w:val="clear" w:color="auto" w:fill="auto"/>
            <w:vAlign w:val="bottom"/>
            <w:hideMark/>
          </w:tcPr>
          <w:p w14:paraId="65729602"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120</w:t>
            </w:r>
          </w:p>
        </w:tc>
        <w:tc>
          <w:tcPr>
            <w:tcW w:w="580" w:type="dxa"/>
            <w:tcBorders>
              <w:top w:val="single" w:sz="4" w:space="0" w:color="ADD6EA"/>
              <w:left w:val="nil"/>
              <w:bottom w:val="single" w:sz="4" w:space="0" w:color="ADD6EA"/>
              <w:right w:val="nil"/>
            </w:tcBorders>
            <w:shd w:val="clear" w:color="auto" w:fill="auto"/>
            <w:vAlign w:val="bottom"/>
            <w:hideMark/>
          </w:tcPr>
          <w:p w14:paraId="77F1B14D"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36</w:t>
            </w:r>
          </w:p>
        </w:tc>
        <w:tc>
          <w:tcPr>
            <w:tcW w:w="700" w:type="dxa"/>
            <w:tcBorders>
              <w:top w:val="single" w:sz="4" w:space="0" w:color="ADD6EA"/>
              <w:left w:val="nil"/>
              <w:bottom w:val="single" w:sz="4" w:space="0" w:color="ADD6EA"/>
              <w:right w:val="nil"/>
            </w:tcBorders>
            <w:shd w:val="clear" w:color="auto" w:fill="auto"/>
            <w:vAlign w:val="bottom"/>
            <w:hideMark/>
          </w:tcPr>
          <w:p w14:paraId="0E2BCA5E"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29</w:t>
            </w:r>
          </w:p>
        </w:tc>
        <w:tc>
          <w:tcPr>
            <w:tcW w:w="700" w:type="dxa"/>
            <w:tcBorders>
              <w:top w:val="single" w:sz="4" w:space="0" w:color="ADD6EA"/>
              <w:left w:val="nil"/>
              <w:bottom w:val="single" w:sz="4" w:space="0" w:color="ADD6EA"/>
              <w:right w:val="nil"/>
            </w:tcBorders>
            <w:shd w:val="clear" w:color="auto" w:fill="auto"/>
            <w:vAlign w:val="bottom"/>
            <w:hideMark/>
          </w:tcPr>
          <w:p w14:paraId="40FF2122"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17</w:t>
            </w:r>
          </w:p>
        </w:tc>
        <w:tc>
          <w:tcPr>
            <w:tcW w:w="800" w:type="dxa"/>
            <w:tcBorders>
              <w:top w:val="single" w:sz="4" w:space="0" w:color="ADD6EA"/>
              <w:left w:val="nil"/>
              <w:bottom w:val="single" w:sz="4" w:space="0" w:color="ADD6EA"/>
              <w:right w:val="nil"/>
            </w:tcBorders>
            <w:shd w:val="clear" w:color="auto" w:fill="auto"/>
            <w:vAlign w:val="bottom"/>
            <w:hideMark/>
          </w:tcPr>
          <w:p w14:paraId="16A6FCE8"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1,721</w:t>
            </w:r>
          </w:p>
        </w:tc>
      </w:tr>
      <w:tr w:rsidR="007E365E" w:rsidRPr="00541963" w14:paraId="5A0CF0AD" w14:textId="77777777" w:rsidTr="007D1D77">
        <w:trPr>
          <w:trHeight w:val="555"/>
        </w:trPr>
        <w:tc>
          <w:tcPr>
            <w:tcW w:w="2740" w:type="dxa"/>
            <w:tcBorders>
              <w:top w:val="nil"/>
              <w:left w:val="nil"/>
              <w:bottom w:val="single" w:sz="4" w:space="0" w:color="ADD6EA"/>
              <w:right w:val="nil"/>
            </w:tcBorders>
            <w:shd w:val="clear" w:color="auto" w:fill="auto"/>
            <w:vAlign w:val="bottom"/>
            <w:hideMark/>
          </w:tcPr>
          <w:p w14:paraId="1C623957" w14:textId="77777777" w:rsidR="007E365E" w:rsidRPr="00541963" w:rsidRDefault="007E365E" w:rsidP="007D1D77">
            <w:pPr>
              <w:tabs>
                <w:tab w:val="clear" w:pos="567"/>
              </w:tabs>
              <w:spacing w:before="0" w:line="240" w:lineRule="auto"/>
              <w:rPr>
                <w:rFonts w:eastAsia="Times New Roman" w:cs="Open Sans Light"/>
                <w:sz w:val="16"/>
                <w:szCs w:val="16"/>
                <w:lang w:eastAsia="en-AU"/>
              </w:rPr>
            </w:pPr>
            <w:r w:rsidRPr="00541963">
              <w:rPr>
                <w:rFonts w:eastAsia="Times New Roman" w:cs="Open Sans Light"/>
                <w:sz w:val="16"/>
                <w:szCs w:val="16"/>
                <w:lang w:eastAsia="en-AU"/>
              </w:rPr>
              <w:t>Natural Disaster Recovery and Rebuilding ($m)</w:t>
            </w:r>
          </w:p>
        </w:tc>
        <w:tc>
          <w:tcPr>
            <w:tcW w:w="700" w:type="dxa"/>
            <w:tcBorders>
              <w:top w:val="nil"/>
              <w:left w:val="nil"/>
              <w:bottom w:val="single" w:sz="4" w:space="0" w:color="ADD6EA"/>
              <w:right w:val="nil"/>
            </w:tcBorders>
            <w:shd w:val="clear" w:color="auto" w:fill="auto"/>
            <w:vAlign w:val="bottom"/>
            <w:hideMark/>
          </w:tcPr>
          <w:p w14:paraId="7F3E84A9"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1C74413B"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32F73566"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1,034</w:t>
            </w:r>
          </w:p>
        </w:tc>
        <w:tc>
          <w:tcPr>
            <w:tcW w:w="700" w:type="dxa"/>
            <w:tcBorders>
              <w:top w:val="nil"/>
              <w:left w:val="nil"/>
              <w:bottom w:val="single" w:sz="4" w:space="0" w:color="ADD6EA"/>
              <w:right w:val="nil"/>
            </w:tcBorders>
            <w:shd w:val="clear" w:color="auto" w:fill="auto"/>
            <w:vAlign w:val="bottom"/>
            <w:hideMark/>
          </w:tcPr>
          <w:p w14:paraId="50C85009"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12</w:t>
            </w:r>
          </w:p>
        </w:tc>
        <w:tc>
          <w:tcPr>
            <w:tcW w:w="700" w:type="dxa"/>
            <w:tcBorders>
              <w:top w:val="nil"/>
              <w:left w:val="nil"/>
              <w:bottom w:val="single" w:sz="4" w:space="0" w:color="ADD6EA"/>
              <w:right w:val="nil"/>
            </w:tcBorders>
            <w:shd w:val="clear" w:color="auto" w:fill="auto"/>
            <w:vAlign w:val="bottom"/>
            <w:hideMark/>
          </w:tcPr>
          <w:p w14:paraId="2FB35C23"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580" w:type="dxa"/>
            <w:tcBorders>
              <w:top w:val="nil"/>
              <w:left w:val="nil"/>
              <w:bottom w:val="single" w:sz="4" w:space="0" w:color="ADD6EA"/>
              <w:right w:val="nil"/>
            </w:tcBorders>
            <w:shd w:val="clear" w:color="auto" w:fill="auto"/>
            <w:vAlign w:val="bottom"/>
            <w:hideMark/>
          </w:tcPr>
          <w:p w14:paraId="0EE26FA7"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49</w:t>
            </w:r>
          </w:p>
        </w:tc>
        <w:tc>
          <w:tcPr>
            <w:tcW w:w="700" w:type="dxa"/>
            <w:tcBorders>
              <w:top w:val="nil"/>
              <w:left w:val="nil"/>
              <w:bottom w:val="single" w:sz="4" w:space="0" w:color="ADD6EA"/>
              <w:right w:val="nil"/>
            </w:tcBorders>
            <w:shd w:val="clear" w:color="auto" w:fill="auto"/>
            <w:vAlign w:val="bottom"/>
            <w:hideMark/>
          </w:tcPr>
          <w:p w14:paraId="1FE21158"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3EC00EDF"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7</w:t>
            </w:r>
          </w:p>
        </w:tc>
        <w:tc>
          <w:tcPr>
            <w:tcW w:w="800" w:type="dxa"/>
            <w:tcBorders>
              <w:top w:val="nil"/>
              <w:left w:val="nil"/>
              <w:bottom w:val="single" w:sz="4" w:space="0" w:color="ADD6EA"/>
              <w:right w:val="nil"/>
            </w:tcBorders>
            <w:shd w:val="clear" w:color="auto" w:fill="auto"/>
            <w:vAlign w:val="bottom"/>
            <w:hideMark/>
          </w:tcPr>
          <w:p w14:paraId="690759CD"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1,105</w:t>
            </w:r>
          </w:p>
        </w:tc>
      </w:tr>
      <w:tr w:rsidR="007E365E" w:rsidRPr="00541963" w14:paraId="3B2A76C6" w14:textId="77777777" w:rsidTr="007D1D77">
        <w:trPr>
          <w:trHeight w:val="795"/>
        </w:trPr>
        <w:tc>
          <w:tcPr>
            <w:tcW w:w="2740" w:type="dxa"/>
            <w:tcBorders>
              <w:top w:val="nil"/>
              <w:left w:val="nil"/>
              <w:bottom w:val="single" w:sz="4" w:space="0" w:color="ADD6EA"/>
              <w:right w:val="nil"/>
            </w:tcBorders>
            <w:shd w:val="clear" w:color="auto" w:fill="auto"/>
            <w:vAlign w:val="bottom"/>
            <w:hideMark/>
          </w:tcPr>
          <w:p w14:paraId="3D7A0992" w14:textId="77777777" w:rsidR="007E365E" w:rsidRPr="00541963" w:rsidRDefault="007E365E" w:rsidP="007D1D77">
            <w:pPr>
              <w:tabs>
                <w:tab w:val="clear" w:pos="567"/>
              </w:tabs>
              <w:spacing w:before="0" w:line="240" w:lineRule="auto"/>
              <w:rPr>
                <w:rFonts w:eastAsia="Times New Roman" w:cs="Open Sans Light"/>
                <w:sz w:val="16"/>
                <w:szCs w:val="16"/>
                <w:lang w:eastAsia="en-AU"/>
              </w:rPr>
            </w:pPr>
            <w:r w:rsidRPr="00541963">
              <w:rPr>
                <w:rFonts w:eastAsia="Times New Roman" w:cs="Open Sans Light"/>
                <w:sz w:val="16"/>
                <w:szCs w:val="16"/>
                <w:lang w:eastAsia="en-AU"/>
              </w:rPr>
              <w:t>Grants assistance to primary producers impacted by the north Queensland floods ($m)</w:t>
            </w:r>
          </w:p>
        </w:tc>
        <w:tc>
          <w:tcPr>
            <w:tcW w:w="700" w:type="dxa"/>
            <w:tcBorders>
              <w:top w:val="nil"/>
              <w:left w:val="nil"/>
              <w:bottom w:val="single" w:sz="4" w:space="0" w:color="ADD6EA"/>
              <w:right w:val="nil"/>
            </w:tcBorders>
            <w:shd w:val="clear" w:color="auto" w:fill="auto"/>
            <w:vAlign w:val="bottom"/>
            <w:hideMark/>
          </w:tcPr>
          <w:p w14:paraId="0DCDEF06"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30576982"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24778023"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300</w:t>
            </w:r>
          </w:p>
        </w:tc>
        <w:tc>
          <w:tcPr>
            <w:tcW w:w="700" w:type="dxa"/>
            <w:tcBorders>
              <w:top w:val="nil"/>
              <w:left w:val="nil"/>
              <w:bottom w:val="single" w:sz="4" w:space="0" w:color="ADD6EA"/>
              <w:right w:val="nil"/>
            </w:tcBorders>
            <w:shd w:val="clear" w:color="auto" w:fill="auto"/>
            <w:vAlign w:val="bottom"/>
            <w:hideMark/>
          </w:tcPr>
          <w:p w14:paraId="177B8560"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78B8725D"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580" w:type="dxa"/>
            <w:tcBorders>
              <w:top w:val="nil"/>
              <w:left w:val="nil"/>
              <w:bottom w:val="single" w:sz="4" w:space="0" w:color="ADD6EA"/>
              <w:right w:val="nil"/>
            </w:tcBorders>
            <w:shd w:val="clear" w:color="auto" w:fill="auto"/>
            <w:vAlign w:val="bottom"/>
            <w:hideMark/>
          </w:tcPr>
          <w:p w14:paraId="5708465B"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737FF28A"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0E887E0A"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800" w:type="dxa"/>
            <w:tcBorders>
              <w:top w:val="nil"/>
              <w:left w:val="nil"/>
              <w:bottom w:val="single" w:sz="4" w:space="0" w:color="ADD6EA"/>
              <w:right w:val="nil"/>
            </w:tcBorders>
            <w:shd w:val="clear" w:color="auto" w:fill="auto"/>
            <w:vAlign w:val="bottom"/>
            <w:hideMark/>
          </w:tcPr>
          <w:p w14:paraId="2557FA4F"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300</w:t>
            </w:r>
          </w:p>
        </w:tc>
      </w:tr>
      <w:tr w:rsidR="007E365E" w:rsidRPr="00541963" w14:paraId="209F7365" w14:textId="77777777" w:rsidTr="007D1D77">
        <w:trPr>
          <w:trHeight w:val="315"/>
        </w:trPr>
        <w:tc>
          <w:tcPr>
            <w:tcW w:w="2740" w:type="dxa"/>
            <w:tcBorders>
              <w:top w:val="nil"/>
              <w:left w:val="nil"/>
              <w:bottom w:val="single" w:sz="4" w:space="0" w:color="ADD6EA"/>
              <w:right w:val="nil"/>
            </w:tcBorders>
            <w:shd w:val="clear" w:color="auto" w:fill="auto"/>
            <w:vAlign w:val="bottom"/>
            <w:hideMark/>
          </w:tcPr>
          <w:p w14:paraId="671B6E1B" w14:textId="77777777" w:rsidR="007E365E" w:rsidRPr="00541963" w:rsidRDefault="007E365E" w:rsidP="007D1D77">
            <w:pPr>
              <w:tabs>
                <w:tab w:val="clear" w:pos="567"/>
              </w:tabs>
              <w:spacing w:before="0" w:line="240" w:lineRule="auto"/>
              <w:rPr>
                <w:rFonts w:eastAsia="Times New Roman" w:cs="Open Sans Light"/>
                <w:sz w:val="16"/>
                <w:szCs w:val="16"/>
                <w:lang w:eastAsia="en-AU"/>
              </w:rPr>
            </w:pPr>
            <w:r w:rsidRPr="00541963">
              <w:rPr>
                <w:rFonts w:eastAsia="Times New Roman" w:cs="Open Sans Light"/>
                <w:sz w:val="16"/>
                <w:szCs w:val="16"/>
                <w:lang w:eastAsia="en-AU"/>
              </w:rPr>
              <w:t>ACT Municipal Services ($m)</w:t>
            </w:r>
          </w:p>
        </w:tc>
        <w:tc>
          <w:tcPr>
            <w:tcW w:w="700" w:type="dxa"/>
            <w:tcBorders>
              <w:top w:val="nil"/>
              <w:left w:val="nil"/>
              <w:bottom w:val="single" w:sz="4" w:space="0" w:color="ADD6EA"/>
              <w:right w:val="nil"/>
            </w:tcBorders>
            <w:shd w:val="clear" w:color="auto" w:fill="auto"/>
            <w:vAlign w:val="bottom"/>
            <w:hideMark/>
          </w:tcPr>
          <w:p w14:paraId="225BFC65"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3DEE6876"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7E2A526D"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38A91E74"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4B020F8C"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580" w:type="dxa"/>
            <w:tcBorders>
              <w:top w:val="nil"/>
              <w:left w:val="nil"/>
              <w:bottom w:val="single" w:sz="4" w:space="0" w:color="ADD6EA"/>
              <w:right w:val="nil"/>
            </w:tcBorders>
            <w:shd w:val="clear" w:color="auto" w:fill="auto"/>
            <w:vAlign w:val="bottom"/>
            <w:hideMark/>
          </w:tcPr>
          <w:p w14:paraId="291B4BAC"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1732C8D9"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40</w:t>
            </w:r>
          </w:p>
        </w:tc>
        <w:tc>
          <w:tcPr>
            <w:tcW w:w="700" w:type="dxa"/>
            <w:tcBorders>
              <w:top w:val="nil"/>
              <w:left w:val="nil"/>
              <w:bottom w:val="single" w:sz="4" w:space="0" w:color="ADD6EA"/>
              <w:right w:val="nil"/>
            </w:tcBorders>
            <w:shd w:val="clear" w:color="auto" w:fill="auto"/>
            <w:vAlign w:val="bottom"/>
            <w:hideMark/>
          </w:tcPr>
          <w:p w14:paraId="124FEBA0"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0</w:t>
            </w:r>
          </w:p>
        </w:tc>
        <w:tc>
          <w:tcPr>
            <w:tcW w:w="800" w:type="dxa"/>
            <w:tcBorders>
              <w:top w:val="nil"/>
              <w:left w:val="nil"/>
              <w:bottom w:val="single" w:sz="4" w:space="0" w:color="ADD6EA"/>
              <w:right w:val="nil"/>
            </w:tcBorders>
            <w:shd w:val="clear" w:color="auto" w:fill="auto"/>
            <w:vAlign w:val="bottom"/>
            <w:hideMark/>
          </w:tcPr>
          <w:p w14:paraId="1F0F14D8"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40</w:t>
            </w:r>
          </w:p>
        </w:tc>
      </w:tr>
      <w:tr w:rsidR="007E365E" w:rsidRPr="00541963" w14:paraId="1B526DEC" w14:textId="77777777" w:rsidTr="007D1D77">
        <w:trPr>
          <w:trHeight w:val="555"/>
        </w:trPr>
        <w:tc>
          <w:tcPr>
            <w:tcW w:w="2740" w:type="dxa"/>
            <w:tcBorders>
              <w:top w:val="nil"/>
              <w:left w:val="nil"/>
              <w:bottom w:val="single" w:sz="4" w:space="0" w:color="ADD6EA"/>
              <w:right w:val="nil"/>
            </w:tcBorders>
            <w:shd w:val="clear" w:color="auto" w:fill="auto"/>
            <w:vAlign w:val="bottom"/>
            <w:hideMark/>
          </w:tcPr>
          <w:p w14:paraId="201AA3C3" w14:textId="77777777" w:rsidR="007E365E" w:rsidRPr="00541963" w:rsidRDefault="007E365E" w:rsidP="007D1D77">
            <w:pPr>
              <w:tabs>
                <w:tab w:val="clear" w:pos="567"/>
              </w:tabs>
              <w:spacing w:before="0" w:line="240" w:lineRule="auto"/>
              <w:rPr>
                <w:rFonts w:eastAsia="Times New Roman" w:cs="Open Sans Light"/>
                <w:sz w:val="16"/>
                <w:szCs w:val="16"/>
                <w:lang w:eastAsia="en-AU"/>
              </w:rPr>
            </w:pPr>
            <w:r w:rsidRPr="00541963">
              <w:rPr>
                <w:rFonts w:eastAsia="Times New Roman" w:cs="Open Sans Light"/>
                <w:sz w:val="16"/>
                <w:szCs w:val="16"/>
                <w:lang w:eastAsia="en-AU"/>
              </w:rPr>
              <w:t>Other national partnership payments ($m)</w:t>
            </w:r>
          </w:p>
        </w:tc>
        <w:tc>
          <w:tcPr>
            <w:tcW w:w="700" w:type="dxa"/>
            <w:tcBorders>
              <w:top w:val="nil"/>
              <w:left w:val="nil"/>
              <w:bottom w:val="single" w:sz="4" w:space="0" w:color="ADD6EA"/>
              <w:right w:val="nil"/>
            </w:tcBorders>
            <w:shd w:val="clear" w:color="auto" w:fill="auto"/>
            <w:vAlign w:val="bottom"/>
            <w:hideMark/>
          </w:tcPr>
          <w:p w14:paraId="390940EA"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50</w:t>
            </w:r>
          </w:p>
        </w:tc>
        <w:tc>
          <w:tcPr>
            <w:tcW w:w="700" w:type="dxa"/>
            <w:tcBorders>
              <w:top w:val="nil"/>
              <w:left w:val="nil"/>
              <w:bottom w:val="single" w:sz="4" w:space="0" w:color="ADD6EA"/>
              <w:right w:val="nil"/>
            </w:tcBorders>
            <w:shd w:val="clear" w:color="auto" w:fill="auto"/>
            <w:vAlign w:val="bottom"/>
            <w:hideMark/>
          </w:tcPr>
          <w:p w14:paraId="330C1904"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6</w:t>
            </w:r>
          </w:p>
        </w:tc>
        <w:tc>
          <w:tcPr>
            <w:tcW w:w="700" w:type="dxa"/>
            <w:tcBorders>
              <w:top w:val="nil"/>
              <w:left w:val="nil"/>
              <w:bottom w:val="single" w:sz="4" w:space="0" w:color="ADD6EA"/>
              <w:right w:val="nil"/>
            </w:tcBorders>
            <w:shd w:val="clear" w:color="auto" w:fill="auto"/>
            <w:vAlign w:val="bottom"/>
            <w:hideMark/>
          </w:tcPr>
          <w:p w14:paraId="72287748"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35</w:t>
            </w:r>
          </w:p>
        </w:tc>
        <w:tc>
          <w:tcPr>
            <w:tcW w:w="700" w:type="dxa"/>
            <w:tcBorders>
              <w:top w:val="nil"/>
              <w:left w:val="nil"/>
              <w:bottom w:val="single" w:sz="4" w:space="0" w:color="ADD6EA"/>
              <w:right w:val="nil"/>
            </w:tcBorders>
            <w:shd w:val="clear" w:color="auto" w:fill="auto"/>
            <w:vAlign w:val="bottom"/>
            <w:hideMark/>
          </w:tcPr>
          <w:p w14:paraId="1574F447"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vAlign w:val="bottom"/>
            <w:hideMark/>
          </w:tcPr>
          <w:p w14:paraId="42CC09A8"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8</w:t>
            </w:r>
          </w:p>
        </w:tc>
        <w:tc>
          <w:tcPr>
            <w:tcW w:w="580" w:type="dxa"/>
            <w:tcBorders>
              <w:top w:val="nil"/>
              <w:left w:val="nil"/>
              <w:bottom w:val="single" w:sz="4" w:space="0" w:color="ADD6EA"/>
              <w:right w:val="nil"/>
            </w:tcBorders>
            <w:shd w:val="clear" w:color="auto" w:fill="auto"/>
            <w:vAlign w:val="bottom"/>
            <w:hideMark/>
          </w:tcPr>
          <w:p w14:paraId="289B3EE9"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66C9320E"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5</w:t>
            </w:r>
          </w:p>
        </w:tc>
        <w:tc>
          <w:tcPr>
            <w:tcW w:w="700" w:type="dxa"/>
            <w:tcBorders>
              <w:top w:val="nil"/>
              <w:left w:val="nil"/>
              <w:bottom w:val="single" w:sz="4" w:space="0" w:color="ADD6EA"/>
              <w:right w:val="nil"/>
            </w:tcBorders>
            <w:shd w:val="clear" w:color="auto" w:fill="auto"/>
            <w:vAlign w:val="bottom"/>
            <w:hideMark/>
          </w:tcPr>
          <w:p w14:paraId="4F9232E1"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4</w:t>
            </w:r>
          </w:p>
        </w:tc>
        <w:tc>
          <w:tcPr>
            <w:tcW w:w="800" w:type="dxa"/>
            <w:tcBorders>
              <w:top w:val="nil"/>
              <w:left w:val="nil"/>
              <w:bottom w:val="single" w:sz="4" w:space="0" w:color="ADD6EA"/>
              <w:right w:val="nil"/>
            </w:tcBorders>
            <w:shd w:val="clear" w:color="auto" w:fill="auto"/>
            <w:vAlign w:val="bottom"/>
            <w:hideMark/>
          </w:tcPr>
          <w:p w14:paraId="36B6BBE1" w14:textId="77777777" w:rsidR="007E365E" w:rsidRPr="00541963" w:rsidRDefault="007E365E" w:rsidP="007D1D77">
            <w:pPr>
              <w:tabs>
                <w:tab w:val="clear" w:pos="567"/>
              </w:tabs>
              <w:spacing w:before="0" w:line="240" w:lineRule="auto"/>
              <w:jc w:val="right"/>
              <w:rPr>
                <w:rFonts w:eastAsia="Times New Roman" w:cs="Open Sans Light"/>
                <w:sz w:val="16"/>
                <w:szCs w:val="16"/>
                <w:lang w:eastAsia="en-AU"/>
              </w:rPr>
            </w:pPr>
            <w:r w:rsidRPr="00541963">
              <w:rPr>
                <w:rFonts w:eastAsia="Times New Roman" w:cs="Open Sans Light"/>
                <w:sz w:val="16"/>
                <w:szCs w:val="16"/>
                <w:lang w:eastAsia="en-AU"/>
              </w:rPr>
              <w:t>118</w:t>
            </w:r>
          </w:p>
        </w:tc>
      </w:tr>
      <w:tr w:rsidR="007E365E" w:rsidRPr="00541963" w14:paraId="754ECCBD" w14:textId="77777777" w:rsidTr="007D1D77">
        <w:trPr>
          <w:trHeight w:val="315"/>
        </w:trPr>
        <w:tc>
          <w:tcPr>
            <w:tcW w:w="2740" w:type="dxa"/>
            <w:tcBorders>
              <w:top w:val="nil"/>
              <w:left w:val="nil"/>
              <w:bottom w:val="single" w:sz="4" w:space="0" w:color="ADD6EA"/>
              <w:right w:val="nil"/>
            </w:tcBorders>
            <w:shd w:val="clear" w:color="000000" w:fill="D6E7F0"/>
            <w:vAlign w:val="bottom"/>
            <w:hideMark/>
          </w:tcPr>
          <w:p w14:paraId="444FBFA4" w14:textId="77777777" w:rsidR="007E365E" w:rsidRPr="00541963"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Total ($m)</w:t>
            </w:r>
          </w:p>
        </w:tc>
        <w:tc>
          <w:tcPr>
            <w:tcW w:w="700" w:type="dxa"/>
            <w:tcBorders>
              <w:top w:val="nil"/>
              <w:left w:val="nil"/>
              <w:bottom w:val="single" w:sz="4" w:space="0" w:color="ADD6EA"/>
              <w:right w:val="nil"/>
            </w:tcBorders>
            <w:shd w:val="clear" w:color="000000" w:fill="D6E7F0"/>
            <w:vAlign w:val="bottom"/>
            <w:hideMark/>
          </w:tcPr>
          <w:p w14:paraId="4277C64D"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602</w:t>
            </w:r>
          </w:p>
        </w:tc>
        <w:tc>
          <w:tcPr>
            <w:tcW w:w="700" w:type="dxa"/>
            <w:tcBorders>
              <w:top w:val="nil"/>
              <w:left w:val="nil"/>
              <w:bottom w:val="single" w:sz="4" w:space="0" w:color="ADD6EA"/>
              <w:right w:val="nil"/>
            </w:tcBorders>
            <w:shd w:val="clear" w:color="000000" w:fill="D6E7F0"/>
            <w:vAlign w:val="bottom"/>
            <w:hideMark/>
          </w:tcPr>
          <w:p w14:paraId="07FF5C01"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452</w:t>
            </w:r>
          </w:p>
        </w:tc>
        <w:tc>
          <w:tcPr>
            <w:tcW w:w="700" w:type="dxa"/>
            <w:tcBorders>
              <w:top w:val="nil"/>
              <w:left w:val="nil"/>
              <w:bottom w:val="single" w:sz="4" w:space="0" w:color="ADD6EA"/>
              <w:right w:val="nil"/>
            </w:tcBorders>
            <w:shd w:val="clear" w:color="000000" w:fill="D6E7F0"/>
            <w:vAlign w:val="bottom"/>
            <w:hideMark/>
          </w:tcPr>
          <w:p w14:paraId="6A7958A5"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1,714</w:t>
            </w:r>
          </w:p>
        </w:tc>
        <w:tc>
          <w:tcPr>
            <w:tcW w:w="700" w:type="dxa"/>
            <w:tcBorders>
              <w:top w:val="nil"/>
              <w:left w:val="nil"/>
              <w:bottom w:val="single" w:sz="4" w:space="0" w:color="ADD6EA"/>
              <w:right w:val="nil"/>
            </w:tcBorders>
            <w:shd w:val="clear" w:color="000000" w:fill="D6E7F0"/>
            <w:vAlign w:val="bottom"/>
            <w:hideMark/>
          </w:tcPr>
          <w:p w14:paraId="4C4A9A51"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200</w:t>
            </w:r>
          </w:p>
        </w:tc>
        <w:tc>
          <w:tcPr>
            <w:tcW w:w="700" w:type="dxa"/>
            <w:tcBorders>
              <w:top w:val="nil"/>
              <w:left w:val="nil"/>
              <w:bottom w:val="single" w:sz="4" w:space="0" w:color="ADD6EA"/>
              <w:right w:val="nil"/>
            </w:tcBorders>
            <w:shd w:val="clear" w:color="000000" w:fill="D6E7F0"/>
            <w:vAlign w:val="bottom"/>
            <w:hideMark/>
          </w:tcPr>
          <w:p w14:paraId="650EF03D"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128</w:t>
            </w:r>
          </w:p>
        </w:tc>
        <w:tc>
          <w:tcPr>
            <w:tcW w:w="580" w:type="dxa"/>
            <w:tcBorders>
              <w:top w:val="nil"/>
              <w:left w:val="nil"/>
              <w:bottom w:val="single" w:sz="4" w:space="0" w:color="ADD6EA"/>
              <w:right w:val="nil"/>
            </w:tcBorders>
            <w:shd w:val="clear" w:color="000000" w:fill="D6E7F0"/>
            <w:vAlign w:val="bottom"/>
            <w:hideMark/>
          </w:tcPr>
          <w:p w14:paraId="092333B3"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87</w:t>
            </w:r>
          </w:p>
        </w:tc>
        <w:tc>
          <w:tcPr>
            <w:tcW w:w="700" w:type="dxa"/>
            <w:tcBorders>
              <w:top w:val="nil"/>
              <w:left w:val="nil"/>
              <w:bottom w:val="single" w:sz="4" w:space="0" w:color="ADD6EA"/>
              <w:right w:val="nil"/>
            </w:tcBorders>
            <w:shd w:val="clear" w:color="000000" w:fill="D6E7F0"/>
            <w:vAlign w:val="bottom"/>
            <w:hideMark/>
          </w:tcPr>
          <w:p w14:paraId="2682FDD8"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74</w:t>
            </w:r>
          </w:p>
        </w:tc>
        <w:tc>
          <w:tcPr>
            <w:tcW w:w="700" w:type="dxa"/>
            <w:tcBorders>
              <w:top w:val="nil"/>
              <w:left w:val="nil"/>
              <w:bottom w:val="single" w:sz="4" w:space="0" w:color="ADD6EA"/>
              <w:right w:val="nil"/>
            </w:tcBorders>
            <w:shd w:val="clear" w:color="000000" w:fill="D6E7F0"/>
            <w:vAlign w:val="bottom"/>
            <w:hideMark/>
          </w:tcPr>
          <w:p w14:paraId="0A511A91"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29</w:t>
            </w:r>
          </w:p>
        </w:tc>
        <w:tc>
          <w:tcPr>
            <w:tcW w:w="800" w:type="dxa"/>
            <w:tcBorders>
              <w:top w:val="nil"/>
              <w:left w:val="nil"/>
              <w:bottom w:val="single" w:sz="4" w:space="0" w:color="ADD6EA"/>
              <w:right w:val="nil"/>
            </w:tcBorders>
            <w:shd w:val="clear" w:color="000000" w:fill="D6E7F0"/>
            <w:vAlign w:val="bottom"/>
            <w:hideMark/>
          </w:tcPr>
          <w:p w14:paraId="6474F102"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3,285</w:t>
            </w:r>
          </w:p>
        </w:tc>
      </w:tr>
      <w:tr w:rsidR="007E365E" w:rsidRPr="00541963" w14:paraId="0C10F692" w14:textId="77777777" w:rsidTr="007D1D77">
        <w:trPr>
          <w:trHeight w:val="315"/>
        </w:trPr>
        <w:tc>
          <w:tcPr>
            <w:tcW w:w="2740" w:type="dxa"/>
            <w:tcBorders>
              <w:top w:val="nil"/>
              <w:left w:val="nil"/>
              <w:bottom w:val="single" w:sz="4" w:space="0" w:color="ADD6EA"/>
              <w:right w:val="nil"/>
            </w:tcBorders>
            <w:shd w:val="clear" w:color="000000" w:fill="D6E7F0"/>
            <w:vAlign w:val="bottom"/>
            <w:hideMark/>
          </w:tcPr>
          <w:p w14:paraId="6B1167E4" w14:textId="77777777" w:rsidR="007E365E" w:rsidRPr="00541963"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Total ($pc)</w:t>
            </w:r>
          </w:p>
        </w:tc>
        <w:tc>
          <w:tcPr>
            <w:tcW w:w="700" w:type="dxa"/>
            <w:tcBorders>
              <w:top w:val="nil"/>
              <w:left w:val="nil"/>
              <w:bottom w:val="single" w:sz="4" w:space="0" w:color="ADD6EA"/>
              <w:right w:val="nil"/>
            </w:tcBorders>
            <w:shd w:val="clear" w:color="000000" w:fill="D6E7F0"/>
            <w:vAlign w:val="bottom"/>
            <w:hideMark/>
          </w:tcPr>
          <w:p w14:paraId="15CB9223"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75</w:t>
            </w:r>
          </w:p>
        </w:tc>
        <w:tc>
          <w:tcPr>
            <w:tcW w:w="700" w:type="dxa"/>
            <w:tcBorders>
              <w:top w:val="nil"/>
              <w:left w:val="nil"/>
              <w:bottom w:val="single" w:sz="4" w:space="0" w:color="ADD6EA"/>
              <w:right w:val="nil"/>
            </w:tcBorders>
            <w:shd w:val="clear" w:color="000000" w:fill="D6E7F0"/>
            <w:vAlign w:val="bottom"/>
            <w:hideMark/>
          </w:tcPr>
          <w:p w14:paraId="3DB20961"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69</w:t>
            </w:r>
          </w:p>
        </w:tc>
        <w:tc>
          <w:tcPr>
            <w:tcW w:w="700" w:type="dxa"/>
            <w:tcBorders>
              <w:top w:val="nil"/>
              <w:left w:val="nil"/>
              <w:bottom w:val="single" w:sz="4" w:space="0" w:color="ADD6EA"/>
              <w:right w:val="nil"/>
            </w:tcBorders>
            <w:shd w:val="clear" w:color="000000" w:fill="D6E7F0"/>
            <w:vAlign w:val="bottom"/>
            <w:hideMark/>
          </w:tcPr>
          <w:p w14:paraId="721E9EB5"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339</w:t>
            </w:r>
          </w:p>
        </w:tc>
        <w:tc>
          <w:tcPr>
            <w:tcW w:w="700" w:type="dxa"/>
            <w:tcBorders>
              <w:top w:val="nil"/>
              <w:left w:val="nil"/>
              <w:bottom w:val="single" w:sz="4" w:space="0" w:color="ADD6EA"/>
              <w:right w:val="nil"/>
            </w:tcBorders>
            <w:shd w:val="clear" w:color="000000" w:fill="D6E7F0"/>
            <w:vAlign w:val="bottom"/>
            <w:hideMark/>
          </w:tcPr>
          <w:p w14:paraId="1BBB891B"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77</w:t>
            </w:r>
          </w:p>
        </w:tc>
        <w:tc>
          <w:tcPr>
            <w:tcW w:w="700" w:type="dxa"/>
            <w:tcBorders>
              <w:top w:val="nil"/>
              <w:left w:val="nil"/>
              <w:bottom w:val="single" w:sz="4" w:space="0" w:color="ADD6EA"/>
              <w:right w:val="nil"/>
            </w:tcBorders>
            <w:shd w:val="clear" w:color="000000" w:fill="D6E7F0"/>
            <w:vAlign w:val="bottom"/>
            <w:hideMark/>
          </w:tcPr>
          <w:p w14:paraId="04879453"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73</w:t>
            </w:r>
          </w:p>
        </w:tc>
        <w:tc>
          <w:tcPr>
            <w:tcW w:w="580" w:type="dxa"/>
            <w:tcBorders>
              <w:top w:val="nil"/>
              <w:left w:val="nil"/>
              <w:bottom w:val="single" w:sz="4" w:space="0" w:color="ADD6EA"/>
              <w:right w:val="nil"/>
            </w:tcBorders>
            <w:shd w:val="clear" w:color="000000" w:fill="D6E7F0"/>
            <w:vAlign w:val="bottom"/>
            <w:hideMark/>
          </w:tcPr>
          <w:p w14:paraId="6051DA84"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163</w:t>
            </w:r>
          </w:p>
        </w:tc>
        <w:tc>
          <w:tcPr>
            <w:tcW w:w="700" w:type="dxa"/>
            <w:tcBorders>
              <w:top w:val="nil"/>
              <w:left w:val="nil"/>
              <w:bottom w:val="single" w:sz="4" w:space="0" w:color="ADD6EA"/>
              <w:right w:val="nil"/>
            </w:tcBorders>
            <w:shd w:val="clear" w:color="000000" w:fill="D6E7F0"/>
            <w:vAlign w:val="bottom"/>
            <w:hideMark/>
          </w:tcPr>
          <w:p w14:paraId="3F38D3CB"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176</w:t>
            </w:r>
          </w:p>
        </w:tc>
        <w:tc>
          <w:tcPr>
            <w:tcW w:w="700" w:type="dxa"/>
            <w:tcBorders>
              <w:top w:val="nil"/>
              <w:left w:val="nil"/>
              <w:bottom w:val="single" w:sz="4" w:space="0" w:color="ADD6EA"/>
              <w:right w:val="nil"/>
            </w:tcBorders>
            <w:shd w:val="clear" w:color="000000" w:fill="D6E7F0"/>
            <w:vAlign w:val="bottom"/>
            <w:hideMark/>
          </w:tcPr>
          <w:p w14:paraId="0221E46C"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117</w:t>
            </w:r>
          </w:p>
        </w:tc>
        <w:tc>
          <w:tcPr>
            <w:tcW w:w="800" w:type="dxa"/>
            <w:tcBorders>
              <w:top w:val="nil"/>
              <w:left w:val="nil"/>
              <w:bottom w:val="single" w:sz="4" w:space="0" w:color="ADD6EA"/>
              <w:right w:val="nil"/>
            </w:tcBorders>
            <w:shd w:val="clear" w:color="000000" w:fill="D6E7F0"/>
            <w:vAlign w:val="bottom"/>
            <w:hideMark/>
          </w:tcPr>
          <w:p w14:paraId="6944B642" w14:textId="77777777" w:rsidR="007E365E" w:rsidRPr="00541963"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41963">
              <w:rPr>
                <w:rFonts w:ascii="Open Sans SemiBold" w:eastAsia="Times New Roman" w:hAnsi="Open Sans SemiBold" w:cs="Open Sans SemiBold"/>
                <w:color w:val="000000"/>
                <w:sz w:val="16"/>
                <w:szCs w:val="16"/>
                <w:lang w:eastAsia="en-AU"/>
              </w:rPr>
              <w:t>131</w:t>
            </w:r>
          </w:p>
        </w:tc>
      </w:tr>
    </w:tbl>
    <w:p w14:paraId="01CFFB6F" w14:textId="77777777" w:rsidR="007E365E" w:rsidRPr="00542984" w:rsidRDefault="007E365E" w:rsidP="007E365E">
      <w:pPr>
        <w:pStyle w:val="CGCTablenote"/>
      </w:pPr>
      <w:r w:rsidRPr="00542984">
        <w:t>Note:</w:t>
      </w:r>
      <w:r w:rsidRPr="00542984">
        <w:tab/>
        <w:t>Table shows major payments only. Commonwealth own purpose expenses (COPEs) are not included. Payments that the Commission treats as ‘no impact’ are included in the table.</w:t>
      </w:r>
    </w:p>
    <w:p w14:paraId="22ED943D" w14:textId="77777777" w:rsidR="007E365E" w:rsidRPr="00542984" w:rsidRDefault="007E365E" w:rsidP="007E365E">
      <w:pPr>
        <w:pStyle w:val="CGCTablenote"/>
      </w:pPr>
      <w:r w:rsidRPr="00542984">
        <w:t>Source:</w:t>
      </w:r>
      <w:r w:rsidRPr="00542984">
        <w:tab/>
        <w:t>Commonwealth Final Budget Outcome, 2018</w:t>
      </w:r>
      <w:r w:rsidRPr="00542984">
        <w:noBreakHyphen/>
        <w:t>19.</w:t>
      </w:r>
    </w:p>
    <w:p w14:paraId="0F5CA382" w14:textId="77777777" w:rsidR="007E365E" w:rsidRPr="00542984" w:rsidRDefault="007E365E" w:rsidP="007E365E">
      <w:pPr>
        <w:pStyle w:val="CGCParaNumber"/>
      </w:pPr>
      <w:r w:rsidRPr="00542984">
        <w:t xml:space="preserve">The complete list of Commonwealth payments and their treatment is available on the </w:t>
      </w:r>
      <w:hyperlink r:id="rId45" w:history="1">
        <w:r w:rsidRPr="00542984">
          <w:rPr>
            <w:rStyle w:val="Hyperlink"/>
          </w:rPr>
          <w:t>Commission website</w:t>
        </w:r>
      </w:hyperlink>
      <w:r w:rsidRPr="00542984">
        <w:t xml:space="preserve"> (https://cgc.gov.au).</w:t>
      </w:r>
      <w:r w:rsidRPr="00542984">
        <w:rPr>
          <w:rStyle w:val="FootnoteReference"/>
        </w:rPr>
        <w:footnoteReference w:id="68"/>
      </w:r>
    </w:p>
    <w:p w14:paraId="6FF9774F" w14:textId="6BE8DF32" w:rsidR="007E365E" w:rsidRPr="00542984" w:rsidRDefault="007E365E" w:rsidP="007E365E">
      <w:pPr>
        <w:pStyle w:val="Heading3"/>
      </w:pPr>
      <w:bookmarkStart w:id="344" w:name="_Toc4764713"/>
      <w:r w:rsidRPr="00542984">
        <w:t>Category structure</w:t>
      </w:r>
      <w:bookmarkEnd w:id="344"/>
    </w:p>
    <w:p w14:paraId="5062FDAC" w14:textId="77777777" w:rsidR="007E365E" w:rsidRPr="00542984" w:rsidRDefault="007E365E" w:rsidP="007E365E">
      <w:pPr>
        <w:pStyle w:val="CGCParaNumber"/>
      </w:pPr>
      <w:r w:rsidRPr="00542984">
        <w:t>The assessment of the Other expenses category is undertaken in the following components:</w:t>
      </w:r>
    </w:p>
    <w:p w14:paraId="00AA7F96" w14:textId="77777777" w:rsidR="007E365E" w:rsidRPr="00542984" w:rsidRDefault="007E365E" w:rsidP="007E365E">
      <w:pPr>
        <w:pStyle w:val="CGCBullet1"/>
      </w:pPr>
      <w:r w:rsidRPr="00542984">
        <w:t>service expenses</w:t>
      </w:r>
    </w:p>
    <w:p w14:paraId="27ED57A3" w14:textId="77777777" w:rsidR="007E365E" w:rsidRPr="00542984" w:rsidRDefault="007E365E" w:rsidP="007E365E">
      <w:pPr>
        <w:pStyle w:val="CGCBullet1"/>
      </w:pPr>
      <w:r w:rsidRPr="00542984">
        <w:t>natural disaster relief expenses.</w:t>
      </w:r>
    </w:p>
    <w:p w14:paraId="5747E041" w14:textId="77777777" w:rsidR="007E365E" w:rsidRPr="00542984" w:rsidRDefault="007E365E" w:rsidP="007E365E">
      <w:pPr>
        <w:pStyle w:val="CGCParaNumber"/>
      </w:pPr>
      <w:r w:rsidRPr="00542984">
        <w:t>A further three components are included in this category for presentational purposes:</w:t>
      </w:r>
    </w:p>
    <w:p w14:paraId="7B73135C" w14:textId="77777777" w:rsidR="007E365E" w:rsidRPr="00542984" w:rsidRDefault="007E365E" w:rsidP="007E365E">
      <w:pPr>
        <w:pStyle w:val="CGCBullet1"/>
      </w:pPr>
      <w:r w:rsidRPr="00542984">
        <w:t>administrative scale</w:t>
      </w:r>
    </w:p>
    <w:p w14:paraId="08BAAE9B" w14:textId="77777777" w:rsidR="007E365E" w:rsidRPr="00542984" w:rsidRDefault="007E365E" w:rsidP="007E365E">
      <w:pPr>
        <w:pStyle w:val="CGCBullet1"/>
      </w:pPr>
      <w:r w:rsidRPr="00542984">
        <w:t>native title and land rights</w:t>
      </w:r>
    </w:p>
    <w:p w14:paraId="7CC91F49" w14:textId="77777777" w:rsidR="007E365E" w:rsidRPr="00542984" w:rsidRDefault="007E365E" w:rsidP="007E365E">
      <w:pPr>
        <w:pStyle w:val="CGCBullet1"/>
      </w:pPr>
      <w:r w:rsidRPr="00542984">
        <w:t>national capital.</w:t>
      </w:r>
    </w:p>
    <w:p w14:paraId="4AC22F73" w14:textId="77777777" w:rsidR="007E365E" w:rsidRPr="00542984" w:rsidRDefault="007E365E" w:rsidP="007E365E">
      <w:pPr>
        <w:pStyle w:val="CGCParaNumber"/>
      </w:pPr>
      <w:r w:rsidRPr="00542984">
        <w:t>The assessments of the disabilities for the last three components are discussed in Chapter 26</w:t>
      </w:r>
      <w:r>
        <w:t xml:space="preserve"> </w:t>
      </w:r>
      <w:r w:rsidRPr="00542984">
        <w:t>Administrative scale and Chapter 29</w:t>
      </w:r>
      <w:r>
        <w:t xml:space="preserve"> </w:t>
      </w:r>
      <w:r w:rsidRPr="00542984">
        <w:t>Other disabilities.</w:t>
      </w:r>
    </w:p>
    <w:p w14:paraId="16A33967" w14:textId="751D3B51" w:rsidR="007E365E" w:rsidRPr="00542984" w:rsidRDefault="007E365E" w:rsidP="007E365E">
      <w:pPr>
        <w:pStyle w:val="CGCParaNumber"/>
      </w:pPr>
      <w:r w:rsidRPr="00542984">
        <w:t xml:space="preserve">Components allow different disability assessments to apply to sub-functions. </w:t>
      </w:r>
      <w:r>
        <w:fldChar w:fldCharType="begin"/>
      </w:r>
      <w:r>
        <w:instrText xml:space="preserve"> REF _Ref32845937 \h </w:instrText>
      </w:r>
      <w:r>
        <w:fldChar w:fldCharType="separate"/>
      </w:r>
      <w:r w:rsidR="007F721A" w:rsidRPr="00542984">
        <w:t xml:space="preserve">Table </w:t>
      </w:r>
      <w:r w:rsidR="007F721A">
        <w:t>23-</w:t>
      </w:r>
      <w:r w:rsidR="007F721A">
        <w:rPr>
          <w:noProof/>
        </w:rPr>
        <w:t>5</w:t>
      </w:r>
      <w:r>
        <w:fldChar w:fldCharType="end"/>
      </w:r>
      <w:r w:rsidRPr="00542984">
        <w:t xml:space="preserve"> shows the category’s assessment structure, the size of each component and the disabilities that apply. </w:t>
      </w:r>
    </w:p>
    <w:p w14:paraId="0EDDEA1B" w14:textId="1DF76BA0" w:rsidR="007E365E" w:rsidRPr="00542984" w:rsidRDefault="007E365E" w:rsidP="007E365E">
      <w:pPr>
        <w:pStyle w:val="Caption"/>
      </w:pPr>
      <w:bookmarkStart w:id="345" w:name="_Ref32845937"/>
      <w:r w:rsidRPr="00542984">
        <w:lastRenderedPageBreak/>
        <w:t xml:space="preserve">Table </w:t>
      </w:r>
      <w:r>
        <w:t>23-</w:t>
      </w:r>
      <w:fldSimple w:instr=" SEQ Table \* ARABIC ">
        <w:r w:rsidR="007F721A">
          <w:rPr>
            <w:noProof/>
          </w:rPr>
          <w:t>5</w:t>
        </w:r>
      </w:fldSimple>
      <w:bookmarkEnd w:id="345"/>
      <w:r w:rsidRPr="00542984">
        <w:tab/>
      </w:r>
      <w:r>
        <w:t>Category structure, Other expenses</w:t>
      </w:r>
      <w:r w:rsidRPr="00542984">
        <w:t>, 2018-19</w:t>
      </w:r>
    </w:p>
    <w:tbl>
      <w:tblPr>
        <w:tblW w:w="8902" w:type="dxa"/>
        <w:tblCellMar>
          <w:left w:w="28" w:type="dxa"/>
        </w:tblCellMar>
        <w:tblLook w:val="04A0" w:firstRow="1" w:lastRow="0" w:firstColumn="1" w:lastColumn="0" w:noHBand="0" w:noVBand="1"/>
      </w:tblPr>
      <w:tblGrid>
        <w:gridCol w:w="1723"/>
        <w:gridCol w:w="1159"/>
        <w:gridCol w:w="1421"/>
        <w:gridCol w:w="4599"/>
      </w:tblGrid>
      <w:tr w:rsidR="0034481C" w:rsidRPr="009B331A" w14:paraId="59929324" w14:textId="77777777" w:rsidTr="0034481C">
        <w:trPr>
          <w:trHeight w:val="555"/>
        </w:trPr>
        <w:tc>
          <w:tcPr>
            <w:tcW w:w="1719" w:type="dxa"/>
            <w:tcBorders>
              <w:top w:val="nil"/>
              <w:left w:val="nil"/>
              <w:bottom w:val="nil"/>
              <w:right w:val="nil"/>
            </w:tcBorders>
            <w:shd w:val="clear" w:color="000000" w:fill="006991"/>
            <w:vAlign w:val="center"/>
            <w:hideMark/>
          </w:tcPr>
          <w:p w14:paraId="726ABE6F" w14:textId="77777777" w:rsidR="0034481C" w:rsidRPr="009B331A" w:rsidRDefault="0034481C"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346" w:name="RANGE!A3:E11"/>
            <w:bookmarkStart w:id="347" w:name="_Toc4764714"/>
            <w:r w:rsidRPr="009B331A">
              <w:rPr>
                <w:rFonts w:ascii="Open Sans SemiBold" w:eastAsia="Times New Roman" w:hAnsi="Open Sans SemiBold" w:cs="Open Sans SemiBold"/>
                <w:color w:val="FFFFFF"/>
                <w:sz w:val="16"/>
                <w:szCs w:val="16"/>
                <w:lang w:eastAsia="en-AU"/>
              </w:rPr>
              <w:t>Component</w:t>
            </w:r>
            <w:bookmarkEnd w:id="346"/>
          </w:p>
        </w:tc>
        <w:tc>
          <w:tcPr>
            <w:tcW w:w="1060" w:type="dxa"/>
            <w:tcBorders>
              <w:top w:val="nil"/>
              <w:left w:val="nil"/>
              <w:bottom w:val="nil"/>
              <w:right w:val="nil"/>
            </w:tcBorders>
            <w:shd w:val="clear" w:color="000000" w:fill="006991"/>
            <w:vAlign w:val="center"/>
            <w:hideMark/>
          </w:tcPr>
          <w:p w14:paraId="0418A41C" w14:textId="77777777" w:rsidR="0034481C" w:rsidRPr="009B331A" w:rsidRDefault="0034481C" w:rsidP="0034481C">
            <w:pPr>
              <w:tabs>
                <w:tab w:val="clear" w:pos="567"/>
              </w:tabs>
              <w:spacing w:before="0" w:line="240" w:lineRule="auto"/>
              <w:ind w:right="113"/>
              <w:jc w:val="right"/>
              <w:rPr>
                <w:rFonts w:ascii="Open Sans SemiBold" w:eastAsia="Times New Roman" w:hAnsi="Open Sans SemiBold" w:cs="Open Sans SemiBold"/>
                <w:color w:val="FFFFFF"/>
                <w:sz w:val="16"/>
                <w:szCs w:val="16"/>
                <w:lang w:eastAsia="en-AU"/>
              </w:rPr>
            </w:pPr>
            <w:r w:rsidRPr="009B331A">
              <w:rPr>
                <w:rFonts w:ascii="Open Sans SemiBold" w:eastAsia="Times New Roman" w:hAnsi="Open Sans SemiBold" w:cs="Open Sans SemiBold"/>
                <w:color w:val="FFFFFF"/>
                <w:sz w:val="16"/>
                <w:szCs w:val="16"/>
                <w:lang w:eastAsia="en-AU"/>
              </w:rPr>
              <w:t>Component expense</w:t>
            </w:r>
          </w:p>
        </w:tc>
        <w:tc>
          <w:tcPr>
            <w:tcW w:w="1418" w:type="dxa"/>
            <w:tcBorders>
              <w:top w:val="nil"/>
              <w:left w:val="nil"/>
              <w:bottom w:val="nil"/>
              <w:right w:val="nil"/>
            </w:tcBorders>
            <w:shd w:val="clear" w:color="000000" w:fill="006991"/>
            <w:vAlign w:val="center"/>
            <w:hideMark/>
          </w:tcPr>
          <w:p w14:paraId="371B2252" w14:textId="77777777" w:rsidR="0034481C" w:rsidRPr="009B331A" w:rsidRDefault="0034481C"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9B331A">
              <w:rPr>
                <w:rFonts w:ascii="Open Sans SemiBold" w:eastAsia="Times New Roman" w:hAnsi="Open Sans SemiBold" w:cs="Open Sans SemiBold"/>
                <w:color w:val="FFFFFF"/>
                <w:sz w:val="16"/>
                <w:szCs w:val="16"/>
                <w:lang w:eastAsia="en-AU"/>
              </w:rPr>
              <w:t>Disability</w:t>
            </w:r>
          </w:p>
        </w:tc>
        <w:tc>
          <w:tcPr>
            <w:tcW w:w="4589" w:type="dxa"/>
            <w:tcBorders>
              <w:top w:val="nil"/>
              <w:left w:val="nil"/>
              <w:bottom w:val="nil"/>
              <w:right w:val="nil"/>
            </w:tcBorders>
            <w:shd w:val="clear" w:color="000000" w:fill="006991"/>
            <w:vAlign w:val="center"/>
            <w:hideMark/>
          </w:tcPr>
          <w:p w14:paraId="27008247" w14:textId="77777777" w:rsidR="0034481C" w:rsidRPr="009B331A" w:rsidRDefault="0034481C"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9B331A">
              <w:rPr>
                <w:rFonts w:ascii="Open Sans SemiBold" w:eastAsia="Times New Roman" w:hAnsi="Open Sans SemiBold" w:cs="Open Sans SemiBold"/>
                <w:color w:val="FFFFFF"/>
                <w:sz w:val="16"/>
                <w:szCs w:val="16"/>
                <w:lang w:eastAsia="en-AU"/>
              </w:rPr>
              <w:t>Influence measured by disability</w:t>
            </w:r>
          </w:p>
        </w:tc>
      </w:tr>
      <w:tr w:rsidR="0034481C" w:rsidRPr="009B331A" w14:paraId="7B0B0BD8" w14:textId="77777777" w:rsidTr="0034481C">
        <w:trPr>
          <w:trHeight w:val="259"/>
        </w:trPr>
        <w:tc>
          <w:tcPr>
            <w:tcW w:w="1719" w:type="dxa"/>
            <w:tcBorders>
              <w:top w:val="single" w:sz="4" w:space="0" w:color="ADD6EA"/>
              <w:left w:val="nil"/>
              <w:bottom w:val="single" w:sz="4" w:space="0" w:color="ADD6EA"/>
              <w:right w:val="nil"/>
            </w:tcBorders>
            <w:shd w:val="clear" w:color="000000" w:fill="B6D5E4"/>
            <w:vAlign w:val="bottom"/>
            <w:hideMark/>
          </w:tcPr>
          <w:p w14:paraId="6723B281" w14:textId="77777777" w:rsidR="0034481C" w:rsidRPr="009B331A" w:rsidRDefault="0034481C" w:rsidP="007D1D77">
            <w:pPr>
              <w:tabs>
                <w:tab w:val="clear" w:pos="567"/>
              </w:tabs>
              <w:spacing w:before="0" w:line="240" w:lineRule="auto"/>
              <w:rPr>
                <w:rFonts w:ascii="Open Sans SemiBold" w:eastAsia="Times New Roman" w:hAnsi="Open Sans SemiBold" w:cs="Open Sans SemiBold"/>
                <w:sz w:val="22"/>
                <w:lang w:eastAsia="en-AU"/>
              </w:rPr>
            </w:pPr>
            <w:r w:rsidRPr="009B331A">
              <w:rPr>
                <w:rFonts w:ascii="Open Sans SemiBold" w:eastAsia="Times New Roman" w:hAnsi="Open Sans SemiBold" w:cs="Open Sans SemiBold"/>
                <w:sz w:val="22"/>
                <w:lang w:eastAsia="en-AU"/>
              </w:rPr>
              <w:t> </w:t>
            </w:r>
          </w:p>
        </w:tc>
        <w:tc>
          <w:tcPr>
            <w:tcW w:w="1060" w:type="dxa"/>
            <w:tcBorders>
              <w:top w:val="single" w:sz="4" w:space="0" w:color="ADD6EA"/>
              <w:left w:val="nil"/>
              <w:bottom w:val="single" w:sz="4" w:space="0" w:color="ADD6EA"/>
              <w:right w:val="nil"/>
            </w:tcBorders>
            <w:shd w:val="clear" w:color="000000" w:fill="B6D5E4"/>
            <w:noWrap/>
            <w:vAlign w:val="center"/>
            <w:hideMark/>
          </w:tcPr>
          <w:p w14:paraId="5F83E451" w14:textId="77777777" w:rsidR="0034481C" w:rsidRPr="009B331A" w:rsidRDefault="0034481C" w:rsidP="0034481C">
            <w:pPr>
              <w:tabs>
                <w:tab w:val="clear" w:pos="567"/>
              </w:tabs>
              <w:spacing w:before="0" w:line="240" w:lineRule="auto"/>
              <w:ind w:right="113"/>
              <w:jc w:val="right"/>
              <w:rPr>
                <w:rFonts w:ascii="Open Sans SemiBold" w:eastAsia="Times New Roman" w:hAnsi="Open Sans SemiBold" w:cs="Open Sans SemiBold"/>
                <w:color w:val="000000"/>
                <w:sz w:val="16"/>
                <w:szCs w:val="16"/>
                <w:lang w:eastAsia="en-AU"/>
              </w:rPr>
            </w:pPr>
            <w:r w:rsidRPr="009B331A">
              <w:rPr>
                <w:rFonts w:ascii="Open Sans SemiBold" w:eastAsia="Times New Roman" w:hAnsi="Open Sans SemiBold" w:cs="Open Sans SemiBold"/>
                <w:color w:val="000000"/>
                <w:sz w:val="16"/>
                <w:szCs w:val="16"/>
                <w:lang w:eastAsia="en-AU"/>
              </w:rPr>
              <w:t>$m</w:t>
            </w:r>
          </w:p>
        </w:tc>
        <w:tc>
          <w:tcPr>
            <w:tcW w:w="1418" w:type="dxa"/>
            <w:tcBorders>
              <w:top w:val="single" w:sz="4" w:space="0" w:color="ADD6EA"/>
              <w:left w:val="nil"/>
              <w:bottom w:val="single" w:sz="4" w:space="0" w:color="ADD6EA"/>
              <w:right w:val="nil"/>
            </w:tcBorders>
            <w:shd w:val="clear" w:color="000000" w:fill="B6D5E4"/>
            <w:vAlign w:val="bottom"/>
            <w:hideMark/>
          </w:tcPr>
          <w:p w14:paraId="2244B342" w14:textId="77777777" w:rsidR="0034481C" w:rsidRPr="009B331A" w:rsidRDefault="0034481C" w:rsidP="007D1D77">
            <w:pPr>
              <w:tabs>
                <w:tab w:val="clear" w:pos="567"/>
              </w:tabs>
              <w:spacing w:before="0" w:line="240" w:lineRule="auto"/>
              <w:rPr>
                <w:rFonts w:ascii="Open Sans SemiBold" w:eastAsia="Times New Roman" w:hAnsi="Open Sans SemiBold" w:cs="Open Sans SemiBold"/>
                <w:sz w:val="22"/>
                <w:lang w:eastAsia="en-AU"/>
              </w:rPr>
            </w:pPr>
            <w:r w:rsidRPr="009B331A">
              <w:rPr>
                <w:rFonts w:ascii="Open Sans SemiBold" w:eastAsia="Times New Roman" w:hAnsi="Open Sans SemiBold" w:cs="Open Sans SemiBold"/>
                <w:sz w:val="22"/>
                <w:lang w:eastAsia="en-AU"/>
              </w:rPr>
              <w:t> </w:t>
            </w:r>
          </w:p>
        </w:tc>
        <w:tc>
          <w:tcPr>
            <w:tcW w:w="4589" w:type="dxa"/>
            <w:tcBorders>
              <w:top w:val="single" w:sz="4" w:space="0" w:color="ADD6EA"/>
              <w:left w:val="nil"/>
              <w:bottom w:val="single" w:sz="4" w:space="0" w:color="ADD6EA"/>
              <w:right w:val="nil"/>
            </w:tcBorders>
            <w:shd w:val="clear" w:color="000000" w:fill="B6D5E4"/>
            <w:vAlign w:val="bottom"/>
            <w:hideMark/>
          </w:tcPr>
          <w:p w14:paraId="409DA68B" w14:textId="77777777" w:rsidR="0034481C" w:rsidRPr="009B331A" w:rsidRDefault="0034481C" w:rsidP="007D1D77">
            <w:pPr>
              <w:tabs>
                <w:tab w:val="clear" w:pos="567"/>
              </w:tabs>
              <w:spacing w:before="0" w:line="240" w:lineRule="auto"/>
              <w:rPr>
                <w:rFonts w:ascii="Open Sans SemiBold" w:eastAsia="Times New Roman" w:hAnsi="Open Sans SemiBold" w:cs="Open Sans SemiBold"/>
                <w:sz w:val="22"/>
                <w:lang w:eastAsia="en-AU"/>
              </w:rPr>
            </w:pPr>
            <w:r w:rsidRPr="009B331A">
              <w:rPr>
                <w:rFonts w:ascii="Open Sans SemiBold" w:eastAsia="Times New Roman" w:hAnsi="Open Sans SemiBold" w:cs="Open Sans SemiBold"/>
                <w:sz w:val="22"/>
                <w:lang w:eastAsia="en-AU"/>
              </w:rPr>
              <w:t> </w:t>
            </w:r>
          </w:p>
        </w:tc>
      </w:tr>
      <w:tr w:rsidR="0034481C" w:rsidRPr="009B331A" w14:paraId="4D4E228E" w14:textId="77777777" w:rsidTr="0034481C">
        <w:trPr>
          <w:trHeight w:val="315"/>
        </w:trPr>
        <w:tc>
          <w:tcPr>
            <w:tcW w:w="1719" w:type="dxa"/>
            <w:tcBorders>
              <w:top w:val="nil"/>
              <w:left w:val="nil"/>
              <w:bottom w:val="nil"/>
              <w:right w:val="nil"/>
            </w:tcBorders>
            <w:shd w:val="clear" w:color="auto" w:fill="auto"/>
            <w:hideMark/>
          </w:tcPr>
          <w:p w14:paraId="71D24624" w14:textId="77777777" w:rsidR="0034481C" w:rsidRPr="009B331A" w:rsidRDefault="0034481C" w:rsidP="007D1D77">
            <w:pPr>
              <w:tabs>
                <w:tab w:val="clear" w:pos="567"/>
              </w:tabs>
              <w:spacing w:before="0" w:line="240" w:lineRule="auto"/>
              <w:rPr>
                <w:rFonts w:ascii="Open Sans SemiBold" w:eastAsia="Times New Roman" w:hAnsi="Open Sans SemiBold" w:cs="Open Sans SemiBold"/>
                <w:sz w:val="16"/>
                <w:szCs w:val="16"/>
                <w:lang w:eastAsia="en-AU"/>
              </w:rPr>
            </w:pPr>
            <w:r w:rsidRPr="009B331A">
              <w:rPr>
                <w:rFonts w:ascii="Open Sans SemiBold" w:eastAsia="Times New Roman" w:hAnsi="Open Sans SemiBold" w:cs="Open Sans SemiBold"/>
                <w:sz w:val="16"/>
                <w:szCs w:val="16"/>
                <w:lang w:eastAsia="en-AU"/>
              </w:rPr>
              <w:t>Service expenses</w:t>
            </w:r>
          </w:p>
        </w:tc>
        <w:tc>
          <w:tcPr>
            <w:tcW w:w="1060" w:type="dxa"/>
            <w:tcBorders>
              <w:top w:val="nil"/>
              <w:left w:val="nil"/>
              <w:bottom w:val="nil"/>
              <w:right w:val="nil"/>
            </w:tcBorders>
            <w:shd w:val="clear" w:color="auto" w:fill="auto"/>
            <w:hideMark/>
          </w:tcPr>
          <w:p w14:paraId="2AD9C9D7" w14:textId="77777777" w:rsidR="0034481C" w:rsidRPr="009B331A" w:rsidRDefault="0034481C" w:rsidP="0034481C">
            <w:pPr>
              <w:tabs>
                <w:tab w:val="clear" w:pos="567"/>
              </w:tabs>
              <w:spacing w:before="0" w:line="240" w:lineRule="auto"/>
              <w:ind w:right="113"/>
              <w:jc w:val="right"/>
              <w:rPr>
                <w:rFonts w:eastAsia="Times New Roman" w:cs="Open Sans Light"/>
                <w:sz w:val="16"/>
                <w:szCs w:val="16"/>
                <w:lang w:eastAsia="en-AU"/>
              </w:rPr>
            </w:pPr>
            <w:r w:rsidRPr="009B331A">
              <w:rPr>
                <w:rFonts w:eastAsia="Times New Roman" w:cs="Open Sans Light"/>
                <w:sz w:val="16"/>
                <w:szCs w:val="16"/>
                <w:lang w:eastAsia="en-AU"/>
              </w:rPr>
              <w:t>23,520</w:t>
            </w:r>
          </w:p>
        </w:tc>
        <w:tc>
          <w:tcPr>
            <w:tcW w:w="1418" w:type="dxa"/>
            <w:tcBorders>
              <w:top w:val="nil"/>
              <w:left w:val="nil"/>
              <w:bottom w:val="single" w:sz="4" w:space="0" w:color="ADD6EA"/>
              <w:right w:val="nil"/>
            </w:tcBorders>
            <w:shd w:val="clear" w:color="auto" w:fill="auto"/>
            <w:hideMark/>
          </w:tcPr>
          <w:p w14:paraId="0FEA5A0E"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r w:rsidRPr="009B331A">
              <w:rPr>
                <w:rFonts w:eastAsia="Times New Roman" w:cs="Open Sans Light"/>
                <w:sz w:val="16"/>
                <w:szCs w:val="16"/>
                <w:lang w:eastAsia="en-AU"/>
              </w:rPr>
              <w:t>Equal per capita</w:t>
            </w:r>
          </w:p>
        </w:tc>
        <w:tc>
          <w:tcPr>
            <w:tcW w:w="4589" w:type="dxa"/>
            <w:tcBorders>
              <w:top w:val="nil"/>
              <w:left w:val="nil"/>
              <w:bottom w:val="single" w:sz="4" w:space="0" w:color="ADD6EA"/>
              <w:right w:val="nil"/>
            </w:tcBorders>
            <w:shd w:val="clear" w:color="auto" w:fill="auto"/>
            <w:hideMark/>
          </w:tcPr>
          <w:p w14:paraId="2C8D8C5A"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r w:rsidRPr="009B331A">
              <w:rPr>
                <w:rFonts w:eastAsia="Times New Roman" w:cs="Open Sans Light"/>
                <w:sz w:val="16"/>
                <w:szCs w:val="16"/>
                <w:lang w:eastAsia="en-AU"/>
              </w:rPr>
              <w:t>The driver of these expenses is State population (a).</w:t>
            </w:r>
          </w:p>
        </w:tc>
      </w:tr>
      <w:tr w:rsidR="0034481C" w:rsidRPr="009B331A" w14:paraId="79C2C78F" w14:textId="77777777" w:rsidTr="0034481C">
        <w:trPr>
          <w:trHeight w:val="315"/>
        </w:trPr>
        <w:tc>
          <w:tcPr>
            <w:tcW w:w="1719" w:type="dxa"/>
            <w:tcBorders>
              <w:top w:val="nil"/>
              <w:left w:val="nil"/>
              <w:bottom w:val="nil"/>
              <w:right w:val="nil"/>
            </w:tcBorders>
            <w:shd w:val="clear" w:color="auto" w:fill="auto"/>
            <w:hideMark/>
          </w:tcPr>
          <w:p w14:paraId="4990870A"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p>
        </w:tc>
        <w:tc>
          <w:tcPr>
            <w:tcW w:w="1060" w:type="dxa"/>
            <w:tcBorders>
              <w:top w:val="nil"/>
              <w:left w:val="nil"/>
              <w:bottom w:val="nil"/>
              <w:right w:val="nil"/>
            </w:tcBorders>
            <w:shd w:val="clear" w:color="auto" w:fill="auto"/>
            <w:hideMark/>
          </w:tcPr>
          <w:p w14:paraId="48996239" w14:textId="77777777" w:rsidR="0034481C" w:rsidRPr="009B331A" w:rsidRDefault="0034481C" w:rsidP="0034481C">
            <w:pPr>
              <w:tabs>
                <w:tab w:val="clear" w:pos="567"/>
              </w:tabs>
              <w:spacing w:before="0" w:line="240" w:lineRule="auto"/>
              <w:ind w:right="113"/>
              <w:rPr>
                <w:rFonts w:ascii="Times New Roman" w:eastAsia="Times New Roman" w:hAnsi="Times New Roman" w:cs="Times New Roman"/>
                <w:szCs w:val="20"/>
                <w:lang w:eastAsia="en-AU"/>
              </w:rPr>
            </w:pPr>
          </w:p>
        </w:tc>
        <w:tc>
          <w:tcPr>
            <w:tcW w:w="1418" w:type="dxa"/>
            <w:tcBorders>
              <w:top w:val="nil"/>
              <w:left w:val="nil"/>
              <w:bottom w:val="single" w:sz="4" w:space="0" w:color="ADD6EA"/>
              <w:right w:val="nil"/>
            </w:tcBorders>
            <w:shd w:val="clear" w:color="auto" w:fill="auto"/>
            <w:hideMark/>
          </w:tcPr>
          <w:p w14:paraId="7C785C28"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r w:rsidRPr="009B331A">
              <w:rPr>
                <w:rFonts w:eastAsia="Times New Roman" w:cs="Open Sans Light"/>
                <w:sz w:val="16"/>
                <w:szCs w:val="16"/>
                <w:lang w:eastAsia="en-AU"/>
              </w:rPr>
              <w:t>Wage costs (b)</w:t>
            </w:r>
          </w:p>
        </w:tc>
        <w:tc>
          <w:tcPr>
            <w:tcW w:w="4589" w:type="dxa"/>
            <w:tcBorders>
              <w:top w:val="nil"/>
              <w:left w:val="nil"/>
              <w:bottom w:val="single" w:sz="4" w:space="0" w:color="ADD6EA"/>
              <w:right w:val="nil"/>
            </w:tcBorders>
            <w:shd w:val="clear" w:color="auto" w:fill="auto"/>
            <w:hideMark/>
          </w:tcPr>
          <w:p w14:paraId="307453E2"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r w:rsidRPr="009B331A">
              <w:rPr>
                <w:rFonts w:eastAsia="Times New Roman" w:cs="Open Sans Light"/>
                <w:sz w:val="16"/>
                <w:szCs w:val="16"/>
                <w:lang w:eastAsia="en-AU"/>
              </w:rPr>
              <w:t>Recognises differences in wage costs between States.</w:t>
            </w:r>
          </w:p>
        </w:tc>
      </w:tr>
      <w:tr w:rsidR="0034481C" w:rsidRPr="009B331A" w14:paraId="2CBACFFB" w14:textId="77777777" w:rsidTr="0034481C">
        <w:trPr>
          <w:trHeight w:val="555"/>
        </w:trPr>
        <w:tc>
          <w:tcPr>
            <w:tcW w:w="1719" w:type="dxa"/>
            <w:tcBorders>
              <w:top w:val="nil"/>
              <w:left w:val="nil"/>
              <w:bottom w:val="single" w:sz="4" w:space="0" w:color="ADD6EA"/>
              <w:right w:val="nil"/>
            </w:tcBorders>
            <w:shd w:val="clear" w:color="auto" w:fill="auto"/>
            <w:hideMark/>
          </w:tcPr>
          <w:p w14:paraId="406EBD93" w14:textId="77777777" w:rsidR="0034481C" w:rsidRPr="009B331A" w:rsidRDefault="0034481C" w:rsidP="007D1D77">
            <w:pPr>
              <w:tabs>
                <w:tab w:val="clear" w:pos="567"/>
              </w:tabs>
              <w:spacing w:before="0" w:line="240" w:lineRule="auto"/>
              <w:rPr>
                <w:rFonts w:ascii="Open Sans SemiBold" w:eastAsia="Times New Roman" w:hAnsi="Open Sans SemiBold" w:cs="Open Sans SemiBold"/>
                <w:sz w:val="16"/>
                <w:szCs w:val="16"/>
                <w:lang w:eastAsia="en-AU"/>
              </w:rPr>
            </w:pPr>
            <w:r w:rsidRPr="009B331A">
              <w:rPr>
                <w:rFonts w:ascii="Open Sans SemiBold" w:eastAsia="Times New Roman" w:hAnsi="Open Sans SemiBold" w:cs="Open Sans SemiBold"/>
                <w:sz w:val="16"/>
                <w:szCs w:val="16"/>
                <w:lang w:eastAsia="en-AU"/>
              </w:rPr>
              <w:t> </w:t>
            </w:r>
          </w:p>
        </w:tc>
        <w:tc>
          <w:tcPr>
            <w:tcW w:w="1060" w:type="dxa"/>
            <w:tcBorders>
              <w:top w:val="nil"/>
              <w:left w:val="nil"/>
              <w:bottom w:val="single" w:sz="4" w:space="0" w:color="ADD6EA"/>
              <w:right w:val="nil"/>
            </w:tcBorders>
            <w:shd w:val="clear" w:color="auto" w:fill="auto"/>
            <w:hideMark/>
          </w:tcPr>
          <w:p w14:paraId="736B775B" w14:textId="77777777" w:rsidR="0034481C" w:rsidRPr="009B331A" w:rsidRDefault="0034481C" w:rsidP="0034481C">
            <w:pPr>
              <w:tabs>
                <w:tab w:val="clear" w:pos="567"/>
              </w:tabs>
              <w:spacing w:before="0" w:line="240" w:lineRule="auto"/>
              <w:ind w:right="113"/>
              <w:jc w:val="right"/>
              <w:rPr>
                <w:rFonts w:eastAsia="Times New Roman" w:cs="Open Sans Light"/>
                <w:sz w:val="16"/>
                <w:szCs w:val="16"/>
                <w:lang w:eastAsia="en-AU"/>
              </w:rPr>
            </w:pPr>
            <w:r w:rsidRPr="009B331A">
              <w:rPr>
                <w:rFonts w:eastAsia="Times New Roman" w:cs="Open Sans Light"/>
                <w:sz w:val="16"/>
                <w:szCs w:val="16"/>
                <w:lang w:eastAsia="en-AU"/>
              </w:rPr>
              <w:t> </w:t>
            </w:r>
          </w:p>
        </w:tc>
        <w:tc>
          <w:tcPr>
            <w:tcW w:w="1418" w:type="dxa"/>
            <w:tcBorders>
              <w:top w:val="nil"/>
              <w:left w:val="nil"/>
              <w:bottom w:val="single" w:sz="4" w:space="0" w:color="ADD6EA"/>
              <w:right w:val="nil"/>
            </w:tcBorders>
            <w:shd w:val="clear" w:color="auto" w:fill="auto"/>
            <w:hideMark/>
          </w:tcPr>
          <w:p w14:paraId="2745A142"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r w:rsidRPr="009B331A">
              <w:rPr>
                <w:rFonts w:eastAsia="Times New Roman" w:cs="Open Sans Light"/>
                <w:sz w:val="16"/>
                <w:szCs w:val="16"/>
                <w:lang w:eastAsia="en-AU"/>
              </w:rPr>
              <w:t>Regional costs (b)</w:t>
            </w:r>
          </w:p>
        </w:tc>
        <w:tc>
          <w:tcPr>
            <w:tcW w:w="4589" w:type="dxa"/>
            <w:tcBorders>
              <w:top w:val="nil"/>
              <w:left w:val="nil"/>
              <w:bottom w:val="single" w:sz="4" w:space="0" w:color="ADD6EA"/>
              <w:right w:val="nil"/>
            </w:tcBorders>
            <w:shd w:val="clear" w:color="auto" w:fill="auto"/>
            <w:hideMark/>
          </w:tcPr>
          <w:p w14:paraId="35482B88"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r w:rsidRPr="009B331A">
              <w:rPr>
                <w:rFonts w:eastAsia="Times New Roman" w:cs="Open Sans Light"/>
                <w:sz w:val="16"/>
                <w:szCs w:val="16"/>
                <w:lang w:eastAsia="en-AU"/>
              </w:rPr>
              <w:t>Recognises the higher cost of providing services to more remote areas.</w:t>
            </w:r>
          </w:p>
        </w:tc>
      </w:tr>
      <w:tr w:rsidR="0034481C" w:rsidRPr="009B331A" w14:paraId="024C1D22" w14:textId="77777777" w:rsidTr="0034481C">
        <w:trPr>
          <w:trHeight w:val="1035"/>
        </w:trPr>
        <w:tc>
          <w:tcPr>
            <w:tcW w:w="1719" w:type="dxa"/>
            <w:tcBorders>
              <w:top w:val="nil"/>
              <w:left w:val="nil"/>
              <w:bottom w:val="single" w:sz="4" w:space="0" w:color="ADD6EA"/>
              <w:right w:val="nil"/>
            </w:tcBorders>
            <w:shd w:val="clear" w:color="auto" w:fill="auto"/>
            <w:hideMark/>
          </w:tcPr>
          <w:p w14:paraId="15C9A647" w14:textId="77777777" w:rsidR="0034481C" w:rsidRPr="009B331A" w:rsidRDefault="0034481C" w:rsidP="007D1D77">
            <w:pPr>
              <w:tabs>
                <w:tab w:val="clear" w:pos="567"/>
              </w:tabs>
              <w:spacing w:before="0" w:line="240" w:lineRule="auto"/>
              <w:rPr>
                <w:rFonts w:ascii="Open Sans SemiBold" w:eastAsia="Times New Roman" w:hAnsi="Open Sans SemiBold" w:cs="Open Sans SemiBold"/>
                <w:sz w:val="16"/>
                <w:szCs w:val="16"/>
                <w:lang w:eastAsia="en-AU"/>
              </w:rPr>
            </w:pPr>
            <w:r w:rsidRPr="009B331A">
              <w:rPr>
                <w:rFonts w:ascii="Open Sans SemiBold" w:eastAsia="Times New Roman" w:hAnsi="Open Sans SemiBold" w:cs="Open Sans SemiBold"/>
                <w:sz w:val="16"/>
                <w:szCs w:val="16"/>
                <w:lang w:eastAsia="en-AU"/>
              </w:rPr>
              <w:t xml:space="preserve">Natural disaster relief </w:t>
            </w:r>
          </w:p>
        </w:tc>
        <w:tc>
          <w:tcPr>
            <w:tcW w:w="1060" w:type="dxa"/>
            <w:tcBorders>
              <w:top w:val="nil"/>
              <w:left w:val="nil"/>
              <w:bottom w:val="single" w:sz="4" w:space="0" w:color="ADD6EA"/>
              <w:right w:val="nil"/>
            </w:tcBorders>
            <w:shd w:val="clear" w:color="auto" w:fill="auto"/>
            <w:hideMark/>
          </w:tcPr>
          <w:p w14:paraId="73FCC051" w14:textId="77777777" w:rsidR="0034481C" w:rsidRPr="009B331A" w:rsidRDefault="0034481C" w:rsidP="0034481C">
            <w:pPr>
              <w:tabs>
                <w:tab w:val="clear" w:pos="567"/>
              </w:tabs>
              <w:spacing w:before="0" w:line="240" w:lineRule="auto"/>
              <w:ind w:right="113"/>
              <w:jc w:val="right"/>
              <w:rPr>
                <w:rFonts w:eastAsia="Times New Roman" w:cs="Open Sans Light"/>
                <w:sz w:val="16"/>
                <w:szCs w:val="16"/>
                <w:lang w:eastAsia="en-AU"/>
              </w:rPr>
            </w:pPr>
            <w:r w:rsidRPr="009B331A">
              <w:rPr>
                <w:rFonts w:eastAsia="Times New Roman" w:cs="Open Sans Light"/>
                <w:sz w:val="16"/>
                <w:szCs w:val="16"/>
                <w:lang w:eastAsia="en-AU"/>
              </w:rPr>
              <w:t>(c)</w:t>
            </w:r>
          </w:p>
        </w:tc>
        <w:tc>
          <w:tcPr>
            <w:tcW w:w="1418" w:type="dxa"/>
            <w:tcBorders>
              <w:top w:val="nil"/>
              <w:left w:val="nil"/>
              <w:bottom w:val="single" w:sz="4" w:space="0" w:color="ADD6EA"/>
              <w:right w:val="nil"/>
            </w:tcBorders>
            <w:shd w:val="clear" w:color="auto" w:fill="auto"/>
            <w:hideMark/>
          </w:tcPr>
          <w:p w14:paraId="15FC93A8"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r w:rsidRPr="009B331A">
              <w:rPr>
                <w:rFonts w:eastAsia="Times New Roman" w:cs="Open Sans Light"/>
                <w:sz w:val="16"/>
                <w:szCs w:val="16"/>
                <w:lang w:eastAsia="en-AU"/>
              </w:rPr>
              <w:t>Actual expenses</w:t>
            </w:r>
          </w:p>
        </w:tc>
        <w:tc>
          <w:tcPr>
            <w:tcW w:w="4589" w:type="dxa"/>
            <w:tcBorders>
              <w:top w:val="nil"/>
              <w:left w:val="nil"/>
              <w:bottom w:val="single" w:sz="4" w:space="0" w:color="ADD6EA"/>
              <w:right w:val="nil"/>
            </w:tcBorders>
            <w:shd w:val="clear" w:color="auto" w:fill="auto"/>
            <w:hideMark/>
          </w:tcPr>
          <w:p w14:paraId="15B95705"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r w:rsidRPr="009B331A">
              <w:rPr>
                <w:rFonts w:eastAsia="Times New Roman" w:cs="Open Sans Light"/>
                <w:sz w:val="16"/>
                <w:szCs w:val="16"/>
                <w:lang w:eastAsia="en-AU"/>
              </w:rPr>
              <w:t>Recognises State net out of pocket costs for natural disaster relief under the Australian Government's natural disaster relief arrangements. The expenses for this component are net of Australian Government assistance through DFRA.</w:t>
            </w:r>
          </w:p>
        </w:tc>
      </w:tr>
      <w:tr w:rsidR="0034481C" w:rsidRPr="009B331A" w14:paraId="08652A68" w14:textId="77777777" w:rsidTr="0034481C">
        <w:trPr>
          <w:trHeight w:val="795"/>
        </w:trPr>
        <w:tc>
          <w:tcPr>
            <w:tcW w:w="1719" w:type="dxa"/>
            <w:tcBorders>
              <w:top w:val="nil"/>
              <w:left w:val="nil"/>
              <w:bottom w:val="single" w:sz="4" w:space="0" w:color="ADD6EA"/>
              <w:right w:val="nil"/>
            </w:tcBorders>
            <w:shd w:val="clear" w:color="auto" w:fill="auto"/>
            <w:hideMark/>
          </w:tcPr>
          <w:p w14:paraId="3D064B50" w14:textId="77777777" w:rsidR="0034481C" w:rsidRPr="009B331A" w:rsidRDefault="0034481C" w:rsidP="007D1D77">
            <w:pPr>
              <w:tabs>
                <w:tab w:val="clear" w:pos="567"/>
              </w:tabs>
              <w:spacing w:before="0" w:line="240" w:lineRule="auto"/>
              <w:rPr>
                <w:rFonts w:ascii="Open Sans SemiBold" w:eastAsia="Times New Roman" w:hAnsi="Open Sans SemiBold" w:cs="Open Sans SemiBold"/>
                <w:sz w:val="16"/>
                <w:szCs w:val="16"/>
                <w:lang w:eastAsia="en-AU"/>
              </w:rPr>
            </w:pPr>
            <w:r w:rsidRPr="009B331A">
              <w:rPr>
                <w:rFonts w:ascii="Open Sans SemiBold" w:eastAsia="Times New Roman" w:hAnsi="Open Sans SemiBold" w:cs="Open Sans SemiBold"/>
                <w:sz w:val="16"/>
                <w:szCs w:val="16"/>
                <w:lang w:eastAsia="en-AU"/>
              </w:rPr>
              <w:t>Administrative scale</w:t>
            </w:r>
          </w:p>
        </w:tc>
        <w:tc>
          <w:tcPr>
            <w:tcW w:w="1060" w:type="dxa"/>
            <w:tcBorders>
              <w:top w:val="nil"/>
              <w:left w:val="nil"/>
              <w:bottom w:val="single" w:sz="4" w:space="0" w:color="ADD6EA"/>
              <w:right w:val="nil"/>
            </w:tcBorders>
            <w:shd w:val="clear" w:color="auto" w:fill="auto"/>
            <w:hideMark/>
          </w:tcPr>
          <w:p w14:paraId="35840B1D" w14:textId="77777777" w:rsidR="0034481C" w:rsidRPr="009B331A" w:rsidRDefault="0034481C" w:rsidP="0034481C">
            <w:pPr>
              <w:tabs>
                <w:tab w:val="clear" w:pos="567"/>
              </w:tabs>
              <w:spacing w:before="0" w:line="240" w:lineRule="auto"/>
              <w:ind w:right="113"/>
              <w:jc w:val="right"/>
              <w:rPr>
                <w:rFonts w:eastAsia="Times New Roman" w:cs="Open Sans Light"/>
                <w:sz w:val="16"/>
                <w:szCs w:val="16"/>
                <w:lang w:eastAsia="en-AU"/>
              </w:rPr>
            </w:pPr>
            <w:r w:rsidRPr="009B331A">
              <w:rPr>
                <w:rFonts w:eastAsia="Times New Roman" w:cs="Open Sans Light"/>
                <w:sz w:val="16"/>
                <w:szCs w:val="16"/>
                <w:lang w:eastAsia="en-AU"/>
              </w:rPr>
              <w:t>2,815</w:t>
            </w:r>
          </w:p>
        </w:tc>
        <w:tc>
          <w:tcPr>
            <w:tcW w:w="1418" w:type="dxa"/>
            <w:tcBorders>
              <w:top w:val="nil"/>
              <w:left w:val="nil"/>
              <w:bottom w:val="single" w:sz="4" w:space="0" w:color="ADD6EA"/>
              <w:right w:val="nil"/>
            </w:tcBorders>
            <w:shd w:val="clear" w:color="auto" w:fill="auto"/>
            <w:hideMark/>
          </w:tcPr>
          <w:p w14:paraId="34E5324A"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r w:rsidRPr="009B331A">
              <w:rPr>
                <w:rFonts w:eastAsia="Times New Roman" w:cs="Open Sans Light"/>
                <w:sz w:val="16"/>
                <w:szCs w:val="16"/>
                <w:lang w:eastAsia="en-AU"/>
              </w:rPr>
              <w:t>Equal per State</w:t>
            </w:r>
          </w:p>
        </w:tc>
        <w:tc>
          <w:tcPr>
            <w:tcW w:w="4589" w:type="dxa"/>
            <w:tcBorders>
              <w:top w:val="nil"/>
              <w:left w:val="nil"/>
              <w:bottom w:val="single" w:sz="4" w:space="0" w:color="ADD6EA"/>
              <w:right w:val="nil"/>
            </w:tcBorders>
            <w:shd w:val="clear" w:color="auto" w:fill="auto"/>
            <w:hideMark/>
          </w:tcPr>
          <w:p w14:paraId="57C70059"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r w:rsidRPr="009B331A">
              <w:rPr>
                <w:rFonts w:eastAsia="Times New Roman" w:cs="Open Sans Light"/>
                <w:sz w:val="16"/>
                <w:szCs w:val="16"/>
                <w:lang w:eastAsia="en-AU"/>
              </w:rPr>
              <w:t>Recognises the unavoidable costs each State incurs to provide the minimum unavoidable policy and administrative services.</w:t>
            </w:r>
          </w:p>
        </w:tc>
      </w:tr>
      <w:tr w:rsidR="0034481C" w:rsidRPr="009B331A" w14:paraId="4676B0B9" w14:textId="77777777" w:rsidTr="0034481C">
        <w:trPr>
          <w:trHeight w:val="555"/>
        </w:trPr>
        <w:tc>
          <w:tcPr>
            <w:tcW w:w="1719" w:type="dxa"/>
            <w:tcBorders>
              <w:top w:val="nil"/>
              <w:left w:val="nil"/>
              <w:bottom w:val="single" w:sz="4" w:space="0" w:color="ADD6EA"/>
              <w:right w:val="nil"/>
            </w:tcBorders>
            <w:shd w:val="clear" w:color="auto" w:fill="auto"/>
            <w:hideMark/>
          </w:tcPr>
          <w:p w14:paraId="2C18839E" w14:textId="77777777" w:rsidR="0034481C" w:rsidRPr="009B331A" w:rsidRDefault="0034481C" w:rsidP="007D1D77">
            <w:pPr>
              <w:tabs>
                <w:tab w:val="clear" w:pos="567"/>
              </w:tabs>
              <w:spacing w:before="0" w:line="240" w:lineRule="auto"/>
              <w:rPr>
                <w:rFonts w:ascii="Open Sans SemiBold" w:eastAsia="Times New Roman" w:hAnsi="Open Sans SemiBold" w:cs="Open Sans SemiBold"/>
                <w:sz w:val="16"/>
                <w:szCs w:val="16"/>
                <w:lang w:eastAsia="en-AU"/>
              </w:rPr>
            </w:pPr>
            <w:r w:rsidRPr="009B331A">
              <w:rPr>
                <w:rFonts w:ascii="Open Sans SemiBold" w:eastAsia="Times New Roman" w:hAnsi="Open Sans SemiBold" w:cs="Open Sans SemiBold"/>
                <w:sz w:val="16"/>
                <w:szCs w:val="16"/>
                <w:lang w:eastAsia="en-AU"/>
              </w:rPr>
              <w:t>Native title and land rights</w:t>
            </w:r>
          </w:p>
        </w:tc>
        <w:tc>
          <w:tcPr>
            <w:tcW w:w="1060" w:type="dxa"/>
            <w:tcBorders>
              <w:top w:val="nil"/>
              <w:left w:val="nil"/>
              <w:bottom w:val="single" w:sz="4" w:space="0" w:color="ADD6EA"/>
              <w:right w:val="nil"/>
            </w:tcBorders>
            <w:shd w:val="clear" w:color="auto" w:fill="auto"/>
            <w:hideMark/>
          </w:tcPr>
          <w:p w14:paraId="437E01D7" w14:textId="77777777" w:rsidR="0034481C" w:rsidRPr="009B331A" w:rsidRDefault="0034481C" w:rsidP="0034481C">
            <w:pPr>
              <w:tabs>
                <w:tab w:val="clear" w:pos="567"/>
              </w:tabs>
              <w:spacing w:before="0" w:line="240" w:lineRule="auto"/>
              <w:ind w:right="113"/>
              <w:jc w:val="right"/>
              <w:rPr>
                <w:rFonts w:eastAsia="Times New Roman" w:cs="Open Sans Light"/>
                <w:sz w:val="16"/>
                <w:szCs w:val="16"/>
                <w:lang w:eastAsia="en-AU"/>
              </w:rPr>
            </w:pPr>
            <w:r w:rsidRPr="009B331A">
              <w:rPr>
                <w:rFonts w:eastAsia="Times New Roman" w:cs="Open Sans Light"/>
                <w:sz w:val="16"/>
                <w:szCs w:val="16"/>
                <w:lang w:eastAsia="en-AU"/>
              </w:rPr>
              <w:t>191</w:t>
            </w:r>
          </w:p>
        </w:tc>
        <w:tc>
          <w:tcPr>
            <w:tcW w:w="1418" w:type="dxa"/>
            <w:tcBorders>
              <w:top w:val="nil"/>
              <w:left w:val="nil"/>
              <w:bottom w:val="single" w:sz="4" w:space="0" w:color="ADD6EA"/>
              <w:right w:val="nil"/>
            </w:tcBorders>
            <w:shd w:val="clear" w:color="auto" w:fill="auto"/>
            <w:hideMark/>
          </w:tcPr>
          <w:p w14:paraId="6E718F34"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r w:rsidRPr="009B331A">
              <w:rPr>
                <w:rFonts w:eastAsia="Times New Roman" w:cs="Open Sans Light"/>
                <w:sz w:val="16"/>
                <w:szCs w:val="16"/>
                <w:lang w:eastAsia="en-AU"/>
              </w:rPr>
              <w:t>Actual expenses</w:t>
            </w:r>
          </w:p>
        </w:tc>
        <w:tc>
          <w:tcPr>
            <w:tcW w:w="4589" w:type="dxa"/>
            <w:tcBorders>
              <w:top w:val="nil"/>
              <w:left w:val="nil"/>
              <w:bottom w:val="single" w:sz="4" w:space="0" w:color="ADD6EA"/>
              <w:right w:val="nil"/>
            </w:tcBorders>
            <w:shd w:val="clear" w:color="auto" w:fill="auto"/>
            <w:hideMark/>
          </w:tcPr>
          <w:p w14:paraId="158FBDF2"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r w:rsidRPr="009B331A">
              <w:rPr>
                <w:rFonts w:eastAsia="Times New Roman" w:cs="Open Sans Light"/>
                <w:sz w:val="16"/>
                <w:szCs w:val="16"/>
                <w:lang w:eastAsia="en-AU"/>
              </w:rPr>
              <w:t>Recognises State costs of settling native title and land rights claims.</w:t>
            </w:r>
          </w:p>
        </w:tc>
      </w:tr>
      <w:tr w:rsidR="0034481C" w:rsidRPr="009B331A" w14:paraId="435993AF" w14:textId="77777777" w:rsidTr="0034481C">
        <w:trPr>
          <w:trHeight w:val="555"/>
        </w:trPr>
        <w:tc>
          <w:tcPr>
            <w:tcW w:w="1719" w:type="dxa"/>
            <w:tcBorders>
              <w:top w:val="nil"/>
              <w:left w:val="nil"/>
              <w:bottom w:val="single" w:sz="4" w:space="0" w:color="ADD6EA"/>
              <w:right w:val="nil"/>
            </w:tcBorders>
            <w:shd w:val="clear" w:color="auto" w:fill="auto"/>
            <w:hideMark/>
          </w:tcPr>
          <w:p w14:paraId="526691CE" w14:textId="77777777" w:rsidR="0034481C" w:rsidRPr="009B331A" w:rsidRDefault="0034481C" w:rsidP="007D1D77">
            <w:pPr>
              <w:tabs>
                <w:tab w:val="clear" w:pos="567"/>
              </w:tabs>
              <w:spacing w:before="0" w:line="240" w:lineRule="auto"/>
              <w:rPr>
                <w:rFonts w:ascii="Open Sans SemiBold" w:eastAsia="Times New Roman" w:hAnsi="Open Sans SemiBold" w:cs="Open Sans SemiBold"/>
                <w:sz w:val="16"/>
                <w:szCs w:val="16"/>
                <w:lang w:eastAsia="en-AU"/>
              </w:rPr>
            </w:pPr>
            <w:r w:rsidRPr="009B331A">
              <w:rPr>
                <w:rFonts w:ascii="Open Sans SemiBold" w:eastAsia="Times New Roman" w:hAnsi="Open Sans SemiBold" w:cs="Open Sans SemiBold"/>
                <w:sz w:val="16"/>
                <w:szCs w:val="16"/>
                <w:lang w:eastAsia="en-AU"/>
              </w:rPr>
              <w:t>National capital (d)</w:t>
            </w:r>
          </w:p>
        </w:tc>
        <w:tc>
          <w:tcPr>
            <w:tcW w:w="1060" w:type="dxa"/>
            <w:tcBorders>
              <w:top w:val="nil"/>
              <w:left w:val="nil"/>
              <w:bottom w:val="single" w:sz="4" w:space="0" w:color="ADD6EA"/>
              <w:right w:val="nil"/>
            </w:tcBorders>
            <w:shd w:val="clear" w:color="auto" w:fill="auto"/>
            <w:hideMark/>
          </w:tcPr>
          <w:p w14:paraId="43F47B8E" w14:textId="77777777" w:rsidR="0034481C" w:rsidRPr="009B331A" w:rsidRDefault="0034481C" w:rsidP="0034481C">
            <w:pPr>
              <w:tabs>
                <w:tab w:val="clear" w:pos="567"/>
              </w:tabs>
              <w:spacing w:before="0" w:line="240" w:lineRule="auto"/>
              <w:ind w:right="113"/>
              <w:jc w:val="right"/>
              <w:rPr>
                <w:rFonts w:eastAsia="Times New Roman" w:cs="Open Sans Light"/>
                <w:sz w:val="16"/>
                <w:szCs w:val="16"/>
                <w:lang w:eastAsia="en-AU"/>
              </w:rPr>
            </w:pPr>
            <w:r w:rsidRPr="009B331A">
              <w:rPr>
                <w:rFonts w:eastAsia="Times New Roman" w:cs="Open Sans Light"/>
                <w:sz w:val="16"/>
                <w:szCs w:val="16"/>
                <w:lang w:eastAsia="en-AU"/>
              </w:rPr>
              <w:t>7</w:t>
            </w:r>
          </w:p>
        </w:tc>
        <w:tc>
          <w:tcPr>
            <w:tcW w:w="1418" w:type="dxa"/>
            <w:tcBorders>
              <w:top w:val="nil"/>
              <w:left w:val="nil"/>
              <w:bottom w:val="single" w:sz="4" w:space="0" w:color="ADD6EA"/>
              <w:right w:val="nil"/>
            </w:tcBorders>
            <w:shd w:val="clear" w:color="auto" w:fill="auto"/>
            <w:hideMark/>
          </w:tcPr>
          <w:p w14:paraId="252CE2C8"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r w:rsidRPr="009B331A">
              <w:rPr>
                <w:rFonts w:eastAsia="Times New Roman" w:cs="Open Sans Light"/>
                <w:sz w:val="16"/>
                <w:szCs w:val="16"/>
                <w:lang w:eastAsia="en-AU"/>
              </w:rPr>
              <w:t>Planning costs</w:t>
            </w:r>
          </w:p>
        </w:tc>
        <w:tc>
          <w:tcPr>
            <w:tcW w:w="4589" w:type="dxa"/>
            <w:tcBorders>
              <w:top w:val="nil"/>
              <w:left w:val="nil"/>
              <w:bottom w:val="single" w:sz="4" w:space="0" w:color="ADD6EA"/>
              <w:right w:val="nil"/>
            </w:tcBorders>
            <w:shd w:val="clear" w:color="auto" w:fill="auto"/>
            <w:hideMark/>
          </w:tcPr>
          <w:p w14:paraId="4604DB30" w14:textId="77777777" w:rsidR="0034481C" w:rsidRPr="009B331A" w:rsidRDefault="0034481C" w:rsidP="007D1D77">
            <w:pPr>
              <w:tabs>
                <w:tab w:val="clear" w:pos="567"/>
              </w:tabs>
              <w:spacing w:before="0" w:line="240" w:lineRule="auto"/>
              <w:rPr>
                <w:rFonts w:eastAsia="Times New Roman" w:cs="Open Sans Light"/>
                <w:sz w:val="16"/>
                <w:szCs w:val="16"/>
                <w:lang w:eastAsia="en-AU"/>
              </w:rPr>
            </w:pPr>
            <w:r w:rsidRPr="009B331A">
              <w:rPr>
                <w:rFonts w:eastAsia="Times New Roman" w:cs="Open Sans Light"/>
                <w:sz w:val="16"/>
                <w:szCs w:val="16"/>
                <w:lang w:eastAsia="en-AU"/>
              </w:rPr>
              <w:t>Recognises the costs to the ACT due to Canberra's status as the national capital and seat of government.</w:t>
            </w:r>
          </w:p>
        </w:tc>
      </w:tr>
    </w:tbl>
    <w:p w14:paraId="5E8372D8" w14:textId="3635E991" w:rsidR="007E365E" w:rsidRPr="00542984" w:rsidRDefault="007E365E" w:rsidP="007E365E">
      <w:pPr>
        <w:pStyle w:val="CGCTablenote"/>
      </w:pPr>
      <w:r w:rsidRPr="00542984">
        <w:t>(a)</w:t>
      </w:r>
      <w:r w:rsidRPr="00542984">
        <w:tab/>
        <w:t xml:space="preserve">Population is considered the driver for most, but not all, expenses. For some expenses, other factors besides population may apply, but expenses are not differentially assessed. Debt charges are assessed equal per capita </w:t>
      </w:r>
      <w:r w:rsidR="002A69C9">
        <w:t xml:space="preserve">(EPC) </w:t>
      </w:r>
      <w:r w:rsidRPr="00542984">
        <w:t>because State capital needs are recognised in the investment and net borrowing assessments.</w:t>
      </w:r>
    </w:p>
    <w:p w14:paraId="73D9B33D" w14:textId="77777777" w:rsidR="007E365E" w:rsidRPr="00542984" w:rsidRDefault="007E365E" w:rsidP="007E365E">
      <w:pPr>
        <w:pStyle w:val="CGCTablenote"/>
      </w:pPr>
      <w:r w:rsidRPr="00542984">
        <w:t>(b)</w:t>
      </w:r>
      <w:r w:rsidRPr="00542984">
        <w:tab/>
        <w:t>Applied to a subset of service expenses.</w:t>
      </w:r>
    </w:p>
    <w:p w14:paraId="01BE2526" w14:textId="77777777" w:rsidR="007E365E" w:rsidRPr="00542984" w:rsidRDefault="007E365E" w:rsidP="007E365E">
      <w:pPr>
        <w:pStyle w:val="CGCTablenote"/>
      </w:pPr>
      <w:r w:rsidRPr="00542984">
        <w:t>(c)</w:t>
      </w:r>
      <w:r w:rsidRPr="00542984">
        <w:tab/>
        <w:t>Natural disaster relief expenses are included with service expenses due to confidentiality requirements.</w:t>
      </w:r>
    </w:p>
    <w:p w14:paraId="76A3CB30" w14:textId="77777777" w:rsidR="007E365E" w:rsidRPr="00542984" w:rsidRDefault="007E365E" w:rsidP="007E365E">
      <w:pPr>
        <w:pStyle w:val="CGCTablenote"/>
      </w:pPr>
      <w:r w:rsidRPr="00542984">
        <w:t>(d)</w:t>
      </w:r>
      <w:r w:rsidRPr="00542984">
        <w:tab/>
        <w:t>These expenses relate to planning. National capital costs related to police services are included in the Justice category.</w:t>
      </w:r>
    </w:p>
    <w:p w14:paraId="04B6ECFA" w14:textId="77777777" w:rsidR="007E365E" w:rsidRPr="005927E3" w:rsidRDefault="007E365E" w:rsidP="007E365E">
      <w:pPr>
        <w:pStyle w:val="CGCTablenote"/>
      </w:pPr>
      <w:r w:rsidRPr="00542984">
        <w:t>Source:</w:t>
      </w:r>
      <w:r w:rsidRPr="00542984">
        <w:tab/>
        <w:t xml:space="preserve">Commission calculation using ABS </w:t>
      </w:r>
      <w:r w:rsidRPr="005927E3">
        <w:t>GF</w:t>
      </w:r>
      <w:r>
        <w:t>S</w:t>
      </w:r>
      <w:r w:rsidRPr="005927E3">
        <w:t xml:space="preserve"> and State budget data.</w:t>
      </w:r>
    </w:p>
    <w:p w14:paraId="78ADD2A9" w14:textId="77777777" w:rsidR="007E365E" w:rsidRPr="005927E3" w:rsidRDefault="007E365E" w:rsidP="007E365E">
      <w:pPr>
        <w:pStyle w:val="Heading4"/>
      </w:pPr>
      <w:r w:rsidRPr="005927E3">
        <w:t>Category and component expenses</w:t>
      </w:r>
      <w:bookmarkEnd w:id="347"/>
    </w:p>
    <w:p w14:paraId="3F77A52A" w14:textId="77777777" w:rsidR="007E365E" w:rsidRPr="00542984" w:rsidRDefault="007E365E" w:rsidP="007E365E">
      <w:pPr>
        <w:pStyle w:val="CGCParaNumber"/>
      </w:pPr>
      <w:r w:rsidRPr="005927E3">
        <w:t xml:space="preserve">The main data sources for calculating category and component expenses are </w:t>
      </w:r>
      <w:r>
        <w:t>A</w:t>
      </w:r>
      <w:r w:rsidRPr="00302BC8">
        <w:t xml:space="preserve">ustralian </w:t>
      </w:r>
      <w:r>
        <w:t>B</w:t>
      </w:r>
      <w:r w:rsidRPr="00302BC8">
        <w:t xml:space="preserve">ureau of </w:t>
      </w:r>
      <w:r>
        <w:t>S</w:t>
      </w:r>
      <w:r w:rsidRPr="00302BC8">
        <w:t>tatistics</w:t>
      </w:r>
      <w:r>
        <w:t xml:space="preserve"> (</w:t>
      </w:r>
      <w:r w:rsidRPr="00F82513">
        <w:t>ABS</w:t>
      </w:r>
      <w:r>
        <w:t>)</w:t>
      </w:r>
      <w:r w:rsidRPr="00F82513">
        <w:t xml:space="preserve"> </w:t>
      </w:r>
      <w:r w:rsidRPr="005927E3">
        <w:t>Government Finance Statistics (GFS) and State budget data.</w:t>
      </w:r>
      <w:r w:rsidRPr="00542984">
        <w:rPr>
          <w:rStyle w:val="FootnoteReference"/>
        </w:rPr>
        <w:footnoteReference w:id="69"/>
      </w:r>
      <w:r w:rsidRPr="00542984">
        <w:t xml:space="preserve"> </w:t>
      </w:r>
    </w:p>
    <w:p w14:paraId="6C081B31" w14:textId="77777777" w:rsidR="007E365E" w:rsidRPr="005927E3" w:rsidRDefault="007E365E" w:rsidP="007E365E">
      <w:pPr>
        <w:pStyle w:val="CGCParaNumber"/>
      </w:pPr>
      <w:r w:rsidRPr="005927E3">
        <w:t>State data are used in the natural disaster relief expenses component as States are able to provide the most recent data. Natural disaster relief expense data from Emergency Management Australia</w:t>
      </w:r>
      <w:r>
        <w:t xml:space="preserve"> (EMA)</w:t>
      </w:r>
      <w:r w:rsidRPr="005927E3">
        <w:t xml:space="preserve"> are also used as a cross-check on the State data.</w:t>
      </w:r>
    </w:p>
    <w:p w14:paraId="0E0805F7" w14:textId="77777777" w:rsidR="007E365E" w:rsidRPr="005927E3" w:rsidRDefault="007E365E" w:rsidP="007E365E">
      <w:pPr>
        <w:pStyle w:val="Heading3"/>
      </w:pPr>
      <w:bookmarkStart w:id="348" w:name="_Toc4764722"/>
      <w:bookmarkStart w:id="349" w:name="_Ref4587597"/>
      <w:bookmarkStart w:id="350" w:name="_Toc4764715"/>
      <w:r w:rsidRPr="005927E3">
        <w:t>Assessment approach</w:t>
      </w:r>
      <w:bookmarkEnd w:id="348"/>
    </w:p>
    <w:p w14:paraId="64D97C37" w14:textId="77777777" w:rsidR="007E365E" w:rsidRPr="005927E3" w:rsidRDefault="007E365E" w:rsidP="007E365E">
      <w:pPr>
        <w:pStyle w:val="Heading4"/>
      </w:pPr>
      <w:bookmarkStart w:id="351" w:name="_Toc4764723"/>
      <w:r w:rsidRPr="005927E3">
        <w:t>Service expenses</w:t>
      </w:r>
      <w:bookmarkEnd w:id="351"/>
    </w:p>
    <w:p w14:paraId="067F3F9F" w14:textId="77777777" w:rsidR="007E365E" w:rsidRPr="00542984" w:rsidRDefault="007E365E" w:rsidP="007E365E">
      <w:pPr>
        <w:pStyle w:val="CGCParaNumber"/>
      </w:pPr>
      <w:r w:rsidRPr="005927E3">
        <w:t>Expenses for this component include general public services, public safety, culture and recreation, and communication expenses.</w:t>
      </w:r>
      <w:r w:rsidRPr="00542984">
        <w:rPr>
          <w:rStyle w:val="FootnoteReference"/>
        </w:rPr>
        <w:footnoteReference w:id="70"/>
      </w:r>
    </w:p>
    <w:p w14:paraId="5AB870FB" w14:textId="77777777" w:rsidR="007E365E" w:rsidRPr="005927E3" w:rsidRDefault="007E365E" w:rsidP="007E365E">
      <w:pPr>
        <w:pStyle w:val="CGCParaNumber"/>
      </w:pPr>
      <w:r w:rsidRPr="00542984">
        <w:lastRenderedPageBreak/>
        <w:t>The ACT considered</w:t>
      </w:r>
      <w:r w:rsidRPr="005927E3">
        <w:t xml:space="preserve"> that moving expenses assessed on an equal per capita (EPC) basis in other categories to the Other Expenses category would reduce the transparency and understandability of the equalisation system. While the Commission considered moving some expenses items, such as environmental protection, to the Other expenses category, it decided not to do so. </w:t>
      </w:r>
    </w:p>
    <w:p w14:paraId="70D32C31" w14:textId="77777777" w:rsidR="007E365E" w:rsidRPr="005927E3" w:rsidRDefault="007E365E" w:rsidP="007E365E">
      <w:pPr>
        <w:pStyle w:val="Heading5"/>
      </w:pPr>
      <w:r w:rsidRPr="005927E3">
        <w:t>Population</w:t>
      </w:r>
    </w:p>
    <w:p w14:paraId="705339ED" w14:textId="77777777" w:rsidR="007E365E" w:rsidRPr="005927E3" w:rsidRDefault="007E365E" w:rsidP="007E365E">
      <w:pPr>
        <w:pStyle w:val="CGCParaNumber"/>
      </w:pPr>
      <w:r w:rsidRPr="005927E3">
        <w:t>The cost of providing services such as general public services and administrative functions, public safety, culture and recreation and communication are unlikely to be influenced by particular population groups, and unit costs are unlikely to differ materially between States. Therefore the Commission has adopted State population shares as the major driver, which means the expenses are assessed on an EPC basis.</w:t>
      </w:r>
    </w:p>
    <w:p w14:paraId="43E2291E" w14:textId="77777777" w:rsidR="007E365E" w:rsidRPr="005927E3" w:rsidRDefault="007E365E" w:rsidP="007E365E">
      <w:pPr>
        <w:pStyle w:val="Heading5"/>
      </w:pPr>
      <w:r w:rsidRPr="005927E3">
        <w:t>Regional costs</w:t>
      </w:r>
    </w:p>
    <w:p w14:paraId="56502CA7" w14:textId="77777777" w:rsidR="007E365E" w:rsidRPr="005927E3" w:rsidRDefault="007E365E" w:rsidP="007E365E">
      <w:pPr>
        <w:pStyle w:val="CGCParaNumber"/>
      </w:pPr>
      <w:r w:rsidRPr="005927E3">
        <w:t>Differences in the cost of providing services to different regions within a State affect many State expenses. In remote areas, some inputs are more costly due to higher transportation costs and staff location allowances. For example, additional inputs are often required in remote areas, such as more four wheel drive vehicles and additional fuel for emergency services.</w:t>
      </w:r>
    </w:p>
    <w:p w14:paraId="5CCDEAD1" w14:textId="77777777" w:rsidR="007E365E" w:rsidRPr="005927E3" w:rsidRDefault="007E365E" w:rsidP="007E365E">
      <w:pPr>
        <w:pStyle w:val="CGCParaNumber"/>
      </w:pPr>
      <w:r w:rsidRPr="005927E3">
        <w:t>The Commission considers that remoteness affects what States need to spend on public safety, culture and recreation, and communications, and half of the expenses for general public services and other purposes. This amounted to applying the regional costs disability to 59</w:t>
      </w:r>
      <w:r>
        <w:t>.1</w:t>
      </w:r>
      <w:r w:rsidRPr="005927E3">
        <w:t>% of total service expenses in 2018-19.</w:t>
      </w:r>
    </w:p>
    <w:p w14:paraId="62B64032" w14:textId="77777777" w:rsidR="007E365E" w:rsidRPr="005927E3" w:rsidRDefault="007E365E" w:rsidP="007E365E">
      <w:pPr>
        <w:pStyle w:val="CGCParaNumber"/>
      </w:pPr>
      <w:r w:rsidRPr="005927E3">
        <w:t>The general regional cost gradient is used because it is not practicable to directly measure the effect of remoteness on service expenses for the component. For further discussion and the calculation method for the general regional cost gradient, see Chapter 28</w:t>
      </w:r>
      <w:r>
        <w:t xml:space="preserve"> </w:t>
      </w:r>
      <w:r w:rsidRPr="005927E3">
        <w:t xml:space="preserve">Geography. </w:t>
      </w:r>
    </w:p>
    <w:p w14:paraId="04C9AA11" w14:textId="77777777" w:rsidR="007E365E" w:rsidRPr="005927E3" w:rsidRDefault="007E365E" w:rsidP="007E365E">
      <w:pPr>
        <w:pStyle w:val="Heading5"/>
      </w:pPr>
      <w:r w:rsidRPr="005927E3">
        <w:t>Wage costs</w:t>
      </w:r>
    </w:p>
    <w:p w14:paraId="478DF0DE" w14:textId="77777777" w:rsidR="007E365E" w:rsidRPr="005927E3" w:rsidRDefault="007E365E" w:rsidP="007E365E">
      <w:pPr>
        <w:pStyle w:val="CGCParaNumber"/>
      </w:pPr>
      <w:r w:rsidRPr="005927E3">
        <w:t>Differences in wage costs between States have a differential effect on the cost of providing services. There is a general method for measuring the influence of wage costs in components where the disability applies. For a description of the method, see Chapter 27</w:t>
      </w:r>
      <w:r>
        <w:t xml:space="preserve"> </w:t>
      </w:r>
      <w:r w:rsidRPr="005927E3">
        <w:t xml:space="preserve">Wage costs. </w:t>
      </w:r>
    </w:p>
    <w:p w14:paraId="2B5E524F" w14:textId="77777777" w:rsidR="007E365E" w:rsidRPr="005927E3" w:rsidRDefault="007E365E" w:rsidP="007E365E">
      <w:pPr>
        <w:pStyle w:val="CGCParaNumber"/>
      </w:pPr>
      <w:r w:rsidRPr="005927E3">
        <w:t>The Commission considers that wage costs affect what States need to spend on public safety, culture and recreation, and communications, and half of the expenses for general public services and other purposes. This amounted to applying the wage costs disability to 59</w:t>
      </w:r>
      <w:r>
        <w:t>.1</w:t>
      </w:r>
      <w:r w:rsidRPr="005927E3">
        <w:t>% of total service expenses in 2018-19.</w:t>
      </w:r>
    </w:p>
    <w:p w14:paraId="5C887C7C" w14:textId="77777777" w:rsidR="007E365E" w:rsidRPr="005927E3" w:rsidRDefault="007E365E" w:rsidP="007E365E">
      <w:pPr>
        <w:pStyle w:val="Heading5"/>
      </w:pPr>
      <w:r w:rsidRPr="005927E3">
        <w:t>Component calculations</w:t>
      </w:r>
    </w:p>
    <w:p w14:paraId="7B1C8E70" w14:textId="02ABFE5E" w:rsidR="007E365E" w:rsidRPr="00542984" w:rsidRDefault="007E365E" w:rsidP="007E365E">
      <w:pPr>
        <w:pStyle w:val="CGCParaNumber"/>
      </w:pPr>
      <w:r w:rsidRPr="00542984">
        <w:fldChar w:fldCharType="begin"/>
      </w:r>
      <w:r w:rsidRPr="005927E3">
        <w:instrText xml:space="preserve"> REF _Ref10457700 \h  \* MERGEFORMAT </w:instrText>
      </w:r>
      <w:r w:rsidRPr="00542984">
        <w:fldChar w:fldCharType="separate"/>
      </w:r>
      <w:r w:rsidR="007F721A" w:rsidRPr="00542984">
        <w:t xml:space="preserve">Table </w:t>
      </w:r>
      <w:r w:rsidR="007F721A">
        <w:rPr>
          <w:noProof/>
        </w:rPr>
        <w:t>23-6</w:t>
      </w:r>
      <w:r w:rsidRPr="00542984">
        <w:fldChar w:fldCharType="end"/>
      </w:r>
      <w:r w:rsidRPr="00542984">
        <w:t xml:space="preserve"> shows </w:t>
      </w:r>
      <w:r w:rsidRPr="005927E3">
        <w:t>the calculation of total assessed expenses for service expenses in 2018</w:t>
      </w:r>
      <w:r w:rsidRPr="005927E3">
        <w:noBreakHyphen/>
        <w:t>19, combined with natural disaster relief expenses.</w:t>
      </w:r>
      <w:r w:rsidRPr="00542984">
        <w:rPr>
          <w:rStyle w:val="FootnoteReference"/>
        </w:rPr>
        <w:footnoteReference w:id="71"/>
      </w:r>
    </w:p>
    <w:p w14:paraId="11916663" w14:textId="26AD28F8" w:rsidR="007E365E" w:rsidRPr="005927E3" w:rsidRDefault="007E365E" w:rsidP="007E365E">
      <w:pPr>
        <w:pStyle w:val="Caption"/>
      </w:pPr>
      <w:bookmarkStart w:id="352" w:name="_Ref10457700"/>
      <w:r w:rsidRPr="00542984">
        <w:lastRenderedPageBreak/>
        <w:t xml:space="preserve">Table </w:t>
      </w:r>
      <w:r>
        <w:t>23-</w:t>
      </w:r>
      <w:fldSimple w:instr=" SEQ Table \* ARABIC ">
        <w:r w:rsidR="007F721A">
          <w:rPr>
            <w:noProof/>
          </w:rPr>
          <w:t>6</w:t>
        </w:r>
      </w:fldSimple>
      <w:bookmarkEnd w:id="352"/>
      <w:r w:rsidRPr="00542984">
        <w:tab/>
        <w:t xml:space="preserve">Service expenses </w:t>
      </w:r>
      <w:r w:rsidRPr="005927E3">
        <w:t>and natural disaster relief component assessments, 2018</w:t>
      </w:r>
      <w:r w:rsidRPr="005927E3">
        <w:noBreakHyphen/>
        <w:t>19</w:t>
      </w:r>
    </w:p>
    <w:tbl>
      <w:tblPr>
        <w:tblW w:w="8940" w:type="dxa"/>
        <w:tblCellMar>
          <w:left w:w="28" w:type="dxa"/>
          <w:right w:w="28" w:type="dxa"/>
        </w:tblCellMar>
        <w:tblLook w:val="04A0" w:firstRow="1" w:lastRow="0" w:firstColumn="1" w:lastColumn="0" w:noHBand="0" w:noVBand="1"/>
      </w:tblPr>
      <w:tblGrid>
        <w:gridCol w:w="2380"/>
        <w:gridCol w:w="680"/>
        <w:gridCol w:w="720"/>
        <w:gridCol w:w="720"/>
        <w:gridCol w:w="720"/>
        <w:gridCol w:w="720"/>
        <w:gridCol w:w="720"/>
        <w:gridCol w:w="720"/>
        <w:gridCol w:w="720"/>
        <w:gridCol w:w="840"/>
      </w:tblGrid>
      <w:tr w:rsidR="007E365E" w:rsidRPr="00B16DC7" w14:paraId="7DE25309" w14:textId="77777777" w:rsidTr="007D1D77">
        <w:trPr>
          <w:trHeight w:val="379"/>
        </w:trPr>
        <w:tc>
          <w:tcPr>
            <w:tcW w:w="2380" w:type="dxa"/>
            <w:tcBorders>
              <w:top w:val="nil"/>
              <w:left w:val="nil"/>
              <w:bottom w:val="single" w:sz="8" w:space="0" w:color="ADD6EA"/>
              <w:right w:val="nil"/>
            </w:tcBorders>
            <w:shd w:val="clear" w:color="000000" w:fill="006991"/>
            <w:vAlign w:val="center"/>
            <w:hideMark/>
          </w:tcPr>
          <w:p w14:paraId="121195A5" w14:textId="77777777" w:rsidR="007E365E" w:rsidRPr="00B16DC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16DC7">
              <w:rPr>
                <w:rFonts w:ascii="Open Sans SemiBold" w:eastAsia="Times New Roman" w:hAnsi="Open Sans SemiBold" w:cs="Open Sans SemiBold"/>
                <w:color w:val="FFFFFF"/>
                <w:sz w:val="16"/>
                <w:szCs w:val="16"/>
                <w:lang w:eastAsia="en-AU"/>
              </w:rPr>
              <w:t> </w:t>
            </w:r>
          </w:p>
        </w:tc>
        <w:tc>
          <w:tcPr>
            <w:tcW w:w="680" w:type="dxa"/>
            <w:tcBorders>
              <w:top w:val="nil"/>
              <w:left w:val="nil"/>
              <w:bottom w:val="single" w:sz="8" w:space="0" w:color="ADD6EA"/>
              <w:right w:val="nil"/>
            </w:tcBorders>
            <w:shd w:val="clear" w:color="000000" w:fill="006991"/>
            <w:vAlign w:val="center"/>
            <w:hideMark/>
          </w:tcPr>
          <w:p w14:paraId="47A69ED4" w14:textId="77777777" w:rsidR="007E365E" w:rsidRPr="00B16DC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16DC7">
              <w:rPr>
                <w:rFonts w:ascii="Open Sans SemiBold" w:eastAsia="Times New Roman" w:hAnsi="Open Sans SemiBold" w:cs="Open Sans SemiBold"/>
                <w:color w:val="FFFFFF"/>
                <w:sz w:val="16"/>
                <w:szCs w:val="16"/>
                <w:lang w:eastAsia="en-AU"/>
              </w:rPr>
              <w:t>NSW</w:t>
            </w:r>
          </w:p>
        </w:tc>
        <w:tc>
          <w:tcPr>
            <w:tcW w:w="720" w:type="dxa"/>
            <w:tcBorders>
              <w:top w:val="nil"/>
              <w:left w:val="nil"/>
              <w:bottom w:val="single" w:sz="8" w:space="0" w:color="ADD6EA"/>
              <w:right w:val="nil"/>
            </w:tcBorders>
            <w:shd w:val="clear" w:color="000000" w:fill="006991"/>
            <w:vAlign w:val="center"/>
            <w:hideMark/>
          </w:tcPr>
          <w:p w14:paraId="5E27F438" w14:textId="77777777" w:rsidR="007E365E" w:rsidRPr="00B16DC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16DC7">
              <w:rPr>
                <w:rFonts w:ascii="Open Sans SemiBold" w:eastAsia="Times New Roman" w:hAnsi="Open Sans SemiBold" w:cs="Open Sans SemiBold"/>
                <w:color w:val="FFFFFF"/>
                <w:sz w:val="16"/>
                <w:szCs w:val="16"/>
                <w:lang w:eastAsia="en-AU"/>
              </w:rPr>
              <w:t>Vic</w:t>
            </w:r>
          </w:p>
        </w:tc>
        <w:tc>
          <w:tcPr>
            <w:tcW w:w="720" w:type="dxa"/>
            <w:tcBorders>
              <w:top w:val="nil"/>
              <w:left w:val="nil"/>
              <w:bottom w:val="single" w:sz="8" w:space="0" w:color="ADD6EA"/>
              <w:right w:val="nil"/>
            </w:tcBorders>
            <w:shd w:val="clear" w:color="000000" w:fill="006991"/>
            <w:vAlign w:val="center"/>
            <w:hideMark/>
          </w:tcPr>
          <w:p w14:paraId="3DD0F3F1" w14:textId="77777777" w:rsidR="007E365E" w:rsidRPr="00B16DC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16DC7">
              <w:rPr>
                <w:rFonts w:ascii="Open Sans SemiBold" w:eastAsia="Times New Roman" w:hAnsi="Open Sans SemiBold" w:cs="Open Sans SemiBold"/>
                <w:color w:val="FFFFFF"/>
                <w:sz w:val="16"/>
                <w:szCs w:val="16"/>
                <w:lang w:eastAsia="en-AU"/>
              </w:rPr>
              <w:t>Qld</w:t>
            </w:r>
          </w:p>
        </w:tc>
        <w:tc>
          <w:tcPr>
            <w:tcW w:w="720" w:type="dxa"/>
            <w:tcBorders>
              <w:top w:val="nil"/>
              <w:left w:val="nil"/>
              <w:bottom w:val="single" w:sz="8" w:space="0" w:color="ADD6EA"/>
              <w:right w:val="nil"/>
            </w:tcBorders>
            <w:shd w:val="clear" w:color="000000" w:fill="006991"/>
            <w:vAlign w:val="center"/>
            <w:hideMark/>
          </w:tcPr>
          <w:p w14:paraId="142B3819" w14:textId="77777777" w:rsidR="007E365E" w:rsidRPr="00B16DC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16DC7">
              <w:rPr>
                <w:rFonts w:ascii="Open Sans SemiBold" w:eastAsia="Times New Roman" w:hAnsi="Open Sans SemiBold" w:cs="Open Sans SemiBold"/>
                <w:color w:val="FFFFFF"/>
                <w:sz w:val="16"/>
                <w:szCs w:val="16"/>
                <w:lang w:eastAsia="en-AU"/>
              </w:rPr>
              <w:t>WA</w:t>
            </w:r>
          </w:p>
        </w:tc>
        <w:tc>
          <w:tcPr>
            <w:tcW w:w="720" w:type="dxa"/>
            <w:tcBorders>
              <w:top w:val="nil"/>
              <w:left w:val="nil"/>
              <w:bottom w:val="single" w:sz="8" w:space="0" w:color="ADD6EA"/>
              <w:right w:val="nil"/>
            </w:tcBorders>
            <w:shd w:val="clear" w:color="000000" w:fill="006991"/>
            <w:vAlign w:val="center"/>
            <w:hideMark/>
          </w:tcPr>
          <w:p w14:paraId="5913DEDD" w14:textId="77777777" w:rsidR="007E365E" w:rsidRPr="00B16DC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16DC7">
              <w:rPr>
                <w:rFonts w:ascii="Open Sans SemiBold" w:eastAsia="Times New Roman" w:hAnsi="Open Sans SemiBold" w:cs="Open Sans SemiBold"/>
                <w:color w:val="FFFFFF"/>
                <w:sz w:val="16"/>
                <w:szCs w:val="16"/>
                <w:lang w:eastAsia="en-AU"/>
              </w:rPr>
              <w:t>SA</w:t>
            </w:r>
          </w:p>
        </w:tc>
        <w:tc>
          <w:tcPr>
            <w:tcW w:w="720" w:type="dxa"/>
            <w:tcBorders>
              <w:top w:val="nil"/>
              <w:left w:val="nil"/>
              <w:bottom w:val="single" w:sz="8" w:space="0" w:color="ADD6EA"/>
              <w:right w:val="nil"/>
            </w:tcBorders>
            <w:shd w:val="clear" w:color="000000" w:fill="006991"/>
            <w:vAlign w:val="center"/>
            <w:hideMark/>
          </w:tcPr>
          <w:p w14:paraId="6A599E92" w14:textId="77777777" w:rsidR="007E365E" w:rsidRPr="00B16DC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16DC7">
              <w:rPr>
                <w:rFonts w:ascii="Open Sans SemiBold" w:eastAsia="Times New Roman" w:hAnsi="Open Sans SemiBold" w:cs="Open Sans SemiBold"/>
                <w:color w:val="FFFFFF"/>
                <w:sz w:val="16"/>
                <w:szCs w:val="16"/>
                <w:lang w:eastAsia="en-AU"/>
              </w:rPr>
              <w:t>Tas</w:t>
            </w:r>
          </w:p>
        </w:tc>
        <w:tc>
          <w:tcPr>
            <w:tcW w:w="720" w:type="dxa"/>
            <w:tcBorders>
              <w:top w:val="nil"/>
              <w:left w:val="nil"/>
              <w:bottom w:val="single" w:sz="8" w:space="0" w:color="ADD6EA"/>
              <w:right w:val="nil"/>
            </w:tcBorders>
            <w:shd w:val="clear" w:color="000000" w:fill="006991"/>
            <w:vAlign w:val="center"/>
            <w:hideMark/>
          </w:tcPr>
          <w:p w14:paraId="0B254286" w14:textId="77777777" w:rsidR="007E365E" w:rsidRPr="00B16DC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16DC7">
              <w:rPr>
                <w:rFonts w:ascii="Open Sans SemiBold" w:eastAsia="Times New Roman" w:hAnsi="Open Sans SemiBold" w:cs="Open Sans SemiBold"/>
                <w:color w:val="FFFFFF"/>
                <w:sz w:val="16"/>
                <w:szCs w:val="16"/>
                <w:lang w:eastAsia="en-AU"/>
              </w:rPr>
              <w:t>ACT</w:t>
            </w:r>
          </w:p>
        </w:tc>
        <w:tc>
          <w:tcPr>
            <w:tcW w:w="720" w:type="dxa"/>
            <w:tcBorders>
              <w:top w:val="nil"/>
              <w:left w:val="nil"/>
              <w:bottom w:val="single" w:sz="8" w:space="0" w:color="ADD6EA"/>
              <w:right w:val="nil"/>
            </w:tcBorders>
            <w:shd w:val="clear" w:color="000000" w:fill="006991"/>
            <w:vAlign w:val="center"/>
            <w:hideMark/>
          </w:tcPr>
          <w:p w14:paraId="2F75CF58" w14:textId="77777777" w:rsidR="007E365E" w:rsidRPr="00B16DC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16DC7">
              <w:rPr>
                <w:rFonts w:ascii="Open Sans SemiBold" w:eastAsia="Times New Roman" w:hAnsi="Open Sans SemiBold" w:cs="Open Sans SemiBold"/>
                <w:color w:val="FFFFFF"/>
                <w:sz w:val="16"/>
                <w:szCs w:val="16"/>
                <w:lang w:eastAsia="en-AU"/>
              </w:rPr>
              <w:t>NT</w:t>
            </w:r>
          </w:p>
        </w:tc>
        <w:tc>
          <w:tcPr>
            <w:tcW w:w="840" w:type="dxa"/>
            <w:tcBorders>
              <w:top w:val="nil"/>
              <w:left w:val="nil"/>
              <w:bottom w:val="single" w:sz="8" w:space="0" w:color="ADD6EA"/>
              <w:right w:val="nil"/>
            </w:tcBorders>
            <w:shd w:val="clear" w:color="000000" w:fill="006991"/>
            <w:vAlign w:val="center"/>
            <w:hideMark/>
          </w:tcPr>
          <w:p w14:paraId="55A03371" w14:textId="77777777" w:rsidR="007E365E" w:rsidRPr="00B16DC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16DC7">
              <w:rPr>
                <w:rFonts w:ascii="Open Sans SemiBold" w:eastAsia="Times New Roman" w:hAnsi="Open Sans SemiBold" w:cs="Open Sans SemiBold"/>
                <w:color w:val="FFFFFF"/>
                <w:sz w:val="16"/>
                <w:szCs w:val="16"/>
                <w:lang w:eastAsia="en-AU"/>
              </w:rPr>
              <w:t>Total</w:t>
            </w:r>
          </w:p>
        </w:tc>
      </w:tr>
      <w:tr w:rsidR="007E365E" w:rsidRPr="00B16DC7" w14:paraId="115EC86E" w14:textId="77777777" w:rsidTr="007D1D77">
        <w:trPr>
          <w:trHeight w:val="315"/>
        </w:trPr>
        <w:tc>
          <w:tcPr>
            <w:tcW w:w="2380" w:type="dxa"/>
            <w:tcBorders>
              <w:top w:val="single" w:sz="4" w:space="0" w:color="ADD6EA"/>
              <w:left w:val="nil"/>
              <w:bottom w:val="single" w:sz="4" w:space="0" w:color="ADD6EA"/>
              <w:right w:val="nil"/>
            </w:tcBorders>
            <w:shd w:val="clear" w:color="auto" w:fill="auto"/>
            <w:noWrap/>
            <w:vAlign w:val="bottom"/>
            <w:hideMark/>
          </w:tcPr>
          <w:p w14:paraId="6E986A11" w14:textId="77777777" w:rsidR="007E365E" w:rsidRPr="00B16DC7" w:rsidRDefault="007E365E" w:rsidP="007D1D77">
            <w:pPr>
              <w:keepNext/>
              <w:keepLines/>
              <w:tabs>
                <w:tab w:val="clear" w:pos="567"/>
              </w:tabs>
              <w:spacing w:before="0" w:line="240" w:lineRule="auto"/>
              <w:rPr>
                <w:rFonts w:eastAsia="Times New Roman" w:cs="Open Sans Light"/>
                <w:sz w:val="16"/>
                <w:szCs w:val="16"/>
                <w:lang w:eastAsia="en-AU"/>
              </w:rPr>
            </w:pPr>
            <w:r w:rsidRPr="00B16DC7">
              <w:rPr>
                <w:rFonts w:eastAsia="Times New Roman" w:cs="Open Sans Light"/>
                <w:sz w:val="16"/>
                <w:szCs w:val="16"/>
                <w:lang w:eastAsia="en-AU"/>
              </w:rPr>
              <w:t>Assessed expenses ($m)</w:t>
            </w:r>
          </w:p>
        </w:tc>
        <w:tc>
          <w:tcPr>
            <w:tcW w:w="680" w:type="dxa"/>
            <w:tcBorders>
              <w:top w:val="single" w:sz="4" w:space="0" w:color="ADD6EA"/>
              <w:left w:val="nil"/>
              <w:bottom w:val="single" w:sz="4" w:space="0" w:color="ADD6EA"/>
              <w:right w:val="nil"/>
            </w:tcBorders>
            <w:shd w:val="clear" w:color="auto" w:fill="auto"/>
            <w:noWrap/>
            <w:vAlign w:val="bottom"/>
            <w:hideMark/>
          </w:tcPr>
          <w:p w14:paraId="6829FA4C"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7,425</w:t>
            </w:r>
          </w:p>
        </w:tc>
        <w:tc>
          <w:tcPr>
            <w:tcW w:w="720" w:type="dxa"/>
            <w:tcBorders>
              <w:top w:val="single" w:sz="4" w:space="0" w:color="ADD6EA"/>
              <w:left w:val="nil"/>
              <w:bottom w:val="single" w:sz="4" w:space="0" w:color="ADD6EA"/>
              <w:right w:val="nil"/>
            </w:tcBorders>
            <w:shd w:val="clear" w:color="auto" w:fill="auto"/>
            <w:noWrap/>
            <w:vAlign w:val="bottom"/>
            <w:hideMark/>
          </w:tcPr>
          <w:p w14:paraId="2D7413A5"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5,938</w:t>
            </w:r>
          </w:p>
        </w:tc>
        <w:tc>
          <w:tcPr>
            <w:tcW w:w="720" w:type="dxa"/>
            <w:tcBorders>
              <w:top w:val="single" w:sz="4" w:space="0" w:color="ADD6EA"/>
              <w:left w:val="nil"/>
              <w:bottom w:val="single" w:sz="4" w:space="0" w:color="ADD6EA"/>
              <w:right w:val="nil"/>
            </w:tcBorders>
            <w:shd w:val="clear" w:color="auto" w:fill="auto"/>
            <w:noWrap/>
            <w:vAlign w:val="bottom"/>
            <w:hideMark/>
          </w:tcPr>
          <w:p w14:paraId="59227935"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4,938</w:t>
            </w:r>
          </w:p>
        </w:tc>
        <w:tc>
          <w:tcPr>
            <w:tcW w:w="720" w:type="dxa"/>
            <w:tcBorders>
              <w:top w:val="single" w:sz="4" w:space="0" w:color="ADD6EA"/>
              <w:left w:val="nil"/>
              <w:bottom w:val="single" w:sz="4" w:space="0" w:color="ADD6EA"/>
              <w:right w:val="nil"/>
            </w:tcBorders>
            <w:shd w:val="clear" w:color="auto" w:fill="auto"/>
            <w:noWrap/>
            <w:vAlign w:val="bottom"/>
            <w:hideMark/>
          </w:tcPr>
          <w:p w14:paraId="1A90BF0C"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2,486</w:t>
            </w:r>
          </w:p>
        </w:tc>
        <w:tc>
          <w:tcPr>
            <w:tcW w:w="720" w:type="dxa"/>
            <w:tcBorders>
              <w:top w:val="single" w:sz="4" w:space="0" w:color="ADD6EA"/>
              <w:left w:val="nil"/>
              <w:bottom w:val="single" w:sz="4" w:space="0" w:color="ADD6EA"/>
              <w:right w:val="nil"/>
            </w:tcBorders>
            <w:shd w:val="clear" w:color="auto" w:fill="auto"/>
            <w:noWrap/>
            <w:vAlign w:val="bottom"/>
            <w:hideMark/>
          </w:tcPr>
          <w:p w14:paraId="3DFDEC34"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1,572</w:t>
            </w:r>
          </w:p>
        </w:tc>
        <w:tc>
          <w:tcPr>
            <w:tcW w:w="720" w:type="dxa"/>
            <w:tcBorders>
              <w:top w:val="single" w:sz="4" w:space="0" w:color="ADD6EA"/>
              <w:left w:val="nil"/>
              <w:bottom w:val="single" w:sz="4" w:space="0" w:color="ADD6EA"/>
              <w:right w:val="nil"/>
            </w:tcBorders>
            <w:shd w:val="clear" w:color="auto" w:fill="auto"/>
            <w:noWrap/>
            <w:vAlign w:val="bottom"/>
            <w:hideMark/>
          </w:tcPr>
          <w:p w14:paraId="515B4D3F"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513</w:t>
            </w:r>
          </w:p>
        </w:tc>
        <w:tc>
          <w:tcPr>
            <w:tcW w:w="720" w:type="dxa"/>
            <w:tcBorders>
              <w:top w:val="single" w:sz="4" w:space="0" w:color="ADD6EA"/>
              <w:left w:val="nil"/>
              <w:bottom w:val="single" w:sz="4" w:space="0" w:color="ADD6EA"/>
              <w:right w:val="nil"/>
            </w:tcBorders>
            <w:shd w:val="clear" w:color="auto" w:fill="auto"/>
            <w:noWrap/>
            <w:vAlign w:val="bottom"/>
            <w:hideMark/>
          </w:tcPr>
          <w:p w14:paraId="36AF593B"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388</w:t>
            </w:r>
          </w:p>
        </w:tc>
        <w:tc>
          <w:tcPr>
            <w:tcW w:w="720" w:type="dxa"/>
            <w:tcBorders>
              <w:top w:val="single" w:sz="4" w:space="0" w:color="ADD6EA"/>
              <w:left w:val="nil"/>
              <w:bottom w:val="single" w:sz="4" w:space="0" w:color="ADD6EA"/>
              <w:right w:val="nil"/>
            </w:tcBorders>
            <w:shd w:val="clear" w:color="auto" w:fill="auto"/>
            <w:noWrap/>
            <w:vAlign w:val="bottom"/>
            <w:hideMark/>
          </w:tcPr>
          <w:p w14:paraId="7FFF031F"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261</w:t>
            </w:r>
          </w:p>
        </w:tc>
        <w:tc>
          <w:tcPr>
            <w:tcW w:w="840" w:type="dxa"/>
            <w:tcBorders>
              <w:top w:val="single" w:sz="4" w:space="0" w:color="ADD6EA"/>
              <w:left w:val="nil"/>
              <w:bottom w:val="single" w:sz="4" w:space="0" w:color="ADD6EA"/>
              <w:right w:val="nil"/>
            </w:tcBorders>
            <w:shd w:val="clear" w:color="auto" w:fill="auto"/>
            <w:noWrap/>
            <w:vAlign w:val="bottom"/>
            <w:hideMark/>
          </w:tcPr>
          <w:p w14:paraId="7527C288"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23,520</w:t>
            </w:r>
          </w:p>
        </w:tc>
      </w:tr>
      <w:tr w:rsidR="007E365E" w:rsidRPr="00B16DC7" w14:paraId="73973847" w14:textId="77777777" w:rsidTr="007D1D77">
        <w:trPr>
          <w:trHeight w:val="315"/>
        </w:trPr>
        <w:tc>
          <w:tcPr>
            <w:tcW w:w="2380" w:type="dxa"/>
            <w:tcBorders>
              <w:top w:val="nil"/>
              <w:left w:val="nil"/>
              <w:bottom w:val="single" w:sz="4" w:space="0" w:color="ADD6EA"/>
              <w:right w:val="nil"/>
            </w:tcBorders>
            <w:shd w:val="clear" w:color="auto" w:fill="auto"/>
            <w:noWrap/>
            <w:vAlign w:val="bottom"/>
            <w:hideMark/>
          </w:tcPr>
          <w:p w14:paraId="7C3BE286" w14:textId="77777777" w:rsidR="007E365E" w:rsidRPr="00B16DC7" w:rsidRDefault="007E365E" w:rsidP="007D1D77">
            <w:pPr>
              <w:keepNext/>
              <w:keepLines/>
              <w:tabs>
                <w:tab w:val="clear" w:pos="567"/>
              </w:tabs>
              <w:spacing w:before="0" w:line="240" w:lineRule="auto"/>
              <w:rPr>
                <w:rFonts w:eastAsia="Times New Roman" w:cs="Open Sans Light"/>
                <w:sz w:val="16"/>
                <w:szCs w:val="16"/>
                <w:lang w:eastAsia="en-AU"/>
              </w:rPr>
            </w:pPr>
            <w:r w:rsidRPr="00B16DC7">
              <w:rPr>
                <w:rFonts w:eastAsia="Times New Roman" w:cs="Open Sans Light"/>
                <w:sz w:val="16"/>
                <w:szCs w:val="16"/>
                <w:lang w:eastAsia="en-AU"/>
              </w:rPr>
              <w:t>Assessed expenses ($pc)</w:t>
            </w:r>
          </w:p>
        </w:tc>
        <w:tc>
          <w:tcPr>
            <w:tcW w:w="680" w:type="dxa"/>
            <w:tcBorders>
              <w:top w:val="nil"/>
              <w:left w:val="nil"/>
              <w:bottom w:val="single" w:sz="4" w:space="0" w:color="ADD6EA"/>
              <w:right w:val="nil"/>
            </w:tcBorders>
            <w:shd w:val="clear" w:color="auto" w:fill="auto"/>
            <w:noWrap/>
            <w:vAlign w:val="bottom"/>
            <w:hideMark/>
          </w:tcPr>
          <w:p w14:paraId="206E2239"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924</w:t>
            </w:r>
          </w:p>
        </w:tc>
        <w:tc>
          <w:tcPr>
            <w:tcW w:w="720" w:type="dxa"/>
            <w:tcBorders>
              <w:top w:val="nil"/>
              <w:left w:val="nil"/>
              <w:bottom w:val="single" w:sz="4" w:space="0" w:color="ADD6EA"/>
              <w:right w:val="nil"/>
            </w:tcBorders>
            <w:shd w:val="clear" w:color="auto" w:fill="auto"/>
            <w:noWrap/>
            <w:vAlign w:val="bottom"/>
            <w:hideMark/>
          </w:tcPr>
          <w:p w14:paraId="3C239BC8"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910</w:t>
            </w:r>
          </w:p>
        </w:tc>
        <w:tc>
          <w:tcPr>
            <w:tcW w:w="720" w:type="dxa"/>
            <w:tcBorders>
              <w:top w:val="nil"/>
              <w:left w:val="nil"/>
              <w:bottom w:val="single" w:sz="4" w:space="0" w:color="ADD6EA"/>
              <w:right w:val="nil"/>
            </w:tcBorders>
            <w:shd w:val="clear" w:color="auto" w:fill="auto"/>
            <w:noWrap/>
            <w:vAlign w:val="bottom"/>
            <w:hideMark/>
          </w:tcPr>
          <w:p w14:paraId="3D1C0E8A"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978</w:t>
            </w:r>
          </w:p>
        </w:tc>
        <w:tc>
          <w:tcPr>
            <w:tcW w:w="720" w:type="dxa"/>
            <w:tcBorders>
              <w:top w:val="nil"/>
              <w:left w:val="nil"/>
              <w:bottom w:val="single" w:sz="4" w:space="0" w:color="ADD6EA"/>
              <w:right w:val="nil"/>
            </w:tcBorders>
            <w:shd w:val="clear" w:color="auto" w:fill="auto"/>
            <w:noWrap/>
            <w:vAlign w:val="bottom"/>
            <w:hideMark/>
          </w:tcPr>
          <w:p w14:paraId="78669786"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954</w:t>
            </w:r>
          </w:p>
        </w:tc>
        <w:tc>
          <w:tcPr>
            <w:tcW w:w="720" w:type="dxa"/>
            <w:tcBorders>
              <w:top w:val="nil"/>
              <w:left w:val="nil"/>
              <w:bottom w:val="single" w:sz="4" w:space="0" w:color="ADD6EA"/>
              <w:right w:val="nil"/>
            </w:tcBorders>
            <w:shd w:val="clear" w:color="auto" w:fill="auto"/>
            <w:noWrap/>
            <w:vAlign w:val="bottom"/>
            <w:hideMark/>
          </w:tcPr>
          <w:p w14:paraId="12CFF641"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902</w:t>
            </w:r>
          </w:p>
        </w:tc>
        <w:tc>
          <w:tcPr>
            <w:tcW w:w="720" w:type="dxa"/>
            <w:tcBorders>
              <w:top w:val="nil"/>
              <w:left w:val="nil"/>
              <w:bottom w:val="single" w:sz="4" w:space="0" w:color="ADD6EA"/>
              <w:right w:val="nil"/>
            </w:tcBorders>
            <w:shd w:val="clear" w:color="auto" w:fill="auto"/>
            <w:noWrap/>
            <w:vAlign w:val="bottom"/>
            <w:hideMark/>
          </w:tcPr>
          <w:p w14:paraId="4F26D7C8"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964</w:t>
            </w:r>
          </w:p>
        </w:tc>
        <w:tc>
          <w:tcPr>
            <w:tcW w:w="720" w:type="dxa"/>
            <w:tcBorders>
              <w:top w:val="nil"/>
              <w:left w:val="nil"/>
              <w:bottom w:val="single" w:sz="4" w:space="0" w:color="ADD6EA"/>
              <w:right w:val="nil"/>
            </w:tcBorders>
            <w:shd w:val="clear" w:color="auto" w:fill="auto"/>
            <w:noWrap/>
            <w:vAlign w:val="bottom"/>
            <w:hideMark/>
          </w:tcPr>
          <w:p w14:paraId="2030E807"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917</w:t>
            </w:r>
          </w:p>
        </w:tc>
        <w:tc>
          <w:tcPr>
            <w:tcW w:w="720" w:type="dxa"/>
            <w:tcBorders>
              <w:top w:val="nil"/>
              <w:left w:val="nil"/>
              <w:bottom w:val="single" w:sz="4" w:space="0" w:color="ADD6EA"/>
              <w:right w:val="nil"/>
            </w:tcBorders>
            <w:shd w:val="clear" w:color="auto" w:fill="auto"/>
            <w:noWrap/>
            <w:vAlign w:val="bottom"/>
            <w:hideMark/>
          </w:tcPr>
          <w:p w14:paraId="0F421C41"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1,063</w:t>
            </w:r>
          </w:p>
        </w:tc>
        <w:tc>
          <w:tcPr>
            <w:tcW w:w="840" w:type="dxa"/>
            <w:tcBorders>
              <w:top w:val="nil"/>
              <w:left w:val="nil"/>
              <w:bottom w:val="single" w:sz="4" w:space="0" w:color="ADD6EA"/>
              <w:right w:val="nil"/>
            </w:tcBorders>
            <w:shd w:val="clear" w:color="auto" w:fill="auto"/>
            <w:noWrap/>
            <w:vAlign w:val="bottom"/>
            <w:hideMark/>
          </w:tcPr>
          <w:p w14:paraId="76429691" w14:textId="77777777" w:rsidR="007E365E" w:rsidRPr="00B16DC7" w:rsidRDefault="007E365E" w:rsidP="007D1D77">
            <w:pPr>
              <w:keepNext/>
              <w:keepLines/>
              <w:tabs>
                <w:tab w:val="clear" w:pos="567"/>
              </w:tabs>
              <w:spacing w:before="0" w:line="240" w:lineRule="auto"/>
              <w:jc w:val="right"/>
              <w:rPr>
                <w:rFonts w:eastAsia="Times New Roman" w:cs="Open Sans Light"/>
                <w:sz w:val="16"/>
                <w:szCs w:val="16"/>
                <w:lang w:eastAsia="en-AU"/>
              </w:rPr>
            </w:pPr>
            <w:r w:rsidRPr="00B16DC7">
              <w:rPr>
                <w:rFonts w:eastAsia="Times New Roman" w:cs="Open Sans Light"/>
                <w:sz w:val="16"/>
                <w:szCs w:val="16"/>
                <w:lang w:eastAsia="en-AU"/>
              </w:rPr>
              <w:t>935</w:t>
            </w:r>
          </w:p>
        </w:tc>
      </w:tr>
    </w:tbl>
    <w:p w14:paraId="0B56E286" w14:textId="77777777" w:rsidR="007E365E" w:rsidRPr="005927E3" w:rsidRDefault="007E365E" w:rsidP="007E365E">
      <w:pPr>
        <w:pStyle w:val="CGCTablenote"/>
        <w:keepNext/>
        <w:keepLines/>
      </w:pPr>
      <w:r w:rsidRPr="005927E3">
        <w:t>Note:</w:t>
      </w:r>
      <w:r>
        <w:tab/>
      </w:r>
      <w:r w:rsidRPr="005927E3">
        <w:t>This table includes both the service expenses and the natural disaster relief expenses components.</w:t>
      </w:r>
    </w:p>
    <w:p w14:paraId="1F3CE35B" w14:textId="77777777" w:rsidR="007E365E" w:rsidRPr="005927E3" w:rsidRDefault="007E365E" w:rsidP="007E365E">
      <w:pPr>
        <w:pStyle w:val="CGCTablenote"/>
        <w:keepNext/>
        <w:keepLines/>
      </w:pPr>
      <w:r w:rsidRPr="005927E3">
        <w:t>Source:</w:t>
      </w:r>
      <w:r w:rsidRPr="005927E3">
        <w:tab/>
        <w:t>Commission calculation.</w:t>
      </w:r>
    </w:p>
    <w:p w14:paraId="7DEAE821" w14:textId="77777777" w:rsidR="007E365E" w:rsidRPr="005927E3" w:rsidRDefault="007E365E" w:rsidP="007E365E">
      <w:pPr>
        <w:pStyle w:val="Heading4"/>
      </w:pPr>
      <w:bookmarkStart w:id="353" w:name="_Toc4764724"/>
      <w:r w:rsidRPr="005927E3">
        <w:t>Natural disaster relief expenses</w:t>
      </w:r>
      <w:bookmarkEnd w:id="353"/>
    </w:p>
    <w:p w14:paraId="37D84488" w14:textId="77777777" w:rsidR="007E365E" w:rsidRPr="00542984" w:rsidRDefault="007E365E" w:rsidP="007E365E">
      <w:pPr>
        <w:pStyle w:val="CGCParaNumber"/>
      </w:pPr>
      <w:bookmarkStart w:id="354" w:name="_Toc4764725"/>
      <w:r w:rsidRPr="005927E3">
        <w:t>Expenses for the natural disaster component include State out of pocket expenses under the DRFA, net of Commonwealth assistance. Eligible expenses under the DRFA also include</w:t>
      </w:r>
      <w:r>
        <w:t xml:space="preserve"> State payments for</w:t>
      </w:r>
      <w:r w:rsidRPr="005927E3">
        <w:t xml:space="preserve"> local government expenses. The DRFA may consider both natural disasters and terrorist acts to be eligible disasters.</w:t>
      </w:r>
      <w:r w:rsidRPr="00542984">
        <w:rPr>
          <w:rStyle w:val="FootnoteReference"/>
        </w:rPr>
        <w:footnoteReference w:id="72"/>
      </w:r>
    </w:p>
    <w:p w14:paraId="7EC9E9B2" w14:textId="77777777" w:rsidR="007E365E" w:rsidRPr="005927E3" w:rsidRDefault="007E365E" w:rsidP="007E365E">
      <w:pPr>
        <w:pStyle w:val="CGCParaNumber"/>
      </w:pPr>
      <w:r w:rsidRPr="005927E3">
        <w:t>The natural disaster relief expenses assessment includes State out of pocket expenses that have been incurred due to eligible disasters affecting local government.</w:t>
      </w:r>
    </w:p>
    <w:p w14:paraId="23175F21" w14:textId="77777777" w:rsidR="007E365E" w:rsidRPr="005927E3" w:rsidRDefault="007E365E" w:rsidP="007E365E">
      <w:pPr>
        <w:pStyle w:val="CGCParaNumber"/>
      </w:pPr>
      <w:r w:rsidRPr="005927E3">
        <w:t>In the 2019 Update, the Commission decided to remove local government expenses from the assessment because it became aware that local government out of pocket expenses were being reported by States, the amounts were large and it was unclear that States were the ultimate funder of these expenses. This brought the assessment into line with the intended scope of the 2015 Review to only assess State expenses.</w:t>
      </w:r>
    </w:p>
    <w:p w14:paraId="52A94C6E" w14:textId="77777777" w:rsidR="007E365E" w:rsidRPr="005927E3" w:rsidRDefault="007E365E" w:rsidP="007E365E">
      <w:pPr>
        <w:pStyle w:val="CGCParaNumber"/>
      </w:pPr>
      <w:r w:rsidRPr="005927E3">
        <w:t>Since the 2019 Update, States have provided additional information showing that States are the main funding source when disasters affect local government.</w:t>
      </w:r>
      <w:r>
        <w:t xml:space="preserve"> </w:t>
      </w:r>
      <w:r w:rsidRPr="005927E3">
        <w:t xml:space="preserve">Accordingly, the Commission is now satisfied that the assessment should include net </w:t>
      </w:r>
      <w:r>
        <w:t xml:space="preserve">State payments for </w:t>
      </w:r>
      <w:r w:rsidRPr="005927E3">
        <w:t xml:space="preserve">local government expenses. </w:t>
      </w:r>
    </w:p>
    <w:p w14:paraId="43E5F0D3" w14:textId="77777777" w:rsidR="007E365E" w:rsidRPr="005927E3" w:rsidRDefault="007E365E" w:rsidP="007E365E">
      <w:pPr>
        <w:pStyle w:val="Heading5"/>
      </w:pPr>
      <w:r w:rsidRPr="005927E3">
        <w:t>Local government funding policies</w:t>
      </w:r>
    </w:p>
    <w:p w14:paraId="6754B8D3" w14:textId="75029A76" w:rsidR="007E365E" w:rsidRPr="00542984" w:rsidRDefault="007E365E" w:rsidP="007E365E">
      <w:pPr>
        <w:pStyle w:val="CGCParaNumber"/>
      </w:pPr>
      <w:bookmarkStart w:id="355" w:name="_Ref23174610"/>
      <w:r w:rsidRPr="005927E3">
        <w:t>Local government expenses form a significant proportion of expenses claimed by States under the DRFA, averaging from 50% to 70% of net expenses. These expenses are treated as equivalent to State expenses under the DRFA, and are equally eligible for Commonwealth reimbursement.</w:t>
      </w:r>
      <w:r w:rsidRPr="00542984">
        <w:rPr>
          <w:rStyle w:val="FootnoteReference"/>
        </w:rPr>
        <w:footnoteReference w:id="73"/>
      </w:r>
    </w:p>
    <w:p w14:paraId="38435F41" w14:textId="77777777" w:rsidR="007E365E" w:rsidRPr="005927E3" w:rsidRDefault="007E365E" w:rsidP="007E365E">
      <w:pPr>
        <w:pStyle w:val="CGCParaNumber"/>
      </w:pPr>
      <w:r w:rsidRPr="00542984">
        <w:t>All States</w:t>
      </w:r>
      <w:r w:rsidRPr="00542984">
        <w:rPr>
          <w:rStyle w:val="FootnoteReference"/>
        </w:rPr>
        <w:footnoteReference w:id="74"/>
      </w:r>
      <w:r w:rsidRPr="00542984">
        <w:t xml:space="preserve"> fund local government natural disaster relief expenses, although policies vary between States. In most States, most local governments are required to </w:t>
      </w:r>
      <w:r w:rsidRPr="005927E3">
        <w:t xml:space="preserve">contribute towards funding natural disaster relief. As disaster costs increase, the level of State assistance increases and the local government share of expenses decreases. </w:t>
      </w:r>
    </w:p>
    <w:p w14:paraId="0BAA09F9" w14:textId="77777777" w:rsidR="007E365E" w:rsidRPr="005927E3" w:rsidRDefault="007E365E" w:rsidP="007E365E">
      <w:pPr>
        <w:pStyle w:val="CGCParaNumber"/>
      </w:pPr>
      <w:r w:rsidRPr="005927E3">
        <w:t>Most State policies on funding local government natural disaster relief have the following elements:</w:t>
      </w:r>
    </w:p>
    <w:p w14:paraId="154D4244" w14:textId="77777777" w:rsidR="007E365E" w:rsidRPr="005927E3" w:rsidRDefault="007E365E" w:rsidP="007E365E">
      <w:pPr>
        <w:pStyle w:val="CGCBullet1"/>
      </w:pPr>
      <w:r w:rsidRPr="005927E3">
        <w:t>up to a certain threshold, costs must be fully met by the local government</w:t>
      </w:r>
    </w:p>
    <w:p w14:paraId="4FF3F601" w14:textId="77777777" w:rsidR="007E365E" w:rsidRPr="005927E3" w:rsidRDefault="007E365E" w:rsidP="007E365E">
      <w:pPr>
        <w:pStyle w:val="CGCBullet1"/>
      </w:pPr>
      <w:r w:rsidRPr="005927E3">
        <w:lastRenderedPageBreak/>
        <w:t xml:space="preserve">disaster costs that lie between that first and a second threshold will be funded by both the local government and State government </w:t>
      </w:r>
    </w:p>
    <w:p w14:paraId="5D317341" w14:textId="77777777" w:rsidR="007E365E" w:rsidRPr="005927E3" w:rsidRDefault="007E365E" w:rsidP="007E365E">
      <w:pPr>
        <w:pStyle w:val="CGCBullet1"/>
      </w:pPr>
      <w:r w:rsidRPr="005927E3">
        <w:t>costs that lie beyond the second threshold will be fully funded</w:t>
      </w:r>
      <w:r>
        <w:t>,</w:t>
      </w:r>
      <w:r w:rsidRPr="005927E3">
        <w:t xml:space="preserve"> or mostly funded</w:t>
      </w:r>
      <w:r>
        <w:t>,</w:t>
      </w:r>
      <w:r w:rsidRPr="005927E3">
        <w:t xml:space="preserve"> by the State government.</w:t>
      </w:r>
    </w:p>
    <w:p w14:paraId="4D1F7E39" w14:textId="77777777" w:rsidR="007E365E" w:rsidRPr="005927E3" w:rsidRDefault="007E365E" w:rsidP="007E365E">
      <w:pPr>
        <w:pStyle w:val="CGCParaNumber"/>
      </w:pPr>
      <w:r w:rsidRPr="005927E3">
        <w:t>State policies apply per disaster. In New South Wales, a maximum contribution cap applies per year.</w:t>
      </w:r>
      <w:r w:rsidRPr="00542984">
        <w:rPr>
          <w:rStyle w:val="FootnoteReference"/>
        </w:rPr>
        <w:footnoteReference w:id="75"/>
      </w:r>
      <w:r w:rsidRPr="00542984">
        <w:t xml:space="preserve"> Other States do not have annual caps, although a local government experiencing multiple costly disasters would likely apply for special consideration by</w:t>
      </w:r>
      <w:r w:rsidRPr="005927E3">
        <w:t xml:space="preserve"> the State government.</w:t>
      </w:r>
    </w:p>
    <w:p w14:paraId="4C3A22FA" w14:textId="77777777" w:rsidR="007E365E" w:rsidRPr="00542984" w:rsidRDefault="007E365E" w:rsidP="007E365E">
      <w:pPr>
        <w:pStyle w:val="CGCParaNumber"/>
      </w:pPr>
      <w:r w:rsidRPr="005927E3">
        <w:t>In Queensland, Indigenous councils with no rate revenue receive full support from the State for natural disaster relief expenses. In the Northern Territory, all councils are fully funded by the State when DRFA events occur.</w:t>
      </w:r>
      <w:r w:rsidRPr="00542984">
        <w:rPr>
          <w:rStyle w:val="FootnoteReference"/>
        </w:rPr>
        <w:footnoteReference w:id="76"/>
      </w:r>
    </w:p>
    <w:p w14:paraId="6D5CBB97" w14:textId="77777777" w:rsidR="007E365E" w:rsidRPr="005927E3" w:rsidRDefault="007E365E" w:rsidP="007E365E">
      <w:pPr>
        <w:pStyle w:val="CGCParaNumber"/>
      </w:pPr>
      <w:r w:rsidRPr="005927E3">
        <w:t xml:space="preserve">State policies may be grouped as follows: </w:t>
      </w:r>
    </w:p>
    <w:p w14:paraId="199589D7" w14:textId="77777777" w:rsidR="007E365E" w:rsidRPr="005927E3" w:rsidRDefault="007E365E" w:rsidP="007E365E">
      <w:pPr>
        <w:pStyle w:val="CGCBullet1"/>
      </w:pPr>
      <w:r w:rsidRPr="005927E3">
        <w:t xml:space="preserve">New South Wales, Victoria, Queensland and Western Australia cap local government contributions at a certain dollar amount, leaving the State government to fund all expenses above this threshold. </w:t>
      </w:r>
    </w:p>
    <w:p w14:paraId="18D5CBDC" w14:textId="77777777" w:rsidR="007E365E" w:rsidRPr="005927E3" w:rsidRDefault="007E365E" w:rsidP="007E365E">
      <w:pPr>
        <w:pStyle w:val="CGCBullet1"/>
      </w:pPr>
      <w:r w:rsidRPr="005927E3">
        <w:t>South Australia and Tasmania have no cap on local government contributions, with the local government liable for 25% of expenses above a certain threshold.</w:t>
      </w:r>
    </w:p>
    <w:p w14:paraId="5CFA66BA" w14:textId="77777777" w:rsidR="007E365E" w:rsidRPr="00542984" w:rsidRDefault="007E365E" w:rsidP="007E365E">
      <w:pPr>
        <w:pStyle w:val="CGCParaNumber"/>
      </w:pPr>
      <w:bookmarkStart w:id="356" w:name="_Ref25937265"/>
      <w:r w:rsidRPr="005927E3">
        <w:t>Prior to this review, States had not reported any recoverable contributions from local government, although most States had reported the local government expenses in full.</w:t>
      </w:r>
      <w:r w:rsidRPr="00542984">
        <w:rPr>
          <w:rStyle w:val="FootnoteReference"/>
        </w:rPr>
        <w:footnoteReference w:id="77"/>
      </w:r>
      <w:r w:rsidRPr="00542984">
        <w:t xml:space="preserve"> This overstated total expenses, albeit to a small degree. Data from States</w:t>
      </w:r>
      <w:r w:rsidRPr="005927E3">
        <w:t xml:space="preserve"> show that local governments contribute between 1% and 3% on average of gross local government expenses.</w:t>
      </w:r>
      <w:bookmarkEnd w:id="355"/>
      <w:bookmarkEnd w:id="356"/>
      <w:r w:rsidRPr="00542984">
        <w:rPr>
          <w:rStyle w:val="FootnoteReference"/>
        </w:rPr>
        <w:footnoteReference w:id="78"/>
      </w:r>
    </w:p>
    <w:p w14:paraId="0D43C311" w14:textId="77777777" w:rsidR="007E365E" w:rsidRPr="005927E3" w:rsidRDefault="007E365E" w:rsidP="007E365E">
      <w:pPr>
        <w:pStyle w:val="CGCParaNumber"/>
      </w:pPr>
      <w:r w:rsidRPr="005927E3">
        <w:t>Queensland, Western Australia, Tasmania, the ACT and the Northern Territory supported including local government expenses in the assessment. New South Wales, Victoria and South Australia did not support including these expenses.</w:t>
      </w:r>
    </w:p>
    <w:p w14:paraId="7B9F2050" w14:textId="77777777" w:rsidR="007E365E" w:rsidRPr="005927E3" w:rsidRDefault="007E365E" w:rsidP="007E365E">
      <w:pPr>
        <w:pStyle w:val="CGCParaNumber"/>
      </w:pPr>
      <w:r w:rsidRPr="005927E3">
        <w:t xml:space="preserve">The main concerns of New South Wales related to differences in local government infrastructure standards and disaster mitigation measures. New South Wales said these differences could directly affect the value of eligible DRFA expenses. </w:t>
      </w:r>
    </w:p>
    <w:p w14:paraId="22A7A5A9" w14:textId="77777777" w:rsidR="007E365E" w:rsidRPr="005927E3" w:rsidRDefault="007E365E" w:rsidP="007E365E">
      <w:pPr>
        <w:pStyle w:val="CGCParaNumber"/>
      </w:pPr>
      <w:r w:rsidRPr="005927E3">
        <w:t>The effects of differences in infrastructure standards and disaster mitigation are not limited to local government costs. These differences also affect State claims. The DRFA only permits the restoration of assets to their pre-disaster function (that is, the Commonwealth will not pay to improve assets in the process of rebuilding). Also, the DRFA only allows claims for the reconstruction of essential assets</w:t>
      </w:r>
      <w:r w:rsidRPr="005927E3">
        <w:rPr>
          <w:rStyle w:val="FootnoteReference"/>
        </w:rPr>
        <w:footnoteReference w:id="79"/>
      </w:r>
      <w:r w:rsidRPr="005927E3">
        <w:t xml:space="preserve"> and requires States to have adequate insurance and mitigation measures in place. While this does not entirely mitigate policy differences, it does improve consistency across States in what constitutes eligible expenses. As with most assessments, it is not possible to eliminate all policy influences.</w:t>
      </w:r>
      <w:r>
        <w:t xml:space="preserve"> </w:t>
      </w:r>
    </w:p>
    <w:p w14:paraId="148AFCF8" w14:textId="77777777" w:rsidR="007E365E" w:rsidRPr="005927E3" w:rsidRDefault="007E365E" w:rsidP="007E365E">
      <w:pPr>
        <w:pStyle w:val="CGCParaNumber"/>
      </w:pPr>
      <w:r w:rsidRPr="005927E3">
        <w:lastRenderedPageBreak/>
        <w:t xml:space="preserve">One of the sources of differences between States in the value of local government roads infrastructure is differences in how States allocate responsibility for roads between levels of government. Including both State </w:t>
      </w:r>
      <w:r>
        <w:t xml:space="preserve">expenses </w:t>
      </w:r>
      <w:r w:rsidRPr="005927E3">
        <w:t xml:space="preserve">and </w:t>
      </w:r>
      <w:r>
        <w:t xml:space="preserve">State payments for </w:t>
      </w:r>
      <w:r w:rsidRPr="005927E3">
        <w:t>local government expenses eliminates this source of difference.</w:t>
      </w:r>
      <w:r>
        <w:t xml:space="preserve"> </w:t>
      </w:r>
    </w:p>
    <w:p w14:paraId="33176EE4" w14:textId="77777777" w:rsidR="007E365E" w:rsidRPr="005927E3" w:rsidRDefault="007E365E" w:rsidP="007E365E">
      <w:pPr>
        <w:pStyle w:val="CGCParaNumber"/>
      </w:pPr>
      <w:r w:rsidRPr="005927E3">
        <w:t xml:space="preserve">Victoria commented that the Commission removes State support for local government from other categories, such as Roads, and therefore it should also remove State support of natural disaster recovery. </w:t>
      </w:r>
    </w:p>
    <w:p w14:paraId="2505EE88" w14:textId="77777777" w:rsidR="007E365E" w:rsidRPr="005927E3" w:rsidRDefault="007E365E" w:rsidP="007E365E">
      <w:pPr>
        <w:pStyle w:val="CGCParaNumber"/>
      </w:pPr>
      <w:r w:rsidRPr="005927E3">
        <w:t>While financial assistance grants, including local roads grants, are removed from the adjusted budget, other payments to local government are included. These payments contribute to the average expenses to which disabilities apply. Therefore, it is not inconsistent for the Commission to assess State payments to local government for disaster recovery. The Commission considers this does not amount to local government equalisation. It recognises an unavoidable cost that all States fund.</w:t>
      </w:r>
    </w:p>
    <w:p w14:paraId="6F9C98BE" w14:textId="77777777" w:rsidR="007E365E" w:rsidRPr="005927E3" w:rsidRDefault="007E365E" w:rsidP="007E365E">
      <w:pPr>
        <w:pStyle w:val="CGCParaNumber"/>
      </w:pPr>
      <w:r w:rsidRPr="005927E3">
        <w:t xml:space="preserve">Victoria also stated that most local governments fund their out of pocket costs from their </w:t>
      </w:r>
      <w:r>
        <w:t>own</w:t>
      </w:r>
      <w:r>
        <w:noBreakHyphen/>
        <w:t>source</w:t>
      </w:r>
      <w:r w:rsidRPr="005927E3">
        <w:t xml:space="preserve"> revenue, such as rates. However, it is clear from State policies that this is not the case, and that it is average State policy to fund local government expenses.</w:t>
      </w:r>
    </w:p>
    <w:p w14:paraId="659C99D9" w14:textId="77777777" w:rsidR="007E365E" w:rsidRPr="005927E3" w:rsidRDefault="007E365E" w:rsidP="007E365E">
      <w:pPr>
        <w:pStyle w:val="CGCParaNumber"/>
      </w:pPr>
      <w:r w:rsidRPr="005927E3">
        <w:t>South Australia stated that the level of State funding of local government has an element of policy choice. The Commission agrees with this, which is why the assessment deducts assessed local government contributions, instead of using actual local government contributions.</w:t>
      </w:r>
    </w:p>
    <w:p w14:paraId="43C6F82B" w14:textId="25900179" w:rsidR="007E365E" w:rsidRPr="005927E3" w:rsidRDefault="007E365E" w:rsidP="007E365E">
      <w:pPr>
        <w:pStyle w:val="CGCParaNumber"/>
      </w:pPr>
      <w:r w:rsidRPr="005927E3">
        <w:t>The ACT was concerned that State insurance arrangements were not comparable and that States were not completing a qualitative benchmark process for insurance. This process is recommended under the DRFA,</w:t>
      </w:r>
      <w:r w:rsidRPr="005927E3">
        <w:rPr>
          <w:rStyle w:val="FootnoteReference"/>
        </w:rPr>
        <w:footnoteReference w:id="80"/>
      </w:r>
      <w:r w:rsidRPr="005927E3">
        <w:t xml:space="preserve"> but States are not required to comply. The Commission considers that the Commonwealth is best placed to decide if State insurance arrangements are sufficient to satisfy the requirements of the funding agreements and to receive Commonwealth assistance. The Commonwealth considered this issue recently during its process of working with States to develop the DRF</w:t>
      </w:r>
      <w:r>
        <w:t>A</w:t>
      </w:r>
      <w:r w:rsidRPr="005927E3">
        <w:t xml:space="preserve">. In addition, the Commonwealth considered States’ level of insurance and mitigation spending in its response to an insurance industry report, where the Commonwealth’s response concluded that the requirements for State insurance arrangements within the DRFA are sufficient. Disaster mitigation is discussed further under the section </w:t>
      </w:r>
      <w:r w:rsidRPr="005927E3">
        <w:fldChar w:fldCharType="begin"/>
      </w:r>
      <w:r w:rsidRPr="005927E3">
        <w:instrText xml:space="preserve"> REF _Ref30773464 \h  \* MERGEFORMAT </w:instrText>
      </w:r>
      <w:r w:rsidRPr="005927E3">
        <w:fldChar w:fldCharType="separate"/>
      </w:r>
      <w:r w:rsidR="007F721A" w:rsidRPr="005927E3">
        <w:t>Other issues considered by the Commission</w:t>
      </w:r>
      <w:r w:rsidRPr="005927E3">
        <w:fldChar w:fldCharType="end"/>
      </w:r>
      <w:r>
        <w:t xml:space="preserve"> at </w:t>
      </w:r>
      <w:r w:rsidRPr="005927E3">
        <w:t xml:space="preserve">paragraph </w:t>
      </w:r>
      <w:r w:rsidRPr="005927E3">
        <w:fldChar w:fldCharType="begin"/>
      </w:r>
      <w:r w:rsidRPr="005927E3">
        <w:instrText xml:space="preserve"> REF _Ref31641974 \r \h </w:instrText>
      </w:r>
      <w:r>
        <w:instrText xml:space="preserve"> \* MERGEFORMAT </w:instrText>
      </w:r>
      <w:r w:rsidRPr="005927E3">
        <w:fldChar w:fldCharType="separate"/>
      </w:r>
      <w:r w:rsidR="007F721A">
        <w:t>76</w:t>
      </w:r>
      <w:r w:rsidRPr="005927E3">
        <w:fldChar w:fldCharType="end"/>
      </w:r>
      <w:r w:rsidRPr="005927E3">
        <w:t>.</w:t>
      </w:r>
    </w:p>
    <w:p w14:paraId="432B5766" w14:textId="77777777" w:rsidR="007E365E" w:rsidRPr="005927E3" w:rsidRDefault="007E365E" w:rsidP="007E365E">
      <w:pPr>
        <w:pStyle w:val="CGCParaNumber"/>
      </w:pPr>
      <w:r w:rsidRPr="00542984">
        <w:t>Queensland said that States fund local government out of pocket costs because most coun</w:t>
      </w:r>
      <w:r w:rsidRPr="005927E3">
        <w:t xml:space="preserve">cils do not have the financial capacity to meet these costs. It stated that the cost of disaster recovery is too high for local governments to bear through </w:t>
      </w:r>
      <w:r>
        <w:t>own</w:t>
      </w:r>
      <w:r>
        <w:noBreakHyphen/>
        <w:t>source</w:t>
      </w:r>
      <w:r w:rsidRPr="005927E3">
        <w:t xml:space="preserve"> revenue, and local government have no financially viable alternatives such as borrowing or insurance. It also stated that a speedy recovery was necessary to minimise the impact of disasters, which requires significant capital expenditure from all levels of government. The Northern Territory also stated that its local government lacks the fiscal capacity to recover from disasters without assistance.</w:t>
      </w:r>
    </w:p>
    <w:p w14:paraId="70C4AC5C" w14:textId="77777777" w:rsidR="007E365E" w:rsidRPr="005927E3" w:rsidRDefault="007E365E" w:rsidP="007E365E">
      <w:pPr>
        <w:pStyle w:val="CGCParaNumber"/>
      </w:pPr>
      <w:r w:rsidRPr="005927E3">
        <w:t xml:space="preserve">Recent discussions with State officials responsible for implementing local government equalisation arrangements confirmed local governments have insurance arrangements in </w:t>
      </w:r>
      <w:r w:rsidRPr="005927E3">
        <w:lastRenderedPageBreak/>
        <w:t>place, although insurance may not be available for road assets; most disaster costs relate to the repair and reconstruction of road assets</w:t>
      </w:r>
      <w:r>
        <w:t>,</w:t>
      </w:r>
      <w:r w:rsidRPr="005927E3">
        <w:t xml:space="preserve"> and flooding causes the greatest damage to roads.</w:t>
      </w:r>
    </w:p>
    <w:p w14:paraId="44152A20" w14:textId="77777777" w:rsidR="007E365E" w:rsidRPr="005927E3" w:rsidRDefault="007E365E" w:rsidP="007E365E">
      <w:pPr>
        <w:pStyle w:val="CGCParaNumber"/>
      </w:pPr>
      <w:r w:rsidRPr="005927E3">
        <w:t>The prevalence of natural disasters varies widely between States, with Queensland and New South Wales forecast to experience the most costly disasters.</w:t>
      </w:r>
      <w:r w:rsidRPr="00542984">
        <w:rPr>
          <w:rStyle w:val="FootnoteReference"/>
        </w:rPr>
        <w:footnoteReference w:id="81"/>
      </w:r>
      <w:r w:rsidRPr="00542984">
        <w:t xml:space="preserve"> As disasters become more costly, all States increase their rate of support to local government</w:t>
      </w:r>
      <w:r w:rsidRPr="005927E3">
        <w:t>.</w:t>
      </w:r>
    </w:p>
    <w:p w14:paraId="7AFDEC42" w14:textId="77777777" w:rsidR="007E365E" w:rsidRPr="005927E3" w:rsidRDefault="007E365E" w:rsidP="007E365E">
      <w:pPr>
        <w:pStyle w:val="CGCParaNumber"/>
      </w:pPr>
      <w:r w:rsidRPr="005927E3">
        <w:t>It has become clear that it is average policy for States to fund a significant proportion of the local government out of pocket expenses. However, State policies on the level of local government contributions vary</w:t>
      </w:r>
      <w:r>
        <w:t>,</w:t>
      </w:r>
      <w:r w:rsidRPr="005927E3">
        <w:t xml:space="preserve"> and so an actual per capita (APC) assessment of the local government contribution is not appropriate. The Commission decided to assess local government contributions using average contribution rates.</w:t>
      </w:r>
    </w:p>
    <w:p w14:paraId="7A5D899F" w14:textId="77777777" w:rsidR="007E365E" w:rsidRPr="005927E3" w:rsidRDefault="007E365E" w:rsidP="007E365E">
      <w:pPr>
        <w:pStyle w:val="Heading5"/>
      </w:pPr>
      <w:r w:rsidRPr="005927E3">
        <w:t xml:space="preserve">Data </w:t>
      </w:r>
    </w:p>
    <w:p w14:paraId="71759D75" w14:textId="77777777" w:rsidR="007E365E" w:rsidRPr="005927E3" w:rsidRDefault="007E365E" w:rsidP="007E365E">
      <w:pPr>
        <w:pStyle w:val="CGCParaNumber"/>
      </w:pPr>
      <w:r w:rsidRPr="005927E3">
        <w:t xml:space="preserve">State data are used to determine net expenses as States are able to provide the most recent data. States are asked to report on an accrual basis. The State data separately includes local government expenses and associated Commonwealth revenue, and the local government contribution. Natural disaster relief expense data from </w:t>
      </w:r>
      <w:r>
        <w:t>EMA</w:t>
      </w:r>
      <w:r w:rsidRPr="00B45D98">
        <w:t xml:space="preserve"> </w:t>
      </w:r>
      <w:r w:rsidRPr="005927E3">
        <w:t>are used as a cross</w:t>
      </w:r>
      <w:r w:rsidRPr="005927E3">
        <w:noBreakHyphen/>
        <w:t>check to the State data.</w:t>
      </w:r>
    </w:p>
    <w:p w14:paraId="482685B8" w14:textId="77777777" w:rsidR="007E365E" w:rsidRPr="005927E3" w:rsidRDefault="007E365E" w:rsidP="007E365E">
      <w:pPr>
        <w:pStyle w:val="CGCParaNumber"/>
      </w:pPr>
      <w:r w:rsidRPr="005927E3">
        <w:t>Expenses include all eligible expenses under the DRFA,</w:t>
      </w:r>
      <w:r w:rsidRPr="00542984">
        <w:rPr>
          <w:rStyle w:val="FootnoteReference"/>
        </w:rPr>
        <w:footnoteReference w:id="82"/>
      </w:r>
      <w:r w:rsidRPr="00542984">
        <w:t xml:space="preserve"> plus re-insurance premiums. Commonwealth </w:t>
      </w:r>
      <w:r w:rsidRPr="005927E3">
        <w:t>DRFA assistance and payments from insurers are netted off the expenses.</w:t>
      </w:r>
    </w:p>
    <w:p w14:paraId="08E4B332" w14:textId="77777777" w:rsidR="007E365E" w:rsidRPr="005927E3" w:rsidRDefault="007E365E" w:rsidP="007E365E">
      <w:pPr>
        <w:pStyle w:val="CGCParaNumber"/>
      </w:pPr>
      <w:r w:rsidRPr="005927E3">
        <w:t xml:space="preserve">New South Wales raised the issue of data quality and reliability. The Commission uses natural disaster relief expense data from EMA to crosscheck State data. As this assessment is largely calculated on an APC basis, data quality and reliability is essential to the integrity of the assessment. However, States are not required to report to EMA any expenses that do not meet the thresholds for Commonwealth reimbursement. These expenses are nonetheless eligible to be reported to the Commission and affect States’ GST shares, because these expenses represent a cost to States. This creates a mismatch between the expense data used by the Commission and EMA data. Any expenses not reported to EMA are not subject to Commonwealth auditing processes. </w:t>
      </w:r>
    </w:p>
    <w:p w14:paraId="48BB465A" w14:textId="77777777" w:rsidR="007E365E" w:rsidRPr="005927E3" w:rsidRDefault="007E365E" w:rsidP="007E365E">
      <w:pPr>
        <w:pStyle w:val="CGCParaNumber"/>
      </w:pPr>
      <w:r w:rsidRPr="005927E3">
        <w:t xml:space="preserve">The Commission relies on State data for most assessments. States have agreed to the protocol for data collection, which includes providing data that adhere as closely as possible to the specifications </w:t>
      </w:r>
      <w:r>
        <w:t>of</w:t>
      </w:r>
      <w:r w:rsidRPr="005927E3">
        <w:t xml:space="preserve"> the data request. States are also required to provide a statement on data quality and to explain large variations in the data.</w:t>
      </w:r>
      <w:r w:rsidRPr="005927E3">
        <w:rPr>
          <w:rStyle w:val="FootnoteReference"/>
        </w:rPr>
        <w:footnoteReference w:id="83"/>
      </w:r>
      <w:r w:rsidRPr="005927E3">
        <w:t xml:space="preserve"> The Commission considers State data to be reliable and comparable.</w:t>
      </w:r>
      <w:r w:rsidRPr="005927E3">
        <w:rPr>
          <w:rStyle w:val="FootnoteReference"/>
        </w:rPr>
        <w:footnoteReference w:id="84"/>
      </w:r>
      <w:r w:rsidRPr="005927E3">
        <w:t xml:space="preserve"> </w:t>
      </w:r>
    </w:p>
    <w:p w14:paraId="5386C595" w14:textId="77777777" w:rsidR="007E365E" w:rsidRPr="00542984" w:rsidRDefault="007E365E" w:rsidP="007E365E">
      <w:pPr>
        <w:pStyle w:val="Heading5"/>
      </w:pPr>
      <w:r w:rsidRPr="00542984">
        <w:t>Method</w:t>
      </w:r>
    </w:p>
    <w:p w14:paraId="7456CBA1" w14:textId="77777777" w:rsidR="007E365E" w:rsidRPr="005927E3" w:rsidRDefault="007E365E" w:rsidP="007E365E">
      <w:pPr>
        <w:pStyle w:val="CGCParaNumber"/>
      </w:pPr>
      <w:r w:rsidRPr="005927E3">
        <w:t xml:space="preserve">The assessment calculates the average rate of local government contributions towards natural disaster relief per year and applies this to each State’s local government expenses </w:t>
      </w:r>
      <w:r w:rsidRPr="005927E3">
        <w:lastRenderedPageBreak/>
        <w:t>that are eligible under the DRFA. This amount is deducted from expenses as a recoverable expense, in the same way that the Commonwealth DRFA revenue is deducted to obtain an estimate of State out of pocket costs. The average rate of local government contributions is calculated each year and may vary from year to year.</w:t>
      </w:r>
    </w:p>
    <w:p w14:paraId="40CECBE9" w14:textId="77777777" w:rsidR="007E365E" w:rsidRPr="005927E3" w:rsidRDefault="007E365E" w:rsidP="007E365E">
      <w:pPr>
        <w:pStyle w:val="CGCParaNumber"/>
      </w:pPr>
      <w:r w:rsidRPr="005927E3">
        <w:t>When disasters occur in the ACT, the Commission intends to estimate the proportion of the ACT’s expenses that are local government-type expenses. The assessed local government contribution will be deducted from these expenses. The ACT did not oppose the assessment of its local government-type expenses. As the ACT suggested, the Commission will consult with the ACT on how best to measure these expenses in the event that the ACT experiences a major natural disaster. Other States did not comment on this issue.</w:t>
      </w:r>
    </w:p>
    <w:p w14:paraId="58717D30" w14:textId="77777777" w:rsidR="007E365E" w:rsidRPr="005927E3" w:rsidRDefault="007E365E" w:rsidP="007E365E">
      <w:pPr>
        <w:pStyle w:val="CGCParaNumber"/>
      </w:pPr>
      <w:r w:rsidRPr="00542984">
        <w:t>For States that report expenses net of the local government contribution, the Commission will gross up the States’ expenses</w:t>
      </w:r>
      <w:r w:rsidRPr="00542984">
        <w:rPr>
          <w:rStyle w:val="FootnoteReference"/>
        </w:rPr>
        <w:footnoteReference w:id="85"/>
      </w:r>
      <w:r w:rsidRPr="00542984">
        <w:t xml:space="preserve"> and foregone revenue</w:t>
      </w:r>
      <w:r w:rsidRPr="00542984">
        <w:rPr>
          <w:rStyle w:val="FootnoteReference"/>
        </w:rPr>
        <w:footnoteReference w:id="86"/>
      </w:r>
      <w:r w:rsidRPr="00542984">
        <w:t xml:space="preserve"> to derive its actual local government expenses and actual Commonwealth revenue.</w:t>
      </w:r>
    </w:p>
    <w:p w14:paraId="14DC8896" w14:textId="77777777" w:rsidR="007E365E" w:rsidRPr="005927E3" w:rsidRDefault="007E365E" w:rsidP="007E365E">
      <w:pPr>
        <w:pStyle w:val="CGCParaNumber"/>
      </w:pPr>
      <w:r w:rsidRPr="005927E3">
        <w:t>The calculation uses the following elements:</w:t>
      </w:r>
    </w:p>
    <w:p w14:paraId="6B70966A" w14:textId="77777777" w:rsidR="007E365E" w:rsidRPr="005927E3" w:rsidRDefault="007E365E" w:rsidP="007E365E">
      <w:pPr>
        <w:pStyle w:val="CGCBullet1"/>
      </w:pPr>
      <w:r w:rsidRPr="005927E3">
        <w:t>revenue:</w:t>
      </w:r>
    </w:p>
    <w:p w14:paraId="59475BFD" w14:textId="77777777" w:rsidR="007E365E" w:rsidRPr="00542984" w:rsidRDefault="007E365E" w:rsidP="007E365E">
      <w:pPr>
        <w:pStyle w:val="CGCBullet2"/>
        <w:numPr>
          <w:ilvl w:val="0"/>
          <w:numId w:val="3"/>
        </w:numPr>
        <w:ind w:left="1208" w:hanging="357"/>
      </w:pPr>
      <w:r w:rsidRPr="005927E3">
        <w:t>actual Commonwealth assistance</w:t>
      </w:r>
      <w:r w:rsidRPr="00542984">
        <w:rPr>
          <w:rStyle w:val="FootnoteReference"/>
        </w:rPr>
        <w:footnoteReference w:id="87"/>
      </w:r>
    </w:p>
    <w:p w14:paraId="21A0DFF0" w14:textId="77777777" w:rsidR="007E365E" w:rsidRPr="005927E3" w:rsidRDefault="007E365E" w:rsidP="007E365E">
      <w:pPr>
        <w:pStyle w:val="CGCBullet2"/>
        <w:numPr>
          <w:ilvl w:val="0"/>
          <w:numId w:val="3"/>
        </w:numPr>
        <w:ind w:left="1208" w:hanging="357"/>
      </w:pPr>
      <w:r w:rsidRPr="005927E3">
        <w:t>actual re-insurance receipts</w:t>
      </w:r>
    </w:p>
    <w:p w14:paraId="33BBCAA9" w14:textId="77777777" w:rsidR="007E365E" w:rsidRPr="005927E3" w:rsidRDefault="007E365E" w:rsidP="007E365E">
      <w:pPr>
        <w:pStyle w:val="CGCBullet2"/>
        <w:numPr>
          <w:ilvl w:val="0"/>
          <w:numId w:val="3"/>
        </w:numPr>
        <w:ind w:left="1208" w:hanging="357"/>
      </w:pPr>
      <w:r w:rsidRPr="005927E3">
        <w:t>actual other revenue</w:t>
      </w:r>
    </w:p>
    <w:p w14:paraId="465A9261" w14:textId="77777777" w:rsidR="007E365E" w:rsidRPr="005927E3" w:rsidRDefault="007E365E" w:rsidP="007E365E">
      <w:pPr>
        <w:pStyle w:val="CGCBullet2"/>
        <w:numPr>
          <w:ilvl w:val="0"/>
          <w:numId w:val="3"/>
        </w:numPr>
        <w:ind w:left="1208" w:hanging="357"/>
      </w:pPr>
      <w:r w:rsidRPr="005927E3">
        <w:t>assessed local government contribution</w:t>
      </w:r>
    </w:p>
    <w:p w14:paraId="1BAE7D0A" w14:textId="77777777" w:rsidR="007E365E" w:rsidRPr="005927E3" w:rsidRDefault="007E365E" w:rsidP="007E365E">
      <w:pPr>
        <w:pStyle w:val="CGCBullet1"/>
      </w:pPr>
      <w:r w:rsidRPr="005927E3">
        <w:t>expenses:</w:t>
      </w:r>
    </w:p>
    <w:p w14:paraId="0FFFAE65" w14:textId="77777777" w:rsidR="007E365E" w:rsidRPr="005927E3" w:rsidRDefault="007E365E" w:rsidP="007E365E">
      <w:pPr>
        <w:pStyle w:val="CGCBullet2"/>
        <w:numPr>
          <w:ilvl w:val="0"/>
          <w:numId w:val="3"/>
        </w:numPr>
        <w:ind w:left="1208" w:hanging="357"/>
      </w:pPr>
      <w:r w:rsidRPr="005927E3">
        <w:t>actual State disaster expenses</w:t>
      </w:r>
    </w:p>
    <w:p w14:paraId="5ED21049" w14:textId="77777777" w:rsidR="007E365E" w:rsidRPr="00542984" w:rsidRDefault="007E365E" w:rsidP="007E365E">
      <w:pPr>
        <w:pStyle w:val="CGCBullet2"/>
        <w:numPr>
          <w:ilvl w:val="0"/>
          <w:numId w:val="3"/>
        </w:numPr>
        <w:ind w:left="1208" w:hanging="357"/>
      </w:pPr>
      <w:r w:rsidRPr="005927E3">
        <w:t>actual local government disaster expenses</w:t>
      </w:r>
      <w:r w:rsidRPr="00542984">
        <w:rPr>
          <w:rStyle w:val="FootnoteReference"/>
        </w:rPr>
        <w:footnoteReference w:id="88"/>
      </w:r>
    </w:p>
    <w:p w14:paraId="3BC7B82E" w14:textId="77777777" w:rsidR="007E365E" w:rsidRPr="005927E3" w:rsidRDefault="007E365E" w:rsidP="007E365E">
      <w:pPr>
        <w:pStyle w:val="CGCBullet2"/>
        <w:numPr>
          <w:ilvl w:val="0"/>
          <w:numId w:val="3"/>
        </w:numPr>
        <w:ind w:left="1208" w:hanging="357"/>
      </w:pPr>
      <w:r w:rsidRPr="005927E3">
        <w:t>actual State re-insurance premiums.</w:t>
      </w:r>
    </w:p>
    <w:p w14:paraId="77F1999E" w14:textId="77777777" w:rsidR="007E365E" w:rsidRPr="005927E3" w:rsidRDefault="007E365E" w:rsidP="007E365E">
      <w:pPr>
        <w:pStyle w:val="CGCParaNumber"/>
      </w:pPr>
      <w:r w:rsidRPr="005927E3">
        <w:t>States’ assessed natural disaster relief expenses are calculated as the expenses less revenue listed above. This is close to an APC assessment.</w:t>
      </w:r>
    </w:p>
    <w:p w14:paraId="0A9F4B99" w14:textId="77777777" w:rsidR="007E365E" w:rsidRPr="005927E3" w:rsidRDefault="007E365E" w:rsidP="007E365E">
      <w:pPr>
        <w:pStyle w:val="Heading5"/>
      </w:pPr>
      <w:r w:rsidRPr="005927E3">
        <w:t>Unwinding the 2019 Update adjustment</w:t>
      </w:r>
    </w:p>
    <w:p w14:paraId="1C23D02D" w14:textId="77777777" w:rsidR="007E365E" w:rsidRPr="00542984" w:rsidRDefault="007E365E" w:rsidP="007E365E">
      <w:pPr>
        <w:pStyle w:val="CGCParaNumber"/>
      </w:pPr>
      <w:r w:rsidRPr="005927E3">
        <w:t>During the 2019 Update, the Commission only included State net expenses in the assessment. In addition, an adjustment was made to correct for the previous overstatement of expenses in the 2015-16 and 2016-17 assessment years. Queensland and the Northern</w:t>
      </w:r>
      <w:r>
        <w:t> </w:t>
      </w:r>
      <w:r w:rsidRPr="005927E3">
        <w:t>Territory supported unwinding the 2019 Update assessment and adjustment. Other States did not comment on this issue.</w:t>
      </w:r>
    </w:p>
    <w:p w14:paraId="24F60C8A" w14:textId="11EF54A3" w:rsidR="007E365E" w:rsidRPr="005927E3" w:rsidRDefault="007E365E" w:rsidP="007E365E">
      <w:pPr>
        <w:pStyle w:val="CGCParaNumber"/>
      </w:pPr>
      <w:r w:rsidRPr="005927E3">
        <w:t xml:space="preserve">Consistent with its decision to include local government net expenses going forward, the Commission has decided to unwind fully in the 2020 Review the adjustment to the assessment in the 2019 Update that removed local government net expenses. The unwinding </w:t>
      </w:r>
      <w:r w:rsidRPr="005927E3">
        <w:lastRenderedPageBreak/>
        <w:t xml:space="preserve">will ensure that all eligible local government expenses </w:t>
      </w:r>
      <w:r>
        <w:t xml:space="preserve">funded by States </w:t>
      </w:r>
      <w:r w:rsidRPr="005927E3">
        <w:t xml:space="preserve">are included in the assessment for three assessment years. </w:t>
      </w:r>
      <w:r w:rsidRPr="00542984">
        <w:fldChar w:fldCharType="begin"/>
      </w:r>
      <w:r w:rsidRPr="005927E3">
        <w:instrText xml:space="preserve"> REF _Ref24385280 \h  \* MERGEFORMAT </w:instrText>
      </w:r>
      <w:r w:rsidRPr="00542984">
        <w:fldChar w:fldCharType="separate"/>
      </w:r>
      <w:r w:rsidR="007F721A" w:rsidRPr="005927E3">
        <w:t xml:space="preserve">Table </w:t>
      </w:r>
      <w:r w:rsidR="007F721A">
        <w:rPr>
          <w:noProof/>
        </w:rPr>
        <w:t>23-7</w:t>
      </w:r>
      <w:r w:rsidRPr="00542984">
        <w:fldChar w:fldCharType="end"/>
      </w:r>
      <w:r w:rsidRPr="00542984">
        <w:t xml:space="preserve"> shows the effect on the GST distribution of including local government expenses and unwinding the 2019 Update adjustment.</w:t>
      </w:r>
    </w:p>
    <w:p w14:paraId="0E4BDAD5" w14:textId="2A287CC9" w:rsidR="007E365E" w:rsidRPr="005927E3" w:rsidRDefault="007E365E" w:rsidP="007E365E">
      <w:pPr>
        <w:pStyle w:val="Caption"/>
      </w:pPr>
      <w:bookmarkStart w:id="357" w:name="_Ref24385280"/>
      <w:r w:rsidRPr="005927E3">
        <w:t xml:space="preserve">Table </w:t>
      </w:r>
      <w:r>
        <w:t>23-</w:t>
      </w:r>
      <w:fldSimple w:instr=" SEQ Table \* ARABIC ">
        <w:r w:rsidR="007F721A">
          <w:rPr>
            <w:noProof/>
          </w:rPr>
          <w:t>7</w:t>
        </w:r>
      </w:fldSimple>
      <w:bookmarkEnd w:id="357"/>
      <w:r w:rsidRPr="00542984">
        <w:tab/>
        <w:t>Effect on the GST distribution of the decision to change the natura</w:t>
      </w:r>
      <w:r w:rsidRPr="005927E3">
        <w:t>l disasters assessment and unwind the 2019 Update adjustment</w:t>
      </w:r>
    </w:p>
    <w:tbl>
      <w:tblPr>
        <w:tblW w:w="8960" w:type="dxa"/>
        <w:tblCellMar>
          <w:left w:w="28" w:type="dxa"/>
          <w:right w:w="28" w:type="dxa"/>
        </w:tblCellMar>
        <w:tblLook w:val="04A0" w:firstRow="1" w:lastRow="0" w:firstColumn="1" w:lastColumn="0" w:noHBand="0" w:noVBand="1"/>
      </w:tblPr>
      <w:tblGrid>
        <w:gridCol w:w="1480"/>
        <w:gridCol w:w="900"/>
        <w:gridCol w:w="900"/>
        <w:gridCol w:w="840"/>
        <w:gridCol w:w="840"/>
        <w:gridCol w:w="800"/>
        <w:gridCol w:w="720"/>
        <w:gridCol w:w="800"/>
        <w:gridCol w:w="740"/>
        <w:gridCol w:w="940"/>
      </w:tblGrid>
      <w:tr w:rsidR="007E365E" w:rsidRPr="002D4931" w14:paraId="0B313F51" w14:textId="77777777" w:rsidTr="007D1D77">
        <w:trPr>
          <w:trHeight w:val="375"/>
        </w:trPr>
        <w:tc>
          <w:tcPr>
            <w:tcW w:w="1480" w:type="dxa"/>
            <w:tcBorders>
              <w:top w:val="nil"/>
              <w:left w:val="nil"/>
              <w:bottom w:val="nil"/>
              <w:right w:val="nil"/>
            </w:tcBorders>
            <w:shd w:val="clear" w:color="000000" w:fill="006991"/>
            <w:vAlign w:val="center"/>
            <w:hideMark/>
          </w:tcPr>
          <w:p w14:paraId="0F16E8E9" w14:textId="77777777" w:rsidR="007E365E" w:rsidRPr="002D493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931">
              <w:rPr>
                <w:rFonts w:ascii="Open Sans SemiBold" w:eastAsia="Times New Roman" w:hAnsi="Open Sans SemiBold" w:cs="Open Sans SemiBold"/>
                <w:color w:val="FFFFFF"/>
                <w:sz w:val="16"/>
                <w:szCs w:val="16"/>
                <w:lang w:eastAsia="en-AU"/>
              </w:rPr>
              <w:t> </w:t>
            </w:r>
          </w:p>
        </w:tc>
        <w:tc>
          <w:tcPr>
            <w:tcW w:w="900" w:type="dxa"/>
            <w:tcBorders>
              <w:top w:val="nil"/>
              <w:left w:val="nil"/>
              <w:bottom w:val="nil"/>
              <w:right w:val="nil"/>
            </w:tcBorders>
            <w:shd w:val="clear" w:color="000000" w:fill="006991"/>
            <w:vAlign w:val="center"/>
            <w:hideMark/>
          </w:tcPr>
          <w:p w14:paraId="7CF1E9B7" w14:textId="77777777" w:rsidR="007E365E" w:rsidRPr="002D493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931">
              <w:rPr>
                <w:rFonts w:ascii="Open Sans SemiBold" w:eastAsia="Times New Roman" w:hAnsi="Open Sans SemiBold" w:cs="Open Sans SemiBold"/>
                <w:color w:val="FFFFFF"/>
                <w:sz w:val="16"/>
                <w:szCs w:val="16"/>
                <w:lang w:eastAsia="en-AU"/>
              </w:rPr>
              <w:t>NSW</w:t>
            </w:r>
          </w:p>
        </w:tc>
        <w:tc>
          <w:tcPr>
            <w:tcW w:w="900" w:type="dxa"/>
            <w:tcBorders>
              <w:top w:val="nil"/>
              <w:left w:val="nil"/>
              <w:bottom w:val="nil"/>
              <w:right w:val="nil"/>
            </w:tcBorders>
            <w:shd w:val="clear" w:color="000000" w:fill="006991"/>
            <w:vAlign w:val="center"/>
            <w:hideMark/>
          </w:tcPr>
          <w:p w14:paraId="679FFEB9" w14:textId="77777777" w:rsidR="007E365E" w:rsidRPr="002D493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931">
              <w:rPr>
                <w:rFonts w:ascii="Open Sans SemiBold" w:eastAsia="Times New Roman" w:hAnsi="Open Sans SemiBold" w:cs="Open Sans SemiBold"/>
                <w:color w:val="FFFFFF"/>
                <w:sz w:val="16"/>
                <w:szCs w:val="16"/>
                <w:lang w:eastAsia="en-AU"/>
              </w:rPr>
              <w:t>Vic</w:t>
            </w:r>
          </w:p>
        </w:tc>
        <w:tc>
          <w:tcPr>
            <w:tcW w:w="840" w:type="dxa"/>
            <w:tcBorders>
              <w:top w:val="nil"/>
              <w:left w:val="nil"/>
              <w:bottom w:val="nil"/>
              <w:right w:val="nil"/>
            </w:tcBorders>
            <w:shd w:val="clear" w:color="000000" w:fill="006991"/>
            <w:vAlign w:val="center"/>
            <w:hideMark/>
          </w:tcPr>
          <w:p w14:paraId="7FFBF91D" w14:textId="77777777" w:rsidR="007E365E" w:rsidRPr="002D493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931">
              <w:rPr>
                <w:rFonts w:ascii="Open Sans SemiBold" w:eastAsia="Times New Roman" w:hAnsi="Open Sans SemiBold" w:cs="Open Sans SemiBold"/>
                <w:color w:val="FFFFFF"/>
                <w:sz w:val="16"/>
                <w:szCs w:val="16"/>
                <w:lang w:eastAsia="en-AU"/>
              </w:rPr>
              <w:t>Qld</w:t>
            </w:r>
          </w:p>
        </w:tc>
        <w:tc>
          <w:tcPr>
            <w:tcW w:w="840" w:type="dxa"/>
            <w:tcBorders>
              <w:top w:val="nil"/>
              <w:left w:val="nil"/>
              <w:bottom w:val="nil"/>
              <w:right w:val="nil"/>
            </w:tcBorders>
            <w:shd w:val="clear" w:color="000000" w:fill="006991"/>
            <w:vAlign w:val="center"/>
            <w:hideMark/>
          </w:tcPr>
          <w:p w14:paraId="0090BBAF" w14:textId="77777777" w:rsidR="007E365E" w:rsidRPr="002D493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931">
              <w:rPr>
                <w:rFonts w:ascii="Open Sans SemiBold" w:eastAsia="Times New Roman" w:hAnsi="Open Sans SemiBold" w:cs="Open Sans SemiBold"/>
                <w:color w:val="FFFFFF"/>
                <w:sz w:val="16"/>
                <w:szCs w:val="16"/>
                <w:lang w:eastAsia="en-AU"/>
              </w:rPr>
              <w:t>WA</w:t>
            </w:r>
          </w:p>
        </w:tc>
        <w:tc>
          <w:tcPr>
            <w:tcW w:w="800" w:type="dxa"/>
            <w:tcBorders>
              <w:top w:val="nil"/>
              <w:left w:val="nil"/>
              <w:bottom w:val="nil"/>
              <w:right w:val="nil"/>
            </w:tcBorders>
            <w:shd w:val="clear" w:color="000000" w:fill="006991"/>
            <w:vAlign w:val="center"/>
            <w:hideMark/>
          </w:tcPr>
          <w:p w14:paraId="4B7CDCA6" w14:textId="77777777" w:rsidR="007E365E" w:rsidRPr="002D493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931">
              <w:rPr>
                <w:rFonts w:ascii="Open Sans SemiBold" w:eastAsia="Times New Roman" w:hAnsi="Open Sans SemiBold" w:cs="Open Sans SemiBold"/>
                <w:color w:val="FFFFFF"/>
                <w:sz w:val="16"/>
                <w:szCs w:val="16"/>
                <w:lang w:eastAsia="en-AU"/>
              </w:rPr>
              <w:t>SA</w:t>
            </w:r>
          </w:p>
        </w:tc>
        <w:tc>
          <w:tcPr>
            <w:tcW w:w="720" w:type="dxa"/>
            <w:tcBorders>
              <w:top w:val="nil"/>
              <w:left w:val="nil"/>
              <w:bottom w:val="nil"/>
              <w:right w:val="nil"/>
            </w:tcBorders>
            <w:shd w:val="clear" w:color="000000" w:fill="006991"/>
            <w:vAlign w:val="center"/>
            <w:hideMark/>
          </w:tcPr>
          <w:p w14:paraId="1029AF5D" w14:textId="77777777" w:rsidR="007E365E" w:rsidRPr="002D493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931">
              <w:rPr>
                <w:rFonts w:ascii="Open Sans SemiBold" w:eastAsia="Times New Roman" w:hAnsi="Open Sans SemiBold" w:cs="Open Sans SemiBold"/>
                <w:color w:val="FFFFFF"/>
                <w:sz w:val="16"/>
                <w:szCs w:val="16"/>
                <w:lang w:eastAsia="en-AU"/>
              </w:rPr>
              <w:t>Tas</w:t>
            </w:r>
          </w:p>
        </w:tc>
        <w:tc>
          <w:tcPr>
            <w:tcW w:w="800" w:type="dxa"/>
            <w:tcBorders>
              <w:top w:val="nil"/>
              <w:left w:val="nil"/>
              <w:bottom w:val="nil"/>
              <w:right w:val="nil"/>
            </w:tcBorders>
            <w:shd w:val="clear" w:color="000000" w:fill="006991"/>
            <w:vAlign w:val="center"/>
            <w:hideMark/>
          </w:tcPr>
          <w:p w14:paraId="2A3946AC" w14:textId="77777777" w:rsidR="007E365E" w:rsidRPr="002D493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931">
              <w:rPr>
                <w:rFonts w:ascii="Open Sans SemiBold" w:eastAsia="Times New Roman" w:hAnsi="Open Sans SemiBold" w:cs="Open Sans SemiBold"/>
                <w:color w:val="FFFFFF"/>
                <w:sz w:val="16"/>
                <w:szCs w:val="16"/>
                <w:lang w:eastAsia="en-AU"/>
              </w:rPr>
              <w:t>ACT</w:t>
            </w:r>
          </w:p>
        </w:tc>
        <w:tc>
          <w:tcPr>
            <w:tcW w:w="740" w:type="dxa"/>
            <w:tcBorders>
              <w:top w:val="nil"/>
              <w:left w:val="nil"/>
              <w:bottom w:val="nil"/>
              <w:right w:val="nil"/>
            </w:tcBorders>
            <w:shd w:val="clear" w:color="000000" w:fill="006991"/>
            <w:vAlign w:val="center"/>
            <w:hideMark/>
          </w:tcPr>
          <w:p w14:paraId="7258FDB0" w14:textId="77777777" w:rsidR="007E365E" w:rsidRPr="002D493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931">
              <w:rPr>
                <w:rFonts w:ascii="Open Sans SemiBold" w:eastAsia="Times New Roman" w:hAnsi="Open Sans SemiBold" w:cs="Open Sans SemiBold"/>
                <w:color w:val="FFFFFF"/>
                <w:sz w:val="16"/>
                <w:szCs w:val="16"/>
                <w:lang w:eastAsia="en-AU"/>
              </w:rPr>
              <w:t>NT</w:t>
            </w:r>
          </w:p>
        </w:tc>
        <w:tc>
          <w:tcPr>
            <w:tcW w:w="940" w:type="dxa"/>
            <w:tcBorders>
              <w:top w:val="nil"/>
              <w:left w:val="nil"/>
              <w:bottom w:val="nil"/>
              <w:right w:val="nil"/>
            </w:tcBorders>
            <w:shd w:val="clear" w:color="000000" w:fill="006991"/>
            <w:vAlign w:val="center"/>
            <w:hideMark/>
          </w:tcPr>
          <w:p w14:paraId="5B093488" w14:textId="77777777" w:rsidR="007E365E" w:rsidRPr="002D493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931">
              <w:rPr>
                <w:rFonts w:ascii="Open Sans SemiBold" w:eastAsia="Times New Roman" w:hAnsi="Open Sans SemiBold" w:cs="Open Sans SemiBold"/>
                <w:color w:val="FFFFFF"/>
                <w:sz w:val="16"/>
                <w:szCs w:val="16"/>
                <w:lang w:eastAsia="en-AU"/>
              </w:rPr>
              <w:t>Redist</w:t>
            </w:r>
          </w:p>
        </w:tc>
      </w:tr>
      <w:tr w:rsidR="007E365E" w:rsidRPr="002D4931" w14:paraId="5415DC09" w14:textId="77777777" w:rsidTr="007D1D77">
        <w:trPr>
          <w:trHeight w:val="315"/>
        </w:trPr>
        <w:tc>
          <w:tcPr>
            <w:tcW w:w="1480" w:type="dxa"/>
            <w:tcBorders>
              <w:top w:val="single" w:sz="4" w:space="0" w:color="ADD6EA"/>
              <w:left w:val="nil"/>
              <w:bottom w:val="single" w:sz="4" w:space="0" w:color="ADD6EA"/>
              <w:right w:val="nil"/>
            </w:tcBorders>
            <w:shd w:val="clear" w:color="auto" w:fill="auto"/>
            <w:vAlign w:val="bottom"/>
            <w:hideMark/>
          </w:tcPr>
          <w:p w14:paraId="7B56CE34" w14:textId="77777777" w:rsidR="007E365E" w:rsidRPr="002D4931" w:rsidRDefault="007E365E" w:rsidP="007D1D77">
            <w:pPr>
              <w:tabs>
                <w:tab w:val="clear" w:pos="567"/>
              </w:tabs>
              <w:spacing w:before="0" w:line="240" w:lineRule="auto"/>
              <w:rPr>
                <w:rFonts w:eastAsia="Times New Roman" w:cs="Open Sans Light"/>
                <w:sz w:val="16"/>
                <w:szCs w:val="16"/>
                <w:lang w:eastAsia="en-AU"/>
              </w:rPr>
            </w:pPr>
            <w:r w:rsidRPr="002D4931">
              <w:rPr>
                <w:rFonts w:eastAsia="Times New Roman" w:cs="Open Sans Light"/>
                <w:sz w:val="16"/>
                <w:szCs w:val="16"/>
                <w:lang w:eastAsia="en-AU"/>
              </w:rPr>
              <w:t>$ million</w:t>
            </w:r>
          </w:p>
        </w:tc>
        <w:tc>
          <w:tcPr>
            <w:tcW w:w="900" w:type="dxa"/>
            <w:tcBorders>
              <w:top w:val="single" w:sz="4" w:space="0" w:color="ADD6EA"/>
              <w:left w:val="nil"/>
              <w:bottom w:val="single" w:sz="4" w:space="0" w:color="ADD6EA"/>
              <w:right w:val="nil"/>
            </w:tcBorders>
            <w:shd w:val="clear" w:color="auto" w:fill="auto"/>
            <w:vAlign w:val="bottom"/>
            <w:hideMark/>
          </w:tcPr>
          <w:p w14:paraId="4C31A18B"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-173</w:t>
            </w:r>
          </w:p>
        </w:tc>
        <w:tc>
          <w:tcPr>
            <w:tcW w:w="900" w:type="dxa"/>
            <w:tcBorders>
              <w:top w:val="single" w:sz="4" w:space="0" w:color="ADD6EA"/>
              <w:left w:val="nil"/>
              <w:bottom w:val="single" w:sz="4" w:space="0" w:color="ADD6EA"/>
              <w:right w:val="nil"/>
            </w:tcBorders>
            <w:shd w:val="clear" w:color="auto" w:fill="auto"/>
            <w:vAlign w:val="bottom"/>
            <w:hideMark/>
          </w:tcPr>
          <w:p w14:paraId="270F26B1"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-207</w:t>
            </w:r>
          </w:p>
        </w:tc>
        <w:tc>
          <w:tcPr>
            <w:tcW w:w="840" w:type="dxa"/>
            <w:tcBorders>
              <w:top w:val="single" w:sz="4" w:space="0" w:color="ADD6EA"/>
              <w:left w:val="nil"/>
              <w:bottom w:val="single" w:sz="4" w:space="0" w:color="ADD6EA"/>
              <w:right w:val="nil"/>
            </w:tcBorders>
            <w:shd w:val="clear" w:color="auto" w:fill="auto"/>
            <w:vAlign w:val="bottom"/>
            <w:hideMark/>
          </w:tcPr>
          <w:p w14:paraId="0B4C1BF0"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342</w:t>
            </w:r>
          </w:p>
        </w:tc>
        <w:tc>
          <w:tcPr>
            <w:tcW w:w="840" w:type="dxa"/>
            <w:tcBorders>
              <w:top w:val="single" w:sz="4" w:space="0" w:color="ADD6EA"/>
              <w:left w:val="nil"/>
              <w:bottom w:val="single" w:sz="4" w:space="0" w:color="ADD6EA"/>
              <w:right w:val="nil"/>
            </w:tcBorders>
            <w:shd w:val="clear" w:color="auto" w:fill="auto"/>
            <w:vAlign w:val="bottom"/>
            <w:hideMark/>
          </w:tcPr>
          <w:p w14:paraId="01D86C2E"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103</w:t>
            </w:r>
          </w:p>
        </w:tc>
        <w:tc>
          <w:tcPr>
            <w:tcW w:w="800" w:type="dxa"/>
            <w:tcBorders>
              <w:top w:val="single" w:sz="4" w:space="0" w:color="ADD6EA"/>
              <w:left w:val="nil"/>
              <w:bottom w:val="single" w:sz="4" w:space="0" w:color="ADD6EA"/>
              <w:right w:val="nil"/>
            </w:tcBorders>
            <w:shd w:val="clear" w:color="auto" w:fill="auto"/>
            <w:vAlign w:val="bottom"/>
            <w:hideMark/>
          </w:tcPr>
          <w:p w14:paraId="66BAD7B5"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-68</w:t>
            </w:r>
          </w:p>
        </w:tc>
        <w:tc>
          <w:tcPr>
            <w:tcW w:w="720" w:type="dxa"/>
            <w:tcBorders>
              <w:top w:val="single" w:sz="4" w:space="0" w:color="ADD6EA"/>
              <w:left w:val="nil"/>
              <w:bottom w:val="single" w:sz="4" w:space="0" w:color="ADD6EA"/>
              <w:right w:val="nil"/>
            </w:tcBorders>
            <w:shd w:val="clear" w:color="auto" w:fill="auto"/>
            <w:vAlign w:val="bottom"/>
            <w:hideMark/>
          </w:tcPr>
          <w:p w14:paraId="28F22109"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1</w:t>
            </w:r>
          </w:p>
        </w:tc>
        <w:tc>
          <w:tcPr>
            <w:tcW w:w="800" w:type="dxa"/>
            <w:tcBorders>
              <w:top w:val="single" w:sz="4" w:space="0" w:color="ADD6EA"/>
              <w:left w:val="nil"/>
              <w:bottom w:val="single" w:sz="4" w:space="0" w:color="ADD6EA"/>
              <w:right w:val="nil"/>
            </w:tcBorders>
            <w:shd w:val="clear" w:color="auto" w:fill="auto"/>
            <w:vAlign w:val="bottom"/>
            <w:hideMark/>
          </w:tcPr>
          <w:p w14:paraId="6BEA1E6C"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-21</w:t>
            </w:r>
          </w:p>
        </w:tc>
        <w:tc>
          <w:tcPr>
            <w:tcW w:w="740" w:type="dxa"/>
            <w:tcBorders>
              <w:top w:val="single" w:sz="4" w:space="0" w:color="ADD6EA"/>
              <w:left w:val="nil"/>
              <w:bottom w:val="single" w:sz="4" w:space="0" w:color="ADD6EA"/>
              <w:right w:val="nil"/>
            </w:tcBorders>
            <w:shd w:val="clear" w:color="auto" w:fill="auto"/>
            <w:vAlign w:val="bottom"/>
            <w:hideMark/>
          </w:tcPr>
          <w:p w14:paraId="0F9E125E"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23</w:t>
            </w:r>
          </w:p>
        </w:tc>
        <w:tc>
          <w:tcPr>
            <w:tcW w:w="940" w:type="dxa"/>
            <w:tcBorders>
              <w:top w:val="single" w:sz="4" w:space="0" w:color="ADD6EA"/>
              <w:left w:val="nil"/>
              <w:bottom w:val="single" w:sz="4" w:space="0" w:color="ADD6EA"/>
              <w:right w:val="nil"/>
            </w:tcBorders>
            <w:shd w:val="clear" w:color="auto" w:fill="auto"/>
            <w:vAlign w:val="bottom"/>
            <w:hideMark/>
          </w:tcPr>
          <w:p w14:paraId="3E3360D0"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468</w:t>
            </w:r>
          </w:p>
        </w:tc>
      </w:tr>
      <w:tr w:rsidR="007E365E" w:rsidRPr="002D4931" w14:paraId="104769D5" w14:textId="77777777" w:rsidTr="007D1D77">
        <w:trPr>
          <w:trHeight w:val="315"/>
        </w:trPr>
        <w:tc>
          <w:tcPr>
            <w:tcW w:w="1480" w:type="dxa"/>
            <w:tcBorders>
              <w:top w:val="nil"/>
              <w:left w:val="nil"/>
              <w:bottom w:val="single" w:sz="4" w:space="0" w:color="ADD6EA"/>
              <w:right w:val="nil"/>
            </w:tcBorders>
            <w:shd w:val="clear" w:color="auto" w:fill="auto"/>
            <w:vAlign w:val="bottom"/>
            <w:hideMark/>
          </w:tcPr>
          <w:p w14:paraId="65A72241" w14:textId="77777777" w:rsidR="007E365E" w:rsidRPr="002D4931" w:rsidRDefault="007E365E" w:rsidP="007D1D77">
            <w:pPr>
              <w:tabs>
                <w:tab w:val="clear" w:pos="567"/>
              </w:tabs>
              <w:spacing w:before="0" w:line="240" w:lineRule="auto"/>
              <w:rPr>
                <w:rFonts w:eastAsia="Times New Roman" w:cs="Open Sans Light"/>
                <w:sz w:val="16"/>
                <w:szCs w:val="16"/>
                <w:lang w:eastAsia="en-AU"/>
              </w:rPr>
            </w:pPr>
            <w:r w:rsidRPr="002D4931">
              <w:rPr>
                <w:rFonts w:eastAsia="Times New Roman" w:cs="Open Sans Light"/>
                <w:sz w:val="16"/>
                <w:szCs w:val="16"/>
                <w:lang w:eastAsia="en-AU"/>
              </w:rPr>
              <w:t>$ per capita</w:t>
            </w:r>
          </w:p>
        </w:tc>
        <w:tc>
          <w:tcPr>
            <w:tcW w:w="900" w:type="dxa"/>
            <w:tcBorders>
              <w:top w:val="nil"/>
              <w:left w:val="nil"/>
              <w:bottom w:val="single" w:sz="4" w:space="0" w:color="ADD6EA"/>
              <w:right w:val="nil"/>
            </w:tcBorders>
            <w:shd w:val="clear" w:color="auto" w:fill="auto"/>
            <w:vAlign w:val="bottom"/>
            <w:hideMark/>
          </w:tcPr>
          <w:p w14:paraId="57DA0169"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-21</w:t>
            </w:r>
          </w:p>
        </w:tc>
        <w:tc>
          <w:tcPr>
            <w:tcW w:w="900" w:type="dxa"/>
            <w:tcBorders>
              <w:top w:val="nil"/>
              <w:left w:val="nil"/>
              <w:bottom w:val="single" w:sz="4" w:space="0" w:color="ADD6EA"/>
              <w:right w:val="nil"/>
            </w:tcBorders>
            <w:shd w:val="clear" w:color="auto" w:fill="auto"/>
            <w:vAlign w:val="bottom"/>
            <w:hideMark/>
          </w:tcPr>
          <w:p w14:paraId="61750544"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-30</w:t>
            </w:r>
          </w:p>
        </w:tc>
        <w:tc>
          <w:tcPr>
            <w:tcW w:w="840" w:type="dxa"/>
            <w:tcBorders>
              <w:top w:val="nil"/>
              <w:left w:val="nil"/>
              <w:bottom w:val="single" w:sz="4" w:space="0" w:color="ADD6EA"/>
              <w:right w:val="nil"/>
            </w:tcBorders>
            <w:shd w:val="clear" w:color="auto" w:fill="auto"/>
            <w:vAlign w:val="bottom"/>
            <w:hideMark/>
          </w:tcPr>
          <w:p w14:paraId="6157DFA9"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65</w:t>
            </w:r>
          </w:p>
        </w:tc>
        <w:tc>
          <w:tcPr>
            <w:tcW w:w="840" w:type="dxa"/>
            <w:tcBorders>
              <w:top w:val="nil"/>
              <w:left w:val="nil"/>
              <w:bottom w:val="single" w:sz="4" w:space="0" w:color="ADD6EA"/>
              <w:right w:val="nil"/>
            </w:tcBorders>
            <w:shd w:val="clear" w:color="auto" w:fill="auto"/>
            <w:vAlign w:val="bottom"/>
            <w:hideMark/>
          </w:tcPr>
          <w:p w14:paraId="032C4E0F"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39</w:t>
            </w:r>
          </w:p>
        </w:tc>
        <w:tc>
          <w:tcPr>
            <w:tcW w:w="800" w:type="dxa"/>
            <w:tcBorders>
              <w:top w:val="nil"/>
              <w:left w:val="nil"/>
              <w:bottom w:val="single" w:sz="4" w:space="0" w:color="ADD6EA"/>
              <w:right w:val="nil"/>
            </w:tcBorders>
            <w:shd w:val="clear" w:color="auto" w:fill="auto"/>
            <w:vAlign w:val="bottom"/>
            <w:hideMark/>
          </w:tcPr>
          <w:p w14:paraId="55BB4BFF"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-38</w:t>
            </w:r>
          </w:p>
        </w:tc>
        <w:tc>
          <w:tcPr>
            <w:tcW w:w="720" w:type="dxa"/>
            <w:tcBorders>
              <w:top w:val="nil"/>
              <w:left w:val="nil"/>
              <w:bottom w:val="single" w:sz="4" w:space="0" w:color="ADD6EA"/>
              <w:right w:val="nil"/>
            </w:tcBorders>
            <w:shd w:val="clear" w:color="auto" w:fill="auto"/>
            <w:vAlign w:val="bottom"/>
            <w:hideMark/>
          </w:tcPr>
          <w:p w14:paraId="0D5F5879"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2</w:t>
            </w:r>
          </w:p>
        </w:tc>
        <w:tc>
          <w:tcPr>
            <w:tcW w:w="800" w:type="dxa"/>
            <w:tcBorders>
              <w:top w:val="nil"/>
              <w:left w:val="nil"/>
              <w:bottom w:val="single" w:sz="4" w:space="0" w:color="ADD6EA"/>
              <w:right w:val="nil"/>
            </w:tcBorders>
            <w:shd w:val="clear" w:color="auto" w:fill="auto"/>
            <w:vAlign w:val="bottom"/>
            <w:hideMark/>
          </w:tcPr>
          <w:p w14:paraId="1DD1D47A"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-48</w:t>
            </w:r>
          </w:p>
        </w:tc>
        <w:tc>
          <w:tcPr>
            <w:tcW w:w="740" w:type="dxa"/>
            <w:tcBorders>
              <w:top w:val="nil"/>
              <w:left w:val="nil"/>
              <w:bottom w:val="single" w:sz="4" w:space="0" w:color="ADD6EA"/>
              <w:right w:val="nil"/>
            </w:tcBorders>
            <w:shd w:val="clear" w:color="auto" w:fill="auto"/>
            <w:vAlign w:val="bottom"/>
            <w:hideMark/>
          </w:tcPr>
          <w:p w14:paraId="15D120D8"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93</w:t>
            </w:r>
          </w:p>
        </w:tc>
        <w:tc>
          <w:tcPr>
            <w:tcW w:w="940" w:type="dxa"/>
            <w:tcBorders>
              <w:top w:val="nil"/>
              <w:left w:val="nil"/>
              <w:bottom w:val="single" w:sz="4" w:space="0" w:color="ADD6EA"/>
              <w:right w:val="nil"/>
            </w:tcBorders>
            <w:shd w:val="clear" w:color="auto" w:fill="auto"/>
            <w:vAlign w:val="bottom"/>
            <w:hideMark/>
          </w:tcPr>
          <w:p w14:paraId="12E5ADC0" w14:textId="77777777" w:rsidR="007E365E" w:rsidRPr="002D4931" w:rsidRDefault="007E365E" w:rsidP="007D1D77">
            <w:pPr>
              <w:tabs>
                <w:tab w:val="clear" w:pos="567"/>
              </w:tabs>
              <w:spacing w:before="0" w:line="240" w:lineRule="auto"/>
              <w:jc w:val="right"/>
              <w:rPr>
                <w:rFonts w:eastAsia="Times New Roman" w:cs="Open Sans Light"/>
                <w:sz w:val="16"/>
                <w:szCs w:val="16"/>
                <w:lang w:eastAsia="en-AU"/>
              </w:rPr>
            </w:pPr>
            <w:r w:rsidRPr="002D4931">
              <w:rPr>
                <w:rFonts w:eastAsia="Times New Roman" w:cs="Open Sans Light"/>
                <w:sz w:val="16"/>
                <w:szCs w:val="16"/>
                <w:lang w:eastAsia="en-AU"/>
              </w:rPr>
              <w:t>18</w:t>
            </w:r>
          </w:p>
        </w:tc>
      </w:tr>
    </w:tbl>
    <w:p w14:paraId="1EB3C402" w14:textId="77777777" w:rsidR="007E365E" w:rsidRPr="005927E3" w:rsidRDefault="007E365E" w:rsidP="007E365E">
      <w:pPr>
        <w:pStyle w:val="CGCTablenote"/>
      </w:pPr>
      <w:r w:rsidRPr="005927E3">
        <w:t>Source:</w:t>
      </w:r>
      <w:r w:rsidRPr="005927E3">
        <w:tab/>
        <w:t>Commission calculation based on the 2019 Update.</w:t>
      </w:r>
    </w:p>
    <w:p w14:paraId="717339F8" w14:textId="77777777" w:rsidR="007E365E" w:rsidRPr="005927E3" w:rsidRDefault="007E365E" w:rsidP="007E365E">
      <w:pPr>
        <w:pStyle w:val="CGCParaNumber"/>
      </w:pPr>
      <w:r w:rsidRPr="005927E3">
        <w:t>The Commission notes that the decision made during the 2019 Update to remove local government net expenses was consistent with State information provided at the time and the 2015 Review intention to assess only State natural disaster recovery expenses. However, the Commission may have made a different decision during the 2019 Update if it had been made aware of States’ policies regarding State and local government funding of natural disasters at that time.</w:t>
      </w:r>
    </w:p>
    <w:p w14:paraId="6C83D69A" w14:textId="77777777" w:rsidR="007E365E" w:rsidRPr="005927E3" w:rsidRDefault="007E365E" w:rsidP="007E365E">
      <w:pPr>
        <w:pStyle w:val="Heading5"/>
      </w:pPr>
      <w:r w:rsidRPr="005927E3">
        <w:t>Revision policy</w:t>
      </w:r>
    </w:p>
    <w:p w14:paraId="18CCC75C" w14:textId="77777777" w:rsidR="007E365E" w:rsidRPr="005927E3" w:rsidRDefault="007E365E" w:rsidP="007E365E">
      <w:pPr>
        <w:pStyle w:val="CGCParaNumber"/>
      </w:pPr>
      <w:r w:rsidRPr="005927E3">
        <w:t>In some years, States may revise their net expenses. Where these revisions are material at $10 per capita,</w:t>
      </w:r>
      <w:r w:rsidRPr="00542984">
        <w:rPr>
          <w:rStyle w:val="FootnoteReference"/>
        </w:rPr>
        <w:footnoteReference w:id="89"/>
      </w:r>
      <w:r w:rsidRPr="00542984">
        <w:t xml:space="preserve"> the Commission will make an adjustment to ensure that the correct expenses are assessed over time. If an adjustment is necessary, it will fully </w:t>
      </w:r>
      <w:r w:rsidRPr="005927E3">
        <w:t xml:space="preserve">reflect the over or understatement of net expenses. Adjustments are only made for years that are current assessment years. </w:t>
      </w:r>
    </w:p>
    <w:p w14:paraId="0308E02E" w14:textId="77777777" w:rsidR="007E365E" w:rsidRPr="005927E3" w:rsidRDefault="007E365E" w:rsidP="007E365E">
      <w:pPr>
        <w:pStyle w:val="CGCParaNumber"/>
      </w:pPr>
      <w:r w:rsidRPr="005927E3">
        <w:t>As part of the process of unwinding the 2019 Update adjustment, all revisions for 2015-16 to 2017-18 were corrected, regardless of materiality.</w:t>
      </w:r>
    </w:p>
    <w:p w14:paraId="068CEA54" w14:textId="77777777" w:rsidR="007E365E" w:rsidRPr="005927E3" w:rsidRDefault="007E365E" w:rsidP="007E365E">
      <w:pPr>
        <w:pStyle w:val="Heading5"/>
      </w:pPr>
      <w:r w:rsidRPr="005927E3">
        <w:t>Component calculations</w:t>
      </w:r>
    </w:p>
    <w:p w14:paraId="67065309" w14:textId="2E04696E" w:rsidR="007E365E" w:rsidRPr="00542984" w:rsidRDefault="007E365E" w:rsidP="007E365E">
      <w:pPr>
        <w:pStyle w:val="CGCParaNumber"/>
      </w:pPr>
      <w:r w:rsidRPr="005927E3">
        <w:t>As several States consider their natural disaster relief expenses to be confidential, component calculations are not shown at the State level. Expenses for this component by State were included in the service expenses component (</w:t>
      </w:r>
      <w:r w:rsidRPr="00542984">
        <w:fldChar w:fldCharType="begin"/>
      </w:r>
      <w:r w:rsidRPr="005927E3">
        <w:instrText xml:space="preserve"> REF _Ref10457700 \h  \* MERGEFORMAT </w:instrText>
      </w:r>
      <w:r w:rsidRPr="00542984">
        <w:fldChar w:fldCharType="separate"/>
      </w:r>
      <w:r w:rsidR="007F721A" w:rsidRPr="00542984">
        <w:t xml:space="preserve">Table </w:t>
      </w:r>
      <w:r w:rsidR="007F721A">
        <w:rPr>
          <w:noProof/>
        </w:rPr>
        <w:t>23-6</w:t>
      </w:r>
      <w:r w:rsidRPr="00542984">
        <w:fldChar w:fldCharType="end"/>
      </w:r>
      <w:r w:rsidRPr="00542984">
        <w:t>).</w:t>
      </w:r>
    </w:p>
    <w:p w14:paraId="78AC6BC7" w14:textId="77777777" w:rsidR="007E365E" w:rsidRPr="005927E3" w:rsidRDefault="007E365E" w:rsidP="007E365E">
      <w:pPr>
        <w:pStyle w:val="Heading4"/>
      </w:pPr>
      <w:r w:rsidRPr="005927E3">
        <w:t xml:space="preserve">Other </w:t>
      </w:r>
      <w:bookmarkEnd w:id="354"/>
      <w:r w:rsidRPr="005927E3">
        <w:t>components</w:t>
      </w:r>
    </w:p>
    <w:p w14:paraId="09AFBB51" w14:textId="77777777" w:rsidR="007E365E" w:rsidRPr="005927E3" w:rsidRDefault="007E365E" w:rsidP="007E365E">
      <w:pPr>
        <w:pStyle w:val="CGCParaNumber"/>
      </w:pPr>
      <w:r w:rsidRPr="005927E3">
        <w:t>The assessments for administrative scale, native title and land rights, and national capital are discussed in Chapter 26</w:t>
      </w:r>
      <w:r>
        <w:t xml:space="preserve"> </w:t>
      </w:r>
      <w:r w:rsidRPr="005927E3">
        <w:t>Administrative scale</w:t>
      </w:r>
      <w:r>
        <w:t>,</w:t>
      </w:r>
      <w:r w:rsidRPr="005927E3">
        <w:t xml:space="preserve"> and Chapter 29</w:t>
      </w:r>
      <w:r>
        <w:t xml:space="preserve"> </w:t>
      </w:r>
      <w:r w:rsidRPr="005927E3">
        <w:t>Other disabilities.</w:t>
      </w:r>
    </w:p>
    <w:p w14:paraId="35B1B605" w14:textId="77777777" w:rsidR="007E365E" w:rsidRPr="005927E3" w:rsidRDefault="007E365E" w:rsidP="007E365E">
      <w:pPr>
        <w:pStyle w:val="Heading3"/>
      </w:pPr>
      <w:bookmarkStart w:id="358" w:name="_Toc4764726"/>
      <w:r w:rsidRPr="005927E3">
        <w:t>Category calculations</w:t>
      </w:r>
      <w:bookmarkEnd w:id="358"/>
    </w:p>
    <w:p w14:paraId="7DA09C01" w14:textId="528B8992" w:rsidR="007E365E" w:rsidRPr="005927E3" w:rsidRDefault="007E365E" w:rsidP="007E365E">
      <w:pPr>
        <w:pStyle w:val="CGCParaNumber"/>
      </w:pPr>
      <w:r w:rsidRPr="00542984">
        <w:fldChar w:fldCharType="begin"/>
      </w:r>
      <w:r w:rsidRPr="005927E3">
        <w:instrText xml:space="preserve"> REF _Ref10461906 \h  \* MERGEFORMAT </w:instrText>
      </w:r>
      <w:r w:rsidRPr="00542984">
        <w:fldChar w:fldCharType="separate"/>
      </w:r>
      <w:r w:rsidR="007F721A" w:rsidRPr="005927E3">
        <w:t xml:space="preserve">Table </w:t>
      </w:r>
      <w:r w:rsidR="007F721A">
        <w:rPr>
          <w:noProof/>
        </w:rPr>
        <w:t>23-8</w:t>
      </w:r>
      <w:r w:rsidRPr="00542984">
        <w:fldChar w:fldCharType="end"/>
      </w:r>
      <w:r w:rsidRPr="00542984">
        <w:t xml:space="preserve"> brings the assessed expenses for each </w:t>
      </w:r>
      <w:r w:rsidRPr="005927E3">
        <w:t>component together to derive the total assessed expenses for each State for the category. It shows at the component level how each disability assessment moves expenses away from an EPC distribution to obtain assessed expenses.</w:t>
      </w:r>
    </w:p>
    <w:p w14:paraId="158DC96D" w14:textId="22C29386" w:rsidR="007E365E" w:rsidRPr="005927E3" w:rsidRDefault="007E365E" w:rsidP="007E365E">
      <w:pPr>
        <w:pStyle w:val="Caption"/>
      </w:pPr>
      <w:bookmarkStart w:id="359" w:name="_Ref10461906"/>
      <w:r w:rsidRPr="005927E3">
        <w:lastRenderedPageBreak/>
        <w:t xml:space="preserve">Table </w:t>
      </w:r>
      <w:r>
        <w:t>23-</w:t>
      </w:r>
      <w:fldSimple w:instr=" SEQ Table \* ARABIC ">
        <w:r w:rsidR="007F721A">
          <w:rPr>
            <w:noProof/>
          </w:rPr>
          <w:t>8</w:t>
        </w:r>
      </w:fldSimple>
      <w:bookmarkEnd w:id="359"/>
      <w:r w:rsidRPr="00542984">
        <w:tab/>
        <w:t xml:space="preserve">Other expenses </w:t>
      </w:r>
      <w:r w:rsidRPr="005927E3">
        <w:t>category assessment, 2018</w:t>
      </w:r>
      <w:r w:rsidRPr="005927E3">
        <w:noBreakHyphen/>
        <w:t>19</w:t>
      </w:r>
    </w:p>
    <w:tbl>
      <w:tblPr>
        <w:tblW w:w="9020" w:type="dxa"/>
        <w:tblCellMar>
          <w:left w:w="28" w:type="dxa"/>
          <w:right w:w="28" w:type="dxa"/>
        </w:tblCellMar>
        <w:tblLook w:val="04A0" w:firstRow="1" w:lastRow="0" w:firstColumn="1" w:lastColumn="0" w:noHBand="0" w:noVBand="1"/>
      </w:tblPr>
      <w:tblGrid>
        <w:gridCol w:w="2540"/>
        <w:gridCol w:w="720"/>
        <w:gridCol w:w="720"/>
        <w:gridCol w:w="720"/>
        <w:gridCol w:w="720"/>
        <w:gridCol w:w="720"/>
        <w:gridCol w:w="720"/>
        <w:gridCol w:w="720"/>
        <w:gridCol w:w="720"/>
        <w:gridCol w:w="720"/>
      </w:tblGrid>
      <w:tr w:rsidR="007E365E" w:rsidRPr="00FC4367" w14:paraId="5AE00D9B" w14:textId="77777777" w:rsidTr="007D1D77">
        <w:trPr>
          <w:trHeight w:val="379"/>
        </w:trPr>
        <w:tc>
          <w:tcPr>
            <w:tcW w:w="2540" w:type="dxa"/>
            <w:tcBorders>
              <w:top w:val="nil"/>
              <w:left w:val="nil"/>
              <w:bottom w:val="nil"/>
              <w:right w:val="nil"/>
            </w:tcBorders>
            <w:shd w:val="clear" w:color="000000" w:fill="006991"/>
            <w:vAlign w:val="center"/>
            <w:hideMark/>
          </w:tcPr>
          <w:p w14:paraId="7B752632"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360" w:name="RANGE!A3:J15"/>
            <w:r w:rsidRPr="00FC4367">
              <w:rPr>
                <w:rFonts w:ascii="Open Sans SemiBold" w:eastAsia="Times New Roman" w:hAnsi="Open Sans SemiBold" w:cs="Open Sans SemiBold"/>
                <w:color w:val="FFFFFF"/>
                <w:sz w:val="16"/>
                <w:szCs w:val="16"/>
                <w:lang w:eastAsia="en-AU"/>
              </w:rPr>
              <w:t> </w:t>
            </w:r>
            <w:bookmarkEnd w:id="360"/>
          </w:p>
        </w:tc>
        <w:tc>
          <w:tcPr>
            <w:tcW w:w="720" w:type="dxa"/>
            <w:tcBorders>
              <w:top w:val="nil"/>
              <w:left w:val="nil"/>
              <w:bottom w:val="nil"/>
              <w:right w:val="nil"/>
            </w:tcBorders>
            <w:shd w:val="clear" w:color="000000" w:fill="006991"/>
            <w:vAlign w:val="center"/>
            <w:hideMark/>
          </w:tcPr>
          <w:p w14:paraId="584756EE"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367">
              <w:rPr>
                <w:rFonts w:ascii="Open Sans SemiBold" w:eastAsia="Times New Roman" w:hAnsi="Open Sans SemiBold" w:cs="Open Sans SemiBold"/>
                <w:color w:val="FFFFFF"/>
                <w:sz w:val="16"/>
                <w:szCs w:val="16"/>
                <w:lang w:eastAsia="en-AU"/>
              </w:rPr>
              <w:t>NSW</w:t>
            </w:r>
          </w:p>
        </w:tc>
        <w:tc>
          <w:tcPr>
            <w:tcW w:w="720" w:type="dxa"/>
            <w:tcBorders>
              <w:top w:val="nil"/>
              <w:left w:val="nil"/>
              <w:bottom w:val="nil"/>
              <w:right w:val="nil"/>
            </w:tcBorders>
            <w:shd w:val="clear" w:color="000000" w:fill="006991"/>
            <w:vAlign w:val="center"/>
            <w:hideMark/>
          </w:tcPr>
          <w:p w14:paraId="43DED196"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367">
              <w:rPr>
                <w:rFonts w:ascii="Open Sans SemiBold" w:eastAsia="Times New Roman" w:hAnsi="Open Sans SemiBold" w:cs="Open Sans SemiBold"/>
                <w:color w:val="FFFFFF"/>
                <w:sz w:val="16"/>
                <w:szCs w:val="16"/>
                <w:lang w:eastAsia="en-AU"/>
              </w:rPr>
              <w:t>Vic</w:t>
            </w:r>
          </w:p>
        </w:tc>
        <w:tc>
          <w:tcPr>
            <w:tcW w:w="720" w:type="dxa"/>
            <w:tcBorders>
              <w:top w:val="nil"/>
              <w:left w:val="nil"/>
              <w:bottom w:val="nil"/>
              <w:right w:val="nil"/>
            </w:tcBorders>
            <w:shd w:val="clear" w:color="000000" w:fill="006991"/>
            <w:vAlign w:val="center"/>
            <w:hideMark/>
          </w:tcPr>
          <w:p w14:paraId="561B3B43"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367">
              <w:rPr>
                <w:rFonts w:ascii="Open Sans SemiBold" w:eastAsia="Times New Roman" w:hAnsi="Open Sans SemiBold" w:cs="Open Sans SemiBold"/>
                <w:color w:val="FFFFFF"/>
                <w:sz w:val="16"/>
                <w:szCs w:val="16"/>
                <w:lang w:eastAsia="en-AU"/>
              </w:rPr>
              <w:t>Qld</w:t>
            </w:r>
          </w:p>
        </w:tc>
        <w:tc>
          <w:tcPr>
            <w:tcW w:w="720" w:type="dxa"/>
            <w:tcBorders>
              <w:top w:val="nil"/>
              <w:left w:val="nil"/>
              <w:bottom w:val="nil"/>
              <w:right w:val="nil"/>
            </w:tcBorders>
            <w:shd w:val="clear" w:color="000000" w:fill="006991"/>
            <w:vAlign w:val="center"/>
            <w:hideMark/>
          </w:tcPr>
          <w:p w14:paraId="6DBD5606"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367">
              <w:rPr>
                <w:rFonts w:ascii="Open Sans SemiBold" w:eastAsia="Times New Roman" w:hAnsi="Open Sans SemiBold" w:cs="Open Sans SemiBold"/>
                <w:color w:val="FFFFFF"/>
                <w:sz w:val="16"/>
                <w:szCs w:val="16"/>
                <w:lang w:eastAsia="en-AU"/>
              </w:rPr>
              <w:t>WA</w:t>
            </w:r>
          </w:p>
        </w:tc>
        <w:tc>
          <w:tcPr>
            <w:tcW w:w="720" w:type="dxa"/>
            <w:tcBorders>
              <w:top w:val="nil"/>
              <w:left w:val="nil"/>
              <w:bottom w:val="nil"/>
              <w:right w:val="nil"/>
            </w:tcBorders>
            <w:shd w:val="clear" w:color="000000" w:fill="006991"/>
            <w:vAlign w:val="center"/>
            <w:hideMark/>
          </w:tcPr>
          <w:p w14:paraId="139A1879"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367">
              <w:rPr>
                <w:rFonts w:ascii="Open Sans SemiBold" w:eastAsia="Times New Roman" w:hAnsi="Open Sans SemiBold" w:cs="Open Sans SemiBold"/>
                <w:color w:val="FFFFFF"/>
                <w:sz w:val="16"/>
                <w:szCs w:val="16"/>
                <w:lang w:eastAsia="en-AU"/>
              </w:rPr>
              <w:t>SA</w:t>
            </w:r>
          </w:p>
        </w:tc>
        <w:tc>
          <w:tcPr>
            <w:tcW w:w="720" w:type="dxa"/>
            <w:tcBorders>
              <w:top w:val="nil"/>
              <w:left w:val="nil"/>
              <w:bottom w:val="nil"/>
              <w:right w:val="nil"/>
            </w:tcBorders>
            <w:shd w:val="clear" w:color="000000" w:fill="006991"/>
            <w:vAlign w:val="center"/>
            <w:hideMark/>
          </w:tcPr>
          <w:p w14:paraId="19A989D7"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367">
              <w:rPr>
                <w:rFonts w:ascii="Open Sans SemiBold" w:eastAsia="Times New Roman" w:hAnsi="Open Sans SemiBold" w:cs="Open Sans SemiBold"/>
                <w:color w:val="FFFFFF"/>
                <w:sz w:val="16"/>
                <w:szCs w:val="16"/>
                <w:lang w:eastAsia="en-AU"/>
              </w:rPr>
              <w:t>Tas</w:t>
            </w:r>
          </w:p>
        </w:tc>
        <w:tc>
          <w:tcPr>
            <w:tcW w:w="720" w:type="dxa"/>
            <w:tcBorders>
              <w:top w:val="nil"/>
              <w:left w:val="nil"/>
              <w:bottom w:val="nil"/>
              <w:right w:val="nil"/>
            </w:tcBorders>
            <w:shd w:val="clear" w:color="000000" w:fill="006991"/>
            <w:vAlign w:val="center"/>
            <w:hideMark/>
          </w:tcPr>
          <w:p w14:paraId="1819B335"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367">
              <w:rPr>
                <w:rFonts w:ascii="Open Sans SemiBold" w:eastAsia="Times New Roman" w:hAnsi="Open Sans SemiBold" w:cs="Open Sans SemiBold"/>
                <w:color w:val="FFFFFF"/>
                <w:sz w:val="16"/>
                <w:szCs w:val="16"/>
                <w:lang w:eastAsia="en-AU"/>
              </w:rPr>
              <w:t>ACT</w:t>
            </w:r>
          </w:p>
        </w:tc>
        <w:tc>
          <w:tcPr>
            <w:tcW w:w="720" w:type="dxa"/>
            <w:tcBorders>
              <w:top w:val="nil"/>
              <w:left w:val="nil"/>
              <w:bottom w:val="nil"/>
              <w:right w:val="nil"/>
            </w:tcBorders>
            <w:shd w:val="clear" w:color="000000" w:fill="006991"/>
            <w:vAlign w:val="center"/>
            <w:hideMark/>
          </w:tcPr>
          <w:p w14:paraId="2CFCB147"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367">
              <w:rPr>
                <w:rFonts w:ascii="Open Sans SemiBold" w:eastAsia="Times New Roman" w:hAnsi="Open Sans SemiBold" w:cs="Open Sans SemiBold"/>
                <w:color w:val="FFFFFF"/>
                <w:sz w:val="16"/>
                <w:szCs w:val="16"/>
                <w:lang w:eastAsia="en-AU"/>
              </w:rPr>
              <w:t>NT</w:t>
            </w:r>
          </w:p>
        </w:tc>
        <w:tc>
          <w:tcPr>
            <w:tcW w:w="720" w:type="dxa"/>
            <w:tcBorders>
              <w:top w:val="nil"/>
              <w:left w:val="nil"/>
              <w:bottom w:val="nil"/>
              <w:right w:val="nil"/>
            </w:tcBorders>
            <w:shd w:val="clear" w:color="000000" w:fill="006991"/>
            <w:vAlign w:val="center"/>
            <w:hideMark/>
          </w:tcPr>
          <w:p w14:paraId="7529AD08"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C4367">
              <w:rPr>
                <w:rFonts w:ascii="Open Sans SemiBold" w:eastAsia="Times New Roman" w:hAnsi="Open Sans SemiBold" w:cs="Open Sans SemiBold"/>
                <w:color w:val="FFFFFF"/>
                <w:sz w:val="16"/>
                <w:szCs w:val="16"/>
                <w:lang w:eastAsia="en-AU"/>
              </w:rPr>
              <w:t>Total</w:t>
            </w:r>
          </w:p>
        </w:tc>
      </w:tr>
      <w:tr w:rsidR="007E365E" w:rsidRPr="00FC4367" w14:paraId="3DFE7A9F" w14:textId="77777777" w:rsidTr="007D1D77">
        <w:trPr>
          <w:trHeight w:val="259"/>
        </w:trPr>
        <w:tc>
          <w:tcPr>
            <w:tcW w:w="2540" w:type="dxa"/>
            <w:tcBorders>
              <w:top w:val="single" w:sz="4" w:space="0" w:color="ADD6EA"/>
              <w:left w:val="nil"/>
              <w:bottom w:val="single" w:sz="4" w:space="0" w:color="ADD6EA"/>
              <w:right w:val="nil"/>
            </w:tcBorders>
            <w:shd w:val="clear" w:color="000000" w:fill="B6D5E4"/>
            <w:vAlign w:val="center"/>
            <w:hideMark/>
          </w:tcPr>
          <w:p w14:paraId="6076DD55"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 </w:t>
            </w:r>
          </w:p>
        </w:tc>
        <w:tc>
          <w:tcPr>
            <w:tcW w:w="720" w:type="dxa"/>
            <w:tcBorders>
              <w:top w:val="single" w:sz="4" w:space="0" w:color="ADD6EA"/>
              <w:left w:val="nil"/>
              <w:bottom w:val="single" w:sz="4" w:space="0" w:color="ADD6EA"/>
              <w:right w:val="nil"/>
            </w:tcBorders>
            <w:shd w:val="clear" w:color="000000" w:fill="B6D5E4"/>
            <w:noWrap/>
            <w:vAlign w:val="center"/>
            <w:hideMark/>
          </w:tcPr>
          <w:p w14:paraId="4B15E08B"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noWrap/>
            <w:vAlign w:val="center"/>
            <w:hideMark/>
          </w:tcPr>
          <w:p w14:paraId="21540618"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noWrap/>
            <w:vAlign w:val="center"/>
            <w:hideMark/>
          </w:tcPr>
          <w:p w14:paraId="2F7A9924"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noWrap/>
            <w:vAlign w:val="center"/>
            <w:hideMark/>
          </w:tcPr>
          <w:p w14:paraId="0D51CC6E"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noWrap/>
            <w:vAlign w:val="center"/>
            <w:hideMark/>
          </w:tcPr>
          <w:p w14:paraId="161C3CFA"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noWrap/>
            <w:vAlign w:val="center"/>
            <w:hideMark/>
          </w:tcPr>
          <w:p w14:paraId="545C1251"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noWrap/>
            <w:vAlign w:val="center"/>
            <w:hideMark/>
          </w:tcPr>
          <w:p w14:paraId="6B37A2E9"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noWrap/>
            <w:vAlign w:val="center"/>
            <w:hideMark/>
          </w:tcPr>
          <w:p w14:paraId="5071BDA7"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$pc</w:t>
            </w:r>
          </w:p>
        </w:tc>
        <w:tc>
          <w:tcPr>
            <w:tcW w:w="720" w:type="dxa"/>
            <w:tcBorders>
              <w:top w:val="single" w:sz="4" w:space="0" w:color="ADD6EA"/>
              <w:left w:val="nil"/>
              <w:bottom w:val="single" w:sz="4" w:space="0" w:color="ADD6EA"/>
              <w:right w:val="nil"/>
            </w:tcBorders>
            <w:shd w:val="clear" w:color="000000" w:fill="B6D5E4"/>
            <w:noWrap/>
            <w:vAlign w:val="center"/>
            <w:hideMark/>
          </w:tcPr>
          <w:p w14:paraId="368596FF"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$pc</w:t>
            </w:r>
          </w:p>
        </w:tc>
      </w:tr>
      <w:tr w:rsidR="007E365E" w:rsidRPr="00FC4367" w14:paraId="7A04DFA2" w14:textId="77777777" w:rsidTr="007D1D77">
        <w:trPr>
          <w:trHeight w:val="315"/>
        </w:trPr>
        <w:tc>
          <w:tcPr>
            <w:tcW w:w="9020" w:type="dxa"/>
            <w:gridSpan w:val="10"/>
            <w:tcBorders>
              <w:top w:val="single" w:sz="4" w:space="0" w:color="ADD6EA"/>
              <w:left w:val="nil"/>
              <w:bottom w:val="single" w:sz="4" w:space="0" w:color="ADD6EA"/>
              <w:right w:val="nil"/>
            </w:tcBorders>
            <w:shd w:val="clear" w:color="auto" w:fill="auto"/>
            <w:noWrap/>
            <w:vAlign w:val="bottom"/>
            <w:hideMark/>
          </w:tcPr>
          <w:p w14:paraId="66B2F243" w14:textId="77777777" w:rsidR="007E365E" w:rsidRPr="00FC4367" w:rsidRDefault="007E365E" w:rsidP="007D1D77">
            <w:pPr>
              <w:keepNext/>
              <w:keepLines/>
              <w:tabs>
                <w:tab w:val="clear" w:pos="567"/>
              </w:tabs>
              <w:spacing w:before="0" w:line="240" w:lineRule="auto"/>
              <w:rPr>
                <w:rFonts w:eastAsia="Times New Roman" w:cs="Open Sans Light"/>
                <w:sz w:val="16"/>
                <w:szCs w:val="16"/>
                <w:lang w:eastAsia="en-AU"/>
              </w:rPr>
            </w:pPr>
            <w:r w:rsidRPr="00FC4367">
              <w:rPr>
                <w:rFonts w:eastAsia="Times New Roman" w:cs="Open Sans Light"/>
                <w:sz w:val="16"/>
                <w:szCs w:val="16"/>
                <w:lang w:eastAsia="en-AU"/>
              </w:rPr>
              <w:t>Service expenses and natural disaster relief</w:t>
            </w:r>
          </w:p>
        </w:tc>
      </w:tr>
      <w:tr w:rsidR="007E365E" w:rsidRPr="00FC4367" w14:paraId="0A183967" w14:textId="77777777" w:rsidTr="007D1D77">
        <w:trPr>
          <w:trHeight w:val="315"/>
        </w:trPr>
        <w:tc>
          <w:tcPr>
            <w:tcW w:w="2540" w:type="dxa"/>
            <w:tcBorders>
              <w:top w:val="nil"/>
              <w:left w:val="nil"/>
              <w:bottom w:val="single" w:sz="4" w:space="0" w:color="ADD6EA"/>
              <w:right w:val="nil"/>
            </w:tcBorders>
            <w:shd w:val="clear" w:color="auto" w:fill="auto"/>
            <w:vAlign w:val="bottom"/>
            <w:hideMark/>
          </w:tcPr>
          <w:p w14:paraId="28044E40" w14:textId="77777777" w:rsidR="007E365E" w:rsidRPr="00FC4367"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FC4367">
              <w:rPr>
                <w:rFonts w:eastAsia="Times New Roman" w:cs="Open Sans Light"/>
                <w:sz w:val="16"/>
                <w:szCs w:val="16"/>
                <w:lang w:eastAsia="en-AU"/>
              </w:rPr>
              <w:t>EPC</w:t>
            </w:r>
          </w:p>
        </w:tc>
        <w:tc>
          <w:tcPr>
            <w:tcW w:w="720" w:type="dxa"/>
            <w:tcBorders>
              <w:top w:val="nil"/>
              <w:left w:val="nil"/>
              <w:bottom w:val="single" w:sz="4" w:space="0" w:color="ADD6EA"/>
              <w:right w:val="nil"/>
            </w:tcBorders>
            <w:shd w:val="clear" w:color="auto" w:fill="auto"/>
            <w:noWrap/>
            <w:vAlign w:val="bottom"/>
            <w:hideMark/>
          </w:tcPr>
          <w:p w14:paraId="483AC597"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935</w:t>
            </w:r>
          </w:p>
        </w:tc>
        <w:tc>
          <w:tcPr>
            <w:tcW w:w="720" w:type="dxa"/>
            <w:tcBorders>
              <w:top w:val="nil"/>
              <w:left w:val="nil"/>
              <w:bottom w:val="single" w:sz="4" w:space="0" w:color="ADD6EA"/>
              <w:right w:val="nil"/>
            </w:tcBorders>
            <w:shd w:val="clear" w:color="auto" w:fill="auto"/>
            <w:noWrap/>
            <w:vAlign w:val="bottom"/>
            <w:hideMark/>
          </w:tcPr>
          <w:p w14:paraId="11BB119E"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935</w:t>
            </w:r>
          </w:p>
        </w:tc>
        <w:tc>
          <w:tcPr>
            <w:tcW w:w="720" w:type="dxa"/>
            <w:tcBorders>
              <w:top w:val="nil"/>
              <w:left w:val="nil"/>
              <w:bottom w:val="single" w:sz="4" w:space="0" w:color="ADD6EA"/>
              <w:right w:val="nil"/>
            </w:tcBorders>
            <w:shd w:val="clear" w:color="auto" w:fill="auto"/>
            <w:noWrap/>
            <w:vAlign w:val="bottom"/>
            <w:hideMark/>
          </w:tcPr>
          <w:p w14:paraId="509F931E"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935</w:t>
            </w:r>
          </w:p>
        </w:tc>
        <w:tc>
          <w:tcPr>
            <w:tcW w:w="720" w:type="dxa"/>
            <w:tcBorders>
              <w:top w:val="nil"/>
              <w:left w:val="nil"/>
              <w:bottom w:val="single" w:sz="4" w:space="0" w:color="ADD6EA"/>
              <w:right w:val="nil"/>
            </w:tcBorders>
            <w:shd w:val="clear" w:color="auto" w:fill="auto"/>
            <w:noWrap/>
            <w:vAlign w:val="bottom"/>
            <w:hideMark/>
          </w:tcPr>
          <w:p w14:paraId="14DBD2FF"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935</w:t>
            </w:r>
          </w:p>
        </w:tc>
        <w:tc>
          <w:tcPr>
            <w:tcW w:w="720" w:type="dxa"/>
            <w:tcBorders>
              <w:top w:val="nil"/>
              <w:left w:val="nil"/>
              <w:bottom w:val="single" w:sz="4" w:space="0" w:color="ADD6EA"/>
              <w:right w:val="nil"/>
            </w:tcBorders>
            <w:shd w:val="clear" w:color="auto" w:fill="auto"/>
            <w:noWrap/>
            <w:vAlign w:val="bottom"/>
            <w:hideMark/>
          </w:tcPr>
          <w:p w14:paraId="503A4618"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935</w:t>
            </w:r>
          </w:p>
        </w:tc>
        <w:tc>
          <w:tcPr>
            <w:tcW w:w="720" w:type="dxa"/>
            <w:tcBorders>
              <w:top w:val="nil"/>
              <w:left w:val="nil"/>
              <w:bottom w:val="single" w:sz="4" w:space="0" w:color="ADD6EA"/>
              <w:right w:val="nil"/>
            </w:tcBorders>
            <w:shd w:val="clear" w:color="auto" w:fill="auto"/>
            <w:noWrap/>
            <w:vAlign w:val="bottom"/>
            <w:hideMark/>
          </w:tcPr>
          <w:p w14:paraId="669FEF2B"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935</w:t>
            </w:r>
          </w:p>
        </w:tc>
        <w:tc>
          <w:tcPr>
            <w:tcW w:w="720" w:type="dxa"/>
            <w:tcBorders>
              <w:top w:val="nil"/>
              <w:left w:val="nil"/>
              <w:bottom w:val="single" w:sz="4" w:space="0" w:color="ADD6EA"/>
              <w:right w:val="nil"/>
            </w:tcBorders>
            <w:shd w:val="clear" w:color="auto" w:fill="auto"/>
            <w:noWrap/>
            <w:vAlign w:val="bottom"/>
            <w:hideMark/>
          </w:tcPr>
          <w:p w14:paraId="20A72668"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935</w:t>
            </w:r>
          </w:p>
        </w:tc>
        <w:tc>
          <w:tcPr>
            <w:tcW w:w="720" w:type="dxa"/>
            <w:tcBorders>
              <w:top w:val="nil"/>
              <w:left w:val="nil"/>
              <w:bottom w:val="single" w:sz="4" w:space="0" w:color="ADD6EA"/>
              <w:right w:val="nil"/>
            </w:tcBorders>
            <w:shd w:val="clear" w:color="auto" w:fill="auto"/>
            <w:noWrap/>
            <w:vAlign w:val="bottom"/>
            <w:hideMark/>
          </w:tcPr>
          <w:p w14:paraId="477918D5"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935</w:t>
            </w:r>
          </w:p>
        </w:tc>
        <w:tc>
          <w:tcPr>
            <w:tcW w:w="720" w:type="dxa"/>
            <w:tcBorders>
              <w:top w:val="nil"/>
              <w:left w:val="nil"/>
              <w:bottom w:val="single" w:sz="4" w:space="0" w:color="ADD6EA"/>
              <w:right w:val="nil"/>
            </w:tcBorders>
            <w:shd w:val="clear" w:color="auto" w:fill="auto"/>
            <w:noWrap/>
            <w:vAlign w:val="bottom"/>
            <w:hideMark/>
          </w:tcPr>
          <w:p w14:paraId="0BBA6DF0"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935</w:t>
            </w:r>
          </w:p>
        </w:tc>
      </w:tr>
      <w:tr w:rsidR="007E365E" w:rsidRPr="00FC4367" w14:paraId="035BC40F" w14:textId="77777777" w:rsidTr="007D1D77">
        <w:trPr>
          <w:trHeight w:val="555"/>
        </w:trPr>
        <w:tc>
          <w:tcPr>
            <w:tcW w:w="2540" w:type="dxa"/>
            <w:tcBorders>
              <w:top w:val="nil"/>
              <w:left w:val="nil"/>
              <w:bottom w:val="single" w:sz="4" w:space="0" w:color="ADD6EA"/>
              <w:right w:val="nil"/>
            </w:tcBorders>
            <w:shd w:val="clear" w:color="auto" w:fill="auto"/>
            <w:vAlign w:val="bottom"/>
            <w:hideMark/>
          </w:tcPr>
          <w:p w14:paraId="5E5ED425" w14:textId="77777777" w:rsidR="007E365E" w:rsidRPr="00FC4367" w:rsidRDefault="007E365E" w:rsidP="007D1D77">
            <w:pPr>
              <w:keepNext/>
              <w:keepLines/>
              <w:tabs>
                <w:tab w:val="clear" w:pos="567"/>
              </w:tabs>
              <w:spacing w:before="0" w:line="240" w:lineRule="auto"/>
              <w:ind w:left="142"/>
              <w:rPr>
                <w:rFonts w:eastAsia="Times New Roman" w:cs="Open Sans Light"/>
                <w:sz w:val="16"/>
                <w:szCs w:val="16"/>
                <w:lang w:eastAsia="en-AU"/>
              </w:rPr>
            </w:pPr>
            <w:r w:rsidRPr="00FC4367">
              <w:rPr>
                <w:rFonts w:eastAsia="Times New Roman" w:cs="Open Sans Light"/>
                <w:sz w:val="16"/>
                <w:szCs w:val="16"/>
                <w:lang w:eastAsia="en-AU"/>
              </w:rPr>
              <w:t>Natural disaster relief, wage costs and regional costs</w:t>
            </w:r>
          </w:p>
        </w:tc>
        <w:tc>
          <w:tcPr>
            <w:tcW w:w="720" w:type="dxa"/>
            <w:tcBorders>
              <w:top w:val="nil"/>
              <w:left w:val="nil"/>
              <w:bottom w:val="single" w:sz="4" w:space="0" w:color="ADD6EA"/>
              <w:right w:val="nil"/>
            </w:tcBorders>
            <w:shd w:val="clear" w:color="auto" w:fill="auto"/>
            <w:noWrap/>
            <w:vAlign w:val="bottom"/>
            <w:hideMark/>
          </w:tcPr>
          <w:p w14:paraId="76FD8454"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-11</w:t>
            </w:r>
          </w:p>
        </w:tc>
        <w:tc>
          <w:tcPr>
            <w:tcW w:w="720" w:type="dxa"/>
            <w:tcBorders>
              <w:top w:val="nil"/>
              <w:left w:val="nil"/>
              <w:bottom w:val="single" w:sz="4" w:space="0" w:color="ADD6EA"/>
              <w:right w:val="nil"/>
            </w:tcBorders>
            <w:shd w:val="clear" w:color="auto" w:fill="auto"/>
            <w:noWrap/>
            <w:vAlign w:val="bottom"/>
            <w:hideMark/>
          </w:tcPr>
          <w:p w14:paraId="76CA7223"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-25</w:t>
            </w:r>
          </w:p>
        </w:tc>
        <w:tc>
          <w:tcPr>
            <w:tcW w:w="720" w:type="dxa"/>
            <w:tcBorders>
              <w:top w:val="nil"/>
              <w:left w:val="nil"/>
              <w:bottom w:val="single" w:sz="4" w:space="0" w:color="ADD6EA"/>
              <w:right w:val="nil"/>
            </w:tcBorders>
            <w:shd w:val="clear" w:color="auto" w:fill="auto"/>
            <w:noWrap/>
            <w:vAlign w:val="bottom"/>
            <w:hideMark/>
          </w:tcPr>
          <w:p w14:paraId="4F89B102"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43</w:t>
            </w:r>
          </w:p>
        </w:tc>
        <w:tc>
          <w:tcPr>
            <w:tcW w:w="720" w:type="dxa"/>
            <w:tcBorders>
              <w:top w:val="nil"/>
              <w:left w:val="nil"/>
              <w:bottom w:val="single" w:sz="4" w:space="0" w:color="ADD6EA"/>
              <w:right w:val="nil"/>
            </w:tcBorders>
            <w:shd w:val="clear" w:color="auto" w:fill="auto"/>
            <w:noWrap/>
            <w:vAlign w:val="bottom"/>
            <w:hideMark/>
          </w:tcPr>
          <w:p w14:paraId="70588326"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19</w:t>
            </w:r>
          </w:p>
        </w:tc>
        <w:tc>
          <w:tcPr>
            <w:tcW w:w="720" w:type="dxa"/>
            <w:tcBorders>
              <w:top w:val="nil"/>
              <w:left w:val="nil"/>
              <w:bottom w:val="single" w:sz="4" w:space="0" w:color="ADD6EA"/>
              <w:right w:val="nil"/>
            </w:tcBorders>
            <w:shd w:val="clear" w:color="auto" w:fill="auto"/>
            <w:noWrap/>
            <w:vAlign w:val="bottom"/>
            <w:hideMark/>
          </w:tcPr>
          <w:p w14:paraId="0EAC3874"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-33</w:t>
            </w:r>
          </w:p>
        </w:tc>
        <w:tc>
          <w:tcPr>
            <w:tcW w:w="720" w:type="dxa"/>
            <w:tcBorders>
              <w:top w:val="nil"/>
              <w:left w:val="nil"/>
              <w:bottom w:val="single" w:sz="4" w:space="0" w:color="ADD6EA"/>
              <w:right w:val="nil"/>
            </w:tcBorders>
            <w:shd w:val="clear" w:color="auto" w:fill="auto"/>
            <w:noWrap/>
            <w:vAlign w:val="bottom"/>
            <w:hideMark/>
          </w:tcPr>
          <w:p w14:paraId="7FFE6020"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29</w:t>
            </w:r>
          </w:p>
        </w:tc>
        <w:tc>
          <w:tcPr>
            <w:tcW w:w="720" w:type="dxa"/>
            <w:tcBorders>
              <w:top w:val="nil"/>
              <w:left w:val="nil"/>
              <w:bottom w:val="single" w:sz="4" w:space="0" w:color="ADD6EA"/>
              <w:right w:val="nil"/>
            </w:tcBorders>
            <w:shd w:val="clear" w:color="auto" w:fill="auto"/>
            <w:noWrap/>
            <w:vAlign w:val="bottom"/>
            <w:hideMark/>
          </w:tcPr>
          <w:p w14:paraId="5CBAAF59"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-18</w:t>
            </w:r>
          </w:p>
        </w:tc>
        <w:tc>
          <w:tcPr>
            <w:tcW w:w="720" w:type="dxa"/>
            <w:tcBorders>
              <w:top w:val="nil"/>
              <w:left w:val="nil"/>
              <w:bottom w:val="single" w:sz="4" w:space="0" w:color="ADD6EA"/>
              <w:right w:val="nil"/>
            </w:tcBorders>
            <w:shd w:val="clear" w:color="auto" w:fill="auto"/>
            <w:noWrap/>
            <w:vAlign w:val="bottom"/>
            <w:hideMark/>
          </w:tcPr>
          <w:p w14:paraId="00E5CFC3"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128</w:t>
            </w:r>
          </w:p>
        </w:tc>
        <w:tc>
          <w:tcPr>
            <w:tcW w:w="720" w:type="dxa"/>
            <w:tcBorders>
              <w:top w:val="nil"/>
              <w:left w:val="nil"/>
              <w:bottom w:val="single" w:sz="4" w:space="0" w:color="ADD6EA"/>
              <w:right w:val="nil"/>
            </w:tcBorders>
            <w:shd w:val="clear" w:color="auto" w:fill="auto"/>
            <w:noWrap/>
            <w:vAlign w:val="bottom"/>
            <w:hideMark/>
          </w:tcPr>
          <w:p w14:paraId="0B602AEF"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0</w:t>
            </w:r>
          </w:p>
        </w:tc>
      </w:tr>
      <w:tr w:rsidR="007E365E" w:rsidRPr="00FC4367" w14:paraId="62799319" w14:textId="77777777" w:rsidTr="007D1D77">
        <w:trPr>
          <w:trHeight w:val="315"/>
        </w:trPr>
        <w:tc>
          <w:tcPr>
            <w:tcW w:w="2540" w:type="dxa"/>
            <w:tcBorders>
              <w:top w:val="nil"/>
              <w:left w:val="nil"/>
              <w:bottom w:val="single" w:sz="4" w:space="0" w:color="ADD6EA"/>
              <w:right w:val="nil"/>
            </w:tcBorders>
            <w:shd w:val="clear" w:color="000000" w:fill="B6D5E4"/>
            <w:noWrap/>
            <w:vAlign w:val="bottom"/>
            <w:hideMark/>
          </w:tcPr>
          <w:p w14:paraId="727D1906" w14:textId="77777777" w:rsidR="007E365E" w:rsidRPr="00FC4367" w:rsidRDefault="007E365E" w:rsidP="007D1D77">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Assessed expenses</w:t>
            </w:r>
          </w:p>
        </w:tc>
        <w:tc>
          <w:tcPr>
            <w:tcW w:w="720" w:type="dxa"/>
            <w:tcBorders>
              <w:top w:val="nil"/>
              <w:left w:val="nil"/>
              <w:bottom w:val="single" w:sz="4" w:space="0" w:color="ADD6EA"/>
              <w:right w:val="nil"/>
            </w:tcBorders>
            <w:shd w:val="clear" w:color="000000" w:fill="B6D5E4"/>
            <w:noWrap/>
            <w:vAlign w:val="bottom"/>
            <w:hideMark/>
          </w:tcPr>
          <w:p w14:paraId="4435EBC2"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924</w:t>
            </w:r>
          </w:p>
        </w:tc>
        <w:tc>
          <w:tcPr>
            <w:tcW w:w="720" w:type="dxa"/>
            <w:tcBorders>
              <w:top w:val="nil"/>
              <w:left w:val="nil"/>
              <w:bottom w:val="single" w:sz="4" w:space="0" w:color="ADD6EA"/>
              <w:right w:val="nil"/>
            </w:tcBorders>
            <w:shd w:val="clear" w:color="000000" w:fill="B6D5E4"/>
            <w:noWrap/>
            <w:vAlign w:val="bottom"/>
            <w:hideMark/>
          </w:tcPr>
          <w:p w14:paraId="63A25B59"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910</w:t>
            </w:r>
          </w:p>
        </w:tc>
        <w:tc>
          <w:tcPr>
            <w:tcW w:w="720" w:type="dxa"/>
            <w:tcBorders>
              <w:top w:val="nil"/>
              <w:left w:val="nil"/>
              <w:bottom w:val="single" w:sz="4" w:space="0" w:color="ADD6EA"/>
              <w:right w:val="nil"/>
            </w:tcBorders>
            <w:shd w:val="clear" w:color="000000" w:fill="B6D5E4"/>
            <w:noWrap/>
            <w:vAlign w:val="bottom"/>
            <w:hideMark/>
          </w:tcPr>
          <w:p w14:paraId="6697586B"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978</w:t>
            </w:r>
          </w:p>
        </w:tc>
        <w:tc>
          <w:tcPr>
            <w:tcW w:w="720" w:type="dxa"/>
            <w:tcBorders>
              <w:top w:val="nil"/>
              <w:left w:val="nil"/>
              <w:bottom w:val="single" w:sz="4" w:space="0" w:color="ADD6EA"/>
              <w:right w:val="nil"/>
            </w:tcBorders>
            <w:shd w:val="clear" w:color="000000" w:fill="B6D5E4"/>
            <w:noWrap/>
            <w:vAlign w:val="bottom"/>
            <w:hideMark/>
          </w:tcPr>
          <w:p w14:paraId="57280113"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954</w:t>
            </w:r>
          </w:p>
        </w:tc>
        <w:tc>
          <w:tcPr>
            <w:tcW w:w="720" w:type="dxa"/>
            <w:tcBorders>
              <w:top w:val="nil"/>
              <w:left w:val="nil"/>
              <w:bottom w:val="single" w:sz="4" w:space="0" w:color="ADD6EA"/>
              <w:right w:val="nil"/>
            </w:tcBorders>
            <w:shd w:val="clear" w:color="000000" w:fill="B6D5E4"/>
            <w:noWrap/>
            <w:vAlign w:val="bottom"/>
            <w:hideMark/>
          </w:tcPr>
          <w:p w14:paraId="34BE0793"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902</w:t>
            </w:r>
          </w:p>
        </w:tc>
        <w:tc>
          <w:tcPr>
            <w:tcW w:w="720" w:type="dxa"/>
            <w:tcBorders>
              <w:top w:val="nil"/>
              <w:left w:val="nil"/>
              <w:bottom w:val="single" w:sz="4" w:space="0" w:color="ADD6EA"/>
              <w:right w:val="nil"/>
            </w:tcBorders>
            <w:shd w:val="clear" w:color="000000" w:fill="B6D5E4"/>
            <w:noWrap/>
            <w:vAlign w:val="bottom"/>
            <w:hideMark/>
          </w:tcPr>
          <w:p w14:paraId="79356BCA"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964</w:t>
            </w:r>
          </w:p>
        </w:tc>
        <w:tc>
          <w:tcPr>
            <w:tcW w:w="720" w:type="dxa"/>
            <w:tcBorders>
              <w:top w:val="nil"/>
              <w:left w:val="nil"/>
              <w:bottom w:val="single" w:sz="4" w:space="0" w:color="ADD6EA"/>
              <w:right w:val="nil"/>
            </w:tcBorders>
            <w:shd w:val="clear" w:color="000000" w:fill="B6D5E4"/>
            <w:noWrap/>
            <w:vAlign w:val="bottom"/>
            <w:hideMark/>
          </w:tcPr>
          <w:p w14:paraId="117518F9"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917</w:t>
            </w:r>
          </w:p>
        </w:tc>
        <w:tc>
          <w:tcPr>
            <w:tcW w:w="720" w:type="dxa"/>
            <w:tcBorders>
              <w:top w:val="nil"/>
              <w:left w:val="nil"/>
              <w:bottom w:val="single" w:sz="4" w:space="0" w:color="ADD6EA"/>
              <w:right w:val="nil"/>
            </w:tcBorders>
            <w:shd w:val="clear" w:color="000000" w:fill="B6D5E4"/>
            <w:noWrap/>
            <w:vAlign w:val="bottom"/>
            <w:hideMark/>
          </w:tcPr>
          <w:p w14:paraId="544BD435"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1,063</w:t>
            </w:r>
          </w:p>
        </w:tc>
        <w:tc>
          <w:tcPr>
            <w:tcW w:w="720" w:type="dxa"/>
            <w:tcBorders>
              <w:top w:val="nil"/>
              <w:left w:val="nil"/>
              <w:bottom w:val="single" w:sz="4" w:space="0" w:color="ADD6EA"/>
              <w:right w:val="nil"/>
            </w:tcBorders>
            <w:shd w:val="clear" w:color="000000" w:fill="B6D5E4"/>
            <w:noWrap/>
            <w:vAlign w:val="bottom"/>
            <w:hideMark/>
          </w:tcPr>
          <w:p w14:paraId="7C18E797"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935</w:t>
            </w:r>
          </w:p>
        </w:tc>
      </w:tr>
      <w:tr w:rsidR="007E365E" w:rsidRPr="00FC4367" w14:paraId="781159EC" w14:textId="77777777" w:rsidTr="007D1D77">
        <w:trPr>
          <w:trHeight w:val="315"/>
        </w:trPr>
        <w:tc>
          <w:tcPr>
            <w:tcW w:w="2540" w:type="dxa"/>
            <w:tcBorders>
              <w:top w:val="nil"/>
              <w:left w:val="nil"/>
              <w:bottom w:val="single" w:sz="4" w:space="0" w:color="ADD6EA"/>
              <w:right w:val="nil"/>
            </w:tcBorders>
            <w:shd w:val="clear" w:color="auto" w:fill="auto"/>
            <w:vAlign w:val="bottom"/>
            <w:hideMark/>
          </w:tcPr>
          <w:p w14:paraId="6D0D2109" w14:textId="77777777" w:rsidR="007E365E" w:rsidRPr="00FC4367" w:rsidRDefault="007E365E" w:rsidP="007D1D77">
            <w:pPr>
              <w:keepNext/>
              <w:keepLines/>
              <w:tabs>
                <w:tab w:val="clear" w:pos="567"/>
              </w:tabs>
              <w:spacing w:before="0" w:line="240" w:lineRule="auto"/>
              <w:rPr>
                <w:rFonts w:eastAsia="Times New Roman" w:cs="Open Sans Light"/>
                <w:sz w:val="16"/>
                <w:szCs w:val="16"/>
                <w:lang w:eastAsia="en-AU"/>
              </w:rPr>
            </w:pPr>
            <w:r w:rsidRPr="00FC4367">
              <w:rPr>
                <w:rFonts w:eastAsia="Times New Roman" w:cs="Open Sans Light"/>
                <w:sz w:val="16"/>
                <w:szCs w:val="16"/>
                <w:lang w:eastAsia="en-AU"/>
              </w:rPr>
              <w:t>Other components</w:t>
            </w:r>
          </w:p>
        </w:tc>
        <w:tc>
          <w:tcPr>
            <w:tcW w:w="720" w:type="dxa"/>
            <w:tcBorders>
              <w:top w:val="nil"/>
              <w:left w:val="nil"/>
              <w:bottom w:val="single" w:sz="4" w:space="0" w:color="ADD6EA"/>
              <w:right w:val="nil"/>
            </w:tcBorders>
            <w:shd w:val="clear" w:color="auto" w:fill="auto"/>
            <w:noWrap/>
            <w:vAlign w:val="bottom"/>
            <w:hideMark/>
          </w:tcPr>
          <w:p w14:paraId="2BB9593F"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00A18CD9"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50A514D5"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681D0B77"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3D4DC29A"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6B2F56C6"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1220D90D"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11338996"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 </w:t>
            </w:r>
          </w:p>
        </w:tc>
        <w:tc>
          <w:tcPr>
            <w:tcW w:w="720" w:type="dxa"/>
            <w:tcBorders>
              <w:top w:val="nil"/>
              <w:left w:val="nil"/>
              <w:bottom w:val="single" w:sz="4" w:space="0" w:color="ADD6EA"/>
              <w:right w:val="nil"/>
            </w:tcBorders>
            <w:shd w:val="clear" w:color="auto" w:fill="auto"/>
            <w:noWrap/>
            <w:vAlign w:val="bottom"/>
            <w:hideMark/>
          </w:tcPr>
          <w:p w14:paraId="01320C5F"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 </w:t>
            </w:r>
          </w:p>
        </w:tc>
      </w:tr>
      <w:tr w:rsidR="007E365E" w:rsidRPr="00FC4367" w14:paraId="5462825C" w14:textId="77777777" w:rsidTr="007D1D77">
        <w:trPr>
          <w:trHeight w:val="315"/>
        </w:trPr>
        <w:tc>
          <w:tcPr>
            <w:tcW w:w="2540" w:type="dxa"/>
            <w:tcBorders>
              <w:top w:val="nil"/>
              <w:left w:val="nil"/>
              <w:bottom w:val="single" w:sz="4" w:space="0" w:color="ADD6EA"/>
              <w:right w:val="nil"/>
            </w:tcBorders>
            <w:shd w:val="clear" w:color="auto" w:fill="auto"/>
            <w:vAlign w:val="bottom"/>
            <w:hideMark/>
          </w:tcPr>
          <w:p w14:paraId="4CB3A287" w14:textId="77777777" w:rsidR="007E365E" w:rsidRPr="00FC4367"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FC4367">
              <w:rPr>
                <w:rFonts w:eastAsia="Times New Roman" w:cs="Open Sans Light"/>
                <w:sz w:val="16"/>
                <w:szCs w:val="16"/>
                <w:lang w:eastAsia="en-AU"/>
              </w:rPr>
              <w:t>EPC</w:t>
            </w:r>
          </w:p>
        </w:tc>
        <w:tc>
          <w:tcPr>
            <w:tcW w:w="720" w:type="dxa"/>
            <w:tcBorders>
              <w:top w:val="nil"/>
              <w:left w:val="nil"/>
              <w:bottom w:val="single" w:sz="4" w:space="0" w:color="ADD6EA"/>
              <w:right w:val="nil"/>
            </w:tcBorders>
            <w:shd w:val="clear" w:color="auto" w:fill="auto"/>
            <w:noWrap/>
            <w:vAlign w:val="bottom"/>
            <w:hideMark/>
          </w:tcPr>
          <w:p w14:paraId="226EFAB9"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120</w:t>
            </w:r>
          </w:p>
        </w:tc>
        <w:tc>
          <w:tcPr>
            <w:tcW w:w="720" w:type="dxa"/>
            <w:tcBorders>
              <w:top w:val="nil"/>
              <w:left w:val="nil"/>
              <w:bottom w:val="single" w:sz="4" w:space="0" w:color="ADD6EA"/>
              <w:right w:val="nil"/>
            </w:tcBorders>
            <w:shd w:val="clear" w:color="auto" w:fill="auto"/>
            <w:noWrap/>
            <w:vAlign w:val="bottom"/>
            <w:hideMark/>
          </w:tcPr>
          <w:p w14:paraId="16955158"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120</w:t>
            </w:r>
          </w:p>
        </w:tc>
        <w:tc>
          <w:tcPr>
            <w:tcW w:w="720" w:type="dxa"/>
            <w:tcBorders>
              <w:top w:val="nil"/>
              <w:left w:val="nil"/>
              <w:bottom w:val="single" w:sz="4" w:space="0" w:color="ADD6EA"/>
              <w:right w:val="nil"/>
            </w:tcBorders>
            <w:shd w:val="clear" w:color="auto" w:fill="auto"/>
            <w:noWrap/>
            <w:vAlign w:val="bottom"/>
            <w:hideMark/>
          </w:tcPr>
          <w:p w14:paraId="795E510A"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120</w:t>
            </w:r>
          </w:p>
        </w:tc>
        <w:tc>
          <w:tcPr>
            <w:tcW w:w="720" w:type="dxa"/>
            <w:tcBorders>
              <w:top w:val="nil"/>
              <w:left w:val="nil"/>
              <w:bottom w:val="single" w:sz="4" w:space="0" w:color="ADD6EA"/>
              <w:right w:val="nil"/>
            </w:tcBorders>
            <w:shd w:val="clear" w:color="auto" w:fill="auto"/>
            <w:noWrap/>
            <w:vAlign w:val="bottom"/>
            <w:hideMark/>
          </w:tcPr>
          <w:p w14:paraId="3257F60D"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120</w:t>
            </w:r>
          </w:p>
        </w:tc>
        <w:tc>
          <w:tcPr>
            <w:tcW w:w="720" w:type="dxa"/>
            <w:tcBorders>
              <w:top w:val="nil"/>
              <w:left w:val="nil"/>
              <w:bottom w:val="single" w:sz="4" w:space="0" w:color="ADD6EA"/>
              <w:right w:val="nil"/>
            </w:tcBorders>
            <w:shd w:val="clear" w:color="auto" w:fill="auto"/>
            <w:noWrap/>
            <w:vAlign w:val="bottom"/>
            <w:hideMark/>
          </w:tcPr>
          <w:p w14:paraId="73872FA7"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120</w:t>
            </w:r>
          </w:p>
        </w:tc>
        <w:tc>
          <w:tcPr>
            <w:tcW w:w="720" w:type="dxa"/>
            <w:tcBorders>
              <w:top w:val="nil"/>
              <w:left w:val="nil"/>
              <w:bottom w:val="single" w:sz="4" w:space="0" w:color="ADD6EA"/>
              <w:right w:val="nil"/>
            </w:tcBorders>
            <w:shd w:val="clear" w:color="auto" w:fill="auto"/>
            <w:noWrap/>
            <w:vAlign w:val="bottom"/>
            <w:hideMark/>
          </w:tcPr>
          <w:p w14:paraId="243C1F31"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120</w:t>
            </w:r>
          </w:p>
        </w:tc>
        <w:tc>
          <w:tcPr>
            <w:tcW w:w="720" w:type="dxa"/>
            <w:tcBorders>
              <w:top w:val="nil"/>
              <w:left w:val="nil"/>
              <w:bottom w:val="single" w:sz="4" w:space="0" w:color="ADD6EA"/>
              <w:right w:val="nil"/>
            </w:tcBorders>
            <w:shd w:val="clear" w:color="auto" w:fill="auto"/>
            <w:noWrap/>
            <w:vAlign w:val="bottom"/>
            <w:hideMark/>
          </w:tcPr>
          <w:p w14:paraId="318568A7"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120</w:t>
            </w:r>
          </w:p>
        </w:tc>
        <w:tc>
          <w:tcPr>
            <w:tcW w:w="720" w:type="dxa"/>
            <w:tcBorders>
              <w:top w:val="nil"/>
              <w:left w:val="nil"/>
              <w:bottom w:val="single" w:sz="4" w:space="0" w:color="ADD6EA"/>
              <w:right w:val="nil"/>
            </w:tcBorders>
            <w:shd w:val="clear" w:color="auto" w:fill="auto"/>
            <w:noWrap/>
            <w:vAlign w:val="bottom"/>
            <w:hideMark/>
          </w:tcPr>
          <w:p w14:paraId="660C9DF1"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120</w:t>
            </w:r>
          </w:p>
        </w:tc>
        <w:tc>
          <w:tcPr>
            <w:tcW w:w="720" w:type="dxa"/>
            <w:tcBorders>
              <w:top w:val="nil"/>
              <w:left w:val="nil"/>
              <w:bottom w:val="single" w:sz="4" w:space="0" w:color="ADD6EA"/>
              <w:right w:val="nil"/>
            </w:tcBorders>
            <w:shd w:val="clear" w:color="auto" w:fill="auto"/>
            <w:noWrap/>
            <w:vAlign w:val="bottom"/>
            <w:hideMark/>
          </w:tcPr>
          <w:p w14:paraId="0D140723"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120</w:t>
            </w:r>
          </w:p>
        </w:tc>
      </w:tr>
      <w:tr w:rsidR="007E365E" w:rsidRPr="00FC4367" w14:paraId="72F8A952" w14:textId="77777777" w:rsidTr="007D1D77">
        <w:trPr>
          <w:trHeight w:val="315"/>
        </w:trPr>
        <w:tc>
          <w:tcPr>
            <w:tcW w:w="2540" w:type="dxa"/>
            <w:tcBorders>
              <w:top w:val="nil"/>
              <w:left w:val="nil"/>
              <w:bottom w:val="single" w:sz="4" w:space="0" w:color="ADD6EA"/>
              <w:right w:val="nil"/>
            </w:tcBorders>
            <w:shd w:val="clear" w:color="auto" w:fill="auto"/>
            <w:vAlign w:val="bottom"/>
            <w:hideMark/>
          </w:tcPr>
          <w:p w14:paraId="622FE98C" w14:textId="77777777" w:rsidR="007E365E" w:rsidRPr="00FC4367"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FC4367">
              <w:rPr>
                <w:rFonts w:eastAsia="Times New Roman" w:cs="Open Sans Light"/>
                <w:sz w:val="16"/>
                <w:szCs w:val="16"/>
                <w:lang w:eastAsia="en-AU"/>
              </w:rPr>
              <w:t>Administrative scale</w:t>
            </w:r>
          </w:p>
        </w:tc>
        <w:tc>
          <w:tcPr>
            <w:tcW w:w="720" w:type="dxa"/>
            <w:tcBorders>
              <w:top w:val="nil"/>
              <w:left w:val="nil"/>
              <w:bottom w:val="single" w:sz="4" w:space="0" w:color="ADD6EA"/>
              <w:right w:val="nil"/>
            </w:tcBorders>
            <w:shd w:val="clear" w:color="auto" w:fill="auto"/>
            <w:noWrap/>
            <w:vAlign w:val="bottom"/>
            <w:hideMark/>
          </w:tcPr>
          <w:p w14:paraId="631F8FCD"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-68</w:t>
            </w:r>
          </w:p>
        </w:tc>
        <w:tc>
          <w:tcPr>
            <w:tcW w:w="720" w:type="dxa"/>
            <w:tcBorders>
              <w:top w:val="nil"/>
              <w:left w:val="nil"/>
              <w:bottom w:val="single" w:sz="4" w:space="0" w:color="ADD6EA"/>
              <w:right w:val="nil"/>
            </w:tcBorders>
            <w:shd w:val="clear" w:color="auto" w:fill="auto"/>
            <w:noWrap/>
            <w:vAlign w:val="bottom"/>
            <w:hideMark/>
          </w:tcPr>
          <w:p w14:paraId="4CDC938C"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-58</w:t>
            </w:r>
          </w:p>
        </w:tc>
        <w:tc>
          <w:tcPr>
            <w:tcW w:w="720" w:type="dxa"/>
            <w:tcBorders>
              <w:top w:val="nil"/>
              <w:left w:val="nil"/>
              <w:bottom w:val="single" w:sz="4" w:space="0" w:color="ADD6EA"/>
              <w:right w:val="nil"/>
            </w:tcBorders>
            <w:shd w:val="clear" w:color="auto" w:fill="auto"/>
            <w:noWrap/>
            <w:vAlign w:val="bottom"/>
            <w:hideMark/>
          </w:tcPr>
          <w:p w14:paraId="4515472A"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-42</w:t>
            </w:r>
          </w:p>
        </w:tc>
        <w:tc>
          <w:tcPr>
            <w:tcW w:w="720" w:type="dxa"/>
            <w:tcBorders>
              <w:top w:val="nil"/>
              <w:left w:val="nil"/>
              <w:bottom w:val="single" w:sz="4" w:space="0" w:color="ADD6EA"/>
              <w:right w:val="nil"/>
            </w:tcBorders>
            <w:shd w:val="clear" w:color="auto" w:fill="auto"/>
            <w:noWrap/>
            <w:vAlign w:val="bottom"/>
            <w:hideMark/>
          </w:tcPr>
          <w:p w14:paraId="5C57DFE9"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26</w:t>
            </w:r>
          </w:p>
        </w:tc>
        <w:tc>
          <w:tcPr>
            <w:tcW w:w="720" w:type="dxa"/>
            <w:tcBorders>
              <w:top w:val="nil"/>
              <w:left w:val="nil"/>
              <w:bottom w:val="single" w:sz="4" w:space="0" w:color="ADD6EA"/>
              <w:right w:val="nil"/>
            </w:tcBorders>
            <w:shd w:val="clear" w:color="auto" w:fill="auto"/>
            <w:noWrap/>
            <w:vAlign w:val="bottom"/>
            <w:hideMark/>
          </w:tcPr>
          <w:p w14:paraId="3235DCB0"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86</w:t>
            </w:r>
          </w:p>
        </w:tc>
        <w:tc>
          <w:tcPr>
            <w:tcW w:w="720" w:type="dxa"/>
            <w:tcBorders>
              <w:top w:val="nil"/>
              <w:left w:val="nil"/>
              <w:bottom w:val="single" w:sz="4" w:space="0" w:color="ADD6EA"/>
              <w:right w:val="nil"/>
            </w:tcBorders>
            <w:shd w:val="clear" w:color="auto" w:fill="auto"/>
            <w:noWrap/>
            <w:vAlign w:val="bottom"/>
            <w:hideMark/>
          </w:tcPr>
          <w:p w14:paraId="57602D1E"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534</w:t>
            </w:r>
          </w:p>
        </w:tc>
        <w:tc>
          <w:tcPr>
            <w:tcW w:w="720" w:type="dxa"/>
            <w:tcBorders>
              <w:top w:val="nil"/>
              <w:left w:val="nil"/>
              <w:bottom w:val="single" w:sz="4" w:space="0" w:color="ADD6EA"/>
              <w:right w:val="nil"/>
            </w:tcBorders>
            <w:shd w:val="clear" w:color="auto" w:fill="auto"/>
            <w:noWrap/>
            <w:vAlign w:val="bottom"/>
            <w:hideMark/>
          </w:tcPr>
          <w:p w14:paraId="1FAFC84B"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709</w:t>
            </w:r>
          </w:p>
        </w:tc>
        <w:tc>
          <w:tcPr>
            <w:tcW w:w="720" w:type="dxa"/>
            <w:tcBorders>
              <w:top w:val="nil"/>
              <w:left w:val="nil"/>
              <w:bottom w:val="single" w:sz="4" w:space="0" w:color="ADD6EA"/>
              <w:right w:val="nil"/>
            </w:tcBorders>
            <w:shd w:val="clear" w:color="auto" w:fill="auto"/>
            <w:noWrap/>
            <w:vAlign w:val="bottom"/>
            <w:hideMark/>
          </w:tcPr>
          <w:p w14:paraId="35A3AA68"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1,372</w:t>
            </w:r>
          </w:p>
        </w:tc>
        <w:tc>
          <w:tcPr>
            <w:tcW w:w="720" w:type="dxa"/>
            <w:tcBorders>
              <w:top w:val="nil"/>
              <w:left w:val="nil"/>
              <w:bottom w:val="single" w:sz="4" w:space="0" w:color="ADD6EA"/>
              <w:right w:val="nil"/>
            </w:tcBorders>
            <w:shd w:val="clear" w:color="auto" w:fill="auto"/>
            <w:noWrap/>
            <w:vAlign w:val="bottom"/>
            <w:hideMark/>
          </w:tcPr>
          <w:p w14:paraId="62CD245B"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0</w:t>
            </w:r>
          </w:p>
        </w:tc>
      </w:tr>
      <w:tr w:rsidR="007E365E" w:rsidRPr="00FC4367" w14:paraId="33CE5B64" w14:textId="77777777" w:rsidTr="007D1D77">
        <w:trPr>
          <w:trHeight w:val="315"/>
        </w:trPr>
        <w:tc>
          <w:tcPr>
            <w:tcW w:w="2540" w:type="dxa"/>
            <w:tcBorders>
              <w:top w:val="nil"/>
              <w:left w:val="nil"/>
              <w:bottom w:val="single" w:sz="4" w:space="0" w:color="ADD6EA"/>
              <w:right w:val="nil"/>
            </w:tcBorders>
            <w:shd w:val="clear" w:color="auto" w:fill="auto"/>
            <w:vAlign w:val="bottom"/>
            <w:hideMark/>
          </w:tcPr>
          <w:p w14:paraId="4884AF11" w14:textId="77777777" w:rsidR="007E365E" w:rsidRPr="00FC4367"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FC4367">
              <w:rPr>
                <w:rFonts w:eastAsia="Times New Roman" w:cs="Open Sans Light"/>
                <w:sz w:val="16"/>
                <w:szCs w:val="16"/>
                <w:lang w:eastAsia="en-AU"/>
              </w:rPr>
              <w:t>National capital</w:t>
            </w:r>
          </w:p>
        </w:tc>
        <w:tc>
          <w:tcPr>
            <w:tcW w:w="720" w:type="dxa"/>
            <w:tcBorders>
              <w:top w:val="nil"/>
              <w:left w:val="nil"/>
              <w:bottom w:val="single" w:sz="4" w:space="0" w:color="ADD6EA"/>
              <w:right w:val="nil"/>
            </w:tcBorders>
            <w:shd w:val="clear" w:color="auto" w:fill="auto"/>
            <w:noWrap/>
            <w:vAlign w:val="bottom"/>
            <w:hideMark/>
          </w:tcPr>
          <w:p w14:paraId="253CF7D1"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2EFBE232"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102166C4"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6C70356E"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27BEC110"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5C013F47"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36E57709"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16</w:t>
            </w:r>
          </w:p>
        </w:tc>
        <w:tc>
          <w:tcPr>
            <w:tcW w:w="720" w:type="dxa"/>
            <w:tcBorders>
              <w:top w:val="nil"/>
              <w:left w:val="nil"/>
              <w:bottom w:val="single" w:sz="4" w:space="0" w:color="ADD6EA"/>
              <w:right w:val="nil"/>
            </w:tcBorders>
            <w:shd w:val="clear" w:color="auto" w:fill="auto"/>
            <w:noWrap/>
            <w:vAlign w:val="bottom"/>
            <w:hideMark/>
          </w:tcPr>
          <w:p w14:paraId="1C1471DC"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0</w:t>
            </w:r>
          </w:p>
        </w:tc>
        <w:tc>
          <w:tcPr>
            <w:tcW w:w="720" w:type="dxa"/>
            <w:tcBorders>
              <w:top w:val="nil"/>
              <w:left w:val="nil"/>
              <w:bottom w:val="single" w:sz="4" w:space="0" w:color="ADD6EA"/>
              <w:right w:val="nil"/>
            </w:tcBorders>
            <w:shd w:val="clear" w:color="auto" w:fill="auto"/>
            <w:noWrap/>
            <w:vAlign w:val="bottom"/>
            <w:hideMark/>
          </w:tcPr>
          <w:p w14:paraId="5760B360"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0</w:t>
            </w:r>
          </w:p>
        </w:tc>
      </w:tr>
      <w:tr w:rsidR="007E365E" w:rsidRPr="00FC4367" w14:paraId="21B5917A" w14:textId="77777777" w:rsidTr="007D1D77">
        <w:trPr>
          <w:trHeight w:val="315"/>
        </w:trPr>
        <w:tc>
          <w:tcPr>
            <w:tcW w:w="2540" w:type="dxa"/>
            <w:tcBorders>
              <w:top w:val="nil"/>
              <w:left w:val="nil"/>
              <w:bottom w:val="single" w:sz="4" w:space="0" w:color="ADD6EA"/>
              <w:right w:val="nil"/>
            </w:tcBorders>
            <w:shd w:val="clear" w:color="auto" w:fill="auto"/>
            <w:vAlign w:val="bottom"/>
            <w:hideMark/>
          </w:tcPr>
          <w:p w14:paraId="0E94EC4A" w14:textId="77777777" w:rsidR="007E365E" w:rsidRPr="00FC4367" w:rsidRDefault="007E365E" w:rsidP="007D1D77">
            <w:pPr>
              <w:keepNext/>
              <w:keepLines/>
              <w:tabs>
                <w:tab w:val="clear" w:pos="567"/>
              </w:tabs>
              <w:spacing w:before="0" w:line="240" w:lineRule="auto"/>
              <w:ind w:firstLineChars="100" w:firstLine="160"/>
              <w:rPr>
                <w:rFonts w:eastAsia="Times New Roman" w:cs="Open Sans Light"/>
                <w:sz w:val="16"/>
                <w:szCs w:val="16"/>
                <w:lang w:eastAsia="en-AU"/>
              </w:rPr>
            </w:pPr>
            <w:r w:rsidRPr="00FC4367">
              <w:rPr>
                <w:rFonts w:eastAsia="Times New Roman" w:cs="Open Sans Light"/>
                <w:sz w:val="16"/>
                <w:szCs w:val="16"/>
                <w:lang w:eastAsia="en-AU"/>
              </w:rPr>
              <w:t>Native title and land rights</w:t>
            </w:r>
          </w:p>
        </w:tc>
        <w:tc>
          <w:tcPr>
            <w:tcW w:w="720" w:type="dxa"/>
            <w:tcBorders>
              <w:top w:val="nil"/>
              <w:left w:val="nil"/>
              <w:bottom w:val="single" w:sz="4" w:space="0" w:color="ADD6EA"/>
              <w:right w:val="nil"/>
            </w:tcBorders>
            <w:shd w:val="clear" w:color="auto" w:fill="auto"/>
            <w:noWrap/>
            <w:vAlign w:val="bottom"/>
            <w:hideMark/>
          </w:tcPr>
          <w:p w14:paraId="02398803"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-6</w:t>
            </w:r>
          </w:p>
        </w:tc>
        <w:tc>
          <w:tcPr>
            <w:tcW w:w="720" w:type="dxa"/>
            <w:tcBorders>
              <w:top w:val="nil"/>
              <w:left w:val="nil"/>
              <w:bottom w:val="single" w:sz="4" w:space="0" w:color="ADD6EA"/>
              <w:right w:val="nil"/>
            </w:tcBorders>
            <w:shd w:val="clear" w:color="auto" w:fill="auto"/>
            <w:noWrap/>
            <w:vAlign w:val="bottom"/>
            <w:hideMark/>
          </w:tcPr>
          <w:p w14:paraId="7423863F"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-5</w:t>
            </w:r>
          </w:p>
        </w:tc>
        <w:tc>
          <w:tcPr>
            <w:tcW w:w="720" w:type="dxa"/>
            <w:tcBorders>
              <w:top w:val="nil"/>
              <w:left w:val="nil"/>
              <w:bottom w:val="single" w:sz="4" w:space="0" w:color="ADD6EA"/>
              <w:right w:val="nil"/>
            </w:tcBorders>
            <w:shd w:val="clear" w:color="auto" w:fill="auto"/>
            <w:noWrap/>
            <w:vAlign w:val="bottom"/>
            <w:hideMark/>
          </w:tcPr>
          <w:p w14:paraId="11E210B5"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2</w:t>
            </w:r>
          </w:p>
        </w:tc>
        <w:tc>
          <w:tcPr>
            <w:tcW w:w="720" w:type="dxa"/>
            <w:tcBorders>
              <w:top w:val="nil"/>
              <w:left w:val="nil"/>
              <w:bottom w:val="single" w:sz="4" w:space="0" w:color="ADD6EA"/>
              <w:right w:val="nil"/>
            </w:tcBorders>
            <w:shd w:val="clear" w:color="auto" w:fill="auto"/>
            <w:noWrap/>
            <w:vAlign w:val="bottom"/>
            <w:hideMark/>
          </w:tcPr>
          <w:p w14:paraId="28A7B6DD"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16</w:t>
            </w:r>
          </w:p>
        </w:tc>
        <w:tc>
          <w:tcPr>
            <w:tcW w:w="720" w:type="dxa"/>
            <w:tcBorders>
              <w:top w:val="nil"/>
              <w:left w:val="nil"/>
              <w:bottom w:val="single" w:sz="4" w:space="0" w:color="ADD6EA"/>
              <w:right w:val="nil"/>
            </w:tcBorders>
            <w:shd w:val="clear" w:color="auto" w:fill="auto"/>
            <w:noWrap/>
            <w:vAlign w:val="bottom"/>
            <w:hideMark/>
          </w:tcPr>
          <w:p w14:paraId="451EFE39"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w:t>
            </w:r>
          </w:p>
        </w:tc>
        <w:tc>
          <w:tcPr>
            <w:tcW w:w="720" w:type="dxa"/>
            <w:tcBorders>
              <w:top w:val="nil"/>
              <w:left w:val="nil"/>
              <w:bottom w:val="single" w:sz="4" w:space="0" w:color="ADD6EA"/>
              <w:right w:val="nil"/>
            </w:tcBorders>
            <w:shd w:val="clear" w:color="auto" w:fill="auto"/>
            <w:noWrap/>
            <w:vAlign w:val="bottom"/>
            <w:hideMark/>
          </w:tcPr>
          <w:p w14:paraId="510BA48D"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-7</w:t>
            </w:r>
          </w:p>
        </w:tc>
        <w:tc>
          <w:tcPr>
            <w:tcW w:w="720" w:type="dxa"/>
            <w:tcBorders>
              <w:top w:val="nil"/>
              <w:left w:val="nil"/>
              <w:bottom w:val="single" w:sz="4" w:space="0" w:color="ADD6EA"/>
              <w:right w:val="nil"/>
            </w:tcBorders>
            <w:shd w:val="clear" w:color="auto" w:fill="auto"/>
            <w:noWrap/>
            <w:vAlign w:val="bottom"/>
            <w:hideMark/>
          </w:tcPr>
          <w:p w14:paraId="46B498E1"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-8</w:t>
            </w:r>
          </w:p>
        </w:tc>
        <w:tc>
          <w:tcPr>
            <w:tcW w:w="720" w:type="dxa"/>
            <w:tcBorders>
              <w:top w:val="nil"/>
              <w:left w:val="nil"/>
              <w:bottom w:val="single" w:sz="4" w:space="0" w:color="ADD6EA"/>
              <w:right w:val="nil"/>
            </w:tcBorders>
            <w:shd w:val="clear" w:color="auto" w:fill="auto"/>
            <w:noWrap/>
            <w:vAlign w:val="bottom"/>
            <w:hideMark/>
          </w:tcPr>
          <w:p w14:paraId="1959B98C"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159</w:t>
            </w:r>
          </w:p>
        </w:tc>
        <w:tc>
          <w:tcPr>
            <w:tcW w:w="720" w:type="dxa"/>
            <w:tcBorders>
              <w:top w:val="nil"/>
              <w:left w:val="nil"/>
              <w:bottom w:val="single" w:sz="4" w:space="0" w:color="ADD6EA"/>
              <w:right w:val="nil"/>
            </w:tcBorders>
            <w:shd w:val="clear" w:color="auto" w:fill="auto"/>
            <w:noWrap/>
            <w:vAlign w:val="bottom"/>
            <w:hideMark/>
          </w:tcPr>
          <w:p w14:paraId="222FE01E" w14:textId="77777777" w:rsidR="007E365E" w:rsidRPr="00FC4367" w:rsidRDefault="007E365E" w:rsidP="007D1D77">
            <w:pPr>
              <w:keepNext/>
              <w:keepLines/>
              <w:tabs>
                <w:tab w:val="clear" w:pos="567"/>
              </w:tabs>
              <w:spacing w:before="0" w:line="240" w:lineRule="auto"/>
              <w:jc w:val="right"/>
              <w:rPr>
                <w:rFonts w:eastAsia="Times New Roman" w:cs="Open Sans Light"/>
                <w:sz w:val="16"/>
                <w:szCs w:val="16"/>
                <w:lang w:eastAsia="en-AU"/>
              </w:rPr>
            </w:pPr>
            <w:r w:rsidRPr="00FC4367">
              <w:rPr>
                <w:rFonts w:eastAsia="Times New Roman" w:cs="Open Sans Light"/>
                <w:sz w:val="16"/>
                <w:szCs w:val="16"/>
                <w:lang w:eastAsia="en-AU"/>
              </w:rPr>
              <w:t>0</w:t>
            </w:r>
          </w:p>
        </w:tc>
      </w:tr>
      <w:tr w:rsidR="007E365E" w:rsidRPr="00FC4367" w14:paraId="2BCD4B6C" w14:textId="77777777" w:rsidTr="007D1D77">
        <w:trPr>
          <w:trHeight w:val="315"/>
        </w:trPr>
        <w:tc>
          <w:tcPr>
            <w:tcW w:w="2540" w:type="dxa"/>
            <w:tcBorders>
              <w:top w:val="nil"/>
              <w:left w:val="nil"/>
              <w:bottom w:val="single" w:sz="4" w:space="0" w:color="ADD6EA"/>
              <w:right w:val="nil"/>
            </w:tcBorders>
            <w:shd w:val="clear" w:color="000000" w:fill="B6D5E4"/>
            <w:noWrap/>
            <w:vAlign w:val="bottom"/>
            <w:hideMark/>
          </w:tcPr>
          <w:p w14:paraId="4D9AC019" w14:textId="77777777" w:rsidR="007E365E" w:rsidRPr="00FC4367" w:rsidRDefault="007E365E" w:rsidP="007D1D77">
            <w:pPr>
              <w:keepNext/>
              <w:keepLines/>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Assessed expenses</w:t>
            </w:r>
          </w:p>
        </w:tc>
        <w:tc>
          <w:tcPr>
            <w:tcW w:w="720" w:type="dxa"/>
            <w:tcBorders>
              <w:top w:val="nil"/>
              <w:left w:val="nil"/>
              <w:bottom w:val="single" w:sz="4" w:space="0" w:color="ADD6EA"/>
              <w:right w:val="nil"/>
            </w:tcBorders>
            <w:shd w:val="clear" w:color="000000" w:fill="B6D5E4"/>
            <w:noWrap/>
            <w:vAlign w:val="bottom"/>
            <w:hideMark/>
          </w:tcPr>
          <w:p w14:paraId="44C86390"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46</w:t>
            </w:r>
          </w:p>
        </w:tc>
        <w:tc>
          <w:tcPr>
            <w:tcW w:w="720" w:type="dxa"/>
            <w:tcBorders>
              <w:top w:val="nil"/>
              <w:left w:val="nil"/>
              <w:bottom w:val="single" w:sz="4" w:space="0" w:color="ADD6EA"/>
              <w:right w:val="nil"/>
            </w:tcBorders>
            <w:shd w:val="clear" w:color="000000" w:fill="B6D5E4"/>
            <w:noWrap/>
            <w:vAlign w:val="bottom"/>
            <w:hideMark/>
          </w:tcPr>
          <w:p w14:paraId="56A0550A"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56</w:t>
            </w:r>
          </w:p>
        </w:tc>
        <w:tc>
          <w:tcPr>
            <w:tcW w:w="720" w:type="dxa"/>
            <w:tcBorders>
              <w:top w:val="nil"/>
              <w:left w:val="nil"/>
              <w:bottom w:val="single" w:sz="4" w:space="0" w:color="ADD6EA"/>
              <w:right w:val="nil"/>
            </w:tcBorders>
            <w:shd w:val="clear" w:color="000000" w:fill="B6D5E4"/>
            <w:noWrap/>
            <w:vAlign w:val="bottom"/>
            <w:hideMark/>
          </w:tcPr>
          <w:p w14:paraId="5FEB56A5"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80</w:t>
            </w:r>
          </w:p>
        </w:tc>
        <w:tc>
          <w:tcPr>
            <w:tcW w:w="720" w:type="dxa"/>
            <w:tcBorders>
              <w:top w:val="nil"/>
              <w:left w:val="nil"/>
              <w:bottom w:val="single" w:sz="4" w:space="0" w:color="ADD6EA"/>
              <w:right w:val="nil"/>
            </w:tcBorders>
            <w:shd w:val="clear" w:color="000000" w:fill="B6D5E4"/>
            <w:noWrap/>
            <w:vAlign w:val="bottom"/>
            <w:hideMark/>
          </w:tcPr>
          <w:p w14:paraId="6267D500"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161</w:t>
            </w:r>
          </w:p>
        </w:tc>
        <w:tc>
          <w:tcPr>
            <w:tcW w:w="720" w:type="dxa"/>
            <w:tcBorders>
              <w:top w:val="nil"/>
              <w:left w:val="nil"/>
              <w:bottom w:val="single" w:sz="4" w:space="0" w:color="ADD6EA"/>
              <w:right w:val="nil"/>
            </w:tcBorders>
            <w:shd w:val="clear" w:color="000000" w:fill="B6D5E4"/>
            <w:noWrap/>
            <w:vAlign w:val="bottom"/>
            <w:hideMark/>
          </w:tcPr>
          <w:p w14:paraId="446351C4"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205</w:t>
            </w:r>
          </w:p>
        </w:tc>
        <w:tc>
          <w:tcPr>
            <w:tcW w:w="720" w:type="dxa"/>
            <w:tcBorders>
              <w:top w:val="nil"/>
              <w:left w:val="nil"/>
              <w:bottom w:val="single" w:sz="4" w:space="0" w:color="ADD6EA"/>
              <w:right w:val="nil"/>
            </w:tcBorders>
            <w:shd w:val="clear" w:color="000000" w:fill="B6D5E4"/>
            <w:noWrap/>
            <w:vAlign w:val="bottom"/>
            <w:hideMark/>
          </w:tcPr>
          <w:p w14:paraId="3144B434"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646</w:t>
            </w:r>
          </w:p>
        </w:tc>
        <w:tc>
          <w:tcPr>
            <w:tcW w:w="720" w:type="dxa"/>
            <w:tcBorders>
              <w:top w:val="nil"/>
              <w:left w:val="nil"/>
              <w:bottom w:val="single" w:sz="4" w:space="0" w:color="ADD6EA"/>
              <w:right w:val="nil"/>
            </w:tcBorders>
            <w:shd w:val="clear" w:color="000000" w:fill="B6D5E4"/>
            <w:noWrap/>
            <w:vAlign w:val="bottom"/>
            <w:hideMark/>
          </w:tcPr>
          <w:p w14:paraId="33C20D3A"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837</w:t>
            </w:r>
          </w:p>
        </w:tc>
        <w:tc>
          <w:tcPr>
            <w:tcW w:w="720" w:type="dxa"/>
            <w:tcBorders>
              <w:top w:val="nil"/>
              <w:left w:val="nil"/>
              <w:bottom w:val="single" w:sz="4" w:space="0" w:color="ADD6EA"/>
              <w:right w:val="nil"/>
            </w:tcBorders>
            <w:shd w:val="clear" w:color="000000" w:fill="B6D5E4"/>
            <w:noWrap/>
            <w:vAlign w:val="bottom"/>
            <w:hideMark/>
          </w:tcPr>
          <w:p w14:paraId="368237D9"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1,651</w:t>
            </w:r>
          </w:p>
        </w:tc>
        <w:tc>
          <w:tcPr>
            <w:tcW w:w="720" w:type="dxa"/>
            <w:tcBorders>
              <w:top w:val="nil"/>
              <w:left w:val="nil"/>
              <w:bottom w:val="single" w:sz="4" w:space="0" w:color="ADD6EA"/>
              <w:right w:val="nil"/>
            </w:tcBorders>
            <w:shd w:val="clear" w:color="000000" w:fill="B6D5E4"/>
            <w:noWrap/>
            <w:vAlign w:val="bottom"/>
            <w:hideMark/>
          </w:tcPr>
          <w:p w14:paraId="3CA54823"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120</w:t>
            </w:r>
          </w:p>
        </w:tc>
      </w:tr>
      <w:tr w:rsidR="007E365E" w:rsidRPr="00FC4367" w14:paraId="7CDBEC78" w14:textId="77777777" w:rsidTr="007D1D77">
        <w:trPr>
          <w:trHeight w:val="315"/>
        </w:trPr>
        <w:tc>
          <w:tcPr>
            <w:tcW w:w="2540" w:type="dxa"/>
            <w:tcBorders>
              <w:top w:val="nil"/>
              <w:left w:val="nil"/>
              <w:bottom w:val="single" w:sz="4" w:space="0" w:color="ADD6EA"/>
              <w:right w:val="nil"/>
            </w:tcBorders>
            <w:shd w:val="clear" w:color="000000" w:fill="D6E7F0"/>
            <w:vAlign w:val="bottom"/>
            <w:hideMark/>
          </w:tcPr>
          <w:p w14:paraId="7DD32681" w14:textId="77777777" w:rsidR="007E365E" w:rsidRPr="00FC4367" w:rsidRDefault="007E365E" w:rsidP="007D1D77">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Total assessed expenses</w:t>
            </w:r>
          </w:p>
        </w:tc>
        <w:tc>
          <w:tcPr>
            <w:tcW w:w="720" w:type="dxa"/>
            <w:tcBorders>
              <w:top w:val="nil"/>
              <w:left w:val="nil"/>
              <w:bottom w:val="single" w:sz="4" w:space="0" w:color="ADD6EA"/>
              <w:right w:val="nil"/>
            </w:tcBorders>
            <w:shd w:val="clear" w:color="000000" w:fill="D6E7F0"/>
            <w:noWrap/>
            <w:vAlign w:val="bottom"/>
            <w:hideMark/>
          </w:tcPr>
          <w:p w14:paraId="28790C84"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969</w:t>
            </w:r>
          </w:p>
        </w:tc>
        <w:tc>
          <w:tcPr>
            <w:tcW w:w="720" w:type="dxa"/>
            <w:tcBorders>
              <w:top w:val="nil"/>
              <w:left w:val="nil"/>
              <w:bottom w:val="single" w:sz="4" w:space="0" w:color="ADD6EA"/>
              <w:right w:val="nil"/>
            </w:tcBorders>
            <w:shd w:val="clear" w:color="000000" w:fill="D6E7F0"/>
            <w:noWrap/>
            <w:vAlign w:val="bottom"/>
            <w:hideMark/>
          </w:tcPr>
          <w:p w14:paraId="46E1DBED"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966</w:t>
            </w:r>
          </w:p>
        </w:tc>
        <w:tc>
          <w:tcPr>
            <w:tcW w:w="720" w:type="dxa"/>
            <w:tcBorders>
              <w:top w:val="nil"/>
              <w:left w:val="nil"/>
              <w:bottom w:val="single" w:sz="4" w:space="0" w:color="ADD6EA"/>
              <w:right w:val="nil"/>
            </w:tcBorders>
            <w:shd w:val="clear" w:color="000000" w:fill="D6E7F0"/>
            <w:noWrap/>
            <w:vAlign w:val="bottom"/>
            <w:hideMark/>
          </w:tcPr>
          <w:p w14:paraId="61BEE0DF"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1,057</w:t>
            </w:r>
          </w:p>
        </w:tc>
        <w:tc>
          <w:tcPr>
            <w:tcW w:w="720" w:type="dxa"/>
            <w:tcBorders>
              <w:top w:val="nil"/>
              <w:left w:val="nil"/>
              <w:bottom w:val="single" w:sz="4" w:space="0" w:color="ADD6EA"/>
              <w:right w:val="nil"/>
            </w:tcBorders>
            <w:shd w:val="clear" w:color="000000" w:fill="D6E7F0"/>
            <w:noWrap/>
            <w:vAlign w:val="bottom"/>
            <w:hideMark/>
          </w:tcPr>
          <w:p w14:paraId="72C5B9AE"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1,115</w:t>
            </w:r>
          </w:p>
        </w:tc>
        <w:tc>
          <w:tcPr>
            <w:tcW w:w="720" w:type="dxa"/>
            <w:tcBorders>
              <w:top w:val="nil"/>
              <w:left w:val="nil"/>
              <w:bottom w:val="single" w:sz="4" w:space="0" w:color="ADD6EA"/>
              <w:right w:val="nil"/>
            </w:tcBorders>
            <w:shd w:val="clear" w:color="000000" w:fill="D6E7F0"/>
            <w:noWrap/>
            <w:vAlign w:val="bottom"/>
            <w:hideMark/>
          </w:tcPr>
          <w:p w14:paraId="26712CEB"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1,106</w:t>
            </w:r>
          </w:p>
        </w:tc>
        <w:tc>
          <w:tcPr>
            <w:tcW w:w="720" w:type="dxa"/>
            <w:tcBorders>
              <w:top w:val="nil"/>
              <w:left w:val="nil"/>
              <w:bottom w:val="single" w:sz="4" w:space="0" w:color="ADD6EA"/>
              <w:right w:val="nil"/>
            </w:tcBorders>
            <w:shd w:val="clear" w:color="000000" w:fill="D6E7F0"/>
            <w:noWrap/>
            <w:vAlign w:val="bottom"/>
            <w:hideMark/>
          </w:tcPr>
          <w:p w14:paraId="5ED4EBA4"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1,610</w:t>
            </w:r>
          </w:p>
        </w:tc>
        <w:tc>
          <w:tcPr>
            <w:tcW w:w="720" w:type="dxa"/>
            <w:tcBorders>
              <w:top w:val="nil"/>
              <w:left w:val="nil"/>
              <w:bottom w:val="single" w:sz="4" w:space="0" w:color="ADD6EA"/>
              <w:right w:val="nil"/>
            </w:tcBorders>
            <w:shd w:val="clear" w:color="000000" w:fill="D6E7F0"/>
            <w:noWrap/>
            <w:vAlign w:val="bottom"/>
            <w:hideMark/>
          </w:tcPr>
          <w:p w14:paraId="2960DC3B"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1,753</w:t>
            </w:r>
          </w:p>
        </w:tc>
        <w:tc>
          <w:tcPr>
            <w:tcW w:w="720" w:type="dxa"/>
            <w:tcBorders>
              <w:top w:val="nil"/>
              <w:left w:val="nil"/>
              <w:bottom w:val="single" w:sz="4" w:space="0" w:color="ADD6EA"/>
              <w:right w:val="nil"/>
            </w:tcBorders>
            <w:shd w:val="clear" w:color="000000" w:fill="D6E7F0"/>
            <w:noWrap/>
            <w:vAlign w:val="bottom"/>
            <w:hideMark/>
          </w:tcPr>
          <w:p w14:paraId="03ED7B42"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2,714</w:t>
            </w:r>
          </w:p>
        </w:tc>
        <w:tc>
          <w:tcPr>
            <w:tcW w:w="720" w:type="dxa"/>
            <w:tcBorders>
              <w:top w:val="nil"/>
              <w:left w:val="nil"/>
              <w:bottom w:val="single" w:sz="4" w:space="0" w:color="ADD6EA"/>
              <w:right w:val="nil"/>
            </w:tcBorders>
            <w:shd w:val="clear" w:color="000000" w:fill="D6E7F0"/>
            <w:noWrap/>
            <w:vAlign w:val="bottom"/>
            <w:hideMark/>
          </w:tcPr>
          <w:p w14:paraId="489E52D1" w14:textId="77777777" w:rsidR="007E365E" w:rsidRPr="00FC4367" w:rsidRDefault="007E365E" w:rsidP="007D1D77">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C4367">
              <w:rPr>
                <w:rFonts w:ascii="Open Sans SemiBold" w:eastAsia="Times New Roman" w:hAnsi="Open Sans SemiBold" w:cs="Open Sans SemiBold"/>
                <w:color w:val="000000"/>
                <w:sz w:val="16"/>
                <w:szCs w:val="16"/>
                <w:lang w:eastAsia="en-AU"/>
              </w:rPr>
              <w:t>1,054</w:t>
            </w:r>
          </w:p>
        </w:tc>
      </w:tr>
    </w:tbl>
    <w:p w14:paraId="1C0BC1EA" w14:textId="77777777" w:rsidR="007E365E" w:rsidRPr="005927E3" w:rsidRDefault="007E365E" w:rsidP="007E365E">
      <w:pPr>
        <w:pStyle w:val="CGCTablenote"/>
        <w:keepNext/>
        <w:keepLines/>
      </w:pPr>
      <w:r w:rsidRPr="005927E3">
        <w:t>Note</w:t>
      </w:r>
      <w:r>
        <w:t>s</w:t>
      </w:r>
      <w:r w:rsidRPr="005927E3">
        <w:t>:</w:t>
      </w:r>
      <w:r>
        <w:tab/>
      </w:r>
      <w:r w:rsidRPr="005927E3">
        <w:t>Table may not add due to interactions between disabilities and rounding. The EPC expenses and assessed expenses are total spending per capita. The amounts for each disability are redistributions from an EPC assessment.</w:t>
      </w:r>
    </w:p>
    <w:p w14:paraId="0A1AED7A" w14:textId="77777777" w:rsidR="007E365E" w:rsidRPr="005927E3" w:rsidRDefault="007E365E" w:rsidP="007E365E">
      <w:pPr>
        <w:pStyle w:val="CGCTablenote"/>
        <w:keepNext/>
        <w:keepLines/>
      </w:pPr>
      <w:r>
        <w:tab/>
      </w:r>
      <w:r w:rsidRPr="005927E3">
        <w:t>The natural disaster relief component has been combined with the service expenses component because the natural disaster relief assessment is confidential.</w:t>
      </w:r>
    </w:p>
    <w:p w14:paraId="46150F07" w14:textId="77777777" w:rsidR="007E365E" w:rsidRPr="005927E3" w:rsidRDefault="007E365E" w:rsidP="007E365E">
      <w:pPr>
        <w:pStyle w:val="CGCTablenote"/>
        <w:keepNext/>
        <w:keepLines/>
      </w:pPr>
      <w:r w:rsidRPr="005927E3">
        <w:t>Source:</w:t>
      </w:r>
      <w:r w:rsidRPr="005927E3">
        <w:tab/>
        <w:t>Commission calculation.</w:t>
      </w:r>
    </w:p>
    <w:p w14:paraId="30EE51BE" w14:textId="77777777" w:rsidR="007E365E" w:rsidRPr="005927E3" w:rsidRDefault="007E365E" w:rsidP="007E365E">
      <w:pPr>
        <w:pStyle w:val="Heading3"/>
      </w:pPr>
      <w:bookmarkStart w:id="361" w:name="_Toc4764727"/>
      <w:r w:rsidRPr="005927E3">
        <w:t>Infrastructure assessment</w:t>
      </w:r>
      <w:bookmarkEnd w:id="361"/>
    </w:p>
    <w:p w14:paraId="41C2A377" w14:textId="77777777" w:rsidR="007E365E" w:rsidRPr="005927E3" w:rsidRDefault="007E365E" w:rsidP="007E365E">
      <w:pPr>
        <w:pStyle w:val="CGCParaNumber"/>
      </w:pPr>
      <w:r w:rsidRPr="005927E3">
        <w:t xml:space="preserve">States require infrastructure to support service delivery. State infrastructure requirements are assessed in the Investment category. The main driver of investment in Other expenses related infrastructure is growth in the total population. Service use disabilities that affect recurrent service delivery expenses do not affect the quantity of infrastructure each State requires to provide the average level of service. </w:t>
      </w:r>
    </w:p>
    <w:p w14:paraId="6305E3F8" w14:textId="77777777" w:rsidR="007E365E" w:rsidRPr="005927E3" w:rsidRDefault="007E365E" w:rsidP="007E365E">
      <w:pPr>
        <w:pStyle w:val="CGCParaNumber"/>
      </w:pPr>
      <w:r w:rsidRPr="005927E3">
        <w:t>Interstate differences in construction costs are also recognised.</w:t>
      </w:r>
      <w:r>
        <w:t xml:space="preserve"> </w:t>
      </w:r>
      <w:r w:rsidRPr="005927E3">
        <w:t>For a description of the Investment assessment, see Chapter 24</w:t>
      </w:r>
      <w:r>
        <w:t xml:space="preserve"> </w:t>
      </w:r>
      <w:r w:rsidRPr="005927E3">
        <w:t>Investment.</w:t>
      </w:r>
    </w:p>
    <w:p w14:paraId="740795D4" w14:textId="71BD23A0" w:rsidR="007E365E" w:rsidRPr="005927E3" w:rsidRDefault="007E365E" w:rsidP="007E365E">
      <w:pPr>
        <w:pStyle w:val="Heading3"/>
      </w:pPr>
      <w:bookmarkStart w:id="362" w:name="_Toc2182881"/>
      <w:bookmarkStart w:id="363" w:name="_Toc4764728"/>
      <w:bookmarkStart w:id="364" w:name="_Ref30773464"/>
      <w:bookmarkEnd w:id="349"/>
      <w:bookmarkEnd w:id="350"/>
      <w:r w:rsidRPr="005927E3">
        <w:t>Other issues considered by the Commission</w:t>
      </w:r>
      <w:bookmarkEnd w:id="362"/>
      <w:bookmarkEnd w:id="363"/>
      <w:bookmarkEnd w:id="364"/>
    </w:p>
    <w:p w14:paraId="620BE611" w14:textId="77777777" w:rsidR="007E365E" w:rsidRPr="005927E3" w:rsidRDefault="007E365E" w:rsidP="007E365E">
      <w:pPr>
        <w:pStyle w:val="CGCParaNumber"/>
      </w:pPr>
      <w:r w:rsidRPr="005927E3">
        <w:t>There were a number of other issues considered by the Commission, largely in response to concerns raised by States. These issues related to the method for measuring existing disabilities or requests for new disabilities that were not included in the 2015 Review assessment. The main reasons for not assessing certain disabilities identified by States are:</w:t>
      </w:r>
    </w:p>
    <w:p w14:paraId="7D860459" w14:textId="77777777" w:rsidR="007E365E" w:rsidRPr="005927E3" w:rsidRDefault="007E365E" w:rsidP="007E365E">
      <w:pPr>
        <w:pStyle w:val="CGCBullet1"/>
      </w:pPr>
      <w:r w:rsidRPr="005927E3">
        <w:t xml:space="preserve">the conceptual case for a disability has not been established </w:t>
      </w:r>
    </w:p>
    <w:p w14:paraId="1961B2EF" w14:textId="77777777" w:rsidR="007E365E" w:rsidRPr="00542984" w:rsidRDefault="007E365E" w:rsidP="007E365E">
      <w:pPr>
        <w:pStyle w:val="CGCBullet1"/>
      </w:pPr>
      <w:r w:rsidRPr="005927E3">
        <w:t>an assessment would not be material, that is, redistribute more than $35 per capita for any State</w:t>
      </w:r>
      <w:r w:rsidRPr="00542984">
        <w:rPr>
          <w:rStyle w:val="FootnoteReference"/>
        </w:rPr>
        <w:footnoteReference w:id="90"/>
      </w:r>
    </w:p>
    <w:p w14:paraId="541A442E" w14:textId="77777777" w:rsidR="007E365E" w:rsidRPr="005927E3" w:rsidRDefault="007E365E" w:rsidP="007E365E">
      <w:pPr>
        <w:pStyle w:val="CGCBullet1"/>
      </w:pPr>
      <w:r w:rsidRPr="005927E3">
        <w:t>data are not available to make a reliable assessment.</w:t>
      </w:r>
    </w:p>
    <w:p w14:paraId="0EB66BE2" w14:textId="77777777" w:rsidR="007E365E" w:rsidRPr="005927E3" w:rsidRDefault="007E365E" w:rsidP="007E365E">
      <w:pPr>
        <w:pStyle w:val="Heading4"/>
      </w:pPr>
      <w:bookmarkStart w:id="365" w:name="_Toc4764729"/>
      <w:r w:rsidRPr="005927E3">
        <w:lastRenderedPageBreak/>
        <w:t>Cross-border disability</w:t>
      </w:r>
      <w:bookmarkEnd w:id="365"/>
    </w:p>
    <w:p w14:paraId="07558869" w14:textId="77777777" w:rsidR="007E365E" w:rsidRPr="005927E3" w:rsidRDefault="007E365E" w:rsidP="007E365E">
      <w:pPr>
        <w:pStyle w:val="CGCParaNumber"/>
      </w:pPr>
      <w:r w:rsidRPr="005927E3">
        <w:t>During the 2015 Review, the Commission applied a cross-border disability to recreation and culture expenses in the service expenses component. This was intended to recognise that the ACT’s costs for library, sports grounds and other cultural and recreational services were higher due to the use of these services by New South Wales residents.</w:t>
      </w:r>
    </w:p>
    <w:p w14:paraId="775EC64F" w14:textId="77777777" w:rsidR="007E365E" w:rsidRPr="005927E3" w:rsidRDefault="007E365E" w:rsidP="007E365E">
      <w:pPr>
        <w:pStyle w:val="CGCParaNumber"/>
      </w:pPr>
      <w:r w:rsidRPr="005927E3">
        <w:t>The Commission has discontinued this assessment because the evidence provided by the ACT was not sufficient to establish a conceptual case.</w:t>
      </w:r>
      <w:r w:rsidRPr="00542984">
        <w:rPr>
          <w:rStyle w:val="FootnoteReference"/>
        </w:rPr>
        <w:footnoteReference w:id="91"/>
      </w:r>
      <w:r w:rsidRPr="00542984">
        <w:t xml:space="preserve"> For more information, see </w:t>
      </w:r>
      <w:r w:rsidRPr="005927E3">
        <w:t>Chapter 29</w:t>
      </w:r>
      <w:r>
        <w:t xml:space="preserve"> </w:t>
      </w:r>
      <w:r w:rsidRPr="005927E3">
        <w:t>Other disabilities.</w:t>
      </w:r>
    </w:p>
    <w:p w14:paraId="09EABE50" w14:textId="56918D8E" w:rsidR="007E365E" w:rsidRPr="00542984" w:rsidRDefault="007E365E" w:rsidP="007E365E">
      <w:pPr>
        <w:pStyle w:val="Heading4"/>
      </w:pPr>
      <w:bookmarkStart w:id="366" w:name="_Toc7536877"/>
      <w:r w:rsidRPr="005927E3">
        <w:t>Interstate non-wage costs</w:t>
      </w:r>
      <w:bookmarkEnd w:id="366"/>
    </w:p>
    <w:p w14:paraId="0D93AF0C" w14:textId="77777777" w:rsidR="007E365E" w:rsidRPr="005927E3" w:rsidRDefault="007E365E" w:rsidP="007E365E">
      <w:pPr>
        <w:pStyle w:val="CGCParaNumber"/>
      </w:pPr>
      <w:r>
        <w:t xml:space="preserve">During </w:t>
      </w:r>
      <w:r w:rsidRPr="005927E3">
        <w:t xml:space="preserve">the 2015 Review, the Commission decided that there were differences between the costs of providing services in different capital cities. For example, Western Australia and the Northern Territory typically have higher costs associated with attending interstate meetings than New South Wales or Victoria. </w:t>
      </w:r>
    </w:p>
    <w:p w14:paraId="75AF2ABC" w14:textId="77777777" w:rsidR="007E365E" w:rsidRPr="005927E3" w:rsidRDefault="007E365E" w:rsidP="007E365E">
      <w:pPr>
        <w:pStyle w:val="CGCParaNumber"/>
      </w:pPr>
      <w:r w:rsidRPr="005927E3">
        <w:t>The Commission still considers that there are differences between States in their interstate non-wage costs. However, a lack of data and the difficulty in determining the magnitude of an appropriate adjustment has led the Commission to cease this assessment.</w:t>
      </w:r>
      <w:r>
        <w:t xml:space="preserve"> This assessment was known as the </w:t>
      </w:r>
      <w:r w:rsidRPr="00542984">
        <w:t>‘location adjustment’ during the 2015</w:t>
      </w:r>
      <w:r>
        <w:t> </w:t>
      </w:r>
      <w:r w:rsidRPr="00542984">
        <w:t>Review.</w:t>
      </w:r>
    </w:p>
    <w:p w14:paraId="5C076428" w14:textId="77777777" w:rsidR="007E365E" w:rsidRPr="005927E3" w:rsidRDefault="007E365E" w:rsidP="007E365E">
      <w:pPr>
        <w:pStyle w:val="CGCParaNumber"/>
      </w:pPr>
      <w:r w:rsidRPr="005927E3">
        <w:t>Chapter 28</w:t>
      </w:r>
      <w:r>
        <w:t xml:space="preserve"> </w:t>
      </w:r>
      <w:r w:rsidRPr="005927E3">
        <w:t>Geography includes further information on this decision.</w:t>
      </w:r>
    </w:p>
    <w:p w14:paraId="229A4819" w14:textId="1F6FA2F7" w:rsidR="007E365E" w:rsidRPr="005927E3" w:rsidRDefault="007E365E" w:rsidP="007E365E">
      <w:pPr>
        <w:pStyle w:val="Heading4"/>
      </w:pPr>
      <w:bookmarkStart w:id="367" w:name="_Toc4764719"/>
      <w:r w:rsidRPr="005927E3">
        <w:t>Capital grants for local government</w:t>
      </w:r>
      <w:bookmarkEnd w:id="367"/>
    </w:p>
    <w:p w14:paraId="13CC9A56" w14:textId="77777777" w:rsidR="007E365E" w:rsidRPr="005927E3" w:rsidRDefault="007E365E" w:rsidP="007E365E">
      <w:pPr>
        <w:pStyle w:val="CGCParaNumber"/>
      </w:pPr>
      <w:r w:rsidRPr="005927E3">
        <w:t>The capital grants to local governments component was introduced during the 2015 Review to recognise the need for State support to local government for cultural and recreation facilities, and community amenities. The assessment used population growth as the disability, as the Commission expected that States with above average population growth would incur higher costs.</w:t>
      </w:r>
    </w:p>
    <w:p w14:paraId="2B499203" w14:textId="77777777" w:rsidR="007E365E" w:rsidRPr="005927E3" w:rsidRDefault="007E365E" w:rsidP="007E365E">
      <w:pPr>
        <w:pStyle w:val="CGCParaNumber"/>
      </w:pPr>
      <w:bookmarkStart w:id="368" w:name="_Toc4764730"/>
      <w:r w:rsidRPr="005927E3">
        <w:t>Queensland considered that population growth did not capture needs sufficiently. It said that the Commission should investigate a differential assessment because States with the most expenses are those with remote communities dispersed over vast land areas. All other States supported this change or did not comment.</w:t>
      </w:r>
    </w:p>
    <w:p w14:paraId="40733C7B" w14:textId="77777777" w:rsidR="007E365E" w:rsidRPr="005927E3" w:rsidRDefault="007E365E" w:rsidP="007E365E">
      <w:pPr>
        <w:pStyle w:val="CGCParaNumber"/>
      </w:pPr>
      <w:r w:rsidRPr="005927E3">
        <w:t>The Commission has discontinued the assessment because the expense drivers are unclear. In addition, the component was not material. It redistributed less than $</w:t>
      </w:r>
      <w:r>
        <w:t>2</w:t>
      </w:r>
      <w:r w:rsidRPr="005927E3">
        <w:t xml:space="preserve"> per capita for any State in the 2019 Update. </w:t>
      </w:r>
    </w:p>
    <w:p w14:paraId="1FE407C9" w14:textId="77777777" w:rsidR="007E365E" w:rsidRPr="005927E3" w:rsidRDefault="007E365E" w:rsidP="007E365E">
      <w:pPr>
        <w:pStyle w:val="Heading4"/>
      </w:pPr>
      <w:r w:rsidRPr="005927E3">
        <w:t>Mitigation expenses related to natural disasters</w:t>
      </w:r>
    </w:p>
    <w:p w14:paraId="0A0B8057" w14:textId="77777777" w:rsidR="007E365E" w:rsidRPr="005927E3" w:rsidRDefault="007E365E" w:rsidP="007E365E">
      <w:pPr>
        <w:pStyle w:val="CGCParaNumber"/>
      </w:pPr>
      <w:bookmarkStart w:id="369" w:name="_Ref31641974"/>
      <w:r w:rsidRPr="005927E3">
        <w:t>The ACT noted that States that invest more heavily in natural disaster mitigation can be expected to have lower natural disaster relief expenses than States that invest less in mitigation measures. New South Wales and Victoria were also concerned about the overall treatment of mitigation and disaster relief expenses.</w:t>
      </w:r>
      <w:bookmarkEnd w:id="369"/>
    </w:p>
    <w:p w14:paraId="764746AB" w14:textId="77777777" w:rsidR="007E365E" w:rsidRPr="005927E3" w:rsidRDefault="007E365E" w:rsidP="007E365E">
      <w:pPr>
        <w:pStyle w:val="CGCParaNumber"/>
      </w:pPr>
      <w:r w:rsidRPr="005927E3">
        <w:t xml:space="preserve">Disaster mitigation spending does not have a separate classification in GFS and may be classified to various functional categories. It may be difficult for States to identify their </w:t>
      </w:r>
      <w:r w:rsidRPr="005927E3">
        <w:lastRenderedPageBreak/>
        <w:t>mitigation spending in a comparable manner. Furthermore, mitigation expenses are likely to be incurred alongside regular maintenance and capital expenditure projects. It may be difficult for States to determine what portion of a complex project relates to natural disaster mitigation. These difficulties in identifying the mitigation spending would also make it difficult to validate the expenses.</w:t>
      </w:r>
    </w:p>
    <w:p w14:paraId="276F0FC0" w14:textId="77777777" w:rsidR="007E365E" w:rsidRPr="005927E3" w:rsidRDefault="007E365E" w:rsidP="007E365E">
      <w:pPr>
        <w:pStyle w:val="CGCParaNumber"/>
      </w:pPr>
      <w:r w:rsidRPr="005927E3">
        <w:t>In addition, even if disaster mitigation expenses could be reliably identified, it is not clear what an appropriate driver might be. Actuarial studies may provide some indication of differential susceptibility to natural disasters and the need for mitigation measures. However, any indicator is likely to be affected by differences between States in where people live, as well as differences in planning and zoning policies. The Commission has concluded there are no reliable data or methods of assessing mitigation expenses.</w:t>
      </w:r>
    </w:p>
    <w:p w14:paraId="6ABBF584" w14:textId="77777777" w:rsidR="007E365E" w:rsidRPr="005927E3" w:rsidRDefault="007E365E" w:rsidP="007E365E">
      <w:pPr>
        <w:pStyle w:val="CGCParaNumber"/>
      </w:pPr>
      <w:r w:rsidRPr="005927E3">
        <w:t>The Commission intends to monitor this issue and consider a differential assessment of mitigation expenses if sufficient evidence is available to support an assessment.</w:t>
      </w:r>
    </w:p>
    <w:p w14:paraId="47C6AEB5" w14:textId="340EE769" w:rsidR="007E365E" w:rsidRPr="005927E3" w:rsidRDefault="007E365E" w:rsidP="007E365E">
      <w:pPr>
        <w:pStyle w:val="Heading3"/>
      </w:pPr>
      <w:r w:rsidRPr="00542984">
        <w:t>Effect on the GST distribution</w:t>
      </w:r>
      <w:bookmarkEnd w:id="368"/>
    </w:p>
    <w:p w14:paraId="2C2922DB" w14:textId="131E0D22" w:rsidR="007E365E" w:rsidRPr="005927E3" w:rsidRDefault="007E365E" w:rsidP="007E365E">
      <w:pPr>
        <w:pStyle w:val="CGCParaNumber"/>
      </w:pPr>
      <w:r>
        <w:fldChar w:fldCharType="begin"/>
      </w:r>
      <w:r>
        <w:instrText xml:space="preserve"> REF _Ref32845956 \h </w:instrText>
      </w:r>
      <w:r>
        <w:fldChar w:fldCharType="separate"/>
      </w:r>
      <w:r w:rsidR="007F721A" w:rsidRPr="005927E3">
        <w:t xml:space="preserve">Table </w:t>
      </w:r>
      <w:r w:rsidR="007F721A">
        <w:t>23-</w:t>
      </w:r>
      <w:r w:rsidR="007F721A">
        <w:rPr>
          <w:noProof/>
        </w:rPr>
        <w:t>9</w:t>
      </w:r>
      <w:r>
        <w:fldChar w:fldCharType="end"/>
      </w:r>
      <w:r w:rsidRPr="00542984">
        <w:t xml:space="preserve"> shows the extent to which the assessment for this category moves the distribution of GST away</w:t>
      </w:r>
      <w:r w:rsidRPr="005927E3">
        <w:t xml:space="preserve"> from an EPC distribution. States with a positive redistribution are assessed to have above average spending requirements and States with a negative redistribution are assessed to have below average spending requirements. In per capita terms, the Northern</w:t>
      </w:r>
      <w:r w:rsidR="00EB2AA7">
        <w:t> </w:t>
      </w:r>
      <w:r w:rsidRPr="005927E3">
        <w:t xml:space="preserve">Territory, the ACT and Tasmania experience the largest redistributions. </w:t>
      </w:r>
    </w:p>
    <w:p w14:paraId="412B01E0" w14:textId="1EA1E83F" w:rsidR="007E365E" w:rsidRPr="005927E3" w:rsidRDefault="007E365E" w:rsidP="007E365E">
      <w:pPr>
        <w:pStyle w:val="Caption"/>
      </w:pPr>
      <w:bookmarkStart w:id="370" w:name="_Ref32845956"/>
      <w:r w:rsidRPr="005927E3">
        <w:t xml:space="preserve">Table </w:t>
      </w:r>
      <w:r>
        <w:t>23-</w:t>
      </w:r>
      <w:fldSimple w:instr=" SEQ Table \* ARABIC ">
        <w:r w:rsidR="007F721A">
          <w:rPr>
            <w:noProof/>
          </w:rPr>
          <w:t>9</w:t>
        </w:r>
      </w:fldSimple>
      <w:bookmarkEnd w:id="370"/>
      <w:r w:rsidRPr="00542984">
        <w:tab/>
      </w:r>
      <w:r>
        <w:t>Illustrative r</w:t>
      </w:r>
      <w:r w:rsidRPr="00542984">
        <w:t xml:space="preserve">edistribution from an EPC </w:t>
      </w:r>
      <w:r>
        <w:t>assessment</w:t>
      </w:r>
      <w:r w:rsidRPr="005927E3">
        <w:t>, Other expenses, 2020-21</w:t>
      </w:r>
    </w:p>
    <w:tbl>
      <w:tblPr>
        <w:tblW w:w="8880" w:type="dxa"/>
        <w:tblCellMar>
          <w:left w:w="28" w:type="dxa"/>
          <w:right w:w="28" w:type="dxa"/>
        </w:tblCellMar>
        <w:tblLook w:val="04A0" w:firstRow="1" w:lastRow="0" w:firstColumn="1" w:lastColumn="0" w:noHBand="0" w:noVBand="1"/>
      </w:tblPr>
      <w:tblGrid>
        <w:gridCol w:w="1420"/>
        <w:gridCol w:w="860"/>
        <w:gridCol w:w="860"/>
        <w:gridCol w:w="860"/>
        <w:gridCol w:w="780"/>
        <w:gridCol w:w="780"/>
        <w:gridCol w:w="780"/>
        <w:gridCol w:w="780"/>
        <w:gridCol w:w="840"/>
        <w:gridCol w:w="920"/>
      </w:tblGrid>
      <w:tr w:rsidR="007E365E" w:rsidRPr="00CD61D6" w14:paraId="474D6F75" w14:textId="77777777" w:rsidTr="007D1D77">
        <w:trPr>
          <w:trHeight w:val="379"/>
        </w:trPr>
        <w:tc>
          <w:tcPr>
            <w:tcW w:w="1420" w:type="dxa"/>
            <w:tcBorders>
              <w:top w:val="nil"/>
              <w:left w:val="nil"/>
              <w:bottom w:val="nil"/>
              <w:right w:val="nil"/>
            </w:tcBorders>
            <w:shd w:val="clear" w:color="000000" w:fill="006991"/>
            <w:vAlign w:val="center"/>
            <w:hideMark/>
          </w:tcPr>
          <w:p w14:paraId="29F3D1CE" w14:textId="77777777" w:rsidR="007E365E" w:rsidRPr="00CD61D6"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61D6">
              <w:rPr>
                <w:rFonts w:ascii="Open Sans SemiBold" w:eastAsia="Times New Roman" w:hAnsi="Open Sans SemiBold" w:cs="Open Sans SemiBold"/>
                <w:color w:val="FFFFFF"/>
                <w:sz w:val="16"/>
                <w:szCs w:val="16"/>
                <w:lang w:eastAsia="en-AU"/>
              </w:rPr>
              <w:t> </w:t>
            </w:r>
          </w:p>
        </w:tc>
        <w:tc>
          <w:tcPr>
            <w:tcW w:w="860" w:type="dxa"/>
            <w:tcBorders>
              <w:top w:val="nil"/>
              <w:left w:val="nil"/>
              <w:bottom w:val="nil"/>
              <w:right w:val="nil"/>
            </w:tcBorders>
            <w:shd w:val="clear" w:color="000000" w:fill="006991"/>
            <w:vAlign w:val="center"/>
            <w:hideMark/>
          </w:tcPr>
          <w:p w14:paraId="09C4A71A" w14:textId="77777777" w:rsidR="007E365E" w:rsidRPr="00CD61D6"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61D6">
              <w:rPr>
                <w:rFonts w:ascii="Open Sans SemiBold" w:eastAsia="Times New Roman" w:hAnsi="Open Sans SemiBold" w:cs="Open Sans SemiBold"/>
                <w:color w:val="FFFFFF"/>
                <w:sz w:val="16"/>
                <w:szCs w:val="16"/>
                <w:lang w:eastAsia="en-AU"/>
              </w:rPr>
              <w:t>NSW</w:t>
            </w:r>
          </w:p>
        </w:tc>
        <w:tc>
          <w:tcPr>
            <w:tcW w:w="860" w:type="dxa"/>
            <w:tcBorders>
              <w:top w:val="nil"/>
              <w:left w:val="nil"/>
              <w:bottom w:val="nil"/>
              <w:right w:val="nil"/>
            </w:tcBorders>
            <w:shd w:val="clear" w:color="000000" w:fill="006991"/>
            <w:vAlign w:val="center"/>
            <w:hideMark/>
          </w:tcPr>
          <w:p w14:paraId="584B4D10" w14:textId="77777777" w:rsidR="007E365E" w:rsidRPr="00CD61D6"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61D6">
              <w:rPr>
                <w:rFonts w:ascii="Open Sans SemiBold" w:eastAsia="Times New Roman" w:hAnsi="Open Sans SemiBold" w:cs="Open Sans SemiBold"/>
                <w:color w:val="FFFFFF"/>
                <w:sz w:val="16"/>
                <w:szCs w:val="16"/>
                <w:lang w:eastAsia="en-AU"/>
              </w:rPr>
              <w:t>Vic</w:t>
            </w:r>
          </w:p>
        </w:tc>
        <w:tc>
          <w:tcPr>
            <w:tcW w:w="860" w:type="dxa"/>
            <w:tcBorders>
              <w:top w:val="nil"/>
              <w:left w:val="nil"/>
              <w:bottom w:val="nil"/>
              <w:right w:val="nil"/>
            </w:tcBorders>
            <w:shd w:val="clear" w:color="000000" w:fill="006991"/>
            <w:vAlign w:val="center"/>
            <w:hideMark/>
          </w:tcPr>
          <w:p w14:paraId="5BD836A1" w14:textId="77777777" w:rsidR="007E365E" w:rsidRPr="00CD61D6"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61D6">
              <w:rPr>
                <w:rFonts w:ascii="Open Sans SemiBold" w:eastAsia="Times New Roman" w:hAnsi="Open Sans SemiBold" w:cs="Open Sans SemiBold"/>
                <w:color w:val="FFFFFF"/>
                <w:sz w:val="16"/>
                <w:szCs w:val="16"/>
                <w:lang w:eastAsia="en-AU"/>
              </w:rPr>
              <w:t>Qld</w:t>
            </w:r>
          </w:p>
        </w:tc>
        <w:tc>
          <w:tcPr>
            <w:tcW w:w="780" w:type="dxa"/>
            <w:tcBorders>
              <w:top w:val="nil"/>
              <w:left w:val="nil"/>
              <w:bottom w:val="nil"/>
              <w:right w:val="nil"/>
            </w:tcBorders>
            <w:shd w:val="clear" w:color="000000" w:fill="006991"/>
            <w:vAlign w:val="center"/>
            <w:hideMark/>
          </w:tcPr>
          <w:p w14:paraId="10B493D6" w14:textId="77777777" w:rsidR="007E365E" w:rsidRPr="00CD61D6"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61D6">
              <w:rPr>
                <w:rFonts w:ascii="Open Sans SemiBold" w:eastAsia="Times New Roman" w:hAnsi="Open Sans SemiBold" w:cs="Open Sans SemiBold"/>
                <w:color w:val="FFFFFF"/>
                <w:sz w:val="16"/>
                <w:szCs w:val="16"/>
                <w:lang w:eastAsia="en-AU"/>
              </w:rPr>
              <w:t>WA</w:t>
            </w:r>
          </w:p>
        </w:tc>
        <w:tc>
          <w:tcPr>
            <w:tcW w:w="780" w:type="dxa"/>
            <w:tcBorders>
              <w:top w:val="nil"/>
              <w:left w:val="nil"/>
              <w:bottom w:val="nil"/>
              <w:right w:val="nil"/>
            </w:tcBorders>
            <w:shd w:val="clear" w:color="000000" w:fill="006991"/>
            <w:vAlign w:val="center"/>
            <w:hideMark/>
          </w:tcPr>
          <w:p w14:paraId="7A9827F2" w14:textId="77777777" w:rsidR="007E365E" w:rsidRPr="00CD61D6"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61D6">
              <w:rPr>
                <w:rFonts w:ascii="Open Sans SemiBold" w:eastAsia="Times New Roman" w:hAnsi="Open Sans SemiBold" w:cs="Open Sans SemiBold"/>
                <w:color w:val="FFFFFF"/>
                <w:sz w:val="16"/>
                <w:szCs w:val="16"/>
                <w:lang w:eastAsia="en-AU"/>
              </w:rPr>
              <w:t>SA</w:t>
            </w:r>
          </w:p>
        </w:tc>
        <w:tc>
          <w:tcPr>
            <w:tcW w:w="780" w:type="dxa"/>
            <w:tcBorders>
              <w:top w:val="nil"/>
              <w:left w:val="nil"/>
              <w:bottom w:val="nil"/>
              <w:right w:val="nil"/>
            </w:tcBorders>
            <w:shd w:val="clear" w:color="000000" w:fill="006991"/>
            <w:vAlign w:val="center"/>
            <w:hideMark/>
          </w:tcPr>
          <w:p w14:paraId="3A415963" w14:textId="77777777" w:rsidR="007E365E" w:rsidRPr="00CD61D6"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61D6">
              <w:rPr>
                <w:rFonts w:ascii="Open Sans SemiBold" w:eastAsia="Times New Roman" w:hAnsi="Open Sans SemiBold" w:cs="Open Sans SemiBold"/>
                <w:color w:val="FFFFFF"/>
                <w:sz w:val="16"/>
                <w:szCs w:val="16"/>
                <w:lang w:eastAsia="en-AU"/>
              </w:rPr>
              <w:t>Tas</w:t>
            </w:r>
          </w:p>
        </w:tc>
        <w:tc>
          <w:tcPr>
            <w:tcW w:w="780" w:type="dxa"/>
            <w:tcBorders>
              <w:top w:val="nil"/>
              <w:left w:val="nil"/>
              <w:bottom w:val="nil"/>
              <w:right w:val="nil"/>
            </w:tcBorders>
            <w:shd w:val="clear" w:color="000000" w:fill="006991"/>
            <w:vAlign w:val="center"/>
            <w:hideMark/>
          </w:tcPr>
          <w:p w14:paraId="780F0926" w14:textId="77777777" w:rsidR="007E365E" w:rsidRPr="00CD61D6"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61D6">
              <w:rPr>
                <w:rFonts w:ascii="Open Sans SemiBold" w:eastAsia="Times New Roman" w:hAnsi="Open Sans SemiBold" w:cs="Open Sans SemiBold"/>
                <w:color w:val="FFFFFF"/>
                <w:sz w:val="16"/>
                <w:szCs w:val="16"/>
                <w:lang w:eastAsia="en-AU"/>
              </w:rPr>
              <w:t>ACT</w:t>
            </w:r>
          </w:p>
        </w:tc>
        <w:tc>
          <w:tcPr>
            <w:tcW w:w="840" w:type="dxa"/>
            <w:tcBorders>
              <w:top w:val="nil"/>
              <w:left w:val="nil"/>
              <w:bottom w:val="nil"/>
              <w:right w:val="nil"/>
            </w:tcBorders>
            <w:shd w:val="clear" w:color="000000" w:fill="006991"/>
            <w:vAlign w:val="center"/>
            <w:hideMark/>
          </w:tcPr>
          <w:p w14:paraId="73DEDD01" w14:textId="77777777" w:rsidR="007E365E" w:rsidRPr="00CD61D6"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61D6">
              <w:rPr>
                <w:rFonts w:ascii="Open Sans SemiBold" w:eastAsia="Times New Roman" w:hAnsi="Open Sans SemiBold" w:cs="Open Sans SemiBold"/>
                <w:color w:val="FFFFFF"/>
                <w:sz w:val="16"/>
                <w:szCs w:val="16"/>
                <w:lang w:eastAsia="en-AU"/>
              </w:rPr>
              <w:t>NT</w:t>
            </w:r>
          </w:p>
        </w:tc>
        <w:tc>
          <w:tcPr>
            <w:tcW w:w="920" w:type="dxa"/>
            <w:tcBorders>
              <w:top w:val="nil"/>
              <w:left w:val="nil"/>
              <w:bottom w:val="nil"/>
              <w:right w:val="nil"/>
            </w:tcBorders>
            <w:shd w:val="clear" w:color="000000" w:fill="006991"/>
            <w:vAlign w:val="center"/>
            <w:hideMark/>
          </w:tcPr>
          <w:p w14:paraId="47D16646" w14:textId="77777777" w:rsidR="007E365E" w:rsidRPr="00CD61D6"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61D6">
              <w:rPr>
                <w:rFonts w:ascii="Open Sans SemiBold" w:eastAsia="Times New Roman" w:hAnsi="Open Sans SemiBold" w:cs="Open Sans SemiBold"/>
                <w:color w:val="FFFFFF"/>
                <w:sz w:val="16"/>
                <w:szCs w:val="16"/>
                <w:lang w:eastAsia="en-AU"/>
              </w:rPr>
              <w:t>Redist</w:t>
            </w:r>
          </w:p>
        </w:tc>
      </w:tr>
      <w:tr w:rsidR="007E365E" w:rsidRPr="00CD61D6" w14:paraId="1AF77EA2" w14:textId="77777777" w:rsidTr="007D1D77">
        <w:trPr>
          <w:trHeight w:val="315"/>
        </w:trPr>
        <w:tc>
          <w:tcPr>
            <w:tcW w:w="1420" w:type="dxa"/>
            <w:tcBorders>
              <w:top w:val="single" w:sz="4" w:space="0" w:color="ADD6EA"/>
              <w:left w:val="nil"/>
              <w:bottom w:val="single" w:sz="4" w:space="0" w:color="ADD6EA"/>
              <w:right w:val="nil"/>
            </w:tcBorders>
            <w:shd w:val="clear" w:color="auto" w:fill="auto"/>
            <w:noWrap/>
            <w:vAlign w:val="bottom"/>
            <w:hideMark/>
          </w:tcPr>
          <w:p w14:paraId="00B9C827" w14:textId="77777777" w:rsidR="007E365E" w:rsidRPr="00CD61D6" w:rsidRDefault="007E365E" w:rsidP="007D1D77">
            <w:pPr>
              <w:tabs>
                <w:tab w:val="clear" w:pos="567"/>
              </w:tabs>
              <w:spacing w:before="0" w:line="240" w:lineRule="auto"/>
              <w:rPr>
                <w:rFonts w:eastAsia="Times New Roman" w:cs="Open Sans Light"/>
                <w:sz w:val="16"/>
                <w:szCs w:val="16"/>
                <w:lang w:eastAsia="en-AU"/>
              </w:rPr>
            </w:pPr>
            <w:r w:rsidRPr="00CD61D6">
              <w:rPr>
                <w:rFonts w:eastAsia="Times New Roman" w:cs="Open Sans Light"/>
                <w:sz w:val="16"/>
                <w:szCs w:val="16"/>
                <w:lang w:eastAsia="en-AU"/>
              </w:rPr>
              <w:t>$ million</w:t>
            </w:r>
          </w:p>
        </w:tc>
        <w:tc>
          <w:tcPr>
            <w:tcW w:w="860" w:type="dxa"/>
            <w:tcBorders>
              <w:top w:val="single" w:sz="4" w:space="0" w:color="ADD6EA"/>
              <w:left w:val="nil"/>
              <w:bottom w:val="single" w:sz="4" w:space="0" w:color="ADD6EA"/>
              <w:right w:val="nil"/>
            </w:tcBorders>
            <w:shd w:val="clear" w:color="auto" w:fill="auto"/>
            <w:noWrap/>
            <w:vAlign w:val="bottom"/>
            <w:hideMark/>
          </w:tcPr>
          <w:p w14:paraId="7240422D"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-745</w:t>
            </w:r>
          </w:p>
        </w:tc>
        <w:tc>
          <w:tcPr>
            <w:tcW w:w="860" w:type="dxa"/>
            <w:tcBorders>
              <w:top w:val="single" w:sz="4" w:space="0" w:color="ADD6EA"/>
              <w:left w:val="nil"/>
              <w:bottom w:val="single" w:sz="4" w:space="0" w:color="ADD6EA"/>
              <w:right w:val="nil"/>
            </w:tcBorders>
            <w:shd w:val="clear" w:color="auto" w:fill="auto"/>
            <w:noWrap/>
            <w:vAlign w:val="bottom"/>
            <w:hideMark/>
          </w:tcPr>
          <w:p w14:paraId="2637B987"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-668</w:t>
            </w:r>
          </w:p>
        </w:tc>
        <w:tc>
          <w:tcPr>
            <w:tcW w:w="860" w:type="dxa"/>
            <w:tcBorders>
              <w:top w:val="single" w:sz="4" w:space="0" w:color="ADD6EA"/>
              <w:left w:val="nil"/>
              <w:bottom w:val="single" w:sz="4" w:space="0" w:color="ADD6EA"/>
              <w:right w:val="nil"/>
            </w:tcBorders>
            <w:shd w:val="clear" w:color="auto" w:fill="auto"/>
            <w:noWrap/>
            <w:vAlign w:val="bottom"/>
            <w:hideMark/>
          </w:tcPr>
          <w:p w14:paraId="42D534C1"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103</w:t>
            </w:r>
          </w:p>
        </w:tc>
        <w:tc>
          <w:tcPr>
            <w:tcW w:w="780" w:type="dxa"/>
            <w:tcBorders>
              <w:top w:val="single" w:sz="4" w:space="0" w:color="ADD6EA"/>
              <w:left w:val="nil"/>
              <w:bottom w:val="single" w:sz="4" w:space="0" w:color="ADD6EA"/>
              <w:right w:val="nil"/>
            </w:tcBorders>
            <w:shd w:val="clear" w:color="auto" w:fill="auto"/>
            <w:noWrap/>
            <w:vAlign w:val="bottom"/>
            <w:hideMark/>
          </w:tcPr>
          <w:p w14:paraId="0855993F"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216</w:t>
            </w:r>
          </w:p>
        </w:tc>
        <w:tc>
          <w:tcPr>
            <w:tcW w:w="780" w:type="dxa"/>
            <w:tcBorders>
              <w:top w:val="single" w:sz="4" w:space="0" w:color="ADD6EA"/>
              <w:left w:val="nil"/>
              <w:bottom w:val="single" w:sz="4" w:space="0" w:color="ADD6EA"/>
              <w:right w:val="nil"/>
            </w:tcBorders>
            <w:shd w:val="clear" w:color="auto" w:fill="auto"/>
            <w:noWrap/>
            <w:vAlign w:val="bottom"/>
            <w:hideMark/>
          </w:tcPr>
          <w:p w14:paraId="56E4C427"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71</w:t>
            </w:r>
          </w:p>
        </w:tc>
        <w:tc>
          <w:tcPr>
            <w:tcW w:w="780" w:type="dxa"/>
            <w:tcBorders>
              <w:top w:val="single" w:sz="4" w:space="0" w:color="ADD6EA"/>
              <w:left w:val="nil"/>
              <w:bottom w:val="single" w:sz="4" w:space="0" w:color="ADD6EA"/>
              <w:right w:val="nil"/>
            </w:tcBorders>
            <w:shd w:val="clear" w:color="auto" w:fill="auto"/>
            <w:noWrap/>
            <w:vAlign w:val="bottom"/>
            <w:hideMark/>
          </w:tcPr>
          <w:p w14:paraId="2145E3D6"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293</w:t>
            </w:r>
          </w:p>
        </w:tc>
        <w:tc>
          <w:tcPr>
            <w:tcW w:w="780" w:type="dxa"/>
            <w:tcBorders>
              <w:top w:val="single" w:sz="4" w:space="0" w:color="ADD6EA"/>
              <w:left w:val="nil"/>
              <w:bottom w:val="single" w:sz="4" w:space="0" w:color="ADD6EA"/>
              <w:right w:val="nil"/>
            </w:tcBorders>
            <w:shd w:val="clear" w:color="auto" w:fill="auto"/>
            <w:noWrap/>
            <w:vAlign w:val="bottom"/>
            <w:hideMark/>
          </w:tcPr>
          <w:p w14:paraId="11425027"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315</w:t>
            </w:r>
          </w:p>
        </w:tc>
        <w:tc>
          <w:tcPr>
            <w:tcW w:w="840" w:type="dxa"/>
            <w:tcBorders>
              <w:top w:val="single" w:sz="4" w:space="0" w:color="ADD6EA"/>
              <w:left w:val="nil"/>
              <w:bottom w:val="single" w:sz="4" w:space="0" w:color="ADD6EA"/>
              <w:right w:val="nil"/>
            </w:tcBorders>
            <w:shd w:val="clear" w:color="auto" w:fill="auto"/>
            <w:noWrap/>
            <w:vAlign w:val="bottom"/>
            <w:hideMark/>
          </w:tcPr>
          <w:p w14:paraId="38099F9E"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416</w:t>
            </w:r>
          </w:p>
        </w:tc>
        <w:tc>
          <w:tcPr>
            <w:tcW w:w="920" w:type="dxa"/>
            <w:tcBorders>
              <w:top w:val="single" w:sz="4" w:space="0" w:color="ADD6EA"/>
              <w:left w:val="nil"/>
              <w:bottom w:val="single" w:sz="4" w:space="0" w:color="ADD6EA"/>
              <w:right w:val="nil"/>
            </w:tcBorders>
            <w:shd w:val="clear" w:color="auto" w:fill="auto"/>
            <w:noWrap/>
            <w:vAlign w:val="bottom"/>
            <w:hideMark/>
          </w:tcPr>
          <w:p w14:paraId="643D33C2"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1,413</w:t>
            </w:r>
          </w:p>
        </w:tc>
      </w:tr>
      <w:tr w:rsidR="007E365E" w:rsidRPr="00CD61D6" w14:paraId="7CC78837" w14:textId="77777777" w:rsidTr="007D1D77">
        <w:trPr>
          <w:trHeight w:val="315"/>
        </w:trPr>
        <w:tc>
          <w:tcPr>
            <w:tcW w:w="1420" w:type="dxa"/>
            <w:tcBorders>
              <w:top w:val="nil"/>
              <w:left w:val="nil"/>
              <w:bottom w:val="single" w:sz="4" w:space="0" w:color="ADD6EA"/>
              <w:right w:val="nil"/>
            </w:tcBorders>
            <w:shd w:val="clear" w:color="auto" w:fill="auto"/>
            <w:noWrap/>
            <w:vAlign w:val="bottom"/>
            <w:hideMark/>
          </w:tcPr>
          <w:p w14:paraId="23C1C892" w14:textId="77777777" w:rsidR="007E365E" w:rsidRPr="00CD61D6" w:rsidRDefault="007E365E" w:rsidP="007D1D77">
            <w:pPr>
              <w:tabs>
                <w:tab w:val="clear" w:pos="567"/>
              </w:tabs>
              <w:spacing w:before="0" w:line="240" w:lineRule="auto"/>
              <w:rPr>
                <w:rFonts w:eastAsia="Times New Roman" w:cs="Open Sans Light"/>
                <w:sz w:val="16"/>
                <w:szCs w:val="16"/>
                <w:lang w:eastAsia="en-AU"/>
              </w:rPr>
            </w:pPr>
            <w:r w:rsidRPr="00CD61D6">
              <w:rPr>
                <w:rFonts w:eastAsia="Times New Roman" w:cs="Open Sans Light"/>
                <w:sz w:val="16"/>
                <w:szCs w:val="16"/>
                <w:lang w:eastAsia="en-AU"/>
              </w:rPr>
              <w:t>$ per capita</w:t>
            </w:r>
          </w:p>
        </w:tc>
        <w:tc>
          <w:tcPr>
            <w:tcW w:w="860" w:type="dxa"/>
            <w:tcBorders>
              <w:top w:val="nil"/>
              <w:left w:val="nil"/>
              <w:bottom w:val="single" w:sz="4" w:space="0" w:color="ADD6EA"/>
              <w:right w:val="nil"/>
            </w:tcBorders>
            <w:shd w:val="clear" w:color="auto" w:fill="auto"/>
            <w:noWrap/>
            <w:vAlign w:val="bottom"/>
            <w:hideMark/>
          </w:tcPr>
          <w:p w14:paraId="5C3859F6"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-90</w:t>
            </w:r>
          </w:p>
        </w:tc>
        <w:tc>
          <w:tcPr>
            <w:tcW w:w="860" w:type="dxa"/>
            <w:tcBorders>
              <w:top w:val="nil"/>
              <w:left w:val="nil"/>
              <w:bottom w:val="single" w:sz="4" w:space="0" w:color="ADD6EA"/>
              <w:right w:val="nil"/>
            </w:tcBorders>
            <w:shd w:val="clear" w:color="auto" w:fill="auto"/>
            <w:noWrap/>
            <w:vAlign w:val="bottom"/>
            <w:hideMark/>
          </w:tcPr>
          <w:p w14:paraId="78E012CC"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-98</w:t>
            </w:r>
          </w:p>
        </w:tc>
        <w:tc>
          <w:tcPr>
            <w:tcW w:w="860" w:type="dxa"/>
            <w:tcBorders>
              <w:top w:val="nil"/>
              <w:left w:val="nil"/>
              <w:bottom w:val="single" w:sz="4" w:space="0" w:color="ADD6EA"/>
              <w:right w:val="nil"/>
            </w:tcBorders>
            <w:shd w:val="clear" w:color="auto" w:fill="auto"/>
            <w:noWrap/>
            <w:vAlign w:val="bottom"/>
            <w:hideMark/>
          </w:tcPr>
          <w:p w14:paraId="473E138C"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20</w:t>
            </w:r>
          </w:p>
        </w:tc>
        <w:tc>
          <w:tcPr>
            <w:tcW w:w="780" w:type="dxa"/>
            <w:tcBorders>
              <w:top w:val="nil"/>
              <w:left w:val="nil"/>
              <w:bottom w:val="single" w:sz="4" w:space="0" w:color="ADD6EA"/>
              <w:right w:val="nil"/>
            </w:tcBorders>
            <w:shd w:val="clear" w:color="auto" w:fill="auto"/>
            <w:noWrap/>
            <w:vAlign w:val="bottom"/>
            <w:hideMark/>
          </w:tcPr>
          <w:p w14:paraId="3380AA04"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81</w:t>
            </w:r>
          </w:p>
        </w:tc>
        <w:tc>
          <w:tcPr>
            <w:tcW w:w="780" w:type="dxa"/>
            <w:tcBorders>
              <w:top w:val="nil"/>
              <w:left w:val="nil"/>
              <w:bottom w:val="single" w:sz="4" w:space="0" w:color="ADD6EA"/>
              <w:right w:val="nil"/>
            </w:tcBorders>
            <w:shd w:val="clear" w:color="auto" w:fill="auto"/>
            <w:noWrap/>
            <w:vAlign w:val="bottom"/>
            <w:hideMark/>
          </w:tcPr>
          <w:p w14:paraId="6A073238"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40</w:t>
            </w:r>
          </w:p>
        </w:tc>
        <w:tc>
          <w:tcPr>
            <w:tcW w:w="780" w:type="dxa"/>
            <w:tcBorders>
              <w:top w:val="nil"/>
              <w:left w:val="nil"/>
              <w:bottom w:val="single" w:sz="4" w:space="0" w:color="ADD6EA"/>
              <w:right w:val="nil"/>
            </w:tcBorders>
            <w:shd w:val="clear" w:color="auto" w:fill="auto"/>
            <w:noWrap/>
            <w:vAlign w:val="bottom"/>
            <w:hideMark/>
          </w:tcPr>
          <w:p w14:paraId="311E7539"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538</w:t>
            </w:r>
          </w:p>
        </w:tc>
        <w:tc>
          <w:tcPr>
            <w:tcW w:w="780" w:type="dxa"/>
            <w:tcBorders>
              <w:top w:val="nil"/>
              <w:left w:val="nil"/>
              <w:bottom w:val="single" w:sz="4" w:space="0" w:color="ADD6EA"/>
              <w:right w:val="nil"/>
            </w:tcBorders>
            <w:shd w:val="clear" w:color="auto" w:fill="auto"/>
            <w:noWrap/>
            <w:vAlign w:val="bottom"/>
            <w:hideMark/>
          </w:tcPr>
          <w:p w14:paraId="7883CE3D"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715</w:t>
            </w:r>
          </w:p>
        </w:tc>
        <w:tc>
          <w:tcPr>
            <w:tcW w:w="840" w:type="dxa"/>
            <w:tcBorders>
              <w:top w:val="nil"/>
              <w:left w:val="nil"/>
              <w:bottom w:val="single" w:sz="4" w:space="0" w:color="ADD6EA"/>
              <w:right w:val="nil"/>
            </w:tcBorders>
            <w:shd w:val="clear" w:color="auto" w:fill="auto"/>
            <w:noWrap/>
            <w:vAlign w:val="bottom"/>
            <w:hideMark/>
          </w:tcPr>
          <w:p w14:paraId="738C05C0"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1,689</w:t>
            </w:r>
          </w:p>
        </w:tc>
        <w:tc>
          <w:tcPr>
            <w:tcW w:w="920" w:type="dxa"/>
            <w:tcBorders>
              <w:top w:val="nil"/>
              <w:left w:val="nil"/>
              <w:bottom w:val="single" w:sz="4" w:space="0" w:color="ADD6EA"/>
              <w:right w:val="nil"/>
            </w:tcBorders>
            <w:shd w:val="clear" w:color="auto" w:fill="auto"/>
            <w:noWrap/>
            <w:vAlign w:val="bottom"/>
            <w:hideMark/>
          </w:tcPr>
          <w:p w14:paraId="5DC57FDF" w14:textId="77777777" w:rsidR="007E365E" w:rsidRPr="00CD61D6" w:rsidRDefault="007E365E" w:rsidP="007D1D77">
            <w:pPr>
              <w:tabs>
                <w:tab w:val="clear" w:pos="567"/>
              </w:tabs>
              <w:spacing w:before="0" w:line="240" w:lineRule="auto"/>
              <w:jc w:val="right"/>
              <w:rPr>
                <w:rFonts w:eastAsia="Times New Roman" w:cs="Open Sans Light"/>
                <w:sz w:val="16"/>
                <w:szCs w:val="16"/>
                <w:lang w:eastAsia="en-AU"/>
              </w:rPr>
            </w:pPr>
            <w:r w:rsidRPr="00CD61D6">
              <w:rPr>
                <w:rFonts w:eastAsia="Times New Roman" w:cs="Open Sans Light"/>
                <w:sz w:val="16"/>
                <w:szCs w:val="16"/>
                <w:lang w:eastAsia="en-AU"/>
              </w:rPr>
              <w:t>54</w:t>
            </w:r>
          </w:p>
        </w:tc>
      </w:tr>
    </w:tbl>
    <w:p w14:paraId="0DC1B000" w14:textId="77777777" w:rsidR="007E365E" w:rsidRPr="005927E3" w:rsidRDefault="007E365E" w:rsidP="007E365E">
      <w:pPr>
        <w:pStyle w:val="CGCTablenote"/>
      </w:pPr>
      <w:r w:rsidRPr="005927E3">
        <w:t>Note:</w:t>
      </w:r>
      <w:r w:rsidRPr="005927E3">
        <w:tab/>
        <w:t>The redistribution is the difference from an EPC assessment derived using 2016-17 to 2018-19 assessed expenses and 2020-21 GST revenue.</w:t>
      </w:r>
    </w:p>
    <w:p w14:paraId="5A89B9F4" w14:textId="77777777" w:rsidR="007E365E" w:rsidRPr="005927E3" w:rsidRDefault="007E365E" w:rsidP="007E365E">
      <w:pPr>
        <w:pStyle w:val="CGCTablenote"/>
      </w:pPr>
      <w:r w:rsidRPr="005927E3">
        <w:tab/>
        <w:t>This table includes the effect of unwinding the 2019 Update natural disaster relief assessment and adjustment.</w:t>
      </w:r>
    </w:p>
    <w:p w14:paraId="70AFAA31" w14:textId="77777777" w:rsidR="007E365E" w:rsidRPr="005927E3" w:rsidRDefault="007E365E" w:rsidP="007E365E">
      <w:pPr>
        <w:pStyle w:val="CGCTablenote"/>
      </w:pPr>
      <w:r w:rsidRPr="005927E3">
        <w:t>Source:</w:t>
      </w:r>
      <w:r w:rsidRPr="005927E3">
        <w:tab/>
        <w:t>Commission calculation.</w:t>
      </w:r>
    </w:p>
    <w:p w14:paraId="1E2110DD" w14:textId="77777777" w:rsidR="007E365E" w:rsidRPr="005927E3" w:rsidRDefault="007E365E" w:rsidP="007E365E">
      <w:pPr>
        <w:pStyle w:val="CGCParaNumber"/>
      </w:pPr>
      <w:r w:rsidRPr="005927E3">
        <w:t>The main reasons for these redistributions are the differences between States in their administrative scale expenses, regional costs, native title and land rights expenses and natural disaster relief expenses.</w:t>
      </w:r>
    </w:p>
    <w:p w14:paraId="7590B9E3" w14:textId="77777777" w:rsidR="007E365E" w:rsidRPr="005927E3" w:rsidRDefault="007E365E" w:rsidP="007E365E">
      <w:pPr>
        <w:pStyle w:val="CGCParaNumber"/>
      </w:pPr>
      <w:r w:rsidRPr="005927E3">
        <w:t>The main reasons for the redistributions for each State are as follows.</w:t>
      </w:r>
    </w:p>
    <w:p w14:paraId="4C381DDE" w14:textId="77777777" w:rsidR="007E365E" w:rsidRPr="005927E3" w:rsidRDefault="007E365E" w:rsidP="007E365E">
      <w:pPr>
        <w:pStyle w:val="CGCBullet1"/>
      </w:pPr>
      <w:r w:rsidRPr="005927E3">
        <w:t>New South Wales, Victoria and Queensland have below average administrative scale expenses. Other States have above average expenses.</w:t>
      </w:r>
    </w:p>
    <w:p w14:paraId="1FDEB6C6" w14:textId="77777777" w:rsidR="007E365E" w:rsidRPr="005927E3" w:rsidRDefault="007E365E" w:rsidP="007E365E">
      <w:pPr>
        <w:pStyle w:val="CGCBullet1"/>
      </w:pPr>
      <w:r w:rsidRPr="005927E3">
        <w:t>The Northern Territory has above average needs due to regional costs and native title and land rights. Other States have needs that are not materially different from the average.</w:t>
      </w:r>
    </w:p>
    <w:p w14:paraId="3E169DB3" w14:textId="77777777" w:rsidR="007E365E" w:rsidRPr="005927E3" w:rsidRDefault="007E365E" w:rsidP="007E365E">
      <w:pPr>
        <w:pStyle w:val="CGCBullet1"/>
      </w:pPr>
      <w:r w:rsidRPr="005927E3">
        <w:t>Queensland and the Northern Territory have above average per capita natural disaster relief expenses. Other States have below average expenses.</w:t>
      </w:r>
    </w:p>
    <w:p w14:paraId="04ACB8B8" w14:textId="77777777" w:rsidR="007E365E" w:rsidRPr="005927E3" w:rsidRDefault="007E365E" w:rsidP="007E365E">
      <w:pPr>
        <w:pStyle w:val="CGCBullet1"/>
      </w:pPr>
      <w:r w:rsidRPr="005927E3">
        <w:t>The ACT has above average planning needs due to its status as the national capital and associated mandated requirements due to the National Capital Plan.</w:t>
      </w:r>
    </w:p>
    <w:p w14:paraId="71371267" w14:textId="5357273F" w:rsidR="007E365E" w:rsidRPr="005927E3" w:rsidRDefault="007E365E" w:rsidP="007E365E">
      <w:pPr>
        <w:pStyle w:val="CGCParaNumber"/>
      </w:pPr>
      <w:r>
        <w:fldChar w:fldCharType="begin"/>
      </w:r>
      <w:r>
        <w:instrText xml:space="preserve"> REF _Ref32850117 \h </w:instrText>
      </w:r>
      <w:r>
        <w:fldChar w:fldCharType="separate"/>
      </w:r>
      <w:r w:rsidR="007F721A" w:rsidRPr="005927E3">
        <w:t xml:space="preserve">Table </w:t>
      </w:r>
      <w:r w:rsidR="007F721A">
        <w:t>23-</w:t>
      </w:r>
      <w:r w:rsidR="007F721A">
        <w:rPr>
          <w:noProof/>
        </w:rPr>
        <w:t>10</w:t>
      </w:r>
      <w:r>
        <w:fldChar w:fldCharType="end"/>
      </w:r>
      <w:r w:rsidRPr="00542984">
        <w:t xml:space="preserve"> provides a summary of the main disabilities contributing to the redistribution from an EPC assessment for this category. </w:t>
      </w:r>
    </w:p>
    <w:p w14:paraId="68C9F606" w14:textId="533A0A18" w:rsidR="007E365E" w:rsidRPr="005927E3" w:rsidRDefault="007E365E" w:rsidP="007E365E">
      <w:pPr>
        <w:pStyle w:val="Caption"/>
      </w:pPr>
      <w:bookmarkStart w:id="371" w:name="_Ref32850117"/>
      <w:r w:rsidRPr="005927E3">
        <w:lastRenderedPageBreak/>
        <w:t xml:space="preserve">Table </w:t>
      </w:r>
      <w:r>
        <w:t>23-</w:t>
      </w:r>
      <w:fldSimple w:instr=" SEQ Table \* ARABIC ">
        <w:r w:rsidR="007F721A">
          <w:rPr>
            <w:noProof/>
          </w:rPr>
          <w:t>10</w:t>
        </w:r>
      </w:fldSimple>
      <w:bookmarkEnd w:id="371"/>
      <w:r>
        <w:tab/>
        <w:t>M</w:t>
      </w:r>
      <w:r w:rsidRPr="00C5282A">
        <w:t xml:space="preserve">ajor reasons for the </w:t>
      </w:r>
      <w:r>
        <w:t xml:space="preserve">illustrative </w:t>
      </w:r>
      <w:r w:rsidRPr="00C5282A">
        <w:t>redistribution, Other expenses, 2020-21</w:t>
      </w:r>
    </w:p>
    <w:tbl>
      <w:tblPr>
        <w:tblW w:w="8900" w:type="dxa"/>
        <w:tblCellMar>
          <w:left w:w="28" w:type="dxa"/>
          <w:right w:w="28" w:type="dxa"/>
        </w:tblCellMar>
        <w:tblLook w:val="04A0" w:firstRow="1" w:lastRow="0" w:firstColumn="1" w:lastColumn="0" w:noHBand="0" w:noVBand="1"/>
      </w:tblPr>
      <w:tblGrid>
        <w:gridCol w:w="2300"/>
        <w:gridCol w:w="760"/>
        <w:gridCol w:w="760"/>
        <w:gridCol w:w="760"/>
        <w:gridCol w:w="700"/>
        <w:gridCol w:w="700"/>
        <w:gridCol w:w="700"/>
        <w:gridCol w:w="700"/>
        <w:gridCol w:w="700"/>
        <w:gridCol w:w="820"/>
      </w:tblGrid>
      <w:tr w:rsidR="007E365E" w:rsidRPr="00A60447" w14:paraId="2ACEF530" w14:textId="77777777" w:rsidTr="007D1D77">
        <w:trPr>
          <w:trHeight w:val="375"/>
        </w:trPr>
        <w:tc>
          <w:tcPr>
            <w:tcW w:w="2300" w:type="dxa"/>
            <w:tcBorders>
              <w:top w:val="nil"/>
              <w:left w:val="nil"/>
              <w:bottom w:val="nil"/>
              <w:right w:val="nil"/>
            </w:tcBorders>
            <w:shd w:val="clear" w:color="000000" w:fill="006991"/>
            <w:vAlign w:val="center"/>
            <w:hideMark/>
          </w:tcPr>
          <w:p w14:paraId="26F020B8"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0447">
              <w:rPr>
                <w:rFonts w:ascii="Open Sans SemiBold" w:eastAsia="Times New Roman" w:hAnsi="Open Sans SemiBold" w:cs="Open Sans SemiBold"/>
                <w:color w:val="FFFFFF"/>
                <w:sz w:val="16"/>
                <w:szCs w:val="16"/>
                <w:lang w:eastAsia="en-AU"/>
              </w:rPr>
              <w:t> </w:t>
            </w:r>
          </w:p>
        </w:tc>
        <w:tc>
          <w:tcPr>
            <w:tcW w:w="760" w:type="dxa"/>
            <w:tcBorders>
              <w:top w:val="nil"/>
              <w:left w:val="nil"/>
              <w:bottom w:val="nil"/>
              <w:right w:val="nil"/>
            </w:tcBorders>
            <w:shd w:val="clear" w:color="000000" w:fill="006991"/>
            <w:vAlign w:val="center"/>
            <w:hideMark/>
          </w:tcPr>
          <w:p w14:paraId="6523F2D5"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0447">
              <w:rPr>
                <w:rFonts w:ascii="Open Sans SemiBold" w:eastAsia="Times New Roman" w:hAnsi="Open Sans SemiBold" w:cs="Open Sans SemiBold"/>
                <w:color w:val="FFFFFF"/>
                <w:sz w:val="16"/>
                <w:szCs w:val="16"/>
                <w:lang w:eastAsia="en-AU"/>
              </w:rPr>
              <w:t>NSW</w:t>
            </w:r>
          </w:p>
        </w:tc>
        <w:tc>
          <w:tcPr>
            <w:tcW w:w="760" w:type="dxa"/>
            <w:tcBorders>
              <w:top w:val="nil"/>
              <w:left w:val="nil"/>
              <w:bottom w:val="nil"/>
              <w:right w:val="nil"/>
            </w:tcBorders>
            <w:shd w:val="clear" w:color="000000" w:fill="006991"/>
            <w:vAlign w:val="center"/>
            <w:hideMark/>
          </w:tcPr>
          <w:p w14:paraId="2F27B3DD"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0447">
              <w:rPr>
                <w:rFonts w:ascii="Open Sans SemiBold" w:eastAsia="Times New Roman" w:hAnsi="Open Sans SemiBold" w:cs="Open Sans SemiBold"/>
                <w:color w:val="FFFFFF"/>
                <w:sz w:val="16"/>
                <w:szCs w:val="16"/>
                <w:lang w:eastAsia="en-AU"/>
              </w:rPr>
              <w:t>Vic</w:t>
            </w:r>
          </w:p>
        </w:tc>
        <w:tc>
          <w:tcPr>
            <w:tcW w:w="760" w:type="dxa"/>
            <w:tcBorders>
              <w:top w:val="nil"/>
              <w:left w:val="nil"/>
              <w:bottom w:val="nil"/>
              <w:right w:val="nil"/>
            </w:tcBorders>
            <w:shd w:val="clear" w:color="000000" w:fill="006991"/>
            <w:vAlign w:val="center"/>
            <w:hideMark/>
          </w:tcPr>
          <w:p w14:paraId="212C0100"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0447">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302F1D11"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0447">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1A7AD445"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0447">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vAlign w:val="center"/>
            <w:hideMark/>
          </w:tcPr>
          <w:p w14:paraId="752E0C4B"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0447">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029A800D"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0447">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7C2F2E4A"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0447">
              <w:rPr>
                <w:rFonts w:ascii="Open Sans SemiBold" w:eastAsia="Times New Roman" w:hAnsi="Open Sans SemiBold" w:cs="Open Sans SemiBold"/>
                <w:color w:val="FFFFFF"/>
                <w:sz w:val="16"/>
                <w:szCs w:val="16"/>
                <w:lang w:eastAsia="en-AU"/>
              </w:rPr>
              <w:t>NT</w:t>
            </w:r>
          </w:p>
        </w:tc>
        <w:tc>
          <w:tcPr>
            <w:tcW w:w="820" w:type="dxa"/>
            <w:tcBorders>
              <w:top w:val="nil"/>
              <w:left w:val="nil"/>
              <w:bottom w:val="nil"/>
              <w:right w:val="nil"/>
            </w:tcBorders>
            <w:shd w:val="clear" w:color="000000" w:fill="006991"/>
            <w:vAlign w:val="center"/>
            <w:hideMark/>
          </w:tcPr>
          <w:p w14:paraId="390FB63C"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60447">
              <w:rPr>
                <w:rFonts w:ascii="Open Sans SemiBold" w:eastAsia="Times New Roman" w:hAnsi="Open Sans SemiBold" w:cs="Open Sans SemiBold"/>
                <w:color w:val="FFFFFF"/>
                <w:sz w:val="16"/>
                <w:szCs w:val="16"/>
                <w:lang w:eastAsia="en-AU"/>
              </w:rPr>
              <w:t>Redist</w:t>
            </w:r>
          </w:p>
        </w:tc>
      </w:tr>
      <w:tr w:rsidR="007E365E" w:rsidRPr="00A60447" w14:paraId="2C69D502" w14:textId="77777777" w:rsidTr="007D1D77">
        <w:trPr>
          <w:trHeight w:val="259"/>
        </w:trPr>
        <w:tc>
          <w:tcPr>
            <w:tcW w:w="2300" w:type="dxa"/>
            <w:tcBorders>
              <w:top w:val="single" w:sz="4" w:space="0" w:color="ADD6EA"/>
              <w:left w:val="nil"/>
              <w:bottom w:val="single" w:sz="4" w:space="0" w:color="ADD6EA"/>
              <w:right w:val="nil"/>
            </w:tcBorders>
            <w:shd w:val="clear" w:color="000000" w:fill="B6D5E4"/>
            <w:vAlign w:val="center"/>
            <w:hideMark/>
          </w:tcPr>
          <w:p w14:paraId="60A100A9"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 </w:t>
            </w:r>
          </w:p>
        </w:tc>
        <w:tc>
          <w:tcPr>
            <w:tcW w:w="760" w:type="dxa"/>
            <w:tcBorders>
              <w:top w:val="single" w:sz="4" w:space="0" w:color="ADD6EA"/>
              <w:left w:val="nil"/>
              <w:bottom w:val="single" w:sz="4" w:space="0" w:color="ADD6EA"/>
              <w:right w:val="nil"/>
            </w:tcBorders>
            <w:shd w:val="clear" w:color="000000" w:fill="B6D5E4"/>
            <w:vAlign w:val="center"/>
            <w:hideMark/>
          </w:tcPr>
          <w:p w14:paraId="1BA34583"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single" w:sz="4" w:space="0" w:color="ADD6EA"/>
              <w:right w:val="nil"/>
            </w:tcBorders>
            <w:shd w:val="clear" w:color="000000" w:fill="B6D5E4"/>
            <w:vAlign w:val="center"/>
            <w:hideMark/>
          </w:tcPr>
          <w:p w14:paraId="61AE7E91"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single" w:sz="4" w:space="0" w:color="ADD6EA"/>
              <w:right w:val="nil"/>
            </w:tcBorders>
            <w:shd w:val="clear" w:color="000000" w:fill="B6D5E4"/>
            <w:vAlign w:val="center"/>
            <w:hideMark/>
          </w:tcPr>
          <w:p w14:paraId="7E3A618E"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single" w:sz="4" w:space="0" w:color="ADD6EA"/>
              <w:right w:val="nil"/>
            </w:tcBorders>
            <w:shd w:val="clear" w:color="000000" w:fill="B6D5E4"/>
            <w:vAlign w:val="center"/>
            <w:hideMark/>
          </w:tcPr>
          <w:p w14:paraId="20BD7F78"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single" w:sz="4" w:space="0" w:color="ADD6EA"/>
              <w:right w:val="nil"/>
            </w:tcBorders>
            <w:shd w:val="clear" w:color="000000" w:fill="B6D5E4"/>
            <w:vAlign w:val="center"/>
            <w:hideMark/>
          </w:tcPr>
          <w:p w14:paraId="20CFF43D"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single" w:sz="4" w:space="0" w:color="ADD6EA"/>
              <w:right w:val="nil"/>
            </w:tcBorders>
            <w:shd w:val="clear" w:color="000000" w:fill="B6D5E4"/>
            <w:vAlign w:val="center"/>
            <w:hideMark/>
          </w:tcPr>
          <w:p w14:paraId="64D9933D"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single" w:sz="4" w:space="0" w:color="ADD6EA"/>
              <w:right w:val="nil"/>
            </w:tcBorders>
            <w:shd w:val="clear" w:color="000000" w:fill="B6D5E4"/>
            <w:vAlign w:val="center"/>
            <w:hideMark/>
          </w:tcPr>
          <w:p w14:paraId="09F26527"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single" w:sz="4" w:space="0" w:color="ADD6EA"/>
              <w:right w:val="nil"/>
            </w:tcBorders>
            <w:shd w:val="clear" w:color="000000" w:fill="B6D5E4"/>
            <w:vAlign w:val="center"/>
            <w:hideMark/>
          </w:tcPr>
          <w:p w14:paraId="331F426A"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$m</w:t>
            </w:r>
          </w:p>
        </w:tc>
        <w:tc>
          <w:tcPr>
            <w:tcW w:w="820" w:type="dxa"/>
            <w:tcBorders>
              <w:top w:val="single" w:sz="4" w:space="0" w:color="ADD6EA"/>
              <w:left w:val="nil"/>
              <w:bottom w:val="single" w:sz="4" w:space="0" w:color="ADD6EA"/>
              <w:right w:val="nil"/>
            </w:tcBorders>
            <w:shd w:val="clear" w:color="000000" w:fill="B6D5E4"/>
            <w:vAlign w:val="center"/>
            <w:hideMark/>
          </w:tcPr>
          <w:p w14:paraId="5143ADA8"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$m</w:t>
            </w:r>
          </w:p>
        </w:tc>
      </w:tr>
      <w:tr w:rsidR="007E365E" w:rsidRPr="00A60447" w14:paraId="067AAAD5" w14:textId="77777777" w:rsidTr="007D1D77">
        <w:trPr>
          <w:trHeight w:val="315"/>
        </w:trPr>
        <w:tc>
          <w:tcPr>
            <w:tcW w:w="2300" w:type="dxa"/>
            <w:tcBorders>
              <w:top w:val="nil"/>
              <w:left w:val="nil"/>
              <w:bottom w:val="single" w:sz="4" w:space="0" w:color="ADD6EA"/>
              <w:right w:val="nil"/>
            </w:tcBorders>
            <w:shd w:val="clear" w:color="auto" w:fill="auto"/>
            <w:vAlign w:val="bottom"/>
            <w:hideMark/>
          </w:tcPr>
          <w:p w14:paraId="731D726F" w14:textId="77777777" w:rsidR="007E365E" w:rsidRPr="00A60447" w:rsidRDefault="007E365E" w:rsidP="007D1D77">
            <w:pPr>
              <w:tabs>
                <w:tab w:val="clear" w:pos="567"/>
              </w:tabs>
              <w:spacing w:before="0" w:line="240" w:lineRule="auto"/>
              <w:rPr>
                <w:rFonts w:eastAsia="Times New Roman" w:cs="Open Sans Light"/>
                <w:sz w:val="16"/>
                <w:szCs w:val="16"/>
                <w:lang w:eastAsia="en-AU"/>
              </w:rPr>
            </w:pPr>
            <w:r w:rsidRPr="00A60447">
              <w:rPr>
                <w:rFonts w:eastAsia="Times New Roman" w:cs="Open Sans Light"/>
                <w:sz w:val="16"/>
                <w:szCs w:val="16"/>
                <w:lang w:eastAsia="en-AU"/>
              </w:rPr>
              <w:t>Administrative scale</w:t>
            </w:r>
          </w:p>
        </w:tc>
        <w:tc>
          <w:tcPr>
            <w:tcW w:w="760" w:type="dxa"/>
            <w:tcBorders>
              <w:top w:val="nil"/>
              <w:left w:val="nil"/>
              <w:bottom w:val="single" w:sz="4" w:space="0" w:color="ADD6EA"/>
              <w:right w:val="nil"/>
            </w:tcBorders>
            <w:shd w:val="clear" w:color="auto" w:fill="auto"/>
            <w:vAlign w:val="bottom"/>
            <w:hideMark/>
          </w:tcPr>
          <w:p w14:paraId="4BBBFBD1"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-565</w:t>
            </w:r>
          </w:p>
        </w:tc>
        <w:tc>
          <w:tcPr>
            <w:tcW w:w="760" w:type="dxa"/>
            <w:tcBorders>
              <w:top w:val="nil"/>
              <w:left w:val="nil"/>
              <w:bottom w:val="single" w:sz="4" w:space="0" w:color="ADD6EA"/>
              <w:right w:val="nil"/>
            </w:tcBorders>
            <w:shd w:val="clear" w:color="auto" w:fill="auto"/>
            <w:vAlign w:val="bottom"/>
            <w:hideMark/>
          </w:tcPr>
          <w:p w14:paraId="05B8658F"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-391</w:t>
            </w:r>
          </w:p>
        </w:tc>
        <w:tc>
          <w:tcPr>
            <w:tcW w:w="760" w:type="dxa"/>
            <w:tcBorders>
              <w:top w:val="nil"/>
              <w:left w:val="nil"/>
              <w:bottom w:val="single" w:sz="4" w:space="0" w:color="ADD6EA"/>
              <w:right w:val="nil"/>
            </w:tcBorders>
            <w:shd w:val="clear" w:color="auto" w:fill="auto"/>
            <w:vAlign w:val="bottom"/>
            <w:hideMark/>
          </w:tcPr>
          <w:p w14:paraId="0E1CD041"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-217</w:t>
            </w:r>
          </w:p>
        </w:tc>
        <w:tc>
          <w:tcPr>
            <w:tcW w:w="700" w:type="dxa"/>
            <w:tcBorders>
              <w:top w:val="nil"/>
              <w:left w:val="nil"/>
              <w:bottom w:val="single" w:sz="4" w:space="0" w:color="ADD6EA"/>
              <w:right w:val="nil"/>
            </w:tcBorders>
            <w:shd w:val="clear" w:color="auto" w:fill="auto"/>
            <w:vAlign w:val="bottom"/>
            <w:hideMark/>
          </w:tcPr>
          <w:p w14:paraId="026E1506"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64</w:t>
            </w:r>
          </w:p>
        </w:tc>
        <w:tc>
          <w:tcPr>
            <w:tcW w:w="700" w:type="dxa"/>
            <w:tcBorders>
              <w:top w:val="nil"/>
              <w:left w:val="nil"/>
              <w:bottom w:val="single" w:sz="4" w:space="0" w:color="ADD6EA"/>
              <w:right w:val="nil"/>
            </w:tcBorders>
            <w:shd w:val="clear" w:color="auto" w:fill="auto"/>
            <w:vAlign w:val="bottom"/>
            <w:hideMark/>
          </w:tcPr>
          <w:p w14:paraId="54293EA0"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163</w:t>
            </w:r>
          </w:p>
        </w:tc>
        <w:tc>
          <w:tcPr>
            <w:tcW w:w="700" w:type="dxa"/>
            <w:tcBorders>
              <w:top w:val="nil"/>
              <w:left w:val="nil"/>
              <w:bottom w:val="single" w:sz="4" w:space="0" w:color="ADD6EA"/>
              <w:right w:val="nil"/>
            </w:tcBorders>
            <w:shd w:val="clear" w:color="auto" w:fill="auto"/>
            <w:vAlign w:val="bottom"/>
            <w:hideMark/>
          </w:tcPr>
          <w:p w14:paraId="4D5469DA"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305</w:t>
            </w:r>
          </w:p>
        </w:tc>
        <w:tc>
          <w:tcPr>
            <w:tcW w:w="700" w:type="dxa"/>
            <w:tcBorders>
              <w:top w:val="nil"/>
              <w:left w:val="nil"/>
              <w:bottom w:val="single" w:sz="4" w:space="0" w:color="ADD6EA"/>
              <w:right w:val="nil"/>
            </w:tcBorders>
            <w:shd w:val="clear" w:color="auto" w:fill="auto"/>
            <w:vAlign w:val="bottom"/>
            <w:hideMark/>
          </w:tcPr>
          <w:p w14:paraId="3A6DA5FD"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313</w:t>
            </w:r>
          </w:p>
        </w:tc>
        <w:tc>
          <w:tcPr>
            <w:tcW w:w="700" w:type="dxa"/>
            <w:tcBorders>
              <w:top w:val="nil"/>
              <w:left w:val="nil"/>
              <w:bottom w:val="single" w:sz="4" w:space="0" w:color="ADD6EA"/>
              <w:right w:val="nil"/>
            </w:tcBorders>
            <w:shd w:val="clear" w:color="auto" w:fill="auto"/>
            <w:vAlign w:val="bottom"/>
            <w:hideMark/>
          </w:tcPr>
          <w:p w14:paraId="1B85B3ED"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328</w:t>
            </w:r>
          </w:p>
        </w:tc>
        <w:tc>
          <w:tcPr>
            <w:tcW w:w="820" w:type="dxa"/>
            <w:tcBorders>
              <w:top w:val="nil"/>
              <w:left w:val="nil"/>
              <w:bottom w:val="single" w:sz="4" w:space="0" w:color="ADD6EA"/>
              <w:right w:val="nil"/>
            </w:tcBorders>
            <w:shd w:val="clear" w:color="auto" w:fill="auto"/>
            <w:vAlign w:val="bottom"/>
            <w:hideMark/>
          </w:tcPr>
          <w:p w14:paraId="73545CD7"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1,173</w:t>
            </w:r>
          </w:p>
        </w:tc>
      </w:tr>
      <w:tr w:rsidR="007E365E" w:rsidRPr="00A60447" w14:paraId="7934B0BD" w14:textId="77777777" w:rsidTr="007D1D77">
        <w:trPr>
          <w:trHeight w:val="315"/>
        </w:trPr>
        <w:tc>
          <w:tcPr>
            <w:tcW w:w="2300" w:type="dxa"/>
            <w:tcBorders>
              <w:top w:val="nil"/>
              <w:left w:val="nil"/>
              <w:bottom w:val="single" w:sz="4" w:space="0" w:color="ADD6EA"/>
              <w:right w:val="nil"/>
            </w:tcBorders>
            <w:shd w:val="clear" w:color="auto" w:fill="auto"/>
            <w:vAlign w:val="bottom"/>
            <w:hideMark/>
          </w:tcPr>
          <w:p w14:paraId="2AF85145" w14:textId="77777777" w:rsidR="007E365E" w:rsidRPr="00A60447" w:rsidRDefault="007E365E" w:rsidP="007D1D77">
            <w:pPr>
              <w:tabs>
                <w:tab w:val="clear" w:pos="567"/>
              </w:tabs>
              <w:spacing w:before="0" w:line="240" w:lineRule="auto"/>
              <w:rPr>
                <w:rFonts w:eastAsia="Times New Roman" w:cs="Open Sans Light"/>
                <w:sz w:val="16"/>
                <w:szCs w:val="16"/>
                <w:lang w:eastAsia="en-AU"/>
              </w:rPr>
            </w:pPr>
            <w:r w:rsidRPr="00A60447">
              <w:rPr>
                <w:rFonts w:eastAsia="Times New Roman" w:cs="Open Sans Light"/>
                <w:sz w:val="16"/>
                <w:szCs w:val="16"/>
                <w:lang w:eastAsia="en-AU"/>
              </w:rPr>
              <w:t>Natural disaster relief</w:t>
            </w:r>
          </w:p>
        </w:tc>
        <w:tc>
          <w:tcPr>
            <w:tcW w:w="760" w:type="dxa"/>
            <w:tcBorders>
              <w:top w:val="nil"/>
              <w:left w:val="nil"/>
              <w:bottom w:val="single" w:sz="4" w:space="0" w:color="ADD6EA"/>
              <w:right w:val="nil"/>
            </w:tcBorders>
            <w:shd w:val="clear" w:color="auto" w:fill="auto"/>
            <w:vAlign w:val="bottom"/>
            <w:hideMark/>
          </w:tcPr>
          <w:p w14:paraId="13529E22"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-122</w:t>
            </w:r>
          </w:p>
        </w:tc>
        <w:tc>
          <w:tcPr>
            <w:tcW w:w="760" w:type="dxa"/>
            <w:tcBorders>
              <w:top w:val="nil"/>
              <w:left w:val="nil"/>
              <w:bottom w:val="single" w:sz="4" w:space="0" w:color="ADD6EA"/>
              <w:right w:val="nil"/>
            </w:tcBorders>
            <w:shd w:val="clear" w:color="auto" w:fill="auto"/>
            <w:vAlign w:val="bottom"/>
            <w:hideMark/>
          </w:tcPr>
          <w:p w14:paraId="63893E90"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-203</w:t>
            </w:r>
          </w:p>
        </w:tc>
        <w:tc>
          <w:tcPr>
            <w:tcW w:w="760" w:type="dxa"/>
            <w:tcBorders>
              <w:top w:val="nil"/>
              <w:left w:val="nil"/>
              <w:bottom w:val="single" w:sz="4" w:space="0" w:color="ADD6EA"/>
              <w:right w:val="nil"/>
            </w:tcBorders>
            <w:shd w:val="clear" w:color="auto" w:fill="auto"/>
            <w:vAlign w:val="bottom"/>
            <w:hideMark/>
          </w:tcPr>
          <w:p w14:paraId="23320DB4"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308</w:t>
            </w:r>
          </w:p>
        </w:tc>
        <w:tc>
          <w:tcPr>
            <w:tcW w:w="700" w:type="dxa"/>
            <w:tcBorders>
              <w:top w:val="nil"/>
              <w:left w:val="nil"/>
              <w:bottom w:val="single" w:sz="4" w:space="0" w:color="ADD6EA"/>
              <w:right w:val="nil"/>
            </w:tcBorders>
            <w:shd w:val="clear" w:color="auto" w:fill="auto"/>
            <w:vAlign w:val="bottom"/>
            <w:hideMark/>
          </w:tcPr>
          <w:p w14:paraId="524481BD"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72</w:t>
            </w:r>
          </w:p>
        </w:tc>
        <w:tc>
          <w:tcPr>
            <w:tcW w:w="700" w:type="dxa"/>
            <w:tcBorders>
              <w:top w:val="nil"/>
              <w:left w:val="nil"/>
              <w:bottom w:val="single" w:sz="4" w:space="0" w:color="ADD6EA"/>
              <w:right w:val="nil"/>
            </w:tcBorders>
            <w:shd w:val="clear" w:color="auto" w:fill="auto"/>
            <w:vAlign w:val="bottom"/>
            <w:hideMark/>
          </w:tcPr>
          <w:p w14:paraId="29321736"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-72</w:t>
            </w:r>
          </w:p>
        </w:tc>
        <w:tc>
          <w:tcPr>
            <w:tcW w:w="700" w:type="dxa"/>
            <w:tcBorders>
              <w:top w:val="nil"/>
              <w:left w:val="nil"/>
              <w:bottom w:val="single" w:sz="4" w:space="0" w:color="ADD6EA"/>
              <w:right w:val="nil"/>
            </w:tcBorders>
            <w:shd w:val="clear" w:color="auto" w:fill="auto"/>
            <w:vAlign w:val="bottom"/>
            <w:hideMark/>
          </w:tcPr>
          <w:p w14:paraId="01B14D82"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vAlign w:val="bottom"/>
            <w:hideMark/>
          </w:tcPr>
          <w:p w14:paraId="09F7345E"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-17</w:t>
            </w:r>
          </w:p>
        </w:tc>
        <w:tc>
          <w:tcPr>
            <w:tcW w:w="700" w:type="dxa"/>
            <w:tcBorders>
              <w:top w:val="nil"/>
              <w:left w:val="nil"/>
              <w:bottom w:val="single" w:sz="4" w:space="0" w:color="ADD6EA"/>
              <w:right w:val="nil"/>
            </w:tcBorders>
            <w:shd w:val="clear" w:color="auto" w:fill="auto"/>
            <w:vAlign w:val="bottom"/>
            <w:hideMark/>
          </w:tcPr>
          <w:p w14:paraId="6BA0C035"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25</w:t>
            </w:r>
          </w:p>
        </w:tc>
        <w:tc>
          <w:tcPr>
            <w:tcW w:w="820" w:type="dxa"/>
            <w:tcBorders>
              <w:top w:val="nil"/>
              <w:left w:val="nil"/>
              <w:bottom w:val="single" w:sz="4" w:space="0" w:color="ADD6EA"/>
              <w:right w:val="nil"/>
            </w:tcBorders>
            <w:shd w:val="clear" w:color="auto" w:fill="auto"/>
            <w:vAlign w:val="bottom"/>
            <w:hideMark/>
          </w:tcPr>
          <w:p w14:paraId="10FA9BB9"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414</w:t>
            </w:r>
          </w:p>
        </w:tc>
      </w:tr>
      <w:tr w:rsidR="007E365E" w:rsidRPr="00A60447" w14:paraId="4FAB95E0" w14:textId="77777777" w:rsidTr="007D1D77">
        <w:trPr>
          <w:trHeight w:val="315"/>
        </w:trPr>
        <w:tc>
          <w:tcPr>
            <w:tcW w:w="2300" w:type="dxa"/>
            <w:tcBorders>
              <w:top w:val="nil"/>
              <w:left w:val="nil"/>
              <w:bottom w:val="single" w:sz="4" w:space="0" w:color="ADD6EA"/>
              <w:right w:val="nil"/>
            </w:tcBorders>
            <w:shd w:val="clear" w:color="auto" w:fill="auto"/>
            <w:vAlign w:val="bottom"/>
            <w:hideMark/>
          </w:tcPr>
          <w:p w14:paraId="756D4D20" w14:textId="77777777" w:rsidR="007E365E" w:rsidRPr="00A60447" w:rsidRDefault="007E365E" w:rsidP="007D1D77">
            <w:pPr>
              <w:tabs>
                <w:tab w:val="clear" w:pos="567"/>
              </w:tabs>
              <w:spacing w:before="0" w:line="240" w:lineRule="auto"/>
              <w:rPr>
                <w:rFonts w:eastAsia="Times New Roman" w:cs="Open Sans Light"/>
                <w:sz w:val="16"/>
                <w:szCs w:val="16"/>
                <w:lang w:eastAsia="en-AU"/>
              </w:rPr>
            </w:pPr>
            <w:r w:rsidRPr="00A60447">
              <w:rPr>
                <w:rFonts w:eastAsia="Times New Roman" w:cs="Open Sans Light"/>
                <w:sz w:val="16"/>
                <w:szCs w:val="16"/>
                <w:lang w:eastAsia="en-AU"/>
              </w:rPr>
              <w:t>Native title and land rights</w:t>
            </w:r>
          </w:p>
        </w:tc>
        <w:tc>
          <w:tcPr>
            <w:tcW w:w="760" w:type="dxa"/>
            <w:tcBorders>
              <w:top w:val="nil"/>
              <w:left w:val="nil"/>
              <w:bottom w:val="single" w:sz="4" w:space="0" w:color="ADD6EA"/>
              <w:right w:val="nil"/>
            </w:tcBorders>
            <w:shd w:val="clear" w:color="auto" w:fill="auto"/>
            <w:vAlign w:val="bottom"/>
            <w:hideMark/>
          </w:tcPr>
          <w:p w14:paraId="7D34B83C"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-51</w:t>
            </w:r>
          </w:p>
        </w:tc>
        <w:tc>
          <w:tcPr>
            <w:tcW w:w="760" w:type="dxa"/>
            <w:tcBorders>
              <w:top w:val="nil"/>
              <w:left w:val="nil"/>
              <w:bottom w:val="single" w:sz="4" w:space="0" w:color="ADD6EA"/>
              <w:right w:val="nil"/>
            </w:tcBorders>
            <w:shd w:val="clear" w:color="auto" w:fill="auto"/>
            <w:vAlign w:val="bottom"/>
            <w:hideMark/>
          </w:tcPr>
          <w:p w14:paraId="6A8CE07D"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-40</w:t>
            </w:r>
          </w:p>
        </w:tc>
        <w:tc>
          <w:tcPr>
            <w:tcW w:w="760" w:type="dxa"/>
            <w:tcBorders>
              <w:top w:val="nil"/>
              <w:left w:val="nil"/>
              <w:bottom w:val="single" w:sz="4" w:space="0" w:color="ADD6EA"/>
              <w:right w:val="nil"/>
            </w:tcBorders>
            <w:shd w:val="clear" w:color="auto" w:fill="auto"/>
            <w:vAlign w:val="bottom"/>
            <w:hideMark/>
          </w:tcPr>
          <w:p w14:paraId="398CFDA4"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14</w:t>
            </w:r>
          </w:p>
        </w:tc>
        <w:tc>
          <w:tcPr>
            <w:tcW w:w="700" w:type="dxa"/>
            <w:tcBorders>
              <w:top w:val="nil"/>
              <w:left w:val="nil"/>
              <w:bottom w:val="single" w:sz="4" w:space="0" w:color="ADD6EA"/>
              <w:right w:val="nil"/>
            </w:tcBorders>
            <w:shd w:val="clear" w:color="auto" w:fill="auto"/>
            <w:vAlign w:val="bottom"/>
            <w:hideMark/>
          </w:tcPr>
          <w:p w14:paraId="70EB5B6F"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51</w:t>
            </w:r>
          </w:p>
        </w:tc>
        <w:tc>
          <w:tcPr>
            <w:tcW w:w="700" w:type="dxa"/>
            <w:tcBorders>
              <w:top w:val="nil"/>
              <w:left w:val="nil"/>
              <w:bottom w:val="single" w:sz="4" w:space="0" w:color="ADD6EA"/>
              <w:right w:val="nil"/>
            </w:tcBorders>
            <w:shd w:val="clear" w:color="auto" w:fill="auto"/>
            <w:vAlign w:val="bottom"/>
            <w:hideMark/>
          </w:tcPr>
          <w:p w14:paraId="101FAFE2"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2AAB1CA3"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vAlign w:val="bottom"/>
            <w:hideMark/>
          </w:tcPr>
          <w:p w14:paraId="01766126"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-3</w:t>
            </w:r>
          </w:p>
        </w:tc>
        <w:tc>
          <w:tcPr>
            <w:tcW w:w="700" w:type="dxa"/>
            <w:tcBorders>
              <w:top w:val="nil"/>
              <w:left w:val="nil"/>
              <w:bottom w:val="single" w:sz="4" w:space="0" w:color="ADD6EA"/>
              <w:right w:val="nil"/>
            </w:tcBorders>
            <w:shd w:val="clear" w:color="auto" w:fill="auto"/>
            <w:vAlign w:val="bottom"/>
            <w:hideMark/>
          </w:tcPr>
          <w:p w14:paraId="3579B0AB"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35</w:t>
            </w:r>
          </w:p>
        </w:tc>
        <w:tc>
          <w:tcPr>
            <w:tcW w:w="820" w:type="dxa"/>
            <w:tcBorders>
              <w:top w:val="nil"/>
              <w:left w:val="nil"/>
              <w:bottom w:val="single" w:sz="4" w:space="0" w:color="ADD6EA"/>
              <w:right w:val="nil"/>
            </w:tcBorders>
            <w:shd w:val="clear" w:color="auto" w:fill="auto"/>
            <w:vAlign w:val="bottom"/>
            <w:hideMark/>
          </w:tcPr>
          <w:p w14:paraId="187B5D00"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100</w:t>
            </w:r>
          </w:p>
        </w:tc>
      </w:tr>
      <w:tr w:rsidR="007E365E" w:rsidRPr="00A60447" w14:paraId="0ABF45AE" w14:textId="77777777" w:rsidTr="007D1D77">
        <w:trPr>
          <w:trHeight w:val="315"/>
        </w:trPr>
        <w:tc>
          <w:tcPr>
            <w:tcW w:w="2300" w:type="dxa"/>
            <w:tcBorders>
              <w:top w:val="nil"/>
              <w:left w:val="nil"/>
              <w:bottom w:val="single" w:sz="4" w:space="0" w:color="ADD6EA"/>
              <w:right w:val="nil"/>
            </w:tcBorders>
            <w:shd w:val="clear" w:color="auto" w:fill="auto"/>
            <w:vAlign w:val="bottom"/>
            <w:hideMark/>
          </w:tcPr>
          <w:p w14:paraId="04A19A28" w14:textId="77777777" w:rsidR="007E365E" w:rsidRPr="00A60447" w:rsidRDefault="007E365E" w:rsidP="007D1D77">
            <w:pPr>
              <w:tabs>
                <w:tab w:val="clear" w:pos="567"/>
              </w:tabs>
              <w:spacing w:before="0" w:line="240" w:lineRule="auto"/>
              <w:rPr>
                <w:rFonts w:eastAsia="Times New Roman" w:cs="Open Sans Light"/>
                <w:sz w:val="16"/>
                <w:szCs w:val="16"/>
                <w:lang w:eastAsia="en-AU"/>
              </w:rPr>
            </w:pPr>
            <w:r w:rsidRPr="00A60447">
              <w:rPr>
                <w:rFonts w:eastAsia="Times New Roman" w:cs="Open Sans Light"/>
                <w:sz w:val="16"/>
                <w:szCs w:val="16"/>
                <w:lang w:eastAsia="en-AU"/>
              </w:rPr>
              <w:t>Wage costs</w:t>
            </w:r>
          </w:p>
        </w:tc>
        <w:tc>
          <w:tcPr>
            <w:tcW w:w="760" w:type="dxa"/>
            <w:tcBorders>
              <w:top w:val="nil"/>
              <w:left w:val="nil"/>
              <w:bottom w:val="single" w:sz="4" w:space="0" w:color="ADD6EA"/>
              <w:right w:val="nil"/>
            </w:tcBorders>
            <w:shd w:val="clear" w:color="auto" w:fill="auto"/>
            <w:vAlign w:val="bottom"/>
            <w:hideMark/>
          </w:tcPr>
          <w:p w14:paraId="46A39399"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auto" w:fill="auto"/>
            <w:vAlign w:val="bottom"/>
            <w:hideMark/>
          </w:tcPr>
          <w:p w14:paraId="0C622EB9"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auto" w:fill="auto"/>
            <w:vAlign w:val="bottom"/>
            <w:hideMark/>
          </w:tcPr>
          <w:p w14:paraId="2DA73664"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-12</w:t>
            </w:r>
          </w:p>
        </w:tc>
        <w:tc>
          <w:tcPr>
            <w:tcW w:w="700" w:type="dxa"/>
            <w:tcBorders>
              <w:top w:val="nil"/>
              <w:left w:val="nil"/>
              <w:bottom w:val="single" w:sz="4" w:space="0" w:color="ADD6EA"/>
              <w:right w:val="nil"/>
            </w:tcBorders>
            <w:shd w:val="clear" w:color="auto" w:fill="auto"/>
            <w:vAlign w:val="bottom"/>
            <w:hideMark/>
          </w:tcPr>
          <w:p w14:paraId="02DE633D"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17</w:t>
            </w:r>
          </w:p>
        </w:tc>
        <w:tc>
          <w:tcPr>
            <w:tcW w:w="700" w:type="dxa"/>
            <w:tcBorders>
              <w:top w:val="nil"/>
              <w:left w:val="nil"/>
              <w:bottom w:val="single" w:sz="4" w:space="0" w:color="ADD6EA"/>
              <w:right w:val="nil"/>
            </w:tcBorders>
            <w:shd w:val="clear" w:color="auto" w:fill="auto"/>
            <w:vAlign w:val="bottom"/>
            <w:hideMark/>
          </w:tcPr>
          <w:p w14:paraId="2891C486"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-21</w:t>
            </w:r>
          </w:p>
        </w:tc>
        <w:tc>
          <w:tcPr>
            <w:tcW w:w="700" w:type="dxa"/>
            <w:tcBorders>
              <w:top w:val="nil"/>
              <w:left w:val="nil"/>
              <w:bottom w:val="single" w:sz="4" w:space="0" w:color="ADD6EA"/>
              <w:right w:val="nil"/>
            </w:tcBorders>
            <w:shd w:val="clear" w:color="auto" w:fill="auto"/>
            <w:vAlign w:val="bottom"/>
            <w:hideMark/>
          </w:tcPr>
          <w:p w14:paraId="7B2D0658"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-20</w:t>
            </w:r>
          </w:p>
        </w:tc>
        <w:tc>
          <w:tcPr>
            <w:tcW w:w="700" w:type="dxa"/>
            <w:tcBorders>
              <w:top w:val="nil"/>
              <w:left w:val="nil"/>
              <w:bottom w:val="single" w:sz="4" w:space="0" w:color="ADD6EA"/>
              <w:right w:val="nil"/>
            </w:tcBorders>
            <w:shd w:val="clear" w:color="auto" w:fill="auto"/>
            <w:vAlign w:val="bottom"/>
            <w:hideMark/>
          </w:tcPr>
          <w:p w14:paraId="0959619F"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17</w:t>
            </w:r>
          </w:p>
        </w:tc>
        <w:tc>
          <w:tcPr>
            <w:tcW w:w="700" w:type="dxa"/>
            <w:tcBorders>
              <w:top w:val="nil"/>
              <w:left w:val="nil"/>
              <w:bottom w:val="single" w:sz="4" w:space="0" w:color="ADD6EA"/>
              <w:right w:val="nil"/>
            </w:tcBorders>
            <w:shd w:val="clear" w:color="auto" w:fill="auto"/>
            <w:vAlign w:val="bottom"/>
            <w:hideMark/>
          </w:tcPr>
          <w:p w14:paraId="4502C9C8"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13</w:t>
            </w:r>
          </w:p>
        </w:tc>
        <w:tc>
          <w:tcPr>
            <w:tcW w:w="820" w:type="dxa"/>
            <w:tcBorders>
              <w:top w:val="nil"/>
              <w:left w:val="nil"/>
              <w:bottom w:val="single" w:sz="4" w:space="0" w:color="ADD6EA"/>
              <w:right w:val="nil"/>
            </w:tcBorders>
            <w:shd w:val="clear" w:color="auto" w:fill="auto"/>
            <w:vAlign w:val="bottom"/>
            <w:hideMark/>
          </w:tcPr>
          <w:p w14:paraId="1703E044"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62</w:t>
            </w:r>
          </w:p>
        </w:tc>
      </w:tr>
      <w:tr w:rsidR="007E365E" w:rsidRPr="00A60447" w14:paraId="4ED869B7" w14:textId="77777777" w:rsidTr="007D1D77">
        <w:trPr>
          <w:trHeight w:val="315"/>
        </w:trPr>
        <w:tc>
          <w:tcPr>
            <w:tcW w:w="2300" w:type="dxa"/>
            <w:tcBorders>
              <w:top w:val="nil"/>
              <w:left w:val="nil"/>
              <w:bottom w:val="single" w:sz="4" w:space="0" w:color="ADD6EA"/>
              <w:right w:val="nil"/>
            </w:tcBorders>
            <w:shd w:val="clear" w:color="auto" w:fill="auto"/>
            <w:vAlign w:val="bottom"/>
            <w:hideMark/>
          </w:tcPr>
          <w:p w14:paraId="66E0E7CB" w14:textId="77777777" w:rsidR="007E365E" w:rsidRPr="00A60447" w:rsidRDefault="007E365E" w:rsidP="007D1D77">
            <w:pPr>
              <w:tabs>
                <w:tab w:val="clear" w:pos="567"/>
              </w:tabs>
              <w:spacing w:before="0" w:line="240" w:lineRule="auto"/>
              <w:rPr>
                <w:rFonts w:eastAsia="Times New Roman" w:cs="Open Sans Light"/>
                <w:sz w:val="16"/>
                <w:szCs w:val="16"/>
                <w:lang w:eastAsia="en-AU"/>
              </w:rPr>
            </w:pPr>
            <w:r w:rsidRPr="00A60447">
              <w:rPr>
                <w:rFonts w:eastAsia="Times New Roman" w:cs="Open Sans Light"/>
                <w:sz w:val="16"/>
                <w:szCs w:val="16"/>
                <w:lang w:eastAsia="en-AU"/>
              </w:rPr>
              <w:t>Regional costs</w:t>
            </w:r>
          </w:p>
        </w:tc>
        <w:tc>
          <w:tcPr>
            <w:tcW w:w="760" w:type="dxa"/>
            <w:tcBorders>
              <w:top w:val="nil"/>
              <w:left w:val="nil"/>
              <w:bottom w:val="single" w:sz="4" w:space="0" w:color="ADD6EA"/>
              <w:right w:val="nil"/>
            </w:tcBorders>
            <w:shd w:val="clear" w:color="auto" w:fill="auto"/>
            <w:vAlign w:val="bottom"/>
            <w:hideMark/>
          </w:tcPr>
          <w:p w14:paraId="5D2950CE"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-20</w:t>
            </w:r>
          </w:p>
        </w:tc>
        <w:tc>
          <w:tcPr>
            <w:tcW w:w="760" w:type="dxa"/>
            <w:tcBorders>
              <w:top w:val="nil"/>
              <w:left w:val="nil"/>
              <w:bottom w:val="single" w:sz="4" w:space="0" w:color="ADD6EA"/>
              <w:right w:val="nil"/>
            </w:tcBorders>
            <w:shd w:val="clear" w:color="auto" w:fill="auto"/>
            <w:vAlign w:val="bottom"/>
            <w:hideMark/>
          </w:tcPr>
          <w:p w14:paraId="150DC48F"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-23</w:t>
            </w:r>
          </w:p>
        </w:tc>
        <w:tc>
          <w:tcPr>
            <w:tcW w:w="760" w:type="dxa"/>
            <w:tcBorders>
              <w:top w:val="nil"/>
              <w:left w:val="nil"/>
              <w:bottom w:val="single" w:sz="4" w:space="0" w:color="ADD6EA"/>
              <w:right w:val="nil"/>
            </w:tcBorders>
            <w:shd w:val="clear" w:color="auto" w:fill="auto"/>
            <w:vAlign w:val="bottom"/>
            <w:hideMark/>
          </w:tcPr>
          <w:p w14:paraId="4C3A4DA2"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11</w:t>
            </w:r>
          </w:p>
        </w:tc>
        <w:tc>
          <w:tcPr>
            <w:tcW w:w="700" w:type="dxa"/>
            <w:tcBorders>
              <w:top w:val="nil"/>
              <w:left w:val="nil"/>
              <w:bottom w:val="single" w:sz="4" w:space="0" w:color="ADD6EA"/>
              <w:right w:val="nil"/>
            </w:tcBorders>
            <w:shd w:val="clear" w:color="auto" w:fill="auto"/>
            <w:vAlign w:val="bottom"/>
            <w:hideMark/>
          </w:tcPr>
          <w:p w14:paraId="73C115B7"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13</w:t>
            </w:r>
          </w:p>
        </w:tc>
        <w:tc>
          <w:tcPr>
            <w:tcW w:w="700" w:type="dxa"/>
            <w:tcBorders>
              <w:top w:val="nil"/>
              <w:left w:val="nil"/>
              <w:bottom w:val="single" w:sz="4" w:space="0" w:color="ADD6EA"/>
              <w:right w:val="nil"/>
            </w:tcBorders>
            <w:shd w:val="clear" w:color="auto" w:fill="auto"/>
            <w:vAlign w:val="bottom"/>
            <w:hideMark/>
          </w:tcPr>
          <w:p w14:paraId="516B13D3"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vAlign w:val="bottom"/>
            <w:hideMark/>
          </w:tcPr>
          <w:p w14:paraId="13E479B8"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3</w:t>
            </w:r>
          </w:p>
        </w:tc>
        <w:tc>
          <w:tcPr>
            <w:tcW w:w="700" w:type="dxa"/>
            <w:tcBorders>
              <w:top w:val="nil"/>
              <w:left w:val="nil"/>
              <w:bottom w:val="single" w:sz="4" w:space="0" w:color="ADD6EA"/>
              <w:right w:val="nil"/>
            </w:tcBorders>
            <w:shd w:val="clear" w:color="auto" w:fill="auto"/>
            <w:vAlign w:val="bottom"/>
            <w:hideMark/>
          </w:tcPr>
          <w:p w14:paraId="3F1E492E"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vAlign w:val="bottom"/>
            <w:hideMark/>
          </w:tcPr>
          <w:p w14:paraId="07EA528A"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15</w:t>
            </w:r>
          </w:p>
        </w:tc>
        <w:tc>
          <w:tcPr>
            <w:tcW w:w="820" w:type="dxa"/>
            <w:tcBorders>
              <w:top w:val="nil"/>
              <w:left w:val="nil"/>
              <w:bottom w:val="single" w:sz="4" w:space="0" w:color="ADD6EA"/>
              <w:right w:val="nil"/>
            </w:tcBorders>
            <w:shd w:val="clear" w:color="auto" w:fill="auto"/>
            <w:vAlign w:val="bottom"/>
            <w:hideMark/>
          </w:tcPr>
          <w:p w14:paraId="436D3008"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45</w:t>
            </w:r>
          </w:p>
        </w:tc>
      </w:tr>
      <w:tr w:rsidR="007E365E" w:rsidRPr="00A60447" w14:paraId="7C731FC5" w14:textId="77777777" w:rsidTr="007D1D77">
        <w:trPr>
          <w:trHeight w:val="315"/>
        </w:trPr>
        <w:tc>
          <w:tcPr>
            <w:tcW w:w="2300" w:type="dxa"/>
            <w:tcBorders>
              <w:top w:val="nil"/>
              <w:left w:val="nil"/>
              <w:bottom w:val="single" w:sz="4" w:space="0" w:color="ADD6EA"/>
              <w:right w:val="nil"/>
            </w:tcBorders>
            <w:shd w:val="clear" w:color="auto" w:fill="auto"/>
            <w:vAlign w:val="bottom"/>
            <w:hideMark/>
          </w:tcPr>
          <w:p w14:paraId="5F5C5DE8" w14:textId="77777777" w:rsidR="007E365E" w:rsidRPr="00A60447" w:rsidRDefault="007E365E" w:rsidP="007D1D77">
            <w:pPr>
              <w:tabs>
                <w:tab w:val="clear" w:pos="567"/>
              </w:tabs>
              <w:spacing w:before="0" w:line="240" w:lineRule="auto"/>
              <w:rPr>
                <w:rFonts w:eastAsia="Times New Roman" w:cs="Open Sans Light"/>
                <w:sz w:val="16"/>
                <w:szCs w:val="16"/>
                <w:lang w:eastAsia="en-AU"/>
              </w:rPr>
            </w:pPr>
            <w:r w:rsidRPr="00A60447">
              <w:rPr>
                <w:rFonts w:eastAsia="Times New Roman" w:cs="Open Sans Light"/>
                <w:sz w:val="16"/>
                <w:szCs w:val="16"/>
                <w:lang w:eastAsia="en-AU"/>
              </w:rPr>
              <w:t>National capital</w:t>
            </w:r>
          </w:p>
        </w:tc>
        <w:tc>
          <w:tcPr>
            <w:tcW w:w="760" w:type="dxa"/>
            <w:tcBorders>
              <w:top w:val="nil"/>
              <w:left w:val="nil"/>
              <w:bottom w:val="single" w:sz="4" w:space="0" w:color="ADD6EA"/>
              <w:right w:val="nil"/>
            </w:tcBorders>
            <w:shd w:val="clear" w:color="auto" w:fill="auto"/>
            <w:vAlign w:val="bottom"/>
            <w:hideMark/>
          </w:tcPr>
          <w:p w14:paraId="758B719B"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01924FD5"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650D500E"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4AC51356"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-1</w:t>
            </w:r>
          </w:p>
        </w:tc>
        <w:tc>
          <w:tcPr>
            <w:tcW w:w="700" w:type="dxa"/>
            <w:tcBorders>
              <w:top w:val="nil"/>
              <w:left w:val="nil"/>
              <w:bottom w:val="single" w:sz="4" w:space="0" w:color="ADD6EA"/>
              <w:right w:val="nil"/>
            </w:tcBorders>
            <w:shd w:val="clear" w:color="auto" w:fill="auto"/>
            <w:vAlign w:val="bottom"/>
            <w:hideMark/>
          </w:tcPr>
          <w:p w14:paraId="05839EEA"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2574343A"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vAlign w:val="bottom"/>
            <w:hideMark/>
          </w:tcPr>
          <w:p w14:paraId="760457E7"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7</w:t>
            </w:r>
          </w:p>
        </w:tc>
        <w:tc>
          <w:tcPr>
            <w:tcW w:w="700" w:type="dxa"/>
            <w:tcBorders>
              <w:top w:val="nil"/>
              <w:left w:val="nil"/>
              <w:bottom w:val="single" w:sz="4" w:space="0" w:color="ADD6EA"/>
              <w:right w:val="nil"/>
            </w:tcBorders>
            <w:shd w:val="clear" w:color="auto" w:fill="auto"/>
            <w:vAlign w:val="bottom"/>
            <w:hideMark/>
          </w:tcPr>
          <w:p w14:paraId="1FAD3A06"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0</w:t>
            </w:r>
          </w:p>
        </w:tc>
        <w:tc>
          <w:tcPr>
            <w:tcW w:w="820" w:type="dxa"/>
            <w:tcBorders>
              <w:top w:val="nil"/>
              <w:left w:val="nil"/>
              <w:bottom w:val="single" w:sz="4" w:space="0" w:color="ADD6EA"/>
              <w:right w:val="nil"/>
            </w:tcBorders>
            <w:shd w:val="clear" w:color="auto" w:fill="auto"/>
            <w:vAlign w:val="bottom"/>
            <w:hideMark/>
          </w:tcPr>
          <w:p w14:paraId="5397AA75" w14:textId="77777777" w:rsidR="007E365E" w:rsidRPr="00A60447" w:rsidRDefault="007E365E" w:rsidP="007D1D77">
            <w:pPr>
              <w:tabs>
                <w:tab w:val="clear" w:pos="567"/>
              </w:tabs>
              <w:spacing w:before="0" w:line="240" w:lineRule="auto"/>
              <w:jc w:val="right"/>
              <w:rPr>
                <w:rFonts w:eastAsia="Times New Roman" w:cs="Open Sans Light"/>
                <w:sz w:val="16"/>
                <w:szCs w:val="16"/>
                <w:lang w:eastAsia="en-AU"/>
              </w:rPr>
            </w:pPr>
            <w:r w:rsidRPr="00A60447">
              <w:rPr>
                <w:rFonts w:eastAsia="Times New Roman" w:cs="Open Sans Light"/>
                <w:sz w:val="16"/>
                <w:szCs w:val="16"/>
                <w:lang w:eastAsia="en-AU"/>
              </w:rPr>
              <w:t>7</w:t>
            </w:r>
          </w:p>
        </w:tc>
      </w:tr>
      <w:tr w:rsidR="007E365E" w:rsidRPr="00A60447" w14:paraId="346D1F90" w14:textId="77777777" w:rsidTr="007D1D77">
        <w:trPr>
          <w:trHeight w:val="315"/>
        </w:trPr>
        <w:tc>
          <w:tcPr>
            <w:tcW w:w="2300" w:type="dxa"/>
            <w:tcBorders>
              <w:top w:val="nil"/>
              <w:left w:val="nil"/>
              <w:bottom w:val="single" w:sz="4" w:space="0" w:color="ADD6EA"/>
              <w:right w:val="nil"/>
            </w:tcBorders>
            <w:shd w:val="clear" w:color="000000" w:fill="D6E7F0"/>
            <w:vAlign w:val="bottom"/>
            <w:hideMark/>
          </w:tcPr>
          <w:p w14:paraId="6796BD87" w14:textId="77777777" w:rsidR="007E365E" w:rsidRPr="00A60447"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1CF1D2B7"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-745</w:t>
            </w:r>
          </w:p>
        </w:tc>
        <w:tc>
          <w:tcPr>
            <w:tcW w:w="760" w:type="dxa"/>
            <w:tcBorders>
              <w:top w:val="nil"/>
              <w:left w:val="nil"/>
              <w:bottom w:val="single" w:sz="4" w:space="0" w:color="ADD6EA"/>
              <w:right w:val="nil"/>
            </w:tcBorders>
            <w:shd w:val="clear" w:color="000000" w:fill="D6E7F0"/>
            <w:vAlign w:val="bottom"/>
            <w:hideMark/>
          </w:tcPr>
          <w:p w14:paraId="042D74D3"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-668</w:t>
            </w:r>
          </w:p>
        </w:tc>
        <w:tc>
          <w:tcPr>
            <w:tcW w:w="760" w:type="dxa"/>
            <w:tcBorders>
              <w:top w:val="nil"/>
              <w:left w:val="nil"/>
              <w:bottom w:val="single" w:sz="4" w:space="0" w:color="ADD6EA"/>
              <w:right w:val="nil"/>
            </w:tcBorders>
            <w:shd w:val="clear" w:color="000000" w:fill="D6E7F0"/>
            <w:vAlign w:val="bottom"/>
            <w:hideMark/>
          </w:tcPr>
          <w:p w14:paraId="5EE77AEC"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103</w:t>
            </w:r>
          </w:p>
        </w:tc>
        <w:tc>
          <w:tcPr>
            <w:tcW w:w="700" w:type="dxa"/>
            <w:tcBorders>
              <w:top w:val="nil"/>
              <w:left w:val="nil"/>
              <w:bottom w:val="single" w:sz="4" w:space="0" w:color="ADD6EA"/>
              <w:right w:val="nil"/>
            </w:tcBorders>
            <w:shd w:val="clear" w:color="000000" w:fill="D6E7F0"/>
            <w:vAlign w:val="bottom"/>
            <w:hideMark/>
          </w:tcPr>
          <w:p w14:paraId="71639961"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216</w:t>
            </w:r>
          </w:p>
        </w:tc>
        <w:tc>
          <w:tcPr>
            <w:tcW w:w="700" w:type="dxa"/>
            <w:tcBorders>
              <w:top w:val="nil"/>
              <w:left w:val="nil"/>
              <w:bottom w:val="single" w:sz="4" w:space="0" w:color="ADD6EA"/>
              <w:right w:val="nil"/>
            </w:tcBorders>
            <w:shd w:val="clear" w:color="000000" w:fill="D6E7F0"/>
            <w:vAlign w:val="bottom"/>
            <w:hideMark/>
          </w:tcPr>
          <w:p w14:paraId="150022CA"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71</w:t>
            </w:r>
          </w:p>
        </w:tc>
        <w:tc>
          <w:tcPr>
            <w:tcW w:w="700" w:type="dxa"/>
            <w:tcBorders>
              <w:top w:val="nil"/>
              <w:left w:val="nil"/>
              <w:bottom w:val="single" w:sz="4" w:space="0" w:color="ADD6EA"/>
              <w:right w:val="nil"/>
            </w:tcBorders>
            <w:shd w:val="clear" w:color="000000" w:fill="D6E7F0"/>
            <w:vAlign w:val="bottom"/>
            <w:hideMark/>
          </w:tcPr>
          <w:p w14:paraId="41435F4C"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293</w:t>
            </w:r>
          </w:p>
        </w:tc>
        <w:tc>
          <w:tcPr>
            <w:tcW w:w="700" w:type="dxa"/>
            <w:tcBorders>
              <w:top w:val="nil"/>
              <w:left w:val="nil"/>
              <w:bottom w:val="single" w:sz="4" w:space="0" w:color="ADD6EA"/>
              <w:right w:val="nil"/>
            </w:tcBorders>
            <w:shd w:val="clear" w:color="000000" w:fill="D6E7F0"/>
            <w:vAlign w:val="bottom"/>
            <w:hideMark/>
          </w:tcPr>
          <w:p w14:paraId="50ABBE20"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315</w:t>
            </w:r>
          </w:p>
        </w:tc>
        <w:tc>
          <w:tcPr>
            <w:tcW w:w="700" w:type="dxa"/>
            <w:tcBorders>
              <w:top w:val="nil"/>
              <w:left w:val="nil"/>
              <w:bottom w:val="single" w:sz="4" w:space="0" w:color="ADD6EA"/>
              <w:right w:val="nil"/>
            </w:tcBorders>
            <w:shd w:val="clear" w:color="000000" w:fill="D6E7F0"/>
            <w:vAlign w:val="bottom"/>
            <w:hideMark/>
          </w:tcPr>
          <w:p w14:paraId="67A9B175"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416</w:t>
            </w:r>
          </w:p>
        </w:tc>
        <w:tc>
          <w:tcPr>
            <w:tcW w:w="820" w:type="dxa"/>
            <w:tcBorders>
              <w:top w:val="nil"/>
              <w:left w:val="nil"/>
              <w:bottom w:val="single" w:sz="4" w:space="0" w:color="ADD6EA"/>
              <w:right w:val="nil"/>
            </w:tcBorders>
            <w:shd w:val="clear" w:color="000000" w:fill="D6E7F0"/>
            <w:vAlign w:val="bottom"/>
            <w:hideMark/>
          </w:tcPr>
          <w:p w14:paraId="7409BB8E" w14:textId="77777777" w:rsidR="007E365E" w:rsidRPr="00A60447"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60447">
              <w:rPr>
                <w:rFonts w:ascii="Open Sans SemiBold" w:eastAsia="Times New Roman" w:hAnsi="Open Sans SemiBold" w:cs="Open Sans SemiBold"/>
                <w:color w:val="000000"/>
                <w:sz w:val="16"/>
                <w:szCs w:val="16"/>
                <w:lang w:eastAsia="en-AU"/>
              </w:rPr>
              <w:t>1,413</w:t>
            </w:r>
          </w:p>
        </w:tc>
      </w:tr>
    </w:tbl>
    <w:p w14:paraId="59609D38" w14:textId="77777777" w:rsidR="007E365E" w:rsidRPr="005927E3" w:rsidRDefault="007E365E" w:rsidP="007E365E">
      <w:pPr>
        <w:pStyle w:val="CGCTablenote"/>
      </w:pPr>
      <w:r w:rsidRPr="005927E3">
        <w:t>Note:</w:t>
      </w:r>
      <w:r w:rsidRPr="005927E3">
        <w:tab/>
        <w:t>The redistributions from an EPC assessment are illustrative. Disabilities may not add due to rounding.</w:t>
      </w:r>
    </w:p>
    <w:p w14:paraId="6A7C593D" w14:textId="77777777" w:rsidR="007E365E" w:rsidRPr="005927E3" w:rsidRDefault="007E365E" w:rsidP="007E365E">
      <w:pPr>
        <w:pStyle w:val="CGCTablenote"/>
      </w:pPr>
      <w:r w:rsidRPr="005927E3">
        <w:t>Source:</w:t>
      </w:r>
      <w:r w:rsidRPr="005927E3">
        <w:tab/>
        <w:t>Commission calculation.</w:t>
      </w:r>
    </w:p>
    <w:p w14:paraId="3F786894" w14:textId="77777777" w:rsidR="007E365E" w:rsidRPr="005927E3" w:rsidRDefault="007E365E" w:rsidP="007E365E">
      <w:pPr>
        <w:pStyle w:val="Heading3"/>
      </w:pPr>
      <w:bookmarkStart w:id="372" w:name="_Toc4764732"/>
      <w:r w:rsidRPr="005927E3">
        <w:t>Changes since the 2019 Update</w:t>
      </w:r>
    </w:p>
    <w:p w14:paraId="0950D36E" w14:textId="0281AF28" w:rsidR="007E365E" w:rsidRPr="005927E3" w:rsidRDefault="007E365E" w:rsidP="007E365E">
      <w:pPr>
        <w:pStyle w:val="CGCParaNumber"/>
      </w:pPr>
      <w:r w:rsidRPr="005927E3">
        <w:t xml:space="preserve">There are a number of method and data changes since the 2019 Update as well as data revisions and changes in State circumstances. </w:t>
      </w:r>
      <w:r>
        <w:fldChar w:fldCharType="begin"/>
      </w:r>
      <w:r>
        <w:instrText xml:space="preserve"> REF _Ref32845974 \h </w:instrText>
      </w:r>
      <w:r>
        <w:fldChar w:fldCharType="separate"/>
      </w:r>
      <w:r w:rsidR="007F721A" w:rsidRPr="005927E3">
        <w:t xml:space="preserve">Table </w:t>
      </w:r>
      <w:r w:rsidR="007F721A">
        <w:t>23-</w:t>
      </w:r>
      <w:r w:rsidR="007F721A">
        <w:rPr>
          <w:noProof/>
        </w:rPr>
        <w:t>11</w:t>
      </w:r>
      <w:r>
        <w:fldChar w:fldCharType="end"/>
      </w:r>
      <w:r w:rsidRPr="00542984">
        <w:t xml:space="preserve"> shows the effect of these changes. </w:t>
      </w:r>
    </w:p>
    <w:p w14:paraId="7CCBD862" w14:textId="3390B908" w:rsidR="007E365E" w:rsidRPr="00542984" w:rsidRDefault="007E365E" w:rsidP="007E365E">
      <w:pPr>
        <w:pStyle w:val="Caption"/>
      </w:pPr>
      <w:bookmarkStart w:id="373" w:name="_Ref32845974"/>
      <w:r w:rsidRPr="005927E3">
        <w:t xml:space="preserve">Table </w:t>
      </w:r>
      <w:r>
        <w:t>23-</w:t>
      </w:r>
      <w:fldSimple w:instr=" SEQ Table \* ARABIC ">
        <w:r w:rsidR="007F721A">
          <w:rPr>
            <w:noProof/>
          </w:rPr>
          <w:t>11</w:t>
        </w:r>
      </w:fldSimple>
      <w:bookmarkEnd w:id="373"/>
      <w:r w:rsidRPr="00542984">
        <w:tab/>
      </w:r>
      <w:r>
        <w:t>Changes to the GST redistribution between the 2019 Update and the 2020 Review</w:t>
      </w:r>
    </w:p>
    <w:tbl>
      <w:tblPr>
        <w:tblW w:w="9040" w:type="dxa"/>
        <w:tblCellMar>
          <w:left w:w="28" w:type="dxa"/>
          <w:right w:w="28" w:type="dxa"/>
        </w:tblCellMar>
        <w:tblLook w:val="04A0" w:firstRow="1" w:lastRow="0" w:firstColumn="1" w:lastColumn="0" w:noHBand="0" w:noVBand="1"/>
      </w:tblPr>
      <w:tblGrid>
        <w:gridCol w:w="2100"/>
        <w:gridCol w:w="760"/>
        <w:gridCol w:w="760"/>
        <w:gridCol w:w="760"/>
        <w:gridCol w:w="760"/>
        <w:gridCol w:w="760"/>
        <w:gridCol w:w="760"/>
        <w:gridCol w:w="760"/>
        <w:gridCol w:w="760"/>
        <w:gridCol w:w="860"/>
      </w:tblGrid>
      <w:tr w:rsidR="007E365E" w:rsidRPr="000D3384" w14:paraId="14D4E3CA" w14:textId="77777777" w:rsidTr="007D1D77">
        <w:trPr>
          <w:trHeight w:val="375"/>
        </w:trPr>
        <w:tc>
          <w:tcPr>
            <w:tcW w:w="2100" w:type="dxa"/>
            <w:tcBorders>
              <w:top w:val="nil"/>
              <w:left w:val="nil"/>
              <w:bottom w:val="nil"/>
              <w:right w:val="nil"/>
            </w:tcBorders>
            <w:shd w:val="clear" w:color="000000" w:fill="006991"/>
            <w:vAlign w:val="center"/>
            <w:hideMark/>
          </w:tcPr>
          <w:p w14:paraId="333914FF"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D3384">
              <w:rPr>
                <w:rFonts w:ascii="Open Sans SemiBold" w:eastAsia="Times New Roman" w:hAnsi="Open Sans SemiBold" w:cs="Open Sans SemiBold"/>
                <w:color w:val="FFFFFF"/>
                <w:sz w:val="16"/>
                <w:szCs w:val="16"/>
                <w:lang w:eastAsia="en-AU"/>
              </w:rPr>
              <w:t> </w:t>
            </w:r>
          </w:p>
        </w:tc>
        <w:tc>
          <w:tcPr>
            <w:tcW w:w="760" w:type="dxa"/>
            <w:tcBorders>
              <w:top w:val="nil"/>
              <w:left w:val="nil"/>
              <w:bottom w:val="nil"/>
              <w:right w:val="nil"/>
            </w:tcBorders>
            <w:shd w:val="clear" w:color="000000" w:fill="006991"/>
            <w:vAlign w:val="center"/>
            <w:hideMark/>
          </w:tcPr>
          <w:p w14:paraId="2FE75BF8"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D3384">
              <w:rPr>
                <w:rFonts w:ascii="Open Sans SemiBold" w:eastAsia="Times New Roman" w:hAnsi="Open Sans SemiBold" w:cs="Open Sans SemiBold"/>
                <w:color w:val="FFFFFF"/>
                <w:sz w:val="16"/>
                <w:szCs w:val="16"/>
                <w:lang w:eastAsia="en-AU"/>
              </w:rPr>
              <w:t>NSW</w:t>
            </w:r>
          </w:p>
        </w:tc>
        <w:tc>
          <w:tcPr>
            <w:tcW w:w="760" w:type="dxa"/>
            <w:tcBorders>
              <w:top w:val="nil"/>
              <w:left w:val="nil"/>
              <w:bottom w:val="nil"/>
              <w:right w:val="nil"/>
            </w:tcBorders>
            <w:shd w:val="clear" w:color="000000" w:fill="006991"/>
            <w:vAlign w:val="center"/>
            <w:hideMark/>
          </w:tcPr>
          <w:p w14:paraId="59C0110F"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D3384">
              <w:rPr>
                <w:rFonts w:ascii="Open Sans SemiBold" w:eastAsia="Times New Roman" w:hAnsi="Open Sans SemiBold" w:cs="Open Sans SemiBold"/>
                <w:color w:val="FFFFFF"/>
                <w:sz w:val="16"/>
                <w:szCs w:val="16"/>
                <w:lang w:eastAsia="en-AU"/>
              </w:rPr>
              <w:t>Vic</w:t>
            </w:r>
          </w:p>
        </w:tc>
        <w:tc>
          <w:tcPr>
            <w:tcW w:w="760" w:type="dxa"/>
            <w:tcBorders>
              <w:top w:val="nil"/>
              <w:left w:val="nil"/>
              <w:bottom w:val="nil"/>
              <w:right w:val="nil"/>
            </w:tcBorders>
            <w:shd w:val="clear" w:color="000000" w:fill="006991"/>
            <w:vAlign w:val="center"/>
            <w:hideMark/>
          </w:tcPr>
          <w:p w14:paraId="385B4FBB"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D3384">
              <w:rPr>
                <w:rFonts w:ascii="Open Sans SemiBold" w:eastAsia="Times New Roman" w:hAnsi="Open Sans SemiBold" w:cs="Open Sans SemiBold"/>
                <w:color w:val="FFFFFF"/>
                <w:sz w:val="16"/>
                <w:szCs w:val="16"/>
                <w:lang w:eastAsia="en-AU"/>
              </w:rPr>
              <w:t>Qld</w:t>
            </w:r>
          </w:p>
        </w:tc>
        <w:tc>
          <w:tcPr>
            <w:tcW w:w="760" w:type="dxa"/>
            <w:tcBorders>
              <w:top w:val="nil"/>
              <w:left w:val="nil"/>
              <w:bottom w:val="nil"/>
              <w:right w:val="nil"/>
            </w:tcBorders>
            <w:shd w:val="clear" w:color="000000" w:fill="006991"/>
            <w:vAlign w:val="center"/>
            <w:hideMark/>
          </w:tcPr>
          <w:p w14:paraId="220E8643"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D3384">
              <w:rPr>
                <w:rFonts w:ascii="Open Sans SemiBold" w:eastAsia="Times New Roman" w:hAnsi="Open Sans SemiBold" w:cs="Open Sans SemiBold"/>
                <w:color w:val="FFFFFF"/>
                <w:sz w:val="16"/>
                <w:szCs w:val="16"/>
                <w:lang w:eastAsia="en-AU"/>
              </w:rPr>
              <w:t>WA</w:t>
            </w:r>
          </w:p>
        </w:tc>
        <w:tc>
          <w:tcPr>
            <w:tcW w:w="760" w:type="dxa"/>
            <w:tcBorders>
              <w:top w:val="nil"/>
              <w:left w:val="nil"/>
              <w:bottom w:val="nil"/>
              <w:right w:val="nil"/>
            </w:tcBorders>
            <w:shd w:val="clear" w:color="000000" w:fill="006991"/>
            <w:vAlign w:val="center"/>
            <w:hideMark/>
          </w:tcPr>
          <w:p w14:paraId="22417D33"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D3384">
              <w:rPr>
                <w:rFonts w:ascii="Open Sans SemiBold" w:eastAsia="Times New Roman" w:hAnsi="Open Sans SemiBold" w:cs="Open Sans SemiBold"/>
                <w:color w:val="FFFFFF"/>
                <w:sz w:val="16"/>
                <w:szCs w:val="16"/>
                <w:lang w:eastAsia="en-AU"/>
              </w:rPr>
              <w:t>SA</w:t>
            </w:r>
          </w:p>
        </w:tc>
        <w:tc>
          <w:tcPr>
            <w:tcW w:w="760" w:type="dxa"/>
            <w:tcBorders>
              <w:top w:val="nil"/>
              <w:left w:val="nil"/>
              <w:bottom w:val="nil"/>
              <w:right w:val="nil"/>
            </w:tcBorders>
            <w:shd w:val="clear" w:color="000000" w:fill="006991"/>
            <w:vAlign w:val="center"/>
            <w:hideMark/>
          </w:tcPr>
          <w:p w14:paraId="456CE498"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D3384">
              <w:rPr>
                <w:rFonts w:ascii="Open Sans SemiBold" w:eastAsia="Times New Roman" w:hAnsi="Open Sans SemiBold" w:cs="Open Sans SemiBold"/>
                <w:color w:val="FFFFFF"/>
                <w:sz w:val="16"/>
                <w:szCs w:val="16"/>
                <w:lang w:eastAsia="en-AU"/>
              </w:rPr>
              <w:t>Tas</w:t>
            </w:r>
          </w:p>
        </w:tc>
        <w:tc>
          <w:tcPr>
            <w:tcW w:w="760" w:type="dxa"/>
            <w:tcBorders>
              <w:top w:val="nil"/>
              <w:left w:val="nil"/>
              <w:bottom w:val="nil"/>
              <w:right w:val="nil"/>
            </w:tcBorders>
            <w:shd w:val="clear" w:color="000000" w:fill="006991"/>
            <w:vAlign w:val="center"/>
            <w:hideMark/>
          </w:tcPr>
          <w:p w14:paraId="7D8A779A"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D3384">
              <w:rPr>
                <w:rFonts w:ascii="Open Sans SemiBold" w:eastAsia="Times New Roman" w:hAnsi="Open Sans SemiBold" w:cs="Open Sans SemiBold"/>
                <w:color w:val="FFFFFF"/>
                <w:sz w:val="16"/>
                <w:szCs w:val="16"/>
                <w:lang w:eastAsia="en-AU"/>
              </w:rPr>
              <w:t>ACT</w:t>
            </w:r>
          </w:p>
        </w:tc>
        <w:tc>
          <w:tcPr>
            <w:tcW w:w="760" w:type="dxa"/>
            <w:tcBorders>
              <w:top w:val="nil"/>
              <w:left w:val="nil"/>
              <w:bottom w:val="nil"/>
              <w:right w:val="nil"/>
            </w:tcBorders>
            <w:shd w:val="clear" w:color="000000" w:fill="006991"/>
            <w:vAlign w:val="center"/>
            <w:hideMark/>
          </w:tcPr>
          <w:p w14:paraId="441B4DB9"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D3384">
              <w:rPr>
                <w:rFonts w:ascii="Open Sans SemiBold" w:eastAsia="Times New Roman" w:hAnsi="Open Sans SemiBold" w:cs="Open Sans SemiBold"/>
                <w:color w:val="FFFFFF"/>
                <w:sz w:val="16"/>
                <w:szCs w:val="16"/>
                <w:lang w:eastAsia="en-AU"/>
              </w:rPr>
              <w:t>NT</w:t>
            </w:r>
          </w:p>
        </w:tc>
        <w:tc>
          <w:tcPr>
            <w:tcW w:w="860" w:type="dxa"/>
            <w:tcBorders>
              <w:top w:val="nil"/>
              <w:left w:val="nil"/>
              <w:bottom w:val="nil"/>
              <w:right w:val="nil"/>
            </w:tcBorders>
            <w:shd w:val="clear" w:color="000000" w:fill="006991"/>
            <w:vAlign w:val="center"/>
            <w:hideMark/>
          </w:tcPr>
          <w:p w14:paraId="668198EF"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D3384">
              <w:rPr>
                <w:rFonts w:ascii="Open Sans SemiBold" w:eastAsia="Times New Roman" w:hAnsi="Open Sans SemiBold" w:cs="Open Sans SemiBold"/>
                <w:color w:val="FFFFFF"/>
                <w:sz w:val="16"/>
                <w:szCs w:val="16"/>
                <w:lang w:eastAsia="en-AU"/>
              </w:rPr>
              <w:t>Redist</w:t>
            </w:r>
          </w:p>
        </w:tc>
      </w:tr>
      <w:tr w:rsidR="007E365E" w:rsidRPr="000D3384" w14:paraId="4819F7A0" w14:textId="77777777" w:rsidTr="007D1D77">
        <w:trPr>
          <w:trHeight w:val="259"/>
        </w:trPr>
        <w:tc>
          <w:tcPr>
            <w:tcW w:w="2100" w:type="dxa"/>
            <w:tcBorders>
              <w:top w:val="single" w:sz="4" w:space="0" w:color="ADD6EA"/>
              <w:left w:val="nil"/>
              <w:bottom w:val="single" w:sz="4" w:space="0" w:color="ADD6EA"/>
              <w:right w:val="nil"/>
            </w:tcBorders>
            <w:shd w:val="clear" w:color="000000" w:fill="B6D5E4"/>
            <w:noWrap/>
            <w:vAlign w:val="center"/>
            <w:hideMark/>
          </w:tcPr>
          <w:p w14:paraId="4633837D"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 </w:t>
            </w:r>
          </w:p>
        </w:tc>
        <w:tc>
          <w:tcPr>
            <w:tcW w:w="760" w:type="dxa"/>
            <w:tcBorders>
              <w:top w:val="single" w:sz="4" w:space="0" w:color="ADD6EA"/>
              <w:left w:val="nil"/>
              <w:bottom w:val="single" w:sz="4" w:space="0" w:color="ADD6EA"/>
              <w:right w:val="nil"/>
            </w:tcBorders>
            <w:shd w:val="clear" w:color="000000" w:fill="B6D5E4"/>
            <w:noWrap/>
            <w:vAlign w:val="center"/>
            <w:hideMark/>
          </w:tcPr>
          <w:p w14:paraId="41483AB6"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single" w:sz="4" w:space="0" w:color="ADD6EA"/>
              <w:right w:val="nil"/>
            </w:tcBorders>
            <w:shd w:val="clear" w:color="000000" w:fill="B6D5E4"/>
            <w:noWrap/>
            <w:vAlign w:val="center"/>
            <w:hideMark/>
          </w:tcPr>
          <w:p w14:paraId="0B012BF7"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single" w:sz="4" w:space="0" w:color="ADD6EA"/>
              <w:right w:val="nil"/>
            </w:tcBorders>
            <w:shd w:val="clear" w:color="000000" w:fill="B6D5E4"/>
            <w:noWrap/>
            <w:vAlign w:val="center"/>
            <w:hideMark/>
          </w:tcPr>
          <w:p w14:paraId="47006006"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single" w:sz="4" w:space="0" w:color="ADD6EA"/>
              <w:right w:val="nil"/>
            </w:tcBorders>
            <w:shd w:val="clear" w:color="000000" w:fill="B6D5E4"/>
            <w:noWrap/>
            <w:vAlign w:val="center"/>
            <w:hideMark/>
          </w:tcPr>
          <w:p w14:paraId="74708FFB"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single" w:sz="4" w:space="0" w:color="ADD6EA"/>
              <w:right w:val="nil"/>
            </w:tcBorders>
            <w:shd w:val="clear" w:color="000000" w:fill="B6D5E4"/>
            <w:noWrap/>
            <w:vAlign w:val="center"/>
            <w:hideMark/>
          </w:tcPr>
          <w:p w14:paraId="1D508D2B"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single" w:sz="4" w:space="0" w:color="ADD6EA"/>
              <w:right w:val="nil"/>
            </w:tcBorders>
            <w:shd w:val="clear" w:color="000000" w:fill="B6D5E4"/>
            <w:noWrap/>
            <w:vAlign w:val="center"/>
            <w:hideMark/>
          </w:tcPr>
          <w:p w14:paraId="36445D33"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single" w:sz="4" w:space="0" w:color="ADD6EA"/>
              <w:right w:val="nil"/>
            </w:tcBorders>
            <w:shd w:val="clear" w:color="000000" w:fill="B6D5E4"/>
            <w:noWrap/>
            <w:vAlign w:val="center"/>
            <w:hideMark/>
          </w:tcPr>
          <w:p w14:paraId="77B8384D"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single" w:sz="4" w:space="0" w:color="ADD6EA"/>
              <w:right w:val="nil"/>
            </w:tcBorders>
            <w:shd w:val="clear" w:color="000000" w:fill="B6D5E4"/>
            <w:noWrap/>
            <w:vAlign w:val="center"/>
            <w:hideMark/>
          </w:tcPr>
          <w:p w14:paraId="7154ECD0"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$m</w:t>
            </w:r>
          </w:p>
        </w:tc>
        <w:tc>
          <w:tcPr>
            <w:tcW w:w="860" w:type="dxa"/>
            <w:tcBorders>
              <w:top w:val="single" w:sz="4" w:space="0" w:color="ADD6EA"/>
              <w:left w:val="nil"/>
              <w:bottom w:val="single" w:sz="4" w:space="0" w:color="ADD6EA"/>
              <w:right w:val="nil"/>
            </w:tcBorders>
            <w:shd w:val="clear" w:color="000000" w:fill="B6D5E4"/>
            <w:noWrap/>
            <w:vAlign w:val="center"/>
            <w:hideMark/>
          </w:tcPr>
          <w:p w14:paraId="620DD7BA"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$m</w:t>
            </w:r>
          </w:p>
        </w:tc>
      </w:tr>
      <w:tr w:rsidR="007E365E" w:rsidRPr="000D3384" w14:paraId="440EE495" w14:textId="77777777" w:rsidTr="007D1D77">
        <w:trPr>
          <w:trHeight w:val="315"/>
        </w:trPr>
        <w:tc>
          <w:tcPr>
            <w:tcW w:w="2100" w:type="dxa"/>
            <w:tcBorders>
              <w:top w:val="nil"/>
              <w:left w:val="nil"/>
              <w:bottom w:val="single" w:sz="4" w:space="0" w:color="ADD6EA"/>
              <w:right w:val="nil"/>
            </w:tcBorders>
            <w:shd w:val="clear" w:color="auto" w:fill="auto"/>
            <w:vAlign w:val="bottom"/>
            <w:hideMark/>
          </w:tcPr>
          <w:p w14:paraId="273D9509" w14:textId="77777777" w:rsidR="007E365E" w:rsidRPr="000D3384" w:rsidRDefault="007E365E" w:rsidP="007D1D77">
            <w:pPr>
              <w:tabs>
                <w:tab w:val="clear" w:pos="567"/>
              </w:tabs>
              <w:spacing w:before="0" w:line="240" w:lineRule="auto"/>
              <w:rPr>
                <w:rFonts w:eastAsia="Times New Roman" w:cs="Open Sans Light"/>
                <w:sz w:val="16"/>
                <w:szCs w:val="16"/>
                <w:lang w:eastAsia="en-AU"/>
              </w:rPr>
            </w:pPr>
            <w:r w:rsidRPr="000D3384">
              <w:rPr>
                <w:rFonts w:eastAsia="Times New Roman" w:cs="Open Sans Light"/>
                <w:sz w:val="16"/>
                <w:szCs w:val="16"/>
                <w:lang w:eastAsia="en-AU"/>
              </w:rPr>
              <w:t>Method and data changes</w:t>
            </w:r>
          </w:p>
        </w:tc>
        <w:tc>
          <w:tcPr>
            <w:tcW w:w="760" w:type="dxa"/>
            <w:tcBorders>
              <w:top w:val="nil"/>
              <w:left w:val="nil"/>
              <w:bottom w:val="single" w:sz="4" w:space="0" w:color="ADD6EA"/>
              <w:right w:val="nil"/>
            </w:tcBorders>
            <w:shd w:val="clear" w:color="auto" w:fill="auto"/>
            <w:vAlign w:val="bottom"/>
            <w:hideMark/>
          </w:tcPr>
          <w:p w14:paraId="008B40EE"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-58</w:t>
            </w:r>
          </w:p>
        </w:tc>
        <w:tc>
          <w:tcPr>
            <w:tcW w:w="760" w:type="dxa"/>
            <w:tcBorders>
              <w:top w:val="nil"/>
              <w:left w:val="nil"/>
              <w:bottom w:val="single" w:sz="4" w:space="0" w:color="ADD6EA"/>
              <w:right w:val="nil"/>
            </w:tcBorders>
            <w:shd w:val="clear" w:color="auto" w:fill="auto"/>
            <w:vAlign w:val="bottom"/>
            <w:hideMark/>
          </w:tcPr>
          <w:p w14:paraId="7946A8F3"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-36</w:t>
            </w:r>
          </w:p>
        </w:tc>
        <w:tc>
          <w:tcPr>
            <w:tcW w:w="760" w:type="dxa"/>
            <w:tcBorders>
              <w:top w:val="nil"/>
              <w:left w:val="nil"/>
              <w:bottom w:val="single" w:sz="4" w:space="0" w:color="ADD6EA"/>
              <w:right w:val="nil"/>
            </w:tcBorders>
            <w:shd w:val="clear" w:color="auto" w:fill="auto"/>
            <w:vAlign w:val="bottom"/>
            <w:hideMark/>
          </w:tcPr>
          <w:p w14:paraId="26CC5EDA"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-59</w:t>
            </w:r>
          </w:p>
        </w:tc>
        <w:tc>
          <w:tcPr>
            <w:tcW w:w="760" w:type="dxa"/>
            <w:tcBorders>
              <w:top w:val="nil"/>
              <w:left w:val="nil"/>
              <w:bottom w:val="single" w:sz="4" w:space="0" w:color="ADD6EA"/>
              <w:right w:val="nil"/>
            </w:tcBorders>
            <w:shd w:val="clear" w:color="auto" w:fill="auto"/>
            <w:vAlign w:val="bottom"/>
            <w:hideMark/>
          </w:tcPr>
          <w:p w14:paraId="095F97DB"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-77</w:t>
            </w:r>
          </w:p>
        </w:tc>
        <w:tc>
          <w:tcPr>
            <w:tcW w:w="760" w:type="dxa"/>
            <w:tcBorders>
              <w:top w:val="nil"/>
              <w:left w:val="nil"/>
              <w:bottom w:val="single" w:sz="4" w:space="0" w:color="ADD6EA"/>
              <w:right w:val="nil"/>
            </w:tcBorders>
            <w:shd w:val="clear" w:color="auto" w:fill="auto"/>
            <w:vAlign w:val="bottom"/>
            <w:hideMark/>
          </w:tcPr>
          <w:p w14:paraId="33516B0D"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33</w:t>
            </w:r>
          </w:p>
        </w:tc>
        <w:tc>
          <w:tcPr>
            <w:tcW w:w="760" w:type="dxa"/>
            <w:tcBorders>
              <w:top w:val="nil"/>
              <w:left w:val="nil"/>
              <w:bottom w:val="single" w:sz="4" w:space="0" w:color="ADD6EA"/>
              <w:right w:val="nil"/>
            </w:tcBorders>
            <w:shd w:val="clear" w:color="auto" w:fill="auto"/>
            <w:vAlign w:val="bottom"/>
            <w:hideMark/>
          </w:tcPr>
          <w:p w14:paraId="558497EE"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88</w:t>
            </w:r>
          </w:p>
        </w:tc>
        <w:tc>
          <w:tcPr>
            <w:tcW w:w="760" w:type="dxa"/>
            <w:tcBorders>
              <w:top w:val="nil"/>
              <w:left w:val="nil"/>
              <w:bottom w:val="single" w:sz="4" w:space="0" w:color="ADD6EA"/>
              <w:right w:val="nil"/>
            </w:tcBorders>
            <w:shd w:val="clear" w:color="auto" w:fill="auto"/>
            <w:vAlign w:val="bottom"/>
            <w:hideMark/>
          </w:tcPr>
          <w:p w14:paraId="5AC566DE"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62083195"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105</w:t>
            </w:r>
          </w:p>
        </w:tc>
        <w:tc>
          <w:tcPr>
            <w:tcW w:w="860" w:type="dxa"/>
            <w:tcBorders>
              <w:top w:val="nil"/>
              <w:left w:val="nil"/>
              <w:bottom w:val="single" w:sz="4" w:space="0" w:color="ADD6EA"/>
              <w:right w:val="nil"/>
            </w:tcBorders>
            <w:shd w:val="clear" w:color="auto" w:fill="auto"/>
            <w:vAlign w:val="bottom"/>
            <w:hideMark/>
          </w:tcPr>
          <w:p w14:paraId="6F630049"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230</w:t>
            </w:r>
          </w:p>
        </w:tc>
      </w:tr>
      <w:tr w:rsidR="007E365E" w:rsidRPr="000D3384" w14:paraId="7C152CB2" w14:textId="77777777" w:rsidTr="007D1D77">
        <w:trPr>
          <w:trHeight w:val="315"/>
        </w:trPr>
        <w:tc>
          <w:tcPr>
            <w:tcW w:w="2100" w:type="dxa"/>
            <w:tcBorders>
              <w:top w:val="nil"/>
              <w:left w:val="nil"/>
              <w:bottom w:val="single" w:sz="4" w:space="0" w:color="ADD6EA"/>
              <w:right w:val="nil"/>
            </w:tcBorders>
            <w:shd w:val="clear" w:color="auto" w:fill="auto"/>
            <w:vAlign w:val="bottom"/>
            <w:hideMark/>
          </w:tcPr>
          <w:p w14:paraId="0A640FE8" w14:textId="77777777" w:rsidR="007E365E" w:rsidRPr="000D3384" w:rsidRDefault="007E365E" w:rsidP="007D1D77">
            <w:pPr>
              <w:tabs>
                <w:tab w:val="clear" w:pos="567"/>
              </w:tabs>
              <w:spacing w:before="0" w:line="240" w:lineRule="auto"/>
              <w:rPr>
                <w:rFonts w:eastAsia="Times New Roman" w:cs="Open Sans Light"/>
                <w:sz w:val="16"/>
                <w:szCs w:val="16"/>
                <w:lang w:eastAsia="en-AU"/>
              </w:rPr>
            </w:pPr>
            <w:r w:rsidRPr="000D3384">
              <w:rPr>
                <w:rFonts w:eastAsia="Times New Roman" w:cs="Open Sans Light"/>
                <w:sz w:val="16"/>
                <w:szCs w:val="16"/>
                <w:lang w:eastAsia="en-AU"/>
              </w:rPr>
              <w:t>Data revisions</w:t>
            </w:r>
          </w:p>
        </w:tc>
        <w:tc>
          <w:tcPr>
            <w:tcW w:w="760" w:type="dxa"/>
            <w:tcBorders>
              <w:top w:val="nil"/>
              <w:left w:val="nil"/>
              <w:bottom w:val="single" w:sz="4" w:space="0" w:color="ADD6EA"/>
              <w:right w:val="nil"/>
            </w:tcBorders>
            <w:shd w:val="clear" w:color="auto" w:fill="auto"/>
            <w:vAlign w:val="bottom"/>
            <w:hideMark/>
          </w:tcPr>
          <w:p w14:paraId="3BC300B6"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-172</w:t>
            </w:r>
          </w:p>
        </w:tc>
        <w:tc>
          <w:tcPr>
            <w:tcW w:w="760" w:type="dxa"/>
            <w:tcBorders>
              <w:top w:val="nil"/>
              <w:left w:val="nil"/>
              <w:bottom w:val="single" w:sz="4" w:space="0" w:color="ADD6EA"/>
              <w:right w:val="nil"/>
            </w:tcBorders>
            <w:shd w:val="clear" w:color="auto" w:fill="auto"/>
            <w:vAlign w:val="bottom"/>
            <w:hideMark/>
          </w:tcPr>
          <w:p w14:paraId="42FF2042"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-207</w:t>
            </w:r>
          </w:p>
        </w:tc>
        <w:tc>
          <w:tcPr>
            <w:tcW w:w="760" w:type="dxa"/>
            <w:tcBorders>
              <w:top w:val="nil"/>
              <w:left w:val="nil"/>
              <w:bottom w:val="single" w:sz="4" w:space="0" w:color="ADD6EA"/>
              <w:right w:val="nil"/>
            </w:tcBorders>
            <w:shd w:val="clear" w:color="auto" w:fill="auto"/>
            <w:vAlign w:val="bottom"/>
            <w:hideMark/>
          </w:tcPr>
          <w:p w14:paraId="50854B28"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341</w:t>
            </w:r>
          </w:p>
        </w:tc>
        <w:tc>
          <w:tcPr>
            <w:tcW w:w="760" w:type="dxa"/>
            <w:tcBorders>
              <w:top w:val="nil"/>
              <w:left w:val="nil"/>
              <w:bottom w:val="single" w:sz="4" w:space="0" w:color="ADD6EA"/>
              <w:right w:val="nil"/>
            </w:tcBorders>
            <w:shd w:val="clear" w:color="auto" w:fill="auto"/>
            <w:vAlign w:val="bottom"/>
            <w:hideMark/>
          </w:tcPr>
          <w:p w14:paraId="24A12CCD"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101</w:t>
            </w:r>
          </w:p>
        </w:tc>
        <w:tc>
          <w:tcPr>
            <w:tcW w:w="760" w:type="dxa"/>
            <w:tcBorders>
              <w:top w:val="nil"/>
              <w:left w:val="nil"/>
              <w:bottom w:val="single" w:sz="4" w:space="0" w:color="ADD6EA"/>
              <w:right w:val="nil"/>
            </w:tcBorders>
            <w:shd w:val="clear" w:color="auto" w:fill="auto"/>
            <w:vAlign w:val="bottom"/>
            <w:hideMark/>
          </w:tcPr>
          <w:p w14:paraId="56408432"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-65</w:t>
            </w:r>
          </w:p>
        </w:tc>
        <w:tc>
          <w:tcPr>
            <w:tcW w:w="760" w:type="dxa"/>
            <w:tcBorders>
              <w:top w:val="nil"/>
              <w:left w:val="nil"/>
              <w:bottom w:val="single" w:sz="4" w:space="0" w:color="ADD6EA"/>
              <w:right w:val="nil"/>
            </w:tcBorders>
            <w:shd w:val="clear" w:color="auto" w:fill="auto"/>
            <w:vAlign w:val="bottom"/>
            <w:hideMark/>
          </w:tcPr>
          <w:p w14:paraId="041C5633"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4E238272"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-21</w:t>
            </w:r>
          </w:p>
        </w:tc>
        <w:tc>
          <w:tcPr>
            <w:tcW w:w="760" w:type="dxa"/>
            <w:tcBorders>
              <w:top w:val="nil"/>
              <w:left w:val="nil"/>
              <w:bottom w:val="single" w:sz="4" w:space="0" w:color="ADD6EA"/>
              <w:right w:val="nil"/>
            </w:tcBorders>
            <w:shd w:val="clear" w:color="auto" w:fill="auto"/>
            <w:vAlign w:val="bottom"/>
            <w:hideMark/>
          </w:tcPr>
          <w:p w14:paraId="435037CA"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21</w:t>
            </w:r>
          </w:p>
        </w:tc>
        <w:tc>
          <w:tcPr>
            <w:tcW w:w="860" w:type="dxa"/>
            <w:tcBorders>
              <w:top w:val="nil"/>
              <w:left w:val="nil"/>
              <w:bottom w:val="single" w:sz="4" w:space="0" w:color="ADD6EA"/>
              <w:right w:val="nil"/>
            </w:tcBorders>
            <w:shd w:val="clear" w:color="auto" w:fill="auto"/>
            <w:vAlign w:val="bottom"/>
            <w:hideMark/>
          </w:tcPr>
          <w:p w14:paraId="77791B31"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464</w:t>
            </w:r>
          </w:p>
        </w:tc>
      </w:tr>
      <w:tr w:rsidR="007E365E" w:rsidRPr="000D3384" w14:paraId="0F86D178" w14:textId="77777777" w:rsidTr="007D1D77">
        <w:trPr>
          <w:trHeight w:val="315"/>
        </w:trPr>
        <w:tc>
          <w:tcPr>
            <w:tcW w:w="2100" w:type="dxa"/>
            <w:tcBorders>
              <w:top w:val="nil"/>
              <w:left w:val="nil"/>
              <w:bottom w:val="single" w:sz="4" w:space="0" w:color="ADD6EA"/>
              <w:right w:val="nil"/>
            </w:tcBorders>
            <w:shd w:val="clear" w:color="auto" w:fill="auto"/>
            <w:vAlign w:val="bottom"/>
            <w:hideMark/>
          </w:tcPr>
          <w:p w14:paraId="53609948" w14:textId="77777777" w:rsidR="007E365E" w:rsidRPr="000D3384" w:rsidRDefault="007E365E" w:rsidP="007D1D77">
            <w:pPr>
              <w:tabs>
                <w:tab w:val="clear" w:pos="567"/>
              </w:tabs>
              <w:spacing w:before="0" w:line="240" w:lineRule="auto"/>
              <w:rPr>
                <w:rFonts w:eastAsia="Times New Roman" w:cs="Open Sans Light"/>
                <w:sz w:val="16"/>
                <w:szCs w:val="16"/>
                <w:lang w:eastAsia="en-AU"/>
              </w:rPr>
            </w:pPr>
            <w:r w:rsidRPr="000D3384">
              <w:rPr>
                <w:rFonts w:eastAsia="Times New Roman" w:cs="Open Sans Light"/>
                <w:sz w:val="16"/>
                <w:szCs w:val="16"/>
                <w:lang w:eastAsia="en-AU"/>
              </w:rPr>
              <w:t>State circumstances</w:t>
            </w:r>
          </w:p>
        </w:tc>
        <w:tc>
          <w:tcPr>
            <w:tcW w:w="760" w:type="dxa"/>
            <w:tcBorders>
              <w:top w:val="nil"/>
              <w:left w:val="nil"/>
              <w:bottom w:val="single" w:sz="4" w:space="0" w:color="ADD6EA"/>
              <w:right w:val="nil"/>
            </w:tcBorders>
            <w:shd w:val="clear" w:color="auto" w:fill="auto"/>
            <w:vAlign w:val="bottom"/>
            <w:hideMark/>
          </w:tcPr>
          <w:p w14:paraId="3BE5394C"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auto" w:fill="auto"/>
            <w:vAlign w:val="bottom"/>
            <w:hideMark/>
          </w:tcPr>
          <w:p w14:paraId="63D3DFCA"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523D37A7"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35</w:t>
            </w:r>
          </w:p>
        </w:tc>
        <w:tc>
          <w:tcPr>
            <w:tcW w:w="760" w:type="dxa"/>
            <w:tcBorders>
              <w:top w:val="nil"/>
              <w:left w:val="nil"/>
              <w:bottom w:val="single" w:sz="4" w:space="0" w:color="ADD6EA"/>
              <w:right w:val="nil"/>
            </w:tcBorders>
            <w:shd w:val="clear" w:color="auto" w:fill="auto"/>
            <w:vAlign w:val="bottom"/>
            <w:hideMark/>
          </w:tcPr>
          <w:p w14:paraId="118CD165"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-16</w:t>
            </w:r>
          </w:p>
        </w:tc>
        <w:tc>
          <w:tcPr>
            <w:tcW w:w="760" w:type="dxa"/>
            <w:tcBorders>
              <w:top w:val="nil"/>
              <w:left w:val="nil"/>
              <w:bottom w:val="single" w:sz="4" w:space="0" w:color="ADD6EA"/>
              <w:right w:val="nil"/>
            </w:tcBorders>
            <w:shd w:val="clear" w:color="auto" w:fill="auto"/>
            <w:vAlign w:val="bottom"/>
            <w:hideMark/>
          </w:tcPr>
          <w:p w14:paraId="6249CD5B"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auto" w:fill="auto"/>
            <w:vAlign w:val="bottom"/>
            <w:hideMark/>
          </w:tcPr>
          <w:p w14:paraId="445808B4"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0052C9C5"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auto" w:fill="auto"/>
            <w:vAlign w:val="bottom"/>
            <w:hideMark/>
          </w:tcPr>
          <w:p w14:paraId="03133F05"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-2</w:t>
            </w:r>
          </w:p>
        </w:tc>
        <w:tc>
          <w:tcPr>
            <w:tcW w:w="860" w:type="dxa"/>
            <w:tcBorders>
              <w:top w:val="nil"/>
              <w:left w:val="nil"/>
              <w:bottom w:val="single" w:sz="4" w:space="0" w:color="ADD6EA"/>
              <w:right w:val="nil"/>
            </w:tcBorders>
            <w:shd w:val="clear" w:color="auto" w:fill="auto"/>
            <w:vAlign w:val="bottom"/>
            <w:hideMark/>
          </w:tcPr>
          <w:p w14:paraId="14655BFE" w14:textId="77777777" w:rsidR="007E365E" w:rsidRPr="000D3384" w:rsidRDefault="007E365E" w:rsidP="007D1D77">
            <w:pPr>
              <w:tabs>
                <w:tab w:val="clear" w:pos="567"/>
              </w:tabs>
              <w:spacing w:before="0" w:line="240" w:lineRule="auto"/>
              <w:jc w:val="right"/>
              <w:rPr>
                <w:rFonts w:eastAsia="Times New Roman" w:cs="Open Sans Light"/>
                <w:sz w:val="16"/>
                <w:szCs w:val="16"/>
                <w:lang w:eastAsia="en-AU"/>
              </w:rPr>
            </w:pPr>
            <w:r w:rsidRPr="000D3384">
              <w:rPr>
                <w:rFonts w:eastAsia="Times New Roman" w:cs="Open Sans Light"/>
                <w:sz w:val="16"/>
                <w:szCs w:val="16"/>
                <w:lang w:eastAsia="en-AU"/>
              </w:rPr>
              <w:t>49</w:t>
            </w:r>
          </w:p>
        </w:tc>
      </w:tr>
      <w:tr w:rsidR="007E365E" w:rsidRPr="000D3384" w14:paraId="3417DAC7" w14:textId="77777777" w:rsidTr="007D1D77">
        <w:trPr>
          <w:trHeight w:val="315"/>
        </w:trPr>
        <w:tc>
          <w:tcPr>
            <w:tcW w:w="2100" w:type="dxa"/>
            <w:tcBorders>
              <w:top w:val="nil"/>
              <w:left w:val="nil"/>
              <w:bottom w:val="single" w:sz="4" w:space="0" w:color="ADD6EA"/>
              <w:right w:val="nil"/>
            </w:tcBorders>
            <w:shd w:val="clear" w:color="000000" w:fill="D6E7F0"/>
            <w:vAlign w:val="bottom"/>
            <w:hideMark/>
          </w:tcPr>
          <w:p w14:paraId="421E90A5" w14:textId="77777777" w:rsidR="007E365E" w:rsidRPr="000D3384" w:rsidRDefault="007E365E" w:rsidP="007D1D77">
            <w:pPr>
              <w:tabs>
                <w:tab w:val="clear" w:pos="567"/>
              </w:tabs>
              <w:spacing w:before="0" w:line="240" w:lineRule="auto"/>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299FD3EF"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-216</w:t>
            </w:r>
          </w:p>
        </w:tc>
        <w:tc>
          <w:tcPr>
            <w:tcW w:w="760" w:type="dxa"/>
            <w:tcBorders>
              <w:top w:val="nil"/>
              <w:left w:val="nil"/>
              <w:bottom w:val="single" w:sz="4" w:space="0" w:color="ADD6EA"/>
              <w:right w:val="nil"/>
            </w:tcBorders>
            <w:shd w:val="clear" w:color="000000" w:fill="D6E7F0"/>
            <w:vAlign w:val="bottom"/>
            <w:hideMark/>
          </w:tcPr>
          <w:p w14:paraId="73924CA4"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-242</w:t>
            </w:r>
          </w:p>
        </w:tc>
        <w:tc>
          <w:tcPr>
            <w:tcW w:w="760" w:type="dxa"/>
            <w:tcBorders>
              <w:top w:val="nil"/>
              <w:left w:val="nil"/>
              <w:bottom w:val="single" w:sz="4" w:space="0" w:color="ADD6EA"/>
              <w:right w:val="nil"/>
            </w:tcBorders>
            <w:shd w:val="clear" w:color="000000" w:fill="D6E7F0"/>
            <w:vAlign w:val="bottom"/>
            <w:hideMark/>
          </w:tcPr>
          <w:p w14:paraId="4E932118"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317</w:t>
            </w:r>
          </w:p>
        </w:tc>
        <w:tc>
          <w:tcPr>
            <w:tcW w:w="760" w:type="dxa"/>
            <w:tcBorders>
              <w:top w:val="nil"/>
              <w:left w:val="nil"/>
              <w:bottom w:val="single" w:sz="4" w:space="0" w:color="ADD6EA"/>
              <w:right w:val="nil"/>
            </w:tcBorders>
            <w:shd w:val="clear" w:color="000000" w:fill="D6E7F0"/>
            <w:vAlign w:val="bottom"/>
            <w:hideMark/>
          </w:tcPr>
          <w:p w14:paraId="7D6976BF"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8</w:t>
            </w:r>
          </w:p>
        </w:tc>
        <w:tc>
          <w:tcPr>
            <w:tcW w:w="760" w:type="dxa"/>
            <w:tcBorders>
              <w:top w:val="nil"/>
              <w:left w:val="nil"/>
              <w:bottom w:val="single" w:sz="4" w:space="0" w:color="ADD6EA"/>
              <w:right w:val="nil"/>
            </w:tcBorders>
            <w:shd w:val="clear" w:color="000000" w:fill="D6E7F0"/>
            <w:vAlign w:val="bottom"/>
            <w:hideMark/>
          </w:tcPr>
          <w:p w14:paraId="51FD8634"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-46</w:t>
            </w:r>
          </w:p>
        </w:tc>
        <w:tc>
          <w:tcPr>
            <w:tcW w:w="760" w:type="dxa"/>
            <w:tcBorders>
              <w:top w:val="nil"/>
              <w:left w:val="nil"/>
              <w:bottom w:val="single" w:sz="4" w:space="0" w:color="ADD6EA"/>
              <w:right w:val="nil"/>
            </w:tcBorders>
            <w:shd w:val="clear" w:color="000000" w:fill="D6E7F0"/>
            <w:vAlign w:val="bottom"/>
            <w:hideMark/>
          </w:tcPr>
          <w:p w14:paraId="06126CCF"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85</w:t>
            </w:r>
          </w:p>
        </w:tc>
        <w:tc>
          <w:tcPr>
            <w:tcW w:w="760" w:type="dxa"/>
            <w:tcBorders>
              <w:top w:val="nil"/>
              <w:left w:val="nil"/>
              <w:bottom w:val="single" w:sz="4" w:space="0" w:color="ADD6EA"/>
              <w:right w:val="nil"/>
            </w:tcBorders>
            <w:shd w:val="clear" w:color="000000" w:fill="D6E7F0"/>
            <w:vAlign w:val="bottom"/>
            <w:hideMark/>
          </w:tcPr>
          <w:p w14:paraId="0BE4F49B"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-30</w:t>
            </w:r>
          </w:p>
        </w:tc>
        <w:tc>
          <w:tcPr>
            <w:tcW w:w="760" w:type="dxa"/>
            <w:tcBorders>
              <w:top w:val="nil"/>
              <w:left w:val="nil"/>
              <w:bottom w:val="single" w:sz="4" w:space="0" w:color="ADD6EA"/>
              <w:right w:val="nil"/>
            </w:tcBorders>
            <w:shd w:val="clear" w:color="000000" w:fill="D6E7F0"/>
            <w:vAlign w:val="bottom"/>
            <w:hideMark/>
          </w:tcPr>
          <w:p w14:paraId="698882A6"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124</w:t>
            </w:r>
          </w:p>
        </w:tc>
        <w:tc>
          <w:tcPr>
            <w:tcW w:w="860" w:type="dxa"/>
            <w:tcBorders>
              <w:top w:val="nil"/>
              <w:left w:val="nil"/>
              <w:bottom w:val="single" w:sz="4" w:space="0" w:color="ADD6EA"/>
              <w:right w:val="nil"/>
            </w:tcBorders>
            <w:shd w:val="clear" w:color="000000" w:fill="D6E7F0"/>
            <w:vAlign w:val="bottom"/>
            <w:hideMark/>
          </w:tcPr>
          <w:p w14:paraId="3508F7D1" w14:textId="77777777" w:rsidR="007E365E" w:rsidRPr="000D3384" w:rsidRDefault="007E365E" w:rsidP="007D1D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D3384">
              <w:rPr>
                <w:rFonts w:ascii="Open Sans SemiBold" w:eastAsia="Times New Roman" w:hAnsi="Open Sans SemiBold" w:cs="Open Sans SemiBold"/>
                <w:color w:val="000000"/>
                <w:sz w:val="16"/>
                <w:szCs w:val="16"/>
                <w:lang w:eastAsia="en-AU"/>
              </w:rPr>
              <w:t>534</w:t>
            </w:r>
          </w:p>
        </w:tc>
      </w:tr>
    </w:tbl>
    <w:p w14:paraId="1230D392" w14:textId="77777777" w:rsidR="007E365E" w:rsidRPr="005927E3" w:rsidRDefault="007E365E" w:rsidP="007E365E">
      <w:pPr>
        <w:pStyle w:val="CGCTablenote"/>
      </w:pPr>
      <w:r w:rsidRPr="005927E3">
        <w:t>Source:</w:t>
      </w:r>
      <w:r w:rsidRPr="005927E3">
        <w:tab/>
        <w:t>Commission calculation.</w:t>
      </w:r>
    </w:p>
    <w:p w14:paraId="76314241" w14:textId="77777777" w:rsidR="007E365E" w:rsidRPr="005927E3" w:rsidRDefault="007E365E" w:rsidP="007E365E">
      <w:pPr>
        <w:pStyle w:val="Heading4"/>
        <w:rPr>
          <w:rFonts w:eastAsia="Times New Roman"/>
        </w:rPr>
      </w:pPr>
      <w:r w:rsidRPr="005927E3">
        <w:rPr>
          <w:rFonts w:eastAsia="Times New Roman"/>
        </w:rPr>
        <w:t>Method and data changes</w:t>
      </w:r>
    </w:p>
    <w:p w14:paraId="5AC7BCFC" w14:textId="77777777" w:rsidR="007E365E" w:rsidRPr="005927E3" w:rsidRDefault="007E365E" w:rsidP="007E365E">
      <w:pPr>
        <w:pStyle w:val="CGCParaNumber"/>
      </w:pPr>
      <w:r w:rsidRPr="005927E3">
        <w:t xml:space="preserve">The ACT cross-border disability for recreation and culture expenses has been discontinued due to lack of evidence supporting the disability. </w:t>
      </w:r>
    </w:p>
    <w:p w14:paraId="3BA9F5AD" w14:textId="77777777" w:rsidR="007E365E" w:rsidRPr="005927E3" w:rsidRDefault="007E365E" w:rsidP="007E365E">
      <w:pPr>
        <w:pStyle w:val="CGCParaNumber"/>
      </w:pPr>
      <w:r w:rsidRPr="005927E3">
        <w:t>Capital grants to local government are no longer being assessed because the driver of spending is unclear and the assessment is not material.</w:t>
      </w:r>
    </w:p>
    <w:p w14:paraId="0242B76E" w14:textId="77777777" w:rsidR="007E365E" w:rsidRPr="005927E3" w:rsidRDefault="007E365E" w:rsidP="007E365E">
      <w:pPr>
        <w:pStyle w:val="CGCParaNumber"/>
      </w:pPr>
      <w:r w:rsidRPr="005927E3">
        <w:t>National parks and wildlife expenses and pipeline expenses were previously part of the services expenses component, but are now included in the Services to communities category and Transport category, respectively. These changes are due to aligning categories with new GFS classifications. National parks and wildlife expenses and pipeline expenses continue to be assessed EPC.</w:t>
      </w:r>
    </w:p>
    <w:p w14:paraId="5483B8AC" w14:textId="77777777" w:rsidR="007E365E" w:rsidRPr="005927E3" w:rsidRDefault="007E365E" w:rsidP="007E365E">
      <w:pPr>
        <w:pStyle w:val="CGCParaNumber"/>
      </w:pPr>
      <w:r w:rsidRPr="005927E3">
        <w:t>National capital allowances for roads have been discontinued and the national capital planning allowance has been updated to reflect current needs.</w:t>
      </w:r>
    </w:p>
    <w:p w14:paraId="5C5083CA" w14:textId="77777777" w:rsidR="007E365E" w:rsidRPr="005927E3" w:rsidRDefault="007E365E" w:rsidP="007E365E">
      <w:pPr>
        <w:pStyle w:val="CGCParaNumber"/>
      </w:pPr>
      <w:r w:rsidRPr="005927E3">
        <w:t xml:space="preserve">User charges are netted off expenses. They mainly comprise FESLs. </w:t>
      </w:r>
    </w:p>
    <w:p w14:paraId="17DCBD0B" w14:textId="77777777" w:rsidR="007E365E" w:rsidRPr="005927E3" w:rsidRDefault="007E365E" w:rsidP="007E365E">
      <w:pPr>
        <w:pStyle w:val="CGCParaNumber"/>
      </w:pPr>
      <w:r w:rsidRPr="005927E3">
        <w:t>The regional costs disability now uses hospitals and schools data. A 25% discount continues to apply to the general gradient used in this category.</w:t>
      </w:r>
    </w:p>
    <w:p w14:paraId="0A4D0E9D" w14:textId="77777777" w:rsidR="007E365E" w:rsidRDefault="007E365E" w:rsidP="007E365E">
      <w:pPr>
        <w:pStyle w:val="CGCParaNumber"/>
      </w:pPr>
      <w:r w:rsidRPr="005927E3">
        <w:t xml:space="preserve">No adjustment has been made for interstate non-wage costs. </w:t>
      </w:r>
    </w:p>
    <w:p w14:paraId="493658AE" w14:textId="77777777" w:rsidR="007E365E" w:rsidRPr="005927E3" w:rsidRDefault="007E365E" w:rsidP="007E365E">
      <w:pPr>
        <w:pStyle w:val="Heading4"/>
        <w:rPr>
          <w:rFonts w:eastAsia="Times New Roman"/>
        </w:rPr>
      </w:pPr>
      <w:r w:rsidRPr="005927E3">
        <w:rPr>
          <w:rFonts w:eastAsia="Times New Roman"/>
        </w:rPr>
        <w:lastRenderedPageBreak/>
        <w:t>Data revisions</w:t>
      </w:r>
    </w:p>
    <w:p w14:paraId="44F4D52A" w14:textId="77777777" w:rsidR="007E365E" w:rsidRPr="005927E3" w:rsidRDefault="007E365E" w:rsidP="007E365E">
      <w:pPr>
        <w:pStyle w:val="CGCParaNumber"/>
      </w:pPr>
      <w:r w:rsidRPr="005927E3">
        <w:t xml:space="preserve">The natural disaster relief expense assessment includes </w:t>
      </w:r>
      <w:r>
        <w:t xml:space="preserve">State payments for </w:t>
      </w:r>
      <w:r w:rsidRPr="005927E3">
        <w:t>local government expenses, net of Commonwealth revenue. Assessed local government contributions are deducted. For States that report expenses net of their local government contribution, their local government expenses and revenues are grossed up. Local government expenses will be imputed for the ACT in years where the ACT experiences disasters.</w:t>
      </w:r>
    </w:p>
    <w:p w14:paraId="7FA290CF" w14:textId="77777777" w:rsidR="007E365E" w:rsidRPr="005927E3" w:rsidRDefault="007E365E" w:rsidP="007E365E">
      <w:pPr>
        <w:pStyle w:val="Heading4"/>
        <w:rPr>
          <w:rFonts w:eastAsia="Times New Roman"/>
        </w:rPr>
      </w:pPr>
      <w:r w:rsidRPr="005927E3">
        <w:rPr>
          <w:rFonts w:eastAsia="Times New Roman"/>
        </w:rPr>
        <w:t>Changes in State circumstances</w:t>
      </w:r>
    </w:p>
    <w:p w14:paraId="1A9A4C43" w14:textId="77777777" w:rsidR="007E365E" w:rsidRPr="005927E3" w:rsidRDefault="007E365E" w:rsidP="007E365E">
      <w:pPr>
        <w:pStyle w:val="CGCParaNumber"/>
      </w:pPr>
      <w:r w:rsidRPr="005927E3">
        <w:t>Queensland experienced more costly disasters in 2018-19, increasing its GST share for natural disaster relief expenses and reducing the GST share for other States.</w:t>
      </w:r>
    </w:p>
    <w:p w14:paraId="2C6C71F2" w14:textId="77777777" w:rsidR="007E365E" w:rsidRPr="005927E3" w:rsidRDefault="007E365E" w:rsidP="007E365E">
      <w:pPr>
        <w:pStyle w:val="CGCParaNumber"/>
      </w:pPr>
      <w:r w:rsidRPr="005927E3">
        <w:t>Administrative scale expenses have grown more slowly than</w:t>
      </w:r>
      <w:r>
        <w:t xml:space="preserve"> the</w:t>
      </w:r>
      <w:r w:rsidRPr="005927E3">
        <w:t xml:space="preserve"> growth in the GST pool. This increased the GST share for the three largest States and reduced the GST share for other States.</w:t>
      </w:r>
    </w:p>
    <w:p w14:paraId="575C0EF4" w14:textId="13D9970A" w:rsidR="007E365E" w:rsidRPr="00542984" w:rsidRDefault="007E365E" w:rsidP="007E365E">
      <w:pPr>
        <w:pStyle w:val="Heading3"/>
      </w:pPr>
      <w:r w:rsidRPr="00542984">
        <w:t>Updating the assessment</w:t>
      </w:r>
      <w:bookmarkEnd w:id="372"/>
    </w:p>
    <w:p w14:paraId="01B68FC5" w14:textId="77777777" w:rsidR="007E365E" w:rsidRPr="005927E3" w:rsidRDefault="007E365E" w:rsidP="007E365E">
      <w:pPr>
        <w:pStyle w:val="CGCParaNumber"/>
      </w:pPr>
      <w:r w:rsidRPr="005927E3">
        <w:t xml:space="preserve">As required by the terms of reference, the Commission will incorporate the latest available data in the assessment during the annual updates. This will allow the assessment to reflect changes in State circumstances. </w:t>
      </w:r>
    </w:p>
    <w:p w14:paraId="53B625F9" w14:textId="77777777" w:rsidR="007E365E" w:rsidRPr="005927E3" w:rsidRDefault="007E365E" w:rsidP="007E365E">
      <w:pPr>
        <w:pStyle w:val="CGCBullet1"/>
      </w:pPr>
      <w:r w:rsidRPr="005927E3">
        <w:t>The Commission will update the following data annually:</w:t>
      </w:r>
    </w:p>
    <w:p w14:paraId="0DDB9E26" w14:textId="77777777" w:rsidR="007E365E" w:rsidRPr="005927E3" w:rsidRDefault="007E365E" w:rsidP="007E365E">
      <w:pPr>
        <w:pStyle w:val="CGCBullet2"/>
        <w:numPr>
          <w:ilvl w:val="0"/>
          <w:numId w:val="3"/>
        </w:numPr>
        <w:ind w:left="1208" w:hanging="357"/>
      </w:pPr>
      <w:r w:rsidRPr="005927E3">
        <w:t>service expenses and the share of service expenses to which regional costs and wage costs disabilities apply</w:t>
      </w:r>
    </w:p>
    <w:p w14:paraId="3D4ED65F" w14:textId="77777777" w:rsidR="007E365E" w:rsidRPr="005927E3" w:rsidRDefault="007E365E" w:rsidP="007E365E">
      <w:pPr>
        <w:pStyle w:val="CGCBullet2"/>
        <w:numPr>
          <w:ilvl w:val="0"/>
          <w:numId w:val="3"/>
        </w:numPr>
        <w:ind w:left="1208" w:hanging="357"/>
      </w:pPr>
      <w:r w:rsidRPr="005927E3">
        <w:t>natural disaster relief expenses and revenue</w:t>
      </w:r>
    </w:p>
    <w:p w14:paraId="1482C7B1" w14:textId="77777777" w:rsidR="007E365E" w:rsidRPr="005927E3" w:rsidRDefault="007E365E" w:rsidP="007E365E">
      <w:pPr>
        <w:pStyle w:val="CGCBullet2"/>
        <w:numPr>
          <w:ilvl w:val="0"/>
          <w:numId w:val="3"/>
        </w:numPr>
        <w:ind w:left="1208" w:hanging="357"/>
      </w:pPr>
      <w:r w:rsidRPr="005927E3">
        <w:t>data contributing to the assessment of native title and land rights, and part of the national capital assessment</w:t>
      </w:r>
    </w:p>
    <w:p w14:paraId="78338838" w14:textId="77777777" w:rsidR="007E365E" w:rsidRPr="005927E3" w:rsidRDefault="007E365E" w:rsidP="007E365E">
      <w:pPr>
        <w:pStyle w:val="CGCBullet2"/>
        <w:numPr>
          <w:ilvl w:val="0"/>
          <w:numId w:val="3"/>
        </w:numPr>
        <w:ind w:left="1208" w:hanging="357"/>
      </w:pPr>
      <w:r>
        <w:t>a</w:t>
      </w:r>
      <w:r w:rsidRPr="005927E3">
        <w:t>dministrative scale expenses and parts of the national capital expenses will be adjusted for inflation annually.</w:t>
      </w:r>
    </w:p>
    <w:p w14:paraId="6BFDD203" w14:textId="77777777" w:rsidR="007E365E" w:rsidRDefault="007E365E" w:rsidP="007E365E"/>
    <w:p w14:paraId="036EBF18" w14:textId="77777777" w:rsidR="007E365E" w:rsidRDefault="007E365E" w:rsidP="007E365E">
      <w:pPr>
        <w:sectPr w:rsidR="007E365E" w:rsidSect="00917501">
          <w:footerReference w:type="default" r:id="rId46"/>
          <w:footnotePr>
            <w:numRestart w:val="eachSect"/>
          </w:footnotePr>
          <w:pgSz w:w="11899" w:h="16838" w:code="9"/>
          <w:pgMar w:top="1418" w:right="1474" w:bottom="1418" w:left="1474" w:header="709" w:footer="567" w:gutter="0"/>
          <w:cols w:space="708"/>
          <w:titlePg/>
          <w:docGrid w:linePitch="299"/>
        </w:sectPr>
      </w:pPr>
    </w:p>
    <w:p w14:paraId="4AA5B4E4" w14:textId="77777777" w:rsidR="007E365E" w:rsidRPr="00785668" w:rsidRDefault="007E365E" w:rsidP="007E365E">
      <w:pPr>
        <w:pStyle w:val="Heading1"/>
      </w:pPr>
      <w:bookmarkStart w:id="374" w:name="_Toc32922488"/>
      <w:r w:rsidRPr="00785668">
        <w:lastRenderedPageBreak/>
        <w:t>24</w:t>
      </w:r>
      <w:bookmarkStart w:id="375" w:name="_Toc24468505"/>
      <w:bookmarkStart w:id="376" w:name="_Toc24569247"/>
      <w:r>
        <w:tab/>
      </w:r>
      <w:r w:rsidRPr="00785668">
        <w:t>Investment</w:t>
      </w:r>
      <w:bookmarkEnd w:id="374"/>
      <w:bookmarkEnd w:id="375"/>
      <w:bookmarkEnd w:id="3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7E365E" w:rsidRPr="00785668" w14:paraId="7B7FAFBC" w14:textId="77777777" w:rsidTr="007D1D77">
        <w:tc>
          <w:tcPr>
            <w:tcW w:w="8951" w:type="dxa"/>
            <w:shd w:val="clear" w:color="auto" w:fill="EBF3F5"/>
          </w:tcPr>
          <w:p w14:paraId="52195902" w14:textId="77777777" w:rsidR="007E365E" w:rsidRPr="000F09E5" w:rsidRDefault="007E365E" w:rsidP="007D1D77">
            <w:pPr>
              <w:pStyle w:val="Heading4"/>
              <w:outlineLvl w:val="3"/>
            </w:pPr>
            <w:bookmarkStart w:id="377" w:name="_Toc24569248"/>
            <w:bookmarkStart w:id="378" w:name="_Toc24468506"/>
            <w:r w:rsidRPr="000F09E5">
              <w:t>Summary of the assessment</w:t>
            </w:r>
            <w:bookmarkEnd w:id="377"/>
            <w:bookmarkEnd w:id="378"/>
          </w:p>
          <w:p w14:paraId="317874D3" w14:textId="77777777" w:rsidR="007E365E" w:rsidRPr="000F09E5" w:rsidRDefault="007E365E" w:rsidP="007D1D77">
            <w:r w:rsidRPr="000F09E5">
              <w:t>The Investment assessment covers State gross investment, regardless of whether that investment produces new assets or replaces existing, depreciated, assets.</w:t>
            </w:r>
          </w:p>
          <w:p w14:paraId="752686FC" w14:textId="77777777" w:rsidR="007E365E" w:rsidRPr="000F09E5" w:rsidRDefault="007E365E" w:rsidP="007D1D77">
            <w:r w:rsidRPr="000F09E5">
              <w:t xml:space="preserve">The Commission assesses State investment as the amount each State would invest to finish the year with the average per capita stock of new and replacement infrastructure, taking account of the growth in its user populations and relative cost levels. </w:t>
            </w:r>
          </w:p>
          <w:p w14:paraId="6215648F" w14:textId="77777777" w:rsidR="007E365E" w:rsidRPr="000F09E5" w:rsidRDefault="007E365E" w:rsidP="007D1D77">
            <w:r w:rsidRPr="000F09E5">
              <w:t xml:space="preserve">The main driver of the assessment is growth in the populations who use services. States whose user populations are growing require more investment. The relative costs of infrastructure and the average increase in infrastructure per capita also drive the assessment. </w:t>
            </w:r>
          </w:p>
          <w:p w14:paraId="69BFBB42" w14:textId="77777777" w:rsidR="007E365E" w:rsidRPr="00785668" w:rsidRDefault="007E365E" w:rsidP="007D1D77">
            <w:pPr>
              <w:spacing w:after="120"/>
              <w:rPr>
                <w:highlight w:val="yellow"/>
              </w:rPr>
            </w:pPr>
            <w:r w:rsidRPr="000F09E5">
              <w:t xml:space="preserve">Investment for every expense category is assessed separately based on relevant user populations and costs. Investment in land and other </w:t>
            </w:r>
            <w:r>
              <w:t xml:space="preserve">non-produced </w:t>
            </w:r>
            <w:r w:rsidRPr="000F09E5">
              <w:t xml:space="preserve">assets is assessed on an equal per capita basis </w:t>
            </w:r>
            <w:r>
              <w:t>and</w:t>
            </w:r>
            <w:r w:rsidRPr="000F09E5">
              <w:t xml:space="preserve"> does not affect the GST distribution.</w:t>
            </w:r>
          </w:p>
        </w:tc>
      </w:tr>
    </w:tbl>
    <w:p w14:paraId="6C85BA8D" w14:textId="77777777" w:rsidR="007E365E" w:rsidRPr="00785668" w:rsidRDefault="007E365E" w:rsidP="007E365E">
      <w:pPr>
        <w:pStyle w:val="Heading3"/>
      </w:pPr>
      <w:bookmarkStart w:id="379" w:name="_Toc24569249"/>
      <w:bookmarkStart w:id="380" w:name="_Toc24468507"/>
      <w:r w:rsidRPr="00785668">
        <w:t>Service overview</w:t>
      </w:r>
      <w:bookmarkEnd w:id="379"/>
      <w:bookmarkEnd w:id="380"/>
    </w:p>
    <w:p w14:paraId="6152ABC8" w14:textId="3860D00E" w:rsidR="007E365E" w:rsidRPr="00785668" w:rsidRDefault="007E365E" w:rsidP="0001330F">
      <w:pPr>
        <w:pStyle w:val="CGCParaNumber"/>
        <w:numPr>
          <w:ilvl w:val="0"/>
          <w:numId w:val="62"/>
        </w:numPr>
        <w:ind w:left="567" w:hanging="567"/>
      </w:pPr>
      <w:r w:rsidRPr="00785668">
        <w:t xml:space="preserve">Both the level of investment and the stock of physical assets varies considerably between States, as shown in </w:t>
      </w:r>
      <w:r>
        <w:fldChar w:fldCharType="begin"/>
      </w:r>
      <w:r>
        <w:instrText xml:space="preserve"> REF _Ref32850139 \h </w:instrText>
      </w:r>
      <w:r>
        <w:fldChar w:fldCharType="separate"/>
      </w:r>
      <w:r w:rsidR="007F721A" w:rsidRPr="00785668">
        <w:t xml:space="preserve">Table </w:t>
      </w:r>
      <w:r w:rsidR="007F721A">
        <w:t>24-</w:t>
      </w:r>
      <w:r w:rsidR="007F721A">
        <w:rPr>
          <w:noProof/>
        </w:rPr>
        <w:t>1</w:t>
      </w:r>
      <w:r>
        <w:fldChar w:fldCharType="end"/>
      </w:r>
      <w:r w:rsidRPr="00785668">
        <w:t xml:space="preserve">. Total investment has grown considerably from </w:t>
      </w:r>
      <w:r>
        <w:t>2015-16</w:t>
      </w:r>
      <w:r w:rsidRPr="00785668">
        <w:t>, reaching $32.</w:t>
      </w:r>
      <w:r>
        <w:t>3</w:t>
      </w:r>
      <w:r w:rsidRPr="00785668">
        <w:t xml:space="preserve"> billion in </w:t>
      </w:r>
      <w:r>
        <w:t>2018-19</w:t>
      </w:r>
      <w:r w:rsidRPr="00785668">
        <w:rPr>
          <w:rStyle w:val="FootnoteReference"/>
        </w:rPr>
        <w:footnoteReference w:id="92"/>
      </w:r>
      <w:r w:rsidRPr="00785668">
        <w:t xml:space="preserve"> (</w:t>
      </w:r>
      <w:r w:rsidRPr="00785668">
        <w:fldChar w:fldCharType="begin"/>
      </w:r>
      <w:r w:rsidRPr="00785668">
        <w:instrText xml:space="preserve"> REF _Ref9435802 \h </w:instrText>
      </w:r>
      <w:r>
        <w:instrText xml:space="preserve"> \* MERGEFORMAT </w:instrText>
      </w:r>
      <w:r w:rsidRPr="00785668">
        <w:fldChar w:fldCharType="separate"/>
      </w:r>
      <w:r w:rsidR="007F721A" w:rsidRPr="00785668">
        <w:t xml:space="preserve">Table </w:t>
      </w:r>
      <w:r w:rsidR="007F721A">
        <w:rPr>
          <w:noProof/>
        </w:rPr>
        <w:t>24-2</w:t>
      </w:r>
      <w:r w:rsidRPr="00785668">
        <w:fldChar w:fldCharType="end"/>
      </w:r>
      <w:r w:rsidRPr="00785668">
        <w:t>), including:</w:t>
      </w:r>
    </w:p>
    <w:p w14:paraId="3B94FB89" w14:textId="77777777" w:rsidR="007E365E" w:rsidRPr="00785668" w:rsidRDefault="007E365E" w:rsidP="007E365E">
      <w:pPr>
        <w:pStyle w:val="CGCBullet1"/>
      </w:pPr>
      <w:r w:rsidRPr="00785668">
        <w:t>investment in produced assets o</w:t>
      </w:r>
      <w:r w:rsidRPr="00583510">
        <w:t>f $31</w:t>
      </w:r>
      <w:r w:rsidRPr="00785668">
        <w:t xml:space="preserve"> billion</w:t>
      </w:r>
    </w:p>
    <w:p w14:paraId="5D82957A" w14:textId="77777777" w:rsidR="007E365E" w:rsidRPr="00785668" w:rsidRDefault="007E365E" w:rsidP="007E365E">
      <w:pPr>
        <w:pStyle w:val="CGCBullet1"/>
      </w:pPr>
      <w:r w:rsidRPr="00785668">
        <w:t xml:space="preserve">investment in non-produced assets (mostly land) </w:t>
      </w:r>
      <w:r w:rsidRPr="00583510">
        <w:t>of $1.</w:t>
      </w:r>
      <w:r>
        <w:t>3</w:t>
      </w:r>
      <w:r w:rsidRPr="00583510">
        <w:t xml:space="preserve"> billion</w:t>
      </w:r>
      <w:r w:rsidRPr="00785668">
        <w:t>.</w:t>
      </w:r>
    </w:p>
    <w:p w14:paraId="75AD59EF" w14:textId="49D2D615" w:rsidR="007E365E" w:rsidRPr="00785668" w:rsidRDefault="007E365E" w:rsidP="007E365E">
      <w:pPr>
        <w:pStyle w:val="CGCParaNumber"/>
      </w:pPr>
      <w:r w:rsidRPr="00785668">
        <w:t xml:space="preserve">Physical assets have grown steadily between </w:t>
      </w:r>
      <w:r>
        <w:t>2015-16</w:t>
      </w:r>
      <w:r w:rsidRPr="00785668">
        <w:t xml:space="preserve"> and </w:t>
      </w:r>
      <w:r>
        <w:t>2018-19</w:t>
      </w:r>
      <w:r w:rsidRPr="00785668">
        <w:t xml:space="preserve"> reaching $</w:t>
      </w:r>
      <w:r>
        <w:t>633.6</w:t>
      </w:r>
      <w:r w:rsidRPr="00785668">
        <w:t xml:space="preserve"> billion in </w:t>
      </w:r>
      <w:r>
        <w:t>2018-19</w:t>
      </w:r>
      <w:r w:rsidRPr="00785668">
        <w:t xml:space="preserve"> (</w:t>
      </w:r>
      <w:r w:rsidRPr="00785668">
        <w:fldChar w:fldCharType="begin"/>
      </w:r>
      <w:r w:rsidRPr="00785668">
        <w:instrText xml:space="preserve"> REF _Ref9435802 \h  \* MERGEFORMAT </w:instrText>
      </w:r>
      <w:r w:rsidRPr="00785668">
        <w:fldChar w:fldCharType="separate"/>
      </w:r>
      <w:r w:rsidR="007F721A" w:rsidRPr="00785668">
        <w:t xml:space="preserve">Table </w:t>
      </w:r>
      <w:r w:rsidR="007F721A">
        <w:rPr>
          <w:noProof/>
        </w:rPr>
        <w:t>24-2</w:t>
      </w:r>
      <w:r w:rsidRPr="00785668">
        <w:fldChar w:fldCharType="end"/>
      </w:r>
      <w:r w:rsidRPr="00785668">
        <w:t xml:space="preserve">). The change in the level of physical assets between two years reflects not only the level of investment, but also the extent to which those assets depreciate, and are revalued. </w:t>
      </w:r>
    </w:p>
    <w:p w14:paraId="16602641" w14:textId="2E766235" w:rsidR="007E365E" w:rsidRDefault="007E365E" w:rsidP="007E365E">
      <w:pPr>
        <w:pStyle w:val="Caption"/>
      </w:pPr>
      <w:bookmarkStart w:id="381" w:name="_Ref32850139"/>
      <w:r w:rsidRPr="00785668">
        <w:t xml:space="preserve">Table </w:t>
      </w:r>
      <w:r>
        <w:t>24-</w:t>
      </w:r>
      <w:fldSimple w:instr=" SEQ Table \r1 \* ARABIC ">
        <w:r w:rsidR="007F721A">
          <w:rPr>
            <w:noProof/>
          </w:rPr>
          <w:t>1</w:t>
        </w:r>
      </w:fldSimple>
      <w:bookmarkEnd w:id="381"/>
      <w:r w:rsidRPr="00785668">
        <w:tab/>
        <w:t xml:space="preserve">Investment and physical assets by State, </w:t>
      </w:r>
      <w:r>
        <w:t>2018-19</w:t>
      </w:r>
    </w:p>
    <w:tbl>
      <w:tblPr>
        <w:tblW w:w="8920" w:type="dxa"/>
        <w:tblCellMar>
          <w:left w:w="28" w:type="dxa"/>
          <w:right w:w="28" w:type="dxa"/>
        </w:tblCellMar>
        <w:tblLook w:val="04A0" w:firstRow="1" w:lastRow="0" w:firstColumn="1" w:lastColumn="0" w:noHBand="0" w:noVBand="1"/>
      </w:tblPr>
      <w:tblGrid>
        <w:gridCol w:w="1900"/>
        <w:gridCol w:w="800"/>
        <w:gridCol w:w="800"/>
        <w:gridCol w:w="800"/>
        <w:gridCol w:w="760"/>
        <w:gridCol w:w="760"/>
        <w:gridCol w:w="760"/>
        <w:gridCol w:w="760"/>
        <w:gridCol w:w="760"/>
        <w:gridCol w:w="820"/>
      </w:tblGrid>
      <w:tr w:rsidR="007E365E" w:rsidRPr="00F74668" w14:paraId="7E6CAD60" w14:textId="77777777" w:rsidTr="007D1D77">
        <w:trPr>
          <w:trHeight w:val="375"/>
        </w:trPr>
        <w:tc>
          <w:tcPr>
            <w:tcW w:w="1900" w:type="dxa"/>
            <w:tcBorders>
              <w:top w:val="nil"/>
              <w:left w:val="nil"/>
              <w:bottom w:val="nil"/>
              <w:right w:val="nil"/>
            </w:tcBorders>
            <w:shd w:val="clear" w:color="000000" w:fill="006991"/>
            <w:noWrap/>
            <w:vAlign w:val="center"/>
            <w:hideMark/>
          </w:tcPr>
          <w:p w14:paraId="01A84BFB"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4668">
              <w:rPr>
                <w:rFonts w:ascii="Open Sans SemiBold" w:eastAsia="Times New Roman" w:hAnsi="Open Sans SemiBold" w:cs="Open Sans SemiBold"/>
                <w:color w:val="FFFFFF"/>
                <w:sz w:val="16"/>
                <w:szCs w:val="16"/>
                <w:lang w:eastAsia="en-AU"/>
              </w:rPr>
              <w:t> </w:t>
            </w:r>
          </w:p>
        </w:tc>
        <w:tc>
          <w:tcPr>
            <w:tcW w:w="800" w:type="dxa"/>
            <w:tcBorders>
              <w:top w:val="nil"/>
              <w:left w:val="nil"/>
              <w:bottom w:val="nil"/>
              <w:right w:val="nil"/>
            </w:tcBorders>
            <w:shd w:val="clear" w:color="000000" w:fill="006991"/>
            <w:noWrap/>
            <w:vAlign w:val="center"/>
            <w:hideMark/>
          </w:tcPr>
          <w:p w14:paraId="307790C9"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4668">
              <w:rPr>
                <w:rFonts w:ascii="Open Sans SemiBold" w:eastAsia="Times New Roman" w:hAnsi="Open Sans SemiBold" w:cs="Open Sans SemiBold"/>
                <w:color w:val="FFFFFF"/>
                <w:sz w:val="16"/>
                <w:szCs w:val="16"/>
                <w:lang w:eastAsia="en-AU"/>
              </w:rPr>
              <w:t>NSW</w:t>
            </w:r>
          </w:p>
        </w:tc>
        <w:tc>
          <w:tcPr>
            <w:tcW w:w="800" w:type="dxa"/>
            <w:tcBorders>
              <w:top w:val="nil"/>
              <w:left w:val="nil"/>
              <w:bottom w:val="nil"/>
              <w:right w:val="nil"/>
            </w:tcBorders>
            <w:shd w:val="clear" w:color="000000" w:fill="006991"/>
            <w:noWrap/>
            <w:vAlign w:val="center"/>
            <w:hideMark/>
          </w:tcPr>
          <w:p w14:paraId="75FA3620"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4668">
              <w:rPr>
                <w:rFonts w:ascii="Open Sans SemiBold" w:eastAsia="Times New Roman" w:hAnsi="Open Sans SemiBold" w:cs="Open Sans SemiBold"/>
                <w:color w:val="FFFFFF"/>
                <w:sz w:val="16"/>
                <w:szCs w:val="16"/>
                <w:lang w:eastAsia="en-AU"/>
              </w:rPr>
              <w:t>Vic</w:t>
            </w:r>
          </w:p>
        </w:tc>
        <w:tc>
          <w:tcPr>
            <w:tcW w:w="800" w:type="dxa"/>
            <w:tcBorders>
              <w:top w:val="nil"/>
              <w:left w:val="nil"/>
              <w:bottom w:val="nil"/>
              <w:right w:val="nil"/>
            </w:tcBorders>
            <w:shd w:val="clear" w:color="000000" w:fill="006991"/>
            <w:noWrap/>
            <w:vAlign w:val="center"/>
            <w:hideMark/>
          </w:tcPr>
          <w:p w14:paraId="1AFB5D6E"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4668">
              <w:rPr>
                <w:rFonts w:ascii="Open Sans SemiBold" w:eastAsia="Times New Roman" w:hAnsi="Open Sans SemiBold" w:cs="Open Sans SemiBold"/>
                <w:color w:val="FFFFFF"/>
                <w:sz w:val="16"/>
                <w:szCs w:val="16"/>
                <w:lang w:eastAsia="en-AU"/>
              </w:rPr>
              <w:t>Qld</w:t>
            </w:r>
          </w:p>
        </w:tc>
        <w:tc>
          <w:tcPr>
            <w:tcW w:w="760" w:type="dxa"/>
            <w:tcBorders>
              <w:top w:val="nil"/>
              <w:left w:val="nil"/>
              <w:bottom w:val="nil"/>
              <w:right w:val="nil"/>
            </w:tcBorders>
            <w:shd w:val="clear" w:color="000000" w:fill="006991"/>
            <w:noWrap/>
            <w:vAlign w:val="center"/>
            <w:hideMark/>
          </w:tcPr>
          <w:p w14:paraId="383C0121"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4668">
              <w:rPr>
                <w:rFonts w:ascii="Open Sans SemiBold" w:eastAsia="Times New Roman" w:hAnsi="Open Sans SemiBold" w:cs="Open Sans SemiBold"/>
                <w:color w:val="FFFFFF"/>
                <w:sz w:val="16"/>
                <w:szCs w:val="16"/>
                <w:lang w:eastAsia="en-AU"/>
              </w:rPr>
              <w:t>WA</w:t>
            </w:r>
          </w:p>
        </w:tc>
        <w:tc>
          <w:tcPr>
            <w:tcW w:w="760" w:type="dxa"/>
            <w:tcBorders>
              <w:top w:val="nil"/>
              <w:left w:val="nil"/>
              <w:bottom w:val="nil"/>
              <w:right w:val="nil"/>
            </w:tcBorders>
            <w:shd w:val="clear" w:color="000000" w:fill="006991"/>
            <w:noWrap/>
            <w:vAlign w:val="center"/>
            <w:hideMark/>
          </w:tcPr>
          <w:p w14:paraId="7104235B"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4668">
              <w:rPr>
                <w:rFonts w:ascii="Open Sans SemiBold" w:eastAsia="Times New Roman" w:hAnsi="Open Sans SemiBold" w:cs="Open Sans SemiBold"/>
                <w:color w:val="FFFFFF"/>
                <w:sz w:val="16"/>
                <w:szCs w:val="16"/>
                <w:lang w:eastAsia="en-AU"/>
              </w:rPr>
              <w:t>SA</w:t>
            </w:r>
          </w:p>
        </w:tc>
        <w:tc>
          <w:tcPr>
            <w:tcW w:w="760" w:type="dxa"/>
            <w:tcBorders>
              <w:top w:val="nil"/>
              <w:left w:val="nil"/>
              <w:bottom w:val="nil"/>
              <w:right w:val="nil"/>
            </w:tcBorders>
            <w:shd w:val="clear" w:color="000000" w:fill="006991"/>
            <w:noWrap/>
            <w:vAlign w:val="center"/>
            <w:hideMark/>
          </w:tcPr>
          <w:p w14:paraId="46CD4821"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4668">
              <w:rPr>
                <w:rFonts w:ascii="Open Sans SemiBold" w:eastAsia="Times New Roman" w:hAnsi="Open Sans SemiBold" w:cs="Open Sans SemiBold"/>
                <w:color w:val="FFFFFF"/>
                <w:sz w:val="16"/>
                <w:szCs w:val="16"/>
                <w:lang w:eastAsia="en-AU"/>
              </w:rPr>
              <w:t>Tas</w:t>
            </w:r>
          </w:p>
        </w:tc>
        <w:tc>
          <w:tcPr>
            <w:tcW w:w="760" w:type="dxa"/>
            <w:tcBorders>
              <w:top w:val="nil"/>
              <w:left w:val="nil"/>
              <w:bottom w:val="nil"/>
              <w:right w:val="nil"/>
            </w:tcBorders>
            <w:shd w:val="clear" w:color="000000" w:fill="006991"/>
            <w:noWrap/>
            <w:vAlign w:val="center"/>
            <w:hideMark/>
          </w:tcPr>
          <w:p w14:paraId="4C54ED62"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4668">
              <w:rPr>
                <w:rFonts w:ascii="Open Sans SemiBold" w:eastAsia="Times New Roman" w:hAnsi="Open Sans SemiBold" w:cs="Open Sans SemiBold"/>
                <w:color w:val="FFFFFF"/>
                <w:sz w:val="16"/>
                <w:szCs w:val="16"/>
                <w:lang w:eastAsia="en-AU"/>
              </w:rPr>
              <w:t>ACT</w:t>
            </w:r>
          </w:p>
        </w:tc>
        <w:tc>
          <w:tcPr>
            <w:tcW w:w="760" w:type="dxa"/>
            <w:tcBorders>
              <w:top w:val="nil"/>
              <w:left w:val="nil"/>
              <w:bottom w:val="nil"/>
              <w:right w:val="nil"/>
            </w:tcBorders>
            <w:shd w:val="clear" w:color="000000" w:fill="006991"/>
            <w:noWrap/>
            <w:vAlign w:val="center"/>
            <w:hideMark/>
          </w:tcPr>
          <w:p w14:paraId="7123A8CF"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4668">
              <w:rPr>
                <w:rFonts w:ascii="Open Sans SemiBold" w:eastAsia="Times New Roman" w:hAnsi="Open Sans SemiBold" w:cs="Open Sans SemiBold"/>
                <w:color w:val="FFFFFF"/>
                <w:sz w:val="16"/>
                <w:szCs w:val="16"/>
                <w:lang w:eastAsia="en-AU"/>
              </w:rPr>
              <w:t>NT</w:t>
            </w:r>
          </w:p>
        </w:tc>
        <w:tc>
          <w:tcPr>
            <w:tcW w:w="820" w:type="dxa"/>
            <w:tcBorders>
              <w:top w:val="nil"/>
              <w:left w:val="nil"/>
              <w:bottom w:val="nil"/>
              <w:right w:val="nil"/>
            </w:tcBorders>
            <w:shd w:val="clear" w:color="000000" w:fill="006991"/>
            <w:noWrap/>
            <w:vAlign w:val="center"/>
            <w:hideMark/>
          </w:tcPr>
          <w:p w14:paraId="000FEFBC"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74668">
              <w:rPr>
                <w:rFonts w:ascii="Open Sans SemiBold" w:eastAsia="Times New Roman" w:hAnsi="Open Sans SemiBold" w:cs="Open Sans SemiBold"/>
                <w:color w:val="FFFFFF"/>
                <w:sz w:val="16"/>
                <w:szCs w:val="16"/>
                <w:lang w:eastAsia="en-AU"/>
              </w:rPr>
              <w:t>Total</w:t>
            </w:r>
          </w:p>
        </w:tc>
      </w:tr>
      <w:tr w:rsidR="007E365E" w:rsidRPr="00F74668" w14:paraId="5FB3D4C1" w14:textId="77777777" w:rsidTr="007D1D77">
        <w:trPr>
          <w:trHeight w:val="315"/>
        </w:trPr>
        <w:tc>
          <w:tcPr>
            <w:tcW w:w="1900" w:type="dxa"/>
            <w:tcBorders>
              <w:top w:val="nil"/>
              <w:left w:val="nil"/>
              <w:bottom w:val="single" w:sz="4" w:space="0" w:color="ADD6EA"/>
              <w:right w:val="nil"/>
            </w:tcBorders>
            <w:shd w:val="clear" w:color="000000" w:fill="B6D5E4"/>
            <w:vAlign w:val="bottom"/>
            <w:hideMark/>
          </w:tcPr>
          <w:p w14:paraId="2A4430EB" w14:textId="77777777" w:rsidR="007E365E" w:rsidRPr="00F74668"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Investment</w:t>
            </w:r>
          </w:p>
        </w:tc>
        <w:tc>
          <w:tcPr>
            <w:tcW w:w="800" w:type="dxa"/>
            <w:tcBorders>
              <w:top w:val="nil"/>
              <w:left w:val="nil"/>
              <w:bottom w:val="single" w:sz="4" w:space="0" w:color="ADD6EA"/>
              <w:right w:val="nil"/>
            </w:tcBorders>
            <w:shd w:val="clear" w:color="000000" w:fill="B6D5E4"/>
            <w:noWrap/>
            <w:vAlign w:val="bottom"/>
            <w:hideMark/>
          </w:tcPr>
          <w:p w14:paraId="15155DFF"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800" w:type="dxa"/>
            <w:tcBorders>
              <w:top w:val="nil"/>
              <w:left w:val="nil"/>
              <w:bottom w:val="single" w:sz="4" w:space="0" w:color="ADD6EA"/>
              <w:right w:val="nil"/>
            </w:tcBorders>
            <w:shd w:val="clear" w:color="000000" w:fill="B6D5E4"/>
            <w:noWrap/>
            <w:vAlign w:val="bottom"/>
            <w:hideMark/>
          </w:tcPr>
          <w:p w14:paraId="6FC3C312"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800" w:type="dxa"/>
            <w:tcBorders>
              <w:top w:val="nil"/>
              <w:left w:val="nil"/>
              <w:bottom w:val="single" w:sz="4" w:space="0" w:color="ADD6EA"/>
              <w:right w:val="nil"/>
            </w:tcBorders>
            <w:shd w:val="clear" w:color="000000" w:fill="B6D5E4"/>
            <w:noWrap/>
            <w:vAlign w:val="bottom"/>
            <w:hideMark/>
          </w:tcPr>
          <w:p w14:paraId="441F75A9"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noWrap/>
            <w:vAlign w:val="bottom"/>
            <w:hideMark/>
          </w:tcPr>
          <w:p w14:paraId="05F1B26F"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noWrap/>
            <w:vAlign w:val="bottom"/>
            <w:hideMark/>
          </w:tcPr>
          <w:p w14:paraId="2456FE3A"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noWrap/>
            <w:vAlign w:val="bottom"/>
            <w:hideMark/>
          </w:tcPr>
          <w:p w14:paraId="3863CFDC"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noWrap/>
            <w:vAlign w:val="bottom"/>
            <w:hideMark/>
          </w:tcPr>
          <w:p w14:paraId="682A0E20"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noWrap/>
            <w:vAlign w:val="bottom"/>
            <w:hideMark/>
          </w:tcPr>
          <w:p w14:paraId="306CCE59"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noWrap/>
            <w:vAlign w:val="bottom"/>
            <w:hideMark/>
          </w:tcPr>
          <w:p w14:paraId="5934F550"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r>
      <w:tr w:rsidR="007E365E" w:rsidRPr="00F74668" w14:paraId="5759A591" w14:textId="77777777" w:rsidTr="007D1D77">
        <w:trPr>
          <w:trHeight w:val="315"/>
        </w:trPr>
        <w:tc>
          <w:tcPr>
            <w:tcW w:w="1900" w:type="dxa"/>
            <w:tcBorders>
              <w:top w:val="nil"/>
              <w:left w:val="nil"/>
              <w:bottom w:val="single" w:sz="4" w:space="0" w:color="ADD6EA"/>
              <w:right w:val="nil"/>
            </w:tcBorders>
            <w:shd w:val="clear" w:color="auto" w:fill="auto"/>
            <w:vAlign w:val="bottom"/>
            <w:hideMark/>
          </w:tcPr>
          <w:p w14:paraId="10F5D006" w14:textId="77777777" w:rsidR="007E365E" w:rsidRPr="00F74668"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F74668">
              <w:rPr>
                <w:rFonts w:eastAsia="Times New Roman" w:cs="Open Sans Light"/>
                <w:sz w:val="16"/>
                <w:szCs w:val="16"/>
                <w:lang w:eastAsia="en-AU"/>
              </w:rPr>
              <w:t>$ million</w:t>
            </w:r>
          </w:p>
        </w:tc>
        <w:tc>
          <w:tcPr>
            <w:tcW w:w="800" w:type="dxa"/>
            <w:tcBorders>
              <w:top w:val="nil"/>
              <w:left w:val="nil"/>
              <w:bottom w:val="single" w:sz="4" w:space="0" w:color="ADD6EA"/>
              <w:right w:val="nil"/>
            </w:tcBorders>
            <w:shd w:val="clear" w:color="auto" w:fill="auto"/>
            <w:vAlign w:val="bottom"/>
            <w:hideMark/>
          </w:tcPr>
          <w:p w14:paraId="413A3CD6"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14,841</w:t>
            </w:r>
          </w:p>
        </w:tc>
        <w:tc>
          <w:tcPr>
            <w:tcW w:w="800" w:type="dxa"/>
            <w:tcBorders>
              <w:top w:val="nil"/>
              <w:left w:val="nil"/>
              <w:bottom w:val="single" w:sz="4" w:space="0" w:color="ADD6EA"/>
              <w:right w:val="nil"/>
            </w:tcBorders>
            <w:shd w:val="clear" w:color="auto" w:fill="auto"/>
            <w:vAlign w:val="bottom"/>
            <w:hideMark/>
          </w:tcPr>
          <w:p w14:paraId="723CC298"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5,729</w:t>
            </w:r>
          </w:p>
        </w:tc>
        <w:tc>
          <w:tcPr>
            <w:tcW w:w="800" w:type="dxa"/>
            <w:tcBorders>
              <w:top w:val="nil"/>
              <w:left w:val="nil"/>
              <w:bottom w:val="single" w:sz="4" w:space="0" w:color="ADD6EA"/>
              <w:right w:val="nil"/>
            </w:tcBorders>
            <w:shd w:val="clear" w:color="auto" w:fill="auto"/>
            <w:vAlign w:val="bottom"/>
            <w:hideMark/>
          </w:tcPr>
          <w:p w14:paraId="20022DCB"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6,315</w:t>
            </w:r>
          </w:p>
        </w:tc>
        <w:tc>
          <w:tcPr>
            <w:tcW w:w="760" w:type="dxa"/>
            <w:tcBorders>
              <w:top w:val="nil"/>
              <w:left w:val="nil"/>
              <w:bottom w:val="single" w:sz="4" w:space="0" w:color="ADD6EA"/>
              <w:right w:val="nil"/>
            </w:tcBorders>
            <w:shd w:val="clear" w:color="auto" w:fill="auto"/>
            <w:vAlign w:val="bottom"/>
            <w:hideMark/>
          </w:tcPr>
          <w:p w14:paraId="0EA37FDE"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2,275</w:t>
            </w:r>
          </w:p>
        </w:tc>
        <w:tc>
          <w:tcPr>
            <w:tcW w:w="760" w:type="dxa"/>
            <w:tcBorders>
              <w:top w:val="nil"/>
              <w:left w:val="nil"/>
              <w:bottom w:val="single" w:sz="4" w:space="0" w:color="ADD6EA"/>
              <w:right w:val="nil"/>
            </w:tcBorders>
            <w:shd w:val="clear" w:color="auto" w:fill="auto"/>
            <w:vAlign w:val="bottom"/>
            <w:hideMark/>
          </w:tcPr>
          <w:p w14:paraId="316D2730"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1,173</w:t>
            </w:r>
          </w:p>
        </w:tc>
        <w:tc>
          <w:tcPr>
            <w:tcW w:w="760" w:type="dxa"/>
            <w:tcBorders>
              <w:top w:val="nil"/>
              <w:left w:val="nil"/>
              <w:bottom w:val="single" w:sz="4" w:space="0" w:color="ADD6EA"/>
              <w:right w:val="nil"/>
            </w:tcBorders>
            <w:shd w:val="clear" w:color="auto" w:fill="auto"/>
            <w:vAlign w:val="bottom"/>
            <w:hideMark/>
          </w:tcPr>
          <w:p w14:paraId="4385377A"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492</w:t>
            </w:r>
          </w:p>
        </w:tc>
        <w:tc>
          <w:tcPr>
            <w:tcW w:w="760" w:type="dxa"/>
            <w:tcBorders>
              <w:top w:val="nil"/>
              <w:left w:val="nil"/>
              <w:bottom w:val="single" w:sz="4" w:space="0" w:color="ADD6EA"/>
              <w:right w:val="nil"/>
            </w:tcBorders>
            <w:shd w:val="clear" w:color="auto" w:fill="auto"/>
            <w:vAlign w:val="bottom"/>
            <w:hideMark/>
          </w:tcPr>
          <w:p w14:paraId="68AE1165"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635</w:t>
            </w:r>
          </w:p>
        </w:tc>
        <w:tc>
          <w:tcPr>
            <w:tcW w:w="760" w:type="dxa"/>
            <w:tcBorders>
              <w:top w:val="nil"/>
              <w:left w:val="nil"/>
              <w:bottom w:val="single" w:sz="4" w:space="0" w:color="ADD6EA"/>
              <w:right w:val="nil"/>
            </w:tcBorders>
            <w:shd w:val="clear" w:color="auto" w:fill="auto"/>
            <w:vAlign w:val="bottom"/>
            <w:hideMark/>
          </w:tcPr>
          <w:p w14:paraId="78DE33DE"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790</w:t>
            </w:r>
          </w:p>
        </w:tc>
        <w:tc>
          <w:tcPr>
            <w:tcW w:w="820" w:type="dxa"/>
            <w:tcBorders>
              <w:top w:val="nil"/>
              <w:left w:val="nil"/>
              <w:bottom w:val="single" w:sz="4" w:space="0" w:color="ADD6EA"/>
              <w:right w:val="nil"/>
            </w:tcBorders>
            <w:shd w:val="clear" w:color="auto" w:fill="auto"/>
            <w:vAlign w:val="bottom"/>
            <w:hideMark/>
          </w:tcPr>
          <w:p w14:paraId="7F78C63A"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32,252</w:t>
            </w:r>
          </w:p>
        </w:tc>
      </w:tr>
      <w:tr w:rsidR="007E365E" w:rsidRPr="00F74668" w14:paraId="39EF5F0C" w14:textId="77777777" w:rsidTr="007D1D77">
        <w:trPr>
          <w:trHeight w:val="315"/>
        </w:trPr>
        <w:tc>
          <w:tcPr>
            <w:tcW w:w="1900" w:type="dxa"/>
            <w:tcBorders>
              <w:top w:val="nil"/>
              <w:left w:val="nil"/>
              <w:bottom w:val="single" w:sz="4" w:space="0" w:color="ADD6EA"/>
              <w:right w:val="nil"/>
            </w:tcBorders>
            <w:shd w:val="clear" w:color="auto" w:fill="auto"/>
            <w:vAlign w:val="bottom"/>
            <w:hideMark/>
          </w:tcPr>
          <w:p w14:paraId="25318751" w14:textId="77777777" w:rsidR="007E365E" w:rsidRPr="00F74668"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F74668">
              <w:rPr>
                <w:rFonts w:eastAsia="Times New Roman" w:cs="Open Sans Light"/>
                <w:sz w:val="16"/>
                <w:szCs w:val="16"/>
                <w:lang w:eastAsia="en-AU"/>
              </w:rPr>
              <w:t>$ per capita</w:t>
            </w:r>
          </w:p>
        </w:tc>
        <w:tc>
          <w:tcPr>
            <w:tcW w:w="800" w:type="dxa"/>
            <w:tcBorders>
              <w:top w:val="nil"/>
              <w:left w:val="nil"/>
              <w:bottom w:val="single" w:sz="4" w:space="0" w:color="ADD6EA"/>
              <w:right w:val="nil"/>
            </w:tcBorders>
            <w:shd w:val="clear" w:color="auto" w:fill="auto"/>
            <w:vAlign w:val="bottom"/>
            <w:hideMark/>
          </w:tcPr>
          <w:p w14:paraId="7820E785"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1,846</w:t>
            </w:r>
          </w:p>
        </w:tc>
        <w:tc>
          <w:tcPr>
            <w:tcW w:w="800" w:type="dxa"/>
            <w:tcBorders>
              <w:top w:val="nil"/>
              <w:left w:val="nil"/>
              <w:bottom w:val="single" w:sz="4" w:space="0" w:color="ADD6EA"/>
              <w:right w:val="nil"/>
            </w:tcBorders>
            <w:shd w:val="clear" w:color="auto" w:fill="auto"/>
            <w:vAlign w:val="bottom"/>
            <w:hideMark/>
          </w:tcPr>
          <w:p w14:paraId="215EC2E4"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878</w:t>
            </w:r>
          </w:p>
        </w:tc>
        <w:tc>
          <w:tcPr>
            <w:tcW w:w="800" w:type="dxa"/>
            <w:tcBorders>
              <w:top w:val="nil"/>
              <w:left w:val="nil"/>
              <w:bottom w:val="single" w:sz="4" w:space="0" w:color="ADD6EA"/>
              <w:right w:val="nil"/>
            </w:tcBorders>
            <w:shd w:val="clear" w:color="auto" w:fill="auto"/>
            <w:vAlign w:val="bottom"/>
            <w:hideMark/>
          </w:tcPr>
          <w:p w14:paraId="4B677C1F"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1,250</w:t>
            </w:r>
          </w:p>
        </w:tc>
        <w:tc>
          <w:tcPr>
            <w:tcW w:w="760" w:type="dxa"/>
            <w:tcBorders>
              <w:top w:val="nil"/>
              <w:left w:val="nil"/>
              <w:bottom w:val="single" w:sz="4" w:space="0" w:color="ADD6EA"/>
              <w:right w:val="nil"/>
            </w:tcBorders>
            <w:shd w:val="clear" w:color="auto" w:fill="auto"/>
            <w:vAlign w:val="bottom"/>
            <w:hideMark/>
          </w:tcPr>
          <w:p w14:paraId="5C117C30"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873</w:t>
            </w:r>
          </w:p>
        </w:tc>
        <w:tc>
          <w:tcPr>
            <w:tcW w:w="760" w:type="dxa"/>
            <w:tcBorders>
              <w:top w:val="nil"/>
              <w:left w:val="nil"/>
              <w:bottom w:val="single" w:sz="4" w:space="0" w:color="ADD6EA"/>
              <w:right w:val="nil"/>
            </w:tcBorders>
            <w:shd w:val="clear" w:color="auto" w:fill="auto"/>
            <w:vAlign w:val="bottom"/>
            <w:hideMark/>
          </w:tcPr>
          <w:p w14:paraId="25D62FDB"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673</w:t>
            </w:r>
          </w:p>
        </w:tc>
        <w:tc>
          <w:tcPr>
            <w:tcW w:w="760" w:type="dxa"/>
            <w:tcBorders>
              <w:top w:val="nil"/>
              <w:left w:val="nil"/>
              <w:bottom w:val="single" w:sz="4" w:space="0" w:color="ADD6EA"/>
              <w:right w:val="nil"/>
            </w:tcBorders>
            <w:shd w:val="clear" w:color="auto" w:fill="auto"/>
            <w:vAlign w:val="bottom"/>
            <w:hideMark/>
          </w:tcPr>
          <w:p w14:paraId="24F6A60C"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925</w:t>
            </w:r>
          </w:p>
        </w:tc>
        <w:tc>
          <w:tcPr>
            <w:tcW w:w="760" w:type="dxa"/>
            <w:tcBorders>
              <w:top w:val="nil"/>
              <w:left w:val="nil"/>
              <w:bottom w:val="single" w:sz="4" w:space="0" w:color="ADD6EA"/>
              <w:right w:val="nil"/>
            </w:tcBorders>
            <w:shd w:val="clear" w:color="auto" w:fill="auto"/>
            <w:vAlign w:val="bottom"/>
            <w:hideMark/>
          </w:tcPr>
          <w:p w14:paraId="254CEAC2"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1,501</w:t>
            </w:r>
          </w:p>
        </w:tc>
        <w:tc>
          <w:tcPr>
            <w:tcW w:w="760" w:type="dxa"/>
            <w:tcBorders>
              <w:top w:val="nil"/>
              <w:left w:val="nil"/>
              <w:bottom w:val="single" w:sz="4" w:space="0" w:color="ADD6EA"/>
              <w:right w:val="nil"/>
            </w:tcBorders>
            <w:shd w:val="clear" w:color="auto" w:fill="auto"/>
            <w:vAlign w:val="bottom"/>
            <w:hideMark/>
          </w:tcPr>
          <w:p w14:paraId="12D6EA7F"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3,219</w:t>
            </w:r>
          </w:p>
        </w:tc>
        <w:tc>
          <w:tcPr>
            <w:tcW w:w="820" w:type="dxa"/>
            <w:tcBorders>
              <w:top w:val="nil"/>
              <w:left w:val="nil"/>
              <w:bottom w:val="single" w:sz="4" w:space="0" w:color="ADD6EA"/>
              <w:right w:val="nil"/>
            </w:tcBorders>
            <w:shd w:val="clear" w:color="auto" w:fill="auto"/>
            <w:vAlign w:val="bottom"/>
            <w:hideMark/>
          </w:tcPr>
          <w:p w14:paraId="59EED1B1"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1,282</w:t>
            </w:r>
          </w:p>
        </w:tc>
      </w:tr>
      <w:tr w:rsidR="007E365E" w:rsidRPr="00F74668" w14:paraId="2341534A" w14:textId="77777777" w:rsidTr="007D1D77">
        <w:trPr>
          <w:trHeight w:val="315"/>
        </w:trPr>
        <w:tc>
          <w:tcPr>
            <w:tcW w:w="1900" w:type="dxa"/>
            <w:tcBorders>
              <w:top w:val="nil"/>
              <w:left w:val="nil"/>
              <w:bottom w:val="single" w:sz="4" w:space="0" w:color="ADD6EA"/>
              <w:right w:val="nil"/>
            </w:tcBorders>
            <w:shd w:val="clear" w:color="000000" w:fill="B6D5E4"/>
            <w:vAlign w:val="bottom"/>
            <w:hideMark/>
          </w:tcPr>
          <w:p w14:paraId="2F1E30D8" w14:textId="77777777" w:rsidR="007E365E" w:rsidRPr="00F74668"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Physical assets</w:t>
            </w:r>
          </w:p>
        </w:tc>
        <w:tc>
          <w:tcPr>
            <w:tcW w:w="800" w:type="dxa"/>
            <w:tcBorders>
              <w:top w:val="nil"/>
              <w:left w:val="nil"/>
              <w:bottom w:val="single" w:sz="4" w:space="0" w:color="ADD6EA"/>
              <w:right w:val="nil"/>
            </w:tcBorders>
            <w:shd w:val="clear" w:color="000000" w:fill="B6D5E4"/>
            <w:vAlign w:val="bottom"/>
            <w:hideMark/>
          </w:tcPr>
          <w:p w14:paraId="34448E02"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800" w:type="dxa"/>
            <w:tcBorders>
              <w:top w:val="nil"/>
              <w:left w:val="nil"/>
              <w:bottom w:val="single" w:sz="4" w:space="0" w:color="ADD6EA"/>
              <w:right w:val="nil"/>
            </w:tcBorders>
            <w:shd w:val="clear" w:color="000000" w:fill="B6D5E4"/>
            <w:vAlign w:val="bottom"/>
            <w:hideMark/>
          </w:tcPr>
          <w:p w14:paraId="4508BDC4"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800" w:type="dxa"/>
            <w:tcBorders>
              <w:top w:val="nil"/>
              <w:left w:val="nil"/>
              <w:bottom w:val="single" w:sz="4" w:space="0" w:color="ADD6EA"/>
              <w:right w:val="nil"/>
            </w:tcBorders>
            <w:shd w:val="clear" w:color="000000" w:fill="B6D5E4"/>
            <w:vAlign w:val="bottom"/>
            <w:hideMark/>
          </w:tcPr>
          <w:p w14:paraId="7B64D646"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vAlign w:val="bottom"/>
            <w:hideMark/>
          </w:tcPr>
          <w:p w14:paraId="667D45F8"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vAlign w:val="bottom"/>
            <w:hideMark/>
          </w:tcPr>
          <w:p w14:paraId="6EF235C0"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vAlign w:val="bottom"/>
            <w:hideMark/>
          </w:tcPr>
          <w:p w14:paraId="5D04EDDA"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vAlign w:val="bottom"/>
            <w:hideMark/>
          </w:tcPr>
          <w:p w14:paraId="21259BA4"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vAlign w:val="bottom"/>
            <w:hideMark/>
          </w:tcPr>
          <w:p w14:paraId="3AD09515"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vAlign w:val="bottom"/>
            <w:hideMark/>
          </w:tcPr>
          <w:p w14:paraId="6EF40A70" w14:textId="77777777" w:rsidR="007E365E" w:rsidRPr="00F74668"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74668">
              <w:rPr>
                <w:rFonts w:ascii="Open Sans SemiBold" w:eastAsia="Times New Roman" w:hAnsi="Open Sans SemiBold" w:cs="Open Sans SemiBold"/>
                <w:sz w:val="16"/>
                <w:szCs w:val="16"/>
                <w:lang w:eastAsia="en-AU"/>
              </w:rPr>
              <w:t> </w:t>
            </w:r>
          </w:p>
        </w:tc>
      </w:tr>
      <w:tr w:rsidR="007E365E" w:rsidRPr="00F74668" w14:paraId="7C583A7C" w14:textId="77777777" w:rsidTr="007D1D77">
        <w:trPr>
          <w:trHeight w:val="315"/>
        </w:trPr>
        <w:tc>
          <w:tcPr>
            <w:tcW w:w="1900" w:type="dxa"/>
            <w:tcBorders>
              <w:top w:val="nil"/>
              <w:left w:val="nil"/>
              <w:bottom w:val="single" w:sz="4" w:space="0" w:color="ADD6EA"/>
              <w:right w:val="nil"/>
            </w:tcBorders>
            <w:shd w:val="clear" w:color="auto" w:fill="auto"/>
            <w:vAlign w:val="bottom"/>
            <w:hideMark/>
          </w:tcPr>
          <w:p w14:paraId="1C25073D" w14:textId="77777777" w:rsidR="007E365E" w:rsidRPr="00F74668"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F74668">
              <w:rPr>
                <w:rFonts w:eastAsia="Times New Roman" w:cs="Open Sans Light"/>
                <w:sz w:val="16"/>
                <w:szCs w:val="16"/>
                <w:lang w:eastAsia="en-AU"/>
              </w:rPr>
              <w:t>$ million</w:t>
            </w:r>
          </w:p>
        </w:tc>
        <w:tc>
          <w:tcPr>
            <w:tcW w:w="800" w:type="dxa"/>
            <w:tcBorders>
              <w:top w:val="nil"/>
              <w:left w:val="nil"/>
              <w:bottom w:val="single" w:sz="4" w:space="0" w:color="ADD6EA"/>
              <w:right w:val="nil"/>
            </w:tcBorders>
            <w:shd w:val="clear" w:color="auto" w:fill="auto"/>
            <w:vAlign w:val="bottom"/>
            <w:hideMark/>
          </w:tcPr>
          <w:p w14:paraId="53938254"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243,260</w:t>
            </w:r>
          </w:p>
        </w:tc>
        <w:tc>
          <w:tcPr>
            <w:tcW w:w="800" w:type="dxa"/>
            <w:tcBorders>
              <w:top w:val="nil"/>
              <w:left w:val="nil"/>
              <w:bottom w:val="single" w:sz="4" w:space="0" w:color="ADD6EA"/>
              <w:right w:val="nil"/>
            </w:tcBorders>
            <w:shd w:val="clear" w:color="auto" w:fill="auto"/>
            <w:vAlign w:val="bottom"/>
            <w:hideMark/>
          </w:tcPr>
          <w:p w14:paraId="5CFBC22E"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124,336</w:t>
            </w:r>
          </w:p>
        </w:tc>
        <w:tc>
          <w:tcPr>
            <w:tcW w:w="800" w:type="dxa"/>
            <w:tcBorders>
              <w:top w:val="nil"/>
              <w:left w:val="nil"/>
              <w:bottom w:val="single" w:sz="4" w:space="0" w:color="ADD6EA"/>
              <w:right w:val="nil"/>
            </w:tcBorders>
            <w:shd w:val="clear" w:color="auto" w:fill="auto"/>
            <w:vAlign w:val="bottom"/>
            <w:hideMark/>
          </w:tcPr>
          <w:p w14:paraId="41554D9B"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120,591</w:t>
            </w:r>
          </w:p>
        </w:tc>
        <w:tc>
          <w:tcPr>
            <w:tcW w:w="760" w:type="dxa"/>
            <w:tcBorders>
              <w:top w:val="nil"/>
              <w:left w:val="nil"/>
              <w:bottom w:val="single" w:sz="4" w:space="0" w:color="ADD6EA"/>
              <w:right w:val="nil"/>
            </w:tcBorders>
            <w:shd w:val="clear" w:color="auto" w:fill="auto"/>
            <w:vAlign w:val="bottom"/>
            <w:hideMark/>
          </w:tcPr>
          <w:p w14:paraId="008F068F"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61,095</w:t>
            </w:r>
          </w:p>
        </w:tc>
        <w:tc>
          <w:tcPr>
            <w:tcW w:w="760" w:type="dxa"/>
            <w:tcBorders>
              <w:top w:val="nil"/>
              <w:left w:val="nil"/>
              <w:bottom w:val="single" w:sz="4" w:space="0" w:color="ADD6EA"/>
              <w:right w:val="nil"/>
            </w:tcBorders>
            <w:shd w:val="clear" w:color="auto" w:fill="auto"/>
            <w:vAlign w:val="bottom"/>
            <w:hideMark/>
          </w:tcPr>
          <w:p w14:paraId="09FB47DC"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44,267</w:t>
            </w:r>
          </w:p>
        </w:tc>
        <w:tc>
          <w:tcPr>
            <w:tcW w:w="760" w:type="dxa"/>
            <w:tcBorders>
              <w:top w:val="nil"/>
              <w:left w:val="nil"/>
              <w:bottom w:val="single" w:sz="4" w:space="0" w:color="ADD6EA"/>
              <w:right w:val="nil"/>
            </w:tcBorders>
            <w:shd w:val="clear" w:color="auto" w:fill="auto"/>
            <w:vAlign w:val="bottom"/>
            <w:hideMark/>
          </w:tcPr>
          <w:p w14:paraId="08008756"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11,562</w:t>
            </w:r>
          </w:p>
        </w:tc>
        <w:tc>
          <w:tcPr>
            <w:tcW w:w="760" w:type="dxa"/>
            <w:tcBorders>
              <w:top w:val="nil"/>
              <w:left w:val="nil"/>
              <w:bottom w:val="single" w:sz="4" w:space="0" w:color="ADD6EA"/>
              <w:right w:val="nil"/>
            </w:tcBorders>
            <w:shd w:val="clear" w:color="auto" w:fill="auto"/>
            <w:vAlign w:val="bottom"/>
            <w:hideMark/>
          </w:tcPr>
          <w:p w14:paraId="1754A701"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15,112</w:t>
            </w:r>
          </w:p>
        </w:tc>
        <w:tc>
          <w:tcPr>
            <w:tcW w:w="760" w:type="dxa"/>
            <w:tcBorders>
              <w:top w:val="nil"/>
              <w:left w:val="nil"/>
              <w:bottom w:val="single" w:sz="4" w:space="0" w:color="ADD6EA"/>
              <w:right w:val="nil"/>
            </w:tcBorders>
            <w:shd w:val="clear" w:color="auto" w:fill="auto"/>
            <w:vAlign w:val="bottom"/>
            <w:hideMark/>
          </w:tcPr>
          <w:p w14:paraId="25978866"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13,400</w:t>
            </w:r>
          </w:p>
        </w:tc>
        <w:tc>
          <w:tcPr>
            <w:tcW w:w="820" w:type="dxa"/>
            <w:tcBorders>
              <w:top w:val="nil"/>
              <w:left w:val="nil"/>
              <w:bottom w:val="single" w:sz="4" w:space="0" w:color="ADD6EA"/>
              <w:right w:val="nil"/>
            </w:tcBorders>
            <w:shd w:val="clear" w:color="auto" w:fill="auto"/>
            <w:vAlign w:val="bottom"/>
            <w:hideMark/>
          </w:tcPr>
          <w:p w14:paraId="415887A2"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633,622</w:t>
            </w:r>
          </w:p>
        </w:tc>
      </w:tr>
      <w:tr w:rsidR="007E365E" w:rsidRPr="00F74668" w14:paraId="2323D8B4" w14:textId="77777777" w:rsidTr="007D1D77">
        <w:trPr>
          <w:trHeight w:val="315"/>
        </w:trPr>
        <w:tc>
          <w:tcPr>
            <w:tcW w:w="1900" w:type="dxa"/>
            <w:tcBorders>
              <w:top w:val="nil"/>
              <w:left w:val="nil"/>
              <w:bottom w:val="single" w:sz="4" w:space="0" w:color="ADD6EA"/>
              <w:right w:val="nil"/>
            </w:tcBorders>
            <w:shd w:val="clear" w:color="auto" w:fill="auto"/>
            <w:vAlign w:val="bottom"/>
            <w:hideMark/>
          </w:tcPr>
          <w:p w14:paraId="5FC8AD77" w14:textId="77777777" w:rsidR="007E365E" w:rsidRPr="00F74668"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F74668">
              <w:rPr>
                <w:rFonts w:eastAsia="Times New Roman" w:cs="Open Sans Light"/>
                <w:sz w:val="16"/>
                <w:szCs w:val="16"/>
                <w:lang w:eastAsia="en-AU"/>
              </w:rPr>
              <w:t>$ per capita</w:t>
            </w:r>
          </w:p>
        </w:tc>
        <w:tc>
          <w:tcPr>
            <w:tcW w:w="800" w:type="dxa"/>
            <w:tcBorders>
              <w:top w:val="nil"/>
              <w:left w:val="nil"/>
              <w:bottom w:val="single" w:sz="4" w:space="0" w:color="ADD6EA"/>
              <w:right w:val="nil"/>
            </w:tcBorders>
            <w:shd w:val="clear" w:color="auto" w:fill="auto"/>
            <w:vAlign w:val="bottom"/>
            <w:hideMark/>
          </w:tcPr>
          <w:p w14:paraId="30B3A957"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30,263</w:t>
            </w:r>
          </w:p>
        </w:tc>
        <w:tc>
          <w:tcPr>
            <w:tcW w:w="800" w:type="dxa"/>
            <w:tcBorders>
              <w:top w:val="nil"/>
              <w:left w:val="nil"/>
              <w:bottom w:val="single" w:sz="4" w:space="0" w:color="ADD6EA"/>
              <w:right w:val="nil"/>
            </w:tcBorders>
            <w:shd w:val="clear" w:color="auto" w:fill="auto"/>
            <w:vAlign w:val="bottom"/>
            <w:hideMark/>
          </w:tcPr>
          <w:p w14:paraId="777432CA"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19,048</w:t>
            </w:r>
          </w:p>
        </w:tc>
        <w:tc>
          <w:tcPr>
            <w:tcW w:w="800" w:type="dxa"/>
            <w:tcBorders>
              <w:top w:val="nil"/>
              <w:left w:val="nil"/>
              <w:bottom w:val="single" w:sz="4" w:space="0" w:color="ADD6EA"/>
              <w:right w:val="nil"/>
            </w:tcBorders>
            <w:shd w:val="clear" w:color="auto" w:fill="auto"/>
            <w:vAlign w:val="bottom"/>
            <w:hideMark/>
          </w:tcPr>
          <w:p w14:paraId="3FCD5476"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23,876</w:t>
            </w:r>
          </w:p>
        </w:tc>
        <w:tc>
          <w:tcPr>
            <w:tcW w:w="760" w:type="dxa"/>
            <w:tcBorders>
              <w:top w:val="nil"/>
              <w:left w:val="nil"/>
              <w:bottom w:val="single" w:sz="4" w:space="0" w:color="ADD6EA"/>
              <w:right w:val="nil"/>
            </w:tcBorders>
            <w:shd w:val="clear" w:color="auto" w:fill="auto"/>
            <w:vAlign w:val="bottom"/>
            <w:hideMark/>
          </w:tcPr>
          <w:p w14:paraId="432E0E0E"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23,446</w:t>
            </w:r>
          </w:p>
        </w:tc>
        <w:tc>
          <w:tcPr>
            <w:tcW w:w="760" w:type="dxa"/>
            <w:tcBorders>
              <w:top w:val="nil"/>
              <w:left w:val="nil"/>
              <w:bottom w:val="single" w:sz="4" w:space="0" w:color="ADD6EA"/>
              <w:right w:val="nil"/>
            </w:tcBorders>
            <w:shd w:val="clear" w:color="auto" w:fill="auto"/>
            <w:vAlign w:val="bottom"/>
            <w:hideMark/>
          </w:tcPr>
          <w:p w14:paraId="58DE0B19"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25,397</w:t>
            </w:r>
          </w:p>
        </w:tc>
        <w:tc>
          <w:tcPr>
            <w:tcW w:w="760" w:type="dxa"/>
            <w:tcBorders>
              <w:top w:val="nil"/>
              <w:left w:val="nil"/>
              <w:bottom w:val="single" w:sz="4" w:space="0" w:color="ADD6EA"/>
              <w:right w:val="nil"/>
            </w:tcBorders>
            <w:shd w:val="clear" w:color="auto" w:fill="auto"/>
            <w:vAlign w:val="bottom"/>
            <w:hideMark/>
          </w:tcPr>
          <w:p w14:paraId="595C9A05"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21,747</w:t>
            </w:r>
          </w:p>
        </w:tc>
        <w:tc>
          <w:tcPr>
            <w:tcW w:w="760" w:type="dxa"/>
            <w:tcBorders>
              <w:top w:val="nil"/>
              <w:left w:val="nil"/>
              <w:bottom w:val="single" w:sz="4" w:space="0" w:color="ADD6EA"/>
              <w:right w:val="nil"/>
            </w:tcBorders>
            <w:shd w:val="clear" w:color="auto" w:fill="auto"/>
            <w:vAlign w:val="bottom"/>
            <w:hideMark/>
          </w:tcPr>
          <w:p w14:paraId="508D86C9"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35,698</w:t>
            </w:r>
          </w:p>
        </w:tc>
        <w:tc>
          <w:tcPr>
            <w:tcW w:w="760" w:type="dxa"/>
            <w:tcBorders>
              <w:top w:val="nil"/>
              <w:left w:val="nil"/>
              <w:bottom w:val="single" w:sz="4" w:space="0" w:color="ADD6EA"/>
              <w:right w:val="nil"/>
            </w:tcBorders>
            <w:shd w:val="clear" w:color="auto" w:fill="auto"/>
            <w:vAlign w:val="bottom"/>
            <w:hideMark/>
          </w:tcPr>
          <w:p w14:paraId="6078A61C"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54,578</w:t>
            </w:r>
          </w:p>
        </w:tc>
        <w:tc>
          <w:tcPr>
            <w:tcW w:w="820" w:type="dxa"/>
            <w:tcBorders>
              <w:top w:val="nil"/>
              <w:left w:val="nil"/>
              <w:bottom w:val="single" w:sz="4" w:space="0" w:color="ADD6EA"/>
              <w:right w:val="nil"/>
            </w:tcBorders>
            <w:shd w:val="clear" w:color="auto" w:fill="auto"/>
            <w:vAlign w:val="bottom"/>
            <w:hideMark/>
          </w:tcPr>
          <w:p w14:paraId="0F8958E4" w14:textId="77777777" w:rsidR="007E365E" w:rsidRPr="00F74668" w:rsidRDefault="007E365E" w:rsidP="007D1D77">
            <w:pPr>
              <w:tabs>
                <w:tab w:val="clear" w:pos="567"/>
              </w:tabs>
              <w:spacing w:before="0" w:line="240" w:lineRule="auto"/>
              <w:jc w:val="right"/>
              <w:rPr>
                <w:rFonts w:eastAsia="Times New Roman" w:cs="Open Sans Light"/>
                <w:sz w:val="16"/>
                <w:szCs w:val="16"/>
                <w:lang w:eastAsia="en-AU"/>
              </w:rPr>
            </w:pPr>
            <w:r w:rsidRPr="00F74668">
              <w:rPr>
                <w:rFonts w:eastAsia="Times New Roman" w:cs="Open Sans Light"/>
                <w:sz w:val="16"/>
                <w:szCs w:val="16"/>
                <w:lang w:eastAsia="en-AU"/>
              </w:rPr>
              <w:t>25,178</w:t>
            </w:r>
          </w:p>
        </w:tc>
      </w:tr>
    </w:tbl>
    <w:p w14:paraId="313D3BDF" w14:textId="77777777" w:rsidR="007E365E" w:rsidRPr="00785668" w:rsidRDefault="007E365E" w:rsidP="007E365E">
      <w:pPr>
        <w:pStyle w:val="CGCTablenote"/>
      </w:pPr>
      <w:r w:rsidRPr="00785668">
        <w:t>Note:</w:t>
      </w:r>
      <w:r>
        <w:tab/>
      </w:r>
      <w:r w:rsidRPr="00785668">
        <w:t xml:space="preserve">Investment shown on a gross basis, excluding Commonwealth payments treated as having no impact on the assessment. Includes investment and assets in housing and urban transport </w:t>
      </w:r>
      <w:r>
        <w:t>public non-financial corporations</w:t>
      </w:r>
      <w:r w:rsidRPr="00785668">
        <w:t xml:space="preserve"> </w:t>
      </w:r>
      <w:r>
        <w:t>(</w:t>
      </w:r>
      <w:r w:rsidRPr="00785668">
        <w:t>PNFCs</w:t>
      </w:r>
      <w:r>
        <w:t>)</w:t>
      </w:r>
      <w:r w:rsidRPr="00785668">
        <w:t>. Assets exclude non-produced assets (land).</w:t>
      </w:r>
    </w:p>
    <w:p w14:paraId="152EA29F" w14:textId="77777777" w:rsidR="007E365E" w:rsidRPr="00785668" w:rsidRDefault="007E365E" w:rsidP="007E365E">
      <w:pPr>
        <w:pStyle w:val="CGCTablenote"/>
      </w:pPr>
      <w:r w:rsidRPr="00785668">
        <w:t>Source:</w:t>
      </w:r>
      <w:r w:rsidRPr="00785668">
        <w:tab/>
        <w:t>Commission calculation using State budget data</w:t>
      </w:r>
      <w:r>
        <w:t xml:space="preserve"> and Commonwealth Final Budget Outcome, 2018-19</w:t>
      </w:r>
      <w:r w:rsidRPr="00785668">
        <w:t xml:space="preserve">. </w:t>
      </w:r>
    </w:p>
    <w:p w14:paraId="3921619D" w14:textId="64A5BB5B" w:rsidR="007E365E" w:rsidRDefault="007E365E" w:rsidP="007E365E">
      <w:pPr>
        <w:pStyle w:val="Caption"/>
      </w:pPr>
      <w:bookmarkStart w:id="382" w:name="_Ref9435802"/>
      <w:r w:rsidRPr="00785668">
        <w:lastRenderedPageBreak/>
        <w:t xml:space="preserve">Table </w:t>
      </w:r>
      <w:r>
        <w:t>24-</w:t>
      </w:r>
      <w:fldSimple w:instr=" SEQ Table \* ARABIC ">
        <w:r w:rsidR="007F721A">
          <w:rPr>
            <w:noProof/>
          </w:rPr>
          <w:t>2</w:t>
        </w:r>
      </w:fldSimple>
      <w:bookmarkEnd w:id="382"/>
      <w:r w:rsidRPr="00785668">
        <w:tab/>
        <w:t>Investment and physical assets</w:t>
      </w:r>
      <w:r w:rsidR="0025435D">
        <w:t>,</w:t>
      </w:r>
      <w:r>
        <w:t xml:space="preserve"> all States.</w:t>
      </w:r>
      <w:r w:rsidRPr="00785668">
        <w:t xml:space="preserve"> </w:t>
      </w:r>
      <w:r>
        <w:t>2015-16</w:t>
      </w:r>
      <w:r w:rsidRPr="00785668">
        <w:t xml:space="preserve"> to </w:t>
      </w:r>
      <w:r>
        <w:t>2018-19</w:t>
      </w:r>
    </w:p>
    <w:tbl>
      <w:tblPr>
        <w:tblW w:w="8940" w:type="dxa"/>
        <w:tblCellMar>
          <w:left w:w="0" w:type="dxa"/>
          <w:right w:w="28" w:type="dxa"/>
        </w:tblCellMar>
        <w:tblLook w:val="04A0" w:firstRow="1" w:lastRow="0" w:firstColumn="1" w:lastColumn="0" w:noHBand="0" w:noVBand="1"/>
      </w:tblPr>
      <w:tblGrid>
        <w:gridCol w:w="2467"/>
        <w:gridCol w:w="1628"/>
        <w:gridCol w:w="1628"/>
        <w:gridCol w:w="1628"/>
        <w:gridCol w:w="1628"/>
      </w:tblGrid>
      <w:tr w:rsidR="007E365E" w:rsidRPr="0022030D" w14:paraId="672FD7F9" w14:textId="77777777" w:rsidTr="007D1D77">
        <w:trPr>
          <w:trHeight w:val="375"/>
        </w:trPr>
        <w:tc>
          <w:tcPr>
            <w:tcW w:w="2460" w:type="dxa"/>
            <w:tcBorders>
              <w:top w:val="nil"/>
              <w:left w:val="nil"/>
              <w:bottom w:val="nil"/>
              <w:right w:val="nil"/>
            </w:tcBorders>
            <w:shd w:val="clear" w:color="000000" w:fill="006991"/>
            <w:noWrap/>
            <w:vAlign w:val="center"/>
            <w:hideMark/>
          </w:tcPr>
          <w:p w14:paraId="50AA922F" w14:textId="77777777" w:rsidR="007E365E" w:rsidRPr="0022030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383" w:name="RANGE!K19:O21"/>
            <w:r w:rsidRPr="0022030D">
              <w:rPr>
                <w:rFonts w:ascii="Open Sans SemiBold" w:eastAsia="Times New Roman" w:hAnsi="Open Sans SemiBold" w:cs="Open Sans SemiBold"/>
                <w:color w:val="FFFFFF"/>
                <w:sz w:val="16"/>
                <w:szCs w:val="16"/>
                <w:lang w:eastAsia="en-AU"/>
              </w:rPr>
              <w:t> </w:t>
            </w:r>
            <w:bookmarkEnd w:id="383"/>
          </w:p>
        </w:tc>
        <w:tc>
          <w:tcPr>
            <w:tcW w:w="1620" w:type="dxa"/>
            <w:tcBorders>
              <w:top w:val="nil"/>
              <w:left w:val="nil"/>
              <w:bottom w:val="nil"/>
              <w:right w:val="nil"/>
            </w:tcBorders>
            <w:shd w:val="clear" w:color="000000" w:fill="006991"/>
            <w:noWrap/>
            <w:vAlign w:val="center"/>
            <w:hideMark/>
          </w:tcPr>
          <w:p w14:paraId="3AB70039" w14:textId="77777777" w:rsidR="007E365E" w:rsidRPr="0022030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2030D">
              <w:rPr>
                <w:rFonts w:ascii="Open Sans SemiBold" w:eastAsia="Times New Roman" w:hAnsi="Open Sans SemiBold" w:cs="Open Sans SemiBold"/>
                <w:color w:val="FFFFFF"/>
                <w:sz w:val="16"/>
                <w:szCs w:val="16"/>
                <w:lang w:eastAsia="en-AU"/>
              </w:rPr>
              <w:t>2015-16</w:t>
            </w:r>
          </w:p>
        </w:tc>
        <w:tc>
          <w:tcPr>
            <w:tcW w:w="1620" w:type="dxa"/>
            <w:tcBorders>
              <w:top w:val="nil"/>
              <w:left w:val="nil"/>
              <w:bottom w:val="nil"/>
              <w:right w:val="nil"/>
            </w:tcBorders>
            <w:shd w:val="clear" w:color="000000" w:fill="006991"/>
            <w:noWrap/>
            <w:vAlign w:val="center"/>
            <w:hideMark/>
          </w:tcPr>
          <w:p w14:paraId="19905ACF" w14:textId="77777777" w:rsidR="007E365E" w:rsidRPr="0022030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2030D">
              <w:rPr>
                <w:rFonts w:ascii="Open Sans SemiBold" w:eastAsia="Times New Roman" w:hAnsi="Open Sans SemiBold" w:cs="Open Sans SemiBold"/>
                <w:color w:val="FFFFFF"/>
                <w:sz w:val="16"/>
                <w:szCs w:val="16"/>
                <w:lang w:eastAsia="en-AU"/>
              </w:rPr>
              <w:t>2016-17</w:t>
            </w:r>
          </w:p>
        </w:tc>
        <w:tc>
          <w:tcPr>
            <w:tcW w:w="1620" w:type="dxa"/>
            <w:tcBorders>
              <w:top w:val="nil"/>
              <w:left w:val="nil"/>
              <w:bottom w:val="nil"/>
              <w:right w:val="nil"/>
            </w:tcBorders>
            <w:shd w:val="clear" w:color="000000" w:fill="006991"/>
            <w:noWrap/>
            <w:vAlign w:val="center"/>
            <w:hideMark/>
          </w:tcPr>
          <w:p w14:paraId="51F87158" w14:textId="77777777" w:rsidR="007E365E" w:rsidRPr="0022030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2030D">
              <w:rPr>
                <w:rFonts w:ascii="Open Sans SemiBold" w:eastAsia="Times New Roman" w:hAnsi="Open Sans SemiBold" w:cs="Open Sans SemiBold"/>
                <w:color w:val="FFFFFF"/>
                <w:sz w:val="16"/>
                <w:szCs w:val="16"/>
                <w:lang w:eastAsia="en-AU"/>
              </w:rPr>
              <w:t>2017-18</w:t>
            </w:r>
          </w:p>
        </w:tc>
        <w:tc>
          <w:tcPr>
            <w:tcW w:w="1620" w:type="dxa"/>
            <w:tcBorders>
              <w:top w:val="nil"/>
              <w:left w:val="nil"/>
              <w:bottom w:val="nil"/>
              <w:right w:val="nil"/>
            </w:tcBorders>
            <w:shd w:val="clear" w:color="000000" w:fill="006991"/>
            <w:noWrap/>
            <w:vAlign w:val="center"/>
            <w:hideMark/>
          </w:tcPr>
          <w:p w14:paraId="43211502" w14:textId="77777777" w:rsidR="007E365E" w:rsidRPr="0022030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2030D">
              <w:rPr>
                <w:rFonts w:ascii="Open Sans SemiBold" w:eastAsia="Times New Roman" w:hAnsi="Open Sans SemiBold" w:cs="Open Sans SemiBold"/>
                <w:color w:val="FFFFFF"/>
                <w:sz w:val="16"/>
                <w:szCs w:val="16"/>
                <w:lang w:eastAsia="en-AU"/>
              </w:rPr>
              <w:t>2018-19</w:t>
            </w:r>
          </w:p>
        </w:tc>
      </w:tr>
      <w:tr w:rsidR="007E365E" w:rsidRPr="0022030D" w14:paraId="16B8B73C" w14:textId="77777777" w:rsidTr="007D1D77">
        <w:trPr>
          <w:trHeight w:val="315"/>
        </w:trPr>
        <w:tc>
          <w:tcPr>
            <w:tcW w:w="2460" w:type="dxa"/>
            <w:tcBorders>
              <w:top w:val="single" w:sz="4" w:space="0" w:color="ADD6EA"/>
              <w:left w:val="nil"/>
              <w:bottom w:val="single" w:sz="4" w:space="0" w:color="ADD6EA"/>
              <w:right w:val="nil"/>
            </w:tcBorders>
            <w:shd w:val="clear" w:color="auto" w:fill="auto"/>
            <w:vAlign w:val="bottom"/>
            <w:hideMark/>
          </w:tcPr>
          <w:p w14:paraId="317D5B07" w14:textId="77777777" w:rsidR="007E365E" w:rsidRPr="0022030D" w:rsidRDefault="007E365E" w:rsidP="007D1D77">
            <w:pPr>
              <w:tabs>
                <w:tab w:val="clear" w:pos="567"/>
              </w:tabs>
              <w:spacing w:before="0" w:line="240" w:lineRule="auto"/>
              <w:rPr>
                <w:rFonts w:eastAsia="Times New Roman" w:cs="Open Sans Light"/>
                <w:sz w:val="16"/>
                <w:szCs w:val="16"/>
                <w:lang w:eastAsia="en-AU"/>
              </w:rPr>
            </w:pPr>
            <w:r w:rsidRPr="0022030D">
              <w:rPr>
                <w:rFonts w:eastAsia="Times New Roman" w:cs="Open Sans Light"/>
                <w:sz w:val="16"/>
                <w:szCs w:val="16"/>
                <w:lang w:eastAsia="en-AU"/>
              </w:rPr>
              <w:t>Investment ($m)</w:t>
            </w:r>
          </w:p>
        </w:tc>
        <w:tc>
          <w:tcPr>
            <w:tcW w:w="1620" w:type="dxa"/>
            <w:tcBorders>
              <w:top w:val="single" w:sz="4" w:space="0" w:color="ADD6EA"/>
              <w:left w:val="nil"/>
              <w:bottom w:val="single" w:sz="4" w:space="0" w:color="ADD6EA"/>
              <w:right w:val="nil"/>
            </w:tcBorders>
            <w:shd w:val="clear" w:color="auto" w:fill="auto"/>
            <w:vAlign w:val="bottom"/>
            <w:hideMark/>
          </w:tcPr>
          <w:p w14:paraId="3119E0C7" w14:textId="77777777" w:rsidR="007E365E" w:rsidRPr="0022030D" w:rsidRDefault="007E365E" w:rsidP="007D1D77">
            <w:pPr>
              <w:tabs>
                <w:tab w:val="clear" w:pos="567"/>
              </w:tabs>
              <w:spacing w:before="0" w:line="240" w:lineRule="auto"/>
              <w:jc w:val="right"/>
              <w:rPr>
                <w:rFonts w:eastAsia="Times New Roman" w:cs="Open Sans Light"/>
                <w:sz w:val="16"/>
                <w:szCs w:val="16"/>
                <w:lang w:eastAsia="en-AU"/>
              </w:rPr>
            </w:pPr>
            <w:r w:rsidRPr="0022030D">
              <w:rPr>
                <w:rFonts w:eastAsia="Times New Roman" w:cs="Open Sans Light"/>
                <w:sz w:val="16"/>
                <w:szCs w:val="16"/>
                <w:lang w:eastAsia="en-AU"/>
              </w:rPr>
              <w:t>22,131</w:t>
            </w:r>
          </w:p>
        </w:tc>
        <w:tc>
          <w:tcPr>
            <w:tcW w:w="1620" w:type="dxa"/>
            <w:tcBorders>
              <w:top w:val="single" w:sz="4" w:space="0" w:color="ADD6EA"/>
              <w:left w:val="nil"/>
              <w:bottom w:val="single" w:sz="4" w:space="0" w:color="ADD6EA"/>
              <w:right w:val="nil"/>
            </w:tcBorders>
            <w:shd w:val="clear" w:color="auto" w:fill="auto"/>
            <w:vAlign w:val="bottom"/>
            <w:hideMark/>
          </w:tcPr>
          <w:p w14:paraId="48D105D6" w14:textId="77777777" w:rsidR="007E365E" w:rsidRPr="0022030D" w:rsidRDefault="007E365E" w:rsidP="007D1D77">
            <w:pPr>
              <w:tabs>
                <w:tab w:val="clear" w:pos="567"/>
              </w:tabs>
              <w:spacing w:before="0" w:line="240" w:lineRule="auto"/>
              <w:jc w:val="right"/>
              <w:rPr>
                <w:rFonts w:eastAsia="Times New Roman" w:cs="Open Sans Light"/>
                <w:sz w:val="16"/>
                <w:szCs w:val="16"/>
                <w:lang w:eastAsia="en-AU"/>
              </w:rPr>
            </w:pPr>
            <w:r w:rsidRPr="0022030D">
              <w:rPr>
                <w:rFonts w:eastAsia="Times New Roman" w:cs="Open Sans Light"/>
                <w:sz w:val="16"/>
                <w:szCs w:val="16"/>
                <w:lang w:eastAsia="en-AU"/>
              </w:rPr>
              <w:t>27,363</w:t>
            </w:r>
          </w:p>
        </w:tc>
        <w:tc>
          <w:tcPr>
            <w:tcW w:w="1620" w:type="dxa"/>
            <w:tcBorders>
              <w:top w:val="single" w:sz="4" w:space="0" w:color="ADD6EA"/>
              <w:left w:val="nil"/>
              <w:bottom w:val="single" w:sz="4" w:space="0" w:color="ADD6EA"/>
              <w:right w:val="nil"/>
            </w:tcBorders>
            <w:shd w:val="clear" w:color="auto" w:fill="auto"/>
            <w:vAlign w:val="bottom"/>
            <w:hideMark/>
          </w:tcPr>
          <w:p w14:paraId="15D9D0E4" w14:textId="77777777" w:rsidR="007E365E" w:rsidRPr="0022030D" w:rsidRDefault="007E365E" w:rsidP="007D1D77">
            <w:pPr>
              <w:tabs>
                <w:tab w:val="clear" w:pos="567"/>
              </w:tabs>
              <w:spacing w:before="0" w:line="240" w:lineRule="auto"/>
              <w:jc w:val="right"/>
              <w:rPr>
                <w:rFonts w:eastAsia="Times New Roman" w:cs="Open Sans Light"/>
                <w:sz w:val="16"/>
                <w:szCs w:val="16"/>
                <w:lang w:eastAsia="en-AU"/>
              </w:rPr>
            </w:pPr>
            <w:r w:rsidRPr="0022030D">
              <w:rPr>
                <w:rFonts w:eastAsia="Times New Roman" w:cs="Open Sans Light"/>
                <w:sz w:val="16"/>
                <w:szCs w:val="16"/>
                <w:lang w:eastAsia="en-AU"/>
              </w:rPr>
              <w:t>30,129</w:t>
            </w:r>
          </w:p>
        </w:tc>
        <w:tc>
          <w:tcPr>
            <w:tcW w:w="1620" w:type="dxa"/>
            <w:tcBorders>
              <w:top w:val="single" w:sz="4" w:space="0" w:color="ADD6EA"/>
              <w:left w:val="nil"/>
              <w:bottom w:val="single" w:sz="4" w:space="0" w:color="ADD6EA"/>
              <w:right w:val="nil"/>
            </w:tcBorders>
            <w:shd w:val="clear" w:color="auto" w:fill="auto"/>
            <w:vAlign w:val="bottom"/>
            <w:hideMark/>
          </w:tcPr>
          <w:p w14:paraId="602F6EC0" w14:textId="77777777" w:rsidR="007E365E" w:rsidRPr="0022030D" w:rsidRDefault="007E365E" w:rsidP="007D1D77">
            <w:pPr>
              <w:tabs>
                <w:tab w:val="clear" w:pos="567"/>
              </w:tabs>
              <w:spacing w:before="0" w:line="240" w:lineRule="auto"/>
              <w:jc w:val="right"/>
              <w:rPr>
                <w:rFonts w:eastAsia="Times New Roman" w:cs="Open Sans Light"/>
                <w:sz w:val="16"/>
                <w:szCs w:val="16"/>
                <w:lang w:eastAsia="en-AU"/>
              </w:rPr>
            </w:pPr>
            <w:r w:rsidRPr="0022030D">
              <w:rPr>
                <w:rFonts w:eastAsia="Times New Roman" w:cs="Open Sans Light"/>
                <w:sz w:val="16"/>
                <w:szCs w:val="16"/>
                <w:lang w:eastAsia="en-AU"/>
              </w:rPr>
              <w:t>32,252</w:t>
            </w:r>
          </w:p>
        </w:tc>
      </w:tr>
      <w:tr w:rsidR="007E365E" w:rsidRPr="0022030D" w14:paraId="3682C33C" w14:textId="77777777" w:rsidTr="007D1D77">
        <w:trPr>
          <w:trHeight w:val="315"/>
        </w:trPr>
        <w:tc>
          <w:tcPr>
            <w:tcW w:w="2460" w:type="dxa"/>
            <w:tcBorders>
              <w:top w:val="nil"/>
              <w:left w:val="nil"/>
              <w:bottom w:val="single" w:sz="4" w:space="0" w:color="ADD6EA"/>
              <w:right w:val="nil"/>
            </w:tcBorders>
            <w:shd w:val="clear" w:color="auto" w:fill="auto"/>
            <w:vAlign w:val="bottom"/>
            <w:hideMark/>
          </w:tcPr>
          <w:p w14:paraId="475A3976" w14:textId="77777777" w:rsidR="007E365E" w:rsidRPr="0022030D" w:rsidRDefault="007E365E" w:rsidP="007D1D77">
            <w:pPr>
              <w:tabs>
                <w:tab w:val="clear" w:pos="567"/>
              </w:tabs>
              <w:spacing w:before="0" w:line="240" w:lineRule="auto"/>
              <w:rPr>
                <w:rFonts w:eastAsia="Times New Roman" w:cs="Open Sans Light"/>
                <w:sz w:val="16"/>
                <w:szCs w:val="16"/>
                <w:lang w:eastAsia="en-AU"/>
              </w:rPr>
            </w:pPr>
            <w:r w:rsidRPr="0022030D">
              <w:rPr>
                <w:rFonts w:eastAsia="Times New Roman" w:cs="Open Sans Light"/>
                <w:sz w:val="16"/>
                <w:szCs w:val="16"/>
                <w:lang w:eastAsia="en-AU"/>
              </w:rPr>
              <w:t>Physical assets ($m)</w:t>
            </w:r>
          </w:p>
        </w:tc>
        <w:tc>
          <w:tcPr>
            <w:tcW w:w="1620" w:type="dxa"/>
            <w:tcBorders>
              <w:top w:val="nil"/>
              <w:left w:val="nil"/>
              <w:bottom w:val="single" w:sz="4" w:space="0" w:color="ADD6EA"/>
              <w:right w:val="nil"/>
            </w:tcBorders>
            <w:shd w:val="clear" w:color="auto" w:fill="auto"/>
            <w:vAlign w:val="bottom"/>
            <w:hideMark/>
          </w:tcPr>
          <w:p w14:paraId="6B5B3456" w14:textId="77777777" w:rsidR="007E365E" w:rsidRPr="0022030D" w:rsidRDefault="007E365E" w:rsidP="007D1D77">
            <w:pPr>
              <w:tabs>
                <w:tab w:val="clear" w:pos="567"/>
              </w:tabs>
              <w:spacing w:before="0" w:line="240" w:lineRule="auto"/>
              <w:jc w:val="right"/>
              <w:rPr>
                <w:rFonts w:eastAsia="Times New Roman" w:cs="Open Sans Light"/>
                <w:sz w:val="16"/>
                <w:szCs w:val="16"/>
                <w:lang w:eastAsia="en-AU"/>
              </w:rPr>
            </w:pPr>
            <w:r w:rsidRPr="0022030D">
              <w:rPr>
                <w:rFonts w:eastAsia="Times New Roman" w:cs="Open Sans Light"/>
                <w:sz w:val="16"/>
                <w:szCs w:val="16"/>
                <w:lang w:eastAsia="en-AU"/>
              </w:rPr>
              <w:t>549,496</w:t>
            </w:r>
          </w:p>
        </w:tc>
        <w:tc>
          <w:tcPr>
            <w:tcW w:w="1620" w:type="dxa"/>
            <w:tcBorders>
              <w:top w:val="nil"/>
              <w:left w:val="nil"/>
              <w:bottom w:val="single" w:sz="4" w:space="0" w:color="ADD6EA"/>
              <w:right w:val="nil"/>
            </w:tcBorders>
            <w:shd w:val="clear" w:color="auto" w:fill="auto"/>
            <w:vAlign w:val="bottom"/>
            <w:hideMark/>
          </w:tcPr>
          <w:p w14:paraId="24F3CA98" w14:textId="77777777" w:rsidR="007E365E" w:rsidRPr="0022030D" w:rsidRDefault="007E365E" w:rsidP="007D1D77">
            <w:pPr>
              <w:tabs>
                <w:tab w:val="clear" w:pos="567"/>
              </w:tabs>
              <w:spacing w:before="0" w:line="240" w:lineRule="auto"/>
              <w:jc w:val="right"/>
              <w:rPr>
                <w:rFonts w:eastAsia="Times New Roman" w:cs="Open Sans Light"/>
                <w:sz w:val="16"/>
                <w:szCs w:val="16"/>
                <w:lang w:eastAsia="en-AU"/>
              </w:rPr>
            </w:pPr>
            <w:r w:rsidRPr="0022030D">
              <w:rPr>
                <w:rFonts w:eastAsia="Times New Roman" w:cs="Open Sans Light"/>
                <w:sz w:val="16"/>
                <w:szCs w:val="16"/>
                <w:lang w:eastAsia="en-AU"/>
              </w:rPr>
              <w:t>568,562</w:t>
            </w:r>
          </w:p>
        </w:tc>
        <w:tc>
          <w:tcPr>
            <w:tcW w:w="1620" w:type="dxa"/>
            <w:tcBorders>
              <w:top w:val="nil"/>
              <w:left w:val="nil"/>
              <w:bottom w:val="single" w:sz="4" w:space="0" w:color="ADD6EA"/>
              <w:right w:val="nil"/>
            </w:tcBorders>
            <w:shd w:val="clear" w:color="auto" w:fill="auto"/>
            <w:vAlign w:val="bottom"/>
            <w:hideMark/>
          </w:tcPr>
          <w:p w14:paraId="37AFECBB" w14:textId="77777777" w:rsidR="007E365E" w:rsidRPr="0022030D" w:rsidRDefault="007E365E" w:rsidP="007D1D77">
            <w:pPr>
              <w:tabs>
                <w:tab w:val="clear" w:pos="567"/>
              </w:tabs>
              <w:spacing w:before="0" w:line="240" w:lineRule="auto"/>
              <w:jc w:val="right"/>
              <w:rPr>
                <w:rFonts w:eastAsia="Times New Roman" w:cs="Open Sans Light"/>
                <w:sz w:val="16"/>
                <w:szCs w:val="16"/>
                <w:lang w:eastAsia="en-AU"/>
              </w:rPr>
            </w:pPr>
            <w:r w:rsidRPr="0022030D">
              <w:rPr>
                <w:rFonts w:eastAsia="Times New Roman" w:cs="Open Sans Light"/>
                <w:sz w:val="16"/>
                <w:szCs w:val="16"/>
                <w:lang w:eastAsia="en-AU"/>
              </w:rPr>
              <w:t>598,673</w:t>
            </w:r>
          </w:p>
        </w:tc>
        <w:tc>
          <w:tcPr>
            <w:tcW w:w="1620" w:type="dxa"/>
            <w:tcBorders>
              <w:top w:val="nil"/>
              <w:left w:val="nil"/>
              <w:bottom w:val="single" w:sz="4" w:space="0" w:color="ADD6EA"/>
              <w:right w:val="nil"/>
            </w:tcBorders>
            <w:shd w:val="clear" w:color="auto" w:fill="auto"/>
            <w:vAlign w:val="bottom"/>
            <w:hideMark/>
          </w:tcPr>
          <w:p w14:paraId="73198EA8" w14:textId="77777777" w:rsidR="007E365E" w:rsidRPr="0022030D" w:rsidRDefault="007E365E" w:rsidP="007D1D77">
            <w:pPr>
              <w:tabs>
                <w:tab w:val="clear" w:pos="567"/>
              </w:tabs>
              <w:spacing w:before="0" w:line="240" w:lineRule="auto"/>
              <w:jc w:val="right"/>
              <w:rPr>
                <w:rFonts w:eastAsia="Times New Roman" w:cs="Open Sans Light"/>
                <w:sz w:val="16"/>
                <w:szCs w:val="16"/>
                <w:lang w:eastAsia="en-AU"/>
              </w:rPr>
            </w:pPr>
            <w:r w:rsidRPr="0022030D">
              <w:rPr>
                <w:rFonts w:eastAsia="Times New Roman" w:cs="Open Sans Light"/>
                <w:sz w:val="16"/>
                <w:szCs w:val="16"/>
                <w:lang w:eastAsia="en-AU"/>
              </w:rPr>
              <w:t>633,622</w:t>
            </w:r>
          </w:p>
        </w:tc>
      </w:tr>
    </w:tbl>
    <w:p w14:paraId="5188A68B" w14:textId="77777777" w:rsidR="007E365E" w:rsidRPr="00785668" w:rsidRDefault="007E365E" w:rsidP="007E365E">
      <w:pPr>
        <w:pStyle w:val="CGCTablenote"/>
      </w:pPr>
      <w:r w:rsidRPr="00785668">
        <w:t>Note:</w:t>
      </w:r>
      <w:r>
        <w:tab/>
      </w:r>
      <w:r w:rsidRPr="00785668">
        <w:t>Investment shown on a gross basis, excluding Commonwealth payments treated as having no impact on the assessment. Includes investment in and assets in housing and urban transport PNFCs. Assets exclude non-produced assets (land).</w:t>
      </w:r>
    </w:p>
    <w:p w14:paraId="026A02DC" w14:textId="77777777" w:rsidR="007E365E" w:rsidRPr="00785668" w:rsidRDefault="007E365E" w:rsidP="007E365E">
      <w:pPr>
        <w:pStyle w:val="CGCTablenote"/>
      </w:pPr>
      <w:r w:rsidRPr="00785668">
        <w:t>Source:</w:t>
      </w:r>
      <w:r w:rsidRPr="00785668">
        <w:tab/>
        <w:t xml:space="preserve">Commission calculation using </w:t>
      </w:r>
      <w:r w:rsidRPr="00B9370A">
        <w:t xml:space="preserve">Australian Bureau of Statistics </w:t>
      </w:r>
      <w:r>
        <w:t>(</w:t>
      </w:r>
      <w:r w:rsidRPr="00976585">
        <w:t>ABS</w:t>
      </w:r>
      <w:r>
        <w:t>)</w:t>
      </w:r>
      <w:r w:rsidRPr="00976585">
        <w:t xml:space="preserve"> </w:t>
      </w:r>
      <w:r>
        <w:t>Government Finance Statistics (</w:t>
      </w:r>
      <w:r w:rsidRPr="00785668">
        <w:t>GFS</w:t>
      </w:r>
      <w:r>
        <w:t>)</w:t>
      </w:r>
      <w:r w:rsidRPr="00785668">
        <w:t xml:space="preserve"> and State budget data. </w:t>
      </w:r>
    </w:p>
    <w:p w14:paraId="37FC55AA" w14:textId="77777777" w:rsidR="007E365E" w:rsidRPr="00785668" w:rsidRDefault="007E365E" w:rsidP="007E365E">
      <w:pPr>
        <w:pStyle w:val="Heading4"/>
      </w:pPr>
      <w:bookmarkStart w:id="384" w:name="_Toc24569250"/>
      <w:bookmarkStart w:id="385" w:name="_Toc24468508"/>
      <w:r w:rsidRPr="00785668">
        <w:t>State roles and responsibilities</w:t>
      </w:r>
      <w:bookmarkEnd w:id="384"/>
      <w:bookmarkEnd w:id="385"/>
    </w:p>
    <w:p w14:paraId="666F26E3" w14:textId="77777777" w:rsidR="007E365E" w:rsidRPr="00785668" w:rsidRDefault="007E365E" w:rsidP="007E365E">
      <w:pPr>
        <w:pStyle w:val="CGCParaNumber"/>
      </w:pPr>
      <w:r w:rsidRPr="00785668">
        <w:t xml:space="preserve">States build or purchase infrastructure to deliver services to their residents. The extent to which they invest in infrastructure has varied over time. Some services, such as roads and housing, are inherently about the provision of infrastructure. They are, by their nature, capital intensive. The recurrent expenses associated with these services are much smaller than the associated capital stocks. </w:t>
      </w:r>
    </w:p>
    <w:p w14:paraId="5133B1EC" w14:textId="77777777" w:rsidR="007E365E" w:rsidRPr="00785668" w:rsidRDefault="007E365E" w:rsidP="007E365E">
      <w:pPr>
        <w:pStyle w:val="CGCParaNumber"/>
      </w:pPr>
      <w:r w:rsidRPr="00785668">
        <w:t xml:space="preserve">Most other services require capital to provide the service, but the service also entails significant recurrent expenditure. Within these types of services, the capital intensity can vary considerably. </w:t>
      </w:r>
    </w:p>
    <w:p w14:paraId="473D944F" w14:textId="77777777" w:rsidR="007E365E" w:rsidRPr="00785668" w:rsidRDefault="007E365E" w:rsidP="007E365E">
      <w:pPr>
        <w:pStyle w:val="CGCParaNumber"/>
      </w:pPr>
      <w:r w:rsidRPr="00785668">
        <w:t xml:space="preserve">Different services require different types of assets, and different types of assets depreciate at different rates. Roads and buildings tend to last longer, and hence depreciate at a slower rate, while vehicles and equipment tend to depreciate at a faster rate, </w:t>
      </w:r>
      <w:r>
        <w:t>and</w:t>
      </w:r>
      <w:r w:rsidRPr="00785668">
        <w:t xml:space="preserve"> land does not depreciate at all.</w:t>
      </w:r>
    </w:p>
    <w:p w14:paraId="206F71EB" w14:textId="0E504B4C" w:rsidR="007E365E" w:rsidRPr="00785668" w:rsidRDefault="007E365E" w:rsidP="007E365E">
      <w:pPr>
        <w:pStyle w:val="Heading4"/>
      </w:pPr>
      <w:bookmarkStart w:id="386" w:name="_Toc24569251"/>
      <w:bookmarkStart w:id="387" w:name="_Toc24468509"/>
      <w:r w:rsidRPr="00785668">
        <w:t>Commonwealth roles and responsibilities</w:t>
      </w:r>
      <w:bookmarkEnd w:id="386"/>
      <w:bookmarkEnd w:id="387"/>
    </w:p>
    <w:p w14:paraId="6E720854" w14:textId="6E56336A" w:rsidR="007E365E" w:rsidRPr="00785668" w:rsidRDefault="007E365E" w:rsidP="007E365E">
      <w:pPr>
        <w:pStyle w:val="CGCParaNumber"/>
      </w:pPr>
      <w:r w:rsidRPr="00785668">
        <w:t xml:space="preserve">The Commonwealth provides funding to the States for infrastructure. </w:t>
      </w:r>
      <w:r>
        <w:fldChar w:fldCharType="begin"/>
      </w:r>
      <w:r>
        <w:instrText xml:space="preserve"> REF _Ref32850159 \h </w:instrText>
      </w:r>
      <w:r>
        <w:fldChar w:fldCharType="separate"/>
      </w:r>
      <w:r w:rsidR="007F721A" w:rsidRPr="00785668">
        <w:t xml:space="preserve">Table </w:t>
      </w:r>
      <w:r w:rsidR="007F721A">
        <w:t>24-</w:t>
      </w:r>
      <w:r w:rsidR="007F721A">
        <w:rPr>
          <w:noProof/>
        </w:rPr>
        <w:t>3</w:t>
      </w:r>
      <w:r>
        <w:fldChar w:fldCharType="end"/>
      </w:r>
      <w:r w:rsidRPr="00785668">
        <w:t xml:space="preserve"> shows the main Commonwealth payments to the States for infrastructure in </w:t>
      </w:r>
      <w:r>
        <w:t>2018-19</w:t>
      </w:r>
      <w:r w:rsidRPr="00785668">
        <w:t xml:space="preserve">. </w:t>
      </w:r>
    </w:p>
    <w:p w14:paraId="27B6750E" w14:textId="77777777" w:rsidR="007E365E" w:rsidRPr="00785668" w:rsidRDefault="007E365E" w:rsidP="007E365E">
      <w:pPr>
        <w:pStyle w:val="CGCParaNumber"/>
      </w:pPr>
      <w:r w:rsidRPr="00785668">
        <w:t xml:space="preserve">The largest payments are provided for road infrastructure projects and for the Infrastructure Growth Package </w:t>
      </w:r>
      <w:r>
        <w:t>—</w:t>
      </w:r>
      <w:r w:rsidRPr="00785668">
        <w:t xml:space="preserve"> Asset Recycling Initiative. </w:t>
      </w:r>
    </w:p>
    <w:p w14:paraId="1DB55B5A" w14:textId="77777777" w:rsidR="007E365E" w:rsidRPr="00785668" w:rsidRDefault="007E365E" w:rsidP="007E365E">
      <w:pPr>
        <w:pStyle w:val="CGCParaNumber"/>
      </w:pPr>
      <w:r w:rsidRPr="00785668">
        <w:t xml:space="preserve">The complete list of Commonwealth payments and their treatment is available on the </w:t>
      </w:r>
      <w:hyperlink r:id="rId47" w:history="1">
        <w:r w:rsidRPr="00785668">
          <w:rPr>
            <w:rStyle w:val="Hyperlink"/>
          </w:rPr>
          <w:t>Commission website</w:t>
        </w:r>
      </w:hyperlink>
      <w:r w:rsidRPr="00785668">
        <w:t>, (https://cgc.gov.au).</w:t>
      </w:r>
      <w:r w:rsidRPr="00785668">
        <w:rPr>
          <w:rStyle w:val="FootnoteReference"/>
        </w:rPr>
        <w:footnoteReference w:id="93"/>
      </w:r>
    </w:p>
    <w:p w14:paraId="517E4730" w14:textId="072C7F97" w:rsidR="007E365E" w:rsidRDefault="007E365E" w:rsidP="007E365E">
      <w:pPr>
        <w:pStyle w:val="Caption"/>
      </w:pPr>
      <w:bookmarkStart w:id="388" w:name="_Ref32850159"/>
      <w:r w:rsidRPr="00785668">
        <w:lastRenderedPageBreak/>
        <w:t xml:space="preserve">Table </w:t>
      </w:r>
      <w:r>
        <w:t>24-</w:t>
      </w:r>
      <w:fldSimple w:instr=" SEQ Table \* ARABIC ">
        <w:r w:rsidR="007F721A">
          <w:rPr>
            <w:noProof/>
          </w:rPr>
          <w:t>3</w:t>
        </w:r>
      </w:fldSimple>
      <w:bookmarkEnd w:id="388"/>
      <w:r w:rsidRPr="00785668">
        <w:tab/>
        <w:t xml:space="preserve">Commonwealth payments to the States for Investment, </w:t>
      </w:r>
      <w:r>
        <w:t>2018-19</w:t>
      </w:r>
      <w:r w:rsidRPr="00785668">
        <w:t xml:space="preserve"> </w:t>
      </w:r>
    </w:p>
    <w:tbl>
      <w:tblPr>
        <w:tblW w:w="9120" w:type="dxa"/>
        <w:tblCellMar>
          <w:left w:w="0" w:type="dxa"/>
          <w:right w:w="28" w:type="dxa"/>
        </w:tblCellMar>
        <w:tblLook w:val="04A0" w:firstRow="1" w:lastRow="0" w:firstColumn="1" w:lastColumn="0" w:noHBand="0" w:noVBand="1"/>
      </w:tblPr>
      <w:tblGrid>
        <w:gridCol w:w="3164"/>
        <w:gridCol w:w="724"/>
        <w:gridCol w:w="664"/>
        <w:gridCol w:w="704"/>
        <w:gridCol w:w="664"/>
        <w:gridCol w:w="704"/>
        <w:gridCol w:w="664"/>
        <w:gridCol w:w="604"/>
        <w:gridCol w:w="604"/>
        <w:gridCol w:w="704"/>
      </w:tblGrid>
      <w:tr w:rsidR="007E365E" w:rsidRPr="002800A7" w14:paraId="08D31CD5" w14:textId="77777777" w:rsidTr="007D1D77">
        <w:trPr>
          <w:trHeight w:val="383"/>
        </w:trPr>
        <w:tc>
          <w:tcPr>
            <w:tcW w:w="3156" w:type="dxa"/>
            <w:tcBorders>
              <w:top w:val="nil"/>
              <w:left w:val="nil"/>
              <w:bottom w:val="nil"/>
              <w:right w:val="nil"/>
            </w:tcBorders>
            <w:shd w:val="clear" w:color="000000" w:fill="006991"/>
            <w:noWrap/>
            <w:vAlign w:val="center"/>
            <w:hideMark/>
          </w:tcPr>
          <w:p w14:paraId="747DDED1"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00A7">
              <w:rPr>
                <w:rFonts w:ascii="Open Sans SemiBold" w:eastAsia="Times New Roman" w:hAnsi="Open Sans SemiBold" w:cs="Open Sans SemiBold"/>
                <w:color w:val="FFFFFF"/>
                <w:sz w:val="16"/>
                <w:szCs w:val="16"/>
                <w:lang w:eastAsia="en-AU"/>
              </w:rPr>
              <w:t> </w:t>
            </w:r>
          </w:p>
        </w:tc>
        <w:tc>
          <w:tcPr>
            <w:tcW w:w="716" w:type="dxa"/>
            <w:tcBorders>
              <w:top w:val="nil"/>
              <w:left w:val="nil"/>
              <w:bottom w:val="nil"/>
              <w:right w:val="nil"/>
            </w:tcBorders>
            <w:shd w:val="clear" w:color="000000" w:fill="006991"/>
            <w:noWrap/>
            <w:vAlign w:val="center"/>
            <w:hideMark/>
          </w:tcPr>
          <w:p w14:paraId="1BD9E4B9"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00A7">
              <w:rPr>
                <w:rFonts w:ascii="Open Sans SemiBold" w:eastAsia="Times New Roman" w:hAnsi="Open Sans SemiBold" w:cs="Open Sans SemiBold"/>
                <w:color w:val="FFFFFF"/>
                <w:sz w:val="16"/>
                <w:szCs w:val="16"/>
                <w:lang w:eastAsia="en-AU"/>
              </w:rPr>
              <w:t>NSW</w:t>
            </w:r>
          </w:p>
        </w:tc>
        <w:tc>
          <w:tcPr>
            <w:tcW w:w="656" w:type="dxa"/>
            <w:tcBorders>
              <w:top w:val="nil"/>
              <w:left w:val="nil"/>
              <w:bottom w:val="nil"/>
              <w:right w:val="nil"/>
            </w:tcBorders>
            <w:shd w:val="clear" w:color="000000" w:fill="006991"/>
            <w:noWrap/>
            <w:vAlign w:val="center"/>
            <w:hideMark/>
          </w:tcPr>
          <w:p w14:paraId="11285D29"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00A7">
              <w:rPr>
                <w:rFonts w:ascii="Open Sans SemiBold" w:eastAsia="Times New Roman" w:hAnsi="Open Sans SemiBold" w:cs="Open Sans SemiBold"/>
                <w:color w:val="FFFFFF"/>
                <w:sz w:val="16"/>
                <w:szCs w:val="16"/>
                <w:lang w:eastAsia="en-AU"/>
              </w:rPr>
              <w:t>Vic</w:t>
            </w:r>
          </w:p>
        </w:tc>
        <w:tc>
          <w:tcPr>
            <w:tcW w:w="696" w:type="dxa"/>
            <w:tcBorders>
              <w:top w:val="nil"/>
              <w:left w:val="nil"/>
              <w:bottom w:val="nil"/>
              <w:right w:val="nil"/>
            </w:tcBorders>
            <w:shd w:val="clear" w:color="000000" w:fill="006991"/>
            <w:noWrap/>
            <w:vAlign w:val="center"/>
            <w:hideMark/>
          </w:tcPr>
          <w:p w14:paraId="548A9A1A"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00A7">
              <w:rPr>
                <w:rFonts w:ascii="Open Sans SemiBold" w:eastAsia="Times New Roman" w:hAnsi="Open Sans SemiBold" w:cs="Open Sans SemiBold"/>
                <w:color w:val="FFFFFF"/>
                <w:sz w:val="16"/>
                <w:szCs w:val="16"/>
                <w:lang w:eastAsia="en-AU"/>
              </w:rPr>
              <w:t>Qld</w:t>
            </w:r>
          </w:p>
        </w:tc>
        <w:tc>
          <w:tcPr>
            <w:tcW w:w="656" w:type="dxa"/>
            <w:tcBorders>
              <w:top w:val="nil"/>
              <w:left w:val="nil"/>
              <w:bottom w:val="nil"/>
              <w:right w:val="nil"/>
            </w:tcBorders>
            <w:shd w:val="clear" w:color="000000" w:fill="006991"/>
            <w:noWrap/>
            <w:vAlign w:val="center"/>
            <w:hideMark/>
          </w:tcPr>
          <w:p w14:paraId="6446B7BA"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00A7">
              <w:rPr>
                <w:rFonts w:ascii="Open Sans SemiBold" w:eastAsia="Times New Roman" w:hAnsi="Open Sans SemiBold" w:cs="Open Sans SemiBold"/>
                <w:color w:val="FFFFFF"/>
                <w:sz w:val="16"/>
                <w:szCs w:val="16"/>
                <w:lang w:eastAsia="en-AU"/>
              </w:rPr>
              <w:t>WA</w:t>
            </w:r>
          </w:p>
        </w:tc>
        <w:tc>
          <w:tcPr>
            <w:tcW w:w="696" w:type="dxa"/>
            <w:tcBorders>
              <w:top w:val="nil"/>
              <w:left w:val="nil"/>
              <w:bottom w:val="nil"/>
              <w:right w:val="nil"/>
            </w:tcBorders>
            <w:shd w:val="clear" w:color="000000" w:fill="006991"/>
            <w:noWrap/>
            <w:vAlign w:val="center"/>
            <w:hideMark/>
          </w:tcPr>
          <w:p w14:paraId="08034413"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00A7">
              <w:rPr>
                <w:rFonts w:ascii="Open Sans SemiBold" w:eastAsia="Times New Roman" w:hAnsi="Open Sans SemiBold" w:cs="Open Sans SemiBold"/>
                <w:color w:val="FFFFFF"/>
                <w:sz w:val="16"/>
                <w:szCs w:val="16"/>
                <w:lang w:eastAsia="en-AU"/>
              </w:rPr>
              <w:t>SA</w:t>
            </w:r>
          </w:p>
        </w:tc>
        <w:tc>
          <w:tcPr>
            <w:tcW w:w="656" w:type="dxa"/>
            <w:tcBorders>
              <w:top w:val="nil"/>
              <w:left w:val="nil"/>
              <w:bottom w:val="nil"/>
              <w:right w:val="nil"/>
            </w:tcBorders>
            <w:shd w:val="clear" w:color="000000" w:fill="006991"/>
            <w:noWrap/>
            <w:vAlign w:val="center"/>
            <w:hideMark/>
          </w:tcPr>
          <w:p w14:paraId="005736CB"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00A7">
              <w:rPr>
                <w:rFonts w:ascii="Open Sans SemiBold" w:eastAsia="Times New Roman" w:hAnsi="Open Sans SemiBold" w:cs="Open Sans SemiBold"/>
                <w:color w:val="FFFFFF"/>
                <w:sz w:val="16"/>
                <w:szCs w:val="16"/>
                <w:lang w:eastAsia="en-AU"/>
              </w:rPr>
              <w:t>Tas</w:t>
            </w:r>
          </w:p>
        </w:tc>
        <w:tc>
          <w:tcPr>
            <w:tcW w:w="596" w:type="dxa"/>
            <w:tcBorders>
              <w:top w:val="nil"/>
              <w:left w:val="nil"/>
              <w:bottom w:val="nil"/>
              <w:right w:val="nil"/>
            </w:tcBorders>
            <w:shd w:val="clear" w:color="000000" w:fill="006991"/>
            <w:noWrap/>
            <w:vAlign w:val="center"/>
            <w:hideMark/>
          </w:tcPr>
          <w:p w14:paraId="2CDDAB77"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00A7">
              <w:rPr>
                <w:rFonts w:ascii="Open Sans SemiBold" w:eastAsia="Times New Roman" w:hAnsi="Open Sans SemiBold" w:cs="Open Sans SemiBold"/>
                <w:color w:val="FFFFFF"/>
                <w:sz w:val="16"/>
                <w:szCs w:val="16"/>
                <w:lang w:eastAsia="en-AU"/>
              </w:rPr>
              <w:t>ACT</w:t>
            </w:r>
          </w:p>
        </w:tc>
        <w:tc>
          <w:tcPr>
            <w:tcW w:w="596" w:type="dxa"/>
            <w:tcBorders>
              <w:top w:val="nil"/>
              <w:left w:val="nil"/>
              <w:bottom w:val="nil"/>
              <w:right w:val="nil"/>
            </w:tcBorders>
            <w:shd w:val="clear" w:color="000000" w:fill="006991"/>
            <w:noWrap/>
            <w:vAlign w:val="center"/>
            <w:hideMark/>
          </w:tcPr>
          <w:p w14:paraId="4F07C408"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00A7">
              <w:rPr>
                <w:rFonts w:ascii="Open Sans SemiBold" w:eastAsia="Times New Roman" w:hAnsi="Open Sans SemiBold" w:cs="Open Sans SemiBold"/>
                <w:color w:val="FFFFFF"/>
                <w:sz w:val="16"/>
                <w:szCs w:val="16"/>
                <w:lang w:eastAsia="en-AU"/>
              </w:rPr>
              <w:t>NT</w:t>
            </w:r>
          </w:p>
        </w:tc>
        <w:tc>
          <w:tcPr>
            <w:tcW w:w="696" w:type="dxa"/>
            <w:tcBorders>
              <w:top w:val="nil"/>
              <w:left w:val="nil"/>
              <w:bottom w:val="nil"/>
              <w:right w:val="nil"/>
            </w:tcBorders>
            <w:shd w:val="clear" w:color="000000" w:fill="006991"/>
            <w:noWrap/>
            <w:vAlign w:val="center"/>
            <w:hideMark/>
          </w:tcPr>
          <w:p w14:paraId="77F839EC"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800A7">
              <w:rPr>
                <w:rFonts w:ascii="Open Sans SemiBold" w:eastAsia="Times New Roman" w:hAnsi="Open Sans SemiBold" w:cs="Open Sans SemiBold"/>
                <w:color w:val="FFFFFF"/>
                <w:sz w:val="16"/>
                <w:szCs w:val="16"/>
                <w:lang w:eastAsia="en-AU"/>
              </w:rPr>
              <w:t>Total</w:t>
            </w:r>
          </w:p>
        </w:tc>
      </w:tr>
      <w:tr w:rsidR="007E365E" w:rsidRPr="002800A7" w14:paraId="1387A6ED" w14:textId="77777777" w:rsidTr="007D1D77">
        <w:trPr>
          <w:trHeight w:val="555"/>
        </w:trPr>
        <w:tc>
          <w:tcPr>
            <w:tcW w:w="3156" w:type="dxa"/>
            <w:tcBorders>
              <w:top w:val="single" w:sz="4" w:space="0" w:color="ADD6EA"/>
              <w:left w:val="nil"/>
              <w:bottom w:val="single" w:sz="4" w:space="0" w:color="ACD6EA"/>
              <w:right w:val="nil"/>
            </w:tcBorders>
            <w:shd w:val="clear" w:color="auto" w:fill="auto"/>
            <w:vAlign w:val="bottom"/>
            <w:hideMark/>
          </w:tcPr>
          <w:p w14:paraId="2605C1DD" w14:textId="77777777" w:rsidR="007E365E" w:rsidRPr="002800A7" w:rsidRDefault="007E365E" w:rsidP="007D1D77">
            <w:pPr>
              <w:keepNext/>
              <w:tabs>
                <w:tab w:val="clear" w:pos="567"/>
              </w:tabs>
              <w:spacing w:before="0" w:line="240" w:lineRule="auto"/>
              <w:rPr>
                <w:rFonts w:eastAsia="Times New Roman" w:cs="Open Sans Light"/>
                <w:sz w:val="16"/>
                <w:szCs w:val="16"/>
                <w:lang w:eastAsia="en-AU"/>
              </w:rPr>
            </w:pPr>
            <w:r w:rsidRPr="002800A7">
              <w:rPr>
                <w:rFonts w:eastAsia="Times New Roman" w:cs="Open Sans Light"/>
                <w:sz w:val="16"/>
                <w:szCs w:val="16"/>
                <w:lang w:eastAsia="en-AU"/>
              </w:rPr>
              <w:t>Infrastructure Investment Program - Road investment ($m)</w:t>
            </w:r>
          </w:p>
        </w:tc>
        <w:tc>
          <w:tcPr>
            <w:tcW w:w="716" w:type="dxa"/>
            <w:tcBorders>
              <w:top w:val="single" w:sz="4" w:space="0" w:color="ADD6EA"/>
              <w:left w:val="nil"/>
              <w:bottom w:val="single" w:sz="4" w:space="0" w:color="ACD6EA"/>
              <w:right w:val="nil"/>
            </w:tcBorders>
            <w:shd w:val="clear" w:color="auto" w:fill="auto"/>
            <w:noWrap/>
            <w:vAlign w:val="bottom"/>
            <w:hideMark/>
          </w:tcPr>
          <w:p w14:paraId="45EB14C0"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919</w:t>
            </w:r>
          </w:p>
        </w:tc>
        <w:tc>
          <w:tcPr>
            <w:tcW w:w="656" w:type="dxa"/>
            <w:tcBorders>
              <w:top w:val="single" w:sz="4" w:space="0" w:color="ADD6EA"/>
              <w:left w:val="nil"/>
              <w:bottom w:val="single" w:sz="4" w:space="0" w:color="ACD6EA"/>
              <w:right w:val="nil"/>
            </w:tcBorders>
            <w:shd w:val="clear" w:color="auto" w:fill="auto"/>
            <w:noWrap/>
            <w:vAlign w:val="bottom"/>
            <w:hideMark/>
          </w:tcPr>
          <w:p w14:paraId="6687DEF1"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99</w:t>
            </w:r>
          </w:p>
        </w:tc>
        <w:tc>
          <w:tcPr>
            <w:tcW w:w="696" w:type="dxa"/>
            <w:tcBorders>
              <w:top w:val="single" w:sz="4" w:space="0" w:color="ADD6EA"/>
              <w:left w:val="nil"/>
              <w:bottom w:val="single" w:sz="4" w:space="0" w:color="ACD6EA"/>
              <w:right w:val="nil"/>
            </w:tcBorders>
            <w:shd w:val="clear" w:color="auto" w:fill="auto"/>
            <w:noWrap/>
            <w:vAlign w:val="bottom"/>
            <w:hideMark/>
          </w:tcPr>
          <w:p w14:paraId="0580B18D"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884</w:t>
            </w:r>
          </w:p>
        </w:tc>
        <w:tc>
          <w:tcPr>
            <w:tcW w:w="656" w:type="dxa"/>
            <w:tcBorders>
              <w:top w:val="single" w:sz="4" w:space="0" w:color="ADD6EA"/>
              <w:left w:val="nil"/>
              <w:bottom w:val="single" w:sz="4" w:space="0" w:color="ACD6EA"/>
              <w:right w:val="nil"/>
            </w:tcBorders>
            <w:shd w:val="clear" w:color="auto" w:fill="auto"/>
            <w:noWrap/>
            <w:vAlign w:val="bottom"/>
            <w:hideMark/>
          </w:tcPr>
          <w:p w14:paraId="35281436"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506</w:t>
            </w:r>
          </w:p>
        </w:tc>
        <w:tc>
          <w:tcPr>
            <w:tcW w:w="696" w:type="dxa"/>
            <w:tcBorders>
              <w:top w:val="single" w:sz="4" w:space="0" w:color="ADD6EA"/>
              <w:left w:val="nil"/>
              <w:bottom w:val="single" w:sz="4" w:space="0" w:color="ACD6EA"/>
              <w:right w:val="nil"/>
            </w:tcBorders>
            <w:shd w:val="clear" w:color="auto" w:fill="auto"/>
            <w:noWrap/>
            <w:vAlign w:val="bottom"/>
            <w:hideMark/>
          </w:tcPr>
          <w:p w14:paraId="5D9C38FA"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947</w:t>
            </w:r>
          </w:p>
        </w:tc>
        <w:tc>
          <w:tcPr>
            <w:tcW w:w="656" w:type="dxa"/>
            <w:tcBorders>
              <w:top w:val="single" w:sz="4" w:space="0" w:color="ADD6EA"/>
              <w:left w:val="nil"/>
              <w:bottom w:val="single" w:sz="4" w:space="0" w:color="ACD6EA"/>
              <w:right w:val="nil"/>
            </w:tcBorders>
            <w:shd w:val="clear" w:color="auto" w:fill="auto"/>
            <w:noWrap/>
            <w:vAlign w:val="bottom"/>
            <w:hideMark/>
          </w:tcPr>
          <w:p w14:paraId="4D42B519"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72</w:t>
            </w:r>
          </w:p>
        </w:tc>
        <w:tc>
          <w:tcPr>
            <w:tcW w:w="596" w:type="dxa"/>
            <w:tcBorders>
              <w:top w:val="single" w:sz="4" w:space="0" w:color="ADD6EA"/>
              <w:left w:val="nil"/>
              <w:bottom w:val="single" w:sz="4" w:space="0" w:color="ACD6EA"/>
              <w:right w:val="nil"/>
            </w:tcBorders>
            <w:shd w:val="clear" w:color="auto" w:fill="auto"/>
            <w:noWrap/>
            <w:vAlign w:val="bottom"/>
            <w:hideMark/>
          </w:tcPr>
          <w:p w14:paraId="132A579A"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596" w:type="dxa"/>
            <w:tcBorders>
              <w:top w:val="single" w:sz="4" w:space="0" w:color="ADD6EA"/>
              <w:left w:val="nil"/>
              <w:bottom w:val="single" w:sz="4" w:space="0" w:color="ACD6EA"/>
              <w:right w:val="nil"/>
            </w:tcBorders>
            <w:shd w:val="clear" w:color="auto" w:fill="auto"/>
            <w:noWrap/>
            <w:vAlign w:val="bottom"/>
            <w:hideMark/>
          </w:tcPr>
          <w:p w14:paraId="5A6F686A"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17</w:t>
            </w:r>
          </w:p>
        </w:tc>
        <w:tc>
          <w:tcPr>
            <w:tcW w:w="696" w:type="dxa"/>
            <w:tcBorders>
              <w:top w:val="single" w:sz="4" w:space="0" w:color="ADD6EA"/>
              <w:left w:val="nil"/>
              <w:bottom w:val="single" w:sz="4" w:space="0" w:color="ACD6EA"/>
              <w:right w:val="nil"/>
            </w:tcBorders>
            <w:shd w:val="clear" w:color="auto" w:fill="auto"/>
            <w:noWrap/>
            <w:vAlign w:val="bottom"/>
            <w:hideMark/>
          </w:tcPr>
          <w:p w14:paraId="7F05908E"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3,445</w:t>
            </w:r>
          </w:p>
        </w:tc>
      </w:tr>
      <w:tr w:rsidR="007E365E" w:rsidRPr="002800A7" w14:paraId="2866D191" w14:textId="77777777" w:rsidTr="007D1D77">
        <w:trPr>
          <w:trHeight w:val="555"/>
        </w:trPr>
        <w:tc>
          <w:tcPr>
            <w:tcW w:w="3156" w:type="dxa"/>
            <w:tcBorders>
              <w:top w:val="nil"/>
              <w:left w:val="nil"/>
              <w:bottom w:val="single" w:sz="4" w:space="0" w:color="ACD6EA"/>
              <w:right w:val="nil"/>
            </w:tcBorders>
            <w:shd w:val="clear" w:color="auto" w:fill="auto"/>
            <w:vAlign w:val="bottom"/>
            <w:hideMark/>
          </w:tcPr>
          <w:p w14:paraId="561B9801" w14:textId="77777777" w:rsidR="007E365E" w:rsidRPr="002800A7" w:rsidRDefault="007E365E" w:rsidP="007D1D77">
            <w:pPr>
              <w:keepNext/>
              <w:tabs>
                <w:tab w:val="clear" w:pos="567"/>
              </w:tabs>
              <w:spacing w:before="0" w:line="240" w:lineRule="auto"/>
              <w:rPr>
                <w:rFonts w:eastAsia="Times New Roman" w:cs="Open Sans Light"/>
                <w:sz w:val="16"/>
                <w:szCs w:val="16"/>
                <w:lang w:eastAsia="en-AU"/>
              </w:rPr>
            </w:pPr>
            <w:r w:rsidRPr="002800A7">
              <w:rPr>
                <w:rFonts w:eastAsia="Times New Roman" w:cs="Open Sans Light"/>
                <w:sz w:val="16"/>
                <w:szCs w:val="16"/>
                <w:lang w:eastAsia="en-AU"/>
              </w:rPr>
              <w:t>Infrastructure Growth Package - Asset Recycling Initiative ($m)</w:t>
            </w:r>
          </w:p>
        </w:tc>
        <w:tc>
          <w:tcPr>
            <w:tcW w:w="716" w:type="dxa"/>
            <w:tcBorders>
              <w:top w:val="nil"/>
              <w:left w:val="nil"/>
              <w:bottom w:val="single" w:sz="4" w:space="0" w:color="ACD6EA"/>
              <w:right w:val="nil"/>
            </w:tcBorders>
            <w:shd w:val="clear" w:color="auto" w:fill="auto"/>
            <w:noWrap/>
            <w:vAlign w:val="bottom"/>
            <w:hideMark/>
          </w:tcPr>
          <w:p w14:paraId="7BA34A42"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335</w:t>
            </w:r>
          </w:p>
        </w:tc>
        <w:tc>
          <w:tcPr>
            <w:tcW w:w="656" w:type="dxa"/>
            <w:tcBorders>
              <w:top w:val="nil"/>
              <w:left w:val="nil"/>
              <w:bottom w:val="single" w:sz="4" w:space="0" w:color="ACD6EA"/>
              <w:right w:val="nil"/>
            </w:tcBorders>
            <w:shd w:val="clear" w:color="auto" w:fill="auto"/>
            <w:noWrap/>
            <w:vAlign w:val="bottom"/>
            <w:hideMark/>
          </w:tcPr>
          <w:p w14:paraId="4264B565"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696" w:type="dxa"/>
            <w:tcBorders>
              <w:top w:val="nil"/>
              <w:left w:val="nil"/>
              <w:bottom w:val="single" w:sz="4" w:space="0" w:color="ACD6EA"/>
              <w:right w:val="nil"/>
            </w:tcBorders>
            <w:shd w:val="clear" w:color="auto" w:fill="auto"/>
            <w:noWrap/>
            <w:vAlign w:val="bottom"/>
            <w:hideMark/>
          </w:tcPr>
          <w:p w14:paraId="2C8FC16E"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656" w:type="dxa"/>
            <w:tcBorders>
              <w:top w:val="nil"/>
              <w:left w:val="nil"/>
              <w:bottom w:val="single" w:sz="4" w:space="0" w:color="ACD6EA"/>
              <w:right w:val="nil"/>
            </w:tcBorders>
            <w:shd w:val="clear" w:color="auto" w:fill="auto"/>
            <w:noWrap/>
            <w:vAlign w:val="bottom"/>
            <w:hideMark/>
          </w:tcPr>
          <w:p w14:paraId="21FC555B"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696" w:type="dxa"/>
            <w:tcBorders>
              <w:top w:val="nil"/>
              <w:left w:val="nil"/>
              <w:bottom w:val="single" w:sz="4" w:space="0" w:color="ACD6EA"/>
              <w:right w:val="nil"/>
            </w:tcBorders>
            <w:shd w:val="clear" w:color="auto" w:fill="auto"/>
            <w:noWrap/>
            <w:vAlign w:val="bottom"/>
            <w:hideMark/>
          </w:tcPr>
          <w:p w14:paraId="686346F8"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656" w:type="dxa"/>
            <w:tcBorders>
              <w:top w:val="nil"/>
              <w:left w:val="nil"/>
              <w:bottom w:val="single" w:sz="4" w:space="0" w:color="ACD6EA"/>
              <w:right w:val="nil"/>
            </w:tcBorders>
            <w:shd w:val="clear" w:color="auto" w:fill="auto"/>
            <w:noWrap/>
            <w:vAlign w:val="bottom"/>
            <w:hideMark/>
          </w:tcPr>
          <w:p w14:paraId="43A679CD"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596" w:type="dxa"/>
            <w:tcBorders>
              <w:top w:val="nil"/>
              <w:left w:val="nil"/>
              <w:bottom w:val="single" w:sz="4" w:space="0" w:color="ACD6EA"/>
              <w:right w:val="nil"/>
            </w:tcBorders>
            <w:shd w:val="clear" w:color="auto" w:fill="auto"/>
            <w:noWrap/>
            <w:vAlign w:val="bottom"/>
            <w:hideMark/>
          </w:tcPr>
          <w:p w14:paraId="649B81EA"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44</w:t>
            </w:r>
          </w:p>
        </w:tc>
        <w:tc>
          <w:tcPr>
            <w:tcW w:w="596" w:type="dxa"/>
            <w:tcBorders>
              <w:top w:val="nil"/>
              <w:left w:val="nil"/>
              <w:bottom w:val="single" w:sz="4" w:space="0" w:color="ACD6EA"/>
              <w:right w:val="nil"/>
            </w:tcBorders>
            <w:shd w:val="clear" w:color="auto" w:fill="auto"/>
            <w:noWrap/>
            <w:vAlign w:val="bottom"/>
            <w:hideMark/>
          </w:tcPr>
          <w:p w14:paraId="3CD3E30C"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28</w:t>
            </w:r>
          </w:p>
        </w:tc>
        <w:tc>
          <w:tcPr>
            <w:tcW w:w="696" w:type="dxa"/>
            <w:tcBorders>
              <w:top w:val="nil"/>
              <w:left w:val="nil"/>
              <w:bottom w:val="single" w:sz="4" w:space="0" w:color="ACD6EA"/>
              <w:right w:val="nil"/>
            </w:tcBorders>
            <w:shd w:val="clear" w:color="auto" w:fill="auto"/>
            <w:noWrap/>
            <w:vAlign w:val="bottom"/>
            <w:hideMark/>
          </w:tcPr>
          <w:p w14:paraId="27BA128F"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408</w:t>
            </w:r>
          </w:p>
        </w:tc>
      </w:tr>
      <w:tr w:rsidR="007E365E" w:rsidRPr="002800A7" w14:paraId="170E1281" w14:textId="77777777" w:rsidTr="007D1D77">
        <w:trPr>
          <w:trHeight w:val="555"/>
        </w:trPr>
        <w:tc>
          <w:tcPr>
            <w:tcW w:w="3156" w:type="dxa"/>
            <w:tcBorders>
              <w:top w:val="nil"/>
              <w:left w:val="nil"/>
              <w:bottom w:val="single" w:sz="4" w:space="0" w:color="ACD6EA"/>
              <w:right w:val="nil"/>
            </w:tcBorders>
            <w:shd w:val="clear" w:color="auto" w:fill="auto"/>
            <w:vAlign w:val="bottom"/>
            <w:hideMark/>
          </w:tcPr>
          <w:p w14:paraId="0B826472" w14:textId="77777777" w:rsidR="007E365E" w:rsidRPr="002800A7" w:rsidRDefault="007E365E" w:rsidP="007D1D77">
            <w:pPr>
              <w:keepNext/>
              <w:tabs>
                <w:tab w:val="clear" w:pos="567"/>
              </w:tabs>
              <w:spacing w:before="0" w:line="240" w:lineRule="auto"/>
              <w:rPr>
                <w:rFonts w:eastAsia="Times New Roman" w:cs="Open Sans Light"/>
                <w:sz w:val="16"/>
                <w:szCs w:val="16"/>
                <w:lang w:eastAsia="en-AU"/>
              </w:rPr>
            </w:pPr>
            <w:r w:rsidRPr="002800A7">
              <w:rPr>
                <w:rFonts w:eastAsia="Times New Roman" w:cs="Open Sans Light"/>
                <w:sz w:val="16"/>
                <w:szCs w:val="16"/>
                <w:lang w:eastAsia="en-AU"/>
              </w:rPr>
              <w:t>Infrastructure Investment Program - National Rail Program ($m)</w:t>
            </w:r>
          </w:p>
        </w:tc>
        <w:tc>
          <w:tcPr>
            <w:tcW w:w="716" w:type="dxa"/>
            <w:tcBorders>
              <w:top w:val="nil"/>
              <w:left w:val="nil"/>
              <w:bottom w:val="single" w:sz="4" w:space="0" w:color="ACD6EA"/>
              <w:right w:val="nil"/>
            </w:tcBorders>
            <w:shd w:val="clear" w:color="auto" w:fill="auto"/>
            <w:noWrap/>
            <w:vAlign w:val="bottom"/>
            <w:hideMark/>
          </w:tcPr>
          <w:p w14:paraId="245428CE"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27</w:t>
            </w:r>
          </w:p>
        </w:tc>
        <w:tc>
          <w:tcPr>
            <w:tcW w:w="656" w:type="dxa"/>
            <w:tcBorders>
              <w:top w:val="nil"/>
              <w:left w:val="nil"/>
              <w:bottom w:val="single" w:sz="4" w:space="0" w:color="ACD6EA"/>
              <w:right w:val="nil"/>
            </w:tcBorders>
            <w:shd w:val="clear" w:color="auto" w:fill="auto"/>
            <w:noWrap/>
            <w:vAlign w:val="bottom"/>
            <w:hideMark/>
          </w:tcPr>
          <w:p w14:paraId="4BAE33F0"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696" w:type="dxa"/>
            <w:tcBorders>
              <w:top w:val="nil"/>
              <w:left w:val="nil"/>
              <w:bottom w:val="single" w:sz="4" w:space="0" w:color="ACD6EA"/>
              <w:right w:val="nil"/>
            </w:tcBorders>
            <w:shd w:val="clear" w:color="auto" w:fill="auto"/>
            <w:noWrap/>
            <w:vAlign w:val="bottom"/>
            <w:hideMark/>
          </w:tcPr>
          <w:p w14:paraId="750B5481"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2</w:t>
            </w:r>
          </w:p>
        </w:tc>
        <w:tc>
          <w:tcPr>
            <w:tcW w:w="656" w:type="dxa"/>
            <w:tcBorders>
              <w:top w:val="nil"/>
              <w:left w:val="nil"/>
              <w:bottom w:val="single" w:sz="4" w:space="0" w:color="ACD6EA"/>
              <w:right w:val="nil"/>
            </w:tcBorders>
            <w:shd w:val="clear" w:color="auto" w:fill="auto"/>
            <w:noWrap/>
            <w:vAlign w:val="bottom"/>
            <w:hideMark/>
          </w:tcPr>
          <w:p w14:paraId="4EB5BC4B"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1</w:t>
            </w:r>
          </w:p>
        </w:tc>
        <w:tc>
          <w:tcPr>
            <w:tcW w:w="696" w:type="dxa"/>
            <w:tcBorders>
              <w:top w:val="nil"/>
              <w:left w:val="nil"/>
              <w:bottom w:val="single" w:sz="4" w:space="0" w:color="ACD6EA"/>
              <w:right w:val="nil"/>
            </w:tcBorders>
            <w:shd w:val="clear" w:color="auto" w:fill="auto"/>
            <w:noWrap/>
            <w:vAlign w:val="bottom"/>
            <w:hideMark/>
          </w:tcPr>
          <w:p w14:paraId="2D056496"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220</w:t>
            </w:r>
          </w:p>
        </w:tc>
        <w:tc>
          <w:tcPr>
            <w:tcW w:w="656" w:type="dxa"/>
            <w:tcBorders>
              <w:top w:val="nil"/>
              <w:left w:val="nil"/>
              <w:bottom w:val="single" w:sz="4" w:space="0" w:color="ACD6EA"/>
              <w:right w:val="nil"/>
            </w:tcBorders>
            <w:shd w:val="clear" w:color="auto" w:fill="auto"/>
            <w:noWrap/>
            <w:vAlign w:val="bottom"/>
            <w:hideMark/>
          </w:tcPr>
          <w:p w14:paraId="42F09214"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596" w:type="dxa"/>
            <w:tcBorders>
              <w:top w:val="nil"/>
              <w:left w:val="nil"/>
              <w:bottom w:val="single" w:sz="4" w:space="0" w:color="ACD6EA"/>
              <w:right w:val="nil"/>
            </w:tcBorders>
            <w:shd w:val="clear" w:color="auto" w:fill="auto"/>
            <w:noWrap/>
            <w:vAlign w:val="bottom"/>
            <w:hideMark/>
          </w:tcPr>
          <w:p w14:paraId="2220DCF6"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596" w:type="dxa"/>
            <w:tcBorders>
              <w:top w:val="nil"/>
              <w:left w:val="nil"/>
              <w:bottom w:val="single" w:sz="4" w:space="0" w:color="ACD6EA"/>
              <w:right w:val="nil"/>
            </w:tcBorders>
            <w:shd w:val="clear" w:color="auto" w:fill="auto"/>
            <w:noWrap/>
            <w:vAlign w:val="bottom"/>
            <w:hideMark/>
          </w:tcPr>
          <w:p w14:paraId="61C99F15"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696" w:type="dxa"/>
            <w:tcBorders>
              <w:top w:val="nil"/>
              <w:left w:val="nil"/>
              <w:bottom w:val="single" w:sz="4" w:space="0" w:color="ACD6EA"/>
              <w:right w:val="nil"/>
            </w:tcBorders>
            <w:shd w:val="clear" w:color="auto" w:fill="auto"/>
            <w:noWrap/>
            <w:vAlign w:val="bottom"/>
            <w:hideMark/>
          </w:tcPr>
          <w:p w14:paraId="0EE8E10B"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250</w:t>
            </w:r>
          </w:p>
        </w:tc>
      </w:tr>
      <w:tr w:rsidR="007E365E" w:rsidRPr="002800A7" w14:paraId="1E56B83B" w14:textId="77777777" w:rsidTr="007D1D77">
        <w:trPr>
          <w:trHeight w:val="555"/>
        </w:trPr>
        <w:tc>
          <w:tcPr>
            <w:tcW w:w="3156" w:type="dxa"/>
            <w:tcBorders>
              <w:top w:val="nil"/>
              <w:left w:val="nil"/>
              <w:bottom w:val="single" w:sz="4" w:space="0" w:color="ACD6EA"/>
              <w:right w:val="nil"/>
            </w:tcBorders>
            <w:shd w:val="clear" w:color="auto" w:fill="auto"/>
            <w:vAlign w:val="bottom"/>
            <w:hideMark/>
          </w:tcPr>
          <w:p w14:paraId="11E8987C" w14:textId="77777777" w:rsidR="007E365E" w:rsidRPr="002800A7" w:rsidRDefault="007E365E" w:rsidP="007D1D77">
            <w:pPr>
              <w:keepNext/>
              <w:tabs>
                <w:tab w:val="clear" w:pos="567"/>
              </w:tabs>
              <w:spacing w:before="0" w:line="240" w:lineRule="auto"/>
              <w:rPr>
                <w:rFonts w:eastAsia="Times New Roman" w:cs="Open Sans Light"/>
                <w:sz w:val="16"/>
                <w:szCs w:val="16"/>
                <w:lang w:eastAsia="en-AU"/>
              </w:rPr>
            </w:pPr>
            <w:r w:rsidRPr="002800A7">
              <w:rPr>
                <w:rFonts w:eastAsia="Times New Roman" w:cs="Open Sans Light"/>
                <w:sz w:val="16"/>
                <w:szCs w:val="16"/>
                <w:lang w:eastAsia="en-AU"/>
              </w:rPr>
              <w:t>Infrastructure Growth Package - Western Sydney Infrastructure Plan ($m)</w:t>
            </w:r>
          </w:p>
        </w:tc>
        <w:tc>
          <w:tcPr>
            <w:tcW w:w="716" w:type="dxa"/>
            <w:tcBorders>
              <w:top w:val="nil"/>
              <w:left w:val="nil"/>
              <w:bottom w:val="single" w:sz="4" w:space="0" w:color="ACD6EA"/>
              <w:right w:val="nil"/>
            </w:tcBorders>
            <w:shd w:val="clear" w:color="auto" w:fill="auto"/>
            <w:noWrap/>
            <w:vAlign w:val="bottom"/>
            <w:hideMark/>
          </w:tcPr>
          <w:p w14:paraId="232E9AAD"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246</w:t>
            </w:r>
          </w:p>
        </w:tc>
        <w:tc>
          <w:tcPr>
            <w:tcW w:w="656" w:type="dxa"/>
            <w:tcBorders>
              <w:top w:val="nil"/>
              <w:left w:val="nil"/>
              <w:bottom w:val="single" w:sz="4" w:space="0" w:color="ACD6EA"/>
              <w:right w:val="nil"/>
            </w:tcBorders>
            <w:shd w:val="clear" w:color="auto" w:fill="auto"/>
            <w:noWrap/>
            <w:vAlign w:val="bottom"/>
            <w:hideMark/>
          </w:tcPr>
          <w:p w14:paraId="4DF09937"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696" w:type="dxa"/>
            <w:tcBorders>
              <w:top w:val="nil"/>
              <w:left w:val="nil"/>
              <w:bottom w:val="single" w:sz="4" w:space="0" w:color="ACD6EA"/>
              <w:right w:val="nil"/>
            </w:tcBorders>
            <w:shd w:val="clear" w:color="auto" w:fill="auto"/>
            <w:noWrap/>
            <w:vAlign w:val="bottom"/>
            <w:hideMark/>
          </w:tcPr>
          <w:p w14:paraId="2232BFEE"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656" w:type="dxa"/>
            <w:tcBorders>
              <w:top w:val="nil"/>
              <w:left w:val="nil"/>
              <w:bottom w:val="single" w:sz="4" w:space="0" w:color="ACD6EA"/>
              <w:right w:val="nil"/>
            </w:tcBorders>
            <w:shd w:val="clear" w:color="auto" w:fill="auto"/>
            <w:noWrap/>
            <w:vAlign w:val="bottom"/>
            <w:hideMark/>
          </w:tcPr>
          <w:p w14:paraId="0FF9C4FC"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696" w:type="dxa"/>
            <w:tcBorders>
              <w:top w:val="nil"/>
              <w:left w:val="nil"/>
              <w:bottom w:val="single" w:sz="4" w:space="0" w:color="ACD6EA"/>
              <w:right w:val="nil"/>
            </w:tcBorders>
            <w:shd w:val="clear" w:color="auto" w:fill="auto"/>
            <w:noWrap/>
            <w:vAlign w:val="bottom"/>
            <w:hideMark/>
          </w:tcPr>
          <w:p w14:paraId="7C06C1DF"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656" w:type="dxa"/>
            <w:tcBorders>
              <w:top w:val="nil"/>
              <w:left w:val="nil"/>
              <w:bottom w:val="single" w:sz="4" w:space="0" w:color="ACD6EA"/>
              <w:right w:val="nil"/>
            </w:tcBorders>
            <w:shd w:val="clear" w:color="auto" w:fill="auto"/>
            <w:noWrap/>
            <w:vAlign w:val="bottom"/>
            <w:hideMark/>
          </w:tcPr>
          <w:p w14:paraId="2A488F69"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596" w:type="dxa"/>
            <w:tcBorders>
              <w:top w:val="nil"/>
              <w:left w:val="nil"/>
              <w:bottom w:val="single" w:sz="4" w:space="0" w:color="ACD6EA"/>
              <w:right w:val="nil"/>
            </w:tcBorders>
            <w:shd w:val="clear" w:color="auto" w:fill="auto"/>
            <w:noWrap/>
            <w:vAlign w:val="bottom"/>
            <w:hideMark/>
          </w:tcPr>
          <w:p w14:paraId="3CB26B50"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596" w:type="dxa"/>
            <w:tcBorders>
              <w:top w:val="nil"/>
              <w:left w:val="nil"/>
              <w:bottom w:val="single" w:sz="4" w:space="0" w:color="ACD6EA"/>
              <w:right w:val="nil"/>
            </w:tcBorders>
            <w:shd w:val="clear" w:color="auto" w:fill="auto"/>
            <w:noWrap/>
            <w:vAlign w:val="bottom"/>
            <w:hideMark/>
          </w:tcPr>
          <w:p w14:paraId="23CBB06F"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0</w:t>
            </w:r>
          </w:p>
        </w:tc>
        <w:tc>
          <w:tcPr>
            <w:tcW w:w="696" w:type="dxa"/>
            <w:tcBorders>
              <w:top w:val="nil"/>
              <w:left w:val="nil"/>
              <w:bottom w:val="single" w:sz="4" w:space="0" w:color="ACD6EA"/>
              <w:right w:val="nil"/>
            </w:tcBorders>
            <w:shd w:val="clear" w:color="auto" w:fill="auto"/>
            <w:noWrap/>
            <w:vAlign w:val="bottom"/>
            <w:hideMark/>
          </w:tcPr>
          <w:p w14:paraId="583C5A08"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246</w:t>
            </w:r>
          </w:p>
        </w:tc>
      </w:tr>
      <w:tr w:rsidR="007E365E" w:rsidRPr="002800A7" w14:paraId="427EEAD2" w14:textId="77777777" w:rsidTr="007D1D77">
        <w:trPr>
          <w:trHeight w:val="315"/>
        </w:trPr>
        <w:tc>
          <w:tcPr>
            <w:tcW w:w="3156" w:type="dxa"/>
            <w:tcBorders>
              <w:top w:val="nil"/>
              <w:left w:val="nil"/>
              <w:bottom w:val="single" w:sz="4" w:space="0" w:color="ACD6EA"/>
              <w:right w:val="nil"/>
            </w:tcBorders>
            <w:shd w:val="clear" w:color="auto" w:fill="auto"/>
            <w:vAlign w:val="bottom"/>
            <w:hideMark/>
          </w:tcPr>
          <w:p w14:paraId="7FE6624E" w14:textId="77777777" w:rsidR="007E365E" w:rsidRPr="002800A7" w:rsidRDefault="007E365E" w:rsidP="007D1D77">
            <w:pPr>
              <w:keepNext/>
              <w:tabs>
                <w:tab w:val="clear" w:pos="567"/>
              </w:tabs>
              <w:spacing w:before="0" w:line="240" w:lineRule="auto"/>
              <w:rPr>
                <w:rFonts w:eastAsia="Times New Roman" w:cs="Open Sans Light"/>
                <w:sz w:val="16"/>
                <w:szCs w:val="16"/>
                <w:lang w:eastAsia="en-AU"/>
              </w:rPr>
            </w:pPr>
            <w:r w:rsidRPr="002800A7">
              <w:rPr>
                <w:rFonts w:eastAsia="Times New Roman" w:cs="Open Sans Light"/>
                <w:sz w:val="16"/>
                <w:szCs w:val="16"/>
                <w:lang w:eastAsia="en-AU"/>
              </w:rPr>
              <w:t>Other ($m)</w:t>
            </w:r>
          </w:p>
        </w:tc>
        <w:tc>
          <w:tcPr>
            <w:tcW w:w="716" w:type="dxa"/>
            <w:tcBorders>
              <w:top w:val="nil"/>
              <w:left w:val="nil"/>
              <w:bottom w:val="single" w:sz="4" w:space="0" w:color="ACD6EA"/>
              <w:right w:val="nil"/>
            </w:tcBorders>
            <w:shd w:val="clear" w:color="auto" w:fill="auto"/>
            <w:noWrap/>
            <w:vAlign w:val="bottom"/>
            <w:hideMark/>
          </w:tcPr>
          <w:p w14:paraId="4456575A"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110</w:t>
            </w:r>
          </w:p>
        </w:tc>
        <w:tc>
          <w:tcPr>
            <w:tcW w:w="656" w:type="dxa"/>
            <w:tcBorders>
              <w:top w:val="nil"/>
              <w:left w:val="nil"/>
              <w:bottom w:val="single" w:sz="4" w:space="0" w:color="ACD6EA"/>
              <w:right w:val="nil"/>
            </w:tcBorders>
            <w:shd w:val="clear" w:color="auto" w:fill="auto"/>
            <w:noWrap/>
            <w:vAlign w:val="bottom"/>
            <w:hideMark/>
          </w:tcPr>
          <w:p w14:paraId="3F61EBD7"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57</w:t>
            </w:r>
          </w:p>
        </w:tc>
        <w:tc>
          <w:tcPr>
            <w:tcW w:w="696" w:type="dxa"/>
            <w:tcBorders>
              <w:top w:val="nil"/>
              <w:left w:val="nil"/>
              <w:bottom w:val="single" w:sz="4" w:space="0" w:color="ACD6EA"/>
              <w:right w:val="nil"/>
            </w:tcBorders>
            <w:shd w:val="clear" w:color="auto" w:fill="auto"/>
            <w:noWrap/>
            <w:vAlign w:val="bottom"/>
            <w:hideMark/>
          </w:tcPr>
          <w:p w14:paraId="2AA17046"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122</w:t>
            </w:r>
          </w:p>
        </w:tc>
        <w:tc>
          <w:tcPr>
            <w:tcW w:w="656" w:type="dxa"/>
            <w:tcBorders>
              <w:top w:val="nil"/>
              <w:left w:val="nil"/>
              <w:bottom w:val="single" w:sz="4" w:space="0" w:color="ACD6EA"/>
              <w:right w:val="nil"/>
            </w:tcBorders>
            <w:shd w:val="clear" w:color="auto" w:fill="auto"/>
            <w:noWrap/>
            <w:vAlign w:val="bottom"/>
            <w:hideMark/>
          </w:tcPr>
          <w:p w14:paraId="0E5CE6C1"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216</w:t>
            </w:r>
          </w:p>
        </w:tc>
        <w:tc>
          <w:tcPr>
            <w:tcW w:w="696" w:type="dxa"/>
            <w:tcBorders>
              <w:top w:val="nil"/>
              <w:left w:val="nil"/>
              <w:bottom w:val="single" w:sz="4" w:space="0" w:color="ACD6EA"/>
              <w:right w:val="nil"/>
            </w:tcBorders>
            <w:shd w:val="clear" w:color="auto" w:fill="auto"/>
            <w:noWrap/>
            <w:vAlign w:val="bottom"/>
            <w:hideMark/>
          </w:tcPr>
          <w:p w14:paraId="1D0D2BDE"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153</w:t>
            </w:r>
          </w:p>
        </w:tc>
        <w:tc>
          <w:tcPr>
            <w:tcW w:w="656" w:type="dxa"/>
            <w:tcBorders>
              <w:top w:val="nil"/>
              <w:left w:val="nil"/>
              <w:bottom w:val="single" w:sz="4" w:space="0" w:color="ACD6EA"/>
              <w:right w:val="nil"/>
            </w:tcBorders>
            <w:shd w:val="clear" w:color="auto" w:fill="auto"/>
            <w:noWrap/>
            <w:vAlign w:val="bottom"/>
            <w:hideMark/>
          </w:tcPr>
          <w:p w14:paraId="1D58AE81"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109</w:t>
            </w:r>
          </w:p>
        </w:tc>
        <w:tc>
          <w:tcPr>
            <w:tcW w:w="596" w:type="dxa"/>
            <w:tcBorders>
              <w:top w:val="nil"/>
              <w:left w:val="nil"/>
              <w:bottom w:val="single" w:sz="4" w:space="0" w:color="ACD6EA"/>
              <w:right w:val="nil"/>
            </w:tcBorders>
            <w:shd w:val="clear" w:color="auto" w:fill="auto"/>
            <w:noWrap/>
            <w:vAlign w:val="bottom"/>
            <w:hideMark/>
          </w:tcPr>
          <w:p w14:paraId="6E2B4FF2"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6</w:t>
            </w:r>
          </w:p>
        </w:tc>
        <w:tc>
          <w:tcPr>
            <w:tcW w:w="596" w:type="dxa"/>
            <w:tcBorders>
              <w:top w:val="nil"/>
              <w:left w:val="nil"/>
              <w:bottom w:val="single" w:sz="4" w:space="0" w:color="ACD6EA"/>
              <w:right w:val="nil"/>
            </w:tcBorders>
            <w:shd w:val="clear" w:color="auto" w:fill="auto"/>
            <w:noWrap/>
            <w:vAlign w:val="bottom"/>
            <w:hideMark/>
          </w:tcPr>
          <w:p w14:paraId="0EA6E2E4"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155</w:t>
            </w:r>
          </w:p>
        </w:tc>
        <w:tc>
          <w:tcPr>
            <w:tcW w:w="696" w:type="dxa"/>
            <w:tcBorders>
              <w:top w:val="nil"/>
              <w:left w:val="nil"/>
              <w:bottom w:val="single" w:sz="4" w:space="0" w:color="ACD6EA"/>
              <w:right w:val="nil"/>
            </w:tcBorders>
            <w:shd w:val="clear" w:color="auto" w:fill="auto"/>
            <w:noWrap/>
            <w:vAlign w:val="bottom"/>
            <w:hideMark/>
          </w:tcPr>
          <w:p w14:paraId="335AEE90" w14:textId="77777777" w:rsidR="007E365E" w:rsidRPr="002800A7" w:rsidRDefault="007E365E" w:rsidP="007D1D77">
            <w:pPr>
              <w:keepNext/>
              <w:tabs>
                <w:tab w:val="clear" w:pos="567"/>
              </w:tabs>
              <w:spacing w:before="0" w:line="240" w:lineRule="auto"/>
              <w:jc w:val="right"/>
              <w:rPr>
                <w:rFonts w:eastAsia="Times New Roman" w:cs="Open Sans Light"/>
                <w:sz w:val="16"/>
                <w:szCs w:val="16"/>
                <w:lang w:eastAsia="en-AU"/>
              </w:rPr>
            </w:pPr>
            <w:r w:rsidRPr="002800A7">
              <w:rPr>
                <w:rFonts w:eastAsia="Times New Roman" w:cs="Open Sans Light"/>
                <w:sz w:val="16"/>
                <w:szCs w:val="16"/>
                <w:lang w:eastAsia="en-AU"/>
              </w:rPr>
              <w:t>930</w:t>
            </w:r>
          </w:p>
        </w:tc>
      </w:tr>
      <w:tr w:rsidR="007E365E" w:rsidRPr="002800A7" w14:paraId="0EA3C73A" w14:textId="77777777" w:rsidTr="007D1D77">
        <w:trPr>
          <w:trHeight w:val="315"/>
        </w:trPr>
        <w:tc>
          <w:tcPr>
            <w:tcW w:w="3156" w:type="dxa"/>
            <w:tcBorders>
              <w:top w:val="nil"/>
              <w:left w:val="nil"/>
              <w:bottom w:val="single" w:sz="4" w:space="0" w:color="ACD6EA"/>
              <w:right w:val="nil"/>
            </w:tcBorders>
            <w:shd w:val="clear" w:color="000000" w:fill="D6E7F0"/>
            <w:noWrap/>
            <w:vAlign w:val="bottom"/>
            <w:hideMark/>
          </w:tcPr>
          <w:p w14:paraId="1A035255" w14:textId="77777777" w:rsidR="007E365E" w:rsidRPr="002800A7"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Total ($m)</w:t>
            </w:r>
          </w:p>
        </w:tc>
        <w:tc>
          <w:tcPr>
            <w:tcW w:w="716" w:type="dxa"/>
            <w:tcBorders>
              <w:top w:val="nil"/>
              <w:left w:val="nil"/>
              <w:bottom w:val="single" w:sz="4" w:space="0" w:color="ACD6EA"/>
              <w:right w:val="nil"/>
            </w:tcBorders>
            <w:shd w:val="clear" w:color="000000" w:fill="D6E7F0"/>
            <w:noWrap/>
            <w:vAlign w:val="bottom"/>
            <w:hideMark/>
          </w:tcPr>
          <w:p w14:paraId="0C7A4AC4"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1,638</w:t>
            </w:r>
          </w:p>
        </w:tc>
        <w:tc>
          <w:tcPr>
            <w:tcW w:w="656" w:type="dxa"/>
            <w:tcBorders>
              <w:top w:val="nil"/>
              <w:left w:val="nil"/>
              <w:bottom w:val="single" w:sz="4" w:space="0" w:color="ACD6EA"/>
              <w:right w:val="nil"/>
            </w:tcBorders>
            <w:shd w:val="clear" w:color="000000" w:fill="D6E7F0"/>
            <w:noWrap/>
            <w:vAlign w:val="bottom"/>
            <w:hideMark/>
          </w:tcPr>
          <w:p w14:paraId="4A930A68"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157</w:t>
            </w:r>
          </w:p>
        </w:tc>
        <w:tc>
          <w:tcPr>
            <w:tcW w:w="696" w:type="dxa"/>
            <w:tcBorders>
              <w:top w:val="nil"/>
              <w:left w:val="nil"/>
              <w:bottom w:val="single" w:sz="4" w:space="0" w:color="ACD6EA"/>
              <w:right w:val="nil"/>
            </w:tcBorders>
            <w:shd w:val="clear" w:color="000000" w:fill="D6E7F0"/>
            <w:noWrap/>
            <w:vAlign w:val="bottom"/>
            <w:hideMark/>
          </w:tcPr>
          <w:p w14:paraId="06032362"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1,009</w:t>
            </w:r>
          </w:p>
        </w:tc>
        <w:tc>
          <w:tcPr>
            <w:tcW w:w="656" w:type="dxa"/>
            <w:tcBorders>
              <w:top w:val="nil"/>
              <w:left w:val="nil"/>
              <w:bottom w:val="single" w:sz="4" w:space="0" w:color="ACD6EA"/>
              <w:right w:val="nil"/>
            </w:tcBorders>
            <w:shd w:val="clear" w:color="000000" w:fill="D6E7F0"/>
            <w:noWrap/>
            <w:vAlign w:val="bottom"/>
            <w:hideMark/>
          </w:tcPr>
          <w:p w14:paraId="417113C9"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723</w:t>
            </w:r>
          </w:p>
        </w:tc>
        <w:tc>
          <w:tcPr>
            <w:tcW w:w="696" w:type="dxa"/>
            <w:tcBorders>
              <w:top w:val="nil"/>
              <w:left w:val="nil"/>
              <w:bottom w:val="single" w:sz="4" w:space="0" w:color="ACD6EA"/>
              <w:right w:val="nil"/>
            </w:tcBorders>
            <w:shd w:val="clear" w:color="000000" w:fill="D6E7F0"/>
            <w:noWrap/>
            <w:vAlign w:val="bottom"/>
            <w:hideMark/>
          </w:tcPr>
          <w:p w14:paraId="2A10CDCD"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1,320</w:t>
            </w:r>
          </w:p>
        </w:tc>
        <w:tc>
          <w:tcPr>
            <w:tcW w:w="656" w:type="dxa"/>
            <w:tcBorders>
              <w:top w:val="nil"/>
              <w:left w:val="nil"/>
              <w:bottom w:val="single" w:sz="4" w:space="0" w:color="ACD6EA"/>
              <w:right w:val="nil"/>
            </w:tcBorders>
            <w:shd w:val="clear" w:color="000000" w:fill="D6E7F0"/>
            <w:noWrap/>
            <w:vAlign w:val="bottom"/>
            <w:hideMark/>
          </w:tcPr>
          <w:p w14:paraId="61B40BC2"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182</w:t>
            </w:r>
          </w:p>
        </w:tc>
        <w:tc>
          <w:tcPr>
            <w:tcW w:w="596" w:type="dxa"/>
            <w:tcBorders>
              <w:top w:val="nil"/>
              <w:left w:val="nil"/>
              <w:bottom w:val="single" w:sz="4" w:space="0" w:color="ACD6EA"/>
              <w:right w:val="nil"/>
            </w:tcBorders>
            <w:shd w:val="clear" w:color="000000" w:fill="D6E7F0"/>
            <w:noWrap/>
            <w:vAlign w:val="bottom"/>
            <w:hideMark/>
          </w:tcPr>
          <w:p w14:paraId="53340CF5"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51</w:t>
            </w:r>
          </w:p>
        </w:tc>
        <w:tc>
          <w:tcPr>
            <w:tcW w:w="596" w:type="dxa"/>
            <w:tcBorders>
              <w:top w:val="nil"/>
              <w:left w:val="nil"/>
              <w:bottom w:val="single" w:sz="4" w:space="0" w:color="ACD6EA"/>
              <w:right w:val="nil"/>
            </w:tcBorders>
            <w:shd w:val="clear" w:color="000000" w:fill="D6E7F0"/>
            <w:noWrap/>
            <w:vAlign w:val="bottom"/>
            <w:hideMark/>
          </w:tcPr>
          <w:p w14:paraId="0EE1FA09"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201</w:t>
            </w:r>
          </w:p>
        </w:tc>
        <w:tc>
          <w:tcPr>
            <w:tcW w:w="696" w:type="dxa"/>
            <w:tcBorders>
              <w:top w:val="nil"/>
              <w:left w:val="nil"/>
              <w:bottom w:val="single" w:sz="4" w:space="0" w:color="ACD6EA"/>
              <w:right w:val="nil"/>
            </w:tcBorders>
            <w:shd w:val="clear" w:color="000000" w:fill="D6E7F0"/>
            <w:noWrap/>
            <w:vAlign w:val="bottom"/>
            <w:hideMark/>
          </w:tcPr>
          <w:p w14:paraId="0E41D562"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5,278</w:t>
            </w:r>
          </w:p>
        </w:tc>
      </w:tr>
      <w:tr w:rsidR="007E365E" w:rsidRPr="002800A7" w14:paraId="74FCEFE3" w14:textId="77777777" w:rsidTr="007D1D77">
        <w:trPr>
          <w:trHeight w:val="315"/>
        </w:trPr>
        <w:tc>
          <w:tcPr>
            <w:tcW w:w="3156" w:type="dxa"/>
            <w:tcBorders>
              <w:top w:val="nil"/>
              <w:left w:val="nil"/>
              <w:bottom w:val="single" w:sz="4" w:space="0" w:color="ADD6EA"/>
              <w:right w:val="nil"/>
            </w:tcBorders>
            <w:shd w:val="clear" w:color="000000" w:fill="D6E7F0"/>
            <w:noWrap/>
            <w:vAlign w:val="bottom"/>
            <w:hideMark/>
          </w:tcPr>
          <w:p w14:paraId="3C1EBF82" w14:textId="77777777" w:rsidR="007E365E" w:rsidRPr="002800A7"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Total ($pc)</w:t>
            </w:r>
          </w:p>
        </w:tc>
        <w:tc>
          <w:tcPr>
            <w:tcW w:w="716" w:type="dxa"/>
            <w:tcBorders>
              <w:top w:val="nil"/>
              <w:left w:val="nil"/>
              <w:bottom w:val="single" w:sz="4" w:space="0" w:color="ADD6EA"/>
              <w:right w:val="nil"/>
            </w:tcBorders>
            <w:shd w:val="clear" w:color="000000" w:fill="D6E7F0"/>
            <w:noWrap/>
            <w:vAlign w:val="bottom"/>
            <w:hideMark/>
          </w:tcPr>
          <w:p w14:paraId="02A5A3FD"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204</w:t>
            </w:r>
          </w:p>
        </w:tc>
        <w:tc>
          <w:tcPr>
            <w:tcW w:w="656" w:type="dxa"/>
            <w:tcBorders>
              <w:top w:val="nil"/>
              <w:left w:val="nil"/>
              <w:bottom w:val="single" w:sz="4" w:space="0" w:color="ADD6EA"/>
              <w:right w:val="nil"/>
            </w:tcBorders>
            <w:shd w:val="clear" w:color="000000" w:fill="D6E7F0"/>
            <w:noWrap/>
            <w:vAlign w:val="bottom"/>
            <w:hideMark/>
          </w:tcPr>
          <w:p w14:paraId="2790D882"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24</w:t>
            </w:r>
          </w:p>
        </w:tc>
        <w:tc>
          <w:tcPr>
            <w:tcW w:w="696" w:type="dxa"/>
            <w:tcBorders>
              <w:top w:val="nil"/>
              <w:left w:val="nil"/>
              <w:bottom w:val="single" w:sz="4" w:space="0" w:color="ADD6EA"/>
              <w:right w:val="nil"/>
            </w:tcBorders>
            <w:shd w:val="clear" w:color="000000" w:fill="D6E7F0"/>
            <w:noWrap/>
            <w:vAlign w:val="bottom"/>
            <w:hideMark/>
          </w:tcPr>
          <w:p w14:paraId="7ACEC486"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200</w:t>
            </w:r>
          </w:p>
        </w:tc>
        <w:tc>
          <w:tcPr>
            <w:tcW w:w="656" w:type="dxa"/>
            <w:tcBorders>
              <w:top w:val="nil"/>
              <w:left w:val="nil"/>
              <w:bottom w:val="single" w:sz="4" w:space="0" w:color="ADD6EA"/>
              <w:right w:val="nil"/>
            </w:tcBorders>
            <w:shd w:val="clear" w:color="000000" w:fill="D6E7F0"/>
            <w:noWrap/>
            <w:vAlign w:val="bottom"/>
            <w:hideMark/>
          </w:tcPr>
          <w:p w14:paraId="69563C97"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277</w:t>
            </w:r>
          </w:p>
        </w:tc>
        <w:tc>
          <w:tcPr>
            <w:tcW w:w="696" w:type="dxa"/>
            <w:tcBorders>
              <w:top w:val="nil"/>
              <w:left w:val="nil"/>
              <w:bottom w:val="single" w:sz="4" w:space="0" w:color="ADD6EA"/>
              <w:right w:val="nil"/>
            </w:tcBorders>
            <w:shd w:val="clear" w:color="000000" w:fill="D6E7F0"/>
            <w:noWrap/>
            <w:vAlign w:val="bottom"/>
            <w:hideMark/>
          </w:tcPr>
          <w:p w14:paraId="2C5F6D0F"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757</w:t>
            </w:r>
          </w:p>
        </w:tc>
        <w:tc>
          <w:tcPr>
            <w:tcW w:w="656" w:type="dxa"/>
            <w:tcBorders>
              <w:top w:val="nil"/>
              <w:left w:val="nil"/>
              <w:bottom w:val="single" w:sz="4" w:space="0" w:color="ADD6EA"/>
              <w:right w:val="nil"/>
            </w:tcBorders>
            <w:shd w:val="clear" w:color="000000" w:fill="D6E7F0"/>
            <w:noWrap/>
            <w:vAlign w:val="bottom"/>
            <w:hideMark/>
          </w:tcPr>
          <w:p w14:paraId="63E7AA1F"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341</w:t>
            </w:r>
          </w:p>
        </w:tc>
        <w:tc>
          <w:tcPr>
            <w:tcW w:w="596" w:type="dxa"/>
            <w:tcBorders>
              <w:top w:val="nil"/>
              <w:left w:val="nil"/>
              <w:bottom w:val="single" w:sz="4" w:space="0" w:color="ADD6EA"/>
              <w:right w:val="nil"/>
            </w:tcBorders>
            <w:shd w:val="clear" w:color="000000" w:fill="D6E7F0"/>
            <w:noWrap/>
            <w:vAlign w:val="bottom"/>
            <w:hideMark/>
          </w:tcPr>
          <w:p w14:paraId="497640A7"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120</w:t>
            </w:r>
          </w:p>
        </w:tc>
        <w:tc>
          <w:tcPr>
            <w:tcW w:w="596" w:type="dxa"/>
            <w:tcBorders>
              <w:top w:val="nil"/>
              <w:left w:val="nil"/>
              <w:bottom w:val="single" w:sz="4" w:space="0" w:color="ADD6EA"/>
              <w:right w:val="nil"/>
            </w:tcBorders>
            <w:shd w:val="clear" w:color="000000" w:fill="D6E7F0"/>
            <w:noWrap/>
            <w:vAlign w:val="bottom"/>
            <w:hideMark/>
          </w:tcPr>
          <w:p w14:paraId="589B14E4"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818</w:t>
            </w:r>
          </w:p>
        </w:tc>
        <w:tc>
          <w:tcPr>
            <w:tcW w:w="696" w:type="dxa"/>
            <w:tcBorders>
              <w:top w:val="nil"/>
              <w:left w:val="nil"/>
              <w:bottom w:val="single" w:sz="4" w:space="0" w:color="ADD6EA"/>
              <w:right w:val="nil"/>
            </w:tcBorders>
            <w:shd w:val="clear" w:color="000000" w:fill="D6E7F0"/>
            <w:noWrap/>
            <w:vAlign w:val="bottom"/>
            <w:hideMark/>
          </w:tcPr>
          <w:p w14:paraId="507D60F1" w14:textId="77777777" w:rsidR="007E365E" w:rsidRPr="002800A7"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2800A7">
              <w:rPr>
                <w:rFonts w:ascii="Open Sans SemiBold" w:eastAsia="Times New Roman" w:hAnsi="Open Sans SemiBold" w:cs="Open Sans SemiBold"/>
                <w:sz w:val="16"/>
                <w:szCs w:val="16"/>
                <w:lang w:eastAsia="en-AU"/>
              </w:rPr>
              <w:t>210</w:t>
            </w:r>
          </w:p>
        </w:tc>
      </w:tr>
    </w:tbl>
    <w:p w14:paraId="268BDEB6" w14:textId="77777777" w:rsidR="007E365E" w:rsidRPr="00785668" w:rsidRDefault="007E365E" w:rsidP="007E365E">
      <w:pPr>
        <w:pStyle w:val="CGCTablenote"/>
        <w:keepNext/>
      </w:pPr>
      <w:r w:rsidRPr="00785668">
        <w:t>Note:</w:t>
      </w:r>
      <w:r>
        <w:tab/>
      </w:r>
      <w:r w:rsidRPr="00785668">
        <w:t>Table shows major payments only. Commonwealth Own Purpose Expenses (COPEs) are not included. Payments that the Commission treats as ‘no impact’ are included in the table.</w:t>
      </w:r>
    </w:p>
    <w:p w14:paraId="5EEBC0B6" w14:textId="77777777" w:rsidR="007E365E" w:rsidRPr="00785668" w:rsidRDefault="007E365E" w:rsidP="007E365E">
      <w:pPr>
        <w:pStyle w:val="CGCTablenote"/>
        <w:keepNext/>
      </w:pPr>
      <w:r w:rsidRPr="00785668">
        <w:t>Source:</w:t>
      </w:r>
      <w:r w:rsidRPr="00785668">
        <w:tab/>
        <w:t xml:space="preserve">Commonwealth Final Budget Outcome, </w:t>
      </w:r>
      <w:r>
        <w:t>2018-19</w:t>
      </w:r>
      <w:r w:rsidRPr="00785668">
        <w:t>.</w:t>
      </w:r>
    </w:p>
    <w:p w14:paraId="154CE2BB" w14:textId="77777777" w:rsidR="007E365E" w:rsidRPr="00785668" w:rsidRDefault="007E365E" w:rsidP="007E365E">
      <w:pPr>
        <w:pStyle w:val="Heading3"/>
      </w:pPr>
      <w:bookmarkStart w:id="389" w:name="_Toc24569252"/>
      <w:bookmarkStart w:id="390" w:name="_Toc24468510"/>
      <w:r w:rsidRPr="00785668">
        <w:t xml:space="preserve">Category </w:t>
      </w:r>
      <w:r>
        <w:t>s</w:t>
      </w:r>
      <w:r w:rsidRPr="00785668">
        <w:t>tructure</w:t>
      </w:r>
      <w:bookmarkEnd w:id="389"/>
      <w:bookmarkEnd w:id="390"/>
    </w:p>
    <w:p w14:paraId="41A2E6E4" w14:textId="1704994D" w:rsidR="007E365E" w:rsidRPr="00785668" w:rsidRDefault="007E365E" w:rsidP="007E365E">
      <w:pPr>
        <w:pStyle w:val="CGCParaNumber"/>
      </w:pPr>
      <w:r w:rsidRPr="00785668">
        <w:t xml:space="preserve">The assessment of the Investment category is undertaken in 14 components. </w:t>
      </w:r>
      <w:r w:rsidRPr="00785668">
        <w:fldChar w:fldCharType="begin"/>
      </w:r>
      <w:r w:rsidRPr="00785668">
        <w:instrText xml:space="preserve"> REF _Ref11221771 \h </w:instrText>
      </w:r>
      <w:r>
        <w:instrText xml:space="preserve"> \* MERGEFORMAT </w:instrText>
      </w:r>
      <w:r w:rsidRPr="00785668">
        <w:fldChar w:fldCharType="separate"/>
      </w:r>
      <w:r w:rsidR="007F721A" w:rsidRPr="00785668">
        <w:t xml:space="preserve">Table </w:t>
      </w:r>
      <w:r w:rsidR="007F721A">
        <w:rPr>
          <w:noProof/>
        </w:rPr>
        <w:t>24-4</w:t>
      </w:r>
      <w:r w:rsidRPr="00785668">
        <w:fldChar w:fldCharType="end"/>
      </w:r>
      <w:r w:rsidRPr="00785668">
        <w:t xml:space="preserve"> shows the category’s assessment structure and the size of each component. For each component, the disabilities are the relative size and the change in size of the relevant user population, the exact composition of which varies for every component.</w:t>
      </w:r>
      <w:r w:rsidRPr="00785668">
        <w:rPr>
          <w:rStyle w:val="FootnoteReference"/>
        </w:rPr>
        <w:footnoteReference w:id="94"/>
      </w:r>
      <w:r w:rsidRPr="00785668">
        <w:t xml:space="preserve"> </w:t>
      </w:r>
    </w:p>
    <w:p w14:paraId="21809332" w14:textId="77777777" w:rsidR="007E365E" w:rsidRPr="00785668" w:rsidRDefault="007E365E" w:rsidP="007E365E">
      <w:pPr>
        <w:pStyle w:val="Heading4"/>
      </w:pPr>
      <w:r w:rsidRPr="00785668">
        <w:t>Category and component investment</w:t>
      </w:r>
    </w:p>
    <w:p w14:paraId="5C9B9AE3" w14:textId="77777777" w:rsidR="007E365E" w:rsidRPr="00785668" w:rsidRDefault="007E365E" w:rsidP="007E365E">
      <w:pPr>
        <w:pStyle w:val="CGCParaNumber"/>
      </w:pPr>
      <w:r w:rsidRPr="00785668">
        <w:t xml:space="preserve">The main data sources for calculating category and component investment are </w:t>
      </w:r>
      <w:r w:rsidRPr="00B9370A">
        <w:t xml:space="preserve">Australian Bureau of Statistics </w:t>
      </w:r>
      <w:r>
        <w:t>(</w:t>
      </w:r>
      <w:r w:rsidRPr="00976585">
        <w:t>ABS</w:t>
      </w:r>
      <w:r>
        <w:t>)</w:t>
      </w:r>
      <w:r w:rsidRPr="00976585">
        <w:t xml:space="preserve"> </w:t>
      </w:r>
      <w:r w:rsidRPr="00785668">
        <w:t>Government Finance Statistics (GFS) and State budget data.</w:t>
      </w:r>
      <w:r w:rsidRPr="00785668">
        <w:rPr>
          <w:rStyle w:val="FootnoteReference"/>
        </w:rPr>
        <w:footnoteReference w:id="95"/>
      </w:r>
      <w:r w:rsidRPr="00785668">
        <w:t xml:space="preserve"> </w:t>
      </w:r>
    </w:p>
    <w:p w14:paraId="5891D95E" w14:textId="77777777" w:rsidR="007E365E" w:rsidRPr="00785668" w:rsidRDefault="007E365E" w:rsidP="007E365E"/>
    <w:p w14:paraId="6E4CE25B" w14:textId="47361876" w:rsidR="007E365E" w:rsidRDefault="007E365E" w:rsidP="007E365E">
      <w:pPr>
        <w:pStyle w:val="Caption"/>
      </w:pPr>
      <w:bookmarkStart w:id="391" w:name="_Ref11221771"/>
      <w:r w:rsidRPr="00785668">
        <w:lastRenderedPageBreak/>
        <w:t xml:space="preserve">Table </w:t>
      </w:r>
      <w:r>
        <w:t>24-</w:t>
      </w:r>
      <w:fldSimple w:instr=" SEQ Table \* ARABIC ">
        <w:r w:rsidR="007F721A">
          <w:rPr>
            <w:noProof/>
          </w:rPr>
          <w:t>4</w:t>
        </w:r>
      </w:fldSimple>
      <w:bookmarkEnd w:id="391"/>
      <w:r w:rsidRPr="00785668">
        <w:tab/>
      </w:r>
      <w:r>
        <w:t>Category structure, Investment, 2018-19</w:t>
      </w:r>
    </w:p>
    <w:tbl>
      <w:tblPr>
        <w:tblW w:w="8984" w:type="dxa"/>
        <w:tblCellMar>
          <w:left w:w="0" w:type="dxa"/>
          <w:right w:w="28" w:type="dxa"/>
        </w:tblCellMar>
        <w:tblLook w:val="04A0" w:firstRow="1" w:lastRow="0" w:firstColumn="1" w:lastColumn="0" w:noHBand="0" w:noVBand="1"/>
      </w:tblPr>
      <w:tblGrid>
        <w:gridCol w:w="5796"/>
        <w:gridCol w:w="1136"/>
        <w:gridCol w:w="2076"/>
      </w:tblGrid>
      <w:tr w:rsidR="007E365E" w:rsidRPr="001900A8" w14:paraId="693988AD" w14:textId="77777777" w:rsidTr="007D1D77">
        <w:trPr>
          <w:trHeight w:val="375"/>
        </w:trPr>
        <w:tc>
          <w:tcPr>
            <w:tcW w:w="5788" w:type="dxa"/>
            <w:tcBorders>
              <w:top w:val="nil"/>
              <w:left w:val="nil"/>
              <w:bottom w:val="nil"/>
              <w:right w:val="nil"/>
            </w:tcBorders>
            <w:shd w:val="clear" w:color="000000" w:fill="006991"/>
            <w:noWrap/>
            <w:vAlign w:val="center"/>
            <w:hideMark/>
          </w:tcPr>
          <w:p w14:paraId="1694BCE4" w14:textId="77777777" w:rsidR="007E365E" w:rsidRPr="001900A8" w:rsidRDefault="007E365E" w:rsidP="007D1D77">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4902E4">
              <w:rPr>
                <w:rFonts w:ascii="Open Sans SemiBold" w:eastAsia="Times New Roman" w:hAnsi="Open Sans SemiBold" w:cs="Open Sans SemiBold"/>
                <w:color w:val="FFFFFF"/>
                <w:sz w:val="16"/>
                <w:szCs w:val="16"/>
                <w:lang w:eastAsia="en-AU"/>
              </w:rPr>
              <w:t>Component</w:t>
            </w:r>
          </w:p>
        </w:tc>
        <w:tc>
          <w:tcPr>
            <w:tcW w:w="1128" w:type="dxa"/>
            <w:tcBorders>
              <w:top w:val="nil"/>
              <w:left w:val="nil"/>
              <w:bottom w:val="nil"/>
              <w:right w:val="nil"/>
            </w:tcBorders>
            <w:shd w:val="clear" w:color="000000" w:fill="006991"/>
            <w:noWrap/>
            <w:vAlign w:val="center"/>
            <w:hideMark/>
          </w:tcPr>
          <w:p w14:paraId="631F25CE" w14:textId="77777777" w:rsidR="007E365E" w:rsidRPr="001900A8"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902E4">
              <w:rPr>
                <w:rFonts w:ascii="Open Sans SemiBold" w:eastAsia="Times New Roman" w:hAnsi="Open Sans SemiBold" w:cs="Open Sans SemiBold"/>
                <w:color w:val="FFFFFF"/>
                <w:sz w:val="16"/>
                <w:szCs w:val="16"/>
                <w:lang w:eastAsia="en-AU"/>
              </w:rPr>
              <w:t>Investment</w:t>
            </w:r>
          </w:p>
        </w:tc>
        <w:tc>
          <w:tcPr>
            <w:tcW w:w="2068" w:type="dxa"/>
            <w:tcBorders>
              <w:top w:val="nil"/>
              <w:left w:val="nil"/>
              <w:bottom w:val="nil"/>
              <w:right w:val="nil"/>
            </w:tcBorders>
            <w:shd w:val="clear" w:color="000000" w:fill="006991"/>
            <w:noWrap/>
            <w:vAlign w:val="center"/>
            <w:hideMark/>
          </w:tcPr>
          <w:p w14:paraId="3CFA4BC5" w14:textId="77777777" w:rsidR="007E365E" w:rsidRPr="001900A8"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902E4">
              <w:rPr>
                <w:rFonts w:ascii="Open Sans SemiBold" w:eastAsia="Times New Roman" w:hAnsi="Open Sans SemiBold" w:cs="Open Sans SemiBold"/>
                <w:color w:val="FFFFFF"/>
                <w:sz w:val="16"/>
                <w:szCs w:val="16"/>
                <w:lang w:eastAsia="en-AU"/>
              </w:rPr>
              <w:t>Asset stock</w:t>
            </w:r>
          </w:p>
        </w:tc>
      </w:tr>
      <w:tr w:rsidR="007E365E" w:rsidRPr="001900A8" w14:paraId="75E68098" w14:textId="77777777" w:rsidTr="007D1D77">
        <w:trPr>
          <w:trHeight w:val="255"/>
        </w:trPr>
        <w:tc>
          <w:tcPr>
            <w:tcW w:w="5788" w:type="dxa"/>
            <w:tcBorders>
              <w:top w:val="nil"/>
              <w:left w:val="nil"/>
              <w:bottom w:val="single" w:sz="4" w:space="0" w:color="ADD6EA"/>
              <w:right w:val="nil"/>
            </w:tcBorders>
            <w:shd w:val="clear" w:color="000000" w:fill="B6D5E4"/>
            <w:noWrap/>
            <w:vAlign w:val="bottom"/>
            <w:hideMark/>
          </w:tcPr>
          <w:p w14:paraId="5F3D32F5" w14:textId="77777777" w:rsidR="007E365E" w:rsidRPr="001900A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902E4">
              <w:rPr>
                <w:rFonts w:ascii="Open Sans SemiBold" w:eastAsia="Times New Roman" w:hAnsi="Open Sans SemiBold" w:cs="Open Sans SemiBold"/>
                <w:sz w:val="16"/>
                <w:szCs w:val="16"/>
                <w:lang w:eastAsia="en-AU"/>
              </w:rPr>
              <w:t> </w:t>
            </w:r>
          </w:p>
        </w:tc>
        <w:tc>
          <w:tcPr>
            <w:tcW w:w="1128" w:type="dxa"/>
            <w:tcBorders>
              <w:top w:val="nil"/>
              <w:left w:val="nil"/>
              <w:bottom w:val="single" w:sz="4" w:space="0" w:color="ADD6EA"/>
              <w:right w:val="nil"/>
            </w:tcBorders>
            <w:shd w:val="clear" w:color="000000" w:fill="B6D5E4"/>
            <w:noWrap/>
            <w:vAlign w:val="bottom"/>
            <w:hideMark/>
          </w:tcPr>
          <w:p w14:paraId="49D8C03D" w14:textId="77777777" w:rsidR="007E365E" w:rsidRPr="001900A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902E4">
              <w:rPr>
                <w:rFonts w:ascii="Open Sans SemiBold" w:eastAsia="Times New Roman" w:hAnsi="Open Sans SemiBold" w:cs="Open Sans SemiBold"/>
                <w:sz w:val="16"/>
                <w:szCs w:val="16"/>
                <w:lang w:eastAsia="en-AU"/>
              </w:rPr>
              <w:t>$b</w:t>
            </w:r>
          </w:p>
        </w:tc>
        <w:tc>
          <w:tcPr>
            <w:tcW w:w="2068" w:type="dxa"/>
            <w:tcBorders>
              <w:top w:val="nil"/>
              <w:left w:val="nil"/>
              <w:bottom w:val="single" w:sz="4" w:space="0" w:color="ADD6EA"/>
              <w:right w:val="nil"/>
            </w:tcBorders>
            <w:shd w:val="clear" w:color="000000" w:fill="B6D5E4"/>
            <w:noWrap/>
            <w:vAlign w:val="bottom"/>
            <w:hideMark/>
          </w:tcPr>
          <w:p w14:paraId="1B53B8D5" w14:textId="77777777" w:rsidR="007E365E" w:rsidRPr="001900A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902E4">
              <w:rPr>
                <w:rFonts w:ascii="Open Sans SemiBold" w:eastAsia="Times New Roman" w:hAnsi="Open Sans SemiBold" w:cs="Open Sans SemiBold"/>
                <w:sz w:val="16"/>
                <w:szCs w:val="16"/>
                <w:lang w:eastAsia="en-AU"/>
              </w:rPr>
              <w:t>$b</w:t>
            </w:r>
          </w:p>
        </w:tc>
      </w:tr>
      <w:tr w:rsidR="007E365E" w:rsidRPr="001900A8" w14:paraId="49DAD276" w14:textId="77777777" w:rsidTr="007D1D77">
        <w:trPr>
          <w:trHeight w:val="315"/>
        </w:trPr>
        <w:tc>
          <w:tcPr>
            <w:tcW w:w="5788" w:type="dxa"/>
            <w:tcBorders>
              <w:top w:val="nil"/>
              <w:left w:val="nil"/>
              <w:bottom w:val="single" w:sz="4" w:space="0" w:color="ADD6EA"/>
              <w:right w:val="nil"/>
            </w:tcBorders>
            <w:shd w:val="clear" w:color="auto" w:fill="auto"/>
            <w:vAlign w:val="bottom"/>
            <w:hideMark/>
          </w:tcPr>
          <w:p w14:paraId="26E0306C" w14:textId="77777777" w:rsidR="007E365E" w:rsidRPr="001900A8" w:rsidRDefault="007E365E" w:rsidP="007D1D77">
            <w:pPr>
              <w:keepNext/>
              <w:tabs>
                <w:tab w:val="clear" w:pos="567"/>
              </w:tabs>
              <w:spacing w:before="0" w:line="240" w:lineRule="auto"/>
              <w:rPr>
                <w:rFonts w:eastAsia="Times New Roman" w:cs="Open Sans Light"/>
                <w:sz w:val="16"/>
                <w:szCs w:val="16"/>
                <w:lang w:eastAsia="en-AU"/>
              </w:rPr>
            </w:pPr>
            <w:r w:rsidRPr="004902E4">
              <w:rPr>
                <w:rFonts w:eastAsia="Times New Roman" w:cs="Open Sans Light"/>
                <w:sz w:val="16"/>
                <w:szCs w:val="16"/>
                <w:lang w:eastAsia="en-AU"/>
              </w:rPr>
              <w:t>Schools</w:t>
            </w:r>
          </w:p>
        </w:tc>
        <w:tc>
          <w:tcPr>
            <w:tcW w:w="1128" w:type="dxa"/>
            <w:tcBorders>
              <w:top w:val="nil"/>
              <w:left w:val="nil"/>
              <w:bottom w:val="single" w:sz="4" w:space="0" w:color="ADD6EA"/>
              <w:right w:val="nil"/>
            </w:tcBorders>
            <w:shd w:val="clear" w:color="auto" w:fill="auto"/>
            <w:vAlign w:val="bottom"/>
            <w:hideMark/>
          </w:tcPr>
          <w:p w14:paraId="01AE539D"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3.1</w:t>
            </w:r>
          </w:p>
        </w:tc>
        <w:tc>
          <w:tcPr>
            <w:tcW w:w="2068" w:type="dxa"/>
            <w:tcBorders>
              <w:top w:val="nil"/>
              <w:left w:val="nil"/>
              <w:bottom w:val="single" w:sz="4" w:space="0" w:color="ADD6EA"/>
              <w:right w:val="nil"/>
            </w:tcBorders>
            <w:shd w:val="clear" w:color="auto" w:fill="auto"/>
            <w:vAlign w:val="bottom"/>
            <w:hideMark/>
          </w:tcPr>
          <w:p w14:paraId="17CA603D"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64.7</w:t>
            </w:r>
          </w:p>
        </w:tc>
      </w:tr>
      <w:tr w:rsidR="007E365E" w:rsidRPr="001900A8" w14:paraId="331DEBDD" w14:textId="77777777" w:rsidTr="007D1D77">
        <w:trPr>
          <w:trHeight w:val="315"/>
        </w:trPr>
        <w:tc>
          <w:tcPr>
            <w:tcW w:w="5788" w:type="dxa"/>
            <w:tcBorders>
              <w:top w:val="nil"/>
              <w:left w:val="nil"/>
              <w:bottom w:val="single" w:sz="4" w:space="0" w:color="ADD6EA"/>
              <w:right w:val="nil"/>
            </w:tcBorders>
            <w:shd w:val="clear" w:color="auto" w:fill="auto"/>
            <w:vAlign w:val="bottom"/>
            <w:hideMark/>
          </w:tcPr>
          <w:p w14:paraId="6AC8E297" w14:textId="77777777" w:rsidR="007E365E" w:rsidRPr="001900A8" w:rsidRDefault="007E365E" w:rsidP="007D1D77">
            <w:pPr>
              <w:keepNext/>
              <w:tabs>
                <w:tab w:val="clear" w:pos="567"/>
              </w:tabs>
              <w:spacing w:before="0" w:line="240" w:lineRule="auto"/>
              <w:rPr>
                <w:rFonts w:eastAsia="Times New Roman" w:cs="Open Sans Light"/>
                <w:sz w:val="16"/>
                <w:szCs w:val="16"/>
                <w:lang w:eastAsia="en-AU"/>
              </w:rPr>
            </w:pPr>
            <w:r w:rsidRPr="004902E4">
              <w:rPr>
                <w:rFonts w:eastAsia="Times New Roman" w:cs="Open Sans Light"/>
                <w:sz w:val="16"/>
                <w:szCs w:val="16"/>
                <w:lang w:eastAsia="en-AU"/>
              </w:rPr>
              <w:t>Post-secondary education</w:t>
            </w:r>
          </w:p>
        </w:tc>
        <w:tc>
          <w:tcPr>
            <w:tcW w:w="1128" w:type="dxa"/>
            <w:tcBorders>
              <w:top w:val="nil"/>
              <w:left w:val="nil"/>
              <w:bottom w:val="single" w:sz="4" w:space="0" w:color="ADD6EA"/>
              <w:right w:val="nil"/>
            </w:tcBorders>
            <w:shd w:val="clear" w:color="auto" w:fill="auto"/>
            <w:vAlign w:val="bottom"/>
            <w:hideMark/>
          </w:tcPr>
          <w:p w14:paraId="37A9A002"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0.4</w:t>
            </w:r>
          </w:p>
        </w:tc>
        <w:tc>
          <w:tcPr>
            <w:tcW w:w="2068" w:type="dxa"/>
            <w:tcBorders>
              <w:top w:val="nil"/>
              <w:left w:val="nil"/>
              <w:bottom w:val="single" w:sz="4" w:space="0" w:color="ADD6EA"/>
              <w:right w:val="nil"/>
            </w:tcBorders>
            <w:shd w:val="clear" w:color="auto" w:fill="auto"/>
            <w:vAlign w:val="bottom"/>
            <w:hideMark/>
          </w:tcPr>
          <w:p w14:paraId="016C4EF6"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7.0</w:t>
            </w:r>
          </w:p>
        </w:tc>
      </w:tr>
      <w:tr w:rsidR="007E365E" w:rsidRPr="001900A8" w14:paraId="45EF8905" w14:textId="77777777" w:rsidTr="007D1D77">
        <w:trPr>
          <w:trHeight w:val="315"/>
        </w:trPr>
        <w:tc>
          <w:tcPr>
            <w:tcW w:w="5788" w:type="dxa"/>
            <w:tcBorders>
              <w:top w:val="nil"/>
              <w:left w:val="nil"/>
              <w:bottom w:val="single" w:sz="4" w:space="0" w:color="ADD6EA"/>
              <w:right w:val="nil"/>
            </w:tcBorders>
            <w:shd w:val="clear" w:color="auto" w:fill="auto"/>
            <w:vAlign w:val="bottom"/>
            <w:hideMark/>
          </w:tcPr>
          <w:p w14:paraId="1DEE557B" w14:textId="77777777" w:rsidR="007E365E" w:rsidRPr="001900A8" w:rsidRDefault="007E365E" w:rsidP="007D1D77">
            <w:pPr>
              <w:keepNext/>
              <w:tabs>
                <w:tab w:val="clear" w:pos="567"/>
              </w:tabs>
              <w:spacing w:before="0" w:line="240" w:lineRule="auto"/>
              <w:rPr>
                <w:rFonts w:eastAsia="Times New Roman" w:cs="Open Sans Light"/>
                <w:sz w:val="16"/>
                <w:szCs w:val="16"/>
                <w:lang w:eastAsia="en-AU"/>
              </w:rPr>
            </w:pPr>
            <w:r w:rsidRPr="004902E4">
              <w:rPr>
                <w:rFonts w:eastAsia="Times New Roman" w:cs="Open Sans Light"/>
                <w:sz w:val="16"/>
                <w:szCs w:val="16"/>
                <w:lang w:eastAsia="en-AU"/>
              </w:rPr>
              <w:t>Health</w:t>
            </w:r>
          </w:p>
        </w:tc>
        <w:tc>
          <w:tcPr>
            <w:tcW w:w="1128" w:type="dxa"/>
            <w:tcBorders>
              <w:top w:val="nil"/>
              <w:left w:val="nil"/>
              <w:bottom w:val="single" w:sz="4" w:space="0" w:color="ADD6EA"/>
              <w:right w:val="nil"/>
            </w:tcBorders>
            <w:shd w:val="clear" w:color="auto" w:fill="auto"/>
            <w:vAlign w:val="bottom"/>
            <w:hideMark/>
          </w:tcPr>
          <w:p w14:paraId="5B5206A4"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4.1</w:t>
            </w:r>
          </w:p>
        </w:tc>
        <w:tc>
          <w:tcPr>
            <w:tcW w:w="2068" w:type="dxa"/>
            <w:tcBorders>
              <w:top w:val="nil"/>
              <w:left w:val="nil"/>
              <w:bottom w:val="single" w:sz="4" w:space="0" w:color="ADD6EA"/>
              <w:right w:val="nil"/>
            </w:tcBorders>
            <w:shd w:val="clear" w:color="auto" w:fill="auto"/>
            <w:vAlign w:val="bottom"/>
            <w:hideMark/>
          </w:tcPr>
          <w:p w14:paraId="74D5B78D"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63.2</w:t>
            </w:r>
          </w:p>
        </w:tc>
      </w:tr>
      <w:tr w:rsidR="007E365E" w:rsidRPr="001900A8" w14:paraId="6848FA1D" w14:textId="77777777" w:rsidTr="007D1D77">
        <w:trPr>
          <w:trHeight w:val="315"/>
        </w:trPr>
        <w:tc>
          <w:tcPr>
            <w:tcW w:w="5788" w:type="dxa"/>
            <w:tcBorders>
              <w:top w:val="nil"/>
              <w:left w:val="nil"/>
              <w:bottom w:val="single" w:sz="4" w:space="0" w:color="ADD6EA"/>
              <w:right w:val="nil"/>
            </w:tcBorders>
            <w:shd w:val="clear" w:color="auto" w:fill="auto"/>
            <w:vAlign w:val="bottom"/>
            <w:hideMark/>
          </w:tcPr>
          <w:p w14:paraId="116854C5" w14:textId="77777777" w:rsidR="007E365E" w:rsidRPr="001900A8" w:rsidRDefault="007E365E" w:rsidP="007D1D77">
            <w:pPr>
              <w:keepNext/>
              <w:tabs>
                <w:tab w:val="clear" w:pos="567"/>
              </w:tabs>
              <w:spacing w:before="0" w:line="240" w:lineRule="auto"/>
              <w:rPr>
                <w:rFonts w:eastAsia="Times New Roman" w:cs="Open Sans Light"/>
                <w:sz w:val="16"/>
                <w:szCs w:val="16"/>
                <w:lang w:eastAsia="en-AU"/>
              </w:rPr>
            </w:pPr>
            <w:r w:rsidRPr="004902E4">
              <w:rPr>
                <w:rFonts w:eastAsia="Times New Roman" w:cs="Open Sans Light"/>
                <w:sz w:val="16"/>
                <w:szCs w:val="16"/>
                <w:lang w:eastAsia="en-AU"/>
              </w:rPr>
              <w:t>Housing</w:t>
            </w:r>
          </w:p>
        </w:tc>
        <w:tc>
          <w:tcPr>
            <w:tcW w:w="1128" w:type="dxa"/>
            <w:tcBorders>
              <w:top w:val="nil"/>
              <w:left w:val="nil"/>
              <w:bottom w:val="single" w:sz="4" w:space="0" w:color="ADD6EA"/>
              <w:right w:val="nil"/>
            </w:tcBorders>
            <w:shd w:val="clear" w:color="auto" w:fill="auto"/>
            <w:vAlign w:val="bottom"/>
            <w:hideMark/>
          </w:tcPr>
          <w:p w14:paraId="6A88B5C6"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0.5</w:t>
            </w:r>
          </w:p>
        </w:tc>
        <w:tc>
          <w:tcPr>
            <w:tcW w:w="2068" w:type="dxa"/>
            <w:tcBorders>
              <w:top w:val="nil"/>
              <w:left w:val="nil"/>
              <w:bottom w:val="single" w:sz="4" w:space="0" w:color="ADD6EA"/>
              <w:right w:val="nil"/>
            </w:tcBorders>
            <w:shd w:val="clear" w:color="auto" w:fill="auto"/>
            <w:vAlign w:val="bottom"/>
            <w:hideMark/>
          </w:tcPr>
          <w:p w14:paraId="19B24D37"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57.6</w:t>
            </w:r>
          </w:p>
        </w:tc>
      </w:tr>
      <w:tr w:rsidR="007E365E" w:rsidRPr="001900A8" w14:paraId="04A09F57" w14:textId="77777777" w:rsidTr="007D1D77">
        <w:trPr>
          <w:trHeight w:val="315"/>
        </w:trPr>
        <w:tc>
          <w:tcPr>
            <w:tcW w:w="5788" w:type="dxa"/>
            <w:tcBorders>
              <w:top w:val="nil"/>
              <w:left w:val="nil"/>
              <w:bottom w:val="single" w:sz="4" w:space="0" w:color="ADD6EA"/>
              <w:right w:val="nil"/>
            </w:tcBorders>
            <w:shd w:val="clear" w:color="auto" w:fill="auto"/>
            <w:vAlign w:val="bottom"/>
            <w:hideMark/>
          </w:tcPr>
          <w:p w14:paraId="52B02125" w14:textId="77777777" w:rsidR="007E365E" w:rsidRPr="001900A8" w:rsidRDefault="007E365E" w:rsidP="007D1D77">
            <w:pPr>
              <w:keepNext/>
              <w:tabs>
                <w:tab w:val="clear" w:pos="567"/>
              </w:tabs>
              <w:spacing w:before="0" w:line="240" w:lineRule="auto"/>
              <w:rPr>
                <w:rFonts w:eastAsia="Times New Roman" w:cs="Open Sans Light"/>
                <w:sz w:val="16"/>
                <w:szCs w:val="16"/>
                <w:lang w:eastAsia="en-AU"/>
              </w:rPr>
            </w:pPr>
            <w:r w:rsidRPr="004902E4">
              <w:rPr>
                <w:rFonts w:eastAsia="Times New Roman" w:cs="Open Sans Light"/>
                <w:sz w:val="16"/>
                <w:szCs w:val="16"/>
                <w:lang w:eastAsia="en-AU"/>
              </w:rPr>
              <w:t>Welfare</w:t>
            </w:r>
          </w:p>
        </w:tc>
        <w:tc>
          <w:tcPr>
            <w:tcW w:w="1128" w:type="dxa"/>
            <w:tcBorders>
              <w:top w:val="nil"/>
              <w:left w:val="nil"/>
              <w:bottom w:val="single" w:sz="4" w:space="0" w:color="ADD6EA"/>
              <w:right w:val="nil"/>
            </w:tcBorders>
            <w:shd w:val="clear" w:color="auto" w:fill="auto"/>
            <w:vAlign w:val="bottom"/>
            <w:hideMark/>
          </w:tcPr>
          <w:p w14:paraId="49F476E3"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0.2</w:t>
            </w:r>
          </w:p>
        </w:tc>
        <w:tc>
          <w:tcPr>
            <w:tcW w:w="2068" w:type="dxa"/>
            <w:tcBorders>
              <w:top w:val="nil"/>
              <w:left w:val="nil"/>
              <w:bottom w:val="single" w:sz="4" w:space="0" w:color="ADD6EA"/>
              <w:right w:val="nil"/>
            </w:tcBorders>
            <w:shd w:val="clear" w:color="auto" w:fill="auto"/>
            <w:vAlign w:val="bottom"/>
            <w:hideMark/>
          </w:tcPr>
          <w:p w14:paraId="4281B243"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2.6</w:t>
            </w:r>
          </w:p>
        </w:tc>
      </w:tr>
      <w:tr w:rsidR="007E365E" w:rsidRPr="001900A8" w14:paraId="1B3D8BC1" w14:textId="77777777" w:rsidTr="007D1D77">
        <w:trPr>
          <w:trHeight w:val="315"/>
        </w:trPr>
        <w:tc>
          <w:tcPr>
            <w:tcW w:w="5788" w:type="dxa"/>
            <w:tcBorders>
              <w:top w:val="nil"/>
              <w:left w:val="nil"/>
              <w:bottom w:val="single" w:sz="4" w:space="0" w:color="ADD6EA"/>
              <w:right w:val="nil"/>
            </w:tcBorders>
            <w:shd w:val="clear" w:color="auto" w:fill="auto"/>
            <w:vAlign w:val="bottom"/>
            <w:hideMark/>
          </w:tcPr>
          <w:p w14:paraId="210D8EC5" w14:textId="77777777" w:rsidR="007E365E" w:rsidRPr="001900A8" w:rsidRDefault="007E365E" w:rsidP="007D1D77">
            <w:pPr>
              <w:keepNext/>
              <w:tabs>
                <w:tab w:val="clear" w:pos="567"/>
              </w:tabs>
              <w:spacing w:before="0" w:line="240" w:lineRule="auto"/>
              <w:rPr>
                <w:rFonts w:eastAsia="Times New Roman" w:cs="Open Sans Light"/>
                <w:sz w:val="16"/>
                <w:szCs w:val="16"/>
                <w:lang w:eastAsia="en-AU"/>
              </w:rPr>
            </w:pPr>
            <w:r w:rsidRPr="004902E4">
              <w:rPr>
                <w:rFonts w:eastAsia="Times New Roman" w:cs="Open Sans Light"/>
                <w:sz w:val="16"/>
                <w:szCs w:val="16"/>
                <w:lang w:eastAsia="en-AU"/>
              </w:rPr>
              <w:t>Services to communities</w:t>
            </w:r>
          </w:p>
        </w:tc>
        <w:tc>
          <w:tcPr>
            <w:tcW w:w="1128" w:type="dxa"/>
            <w:tcBorders>
              <w:top w:val="nil"/>
              <w:left w:val="nil"/>
              <w:bottom w:val="single" w:sz="4" w:space="0" w:color="ADD6EA"/>
              <w:right w:val="nil"/>
            </w:tcBorders>
            <w:shd w:val="clear" w:color="auto" w:fill="auto"/>
            <w:vAlign w:val="bottom"/>
            <w:hideMark/>
          </w:tcPr>
          <w:p w14:paraId="202ADDF5"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0.8</w:t>
            </w:r>
          </w:p>
        </w:tc>
        <w:tc>
          <w:tcPr>
            <w:tcW w:w="2068" w:type="dxa"/>
            <w:tcBorders>
              <w:top w:val="nil"/>
              <w:left w:val="nil"/>
              <w:bottom w:val="single" w:sz="4" w:space="0" w:color="ADD6EA"/>
              <w:right w:val="nil"/>
            </w:tcBorders>
            <w:shd w:val="clear" w:color="auto" w:fill="auto"/>
            <w:vAlign w:val="bottom"/>
            <w:hideMark/>
          </w:tcPr>
          <w:p w14:paraId="2791B0EF"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11.2</w:t>
            </w:r>
          </w:p>
        </w:tc>
      </w:tr>
      <w:tr w:rsidR="007E365E" w:rsidRPr="001900A8" w14:paraId="1A128F0F" w14:textId="77777777" w:rsidTr="007D1D77">
        <w:trPr>
          <w:trHeight w:val="315"/>
        </w:trPr>
        <w:tc>
          <w:tcPr>
            <w:tcW w:w="5788" w:type="dxa"/>
            <w:tcBorders>
              <w:top w:val="nil"/>
              <w:left w:val="nil"/>
              <w:bottom w:val="single" w:sz="4" w:space="0" w:color="ADD6EA"/>
              <w:right w:val="nil"/>
            </w:tcBorders>
            <w:shd w:val="clear" w:color="auto" w:fill="auto"/>
            <w:vAlign w:val="bottom"/>
            <w:hideMark/>
          </w:tcPr>
          <w:p w14:paraId="2327372B" w14:textId="77777777" w:rsidR="007E365E" w:rsidRPr="001900A8" w:rsidRDefault="007E365E" w:rsidP="007D1D77">
            <w:pPr>
              <w:keepNext/>
              <w:tabs>
                <w:tab w:val="clear" w:pos="567"/>
              </w:tabs>
              <w:spacing w:before="0" w:line="240" w:lineRule="auto"/>
              <w:rPr>
                <w:rFonts w:eastAsia="Times New Roman" w:cs="Open Sans Light"/>
                <w:sz w:val="16"/>
                <w:szCs w:val="16"/>
                <w:lang w:eastAsia="en-AU"/>
              </w:rPr>
            </w:pPr>
            <w:r w:rsidRPr="004902E4">
              <w:rPr>
                <w:rFonts w:eastAsia="Times New Roman" w:cs="Open Sans Light"/>
                <w:sz w:val="16"/>
                <w:szCs w:val="16"/>
                <w:lang w:eastAsia="en-AU"/>
              </w:rPr>
              <w:t>Justice</w:t>
            </w:r>
          </w:p>
        </w:tc>
        <w:tc>
          <w:tcPr>
            <w:tcW w:w="1128" w:type="dxa"/>
            <w:tcBorders>
              <w:top w:val="nil"/>
              <w:left w:val="nil"/>
              <w:bottom w:val="single" w:sz="4" w:space="0" w:color="ADD6EA"/>
              <w:right w:val="nil"/>
            </w:tcBorders>
            <w:shd w:val="clear" w:color="auto" w:fill="auto"/>
            <w:vAlign w:val="bottom"/>
            <w:hideMark/>
          </w:tcPr>
          <w:p w14:paraId="327C2E1C"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2.3</w:t>
            </w:r>
          </w:p>
        </w:tc>
        <w:tc>
          <w:tcPr>
            <w:tcW w:w="2068" w:type="dxa"/>
            <w:tcBorders>
              <w:top w:val="nil"/>
              <w:left w:val="nil"/>
              <w:bottom w:val="single" w:sz="4" w:space="0" w:color="ADD6EA"/>
              <w:right w:val="nil"/>
            </w:tcBorders>
            <w:shd w:val="clear" w:color="auto" w:fill="auto"/>
            <w:vAlign w:val="bottom"/>
            <w:hideMark/>
          </w:tcPr>
          <w:p w14:paraId="6101B891"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21.9</w:t>
            </w:r>
          </w:p>
        </w:tc>
      </w:tr>
      <w:tr w:rsidR="007E365E" w:rsidRPr="001900A8" w14:paraId="752BD791" w14:textId="77777777" w:rsidTr="007D1D77">
        <w:trPr>
          <w:trHeight w:val="315"/>
        </w:trPr>
        <w:tc>
          <w:tcPr>
            <w:tcW w:w="5788" w:type="dxa"/>
            <w:tcBorders>
              <w:top w:val="nil"/>
              <w:left w:val="nil"/>
              <w:bottom w:val="single" w:sz="4" w:space="0" w:color="ADD6EA"/>
              <w:right w:val="nil"/>
            </w:tcBorders>
            <w:shd w:val="clear" w:color="auto" w:fill="auto"/>
            <w:vAlign w:val="bottom"/>
            <w:hideMark/>
          </w:tcPr>
          <w:p w14:paraId="5506FA01" w14:textId="77777777" w:rsidR="007E365E" w:rsidRPr="001900A8" w:rsidRDefault="007E365E" w:rsidP="007D1D77">
            <w:pPr>
              <w:keepNext/>
              <w:tabs>
                <w:tab w:val="clear" w:pos="567"/>
              </w:tabs>
              <w:spacing w:before="0" w:line="240" w:lineRule="auto"/>
              <w:rPr>
                <w:rFonts w:eastAsia="Times New Roman" w:cs="Open Sans Light"/>
                <w:sz w:val="16"/>
                <w:szCs w:val="16"/>
                <w:lang w:eastAsia="en-AU"/>
              </w:rPr>
            </w:pPr>
            <w:r w:rsidRPr="004902E4">
              <w:rPr>
                <w:rFonts w:eastAsia="Times New Roman" w:cs="Open Sans Light"/>
                <w:sz w:val="16"/>
                <w:szCs w:val="16"/>
                <w:lang w:eastAsia="en-AU"/>
              </w:rPr>
              <w:t>Rural roads</w:t>
            </w:r>
          </w:p>
        </w:tc>
        <w:tc>
          <w:tcPr>
            <w:tcW w:w="1128" w:type="dxa"/>
            <w:tcBorders>
              <w:top w:val="nil"/>
              <w:left w:val="nil"/>
              <w:bottom w:val="single" w:sz="4" w:space="0" w:color="ADD6EA"/>
              <w:right w:val="nil"/>
            </w:tcBorders>
            <w:shd w:val="clear" w:color="auto" w:fill="auto"/>
            <w:vAlign w:val="bottom"/>
            <w:hideMark/>
          </w:tcPr>
          <w:p w14:paraId="07B1E41D"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5.1</w:t>
            </w:r>
          </w:p>
        </w:tc>
        <w:tc>
          <w:tcPr>
            <w:tcW w:w="2068" w:type="dxa"/>
            <w:tcBorders>
              <w:top w:val="nil"/>
              <w:left w:val="nil"/>
              <w:bottom w:val="single" w:sz="4" w:space="0" w:color="ADD6EA"/>
              <w:right w:val="nil"/>
            </w:tcBorders>
            <w:shd w:val="clear" w:color="auto" w:fill="auto"/>
            <w:vAlign w:val="bottom"/>
            <w:hideMark/>
          </w:tcPr>
          <w:p w14:paraId="4E88E7A7"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155.1</w:t>
            </w:r>
          </w:p>
        </w:tc>
      </w:tr>
      <w:tr w:rsidR="007E365E" w:rsidRPr="001900A8" w14:paraId="62A49E21" w14:textId="77777777" w:rsidTr="007D1D77">
        <w:trPr>
          <w:trHeight w:val="315"/>
        </w:trPr>
        <w:tc>
          <w:tcPr>
            <w:tcW w:w="5788" w:type="dxa"/>
            <w:tcBorders>
              <w:top w:val="nil"/>
              <w:left w:val="nil"/>
              <w:bottom w:val="single" w:sz="4" w:space="0" w:color="ADD6EA"/>
              <w:right w:val="nil"/>
            </w:tcBorders>
            <w:shd w:val="clear" w:color="auto" w:fill="auto"/>
            <w:vAlign w:val="bottom"/>
            <w:hideMark/>
          </w:tcPr>
          <w:p w14:paraId="2DF9D714" w14:textId="77777777" w:rsidR="007E365E" w:rsidRPr="001900A8" w:rsidRDefault="007E365E" w:rsidP="007D1D77">
            <w:pPr>
              <w:keepNext/>
              <w:tabs>
                <w:tab w:val="clear" w:pos="567"/>
              </w:tabs>
              <w:spacing w:before="0" w:line="240" w:lineRule="auto"/>
              <w:rPr>
                <w:rFonts w:eastAsia="Times New Roman" w:cs="Open Sans Light"/>
                <w:sz w:val="16"/>
                <w:szCs w:val="16"/>
                <w:lang w:eastAsia="en-AU"/>
              </w:rPr>
            </w:pPr>
            <w:r w:rsidRPr="004902E4">
              <w:rPr>
                <w:rFonts w:eastAsia="Times New Roman" w:cs="Open Sans Light"/>
                <w:sz w:val="16"/>
                <w:szCs w:val="16"/>
                <w:lang w:eastAsia="en-AU"/>
              </w:rPr>
              <w:t>Urban roads</w:t>
            </w:r>
          </w:p>
        </w:tc>
        <w:tc>
          <w:tcPr>
            <w:tcW w:w="1128" w:type="dxa"/>
            <w:tcBorders>
              <w:top w:val="nil"/>
              <w:left w:val="nil"/>
              <w:bottom w:val="single" w:sz="4" w:space="0" w:color="ADD6EA"/>
              <w:right w:val="nil"/>
            </w:tcBorders>
            <w:shd w:val="clear" w:color="auto" w:fill="auto"/>
            <w:vAlign w:val="bottom"/>
            <w:hideMark/>
          </w:tcPr>
          <w:p w14:paraId="64BCE86A"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5.9</w:t>
            </w:r>
          </w:p>
        </w:tc>
        <w:tc>
          <w:tcPr>
            <w:tcW w:w="2068" w:type="dxa"/>
            <w:tcBorders>
              <w:top w:val="nil"/>
              <w:left w:val="nil"/>
              <w:bottom w:val="single" w:sz="4" w:space="0" w:color="ADD6EA"/>
              <w:right w:val="nil"/>
            </w:tcBorders>
            <w:shd w:val="clear" w:color="auto" w:fill="auto"/>
            <w:vAlign w:val="bottom"/>
            <w:hideMark/>
          </w:tcPr>
          <w:p w14:paraId="3E2D15A8"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77.7</w:t>
            </w:r>
          </w:p>
        </w:tc>
      </w:tr>
      <w:tr w:rsidR="007E365E" w:rsidRPr="001900A8" w14:paraId="5DFEB6EF" w14:textId="77777777" w:rsidTr="007D1D77">
        <w:trPr>
          <w:trHeight w:val="315"/>
        </w:trPr>
        <w:tc>
          <w:tcPr>
            <w:tcW w:w="5788" w:type="dxa"/>
            <w:tcBorders>
              <w:top w:val="nil"/>
              <w:left w:val="nil"/>
              <w:bottom w:val="single" w:sz="4" w:space="0" w:color="ADD6EA"/>
              <w:right w:val="nil"/>
            </w:tcBorders>
            <w:shd w:val="clear" w:color="auto" w:fill="auto"/>
            <w:vAlign w:val="bottom"/>
            <w:hideMark/>
          </w:tcPr>
          <w:p w14:paraId="6053387F" w14:textId="77777777" w:rsidR="007E365E" w:rsidRPr="001900A8" w:rsidRDefault="007E365E" w:rsidP="007D1D77">
            <w:pPr>
              <w:keepNext/>
              <w:tabs>
                <w:tab w:val="clear" w:pos="567"/>
              </w:tabs>
              <w:spacing w:before="0" w:line="240" w:lineRule="auto"/>
              <w:rPr>
                <w:rFonts w:eastAsia="Times New Roman" w:cs="Open Sans Light"/>
                <w:sz w:val="16"/>
                <w:szCs w:val="16"/>
                <w:lang w:eastAsia="en-AU"/>
              </w:rPr>
            </w:pPr>
            <w:r w:rsidRPr="004902E4">
              <w:rPr>
                <w:rFonts w:eastAsia="Times New Roman" w:cs="Open Sans Light"/>
                <w:sz w:val="16"/>
                <w:szCs w:val="16"/>
                <w:lang w:eastAsia="en-AU"/>
              </w:rPr>
              <w:t xml:space="preserve">Urban transport </w:t>
            </w:r>
          </w:p>
        </w:tc>
        <w:tc>
          <w:tcPr>
            <w:tcW w:w="1128" w:type="dxa"/>
            <w:tcBorders>
              <w:top w:val="nil"/>
              <w:left w:val="nil"/>
              <w:bottom w:val="single" w:sz="4" w:space="0" w:color="ADD6EA"/>
              <w:right w:val="nil"/>
            </w:tcBorders>
            <w:shd w:val="clear" w:color="auto" w:fill="auto"/>
            <w:vAlign w:val="bottom"/>
            <w:hideMark/>
          </w:tcPr>
          <w:p w14:paraId="73AB382D"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7.0</w:t>
            </w:r>
          </w:p>
        </w:tc>
        <w:tc>
          <w:tcPr>
            <w:tcW w:w="2068" w:type="dxa"/>
            <w:tcBorders>
              <w:top w:val="nil"/>
              <w:left w:val="nil"/>
              <w:bottom w:val="single" w:sz="4" w:space="0" w:color="ADD6EA"/>
              <w:right w:val="nil"/>
            </w:tcBorders>
            <w:shd w:val="clear" w:color="auto" w:fill="auto"/>
            <w:vAlign w:val="bottom"/>
            <w:hideMark/>
          </w:tcPr>
          <w:p w14:paraId="0A970099"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124.9</w:t>
            </w:r>
          </w:p>
        </w:tc>
      </w:tr>
      <w:tr w:rsidR="007E365E" w:rsidRPr="001900A8" w14:paraId="70D87CB0" w14:textId="77777777" w:rsidTr="007D1D77">
        <w:trPr>
          <w:trHeight w:val="315"/>
        </w:trPr>
        <w:tc>
          <w:tcPr>
            <w:tcW w:w="5788" w:type="dxa"/>
            <w:tcBorders>
              <w:top w:val="nil"/>
              <w:left w:val="nil"/>
              <w:bottom w:val="single" w:sz="4" w:space="0" w:color="ADD6EA"/>
              <w:right w:val="nil"/>
            </w:tcBorders>
            <w:shd w:val="clear" w:color="auto" w:fill="auto"/>
            <w:vAlign w:val="bottom"/>
            <w:hideMark/>
          </w:tcPr>
          <w:p w14:paraId="0FBCE85C" w14:textId="77777777" w:rsidR="007E365E" w:rsidRPr="001900A8" w:rsidRDefault="007E365E" w:rsidP="007D1D77">
            <w:pPr>
              <w:keepNext/>
              <w:tabs>
                <w:tab w:val="clear" w:pos="567"/>
              </w:tabs>
              <w:spacing w:before="0" w:line="240" w:lineRule="auto"/>
              <w:rPr>
                <w:rFonts w:eastAsia="Times New Roman" w:cs="Open Sans Light"/>
                <w:sz w:val="16"/>
                <w:szCs w:val="16"/>
                <w:lang w:eastAsia="en-AU"/>
              </w:rPr>
            </w:pPr>
            <w:r w:rsidRPr="004902E4">
              <w:rPr>
                <w:rFonts w:eastAsia="Times New Roman" w:cs="Open Sans Light"/>
                <w:sz w:val="16"/>
                <w:szCs w:val="16"/>
                <w:lang w:eastAsia="en-AU"/>
              </w:rPr>
              <w:t xml:space="preserve">Non-urban transport </w:t>
            </w:r>
          </w:p>
        </w:tc>
        <w:tc>
          <w:tcPr>
            <w:tcW w:w="1128" w:type="dxa"/>
            <w:tcBorders>
              <w:top w:val="nil"/>
              <w:left w:val="nil"/>
              <w:bottom w:val="single" w:sz="4" w:space="0" w:color="ADD6EA"/>
              <w:right w:val="nil"/>
            </w:tcBorders>
            <w:shd w:val="clear" w:color="auto" w:fill="auto"/>
            <w:vAlign w:val="bottom"/>
            <w:hideMark/>
          </w:tcPr>
          <w:p w14:paraId="5D2ADCB9"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0.0</w:t>
            </w:r>
          </w:p>
        </w:tc>
        <w:tc>
          <w:tcPr>
            <w:tcW w:w="2068" w:type="dxa"/>
            <w:tcBorders>
              <w:top w:val="nil"/>
              <w:left w:val="nil"/>
              <w:bottom w:val="single" w:sz="4" w:space="0" w:color="ADD6EA"/>
              <w:right w:val="nil"/>
            </w:tcBorders>
            <w:shd w:val="clear" w:color="auto" w:fill="auto"/>
            <w:vAlign w:val="bottom"/>
            <w:hideMark/>
          </w:tcPr>
          <w:p w14:paraId="5062941A"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1.0</w:t>
            </w:r>
          </w:p>
        </w:tc>
      </w:tr>
      <w:tr w:rsidR="007E365E" w:rsidRPr="001900A8" w14:paraId="58CCA79B" w14:textId="77777777" w:rsidTr="007D1D77">
        <w:trPr>
          <w:trHeight w:val="315"/>
        </w:trPr>
        <w:tc>
          <w:tcPr>
            <w:tcW w:w="5788" w:type="dxa"/>
            <w:tcBorders>
              <w:top w:val="nil"/>
              <w:left w:val="nil"/>
              <w:bottom w:val="single" w:sz="4" w:space="0" w:color="ADD6EA"/>
              <w:right w:val="nil"/>
            </w:tcBorders>
            <w:shd w:val="clear" w:color="auto" w:fill="auto"/>
            <w:vAlign w:val="bottom"/>
            <w:hideMark/>
          </w:tcPr>
          <w:p w14:paraId="3C346493" w14:textId="77777777" w:rsidR="007E365E" w:rsidRPr="001900A8" w:rsidRDefault="007E365E" w:rsidP="007D1D77">
            <w:pPr>
              <w:keepNext/>
              <w:tabs>
                <w:tab w:val="clear" w:pos="567"/>
              </w:tabs>
              <w:spacing w:before="0" w:line="240" w:lineRule="auto"/>
              <w:rPr>
                <w:rFonts w:eastAsia="Times New Roman" w:cs="Open Sans Light"/>
                <w:sz w:val="16"/>
                <w:szCs w:val="16"/>
                <w:lang w:eastAsia="en-AU"/>
              </w:rPr>
            </w:pPr>
            <w:r w:rsidRPr="004902E4">
              <w:rPr>
                <w:rFonts w:eastAsia="Times New Roman" w:cs="Open Sans Light"/>
                <w:sz w:val="16"/>
                <w:szCs w:val="16"/>
                <w:lang w:eastAsia="en-AU"/>
              </w:rPr>
              <w:t xml:space="preserve">Services to industry </w:t>
            </w:r>
          </w:p>
        </w:tc>
        <w:tc>
          <w:tcPr>
            <w:tcW w:w="1128" w:type="dxa"/>
            <w:tcBorders>
              <w:top w:val="nil"/>
              <w:left w:val="nil"/>
              <w:bottom w:val="single" w:sz="4" w:space="0" w:color="ADD6EA"/>
              <w:right w:val="nil"/>
            </w:tcBorders>
            <w:shd w:val="clear" w:color="auto" w:fill="auto"/>
            <w:vAlign w:val="bottom"/>
            <w:hideMark/>
          </w:tcPr>
          <w:p w14:paraId="41031FF6"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0.0</w:t>
            </w:r>
          </w:p>
        </w:tc>
        <w:tc>
          <w:tcPr>
            <w:tcW w:w="2068" w:type="dxa"/>
            <w:tcBorders>
              <w:top w:val="nil"/>
              <w:left w:val="nil"/>
              <w:bottom w:val="single" w:sz="4" w:space="0" w:color="ADD6EA"/>
              <w:right w:val="nil"/>
            </w:tcBorders>
            <w:shd w:val="clear" w:color="auto" w:fill="auto"/>
            <w:vAlign w:val="bottom"/>
            <w:hideMark/>
          </w:tcPr>
          <w:p w14:paraId="2FEE01ED"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4.1</w:t>
            </w:r>
          </w:p>
        </w:tc>
      </w:tr>
      <w:tr w:rsidR="007E365E" w:rsidRPr="001900A8" w14:paraId="26966F70" w14:textId="77777777" w:rsidTr="007D1D77">
        <w:trPr>
          <w:trHeight w:val="315"/>
        </w:trPr>
        <w:tc>
          <w:tcPr>
            <w:tcW w:w="5788" w:type="dxa"/>
            <w:tcBorders>
              <w:top w:val="nil"/>
              <w:left w:val="nil"/>
              <w:bottom w:val="single" w:sz="4" w:space="0" w:color="ADD6EA"/>
              <w:right w:val="nil"/>
            </w:tcBorders>
            <w:shd w:val="clear" w:color="auto" w:fill="auto"/>
            <w:vAlign w:val="bottom"/>
            <w:hideMark/>
          </w:tcPr>
          <w:p w14:paraId="3E46BC3A" w14:textId="77777777" w:rsidR="007E365E" w:rsidRPr="001900A8" w:rsidRDefault="007E365E" w:rsidP="007D1D77">
            <w:pPr>
              <w:keepNext/>
              <w:tabs>
                <w:tab w:val="clear" w:pos="567"/>
              </w:tabs>
              <w:spacing w:before="0" w:line="240" w:lineRule="auto"/>
              <w:rPr>
                <w:rFonts w:eastAsia="Times New Roman" w:cs="Open Sans Light"/>
                <w:sz w:val="16"/>
                <w:szCs w:val="16"/>
                <w:lang w:eastAsia="en-AU"/>
              </w:rPr>
            </w:pPr>
            <w:r w:rsidRPr="004902E4">
              <w:rPr>
                <w:rFonts w:eastAsia="Times New Roman" w:cs="Open Sans Light"/>
                <w:sz w:val="16"/>
                <w:szCs w:val="16"/>
                <w:lang w:eastAsia="en-AU"/>
              </w:rPr>
              <w:t>Other expenses</w:t>
            </w:r>
          </w:p>
        </w:tc>
        <w:tc>
          <w:tcPr>
            <w:tcW w:w="1128" w:type="dxa"/>
            <w:tcBorders>
              <w:top w:val="nil"/>
              <w:left w:val="nil"/>
              <w:bottom w:val="single" w:sz="4" w:space="0" w:color="ADD6EA"/>
              <w:right w:val="nil"/>
            </w:tcBorders>
            <w:shd w:val="clear" w:color="auto" w:fill="auto"/>
            <w:vAlign w:val="bottom"/>
            <w:hideMark/>
          </w:tcPr>
          <w:p w14:paraId="3AAFCB85"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1.6</w:t>
            </w:r>
          </w:p>
        </w:tc>
        <w:tc>
          <w:tcPr>
            <w:tcW w:w="2068" w:type="dxa"/>
            <w:tcBorders>
              <w:top w:val="nil"/>
              <w:left w:val="nil"/>
              <w:bottom w:val="single" w:sz="4" w:space="0" w:color="ADD6EA"/>
              <w:right w:val="nil"/>
            </w:tcBorders>
            <w:shd w:val="clear" w:color="auto" w:fill="auto"/>
            <w:vAlign w:val="bottom"/>
            <w:hideMark/>
          </w:tcPr>
          <w:p w14:paraId="051F8DFA"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42.7</w:t>
            </w:r>
          </w:p>
        </w:tc>
      </w:tr>
      <w:tr w:rsidR="007E365E" w:rsidRPr="001900A8" w14:paraId="045A1D66" w14:textId="77777777" w:rsidTr="007D1D77">
        <w:trPr>
          <w:trHeight w:val="315"/>
        </w:trPr>
        <w:tc>
          <w:tcPr>
            <w:tcW w:w="5788" w:type="dxa"/>
            <w:tcBorders>
              <w:top w:val="nil"/>
              <w:left w:val="nil"/>
              <w:bottom w:val="single" w:sz="4" w:space="0" w:color="ADD6EA"/>
              <w:right w:val="nil"/>
            </w:tcBorders>
            <w:shd w:val="clear" w:color="auto" w:fill="auto"/>
            <w:vAlign w:val="bottom"/>
            <w:hideMark/>
          </w:tcPr>
          <w:p w14:paraId="743DD754" w14:textId="77777777" w:rsidR="007E365E" w:rsidRPr="001900A8" w:rsidRDefault="007E365E" w:rsidP="007D1D77">
            <w:pPr>
              <w:keepNext/>
              <w:tabs>
                <w:tab w:val="clear" w:pos="567"/>
              </w:tabs>
              <w:spacing w:before="0" w:line="240" w:lineRule="auto"/>
              <w:rPr>
                <w:rFonts w:eastAsia="Times New Roman" w:cs="Open Sans Light"/>
                <w:sz w:val="16"/>
                <w:szCs w:val="16"/>
                <w:lang w:eastAsia="en-AU"/>
              </w:rPr>
            </w:pPr>
            <w:r w:rsidRPr="004902E4">
              <w:rPr>
                <w:rFonts w:eastAsia="Times New Roman" w:cs="Open Sans Light"/>
                <w:sz w:val="16"/>
                <w:szCs w:val="16"/>
                <w:lang w:eastAsia="en-AU"/>
              </w:rPr>
              <w:t>Land (a)</w:t>
            </w:r>
          </w:p>
        </w:tc>
        <w:tc>
          <w:tcPr>
            <w:tcW w:w="1128" w:type="dxa"/>
            <w:tcBorders>
              <w:top w:val="nil"/>
              <w:left w:val="nil"/>
              <w:bottom w:val="single" w:sz="4" w:space="0" w:color="ADD6EA"/>
              <w:right w:val="nil"/>
            </w:tcBorders>
            <w:shd w:val="clear" w:color="auto" w:fill="auto"/>
            <w:vAlign w:val="bottom"/>
            <w:hideMark/>
          </w:tcPr>
          <w:p w14:paraId="037AA1D6" w14:textId="77777777" w:rsidR="007E365E" w:rsidRPr="001900A8" w:rsidRDefault="007E365E" w:rsidP="007D1D77">
            <w:pPr>
              <w:keepNext/>
              <w:tabs>
                <w:tab w:val="clear" w:pos="567"/>
              </w:tabs>
              <w:spacing w:before="0" w:line="240" w:lineRule="auto"/>
              <w:jc w:val="right"/>
              <w:rPr>
                <w:rFonts w:eastAsia="Times New Roman" w:cs="Open Sans Light"/>
                <w:sz w:val="16"/>
                <w:szCs w:val="16"/>
                <w:lang w:eastAsia="en-AU"/>
              </w:rPr>
            </w:pPr>
            <w:r w:rsidRPr="004902E4">
              <w:rPr>
                <w:rFonts w:eastAsia="Times New Roman" w:cs="Open Sans Light"/>
                <w:sz w:val="16"/>
                <w:szCs w:val="16"/>
                <w:lang w:eastAsia="en-AU"/>
              </w:rPr>
              <w:t>1.3</w:t>
            </w:r>
          </w:p>
        </w:tc>
        <w:tc>
          <w:tcPr>
            <w:tcW w:w="2068" w:type="dxa"/>
            <w:tcBorders>
              <w:top w:val="nil"/>
              <w:left w:val="nil"/>
              <w:bottom w:val="single" w:sz="4" w:space="0" w:color="ADD6EA"/>
              <w:right w:val="nil"/>
            </w:tcBorders>
            <w:shd w:val="clear" w:color="auto" w:fill="auto"/>
            <w:vAlign w:val="bottom"/>
            <w:hideMark/>
          </w:tcPr>
          <w:p w14:paraId="129F4D03" w14:textId="312F210A" w:rsidR="007E365E" w:rsidRPr="001900A8" w:rsidRDefault="009E0D99" w:rsidP="007D1D77">
            <w:pPr>
              <w:keepNext/>
              <w:tabs>
                <w:tab w:val="clear" w:pos="567"/>
              </w:tabs>
              <w:spacing w:before="0" w:line="240" w:lineRule="auto"/>
              <w:jc w:val="right"/>
              <w:rPr>
                <w:rFonts w:eastAsia="Times New Roman" w:cs="Open Sans Light"/>
                <w:sz w:val="16"/>
                <w:szCs w:val="16"/>
                <w:lang w:eastAsia="en-AU"/>
              </w:rPr>
            </w:pPr>
            <w:r>
              <w:rPr>
                <w:rFonts w:eastAsia="Times New Roman" w:cs="Open Sans Light"/>
                <w:sz w:val="16"/>
                <w:szCs w:val="16"/>
                <w:lang w:eastAsia="en-AU"/>
              </w:rPr>
              <w:t>na</w:t>
            </w:r>
          </w:p>
        </w:tc>
      </w:tr>
      <w:tr w:rsidR="007E365E" w:rsidRPr="001900A8" w14:paraId="03030561" w14:textId="77777777" w:rsidTr="007D1D77">
        <w:trPr>
          <w:trHeight w:val="315"/>
        </w:trPr>
        <w:tc>
          <w:tcPr>
            <w:tcW w:w="5788" w:type="dxa"/>
            <w:tcBorders>
              <w:top w:val="nil"/>
              <w:left w:val="nil"/>
              <w:bottom w:val="single" w:sz="4" w:space="0" w:color="ADD6EA"/>
              <w:right w:val="nil"/>
            </w:tcBorders>
            <w:shd w:val="clear" w:color="000000" w:fill="D6E7F0"/>
            <w:vAlign w:val="bottom"/>
            <w:hideMark/>
          </w:tcPr>
          <w:p w14:paraId="1026731A" w14:textId="77777777" w:rsidR="007E365E" w:rsidRPr="001900A8"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4902E4">
              <w:rPr>
                <w:rFonts w:ascii="Open Sans SemiBold" w:eastAsia="Times New Roman" w:hAnsi="Open Sans SemiBold" w:cs="Open Sans SemiBold"/>
                <w:sz w:val="16"/>
                <w:szCs w:val="16"/>
                <w:lang w:eastAsia="en-AU"/>
              </w:rPr>
              <w:t>Total - produced assets</w:t>
            </w:r>
          </w:p>
        </w:tc>
        <w:tc>
          <w:tcPr>
            <w:tcW w:w="1128" w:type="dxa"/>
            <w:tcBorders>
              <w:top w:val="nil"/>
              <w:left w:val="nil"/>
              <w:bottom w:val="single" w:sz="4" w:space="0" w:color="ADD6EA"/>
              <w:right w:val="nil"/>
            </w:tcBorders>
            <w:shd w:val="clear" w:color="000000" w:fill="D6E7F0"/>
            <w:vAlign w:val="bottom"/>
            <w:hideMark/>
          </w:tcPr>
          <w:p w14:paraId="2E1A63E5" w14:textId="77777777" w:rsidR="007E365E" w:rsidRPr="001900A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902E4">
              <w:rPr>
                <w:rFonts w:ascii="Open Sans SemiBold" w:eastAsia="Times New Roman" w:hAnsi="Open Sans SemiBold" w:cs="Open Sans SemiBold"/>
                <w:sz w:val="16"/>
                <w:szCs w:val="16"/>
                <w:lang w:eastAsia="en-AU"/>
              </w:rPr>
              <w:t>31.0</w:t>
            </w:r>
          </w:p>
        </w:tc>
        <w:tc>
          <w:tcPr>
            <w:tcW w:w="2068" w:type="dxa"/>
            <w:tcBorders>
              <w:top w:val="nil"/>
              <w:left w:val="nil"/>
              <w:bottom w:val="single" w:sz="4" w:space="0" w:color="ADD6EA"/>
              <w:right w:val="nil"/>
            </w:tcBorders>
            <w:shd w:val="clear" w:color="000000" w:fill="D6E7F0"/>
            <w:vAlign w:val="bottom"/>
            <w:hideMark/>
          </w:tcPr>
          <w:p w14:paraId="45770B8D" w14:textId="77777777" w:rsidR="007E365E" w:rsidRPr="001900A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902E4">
              <w:rPr>
                <w:rFonts w:ascii="Open Sans SemiBold" w:eastAsia="Times New Roman" w:hAnsi="Open Sans SemiBold" w:cs="Open Sans SemiBold"/>
                <w:sz w:val="16"/>
                <w:szCs w:val="16"/>
                <w:lang w:eastAsia="en-AU"/>
              </w:rPr>
              <w:t>633.6</w:t>
            </w:r>
          </w:p>
        </w:tc>
      </w:tr>
      <w:tr w:rsidR="007E365E" w:rsidRPr="001900A8" w14:paraId="7EB066C6" w14:textId="77777777" w:rsidTr="007D1D77">
        <w:trPr>
          <w:trHeight w:val="315"/>
        </w:trPr>
        <w:tc>
          <w:tcPr>
            <w:tcW w:w="5788" w:type="dxa"/>
            <w:tcBorders>
              <w:top w:val="nil"/>
              <w:left w:val="nil"/>
              <w:bottom w:val="single" w:sz="4" w:space="0" w:color="ADD6EA"/>
              <w:right w:val="nil"/>
            </w:tcBorders>
            <w:shd w:val="clear" w:color="000000" w:fill="D6E7F0"/>
            <w:vAlign w:val="bottom"/>
            <w:hideMark/>
          </w:tcPr>
          <w:p w14:paraId="25F215F5" w14:textId="77777777" w:rsidR="007E365E" w:rsidRPr="001900A8"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4902E4">
              <w:rPr>
                <w:rFonts w:ascii="Open Sans SemiBold" w:eastAsia="Times New Roman" w:hAnsi="Open Sans SemiBold" w:cs="Open Sans SemiBold"/>
                <w:sz w:val="16"/>
                <w:szCs w:val="16"/>
                <w:lang w:eastAsia="en-AU"/>
              </w:rPr>
              <w:t>Total category</w:t>
            </w:r>
          </w:p>
        </w:tc>
        <w:tc>
          <w:tcPr>
            <w:tcW w:w="1128" w:type="dxa"/>
            <w:tcBorders>
              <w:top w:val="nil"/>
              <w:left w:val="nil"/>
              <w:bottom w:val="single" w:sz="4" w:space="0" w:color="ADD6EA"/>
              <w:right w:val="nil"/>
            </w:tcBorders>
            <w:shd w:val="clear" w:color="000000" w:fill="D6E7F0"/>
            <w:vAlign w:val="bottom"/>
            <w:hideMark/>
          </w:tcPr>
          <w:p w14:paraId="534128EE" w14:textId="77777777" w:rsidR="007E365E" w:rsidRPr="001900A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902E4">
              <w:rPr>
                <w:rFonts w:ascii="Open Sans SemiBold" w:eastAsia="Times New Roman" w:hAnsi="Open Sans SemiBold" w:cs="Open Sans SemiBold"/>
                <w:sz w:val="16"/>
                <w:szCs w:val="16"/>
                <w:lang w:eastAsia="en-AU"/>
              </w:rPr>
              <w:t>32.3</w:t>
            </w:r>
          </w:p>
        </w:tc>
        <w:tc>
          <w:tcPr>
            <w:tcW w:w="2068" w:type="dxa"/>
            <w:tcBorders>
              <w:top w:val="nil"/>
              <w:left w:val="nil"/>
              <w:bottom w:val="single" w:sz="4" w:space="0" w:color="ADD6EA"/>
              <w:right w:val="nil"/>
            </w:tcBorders>
            <w:shd w:val="clear" w:color="000000" w:fill="D6E7F0"/>
            <w:vAlign w:val="bottom"/>
            <w:hideMark/>
          </w:tcPr>
          <w:p w14:paraId="05CC038A" w14:textId="77777777" w:rsidR="007E365E" w:rsidRPr="001900A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902E4">
              <w:rPr>
                <w:rFonts w:ascii="Open Sans SemiBold" w:eastAsia="Times New Roman" w:hAnsi="Open Sans SemiBold" w:cs="Open Sans SemiBold"/>
                <w:sz w:val="16"/>
                <w:szCs w:val="16"/>
                <w:lang w:eastAsia="en-AU"/>
              </w:rPr>
              <w:t> </w:t>
            </w:r>
          </w:p>
        </w:tc>
      </w:tr>
    </w:tbl>
    <w:p w14:paraId="5063A91F" w14:textId="77777777" w:rsidR="007E365E" w:rsidRPr="00785668" w:rsidRDefault="007E365E" w:rsidP="007E365E">
      <w:pPr>
        <w:pStyle w:val="CGCTablenote"/>
        <w:keepNext/>
        <w:keepLines/>
      </w:pPr>
      <w:r w:rsidRPr="00785668">
        <w:t>Note:</w:t>
      </w:r>
      <w:r>
        <w:tab/>
      </w:r>
      <w:r w:rsidRPr="00785668">
        <w:t xml:space="preserve">For each component, disabilities are growth in assessed user populations and number of assessed users. </w:t>
      </w:r>
    </w:p>
    <w:p w14:paraId="1A5BF962" w14:textId="77777777" w:rsidR="007E365E" w:rsidRPr="007304D6" w:rsidRDefault="007E365E" w:rsidP="007E365E">
      <w:pPr>
        <w:pStyle w:val="CGCTablenote"/>
      </w:pPr>
      <w:r w:rsidRPr="007304D6">
        <w:t>(a</w:t>
      </w:r>
      <w:r>
        <w:t>)</w:t>
      </w:r>
      <w:r>
        <w:tab/>
      </w:r>
      <w:r w:rsidRPr="007304D6">
        <w:t>The land component includes all non-produced assets.</w:t>
      </w:r>
    </w:p>
    <w:p w14:paraId="557AE663" w14:textId="14CD20F7" w:rsidR="007E365E" w:rsidRPr="00785668" w:rsidRDefault="009E0D99" w:rsidP="007E365E">
      <w:pPr>
        <w:pStyle w:val="CGCTablenote"/>
        <w:keepNext/>
        <w:keepLines/>
      </w:pPr>
      <w:r>
        <w:t>na</w:t>
      </w:r>
      <w:r w:rsidR="007E365E">
        <w:tab/>
      </w:r>
      <w:r w:rsidR="007E365E" w:rsidRPr="00785668">
        <w:t>Investment in land is assessed equal per capita (EPC), stocks are not assessed.</w:t>
      </w:r>
    </w:p>
    <w:p w14:paraId="66E5503C" w14:textId="77777777" w:rsidR="007E365E" w:rsidRPr="00785668" w:rsidRDefault="007E365E" w:rsidP="007E365E">
      <w:pPr>
        <w:pStyle w:val="CGCTablenote"/>
        <w:keepNext/>
        <w:keepLines/>
      </w:pPr>
      <w:r w:rsidRPr="00785668">
        <w:t>Source:</w:t>
      </w:r>
      <w:r w:rsidRPr="00785668">
        <w:tab/>
        <w:t>Commission calculation using ABS GFS and State budget data.</w:t>
      </w:r>
    </w:p>
    <w:p w14:paraId="0643F9B3" w14:textId="77777777" w:rsidR="007E365E" w:rsidRPr="00785668" w:rsidRDefault="007E365E" w:rsidP="007E365E">
      <w:pPr>
        <w:pStyle w:val="Heading3"/>
      </w:pPr>
      <w:bookmarkStart w:id="392" w:name="_Toc24569254"/>
      <w:bookmarkStart w:id="393" w:name="_Toc24468512"/>
      <w:r w:rsidRPr="00785668">
        <w:t xml:space="preserve">Assessment </w:t>
      </w:r>
      <w:r>
        <w:t>a</w:t>
      </w:r>
      <w:r w:rsidRPr="00785668">
        <w:t>pproach</w:t>
      </w:r>
      <w:bookmarkEnd w:id="392"/>
      <w:bookmarkEnd w:id="393"/>
    </w:p>
    <w:p w14:paraId="78CEEAB7" w14:textId="77777777" w:rsidR="007E365E" w:rsidRPr="000F09E5" w:rsidRDefault="007E365E" w:rsidP="007E365E">
      <w:pPr>
        <w:pStyle w:val="CGCParaNumber"/>
      </w:pPr>
      <w:r w:rsidRPr="000F09E5">
        <w:t xml:space="preserve">The </w:t>
      </w:r>
      <w:r>
        <w:t>I</w:t>
      </w:r>
      <w:r w:rsidRPr="000F09E5">
        <w:t>nvestment assessment provides each State with the capacity to:</w:t>
      </w:r>
    </w:p>
    <w:p w14:paraId="350F7281" w14:textId="77777777" w:rsidR="007E365E" w:rsidRPr="000F09E5" w:rsidRDefault="007E365E" w:rsidP="007E365E">
      <w:pPr>
        <w:pStyle w:val="CGCBullet1"/>
      </w:pPr>
      <w:r w:rsidRPr="000F09E5">
        <w:t>invest in additional physical assets to provide the State’s new user population added through the year with the same per user stock the existing user population had at the start of the year, at the capital intensity of that State’s user population</w:t>
      </w:r>
    </w:p>
    <w:p w14:paraId="2CA89ACD" w14:textId="77777777" w:rsidR="007E365E" w:rsidRPr="000F09E5" w:rsidRDefault="007E365E" w:rsidP="007E365E">
      <w:pPr>
        <w:pStyle w:val="CGCBullet1"/>
      </w:pPr>
      <w:r w:rsidRPr="000F09E5">
        <w:t xml:space="preserve">invest in physical assets to ensure the user population receives the increase in assets brought about by the replacement of depreciated assets and the national increase in capital intensity during the year. </w:t>
      </w:r>
    </w:p>
    <w:p w14:paraId="5B477F71" w14:textId="77777777" w:rsidR="007E365E" w:rsidRPr="000F09E5" w:rsidRDefault="007E365E" w:rsidP="007E365E">
      <w:pPr>
        <w:pStyle w:val="CGCParaNumber"/>
      </w:pPr>
      <w:r w:rsidRPr="00A0304E">
        <w:t>A State’s user population is calculated</w:t>
      </w:r>
      <w:r w:rsidRPr="00A0304E" w:rsidDel="00C161A6">
        <w:t xml:space="preserve"> </w:t>
      </w:r>
      <w:r w:rsidRPr="00A0304E">
        <w:t>by multiplying stock factors by the population. User populations are calculated at the beginning and end of year</w:t>
      </w:r>
      <w:r w:rsidRPr="00A0304E" w:rsidDel="00C161A6">
        <w:t xml:space="preserve"> </w:t>
      </w:r>
      <w:r w:rsidRPr="00A0304E">
        <w:t>and the difference between these is the population of new users.</w:t>
      </w:r>
    </w:p>
    <w:p w14:paraId="60F0EB24" w14:textId="77777777" w:rsidR="007E365E" w:rsidRPr="000F09E5" w:rsidRDefault="007E365E" w:rsidP="007E365E">
      <w:pPr>
        <w:pStyle w:val="CGCParaNumber"/>
      </w:pPr>
      <w:r w:rsidRPr="000F09E5">
        <w:t>The relative cost of providing physical assets is captured by the capital cost factor</w:t>
      </w:r>
      <w:r>
        <w:t>s</w:t>
      </w:r>
      <w:r w:rsidRPr="000F09E5">
        <w:t xml:space="preserve">, which allows for the differences between States in the price of materials and other unavoidable factors affecting the cost of providing infrastructure. </w:t>
      </w:r>
    </w:p>
    <w:p w14:paraId="15799CCC" w14:textId="1885CDD3" w:rsidR="007E365E" w:rsidRPr="000F09E5" w:rsidRDefault="007E365E" w:rsidP="007E365E">
      <w:pPr>
        <w:pStyle w:val="Heading4"/>
      </w:pPr>
      <w:bookmarkStart w:id="394" w:name="_Toc24569255"/>
      <w:bookmarkStart w:id="395" w:name="_Toc24468513"/>
      <w:r w:rsidRPr="000F09E5">
        <w:t>Gross investment</w:t>
      </w:r>
      <w:bookmarkEnd w:id="394"/>
      <w:bookmarkEnd w:id="395"/>
      <w:r w:rsidRPr="000F09E5">
        <w:t xml:space="preserve"> </w:t>
      </w:r>
    </w:p>
    <w:p w14:paraId="7580F3FB" w14:textId="77777777" w:rsidR="007E365E" w:rsidRPr="000F09E5" w:rsidRDefault="007E365E" w:rsidP="007E365E">
      <w:pPr>
        <w:pStyle w:val="CGCParaNumber"/>
      </w:pPr>
      <w:r w:rsidRPr="000F09E5">
        <w:t xml:space="preserve">The assessment includes both investment and depreciation expenses. The Commission considers </w:t>
      </w:r>
      <w:r>
        <w:t xml:space="preserve">a </w:t>
      </w:r>
      <w:r w:rsidRPr="000F09E5">
        <w:t xml:space="preserve">gross investment assessment is conceptually valid, </w:t>
      </w:r>
      <w:r>
        <w:t xml:space="preserve">is simpler, </w:t>
      </w:r>
      <w:r w:rsidRPr="000F09E5">
        <w:t xml:space="preserve">reduces volatility </w:t>
      </w:r>
      <w:r>
        <w:t>(</w:t>
      </w:r>
      <w:r w:rsidRPr="000F09E5">
        <w:t xml:space="preserve">by combining </w:t>
      </w:r>
      <w:r>
        <w:t xml:space="preserve">net </w:t>
      </w:r>
      <w:r w:rsidRPr="000F09E5">
        <w:t>investment expen</w:t>
      </w:r>
      <w:r>
        <w:t>diture</w:t>
      </w:r>
      <w:r w:rsidRPr="000F09E5">
        <w:t xml:space="preserve"> with </w:t>
      </w:r>
      <w:r>
        <w:t xml:space="preserve">more </w:t>
      </w:r>
      <w:r w:rsidRPr="000F09E5">
        <w:t>stable depreciation expenses</w:t>
      </w:r>
      <w:r>
        <w:t>)</w:t>
      </w:r>
      <w:r w:rsidRPr="000F09E5">
        <w:t xml:space="preserve">, reduces </w:t>
      </w:r>
      <w:r w:rsidRPr="000F09E5">
        <w:lastRenderedPageBreak/>
        <w:t xml:space="preserve">the occurrence of negative investment and is unlikely to be materially different to separately assessing depreciation and net investment. </w:t>
      </w:r>
    </w:p>
    <w:p w14:paraId="6F1CD506" w14:textId="77777777" w:rsidR="007E365E" w:rsidRPr="00942FA8" w:rsidRDefault="007E365E" w:rsidP="007E365E">
      <w:pPr>
        <w:pStyle w:val="CGCParaNumber"/>
      </w:pPr>
      <w:r w:rsidRPr="000F09E5">
        <w:t>Where previously the same stock disabilities were applied in the net investment and depreciation assessments</w:t>
      </w:r>
      <w:r>
        <w:t xml:space="preserve"> separately</w:t>
      </w:r>
      <w:r w:rsidRPr="000F09E5">
        <w:t xml:space="preserve">, now they are applied in the same assessment. </w:t>
      </w:r>
      <w:r w:rsidRPr="00942FA8">
        <w:t>Algebraically, the combination of drivers remains almost identical whether these assessments are made separately or together</w:t>
      </w:r>
      <w:r>
        <w:t>.</w:t>
      </w:r>
      <w:r w:rsidRPr="000F09E5">
        <w:rPr>
          <w:rStyle w:val="FootnoteReference"/>
        </w:rPr>
        <w:footnoteReference w:id="96"/>
      </w:r>
    </w:p>
    <w:p w14:paraId="4025364C" w14:textId="77777777" w:rsidR="007E365E" w:rsidRPr="00942FA8" w:rsidRDefault="007E365E" w:rsidP="007E365E">
      <w:pPr>
        <w:pStyle w:val="CGCParaNumber"/>
      </w:pPr>
      <w:r w:rsidRPr="00942FA8">
        <w:t xml:space="preserve">Another consequence of moving to a gross assessment is that opening stock no longer represents the assets held at the beginning of the year. </w:t>
      </w:r>
      <w:r>
        <w:t>Instead, o</w:t>
      </w:r>
      <w:r w:rsidRPr="00942FA8">
        <w:t xml:space="preserve">pening stock now represents the </w:t>
      </w:r>
      <w:r w:rsidRPr="000F09E5">
        <w:t xml:space="preserve">‘assets held at the start of the year that would not be consumed during the year’ or </w:t>
      </w:r>
      <w:r>
        <w:t>alternatively,</w:t>
      </w:r>
      <w:r w:rsidRPr="000F09E5">
        <w:t xml:space="preserve"> ‘the stock of assets that would be held at the end of the year if States purchased no replacement or new assets during the year’</w:t>
      </w:r>
      <w:r w:rsidRPr="00942FA8">
        <w:t xml:space="preserve">. </w:t>
      </w:r>
    </w:p>
    <w:p w14:paraId="6EA0E9D5" w14:textId="77777777" w:rsidR="007E365E" w:rsidRPr="000F09E5" w:rsidRDefault="007E365E" w:rsidP="007E365E">
      <w:pPr>
        <w:pStyle w:val="CGCParaNumber"/>
      </w:pPr>
      <w:r w:rsidRPr="000F09E5">
        <w:t>Most States d</w:t>
      </w:r>
      <w:r>
        <w:t>id</w:t>
      </w:r>
      <w:r w:rsidRPr="000F09E5">
        <w:t xml:space="preserve"> not oppose a gross assessment</w:t>
      </w:r>
      <w:r>
        <w:t>,</w:t>
      </w:r>
      <w:r w:rsidRPr="000F09E5">
        <w:t xml:space="preserve"> on the basis that it is appropriate to assess assets and the associated consumption of assets together and it is unlikely to produce a materially different outcome. </w:t>
      </w:r>
    </w:p>
    <w:p w14:paraId="2E37839F" w14:textId="77777777" w:rsidR="007E365E" w:rsidRPr="000F09E5" w:rsidRDefault="007E365E" w:rsidP="007E365E">
      <w:pPr>
        <w:pStyle w:val="CGCParaNumber"/>
      </w:pPr>
      <w:r w:rsidRPr="000F09E5">
        <w:t>Some States consider</w:t>
      </w:r>
      <w:r>
        <w:t>ed</w:t>
      </w:r>
      <w:r w:rsidRPr="000F09E5">
        <w:t xml:space="preserve"> that a combined depreciation and investment assessment would be less transparent and potentially misleading. They argue</w:t>
      </w:r>
      <w:r>
        <w:t>d</w:t>
      </w:r>
      <w:r w:rsidRPr="000F09E5">
        <w:t xml:space="preserve"> a gross assessment does not resolve issues of volatility or negative investment, but simply hides them. </w:t>
      </w:r>
    </w:p>
    <w:p w14:paraId="22C12C53" w14:textId="77777777" w:rsidR="007E365E" w:rsidRPr="000F09E5" w:rsidRDefault="007E365E" w:rsidP="007E365E">
      <w:pPr>
        <w:pStyle w:val="CGCParaNumber"/>
      </w:pPr>
      <w:r>
        <w:t xml:space="preserve">Western Australia considered the transparency of the assessment would be compromised in a gross assessment because opening stocks no longer reflect the value of assets at the start of the assessment year. </w:t>
      </w:r>
      <w:r w:rsidRPr="00C44130">
        <w:t>Western Australia consider</w:t>
      </w:r>
      <w:r>
        <w:t>ed</w:t>
      </w:r>
      <w:r w:rsidRPr="00C44130">
        <w:t xml:space="preserve"> this </w:t>
      </w:r>
      <w:r>
        <w:t>would</w:t>
      </w:r>
      <w:r w:rsidRPr="00C44130">
        <w:t xml:space="preserve"> make the assessment less transparent.</w:t>
      </w:r>
      <w:r>
        <w:t xml:space="preserve"> They also noted that a gross investment assessment results in timing mismatches between cost factors and populations and between assessed gross investment and standard investment. The Commission recognised some mismatches exist in the assessment. </w:t>
      </w:r>
      <w:r w:rsidRPr="00C44130">
        <w:t>However, the Commission consider</w:t>
      </w:r>
      <w:r>
        <w:t>ed</w:t>
      </w:r>
      <w:r w:rsidRPr="00C44130">
        <w:t xml:space="preserve"> Western Australia’s proposal to use lagged stock data </w:t>
      </w:r>
      <w:r>
        <w:t>to be</w:t>
      </w:r>
      <w:r w:rsidRPr="00C44130">
        <w:t xml:space="preserve"> less contemporaneous.  </w:t>
      </w:r>
    </w:p>
    <w:p w14:paraId="67CE4384" w14:textId="77777777" w:rsidR="007E365E" w:rsidRPr="000F09E5" w:rsidRDefault="007E365E" w:rsidP="007E365E">
      <w:pPr>
        <w:pStyle w:val="CGCParaNumber"/>
      </w:pPr>
      <w:r w:rsidRPr="000F09E5">
        <w:t>The Commission accept</w:t>
      </w:r>
      <w:r>
        <w:t>ed</w:t>
      </w:r>
      <w:r w:rsidRPr="000F09E5">
        <w:t xml:space="preserve"> that moving to a gross investment assessment alters the way in which the assessment is presented. However, the Commission consider</w:t>
      </w:r>
      <w:r>
        <w:t>ed</w:t>
      </w:r>
      <w:r w:rsidRPr="000F09E5">
        <w:t xml:space="preserve">, on balance, a gross assessment is a more transparent and simpler way of assessing all infrastructure needs. </w:t>
      </w:r>
    </w:p>
    <w:p w14:paraId="6F011736" w14:textId="1E74A170" w:rsidR="007E365E" w:rsidRPr="000F09E5" w:rsidRDefault="007E365E" w:rsidP="007E365E">
      <w:pPr>
        <w:pStyle w:val="Heading4"/>
      </w:pPr>
      <w:bookmarkStart w:id="396" w:name="_Toc24569256"/>
      <w:bookmarkStart w:id="397" w:name="_Toc24468514"/>
      <w:r w:rsidRPr="000F09E5">
        <w:t>Functionalisation</w:t>
      </w:r>
      <w:bookmarkEnd w:id="396"/>
      <w:bookmarkEnd w:id="397"/>
    </w:p>
    <w:p w14:paraId="17E460EA" w14:textId="77777777" w:rsidR="007E365E" w:rsidRPr="000F09E5" w:rsidRDefault="007E365E" w:rsidP="007E365E">
      <w:pPr>
        <w:pStyle w:val="CGCParaNumber"/>
      </w:pPr>
      <w:r w:rsidRPr="000F09E5">
        <w:t>In the 2015 Review assessment, stocks, investment and stock factors for 10 categories were combined in one component. This approach result</w:t>
      </w:r>
      <w:r>
        <w:t>ed</w:t>
      </w:r>
      <w:r w:rsidRPr="000F09E5">
        <w:t xml:space="preserve"> in some perverse outcomes. This is because of the assumption that investment in each category was equal to its proportion of stock, not actual investment. This led to revaluations of particular stocks having unduly large effects on GST shares in some circumstances. It also made it difficult to attribute changes in GST shares to a real world phenomenon, and contributed to the difficulty in understanding and validating the assessment. </w:t>
      </w:r>
    </w:p>
    <w:p w14:paraId="2F66B2DF" w14:textId="77777777" w:rsidR="007E365E" w:rsidRPr="000F09E5" w:rsidRDefault="007E365E" w:rsidP="007E365E">
      <w:pPr>
        <w:pStyle w:val="CGCParaNumber"/>
      </w:pPr>
      <w:r w:rsidRPr="000F09E5">
        <w:t xml:space="preserve">Gross investment needs for each category are now assessed separately in a functionalised assessment of investment expenses. By applying stock factors and populations directly to the </w:t>
      </w:r>
      <w:r w:rsidRPr="000F09E5">
        <w:lastRenderedPageBreak/>
        <w:t>relevant stocks and using actual investment by category, the transparency and accuracy of the assessment has improved.</w:t>
      </w:r>
    </w:p>
    <w:p w14:paraId="11E8E1E4" w14:textId="77777777" w:rsidR="007E365E" w:rsidRPr="00785668" w:rsidRDefault="007E365E" w:rsidP="007E365E">
      <w:pPr>
        <w:pStyle w:val="CGCParaNumber"/>
      </w:pPr>
      <w:r w:rsidRPr="000F09E5">
        <w:t>Western Australia did not support functionalisation</w:t>
      </w:r>
      <w:r>
        <w:t>.</w:t>
      </w:r>
      <w:r w:rsidRPr="000F09E5">
        <w:t xml:space="preserve"> </w:t>
      </w:r>
      <w:r>
        <w:t>I</w:t>
      </w:r>
      <w:r w:rsidRPr="000F09E5">
        <w:t>t consider</w:t>
      </w:r>
      <w:r>
        <w:t>ed</w:t>
      </w:r>
      <w:r w:rsidRPr="000F09E5">
        <w:t xml:space="preserve"> that moving away from a high level assessment would make the assessment</w:t>
      </w:r>
      <w:r w:rsidRPr="00785668">
        <w:t xml:space="preserve"> less transparent and </w:t>
      </w:r>
      <w:r>
        <w:t>that</w:t>
      </w:r>
      <w:r w:rsidRPr="00785668">
        <w:t xml:space="preserve"> data are not of sufficient quality to support a functionalised assessment. It also argued that functionalisation is not required to solve the issue of revaluations. </w:t>
      </w:r>
    </w:p>
    <w:p w14:paraId="2E2EA93E" w14:textId="77777777" w:rsidR="007E365E" w:rsidRPr="00785668" w:rsidRDefault="007E365E" w:rsidP="007E365E">
      <w:pPr>
        <w:pStyle w:val="CGCParaNumber"/>
      </w:pPr>
      <w:r w:rsidRPr="00785668">
        <w:t>The Commission and most other States consider</w:t>
      </w:r>
      <w:r>
        <w:t>ed</w:t>
      </w:r>
      <w:r w:rsidRPr="00785668">
        <w:t xml:space="preserve"> that transparency and understanding are better achieved by a suite of stock disabilities that can be more readily related to real world phenomena. The majority of the data needed for the assessment were used in the 2015</w:t>
      </w:r>
      <w:r>
        <w:t> </w:t>
      </w:r>
      <w:r w:rsidRPr="00785668">
        <w:t xml:space="preserve">Review assessments and </w:t>
      </w:r>
      <w:r>
        <w:t xml:space="preserve">the </w:t>
      </w:r>
      <w:r w:rsidRPr="00785668">
        <w:t xml:space="preserve">Commission </w:t>
      </w:r>
      <w:r>
        <w:t>is</w:t>
      </w:r>
      <w:r w:rsidRPr="00785668">
        <w:t xml:space="preserve"> confident that these data remain fit for purpose. </w:t>
      </w:r>
    </w:p>
    <w:p w14:paraId="4F1F78F4" w14:textId="77777777" w:rsidR="007E365E" w:rsidRPr="00785668" w:rsidRDefault="007E365E" w:rsidP="007E365E">
      <w:pPr>
        <w:pStyle w:val="CGCParaNumber"/>
      </w:pPr>
      <w:r w:rsidRPr="00785668">
        <w:t>The Commission agree</w:t>
      </w:r>
      <w:r>
        <w:t>d</w:t>
      </w:r>
      <w:r w:rsidRPr="00785668">
        <w:t xml:space="preserve"> that revaluations could be addressed in a non-functionalised assessment. However, the use of actual stock and investment data is more accurate and requires fewer assumptions.</w:t>
      </w:r>
    </w:p>
    <w:p w14:paraId="057002C9" w14:textId="4EF5C45B" w:rsidR="007E365E" w:rsidRPr="00785668" w:rsidRDefault="007E365E" w:rsidP="007E365E">
      <w:pPr>
        <w:pStyle w:val="Heading4"/>
      </w:pPr>
      <w:bookmarkStart w:id="398" w:name="_Toc24569257"/>
      <w:bookmarkStart w:id="399" w:name="_Toc24468515"/>
      <w:r w:rsidRPr="00785668">
        <w:t>Assessing stock requirements</w:t>
      </w:r>
      <w:bookmarkEnd w:id="398"/>
      <w:bookmarkEnd w:id="399"/>
    </w:p>
    <w:p w14:paraId="352779D7" w14:textId="77777777" w:rsidR="007E365E" w:rsidRPr="00785668" w:rsidRDefault="007E365E" w:rsidP="007E365E">
      <w:pPr>
        <w:pStyle w:val="CGCParaNumber"/>
      </w:pPr>
      <w:r w:rsidRPr="00785668">
        <w:t xml:space="preserve">The assessment captures infrastructure needs related to changes in each State’s user populations within the year. It does so by applying current year population and stock factors to end of year stocks and the previous year population and stock factors to start of year stocks. </w:t>
      </w:r>
    </w:p>
    <w:p w14:paraId="4679F603" w14:textId="77777777" w:rsidR="007E365E" w:rsidRPr="00785668" w:rsidRDefault="007E365E" w:rsidP="007E365E">
      <w:pPr>
        <w:pStyle w:val="Heading5"/>
      </w:pPr>
      <w:r w:rsidRPr="007D3550">
        <w:t>Component stock factors</w:t>
      </w:r>
      <w:r w:rsidRPr="00785668">
        <w:t xml:space="preserve"> </w:t>
      </w:r>
    </w:p>
    <w:p w14:paraId="4FDFA0D0" w14:textId="4CF9CD6E" w:rsidR="007E365E" w:rsidRPr="00785668" w:rsidRDefault="007E365E" w:rsidP="007E365E">
      <w:pPr>
        <w:pStyle w:val="CGCParaNumber"/>
      </w:pPr>
      <w:r w:rsidRPr="00785668">
        <w:t xml:space="preserve">Recurrent disabilities are used as the basis for the capital stock factors in each category. Where recurrent disabilities are not considered relevant to stock requirements they have been removed from the stock factor or adjusted to capture needs relevant to stock requirements. </w:t>
      </w:r>
      <w:r w:rsidRPr="00785668">
        <w:fldChar w:fldCharType="begin"/>
      </w:r>
      <w:r w:rsidRPr="00785668">
        <w:instrText xml:space="preserve"> REF _Ref4750106 \h  \* MERGEFORMAT </w:instrText>
      </w:r>
      <w:r w:rsidRPr="00785668">
        <w:fldChar w:fldCharType="separate"/>
      </w:r>
      <w:r w:rsidR="007F721A" w:rsidRPr="00785668">
        <w:t xml:space="preserve">Table </w:t>
      </w:r>
      <w:r w:rsidR="007F721A">
        <w:rPr>
          <w:noProof/>
        </w:rPr>
        <w:t>24-5</w:t>
      </w:r>
      <w:r w:rsidRPr="00785668">
        <w:fldChar w:fldCharType="end"/>
      </w:r>
      <w:r w:rsidRPr="00785668">
        <w:t xml:space="preserve"> shows the differences between the recurrent and capital influences captured for each category. For most categories these differences also applied in the 2015</w:t>
      </w:r>
      <w:r>
        <w:t> </w:t>
      </w:r>
      <w:r w:rsidRPr="00785668">
        <w:t xml:space="preserve">Review. The differences between recurrent and capital assessments in Health, Welfare and Services to communities were first made in this review. </w:t>
      </w:r>
    </w:p>
    <w:p w14:paraId="51292F97" w14:textId="7D2F4315" w:rsidR="007E365E" w:rsidRDefault="007E365E" w:rsidP="007E365E">
      <w:pPr>
        <w:pStyle w:val="Caption"/>
      </w:pPr>
      <w:bookmarkStart w:id="400" w:name="_Ref4750106"/>
      <w:r w:rsidRPr="00785668">
        <w:lastRenderedPageBreak/>
        <w:t xml:space="preserve">Table </w:t>
      </w:r>
      <w:r>
        <w:t>24-</w:t>
      </w:r>
      <w:fldSimple w:instr=" SEQ Table \* ARABIC ">
        <w:r w:rsidR="007F721A">
          <w:rPr>
            <w:noProof/>
          </w:rPr>
          <w:t>5</w:t>
        </w:r>
      </w:fldSimple>
      <w:bookmarkEnd w:id="400"/>
      <w:r w:rsidRPr="00785668">
        <w:tab/>
        <w:t>Differences between indicators of recurrent expenses and capital requirements</w:t>
      </w:r>
      <w:r>
        <w:t>, 2020 Review</w:t>
      </w:r>
    </w:p>
    <w:tbl>
      <w:tblPr>
        <w:tblW w:w="8960" w:type="dxa"/>
        <w:tblCellMar>
          <w:left w:w="0" w:type="dxa"/>
        </w:tblCellMar>
        <w:tblLook w:val="04A0" w:firstRow="1" w:lastRow="0" w:firstColumn="1" w:lastColumn="0" w:noHBand="0" w:noVBand="1"/>
      </w:tblPr>
      <w:tblGrid>
        <w:gridCol w:w="2148"/>
        <w:gridCol w:w="6828"/>
      </w:tblGrid>
      <w:tr w:rsidR="007E365E" w:rsidRPr="00376CC1" w14:paraId="79A30A2F" w14:textId="77777777" w:rsidTr="007D1D77">
        <w:trPr>
          <w:trHeight w:val="375"/>
        </w:trPr>
        <w:tc>
          <w:tcPr>
            <w:tcW w:w="2140" w:type="dxa"/>
            <w:tcBorders>
              <w:top w:val="nil"/>
              <w:left w:val="nil"/>
              <w:bottom w:val="nil"/>
              <w:right w:val="nil"/>
            </w:tcBorders>
            <w:shd w:val="clear" w:color="000000" w:fill="006991"/>
            <w:noWrap/>
            <w:vAlign w:val="center"/>
            <w:hideMark/>
          </w:tcPr>
          <w:p w14:paraId="3413A081" w14:textId="77777777" w:rsidR="007E365E" w:rsidRPr="00376CC1" w:rsidRDefault="007E365E" w:rsidP="007D1D77">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376CC1">
              <w:rPr>
                <w:rFonts w:ascii="Open Sans SemiBold" w:eastAsia="Times New Roman" w:hAnsi="Open Sans SemiBold" w:cs="Open Sans SemiBold"/>
                <w:color w:val="FFFFFF"/>
                <w:sz w:val="16"/>
                <w:szCs w:val="16"/>
                <w:lang w:eastAsia="en-AU"/>
              </w:rPr>
              <w:t>Component</w:t>
            </w:r>
          </w:p>
        </w:tc>
        <w:tc>
          <w:tcPr>
            <w:tcW w:w="6820" w:type="dxa"/>
            <w:tcBorders>
              <w:top w:val="nil"/>
              <w:left w:val="nil"/>
              <w:bottom w:val="nil"/>
              <w:right w:val="nil"/>
            </w:tcBorders>
            <w:shd w:val="clear" w:color="000000" w:fill="006991"/>
            <w:noWrap/>
            <w:vAlign w:val="center"/>
            <w:hideMark/>
          </w:tcPr>
          <w:p w14:paraId="700136DF" w14:textId="77777777" w:rsidR="007E365E" w:rsidRPr="00376CC1" w:rsidRDefault="007E365E" w:rsidP="007D1D77">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376CC1">
              <w:rPr>
                <w:rFonts w:ascii="Open Sans SemiBold" w:eastAsia="Times New Roman" w:hAnsi="Open Sans SemiBold" w:cs="Open Sans SemiBold"/>
                <w:color w:val="FFFFFF"/>
                <w:sz w:val="16"/>
                <w:szCs w:val="16"/>
                <w:lang w:eastAsia="en-AU"/>
              </w:rPr>
              <w:t>Difference from recurrent indicators</w:t>
            </w:r>
          </w:p>
        </w:tc>
      </w:tr>
      <w:tr w:rsidR="007E365E" w:rsidRPr="00376CC1" w14:paraId="6CC75441" w14:textId="77777777" w:rsidTr="007D1D77">
        <w:trPr>
          <w:trHeight w:val="795"/>
        </w:trPr>
        <w:tc>
          <w:tcPr>
            <w:tcW w:w="2140" w:type="dxa"/>
            <w:tcBorders>
              <w:top w:val="single" w:sz="4" w:space="0" w:color="ADD6EA"/>
              <w:left w:val="nil"/>
              <w:bottom w:val="single" w:sz="4" w:space="0" w:color="ADD6EA"/>
              <w:right w:val="nil"/>
            </w:tcBorders>
            <w:shd w:val="clear" w:color="auto" w:fill="auto"/>
            <w:hideMark/>
          </w:tcPr>
          <w:p w14:paraId="7ECAB2F8"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Schools education</w:t>
            </w:r>
          </w:p>
        </w:tc>
        <w:tc>
          <w:tcPr>
            <w:tcW w:w="6820" w:type="dxa"/>
            <w:tcBorders>
              <w:top w:val="single" w:sz="4" w:space="0" w:color="ADD6EA"/>
              <w:left w:val="nil"/>
              <w:bottom w:val="single" w:sz="4" w:space="0" w:color="ADD6EA"/>
              <w:right w:val="nil"/>
            </w:tcBorders>
            <w:shd w:val="clear" w:color="auto" w:fill="auto"/>
            <w:hideMark/>
          </w:tcPr>
          <w:p w14:paraId="4140C4B6"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Capital requirements are only assessed for government students. An adjustment is applied for additional costs of providing assets to Indigenous students in schools with more than 25% Indigenous enrolments. No other cost weights are included.</w:t>
            </w:r>
          </w:p>
        </w:tc>
      </w:tr>
      <w:tr w:rsidR="007E365E" w:rsidRPr="00376CC1" w14:paraId="6BCF47EF" w14:textId="77777777" w:rsidTr="007D1D77">
        <w:trPr>
          <w:trHeight w:val="315"/>
        </w:trPr>
        <w:tc>
          <w:tcPr>
            <w:tcW w:w="2140" w:type="dxa"/>
            <w:tcBorders>
              <w:top w:val="nil"/>
              <w:left w:val="nil"/>
              <w:bottom w:val="single" w:sz="4" w:space="0" w:color="ADD6EA"/>
              <w:right w:val="nil"/>
            </w:tcBorders>
            <w:shd w:val="clear" w:color="auto" w:fill="auto"/>
            <w:hideMark/>
          </w:tcPr>
          <w:p w14:paraId="35F82F29"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Post-secondary education</w:t>
            </w:r>
          </w:p>
        </w:tc>
        <w:tc>
          <w:tcPr>
            <w:tcW w:w="6820" w:type="dxa"/>
            <w:tcBorders>
              <w:top w:val="nil"/>
              <w:left w:val="nil"/>
              <w:bottom w:val="single" w:sz="4" w:space="0" w:color="ADD6EA"/>
              <w:right w:val="nil"/>
            </w:tcBorders>
            <w:shd w:val="clear" w:color="auto" w:fill="auto"/>
            <w:hideMark/>
          </w:tcPr>
          <w:p w14:paraId="0D3600F4"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Indigenous and remoteness cost weights are not included.</w:t>
            </w:r>
          </w:p>
        </w:tc>
      </w:tr>
      <w:tr w:rsidR="007E365E" w:rsidRPr="00376CC1" w14:paraId="1361DA67" w14:textId="77777777" w:rsidTr="007D1D77">
        <w:trPr>
          <w:trHeight w:val="315"/>
        </w:trPr>
        <w:tc>
          <w:tcPr>
            <w:tcW w:w="2140" w:type="dxa"/>
            <w:tcBorders>
              <w:top w:val="nil"/>
              <w:left w:val="nil"/>
              <w:bottom w:val="single" w:sz="4" w:space="0" w:color="ADD6EA"/>
              <w:right w:val="nil"/>
            </w:tcBorders>
            <w:shd w:val="clear" w:color="auto" w:fill="auto"/>
            <w:hideMark/>
          </w:tcPr>
          <w:p w14:paraId="0A079DFA"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Health</w:t>
            </w:r>
          </w:p>
        </w:tc>
        <w:tc>
          <w:tcPr>
            <w:tcW w:w="6820" w:type="dxa"/>
            <w:tcBorders>
              <w:top w:val="nil"/>
              <w:left w:val="nil"/>
              <w:bottom w:val="single" w:sz="4" w:space="0" w:color="ADD6EA"/>
              <w:right w:val="nil"/>
            </w:tcBorders>
            <w:shd w:val="clear" w:color="auto" w:fill="auto"/>
            <w:hideMark/>
          </w:tcPr>
          <w:p w14:paraId="614446ED"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Cross-border hospital use is recognised for investment.</w:t>
            </w:r>
          </w:p>
        </w:tc>
      </w:tr>
      <w:tr w:rsidR="007E365E" w:rsidRPr="00376CC1" w14:paraId="71C22E6B" w14:textId="77777777" w:rsidTr="007D1D77">
        <w:trPr>
          <w:trHeight w:val="555"/>
        </w:trPr>
        <w:tc>
          <w:tcPr>
            <w:tcW w:w="2140" w:type="dxa"/>
            <w:tcBorders>
              <w:top w:val="nil"/>
              <w:left w:val="nil"/>
              <w:bottom w:val="single" w:sz="4" w:space="0" w:color="ADD6EA"/>
              <w:right w:val="nil"/>
            </w:tcBorders>
            <w:shd w:val="clear" w:color="auto" w:fill="auto"/>
            <w:hideMark/>
          </w:tcPr>
          <w:p w14:paraId="2C044EE7"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Welfare</w:t>
            </w:r>
          </w:p>
        </w:tc>
        <w:tc>
          <w:tcPr>
            <w:tcW w:w="6820" w:type="dxa"/>
            <w:tcBorders>
              <w:top w:val="nil"/>
              <w:left w:val="nil"/>
              <w:bottom w:val="single" w:sz="4" w:space="0" w:color="ADD6EA"/>
              <w:right w:val="nil"/>
            </w:tcBorders>
            <w:shd w:val="clear" w:color="auto" w:fill="auto"/>
            <w:hideMark/>
          </w:tcPr>
          <w:p w14:paraId="3C53B136"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In the case of concessions, the need to provide concession payments does not relate to infrastructure need.</w:t>
            </w:r>
          </w:p>
        </w:tc>
      </w:tr>
      <w:tr w:rsidR="007E365E" w:rsidRPr="00376CC1" w14:paraId="0467D07F" w14:textId="77777777" w:rsidTr="007D1D77">
        <w:trPr>
          <w:trHeight w:val="795"/>
        </w:trPr>
        <w:tc>
          <w:tcPr>
            <w:tcW w:w="2140" w:type="dxa"/>
            <w:tcBorders>
              <w:top w:val="nil"/>
              <w:left w:val="nil"/>
              <w:bottom w:val="single" w:sz="4" w:space="0" w:color="ADD6EA"/>
              <w:right w:val="nil"/>
            </w:tcBorders>
            <w:shd w:val="clear" w:color="auto" w:fill="auto"/>
            <w:hideMark/>
          </w:tcPr>
          <w:p w14:paraId="417BBBDA"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Housing</w:t>
            </w:r>
          </w:p>
        </w:tc>
        <w:tc>
          <w:tcPr>
            <w:tcW w:w="6820" w:type="dxa"/>
            <w:tcBorders>
              <w:top w:val="nil"/>
              <w:left w:val="nil"/>
              <w:bottom w:val="single" w:sz="4" w:space="0" w:color="ADD6EA"/>
              <w:right w:val="nil"/>
            </w:tcBorders>
            <w:shd w:val="clear" w:color="auto" w:fill="auto"/>
            <w:hideMark/>
          </w:tcPr>
          <w:p w14:paraId="42E27323"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First home owner grants have no bearing on State capital requirements. Additional costs for Indigenous households not in Indigenous specific housing are not included in the capital assessment.</w:t>
            </w:r>
          </w:p>
        </w:tc>
      </w:tr>
      <w:tr w:rsidR="007E365E" w:rsidRPr="00376CC1" w14:paraId="65FA909E" w14:textId="77777777" w:rsidTr="007D1D77">
        <w:trPr>
          <w:trHeight w:val="315"/>
        </w:trPr>
        <w:tc>
          <w:tcPr>
            <w:tcW w:w="2140" w:type="dxa"/>
            <w:tcBorders>
              <w:top w:val="nil"/>
              <w:left w:val="nil"/>
              <w:bottom w:val="single" w:sz="4" w:space="0" w:color="ADD6EA"/>
              <w:right w:val="nil"/>
            </w:tcBorders>
            <w:shd w:val="clear" w:color="auto" w:fill="auto"/>
            <w:hideMark/>
          </w:tcPr>
          <w:p w14:paraId="1DB65641"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Justice</w:t>
            </w:r>
          </w:p>
        </w:tc>
        <w:tc>
          <w:tcPr>
            <w:tcW w:w="6820" w:type="dxa"/>
            <w:tcBorders>
              <w:top w:val="nil"/>
              <w:left w:val="nil"/>
              <w:bottom w:val="single" w:sz="4" w:space="0" w:color="ADD6EA"/>
              <w:right w:val="nil"/>
            </w:tcBorders>
            <w:shd w:val="clear" w:color="auto" w:fill="auto"/>
            <w:hideMark/>
          </w:tcPr>
          <w:p w14:paraId="7717C557"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The same disabilities are applied as in the recurrent expenses.</w:t>
            </w:r>
          </w:p>
        </w:tc>
      </w:tr>
      <w:tr w:rsidR="007E365E" w:rsidRPr="00376CC1" w14:paraId="175CC7F6" w14:textId="77777777" w:rsidTr="007D1D77">
        <w:trPr>
          <w:trHeight w:val="315"/>
        </w:trPr>
        <w:tc>
          <w:tcPr>
            <w:tcW w:w="2140" w:type="dxa"/>
            <w:tcBorders>
              <w:top w:val="nil"/>
              <w:left w:val="nil"/>
              <w:bottom w:val="single" w:sz="4" w:space="0" w:color="ADD6EA"/>
              <w:right w:val="nil"/>
            </w:tcBorders>
            <w:shd w:val="clear" w:color="auto" w:fill="auto"/>
            <w:hideMark/>
          </w:tcPr>
          <w:p w14:paraId="588ADA88"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Services to communities</w:t>
            </w:r>
          </w:p>
        </w:tc>
        <w:tc>
          <w:tcPr>
            <w:tcW w:w="6820" w:type="dxa"/>
            <w:tcBorders>
              <w:top w:val="nil"/>
              <w:left w:val="nil"/>
              <w:bottom w:val="single" w:sz="4" w:space="0" w:color="ADD6EA"/>
              <w:right w:val="nil"/>
            </w:tcBorders>
            <w:shd w:val="clear" w:color="auto" w:fill="auto"/>
            <w:hideMark/>
          </w:tcPr>
          <w:p w14:paraId="61EE8B24"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No disabilities are applied to capital needs.</w:t>
            </w:r>
          </w:p>
        </w:tc>
      </w:tr>
      <w:tr w:rsidR="007E365E" w:rsidRPr="00376CC1" w14:paraId="05FF845D" w14:textId="77777777" w:rsidTr="007D1D77">
        <w:trPr>
          <w:trHeight w:val="315"/>
        </w:trPr>
        <w:tc>
          <w:tcPr>
            <w:tcW w:w="2140" w:type="dxa"/>
            <w:tcBorders>
              <w:top w:val="nil"/>
              <w:left w:val="nil"/>
              <w:bottom w:val="single" w:sz="4" w:space="0" w:color="ADD6EA"/>
              <w:right w:val="nil"/>
            </w:tcBorders>
            <w:shd w:val="clear" w:color="auto" w:fill="auto"/>
            <w:hideMark/>
          </w:tcPr>
          <w:p w14:paraId="5D6FE0B6"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Services to industry</w:t>
            </w:r>
          </w:p>
        </w:tc>
        <w:tc>
          <w:tcPr>
            <w:tcW w:w="6820" w:type="dxa"/>
            <w:tcBorders>
              <w:top w:val="nil"/>
              <w:left w:val="nil"/>
              <w:bottom w:val="single" w:sz="4" w:space="0" w:color="ADD6EA"/>
              <w:right w:val="nil"/>
            </w:tcBorders>
            <w:shd w:val="clear" w:color="auto" w:fill="auto"/>
            <w:hideMark/>
          </w:tcPr>
          <w:p w14:paraId="280C96BC"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The same disabilities are applied as in the recurrent expenses.</w:t>
            </w:r>
          </w:p>
        </w:tc>
      </w:tr>
      <w:tr w:rsidR="007E365E" w:rsidRPr="00376CC1" w14:paraId="2A2418E5" w14:textId="77777777" w:rsidTr="007D1D77">
        <w:trPr>
          <w:trHeight w:val="555"/>
        </w:trPr>
        <w:tc>
          <w:tcPr>
            <w:tcW w:w="2140" w:type="dxa"/>
            <w:tcBorders>
              <w:top w:val="nil"/>
              <w:left w:val="nil"/>
              <w:bottom w:val="single" w:sz="4" w:space="0" w:color="ADD6EA"/>
              <w:right w:val="nil"/>
            </w:tcBorders>
            <w:shd w:val="clear" w:color="auto" w:fill="auto"/>
            <w:hideMark/>
          </w:tcPr>
          <w:p w14:paraId="3685A400"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Rural roads</w:t>
            </w:r>
          </w:p>
        </w:tc>
        <w:tc>
          <w:tcPr>
            <w:tcW w:w="6820" w:type="dxa"/>
            <w:tcBorders>
              <w:top w:val="nil"/>
              <w:left w:val="nil"/>
              <w:bottom w:val="single" w:sz="4" w:space="0" w:color="ADD6EA"/>
              <w:right w:val="nil"/>
            </w:tcBorders>
            <w:shd w:val="clear" w:color="auto" w:fill="auto"/>
            <w:hideMark/>
          </w:tcPr>
          <w:p w14:paraId="3FF16107"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The same disabilities are applied as in the recurrent expenses, although different weights are used to aggregate the disabilities.</w:t>
            </w:r>
          </w:p>
        </w:tc>
      </w:tr>
      <w:tr w:rsidR="007E365E" w:rsidRPr="00376CC1" w14:paraId="5890A020" w14:textId="77777777" w:rsidTr="007D1D77">
        <w:trPr>
          <w:trHeight w:val="555"/>
        </w:trPr>
        <w:tc>
          <w:tcPr>
            <w:tcW w:w="2140" w:type="dxa"/>
            <w:tcBorders>
              <w:top w:val="nil"/>
              <w:left w:val="nil"/>
              <w:bottom w:val="single" w:sz="4" w:space="0" w:color="ADD6EA"/>
              <w:right w:val="nil"/>
            </w:tcBorders>
            <w:shd w:val="clear" w:color="auto" w:fill="auto"/>
            <w:hideMark/>
          </w:tcPr>
          <w:p w14:paraId="45DBCA61"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Urban roads</w:t>
            </w:r>
          </w:p>
        </w:tc>
        <w:tc>
          <w:tcPr>
            <w:tcW w:w="6820" w:type="dxa"/>
            <w:tcBorders>
              <w:top w:val="nil"/>
              <w:left w:val="nil"/>
              <w:bottom w:val="single" w:sz="4" w:space="0" w:color="ADD6EA"/>
              <w:right w:val="nil"/>
            </w:tcBorders>
            <w:shd w:val="clear" w:color="auto" w:fill="auto"/>
            <w:hideMark/>
          </w:tcPr>
          <w:p w14:paraId="1BEFC621"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The same disabilities are applied as in the recurrent expenses, although different weights are used to aggregate the disabilities.</w:t>
            </w:r>
          </w:p>
        </w:tc>
      </w:tr>
      <w:tr w:rsidR="007E365E" w:rsidRPr="00376CC1" w14:paraId="50AB0731" w14:textId="77777777" w:rsidTr="007D1D77">
        <w:trPr>
          <w:trHeight w:val="315"/>
        </w:trPr>
        <w:tc>
          <w:tcPr>
            <w:tcW w:w="2140" w:type="dxa"/>
            <w:tcBorders>
              <w:top w:val="nil"/>
              <w:left w:val="nil"/>
              <w:bottom w:val="single" w:sz="4" w:space="0" w:color="ADD6EA"/>
              <w:right w:val="nil"/>
            </w:tcBorders>
            <w:shd w:val="clear" w:color="auto" w:fill="auto"/>
            <w:hideMark/>
          </w:tcPr>
          <w:p w14:paraId="3F5BD80C"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Non-urban transport</w:t>
            </w:r>
          </w:p>
        </w:tc>
        <w:tc>
          <w:tcPr>
            <w:tcW w:w="6820" w:type="dxa"/>
            <w:tcBorders>
              <w:top w:val="nil"/>
              <w:left w:val="nil"/>
              <w:bottom w:val="single" w:sz="4" w:space="0" w:color="ADD6EA"/>
              <w:right w:val="nil"/>
            </w:tcBorders>
            <w:shd w:val="clear" w:color="auto" w:fill="auto"/>
            <w:hideMark/>
          </w:tcPr>
          <w:p w14:paraId="417C17D4"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The same disabilities are applied as in the recurrent expenses.</w:t>
            </w:r>
          </w:p>
        </w:tc>
      </w:tr>
      <w:tr w:rsidR="007E365E" w:rsidRPr="00376CC1" w14:paraId="7B47F8F7" w14:textId="77777777" w:rsidTr="007D1D77">
        <w:trPr>
          <w:trHeight w:val="795"/>
        </w:trPr>
        <w:tc>
          <w:tcPr>
            <w:tcW w:w="2140" w:type="dxa"/>
            <w:tcBorders>
              <w:top w:val="nil"/>
              <w:left w:val="nil"/>
              <w:bottom w:val="single" w:sz="4" w:space="0" w:color="ADD6EA"/>
              <w:right w:val="nil"/>
            </w:tcBorders>
            <w:shd w:val="clear" w:color="auto" w:fill="auto"/>
            <w:hideMark/>
          </w:tcPr>
          <w:p w14:paraId="4C3FC136"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Urban transport</w:t>
            </w:r>
          </w:p>
        </w:tc>
        <w:tc>
          <w:tcPr>
            <w:tcW w:w="6820" w:type="dxa"/>
            <w:tcBorders>
              <w:top w:val="nil"/>
              <w:left w:val="nil"/>
              <w:bottom w:val="single" w:sz="4" w:space="0" w:color="ADD6EA"/>
              <w:right w:val="nil"/>
            </w:tcBorders>
            <w:shd w:val="clear" w:color="auto" w:fill="auto"/>
            <w:hideMark/>
          </w:tcPr>
          <w:p w14:paraId="44E4095C"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Blended approach that recognises populations of State populations living in urban centres through the population-squared approach (25%) and urban centre characteristics on the costs (75%).</w:t>
            </w:r>
          </w:p>
        </w:tc>
      </w:tr>
      <w:tr w:rsidR="007E365E" w:rsidRPr="00376CC1" w14:paraId="5EBED9FF" w14:textId="77777777" w:rsidTr="007D1D77">
        <w:trPr>
          <w:trHeight w:val="315"/>
        </w:trPr>
        <w:tc>
          <w:tcPr>
            <w:tcW w:w="2140" w:type="dxa"/>
            <w:tcBorders>
              <w:top w:val="nil"/>
              <w:left w:val="nil"/>
              <w:bottom w:val="single" w:sz="4" w:space="0" w:color="ADD6EA"/>
              <w:right w:val="nil"/>
            </w:tcBorders>
            <w:shd w:val="clear" w:color="auto" w:fill="auto"/>
            <w:hideMark/>
          </w:tcPr>
          <w:p w14:paraId="1327272D"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Other expenses</w:t>
            </w:r>
          </w:p>
        </w:tc>
        <w:tc>
          <w:tcPr>
            <w:tcW w:w="6820" w:type="dxa"/>
            <w:tcBorders>
              <w:top w:val="nil"/>
              <w:left w:val="nil"/>
              <w:bottom w:val="single" w:sz="4" w:space="0" w:color="ADD6EA"/>
              <w:right w:val="nil"/>
            </w:tcBorders>
            <w:shd w:val="clear" w:color="auto" w:fill="auto"/>
            <w:hideMark/>
          </w:tcPr>
          <w:p w14:paraId="60169E2C" w14:textId="77777777" w:rsidR="007E365E" w:rsidRPr="00376CC1" w:rsidRDefault="007E365E" w:rsidP="007D1D77">
            <w:pPr>
              <w:keepNext/>
              <w:tabs>
                <w:tab w:val="clear" w:pos="567"/>
              </w:tabs>
              <w:spacing w:before="0" w:line="240" w:lineRule="auto"/>
              <w:rPr>
                <w:rFonts w:eastAsia="Times New Roman" w:cs="Open Sans Light"/>
                <w:sz w:val="16"/>
                <w:szCs w:val="16"/>
                <w:lang w:eastAsia="en-AU"/>
              </w:rPr>
            </w:pPr>
            <w:r w:rsidRPr="00376CC1">
              <w:rPr>
                <w:rFonts w:eastAsia="Times New Roman" w:cs="Open Sans Light"/>
                <w:sz w:val="16"/>
                <w:szCs w:val="16"/>
                <w:lang w:eastAsia="en-AU"/>
              </w:rPr>
              <w:t>No disabilities are applied to capital needs.</w:t>
            </w:r>
          </w:p>
        </w:tc>
      </w:tr>
    </w:tbl>
    <w:p w14:paraId="5ABDE793" w14:textId="63749EE4" w:rsidR="007E365E" w:rsidRPr="00785668" w:rsidRDefault="007E365E" w:rsidP="007E365E">
      <w:pPr>
        <w:pStyle w:val="CGCTablenote"/>
        <w:keepNext/>
      </w:pPr>
      <w:r w:rsidRPr="00785668">
        <w:t>Note:</w:t>
      </w:r>
      <w:r>
        <w:tab/>
      </w:r>
      <w:r w:rsidRPr="00785668">
        <w:t>Recurrent wage disabilities are not assessed in the measure of capital stock requirements</w:t>
      </w:r>
      <w:r w:rsidRPr="00B4281B">
        <w:t>, except for Health and Justice. In these components the regional costs are captured by the stock requirements as they are not able to be removed from the recurrent expense measures</w:t>
      </w:r>
      <w:r>
        <w:t>.</w:t>
      </w:r>
      <w:r w:rsidRPr="00785668">
        <w:t xml:space="preserve"> The treatment of recurrent regional cost disabilities is discussed from paragraph </w:t>
      </w:r>
      <w:r w:rsidRPr="00785668">
        <w:fldChar w:fldCharType="begin"/>
      </w:r>
      <w:r w:rsidRPr="00785668">
        <w:instrText xml:space="preserve"> REF _Ref24115403 \r \h  \* MERGEFORMAT </w:instrText>
      </w:r>
      <w:r w:rsidRPr="00785668">
        <w:fldChar w:fldCharType="separate"/>
      </w:r>
      <w:r w:rsidR="007F721A">
        <w:t>33</w:t>
      </w:r>
      <w:r w:rsidRPr="00785668">
        <w:fldChar w:fldCharType="end"/>
      </w:r>
      <w:r w:rsidRPr="00785668">
        <w:t xml:space="preserve">. </w:t>
      </w:r>
    </w:p>
    <w:p w14:paraId="4269C75F" w14:textId="77777777" w:rsidR="007E365E" w:rsidRPr="00785668" w:rsidRDefault="007E365E" w:rsidP="007E365E">
      <w:pPr>
        <w:pStyle w:val="CGCParaNumber"/>
        <w:numPr>
          <w:ilvl w:val="0"/>
          <w:numId w:val="0"/>
        </w:numPr>
        <w:rPr>
          <w:rStyle w:val="Heading5Char"/>
        </w:rPr>
      </w:pPr>
      <w:r w:rsidRPr="00785668">
        <w:rPr>
          <w:rStyle w:val="Heading5Char"/>
        </w:rPr>
        <w:t>Averaging stock disabilities</w:t>
      </w:r>
    </w:p>
    <w:p w14:paraId="6F126099" w14:textId="77777777" w:rsidR="007E365E" w:rsidRPr="00785668" w:rsidRDefault="007E365E" w:rsidP="007E365E">
      <w:pPr>
        <w:pStyle w:val="CGCParaNumber"/>
      </w:pPr>
      <w:r w:rsidRPr="00785668">
        <w:t>In the 2010 Review, three</w:t>
      </w:r>
      <w:r>
        <w:t xml:space="preserve"> </w:t>
      </w:r>
      <w:r w:rsidRPr="00785668">
        <w:t>year</w:t>
      </w:r>
      <w:r>
        <w:t xml:space="preserve"> </w:t>
      </w:r>
      <w:r w:rsidRPr="00785668">
        <w:t xml:space="preserve">averaging of stock factors was introduced to reduce the volatility generated primarily from capturing the change in the stock factors within the year. However, stock factors are estimated with reference to population. A stable stock level (such as student numbers or rural road length) can result in a volatile stock factor (student numbers per capita). To average these stock factors and then apply them to non-averaged population levels can actually increase rather than reduce the volatility of the assessment as well as reducing its accuracy. </w:t>
      </w:r>
    </w:p>
    <w:p w14:paraId="2F10CCA9" w14:textId="77777777" w:rsidR="007E365E" w:rsidRPr="00785668" w:rsidRDefault="007E365E" w:rsidP="007E365E">
      <w:pPr>
        <w:pStyle w:val="CGCParaNumber"/>
      </w:pPr>
      <w:r w:rsidRPr="00785668">
        <w:t>Most States support</w:t>
      </w:r>
      <w:r>
        <w:t>ed</w:t>
      </w:r>
      <w:r w:rsidRPr="00785668">
        <w:t xml:space="preserve"> the use of single year disabilities. Tasmania expressed concern over the potential for volatility to increase if averaging were removed from all category stock factors. It suggested using single year disabilities for the rural roads assessment only</w:t>
      </w:r>
      <w:r>
        <w:t>.</w:t>
      </w:r>
    </w:p>
    <w:p w14:paraId="32884BA2" w14:textId="77777777" w:rsidR="007E365E" w:rsidRDefault="007E365E" w:rsidP="007E365E">
      <w:pPr>
        <w:pStyle w:val="CGCParaNumber"/>
      </w:pPr>
      <w:r w:rsidRPr="00785668">
        <w:t>While there may be some sources of volatility in stock factors that three year averaging reduces, the Commission considers that the net effect of averaging across all categories is to increase volatility and reduce reliability. In this review, single year stock disabilities are applied to opening and closing stocks.</w:t>
      </w:r>
    </w:p>
    <w:p w14:paraId="31CA5055" w14:textId="77777777" w:rsidR="007E365E" w:rsidRPr="000F09E5" w:rsidRDefault="007E365E" w:rsidP="007E365E">
      <w:pPr>
        <w:pStyle w:val="Heading5"/>
      </w:pPr>
      <w:bookmarkStart w:id="401" w:name="_Toc530575612"/>
      <w:bookmarkStart w:id="402" w:name="_Toc5187697"/>
      <w:bookmarkStart w:id="403" w:name="_Toc530575621"/>
      <w:r w:rsidRPr="000F09E5">
        <w:t>Administrative scale</w:t>
      </w:r>
      <w:bookmarkEnd w:id="401"/>
      <w:bookmarkEnd w:id="402"/>
    </w:p>
    <w:p w14:paraId="3978957C" w14:textId="77777777" w:rsidR="007E365E" w:rsidRPr="000F09E5" w:rsidRDefault="007E365E" w:rsidP="007E365E">
      <w:pPr>
        <w:pStyle w:val="CGCParaNumber"/>
      </w:pPr>
      <w:r w:rsidRPr="000F09E5">
        <w:t xml:space="preserve">In the 2015 Review, to measure relative State need for investment, the Investment assessment used recurrent disabilities from each category incorporating administrative scale. </w:t>
      </w:r>
      <w:r w:rsidRPr="000F09E5">
        <w:lastRenderedPageBreak/>
        <w:t xml:space="preserve">This reflected that a portion of the asset stock States own relate to the fixed minimum administrative functions. </w:t>
      </w:r>
    </w:p>
    <w:p w14:paraId="620B9042" w14:textId="77777777" w:rsidR="007E365E" w:rsidRPr="000F09E5" w:rsidRDefault="007E365E" w:rsidP="007E365E">
      <w:pPr>
        <w:pStyle w:val="CGCParaNumber"/>
      </w:pPr>
      <w:r w:rsidRPr="000F09E5">
        <w:t xml:space="preserve">In the 2020 Review, the </w:t>
      </w:r>
      <w:r>
        <w:t>A</w:t>
      </w:r>
      <w:r w:rsidRPr="000F09E5">
        <w:t xml:space="preserve">dministrative scale assessment has been redeveloped. This approach incorporates the depreciation of assets associated with the fixed minimum administrative functions. The nature of the concept that administrative scale captures is inherently fixed, and not subject to growth. This means that there should be no net investment in the function. As such, administrative scale disabilities are not assessed in the Investment assessment in the 2020 Review. </w:t>
      </w:r>
    </w:p>
    <w:p w14:paraId="70AA287D" w14:textId="77EE1EC0" w:rsidR="007E365E" w:rsidRPr="000F09E5" w:rsidRDefault="007E365E" w:rsidP="007E365E">
      <w:pPr>
        <w:pStyle w:val="Heading4"/>
      </w:pPr>
      <w:bookmarkStart w:id="404" w:name="_Toc24569258"/>
      <w:bookmarkStart w:id="405" w:name="_Toc24468516"/>
      <w:bookmarkEnd w:id="403"/>
      <w:r w:rsidRPr="000F09E5">
        <w:t>Cost of infrastructure</w:t>
      </w:r>
      <w:bookmarkEnd w:id="404"/>
      <w:bookmarkEnd w:id="405"/>
    </w:p>
    <w:p w14:paraId="4AE02E8F" w14:textId="77777777" w:rsidR="007E365E" w:rsidRPr="000F09E5" w:rsidRDefault="007E365E" w:rsidP="007E365E">
      <w:pPr>
        <w:pStyle w:val="Heading5"/>
      </w:pPr>
      <w:r w:rsidRPr="000F09E5">
        <w:t>Regional costs</w:t>
      </w:r>
    </w:p>
    <w:p w14:paraId="1566F433" w14:textId="77777777" w:rsidR="007E365E" w:rsidRPr="000F09E5" w:rsidRDefault="007E365E" w:rsidP="007E365E">
      <w:pPr>
        <w:pStyle w:val="CGCParaNumber"/>
      </w:pPr>
      <w:bookmarkStart w:id="406" w:name="_Ref24115403"/>
      <w:r w:rsidRPr="000F09E5">
        <w:t>In this review the recurrent regional costs assessments have changed significantly</w:t>
      </w:r>
      <w:r>
        <w:t xml:space="preserve">. In the Health and Justice categories, regional costs are embedded within the assessment and are </w:t>
      </w:r>
      <w:r w:rsidRPr="000F09E5">
        <w:t>unable to be split from differences in use between regions. In these assessments the cost weight for remote areas reflects both the higher cost of comparable services, and the high level of service provided. Ideally, the Commission would aim to retain the measure of the higher level of service provided in the stock factors, but replace the measure of higher costs of recurrent service provision with Rawlinsons’ estimates of the higher cost of construction. However, it is not possible to separate these elements, so the Commission has retained the recurrent costs, and not applied the Rawlinsons regional cost gradient in these categories. Implicitly it has assumed that for those services the effect of regional influences on recurrent costs is similar to its effect on the cost of investment.</w:t>
      </w:r>
      <w:bookmarkEnd w:id="406"/>
      <w:r w:rsidRPr="000F09E5">
        <w:t xml:space="preserve"> </w:t>
      </w:r>
    </w:p>
    <w:p w14:paraId="29B3109C" w14:textId="77777777" w:rsidR="007E365E" w:rsidRPr="000F09E5" w:rsidRDefault="007E365E" w:rsidP="007E365E">
      <w:pPr>
        <w:pStyle w:val="CGCParaNumber"/>
      </w:pPr>
      <w:r w:rsidRPr="000F09E5">
        <w:t>Western Australia advocated subtracting the 2015 Review regional cost gradient from the stock factor calculation and then adding Rawlinsons’ regional cost gradients. The Commission consider</w:t>
      </w:r>
      <w:r>
        <w:t>ed</w:t>
      </w:r>
      <w:r w:rsidRPr="000F09E5">
        <w:t xml:space="preserve"> that approach </w:t>
      </w:r>
      <w:r>
        <w:t>to be</w:t>
      </w:r>
      <w:r w:rsidRPr="000F09E5">
        <w:t xml:space="preserve"> unnecessarily complex. </w:t>
      </w:r>
    </w:p>
    <w:p w14:paraId="55910078" w14:textId="77777777" w:rsidR="007E365E" w:rsidRPr="000F09E5" w:rsidRDefault="007E365E" w:rsidP="007E365E">
      <w:pPr>
        <w:pStyle w:val="Heading5"/>
      </w:pPr>
      <w:r w:rsidRPr="000F09E5">
        <w:t>Blending</w:t>
      </w:r>
    </w:p>
    <w:p w14:paraId="36CBE698" w14:textId="77777777" w:rsidR="007E365E" w:rsidRPr="000F09E5" w:rsidRDefault="007E365E" w:rsidP="007E365E">
      <w:pPr>
        <w:pStyle w:val="CGCParaNumber"/>
      </w:pPr>
      <w:r w:rsidRPr="000F09E5">
        <w:t xml:space="preserve">In the 2015 Review, the Commission introduced a construction cost index to measure capital costs. Construction cost indices published by Rawlinsons were considered reliable and comprehensive indicators of underlying differences in construction costs. However, due to some concerns about how well the indices capture some cost differentials, such as those for road construction and equipment, the Commission decided to assess capital cost disabilities as a blend of undiscounted factors based on Rawlinsons’ construction cost indices and the recurrent wage and regional cost factors. </w:t>
      </w:r>
    </w:p>
    <w:p w14:paraId="475A1761" w14:textId="77777777" w:rsidR="007E365E" w:rsidRPr="000F09E5" w:rsidRDefault="007E365E" w:rsidP="007E365E">
      <w:pPr>
        <w:pStyle w:val="CGCParaNumber"/>
      </w:pPr>
      <w:r w:rsidRPr="000F09E5">
        <w:t xml:space="preserve">In this review, the Commission considers that blending the interstate differences in construction costs with interstate differences in wage costs remains the best measure of interstate differences in the costs of investment. However, the increased usage of category specific recurrent regional costs gradients reduces the justification for using a general recurrent regional cost gradient. With the exception of a small number of categories described below, Rawlinsons’ measure of differences in regional costs is applied to these interstate cost differences. </w:t>
      </w:r>
    </w:p>
    <w:p w14:paraId="663FCCFC" w14:textId="77777777" w:rsidR="007E365E" w:rsidRDefault="007E365E" w:rsidP="007E365E">
      <w:pPr>
        <w:pStyle w:val="CGCParaNumber"/>
      </w:pPr>
      <w:r w:rsidRPr="00FD0074">
        <w:t>Western Australia opposed blending construction costs with the wages assessment on the grounds that construction costs contains Rawlinsons</w:t>
      </w:r>
      <w:r>
        <w:t>’</w:t>
      </w:r>
      <w:r w:rsidRPr="00FD0074">
        <w:t xml:space="preserve"> estimate of differences in wages of construction workers. </w:t>
      </w:r>
      <w:r>
        <w:t xml:space="preserve">However, while both the wage cost and Rawlinsons’ factors include measures of wage costs, blending is still warranted given the uncertainty over the coverage of the Rawlinsons indices. In addition, </w:t>
      </w:r>
      <w:r w:rsidRPr="00FD0074">
        <w:t xml:space="preserve">factors contribute equally (50/50) to the assessment so </w:t>
      </w:r>
      <w:r w:rsidRPr="00FD0074">
        <w:lastRenderedPageBreak/>
        <w:t>there is no double counting. Therefore, the use of a blended assessment allows the Commission to use data in a way that reflects its confidence in that data without any double counting and while fully assessing the cost differences between States</w:t>
      </w:r>
      <w:r>
        <w:t>.</w:t>
      </w:r>
    </w:p>
    <w:p w14:paraId="38A7DD34" w14:textId="38BFBFD4" w:rsidR="007E365E" w:rsidRPr="000F09E5" w:rsidRDefault="007E365E" w:rsidP="007E365E">
      <w:pPr>
        <w:pStyle w:val="CGCParaNumber"/>
      </w:pPr>
      <w:r w:rsidRPr="000F09E5">
        <w:fldChar w:fldCharType="begin"/>
      </w:r>
      <w:r w:rsidRPr="000F09E5">
        <w:instrText xml:space="preserve"> REF _Ref23951651 \h  \* MERGEFORMAT </w:instrText>
      </w:r>
      <w:r w:rsidRPr="000F09E5">
        <w:fldChar w:fldCharType="separate"/>
      </w:r>
      <w:r w:rsidR="007F721A" w:rsidRPr="000F09E5">
        <w:t xml:space="preserve">Table </w:t>
      </w:r>
      <w:r w:rsidR="007F721A">
        <w:rPr>
          <w:noProof/>
        </w:rPr>
        <w:t>24-6</w:t>
      </w:r>
      <w:r w:rsidRPr="000F09E5">
        <w:fldChar w:fldCharType="end"/>
      </w:r>
      <w:r w:rsidRPr="000F09E5">
        <w:t xml:space="preserve"> shows the cost factor applied in each component. For most categories, the assessed construction costs are calculated using the share of population in each region. For roads, the construction costs in each region are applied to the relevant indicator: population in UCLs over 40,000 for urban roads and </w:t>
      </w:r>
      <w:r>
        <w:t xml:space="preserve">rural road length for </w:t>
      </w:r>
      <w:r w:rsidRPr="000F09E5">
        <w:t xml:space="preserve">rural roads. Only the interstate gradient is considered relevant to urban transport. Because the recurrent regional cost influences cannot be excluded from the capital stock factors in Health and Justice, these influences are excluded from the cost factor to avoid double counting. Only interstate differences in construction are applied to investment in these components. </w:t>
      </w:r>
    </w:p>
    <w:p w14:paraId="1ADDDED2" w14:textId="06639B3B" w:rsidR="007E365E" w:rsidRDefault="007E365E" w:rsidP="007E365E">
      <w:pPr>
        <w:pStyle w:val="Caption"/>
      </w:pPr>
      <w:bookmarkStart w:id="407" w:name="_Ref23951651"/>
      <w:r w:rsidRPr="000F09E5">
        <w:t xml:space="preserve">Table </w:t>
      </w:r>
      <w:r>
        <w:t>24-</w:t>
      </w:r>
      <w:fldSimple w:instr=" SEQ Table \* ARABIC ">
        <w:r w:rsidR="007F721A">
          <w:rPr>
            <w:noProof/>
          </w:rPr>
          <w:t>6</w:t>
        </w:r>
      </w:fldSimple>
      <w:bookmarkEnd w:id="407"/>
      <w:r w:rsidRPr="000F09E5">
        <w:tab/>
      </w:r>
      <w:r w:rsidRPr="000F09E5">
        <w:tab/>
      </w:r>
      <w:r>
        <w:t>Investment, c</w:t>
      </w:r>
      <w:r w:rsidRPr="000F09E5">
        <w:t>ost factor by component</w:t>
      </w:r>
      <w:r>
        <w:t>, 2020 Review</w:t>
      </w:r>
    </w:p>
    <w:tbl>
      <w:tblPr>
        <w:tblW w:w="8960" w:type="dxa"/>
        <w:tblCellMar>
          <w:left w:w="0" w:type="dxa"/>
        </w:tblCellMar>
        <w:tblLook w:val="04A0" w:firstRow="1" w:lastRow="0" w:firstColumn="1" w:lastColumn="0" w:noHBand="0" w:noVBand="1"/>
      </w:tblPr>
      <w:tblGrid>
        <w:gridCol w:w="3460"/>
        <w:gridCol w:w="5500"/>
      </w:tblGrid>
      <w:tr w:rsidR="007E365E" w:rsidRPr="009278C4" w14:paraId="630B9FE6" w14:textId="77777777" w:rsidTr="007D1D77">
        <w:trPr>
          <w:trHeight w:val="375"/>
        </w:trPr>
        <w:tc>
          <w:tcPr>
            <w:tcW w:w="3460" w:type="dxa"/>
            <w:tcBorders>
              <w:top w:val="nil"/>
              <w:left w:val="nil"/>
              <w:bottom w:val="nil"/>
              <w:right w:val="nil"/>
            </w:tcBorders>
            <w:shd w:val="clear" w:color="000000" w:fill="006991"/>
            <w:vAlign w:val="center"/>
            <w:hideMark/>
          </w:tcPr>
          <w:p w14:paraId="4CB9EA57" w14:textId="77777777" w:rsidR="007E365E" w:rsidRPr="009278C4"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9278C4">
              <w:rPr>
                <w:rFonts w:ascii="Open Sans SemiBold" w:eastAsia="Times New Roman" w:hAnsi="Open Sans SemiBold" w:cs="Open Sans SemiBold"/>
                <w:color w:val="FFFFFF"/>
                <w:sz w:val="16"/>
                <w:szCs w:val="16"/>
                <w:lang w:eastAsia="en-AU"/>
              </w:rPr>
              <w:t>Component</w:t>
            </w:r>
          </w:p>
        </w:tc>
        <w:tc>
          <w:tcPr>
            <w:tcW w:w="5500" w:type="dxa"/>
            <w:tcBorders>
              <w:top w:val="nil"/>
              <w:left w:val="nil"/>
              <w:bottom w:val="nil"/>
              <w:right w:val="nil"/>
            </w:tcBorders>
            <w:shd w:val="clear" w:color="000000" w:fill="006991"/>
            <w:vAlign w:val="center"/>
            <w:hideMark/>
          </w:tcPr>
          <w:p w14:paraId="135FF376" w14:textId="77777777" w:rsidR="007E365E" w:rsidRPr="009278C4"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9278C4">
              <w:rPr>
                <w:rFonts w:ascii="Open Sans SemiBold" w:eastAsia="Times New Roman" w:hAnsi="Open Sans SemiBold" w:cs="Open Sans SemiBold"/>
                <w:color w:val="FFFFFF"/>
                <w:sz w:val="16"/>
                <w:szCs w:val="16"/>
                <w:lang w:eastAsia="en-AU"/>
              </w:rPr>
              <w:t>Cost factor</w:t>
            </w:r>
          </w:p>
        </w:tc>
      </w:tr>
      <w:tr w:rsidR="007E365E" w:rsidRPr="009278C4" w14:paraId="75ACD0C4" w14:textId="77777777" w:rsidTr="007D1D77">
        <w:trPr>
          <w:trHeight w:val="315"/>
        </w:trPr>
        <w:tc>
          <w:tcPr>
            <w:tcW w:w="3460" w:type="dxa"/>
            <w:tcBorders>
              <w:top w:val="single" w:sz="4" w:space="0" w:color="ADD6EA"/>
              <w:left w:val="nil"/>
              <w:bottom w:val="single" w:sz="4" w:space="0" w:color="ADD6EA"/>
              <w:right w:val="nil"/>
            </w:tcBorders>
            <w:shd w:val="clear" w:color="auto" w:fill="auto"/>
            <w:vAlign w:val="bottom"/>
            <w:hideMark/>
          </w:tcPr>
          <w:p w14:paraId="500236EF"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Schools</w:t>
            </w:r>
          </w:p>
        </w:tc>
        <w:tc>
          <w:tcPr>
            <w:tcW w:w="5500" w:type="dxa"/>
            <w:tcBorders>
              <w:top w:val="single" w:sz="4" w:space="0" w:color="ADD6EA"/>
              <w:left w:val="nil"/>
              <w:bottom w:val="single" w:sz="4" w:space="0" w:color="ADD6EA"/>
              <w:right w:val="nil"/>
            </w:tcBorders>
            <w:shd w:val="clear" w:color="auto" w:fill="auto"/>
            <w:vAlign w:val="bottom"/>
            <w:hideMark/>
          </w:tcPr>
          <w:p w14:paraId="00025CC0"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 Regional and Interstate </w:t>
            </w:r>
          </w:p>
        </w:tc>
      </w:tr>
      <w:tr w:rsidR="007E365E" w:rsidRPr="009278C4" w14:paraId="5A234674" w14:textId="77777777" w:rsidTr="007D1D77">
        <w:trPr>
          <w:trHeight w:val="315"/>
        </w:trPr>
        <w:tc>
          <w:tcPr>
            <w:tcW w:w="3460" w:type="dxa"/>
            <w:tcBorders>
              <w:top w:val="nil"/>
              <w:left w:val="nil"/>
              <w:bottom w:val="single" w:sz="4" w:space="0" w:color="ADD6EA"/>
              <w:right w:val="nil"/>
            </w:tcBorders>
            <w:shd w:val="clear" w:color="auto" w:fill="auto"/>
            <w:vAlign w:val="bottom"/>
            <w:hideMark/>
          </w:tcPr>
          <w:p w14:paraId="01D1F70E"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Post-secondary education</w:t>
            </w:r>
          </w:p>
        </w:tc>
        <w:tc>
          <w:tcPr>
            <w:tcW w:w="5500" w:type="dxa"/>
            <w:tcBorders>
              <w:top w:val="nil"/>
              <w:left w:val="nil"/>
              <w:bottom w:val="single" w:sz="4" w:space="0" w:color="ADD6EA"/>
              <w:right w:val="nil"/>
            </w:tcBorders>
            <w:shd w:val="clear" w:color="auto" w:fill="auto"/>
            <w:vAlign w:val="bottom"/>
            <w:hideMark/>
          </w:tcPr>
          <w:p w14:paraId="6EFF7B1F"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 Regional and Interstate </w:t>
            </w:r>
          </w:p>
        </w:tc>
      </w:tr>
      <w:tr w:rsidR="007E365E" w:rsidRPr="009278C4" w14:paraId="28E8AA55" w14:textId="77777777" w:rsidTr="007D1D77">
        <w:trPr>
          <w:trHeight w:val="315"/>
        </w:trPr>
        <w:tc>
          <w:tcPr>
            <w:tcW w:w="3460" w:type="dxa"/>
            <w:tcBorders>
              <w:top w:val="nil"/>
              <w:left w:val="nil"/>
              <w:bottom w:val="single" w:sz="4" w:space="0" w:color="ADD6EA"/>
              <w:right w:val="nil"/>
            </w:tcBorders>
            <w:shd w:val="clear" w:color="auto" w:fill="auto"/>
            <w:vAlign w:val="bottom"/>
            <w:hideMark/>
          </w:tcPr>
          <w:p w14:paraId="1652BA2B"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Health</w:t>
            </w:r>
          </w:p>
        </w:tc>
        <w:tc>
          <w:tcPr>
            <w:tcW w:w="5500" w:type="dxa"/>
            <w:tcBorders>
              <w:top w:val="nil"/>
              <w:left w:val="nil"/>
              <w:bottom w:val="single" w:sz="4" w:space="0" w:color="ADD6EA"/>
              <w:right w:val="nil"/>
            </w:tcBorders>
            <w:shd w:val="clear" w:color="auto" w:fill="auto"/>
            <w:vAlign w:val="bottom"/>
            <w:hideMark/>
          </w:tcPr>
          <w:p w14:paraId="7EBCB7EB"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 Interstate </w:t>
            </w:r>
          </w:p>
        </w:tc>
      </w:tr>
      <w:tr w:rsidR="007E365E" w:rsidRPr="009278C4" w14:paraId="04E08410" w14:textId="77777777" w:rsidTr="007D1D77">
        <w:trPr>
          <w:trHeight w:val="315"/>
        </w:trPr>
        <w:tc>
          <w:tcPr>
            <w:tcW w:w="3460" w:type="dxa"/>
            <w:tcBorders>
              <w:top w:val="nil"/>
              <w:left w:val="nil"/>
              <w:bottom w:val="single" w:sz="4" w:space="0" w:color="ADD6EA"/>
              <w:right w:val="nil"/>
            </w:tcBorders>
            <w:shd w:val="clear" w:color="auto" w:fill="auto"/>
            <w:vAlign w:val="bottom"/>
            <w:hideMark/>
          </w:tcPr>
          <w:p w14:paraId="00DB5161"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Housing</w:t>
            </w:r>
          </w:p>
        </w:tc>
        <w:tc>
          <w:tcPr>
            <w:tcW w:w="5500" w:type="dxa"/>
            <w:tcBorders>
              <w:top w:val="nil"/>
              <w:left w:val="nil"/>
              <w:bottom w:val="single" w:sz="4" w:space="0" w:color="ADD6EA"/>
              <w:right w:val="nil"/>
            </w:tcBorders>
            <w:shd w:val="clear" w:color="auto" w:fill="auto"/>
            <w:vAlign w:val="bottom"/>
            <w:hideMark/>
          </w:tcPr>
          <w:p w14:paraId="78CDA930"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 Regional and Interstate </w:t>
            </w:r>
          </w:p>
        </w:tc>
      </w:tr>
      <w:tr w:rsidR="007E365E" w:rsidRPr="009278C4" w14:paraId="5020B792" w14:textId="77777777" w:rsidTr="007D1D77">
        <w:trPr>
          <w:trHeight w:val="315"/>
        </w:trPr>
        <w:tc>
          <w:tcPr>
            <w:tcW w:w="3460" w:type="dxa"/>
            <w:tcBorders>
              <w:top w:val="nil"/>
              <w:left w:val="nil"/>
              <w:bottom w:val="single" w:sz="4" w:space="0" w:color="ADD6EA"/>
              <w:right w:val="nil"/>
            </w:tcBorders>
            <w:shd w:val="clear" w:color="auto" w:fill="auto"/>
            <w:vAlign w:val="bottom"/>
            <w:hideMark/>
          </w:tcPr>
          <w:p w14:paraId="34370EF0"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Welfare</w:t>
            </w:r>
          </w:p>
        </w:tc>
        <w:tc>
          <w:tcPr>
            <w:tcW w:w="5500" w:type="dxa"/>
            <w:tcBorders>
              <w:top w:val="nil"/>
              <w:left w:val="nil"/>
              <w:bottom w:val="single" w:sz="4" w:space="0" w:color="ADD6EA"/>
              <w:right w:val="nil"/>
            </w:tcBorders>
            <w:shd w:val="clear" w:color="auto" w:fill="auto"/>
            <w:vAlign w:val="bottom"/>
            <w:hideMark/>
          </w:tcPr>
          <w:p w14:paraId="3F44DEB6"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 Regional and Interstate </w:t>
            </w:r>
          </w:p>
        </w:tc>
      </w:tr>
      <w:tr w:rsidR="007E365E" w:rsidRPr="009278C4" w14:paraId="2D2B5A75" w14:textId="77777777" w:rsidTr="007D1D77">
        <w:trPr>
          <w:trHeight w:val="315"/>
        </w:trPr>
        <w:tc>
          <w:tcPr>
            <w:tcW w:w="3460" w:type="dxa"/>
            <w:tcBorders>
              <w:top w:val="nil"/>
              <w:left w:val="nil"/>
              <w:bottom w:val="single" w:sz="4" w:space="0" w:color="ADD6EA"/>
              <w:right w:val="nil"/>
            </w:tcBorders>
            <w:shd w:val="clear" w:color="auto" w:fill="auto"/>
            <w:vAlign w:val="bottom"/>
            <w:hideMark/>
          </w:tcPr>
          <w:p w14:paraId="122F3282"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Services to </w:t>
            </w:r>
            <w:r>
              <w:rPr>
                <w:rFonts w:eastAsia="Times New Roman" w:cs="Open Sans Light"/>
                <w:sz w:val="16"/>
                <w:szCs w:val="16"/>
                <w:lang w:eastAsia="en-AU"/>
              </w:rPr>
              <w:t>c</w:t>
            </w:r>
            <w:r w:rsidRPr="009278C4">
              <w:rPr>
                <w:rFonts w:eastAsia="Times New Roman" w:cs="Open Sans Light"/>
                <w:sz w:val="16"/>
                <w:szCs w:val="16"/>
                <w:lang w:eastAsia="en-AU"/>
              </w:rPr>
              <w:t>ommunities</w:t>
            </w:r>
          </w:p>
        </w:tc>
        <w:tc>
          <w:tcPr>
            <w:tcW w:w="5500" w:type="dxa"/>
            <w:tcBorders>
              <w:top w:val="nil"/>
              <w:left w:val="nil"/>
              <w:bottom w:val="single" w:sz="4" w:space="0" w:color="ADD6EA"/>
              <w:right w:val="nil"/>
            </w:tcBorders>
            <w:shd w:val="clear" w:color="auto" w:fill="auto"/>
            <w:vAlign w:val="bottom"/>
            <w:hideMark/>
          </w:tcPr>
          <w:p w14:paraId="37B1703B"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 Regional and Interstate </w:t>
            </w:r>
          </w:p>
        </w:tc>
      </w:tr>
      <w:tr w:rsidR="007E365E" w:rsidRPr="009278C4" w14:paraId="64964FAA" w14:textId="77777777" w:rsidTr="007D1D77">
        <w:trPr>
          <w:trHeight w:val="315"/>
        </w:trPr>
        <w:tc>
          <w:tcPr>
            <w:tcW w:w="3460" w:type="dxa"/>
            <w:tcBorders>
              <w:top w:val="nil"/>
              <w:left w:val="nil"/>
              <w:bottom w:val="single" w:sz="4" w:space="0" w:color="ADD6EA"/>
              <w:right w:val="nil"/>
            </w:tcBorders>
            <w:shd w:val="clear" w:color="auto" w:fill="auto"/>
            <w:vAlign w:val="bottom"/>
            <w:hideMark/>
          </w:tcPr>
          <w:p w14:paraId="7339F7DE"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Justice</w:t>
            </w:r>
          </w:p>
        </w:tc>
        <w:tc>
          <w:tcPr>
            <w:tcW w:w="5500" w:type="dxa"/>
            <w:tcBorders>
              <w:top w:val="nil"/>
              <w:left w:val="nil"/>
              <w:bottom w:val="single" w:sz="4" w:space="0" w:color="ADD6EA"/>
              <w:right w:val="nil"/>
            </w:tcBorders>
            <w:shd w:val="clear" w:color="auto" w:fill="auto"/>
            <w:vAlign w:val="bottom"/>
            <w:hideMark/>
          </w:tcPr>
          <w:p w14:paraId="11E6F6CA"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 Interstate </w:t>
            </w:r>
          </w:p>
        </w:tc>
      </w:tr>
      <w:tr w:rsidR="007E365E" w:rsidRPr="009278C4" w14:paraId="6BAEBA81" w14:textId="77777777" w:rsidTr="007D1D77">
        <w:trPr>
          <w:trHeight w:val="315"/>
        </w:trPr>
        <w:tc>
          <w:tcPr>
            <w:tcW w:w="3460" w:type="dxa"/>
            <w:tcBorders>
              <w:top w:val="nil"/>
              <w:left w:val="nil"/>
              <w:bottom w:val="single" w:sz="4" w:space="0" w:color="ADD6EA"/>
              <w:right w:val="nil"/>
            </w:tcBorders>
            <w:shd w:val="clear" w:color="auto" w:fill="auto"/>
            <w:vAlign w:val="bottom"/>
            <w:hideMark/>
          </w:tcPr>
          <w:p w14:paraId="757B1402"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Rural roads</w:t>
            </w:r>
          </w:p>
        </w:tc>
        <w:tc>
          <w:tcPr>
            <w:tcW w:w="5500" w:type="dxa"/>
            <w:tcBorders>
              <w:top w:val="nil"/>
              <w:left w:val="nil"/>
              <w:bottom w:val="single" w:sz="4" w:space="0" w:color="ADD6EA"/>
              <w:right w:val="nil"/>
            </w:tcBorders>
            <w:shd w:val="clear" w:color="auto" w:fill="auto"/>
            <w:vAlign w:val="bottom"/>
            <w:hideMark/>
          </w:tcPr>
          <w:p w14:paraId="0DBB761C"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 Regional (a) and Interstate </w:t>
            </w:r>
          </w:p>
        </w:tc>
      </w:tr>
      <w:tr w:rsidR="007E365E" w:rsidRPr="009278C4" w14:paraId="70E4851A" w14:textId="77777777" w:rsidTr="007D1D77">
        <w:trPr>
          <w:trHeight w:val="315"/>
        </w:trPr>
        <w:tc>
          <w:tcPr>
            <w:tcW w:w="3460" w:type="dxa"/>
            <w:tcBorders>
              <w:top w:val="nil"/>
              <w:left w:val="nil"/>
              <w:bottom w:val="single" w:sz="4" w:space="0" w:color="ADD6EA"/>
              <w:right w:val="nil"/>
            </w:tcBorders>
            <w:shd w:val="clear" w:color="auto" w:fill="auto"/>
            <w:vAlign w:val="bottom"/>
            <w:hideMark/>
          </w:tcPr>
          <w:p w14:paraId="2935D8C2"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Urban roads</w:t>
            </w:r>
          </w:p>
        </w:tc>
        <w:tc>
          <w:tcPr>
            <w:tcW w:w="5500" w:type="dxa"/>
            <w:tcBorders>
              <w:top w:val="nil"/>
              <w:left w:val="nil"/>
              <w:bottom w:val="single" w:sz="4" w:space="0" w:color="ADD6EA"/>
              <w:right w:val="nil"/>
            </w:tcBorders>
            <w:shd w:val="clear" w:color="auto" w:fill="auto"/>
            <w:vAlign w:val="bottom"/>
            <w:hideMark/>
          </w:tcPr>
          <w:p w14:paraId="11C9418D"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 Regional (a) and Interstate </w:t>
            </w:r>
          </w:p>
        </w:tc>
      </w:tr>
      <w:tr w:rsidR="007E365E" w:rsidRPr="009278C4" w14:paraId="7438507B" w14:textId="77777777" w:rsidTr="007D1D77">
        <w:trPr>
          <w:trHeight w:val="315"/>
        </w:trPr>
        <w:tc>
          <w:tcPr>
            <w:tcW w:w="3460" w:type="dxa"/>
            <w:tcBorders>
              <w:top w:val="nil"/>
              <w:left w:val="nil"/>
              <w:bottom w:val="single" w:sz="4" w:space="0" w:color="ADD6EA"/>
              <w:right w:val="nil"/>
            </w:tcBorders>
            <w:shd w:val="clear" w:color="auto" w:fill="auto"/>
            <w:vAlign w:val="bottom"/>
            <w:hideMark/>
          </w:tcPr>
          <w:p w14:paraId="09D33035"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Urban transport</w:t>
            </w:r>
          </w:p>
        </w:tc>
        <w:tc>
          <w:tcPr>
            <w:tcW w:w="5500" w:type="dxa"/>
            <w:tcBorders>
              <w:top w:val="nil"/>
              <w:left w:val="nil"/>
              <w:bottom w:val="single" w:sz="4" w:space="0" w:color="ADD6EA"/>
              <w:right w:val="nil"/>
            </w:tcBorders>
            <w:shd w:val="clear" w:color="auto" w:fill="auto"/>
            <w:vAlign w:val="bottom"/>
            <w:hideMark/>
          </w:tcPr>
          <w:p w14:paraId="05ED1B2D"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 Interstate </w:t>
            </w:r>
          </w:p>
        </w:tc>
      </w:tr>
      <w:tr w:rsidR="007E365E" w:rsidRPr="009278C4" w14:paraId="1124B1F9" w14:textId="77777777" w:rsidTr="007D1D77">
        <w:trPr>
          <w:trHeight w:val="315"/>
        </w:trPr>
        <w:tc>
          <w:tcPr>
            <w:tcW w:w="3460" w:type="dxa"/>
            <w:tcBorders>
              <w:top w:val="nil"/>
              <w:left w:val="nil"/>
              <w:bottom w:val="single" w:sz="4" w:space="0" w:color="ADD6EA"/>
              <w:right w:val="nil"/>
            </w:tcBorders>
            <w:shd w:val="clear" w:color="auto" w:fill="auto"/>
            <w:vAlign w:val="bottom"/>
            <w:hideMark/>
          </w:tcPr>
          <w:p w14:paraId="2F74754C"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Non-urban transport</w:t>
            </w:r>
          </w:p>
        </w:tc>
        <w:tc>
          <w:tcPr>
            <w:tcW w:w="5500" w:type="dxa"/>
            <w:tcBorders>
              <w:top w:val="nil"/>
              <w:left w:val="nil"/>
              <w:bottom w:val="single" w:sz="4" w:space="0" w:color="ADD6EA"/>
              <w:right w:val="nil"/>
            </w:tcBorders>
            <w:shd w:val="clear" w:color="auto" w:fill="auto"/>
            <w:vAlign w:val="bottom"/>
            <w:hideMark/>
          </w:tcPr>
          <w:p w14:paraId="21C4ACC4"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 Regional and Interstate </w:t>
            </w:r>
          </w:p>
        </w:tc>
      </w:tr>
      <w:tr w:rsidR="007E365E" w:rsidRPr="009278C4" w14:paraId="0E2D8481" w14:textId="77777777" w:rsidTr="007D1D77">
        <w:trPr>
          <w:trHeight w:val="315"/>
        </w:trPr>
        <w:tc>
          <w:tcPr>
            <w:tcW w:w="3460" w:type="dxa"/>
            <w:tcBorders>
              <w:top w:val="nil"/>
              <w:left w:val="nil"/>
              <w:bottom w:val="single" w:sz="4" w:space="0" w:color="ADD6EA"/>
              <w:right w:val="nil"/>
            </w:tcBorders>
            <w:shd w:val="clear" w:color="auto" w:fill="auto"/>
            <w:vAlign w:val="bottom"/>
            <w:hideMark/>
          </w:tcPr>
          <w:p w14:paraId="47CC5DF8"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Services to </w:t>
            </w:r>
            <w:r>
              <w:rPr>
                <w:rFonts w:eastAsia="Times New Roman" w:cs="Open Sans Light"/>
                <w:sz w:val="16"/>
                <w:szCs w:val="16"/>
                <w:lang w:eastAsia="en-AU"/>
              </w:rPr>
              <w:t>i</w:t>
            </w:r>
            <w:r w:rsidRPr="009278C4">
              <w:rPr>
                <w:rFonts w:eastAsia="Times New Roman" w:cs="Open Sans Light"/>
                <w:sz w:val="16"/>
                <w:szCs w:val="16"/>
                <w:lang w:eastAsia="en-AU"/>
              </w:rPr>
              <w:t>ndustry</w:t>
            </w:r>
          </w:p>
        </w:tc>
        <w:tc>
          <w:tcPr>
            <w:tcW w:w="5500" w:type="dxa"/>
            <w:tcBorders>
              <w:top w:val="nil"/>
              <w:left w:val="nil"/>
              <w:bottom w:val="single" w:sz="4" w:space="0" w:color="ADD6EA"/>
              <w:right w:val="nil"/>
            </w:tcBorders>
            <w:shd w:val="clear" w:color="auto" w:fill="auto"/>
            <w:vAlign w:val="bottom"/>
            <w:hideMark/>
          </w:tcPr>
          <w:p w14:paraId="063DDBFF"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 Regional and Interstate </w:t>
            </w:r>
          </w:p>
        </w:tc>
      </w:tr>
      <w:tr w:rsidR="007E365E" w:rsidRPr="009278C4" w14:paraId="47E5DFFD" w14:textId="77777777" w:rsidTr="007D1D77">
        <w:trPr>
          <w:trHeight w:val="315"/>
        </w:trPr>
        <w:tc>
          <w:tcPr>
            <w:tcW w:w="3460" w:type="dxa"/>
            <w:tcBorders>
              <w:top w:val="nil"/>
              <w:left w:val="nil"/>
              <w:bottom w:val="single" w:sz="4" w:space="0" w:color="ADD6EA"/>
              <w:right w:val="nil"/>
            </w:tcBorders>
            <w:shd w:val="clear" w:color="auto" w:fill="auto"/>
            <w:vAlign w:val="bottom"/>
            <w:hideMark/>
          </w:tcPr>
          <w:p w14:paraId="03410B8E"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Other </w:t>
            </w:r>
            <w:r>
              <w:rPr>
                <w:rFonts w:eastAsia="Times New Roman" w:cs="Open Sans Light"/>
                <w:sz w:val="16"/>
                <w:szCs w:val="16"/>
                <w:lang w:eastAsia="en-AU"/>
              </w:rPr>
              <w:t>e</w:t>
            </w:r>
            <w:r w:rsidRPr="009278C4">
              <w:rPr>
                <w:rFonts w:eastAsia="Times New Roman" w:cs="Open Sans Light"/>
                <w:sz w:val="16"/>
                <w:szCs w:val="16"/>
                <w:lang w:eastAsia="en-AU"/>
              </w:rPr>
              <w:t>xpenses</w:t>
            </w:r>
          </w:p>
        </w:tc>
        <w:tc>
          <w:tcPr>
            <w:tcW w:w="5500" w:type="dxa"/>
            <w:tcBorders>
              <w:top w:val="nil"/>
              <w:left w:val="nil"/>
              <w:bottom w:val="single" w:sz="4" w:space="0" w:color="ADD6EA"/>
              <w:right w:val="nil"/>
            </w:tcBorders>
            <w:shd w:val="clear" w:color="auto" w:fill="auto"/>
            <w:vAlign w:val="bottom"/>
            <w:hideMark/>
          </w:tcPr>
          <w:p w14:paraId="7164ED05" w14:textId="77777777" w:rsidR="007E365E" w:rsidRPr="009278C4" w:rsidRDefault="007E365E" w:rsidP="007D1D77">
            <w:pPr>
              <w:tabs>
                <w:tab w:val="clear" w:pos="567"/>
              </w:tabs>
              <w:spacing w:before="0" w:line="240" w:lineRule="auto"/>
              <w:rPr>
                <w:rFonts w:eastAsia="Times New Roman" w:cs="Open Sans Light"/>
                <w:sz w:val="16"/>
                <w:szCs w:val="16"/>
                <w:lang w:eastAsia="en-AU"/>
              </w:rPr>
            </w:pPr>
            <w:r w:rsidRPr="009278C4">
              <w:rPr>
                <w:rFonts w:eastAsia="Times New Roman" w:cs="Open Sans Light"/>
                <w:sz w:val="16"/>
                <w:szCs w:val="16"/>
                <w:lang w:eastAsia="en-AU"/>
              </w:rPr>
              <w:t xml:space="preserve"> Regional and Interstate </w:t>
            </w:r>
          </w:p>
        </w:tc>
      </w:tr>
    </w:tbl>
    <w:p w14:paraId="58CED18A" w14:textId="77777777" w:rsidR="007E365E" w:rsidRPr="00942FA8" w:rsidRDefault="007E365E" w:rsidP="007E365E">
      <w:pPr>
        <w:pStyle w:val="CGCTablenote"/>
        <w:keepNext/>
      </w:pPr>
      <w:r w:rsidRPr="00942FA8">
        <w:t>Note:</w:t>
      </w:r>
      <w:r>
        <w:tab/>
      </w:r>
      <w:r w:rsidRPr="00942FA8">
        <w:t>Interstate refers to the blended Rawlinsons’ interstate differences in construction costs with interstate differences in wage costs. Regional refers to the Rawlinsons State regional indices, unless otherwise noted.</w:t>
      </w:r>
    </w:p>
    <w:p w14:paraId="114972CD" w14:textId="777CA863" w:rsidR="007E365E" w:rsidRPr="00942FA8" w:rsidRDefault="00E34D39" w:rsidP="00E34D39">
      <w:pPr>
        <w:pStyle w:val="CGCTablenote"/>
      </w:pPr>
      <w:r w:rsidRPr="00E34D39">
        <w:t>(a</w:t>
      </w:r>
      <w:r>
        <w:t>)</w:t>
      </w:r>
      <w:r>
        <w:tab/>
      </w:r>
      <w:r w:rsidR="007E365E" w:rsidRPr="00942FA8">
        <w:t xml:space="preserve">The regional cost gradient weighted by a category specific distribution of </w:t>
      </w:r>
      <w:r w:rsidR="007E365E">
        <w:t>the relevant indicator/population</w:t>
      </w:r>
      <w:r w:rsidR="007E365E" w:rsidRPr="00942FA8">
        <w:t xml:space="preserve">, rather than the distribution of the total population. </w:t>
      </w:r>
    </w:p>
    <w:p w14:paraId="49C5E9E1" w14:textId="77777777" w:rsidR="007E365E" w:rsidRPr="000F09E5" w:rsidRDefault="007E365E" w:rsidP="007E365E">
      <w:pPr>
        <w:pStyle w:val="Heading4"/>
      </w:pPr>
      <w:bookmarkStart w:id="408" w:name="_Toc24569259"/>
      <w:bookmarkStart w:id="409" w:name="_Toc24468517"/>
      <w:r w:rsidRPr="000F09E5">
        <w:t>Negative assessed investment</w:t>
      </w:r>
      <w:bookmarkEnd w:id="408"/>
      <w:bookmarkEnd w:id="409"/>
    </w:p>
    <w:p w14:paraId="48AA3A8C" w14:textId="77777777" w:rsidR="007E365E" w:rsidRPr="000F09E5" w:rsidRDefault="007E365E" w:rsidP="007E365E">
      <w:pPr>
        <w:pStyle w:val="CGCParaNumber"/>
      </w:pPr>
      <w:r w:rsidRPr="000F09E5">
        <w:t xml:space="preserve">There are a few occasions where one or more States will be assessed as requiring fewer assets at the end of a year than they did at the start of the year. This results in a </w:t>
      </w:r>
      <w:r>
        <w:t>State being assessed as having</w:t>
      </w:r>
      <w:r w:rsidRPr="000F09E5">
        <w:t xml:space="preserve"> negative investment </w:t>
      </w:r>
      <w:r>
        <w:t>needs</w:t>
      </w:r>
      <w:r w:rsidRPr="000F09E5">
        <w:t>, sometimes referred to as having to ‘disinvest’. This can occur when:</w:t>
      </w:r>
    </w:p>
    <w:p w14:paraId="4594F695" w14:textId="77777777" w:rsidR="007E365E" w:rsidRPr="000F09E5" w:rsidRDefault="007E365E" w:rsidP="007E365E">
      <w:pPr>
        <w:pStyle w:val="CGCBullet1"/>
      </w:pPr>
      <w:r>
        <w:t>t</w:t>
      </w:r>
      <w:r w:rsidRPr="000F09E5">
        <w:t>otal State gross investment is negative</w:t>
      </w:r>
    </w:p>
    <w:p w14:paraId="7EC49747" w14:textId="77777777" w:rsidR="007E365E" w:rsidRPr="000F09E5" w:rsidRDefault="007E365E" w:rsidP="007E365E">
      <w:pPr>
        <w:pStyle w:val="CGCBullet1"/>
      </w:pPr>
      <w:r>
        <w:t>a</w:t>
      </w:r>
      <w:r w:rsidRPr="000F09E5">
        <w:t xml:space="preserve"> State’s user population growth is low or negative</w:t>
      </w:r>
      <w:r>
        <w:t>.</w:t>
      </w:r>
      <w:r w:rsidRPr="000F09E5">
        <w:rPr>
          <w:rStyle w:val="FootnoteReference"/>
        </w:rPr>
        <w:footnoteReference w:id="97"/>
      </w:r>
      <w:r w:rsidRPr="000F09E5">
        <w:t xml:space="preserve"> </w:t>
      </w:r>
    </w:p>
    <w:p w14:paraId="56EC873C" w14:textId="77777777" w:rsidR="007E365E" w:rsidRPr="000F09E5" w:rsidRDefault="007E365E" w:rsidP="007E365E">
      <w:pPr>
        <w:pStyle w:val="CGCParaNumber"/>
      </w:pPr>
      <w:r w:rsidRPr="000F09E5">
        <w:t xml:space="preserve">No State has objected to the Commission assessing negative investment in the first scenario, when that is what States are collectively doing. However, in the second scenario, the </w:t>
      </w:r>
      <w:r w:rsidRPr="000F09E5">
        <w:lastRenderedPageBreak/>
        <w:t>Northern</w:t>
      </w:r>
      <w:r>
        <w:t> </w:t>
      </w:r>
      <w:r w:rsidRPr="000F09E5">
        <w:t xml:space="preserve">Territory is concerned that States do not generally sell assets, saying that it is inappropriate for the assessment to determine that the </w:t>
      </w:r>
      <w:r>
        <w:t xml:space="preserve">Northern </w:t>
      </w:r>
      <w:r w:rsidRPr="000F09E5">
        <w:t xml:space="preserve">Territory would </w:t>
      </w:r>
      <w:r>
        <w:t xml:space="preserve">do so </w:t>
      </w:r>
      <w:r w:rsidRPr="000F09E5">
        <w:t xml:space="preserve">under average policy. The Northern Territory proposed a number of alternative approaches, including assessing investment based upon shares of national population growth, amending the assessment by imposing a floor of zero on assessed investment, or not applying stock and/cost factors in cases of disinvestment. </w:t>
      </w:r>
    </w:p>
    <w:p w14:paraId="4B0D0028" w14:textId="77777777" w:rsidR="007E365E" w:rsidRPr="000F09E5" w:rsidRDefault="007E365E" w:rsidP="007E365E">
      <w:pPr>
        <w:pStyle w:val="CGCParaNumber"/>
      </w:pPr>
      <w:r w:rsidRPr="000F09E5">
        <w:t>The Commission accept</w:t>
      </w:r>
      <w:r>
        <w:t>ed</w:t>
      </w:r>
      <w:r w:rsidRPr="000F09E5">
        <w:t xml:space="preserve"> that in practice, other than for public housing and occasionally for schools, States rarely sell infrastructure. However, it is worth considering what </w:t>
      </w:r>
      <w:r>
        <w:t>horizontal fiscal equalisation</w:t>
      </w:r>
      <w:r w:rsidRPr="000F09E5">
        <w:t xml:space="preserve"> would represent in a simple two State model. </w:t>
      </w:r>
    </w:p>
    <w:p w14:paraId="4CCBE5EF" w14:textId="5D37D2BE" w:rsidR="007E365E" w:rsidRPr="000F09E5" w:rsidRDefault="007E365E" w:rsidP="007E365E">
      <w:pPr>
        <w:pStyle w:val="CGCParaNumber"/>
      </w:pPr>
      <w:r w:rsidRPr="000F09E5">
        <w:t>Consider two States which start the year with equal per capita assets. If there is a net migration of population from State 2 to State 1, the influx of population will dilute the per</w:t>
      </w:r>
      <w:r>
        <w:t> </w:t>
      </w:r>
      <w:r w:rsidRPr="000F09E5">
        <w:t xml:space="preserve">capita assets held by the population in State 1 while per capita assets held by the population who remain in State 2 will increase. If each State were to hold equal per capita assets at the end of the year, State 1 would have to construct this level of assets (such as schoolrooms, hospital beds and public housing) while State 2 would have to divest its above average (excess) assets. That is, State 2 is assessed to have negative investment needs. If a zero investment floor were applied for State 2, it would retain an above average level of assets, while State 1 would not have the capacity to increase its assets to the average per capita. It </w:t>
      </w:r>
      <w:r w:rsidR="0004444B">
        <w:t>was</w:t>
      </w:r>
      <w:r w:rsidRPr="000F09E5">
        <w:t xml:space="preserve"> precisely to address this population dilution effect in a timely fashion that the Investment assessment was designed to achieve when introduced in the 2010 Review.</w:t>
      </w:r>
    </w:p>
    <w:p w14:paraId="4540CEC7" w14:textId="77777777" w:rsidR="007E365E" w:rsidRPr="000F09E5" w:rsidRDefault="007E365E" w:rsidP="007E365E">
      <w:pPr>
        <w:pStyle w:val="CGCParaNumber"/>
      </w:pPr>
      <w:r w:rsidRPr="000F09E5">
        <w:t xml:space="preserve">The Commission aims to give States the capacity to hold the level of infrastructure appropriate for their circumstances. The introduction of a floor would distort the assessment and result in slower growing States having the capacity to hold above average per capita assets and faster growing States below average per capita assets. </w:t>
      </w:r>
    </w:p>
    <w:p w14:paraId="624970AC" w14:textId="77777777" w:rsidR="007E365E" w:rsidRPr="000F09E5" w:rsidRDefault="007E365E" w:rsidP="007E365E">
      <w:pPr>
        <w:pStyle w:val="CGCParaNumber"/>
      </w:pPr>
      <w:r w:rsidRPr="000F09E5">
        <w:t>Because population growth is volatile, in some years, States will have growth below their long</w:t>
      </w:r>
      <w:r>
        <w:t> </w:t>
      </w:r>
      <w:r w:rsidRPr="000F09E5">
        <w:t xml:space="preserve">term average, and in other years growth will be above the long term average. The introduction of a floor in low growth years would mean that over the long term, States that occasionally experience low growth and hence negative investment would be assessed as having higher needs than States with more stable population growth. Accordingly, the Commission </w:t>
      </w:r>
      <w:r>
        <w:t>was</w:t>
      </w:r>
      <w:r w:rsidRPr="000F09E5">
        <w:t xml:space="preserve"> not persuaded that it would be appropriate to impose a floor of zero on assessed investment.  </w:t>
      </w:r>
    </w:p>
    <w:p w14:paraId="36746228" w14:textId="77777777" w:rsidR="007E365E" w:rsidRDefault="007E365E" w:rsidP="007E365E">
      <w:pPr>
        <w:pStyle w:val="CGCParaNumber"/>
      </w:pPr>
      <w:r w:rsidRPr="000F09E5">
        <w:t xml:space="preserve">The Northern Territory </w:t>
      </w:r>
      <w:r>
        <w:t>was</w:t>
      </w:r>
      <w:r w:rsidRPr="000F09E5">
        <w:t xml:space="preserve"> also concerned that the application of the cost factor to negative investment implies that it can receive higher returns on the sale of assets to reflect these higher costs. The Northern Territory argued that this is not the case, especially in Indigenous communities where construction costs are high and there are no private markets for these assets. The Commission agree</w:t>
      </w:r>
      <w:r>
        <w:t>d</w:t>
      </w:r>
      <w:r w:rsidRPr="000F09E5">
        <w:t xml:space="preserve"> with this argument. Because States will be assessed as needing to disinvest in areas </w:t>
      </w:r>
      <w:r>
        <w:t>at</w:t>
      </w:r>
      <w:r w:rsidRPr="000F09E5">
        <w:t xml:space="preserve"> times when growth, and presumably demand for such assets is low, differences in construction costs between States, or between regions, are unlikely to have a strong relationship with the value that States could receive for assets if they were to sell them. </w:t>
      </w:r>
    </w:p>
    <w:p w14:paraId="29E6730C" w14:textId="77777777" w:rsidR="007E365E" w:rsidRDefault="007E365E" w:rsidP="007E365E">
      <w:pPr>
        <w:pStyle w:val="CGCParaNumber"/>
      </w:pPr>
      <w:r w:rsidRPr="001B2558">
        <w:t>Victoria considered that, as gross investment represents the net effect of both asset sales and purchases, if the Commission accepts that assets sales should not attract a differential cost disability, then the gross investment to which it contributes should not either. However, Victoria’s argument would conceptually lead to a larger differential assessment, as high construction costs would be applied to all asset purchases, not just the net effect of asset purchases and asset sales. It is not, therefore, an argument to remove the disability</w:t>
      </w:r>
      <w:r>
        <w:t>.</w:t>
      </w:r>
    </w:p>
    <w:p w14:paraId="08D85706" w14:textId="77777777" w:rsidR="007E365E" w:rsidRDefault="007E365E" w:rsidP="007E365E">
      <w:pPr>
        <w:pStyle w:val="CGCParaNumber"/>
      </w:pPr>
      <w:r w:rsidRPr="003146FB">
        <w:lastRenderedPageBreak/>
        <w:t>Western Australia opposed not applying cost factors to negative assessed investment because it would mean that States with below average construction costs would be assessed as being able to sell assets for more than they could purchase them. The Commission consider</w:t>
      </w:r>
      <w:r>
        <w:t>ed</w:t>
      </w:r>
      <w:r w:rsidRPr="003146FB">
        <w:t xml:space="preserve"> that market conditions are likely to differ at times when States are assessed as being required to invest, as opposed to when they are assessed as being required to disinvest. However, the Commission d</w:t>
      </w:r>
      <w:r>
        <w:t>id</w:t>
      </w:r>
      <w:r w:rsidRPr="003146FB">
        <w:t xml:space="preserve"> not accept</w:t>
      </w:r>
      <w:r>
        <w:t>,</w:t>
      </w:r>
      <w:r w:rsidRPr="003146FB">
        <w:t xml:space="preserve"> in the latter case</w:t>
      </w:r>
      <w:r>
        <w:t>,</w:t>
      </w:r>
      <w:r w:rsidRPr="003146FB">
        <w:t xml:space="preserve"> differences in construction costs between States, or between regions, are likely to have a strong relationship with the value that Sates could receive for assets if they were to sell them</w:t>
      </w:r>
      <w:r>
        <w:t>.</w:t>
      </w:r>
    </w:p>
    <w:p w14:paraId="6E8F357A" w14:textId="77777777" w:rsidR="007E365E" w:rsidRPr="000F09E5" w:rsidRDefault="007E365E" w:rsidP="007E365E">
      <w:pPr>
        <w:pStyle w:val="CGCParaNumber"/>
      </w:pPr>
      <w:r w:rsidRPr="000F09E5">
        <w:t xml:space="preserve">In the 2020 Review, cost factors will no longer be applied to negative assessed investment. </w:t>
      </w:r>
    </w:p>
    <w:p w14:paraId="07038149" w14:textId="6B38D45B" w:rsidR="007E365E" w:rsidRPr="000F09E5" w:rsidRDefault="007E365E" w:rsidP="007E365E">
      <w:pPr>
        <w:pStyle w:val="Heading4"/>
        <w:keepLines/>
      </w:pPr>
      <w:bookmarkStart w:id="410" w:name="_Toc24569260"/>
      <w:bookmarkStart w:id="411" w:name="_Toc24468518"/>
      <w:r w:rsidRPr="000F09E5">
        <w:t>Data</w:t>
      </w:r>
      <w:bookmarkEnd w:id="410"/>
      <w:bookmarkEnd w:id="411"/>
      <w:r w:rsidRPr="000F09E5">
        <w:t xml:space="preserve"> </w:t>
      </w:r>
    </w:p>
    <w:p w14:paraId="2C8379A7" w14:textId="77777777" w:rsidR="007E365E" w:rsidRPr="000F09E5" w:rsidRDefault="007E365E" w:rsidP="007E365E">
      <w:pPr>
        <w:pStyle w:val="CGCParaNumber"/>
      </w:pPr>
      <w:r w:rsidRPr="000F09E5">
        <w:t xml:space="preserve">Data used in the assessment of investment are mainly provided by the ABS from the GFS and from the States. </w:t>
      </w:r>
    </w:p>
    <w:p w14:paraId="4ADED4FB" w14:textId="77777777" w:rsidR="007E365E" w:rsidRPr="000F09E5" w:rsidRDefault="007E365E" w:rsidP="007E365E">
      <w:pPr>
        <w:pStyle w:val="CGCBullet1"/>
        <w:keepNext/>
        <w:keepLines/>
      </w:pPr>
      <w:r w:rsidRPr="000F09E5">
        <w:t>Investment data by category — ABS provides GFS data (G</w:t>
      </w:r>
      <w:r>
        <w:t>eneral government (GG)</w:t>
      </w:r>
      <w:r w:rsidRPr="000F09E5">
        <w:t xml:space="preserve"> and housing and urban transport P</w:t>
      </w:r>
      <w:r>
        <w:t>ubic non-financial corporations (PNF</w:t>
      </w:r>
      <w:r w:rsidRPr="000F09E5">
        <w:t>Cs) for early years, State data are provided for the latest year.</w:t>
      </w:r>
    </w:p>
    <w:p w14:paraId="619D8ECD" w14:textId="77777777" w:rsidR="007E365E" w:rsidRPr="000F09E5" w:rsidRDefault="007E365E" w:rsidP="007E365E">
      <w:pPr>
        <w:pStyle w:val="CGCBullet1"/>
      </w:pPr>
      <w:r w:rsidRPr="000F09E5">
        <w:t>Asset data by category – States provide GG and PNFC data for all assessment years.</w:t>
      </w:r>
    </w:p>
    <w:p w14:paraId="747C44B5" w14:textId="77777777" w:rsidR="007E365E" w:rsidRPr="000F09E5" w:rsidRDefault="007E365E" w:rsidP="007E365E">
      <w:pPr>
        <w:pStyle w:val="CGCBullet1"/>
      </w:pPr>
      <w:r w:rsidRPr="000F09E5">
        <w:t xml:space="preserve">Stock disabilities — derived in the relevant category assessments. </w:t>
      </w:r>
    </w:p>
    <w:p w14:paraId="5E64C5B8" w14:textId="77777777" w:rsidR="007E365E" w:rsidRPr="000F09E5" w:rsidRDefault="007E365E" w:rsidP="007E365E">
      <w:pPr>
        <w:pStyle w:val="CGCBullet1"/>
      </w:pPr>
      <w:r w:rsidRPr="000F09E5">
        <w:t>Population data —</w:t>
      </w:r>
      <w:r w:rsidRPr="000F09E5">
        <w:rPr>
          <w:rFonts w:ascii="Segoe UI Symbol" w:hAnsi="Segoe UI Symbol"/>
        </w:rPr>
        <w:t xml:space="preserve"> </w:t>
      </w:r>
      <w:r w:rsidRPr="000F09E5">
        <w:t>from the ABS.</w:t>
      </w:r>
    </w:p>
    <w:p w14:paraId="5B020852" w14:textId="77777777" w:rsidR="007E365E" w:rsidRPr="00785668" w:rsidRDefault="007E365E" w:rsidP="007E365E">
      <w:pPr>
        <w:pStyle w:val="CGCBullet1"/>
      </w:pPr>
      <w:r w:rsidRPr="00785668">
        <w:t xml:space="preserve">Cost disabilities — construction cost disabilities are derived from the Rawlinsons </w:t>
      </w:r>
      <w:r w:rsidRPr="001102EE">
        <w:rPr>
          <w:i/>
        </w:rPr>
        <w:t>Australian Construction Handbook</w:t>
      </w:r>
      <w:r>
        <w:rPr>
          <w:i/>
        </w:rPr>
        <w:t>.</w:t>
      </w:r>
      <w:r w:rsidRPr="00785668">
        <w:rPr>
          <w:vertAlign w:val="superscript"/>
        </w:rPr>
        <w:footnoteReference w:id="98"/>
      </w:r>
      <w:r>
        <w:rPr>
          <w:i/>
        </w:rPr>
        <w:t xml:space="preserve"> </w:t>
      </w:r>
    </w:p>
    <w:p w14:paraId="780621E1" w14:textId="77777777" w:rsidR="007E365E" w:rsidRPr="00785668" w:rsidRDefault="007E365E" w:rsidP="007E365E">
      <w:pPr>
        <w:pStyle w:val="CGCParaNumber"/>
      </w:pPr>
      <w:r w:rsidRPr="00785668">
        <w:t>Interstate wage cost differences are derived as described in Chapter 27 Wage costs.</w:t>
      </w:r>
    </w:p>
    <w:p w14:paraId="1E4EAAC1" w14:textId="0417CFC8" w:rsidR="007E365E" w:rsidRPr="00785668" w:rsidRDefault="007E365E" w:rsidP="007E365E">
      <w:pPr>
        <w:pStyle w:val="Heading3"/>
      </w:pPr>
      <w:bookmarkStart w:id="412" w:name="_Toc24569261"/>
      <w:bookmarkStart w:id="413" w:name="_Toc24468519"/>
      <w:r w:rsidRPr="00785668">
        <w:t>Category calculations</w:t>
      </w:r>
      <w:bookmarkEnd w:id="412"/>
      <w:bookmarkEnd w:id="413"/>
    </w:p>
    <w:p w14:paraId="4AF964E3" w14:textId="35D21E25" w:rsidR="007E365E" w:rsidRPr="00785668" w:rsidRDefault="007E365E" w:rsidP="007E365E">
      <w:pPr>
        <w:pStyle w:val="CGCParaNumber"/>
      </w:pPr>
      <w:r w:rsidRPr="00785668">
        <w:fldChar w:fldCharType="begin"/>
      </w:r>
      <w:r w:rsidRPr="00785668">
        <w:instrText xml:space="preserve"> REF _Ref3471481 \h  \* MERGEFORMAT </w:instrText>
      </w:r>
      <w:r w:rsidRPr="00785668">
        <w:fldChar w:fldCharType="separate"/>
      </w:r>
      <w:r w:rsidR="007F721A" w:rsidRPr="00785668">
        <w:t xml:space="preserve">Table </w:t>
      </w:r>
      <w:r w:rsidR="007F721A">
        <w:rPr>
          <w:noProof/>
        </w:rPr>
        <w:t>24-7</w:t>
      </w:r>
      <w:r w:rsidRPr="00785668">
        <w:fldChar w:fldCharType="end"/>
      </w:r>
      <w:r w:rsidRPr="00785668">
        <w:t xml:space="preserve"> shows the calculation of assessed investment in the schools component in </w:t>
      </w:r>
      <w:r>
        <w:t>2018</w:t>
      </w:r>
      <w:r>
        <w:noBreakHyphen/>
        <w:t>19</w:t>
      </w:r>
      <w:r w:rsidRPr="00785668">
        <w:t xml:space="preserve">. This illustrates the methods used. The same methods are applied for other components to produce the assessed investments shown in </w:t>
      </w:r>
      <w:r w:rsidRPr="00785668">
        <w:fldChar w:fldCharType="begin"/>
      </w:r>
      <w:r w:rsidRPr="00785668">
        <w:instrText xml:space="preserve"> REF _Ref4052146 \h  \* MERGEFORMAT </w:instrText>
      </w:r>
      <w:r w:rsidRPr="00785668">
        <w:fldChar w:fldCharType="separate"/>
      </w:r>
      <w:r w:rsidR="007F721A" w:rsidRPr="00785668">
        <w:t xml:space="preserve">Table </w:t>
      </w:r>
      <w:r w:rsidR="007F721A">
        <w:rPr>
          <w:noProof/>
        </w:rPr>
        <w:t>24-8</w:t>
      </w:r>
      <w:r w:rsidRPr="00785668">
        <w:fldChar w:fldCharType="end"/>
      </w:r>
      <w:r w:rsidRPr="00785668">
        <w:t>. In this example, assessed users refers to cost weighted government school students; in other cases it refers to the relevant user population which can be calculated as the stock factor multiplied by the State population.</w:t>
      </w:r>
      <w:r w:rsidRPr="00785668">
        <w:rPr>
          <w:rStyle w:val="FootnoteReference"/>
        </w:rPr>
        <w:footnoteReference w:id="99"/>
      </w:r>
      <w:r w:rsidRPr="00785668">
        <w:t xml:space="preserve"> </w:t>
      </w:r>
    </w:p>
    <w:p w14:paraId="5CA029D6" w14:textId="2FD83F13" w:rsidR="007E365E" w:rsidRDefault="007E365E" w:rsidP="007E365E">
      <w:pPr>
        <w:pStyle w:val="Caption"/>
      </w:pPr>
      <w:bookmarkStart w:id="414" w:name="_Ref3471481"/>
      <w:r w:rsidRPr="00785668">
        <w:lastRenderedPageBreak/>
        <w:t xml:space="preserve">Table </w:t>
      </w:r>
      <w:r>
        <w:t>24-</w:t>
      </w:r>
      <w:fldSimple w:instr=" SEQ Table \* ARABIC ">
        <w:r w:rsidR="007F721A">
          <w:rPr>
            <w:noProof/>
          </w:rPr>
          <w:t>7</w:t>
        </w:r>
      </w:fldSimple>
      <w:bookmarkEnd w:id="414"/>
      <w:r w:rsidRPr="00785668">
        <w:tab/>
        <w:t>Investment</w:t>
      </w:r>
      <w:r>
        <w:t xml:space="preserve"> assessment, </w:t>
      </w:r>
      <w:r w:rsidRPr="00785668">
        <w:t xml:space="preserve">schools component, </w:t>
      </w:r>
      <w:r>
        <w:t>2018-19</w:t>
      </w:r>
    </w:p>
    <w:tbl>
      <w:tblPr>
        <w:tblW w:w="8980" w:type="dxa"/>
        <w:tblCellMar>
          <w:left w:w="0" w:type="dxa"/>
          <w:right w:w="28" w:type="dxa"/>
        </w:tblCellMar>
        <w:tblLook w:val="04A0" w:firstRow="1" w:lastRow="0" w:firstColumn="1" w:lastColumn="0" w:noHBand="0" w:noVBand="1"/>
      </w:tblPr>
      <w:tblGrid>
        <w:gridCol w:w="2408"/>
        <w:gridCol w:w="748"/>
        <w:gridCol w:w="748"/>
        <w:gridCol w:w="748"/>
        <w:gridCol w:w="748"/>
        <w:gridCol w:w="748"/>
        <w:gridCol w:w="748"/>
        <w:gridCol w:w="748"/>
        <w:gridCol w:w="668"/>
        <w:gridCol w:w="748"/>
      </w:tblGrid>
      <w:tr w:rsidR="007E365E" w:rsidRPr="001C7AAA" w14:paraId="49D15E15" w14:textId="77777777" w:rsidTr="007D1D77">
        <w:trPr>
          <w:trHeight w:val="375"/>
        </w:trPr>
        <w:tc>
          <w:tcPr>
            <w:tcW w:w="2400" w:type="dxa"/>
            <w:tcBorders>
              <w:top w:val="nil"/>
              <w:left w:val="nil"/>
              <w:bottom w:val="nil"/>
              <w:right w:val="nil"/>
            </w:tcBorders>
            <w:shd w:val="clear" w:color="000000" w:fill="006991"/>
            <w:noWrap/>
            <w:vAlign w:val="center"/>
            <w:hideMark/>
          </w:tcPr>
          <w:p w14:paraId="0771DAA0"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7AAA">
              <w:rPr>
                <w:rFonts w:ascii="Open Sans SemiBold" w:eastAsia="Times New Roman" w:hAnsi="Open Sans SemiBold" w:cs="Open Sans SemiBold"/>
                <w:color w:val="FFFFFF"/>
                <w:sz w:val="16"/>
                <w:szCs w:val="16"/>
                <w:lang w:eastAsia="en-AU"/>
              </w:rPr>
              <w:t> </w:t>
            </w:r>
          </w:p>
        </w:tc>
        <w:tc>
          <w:tcPr>
            <w:tcW w:w="740" w:type="dxa"/>
            <w:tcBorders>
              <w:top w:val="nil"/>
              <w:left w:val="nil"/>
              <w:bottom w:val="nil"/>
              <w:right w:val="nil"/>
            </w:tcBorders>
            <w:shd w:val="clear" w:color="000000" w:fill="006991"/>
            <w:noWrap/>
            <w:vAlign w:val="center"/>
            <w:hideMark/>
          </w:tcPr>
          <w:p w14:paraId="35DCE479"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7AAA">
              <w:rPr>
                <w:rFonts w:ascii="Open Sans SemiBold" w:eastAsia="Times New Roman" w:hAnsi="Open Sans SemiBold" w:cs="Open Sans SemiBold"/>
                <w:color w:val="FFFFFF"/>
                <w:sz w:val="16"/>
                <w:szCs w:val="16"/>
                <w:lang w:eastAsia="en-AU"/>
              </w:rPr>
              <w:t>NSW</w:t>
            </w:r>
          </w:p>
        </w:tc>
        <w:tc>
          <w:tcPr>
            <w:tcW w:w="740" w:type="dxa"/>
            <w:tcBorders>
              <w:top w:val="nil"/>
              <w:left w:val="nil"/>
              <w:bottom w:val="nil"/>
              <w:right w:val="nil"/>
            </w:tcBorders>
            <w:shd w:val="clear" w:color="000000" w:fill="006991"/>
            <w:noWrap/>
            <w:vAlign w:val="center"/>
            <w:hideMark/>
          </w:tcPr>
          <w:p w14:paraId="7635C035"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7AAA">
              <w:rPr>
                <w:rFonts w:ascii="Open Sans SemiBold" w:eastAsia="Times New Roman" w:hAnsi="Open Sans SemiBold" w:cs="Open Sans SemiBold"/>
                <w:color w:val="FFFFFF"/>
                <w:sz w:val="16"/>
                <w:szCs w:val="16"/>
                <w:lang w:eastAsia="en-AU"/>
              </w:rPr>
              <w:t>Vic</w:t>
            </w:r>
          </w:p>
        </w:tc>
        <w:tc>
          <w:tcPr>
            <w:tcW w:w="740" w:type="dxa"/>
            <w:tcBorders>
              <w:top w:val="nil"/>
              <w:left w:val="nil"/>
              <w:bottom w:val="nil"/>
              <w:right w:val="nil"/>
            </w:tcBorders>
            <w:shd w:val="clear" w:color="000000" w:fill="006991"/>
            <w:noWrap/>
            <w:vAlign w:val="center"/>
            <w:hideMark/>
          </w:tcPr>
          <w:p w14:paraId="071BB1AF"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7AAA">
              <w:rPr>
                <w:rFonts w:ascii="Open Sans SemiBold" w:eastAsia="Times New Roman" w:hAnsi="Open Sans SemiBold" w:cs="Open Sans SemiBold"/>
                <w:color w:val="FFFFFF"/>
                <w:sz w:val="16"/>
                <w:szCs w:val="16"/>
                <w:lang w:eastAsia="en-AU"/>
              </w:rPr>
              <w:t>Qld</w:t>
            </w:r>
          </w:p>
        </w:tc>
        <w:tc>
          <w:tcPr>
            <w:tcW w:w="740" w:type="dxa"/>
            <w:tcBorders>
              <w:top w:val="nil"/>
              <w:left w:val="nil"/>
              <w:bottom w:val="nil"/>
              <w:right w:val="nil"/>
            </w:tcBorders>
            <w:shd w:val="clear" w:color="000000" w:fill="006991"/>
            <w:noWrap/>
            <w:vAlign w:val="center"/>
            <w:hideMark/>
          </w:tcPr>
          <w:p w14:paraId="4C7C46F0"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7AAA">
              <w:rPr>
                <w:rFonts w:ascii="Open Sans SemiBold" w:eastAsia="Times New Roman" w:hAnsi="Open Sans SemiBold" w:cs="Open Sans SemiBold"/>
                <w:color w:val="FFFFFF"/>
                <w:sz w:val="16"/>
                <w:szCs w:val="16"/>
                <w:lang w:eastAsia="en-AU"/>
              </w:rPr>
              <w:t>WA</w:t>
            </w:r>
          </w:p>
        </w:tc>
        <w:tc>
          <w:tcPr>
            <w:tcW w:w="740" w:type="dxa"/>
            <w:tcBorders>
              <w:top w:val="nil"/>
              <w:left w:val="nil"/>
              <w:bottom w:val="nil"/>
              <w:right w:val="nil"/>
            </w:tcBorders>
            <w:shd w:val="clear" w:color="000000" w:fill="006991"/>
            <w:noWrap/>
            <w:vAlign w:val="center"/>
            <w:hideMark/>
          </w:tcPr>
          <w:p w14:paraId="56BA4026"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7AAA">
              <w:rPr>
                <w:rFonts w:ascii="Open Sans SemiBold" w:eastAsia="Times New Roman" w:hAnsi="Open Sans SemiBold" w:cs="Open Sans SemiBold"/>
                <w:color w:val="FFFFFF"/>
                <w:sz w:val="16"/>
                <w:szCs w:val="16"/>
                <w:lang w:eastAsia="en-AU"/>
              </w:rPr>
              <w:t>SA</w:t>
            </w:r>
          </w:p>
        </w:tc>
        <w:tc>
          <w:tcPr>
            <w:tcW w:w="740" w:type="dxa"/>
            <w:tcBorders>
              <w:top w:val="nil"/>
              <w:left w:val="nil"/>
              <w:bottom w:val="nil"/>
              <w:right w:val="nil"/>
            </w:tcBorders>
            <w:shd w:val="clear" w:color="000000" w:fill="006991"/>
            <w:noWrap/>
            <w:vAlign w:val="center"/>
            <w:hideMark/>
          </w:tcPr>
          <w:p w14:paraId="423BDF46"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7AAA">
              <w:rPr>
                <w:rFonts w:ascii="Open Sans SemiBold" w:eastAsia="Times New Roman" w:hAnsi="Open Sans SemiBold" w:cs="Open Sans SemiBold"/>
                <w:color w:val="FFFFFF"/>
                <w:sz w:val="16"/>
                <w:szCs w:val="16"/>
                <w:lang w:eastAsia="en-AU"/>
              </w:rPr>
              <w:t>Tas</w:t>
            </w:r>
          </w:p>
        </w:tc>
        <w:tc>
          <w:tcPr>
            <w:tcW w:w="740" w:type="dxa"/>
            <w:tcBorders>
              <w:top w:val="nil"/>
              <w:left w:val="nil"/>
              <w:bottom w:val="nil"/>
              <w:right w:val="nil"/>
            </w:tcBorders>
            <w:shd w:val="clear" w:color="000000" w:fill="006991"/>
            <w:noWrap/>
            <w:vAlign w:val="center"/>
            <w:hideMark/>
          </w:tcPr>
          <w:p w14:paraId="0DF168BC"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7AAA">
              <w:rPr>
                <w:rFonts w:ascii="Open Sans SemiBold" w:eastAsia="Times New Roman" w:hAnsi="Open Sans SemiBold" w:cs="Open Sans SemiBold"/>
                <w:color w:val="FFFFFF"/>
                <w:sz w:val="16"/>
                <w:szCs w:val="16"/>
                <w:lang w:eastAsia="en-AU"/>
              </w:rPr>
              <w:t>ACT</w:t>
            </w:r>
          </w:p>
        </w:tc>
        <w:tc>
          <w:tcPr>
            <w:tcW w:w="660" w:type="dxa"/>
            <w:tcBorders>
              <w:top w:val="nil"/>
              <w:left w:val="nil"/>
              <w:bottom w:val="nil"/>
              <w:right w:val="nil"/>
            </w:tcBorders>
            <w:shd w:val="clear" w:color="000000" w:fill="006991"/>
            <w:noWrap/>
            <w:vAlign w:val="center"/>
            <w:hideMark/>
          </w:tcPr>
          <w:p w14:paraId="014BA1C8"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7AAA">
              <w:rPr>
                <w:rFonts w:ascii="Open Sans SemiBold" w:eastAsia="Times New Roman" w:hAnsi="Open Sans SemiBold" w:cs="Open Sans SemiBold"/>
                <w:color w:val="FFFFFF"/>
                <w:sz w:val="16"/>
                <w:szCs w:val="16"/>
                <w:lang w:eastAsia="en-AU"/>
              </w:rPr>
              <w:t>NT</w:t>
            </w:r>
          </w:p>
        </w:tc>
        <w:tc>
          <w:tcPr>
            <w:tcW w:w="740" w:type="dxa"/>
            <w:tcBorders>
              <w:top w:val="nil"/>
              <w:left w:val="nil"/>
              <w:bottom w:val="nil"/>
              <w:right w:val="nil"/>
            </w:tcBorders>
            <w:shd w:val="clear" w:color="000000" w:fill="006991"/>
            <w:noWrap/>
            <w:vAlign w:val="center"/>
            <w:hideMark/>
          </w:tcPr>
          <w:p w14:paraId="4D8A32F2"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C7AAA">
              <w:rPr>
                <w:rFonts w:ascii="Open Sans SemiBold" w:eastAsia="Times New Roman" w:hAnsi="Open Sans SemiBold" w:cs="Open Sans SemiBold"/>
                <w:color w:val="FFFFFF"/>
                <w:sz w:val="16"/>
                <w:szCs w:val="16"/>
                <w:lang w:eastAsia="en-AU"/>
              </w:rPr>
              <w:t>Total</w:t>
            </w:r>
          </w:p>
        </w:tc>
      </w:tr>
      <w:tr w:rsidR="007E365E" w:rsidRPr="001C7AAA" w14:paraId="18936CA9" w14:textId="77777777" w:rsidTr="007D1D77">
        <w:trPr>
          <w:trHeight w:val="315"/>
        </w:trPr>
        <w:tc>
          <w:tcPr>
            <w:tcW w:w="2400" w:type="dxa"/>
            <w:tcBorders>
              <w:top w:val="single" w:sz="4" w:space="0" w:color="ADD6EA"/>
              <w:left w:val="nil"/>
              <w:bottom w:val="single" w:sz="4" w:space="0" w:color="ADD6EA"/>
              <w:right w:val="nil"/>
            </w:tcBorders>
            <w:shd w:val="clear" w:color="auto" w:fill="auto"/>
            <w:vAlign w:val="bottom"/>
            <w:hideMark/>
          </w:tcPr>
          <w:p w14:paraId="00132DB7" w14:textId="77777777" w:rsidR="007E365E" w:rsidRPr="001C7AAA" w:rsidRDefault="007E365E" w:rsidP="007D1D77">
            <w:pPr>
              <w:keepNext/>
              <w:tabs>
                <w:tab w:val="clear" w:pos="567"/>
              </w:tabs>
              <w:spacing w:before="0" w:line="240" w:lineRule="auto"/>
              <w:rPr>
                <w:rFonts w:eastAsia="Times New Roman" w:cs="Open Sans Light"/>
                <w:sz w:val="16"/>
                <w:szCs w:val="16"/>
                <w:lang w:eastAsia="en-AU"/>
              </w:rPr>
            </w:pPr>
            <w:r w:rsidRPr="001C7AAA">
              <w:rPr>
                <w:rFonts w:eastAsia="Times New Roman" w:cs="Open Sans Light"/>
                <w:sz w:val="16"/>
                <w:szCs w:val="16"/>
                <w:lang w:eastAsia="en-AU"/>
              </w:rPr>
              <w:t>Assessed school students</w:t>
            </w:r>
          </w:p>
        </w:tc>
        <w:tc>
          <w:tcPr>
            <w:tcW w:w="740" w:type="dxa"/>
            <w:tcBorders>
              <w:top w:val="single" w:sz="4" w:space="0" w:color="ADD6EA"/>
              <w:left w:val="nil"/>
              <w:bottom w:val="single" w:sz="4" w:space="0" w:color="ADD6EA"/>
              <w:right w:val="nil"/>
            </w:tcBorders>
            <w:shd w:val="clear" w:color="auto" w:fill="auto"/>
            <w:vAlign w:val="bottom"/>
            <w:hideMark/>
          </w:tcPr>
          <w:p w14:paraId="7ACD7009"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 </w:t>
            </w:r>
          </w:p>
        </w:tc>
        <w:tc>
          <w:tcPr>
            <w:tcW w:w="740" w:type="dxa"/>
            <w:tcBorders>
              <w:top w:val="single" w:sz="4" w:space="0" w:color="ADD6EA"/>
              <w:left w:val="nil"/>
              <w:bottom w:val="single" w:sz="4" w:space="0" w:color="ADD6EA"/>
              <w:right w:val="nil"/>
            </w:tcBorders>
            <w:shd w:val="clear" w:color="auto" w:fill="auto"/>
            <w:vAlign w:val="bottom"/>
            <w:hideMark/>
          </w:tcPr>
          <w:p w14:paraId="36501011"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 </w:t>
            </w:r>
          </w:p>
        </w:tc>
        <w:tc>
          <w:tcPr>
            <w:tcW w:w="740" w:type="dxa"/>
            <w:tcBorders>
              <w:top w:val="single" w:sz="4" w:space="0" w:color="ADD6EA"/>
              <w:left w:val="nil"/>
              <w:bottom w:val="single" w:sz="4" w:space="0" w:color="ADD6EA"/>
              <w:right w:val="nil"/>
            </w:tcBorders>
            <w:shd w:val="clear" w:color="auto" w:fill="auto"/>
            <w:vAlign w:val="bottom"/>
            <w:hideMark/>
          </w:tcPr>
          <w:p w14:paraId="38853AF6"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 </w:t>
            </w:r>
          </w:p>
        </w:tc>
        <w:tc>
          <w:tcPr>
            <w:tcW w:w="740" w:type="dxa"/>
            <w:tcBorders>
              <w:top w:val="single" w:sz="4" w:space="0" w:color="ADD6EA"/>
              <w:left w:val="nil"/>
              <w:bottom w:val="single" w:sz="4" w:space="0" w:color="ADD6EA"/>
              <w:right w:val="nil"/>
            </w:tcBorders>
            <w:shd w:val="clear" w:color="auto" w:fill="auto"/>
            <w:vAlign w:val="bottom"/>
            <w:hideMark/>
          </w:tcPr>
          <w:p w14:paraId="6A33C096"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 </w:t>
            </w:r>
          </w:p>
        </w:tc>
        <w:tc>
          <w:tcPr>
            <w:tcW w:w="740" w:type="dxa"/>
            <w:tcBorders>
              <w:top w:val="single" w:sz="4" w:space="0" w:color="ADD6EA"/>
              <w:left w:val="nil"/>
              <w:bottom w:val="single" w:sz="4" w:space="0" w:color="ADD6EA"/>
              <w:right w:val="nil"/>
            </w:tcBorders>
            <w:shd w:val="clear" w:color="auto" w:fill="auto"/>
            <w:vAlign w:val="bottom"/>
            <w:hideMark/>
          </w:tcPr>
          <w:p w14:paraId="5E7036CC"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 </w:t>
            </w:r>
          </w:p>
        </w:tc>
        <w:tc>
          <w:tcPr>
            <w:tcW w:w="740" w:type="dxa"/>
            <w:tcBorders>
              <w:top w:val="single" w:sz="4" w:space="0" w:color="ADD6EA"/>
              <w:left w:val="nil"/>
              <w:bottom w:val="single" w:sz="4" w:space="0" w:color="ADD6EA"/>
              <w:right w:val="nil"/>
            </w:tcBorders>
            <w:shd w:val="clear" w:color="auto" w:fill="auto"/>
            <w:vAlign w:val="bottom"/>
            <w:hideMark/>
          </w:tcPr>
          <w:p w14:paraId="11F31710"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 </w:t>
            </w:r>
          </w:p>
        </w:tc>
        <w:tc>
          <w:tcPr>
            <w:tcW w:w="740" w:type="dxa"/>
            <w:tcBorders>
              <w:top w:val="single" w:sz="4" w:space="0" w:color="ADD6EA"/>
              <w:left w:val="nil"/>
              <w:bottom w:val="single" w:sz="4" w:space="0" w:color="ADD6EA"/>
              <w:right w:val="nil"/>
            </w:tcBorders>
            <w:shd w:val="clear" w:color="auto" w:fill="auto"/>
            <w:vAlign w:val="bottom"/>
            <w:hideMark/>
          </w:tcPr>
          <w:p w14:paraId="35C88A51"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 </w:t>
            </w:r>
          </w:p>
        </w:tc>
        <w:tc>
          <w:tcPr>
            <w:tcW w:w="660" w:type="dxa"/>
            <w:tcBorders>
              <w:top w:val="single" w:sz="4" w:space="0" w:color="ADD6EA"/>
              <w:left w:val="nil"/>
              <w:bottom w:val="single" w:sz="4" w:space="0" w:color="ADD6EA"/>
              <w:right w:val="nil"/>
            </w:tcBorders>
            <w:shd w:val="clear" w:color="auto" w:fill="auto"/>
            <w:vAlign w:val="bottom"/>
            <w:hideMark/>
          </w:tcPr>
          <w:p w14:paraId="696F2688"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 </w:t>
            </w:r>
          </w:p>
        </w:tc>
        <w:tc>
          <w:tcPr>
            <w:tcW w:w="740" w:type="dxa"/>
            <w:tcBorders>
              <w:top w:val="single" w:sz="4" w:space="0" w:color="ADD6EA"/>
              <w:left w:val="nil"/>
              <w:bottom w:val="single" w:sz="4" w:space="0" w:color="ADD6EA"/>
              <w:right w:val="nil"/>
            </w:tcBorders>
            <w:shd w:val="clear" w:color="auto" w:fill="auto"/>
            <w:vAlign w:val="bottom"/>
            <w:hideMark/>
          </w:tcPr>
          <w:p w14:paraId="682618D4"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 </w:t>
            </w:r>
          </w:p>
        </w:tc>
      </w:tr>
      <w:tr w:rsidR="007E365E" w:rsidRPr="001C7AAA" w14:paraId="7CED2153" w14:textId="77777777" w:rsidTr="007D1D77">
        <w:trPr>
          <w:trHeight w:val="315"/>
        </w:trPr>
        <w:tc>
          <w:tcPr>
            <w:tcW w:w="2400" w:type="dxa"/>
            <w:tcBorders>
              <w:top w:val="nil"/>
              <w:left w:val="nil"/>
              <w:bottom w:val="single" w:sz="4" w:space="0" w:color="ADD6EA"/>
              <w:right w:val="nil"/>
            </w:tcBorders>
            <w:shd w:val="clear" w:color="auto" w:fill="auto"/>
            <w:vAlign w:val="bottom"/>
            <w:hideMark/>
          </w:tcPr>
          <w:p w14:paraId="6ABC5B98" w14:textId="77777777" w:rsidR="007E365E" w:rsidRPr="001C7AAA" w:rsidRDefault="007E365E" w:rsidP="007D1D77">
            <w:pPr>
              <w:keepNext/>
              <w:tabs>
                <w:tab w:val="clear" w:pos="567"/>
              </w:tabs>
              <w:spacing w:before="0" w:line="240" w:lineRule="auto"/>
              <w:rPr>
                <w:rFonts w:eastAsia="Times New Roman" w:cs="Open Sans Light"/>
                <w:sz w:val="16"/>
                <w:szCs w:val="16"/>
                <w:lang w:eastAsia="en-AU"/>
              </w:rPr>
            </w:pPr>
            <w:r w:rsidRPr="001C7AAA">
              <w:rPr>
                <w:rFonts w:eastAsia="Times New Roman" w:cs="Open Sans Light"/>
                <w:sz w:val="16"/>
                <w:szCs w:val="16"/>
                <w:lang w:eastAsia="en-AU"/>
              </w:rPr>
              <w:t xml:space="preserve">    Start of year ('000)</w:t>
            </w:r>
          </w:p>
        </w:tc>
        <w:tc>
          <w:tcPr>
            <w:tcW w:w="740" w:type="dxa"/>
            <w:tcBorders>
              <w:top w:val="nil"/>
              <w:left w:val="nil"/>
              <w:bottom w:val="single" w:sz="4" w:space="0" w:color="ADD6EA"/>
              <w:right w:val="nil"/>
            </w:tcBorders>
            <w:shd w:val="clear" w:color="auto" w:fill="auto"/>
            <w:vAlign w:val="bottom"/>
            <w:hideMark/>
          </w:tcPr>
          <w:p w14:paraId="5712CC01"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790</w:t>
            </w:r>
          </w:p>
        </w:tc>
        <w:tc>
          <w:tcPr>
            <w:tcW w:w="740" w:type="dxa"/>
            <w:tcBorders>
              <w:top w:val="nil"/>
              <w:left w:val="nil"/>
              <w:bottom w:val="single" w:sz="4" w:space="0" w:color="ADD6EA"/>
              <w:right w:val="nil"/>
            </w:tcBorders>
            <w:shd w:val="clear" w:color="auto" w:fill="auto"/>
            <w:vAlign w:val="bottom"/>
            <w:hideMark/>
          </w:tcPr>
          <w:p w14:paraId="072930E3"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600</w:t>
            </w:r>
          </w:p>
        </w:tc>
        <w:tc>
          <w:tcPr>
            <w:tcW w:w="740" w:type="dxa"/>
            <w:tcBorders>
              <w:top w:val="nil"/>
              <w:left w:val="nil"/>
              <w:bottom w:val="single" w:sz="4" w:space="0" w:color="ADD6EA"/>
              <w:right w:val="nil"/>
            </w:tcBorders>
            <w:shd w:val="clear" w:color="auto" w:fill="auto"/>
            <w:vAlign w:val="bottom"/>
            <w:hideMark/>
          </w:tcPr>
          <w:p w14:paraId="524524DE"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545</w:t>
            </w:r>
          </w:p>
        </w:tc>
        <w:tc>
          <w:tcPr>
            <w:tcW w:w="740" w:type="dxa"/>
            <w:tcBorders>
              <w:top w:val="nil"/>
              <w:left w:val="nil"/>
              <w:bottom w:val="single" w:sz="4" w:space="0" w:color="ADD6EA"/>
              <w:right w:val="nil"/>
            </w:tcBorders>
            <w:shd w:val="clear" w:color="auto" w:fill="auto"/>
            <w:vAlign w:val="bottom"/>
            <w:hideMark/>
          </w:tcPr>
          <w:p w14:paraId="41A43F86"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277</w:t>
            </w:r>
          </w:p>
        </w:tc>
        <w:tc>
          <w:tcPr>
            <w:tcW w:w="740" w:type="dxa"/>
            <w:tcBorders>
              <w:top w:val="nil"/>
              <w:left w:val="nil"/>
              <w:bottom w:val="single" w:sz="4" w:space="0" w:color="ADD6EA"/>
              <w:right w:val="nil"/>
            </w:tcBorders>
            <w:shd w:val="clear" w:color="auto" w:fill="auto"/>
            <w:vAlign w:val="bottom"/>
            <w:hideMark/>
          </w:tcPr>
          <w:p w14:paraId="5525E094"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172</w:t>
            </w:r>
          </w:p>
        </w:tc>
        <w:tc>
          <w:tcPr>
            <w:tcW w:w="740" w:type="dxa"/>
            <w:tcBorders>
              <w:top w:val="nil"/>
              <w:left w:val="nil"/>
              <w:bottom w:val="single" w:sz="4" w:space="0" w:color="ADD6EA"/>
              <w:right w:val="nil"/>
            </w:tcBorders>
            <w:shd w:val="clear" w:color="auto" w:fill="auto"/>
            <w:vAlign w:val="bottom"/>
            <w:hideMark/>
          </w:tcPr>
          <w:p w14:paraId="292572FF"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56</w:t>
            </w:r>
          </w:p>
        </w:tc>
        <w:tc>
          <w:tcPr>
            <w:tcW w:w="740" w:type="dxa"/>
            <w:tcBorders>
              <w:top w:val="nil"/>
              <w:left w:val="nil"/>
              <w:bottom w:val="single" w:sz="4" w:space="0" w:color="ADD6EA"/>
              <w:right w:val="nil"/>
            </w:tcBorders>
            <w:shd w:val="clear" w:color="auto" w:fill="auto"/>
            <w:vAlign w:val="bottom"/>
            <w:hideMark/>
          </w:tcPr>
          <w:p w14:paraId="1CB96353"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41</w:t>
            </w:r>
          </w:p>
        </w:tc>
        <w:tc>
          <w:tcPr>
            <w:tcW w:w="660" w:type="dxa"/>
            <w:tcBorders>
              <w:top w:val="nil"/>
              <w:left w:val="nil"/>
              <w:bottom w:val="single" w:sz="4" w:space="0" w:color="ADD6EA"/>
              <w:right w:val="nil"/>
            </w:tcBorders>
            <w:shd w:val="clear" w:color="auto" w:fill="auto"/>
            <w:vAlign w:val="bottom"/>
            <w:hideMark/>
          </w:tcPr>
          <w:p w14:paraId="0F2433F5"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35</w:t>
            </w:r>
          </w:p>
        </w:tc>
        <w:tc>
          <w:tcPr>
            <w:tcW w:w="740" w:type="dxa"/>
            <w:tcBorders>
              <w:top w:val="nil"/>
              <w:left w:val="nil"/>
              <w:bottom w:val="single" w:sz="4" w:space="0" w:color="ADD6EA"/>
              <w:right w:val="nil"/>
            </w:tcBorders>
            <w:shd w:val="clear" w:color="auto" w:fill="auto"/>
            <w:vAlign w:val="bottom"/>
            <w:hideMark/>
          </w:tcPr>
          <w:p w14:paraId="7AE9F872"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2,516</w:t>
            </w:r>
          </w:p>
        </w:tc>
      </w:tr>
      <w:tr w:rsidR="007E365E" w:rsidRPr="001C7AAA" w14:paraId="3A38FE0D" w14:textId="77777777" w:rsidTr="007D1D77">
        <w:trPr>
          <w:trHeight w:val="315"/>
        </w:trPr>
        <w:tc>
          <w:tcPr>
            <w:tcW w:w="2400" w:type="dxa"/>
            <w:tcBorders>
              <w:top w:val="nil"/>
              <w:left w:val="nil"/>
              <w:bottom w:val="single" w:sz="4" w:space="0" w:color="ADD6EA"/>
              <w:right w:val="nil"/>
            </w:tcBorders>
            <w:shd w:val="clear" w:color="auto" w:fill="auto"/>
            <w:vAlign w:val="bottom"/>
            <w:hideMark/>
          </w:tcPr>
          <w:p w14:paraId="30246D5B" w14:textId="77777777" w:rsidR="007E365E" w:rsidRPr="001C7AAA" w:rsidRDefault="007E365E" w:rsidP="007D1D77">
            <w:pPr>
              <w:keepNext/>
              <w:tabs>
                <w:tab w:val="clear" w:pos="567"/>
              </w:tabs>
              <w:spacing w:before="0" w:line="240" w:lineRule="auto"/>
              <w:rPr>
                <w:rFonts w:eastAsia="Times New Roman" w:cs="Open Sans Light"/>
                <w:sz w:val="16"/>
                <w:szCs w:val="16"/>
                <w:lang w:eastAsia="en-AU"/>
              </w:rPr>
            </w:pPr>
            <w:r w:rsidRPr="001C7AAA">
              <w:rPr>
                <w:rFonts w:eastAsia="Times New Roman" w:cs="Open Sans Light"/>
                <w:sz w:val="16"/>
                <w:szCs w:val="16"/>
                <w:lang w:eastAsia="en-AU"/>
              </w:rPr>
              <w:t xml:space="preserve">    End of year ('000)</w:t>
            </w:r>
          </w:p>
        </w:tc>
        <w:tc>
          <w:tcPr>
            <w:tcW w:w="740" w:type="dxa"/>
            <w:tcBorders>
              <w:top w:val="nil"/>
              <w:left w:val="nil"/>
              <w:bottom w:val="single" w:sz="4" w:space="0" w:color="ADD6EA"/>
              <w:right w:val="nil"/>
            </w:tcBorders>
            <w:shd w:val="clear" w:color="auto" w:fill="auto"/>
            <w:vAlign w:val="bottom"/>
            <w:hideMark/>
          </w:tcPr>
          <w:p w14:paraId="00840DCF"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797</w:t>
            </w:r>
          </w:p>
        </w:tc>
        <w:tc>
          <w:tcPr>
            <w:tcW w:w="740" w:type="dxa"/>
            <w:tcBorders>
              <w:top w:val="nil"/>
              <w:left w:val="nil"/>
              <w:bottom w:val="single" w:sz="4" w:space="0" w:color="ADD6EA"/>
              <w:right w:val="nil"/>
            </w:tcBorders>
            <w:shd w:val="clear" w:color="auto" w:fill="auto"/>
            <w:vAlign w:val="bottom"/>
            <w:hideMark/>
          </w:tcPr>
          <w:p w14:paraId="65127831"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615</w:t>
            </w:r>
          </w:p>
        </w:tc>
        <w:tc>
          <w:tcPr>
            <w:tcW w:w="740" w:type="dxa"/>
            <w:tcBorders>
              <w:top w:val="nil"/>
              <w:left w:val="nil"/>
              <w:bottom w:val="single" w:sz="4" w:space="0" w:color="ADD6EA"/>
              <w:right w:val="nil"/>
            </w:tcBorders>
            <w:shd w:val="clear" w:color="auto" w:fill="auto"/>
            <w:vAlign w:val="bottom"/>
            <w:hideMark/>
          </w:tcPr>
          <w:p w14:paraId="1099E046"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553</w:t>
            </w:r>
          </w:p>
        </w:tc>
        <w:tc>
          <w:tcPr>
            <w:tcW w:w="740" w:type="dxa"/>
            <w:tcBorders>
              <w:top w:val="nil"/>
              <w:left w:val="nil"/>
              <w:bottom w:val="single" w:sz="4" w:space="0" w:color="ADD6EA"/>
              <w:right w:val="nil"/>
            </w:tcBorders>
            <w:shd w:val="clear" w:color="auto" w:fill="auto"/>
            <w:vAlign w:val="bottom"/>
            <w:hideMark/>
          </w:tcPr>
          <w:p w14:paraId="7A3D8EA8"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281</w:t>
            </w:r>
          </w:p>
        </w:tc>
        <w:tc>
          <w:tcPr>
            <w:tcW w:w="740" w:type="dxa"/>
            <w:tcBorders>
              <w:top w:val="nil"/>
              <w:left w:val="nil"/>
              <w:bottom w:val="single" w:sz="4" w:space="0" w:color="ADD6EA"/>
              <w:right w:val="nil"/>
            </w:tcBorders>
            <w:shd w:val="clear" w:color="auto" w:fill="auto"/>
            <w:vAlign w:val="bottom"/>
            <w:hideMark/>
          </w:tcPr>
          <w:p w14:paraId="2696A9D6"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173</w:t>
            </w:r>
          </w:p>
        </w:tc>
        <w:tc>
          <w:tcPr>
            <w:tcW w:w="740" w:type="dxa"/>
            <w:tcBorders>
              <w:top w:val="nil"/>
              <w:left w:val="nil"/>
              <w:bottom w:val="single" w:sz="4" w:space="0" w:color="ADD6EA"/>
              <w:right w:val="nil"/>
            </w:tcBorders>
            <w:shd w:val="clear" w:color="auto" w:fill="auto"/>
            <w:vAlign w:val="bottom"/>
            <w:hideMark/>
          </w:tcPr>
          <w:p w14:paraId="7CFE324F"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56</w:t>
            </w:r>
          </w:p>
        </w:tc>
        <w:tc>
          <w:tcPr>
            <w:tcW w:w="740" w:type="dxa"/>
            <w:tcBorders>
              <w:top w:val="nil"/>
              <w:left w:val="nil"/>
              <w:bottom w:val="single" w:sz="4" w:space="0" w:color="ADD6EA"/>
              <w:right w:val="nil"/>
            </w:tcBorders>
            <w:shd w:val="clear" w:color="auto" w:fill="auto"/>
            <w:vAlign w:val="bottom"/>
            <w:hideMark/>
          </w:tcPr>
          <w:p w14:paraId="3EDCEA0C"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43</w:t>
            </w:r>
          </w:p>
        </w:tc>
        <w:tc>
          <w:tcPr>
            <w:tcW w:w="660" w:type="dxa"/>
            <w:tcBorders>
              <w:top w:val="nil"/>
              <w:left w:val="nil"/>
              <w:bottom w:val="single" w:sz="4" w:space="0" w:color="ADD6EA"/>
              <w:right w:val="nil"/>
            </w:tcBorders>
            <w:shd w:val="clear" w:color="auto" w:fill="auto"/>
            <w:vAlign w:val="bottom"/>
            <w:hideMark/>
          </w:tcPr>
          <w:p w14:paraId="3C0BB72F"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34</w:t>
            </w:r>
          </w:p>
        </w:tc>
        <w:tc>
          <w:tcPr>
            <w:tcW w:w="740" w:type="dxa"/>
            <w:tcBorders>
              <w:top w:val="nil"/>
              <w:left w:val="nil"/>
              <w:bottom w:val="single" w:sz="4" w:space="0" w:color="ADD6EA"/>
              <w:right w:val="nil"/>
            </w:tcBorders>
            <w:shd w:val="clear" w:color="auto" w:fill="auto"/>
            <w:vAlign w:val="bottom"/>
            <w:hideMark/>
          </w:tcPr>
          <w:p w14:paraId="287F6456"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2,554</w:t>
            </w:r>
          </w:p>
        </w:tc>
      </w:tr>
      <w:tr w:rsidR="007E365E" w:rsidRPr="001C7AAA" w14:paraId="45D0B5A5" w14:textId="77777777" w:rsidTr="007D1D77">
        <w:trPr>
          <w:trHeight w:val="315"/>
        </w:trPr>
        <w:tc>
          <w:tcPr>
            <w:tcW w:w="2400" w:type="dxa"/>
            <w:tcBorders>
              <w:top w:val="nil"/>
              <w:left w:val="nil"/>
              <w:bottom w:val="single" w:sz="4" w:space="0" w:color="ADD6EA"/>
              <w:right w:val="nil"/>
            </w:tcBorders>
            <w:shd w:val="clear" w:color="auto" w:fill="auto"/>
            <w:vAlign w:val="bottom"/>
            <w:hideMark/>
          </w:tcPr>
          <w:p w14:paraId="37770526" w14:textId="77777777" w:rsidR="007E365E" w:rsidRPr="001C7AAA" w:rsidRDefault="007E365E" w:rsidP="007D1D77">
            <w:pPr>
              <w:keepNext/>
              <w:tabs>
                <w:tab w:val="clear" w:pos="567"/>
              </w:tabs>
              <w:spacing w:before="0" w:line="240" w:lineRule="auto"/>
              <w:rPr>
                <w:rFonts w:eastAsia="Times New Roman" w:cs="Open Sans Light"/>
                <w:sz w:val="16"/>
                <w:szCs w:val="16"/>
                <w:lang w:eastAsia="en-AU"/>
              </w:rPr>
            </w:pPr>
            <w:r w:rsidRPr="001C7AAA">
              <w:rPr>
                <w:rFonts w:eastAsia="Times New Roman" w:cs="Open Sans Light"/>
                <w:sz w:val="16"/>
                <w:szCs w:val="16"/>
                <w:lang w:eastAsia="en-AU"/>
              </w:rPr>
              <w:t>Assessed opening stock ($m)</w:t>
            </w:r>
          </w:p>
        </w:tc>
        <w:tc>
          <w:tcPr>
            <w:tcW w:w="740" w:type="dxa"/>
            <w:tcBorders>
              <w:top w:val="nil"/>
              <w:left w:val="nil"/>
              <w:bottom w:val="single" w:sz="4" w:space="0" w:color="ADD6EA"/>
              <w:right w:val="nil"/>
            </w:tcBorders>
            <w:shd w:val="clear" w:color="auto" w:fill="auto"/>
            <w:vAlign w:val="bottom"/>
            <w:hideMark/>
          </w:tcPr>
          <w:p w14:paraId="6C0D6722"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19,339</w:t>
            </w:r>
          </w:p>
        </w:tc>
        <w:tc>
          <w:tcPr>
            <w:tcW w:w="740" w:type="dxa"/>
            <w:tcBorders>
              <w:top w:val="nil"/>
              <w:left w:val="nil"/>
              <w:bottom w:val="single" w:sz="4" w:space="0" w:color="ADD6EA"/>
              <w:right w:val="nil"/>
            </w:tcBorders>
            <w:shd w:val="clear" w:color="auto" w:fill="auto"/>
            <w:vAlign w:val="bottom"/>
            <w:hideMark/>
          </w:tcPr>
          <w:p w14:paraId="593A6582"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14,685</w:t>
            </w:r>
          </w:p>
        </w:tc>
        <w:tc>
          <w:tcPr>
            <w:tcW w:w="740" w:type="dxa"/>
            <w:tcBorders>
              <w:top w:val="nil"/>
              <w:left w:val="nil"/>
              <w:bottom w:val="single" w:sz="4" w:space="0" w:color="ADD6EA"/>
              <w:right w:val="nil"/>
            </w:tcBorders>
            <w:shd w:val="clear" w:color="auto" w:fill="auto"/>
            <w:vAlign w:val="bottom"/>
            <w:hideMark/>
          </w:tcPr>
          <w:p w14:paraId="30550445"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13,328</w:t>
            </w:r>
          </w:p>
        </w:tc>
        <w:tc>
          <w:tcPr>
            <w:tcW w:w="740" w:type="dxa"/>
            <w:tcBorders>
              <w:top w:val="nil"/>
              <w:left w:val="nil"/>
              <w:bottom w:val="single" w:sz="4" w:space="0" w:color="ADD6EA"/>
              <w:right w:val="nil"/>
            </w:tcBorders>
            <w:shd w:val="clear" w:color="auto" w:fill="auto"/>
            <w:vAlign w:val="bottom"/>
            <w:hideMark/>
          </w:tcPr>
          <w:p w14:paraId="48918EF4"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6,776</w:t>
            </w:r>
          </w:p>
        </w:tc>
        <w:tc>
          <w:tcPr>
            <w:tcW w:w="740" w:type="dxa"/>
            <w:tcBorders>
              <w:top w:val="nil"/>
              <w:left w:val="nil"/>
              <w:bottom w:val="single" w:sz="4" w:space="0" w:color="ADD6EA"/>
              <w:right w:val="nil"/>
            </w:tcBorders>
            <w:shd w:val="clear" w:color="auto" w:fill="auto"/>
            <w:vAlign w:val="bottom"/>
            <w:hideMark/>
          </w:tcPr>
          <w:p w14:paraId="1325EFD9"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4,204</w:t>
            </w:r>
          </w:p>
        </w:tc>
        <w:tc>
          <w:tcPr>
            <w:tcW w:w="740" w:type="dxa"/>
            <w:tcBorders>
              <w:top w:val="nil"/>
              <w:left w:val="nil"/>
              <w:bottom w:val="single" w:sz="4" w:space="0" w:color="ADD6EA"/>
              <w:right w:val="nil"/>
            </w:tcBorders>
            <w:shd w:val="clear" w:color="auto" w:fill="auto"/>
            <w:vAlign w:val="bottom"/>
            <w:hideMark/>
          </w:tcPr>
          <w:p w14:paraId="316F1D11"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1,375</w:t>
            </w:r>
          </w:p>
        </w:tc>
        <w:tc>
          <w:tcPr>
            <w:tcW w:w="740" w:type="dxa"/>
            <w:tcBorders>
              <w:top w:val="nil"/>
              <w:left w:val="nil"/>
              <w:bottom w:val="single" w:sz="4" w:space="0" w:color="ADD6EA"/>
              <w:right w:val="nil"/>
            </w:tcBorders>
            <w:shd w:val="clear" w:color="auto" w:fill="auto"/>
            <w:vAlign w:val="bottom"/>
            <w:hideMark/>
          </w:tcPr>
          <w:p w14:paraId="0EBAE8B9"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1,015</w:t>
            </w:r>
          </w:p>
        </w:tc>
        <w:tc>
          <w:tcPr>
            <w:tcW w:w="660" w:type="dxa"/>
            <w:tcBorders>
              <w:top w:val="nil"/>
              <w:left w:val="nil"/>
              <w:bottom w:val="single" w:sz="4" w:space="0" w:color="ADD6EA"/>
              <w:right w:val="nil"/>
            </w:tcBorders>
            <w:shd w:val="clear" w:color="auto" w:fill="auto"/>
            <w:vAlign w:val="bottom"/>
            <w:hideMark/>
          </w:tcPr>
          <w:p w14:paraId="337EC8FD"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856</w:t>
            </w:r>
          </w:p>
        </w:tc>
        <w:tc>
          <w:tcPr>
            <w:tcW w:w="740" w:type="dxa"/>
            <w:tcBorders>
              <w:top w:val="nil"/>
              <w:left w:val="nil"/>
              <w:bottom w:val="single" w:sz="4" w:space="0" w:color="ADD6EA"/>
              <w:right w:val="nil"/>
            </w:tcBorders>
            <w:shd w:val="clear" w:color="auto" w:fill="auto"/>
            <w:vAlign w:val="bottom"/>
            <w:hideMark/>
          </w:tcPr>
          <w:p w14:paraId="21F16C33"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61,578</w:t>
            </w:r>
          </w:p>
        </w:tc>
      </w:tr>
      <w:tr w:rsidR="007E365E" w:rsidRPr="001C7AAA" w14:paraId="31D4A2D3" w14:textId="77777777" w:rsidTr="007D1D77">
        <w:trPr>
          <w:trHeight w:val="315"/>
        </w:trPr>
        <w:tc>
          <w:tcPr>
            <w:tcW w:w="2400" w:type="dxa"/>
            <w:tcBorders>
              <w:top w:val="nil"/>
              <w:left w:val="nil"/>
              <w:bottom w:val="single" w:sz="4" w:space="0" w:color="ADD6EA"/>
              <w:right w:val="nil"/>
            </w:tcBorders>
            <w:shd w:val="clear" w:color="auto" w:fill="auto"/>
            <w:vAlign w:val="bottom"/>
            <w:hideMark/>
          </w:tcPr>
          <w:p w14:paraId="72D561F7" w14:textId="77777777" w:rsidR="007E365E" w:rsidRPr="001C7AAA" w:rsidRDefault="007E365E" w:rsidP="007D1D77">
            <w:pPr>
              <w:keepNext/>
              <w:tabs>
                <w:tab w:val="clear" w:pos="567"/>
              </w:tabs>
              <w:spacing w:before="0" w:line="240" w:lineRule="auto"/>
              <w:rPr>
                <w:rFonts w:eastAsia="Times New Roman" w:cs="Open Sans Light"/>
                <w:sz w:val="16"/>
                <w:szCs w:val="16"/>
                <w:lang w:eastAsia="en-AU"/>
              </w:rPr>
            </w:pPr>
            <w:r w:rsidRPr="001C7AAA">
              <w:rPr>
                <w:rFonts w:eastAsia="Times New Roman" w:cs="Open Sans Light"/>
                <w:sz w:val="16"/>
                <w:szCs w:val="16"/>
                <w:lang w:eastAsia="en-AU"/>
              </w:rPr>
              <w:t>Assessed closing stock ($m)</w:t>
            </w:r>
          </w:p>
        </w:tc>
        <w:tc>
          <w:tcPr>
            <w:tcW w:w="740" w:type="dxa"/>
            <w:tcBorders>
              <w:top w:val="nil"/>
              <w:left w:val="nil"/>
              <w:bottom w:val="single" w:sz="4" w:space="0" w:color="ADD6EA"/>
              <w:right w:val="nil"/>
            </w:tcBorders>
            <w:shd w:val="clear" w:color="auto" w:fill="auto"/>
            <w:vAlign w:val="bottom"/>
            <w:hideMark/>
          </w:tcPr>
          <w:p w14:paraId="7F1C3790"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20,202</w:t>
            </w:r>
          </w:p>
        </w:tc>
        <w:tc>
          <w:tcPr>
            <w:tcW w:w="740" w:type="dxa"/>
            <w:tcBorders>
              <w:top w:val="nil"/>
              <w:left w:val="nil"/>
              <w:bottom w:val="single" w:sz="4" w:space="0" w:color="ADD6EA"/>
              <w:right w:val="nil"/>
            </w:tcBorders>
            <w:shd w:val="clear" w:color="auto" w:fill="auto"/>
            <w:vAlign w:val="bottom"/>
            <w:hideMark/>
          </w:tcPr>
          <w:p w14:paraId="788C92CF"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15,570</w:t>
            </w:r>
          </w:p>
        </w:tc>
        <w:tc>
          <w:tcPr>
            <w:tcW w:w="740" w:type="dxa"/>
            <w:tcBorders>
              <w:top w:val="nil"/>
              <w:left w:val="nil"/>
              <w:bottom w:val="single" w:sz="4" w:space="0" w:color="ADD6EA"/>
              <w:right w:val="nil"/>
            </w:tcBorders>
            <w:shd w:val="clear" w:color="auto" w:fill="auto"/>
            <w:vAlign w:val="bottom"/>
            <w:hideMark/>
          </w:tcPr>
          <w:p w14:paraId="43E90702"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14,023</w:t>
            </w:r>
          </w:p>
        </w:tc>
        <w:tc>
          <w:tcPr>
            <w:tcW w:w="740" w:type="dxa"/>
            <w:tcBorders>
              <w:top w:val="nil"/>
              <w:left w:val="nil"/>
              <w:bottom w:val="single" w:sz="4" w:space="0" w:color="ADD6EA"/>
              <w:right w:val="nil"/>
            </w:tcBorders>
            <w:shd w:val="clear" w:color="auto" w:fill="auto"/>
            <w:vAlign w:val="bottom"/>
            <w:hideMark/>
          </w:tcPr>
          <w:p w14:paraId="5DBEC2A6"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7,127</w:t>
            </w:r>
          </w:p>
        </w:tc>
        <w:tc>
          <w:tcPr>
            <w:tcW w:w="740" w:type="dxa"/>
            <w:tcBorders>
              <w:top w:val="nil"/>
              <w:left w:val="nil"/>
              <w:bottom w:val="single" w:sz="4" w:space="0" w:color="ADD6EA"/>
              <w:right w:val="nil"/>
            </w:tcBorders>
            <w:shd w:val="clear" w:color="auto" w:fill="auto"/>
            <w:vAlign w:val="bottom"/>
            <w:hideMark/>
          </w:tcPr>
          <w:p w14:paraId="7A3E3BDC"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4,393</w:t>
            </w:r>
          </w:p>
        </w:tc>
        <w:tc>
          <w:tcPr>
            <w:tcW w:w="740" w:type="dxa"/>
            <w:tcBorders>
              <w:top w:val="nil"/>
              <w:left w:val="nil"/>
              <w:bottom w:val="single" w:sz="4" w:space="0" w:color="ADD6EA"/>
              <w:right w:val="nil"/>
            </w:tcBorders>
            <w:shd w:val="clear" w:color="auto" w:fill="auto"/>
            <w:vAlign w:val="bottom"/>
            <w:hideMark/>
          </w:tcPr>
          <w:p w14:paraId="408B53CB"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1,431</w:t>
            </w:r>
          </w:p>
        </w:tc>
        <w:tc>
          <w:tcPr>
            <w:tcW w:w="740" w:type="dxa"/>
            <w:tcBorders>
              <w:top w:val="nil"/>
              <w:left w:val="nil"/>
              <w:bottom w:val="single" w:sz="4" w:space="0" w:color="ADD6EA"/>
              <w:right w:val="nil"/>
            </w:tcBorders>
            <w:shd w:val="clear" w:color="auto" w:fill="auto"/>
            <w:vAlign w:val="bottom"/>
            <w:hideMark/>
          </w:tcPr>
          <w:p w14:paraId="3C1A69BD"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1,086</w:t>
            </w:r>
          </w:p>
        </w:tc>
        <w:tc>
          <w:tcPr>
            <w:tcW w:w="660" w:type="dxa"/>
            <w:tcBorders>
              <w:top w:val="nil"/>
              <w:left w:val="nil"/>
              <w:bottom w:val="single" w:sz="4" w:space="0" w:color="ADD6EA"/>
              <w:right w:val="nil"/>
            </w:tcBorders>
            <w:shd w:val="clear" w:color="auto" w:fill="auto"/>
            <w:vAlign w:val="bottom"/>
            <w:hideMark/>
          </w:tcPr>
          <w:p w14:paraId="5C574D14"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865</w:t>
            </w:r>
          </w:p>
        </w:tc>
        <w:tc>
          <w:tcPr>
            <w:tcW w:w="740" w:type="dxa"/>
            <w:tcBorders>
              <w:top w:val="nil"/>
              <w:left w:val="nil"/>
              <w:bottom w:val="single" w:sz="4" w:space="0" w:color="ADD6EA"/>
              <w:right w:val="nil"/>
            </w:tcBorders>
            <w:shd w:val="clear" w:color="auto" w:fill="auto"/>
            <w:vAlign w:val="bottom"/>
            <w:hideMark/>
          </w:tcPr>
          <w:p w14:paraId="1C34D4CE"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64,697</w:t>
            </w:r>
          </w:p>
        </w:tc>
      </w:tr>
      <w:tr w:rsidR="007E365E" w:rsidRPr="001C7AAA" w14:paraId="05B0FC8E" w14:textId="77777777" w:rsidTr="007D1D77">
        <w:trPr>
          <w:trHeight w:val="315"/>
        </w:trPr>
        <w:tc>
          <w:tcPr>
            <w:tcW w:w="2400" w:type="dxa"/>
            <w:tcBorders>
              <w:top w:val="nil"/>
              <w:left w:val="nil"/>
              <w:bottom w:val="single" w:sz="4" w:space="0" w:color="ADD6EA"/>
              <w:right w:val="nil"/>
            </w:tcBorders>
            <w:shd w:val="clear" w:color="auto" w:fill="auto"/>
            <w:vAlign w:val="bottom"/>
            <w:hideMark/>
          </w:tcPr>
          <w:p w14:paraId="45775723" w14:textId="77777777" w:rsidR="007E365E" w:rsidRPr="001C7AAA" w:rsidRDefault="007E365E" w:rsidP="007D1D77">
            <w:pPr>
              <w:keepNext/>
              <w:tabs>
                <w:tab w:val="clear" w:pos="567"/>
              </w:tabs>
              <w:spacing w:before="0" w:line="240" w:lineRule="auto"/>
              <w:rPr>
                <w:rFonts w:eastAsia="Times New Roman" w:cs="Open Sans Light"/>
                <w:sz w:val="16"/>
                <w:szCs w:val="16"/>
                <w:lang w:eastAsia="en-AU"/>
              </w:rPr>
            </w:pPr>
            <w:r w:rsidRPr="001C7AAA">
              <w:rPr>
                <w:rFonts w:eastAsia="Times New Roman" w:cs="Open Sans Light"/>
                <w:sz w:val="16"/>
                <w:szCs w:val="16"/>
                <w:lang w:eastAsia="en-AU"/>
              </w:rPr>
              <w:t>Assessed change in stock ($m)</w:t>
            </w:r>
          </w:p>
        </w:tc>
        <w:tc>
          <w:tcPr>
            <w:tcW w:w="740" w:type="dxa"/>
            <w:tcBorders>
              <w:top w:val="nil"/>
              <w:left w:val="nil"/>
              <w:bottom w:val="single" w:sz="4" w:space="0" w:color="ADD6EA"/>
              <w:right w:val="nil"/>
            </w:tcBorders>
            <w:shd w:val="clear" w:color="auto" w:fill="auto"/>
            <w:vAlign w:val="bottom"/>
            <w:hideMark/>
          </w:tcPr>
          <w:p w14:paraId="0E56B56E"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863</w:t>
            </w:r>
          </w:p>
        </w:tc>
        <w:tc>
          <w:tcPr>
            <w:tcW w:w="740" w:type="dxa"/>
            <w:tcBorders>
              <w:top w:val="nil"/>
              <w:left w:val="nil"/>
              <w:bottom w:val="single" w:sz="4" w:space="0" w:color="ADD6EA"/>
              <w:right w:val="nil"/>
            </w:tcBorders>
            <w:shd w:val="clear" w:color="auto" w:fill="auto"/>
            <w:vAlign w:val="bottom"/>
            <w:hideMark/>
          </w:tcPr>
          <w:p w14:paraId="2F7AFD07"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885</w:t>
            </w:r>
          </w:p>
        </w:tc>
        <w:tc>
          <w:tcPr>
            <w:tcW w:w="740" w:type="dxa"/>
            <w:tcBorders>
              <w:top w:val="nil"/>
              <w:left w:val="nil"/>
              <w:bottom w:val="single" w:sz="4" w:space="0" w:color="ADD6EA"/>
              <w:right w:val="nil"/>
            </w:tcBorders>
            <w:shd w:val="clear" w:color="auto" w:fill="auto"/>
            <w:vAlign w:val="bottom"/>
            <w:hideMark/>
          </w:tcPr>
          <w:p w14:paraId="1C49B4A3"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695</w:t>
            </w:r>
          </w:p>
        </w:tc>
        <w:tc>
          <w:tcPr>
            <w:tcW w:w="740" w:type="dxa"/>
            <w:tcBorders>
              <w:top w:val="nil"/>
              <w:left w:val="nil"/>
              <w:bottom w:val="single" w:sz="4" w:space="0" w:color="ADD6EA"/>
              <w:right w:val="nil"/>
            </w:tcBorders>
            <w:shd w:val="clear" w:color="auto" w:fill="auto"/>
            <w:vAlign w:val="bottom"/>
            <w:hideMark/>
          </w:tcPr>
          <w:p w14:paraId="52A38271"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351</w:t>
            </w:r>
          </w:p>
        </w:tc>
        <w:tc>
          <w:tcPr>
            <w:tcW w:w="740" w:type="dxa"/>
            <w:tcBorders>
              <w:top w:val="nil"/>
              <w:left w:val="nil"/>
              <w:bottom w:val="single" w:sz="4" w:space="0" w:color="ADD6EA"/>
              <w:right w:val="nil"/>
            </w:tcBorders>
            <w:shd w:val="clear" w:color="auto" w:fill="auto"/>
            <w:vAlign w:val="bottom"/>
            <w:hideMark/>
          </w:tcPr>
          <w:p w14:paraId="65D00FDA"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190</w:t>
            </w:r>
          </w:p>
        </w:tc>
        <w:tc>
          <w:tcPr>
            <w:tcW w:w="740" w:type="dxa"/>
            <w:tcBorders>
              <w:top w:val="nil"/>
              <w:left w:val="nil"/>
              <w:bottom w:val="single" w:sz="4" w:space="0" w:color="ADD6EA"/>
              <w:right w:val="nil"/>
            </w:tcBorders>
            <w:shd w:val="clear" w:color="auto" w:fill="auto"/>
            <w:vAlign w:val="bottom"/>
            <w:hideMark/>
          </w:tcPr>
          <w:p w14:paraId="79FD0020"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56</w:t>
            </w:r>
          </w:p>
        </w:tc>
        <w:tc>
          <w:tcPr>
            <w:tcW w:w="740" w:type="dxa"/>
            <w:tcBorders>
              <w:top w:val="nil"/>
              <w:left w:val="nil"/>
              <w:bottom w:val="single" w:sz="4" w:space="0" w:color="ADD6EA"/>
              <w:right w:val="nil"/>
            </w:tcBorders>
            <w:shd w:val="clear" w:color="auto" w:fill="auto"/>
            <w:vAlign w:val="bottom"/>
            <w:hideMark/>
          </w:tcPr>
          <w:p w14:paraId="79FAB4F9"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71</w:t>
            </w:r>
          </w:p>
        </w:tc>
        <w:tc>
          <w:tcPr>
            <w:tcW w:w="660" w:type="dxa"/>
            <w:tcBorders>
              <w:top w:val="nil"/>
              <w:left w:val="nil"/>
              <w:bottom w:val="single" w:sz="4" w:space="0" w:color="ADD6EA"/>
              <w:right w:val="nil"/>
            </w:tcBorders>
            <w:shd w:val="clear" w:color="auto" w:fill="auto"/>
            <w:vAlign w:val="bottom"/>
            <w:hideMark/>
          </w:tcPr>
          <w:p w14:paraId="21FD9D49"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9</w:t>
            </w:r>
          </w:p>
        </w:tc>
        <w:tc>
          <w:tcPr>
            <w:tcW w:w="740" w:type="dxa"/>
            <w:tcBorders>
              <w:top w:val="nil"/>
              <w:left w:val="nil"/>
              <w:bottom w:val="single" w:sz="4" w:space="0" w:color="ADD6EA"/>
              <w:right w:val="nil"/>
            </w:tcBorders>
            <w:shd w:val="clear" w:color="auto" w:fill="auto"/>
            <w:vAlign w:val="bottom"/>
            <w:hideMark/>
          </w:tcPr>
          <w:p w14:paraId="1987B17E"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3,119</w:t>
            </w:r>
          </w:p>
        </w:tc>
      </w:tr>
      <w:tr w:rsidR="007E365E" w:rsidRPr="001C7AAA" w14:paraId="5168879C" w14:textId="77777777" w:rsidTr="007D1D77">
        <w:trPr>
          <w:trHeight w:val="315"/>
        </w:trPr>
        <w:tc>
          <w:tcPr>
            <w:tcW w:w="2400" w:type="dxa"/>
            <w:tcBorders>
              <w:top w:val="nil"/>
              <w:left w:val="nil"/>
              <w:bottom w:val="single" w:sz="4" w:space="0" w:color="ADD6EA"/>
              <w:right w:val="nil"/>
            </w:tcBorders>
            <w:shd w:val="clear" w:color="auto" w:fill="auto"/>
            <w:vAlign w:val="bottom"/>
            <w:hideMark/>
          </w:tcPr>
          <w:p w14:paraId="71D57587" w14:textId="77777777" w:rsidR="007E365E" w:rsidRPr="001C7AAA" w:rsidRDefault="007E365E" w:rsidP="007D1D77">
            <w:pPr>
              <w:keepNext/>
              <w:tabs>
                <w:tab w:val="clear" w:pos="567"/>
              </w:tabs>
              <w:spacing w:before="0" w:line="240" w:lineRule="auto"/>
              <w:rPr>
                <w:rFonts w:eastAsia="Times New Roman" w:cs="Open Sans Light"/>
                <w:sz w:val="16"/>
                <w:szCs w:val="16"/>
                <w:lang w:eastAsia="en-AU"/>
              </w:rPr>
            </w:pPr>
            <w:r w:rsidRPr="001C7AAA">
              <w:rPr>
                <w:rFonts w:eastAsia="Times New Roman" w:cs="Open Sans Light"/>
                <w:sz w:val="16"/>
                <w:szCs w:val="16"/>
                <w:lang w:eastAsia="en-AU"/>
              </w:rPr>
              <w:t>Cost factor</w:t>
            </w:r>
          </w:p>
        </w:tc>
        <w:tc>
          <w:tcPr>
            <w:tcW w:w="740" w:type="dxa"/>
            <w:tcBorders>
              <w:top w:val="nil"/>
              <w:left w:val="nil"/>
              <w:bottom w:val="single" w:sz="4" w:space="0" w:color="ADD6EA"/>
              <w:right w:val="nil"/>
            </w:tcBorders>
            <w:shd w:val="clear" w:color="auto" w:fill="auto"/>
            <w:vAlign w:val="bottom"/>
            <w:hideMark/>
          </w:tcPr>
          <w:p w14:paraId="250AA0C0"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1.022</w:t>
            </w:r>
          </w:p>
        </w:tc>
        <w:tc>
          <w:tcPr>
            <w:tcW w:w="740" w:type="dxa"/>
            <w:tcBorders>
              <w:top w:val="nil"/>
              <w:left w:val="nil"/>
              <w:bottom w:val="single" w:sz="4" w:space="0" w:color="ADD6EA"/>
              <w:right w:val="nil"/>
            </w:tcBorders>
            <w:shd w:val="clear" w:color="auto" w:fill="auto"/>
            <w:vAlign w:val="bottom"/>
            <w:hideMark/>
          </w:tcPr>
          <w:p w14:paraId="23C59E06"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0.952</w:t>
            </w:r>
          </w:p>
        </w:tc>
        <w:tc>
          <w:tcPr>
            <w:tcW w:w="740" w:type="dxa"/>
            <w:tcBorders>
              <w:top w:val="nil"/>
              <w:left w:val="nil"/>
              <w:bottom w:val="single" w:sz="4" w:space="0" w:color="ADD6EA"/>
              <w:right w:val="nil"/>
            </w:tcBorders>
            <w:shd w:val="clear" w:color="auto" w:fill="auto"/>
            <w:vAlign w:val="bottom"/>
            <w:hideMark/>
          </w:tcPr>
          <w:p w14:paraId="6F4C0F76"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0.986</w:t>
            </w:r>
          </w:p>
        </w:tc>
        <w:tc>
          <w:tcPr>
            <w:tcW w:w="740" w:type="dxa"/>
            <w:tcBorders>
              <w:top w:val="nil"/>
              <w:left w:val="nil"/>
              <w:bottom w:val="single" w:sz="4" w:space="0" w:color="ADD6EA"/>
              <w:right w:val="nil"/>
            </w:tcBorders>
            <w:shd w:val="clear" w:color="auto" w:fill="auto"/>
            <w:vAlign w:val="bottom"/>
            <w:hideMark/>
          </w:tcPr>
          <w:p w14:paraId="53FA266A"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1.063</w:t>
            </w:r>
          </w:p>
        </w:tc>
        <w:tc>
          <w:tcPr>
            <w:tcW w:w="740" w:type="dxa"/>
            <w:tcBorders>
              <w:top w:val="nil"/>
              <w:left w:val="nil"/>
              <w:bottom w:val="single" w:sz="4" w:space="0" w:color="ADD6EA"/>
              <w:right w:val="nil"/>
            </w:tcBorders>
            <w:shd w:val="clear" w:color="auto" w:fill="auto"/>
            <w:vAlign w:val="bottom"/>
            <w:hideMark/>
          </w:tcPr>
          <w:p w14:paraId="3EA096C9"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1.006</w:t>
            </w:r>
          </w:p>
        </w:tc>
        <w:tc>
          <w:tcPr>
            <w:tcW w:w="740" w:type="dxa"/>
            <w:tcBorders>
              <w:top w:val="nil"/>
              <w:left w:val="nil"/>
              <w:bottom w:val="single" w:sz="4" w:space="0" w:color="ADD6EA"/>
              <w:right w:val="nil"/>
            </w:tcBorders>
            <w:shd w:val="clear" w:color="auto" w:fill="auto"/>
            <w:vAlign w:val="bottom"/>
            <w:hideMark/>
          </w:tcPr>
          <w:p w14:paraId="31C57489"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0.959</w:t>
            </w:r>
          </w:p>
        </w:tc>
        <w:tc>
          <w:tcPr>
            <w:tcW w:w="740" w:type="dxa"/>
            <w:tcBorders>
              <w:top w:val="nil"/>
              <w:left w:val="nil"/>
              <w:bottom w:val="single" w:sz="4" w:space="0" w:color="ADD6EA"/>
              <w:right w:val="nil"/>
            </w:tcBorders>
            <w:shd w:val="clear" w:color="auto" w:fill="auto"/>
            <w:vAlign w:val="bottom"/>
            <w:hideMark/>
          </w:tcPr>
          <w:p w14:paraId="7F148B99"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1.015</w:t>
            </w:r>
          </w:p>
        </w:tc>
        <w:tc>
          <w:tcPr>
            <w:tcW w:w="660" w:type="dxa"/>
            <w:tcBorders>
              <w:top w:val="nil"/>
              <w:left w:val="nil"/>
              <w:bottom w:val="single" w:sz="4" w:space="0" w:color="ADD6EA"/>
              <w:right w:val="nil"/>
            </w:tcBorders>
            <w:shd w:val="clear" w:color="auto" w:fill="auto"/>
            <w:vAlign w:val="bottom"/>
            <w:hideMark/>
          </w:tcPr>
          <w:p w14:paraId="523C78FF"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1.184</w:t>
            </w:r>
          </w:p>
        </w:tc>
        <w:tc>
          <w:tcPr>
            <w:tcW w:w="740" w:type="dxa"/>
            <w:tcBorders>
              <w:top w:val="nil"/>
              <w:left w:val="nil"/>
              <w:bottom w:val="single" w:sz="4" w:space="0" w:color="ADD6EA"/>
              <w:right w:val="nil"/>
            </w:tcBorders>
            <w:shd w:val="clear" w:color="auto" w:fill="auto"/>
            <w:vAlign w:val="bottom"/>
            <w:hideMark/>
          </w:tcPr>
          <w:p w14:paraId="74FAB7C2" w14:textId="77777777" w:rsidR="007E365E" w:rsidRPr="001C7AAA" w:rsidRDefault="007E365E" w:rsidP="007D1D77">
            <w:pPr>
              <w:keepNext/>
              <w:tabs>
                <w:tab w:val="clear" w:pos="567"/>
              </w:tabs>
              <w:spacing w:before="0" w:line="240" w:lineRule="auto"/>
              <w:jc w:val="right"/>
              <w:rPr>
                <w:rFonts w:eastAsia="Times New Roman" w:cs="Open Sans Light"/>
                <w:sz w:val="16"/>
                <w:szCs w:val="16"/>
                <w:lang w:eastAsia="en-AU"/>
              </w:rPr>
            </w:pPr>
            <w:r w:rsidRPr="001C7AAA">
              <w:rPr>
                <w:rFonts w:eastAsia="Times New Roman" w:cs="Open Sans Light"/>
                <w:sz w:val="16"/>
                <w:szCs w:val="16"/>
                <w:lang w:eastAsia="en-AU"/>
              </w:rPr>
              <w:t>1.000</w:t>
            </w:r>
          </w:p>
        </w:tc>
      </w:tr>
      <w:tr w:rsidR="007E365E" w:rsidRPr="001C7AAA" w14:paraId="0F8CB1F2" w14:textId="77777777" w:rsidTr="007D1D77">
        <w:trPr>
          <w:trHeight w:val="315"/>
        </w:trPr>
        <w:tc>
          <w:tcPr>
            <w:tcW w:w="2400" w:type="dxa"/>
            <w:tcBorders>
              <w:top w:val="nil"/>
              <w:left w:val="nil"/>
              <w:bottom w:val="single" w:sz="4" w:space="0" w:color="ADD6EA"/>
              <w:right w:val="nil"/>
            </w:tcBorders>
            <w:shd w:val="clear" w:color="000000" w:fill="D6E7F0"/>
            <w:vAlign w:val="bottom"/>
            <w:hideMark/>
          </w:tcPr>
          <w:p w14:paraId="32274882" w14:textId="77777777" w:rsidR="007E365E" w:rsidRPr="001C7AAA"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Assessed investment ($m)</w:t>
            </w:r>
          </w:p>
        </w:tc>
        <w:tc>
          <w:tcPr>
            <w:tcW w:w="740" w:type="dxa"/>
            <w:tcBorders>
              <w:top w:val="nil"/>
              <w:left w:val="nil"/>
              <w:bottom w:val="single" w:sz="4" w:space="0" w:color="ADD6EA"/>
              <w:right w:val="nil"/>
            </w:tcBorders>
            <w:shd w:val="clear" w:color="000000" w:fill="D6E7F0"/>
            <w:vAlign w:val="bottom"/>
            <w:hideMark/>
          </w:tcPr>
          <w:p w14:paraId="28157F17"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1,233</w:t>
            </w:r>
          </w:p>
        </w:tc>
        <w:tc>
          <w:tcPr>
            <w:tcW w:w="740" w:type="dxa"/>
            <w:tcBorders>
              <w:top w:val="nil"/>
              <w:left w:val="nil"/>
              <w:bottom w:val="single" w:sz="4" w:space="0" w:color="ADD6EA"/>
              <w:right w:val="nil"/>
            </w:tcBorders>
            <w:shd w:val="clear" w:color="000000" w:fill="D6E7F0"/>
            <w:vAlign w:val="bottom"/>
            <w:hideMark/>
          </w:tcPr>
          <w:p w14:paraId="5BB9635B"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1,022</w:t>
            </w:r>
          </w:p>
        </w:tc>
        <w:tc>
          <w:tcPr>
            <w:tcW w:w="740" w:type="dxa"/>
            <w:tcBorders>
              <w:top w:val="nil"/>
              <w:left w:val="nil"/>
              <w:bottom w:val="single" w:sz="4" w:space="0" w:color="ADD6EA"/>
              <w:right w:val="nil"/>
            </w:tcBorders>
            <w:shd w:val="clear" w:color="000000" w:fill="D6E7F0"/>
            <w:vAlign w:val="bottom"/>
            <w:hideMark/>
          </w:tcPr>
          <w:p w14:paraId="72257744"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900</w:t>
            </w:r>
          </w:p>
        </w:tc>
        <w:tc>
          <w:tcPr>
            <w:tcW w:w="740" w:type="dxa"/>
            <w:tcBorders>
              <w:top w:val="nil"/>
              <w:left w:val="nil"/>
              <w:bottom w:val="single" w:sz="4" w:space="0" w:color="ADD6EA"/>
              <w:right w:val="nil"/>
            </w:tcBorders>
            <w:shd w:val="clear" w:color="000000" w:fill="D6E7F0"/>
            <w:vAlign w:val="bottom"/>
            <w:hideMark/>
          </w:tcPr>
          <w:p w14:paraId="225D6A69"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405</w:t>
            </w:r>
          </w:p>
        </w:tc>
        <w:tc>
          <w:tcPr>
            <w:tcW w:w="740" w:type="dxa"/>
            <w:tcBorders>
              <w:top w:val="nil"/>
              <w:left w:val="nil"/>
              <w:bottom w:val="single" w:sz="4" w:space="0" w:color="ADD6EA"/>
              <w:right w:val="nil"/>
            </w:tcBorders>
            <w:shd w:val="clear" w:color="000000" w:fill="D6E7F0"/>
            <w:vAlign w:val="bottom"/>
            <w:hideMark/>
          </w:tcPr>
          <w:p w14:paraId="74C7F79D"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283</w:t>
            </w:r>
          </w:p>
        </w:tc>
        <w:tc>
          <w:tcPr>
            <w:tcW w:w="740" w:type="dxa"/>
            <w:tcBorders>
              <w:top w:val="nil"/>
              <w:left w:val="nil"/>
              <w:bottom w:val="single" w:sz="4" w:space="0" w:color="ADD6EA"/>
              <w:right w:val="nil"/>
            </w:tcBorders>
            <w:shd w:val="clear" w:color="000000" w:fill="D6E7F0"/>
            <w:vAlign w:val="bottom"/>
            <w:hideMark/>
          </w:tcPr>
          <w:p w14:paraId="36732817"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118</w:t>
            </w:r>
          </w:p>
        </w:tc>
        <w:tc>
          <w:tcPr>
            <w:tcW w:w="740" w:type="dxa"/>
            <w:tcBorders>
              <w:top w:val="nil"/>
              <w:left w:val="nil"/>
              <w:bottom w:val="single" w:sz="4" w:space="0" w:color="ADD6EA"/>
              <w:right w:val="nil"/>
            </w:tcBorders>
            <w:shd w:val="clear" w:color="000000" w:fill="D6E7F0"/>
            <w:vAlign w:val="bottom"/>
            <w:hideMark/>
          </w:tcPr>
          <w:p w14:paraId="7AD5BD1D"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57</w:t>
            </w:r>
          </w:p>
        </w:tc>
        <w:tc>
          <w:tcPr>
            <w:tcW w:w="660" w:type="dxa"/>
            <w:tcBorders>
              <w:top w:val="nil"/>
              <w:left w:val="nil"/>
              <w:bottom w:val="single" w:sz="4" w:space="0" w:color="ADD6EA"/>
              <w:right w:val="nil"/>
            </w:tcBorders>
            <w:shd w:val="clear" w:color="000000" w:fill="D6E7F0"/>
            <w:vAlign w:val="bottom"/>
            <w:hideMark/>
          </w:tcPr>
          <w:p w14:paraId="74C4FBAA"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68</w:t>
            </w:r>
          </w:p>
        </w:tc>
        <w:tc>
          <w:tcPr>
            <w:tcW w:w="740" w:type="dxa"/>
            <w:tcBorders>
              <w:top w:val="nil"/>
              <w:left w:val="nil"/>
              <w:bottom w:val="single" w:sz="4" w:space="0" w:color="ADD6EA"/>
              <w:right w:val="nil"/>
            </w:tcBorders>
            <w:shd w:val="clear" w:color="000000" w:fill="D6E7F0"/>
            <w:vAlign w:val="bottom"/>
            <w:hideMark/>
          </w:tcPr>
          <w:p w14:paraId="43F7ABF5"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4,085</w:t>
            </w:r>
          </w:p>
        </w:tc>
      </w:tr>
      <w:tr w:rsidR="007E365E" w:rsidRPr="001C7AAA" w14:paraId="5FACBACF" w14:textId="77777777" w:rsidTr="007D1D77">
        <w:trPr>
          <w:trHeight w:val="315"/>
        </w:trPr>
        <w:tc>
          <w:tcPr>
            <w:tcW w:w="2400" w:type="dxa"/>
            <w:tcBorders>
              <w:top w:val="nil"/>
              <w:left w:val="nil"/>
              <w:bottom w:val="single" w:sz="4" w:space="0" w:color="ADD6EA"/>
              <w:right w:val="nil"/>
            </w:tcBorders>
            <w:shd w:val="clear" w:color="000000" w:fill="D6E7F0"/>
            <w:vAlign w:val="bottom"/>
            <w:hideMark/>
          </w:tcPr>
          <w:p w14:paraId="23933F86" w14:textId="77777777" w:rsidR="007E365E" w:rsidRPr="001C7AAA"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Assessed investment ($pc)</w:t>
            </w:r>
          </w:p>
        </w:tc>
        <w:tc>
          <w:tcPr>
            <w:tcW w:w="740" w:type="dxa"/>
            <w:tcBorders>
              <w:top w:val="nil"/>
              <w:left w:val="nil"/>
              <w:bottom w:val="single" w:sz="4" w:space="0" w:color="ADD6EA"/>
              <w:right w:val="nil"/>
            </w:tcBorders>
            <w:shd w:val="clear" w:color="000000" w:fill="D6E7F0"/>
            <w:vAlign w:val="bottom"/>
            <w:hideMark/>
          </w:tcPr>
          <w:p w14:paraId="62F8AA68"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153</w:t>
            </w:r>
          </w:p>
        </w:tc>
        <w:tc>
          <w:tcPr>
            <w:tcW w:w="740" w:type="dxa"/>
            <w:tcBorders>
              <w:top w:val="nil"/>
              <w:left w:val="nil"/>
              <w:bottom w:val="single" w:sz="4" w:space="0" w:color="ADD6EA"/>
              <w:right w:val="nil"/>
            </w:tcBorders>
            <w:shd w:val="clear" w:color="000000" w:fill="D6E7F0"/>
            <w:vAlign w:val="bottom"/>
            <w:hideMark/>
          </w:tcPr>
          <w:p w14:paraId="78AE307E"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157</w:t>
            </w:r>
          </w:p>
        </w:tc>
        <w:tc>
          <w:tcPr>
            <w:tcW w:w="740" w:type="dxa"/>
            <w:tcBorders>
              <w:top w:val="nil"/>
              <w:left w:val="nil"/>
              <w:bottom w:val="single" w:sz="4" w:space="0" w:color="ADD6EA"/>
              <w:right w:val="nil"/>
            </w:tcBorders>
            <w:shd w:val="clear" w:color="000000" w:fill="D6E7F0"/>
            <w:vAlign w:val="bottom"/>
            <w:hideMark/>
          </w:tcPr>
          <w:p w14:paraId="4D87545F"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178</w:t>
            </w:r>
          </w:p>
        </w:tc>
        <w:tc>
          <w:tcPr>
            <w:tcW w:w="740" w:type="dxa"/>
            <w:tcBorders>
              <w:top w:val="nil"/>
              <w:left w:val="nil"/>
              <w:bottom w:val="single" w:sz="4" w:space="0" w:color="ADD6EA"/>
              <w:right w:val="nil"/>
            </w:tcBorders>
            <w:shd w:val="clear" w:color="000000" w:fill="D6E7F0"/>
            <w:vAlign w:val="bottom"/>
            <w:hideMark/>
          </w:tcPr>
          <w:p w14:paraId="5BBCB16D"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155</w:t>
            </w:r>
          </w:p>
        </w:tc>
        <w:tc>
          <w:tcPr>
            <w:tcW w:w="740" w:type="dxa"/>
            <w:tcBorders>
              <w:top w:val="nil"/>
              <w:left w:val="nil"/>
              <w:bottom w:val="single" w:sz="4" w:space="0" w:color="ADD6EA"/>
              <w:right w:val="nil"/>
            </w:tcBorders>
            <w:shd w:val="clear" w:color="000000" w:fill="D6E7F0"/>
            <w:vAlign w:val="bottom"/>
            <w:hideMark/>
          </w:tcPr>
          <w:p w14:paraId="70EF9888"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162</w:t>
            </w:r>
          </w:p>
        </w:tc>
        <w:tc>
          <w:tcPr>
            <w:tcW w:w="740" w:type="dxa"/>
            <w:tcBorders>
              <w:top w:val="nil"/>
              <w:left w:val="nil"/>
              <w:bottom w:val="single" w:sz="4" w:space="0" w:color="ADD6EA"/>
              <w:right w:val="nil"/>
            </w:tcBorders>
            <w:shd w:val="clear" w:color="000000" w:fill="D6E7F0"/>
            <w:vAlign w:val="bottom"/>
            <w:hideMark/>
          </w:tcPr>
          <w:p w14:paraId="32BB95DD"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221</w:t>
            </w:r>
          </w:p>
        </w:tc>
        <w:tc>
          <w:tcPr>
            <w:tcW w:w="740" w:type="dxa"/>
            <w:tcBorders>
              <w:top w:val="nil"/>
              <w:left w:val="nil"/>
              <w:bottom w:val="single" w:sz="4" w:space="0" w:color="ADD6EA"/>
              <w:right w:val="nil"/>
            </w:tcBorders>
            <w:shd w:val="clear" w:color="000000" w:fill="D6E7F0"/>
            <w:vAlign w:val="bottom"/>
            <w:hideMark/>
          </w:tcPr>
          <w:p w14:paraId="61710DE2"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135</w:t>
            </w:r>
          </w:p>
        </w:tc>
        <w:tc>
          <w:tcPr>
            <w:tcW w:w="660" w:type="dxa"/>
            <w:tcBorders>
              <w:top w:val="nil"/>
              <w:left w:val="nil"/>
              <w:bottom w:val="single" w:sz="4" w:space="0" w:color="ADD6EA"/>
              <w:right w:val="nil"/>
            </w:tcBorders>
            <w:shd w:val="clear" w:color="000000" w:fill="D6E7F0"/>
            <w:vAlign w:val="bottom"/>
            <w:hideMark/>
          </w:tcPr>
          <w:p w14:paraId="492E85B2"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278</w:t>
            </w:r>
          </w:p>
        </w:tc>
        <w:tc>
          <w:tcPr>
            <w:tcW w:w="740" w:type="dxa"/>
            <w:tcBorders>
              <w:top w:val="nil"/>
              <w:left w:val="nil"/>
              <w:bottom w:val="single" w:sz="4" w:space="0" w:color="ADD6EA"/>
              <w:right w:val="nil"/>
            </w:tcBorders>
            <w:shd w:val="clear" w:color="000000" w:fill="D6E7F0"/>
            <w:vAlign w:val="bottom"/>
            <w:hideMark/>
          </w:tcPr>
          <w:p w14:paraId="18CBDB67" w14:textId="77777777" w:rsidR="007E365E" w:rsidRPr="001C7AAA"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1C7AAA">
              <w:rPr>
                <w:rFonts w:ascii="Open Sans SemiBold" w:eastAsia="Times New Roman" w:hAnsi="Open Sans SemiBold" w:cs="Open Sans SemiBold"/>
                <w:sz w:val="16"/>
                <w:szCs w:val="16"/>
                <w:lang w:eastAsia="en-AU"/>
              </w:rPr>
              <w:t>162</w:t>
            </w:r>
          </w:p>
        </w:tc>
      </w:tr>
    </w:tbl>
    <w:p w14:paraId="0087807A" w14:textId="17C35998" w:rsidR="007E365E" w:rsidRPr="00785668" w:rsidRDefault="007E365E" w:rsidP="007E365E">
      <w:pPr>
        <w:pStyle w:val="CGCTablenote"/>
        <w:keepNext/>
      </w:pPr>
      <w:r w:rsidRPr="00785668">
        <w:t>Note:</w:t>
      </w:r>
      <w:r w:rsidRPr="00785668">
        <w:tab/>
        <w:t>Numbers may not add due to rounding.</w:t>
      </w:r>
    </w:p>
    <w:p w14:paraId="695883A9" w14:textId="77777777" w:rsidR="007E365E" w:rsidRPr="00785668" w:rsidRDefault="007E365E" w:rsidP="007E365E">
      <w:pPr>
        <w:pStyle w:val="CGCTablenote"/>
        <w:keepNext/>
      </w:pPr>
      <w:r w:rsidRPr="00785668">
        <w:t xml:space="preserve">Source: </w:t>
      </w:r>
      <w:r w:rsidRPr="00785668">
        <w:tab/>
        <w:t>Commission calculation.</w:t>
      </w:r>
    </w:p>
    <w:p w14:paraId="03BFE535" w14:textId="2349753B" w:rsidR="007E365E" w:rsidRDefault="007E365E" w:rsidP="007E365E">
      <w:pPr>
        <w:pStyle w:val="Caption"/>
      </w:pPr>
      <w:bookmarkStart w:id="415" w:name="_Ref4052146"/>
      <w:r w:rsidRPr="00785668">
        <w:t xml:space="preserve">Table </w:t>
      </w:r>
      <w:r>
        <w:t>24-</w:t>
      </w:r>
      <w:fldSimple w:instr=" SEQ Table \* ARABIC ">
        <w:r w:rsidR="007F721A">
          <w:rPr>
            <w:noProof/>
          </w:rPr>
          <w:t>8</w:t>
        </w:r>
      </w:fldSimple>
      <w:bookmarkEnd w:id="415"/>
      <w:r w:rsidRPr="00785668">
        <w:tab/>
      </w:r>
      <w:r>
        <w:t xml:space="preserve">Investment assessment by </w:t>
      </w:r>
      <w:r w:rsidRPr="00785668">
        <w:t xml:space="preserve">component, </w:t>
      </w:r>
      <w:r>
        <w:t>2018-19</w:t>
      </w:r>
    </w:p>
    <w:tbl>
      <w:tblPr>
        <w:tblW w:w="8900" w:type="dxa"/>
        <w:tblCellMar>
          <w:left w:w="0" w:type="dxa"/>
          <w:right w:w="28" w:type="dxa"/>
        </w:tblCellMar>
        <w:tblLook w:val="04A0" w:firstRow="1" w:lastRow="0" w:firstColumn="1" w:lastColumn="0" w:noHBand="0" w:noVBand="1"/>
      </w:tblPr>
      <w:tblGrid>
        <w:gridCol w:w="2067"/>
        <w:gridCol w:w="768"/>
        <w:gridCol w:w="768"/>
        <w:gridCol w:w="768"/>
        <w:gridCol w:w="768"/>
        <w:gridCol w:w="768"/>
        <w:gridCol w:w="768"/>
        <w:gridCol w:w="768"/>
        <w:gridCol w:w="768"/>
        <w:gridCol w:w="768"/>
      </w:tblGrid>
      <w:tr w:rsidR="007E365E" w:rsidRPr="00F01224" w14:paraId="3A4ED7E5" w14:textId="77777777" w:rsidTr="007D1D77">
        <w:trPr>
          <w:trHeight w:val="375"/>
        </w:trPr>
        <w:tc>
          <w:tcPr>
            <w:tcW w:w="2060" w:type="dxa"/>
            <w:tcBorders>
              <w:top w:val="nil"/>
              <w:left w:val="nil"/>
              <w:bottom w:val="nil"/>
              <w:right w:val="nil"/>
            </w:tcBorders>
            <w:shd w:val="clear" w:color="000000" w:fill="006991"/>
            <w:noWrap/>
            <w:vAlign w:val="center"/>
            <w:hideMark/>
          </w:tcPr>
          <w:p w14:paraId="73C8D607"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416" w:name="RANGE!A3:J19"/>
            <w:r w:rsidRPr="00F01224">
              <w:rPr>
                <w:rFonts w:ascii="Open Sans SemiBold" w:eastAsia="Times New Roman" w:hAnsi="Open Sans SemiBold" w:cs="Open Sans SemiBold"/>
                <w:color w:val="FFFFFF"/>
                <w:sz w:val="16"/>
                <w:szCs w:val="16"/>
                <w:lang w:eastAsia="en-AU"/>
              </w:rPr>
              <w:t> </w:t>
            </w:r>
            <w:bookmarkEnd w:id="416"/>
          </w:p>
        </w:tc>
        <w:tc>
          <w:tcPr>
            <w:tcW w:w="760" w:type="dxa"/>
            <w:tcBorders>
              <w:top w:val="nil"/>
              <w:left w:val="nil"/>
              <w:bottom w:val="nil"/>
              <w:right w:val="nil"/>
            </w:tcBorders>
            <w:shd w:val="clear" w:color="000000" w:fill="006991"/>
            <w:noWrap/>
            <w:vAlign w:val="center"/>
            <w:hideMark/>
          </w:tcPr>
          <w:p w14:paraId="7AC7B816"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1224">
              <w:rPr>
                <w:rFonts w:ascii="Open Sans SemiBold" w:eastAsia="Times New Roman" w:hAnsi="Open Sans SemiBold" w:cs="Open Sans SemiBold"/>
                <w:color w:val="FFFFFF"/>
                <w:sz w:val="16"/>
                <w:szCs w:val="16"/>
                <w:lang w:eastAsia="en-AU"/>
              </w:rPr>
              <w:t>NSW</w:t>
            </w:r>
          </w:p>
        </w:tc>
        <w:tc>
          <w:tcPr>
            <w:tcW w:w="760" w:type="dxa"/>
            <w:tcBorders>
              <w:top w:val="nil"/>
              <w:left w:val="nil"/>
              <w:bottom w:val="nil"/>
              <w:right w:val="nil"/>
            </w:tcBorders>
            <w:shd w:val="clear" w:color="000000" w:fill="006991"/>
            <w:noWrap/>
            <w:vAlign w:val="center"/>
            <w:hideMark/>
          </w:tcPr>
          <w:p w14:paraId="5AEE1369"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1224">
              <w:rPr>
                <w:rFonts w:ascii="Open Sans SemiBold" w:eastAsia="Times New Roman" w:hAnsi="Open Sans SemiBold" w:cs="Open Sans SemiBold"/>
                <w:color w:val="FFFFFF"/>
                <w:sz w:val="16"/>
                <w:szCs w:val="16"/>
                <w:lang w:eastAsia="en-AU"/>
              </w:rPr>
              <w:t>Vic</w:t>
            </w:r>
          </w:p>
        </w:tc>
        <w:tc>
          <w:tcPr>
            <w:tcW w:w="760" w:type="dxa"/>
            <w:tcBorders>
              <w:top w:val="nil"/>
              <w:left w:val="nil"/>
              <w:bottom w:val="nil"/>
              <w:right w:val="nil"/>
            </w:tcBorders>
            <w:shd w:val="clear" w:color="000000" w:fill="006991"/>
            <w:noWrap/>
            <w:vAlign w:val="center"/>
            <w:hideMark/>
          </w:tcPr>
          <w:p w14:paraId="7A6B80E0"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1224">
              <w:rPr>
                <w:rFonts w:ascii="Open Sans SemiBold" w:eastAsia="Times New Roman" w:hAnsi="Open Sans SemiBold" w:cs="Open Sans SemiBold"/>
                <w:color w:val="FFFFFF"/>
                <w:sz w:val="16"/>
                <w:szCs w:val="16"/>
                <w:lang w:eastAsia="en-AU"/>
              </w:rPr>
              <w:t>Qld</w:t>
            </w:r>
          </w:p>
        </w:tc>
        <w:tc>
          <w:tcPr>
            <w:tcW w:w="760" w:type="dxa"/>
            <w:tcBorders>
              <w:top w:val="nil"/>
              <w:left w:val="nil"/>
              <w:bottom w:val="nil"/>
              <w:right w:val="nil"/>
            </w:tcBorders>
            <w:shd w:val="clear" w:color="000000" w:fill="006991"/>
            <w:noWrap/>
            <w:vAlign w:val="center"/>
            <w:hideMark/>
          </w:tcPr>
          <w:p w14:paraId="093C1A7F"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1224">
              <w:rPr>
                <w:rFonts w:ascii="Open Sans SemiBold" w:eastAsia="Times New Roman" w:hAnsi="Open Sans SemiBold" w:cs="Open Sans SemiBold"/>
                <w:color w:val="FFFFFF"/>
                <w:sz w:val="16"/>
                <w:szCs w:val="16"/>
                <w:lang w:eastAsia="en-AU"/>
              </w:rPr>
              <w:t>WA</w:t>
            </w:r>
          </w:p>
        </w:tc>
        <w:tc>
          <w:tcPr>
            <w:tcW w:w="760" w:type="dxa"/>
            <w:tcBorders>
              <w:top w:val="nil"/>
              <w:left w:val="nil"/>
              <w:bottom w:val="nil"/>
              <w:right w:val="nil"/>
            </w:tcBorders>
            <w:shd w:val="clear" w:color="000000" w:fill="006991"/>
            <w:noWrap/>
            <w:vAlign w:val="center"/>
            <w:hideMark/>
          </w:tcPr>
          <w:p w14:paraId="61D13D32"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1224">
              <w:rPr>
                <w:rFonts w:ascii="Open Sans SemiBold" w:eastAsia="Times New Roman" w:hAnsi="Open Sans SemiBold" w:cs="Open Sans SemiBold"/>
                <w:color w:val="FFFFFF"/>
                <w:sz w:val="16"/>
                <w:szCs w:val="16"/>
                <w:lang w:eastAsia="en-AU"/>
              </w:rPr>
              <w:t>SA</w:t>
            </w:r>
          </w:p>
        </w:tc>
        <w:tc>
          <w:tcPr>
            <w:tcW w:w="760" w:type="dxa"/>
            <w:tcBorders>
              <w:top w:val="nil"/>
              <w:left w:val="nil"/>
              <w:bottom w:val="nil"/>
              <w:right w:val="nil"/>
            </w:tcBorders>
            <w:shd w:val="clear" w:color="000000" w:fill="006991"/>
            <w:noWrap/>
            <w:vAlign w:val="center"/>
            <w:hideMark/>
          </w:tcPr>
          <w:p w14:paraId="332596CF"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1224">
              <w:rPr>
                <w:rFonts w:ascii="Open Sans SemiBold" w:eastAsia="Times New Roman" w:hAnsi="Open Sans SemiBold" w:cs="Open Sans SemiBold"/>
                <w:color w:val="FFFFFF"/>
                <w:sz w:val="16"/>
                <w:szCs w:val="16"/>
                <w:lang w:eastAsia="en-AU"/>
              </w:rPr>
              <w:t>Tas</w:t>
            </w:r>
          </w:p>
        </w:tc>
        <w:tc>
          <w:tcPr>
            <w:tcW w:w="760" w:type="dxa"/>
            <w:tcBorders>
              <w:top w:val="nil"/>
              <w:left w:val="nil"/>
              <w:bottom w:val="nil"/>
              <w:right w:val="nil"/>
            </w:tcBorders>
            <w:shd w:val="clear" w:color="000000" w:fill="006991"/>
            <w:noWrap/>
            <w:vAlign w:val="center"/>
            <w:hideMark/>
          </w:tcPr>
          <w:p w14:paraId="44174F67"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1224">
              <w:rPr>
                <w:rFonts w:ascii="Open Sans SemiBold" w:eastAsia="Times New Roman" w:hAnsi="Open Sans SemiBold" w:cs="Open Sans SemiBold"/>
                <w:color w:val="FFFFFF"/>
                <w:sz w:val="16"/>
                <w:szCs w:val="16"/>
                <w:lang w:eastAsia="en-AU"/>
              </w:rPr>
              <w:t>ACT</w:t>
            </w:r>
          </w:p>
        </w:tc>
        <w:tc>
          <w:tcPr>
            <w:tcW w:w="760" w:type="dxa"/>
            <w:tcBorders>
              <w:top w:val="nil"/>
              <w:left w:val="nil"/>
              <w:bottom w:val="nil"/>
              <w:right w:val="nil"/>
            </w:tcBorders>
            <w:shd w:val="clear" w:color="000000" w:fill="006991"/>
            <w:noWrap/>
            <w:vAlign w:val="center"/>
            <w:hideMark/>
          </w:tcPr>
          <w:p w14:paraId="4D4DF1D7"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1224">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noWrap/>
            <w:vAlign w:val="center"/>
            <w:hideMark/>
          </w:tcPr>
          <w:p w14:paraId="4243B3A0"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01224">
              <w:rPr>
                <w:rFonts w:ascii="Open Sans SemiBold" w:eastAsia="Times New Roman" w:hAnsi="Open Sans SemiBold" w:cs="Open Sans SemiBold"/>
                <w:color w:val="FFFFFF"/>
                <w:sz w:val="16"/>
                <w:szCs w:val="16"/>
                <w:lang w:eastAsia="en-AU"/>
              </w:rPr>
              <w:t>Redist</w:t>
            </w:r>
          </w:p>
        </w:tc>
      </w:tr>
      <w:tr w:rsidR="007E365E" w:rsidRPr="00F01224" w14:paraId="003FEBD4" w14:textId="77777777" w:rsidTr="007D1D77">
        <w:trPr>
          <w:trHeight w:val="263"/>
        </w:trPr>
        <w:tc>
          <w:tcPr>
            <w:tcW w:w="2060" w:type="dxa"/>
            <w:tcBorders>
              <w:top w:val="nil"/>
              <w:left w:val="nil"/>
              <w:bottom w:val="single" w:sz="4" w:space="0" w:color="ADD6EA"/>
              <w:right w:val="nil"/>
            </w:tcBorders>
            <w:shd w:val="clear" w:color="000000" w:fill="B6D5E4"/>
            <w:noWrap/>
            <w:vAlign w:val="bottom"/>
            <w:hideMark/>
          </w:tcPr>
          <w:p w14:paraId="7DBD2CB4"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noWrap/>
            <w:vAlign w:val="bottom"/>
            <w:hideMark/>
          </w:tcPr>
          <w:p w14:paraId="5D68DE4A"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1B24A21D"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676BF538"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33AB5882"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4F6F5409"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7CF7AAD1"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4461140E"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5B4B27F0"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6D480DA2"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$m</w:t>
            </w:r>
          </w:p>
        </w:tc>
      </w:tr>
      <w:tr w:rsidR="007E365E" w:rsidRPr="00F01224" w14:paraId="2037311E"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2F46CDC1" w14:textId="77777777" w:rsidR="007E365E" w:rsidRPr="00F01224" w:rsidRDefault="007E365E" w:rsidP="007D1D77">
            <w:pPr>
              <w:tabs>
                <w:tab w:val="clear" w:pos="567"/>
              </w:tabs>
              <w:spacing w:before="0" w:line="240" w:lineRule="auto"/>
              <w:rPr>
                <w:rFonts w:eastAsia="Times New Roman" w:cs="Open Sans Light"/>
                <w:sz w:val="16"/>
                <w:szCs w:val="16"/>
                <w:lang w:eastAsia="en-AU"/>
              </w:rPr>
            </w:pPr>
            <w:r w:rsidRPr="00F01224">
              <w:rPr>
                <w:rFonts w:eastAsia="Times New Roman" w:cs="Open Sans Light"/>
                <w:sz w:val="16"/>
                <w:szCs w:val="16"/>
                <w:lang w:eastAsia="en-AU"/>
              </w:rPr>
              <w:t>Schools</w:t>
            </w:r>
          </w:p>
        </w:tc>
        <w:tc>
          <w:tcPr>
            <w:tcW w:w="760" w:type="dxa"/>
            <w:tcBorders>
              <w:top w:val="nil"/>
              <w:left w:val="nil"/>
              <w:bottom w:val="single" w:sz="4" w:space="0" w:color="ADD6EA"/>
              <w:right w:val="nil"/>
            </w:tcBorders>
            <w:shd w:val="clear" w:color="auto" w:fill="auto"/>
            <w:vAlign w:val="bottom"/>
            <w:hideMark/>
          </w:tcPr>
          <w:p w14:paraId="4A501F42"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885</w:t>
            </w:r>
          </w:p>
        </w:tc>
        <w:tc>
          <w:tcPr>
            <w:tcW w:w="760" w:type="dxa"/>
            <w:tcBorders>
              <w:top w:val="nil"/>
              <w:left w:val="nil"/>
              <w:bottom w:val="single" w:sz="4" w:space="0" w:color="ADD6EA"/>
              <w:right w:val="nil"/>
            </w:tcBorders>
            <w:shd w:val="clear" w:color="auto" w:fill="auto"/>
            <w:vAlign w:val="bottom"/>
            <w:hideMark/>
          </w:tcPr>
          <w:p w14:paraId="7ECC0D66"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845</w:t>
            </w:r>
          </w:p>
        </w:tc>
        <w:tc>
          <w:tcPr>
            <w:tcW w:w="760" w:type="dxa"/>
            <w:tcBorders>
              <w:top w:val="nil"/>
              <w:left w:val="nil"/>
              <w:bottom w:val="single" w:sz="4" w:space="0" w:color="ADD6EA"/>
              <w:right w:val="nil"/>
            </w:tcBorders>
            <w:shd w:val="clear" w:color="auto" w:fill="auto"/>
            <w:vAlign w:val="bottom"/>
            <w:hideMark/>
          </w:tcPr>
          <w:p w14:paraId="752B0DDE"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687</w:t>
            </w:r>
          </w:p>
        </w:tc>
        <w:tc>
          <w:tcPr>
            <w:tcW w:w="760" w:type="dxa"/>
            <w:tcBorders>
              <w:top w:val="nil"/>
              <w:left w:val="nil"/>
              <w:bottom w:val="single" w:sz="4" w:space="0" w:color="ADD6EA"/>
              <w:right w:val="nil"/>
            </w:tcBorders>
            <w:shd w:val="clear" w:color="auto" w:fill="auto"/>
            <w:vAlign w:val="bottom"/>
            <w:hideMark/>
          </w:tcPr>
          <w:p w14:paraId="0FBFFBC2"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374</w:t>
            </w:r>
          </w:p>
        </w:tc>
        <w:tc>
          <w:tcPr>
            <w:tcW w:w="760" w:type="dxa"/>
            <w:tcBorders>
              <w:top w:val="nil"/>
              <w:left w:val="nil"/>
              <w:bottom w:val="single" w:sz="4" w:space="0" w:color="ADD6EA"/>
              <w:right w:val="nil"/>
            </w:tcBorders>
            <w:shd w:val="clear" w:color="auto" w:fill="auto"/>
            <w:vAlign w:val="bottom"/>
            <w:hideMark/>
          </w:tcPr>
          <w:p w14:paraId="5329E990"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192</w:t>
            </w:r>
          </w:p>
        </w:tc>
        <w:tc>
          <w:tcPr>
            <w:tcW w:w="760" w:type="dxa"/>
            <w:tcBorders>
              <w:top w:val="nil"/>
              <w:left w:val="nil"/>
              <w:bottom w:val="single" w:sz="4" w:space="0" w:color="ADD6EA"/>
              <w:right w:val="nil"/>
            </w:tcBorders>
            <w:shd w:val="clear" w:color="auto" w:fill="auto"/>
            <w:vAlign w:val="bottom"/>
            <w:hideMark/>
          </w:tcPr>
          <w:p w14:paraId="09F219F9"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54</w:t>
            </w:r>
          </w:p>
        </w:tc>
        <w:tc>
          <w:tcPr>
            <w:tcW w:w="760" w:type="dxa"/>
            <w:tcBorders>
              <w:top w:val="nil"/>
              <w:left w:val="nil"/>
              <w:bottom w:val="single" w:sz="4" w:space="0" w:color="ADD6EA"/>
              <w:right w:val="nil"/>
            </w:tcBorders>
            <w:shd w:val="clear" w:color="auto" w:fill="auto"/>
            <w:vAlign w:val="bottom"/>
            <w:hideMark/>
          </w:tcPr>
          <w:p w14:paraId="27DB2513"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72</w:t>
            </w:r>
          </w:p>
        </w:tc>
        <w:tc>
          <w:tcPr>
            <w:tcW w:w="760" w:type="dxa"/>
            <w:tcBorders>
              <w:top w:val="nil"/>
              <w:left w:val="nil"/>
              <w:bottom w:val="single" w:sz="4" w:space="0" w:color="ADD6EA"/>
              <w:right w:val="nil"/>
            </w:tcBorders>
            <w:shd w:val="clear" w:color="auto" w:fill="auto"/>
            <w:vAlign w:val="bottom"/>
            <w:hideMark/>
          </w:tcPr>
          <w:p w14:paraId="1D2A058C"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11</w:t>
            </w:r>
          </w:p>
        </w:tc>
        <w:tc>
          <w:tcPr>
            <w:tcW w:w="760" w:type="dxa"/>
            <w:tcBorders>
              <w:top w:val="nil"/>
              <w:left w:val="nil"/>
              <w:bottom w:val="single" w:sz="4" w:space="0" w:color="ADD6EA"/>
              <w:right w:val="nil"/>
            </w:tcBorders>
            <w:shd w:val="clear" w:color="auto" w:fill="auto"/>
            <w:vAlign w:val="bottom"/>
            <w:hideMark/>
          </w:tcPr>
          <w:p w14:paraId="702395D0"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3,119</w:t>
            </w:r>
          </w:p>
        </w:tc>
      </w:tr>
      <w:tr w:rsidR="007E365E" w:rsidRPr="00F01224" w14:paraId="0132B3AF"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00641CC0" w14:textId="77777777" w:rsidR="007E365E" w:rsidRPr="00F01224" w:rsidRDefault="007E365E" w:rsidP="007D1D77">
            <w:pPr>
              <w:tabs>
                <w:tab w:val="clear" w:pos="567"/>
              </w:tabs>
              <w:spacing w:before="0" w:line="240" w:lineRule="auto"/>
              <w:rPr>
                <w:rFonts w:eastAsia="Times New Roman" w:cs="Open Sans Light"/>
                <w:sz w:val="16"/>
                <w:szCs w:val="16"/>
                <w:lang w:eastAsia="en-AU"/>
              </w:rPr>
            </w:pPr>
            <w:r w:rsidRPr="00F01224">
              <w:rPr>
                <w:rFonts w:eastAsia="Times New Roman" w:cs="Open Sans Light"/>
                <w:sz w:val="16"/>
                <w:szCs w:val="16"/>
                <w:lang w:eastAsia="en-AU"/>
              </w:rPr>
              <w:t>Post-secondary</w:t>
            </w:r>
          </w:p>
        </w:tc>
        <w:tc>
          <w:tcPr>
            <w:tcW w:w="760" w:type="dxa"/>
            <w:tcBorders>
              <w:top w:val="nil"/>
              <w:left w:val="nil"/>
              <w:bottom w:val="single" w:sz="4" w:space="0" w:color="ADD6EA"/>
              <w:right w:val="nil"/>
            </w:tcBorders>
            <w:shd w:val="clear" w:color="auto" w:fill="auto"/>
            <w:vAlign w:val="bottom"/>
            <w:hideMark/>
          </w:tcPr>
          <w:p w14:paraId="1BAFA4DB"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137</w:t>
            </w:r>
          </w:p>
        </w:tc>
        <w:tc>
          <w:tcPr>
            <w:tcW w:w="760" w:type="dxa"/>
            <w:tcBorders>
              <w:top w:val="nil"/>
              <w:left w:val="nil"/>
              <w:bottom w:val="single" w:sz="4" w:space="0" w:color="ADD6EA"/>
              <w:right w:val="nil"/>
            </w:tcBorders>
            <w:shd w:val="clear" w:color="auto" w:fill="auto"/>
            <w:vAlign w:val="bottom"/>
            <w:hideMark/>
          </w:tcPr>
          <w:p w14:paraId="3C541464"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113</w:t>
            </w:r>
          </w:p>
        </w:tc>
        <w:tc>
          <w:tcPr>
            <w:tcW w:w="760" w:type="dxa"/>
            <w:tcBorders>
              <w:top w:val="nil"/>
              <w:left w:val="nil"/>
              <w:bottom w:val="single" w:sz="4" w:space="0" w:color="ADD6EA"/>
              <w:right w:val="nil"/>
            </w:tcBorders>
            <w:shd w:val="clear" w:color="auto" w:fill="auto"/>
            <w:vAlign w:val="bottom"/>
            <w:hideMark/>
          </w:tcPr>
          <w:p w14:paraId="009F165A"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83</w:t>
            </w:r>
          </w:p>
        </w:tc>
        <w:tc>
          <w:tcPr>
            <w:tcW w:w="760" w:type="dxa"/>
            <w:tcBorders>
              <w:top w:val="nil"/>
              <w:left w:val="nil"/>
              <w:bottom w:val="single" w:sz="4" w:space="0" w:color="ADD6EA"/>
              <w:right w:val="nil"/>
            </w:tcBorders>
            <w:shd w:val="clear" w:color="auto" w:fill="auto"/>
            <w:vAlign w:val="bottom"/>
            <w:hideMark/>
          </w:tcPr>
          <w:p w14:paraId="72291BE3"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36</w:t>
            </w:r>
          </w:p>
        </w:tc>
        <w:tc>
          <w:tcPr>
            <w:tcW w:w="760" w:type="dxa"/>
            <w:tcBorders>
              <w:top w:val="nil"/>
              <w:left w:val="nil"/>
              <w:bottom w:val="single" w:sz="4" w:space="0" w:color="ADD6EA"/>
              <w:right w:val="nil"/>
            </w:tcBorders>
            <w:shd w:val="clear" w:color="auto" w:fill="auto"/>
            <w:vAlign w:val="bottom"/>
            <w:hideMark/>
          </w:tcPr>
          <w:p w14:paraId="2E1FBF37"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24</w:t>
            </w:r>
          </w:p>
        </w:tc>
        <w:tc>
          <w:tcPr>
            <w:tcW w:w="760" w:type="dxa"/>
            <w:tcBorders>
              <w:top w:val="nil"/>
              <w:left w:val="nil"/>
              <w:bottom w:val="single" w:sz="4" w:space="0" w:color="ADD6EA"/>
              <w:right w:val="nil"/>
            </w:tcBorders>
            <w:shd w:val="clear" w:color="auto" w:fill="auto"/>
            <w:vAlign w:val="bottom"/>
            <w:hideMark/>
          </w:tcPr>
          <w:p w14:paraId="12F767A4"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vAlign w:val="bottom"/>
            <w:hideMark/>
          </w:tcPr>
          <w:p w14:paraId="384FBD12"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661521BF"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53BC7DCB"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411</w:t>
            </w:r>
          </w:p>
        </w:tc>
      </w:tr>
      <w:tr w:rsidR="007E365E" w:rsidRPr="00F01224" w14:paraId="703E94A5"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1123F960" w14:textId="77777777" w:rsidR="007E365E" w:rsidRPr="00F01224" w:rsidRDefault="007E365E" w:rsidP="007D1D77">
            <w:pPr>
              <w:tabs>
                <w:tab w:val="clear" w:pos="567"/>
              </w:tabs>
              <w:spacing w:before="0" w:line="240" w:lineRule="auto"/>
              <w:rPr>
                <w:rFonts w:eastAsia="Times New Roman" w:cs="Open Sans Light"/>
                <w:sz w:val="16"/>
                <w:szCs w:val="16"/>
                <w:lang w:eastAsia="en-AU"/>
              </w:rPr>
            </w:pPr>
            <w:r w:rsidRPr="00F01224">
              <w:rPr>
                <w:rFonts w:eastAsia="Times New Roman" w:cs="Open Sans Light"/>
                <w:sz w:val="16"/>
                <w:szCs w:val="16"/>
                <w:lang w:eastAsia="en-AU"/>
              </w:rPr>
              <w:t>Health</w:t>
            </w:r>
          </w:p>
        </w:tc>
        <w:tc>
          <w:tcPr>
            <w:tcW w:w="760" w:type="dxa"/>
            <w:tcBorders>
              <w:top w:val="nil"/>
              <w:left w:val="nil"/>
              <w:bottom w:val="single" w:sz="4" w:space="0" w:color="ADD6EA"/>
              <w:right w:val="nil"/>
            </w:tcBorders>
            <w:shd w:val="clear" w:color="auto" w:fill="auto"/>
            <w:vAlign w:val="bottom"/>
            <w:hideMark/>
          </w:tcPr>
          <w:p w14:paraId="2C227F37"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1,233</w:t>
            </w:r>
          </w:p>
        </w:tc>
        <w:tc>
          <w:tcPr>
            <w:tcW w:w="760" w:type="dxa"/>
            <w:tcBorders>
              <w:top w:val="nil"/>
              <w:left w:val="nil"/>
              <w:bottom w:val="single" w:sz="4" w:space="0" w:color="ADD6EA"/>
              <w:right w:val="nil"/>
            </w:tcBorders>
            <w:shd w:val="clear" w:color="auto" w:fill="auto"/>
            <w:vAlign w:val="bottom"/>
            <w:hideMark/>
          </w:tcPr>
          <w:p w14:paraId="42772DD2"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1,022</w:t>
            </w:r>
          </w:p>
        </w:tc>
        <w:tc>
          <w:tcPr>
            <w:tcW w:w="760" w:type="dxa"/>
            <w:tcBorders>
              <w:top w:val="nil"/>
              <w:left w:val="nil"/>
              <w:bottom w:val="single" w:sz="4" w:space="0" w:color="ADD6EA"/>
              <w:right w:val="nil"/>
            </w:tcBorders>
            <w:shd w:val="clear" w:color="auto" w:fill="auto"/>
            <w:vAlign w:val="bottom"/>
            <w:hideMark/>
          </w:tcPr>
          <w:p w14:paraId="7125A265"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900</w:t>
            </w:r>
          </w:p>
        </w:tc>
        <w:tc>
          <w:tcPr>
            <w:tcW w:w="760" w:type="dxa"/>
            <w:tcBorders>
              <w:top w:val="nil"/>
              <w:left w:val="nil"/>
              <w:bottom w:val="single" w:sz="4" w:space="0" w:color="ADD6EA"/>
              <w:right w:val="nil"/>
            </w:tcBorders>
            <w:shd w:val="clear" w:color="auto" w:fill="auto"/>
            <w:vAlign w:val="bottom"/>
            <w:hideMark/>
          </w:tcPr>
          <w:p w14:paraId="4BD401C3"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405</w:t>
            </w:r>
          </w:p>
        </w:tc>
        <w:tc>
          <w:tcPr>
            <w:tcW w:w="760" w:type="dxa"/>
            <w:tcBorders>
              <w:top w:val="nil"/>
              <w:left w:val="nil"/>
              <w:bottom w:val="single" w:sz="4" w:space="0" w:color="ADD6EA"/>
              <w:right w:val="nil"/>
            </w:tcBorders>
            <w:shd w:val="clear" w:color="auto" w:fill="auto"/>
            <w:vAlign w:val="bottom"/>
            <w:hideMark/>
          </w:tcPr>
          <w:p w14:paraId="1F548676"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283</w:t>
            </w:r>
          </w:p>
        </w:tc>
        <w:tc>
          <w:tcPr>
            <w:tcW w:w="760" w:type="dxa"/>
            <w:tcBorders>
              <w:top w:val="nil"/>
              <w:left w:val="nil"/>
              <w:bottom w:val="single" w:sz="4" w:space="0" w:color="ADD6EA"/>
              <w:right w:val="nil"/>
            </w:tcBorders>
            <w:shd w:val="clear" w:color="auto" w:fill="auto"/>
            <w:vAlign w:val="bottom"/>
            <w:hideMark/>
          </w:tcPr>
          <w:p w14:paraId="08B71092"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118</w:t>
            </w:r>
          </w:p>
        </w:tc>
        <w:tc>
          <w:tcPr>
            <w:tcW w:w="760" w:type="dxa"/>
            <w:tcBorders>
              <w:top w:val="nil"/>
              <w:left w:val="nil"/>
              <w:bottom w:val="single" w:sz="4" w:space="0" w:color="ADD6EA"/>
              <w:right w:val="nil"/>
            </w:tcBorders>
            <w:shd w:val="clear" w:color="auto" w:fill="auto"/>
            <w:vAlign w:val="bottom"/>
            <w:hideMark/>
          </w:tcPr>
          <w:p w14:paraId="72037140"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57</w:t>
            </w:r>
          </w:p>
        </w:tc>
        <w:tc>
          <w:tcPr>
            <w:tcW w:w="760" w:type="dxa"/>
            <w:tcBorders>
              <w:top w:val="nil"/>
              <w:left w:val="nil"/>
              <w:bottom w:val="single" w:sz="4" w:space="0" w:color="ADD6EA"/>
              <w:right w:val="nil"/>
            </w:tcBorders>
            <w:shd w:val="clear" w:color="auto" w:fill="auto"/>
            <w:vAlign w:val="bottom"/>
            <w:hideMark/>
          </w:tcPr>
          <w:p w14:paraId="091C97A5"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68</w:t>
            </w:r>
          </w:p>
        </w:tc>
        <w:tc>
          <w:tcPr>
            <w:tcW w:w="760" w:type="dxa"/>
            <w:tcBorders>
              <w:top w:val="nil"/>
              <w:left w:val="nil"/>
              <w:bottom w:val="single" w:sz="4" w:space="0" w:color="ADD6EA"/>
              <w:right w:val="nil"/>
            </w:tcBorders>
            <w:shd w:val="clear" w:color="auto" w:fill="auto"/>
            <w:vAlign w:val="bottom"/>
            <w:hideMark/>
          </w:tcPr>
          <w:p w14:paraId="28F23DEE"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4,085</w:t>
            </w:r>
          </w:p>
        </w:tc>
      </w:tr>
      <w:tr w:rsidR="007E365E" w:rsidRPr="00F01224" w14:paraId="7E046E61"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2BD97F32" w14:textId="77777777" w:rsidR="007E365E" w:rsidRPr="00F01224" w:rsidRDefault="007E365E" w:rsidP="007D1D77">
            <w:pPr>
              <w:tabs>
                <w:tab w:val="clear" w:pos="567"/>
              </w:tabs>
              <w:spacing w:before="0" w:line="240" w:lineRule="auto"/>
              <w:rPr>
                <w:rFonts w:eastAsia="Times New Roman" w:cs="Open Sans Light"/>
                <w:sz w:val="16"/>
                <w:szCs w:val="16"/>
                <w:lang w:eastAsia="en-AU"/>
              </w:rPr>
            </w:pPr>
            <w:r w:rsidRPr="00F01224">
              <w:rPr>
                <w:rFonts w:eastAsia="Times New Roman" w:cs="Open Sans Light"/>
                <w:sz w:val="16"/>
                <w:szCs w:val="16"/>
                <w:lang w:eastAsia="en-AU"/>
              </w:rPr>
              <w:t>Housing</w:t>
            </w:r>
          </w:p>
        </w:tc>
        <w:tc>
          <w:tcPr>
            <w:tcW w:w="760" w:type="dxa"/>
            <w:tcBorders>
              <w:top w:val="nil"/>
              <w:left w:val="nil"/>
              <w:bottom w:val="single" w:sz="4" w:space="0" w:color="ADD6EA"/>
              <w:right w:val="nil"/>
            </w:tcBorders>
            <w:shd w:val="clear" w:color="auto" w:fill="auto"/>
            <w:vAlign w:val="bottom"/>
            <w:hideMark/>
          </w:tcPr>
          <w:p w14:paraId="51F16160"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142</w:t>
            </w:r>
          </w:p>
        </w:tc>
        <w:tc>
          <w:tcPr>
            <w:tcW w:w="760" w:type="dxa"/>
            <w:tcBorders>
              <w:top w:val="nil"/>
              <w:left w:val="nil"/>
              <w:bottom w:val="single" w:sz="4" w:space="0" w:color="ADD6EA"/>
              <w:right w:val="nil"/>
            </w:tcBorders>
            <w:shd w:val="clear" w:color="auto" w:fill="auto"/>
            <w:vAlign w:val="bottom"/>
            <w:hideMark/>
          </w:tcPr>
          <w:p w14:paraId="34319344"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186</w:t>
            </w:r>
          </w:p>
        </w:tc>
        <w:tc>
          <w:tcPr>
            <w:tcW w:w="760" w:type="dxa"/>
            <w:tcBorders>
              <w:top w:val="nil"/>
              <w:left w:val="nil"/>
              <w:bottom w:val="single" w:sz="4" w:space="0" w:color="ADD6EA"/>
              <w:right w:val="nil"/>
            </w:tcBorders>
            <w:shd w:val="clear" w:color="auto" w:fill="auto"/>
            <w:vAlign w:val="bottom"/>
            <w:hideMark/>
          </w:tcPr>
          <w:p w14:paraId="6CEB670D"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123</w:t>
            </w:r>
          </w:p>
        </w:tc>
        <w:tc>
          <w:tcPr>
            <w:tcW w:w="760" w:type="dxa"/>
            <w:tcBorders>
              <w:top w:val="nil"/>
              <w:left w:val="nil"/>
              <w:bottom w:val="single" w:sz="4" w:space="0" w:color="ADD6EA"/>
              <w:right w:val="nil"/>
            </w:tcBorders>
            <w:shd w:val="clear" w:color="auto" w:fill="auto"/>
            <w:vAlign w:val="bottom"/>
            <w:hideMark/>
          </w:tcPr>
          <w:p w14:paraId="1DDD4547"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12</w:t>
            </w:r>
          </w:p>
        </w:tc>
        <w:tc>
          <w:tcPr>
            <w:tcW w:w="760" w:type="dxa"/>
            <w:tcBorders>
              <w:top w:val="nil"/>
              <w:left w:val="nil"/>
              <w:bottom w:val="single" w:sz="4" w:space="0" w:color="ADD6EA"/>
              <w:right w:val="nil"/>
            </w:tcBorders>
            <w:shd w:val="clear" w:color="auto" w:fill="auto"/>
            <w:vAlign w:val="bottom"/>
            <w:hideMark/>
          </w:tcPr>
          <w:p w14:paraId="4CB76978"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vAlign w:val="bottom"/>
            <w:hideMark/>
          </w:tcPr>
          <w:p w14:paraId="3355EEAC"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vAlign w:val="bottom"/>
            <w:hideMark/>
          </w:tcPr>
          <w:p w14:paraId="02B1FA4E"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00DC3032"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-24</w:t>
            </w:r>
          </w:p>
        </w:tc>
        <w:tc>
          <w:tcPr>
            <w:tcW w:w="760" w:type="dxa"/>
            <w:tcBorders>
              <w:top w:val="nil"/>
              <w:left w:val="nil"/>
              <w:bottom w:val="single" w:sz="4" w:space="0" w:color="ADD6EA"/>
              <w:right w:val="nil"/>
            </w:tcBorders>
            <w:shd w:val="clear" w:color="auto" w:fill="auto"/>
            <w:vAlign w:val="bottom"/>
            <w:hideMark/>
          </w:tcPr>
          <w:p w14:paraId="1A31A7F0"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458</w:t>
            </w:r>
          </w:p>
        </w:tc>
      </w:tr>
      <w:tr w:rsidR="007E365E" w:rsidRPr="00F01224" w14:paraId="43E2330E"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0B0B8844" w14:textId="77777777" w:rsidR="007E365E" w:rsidRPr="00F01224" w:rsidRDefault="007E365E" w:rsidP="007D1D77">
            <w:pPr>
              <w:tabs>
                <w:tab w:val="clear" w:pos="567"/>
              </w:tabs>
              <w:spacing w:before="0" w:line="240" w:lineRule="auto"/>
              <w:rPr>
                <w:rFonts w:eastAsia="Times New Roman" w:cs="Open Sans Light"/>
                <w:sz w:val="16"/>
                <w:szCs w:val="16"/>
                <w:lang w:eastAsia="en-AU"/>
              </w:rPr>
            </w:pPr>
            <w:r w:rsidRPr="00F01224">
              <w:rPr>
                <w:rFonts w:eastAsia="Times New Roman" w:cs="Open Sans Light"/>
                <w:sz w:val="16"/>
                <w:szCs w:val="16"/>
                <w:lang w:eastAsia="en-AU"/>
              </w:rPr>
              <w:t>Welfare</w:t>
            </w:r>
          </w:p>
        </w:tc>
        <w:tc>
          <w:tcPr>
            <w:tcW w:w="760" w:type="dxa"/>
            <w:tcBorders>
              <w:top w:val="nil"/>
              <w:left w:val="nil"/>
              <w:bottom w:val="single" w:sz="4" w:space="0" w:color="ADD6EA"/>
              <w:right w:val="nil"/>
            </w:tcBorders>
            <w:shd w:val="clear" w:color="auto" w:fill="auto"/>
            <w:vAlign w:val="bottom"/>
            <w:hideMark/>
          </w:tcPr>
          <w:p w14:paraId="54775C83"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79</w:t>
            </w:r>
          </w:p>
        </w:tc>
        <w:tc>
          <w:tcPr>
            <w:tcW w:w="760" w:type="dxa"/>
            <w:tcBorders>
              <w:top w:val="nil"/>
              <w:left w:val="nil"/>
              <w:bottom w:val="single" w:sz="4" w:space="0" w:color="ADD6EA"/>
              <w:right w:val="nil"/>
            </w:tcBorders>
            <w:shd w:val="clear" w:color="auto" w:fill="auto"/>
            <w:vAlign w:val="bottom"/>
            <w:hideMark/>
          </w:tcPr>
          <w:p w14:paraId="0224F632"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49</w:t>
            </w:r>
          </w:p>
        </w:tc>
        <w:tc>
          <w:tcPr>
            <w:tcW w:w="760" w:type="dxa"/>
            <w:tcBorders>
              <w:top w:val="nil"/>
              <w:left w:val="nil"/>
              <w:bottom w:val="single" w:sz="4" w:space="0" w:color="ADD6EA"/>
              <w:right w:val="nil"/>
            </w:tcBorders>
            <w:shd w:val="clear" w:color="auto" w:fill="auto"/>
            <w:vAlign w:val="bottom"/>
            <w:hideMark/>
          </w:tcPr>
          <w:p w14:paraId="5F057F27"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54</w:t>
            </w:r>
          </w:p>
        </w:tc>
        <w:tc>
          <w:tcPr>
            <w:tcW w:w="760" w:type="dxa"/>
            <w:tcBorders>
              <w:top w:val="nil"/>
              <w:left w:val="nil"/>
              <w:bottom w:val="single" w:sz="4" w:space="0" w:color="ADD6EA"/>
              <w:right w:val="nil"/>
            </w:tcBorders>
            <w:shd w:val="clear" w:color="auto" w:fill="auto"/>
            <w:vAlign w:val="bottom"/>
            <w:hideMark/>
          </w:tcPr>
          <w:p w14:paraId="70EBF4B4"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27</w:t>
            </w:r>
          </w:p>
        </w:tc>
        <w:tc>
          <w:tcPr>
            <w:tcW w:w="760" w:type="dxa"/>
            <w:tcBorders>
              <w:top w:val="nil"/>
              <w:left w:val="nil"/>
              <w:bottom w:val="single" w:sz="4" w:space="0" w:color="ADD6EA"/>
              <w:right w:val="nil"/>
            </w:tcBorders>
            <w:shd w:val="clear" w:color="auto" w:fill="auto"/>
            <w:vAlign w:val="bottom"/>
            <w:hideMark/>
          </w:tcPr>
          <w:p w14:paraId="27177FB3"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auto" w:fill="auto"/>
            <w:vAlign w:val="bottom"/>
            <w:hideMark/>
          </w:tcPr>
          <w:p w14:paraId="4B8AB57E"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vAlign w:val="bottom"/>
            <w:hideMark/>
          </w:tcPr>
          <w:p w14:paraId="236176D8"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6D190EAA"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vAlign w:val="bottom"/>
            <w:hideMark/>
          </w:tcPr>
          <w:p w14:paraId="7554738F"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241</w:t>
            </w:r>
          </w:p>
        </w:tc>
      </w:tr>
      <w:tr w:rsidR="007E365E" w:rsidRPr="00F01224" w14:paraId="4591EF67"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57CD6E89" w14:textId="77777777" w:rsidR="007E365E" w:rsidRPr="00F01224" w:rsidRDefault="007E365E" w:rsidP="007D1D77">
            <w:pPr>
              <w:tabs>
                <w:tab w:val="clear" w:pos="567"/>
              </w:tabs>
              <w:spacing w:before="0" w:line="240" w:lineRule="auto"/>
              <w:rPr>
                <w:rFonts w:eastAsia="Times New Roman" w:cs="Open Sans Light"/>
                <w:sz w:val="16"/>
                <w:szCs w:val="16"/>
                <w:lang w:eastAsia="en-AU"/>
              </w:rPr>
            </w:pPr>
            <w:r w:rsidRPr="00F01224">
              <w:rPr>
                <w:rFonts w:eastAsia="Times New Roman" w:cs="Open Sans Light"/>
                <w:sz w:val="16"/>
                <w:szCs w:val="16"/>
                <w:lang w:eastAsia="en-AU"/>
              </w:rPr>
              <w:t>Services to communities</w:t>
            </w:r>
          </w:p>
        </w:tc>
        <w:tc>
          <w:tcPr>
            <w:tcW w:w="760" w:type="dxa"/>
            <w:tcBorders>
              <w:top w:val="nil"/>
              <w:left w:val="nil"/>
              <w:bottom w:val="single" w:sz="4" w:space="0" w:color="ADD6EA"/>
              <w:right w:val="nil"/>
            </w:tcBorders>
            <w:shd w:val="clear" w:color="auto" w:fill="auto"/>
            <w:vAlign w:val="bottom"/>
            <w:hideMark/>
          </w:tcPr>
          <w:p w14:paraId="7F165E6C"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248</w:t>
            </w:r>
          </w:p>
        </w:tc>
        <w:tc>
          <w:tcPr>
            <w:tcW w:w="760" w:type="dxa"/>
            <w:tcBorders>
              <w:top w:val="nil"/>
              <w:left w:val="nil"/>
              <w:bottom w:val="single" w:sz="4" w:space="0" w:color="ADD6EA"/>
              <w:right w:val="nil"/>
            </w:tcBorders>
            <w:shd w:val="clear" w:color="auto" w:fill="auto"/>
            <w:vAlign w:val="bottom"/>
            <w:hideMark/>
          </w:tcPr>
          <w:p w14:paraId="18316194"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206</w:t>
            </w:r>
          </w:p>
        </w:tc>
        <w:tc>
          <w:tcPr>
            <w:tcW w:w="760" w:type="dxa"/>
            <w:tcBorders>
              <w:top w:val="nil"/>
              <w:left w:val="nil"/>
              <w:bottom w:val="single" w:sz="4" w:space="0" w:color="ADD6EA"/>
              <w:right w:val="nil"/>
            </w:tcBorders>
            <w:shd w:val="clear" w:color="auto" w:fill="auto"/>
            <w:vAlign w:val="bottom"/>
            <w:hideMark/>
          </w:tcPr>
          <w:p w14:paraId="3979267C"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156</w:t>
            </w:r>
          </w:p>
        </w:tc>
        <w:tc>
          <w:tcPr>
            <w:tcW w:w="760" w:type="dxa"/>
            <w:tcBorders>
              <w:top w:val="nil"/>
              <w:left w:val="nil"/>
              <w:bottom w:val="single" w:sz="4" w:space="0" w:color="ADD6EA"/>
              <w:right w:val="nil"/>
            </w:tcBorders>
            <w:shd w:val="clear" w:color="auto" w:fill="auto"/>
            <w:vAlign w:val="bottom"/>
            <w:hideMark/>
          </w:tcPr>
          <w:p w14:paraId="77C633F7"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77</w:t>
            </w:r>
          </w:p>
        </w:tc>
        <w:tc>
          <w:tcPr>
            <w:tcW w:w="760" w:type="dxa"/>
            <w:tcBorders>
              <w:top w:val="nil"/>
              <w:left w:val="nil"/>
              <w:bottom w:val="single" w:sz="4" w:space="0" w:color="ADD6EA"/>
              <w:right w:val="nil"/>
            </w:tcBorders>
            <w:shd w:val="clear" w:color="auto" w:fill="auto"/>
            <w:vAlign w:val="bottom"/>
            <w:hideMark/>
          </w:tcPr>
          <w:p w14:paraId="09C49188"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48</w:t>
            </w:r>
          </w:p>
        </w:tc>
        <w:tc>
          <w:tcPr>
            <w:tcW w:w="760" w:type="dxa"/>
            <w:tcBorders>
              <w:top w:val="nil"/>
              <w:left w:val="nil"/>
              <w:bottom w:val="single" w:sz="4" w:space="0" w:color="ADD6EA"/>
              <w:right w:val="nil"/>
            </w:tcBorders>
            <w:shd w:val="clear" w:color="auto" w:fill="auto"/>
            <w:vAlign w:val="bottom"/>
            <w:hideMark/>
          </w:tcPr>
          <w:p w14:paraId="550FB930"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auto" w:fill="auto"/>
            <w:vAlign w:val="bottom"/>
            <w:hideMark/>
          </w:tcPr>
          <w:p w14:paraId="57405BC6"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auto" w:fill="auto"/>
            <w:vAlign w:val="bottom"/>
            <w:hideMark/>
          </w:tcPr>
          <w:p w14:paraId="5B0DA600"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vAlign w:val="bottom"/>
            <w:hideMark/>
          </w:tcPr>
          <w:p w14:paraId="35A63D7F"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771</w:t>
            </w:r>
          </w:p>
        </w:tc>
      </w:tr>
      <w:tr w:rsidR="007E365E" w:rsidRPr="00F01224" w14:paraId="13D6F88B"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0A9A1A16" w14:textId="77777777" w:rsidR="007E365E" w:rsidRPr="00F01224" w:rsidRDefault="007E365E" w:rsidP="007D1D77">
            <w:pPr>
              <w:tabs>
                <w:tab w:val="clear" w:pos="567"/>
              </w:tabs>
              <w:spacing w:before="0" w:line="240" w:lineRule="auto"/>
              <w:rPr>
                <w:rFonts w:eastAsia="Times New Roman" w:cs="Open Sans Light"/>
                <w:sz w:val="16"/>
                <w:szCs w:val="16"/>
                <w:lang w:eastAsia="en-AU"/>
              </w:rPr>
            </w:pPr>
            <w:r w:rsidRPr="00F01224">
              <w:rPr>
                <w:rFonts w:eastAsia="Times New Roman" w:cs="Open Sans Light"/>
                <w:sz w:val="16"/>
                <w:szCs w:val="16"/>
                <w:lang w:eastAsia="en-AU"/>
              </w:rPr>
              <w:t>Justice</w:t>
            </w:r>
          </w:p>
        </w:tc>
        <w:tc>
          <w:tcPr>
            <w:tcW w:w="760" w:type="dxa"/>
            <w:tcBorders>
              <w:top w:val="nil"/>
              <w:left w:val="nil"/>
              <w:bottom w:val="single" w:sz="4" w:space="0" w:color="ADD6EA"/>
              <w:right w:val="nil"/>
            </w:tcBorders>
            <w:shd w:val="clear" w:color="auto" w:fill="auto"/>
            <w:vAlign w:val="bottom"/>
            <w:hideMark/>
          </w:tcPr>
          <w:p w14:paraId="54E78566"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703</w:t>
            </w:r>
          </w:p>
        </w:tc>
        <w:tc>
          <w:tcPr>
            <w:tcW w:w="760" w:type="dxa"/>
            <w:tcBorders>
              <w:top w:val="nil"/>
              <w:left w:val="nil"/>
              <w:bottom w:val="single" w:sz="4" w:space="0" w:color="ADD6EA"/>
              <w:right w:val="nil"/>
            </w:tcBorders>
            <w:shd w:val="clear" w:color="auto" w:fill="auto"/>
            <w:vAlign w:val="bottom"/>
            <w:hideMark/>
          </w:tcPr>
          <w:p w14:paraId="50F577DD"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538</w:t>
            </w:r>
          </w:p>
        </w:tc>
        <w:tc>
          <w:tcPr>
            <w:tcW w:w="760" w:type="dxa"/>
            <w:tcBorders>
              <w:top w:val="nil"/>
              <w:left w:val="nil"/>
              <w:bottom w:val="single" w:sz="4" w:space="0" w:color="ADD6EA"/>
              <w:right w:val="nil"/>
            </w:tcBorders>
            <w:shd w:val="clear" w:color="auto" w:fill="auto"/>
            <w:vAlign w:val="bottom"/>
            <w:hideMark/>
          </w:tcPr>
          <w:p w14:paraId="74044302"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468</w:t>
            </w:r>
          </w:p>
        </w:tc>
        <w:tc>
          <w:tcPr>
            <w:tcW w:w="760" w:type="dxa"/>
            <w:tcBorders>
              <w:top w:val="nil"/>
              <w:left w:val="nil"/>
              <w:bottom w:val="single" w:sz="4" w:space="0" w:color="ADD6EA"/>
              <w:right w:val="nil"/>
            </w:tcBorders>
            <w:shd w:val="clear" w:color="auto" w:fill="auto"/>
            <w:vAlign w:val="bottom"/>
            <w:hideMark/>
          </w:tcPr>
          <w:p w14:paraId="628B88E1"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237</w:t>
            </w:r>
          </w:p>
        </w:tc>
        <w:tc>
          <w:tcPr>
            <w:tcW w:w="760" w:type="dxa"/>
            <w:tcBorders>
              <w:top w:val="nil"/>
              <w:left w:val="nil"/>
              <w:bottom w:val="single" w:sz="4" w:space="0" w:color="ADD6EA"/>
              <w:right w:val="nil"/>
            </w:tcBorders>
            <w:shd w:val="clear" w:color="auto" w:fill="auto"/>
            <w:vAlign w:val="bottom"/>
            <w:hideMark/>
          </w:tcPr>
          <w:p w14:paraId="1E0F01F9"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150</w:t>
            </w:r>
          </w:p>
        </w:tc>
        <w:tc>
          <w:tcPr>
            <w:tcW w:w="760" w:type="dxa"/>
            <w:tcBorders>
              <w:top w:val="nil"/>
              <w:left w:val="nil"/>
              <w:bottom w:val="single" w:sz="4" w:space="0" w:color="ADD6EA"/>
              <w:right w:val="nil"/>
            </w:tcBorders>
            <w:shd w:val="clear" w:color="auto" w:fill="auto"/>
            <w:vAlign w:val="bottom"/>
            <w:hideMark/>
          </w:tcPr>
          <w:p w14:paraId="40CB65F4"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54</w:t>
            </w:r>
          </w:p>
        </w:tc>
        <w:tc>
          <w:tcPr>
            <w:tcW w:w="760" w:type="dxa"/>
            <w:tcBorders>
              <w:top w:val="nil"/>
              <w:left w:val="nil"/>
              <w:bottom w:val="single" w:sz="4" w:space="0" w:color="ADD6EA"/>
              <w:right w:val="nil"/>
            </w:tcBorders>
            <w:shd w:val="clear" w:color="auto" w:fill="auto"/>
            <w:vAlign w:val="bottom"/>
            <w:hideMark/>
          </w:tcPr>
          <w:p w14:paraId="561319D5"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31</w:t>
            </w:r>
          </w:p>
        </w:tc>
        <w:tc>
          <w:tcPr>
            <w:tcW w:w="760" w:type="dxa"/>
            <w:tcBorders>
              <w:top w:val="nil"/>
              <w:left w:val="nil"/>
              <w:bottom w:val="single" w:sz="4" w:space="0" w:color="ADD6EA"/>
              <w:right w:val="nil"/>
            </w:tcBorders>
            <w:shd w:val="clear" w:color="auto" w:fill="auto"/>
            <w:vAlign w:val="bottom"/>
            <w:hideMark/>
          </w:tcPr>
          <w:p w14:paraId="35D2D234"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70</w:t>
            </w:r>
          </w:p>
        </w:tc>
        <w:tc>
          <w:tcPr>
            <w:tcW w:w="760" w:type="dxa"/>
            <w:tcBorders>
              <w:top w:val="nil"/>
              <w:left w:val="nil"/>
              <w:bottom w:val="single" w:sz="4" w:space="0" w:color="ADD6EA"/>
              <w:right w:val="nil"/>
            </w:tcBorders>
            <w:shd w:val="clear" w:color="auto" w:fill="auto"/>
            <w:vAlign w:val="bottom"/>
            <w:hideMark/>
          </w:tcPr>
          <w:p w14:paraId="73D6D5DA"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2,251</w:t>
            </w:r>
          </w:p>
        </w:tc>
      </w:tr>
      <w:tr w:rsidR="007E365E" w:rsidRPr="00F01224" w14:paraId="52AC1507"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3909B926" w14:textId="77777777" w:rsidR="007E365E" w:rsidRPr="00F01224" w:rsidRDefault="007E365E" w:rsidP="007D1D77">
            <w:pPr>
              <w:tabs>
                <w:tab w:val="clear" w:pos="567"/>
              </w:tabs>
              <w:spacing w:before="0" w:line="240" w:lineRule="auto"/>
              <w:rPr>
                <w:rFonts w:eastAsia="Times New Roman" w:cs="Open Sans Light"/>
                <w:sz w:val="16"/>
                <w:szCs w:val="16"/>
                <w:lang w:eastAsia="en-AU"/>
              </w:rPr>
            </w:pPr>
            <w:r w:rsidRPr="00F01224">
              <w:rPr>
                <w:rFonts w:eastAsia="Times New Roman" w:cs="Open Sans Light"/>
                <w:sz w:val="16"/>
                <w:szCs w:val="16"/>
                <w:lang w:eastAsia="en-AU"/>
              </w:rPr>
              <w:t>Rural roads</w:t>
            </w:r>
          </w:p>
        </w:tc>
        <w:tc>
          <w:tcPr>
            <w:tcW w:w="760" w:type="dxa"/>
            <w:tcBorders>
              <w:top w:val="nil"/>
              <w:left w:val="nil"/>
              <w:bottom w:val="single" w:sz="4" w:space="0" w:color="ADD6EA"/>
              <w:right w:val="nil"/>
            </w:tcBorders>
            <w:shd w:val="clear" w:color="auto" w:fill="auto"/>
            <w:vAlign w:val="bottom"/>
            <w:hideMark/>
          </w:tcPr>
          <w:p w14:paraId="4510B9AD"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1,212</w:t>
            </w:r>
          </w:p>
        </w:tc>
        <w:tc>
          <w:tcPr>
            <w:tcW w:w="760" w:type="dxa"/>
            <w:tcBorders>
              <w:top w:val="nil"/>
              <w:left w:val="nil"/>
              <w:bottom w:val="single" w:sz="4" w:space="0" w:color="ADD6EA"/>
              <w:right w:val="nil"/>
            </w:tcBorders>
            <w:shd w:val="clear" w:color="auto" w:fill="auto"/>
            <w:vAlign w:val="bottom"/>
            <w:hideMark/>
          </w:tcPr>
          <w:p w14:paraId="2DAFF7A4"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615</w:t>
            </w:r>
          </w:p>
        </w:tc>
        <w:tc>
          <w:tcPr>
            <w:tcW w:w="760" w:type="dxa"/>
            <w:tcBorders>
              <w:top w:val="nil"/>
              <w:left w:val="nil"/>
              <w:bottom w:val="single" w:sz="4" w:space="0" w:color="ADD6EA"/>
              <w:right w:val="nil"/>
            </w:tcBorders>
            <w:shd w:val="clear" w:color="auto" w:fill="auto"/>
            <w:vAlign w:val="bottom"/>
            <w:hideMark/>
          </w:tcPr>
          <w:p w14:paraId="52BC2798"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1,401</w:t>
            </w:r>
          </w:p>
        </w:tc>
        <w:tc>
          <w:tcPr>
            <w:tcW w:w="760" w:type="dxa"/>
            <w:tcBorders>
              <w:top w:val="nil"/>
              <w:left w:val="nil"/>
              <w:bottom w:val="single" w:sz="4" w:space="0" w:color="ADD6EA"/>
              <w:right w:val="nil"/>
            </w:tcBorders>
            <w:shd w:val="clear" w:color="auto" w:fill="auto"/>
            <w:vAlign w:val="bottom"/>
            <w:hideMark/>
          </w:tcPr>
          <w:p w14:paraId="1747C3F8"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907</w:t>
            </w:r>
          </w:p>
        </w:tc>
        <w:tc>
          <w:tcPr>
            <w:tcW w:w="760" w:type="dxa"/>
            <w:tcBorders>
              <w:top w:val="nil"/>
              <w:left w:val="nil"/>
              <w:bottom w:val="single" w:sz="4" w:space="0" w:color="ADD6EA"/>
              <w:right w:val="nil"/>
            </w:tcBorders>
            <w:shd w:val="clear" w:color="auto" w:fill="auto"/>
            <w:vAlign w:val="bottom"/>
            <w:hideMark/>
          </w:tcPr>
          <w:p w14:paraId="3735BB17"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436</w:t>
            </w:r>
          </w:p>
        </w:tc>
        <w:tc>
          <w:tcPr>
            <w:tcW w:w="760" w:type="dxa"/>
            <w:tcBorders>
              <w:top w:val="nil"/>
              <w:left w:val="nil"/>
              <w:bottom w:val="single" w:sz="4" w:space="0" w:color="ADD6EA"/>
              <w:right w:val="nil"/>
            </w:tcBorders>
            <w:shd w:val="clear" w:color="auto" w:fill="auto"/>
            <w:vAlign w:val="bottom"/>
            <w:hideMark/>
          </w:tcPr>
          <w:p w14:paraId="23572B76"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126</w:t>
            </w:r>
          </w:p>
        </w:tc>
        <w:tc>
          <w:tcPr>
            <w:tcW w:w="760" w:type="dxa"/>
            <w:tcBorders>
              <w:top w:val="nil"/>
              <w:left w:val="nil"/>
              <w:bottom w:val="single" w:sz="4" w:space="0" w:color="ADD6EA"/>
              <w:right w:val="nil"/>
            </w:tcBorders>
            <w:shd w:val="clear" w:color="auto" w:fill="auto"/>
            <w:vAlign w:val="bottom"/>
            <w:hideMark/>
          </w:tcPr>
          <w:p w14:paraId="622B19FE"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10</w:t>
            </w:r>
          </w:p>
        </w:tc>
        <w:tc>
          <w:tcPr>
            <w:tcW w:w="760" w:type="dxa"/>
            <w:tcBorders>
              <w:top w:val="nil"/>
              <w:left w:val="nil"/>
              <w:bottom w:val="single" w:sz="4" w:space="0" w:color="ADD6EA"/>
              <w:right w:val="nil"/>
            </w:tcBorders>
            <w:shd w:val="clear" w:color="auto" w:fill="auto"/>
            <w:vAlign w:val="bottom"/>
            <w:hideMark/>
          </w:tcPr>
          <w:p w14:paraId="2A911418"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412</w:t>
            </w:r>
          </w:p>
        </w:tc>
        <w:tc>
          <w:tcPr>
            <w:tcW w:w="760" w:type="dxa"/>
            <w:tcBorders>
              <w:top w:val="nil"/>
              <w:left w:val="nil"/>
              <w:bottom w:val="single" w:sz="4" w:space="0" w:color="ADD6EA"/>
              <w:right w:val="nil"/>
            </w:tcBorders>
            <w:shd w:val="clear" w:color="auto" w:fill="auto"/>
            <w:vAlign w:val="bottom"/>
            <w:hideMark/>
          </w:tcPr>
          <w:p w14:paraId="1ABCA900"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5,119</w:t>
            </w:r>
          </w:p>
        </w:tc>
      </w:tr>
      <w:tr w:rsidR="007E365E" w:rsidRPr="00F01224" w14:paraId="67A7AE63"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2EAF97F1" w14:textId="77777777" w:rsidR="007E365E" w:rsidRPr="00F01224" w:rsidRDefault="007E365E" w:rsidP="007D1D77">
            <w:pPr>
              <w:tabs>
                <w:tab w:val="clear" w:pos="567"/>
              </w:tabs>
              <w:spacing w:before="0" w:line="240" w:lineRule="auto"/>
              <w:rPr>
                <w:rFonts w:eastAsia="Times New Roman" w:cs="Open Sans Light"/>
                <w:sz w:val="16"/>
                <w:szCs w:val="16"/>
                <w:lang w:eastAsia="en-AU"/>
              </w:rPr>
            </w:pPr>
            <w:r w:rsidRPr="00F01224">
              <w:rPr>
                <w:rFonts w:eastAsia="Times New Roman" w:cs="Open Sans Light"/>
                <w:sz w:val="16"/>
                <w:szCs w:val="16"/>
                <w:lang w:eastAsia="en-AU"/>
              </w:rPr>
              <w:t>Urban roads</w:t>
            </w:r>
          </w:p>
        </w:tc>
        <w:tc>
          <w:tcPr>
            <w:tcW w:w="760" w:type="dxa"/>
            <w:tcBorders>
              <w:top w:val="nil"/>
              <w:left w:val="nil"/>
              <w:bottom w:val="single" w:sz="4" w:space="0" w:color="ADD6EA"/>
              <w:right w:val="nil"/>
            </w:tcBorders>
            <w:shd w:val="clear" w:color="auto" w:fill="auto"/>
            <w:vAlign w:val="bottom"/>
            <w:hideMark/>
          </w:tcPr>
          <w:p w14:paraId="2164CFB2"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1,923</w:t>
            </w:r>
          </w:p>
        </w:tc>
        <w:tc>
          <w:tcPr>
            <w:tcW w:w="760" w:type="dxa"/>
            <w:tcBorders>
              <w:top w:val="nil"/>
              <w:left w:val="nil"/>
              <w:bottom w:val="single" w:sz="4" w:space="0" w:color="ADD6EA"/>
              <w:right w:val="nil"/>
            </w:tcBorders>
            <w:shd w:val="clear" w:color="auto" w:fill="auto"/>
            <w:vAlign w:val="bottom"/>
            <w:hideMark/>
          </w:tcPr>
          <w:p w14:paraId="33809CA8"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1,587</w:t>
            </w:r>
          </w:p>
        </w:tc>
        <w:tc>
          <w:tcPr>
            <w:tcW w:w="760" w:type="dxa"/>
            <w:tcBorders>
              <w:top w:val="nil"/>
              <w:left w:val="nil"/>
              <w:bottom w:val="single" w:sz="4" w:space="0" w:color="ADD6EA"/>
              <w:right w:val="nil"/>
            </w:tcBorders>
            <w:shd w:val="clear" w:color="auto" w:fill="auto"/>
            <w:vAlign w:val="bottom"/>
            <w:hideMark/>
          </w:tcPr>
          <w:p w14:paraId="6806AD53"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1,263</w:t>
            </w:r>
          </w:p>
        </w:tc>
        <w:tc>
          <w:tcPr>
            <w:tcW w:w="760" w:type="dxa"/>
            <w:tcBorders>
              <w:top w:val="nil"/>
              <w:left w:val="nil"/>
              <w:bottom w:val="single" w:sz="4" w:space="0" w:color="ADD6EA"/>
              <w:right w:val="nil"/>
            </w:tcBorders>
            <w:shd w:val="clear" w:color="auto" w:fill="auto"/>
            <w:vAlign w:val="bottom"/>
            <w:hideMark/>
          </w:tcPr>
          <w:p w14:paraId="63343040"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584</w:t>
            </w:r>
          </w:p>
        </w:tc>
        <w:tc>
          <w:tcPr>
            <w:tcW w:w="760" w:type="dxa"/>
            <w:tcBorders>
              <w:top w:val="nil"/>
              <w:left w:val="nil"/>
              <w:bottom w:val="single" w:sz="4" w:space="0" w:color="ADD6EA"/>
              <w:right w:val="nil"/>
            </w:tcBorders>
            <w:shd w:val="clear" w:color="auto" w:fill="auto"/>
            <w:vAlign w:val="bottom"/>
            <w:hideMark/>
          </w:tcPr>
          <w:p w14:paraId="642C050D"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326</w:t>
            </w:r>
          </w:p>
        </w:tc>
        <w:tc>
          <w:tcPr>
            <w:tcW w:w="760" w:type="dxa"/>
            <w:tcBorders>
              <w:top w:val="nil"/>
              <w:left w:val="nil"/>
              <w:bottom w:val="single" w:sz="4" w:space="0" w:color="ADD6EA"/>
              <w:right w:val="nil"/>
            </w:tcBorders>
            <w:shd w:val="clear" w:color="auto" w:fill="auto"/>
            <w:vAlign w:val="bottom"/>
            <w:hideMark/>
          </w:tcPr>
          <w:p w14:paraId="07CAC2F4"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98</w:t>
            </w:r>
          </w:p>
        </w:tc>
        <w:tc>
          <w:tcPr>
            <w:tcW w:w="760" w:type="dxa"/>
            <w:tcBorders>
              <w:top w:val="nil"/>
              <w:left w:val="nil"/>
              <w:bottom w:val="single" w:sz="4" w:space="0" w:color="ADD6EA"/>
              <w:right w:val="nil"/>
            </w:tcBorders>
            <w:shd w:val="clear" w:color="auto" w:fill="auto"/>
            <w:vAlign w:val="bottom"/>
            <w:hideMark/>
          </w:tcPr>
          <w:p w14:paraId="08A5CE74"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118</w:t>
            </w:r>
          </w:p>
        </w:tc>
        <w:tc>
          <w:tcPr>
            <w:tcW w:w="760" w:type="dxa"/>
            <w:tcBorders>
              <w:top w:val="nil"/>
              <w:left w:val="nil"/>
              <w:bottom w:val="single" w:sz="4" w:space="0" w:color="ADD6EA"/>
              <w:right w:val="nil"/>
            </w:tcBorders>
            <w:shd w:val="clear" w:color="auto" w:fill="auto"/>
            <w:vAlign w:val="bottom"/>
            <w:hideMark/>
          </w:tcPr>
          <w:p w14:paraId="5BEDFA60"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44</w:t>
            </w:r>
          </w:p>
        </w:tc>
        <w:tc>
          <w:tcPr>
            <w:tcW w:w="760" w:type="dxa"/>
            <w:tcBorders>
              <w:top w:val="nil"/>
              <w:left w:val="nil"/>
              <w:bottom w:val="single" w:sz="4" w:space="0" w:color="ADD6EA"/>
              <w:right w:val="nil"/>
            </w:tcBorders>
            <w:shd w:val="clear" w:color="auto" w:fill="auto"/>
            <w:vAlign w:val="bottom"/>
            <w:hideMark/>
          </w:tcPr>
          <w:p w14:paraId="53AB2498"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5,943</w:t>
            </w:r>
          </w:p>
        </w:tc>
      </w:tr>
      <w:tr w:rsidR="007E365E" w:rsidRPr="00F01224" w14:paraId="3DEA5314"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26D9FDA2" w14:textId="77777777" w:rsidR="007E365E" w:rsidRPr="00F01224" w:rsidRDefault="007E365E" w:rsidP="007D1D77">
            <w:pPr>
              <w:tabs>
                <w:tab w:val="clear" w:pos="567"/>
              </w:tabs>
              <w:spacing w:before="0" w:line="240" w:lineRule="auto"/>
              <w:rPr>
                <w:rFonts w:eastAsia="Times New Roman" w:cs="Open Sans Light"/>
                <w:sz w:val="16"/>
                <w:szCs w:val="16"/>
                <w:lang w:eastAsia="en-AU"/>
              </w:rPr>
            </w:pPr>
            <w:r w:rsidRPr="00F01224">
              <w:rPr>
                <w:rFonts w:eastAsia="Times New Roman" w:cs="Open Sans Light"/>
                <w:sz w:val="16"/>
                <w:szCs w:val="16"/>
                <w:lang w:eastAsia="en-AU"/>
              </w:rPr>
              <w:t>Urban transport</w:t>
            </w:r>
          </w:p>
        </w:tc>
        <w:tc>
          <w:tcPr>
            <w:tcW w:w="760" w:type="dxa"/>
            <w:tcBorders>
              <w:top w:val="nil"/>
              <w:left w:val="nil"/>
              <w:bottom w:val="single" w:sz="4" w:space="0" w:color="ADD6EA"/>
              <w:right w:val="nil"/>
            </w:tcBorders>
            <w:shd w:val="clear" w:color="auto" w:fill="auto"/>
            <w:vAlign w:val="bottom"/>
            <w:hideMark/>
          </w:tcPr>
          <w:p w14:paraId="13E3F863"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2,771</w:t>
            </w:r>
          </w:p>
        </w:tc>
        <w:tc>
          <w:tcPr>
            <w:tcW w:w="760" w:type="dxa"/>
            <w:tcBorders>
              <w:top w:val="nil"/>
              <w:left w:val="nil"/>
              <w:bottom w:val="single" w:sz="4" w:space="0" w:color="ADD6EA"/>
              <w:right w:val="nil"/>
            </w:tcBorders>
            <w:shd w:val="clear" w:color="auto" w:fill="auto"/>
            <w:vAlign w:val="bottom"/>
            <w:hideMark/>
          </w:tcPr>
          <w:p w14:paraId="2BBC9AD9"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2,712</w:t>
            </w:r>
          </w:p>
        </w:tc>
        <w:tc>
          <w:tcPr>
            <w:tcW w:w="760" w:type="dxa"/>
            <w:tcBorders>
              <w:top w:val="nil"/>
              <w:left w:val="nil"/>
              <w:bottom w:val="single" w:sz="4" w:space="0" w:color="ADD6EA"/>
              <w:right w:val="nil"/>
            </w:tcBorders>
            <w:shd w:val="clear" w:color="auto" w:fill="auto"/>
            <w:vAlign w:val="bottom"/>
            <w:hideMark/>
          </w:tcPr>
          <w:p w14:paraId="7D8D491A"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865</w:t>
            </w:r>
          </w:p>
        </w:tc>
        <w:tc>
          <w:tcPr>
            <w:tcW w:w="760" w:type="dxa"/>
            <w:tcBorders>
              <w:top w:val="nil"/>
              <w:left w:val="nil"/>
              <w:bottom w:val="single" w:sz="4" w:space="0" w:color="ADD6EA"/>
              <w:right w:val="nil"/>
            </w:tcBorders>
            <w:shd w:val="clear" w:color="auto" w:fill="auto"/>
            <w:vAlign w:val="bottom"/>
            <w:hideMark/>
          </w:tcPr>
          <w:p w14:paraId="303A5538"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342</w:t>
            </w:r>
          </w:p>
        </w:tc>
        <w:tc>
          <w:tcPr>
            <w:tcW w:w="760" w:type="dxa"/>
            <w:tcBorders>
              <w:top w:val="nil"/>
              <w:left w:val="nil"/>
              <w:bottom w:val="single" w:sz="4" w:space="0" w:color="ADD6EA"/>
              <w:right w:val="nil"/>
            </w:tcBorders>
            <w:shd w:val="clear" w:color="auto" w:fill="auto"/>
            <w:vAlign w:val="bottom"/>
            <w:hideMark/>
          </w:tcPr>
          <w:p w14:paraId="48E4190A"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190</w:t>
            </w:r>
          </w:p>
        </w:tc>
        <w:tc>
          <w:tcPr>
            <w:tcW w:w="760" w:type="dxa"/>
            <w:tcBorders>
              <w:top w:val="nil"/>
              <w:left w:val="nil"/>
              <w:bottom w:val="single" w:sz="4" w:space="0" w:color="ADD6EA"/>
              <w:right w:val="nil"/>
            </w:tcBorders>
            <w:shd w:val="clear" w:color="auto" w:fill="auto"/>
            <w:vAlign w:val="bottom"/>
            <w:hideMark/>
          </w:tcPr>
          <w:p w14:paraId="71A16A59"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25</w:t>
            </w:r>
          </w:p>
        </w:tc>
        <w:tc>
          <w:tcPr>
            <w:tcW w:w="760" w:type="dxa"/>
            <w:tcBorders>
              <w:top w:val="nil"/>
              <w:left w:val="nil"/>
              <w:bottom w:val="single" w:sz="4" w:space="0" w:color="ADD6EA"/>
              <w:right w:val="nil"/>
            </w:tcBorders>
            <w:shd w:val="clear" w:color="auto" w:fill="auto"/>
            <w:vAlign w:val="bottom"/>
            <w:hideMark/>
          </w:tcPr>
          <w:p w14:paraId="5879D0BE"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67</w:t>
            </w:r>
          </w:p>
        </w:tc>
        <w:tc>
          <w:tcPr>
            <w:tcW w:w="760" w:type="dxa"/>
            <w:tcBorders>
              <w:top w:val="nil"/>
              <w:left w:val="nil"/>
              <w:bottom w:val="single" w:sz="4" w:space="0" w:color="ADD6EA"/>
              <w:right w:val="nil"/>
            </w:tcBorders>
            <w:shd w:val="clear" w:color="auto" w:fill="auto"/>
            <w:vAlign w:val="bottom"/>
            <w:hideMark/>
          </w:tcPr>
          <w:p w14:paraId="5449DEF7"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30FB90AF"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6,968</w:t>
            </w:r>
          </w:p>
        </w:tc>
      </w:tr>
      <w:tr w:rsidR="007E365E" w:rsidRPr="00F01224" w14:paraId="7F2450FC"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6182075F" w14:textId="77777777" w:rsidR="007E365E" w:rsidRPr="00F01224" w:rsidRDefault="007E365E" w:rsidP="007D1D77">
            <w:pPr>
              <w:tabs>
                <w:tab w:val="clear" w:pos="567"/>
              </w:tabs>
              <w:spacing w:before="0" w:line="240" w:lineRule="auto"/>
              <w:rPr>
                <w:rFonts w:eastAsia="Times New Roman" w:cs="Open Sans Light"/>
                <w:sz w:val="16"/>
                <w:szCs w:val="16"/>
                <w:lang w:eastAsia="en-AU"/>
              </w:rPr>
            </w:pPr>
            <w:r w:rsidRPr="00F01224">
              <w:rPr>
                <w:rFonts w:eastAsia="Times New Roman" w:cs="Open Sans Light"/>
                <w:sz w:val="16"/>
                <w:szCs w:val="16"/>
                <w:lang w:eastAsia="en-AU"/>
              </w:rPr>
              <w:t>Non-urban transport</w:t>
            </w:r>
          </w:p>
        </w:tc>
        <w:tc>
          <w:tcPr>
            <w:tcW w:w="760" w:type="dxa"/>
            <w:tcBorders>
              <w:top w:val="nil"/>
              <w:left w:val="nil"/>
              <w:bottom w:val="single" w:sz="4" w:space="0" w:color="ADD6EA"/>
              <w:right w:val="nil"/>
            </w:tcBorders>
            <w:shd w:val="clear" w:color="auto" w:fill="auto"/>
            <w:vAlign w:val="bottom"/>
            <w:hideMark/>
          </w:tcPr>
          <w:p w14:paraId="5461B0EF"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auto" w:fill="auto"/>
            <w:vAlign w:val="bottom"/>
            <w:hideMark/>
          </w:tcPr>
          <w:p w14:paraId="42CDB078"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11</w:t>
            </w:r>
          </w:p>
        </w:tc>
        <w:tc>
          <w:tcPr>
            <w:tcW w:w="760" w:type="dxa"/>
            <w:tcBorders>
              <w:top w:val="nil"/>
              <w:left w:val="nil"/>
              <w:bottom w:val="single" w:sz="4" w:space="0" w:color="ADD6EA"/>
              <w:right w:val="nil"/>
            </w:tcBorders>
            <w:shd w:val="clear" w:color="auto" w:fill="auto"/>
            <w:vAlign w:val="bottom"/>
            <w:hideMark/>
          </w:tcPr>
          <w:p w14:paraId="67F7B7CB"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vAlign w:val="bottom"/>
            <w:hideMark/>
          </w:tcPr>
          <w:p w14:paraId="2552DC89"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76E33BEC"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067EC9DE"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49130A50"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7A7F6F88"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05E6B7C2"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40</w:t>
            </w:r>
          </w:p>
        </w:tc>
      </w:tr>
      <w:tr w:rsidR="007E365E" w:rsidRPr="00F01224" w14:paraId="4F5A8C83"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2F43C6A3" w14:textId="77777777" w:rsidR="007E365E" w:rsidRPr="00F01224" w:rsidRDefault="007E365E" w:rsidP="007D1D77">
            <w:pPr>
              <w:tabs>
                <w:tab w:val="clear" w:pos="567"/>
              </w:tabs>
              <w:spacing w:before="0" w:line="240" w:lineRule="auto"/>
              <w:rPr>
                <w:rFonts w:eastAsia="Times New Roman" w:cs="Open Sans Light"/>
                <w:sz w:val="16"/>
                <w:szCs w:val="16"/>
                <w:lang w:eastAsia="en-AU"/>
              </w:rPr>
            </w:pPr>
            <w:r w:rsidRPr="00F01224">
              <w:rPr>
                <w:rFonts w:eastAsia="Times New Roman" w:cs="Open Sans Light"/>
                <w:sz w:val="16"/>
                <w:szCs w:val="16"/>
                <w:lang w:eastAsia="en-AU"/>
              </w:rPr>
              <w:t>Services to industry</w:t>
            </w:r>
          </w:p>
        </w:tc>
        <w:tc>
          <w:tcPr>
            <w:tcW w:w="760" w:type="dxa"/>
            <w:tcBorders>
              <w:top w:val="nil"/>
              <w:left w:val="nil"/>
              <w:bottom w:val="single" w:sz="4" w:space="0" w:color="ADD6EA"/>
              <w:right w:val="nil"/>
            </w:tcBorders>
            <w:shd w:val="clear" w:color="auto" w:fill="auto"/>
            <w:vAlign w:val="bottom"/>
            <w:hideMark/>
          </w:tcPr>
          <w:p w14:paraId="5628350E"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auto" w:fill="auto"/>
            <w:vAlign w:val="bottom"/>
            <w:hideMark/>
          </w:tcPr>
          <w:p w14:paraId="5F882BC2"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06038ADF"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vAlign w:val="bottom"/>
            <w:hideMark/>
          </w:tcPr>
          <w:p w14:paraId="50F334DF"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16</w:t>
            </w:r>
          </w:p>
        </w:tc>
        <w:tc>
          <w:tcPr>
            <w:tcW w:w="760" w:type="dxa"/>
            <w:tcBorders>
              <w:top w:val="nil"/>
              <w:left w:val="nil"/>
              <w:bottom w:val="single" w:sz="4" w:space="0" w:color="ADD6EA"/>
              <w:right w:val="nil"/>
            </w:tcBorders>
            <w:shd w:val="clear" w:color="auto" w:fill="auto"/>
            <w:vAlign w:val="bottom"/>
            <w:hideMark/>
          </w:tcPr>
          <w:p w14:paraId="1D404121"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450F5AF7"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7921969C"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189BD98F"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2DF5F23B"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8</w:t>
            </w:r>
          </w:p>
        </w:tc>
      </w:tr>
      <w:tr w:rsidR="007E365E" w:rsidRPr="00F01224" w14:paraId="6B9322D6"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5FCD5794" w14:textId="77777777" w:rsidR="007E365E" w:rsidRPr="00F01224" w:rsidRDefault="007E365E" w:rsidP="007D1D77">
            <w:pPr>
              <w:tabs>
                <w:tab w:val="clear" w:pos="567"/>
              </w:tabs>
              <w:spacing w:before="0" w:line="240" w:lineRule="auto"/>
              <w:rPr>
                <w:rFonts w:eastAsia="Times New Roman" w:cs="Open Sans Light"/>
                <w:sz w:val="16"/>
                <w:szCs w:val="16"/>
                <w:lang w:eastAsia="en-AU"/>
              </w:rPr>
            </w:pPr>
            <w:r w:rsidRPr="00F01224">
              <w:rPr>
                <w:rFonts w:eastAsia="Times New Roman" w:cs="Open Sans Light"/>
                <w:sz w:val="16"/>
                <w:szCs w:val="16"/>
                <w:lang w:eastAsia="en-AU"/>
              </w:rPr>
              <w:t>Other expenses</w:t>
            </w:r>
          </w:p>
        </w:tc>
        <w:tc>
          <w:tcPr>
            <w:tcW w:w="760" w:type="dxa"/>
            <w:tcBorders>
              <w:top w:val="nil"/>
              <w:left w:val="nil"/>
              <w:bottom w:val="single" w:sz="4" w:space="0" w:color="ADD6EA"/>
              <w:right w:val="nil"/>
            </w:tcBorders>
            <w:shd w:val="clear" w:color="auto" w:fill="auto"/>
            <w:vAlign w:val="bottom"/>
            <w:hideMark/>
          </w:tcPr>
          <w:p w14:paraId="63A5A85F"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503</w:t>
            </w:r>
          </w:p>
        </w:tc>
        <w:tc>
          <w:tcPr>
            <w:tcW w:w="760" w:type="dxa"/>
            <w:tcBorders>
              <w:top w:val="nil"/>
              <w:left w:val="nil"/>
              <w:bottom w:val="single" w:sz="4" w:space="0" w:color="ADD6EA"/>
              <w:right w:val="nil"/>
            </w:tcBorders>
            <w:shd w:val="clear" w:color="auto" w:fill="auto"/>
            <w:vAlign w:val="bottom"/>
            <w:hideMark/>
          </w:tcPr>
          <w:p w14:paraId="65393C05"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450</w:t>
            </w:r>
          </w:p>
        </w:tc>
        <w:tc>
          <w:tcPr>
            <w:tcW w:w="760" w:type="dxa"/>
            <w:tcBorders>
              <w:top w:val="nil"/>
              <w:left w:val="nil"/>
              <w:bottom w:val="single" w:sz="4" w:space="0" w:color="ADD6EA"/>
              <w:right w:val="nil"/>
            </w:tcBorders>
            <w:shd w:val="clear" w:color="auto" w:fill="auto"/>
            <w:vAlign w:val="bottom"/>
            <w:hideMark/>
          </w:tcPr>
          <w:p w14:paraId="5FC08127"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327</w:t>
            </w:r>
          </w:p>
        </w:tc>
        <w:tc>
          <w:tcPr>
            <w:tcW w:w="760" w:type="dxa"/>
            <w:tcBorders>
              <w:top w:val="nil"/>
              <w:left w:val="nil"/>
              <w:bottom w:val="single" w:sz="4" w:space="0" w:color="ADD6EA"/>
              <w:right w:val="nil"/>
            </w:tcBorders>
            <w:shd w:val="clear" w:color="auto" w:fill="auto"/>
            <w:vAlign w:val="bottom"/>
            <w:hideMark/>
          </w:tcPr>
          <w:p w14:paraId="7727A03D"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143</w:t>
            </w:r>
          </w:p>
        </w:tc>
        <w:tc>
          <w:tcPr>
            <w:tcW w:w="760" w:type="dxa"/>
            <w:tcBorders>
              <w:top w:val="nil"/>
              <w:left w:val="nil"/>
              <w:bottom w:val="single" w:sz="4" w:space="0" w:color="ADD6EA"/>
              <w:right w:val="nil"/>
            </w:tcBorders>
            <w:shd w:val="clear" w:color="auto" w:fill="auto"/>
            <w:vAlign w:val="bottom"/>
            <w:hideMark/>
          </w:tcPr>
          <w:p w14:paraId="463B33A7"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89</w:t>
            </w:r>
          </w:p>
        </w:tc>
        <w:tc>
          <w:tcPr>
            <w:tcW w:w="760" w:type="dxa"/>
            <w:tcBorders>
              <w:top w:val="nil"/>
              <w:left w:val="nil"/>
              <w:bottom w:val="single" w:sz="4" w:space="0" w:color="ADD6EA"/>
              <w:right w:val="nil"/>
            </w:tcBorders>
            <w:shd w:val="clear" w:color="auto" w:fill="auto"/>
            <w:vAlign w:val="bottom"/>
            <w:hideMark/>
          </w:tcPr>
          <w:p w14:paraId="6839724B"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29</w:t>
            </w:r>
          </w:p>
        </w:tc>
        <w:tc>
          <w:tcPr>
            <w:tcW w:w="760" w:type="dxa"/>
            <w:tcBorders>
              <w:top w:val="nil"/>
              <w:left w:val="nil"/>
              <w:bottom w:val="single" w:sz="4" w:space="0" w:color="ADD6EA"/>
              <w:right w:val="nil"/>
            </w:tcBorders>
            <w:shd w:val="clear" w:color="auto" w:fill="auto"/>
            <w:vAlign w:val="bottom"/>
            <w:hideMark/>
          </w:tcPr>
          <w:p w14:paraId="7EE2A546"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28</w:t>
            </w:r>
          </w:p>
        </w:tc>
        <w:tc>
          <w:tcPr>
            <w:tcW w:w="760" w:type="dxa"/>
            <w:tcBorders>
              <w:top w:val="nil"/>
              <w:left w:val="nil"/>
              <w:bottom w:val="single" w:sz="4" w:space="0" w:color="ADD6EA"/>
              <w:right w:val="nil"/>
            </w:tcBorders>
            <w:shd w:val="clear" w:color="auto" w:fill="auto"/>
            <w:vAlign w:val="bottom"/>
            <w:hideMark/>
          </w:tcPr>
          <w:p w14:paraId="57EB5C33"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vAlign w:val="bottom"/>
            <w:hideMark/>
          </w:tcPr>
          <w:p w14:paraId="7B3CEE69"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1,577</w:t>
            </w:r>
          </w:p>
        </w:tc>
      </w:tr>
      <w:tr w:rsidR="007E365E" w:rsidRPr="00F01224" w14:paraId="4502312B"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06AC4CC7" w14:textId="77777777" w:rsidR="007E365E" w:rsidRPr="00F01224" w:rsidRDefault="007E365E" w:rsidP="007D1D77">
            <w:pPr>
              <w:tabs>
                <w:tab w:val="clear" w:pos="567"/>
              </w:tabs>
              <w:spacing w:before="0" w:line="240" w:lineRule="auto"/>
              <w:rPr>
                <w:rFonts w:eastAsia="Times New Roman" w:cs="Open Sans Light"/>
                <w:sz w:val="16"/>
                <w:szCs w:val="16"/>
                <w:lang w:eastAsia="en-AU"/>
              </w:rPr>
            </w:pPr>
            <w:r w:rsidRPr="00F01224">
              <w:rPr>
                <w:rFonts w:eastAsia="Times New Roman" w:cs="Open Sans Light"/>
                <w:sz w:val="16"/>
                <w:szCs w:val="16"/>
                <w:lang w:eastAsia="en-AU"/>
              </w:rPr>
              <w:t>Land</w:t>
            </w:r>
          </w:p>
        </w:tc>
        <w:tc>
          <w:tcPr>
            <w:tcW w:w="760" w:type="dxa"/>
            <w:tcBorders>
              <w:top w:val="nil"/>
              <w:left w:val="nil"/>
              <w:bottom w:val="single" w:sz="4" w:space="0" w:color="ADD6EA"/>
              <w:right w:val="nil"/>
            </w:tcBorders>
            <w:shd w:val="clear" w:color="auto" w:fill="auto"/>
            <w:vAlign w:val="bottom"/>
            <w:hideMark/>
          </w:tcPr>
          <w:p w14:paraId="1B0A2A77"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403</w:t>
            </w:r>
          </w:p>
        </w:tc>
        <w:tc>
          <w:tcPr>
            <w:tcW w:w="760" w:type="dxa"/>
            <w:tcBorders>
              <w:top w:val="nil"/>
              <w:left w:val="nil"/>
              <w:bottom w:val="single" w:sz="4" w:space="0" w:color="ADD6EA"/>
              <w:right w:val="nil"/>
            </w:tcBorders>
            <w:shd w:val="clear" w:color="auto" w:fill="auto"/>
            <w:vAlign w:val="bottom"/>
            <w:hideMark/>
          </w:tcPr>
          <w:p w14:paraId="700BC53C"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327</w:t>
            </w:r>
          </w:p>
        </w:tc>
        <w:tc>
          <w:tcPr>
            <w:tcW w:w="760" w:type="dxa"/>
            <w:tcBorders>
              <w:top w:val="nil"/>
              <w:left w:val="nil"/>
              <w:bottom w:val="single" w:sz="4" w:space="0" w:color="ADD6EA"/>
              <w:right w:val="nil"/>
            </w:tcBorders>
            <w:shd w:val="clear" w:color="auto" w:fill="auto"/>
            <w:vAlign w:val="bottom"/>
            <w:hideMark/>
          </w:tcPr>
          <w:p w14:paraId="0E9A7CDF"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253</w:t>
            </w:r>
          </w:p>
        </w:tc>
        <w:tc>
          <w:tcPr>
            <w:tcW w:w="760" w:type="dxa"/>
            <w:tcBorders>
              <w:top w:val="nil"/>
              <w:left w:val="nil"/>
              <w:bottom w:val="single" w:sz="4" w:space="0" w:color="ADD6EA"/>
              <w:right w:val="nil"/>
            </w:tcBorders>
            <w:shd w:val="clear" w:color="auto" w:fill="auto"/>
            <w:vAlign w:val="bottom"/>
            <w:hideMark/>
          </w:tcPr>
          <w:p w14:paraId="57B5240B"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131</w:t>
            </w:r>
          </w:p>
        </w:tc>
        <w:tc>
          <w:tcPr>
            <w:tcW w:w="760" w:type="dxa"/>
            <w:tcBorders>
              <w:top w:val="nil"/>
              <w:left w:val="nil"/>
              <w:bottom w:val="single" w:sz="4" w:space="0" w:color="ADD6EA"/>
              <w:right w:val="nil"/>
            </w:tcBorders>
            <w:shd w:val="clear" w:color="auto" w:fill="auto"/>
            <w:vAlign w:val="bottom"/>
            <w:hideMark/>
          </w:tcPr>
          <w:p w14:paraId="5B349A34"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87</w:t>
            </w:r>
          </w:p>
        </w:tc>
        <w:tc>
          <w:tcPr>
            <w:tcW w:w="760" w:type="dxa"/>
            <w:tcBorders>
              <w:top w:val="nil"/>
              <w:left w:val="nil"/>
              <w:bottom w:val="single" w:sz="4" w:space="0" w:color="ADD6EA"/>
              <w:right w:val="nil"/>
            </w:tcBorders>
            <w:shd w:val="clear" w:color="auto" w:fill="auto"/>
            <w:vAlign w:val="bottom"/>
            <w:hideMark/>
          </w:tcPr>
          <w:p w14:paraId="0C0C9F6D"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27</w:t>
            </w:r>
          </w:p>
        </w:tc>
        <w:tc>
          <w:tcPr>
            <w:tcW w:w="760" w:type="dxa"/>
            <w:tcBorders>
              <w:top w:val="nil"/>
              <w:left w:val="nil"/>
              <w:bottom w:val="single" w:sz="4" w:space="0" w:color="ADD6EA"/>
              <w:right w:val="nil"/>
            </w:tcBorders>
            <w:shd w:val="clear" w:color="auto" w:fill="auto"/>
            <w:vAlign w:val="bottom"/>
            <w:hideMark/>
          </w:tcPr>
          <w:p w14:paraId="5B4CC69A"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21</w:t>
            </w:r>
          </w:p>
        </w:tc>
        <w:tc>
          <w:tcPr>
            <w:tcW w:w="760" w:type="dxa"/>
            <w:tcBorders>
              <w:top w:val="nil"/>
              <w:left w:val="nil"/>
              <w:bottom w:val="single" w:sz="4" w:space="0" w:color="ADD6EA"/>
              <w:right w:val="nil"/>
            </w:tcBorders>
            <w:shd w:val="clear" w:color="auto" w:fill="auto"/>
            <w:vAlign w:val="bottom"/>
            <w:hideMark/>
          </w:tcPr>
          <w:p w14:paraId="2B6BF004"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12</w:t>
            </w:r>
          </w:p>
        </w:tc>
        <w:tc>
          <w:tcPr>
            <w:tcW w:w="760" w:type="dxa"/>
            <w:tcBorders>
              <w:top w:val="nil"/>
              <w:left w:val="nil"/>
              <w:bottom w:val="single" w:sz="4" w:space="0" w:color="ADD6EA"/>
              <w:right w:val="nil"/>
            </w:tcBorders>
            <w:shd w:val="clear" w:color="auto" w:fill="auto"/>
            <w:vAlign w:val="bottom"/>
            <w:hideMark/>
          </w:tcPr>
          <w:p w14:paraId="66E39CC5" w14:textId="77777777" w:rsidR="007E365E" w:rsidRPr="00F01224" w:rsidRDefault="007E365E" w:rsidP="007D1D77">
            <w:pPr>
              <w:tabs>
                <w:tab w:val="clear" w:pos="567"/>
              </w:tabs>
              <w:spacing w:before="0" w:line="240" w:lineRule="auto"/>
              <w:jc w:val="right"/>
              <w:rPr>
                <w:rFonts w:eastAsia="Times New Roman" w:cs="Open Sans Light"/>
                <w:sz w:val="16"/>
                <w:szCs w:val="16"/>
                <w:lang w:eastAsia="en-AU"/>
              </w:rPr>
            </w:pPr>
            <w:r w:rsidRPr="00F01224">
              <w:rPr>
                <w:rFonts w:eastAsia="Times New Roman" w:cs="Open Sans Light"/>
                <w:sz w:val="16"/>
                <w:szCs w:val="16"/>
                <w:lang w:eastAsia="en-AU"/>
              </w:rPr>
              <w:t>1,261</w:t>
            </w:r>
          </w:p>
        </w:tc>
      </w:tr>
      <w:tr w:rsidR="007E365E" w:rsidRPr="00F01224" w14:paraId="03D151E5" w14:textId="77777777" w:rsidTr="007D1D77">
        <w:trPr>
          <w:trHeight w:val="315"/>
        </w:trPr>
        <w:tc>
          <w:tcPr>
            <w:tcW w:w="2060" w:type="dxa"/>
            <w:tcBorders>
              <w:top w:val="nil"/>
              <w:left w:val="nil"/>
              <w:bottom w:val="single" w:sz="4" w:space="0" w:color="ADD6EA"/>
              <w:right w:val="nil"/>
            </w:tcBorders>
            <w:shd w:val="clear" w:color="000000" w:fill="D6E7F0"/>
            <w:vAlign w:val="bottom"/>
            <w:hideMark/>
          </w:tcPr>
          <w:p w14:paraId="00252547" w14:textId="77777777" w:rsidR="007E365E" w:rsidRPr="00F01224"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2C13C26D"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10,242</w:t>
            </w:r>
          </w:p>
        </w:tc>
        <w:tc>
          <w:tcPr>
            <w:tcW w:w="760" w:type="dxa"/>
            <w:tcBorders>
              <w:top w:val="nil"/>
              <w:left w:val="nil"/>
              <w:bottom w:val="single" w:sz="4" w:space="0" w:color="ADD6EA"/>
              <w:right w:val="nil"/>
            </w:tcBorders>
            <w:shd w:val="clear" w:color="000000" w:fill="D6E7F0"/>
            <w:vAlign w:val="bottom"/>
            <w:hideMark/>
          </w:tcPr>
          <w:p w14:paraId="0D169AD5"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8,661</w:t>
            </w:r>
          </w:p>
        </w:tc>
        <w:tc>
          <w:tcPr>
            <w:tcW w:w="760" w:type="dxa"/>
            <w:tcBorders>
              <w:top w:val="nil"/>
              <w:left w:val="nil"/>
              <w:bottom w:val="single" w:sz="4" w:space="0" w:color="ADD6EA"/>
              <w:right w:val="nil"/>
            </w:tcBorders>
            <w:shd w:val="clear" w:color="000000" w:fill="D6E7F0"/>
            <w:vAlign w:val="bottom"/>
            <w:hideMark/>
          </w:tcPr>
          <w:p w14:paraId="373E86F7"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6,582</w:t>
            </w:r>
          </w:p>
        </w:tc>
        <w:tc>
          <w:tcPr>
            <w:tcW w:w="760" w:type="dxa"/>
            <w:tcBorders>
              <w:top w:val="nil"/>
              <w:left w:val="nil"/>
              <w:bottom w:val="single" w:sz="4" w:space="0" w:color="ADD6EA"/>
              <w:right w:val="nil"/>
            </w:tcBorders>
            <w:shd w:val="clear" w:color="000000" w:fill="D6E7F0"/>
            <w:vAlign w:val="bottom"/>
            <w:hideMark/>
          </w:tcPr>
          <w:p w14:paraId="74CC844C"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3,295</w:t>
            </w:r>
          </w:p>
        </w:tc>
        <w:tc>
          <w:tcPr>
            <w:tcW w:w="760" w:type="dxa"/>
            <w:tcBorders>
              <w:top w:val="nil"/>
              <w:left w:val="nil"/>
              <w:bottom w:val="single" w:sz="4" w:space="0" w:color="ADD6EA"/>
              <w:right w:val="nil"/>
            </w:tcBorders>
            <w:shd w:val="clear" w:color="000000" w:fill="D6E7F0"/>
            <w:vAlign w:val="bottom"/>
            <w:hideMark/>
          </w:tcPr>
          <w:p w14:paraId="64FC5E41"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1,849</w:t>
            </w:r>
          </w:p>
        </w:tc>
        <w:tc>
          <w:tcPr>
            <w:tcW w:w="760" w:type="dxa"/>
            <w:tcBorders>
              <w:top w:val="nil"/>
              <w:left w:val="nil"/>
              <w:bottom w:val="single" w:sz="4" w:space="0" w:color="ADD6EA"/>
              <w:right w:val="nil"/>
            </w:tcBorders>
            <w:shd w:val="clear" w:color="000000" w:fill="D6E7F0"/>
            <w:vAlign w:val="bottom"/>
            <w:hideMark/>
          </w:tcPr>
          <w:p w14:paraId="40B8CD30"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571</w:t>
            </w:r>
          </w:p>
        </w:tc>
        <w:tc>
          <w:tcPr>
            <w:tcW w:w="760" w:type="dxa"/>
            <w:tcBorders>
              <w:top w:val="nil"/>
              <w:left w:val="nil"/>
              <w:bottom w:val="single" w:sz="4" w:space="0" w:color="ADD6EA"/>
              <w:right w:val="nil"/>
            </w:tcBorders>
            <w:shd w:val="clear" w:color="000000" w:fill="D6E7F0"/>
            <w:vAlign w:val="bottom"/>
            <w:hideMark/>
          </w:tcPr>
          <w:p w14:paraId="0CA481A8"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436</w:t>
            </w:r>
          </w:p>
        </w:tc>
        <w:tc>
          <w:tcPr>
            <w:tcW w:w="760" w:type="dxa"/>
            <w:tcBorders>
              <w:top w:val="nil"/>
              <w:left w:val="nil"/>
              <w:bottom w:val="single" w:sz="4" w:space="0" w:color="ADD6EA"/>
              <w:right w:val="nil"/>
            </w:tcBorders>
            <w:shd w:val="clear" w:color="000000" w:fill="D6E7F0"/>
            <w:vAlign w:val="bottom"/>
            <w:hideMark/>
          </w:tcPr>
          <w:p w14:paraId="1E0ECDFE"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616</w:t>
            </w:r>
          </w:p>
        </w:tc>
        <w:tc>
          <w:tcPr>
            <w:tcW w:w="760" w:type="dxa"/>
            <w:tcBorders>
              <w:top w:val="nil"/>
              <w:left w:val="nil"/>
              <w:bottom w:val="single" w:sz="4" w:space="0" w:color="ADD6EA"/>
              <w:right w:val="nil"/>
            </w:tcBorders>
            <w:shd w:val="clear" w:color="000000" w:fill="D6E7F0"/>
            <w:vAlign w:val="bottom"/>
            <w:hideMark/>
          </w:tcPr>
          <w:p w14:paraId="39015973" w14:textId="77777777" w:rsidR="007E365E" w:rsidRPr="00F01224"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F01224">
              <w:rPr>
                <w:rFonts w:ascii="Open Sans SemiBold" w:eastAsia="Times New Roman" w:hAnsi="Open Sans SemiBold" w:cs="Open Sans SemiBold"/>
                <w:sz w:val="16"/>
                <w:szCs w:val="16"/>
                <w:lang w:eastAsia="en-AU"/>
              </w:rPr>
              <w:t>32,252</w:t>
            </w:r>
          </w:p>
        </w:tc>
      </w:tr>
    </w:tbl>
    <w:p w14:paraId="103F6BC0" w14:textId="77777777" w:rsidR="007E365E" w:rsidRPr="00785668" w:rsidRDefault="007E365E" w:rsidP="007E365E">
      <w:pPr>
        <w:pStyle w:val="CGCTablenote"/>
        <w:keepNext/>
      </w:pPr>
      <w:r w:rsidRPr="00785668">
        <w:t>Note:</w:t>
      </w:r>
      <w:r w:rsidRPr="00785668">
        <w:tab/>
        <w:t>Numbers may not add due to rounding.</w:t>
      </w:r>
    </w:p>
    <w:p w14:paraId="6C156902" w14:textId="77777777" w:rsidR="007E365E" w:rsidRPr="000F09E5" w:rsidRDefault="007E365E" w:rsidP="007E365E">
      <w:pPr>
        <w:pStyle w:val="CGCTablenote"/>
      </w:pPr>
      <w:r w:rsidRPr="000F09E5">
        <w:t xml:space="preserve">Source: </w:t>
      </w:r>
      <w:r w:rsidRPr="000F09E5">
        <w:tab/>
        <w:t>Commission calculation.</w:t>
      </w:r>
    </w:p>
    <w:p w14:paraId="0C6A5DC7" w14:textId="77777777" w:rsidR="007E365E" w:rsidRPr="000F09E5" w:rsidRDefault="007E365E" w:rsidP="007E365E">
      <w:pPr>
        <w:pStyle w:val="Heading3"/>
      </w:pPr>
      <w:bookmarkStart w:id="417" w:name="_Toc24569262"/>
      <w:bookmarkStart w:id="418" w:name="_Toc24468520"/>
      <w:r w:rsidRPr="000F09E5">
        <w:t>Other issues considered by the Commission</w:t>
      </w:r>
      <w:bookmarkEnd w:id="417"/>
      <w:bookmarkEnd w:id="418"/>
    </w:p>
    <w:p w14:paraId="679C4C12" w14:textId="217A0A62" w:rsidR="007E365E" w:rsidRPr="000F09E5" w:rsidRDefault="007E365E" w:rsidP="007E365E">
      <w:pPr>
        <w:pStyle w:val="CGCParaNumber"/>
      </w:pPr>
      <w:r w:rsidRPr="000F09E5">
        <w:t>The Commission considered a number of other issues, largely in response to concerns raised by States. These issues related to the method for measuring existing disabilities or requests for new disabilities that were not included in the 2015 Review assessment. The main reasons for not assessing certain disabilities identified by States are:</w:t>
      </w:r>
    </w:p>
    <w:p w14:paraId="721F31E4" w14:textId="77777777" w:rsidR="007E365E" w:rsidRPr="009B3EB4" w:rsidRDefault="007E365E" w:rsidP="009B3EB4">
      <w:pPr>
        <w:pStyle w:val="CGCBullet1"/>
      </w:pPr>
      <w:r w:rsidRPr="009B3EB4">
        <w:t xml:space="preserve">the conceptual case for a disability has not been established </w:t>
      </w:r>
    </w:p>
    <w:p w14:paraId="31C9F27D" w14:textId="77777777" w:rsidR="007E365E" w:rsidRPr="000F09E5" w:rsidRDefault="007E365E" w:rsidP="00F4698A">
      <w:pPr>
        <w:pStyle w:val="CGCBullet1"/>
      </w:pPr>
      <w:r w:rsidRPr="000F09E5">
        <w:lastRenderedPageBreak/>
        <w:t>an assessment would not be material, that is, redistribute more than $35 per capita for any State</w:t>
      </w:r>
      <w:r w:rsidRPr="000F09E5">
        <w:rPr>
          <w:vertAlign w:val="superscript"/>
        </w:rPr>
        <w:footnoteReference w:id="100"/>
      </w:r>
    </w:p>
    <w:p w14:paraId="2B68663A" w14:textId="77777777" w:rsidR="007E365E" w:rsidRPr="000F09E5" w:rsidRDefault="007E365E" w:rsidP="00F4698A">
      <w:pPr>
        <w:pStyle w:val="CGCBullet1"/>
      </w:pPr>
      <w:r w:rsidRPr="000F09E5">
        <w:t>data are not available to make a reliable assessment.</w:t>
      </w:r>
    </w:p>
    <w:p w14:paraId="5F26771D" w14:textId="77777777" w:rsidR="007E365E" w:rsidRPr="000F09E5" w:rsidRDefault="007E365E" w:rsidP="007E365E">
      <w:pPr>
        <w:pStyle w:val="Heading4"/>
      </w:pPr>
      <w:bookmarkStart w:id="419" w:name="_Toc530575610"/>
      <w:bookmarkStart w:id="420" w:name="_Toc5187703"/>
      <w:bookmarkStart w:id="421" w:name="_Toc24569263"/>
      <w:bookmarkStart w:id="422" w:name="_Toc24468521"/>
      <w:r w:rsidRPr="000F09E5">
        <w:t>Treatment of land</w:t>
      </w:r>
      <w:bookmarkEnd w:id="419"/>
      <w:bookmarkEnd w:id="420"/>
      <w:bookmarkEnd w:id="421"/>
      <w:bookmarkEnd w:id="422"/>
    </w:p>
    <w:p w14:paraId="61B48EA4" w14:textId="77777777" w:rsidR="007E365E" w:rsidRPr="000F09E5" w:rsidRDefault="007E365E" w:rsidP="007E365E">
      <w:pPr>
        <w:pStyle w:val="CGCParaNumber"/>
      </w:pPr>
      <w:r w:rsidRPr="000F09E5">
        <w:t xml:space="preserve">New South Wales and Victoria did not support an </w:t>
      </w:r>
      <w:r>
        <w:t>equal per capita</w:t>
      </w:r>
      <w:r w:rsidRPr="000F09E5">
        <w:t xml:space="preserve"> </w:t>
      </w:r>
      <w:r>
        <w:t>(</w:t>
      </w:r>
      <w:r w:rsidRPr="000F09E5">
        <w:t>EPC</w:t>
      </w:r>
      <w:r>
        <w:t>)</w:t>
      </w:r>
      <w:r w:rsidRPr="000F09E5">
        <w:t xml:space="preserve"> assessment of land purchases. They supported an assessment of the higher land costs in densely populated urban areas. Victoria also noted the impact of high land costs in growing outer areas of Melbourne. New South Wales argued prohibitive urban land costs result in the use of high cost tunnelling for road projects. </w:t>
      </w:r>
    </w:p>
    <w:p w14:paraId="66D11420" w14:textId="77777777" w:rsidR="007E365E" w:rsidRPr="000F09E5" w:rsidRDefault="007E365E" w:rsidP="007E365E">
      <w:pPr>
        <w:pStyle w:val="CGCParaNumber"/>
      </w:pPr>
      <w:r w:rsidRPr="000F09E5">
        <w:t>Most other States support</w:t>
      </w:r>
      <w:r>
        <w:t>ed</w:t>
      </w:r>
      <w:r w:rsidRPr="000F09E5">
        <w:t xml:space="preserve"> an EPC assessment of land because State policies in relation to the valuation and accounting of transactions in land differ.</w:t>
      </w:r>
    </w:p>
    <w:p w14:paraId="7DFDF4B3" w14:textId="77777777" w:rsidR="007E365E" w:rsidRPr="000F09E5" w:rsidRDefault="007E365E" w:rsidP="007E365E">
      <w:pPr>
        <w:pStyle w:val="CGCParaNumber"/>
      </w:pPr>
      <w:r w:rsidRPr="000F09E5">
        <w:t>It is not clear that a simple value of land is the appropriate driver, nor that the circumstances under which States acquire land are consistent and comparable. In any case, with total net investment in land at only $</w:t>
      </w:r>
      <w:r>
        <w:t>50</w:t>
      </w:r>
      <w:r w:rsidRPr="000F09E5">
        <w:t xml:space="preserve"> per capita</w:t>
      </w:r>
      <w:r>
        <w:t xml:space="preserve"> </w:t>
      </w:r>
      <w:r w:rsidRPr="000F09E5">
        <w:t>an assessment is unlikely to be material. Therefore, the Commission has retained an EPC assessment of land purchases.</w:t>
      </w:r>
    </w:p>
    <w:p w14:paraId="12A17882" w14:textId="77777777" w:rsidR="007E365E" w:rsidRPr="000F09E5" w:rsidRDefault="007E365E" w:rsidP="007E365E">
      <w:pPr>
        <w:pStyle w:val="CGCParaNumber"/>
      </w:pPr>
      <w:r w:rsidRPr="000F09E5">
        <w:t xml:space="preserve">The Commission understands that Sydney and Melbourne </w:t>
      </w:r>
      <w:r>
        <w:t>undertake</w:t>
      </w:r>
      <w:r w:rsidRPr="000F09E5">
        <w:t xml:space="preserve"> much more tunnelling than smaller cities, and that this is much more expensive. However, as road tunnels are generally toll roads, the additional costs of construction are not generally borne by the State governments. The </w:t>
      </w:r>
      <w:r w:rsidRPr="00AD4B5F">
        <w:t>Commission considers that the additional costs of rail tunnels are broadly captured by the regression model developed by the transport consultants</w:t>
      </w:r>
      <w:r w:rsidRPr="000F09E5">
        <w:t xml:space="preserve">. </w:t>
      </w:r>
    </w:p>
    <w:p w14:paraId="5798C1E8" w14:textId="77777777" w:rsidR="007E365E" w:rsidRPr="000F09E5" w:rsidRDefault="007E365E" w:rsidP="007E365E">
      <w:pPr>
        <w:pStyle w:val="CGCParaNumber"/>
        <w:rPr>
          <w:szCs w:val="24"/>
        </w:rPr>
      </w:pPr>
      <w:r w:rsidRPr="000F09E5">
        <w:t xml:space="preserve">Victoria raised a related issue, with the cost of construction of brownfields developments. This issue is considered in </w:t>
      </w:r>
      <w:r w:rsidRPr="000F09E5">
        <w:rPr>
          <w:szCs w:val="24"/>
        </w:rPr>
        <w:t>Chapter 28 Geography.</w:t>
      </w:r>
    </w:p>
    <w:p w14:paraId="1A53C158" w14:textId="49FBC3C8" w:rsidR="007E365E" w:rsidRPr="000F09E5" w:rsidRDefault="007E365E" w:rsidP="007E365E">
      <w:pPr>
        <w:pStyle w:val="Heading4"/>
      </w:pPr>
      <w:bookmarkStart w:id="423" w:name="_Toc24569264"/>
      <w:r w:rsidRPr="000F09E5">
        <w:t>Construction costs on Indigenous land</w:t>
      </w:r>
      <w:bookmarkEnd w:id="423"/>
    </w:p>
    <w:p w14:paraId="1A2CFB34" w14:textId="77777777" w:rsidR="007E365E" w:rsidRPr="000F09E5" w:rsidRDefault="007E365E" w:rsidP="007E365E">
      <w:pPr>
        <w:pStyle w:val="CGCParaNumber"/>
      </w:pPr>
      <w:r w:rsidRPr="000F09E5">
        <w:t>The Northern Territory provided evidence of the increased costs of providing infrastructure in Indigenous communities due to the long consultation and approvals process, meeting Indigenous employment targets and cultural considerations such as burial sites and cursed land which can result in the necessity to build in less cost effective areas.</w:t>
      </w:r>
    </w:p>
    <w:p w14:paraId="4AADB023" w14:textId="77777777" w:rsidR="007E365E" w:rsidRPr="000F09E5" w:rsidRDefault="007E365E" w:rsidP="007E365E">
      <w:pPr>
        <w:pStyle w:val="CGCParaNumber"/>
      </w:pPr>
      <w:r w:rsidRPr="000F09E5">
        <w:t>The Commission consider</w:t>
      </w:r>
      <w:r>
        <w:t>ed</w:t>
      </w:r>
      <w:r w:rsidRPr="000F09E5">
        <w:t xml:space="preserve"> there </w:t>
      </w:r>
      <w:r>
        <w:t>was</w:t>
      </w:r>
      <w:r w:rsidRPr="000F09E5">
        <w:t xml:space="preserve"> strong conceptual case for assessing higher costs associated with constructing infrastructure on Indigenous land. Cultural considerations, such as those mentioned by the Northern Territory, are not captured by Rawlinsons’ regional indices and are therefore not reflected in the cost factor.  </w:t>
      </w:r>
    </w:p>
    <w:p w14:paraId="044B1C0A" w14:textId="77777777" w:rsidR="007E365E" w:rsidRPr="000F09E5" w:rsidRDefault="007E365E" w:rsidP="007E365E">
      <w:pPr>
        <w:pStyle w:val="CGCParaNumber"/>
      </w:pPr>
      <w:r w:rsidRPr="000F09E5">
        <w:t xml:space="preserve">However, in the absence of data on the magnitude of these costs from the Northern Territory or any other States, it is not possible to determine the appropriate disability weight. The Commission intends to review the available data as part of the next review program. </w:t>
      </w:r>
    </w:p>
    <w:p w14:paraId="507F5FA2" w14:textId="2891AA0A" w:rsidR="007E365E" w:rsidRPr="00785668" w:rsidRDefault="007E365E" w:rsidP="007E365E">
      <w:pPr>
        <w:pStyle w:val="Heading4"/>
      </w:pPr>
      <w:bookmarkStart w:id="424" w:name="_Toc24569265"/>
      <w:r w:rsidRPr="000F09E5">
        <w:lastRenderedPageBreak/>
        <w:t>Physical environment</w:t>
      </w:r>
      <w:bookmarkEnd w:id="424"/>
    </w:p>
    <w:p w14:paraId="4184A5F0" w14:textId="77777777" w:rsidR="007E365E" w:rsidRPr="00785668" w:rsidRDefault="007E365E" w:rsidP="007E365E">
      <w:pPr>
        <w:pStyle w:val="CGCParaNumber"/>
      </w:pPr>
      <w:r w:rsidRPr="00785668">
        <w:t xml:space="preserve">The Northern Territory considered that the impact of physical environment factors on infrastructure needs should be considered in the 2020 Review. It referred to </w:t>
      </w:r>
      <w:r>
        <w:t xml:space="preserve">a </w:t>
      </w:r>
      <w:r w:rsidRPr="00785668">
        <w:t>consultant’s findings</w:t>
      </w:r>
      <w:r w:rsidRPr="00785668">
        <w:rPr>
          <w:vertAlign w:val="superscript"/>
        </w:rPr>
        <w:footnoteReference w:id="101"/>
      </w:r>
      <w:r w:rsidRPr="00785668">
        <w:t xml:space="preserve"> in the 2015 Review that environmental characteristics have the largest impact on the cost of roads and a significant impact on public schools and housing.</w:t>
      </w:r>
    </w:p>
    <w:p w14:paraId="18DECB18" w14:textId="77777777" w:rsidR="007E365E" w:rsidRPr="00785668" w:rsidRDefault="007E365E" w:rsidP="007E365E">
      <w:pPr>
        <w:pStyle w:val="CGCParaNumber"/>
      </w:pPr>
      <w:r w:rsidRPr="00785668">
        <w:t xml:space="preserve">It noted the difficulties associated with providing infrastructure in the wet season </w:t>
      </w:r>
      <w:r>
        <w:t xml:space="preserve">which </w:t>
      </w:r>
      <w:r w:rsidRPr="00785668">
        <w:t>add significantly to project costs and are not sufficiently captured by the current construct</w:t>
      </w:r>
      <w:r>
        <w:t>ion cost assessment based on</w:t>
      </w:r>
      <w:r w:rsidRPr="00785668">
        <w:t xml:space="preserve"> Rawlinsons’ indices. </w:t>
      </w:r>
    </w:p>
    <w:p w14:paraId="36222891" w14:textId="77777777" w:rsidR="007E365E" w:rsidRPr="00785668" w:rsidRDefault="007E365E" w:rsidP="007E365E">
      <w:pPr>
        <w:pStyle w:val="CGCParaNumber"/>
      </w:pPr>
      <w:r w:rsidRPr="00785668">
        <w:t xml:space="preserve">In the 2015 Review, the Commission did not make a separate assessment of environmental influences based on the consultant’s findings because some influences were captured by the State specific Rawlinsons’ indices in the construction cost factor and there was no way to avoid double counting those influences. </w:t>
      </w:r>
    </w:p>
    <w:p w14:paraId="577B1C24" w14:textId="77777777" w:rsidR="007E365E" w:rsidRPr="00785668" w:rsidRDefault="007E365E" w:rsidP="007E365E">
      <w:pPr>
        <w:pStyle w:val="CGCParaNumber"/>
      </w:pPr>
      <w:r w:rsidRPr="00785668">
        <w:t>In this review, the Commission consider</w:t>
      </w:r>
      <w:r>
        <w:t>s</w:t>
      </w:r>
      <w:r w:rsidRPr="00785668">
        <w:t xml:space="preserve"> that without additional nationally consistent climatic and cost data, it is still not possible to make an assessment, nor is it possible to ensure there is no double counting with influences already recognised in the cost factor.  </w:t>
      </w:r>
    </w:p>
    <w:p w14:paraId="28F36646" w14:textId="79DB391F" w:rsidR="007E365E" w:rsidRPr="00785668" w:rsidRDefault="007E365E" w:rsidP="007E365E">
      <w:pPr>
        <w:pStyle w:val="Heading4"/>
      </w:pPr>
      <w:bookmarkStart w:id="425" w:name="_Toc530575611"/>
      <w:bookmarkStart w:id="426" w:name="_Toc5187704"/>
      <w:bookmarkStart w:id="427" w:name="_Toc24569266"/>
      <w:bookmarkStart w:id="428" w:name="_Toc24468522"/>
      <w:r w:rsidRPr="00785668">
        <w:t>Population growth and asset utilisation</w:t>
      </w:r>
      <w:bookmarkEnd w:id="425"/>
      <w:bookmarkEnd w:id="426"/>
      <w:bookmarkEnd w:id="427"/>
      <w:bookmarkEnd w:id="428"/>
    </w:p>
    <w:p w14:paraId="1CA75310" w14:textId="77777777" w:rsidR="007E365E" w:rsidRPr="00785668" w:rsidRDefault="007E365E" w:rsidP="007E365E">
      <w:pPr>
        <w:pStyle w:val="CGCParaNumber"/>
      </w:pPr>
      <w:r w:rsidRPr="00785668">
        <w:t xml:space="preserve">Western Australia argued that the effect of population growth on asset needs is not as direct as is assumed in the Commission’s model. They considered States build assets in advance of demand, and that States with more volatile population growth face greater risks of stranded capital, as some of the assets they build may not be fully utilised if projected growth does not eventuate. </w:t>
      </w:r>
    </w:p>
    <w:p w14:paraId="5A2A592A" w14:textId="77777777" w:rsidR="007E365E" w:rsidRPr="00785668" w:rsidRDefault="007E365E" w:rsidP="007E365E">
      <w:pPr>
        <w:pStyle w:val="CGCParaNumber"/>
      </w:pPr>
      <w:r w:rsidRPr="00785668">
        <w:t>New South Wales and Tasmania consider</w:t>
      </w:r>
      <w:r>
        <w:t>ed</w:t>
      </w:r>
      <w:r w:rsidRPr="00785668">
        <w:t xml:space="preserve"> that an assessment reflecting the relative utilisation of assets would be difficult to develop</w:t>
      </w:r>
      <w:r>
        <w:t>, particularly because t</w:t>
      </w:r>
      <w:r w:rsidRPr="00785668">
        <w:t xml:space="preserve">here are likely to be efficiency savings associated with younger assets which would somewhat offset the higher construction costs and the benefits would be hard to quantify. </w:t>
      </w:r>
    </w:p>
    <w:p w14:paraId="25AB7D9F" w14:textId="77777777" w:rsidR="007E365E" w:rsidRPr="00785668" w:rsidRDefault="007E365E" w:rsidP="007E365E">
      <w:pPr>
        <w:pStyle w:val="CGCParaNumber"/>
      </w:pPr>
      <w:r w:rsidRPr="00785668">
        <w:t xml:space="preserve">Victoria considered it would be difficult to quantify the impact of the age of asset stock on expense needs to acquire additional assets. It noted assets can be built both in anticipation of future demand and in response to current demand. A measure of capacity utilisation and the relationship with investment expenses would be required in order to include a disability concerning utilisation of assets. The </w:t>
      </w:r>
      <w:r>
        <w:t>2015 Review</w:t>
      </w:r>
      <w:r w:rsidRPr="00785668">
        <w:t xml:space="preserve"> assessment provides States with the capacity to provide infrastructure over a period of time. </w:t>
      </w:r>
    </w:p>
    <w:p w14:paraId="3EFEFCAD" w14:textId="77777777" w:rsidR="007E365E" w:rsidRPr="00785668" w:rsidRDefault="007E365E" w:rsidP="007E365E">
      <w:pPr>
        <w:pStyle w:val="CGCParaNumber"/>
      </w:pPr>
      <w:r w:rsidRPr="00785668">
        <w:t xml:space="preserve">The ACT did not consider further investigation of a disability necessary. The value of an existing asset reflects its initial purchase or construction cost less depreciation. As long as a national standard of valuation is adhered to and they are kept up to date there is no need to quantify the relative benefits generated or costs of maintenance. </w:t>
      </w:r>
    </w:p>
    <w:p w14:paraId="5730505D" w14:textId="77777777" w:rsidR="007E365E" w:rsidRPr="00785668" w:rsidRDefault="007E365E" w:rsidP="007E365E">
      <w:pPr>
        <w:pStyle w:val="CGCParaNumber"/>
      </w:pPr>
      <w:r w:rsidRPr="00785668">
        <w:t>There are many mechanisms through which faster growing States with newer assets could face different cost profiles associated with constructing and maintaining</w:t>
      </w:r>
      <w:r>
        <w:t xml:space="preserve"> </w:t>
      </w:r>
      <w:r w:rsidRPr="00785668">
        <w:t xml:space="preserve">assets, and flow on recurrent expenses effects associated with the different asset mix. Different mechanisms lead to fast growing States having higher and lower overall costs. None of these mechanisms </w:t>
      </w:r>
      <w:r w:rsidRPr="00785668">
        <w:lastRenderedPageBreak/>
        <w:t>can be reliably measured. It is not clear whether the net effect would be to increase or decrease costs for faster growing States.</w:t>
      </w:r>
    </w:p>
    <w:p w14:paraId="7387DF9E" w14:textId="77777777" w:rsidR="007E365E" w:rsidRPr="00785668" w:rsidRDefault="007E365E" w:rsidP="007E365E">
      <w:pPr>
        <w:pStyle w:val="CGCParaNumber"/>
      </w:pPr>
      <w:r w:rsidRPr="00785668">
        <w:t xml:space="preserve">Western Australia’s argument that unpredictable population growth is more difficult to plan for than predictable growth is potentially relevant to the extent to which States build assets in anticipation of demand, rather than have over-used assets and then build to reduce excessive congestion of hospitals, prisons or transport. It is not the variability of population growth that is important but its predictability. Some sources of population growth variability are more predictable than others. The predictability of the population distribution is also more important than the predictability of total State population. It is not clear how the Commission could construct a disability to assess State </w:t>
      </w:r>
      <w:r>
        <w:t>T</w:t>
      </w:r>
      <w:r w:rsidRPr="00785668">
        <w:t xml:space="preserve">reasuries’ ability to accurately predict future asset demand. </w:t>
      </w:r>
    </w:p>
    <w:p w14:paraId="3E9A9674" w14:textId="77777777" w:rsidR="007E365E" w:rsidRPr="00785668" w:rsidRDefault="007E365E" w:rsidP="007E365E">
      <w:pPr>
        <w:pStyle w:val="CGCParaNumber"/>
      </w:pPr>
      <w:r w:rsidRPr="00785668">
        <w:t>Consider a hypothetical example w</w:t>
      </w:r>
      <w:r>
        <w:t>h</w:t>
      </w:r>
      <w:r w:rsidRPr="00785668">
        <w:t>ere a State builds a full range of assets for 1% additional population growth that may not arrive when expected. If that population does not arrive, the State will have temporarily stranded capital. States, on average, have $2</w:t>
      </w:r>
      <w:r>
        <w:t>5,</w:t>
      </w:r>
      <w:r w:rsidRPr="00785668">
        <w:t>000 of physical assets per capita. If a State’s volatile population growth means it needs to build new assets for 1% population growth above its, as yet unknown, actual population growth, then it will need to build $2</w:t>
      </w:r>
      <w:r>
        <w:t>5</w:t>
      </w:r>
      <w:r w:rsidRPr="00785668">
        <w:t>0 worth of assets per capita. Those assets will be useful once the population eventually arrives, but in the meantime, at 5% interest, it pays $1</w:t>
      </w:r>
      <w:r>
        <w:t>3</w:t>
      </w:r>
      <w:r w:rsidRPr="00785668">
        <w:t xml:space="preserve"> per capita interest charges on those stranded assets. Even with very generous assumptions about the differences between States in the predictability of population growth and about the tendency of States to build assets in all classes in advance of demand, an adjustment is not approaching materiality. </w:t>
      </w:r>
    </w:p>
    <w:p w14:paraId="4B8AA2E7" w14:textId="13280FB9" w:rsidR="007E365E" w:rsidRPr="00785668" w:rsidRDefault="007E365E" w:rsidP="007E365E">
      <w:pPr>
        <w:pStyle w:val="Heading4"/>
      </w:pPr>
      <w:bookmarkStart w:id="429" w:name="_Toc530575616"/>
      <w:bookmarkStart w:id="430" w:name="_Toc5187706"/>
      <w:bookmarkStart w:id="431" w:name="_Toc24569267"/>
      <w:r w:rsidRPr="00785668">
        <w:t>Public-private partnerships</w:t>
      </w:r>
      <w:bookmarkEnd w:id="429"/>
      <w:bookmarkEnd w:id="430"/>
      <w:bookmarkEnd w:id="431"/>
    </w:p>
    <w:p w14:paraId="20984BB1" w14:textId="77777777" w:rsidR="007E365E" w:rsidRPr="00785668" w:rsidRDefault="007E365E" w:rsidP="007E365E">
      <w:pPr>
        <w:pStyle w:val="CGCParaNumber"/>
      </w:pPr>
      <w:r w:rsidRPr="00785668">
        <w:t>Tasmania and the ACT considered there was a conceptual case for an assessment reflecting the difficulties smaller States face in attracting private investment through Public Private Partnerships (PPPs) due to relatively small infrastructure capacity constraints, limited capacity for user pays infrastructure and difficulty attracting labour. The ACT suggested that PPPs provide a value for money advantage of 10% compared with direct procurement. However, Tasmania noted it would be difficult to quantify.</w:t>
      </w:r>
    </w:p>
    <w:p w14:paraId="0D9C7BA1" w14:textId="77777777" w:rsidR="007E365E" w:rsidRPr="00785668" w:rsidRDefault="007E365E" w:rsidP="007E365E">
      <w:pPr>
        <w:pStyle w:val="CGCParaNumber"/>
      </w:pPr>
      <w:r w:rsidRPr="00785668">
        <w:t xml:space="preserve">New South Wales and Victoria did not support an assessment. Victoria considered the need for PPPs, in particular user pay PPPs, are likely to be restricted to major cities where congestion costs are high. </w:t>
      </w:r>
    </w:p>
    <w:p w14:paraId="473F770D" w14:textId="77777777" w:rsidR="007E365E" w:rsidRPr="00785668" w:rsidRDefault="007E365E" w:rsidP="007E365E">
      <w:pPr>
        <w:pStyle w:val="CGCParaNumber"/>
      </w:pPr>
      <w:r w:rsidRPr="00785668">
        <w:t xml:space="preserve">In </w:t>
      </w:r>
      <w:r>
        <w:t>2018-19</w:t>
      </w:r>
      <w:r w:rsidRPr="00785668">
        <w:t>, States acquired $</w:t>
      </w:r>
      <w:r>
        <w:t>849</w:t>
      </w:r>
      <w:r w:rsidRPr="00785668">
        <w:t xml:space="preserve"> </w:t>
      </w:r>
      <w:r>
        <w:t>mi</w:t>
      </w:r>
      <w:r w:rsidRPr="00785668">
        <w:t>llion of assets under financial leases. Accepting the ACT assertion that PPPs attract a saving of 10% over traditional direct investment would mean the national average saving is around $</w:t>
      </w:r>
      <w:r>
        <w:t>4</w:t>
      </w:r>
      <w:r w:rsidRPr="00785668">
        <w:t xml:space="preserve"> per capita. It seems unlikely that the differential access States have to PPPs would represent a material adjustment.</w:t>
      </w:r>
    </w:p>
    <w:p w14:paraId="68C703F7" w14:textId="77777777" w:rsidR="007E365E" w:rsidRPr="00785668" w:rsidRDefault="007E365E" w:rsidP="007E365E">
      <w:pPr>
        <w:pStyle w:val="CGCParaNumber"/>
      </w:pPr>
      <w:r w:rsidRPr="00785668">
        <w:t>The Commission also s</w:t>
      </w:r>
      <w:r>
        <w:t>aw</w:t>
      </w:r>
      <w:r w:rsidRPr="00785668">
        <w:t xml:space="preserve"> merit in Victoria’s argument that the primary reason that smaller States do not attract user pays PPPs is that they have less need for road tunnels or other infrastructure that warrant it. </w:t>
      </w:r>
    </w:p>
    <w:p w14:paraId="35EFF731" w14:textId="2A691FF6" w:rsidR="007E365E" w:rsidRPr="00785668" w:rsidRDefault="007E365E" w:rsidP="007E365E">
      <w:pPr>
        <w:pStyle w:val="Heading4"/>
      </w:pPr>
      <w:bookmarkStart w:id="432" w:name="_Toc5187702"/>
      <w:bookmarkStart w:id="433" w:name="_Toc24569268"/>
      <w:r w:rsidRPr="00785668">
        <w:t>Measure of population growth following a census</w:t>
      </w:r>
      <w:bookmarkEnd w:id="432"/>
      <w:bookmarkEnd w:id="433"/>
    </w:p>
    <w:p w14:paraId="51EAF22F" w14:textId="77777777" w:rsidR="007E365E" w:rsidRPr="00785668" w:rsidRDefault="007E365E" w:rsidP="007E365E">
      <w:pPr>
        <w:pStyle w:val="CGCParaNumber"/>
      </w:pPr>
      <w:r w:rsidRPr="00785668">
        <w:t>The Commission consider</w:t>
      </w:r>
      <w:r>
        <w:t>ed</w:t>
      </w:r>
      <w:r w:rsidRPr="00785668">
        <w:t xml:space="preserve"> that population growth should be measured by the change in population levels, rather than births, deaths and net migration. The Commission intends that, </w:t>
      </w:r>
      <w:r w:rsidRPr="00785668">
        <w:lastRenderedPageBreak/>
        <w:t>in updates using the 2020 Review methods, any intercensal difference arising in the 2021</w:t>
      </w:r>
      <w:r>
        <w:t> </w:t>
      </w:r>
      <w:r w:rsidRPr="00785668">
        <w:t xml:space="preserve">Census will be incorporated into the measure of population growth. </w:t>
      </w:r>
    </w:p>
    <w:p w14:paraId="3D59D7AE" w14:textId="77777777" w:rsidR="007E365E" w:rsidRPr="00785668" w:rsidRDefault="007E365E" w:rsidP="007E365E">
      <w:pPr>
        <w:pStyle w:val="CGCParaNumber"/>
      </w:pPr>
      <w:r w:rsidRPr="00785668">
        <w:t xml:space="preserve">The ACT supported the proposal. Western Australia and the Northern Territory did not support using population levels. Western Australia did not consider it appropriate to determine the treatment of the intercensal error in the 2021 Census until the circumstances concerning any errors are determined. It also queried whether the ABS view that its data were fit for purpose reflected a consideration that the data were </w:t>
      </w:r>
      <w:r>
        <w:t xml:space="preserve">fit for the Commissions specific purposes. </w:t>
      </w:r>
    </w:p>
    <w:p w14:paraId="3AB4098D" w14:textId="77777777" w:rsidR="007E365E" w:rsidRPr="00785668" w:rsidRDefault="007E365E" w:rsidP="007E365E">
      <w:pPr>
        <w:pStyle w:val="CGCParaNumber"/>
      </w:pPr>
      <w:r w:rsidRPr="00785668">
        <w:t>The Northern Territory supported excluding the intercensal discrepancy as it is not a measure of population growth, rather an error adjustment.</w:t>
      </w:r>
    </w:p>
    <w:p w14:paraId="27DF29CF" w14:textId="77777777" w:rsidR="007E365E" w:rsidRPr="00785668" w:rsidRDefault="007E365E" w:rsidP="007E365E">
      <w:pPr>
        <w:pStyle w:val="CGCParaNumber"/>
      </w:pPr>
      <w:r w:rsidRPr="00785668">
        <w:t xml:space="preserve">The 2020 Review assessment refers to user populations, derived by combining population and stock factors, as the driver of change. Therefore, the same concept of population should be used to generate stock factors as is used to generate the population measure. As total published ABS populations are used to produce stock factors (they often rely on disaggregated estimated resident population (ERP)), total published ABS populations must be used to measure population growth. </w:t>
      </w:r>
    </w:p>
    <w:p w14:paraId="3753BDE5" w14:textId="7E5D8AD5" w:rsidR="007E365E" w:rsidRPr="00785668" w:rsidRDefault="007E365E" w:rsidP="007E365E">
      <w:pPr>
        <w:pStyle w:val="Heading4"/>
      </w:pPr>
      <w:bookmarkStart w:id="434" w:name="_Toc530575620"/>
      <w:bookmarkStart w:id="435" w:name="_Toc5187708"/>
      <w:bookmarkStart w:id="436" w:name="_Toc24569269"/>
      <w:r w:rsidRPr="00785668">
        <w:t>Presentation of the Investment assessment</w:t>
      </w:r>
      <w:bookmarkEnd w:id="434"/>
      <w:bookmarkEnd w:id="435"/>
      <w:bookmarkEnd w:id="436"/>
    </w:p>
    <w:p w14:paraId="22A8CFE9" w14:textId="77777777" w:rsidR="007E365E" w:rsidRPr="00785668" w:rsidRDefault="007E365E" w:rsidP="007E365E">
      <w:pPr>
        <w:pStyle w:val="CGCParaNumber"/>
      </w:pPr>
      <w:r w:rsidRPr="00785668">
        <w:t xml:space="preserve">In a functionalised assessment, investment could be </w:t>
      </w:r>
      <w:r>
        <w:t xml:space="preserve">shown </w:t>
      </w:r>
      <w:r w:rsidRPr="00785668">
        <w:t>in each category with recurrent expenses, or</w:t>
      </w:r>
      <w:r>
        <w:t xml:space="preserve"> investment associated with each category could be grouped and presented together</w:t>
      </w:r>
      <w:r w:rsidRPr="00785668">
        <w:t>. Accordingly, the Commission considered whether it is more helpful to consider schools investment as part of schools, or part of</w:t>
      </w:r>
      <w:r>
        <w:t xml:space="preserve"> total </w:t>
      </w:r>
      <w:r w:rsidRPr="00785668">
        <w:t xml:space="preserve">investment. </w:t>
      </w:r>
    </w:p>
    <w:p w14:paraId="413CEFB1" w14:textId="77777777" w:rsidR="007E365E" w:rsidRPr="00785668" w:rsidRDefault="007E365E" w:rsidP="007E365E">
      <w:pPr>
        <w:pStyle w:val="CGCParaNumber"/>
      </w:pPr>
      <w:r w:rsidRPr="00785668">
        <w:t>The ACT and the Northern Territory considered investment should remain a distinct assessment to maintain transparency (the ACT) and to avoid introducing volatility into the relatively smooth recurrent assessments (the Northern Territory). Tasmania considered there were benefits in presenting capital expenditure together with recurrent expenditure, but understood it would introduce volatility. It also noted if gross investment is assessed, it would not be possible to separately identify recurrent and capital expenses.</w:t>
      </w:r>
    </w:p>
    <w:p w14:paraId="59C42F2B" w14:textId="77777777" w:rsidR="007E365E" w:rsidRPr="00785668" w:rsidRDefault="007E365E" w:rsidP="007E365E">
      <w:pPr>
        <w:pStyle w:val="CGCParaNumber"/>
      </w:pPr>
      <w:r w:rsidRPr="00785668">
        <w:t xml:space="preserve">The Commission will continue to assess investment centrally, in a single investment category, with components for investment associated with each expense category. However, as investment will be assessed by category, it will be possible </w:t>
      </w:r>
      <w:r>
        <w:t xml:space="preserve">for States </w:t>
      </w:r>
      <w:r w:rsidRPr="00785668">
        <w:t xml:space="preserve">to aggregate recurrent and capital expenses </w:t>
      </w:r>
      <w:r>
        <w:t>in their own analysis</w:t>
      </w:r>
      <w:r w:rsidRPr="00785668">
        <w:t>.</w:t>
      </w:r>
    </w:p>
    <w:p w14:paraId="5652649A" w14:textId="37923112" w:rsidR="007E365E" w:rsidRPr="00785668" w:rsidRDefault="007E365E" w:rsidP="007E365E">
      <w:pPr>
        <w:pStyle w:val="Heading3"/>
      </w:pPr>
      <w:bookmarkStart w:id="437" w:name="_Toc24569270"/>
      <w:bookmarkStart w:id="438" w:name="_Toc24468523"/>
      <w:r w:rsidRPr="00785668">
        <w:t xml:space="preserve">Effect on the GST </w:t>
      </w:r>
      <w:bookmarkEnd w:id="437"/>
      <w:bookmarkEnd w:id="438"/>
      <w:r>
        <w:t>distribution</w:t>
      </w:r>
    </w:p>
    <w:p w14:paraId="31EA5BEF" w14:textId="7EE28CB7" w:rsidR="007E365E" w:rsidRPr="00785668" w:rsidRDefault="007E365E" w:rsidP="007E365E">
      <w:pPr>
        <w:pStyle w:val="CGCParaNumber"/>
      </w:pPr>
      <w:r w:rsidRPr="00785668">
        <w:fldChar w:fldCharType="begin"/>
      </w:r>
      <w:r w:rsidRPr="00785668">
        <w:instrText xml:space="preserve"> REF _Ref5010127 \h </w:instrText>
      </w:r>
      <w:r>
        <w:instrText xml:space="preserve"> \* MERGEFORMAT </w:instrText>
      </w:r>
      <w:r w:rsidRPr="00785668">
        <w:fldChar w:fldCharType="separate"/>
      </w:r>
      <w:r w:rsidR="007F721A" w:rsidRPr="00785668">
        <w:t xml:space="preserve">Table </w:t>
      </w:r>
      <w:r w:rsidR="007F721A">
        <w:rPr>
          <w:noProof/>
        </w:rPr>
        <w:t>24-9</w:t>
      </w:r>
      <w:r w:rsidRPr="00785668">
        <w:fldChar w:fldCharType="end"/>
      </w:r>
      <w:r w:rsidRPr="00785668">
        <w:t xml:space="preserve"> show</w:t>
      </w:r>
      <w:r>
        <w:t>s</w:t>
      </w:r>
      <w:r w:rsidRPr="00785668">
        <w:t xml:space="preserve"> the extent to which the assessment for this category differs from an EPC assessment of investment expenses</w:t>
      </w:r>
      <w:r>
        <w:t xml:space="preserve">. </w:t>
      </w:r>
      <w:r w:rsidRPr="00785668">
        <w:t xml:space="preserve">States with a positive redistribution are assessed to have above average </w:t>
      </w:r>
      <w:r>
        <w:t>investment</w:t>
      </w:r>
      <w:r w:rsidRPr="00785668">
        <w:t xml:space="preserve"> requirements and States with a negative redistribution are assessed to have below average </w:t>
      </w:r>
      <w:r>
        <w:t>investment</w:t>
      </w:r>
      <w:r w:rsidRPr="00785668">
        <w:t xml:space="preserve"> requirements. In per capita terms South</w:t>
      </w:r>
      <w:r>
        <w:t> </w:t>
      </w:r>
      <w:r w:rsidRPr="00785668">
        <w:t xml:space="preserve">Australia, Tasmania, the ACT and the Northern Territory experience the largest redistributions. </w:t>
      </w:r>
    </w:p>
    <w:p w14:paraId="06D5C08F" w14:textId="11D24EF2" w:rsidR="007E365E" w:rsidRDefault="007E365E" w:rsidP="007E365E">
      <w:pPr>
        <w:pStyle w:val="Caption"/>
        <w:rPr>
          <w:rFonts w:ascii="Calibri" w:eastAsia="Times New Roman" w:hAnsi="Calibri" w:cs="Calibri"/>
          <w:color w:val="000000"/>
          <w:lang w:eastAsia="en-AU"/>
        </w:rPr>
      </w:pPr>
      <w:bookmarkStart w:id="439" w:name="_Ref5010127"/>
      <w:r w:rsidRPr="00785668">
        <w:lastRenderedPageBreak/>
        <w:t xml:space="preserve">Table </w:t>
      </w:r>
      <w:r>
        <w:t>24-</w:t>
      </w:r>
      <w:fldSimple w:instr=" SEQ Table \* ARABIC ">
        <w:r w:rsidR="007F721A">
          <w:rPr>
            <w:noProof/>
          </w:rPr>
          <w:t>9</w:t>
        </w:r>
      </w:fldSimple>
      <w:bookmarkEnd w:id="439"/>
      <w:r w:rsidRPr="00785668">
        <w:tab/>
      </w:r>
      <w:r>
        <w:t>Illustrative r</w:t>
      </w:r>
      <w:r w:rsidRPr="00785668">
        <w:t>edistribution from an EPC assessment,</w:t>
      </w:r>
      <w:r>
        <w:t xml:space="preserve"> Investment, 2020-21</w:t>
      </w:r>
    </w:p>
    <w:tbl>
      <w:tblPr>
        <w:tblW w:w="8900" w:type="dxa"/>
        <w:tblCellMar>
          <w:left w:w="0" w:type="dxa"/>
          <w:right w:w="28" w:type="dxa"/>
        </w:tblCellMar>
        <w:tblLook w:val="04A0" w:firstRow="1" w:lastRow="0" w:firstColumn="1" w:lastColumn="0" w:noHBand="0" w:noVBand="1"/>
      </w:tblPr>
      <w:tblGrid>
        <w:gridCol w:w="2067"/>
        <w:gridCol w:w="768"/>
        <w:gridCol w:w="768"/>
        <w:gridCol w:w="768"/>
        <w:gridCol w:w="768"/>
        <w:gridCol w:w="768"/>
        <w:gridCol w:w="768"/>
        <w:gridCol w:w="768"/>
        <w:gridCol w:w="768"/>
        <w:gridCol w:w="768"/>
      </w:tblGrid>
      <w:tr w:rsidR="007E365E" w:rsidRPr="00433B04" w14:paraId="31659FDA" w14:textId="77777777" w:rsidTr="007D1D77">
        <w:trPr>
          <w:trHeight w:val="375"/>
        </w:trPr>
        <w:tc>
          <w:tcPr>
            <w:tcW w:w="2060" w:type="dxa"/>
            <w:tcBorders>
              <w:top w:val="nil"/>
              <w:left w:val="nil"/>
              <w:bottom w:val="nil"/>
              <w:right w:val="nil"/>
            </w:tcBorders>
            <w:shd w:val="clear" w:color="000000" w:fill="006991"/>
            <w:noWrap/>
            <w:vAlign w:val="center"/>
            <w:hideMark/>
          </w:tcPr>
          <w:p w14:paraId="5148F488"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3B04">
              <w:rPr>
                <w:rFonts w:ascii="Open Sans SemiBold" w:eastAsia="Times New Roman" w:hAnsi="Open Sans SemiBold" w:cs="Open Sans SemiBold"/>
                <w:color w:val="FFFFFF"/>
                <w:sz w:val="16"/>
                <w:szCs w:val="16"/>
                <w:lang w:eastAsia="en-AU"/>
              </w:rPr>
              <w:t> </w:t>
            </w:r>
          </w:p>
        </w:tc>
        <w:tc>
          <w:tcPr>
            <w:tcW w:w="760" w:type="dxa"/>
            <w:tcBorders>
              <w:top w:val="nil"/>
              <w:left w:val="nil"/>
              <w:bottom w:val="nil"/>
              <w:right w:val="nil"/>
            </w:tcBorders>
            <w:shd w:val="clear" w:color="000000" w:fill="006991"/>
            <w:noWrap/>
            <w:vAlign w:val="center"/>
            <w:hideMark/>
          </w:tcPr>
          <w:p w14:paraId="76D9E34A"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3B04">
              <w:rPr>
                <w:rFonts w:ascii="Open Sans SemiBold" w:eastAsia="Times New Roman" w:hAnsi="Open Sans SemiBold" w:cs="Open Sans SemiBold"/>
                <w:color w:val="FFFFFF"/>
                <w:sz w:val="16"/>
                <w:szCs w:val="16"/>
                <w:lang w:eastAsia="en-AU"/>
              </w:rPr>
              <w:t>NSW</w:t>
            </w:r>
          </w:p>
        </w:tc>
        <w:tc>
          <w:tcPr>
            <w:tcW w:w="760" w:type="dxa"/>
            <w:tcBorders>
              <w:top w:val="nil"/>
              <w:left w:val="nil"/>
              <w:bottom w:val="nil"/>
              <w:right w:val="nil"/>
            </w:tcBorders>
            <w:shd w:val="clear" w:color="000000" w:fill="006991"/>
            <w:noWrap/>
            <w:vAlign w:val="center"/>
            <w:hideMark/>
          </w:tcPr>
          <w:p w14:paraId="1FF17E94"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3B04">
              <w:rPr>
                <w:rFonts w:ascii="Open Sans SemiBold" w:eastAsia="Times New Roman" w:hAnsi="Open Sans SemiBold" w:cs="Open Sans SemiBold"/>
                <w:color w:val="FFFFFF"/>
                <w:sz w:val="16"/>
                <w:szCs w:val="16"/>
                <w:lang w:eastAsia="en-AU"/>
              </w:rPr>
              <w:t>Vic</w:t>
            </w:r>
          </w:p>
        </w:tc>
        <w:tc>
          <w:tcPr>
            <w:tcW w:w="760" w:type="dxa"/>
            <w:tcBorders>
              <w:top w:val="nil"/>
              <w:left w:val="nil"/>
              <w:bottom w:val="nil"/>
              <w:right w:val="nil"/>
            </w:tcBorders>
            <w:shd w:val="clear" w:color="000000" w:fill="006991"/>
            <w:noWrap/>
            <w:vAlign w:val="center"/>
            <w:hideMark/>
          </w:tcPr>
          <w:p w14:paraId="0E91AE70"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3B04">
              <w:rPr>
                <w:rFonts w:ascii="Open Sans SemiBold" w:eastAsia="Times New Roman" w:hAnsi="Open Sans SemiBold" w:cs="Open Sans SemiBold"/>
                <w:color w:val="FFFFFF"/>
                <w:sz w:val="16"/>
                <w:szCs w:val="16"/>
                <w:lang w:eastAsia="en-AU"/>
              </w:rPr>
              <w:t>Qld</w:t>
            </w:r>
          </w:p>
        </w:tc>
        <w:tc>
          <w:tcPr>
            <w:tcW w:w="760" w:type="dxa"/>
            <w:tcBorders>
              <w:top w:val="nil"/>
              <w:left w:val="nil"/>
              <w:bottom w:val="nil"/>
              <w:right w:val="nil"/>
            </w:tcBorders>
            <w:shd w:val="clear" w:color="000000" w:fill="006991"/>
            <w:noWrap/>
            <w:vAlign w:val="center"/>
            <w:hideMark/>
          </w:tcPr>
          <w:p w14:paraId="05DDBAC9"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3B04">
              <w:rPr>
                <w:rFonts w:ascii="Open Sans SemiBold" w:eastAsia="Times New Roman" w:hAnsi="Open Sans SemiBold" w:cs="Open Sans SemiBold"/>
                <w:color w:val="FFFFFF"/>
                <w:sz w:val="16"/>
                <w:szCs w:val="16"/>
                <w:lang w:eastAsia="en-AU"/>
              </w:rPr>
              <w:t>WA</w:t>
            </w:r>
          </w:p>
        </w:tc>
        <w:tc>
          <w:tcPr>
            <w:tcW w:w="760" w:type="dxa"/>
            <w:tcBorders>
              <w:top w:val="nil"/>
              <w:left w:val="nil"/>
              <w:bottom w:val="nil"/>
              <w:right w:val="nil"/>
            </w:tcBorders>
            <w:shd w:val="clear" w:color="000000" w:fill="006991"/>
            <w:noWrap/>
            <w:vAlign w:val="center"/>
            <w:hideMark/>
          </w:tcPr>
          <w:p w14:paraId="2653580F"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3B04">
              <w:rPr>
                <w:rFonts w:ascii="Open Sans SemiBold" w:eastAsia="Times New Roman" w:hAnsi="Open Sans SemiBold" w:cs="Open Sans SemiBold"/>
                <w:color w:val="FFFFFF"/>
                <w:sz w:val="16"/>
                <w:szCs w:val="16"/>
                <w:lang w:eastAsia="en-AU"/>
              </w:rPr>
              <w:t>SA</w:t>
            </w:r>
          </w:p>
        </w:tc>
        <w:tc>
          <w:tcPr>
            <w:tcW w:w="760" w:type="dxa"/>
            <w:tcBorders>
              <w:top w:val="nil"/>
              <w:left w:val="nil"/>
              <w:bottom w:val="nil"/>
              <w:right w:val="nil"/>
            </w:tcBorders>
            <w:shd w:val="clear" w:color="000000" w:fill="006991"/>
            <w:noWrap/>
            <w:vAlign w:val="center"/>
            <w:hideMark/>
          </w:tcPr>
          <w:p w14:paraId="66660346"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3B04">
              <w:rPr>
                <w:rFonts w:ascii="Open Sans SemiBold" w:eastAsia="Times New Roman" w:hAnsi="Open Sans SemiBold" w:cs="Open Sans SemiBold"/>
                <w:color w:val="FFFFFF"/>
                <w:sz w:val="16"/>
                <w:szCs w:val="16"/>
                <w:lang w:eastAsia="en-AU"/>
              </w:rPr>
              <w:t>Tas</w:t>
            </w:r>
          </w:p>
        </w:tc>
        <w:tc>
          <w:tcPr>
            <w:tcW w:w="760" w:type="dxa"/>
            <w:tcBorders>
              <w:top w:val="nil"/>
              <w:left w:val="nil"/>
              <w:bottom w:val="nil"/>
              <w:right w:val="nil"/>
            </w:tcBorders>
            <w:shd w:val="clear" w:color="000000" w:fill="006991"/>
            <w:noWrap/>
            <w:vAlign w:val="center"/>
            <w:hideMark/>
          </w:tcPr>
          <w:p w14:paraId="72988DBC"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3B04">
              <w:rPr>
                <w:rFonts w:ascii="Open Sans SemiBold" w:eastAsia="Times New Roman" w:hAnsi="Open Sans SemiBold" w:cs="Open Sans SemiBold"/>
                <w:color w:val="FFFFFF"/>
                <w:sz w:val="16"/>
                <w:szCs w:val="16"/>
                <w:lang w:eastAsia="en-AU"/>
              </w:rPr>
              <w:t>ACT</w:t>
            </w:r>
          </w:p>
        </w:tc>
        <w:tc>
          <w:tcPr>
            <w:tcW w:w="760" w:type="dxa"/>
            <w:tcBorders>
              <w:top w:val="nil"/>
              <w:left w:val="nil"/>
              <w:bottom w:val="nil"/>
              <w:right w:val="nil"/>
            </w:tcBorders>
            <w:shd w:val="clear" w:color="000000" w:fill="006991"/>
            <w:noWrap/>
            <w:vAlign w:val="center"/>
            <w:hideMark/>
          </w:tcPr>
          <w:p w14:paraId="6182686B"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3B04">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noWrap/>
            <w:vAlign w:val="center"/>
            <w:hideMark/>
          </w:tcPr>
          <w:p w14:paraId="62ECCC47"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3B04">
              <w:rPr>
                <w:rFonts w:ascii="Open Sans SemiBold" w:eastAsia="Times New Roman" w:hAnsi="Open Sans SemiBold" w:cs="Open Sans SemiBold"/>
                <w:color w:val="FFFFFF"/>
                <w:sz w:val="16"/>
                <w:szCs w:val="16"/>
                <w:lang w:eastAsia="en-AU"/>
              </w:rPr>
              <w:t>Redist</w:t>
            </w:r>
          </w:p>
        </w:tc>
      </w:tr>
      <w:tr w:rsidR="007E365E" w:rsidRPr="00433B04" w14:paraId="449A8B68" w14:textId="77777777" w:rsidTr="007D1D77">
        <w:trPr>
          <w:trHeight w:val="255"/>
        </w:trPr>
        <w:tc>
          <w:tcPr>
            <w:tcW w:w="2060" w:type="dxa"/>
            <w:tcBorders>
              <w:top w:val="nil"/>
              <w:left w:val="nil"/>
              <w:bottom w:val="single" w:sz="4" w:space="0" w:color="ADD6EA"/>
              <w:right w:val="nil"/>
            </w:tcBorders>
            <w:shd w:val="clear" w:color="000000" w:fill="B6D5E4"/>
            <w:noWrap/>
            <w:vAlign w:val="bottom"/>
            <w:hideMark/>
          </w:tcPr>
          <w:p w14:paraId="22B242CB"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noWrap/>
            <w:vAlign w:val="bottom"/>
            <w:hideMark/>
          </w:tcPr>
          <w:p w14:paraId="2BB91BFF"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7773CC97"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307CBD95"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3C81D95E"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5C7CB5A0"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3750AA18"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2C9A34EF"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32ED82FA"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5CC6759A"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$m</w:t>
            </w:r>
          </w:p>
        </w:tc>
      </w:tr>
      <w:tr w:rsidR="007E365E" w:rsidRPr="00433B04" w14:paraId="78006EB4"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77E2F549"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bookmarkStart w:id="440" w:name="RANGE!A45:J59"/>
            <w:r w:rsidRPr="00433B04">
              <w:rPr>
                <w:rFonts w:eastAsia="Times New Roman" w:cs="Open Sans Light"/>
                <w:sz w:val="16"/>
                <w:szCs w:val="16"/>
                <w:lang w:eastAsia="en-AU"/>
              </w:rPr>
              <w:t>Schools</w:t>
            </w:r>
            <w:bookmarkEnd w:id="440"/>
          </w:p>
        </w:tc>
        <w:tc>
          <w:tcPr>
            <w:tcW w:w="760" w:type="dxa"/>
            <w:tcBorders>
              <w:top w:val="nil"/>
              <w:left w:val="nil"/>
              <w:bottom w:val="single" w:sz="4" w:space="0" w:color="ADD6EA"/>
              <w:right w:val="nil"/>
            </w:tcBorders>
            <w:shd w:val="clear" w:color="auto" w:fill="auto"/>
            <w:vAlign w:val="bottom"/>
            <w:hideMark/>
          </w:tcPr>
          <w:p w14:paraId="58E8EFE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-82</w:t>
            </w:r>
          </w:p>
        </w:tc>
        <w:tc>
          <w:tcPr>
            <w:tcW w:w="760" w:type="dxa"/>
            <w:tcBorders>
              <w:top w:val="nil"/>
              <w:left w:val="nil"/>
              <w:bottom w:val="single" w:sz="4" w:space="0" w:color="ADD6EA"/>
              <w:right w:val="nil"/>
            </w:tcBorders>
            <w:shd w:val="clear" w:color="auto" w:fill="auto"/>
            <w:vAlign w:val="bottom"/>
            <w:hideMark/>
          </w:tcPr>
          <w:p w14:paraId="7B491B0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42</w:t>
            </w:r>
          </w:p>
        </w:tc>
        <w:tc>
          <w:tcPr>
            <w:tcW w:w="760" w:type="dxa"/>
            <w:tcBorders>
              <w:top w:val="nil"/>
              <w:left w:val="nil"/>
              <w:bottom w:val="single" w:sz="4" w:space="0" w:color="ADD6EA"/>
              <w:right w:val="nil"/>
            </w:tcBorders>
            <w:shd w:val="clear" w:color="auto" w:fill="auto"/>
            <w:vAlign w:val="bottom"/>
            <w:hideMark/>
          </w:tcPr>
          <w:p w14:paraId="3E9FDE9F"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43</w:t>
            </w:r>
          </w:p>
        </w:tc>
        <w:tc>
          <w:tcPr>
            <w:tcW w:w="760" w:type="dxa"/>
            <w:tcBorders>
              <w:top w:val="nil"/>
              <w:left w:val="nil"/>
              <w:bottom w:val="single" w:sz="4" w:space="0" w:color="ADD6EA"/>
              <w:right w:val="nil"/>
            </w:tcBorders>
            <w:shd w:val="clear" w:color="auto" w:fill="auto"/>
            <w:vAlign w:val="bottom"/>
            <w:hideMark/>
          </w:tcPr>
          <w:p w14:paraId="162C616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30</w:t>
            </w:r>
          </w:p>
        </w:tc>
        <w:tc>
          <w:tcPr>
            <w:tcW w:w="760" w:type="dxa"/>
            <w:tcBorders>
              <w:top w:val="nil"/>
              <w:left w:val="nil"/>
              <w:bottom w:val="single" w:sz="4" w:space="0" w:color="ADD6EA"/>
              <w:right w:val="nil"/>
            </w:tcBorders>
            <w:shd w:val="clear" w:color="auto" w:fill="auto"/>
            <w:vAlign w:val="bottom"/>
            <w:hideMark/>
          </w:tcPr>
          <w:p w14:paraId="3FA0F4D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-24</w:t>
            </w:r>
          </w:p>
        </w:tc>
        <w:tc>
          <w:tcPr>
            <w:tcW w:w="760" w:type="dxa"/>
            <w:tcBorders>
              <w:top w:val="nil"/>
              <w:left w:val="nil"/>
              <w:bottom w:val="single" w:sz="4" w:space="0" w:color="ADD6EA"/>
              <w:right w:val="nil"/>
            </w:tcBorders>
            <w:shd w:val="clear" w:color="auto" w:fill="auto"/>
            <w:vAlign w:val="bottom"/>
            <w:hideMark/>
          </w:tcPr>
          <w:p w14:paraId="1CDCFEA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-16</w:t>
            </w:r>
          </w:p>
        </w:tc>
        <w:tc>
          <w:tcPr>
            <w:tcW w:w="760" w:type="dxa"/>
            <w:tcBorders>
              <w:top w:val="nil"/>
              <w:left w:val="nil"/>
              <w:bottom w:val="single" w:sz="4" w:space="0" w:color="ADD6EA"/>
              <w:right w:val="nil"/>
            </w:tcBorders>
            <w:shd w:val="clear" w:color="auto" w:fill="auto"/>
            <w:vAlign w:val="bottom"/>
            <w:hideMark/>
          </w:tcPr>
          <w:p w14:paraId="6522D2EA"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23</w:t>
            </w:r>
          </w:p>
        </w:tc>
        <w:tc>
          <w:tcPr>
            <w:tcW w:w="760" w:type="dxa"/>
            <w:tcBorders>
              <w:top w:val="nil"/>
              <w:left w:val="nil"/>
              <w:bottom w:val="single" w:sz="4" w:space="0" w:color="ADD6EA"/>
              <w:right w:val="nil"/>
            </w:tcBorders>
            <w:shd w:val="clear" w:color="auto" w:fill="auto"/>
            <w:vAlign w:val="bottom"/>
            <w:hideMark/>
          </w:tcPr>
          <w:p w14:paraId="0402515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-17</w:t>
            </w:r>
          </w:p>
        </w:tc>
        <w:tc>
          <w:tcPr>
            <w:tcW w:w="760" w:type="dxa"/>
            <w:tcBorders>
              <w:top w:val="nil"/>
              <w:left w:val="nil"/>
              <w:bottom w:val="single" w:sz="4" w:space="0" w:color="ADD6EA"/>
              <w:right w:val="nil"/>
            </w:tcBorders>
            <w:shd w:val="clear" w:color="auto" w:fill="auto"/>
            <w:vAlign w:val="bottom"/>
            <w:hideMark/>
          </w:tcPr>
          <w:p w14:paraId="67F6895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139</w:t>
            </w:r>
          </w:p>
        </w:tc>
      </w:tr>
      <w:tr w:rsidR="007E365E" w:rsidRPr="00433B04" w14:paraId="5AE6F071"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43A3D8E4"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Post-secondary</w:t>
            </w:r>
          </w:p>
        </w:tc>
        <w:tc>
          <w:tcPr>
            <w:tcW w:w="760" w:type="dxa"/>
            <w:tcBorders>
              <w:top w:val="nil"/>
              <w:left w:val="nil"/>
              <w:bottom w:val="single" w:sz="4" w:space="0" w:color="ADD6EA"/>
              <w:right w:val="nil"/>
            </w:tcBorders>
            <w:shd w:val="clear" w:color="auto" w:fill="auto"/>
            <w:vAlign w:val="bottom"/>
            <w:hideMark/>
          </w:tcPr>
          <w:p w14:paraId="7FC4731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vAlign w:val="bottom"/>
            <w:hideMark/>
          </w:tcPr>
          <w:p w14:paraId="2E7F8E5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6E84BC47"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7537E8B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7CE8080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vAlign w:val="bottom"/>
            <w:hideMark/>
          </w:tcPr>
          <w:p w14:paraId="6C87DF8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339673A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2DDF265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64CE56DB"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14</w:t>
            </w:r>
          </w:p>
        </w:tc>
      </w:tr>
      <w:tr w:rsidR="007E365E" w:rsidRPr="00433B04" w14:paraId="5DDE1CEA"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68A2F391"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Health</w:t>
            </w:r>
          </w:p>
        </w:tc>
        <w:tc>
          <w:tcPr>
            <w:tcW w:w="760" w:type="dxa"/>
            <w:tcBorders>
              <w:top w:val="nil"/>
              <w:left w:val="nil"/>
              <w:bottom w:val="single" w:sz="4" w:space="0" w:color="ADD6EA"/>
              <w:right w:val="nil"/>
            </w:tcBorders>
            <w:shd w:val="clear" w:color="auto" w:fill="auto"/>
            <w:vAlign w:val="bottom"/>
            <w:hideMark/>
          </w:tcPr>
          <w:p w14:paraId="4E66FDA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-67</w:t>
            </w:r>
          </w:p>
        </w:tc>
        <w:tc>
          <w:tcPr>
            <w:tcW w:w="760" w:type="dxa"/>
            <w:tcBorders>
              <w:top w:val="nil"/>
              <w:left w:val="nil"/>
              <w:bottom w:val="single" w:sz="4" w:space="0" w:color="ADD6EA"/>
              <w:right w:val="nil"/>
            </w:tcBorders>
            <w:shd w:val="clear" w:color="auto" w:fill="auto"/>
            <w:vAlign w:val="bottom"/>
            <w:hideMark/>
          </w:tcPr>
          <w:p w14:paraId="601EEDA7"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-63</w:t>
            </w:r>
          </w:p>
        </w:tc>
        <w:tc>
          <w:tcPr>
            <w:tcW w:w="760" w:type="dxa"/>
            <w:tcBorders>
              <w:top w:val="nil"/>
              <w:left w:val="nil"/>
              <w:bottom w:val="single" w:sz="4" w:space="0" w:color="ADD6EA"/>
              <w:right w:val="nil"/>
            </w:tcBorders>
            <w:shd w:val="clear" w:color="auto" w:fill="auto"/>
            <w:vAlign w:val="bottom"/>
            <w:hideMark/>
          </w:tcPr>
          <w:p w14:paraId="1D8FF9A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47</w:t>
            </w:r>
          </w:p>
        </w:tc>
        <w:tc>
          <w:tcPr>
            <w:tcW w:w="760" w:type="dxa"/>
            <w:tcBorders>
              <w:top w:val="nil"/>
              <w:left w:val="nil"/>
              <w:bottom w:val="single" w:sz="4" w:space="0" w:color="ADD6EA"/>
              <w:right w:val="nil"/>
            </w:tcBorders>
            <w:shd w:val="clear" w:color="auto" w:fill="auto"/>
            <w:vAlign w:val="bottom"/>
            <w:hideMark/>
          </w:tcPr>
          <w:p w14:paraId="376981A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-10</w:t>
            </w:r>
          </w:p>
        </w:tc>
        <w:tc>
          <w:tcPr>
            <w:tcW w:w="760" w:type="dxa"/>
            <w:tcBorders>
              <w:top w:val="nil"/>
              <w:left w:val="nil"/>
              <w:bottom w:val="single" w:sz="4" w:space="0" w:color="ADD6EA"/>
              <w:right w:val="nil"/>
            </w:tcBorders>
            <w:shd w:val="clear" w:color="auto" w:fill="auto"/>
            <w:vAlign w:val="bottom"/>
            <w:hideMark/>
          </w:tcPr>
          <w:p w14:paraId="659F41B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10</w:t>
            </w:r>
          </w:p>
        </w:tc>
        <w:tc>
          <w:tcPr>
            <w:tcW w:w="760" w:type="dxa"/>
            <w:tcBorders>
              <w:top w:val="nil"/>
              <w:left w:val="nil"/>
              <w:bottom w:val="single" w:sz="4" w:space="0" w:color="ADD6EA"/>
              <w:right w:val="nil"/>
            </w:tcBorders>
            <w:shd w:val="clear" w:color="auto" w:fill="auto"/>
            <w:vAlign w:val="bottom"/>
            <w:hideMark/>
          </w:tcPr>
          <w:p w14:paraId="29A94B8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38</w:t>
            </w:r>
          </w:p>
        </w:tc>
        <w:tc>
          <w:tcPr>
            <w:tcW w:w="760" w:type="dxa"/>
            <w:tcBorders>
              <w:top w:val="nil"/>
              <w:left w:val="nil"/>
              <w:bottom w:val="single" w:sz="4" w:space="0" w:color="ADD6EA"/>
              <w:right w:val="nil"/>
            </w:tcBorders>
            <w:shd w:val="clear" w:color="auto" w:fill="auto"/>
            <w:vAlign w:val="bottom"/>
            <w:hideMark/>
          </w:tcPr>
          <w:p w14:paraId="5EC3FE9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auto" w:fill="auto"/>
            <w:vAlign w:val="bottom"/>
            <w:hideMark/>
          </w:tcPr>
          <w:p w14:paraId="2009F02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60</w:t>
            </w:r>
          </w:p>
        </w:tc>
        <w:tc>
          <w:tcPr>
            <w:tcW w:w="760" w:type="dxa"/>
            <w:tcBorders>
              <w:top w:val="nil"/>
              <w:left w:val="nil"/>
              <w:bottom w:val="single" w:sz="4" w:space="0" w:color="ADD6EA"/>
              <w:right w:val="nil"/>
            </w:tcBorders>
            <w:shd w:val="clear" w:color="auto" w:fill="auto"/>
            <w:vAlign w:val="bottom"/>
            <w:hideMark/>
          </w:tcPr>
          <w:p w14:paraId="384F864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154</w:t>
            </w:r>
          </w:p>
        </w:tc>
      </w:tr>
      <w:tr w:rsidR="007E365E" w:rsidRPr="00433B04" w14:paraId="363D6362"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2D082AC7"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Housing</w:t>
            </w:r>
          </w:p>
        </w:tc>
        <w:tc>
          <w:tcPr>
            <w:tcW w:w="760" w:type="dxa"/>
            <w:tcBorders>
              <w:top w:val="nil"/>
              <w:left w:val="nil"/>
              <w:bottom w:val="single" w:sz="4" w:space="0" w:color="ADD6EA"/>
              <w:right w:val="nil"/>
            </w:tcBorders>
            <w:shd w:val="clear" w:color="auto" w:fill="auto"/>
            <w:vAlign w:val="bottom"/>
            <w:hideMark/>
          </w:tcPr>
          <w:p w14:paraId="2D5DF21B"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081DB92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84</w:t>
            </w:r>
          </w:p>
        </w:tc>
        <w:tc>
          <w:tcPr>
            <w:tcW w:w="760" w:type="dxa"/>
            <w:tcBorders>
              <w:top w:val="nil"/>
              <w:left w:val="nil"/>
              <w:bottom w:val="single" w:sz="4" w:space="0" w:color="ADD6EA"/>
              <w:right w:val="nil"/>
            </w:tcBorders>
            <w:shd w:val="clear" w:color="auto" w:fill="auto"/>
            <w:vAlign w:val="bottom"/>
            <w:hideMark/>
          </w:tcPr>
          <w:p w14:paraId="77558BC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19</w:t>
            </w:r>
          </w:p>
        </w:tc>
        <w:tc>
          <w:tcPr>
            <w:tcW w:w="760" w:type="dxa"/>
            <w:tcBorders>
              <w:top w:val="nil"/>
              <w:left w:val="nil"/>
              <w:bottom w:val="single" w:sz="4" w:space="0" w:color="ADD6EA"/>
              <w:right w:val="nil"/>
            </w:tcBorders>
            <w:shd w:val="clear" w:color="auto" w:fill="auto"/>
            <w:vAlign w:val="bottom"/>
            <w:hideMark/>
          </w:tcPr>
          <w:p w14:paraId="27E00D0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-49</w:t>
            </w:r>
          </w:p>
        </w:tc>
        <w:tc>
          <w:tcPr>
            <w:tcW w:w="760" w:type="dxa"/>
            <w:tcBorders>
              <w:top w:val="nil"/>
              <w:left w:val="nil"/>
              <w:bottom w:val="single" w:sz="4" w:space="0" w:color="ADD6EA"/>
              <w:right w:val="nil"/>
            </w:tcBorders>
            <w:shd w:val="clear" w:color="auto" w:fill="auto"/>
            <w:vAlign w:val="bottom"/>
            <w:hideMark/>
          </w:tcPr>
          <w:p w14:paraId="595FFD1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-35</w:t>
            </w:r>
          </w:p>
        </w:tc>
        <w:tc>
          <w:tcPr>
            <w:tcW w:w="760" w:type="dxa"/>
            <w:tcBorders>
              <w:top w:val="nil"/>
              <w:left w:val="nil"/>
              <w:bottom w:val="single" w:sz="4" w:space="0" w:color="ADD6EA"/>
              <w:right w:val="nil"/>
            </w:tcBorders>
            <w:shd w:val="clear" w:color="auto" w:fill="auto"/>
            <w:vAlign w:val="bottom"/>
            <w:hideMark/>
          </w:tcPr>
          <w:p w14:paraId="527D1C6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24B71BA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1FAC515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auto" w:fill="auto"/>
            <w:vAlign w:val="bottom"/>
            <w:hideMark/>
          </w:tcPr>
          <w:p w14:paraId="30B8A27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106</w:t>
            </w:r>
          </w:p>
        </w:tc>
      </w:tr>
      <w:tr w:rsidR="007E365E" w:rsidRPr="00433B04" w14:paraId="0B4C20B0"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6C1A6A42"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Welfare</w:t>
            </w:r>
          </w:p>
        </w:tc>
        <w:tc>
          <w:tcPr>
            <w:tcW w:w="760" w:type="dxa"/>
            <w:tcBorders>
              <w:top w:val="nil"/>
              <w:left w:val="nil"/>
              <w:bottom w:val="single" w:sz="4" w:space="0" w:color="ADD6EA"/>
              <w:right w:val="nil"/>
            </w:tcBorders>
            <w:shd w:val="clear" w:color="auto" w:fill="auto"/>
            <w:vAlign w:val="bottom"/>
            <w:hideMark/>
          </w:tcPr>
          <w:p w14:paraId="4C6B670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4F5B631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auto" w:fill="auto"/>
            <w:vAlign w:val="bottom"/>
            <w:hideMark/>
          </w:tcPr>
          <w:p w14:paraId="7FF60987"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1CD8708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36611DCB"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46C0C42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6C32942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6B69FFD8"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5C88E87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11</w:t>
            </w:r>
          </w:p>
        </w:tc>
      </w:tr>
      <w:tr w:rsidR="007E365E" w:rsidRPr="00433B04" w14:paraId="22AF1172"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028EBD88"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Services to communities</w:t>
            </w:r>
          </w:p>
        </w:tc>
        <w:tc>
          <w:tcPr>
            <w:tcW w:w="760" w:type="dxa"/>
            <w:tcBorders>
              <w:top w:val="nil"/>
              <w:left w:val="nil"/>
              <w:bottom w:val="single" w:sz="4" w:space="0" w:color="ADD6EA"/>
              <w:right w:val="nil"/>
            </w:tcBorders>
            <w:shd w:val="clear" w:color="auto" w:fill="auto"/>
            <w:vAlign w:val="bottom"/>
            <w:hideMark/>
          </w:tcPr>
          <w:p w14:paraId="3909C9B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478C8458"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74BDEF0B"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3588795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4FA42B0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vAlign w:val="bottom"/>
            <w:hideMark/>
          </w:tcPr>
          <w:p w14:paraId="6813109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3E6F7BE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55F0C54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10CCFA68"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10</w:t>
            </w:r>
          </w:p>
        </w:tc>
      </w:tr>
      <w:tr w:rsidR="007E365E" w:rsidRPr="00433B04" w14:paraId="4AA10D33"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313CF597"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Justice</w:t>
            </w:r>
          </w:p>
        </w:tc>
        <w:tc>
          <w:tcPr>
            <w:tcW w:w="760" w:type="dxa"/>
            <w:tcBorders>
              <w:top w:val="nil"/>
              <w:left w:val="nil"/>
              <w:bottom w:val="single" w:sz="4" w:space="0" w:color="ADD6EA"/>
              <w:right w:val="nil"/>
            </w:tcBorders>
            <w:shd w:val="clear" w:color="auto" w:fill="auto"/>
            <w:vAlign w:val="bottom"/>
            <w:hideMark/>
          </w:tcPr>
          <w:p w14:paraId="0AA67E0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auto" w:fill="auto"/>
            <w:vAlign w:val="bottom"/>
            <w:hideMark/>
          </w:tcPr>
          <w:p w14:paraId="303D495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-51</w:t>
            </w:r>
          </w:p>
        </w:tc>
        <w:tc>
          <w:tcPr>
            <w:tcW w:w="760" w:type="dxa"/>
            <w:tcBorders>
              <w:top w:val="nil"/>
              <w:left w:val="nil"/>
              <w:bottom w:val="single" w:sz="4" w:space="0" w:color="ADD6EA"/>
              <w:right w:val="nil"/>
            </w:tcBorders>
            <w:shd w:val="clear" w:color="auto" w:fill="auto"/>
            <w:vAlign w:val="bottom"/>
            <w:hideMark/>
          </w:tcPr>
          <w:p w14:paraId="3A32E83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auto" w:fill="auto"/>
            <w:vAlign w:val="bottom"/>
            <w:hideMark/>
          </w:tcPr>
          <w:p w14:paraId="4E046C5D"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1ABDFD7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vAlign w:val="bottom"/>
            <w:hideMark/>
          </w:tcPr>
          <w:p w14:paraId="05B14AE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vAlign w:val="bottom"/>
            <w:hideMark/>
          </w:tcPr>
          <w:p w14:paraId="7D93016A"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0BAA31A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51</w:t>
            </w:r>
          </w:p>
        </w:tc>
        <w:tc>
          <w:tcPr>
            <w:tcW w:w="760" w:type="dxa"/>
            <w:tcBorders>
              <w:top w:val="nil"/>
              <w:left w:val="nil"/>
              <w:bottom w:val="single" w:sz="4" w:space="0" w:color="ADD6EA"/>
              <w:right w:val="nil"/>
            </w:tcBorders>
            <w:shd w:val="clear" w:color="auto" w:fill="auto"/>
            <w:vAlign w:val="bottom"/>
            <w:hideMark/>
          </w:tcPr>
          <w:p w14:paraId="1B3E932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75</w:t>
            </w:r>
          </w:p>
        </w:tc>
      </w:tr>
      <w:tr w:rsidR="007E365E" w:rsidRPr="00433B04" w14:paraId="790BB4F6"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1F842DED"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Rural roads</w:t>
            </w:r>
          </w:p>
        </w:tc>
        <w:tc>
          <w:tcPr>
            <w:tcW w:w="760" w:type="dxa"/>
            <w:tcBorders>
              <w:top w:val="nil"/>
              <w:left w:val="nil"/>
              <w:bottom w:val="single" w:sz="4" w:space="0" w:color="ADD6EA"/>
              <w:right w:val="nil"/>
            </w:tcBorders>
            <w:shd w:val="clear" w:color="auto" w:fill="auto"/>
            <w:vAlign w:val="bottom"/>
            <w:hideMark/>
          </w:tcPr>
          <w:p w14:paraId="2CE2B31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-446</w:t>
            </w:r>
          </w:p>
        </w:tc>
        <w:tc>
          <w:tcPr>
            <w:tcW w:w="760" w:type="dxa"/>
            <w:tcBorders>
              <w:top w:val="nil"/>
              <w:left w:val="nil"/>
              <w:bottom w:val="single" w:sz="4" w:space="0" w:color="ADD6EA"/>
              <w:right w:val="nil"/>
            </w:tcBorders>
            <w:shd w:val="clear" w:color="auto" w:fill="auto"/>
            <w:vAlign w:val="bottom"/>
            <w:hideMark/>
          </w:tcPr>
          <w:p w14:paraId="0FFE4D7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-770</w:t>
            </w:r>
          </w:p>
        </w:tc>
        <w:tc>
          <w:tcPr>
            <w:tcW w:w="760" w:type="dxa"/>
            <w:tcBorders>
              <w:top w:val="nil"/>
              <w:left w:val="nil"/>
              <w:bottom w:val="single" w:sz="4" w:space="0" w:color="ADD6EA"/>
              <w:right w:val="nil"/>
            </w:tcBorders>
            <w:shd w:val="clear" w:color="auto" w:fill="auto"/>
            <w:vAlign w:val="bottom"/>
            <w:hideMark/>
          </w:tcPr>
          <w:p w14:paraId="29EE46E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405</w:t>
            </w:r>
          </w:p>
        </w:tc>
        <w:tc>
          <w:tcPr>
            <w:tcW w:w="760" w:type="dxa"/>
            <w:tcBorders>
              <w:top w:val="nil"/>
              <w:left w:val="nil"/>
              <w:bottom w:val="single" w:sz="4" w:space="0" w:color="ADD6EA"/>
              <w:right w:val="nil"/>
            </w:tcBorders>
            <w:shd w:val="clear" w:color="auto" w:fill="auto"/>
            <w:vAlign w:val="bottom"/>
            <w:hideMark/>
          </w:tcPr>
          <w:p w14:paraId="352253F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407</w:t>
            </w:r>
          </w:p>
        </w:tc>
        <w:tc>
          <w:tcPr>
            <w:tcW w:w="760" w:type="dxa"/>
            <w:tcBorders>
              <w:top w:val="nil"/>
              <w:left w:val="nil"/>
              <w:bottom w:val="single" w:sz="4" w:space="0" w:color="ADD6EA"/>
              <w:right w:val="nil"/>
            </w:tcBorders>
            <w:shd w:val="clear" w:color="auto" w:fill="auto"/>
            <w:vAlign w:val="bottom"/>
            <w:hideMark/>
          </w:tcPr>
          <w:p w14:paraId="00FB50D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91</w:t>
            </w:r>
          </w:p>
        </w:tc>
        <w:tc>
          <w:tcPr>
            <w:tcW w:w="760" w:type="dxa"/>
            <w:tcBorders>
              <w:top w:val="nil"/>
              <w:left w:val="nil"/>
              <w:bottom w:val="single" w:sz="4" w:space="0" w:color="ADD6EA"/>
              <w:right w:val="nil"/>
            </w:tcBorders>
            <w:shd w:val="clear" w:color="auto" w:fill="auto"/>
            <w:vAlign w:val="bottom"/>
            <w:hideMark/>
          </w:tcPr>
          <w:p w14:paraId="44583CF7"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auto" w:fill="auto"/>
            <w:vAlign w:val="bottom"/>
            <w:hideMark/>
          </w:tcPr>
          <w:p w14:paraId="08279DD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-82</w:t>
            </w:r>
          </w:p>
        </w:tc>
        <w:tc>
          <w:tcPr>
            <w:tcW w:w="760" w:type="dxa"/>
            <w:tcBorders>
              <w:top w:val="nil"/>
              <w:left w:val="nil"/>
              <w:bottom w:val="single" w:sz="4" w:space="0" w:color="ADD6EA"/>
              <w:right w:val="nil"/>
            </w:tcBorders>
            <w:shd w:val="clear" w:color="auto" w:fill="auto"/>
            <w:vAlign w:val="bottom"/>
            <w:hideMark/>
          </w:tcPr>
          <w:p w14:paraId="72DDD77A"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381</w:t>
            </w:r>
          </w:p>
        </w:tc>
        <w:tc>
          <w:tcPr>
            <w:tcW w:w="760" w:type="dxa"/>
            <w:tcBorders>
              <w:top w:val="nil"/>
              <w:left w:val="nil"/>
              <w:bottom w:val="single" w:sz="4" w:space="0" w:color="ADD6EA"/>
              <w:right w:val="nil"/>
            </w:tcBorders>
            <w:shd w:val="clear" w:color="auto" w:fill="auto"/>
            <w:vAlign w:val="bottom"/>
            <w:hideMark/>
          </w:tcPr>
          <w:p w14:paraId="43A055E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1,298</w:t>
            </w:r>
          </w:p>
        </w:tc>
      </w:tr>
      <w:tr w:rsidR="007E365E" w:rsidRPr="00433B04" w14:paraId="6DB210E6"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512A36DB"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Urban roads</w:t>
            </w:r>
          </w:p>
        </w:tc>
        <w:tc>
          <w:tcPr>
            <w:tcW w:w="760" w:type="dxa"/>
            <w:tcBorders>
              <w:top w:val="nil"/>
              <w:left w:val="nil"/>
              <w:bottom w:val="single" w:sz="4" w:space="0" w:color="ADD6EA"/>
              <w:right w:val="nil"/>
            </w:tcBorders>
            <w:shd w:val="clear" w:color="auto" w:fill="auto"/>
            <w:vAlign w:val="bottom"/>
            <w:hideMark/>
          </w:tcPr>
          <w:p w14:paraId="5B87423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21</w:t>
            </w:r>
          </w:p>
        </w:tc>
        <w:tc>
          <w:tcPr>
            <w:tcW w:w="760" w:type="dxa"/>
            <w:tcBorders>
              <w:top w:val="nil"/>
              <w:left w:val="nil"/>
              <w:bottom w:val="single" w:sz="4" w:space="0" w:color="ADD6EA"/>
              <w:right w:val="nil"/>
            </w:tcBorders>
            <w:shd w:val="clear" w:color="auto" w:fill="auto"/>
            <w:vAlign w:val="bottom"/>
            <w:hideMark/>
          </w:tcPr>
          <w:p w14:paraId="6F03AC2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72</w:t>
            </w:r>
          </w:p>
        </w:tc>
        <w:tc>
          <w:tcPr>
            <w:tcW w:w="760" w:type="dxa"/>
            <w:tcBorders>
              <w:top w:val="nil"/>
              <w:left w:val="nil"/>
              <w:bottom w:val="single" w:sz="4" w:space="0" w:color="ADD6EA"/>
              <w:right w:val="nil"/>
            </w:tcBorders>
            <w:shd w:val="clear" w:color="auto" w:fill="auto"/>
            <w:vAlign w:val="bottom"/>
            <w:hideMark/>
          </w:tcPr>
          <w:p w14:paraId="7AEFC67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54</w:t>
            </w:r>
          </w:p>
        </w:tc>
        <w:tc>
          <w:tcPr>
            <w:tcW w:w="760" w:type="dxa"/>
            <w:tcBorders>
              <w:top w:val="nil"/>
              <w:left w:val="nil"/>
              <w:bottom w:val="single" w:sz="4" w:space="0" w:color="ADD6EA"/>
              <w:right w:val="nil"/>
            </w:tcBorders>
            <w:shd w:val="clear" w:color="auto" w:fill="auto"/>
            <w:vAlign w:val="bottom"/>
            <w:hideMark/>
          </w:tcPr>
          <w:p w14:paraId="5B9D473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-44</w:t>
            </w:r>
          </w:p>
        </w:tc>
        <w:tc>
          <w:tcPr>
            <w:tcW w:w="760" w:type="dxa"/>
            <w:tcBorders>
              <w:top w:val="nil"/>
              <w:left w:val="nil"/>
              <w:bottom w:val="single" w:sz="4" w:space="0" w:color="ADD6EA"/>
              <w:right w:val="nil"/>
            </w:tcBorders>
            <w:shd w:val="clear" w:color="auto" w:fill="auto"/>
            <w:vAlign w:val="bottom"/>
            <w:hideMark/>
          </w:tcPr>
          <w:p w14:paraId="3BC1617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-87</w:t>
            </w:r>
          </w:p>
        </w:tc>
        <w:tc>
          <w:tcPr>
            <w:tcW w:w="760" w:type="dxa"/>
            <w:tcBorders>
              <w:top w:val="nil"/>
              <w:left w:val="nil"/>
              <w:bottom w:val="single" w:sz="4" w:space="0" w:color="ADD6EA"/>
              <w:right w:val="nil"/>
            </w:tcBorders>
            <w:shd w:val="clear" w:color="auto" w:fill="auto"/>
            <w:vAlign w:val="bottom"/>
            <w:hideMark/>
          </w:tcPr>
          <w:p w14:paraId="04C6032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-28</w:t>
            </w:r>
          </w:p>
        </w:tc>
        <w:tc>
          <w:tcPr>
            <w:tcW w:w="760" w:type="dxa"/>
            <w:tcBorders>
              <w:top w:val="nil"/>
              <w:left w:val="nil"/>
              <w:bottom w:val="single" w:sz="4" w:space="0" w:color="ADD6EA"/>
              <w:right w:val="nil"/>
            </w:tcBorders>
            <w:shd w:val="clear" w:color="auto" w:fill="auto"/>
            <w:vAlign w:val="bottom"/>
            <w:hideMark/>
          </w:tcPr>
          <w:p w14:paraId="3B74BE7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21</w:t>
            </w:r>
          </w:p>
        </w:tc>
        <w:tc>
          <w:tcPr>
            <w:tcW w:w="760" w:type="dxa"/>
            <w:tcBorders>
              <w:top w:val="nil"/>
              <w:left w:val="nil"/>
              <w:bottom w:val="single" w:sz="4" w:space="0" w:color="ADD6EA"/>
              <w:right w:val="nil"/>
            </w:tcBorders>
            <w:shd w:val="clear" w:color="auto" w:fill="auto"/>
            <w:vAlign w:val="bottom"/>
            <w:hideMark/>
          </w:tcPr>
          <w:p w14:paraId="08BBFBBB"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vAlign w:val="bottom"/>
            <w:hideMark/>
          </w:tcPr>
          <w:p w14:paraId="2EB4EB4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167</w:t>
            </w:r>
          </w:p>
        </w:tc>
      </w:tr>
      <w:tr w:rsidR="007E365E" w:rsidRPr="00433B04" w14:paraId="3CC0D2F5"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633F4429"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Urban transport</w:t>
            </w:r>
          </w:p>
        </w:tc>
        <w:tc>
          <w:tcPr>
            <w:tcW w:w="760" w:type="dxa"/>
            <w:tcBorders>
              <w:top w:val="nil"/>
              <w:left w:val="nil"/>
              <w:bottom w:val="single" w:sz="4" w:space="0" w:color="ADD6EA"/>
              <w:right w:val="nil"/>
            </w:tcBorders>
            <w:shd w:val="clear" w:color="auto" w:fill="auto"/>
            <w:vAlign w:val="bottom"/>
            <w:hideMark/>
          </w:tcPr>
          <w:p w14:paraId="0D26B56F"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646</w:t>
            </w:r>
          </w:p>
        </w:tc>
        <w:tc>
          <w:tcPr>
            <w:tcW w:w="760" w:type="dxa"/>
            <w:tcBorders>
              <w:top w:val="nil"/>
              <w:left w:val="nil"/>
              <w:bottom w:val="single" w:sz="4" w:space="0" w:color="ADD6EA"/>
              <w:right w:val="nil"/>
            </w:tcBorders>
            <w:shd w:val="clear" w:color="auto" w:fill="auto"/>
            <w:vAlign w:val="bottom"/>
            <w:hideMark/>
          </w:tcPr>
          <w:p w14:paraId="210B235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872</w:t>
            </w:r>
          </w:p>
        </w:tc>
        <w:tc>
          <w:tcPr>
            <w:tcW w:w="760" w:type="dxa"/>
            <w:tcBorders>
              <w:top w:val="nil"/>
              <w:left w:val="nil"/>
              <w:bottom w:val="single" w:sz="4" w:space="0" w:color="ADD6EA"/>
              <w:right w:val="nil"/>
            </w:tcBorders>
            <w:shd w:val="clear" w:color="auto" w:fill="auto"/>
            <w:vAlign w:val="bottom"/>
            <w:hideMark/>
          </w:tcPr>
          <w:p w14:paraId="4356928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-576</w:t>
            </w:r>
          </w:p>
        </w:tc>
        <w:tc>
          <w:tcPr>
            <w:tcW w:w="760" w:type="dxa"/>
            <w:tcBorders>
              <w:top w:val="nil"/>
              <w:left w:val="nil"/>
              <w:bottom w:val="single" w:sz="4" w:space="0" w:color="ADD6EA"/>
              <w:right w:val="nil"/>
            </w:tcBorders>
            <w:shd w:val="clear" w:color="auto" w:fill="auto"/>
            <w:vAlign w:val="bottom"/>
            <w:hideMark/>
          </w:tcPr>
          <w:p w14:paraId="6B40E09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-413</w:t>
            </w:r>
          </w:p>
        </w:tc>
        <w:tc>
          <w:tcPr>
            <w:tcW w:w="760" w:type="dxa"/>
            <w:tcBorders>
              <w:top w:val="nil"/>
              <w:left w:val="nil"/>
              <w:bottom w:val="single" w:sz="4" w:space="0" w:color="ADD6EA"/>
              <w:right w:val="nil"/>
            </w:tcBorders>
            <w:shd w:val="clear" w:color="auto" w:fill="auto"/>
            <w:vAlign w:val="bottom"/>
            <w:hideMark/>
          </w:tcPr>
          <w:p w14:paraId="32F42778"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-308</w:t>
            </w:r>
          </w:p>
        </w:tc>
        <w:tc>
          <w:tcPr>
            <w:tcW w:w="760" w:type="dxa"/>
            <w:tcBorders>
              <w:top w:val="nil"/>
              <w:left w:val="nil"/>
              <w:bottom w:val="single" w:sz="4" w:space="0" w:color="ADD6EA"/>
              <w:right w:val="nil"/>
            </w:tcBorders>
            <w:shd w:val="clear" w:color="auto" w:fill="auto"/>
            <w:vAlign w:val="bottom"/>
            <w:hideMark/>
          </w:tcPr>
          <w:p w14:paraId="5B9AE5C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-123</w:t>
            </w:r>
          </w:p>
        </w:tc>
        <w:tc>
          <w:tcPr>
            <w:tcW w:w="760" w:type="dxa"/>
            <w:tcBorders>
              <w:top w:val="nil"/>
              <w:left w:val="nil"/>
              <w:bottom w:val="single" w:sz="4" w:space="0" w:color="ADD6EA"/>
              <w:right w:val="nil"/>
            </w:tcBorders>
            <w:shd w:val="clear" w:color="auto" w:fill="auto"/>
            <w:vAlign w:val="bottom"/>
            <w:hideMark/>
          </w:tcPr>
          <w:p w14:paraId="606D220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-39</w:t>
            </w:r>
          </w:p>
        </w:tc>
        <w:tc>
          <w:tcPr>
            <w:tcW w:w="760" w:type="dxa"/>
            <w:tcBorders>
              <w:top w:val="nil"/>
              <w:left w:val="nil"/>
              <w:bottom w:val="single" w:sz="4" w:space="0" w:color="ADD6EA"/>
              <w:right w:val="nil"/>
            </w:tcBorders>
            <w:shd w:val="clear" w:color="auto" w:fill="auto"/>
            <w:vAlign w:val="bottom"/>
            <w:hideMark/>
          </w:tcPr>
          <w:p w14:paraId="55BF95F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-58</w:t>
            </w:r>
          </w:p>
        </w:tc>
        <w:tc>
          <w:tcPr>
            <w:tcW w:w="760" w:type="dxa"/>
            <w:tcBorders>
              <w:top w:val="nil"/>
              <w:left w:val="nil"/>
              <w:bottom w:val="single" w:sz="4" w:space="0" w:color="ADD6EA"/>
              <w:right w:val="nil"/>
            </w:tcBorders>
            <w:shd w:val="clear" w:color="auto" w:fill="auto"/>
            <w:vAlign w:val="bottom"/>
            <w:hideMark/>
          </w:tcPr>
          <w:p w14:paraId="31E86D9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1,518</w:t>
            </w:r>
          </w:p>
        </w:tc>
      </w:tr>
      <w:tr w:rsidR="007E365E" w:rsidRPr="00433B04" w14:paraId="2ADDB9DA"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4C69D513"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Non-urban transport</w:t>
            </w:r>
          </w:p>
        </w:tc>
        <w:tc>
          <w:tcPr>
            <w:tcW w:w="760" w:type="dxa"/>
            <w:tcBorders>
              <w:top w:val="nil"/>
              <w:left w:val="nil"/>
              <w:bottom w:val="single" w:sz="4" w:space="0" w:color="ADD6EA"/>
              <w:right w:val="nil"/>
            </w:tcBorders>
            <w:shd w:val="clear" w:color="auto" w:fill="auto"/>
            <w:vAlign w:val="bottom"/>
            <w:hideMark/>
          </w:tcPr>
          <w:p w14:paraId="13200C1A"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F7CFEE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094B223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226C19A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28200F2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70F31B7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3970C60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366A87E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2FECCF6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w:t>
            </w:r>
          </w:p>
        </w:tc>
      </w:tr>
      <w:tr w:rsidR="007E365E" w:rsidRPr="00433B04" w14:paraId="198D9394"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172F9758"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Services to industry</w:t>
            </w:r>
          </w:p>
        </w:tc>
        <w:tc>
          <w:tcPr>
            <w:tcW w:w="760" w:type="dxa"/>
            <w:tcBorders>
              <w:top w:val="nil"/>
              <w:left w:val="nil"/>
              <w:bottom w:val="single" w:sz="4" w:space="0" w:color="ADD6EA"/>
              <w:right w:val="nil"/>
            </w:tcBorders>
            <w:shd w:val="clear" w:color="auto" w:fill="auto"/>
            <w:vAlign w:val="bottom"/>
            <w:hideMark/>
          </w:tcPr>
          <w:p w14:paraId="17CDD8D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12</w:t>
            </w:r>
          </w:p>
        </w:tc>
        <w:tc>
          <w:tcPr>
            <w:tcW w:w="760" w:type="dxa"/>
            <w:tcBorders>
              <w:top w:val="nil"/>
              <w:left w:val="nil"/>
              <w:bottom w:val="single" w:sz="4" w:space="0" w:color="ADD6EA"/>
              <w:right w:val="nil"/>
            </w:tcBorders>
            <w:shd w:val="clear" w:color="auto" w:fill="auto"/>
            <w:vAlign w:val="bottom"/>
            <w:hideMark/>
          </w:tcPr>
          <w:p w14:paraId="4F03BF9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5DD8D7E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62DF4B3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-18</w:t>
            </w:r>
          </w:p>
        </w:tc>
        <w:tc>
          <w:tcPr>
            <w:tcW w:w="760" w:type="dxa"/>
            <w:tcBorders>
              <w:top w:val="nil"/>
              <w:left w:val="nil"/>
              <w:bottom w:val="single" w:sz="4" w:space="0" w:color="ADD6EA"/>
              <w:right w:val="nil"/>
            </w:tcBorders>
            <w:shd w:val="clear" w:color="auto" w:fill="auto"/>
            <w:vAlign w:val="bottom"/>
            <w:hideMark/>
          </w:tcPr>
          <w:p w14:paraId="2B54C9A8"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6EC8FB9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2F6977C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7C23BFC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028092D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23</w:t>
            </w:r>
          </w:p>
        </w:tc>
      </w:tr>
      <w:tr w:rsidR="007E365E" w:rsidRPr="00433B04" w14:paraId="47640EC2"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67634FF6"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Other expenses</w:t>
            </w:r>
          </w:p>
        </w:tc>
        <w:tc>
          <w:tcPr>
            <w:tcW w:w="760" w:type="dxa"/>
            <w:tcBorders>
              <w:top w:val="nil"/>
              <w:left w:val="nil"/>
              <w:bottom w:val="single" w:sz="4" w:space="0" w:color="ADD6EA"/>
              <w:right w:val="nil"/>
            </w:tcBorders>
            <w:shd w:val="clear" w:color="auto" w:fill="auto"/>
            <w:vAlign w:val="bottom"/>
            <w:hideMark/>
          </w:tcPr>
          <w:p w14:paraId="67FF6DE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4D271E97"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65</w:t>
            </w:r>
          </w:p>
        </w:tc>
        <w:tc>
          <w:tcPr>
            <w:tcW w:w="760" w:type="dxa"/>
            <w:tcBorders>
              <w:top w:val="nil"/>
              <w:left w:val="nil"/>
              <w:bottom w:val="single" w:sz="4" w:space="0" w:color="ADD6EA"/>
              <w:right w:val="nil"/>
            </w:tcBorders>
            <w:shd w:val="clear" w:color="auto" w:fill="auto"/>
            <w:vAlign w:val="bottom"/>
            <w:hideMark/>
          </w:tcPr>
          <w:p w14:paraId="70CD562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106E109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-34</w:t>
            </w:r>
          </w:p>
        </w:tc>
        <w:tc>
          <w:tcPr>
            <w:tcW w:w="760" w:type="dxa"/>
            <w:tcBorders>
              <w:top w:val="nil"/>
              <w:left w:val="nil"/>
              <w:bottom w:val="single" w:sz="4" w:space="0" w:color="ADD6EA"/>
              <w:right w:val="nil"/>
            </w:tcBorders>
            <w:shd w:val="clear" w:color="auto" w:fill="auto"/>
            <w:vAlign w:val="bottom"/>
            <w:hideMark/>
          </w:tcPr>
          <w:p w14:paraId="697E901F"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-27</w:t>
            </w:r>
          </w:p>
        </w:tc>
        <w:tc>
          <w:tcPr>
            <w:tcW w:w="760" w:type="dxa"/>
            <w:tcBorders>
              <w:top w:val="nil"/>
              <w:left w:val="nil"/>
              <w:bottom w:val="single" w:sz="4" w:space="0" w:color="ADD6EA"/>
              <w:right w:val="nil"/>
            </w:tcBorders>
            <w:shd w:val="clear" w:color="auto" w:fill="auto"/>
            <w:vAlign w:val="bottom"/>
            <w:hideMark/>
          </w:tcPr>
          <w:p w14:paraId="376BE25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40D7A8E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2C76A83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vAlign w:val="bottom"/>
            <w:hideMark/>
          </w:tcPr>
          <w:p w14:paraId="5F1F1B38"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72</w:t>
            </w:r>
          </w:p>
        </w:tc>
      </w:tr>
      <w:tr w:rsidR="007E365E" w:rsidRPr="00433B04" w14:paraId="7FF333CD"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6496F307"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Land</w:t>
            </w:r>
          </w:p>
        </w:tc>
        <w:tc>
          <w:tcPr>
            <w:tcW w:w="760" w:type="dxa"/>
            <w:tcBorders>
              <w:top w:val="nil"/>
              <w:left w:val="nil"/>
              <w:bottom w:val="single" w:sz="4" w:space="0" w:color="ADD6EA"/>
              <w:right w:val="nil"/>
            </w:tcBorders>
            <w:shd w:val="clear" w:color="auto" w:fill="auto"/>
            <w:vAlign w:val="bottom"/>
            <w:hideMark/>
          </w:tcPr>
          <w:p w14:paraId="0DF6497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3C6DC9C7"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5AE2A5D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4002A8D"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556D451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5BFFF2A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050C90B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E19729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14E9D3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r>
      <w:tr w:rsidR="007E365E" w:rsidRPr="00433B04" w14:paraId="22414A14" w14:textId="77777777" w:rsidTr="007D1D77">
        <w:trPr>
          <w:trHeight w:val="315"/>
        </w:trPr>
        <w:tc>
          <w:tcPr>
            <w:tcW w:w="2060" w:type="dxa"/>
            <w:tcBorders>
              <w:top w:val="nil"/>
              <w:left w:val="nil"/>
              <w:bottom w:val="single" w:sz="4" w:space="0" w:color="ADD6EA"/>
              <w:right w:val="nil"/>
            </w:tcBorders>
            <w:shd w:val="clear" w:color="000000" w:fill="D6E7F0"/>
            <w:vAlign w:val="bottom"/>
            <w:hideMark/>
          </w:tcPr>
          <w:p w14:paraId="30174F56" w14:textId="77777777" w:rsidR="007E365E" w:rsidRPr="00433B04"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Total ($m)</w:t>
            </w:r>
          </w:p>
        </w:tc>
        <w:tc>
          <w:tcPr>
            <w:tcW w:w="760" w:type="dxa"/>
            <w:tcBorders>
              <w:top w:val="nil"/>
              <w:left w:val="nil"/>
              <w:bottom w:val="single" w:sz="4" w:space="0" w:color="ADD6EA"/>
              <w:right w:val="nil"/>
            </w:tcBorders>
            <w:shd w:val="clear" w:color="000000" w:fill="D6E7F0"/>
            <w:vAlign w:val="bottom"/>
            <w:hideMark/>
          </w:tcPr>
          <w:p w14:paraId="094B667E"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89</w:t>
            </w:r>
          </w:p>
        </w:tc>
        <w:tc>
          <w:tcPr>
            <w:tcW w:w="760" w:type="dxa"/>
            <w:tcBorders>
              <w:top w:val="nil"/>
              <w:left w:val="nil"/>
              <w:bottom w:val="single" w:sz="4" w:space="0" w:color="ADD6EA"/>
              <w:right w:val="nil"/>
            </w:tcBorders>
            <w:shd w:val="clear" w:color="000000" w:fill="D6E7F0"/>
            <w:vAlign w:val="bottom"/>
            <w:hideMark/>
          </w:tcPr>
          <w:p w14:paraId="2CA7B7DB"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263</w:t>
            </w:r>
          </w:p>
        </w:tc>
        <w:tc>
          <w:tcPr>
            <w:tcW w:w="760" w:type="dxa"/>
            <w:tcBorders>
              <w:top w:val="nil"/>
              <w:left w:val="nil"/>
              <w:bottom w:val="single" w:sz="4" w:space="0" w:color="ADD6EA"/>
              <w:right w:val="nil"/>
            </w:tcBorders>
            <w:shd w:val="clear" w:color="000000" w:fill="D6E7F0"/>
            <w:vAlign w:val="bottom"/>
            <w:hideMark/>
          </w:tcPr>
          <w:p w14:paraId="39451C5C"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15</w:t>
            </w:r>
          </w:p>
        </w:tc>
        <w:tc>
          <w:tcPr>
            <w:tcW w:w="760" w:type="dxa"/>
            <w:tcBorders>
              <w:top w:val="nil"/>
              <w:left w:val="nil"/>
              <w:bottom w:val="single" w:sz="4" w:space="0" w:color="ADD6EA"/>
              <w:right w:val="nil"/>
            </w:tcBorders>
            <w:shd w:val="clear" w:color="000000" w:fill="D6E7F0"/>
            <w:vAlign w:val="bottom"/>
            <w:hideMark/>
          </w:tcPr>
          <w:p w14:paraId="2B5DBA0F"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-136</w:t>
            </w:r>
          </w:p>
        </w:tc>
        <w:tc>
          <w:tcPr>
            <w:tcW w:w="760" w:type="dxa"/>
            <w:tcBorders>
              <w:top w:val="nil"/>
              <w:left w:val="nil"/>
              <w:bottom w:val="single" w:sz="4" w:space="0" w:color="ADD6EA"/>
              <w:right w:val="nil"/>
            </w:tcBorders>
            <w:shd w:val="clear" w:color="000000" w:fill="D6E7F0"/>
            <w:vAlign w:val="bottom"/>
            <w:hideMark/>
          </w:tcPr>
          <w:p w14:paraId="45B7939C"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-405</w:t>
            </w:r>
          </w:p>
        </w:tc>
        <w:tc>
          <w:tcPr>
            <w:tcW w:w="760" w:type="dxa"/>
            <w:tcBorders>
              <w:top w:val="nil"/>
              <w:left w:val="nil"/>
              <w:bottom w:val="single" w:sz="4" w:space="0" w:color="ADD6EA"/>
              <w:right w:val="nil"/>
            </w:tcBorders>
            <w:shd w:val="clear" w:color="000000" w:fill="D6E7F0"/>
            <w:vAlign w:val="bottom"/>
            <w:hideMark/>
          </w:tcPr>
          <w:p w14:paraId="2EA6B06C"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-129</w:t>
            </w:r>
          </w:p>
        </w:tc>
        <w:tc>
          <w:tcPr>
            <w:tcW w:w="760" w:type="dxa"/>
            <w:tcBorders>
              <w:top w:val="nil"/>
              <w:left w:val="nil"/>
              <w:bottom w:val="single" w:sz="4" w:space="0" w:color="ADD6EA"/>
              <w:right w:val="nil"/>
            </w:tcBorders>
            <w:shd w:val="clear" w:color="000000" w:fill="D6E7F0"/>
            <w:vAlign w:val="bottom"/>
            <w:hideMark/>
          </w:tcPr>
          <w:p w14:paraId="4BCAF687"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-92</w:t>
            </w:r>
          </w:p>
        </w:tc>
        <w:tc>
          <w:tcPr>
            <w:tcW w:w="760" w:type="dxa"/>
            <w:tcBorders>
              <w:top w:val="nil"/>
              <w:left w:val="nil"/>
              <w:bottom w:val="single" w:sz="4" w:space="0" w:color="ADD6EA"/>
              <w:right w:val="nil"/>
            </w:tcBorders>
            <w:shd w:val="clear" w:color="000000" w:fill="D6E7F0"/>
            <w:vAlign w:val="bottom"/>
            <w:hideMark/>
          </w:tcPr>
          <w:p w14:paraId="446063F9"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394</w:t>
            </w:r>
          </w:p>
        </w:tc>
        <w:tc>
          <w:tcPr>
            <w:tcW w:w="760" w:type="dxa"/>
            <w:tcBorders>
              <w:top w:val="nil"/>
              <w:left w:val="nil"/>
              <w:bottom w:val="single" w:sz="4" w:space="0" w:color="ADD6EA"/>
              <w:right w:val="nil"/>
            </w:tcBorders>
            <w:shd w:val="clear" w:color="000000" w:fill="D6E7F0"/>
            <w:vAlign w:val="bottom"/>
            <w:hideMark/>
          </w:tcPr>
          <w:p w14:paraId="40E81382"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762</w:t>
            </w:r>
          </w:p>
        </w:tc>
      </w:tr>
      <w:tr w:rsidR="007E365E" w:rsidRPr="00433B04" w14:paraId="0ACC0964" w14:textId="77777777" w:rsidTr="007D1D77">
        <w:trPr>
          <w:trHeight w:val="255"/>
        </w:trPr>
        <w:tc>
          <w:tcPr>
            <w:tcW w:w="2060" w:type="dxa"/>
            <w:tcBorders>
              <w:top w:val="nil"/>
              <w:left w:val="nil"/>
              <w:bottom w:val="single" w:sz="4" w:space="0" w:color="ADD6EA"/>
              <w:right w:val="nil"/>
            </w:tcBorders>
            <w:shd w:val="clear" w:color="000000" w:fill="B6D5E4"/>
            <w:noWrap/>
            <w:vAlign w:val="bottom"/>
            <w:hideMark/>
          </w:tcPr>
          <w:p w14:paraId="3DC3B1AA"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noWrap/>
            <w:vAlign w:val="bottom"/>
            <w:hideMark/>
          </w:tcPr>
          <w:p w14:paraId="17839CC7"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$pc</w:t>
            </w:r>
          </w:p>
        </w:tc>
        <w:tc>
          <w:tcPr>
            <w:tcW w:w="760" w:type="dxa"/>
            <w:tcBorders>
              <w:top w:val="nil"/>
              <w:left w:val="nil"/>
              <w:bottom w:val="single" w:sz="4" w:space="0" w:color="ADD6EA"/>
              <w:right w:val="nil"/>
            </w:tcBorders>
            <w:shd w:val="clear" w:color="000000" w:fill="B6D5E4"/>
            <w:noWrap/>
            <w:vAlign w:val="bottom"/>
            <w:hideMark/>
          </w:tcPr>
          <w:p w14:paraId="2F2245DA"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$pc</w:t>
            </w:r>
          </w:p>
        </w:tc>
        <w:tc>
          <w:tcPr>
            <w:tcW w:w="760" w:type="dxa"/>
            <w:tcBorders>
              <w:top w:val="nil"/>
              <w:left w:val="nil"/>
              <w:bottom w:val="single" w:sz="4" w:space="0" w:color="ADD6EA"/>
              <w:right w:val="nil"/>
            </w:tcBorders>
            <w:shd w:val="clear" w:color="000000" w:fill="B6D5E4"/>
            <w:noWrap/>
            <w:vAlign w:val="bottom"/>
            <w:hideMark/>
          </w:tcPr>
          <w:p w14:paraId="50DE8194"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$pc</w:t>
            </w:r>
          </w:p>
        </w:tc>
        <w:tc>
          <w:tcPr>
            <w:tcW w:w="760" w:type="dxa"/>
            <w:tcBorders>
              <w:top w:val="nil"/>
              <w:left w:val="nil"/>
              <w:bottom w:val="single" w:sz="4" w:space="0" w:color="ADD6EA"/>
              <w:right w:val="nil"/>
            </w:tcBorders>
            <w:shd w:val="clear" w:color="000000" w:fill="B6D5E4"/>
            <w:noWrap/>
            <w:vAlign w:val="bottom"/>
            <w:hideMark/>
          </w:tcPr>
          <w:p w14:paraId="031DEC40"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$pc</w:t>
            </w:r>
          </w:p>
        </w:tc>
        <w:tc>
          <w:tcPr>
            <w:tcW w:w="760" w:type="dxa"/>
            <w:tcBorders>
              <w:top w:val="nil"/>
              <w:left w:val="nil"/>
              <w:bottom w:val="single" w:sz="4" w:space="0" w:color="ADD6EA"/>
              <w:right w:val="nil"/>
            </w:tcBorders>
            <w:shd w:val="clear" w:color="000000" w:fill="B6D5E4"/>
            <w:noWrap/>
            <w:vAlign w:val="bottom"/>
            <w:hideMark/>
          </w:tcPr>
          <w:p w14:paraId="2DFD12CA"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$pc</w:t>
            </w:r>
          </w:p>
        </w:tc>
        <w:tc>
          <w:tcPr>
            <w:tcW w:w="760" w:type="dxa"/>
            <w:tcBorders>
              <w:top w:val="nil"/>
              <w:left w:val="nil"/>
              <w:bottom w:val="single" w:sz="4" w:space="0" w:color="ADD6EA"/>
              <w:right w:val="nil"/>
            </w:tcBorders>
            <w:shd w:val="clear" w:color="000000" w:fill="B6D5E4"/>
            <w:noWrap/>
            <w:vAlign w:val="bottom"/>
            <w:hideMark/>
          </w:tcPr>
          <w:p w14:paraId="60C6AA6C"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$pc</w:t>
            </w:r>
          </w:p>
        </w:tc>
        <w:tc>
          <w:tcPr>
            <w:tcW w:w="760" w:type="dxa"/>
            <w:tcBorders>
              <w:top w:val="nil"/>
              <w:left w:val="nil"/>
              <w:bottom w:val="single" w:sz="4" w:space="0" w:color="ADD6EA"/>
              <w:right w:val="nil"/>
            </w:tcBorders>
            <w:shd w:val="clear" w:color="000000" w:fill="B6D5E4"/>
            <w:noWrap/>
            <w:vAlign w:val="bottom"/>
            <w:hideMark/>
          </w:tcPr>
          <w:p w14:paraId="4084D650"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$pc</w:t>
            </w:r>
          </w:p>
        </w:tc>
        <w:tc>
          <w:tcPr>
            <w:tcW w:w="760" w:type="dxa"/>
            <w:tcBorders>
              <w:top w:val="nil"/>
              <w:left w:val="nil"/>
              <w:bottom w:val="single" w:sz="4" w:space="0" w:color="ADD6EA"/>
              <w:right w:val="nil"/>
            </w:tcBorders>
            <w:shd w:val="clear" w:color="000000" w:fill="B6D5E4"/>
            <w:noWrap/>
            <w:vAlign w:val="bottom"/>
            <w:hideMark/>
          </w:tcPr>
          <w:p w14:paraId="431E962D"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$pc</w:t>
            </w:r>
          </w:p>
        </w:tc>
        <w:tc>
          <w:tcPr>
            <w:tcW w:w="760" w:type="dxa"/>
            <w:tcBorders>
              <w:top w:val="nil"/>
              <w:left w:val="nil"/>
              <w:bottom w:val="single" w:sz="4" w:space="0" w:color="ADD6EA"/>
              <w:right w:val="nil"/>
            </w:tcBorders>
            <w:shd w:val="clear" w:color="000000" w:fill="B6D5E4"/>
            <w:noWrap/>
            <w:vAlign w:val="bottom"/>
            <w:hideMark/>
          </w:tcPr>
          <w:p w14:paraId="07741165"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$pc</w:t>
            </w:r>
          </w:p>
        </w:tc>
      </w:tr>
      <w:tr w:rsidR="007E365E" w:rsidRPr="00433B04" w14:paraId="66E4161E" w14:textId="77777777" w:rsidTr="007D1D77">
        <w:trPr>
          <w:trHeight w:val="318"/>
        </w:trPr>
        <w:tc>
          <w:tcPr>
            <w:tcW w:w="2060" w:type="dxa"/>
            <w:tcBorders>
              <w:top w:val="nil"/>
              <w:left w:val="nil"/>
              <w:bottom w:val="single" w:sz="4" w:space="0" w:color="ADD6EA"/>
              <w:right w:val="nil"/>
            </w:tcBorders>
            <w:shd w:val="clear" w:color="auto" w:fill="auto"/>
            <w:vAlign w:val="bottom"/>
            <w:hideMark/>
          </w:tcPr>
          <w:p w14:paraId="5090EF8F"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Schools</w:t>
            </w:r>
          </w:p>
        </w:tc>
        <w:tc>
          <w:tcPr>
            <w:tcW w:w="760" w:type="dxa"/>
            <w:tcBorders>
              <w:top w:val="nil"/>
              <w:left w:val="nil"/>
              <w:bottom w:val="single" w:sz="4" w:space="0" w:color="ADD6EA"/>
              <w:right w:val="nil"/>
            </w:tcBorders>
            <w:shd w:val="clear" w:color="auto" w:fill="auto"/>
            <w:vAlign w:val="bottom"/>
            <w:hideMark/>
          </w:tcPr>
          <w:p w14:paraId="63431D8F"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-10</w:t>
            </w:r>
          </w:p>
        </w:tc>
        <w:tc>
          <w:tcPr>
            <w:tcW w:w="760" w:type="dxa"/>
            <w:tcBorders>
              <w:top w:val="nil"/>
              <w:left w:val="nil"/>
              <w:bottom w:val="single" w:sz="4" w:space="0" w:color="ADD6EA"/>
              <w:right w:val="nil"/>
            </w:tcBorders>
            <w:shd w:val="clear" w:color="auto" w:fill="auto"/>
            <w:vAlign w:val="bottom"/>
            <w:hideMark/>
          </w:tcPr>
          <w:p w14:paraId="20D1E44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vAlign w:val="bottom"/>
            <w:hideMark/>
          </w:tcPr>
          <w:p w14:paraId="2F2F056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vAlign w:val="bottom"/>
            <w:hideMark/>
          </w:tcPr>
          <w:p w14:paraId="39F0290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11</w:t>
            </w:r>
          </w:p>
        </w:tc>
        <w:tc>
          <w:tcPr>
            <w:tcW w:w="760" w:type="dxa"/>
            <w:tcBorders>
              <w:top w:val="nil"/>
              <w:left w:val="nil"/>
              <w:bottom w:val="single" w:sz="4" w:space="0" w:color="ADD6EA"/>
              <w:right w:val="nil"/>
            </w:tcBorders>
            <w:shd w:val="clear" w:color="auto" w:fill="auto"/>
            <w:vAlign w:val="bottom"/>
            <w:hideMark/>
          </w:tcPr>
          <w:p w14:paraId="4D63944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auto" w:fill="auto"/>
            <w:vAlign w:val="bottom"/>
            <w:hideMark/>
          </w:tcPr>
          <w:p w14:paraId="003BC58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-30</w:t>
            </w:r>
          </w:p>
        </w:tc>
        <w:tc>
          <w:tcPr>
            <w:tcW w:w="760" w:type="dxa"/>
            <w:tcBorders>
              <w:top w:val="nil"/>
              <w:left w:val="nil"/>
              <w:bottom w:val="single" w:sz="4" w:space="0" w:color="ADD6EA"/>
              <w:right w:val="nil"/>
            </w:tcBorders>
            <w:shd w:val="clear" w:color="auto" w:fill="auto"/>
            <w:vAlign w:val="bottom"/>
            <w:hideMark/>
          </w:tcPr>
          <w:p w14:paraId="10168BB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53</w:t>
            </w:r>
          </w:p>
        </w:tc>
        <w:tc>
          <w:tcPr>
            <w:tcW w:w="760" w:type="dxa"/>
            <w:tcBorders>
              <w:top w:val="nil"/>
              <w:left w:val="nil"/>
              <w:bottom w:val="single" w:sz="4" w:space="0" w:color="ADD6EA"/>
              <w:right w:val="nil"/>
            </w:tcBorders>
            <w:shd w:val="clear" w:color="auto" w:fill="auto"/>
            <w:vAlign w:val="bottom"/>
            <w:hideMark/>
          </w:tcPr>
          <w:p w14:paraId="4BF9B42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-67</w:t>
            </w:r>
          </w:p>
        </w:tc>
        <w:tc>
          <w:tcPr>
            <w:tcW w:w="760" w:type="dxa"/>
            <w:tcBorders>
              <w:top w:val="nil"/>
              <w:left w:val="nil"/>
              <w:bottom w:val="single" w:sz="4" w:space="0" w:color="ADD6EA"/>
              <w:right w:val="nil"/>
            </w:tcBorders>
            <w:shd w:val="clear" w:color="auto" w:fill="auto"/>
            <w:vAlign w:val="bottom"/>
            <w:hideMark/>
          </w:tcPr>
          <w:p w14:paraId="4580525A"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w:t>
            </w:r>
          </w:p>
        </w:tc>
      </w:tr>
      <w:tr w:rsidR="007E365E" w:rsidRPr="00433B04" w14:paraId="1C2F7DF6" w14:textId="77777777" w:rsidTr="007D1D77">
        <w:trPr>
          <w:trHeight w:val="318"/>
        </w:trPr>
        <w:tc>
          <w:tcPr>
            <w:tcW w:w="2060" w:type="dxa"/>
            <w:tcBorders>
              <w:top w:val="nil"/>
              <w:left w:val="nil"/>
              <w:bottom w:val="single" w:sz="4" w:space="0" w:color="ADD6EA"/>
              <w:right w:val="nil"/>
            </w:tcBorders>
            <w:shd w:val="clear" w:color="auto" w:fill="auto"/>
            <w:vAlign w:val="bottom"/>
            <w:hideMark/>
          </w:tcPr>
          <w:p w14:paraId="57316B6B"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Post-secondary</w:t>
            </w:r>
          </w:p>
        </w:tc>
        <w:tc>
          <w:tcPr>
            <w:tcW w:w="760" w:type="dxa"/>
            <w:tcBorders>
              <w:top w:val="nil"/>
              <w:left w:val="nil"/>
              <w:bottom w:val="single" w:sz="4" w:space="0" w:color="ADD6EA"/>
              <w:right w:val="nil"/>
            </w:tcBorders>
            <w:shd w:val="clear" w:color="auto" w:fill="auto"/>
            <w:vAlign w:val="bottom"/>
            <w:hideMark/>
          </w:tcPr>
          <w:p w14:paraId="1DF2BEA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04885A18"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7DF50D4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3D0A5BD8"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5172303B"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24B11B3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396D769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376AD9B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vAlign w:val="bottom"/>
            <w:hideMark/>
          </w:tcPr>
          <w:p w14:paraId="192E318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r>
      <w:tr w:rsidR="007E365E" w:rsidRPr="00433B04" w14:paraId="5C2CD729" w14:textId="77777777" w:rsidTr="007D1D77">
        <w:trPr>
          <w:trHeight w:val="318"/>
        </w:trPr>
        <w:tc>
          <w:tcPr>
            <w:tcW w:w="2060" w:type="dxa"/>
            <w:tcBorders>
              <w:top w:val="nil"/>
              <w:left w:val="nil"/>
              <w:bottom w:val="single" w:sz="4" w:space="0" w:color="ADD6EA"/>
              <w:right w:val="nil"/>
            </w:tcBorders>
            <w:shd w:val="clear" w:color="auto" w:fill="auto"/>
            <w:vAlign w:val="bottom"/>
            <w:hideMark/>
          </w:tcPr>
          <w:p w14:paraId="64FFFF63"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Health</w:t>
            </w:r>
          </w:p>
        </w:tc>
        <w:tc>
          <w:tcPr>
            <w:tcW w:w="760" w:type="dxa"/>
            <w:tcBorders>
              <w:top w:val="nil"/>
              <w:left w:val="nil"/>
              <w:bottom w:val="single" w:sz="4" w:space="0" w:color="ADD6EA"/>
              <w:right w:val="nil"/>
            </w:tcBorders>
            <w:shd w:val="clear" w:color="auto" w:fill="auto"/>
            <w:vAlign w:val="bottom"/>
            <w:hideMark/>
          </w:tcPr>
          <w:p w14:paraId="4BF55B9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vAlign w:val="bottom"/>
            <w:hideMark/>
          </w:tcPr>
          <w:p w14:paraId="1EC6CB6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auto" w:fill="auto"/>
            <w:vAlign w:val="bottom"/>
            <w:hideMark/>
          </w:tcPr>
          <w:p w14:paraId="4B750BD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auto" w:fill="auto"/>
            <w:vAlign w:val="bottom"/>
            <w:hideMark/>
          </w:tcPr>
          <w:p w14:paraId="64537158"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7030390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vAlign w:val="bottom"/>
            <w:hideMark/>
          </w:tcPr>
          <w:p w14:paraId="050979C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70</w:t>
            </w:r>
          </w:p>
        </w:tc>
        <w:tc>
          <w:tcPr>
            <w:tcW w:w="760" w:type="dxa"/>
            <w:tcBorders>
              <w:top w:val="nil"/>
              <w:left w:val="nil"/>
              <w:bottom w:val="single" w:sz="4" w:space="0" w:color="ADD6EA"/>
              <w:right w:val="nil"/>
            </w:tcBorders>
            <w:shd w:val="clear" w:color="auto" w:fill="auto"/>
            <w:vAlign w:val="bottom"/>
            <w:hideMark/>
          </w:tcPr>
          <w:p w14:paraId="5791508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-32</w:t>
            </w:r>
          </w:p>
        </w:tc>
        <w:tc>
          <w:tcPr>
            <w:tcW w:w="760" w:type="dxa"/>
            <w:tcBorders>
              <w:top w:val="nil"/>
              <w:left w:val="nil"/>
              <w:bottom w:val="single" w:sz="4" w:space="0" w:color="ADD6EA"/>
              <w:right w:val="nil"/>
            </w:tcBorders>
            <w:shd w:val="clear" w:color="auto" w:fill="auto"/>
            <w:vAlign w:val="bottom"/>
            <w:hideMark/>
          </w:tcPr>
          <w:p w14:paraId="7CCA722D"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242</w:t>
            </w:r>
          </w:p>
        </w:tc>
        <w:tc>
          <w:tcPr>
            <w:tcW w:w="760" w:type="dxa"/>
            <w:tcBorders>
              <w:top w:val="nil"/>
              <w:left w:val="nil"/>
              <w:bottom w:val="single" w:sz="4" w:space="0" w:color="ADD6EA"/>
              <w:right w:val="nil"/>
            </w:tcBorders>
            <w:shd w:val="clear" w:color="auto" w:fill="auto"/>
            <w:vAlign w:val="bottom"/>
            <w:hideMark/>
          </w:tcPr>
          <w:p w14:paraId="7D8B183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6</w:t>
            </w:r>
          </w:p>
        </w:tc>
      </w:tr>
      <w:tr w:rsidR="007E365E" w:rsidRPr="00433B04" w14:paraId="3BD87BD9" w14:textId="77777777" w:rsidTr="007D1D77">
        <w:trPr>
          <w:trHeight w:val="318"/>
        </w:trPr>
        <w:tc>
          <w:tcPr>
            <w:tcW w:w="2060" w:type="dxa"/>
            <w:tcBorders>
              <w:top w:val="nil"/>
              <w:left w:val="nil"/>
              <w:bottom w:val="single" w:sz="4" w:space="0" w:color="ADD6EA"/>
              <w:right w:val="nil"/>
            </w:tcBorders>
            <w:shd w:val="clear" w:color="auto" w:fill="auto"/>
            <w:vAlign w:val="bottom"/>
            <w:hideMark/>
          </w:tcPr>
          <w:p w14:paraId="3F47305D"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Housing</w:t>
            </w:r>
          </w:p>
        </w:tc>
        <w:tc>
          <w:tcPr>
            <w:tcW w:w="760" w:type="dxa"/>
            <w:tcBorders>
              <w:top w:val="nil"/>
              <w:left w:val="nil"/>
              <w:bottom w:val="single" w:sz="4" w:space="0" w:color="ADD6EA"/>
              <w:right w:val="nil"/>
            </w:tcBorders>
            <w:shd w:val="clear" w:color="auto" w:fill="auto"/>
            <w:vAlign w:val="bottom"/>
            <w:hideMark/>
          </w:tcPr>
          <w:p w14:paraId="29172BEA"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78FC787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12</w:t>
            </w:r>
          </w:p>
        </w:tc>
        <w:tc>
          <w:tcPr>
            <w:tcW w:w="760" w:type="dxa"/>
            <w:tcBorders>
              <w:top w:val="nil"/>
              <w:left w:val="nil"/>
              <w:bottom w:val="single" w:sz="4" w:space="0" w:color="ADD6EA"/>
              <w:right w:val="nil"/>
            </w:tcBorders>
            <w:shd w:val="clear" w:color="auto" w:fill="auto"/>
            <w:vAlign w:val="bottom"/>
            <w:hideMark/>
          </w:tcPr>
          <w:p w14:paraId="08A6398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6BF906C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-19</w:t>
            </w:r>
          </w:p>
        </w:tc>
        <w:tc>
          <w:tcPr>
            <w:tcW w:w="760" w:type="dxa"/>
            <w:tcBorders>
              <w:top w:val="nil"/>
              <w:left w:val="nil"/>
              <w:bottom w:val="single" w:sz="4" w:space="0" w:color="ADD6EA"/>
              <w:right w:val="nil"/>
            </w:tcBorders>
            <w:shd w:val="clear" w:color="auto" w:fill="auto"/>
            <w:vAlign w:val="bottom"/>
            <w:hideMark/>
          </w:tcPr>
          <w:p w14:paraId="4B85858A"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-20</w:t>
            </w:r>
          </w:p>
        </w:tc>
        <w:tc>
          <w:tcPr>
            <w:tcW w:w="760" w:type="dxa"/>
            <w:tcBorders>
              <w:top w:val="nil"/>
              <w:left w:val="nil"/>
              <w:bottom w:val="single" w:sz="4" w:space="0" w:color="ADD6EA"/>
              <w:right w:val="nil"/>
            </w:tcBorders>
            <w:shd w:val="clear" w:color="auto" w:fill="auto"/>
            <w:vAlign w:val="bottom"/>
            <w:hideMark/>
          </w:tcPr>
          <w:p w14:paraId="5C60CE2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auto" w:fill="auto"/>
            <w:vAlign w:val="bottom"/>
            <w:hideMark/>
          </w:tcPr>
          <w:p w14:paraId="08D2ACC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153A2D2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-58</w:t>
            </w:r>
          </w:p>
        </w:tc>
        <w:tc>
          <w:tcPr>
            <w:tcW w:w="760" w:type="dxa"/>
            <w:tcBorders>
              <w:top w:val="nil"/>
              <w:left w:val="nil"/>
              <w:bottom w:val="single" w:sz="4" w:space="0" w:color="ADD6EA"/>
              <w:right w:val="nil"/>
            </w:tcBorders>
            <w:shd w:val="clear" w:color="auto" w:fill="auto"/>
            <w:vAlign w:val="bottom"/>
            <w:hideMark/>
          </w:tcPr>
          <w:p w14:paraId="73E1E34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w:t>
            </w:r>
          </w:p>
        </w:tc>
      </w:tr>
      <w:tr w:rsidR="007E365E" w:rsidRPr="00433B04" w14:paraId="635254DC" w14:textId="77777777" w:rsidTr="007D1D77">
        <w:trPr>
          <w:trHeight w:val="318"/>
        </w:trPr>
        <w:tc>
          <w:tcPr>
            <w:tcW w:w="2060" w:type="dxa"/>
            <w:tcBorders>
              <w:top w:val="nil"/>
              <w:left w:val="nil"/>
              <w:bottom w:val="single" w:sz="4" w:space="0" w:color="ADD6EA"/>
              <w:right w:val="nil"/>
            </w:tcBorders>
            <w:shd w:val="clear" w:color="auto" w:fill="auto"/>
            <w:vAlign w:val="bottom"/>
            <w:hideMark/>
          </w:tcPr>
          <w:p w14:paraId="7B140D11"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Welfare</w:t>
            </w:r>
          </w:p>
        </w:tc>
        <w:tc>
          <w:tcPr>
            <w:tcW w:w="760" w:type="dxa"/>
            <w:tcBorders>
              <w:top w:val="nil"/>
              <w:left w:val="nil"/>
              <w:bottom w:val="single" w:sz="4" w:space="0" w:color="ADD6EA"/>
              <w:right w:val="nil"/>
            </w:tcBorders>
            <w:shd w:val="clear" w:color="auto" w:fill="auto"/>
            <w:vAlign w:val="bottom"/>
            <w:hideMark/>
          </w:tcPr>
          <w:p w14:paraId="4B46523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63CBF5F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22A71E1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0039C4F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4345766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5ADBCB8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3D1C8D5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0B66B6B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17</w:t>
            </w:r>
          </w:p>
        </w:tc>
        <w:tc>
          <w:tcPr>
            <w:tcW w:w="760" w:type="dxa"/>
            <w:tcBorders>
              <w:top w:val="nil"/>
              <w:left w:val="nil"/>
              <w:bottom w:val="single" w:sz="4" w:space="0" w:color="ADD6EA"/>
              <w:right w:val="nil"/>
            </w:tcBorders>
            <w:shd w:val="clear" w:color="auto" w:fill="auto"/>
            <w:vAlign w:val="bottom"/>
            <w:hideMark/>
          </w:tcPr>
          <w:p w14:paraId="7E7B82B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r>
      <w:tr w:rsidR="007E365E" w:rsidRPr="00433B04" w14:paraId="056420EF" w14:textId="77777777" w:rsidTr="007D1D77">
        <w:trPr>
          <w:trHeight w:val="318"/>
        </w:trPr>
        <w:tc>
          <w:tcPr>
            <w:tcW w:w="2060" w:type="dxa"/>
            <w:tcBorders>
              <w:top w:val="nil"/>
              <w:left w:val="nil"/>
              <w:bottom w:val="single" w:sz="4" w:space="0" w:color="ADD6EA"/>
              <w:right w:val="nil"/>
            </w:tcBorders>
            <w:shd w:val="clear" w:color="auto" w:fill="auto"/>
            <w:vAlign w:val="bottom"/>
            <w:hideMark/>
          </w:tcPr>
          <w:p w14:paraId="688E668B"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Services to communities</w:t>
            </w:r>
          </w:p>
        </w:tc>
        <w:tc>
          <w:tcPr>
            <w:tcW w:w="760" w:type="dxa"/>
            <w:tcBorders>
              <w:top w:val="nil"/>
              <w:left w:val="nil"/>
              <w:bottom w:val="single" w:sz="4" w:space="0" w:color="ADD6EA"/>
              <w:right w:val="nil"/>
            </w:tcBorders>
            <w:shd w:val="clear" w:color="auto" w:fill="auto"/>
            <w:vAlign w:val="bottom"/>
            <w:hideMark/>
          </w:tcPr>
          <w:p w14:paraId="3A00CE8B"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C00817D"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4A746DD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6FA63A8D"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5721199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2BDEFB0A"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245171E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638C228E"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121687CB"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r>
      <w:tr w:rsidR="007E365E" w:rsidRPr="00433B04" w14:paraId="2F61C9C9" w14:textId="77777777" w:rsidTr="007D1D77">
        <w:trPr>
          <w:trHeight w:val="318"/>
        </w:trPr>
        <w:tc>
          <w:tcPr>
            <w:tcW w:w="2060" w:type="dxa"/>
            <w:tcBorders>
              <w:top w:val="nil"/>
              <w:left w:val="nil"/>
              <w:bottom w:val="single" w:sz="4" w:space="0" w:color="ADD6EA"/>
              <w:right w:val="nil"/>
            </w:tcBorders>
            <w:shd w:val="clear" w:color="auto" w:fill="auto"/>
            <w:vAlign w:val="bottom"/>
            <w:hideMark/>
          </w:tcPr>
          <w:p w14:paraId="6D502E6A"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Justice</w:t>
            </w:r>
          </w:p>
        </w:tc>
        <w:tc>
          <w:tcPr>
            <w:tcW w:w="760" w:type="dxa"/>
            <w:tcBorders>
              <w:top w:val="nil"/>
              <w:left w:val="nil"/>
              <w:bottom w:val="single" w:sz="4" w:space="0" w:color="ADD6EA"/>
              <w:right w:val="nil"/>
            </w:tcBorders>
            <w:shd w:val="clear" w:color="auto" w:fill="auto"/>
            <w:vAlign w:val="bottom"/>
            <w:hideMark/>
          </w:tcPr>
          <w:p w14:paraId="38117E3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1222BDA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59D2445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7294E94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55C5B4D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vAlign w:val="bottom"/>
            <w:hideMark/>
          </w:tcPr>
          <w:p w14:paraId="1CB8502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auto" w:fill="auto"/>
            <w:vAlign w:val="bottom"/>
            <w:hideMark/>
          </w:tcPr>
          <w:p w14:paraId="65E71DFD"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-16</w:t>
            </w:r>
          </w:p>
        </w:tc>
        <w:tc>
          <w:tcPr>
            <w:tcW w:w="760" w:type="dxa"/>
            <w:tcBorders>
              <w:top w:val="nil"/>
              <w:left w:val="nil"/>
              <w:bottom w:val="single" w:sz="4" w:space="0" w:color="ADD6EA"/>
              <w:right w:val="nil"/>
            </w:tcBorders>
            <w:shd w:val="clear" w:color="auto" w:fill="auto"/>
            <w:vAlign w:val="bottom"/>
            <w:hideMark/>
          </w:tcPr>
          <w:p w14:paraId="6E76537D"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206</w:t>
            </w:r>
          </w:p>
        </w:tc>
        <w:tc>
          <w:tcPr>
            <w:tcW w:w="760" w:type="dxa"/>
            <w:tcBorders>
              <w:top w:val="nil"/>
              <w:left w:val="nil"/>
              <w:bottom w:val="single" w:sz="4" w:space="0" w:color="ADD6EA"/>
              <w:right w:val="nil"/>
            </w:tcBorders>
            <w:shd w:val="clear" w:color="auto" w:fill="auto"/>
            <w:vAlign w:val="bottom"/>
            <w:hideMark/>
          </w:tcPr>
          <w:p w14:paraId="4C6DE7C8"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w:t>
            </w:r>
          </w:p>
        </w:tc>
      </w:tr>
      <w:tr w:rsidR="007E365E" w:rsidRPr="00433B04" w14:paraId="5EB3A31B" w14:textId="77777777" w:rsidTr="007D1D77">
        <w:trPr>
          <w:trHeight w:val="318"/>
        </w:trPr>
        <w:tc>
          <w:tcPr>
            <w:tcW w:w="2060" w:type="dxa"/>
            <w:tcBorders>
              <w:top w:val="nil"/>
              <w:left w:val="nil"/>
              <w:bottom w:val="single" w:sz="4" w:space="0" w:color="ADD6EA"/>
              <w:right w:val="nil"/>
            </w:tcBorders>
            <w:shd w:val="clear" w:color="auto" w:fill="auto"/>
            <w:vAlign w:val="bottom"/>
            <w:hideMark/>
          </w:tcPr>
          <w:p w14:paraId="5586ED99"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Rural roads</w:t>
            </w:r>
          </w:p>
        </w:tc>
        <w:tc>
          <w:tcPr>
            <w:tcW w:w="760" w:type="dxa"/>
            <w:tcBorders>
              <w:top w:val="nil"/>
              <w:left w:val="nil"/>
              <w:bottom w:val="single" w:sz="4" w:space="0" w:color="ADD6EA"/>
              <w:right w:val="nil"/>
            </w:tcBorders>
            <w:shd w:val="clear" w:color="auto" w:fill="auto"/>
            <w:vAlign w:val="bottom"/>
            <w:hideMark/>
          </w:tcPr>
          <w:p w14:paraId="3455EEA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-54</w:t>
            </w:r>
          </w:p>
        </w:tc>
        <w:tc>
          <w:tcPr>
            <w:tcW w:w="760" w:type="dxa"/>
            <w:tcBorders>
              <w:top w:val="nil"/>
              <w:left w:val="nil"/>
              <w:bottom w:val="single" w:sz="4" w:space="0" w:color="ADD6EA"/>
              <w:right w:val="nil"/>
            </w:tcBorders>
            <w:shd w:val="clear" w:color="auto" w:fill="auto"/>
            <w:vAlign w:val="bottom"/>
            <w:hideMark/>
          </w:tcPr>
          <w:p w14:paraId="5FB1885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-113</w:t>
            </w:r>
          </w:p>
        </w:tc>
        <w:tc>
          <w:tcPr>
            <w:tcW w:w="760" w:type="dxa"/>
            <w:tcBorders>
              <w:top w:val="nil"/>
              <w:left w:val="nil"/>
              <w:bottom w:val="single" w:sz="4" w:space="0" w:color="ADD6EA"/>
              <w:right w:val="nil"/>
            </w:tcBorders>
            <w:shd w:val="clear" w:color="auto" w:fill="auto"/>
            <w:vAlign w:val="bottom"/>
            <w:hideMark/>
          </w:tcPr>
          <w:p w14:paraId="38C814E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77</w:t>
            </w:r>
          </w:p>
        </w:tc>
        <w:tc>
          <w:tcPr>
            <w:tcW w:w="760" w:type="dxa"/>
            <w:tcBorders>
              <w:top w:val="nil"/>
              <w:left w:val="nil"/>
              <w:bottom w:val="single" w:sz="4" w:space="0" w:color="ADD6EA"/>
              <w:right w:val="nil"/>
            </w:tcBorders>
            <w:shd w:val="clear" w:color="auto" w:fill="auto"/>
            <w:vAlign w:val="bottom"/>
            <w:hideMark/>
          </w:tcPr>
          <w:p w14:paraId="6ED6843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153</w:t>
            </w:r>
          </w:p>
        </w:tc>
        <w:tc>
          <w:tcPr>
            <w:tcW w:w="760" w:type="dxa"/>
            <w:tcBorders>
              <w:top w:val="nil"/>
              <w:left w:val="nil"/>
              <w:bottom w:val="single" w:sz="4" w:space="0" w:color="ADD6EA"/>
              <w:right w:val="nil"/>
            </w:tcBorders>
            <w:shd w:val="clear" w:color="auto" w:fill="auto"/>
            <w:vAlign w:val="bottom"/>
            <w:hideMark/>
          </w:tcPr>
          <w:p w14:paraId="369BD2FB"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52</w:t>
            </w:r>
          </w:p>
        </w:tc>
        <w:tc>
          <w:tcPr>
            <w:tcW w:w="760" w:type="dxa"/>
            <w:tcBorders>
              <w:top w:val="nil"/>
              <w:left w:val="nil"/>
              <w:bottom w:val="single" w:sz="4" w:space="0" w:color="ADD6EA"/>
              <w:right w:val="nil"/>
            </w:tcBorders>
            <w:shd w:val="clear" w:color="auto" w:fill="auto"/>
            <w:vAlign w:val="bottom"/>
            <w:hideMark/>
          </w:tcPr>
          <w:p w14:paraId="12F9B14A"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24</w:t>
            </w:r>
          </w:p>
        </w:tc>
        <w:tc>
          <w:tcPr>
            <w:tcW w:w="760" w:type="dxa"/>
            <w:tcBorders>
              <w:top w:val="nil"/>
              <w:left w:val="nil"/>
              <w:bottom w:val="single" w:sz="4" w:space="0" w:color="ADD6EA"/>
              <w:right w:val="nil"/>
            </w:tcBorders>
            <w:shd w:val="clear" w:color="auto" w:fill="auto"/>
            <w:vAlign w:val="bottom"/>
            <w:hideMark/>
          </w:tcPr>
          <w:p w14:paraId="1013300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-186</w:t>
            </w:r>
          </w:p>
        </w:tc>
        <w:tc>
          <w:tcPr>
            <w:tcW w:w="760" w:type="dxa"/>
            <w:tcBorders>
              <w:top w:val="nil"/>
              <w:left w:val="nil"/>
              <w:bottom w:val="single" w:sz="4" w:space="0" w:color="ADD6EA"/>
              <w:right w:val="nil"/>
            </w:tcBorders>
            <w:shd w:val="clear" w:color="auto" w:fill="auto"/>
            <w:vAlign w:val="bottom"/>
            <w:hideMark/>
          </w:tcPr>
          <w:p w14:paraId="4B25AB8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1,550</w:t>
            </w:r>
          </w:p>
        </w:tc>
        <w:tc>
          <w:tcPr>
            <w:tcW w:w="760" w:type="dxa"/>
            <w:tcBorders>
              <w:top w:val="nil"/>
              <w:left w:val="nil"/>
              <w:bottom w:val="single" w:sz="4" w:space="0" w:color="ADD6EA"/>
              <w:right w:val="nil"/>
            </w:tcBorders>
            <w:shd w:val="clear" w:color="auto" w:fill="auto"/>
            <w:vAlign w:val="bottom"/>
            <w:hideMark/>
          </w:tcPr>
          <w:p w14:paraId="7F32E62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50</w:t>
            </w:r>
          </w:p>
        </w:tc>
      </w:tr>
      <w:tr w:rsidR="007E365E" w:rsidRPr="00433B04" w14:paraId="6CEB0F44" w14:textId="77777777" w:rsidTr="007D1D77">
        <w:trPr>
          <w:trHeight w:val="318"/>
        </w:trPr>
        <w:tc>
          <w:tcPr>
            <w:tcW w:w="2060" w:type="dxa"/>
            <w:tcBorders>
              <w:top w:val="nil"/>
              <w:left w:val="nil"/>
              <w:bottom w:val="single" w:sz="4" w:space="0" w:color="ADD6EA"/>
              <w:right w:val="nil"/>
            </w:tcBorders>
            <w:shd w:val="clear" w:color="auto" w:fill="auto"/>
            <w:vAlign w:val="bottom"/>
            <w:hideMark/>
          </w:tcPr>
          <w:p w14:paraId="2C852D49"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Urban roads</w:t>
            </w:r>
          </w:p>
        </w:tc>
        <w:tc>
          <w:tcPr>
            <w:tcW w:w="760" w:type="dxa"/>
            <w:tcBorders>
              <w:top w:val="nil"/>
              <w:left w:val="nil"/>
              <w:bottom w:val="single" w:sz="4" w:space="0" w:color="ADD6EA"/>
              <w:right w:val="nil"/>
            </w:tcBorders>
            <w:shd w:val="clear" w:color="auto" w:fill="auto"/>
            <w:vAlign w:val="bottom"/>
            <w:hideMark/>
          </w:tcPr>
          <w:p w14:paraId="0C27014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4F686CF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11</w:t>
            </w:r>
          </w:p>
        </w:tc>
        <w:tc>
          <w:tcPr>
            <w:tcW w:w="760" w:type="dxa"/>
            <w:tcBorders>
              <w:top w:val="nil"/>
              <w:left w:val="nil"/>
              <w:bottom w:val="single" w:sz="4" w:space="0" w:color="ADD6EA"/>
              <w:right w:val="nil"/>
            </w:tcBorders>
            <w:shd w:val="clear" w:color="auto" w:fill="auto"/>
            <w:vAlign w:val="bottom"/>
            <w:hideMark/>
          </w:tcPr>
          <w:p w14:paraId="742807DB"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10</w:t>
            </w:r>
          </w:p>
        </w:tc>
        <w:tc>
          <w:tcPr>
            <w:tcW w:w="760" w:type="dxa"/>
            <w:tcBorders>
              <w:top w:val="nil"/>
              <w:left w:val="nil"/>
              <w:bottom w:val="single" w:sz="4" w:space="0" w:color="ADD6EA"/>
              <w:right w:val="nil"/>
            </w:tcBorders>
            <w:shd w:val="clear" w:color="auto" w:fill="auto"/>
            <w:vAlign w:val="bottom"/>
            <w:hideMark/>
          </w:tcPr>
          <w:p w14:paraId="3EC2402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-17</w:t>
            </w:r>
          </w:p>
        </w:tc>
        <w:tc>
          <w:tcPr>
            <w:tcW w:w="760" w:type="dxa"/>
            <w:tcBorders>
              <w:top w:val="nil"/>
              <w:left w:val="nil"/>
              <w:bottom w:val="single" w:sz="4" w:space="0" w:color="ADD6EA"/>
              <w:right w:val="nil"/>
            </w:tcBorders>
            <w:shd w:val="clear" w:color="auto" w:fill="auto"/>
            <w:vAlign w:val="bottom"/>
            <w:hideMark/>
          </w:tcPr>
          <w:p w14:paraId="3D2367FD"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-49</w:t>
            </w:r>
          </w:p>
        </w:tc>
        <w:tc>
          <w:tcPr>
            <w:tcW w:w="760" w:type="dxa"/>
            <w:tcBorders>
              <w:top w:val="nil"/>
              <w:left w:val="nil"/>
              <w:bottom w:val="single" w:sz="4" w:space="0" w:color="ADD6EA"/>
              <w:right w:val="nil"/>
            </w:tcBorders>
            <w:shd w:val="clear" w:color="auto" w:fill="auto"/>
            <w:vAlign w:val="bottom"/>
            <w:hideMark/>
          </w:tcPr>
          <w:p w14:paraId="1259369F"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-51</w:t>
            </w:r>
          </w:p>
        </w:tc>
        <w:tc>
          <w:tcPr>
            <w:tcW w:w="760" w:type="dxa"/>
            <w:tcBorders>
              <w:top w:val="nil"/>
              <w:left w:val="nil"/>
              <w:bottom w:val="single" w:sz="4" w:space="0" w:color="ADD6EA"/>
              <w:right w:val="nil"/>
            </w:tcBorders>
            <w:shd w:val="clear" w:color="auto" w:fill="auto"/>
            <w:vAlign w:val="bottom"/>
            <w:hideMark/>
          </w:tcPr>
          <w:p w14:paraId="03911FD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48</w:t>
            </w:r>
          </w:p>
        </w:tc>
        <w:tc>
          <w:tcPr>
            <w:tcW w:w="760" w:type="dxa"/>
            <w:tcBorders>
              <w:top w:val="nil"/>
              <w:left w:val="nil"/>
              <w:bottom w:val="single" w:sz="4" w:space="0" w:color="ADD6EA"/>
              <w:right w:val="nil"/>
            </w:tcBorders>
            <w:shd w:val="clear" w:color="auto" w:fill="auto"/>
            <w:vAlign w:val="bottom"/>
            <w:hideMark/>
          </w:tcPr>
          <w:p w14:paraId="717F702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-32</w:t>
            </w:r>
          </w:p>
        </w:tc>
        <w:tc>
          <w:tcPr>
            <w:tcW w:w="760" w:type="dxa"/>
            <w:tcBorders>
              <w:top w:val="nil"/>
              <w:left w:val="nil"/>
              <w:bottom w:val="single" w:sz="4" w:space="0" w:color="ADD6EA"/>
              <w:right w:val="nil"/>
            </w:tcBorders>
            <w:shd w:val="clear" w:color="auto" w:fill="auto"/>
            <w:vAlign w:val="bottom"/>
            <w:hideMark/>
          </w:tcPr>
          <w:p w14:paraId="40FE0AA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6</w:t>
            </w:r>
          </w:p>
        </w:tc>
      </w:tr>
      <w:tr w:rsidR="007E365E" w:rsidRPr="00433B04" w14:paraId="1F4D2C2F" w14:textId="77777777" w:rsidTr="007D1D77">
        <w:trPr>
          <w:trHeight w:val="318"/>
        </w:trPr>
        <w:tc>
          <w:tcPr>
            <w:tcW w:w="2060" w:type="dxa"/>
            <w:tcBorders>
              <w:top w:val="nil"/>
              <w:left w:val="nil"/>
              <w:bottom w:val="single" w:sz="4" w:space="0" w:color="ADD6EA"/>
              <w:right w:val="nil"/>
            </w:tcBorders>
            <w:shd w:val="clear" w:color="auto" w:fill="auto"/>
            <w:vAlign w:val="bottom"/>
            <w:hideMark/>
          </w:tcPr>
          <w:p w14:paraId="10B58DCE"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Urban transport</w:t>
            </w:r>
          </w:p>
        </w:tc>
        <w:tc>
          <w:tcPr>
            <w:tcW w:w="760" w:type="dxa"/>
            <w:tcBorders>
              <w:top w:val="nil"/>
              <w:left w:val="nil"/>
              <w:bottom w:val="single" w:sz="4" w:space="0" w:color="ADD6EA"/>
              <w:right w:val="nil"/>
            </w:tcBorders>
            <w:shd w:val="clear" w:color="auto" w:fill="auto"/>
            <w:vAlign w:val="bottom"/>
            <w:hideMark/>
          </w:tcPr>
          <w:p w14:paraId="200DD31B"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78</w:t>
            </w:r>
          </w:p>
        </w:tc>
        <w:tc>
          <w:tcPr>
            <w:tcW w:w="760" w:type="dxa"/>
            <w:tcBorders>
              <w:top w:val="nil"/>
              <w:left w:val="nil"/>
              <w:bottom w:val="single" w:sz="4" w:space="0" w:color="ADD6EA"/>
              <w:right w:val="nil"/>
            </w:tcBorders>
            <w:shd w:val="clear" w:color="auto" w:fill="auto"/>
            <w:vAlign w:val="bottom"/>
            <w:hideMark/>
          </w:tcPr>
          <w:p w14:paraId="4D68804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128</w:t>
            </w:r>
          </w:p>
        </w:tc>
        <w:tc>
          <w:tcPr>
            <w:tcW w:w="760" w:type="dxa"/>
            <w:tcBorders>
              <w:top w:val="nil"/>
              <w:left w:val="nil"/>
              <w:bottom w:val="single" w:sz="4" w:space="0" w:color="ADD6EA"/>
              <w:right w:val="nil"/>
            </w:tcBorders>
            <w:shd w:val="clear" w:color="auto" w:fill="auto"/>
            <w:vAlign w:val="bottom"/>
            <w:hideMark/>
          </w:tcPr>
          <w:p w14:paraId="3D0E435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-110</w:t>
            </w:r>
          </w:p>
        </w:tc>
        <w:tc>
          <w:tcPr>
            <w:tcW w:w="760" w:type="dxa"/>
            <w:tcBorders>
              <w:top w:val="nil"/>
              <w:left w:val="nil"/>
              <w:bottom w:val="single" w:sz="4" w:space="0" w:color="ADD6EA"/>
              <w:right w:val="nil"/>
            </w:tcBorders>
            <w:shd w:val="clear" w:color="auto" w:fill="auto"/>
            <w:vAlign w:val="bottom"/>
            <w:hideMark/>
          </w:tcPr>
          <w:p w14:paraId="6739494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-156</w:t>
            </w:r>
          </w:p>
        </w:tc>
        <w:tc>
          <w:tcPr>
            <w:tcW w:w="760" w:type="dxa"/>
            <w:tcBorders>
              <w:top w:val="nil"/>
              <w:left w:val="nil"/>
              <w:bottom w:val="single" w:sz="4" w:space="0" w:color="ADD6EA"/>
              <w:right w:val="nil"/>
            </w:tcBorders>
            <w:shd w:val="clear" w:color="auto" w:fill="auto"/>
            <w:vAlign w:val="bottom"/>
            <w:hideMark/>
          </w:tcPr>
          <w:p w14:paraId="1BBBF96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-174</w:t>
            </w:r>
          </w:p>
        </w:tc>
        <w:tc>
          <w:tcPr>
            <w:tcW w:w="760" w:type="dxa"/>
            <w:tcBorders>
              <w:top w:val="nil"/>
              <w:left w:val="nil"/>
              <w:bottom w:val="single" w:sz="4" w:space="0" w:color="ADD6EA"/>
              <w:right w:val="nil"/>
            </w:tcBorders>
            <w:shd w:val="clear" w:color="auto" w:fill="auto"/>
            <w:vAlign w:val="bottom"/>
            <w:hideMark/>
          </w:tcPr>
          <w:p w14:paraId="155B1C57"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-226</w:t>
            </w:r>
          </w:p>
        </w:tc>
        <w:tc>
          <w:tcPr>
            <w:tcW w:w="760" w:type="dxa"/>
            <w:tcBorders>
              <w:top w:val="nil"/>
              <w:left w:val="nil"/>
              <w:bottom w:val="single" w:sz="4" w:space="0" w:color="ADD6EA"/>
              <w:right w:val="nil"/>
            </w:tcBorders>
            <w:shd w:val="clear" w:color="auto" w:fill="auto"/>
            <w:vAlign w:val="bottom"/>
            <w:hideMark/>
          </w:tcPr>
          <w:p w14:paraId="635AF31F"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-89</w:t>
            </w:r>
          </w:p>
        </w:tc>
        <w:tc>
          <w:tcPr>
            <w:tcW w:w="760" w:type="dxa"/>
            <w:tcBorders>
              <w:top w:val="nil"/>
              <w:left w:val="nil"/>
              <w:bottom w:val="single" w:sz="4" w:space="0" w:color="ADD6EA"/>
              <w:right w:val="nil"/>
            </w:tcBorders>
            <w:shd w:val="clear" w:color="auto" w:fill="auto"/>
            <w:vAlign w:val="bottom"/>
            <w:hideMark/>
          </w:tcPr>
          <w:p w14:paraId="332DCAF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-236</w:t>
            </w:r>
          </w:p>
        </w:tc>
        <w:tc>
          <w:tcPr>
            <w:tcW w:w="760" w:type="dxa"/>
            <w:tcBorders>
              <w:top w:val="nil"/>
              <w:left w:val="nil"/>
              <w:bottom w:val="single" w:sz="4" w:space="0" w:color="ADD6EA"/>
              <w:right w:val="nil"/>
            </w:tcBorders>
            <w:shd w:val="clear" w:color="auto" w:fill="auto"/>
            <w:vAlign w:val="bottom"/>
            <w:hideMark/>
          </w:tcPr>
          <w:p w14:paraId="7ED07CB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58</w:t>
            </w:r>
          </w:p>
        </w:tc>
      </w:tr>
      <w:tr w:rsidR="007E365E" w:rsidRPr="00433B04" w14:paraId="31393E52" w14:textId="77777777" w:rsidTr="007D1D77">
        <w:trPr>
          <w:trHeight w:val="318"/>
        </w:trPr>
        <w:tc>
          <w:tcPr>
            <w:tcW w:w="2060" w:type="dxa"/>
            <w:tcBorders>
              <w:top w:val="nil"/>
              <w:left w:val="nil"/>
              <w:bottom w:val="single" w:sz="4" w:space="0" w:color="ADD6EA"/>
              <w:right w:val="nil"/>
            </w:tcBorders>
            <w:shd w:val="clear" w:color="auto" w:fill="auto"/>
            <w:vAlign w:val="bottom"/>
            <w:hideMark/>
          </w:tcPr>
          <w:p w14:paraId="6EA4C76F"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Non-urban transport</w:t>
            </w:r>
          </w:p>
        </w:tc>
        <w:tc>
          <w:tcPr>
            <w:tcW w:w="760" w:type="dxa"/>
            <w:tcBorders>
              <w:top w:val="nil"/>
              <w:left w:val="nil"/>
              <w:bottom w:val="single" w:sz="4" w:space="0" w:color="ADD6EA"/>
              <w:right w:val="nil"/>
            </w:tcBorders>
            <w:shd w:val="clear" w:color="auto" w:fill="auto"/>
            <w:vAlign w:val="bottom"/>
            <w:hideMark/>
          </w:tcPr>
          <w:p w14:paraId="4283EEA7"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5A6743E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6A5AAF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5C9CDE0F"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08FFC9DB"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57EF995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1DD9B29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3A3F4A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03ECDF2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r>
      <w:tr w:rsidR="007E365E" w:rsidRPr="00433B04" w14:paraId="720B1216" w14:textId="77777777" w:rsidTr="007D1D77">
        <w:trPr>
          <w:trHeight w:val="318"/>
        </w:trPr>
        <w:tc>
          <w:tcPr>
            <w:tcW w:w="2060" w:type="dxa"/>
            <w:tcBorders>
              <w:top w:val="nil"/>
              <w:left w:val="nil"/>
              <w:bottom w:val="single" w:sz="4" w:space="0" w:color="ADD6EA"/>
              <w:right w:val="nil"/>
            </w:tcBorders>
            <w:shd w:val="clear" w:color="auto" w:fill="auto"/>
            <w:vAlign w:val="bottom"/>
            <w:hideMark/>
          </w:tcPr>
          <w:p w14:paraId="7C18AC3F"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Services to industry</w:t>
            </w:r>
          </w:p>
        </w:tc>
        <w:tc>
          <w:tcPr>
            <w:tcW w:w="760" w:type="dxa"/>
            <w:tcBorders>
              <w:top w:val="nil"/>
              <w:left w:val="nil"/>
              <w:bottom w:val="single" w:sz="4" w:space="0" w:color="ADD6EA"/>
              <w:right w:val="nil"/>
            </w:tcBorders>
            <w:shd w:val="clear" w:color="auto" w:fill="auto"/>
            <w:vAlign w:val="bottom"/>
            <w:hideMark/>
          </w:tcPr>
          <w:p w14:paraId="5994F2A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422D1388"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56532AB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F9A6DF2"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vAlign w:val="bottom"/>
            <w:hideMark/>
          </w:tcPr>
          <w:p w14:paraId="7278B0FB"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1B2A85BF"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4959ADE7"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107155A1"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vAlign w:val="bottom"/>
            <w:hideMark/>
          </w:tcPr>
          <w:p w14:paraId="66EECBBD"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w:t>
            </w:r>
          </w:p>
        </w:tc>
      </w:tr>
      <w:tr w:rsidR="007E365E" w:rsidRPr="00433B04" w14:paraId="50687FB8" w14:textId="77777777" w:rsidTr="007D1D77">
        <w:trPr>
          <w:trHeight w:val="318"/>
        </w:trPr>
        <w:tc>
          <w:tcPr>
            <w:tcW w:w="2060" w:type="dxa"/>
            <w:tcBorders>
              <w:top w:val="nil"/>
              <w:left w:val="nil"/>
              <w:bottom w:val="single" w:sz="4" w:space="0" w:color="ADD6EA"/>
              <w:right w:val="nil"/>
            </w:tcBorders>
            <w:shd w:val="clear" w:color="auto" w:fill="auto"/>
            <w:vAlign w:val="bottom"/>
            <w:hideMark/>
          </w:tcPr>
          <w:p w14:paraId="2DC1BC92"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Other expenses</w:t>
            </w:r>
          </w:p>
        </w:tc>
        <w:tc>
          <w:tcPr>
            <w:tcW w:w="760" w:type="dxa"/>
            <w:tcBorders>
              <w:top w:val="nil"/>
              <w:left w:val="nil"/>
              <w:bottom w:val="single" w:sz="4" w:space="0" w:color="ADD6EA"/>
              <w:right w:val="nil"/>
            </w:tcBorders>
            <w:shd w:val="clear" w:color="auto" w:fill="auto"/>
            <w:vAlign w:val="bottom"/>
            <w:hideMark/>
          </w:tcPr>
          <w:p w14:paraId="7C6BFA2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55680D6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9</w:t>
            </w:r>
          </w:p>
        </w:tc>
        <w:tc>
          <w:tcPr>
            <w:tcW w:w="760" w:type="dxa"/>
            <w:tcBorders>
              <w:top w:val="nil"/>
              <w:left w:val="nil"/>
              <w:bottom w:val="single" w:sz="4" w:space="0" w:color="ADD6EA"/>
              <w:right w:val="nil"/>
            </w:tcBorders>
            <w:shd w:val="clear" w:color="auto" w:fill="auto"/>
            <w:vAlign w:val="bottom"/>
            <w:hideMark/>
          </w:tcPr>
          <w:p w14:paraId="13D6BF2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306EE387"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-13</w:t>
            </w:r>
          </w:p>
        </w:tc>
        <w:tc>
          <w:tcPr>
            <w:tcW w:w="760" w:type="dxa"/>
            <w:tcBorders>
              <w:top w:val="nil"/>
              <w:left w:val="nil"/>
              <w:bottom w:val="single" w:sz="4" w:space="0" w:color="ADD6EA"/>
              <w:right w:val="nil"/>
            </w:tcBorders>
            <w:shd w:val="clear" w:color="auto" w:fill="auto"/>
            <w:vAlign w:val="bottom"/>
            <w:hideMark/>
          </w:tcPr>
          <w:p w14:paraId="291B6EA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auto" w:fill="auto"/>
            <w:vAlign w:val="bottom"/>
            <w:hideMark/>
          </w:tcPr>
          <w:p w14:paraId="1C712137"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-12</w:t>
            </w:r>
          </w:p>
        </w:tc>
        <w:tc>
          <w:tcPr>
            <w:tcW w:w="760" w:type="dxa"/>
            <w:tcBorders>
              <w:top w:val="nil"/>
              <w:left w:val="nil"/>
              <w:bottom w:val="single" w:sz="4" w:space="0" w:color="ADD6EA"/>
              <w:right w:val="nil"/>
            </w:tcBorders>
            <w:shd w:val="clear" w:color="auto" w:fill="auto"/>
            <w:vAlign w:val="bottom"/>
            <w:hideMark/>
          </w:tcPr>
          <w:p w14:paraId="3B13E9F6"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vAlign w:val="bottom"/>
            <w:hideMark/>
          </w:tcPr>
          <w:p w14:paraId="060357F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-19</w:t>
            </w:r>
          </w:p>
        </w:tc>
        <w:tc>
          <w:tcPr>
            <w:tcW w:w="760" w:type="dxa"/>
            <w:tcBorders>
              <w:top w:val="nil"/>
              <w:left w:val="nil"/>
              <w:bottom w:val="single" w:sz="4" w:space="0" w:color="ADD6EA"/>
              <w:right w:val="nil"/>
            </w:tcBorders>
            <w:shd w:val="clear" w:color="auto" w:fill="auto"/>
            <w:vAlign w:val="bottom"/>
            <w:hideMark/>
          </w:tcPr>
          <w:p w14:paraId="4951564C"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3</w:t>
            </w:r>
          </w:p>
        </w:tc>
      </w:tr>
      <w:tr w:rsidR="007E365E" w:rsidRPr="00433B04" w14:paraId="4734CE79" w14:textId="77777777" w:rsidTr="007D1D77">
        <w:trPr>
          <w:trHeight w:val="318"/>
        </w:trPr>
        <w:tc>
          <w:tcPr>
            <w:tcW w:w="2060" w:type="dxa"/>
            <w:tcBorders>
              <w:top w:val="nil"/>
              <w:left w:val="nil"/>
              <w:bottom w:val="single" w:sz="4" w:space="0" w:color="ADD6EA"/>
              <w:right w:val="nil"/>
            </w:tcBorders>
            <w:shd w:val="clear" w:color="auto" w:fill="auto"/>
            <w:vAlign w:val="bottom"/>
            <w:hideMark/>
          </w:tcPr>
          <w:p w14:paraId="53F89514" w14:textId="77777777" w:rsidR="007E365E" w:rsidRPr="00433B04" w:rsidRDefault="007E365E" w:rsidP="007D1D77">
            <w:pPr>
              <w:keepNext/>
              <w:tabs>
                <w:tab w:val="clear" w:pos="567"/>
              </w:tabs>
              <w:spacing w:before="0" w:line="240" w:lineRule="auto"/>
              <w:rPr>
                <w:rFonts w:eastAsia="Times New Roman" w:cs="Open Sans Light"/>
                <w:sz w:val="16"/>
                <w:szCs w:val="16"/>
                <w:lang w:eastAsia="en-AU"/>
              </w:rPr>
            </w:pPr>
            <w:r w:rsidRPr="00433B04">
              <w:rPr>
                <w:rFonts w:eastAsia="Times New Roman" w:cs="Open Sans Light"/>
                <w:sz w:val="16"/>
                <w:szCs w:val="16"/>
                <w:lang w:eastAsia="en-AU"/>
              </w:rPr>
              <w:t>Land</w:t>
            </w:r>
          </w:p>
        </w:tc>
        <w:tc>
          <w:tcPr>
            <w:tcW w:w="760" w:type="dxa"/>
            <w:tcBorders>
              <w:top w:val="nil"/>
              <w:left w:val="nil"/>
              <w:bottom w:val="single" w:sz="4" w:space="0" w:color="ADD6EA"/>
              <w:right w:val="nil"/>
            </w:tcBorders>
            <w:shd w:val="clear" w:color="auto" w:fill="auto"/>
            <w:vAlign w:val="bottom"/>
            <w:hideMark/>
          </w:tcPr>
          <w:p w14:paraId="027BF4F0"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68705867"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38FC509F"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2ADAF2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1C24C79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4A0947E4"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6117C879"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6872B135"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130523A3" w14:textId="77777777" w:rsidR="007E365E" w:rsidRPr="00433B04" w:rsidRDefault="007E365E" w:rsidP="007D1D77">
            <w:pPr>
              <w:keepNext/>
              <w:tabs>
                <w:tab w:val="clear" w:pos="567"/>
              </w:tabs>
              <w:spacing w:before="0" w:line="240" w:lineRule="auto"/>
              <w:jc w:val="right"/>
              <w:rPr>
                <w:rFonts w:eastAsia="Times New Roman" w:cs="Open Sans Light"/>
                <w:sz w:val="16"/>
                <w:szCs w:val="16"/>
                <w:lang w:eastAsia="en-AU"/>
              </w:rPr>
            </w:pPr>
            <w:r w:rsidRPr="00433B04">
              <w:rPr>
                <w:rFonts w:eastAsia="Times New Roman" w:cs="Open Sans Light"/>
                <w:sz w:val="16"/>
                <w:szCs w:val="16"/>
                <w:lang w:eastAsia="en-AU"/>
              </w:rPr>
              <w:t>0</w:t>
            </w:r>
          </w:p>
        </w:tc>
      </w:tr>
      <w:tr w:rsidR="007E365E" w:rsidRPr="00433B04" w14:paraId="494257E7" w14:textId="77777777" w:rsidTr="007D1D77">
        <w:trPr>
          <w:trHeight w:val="315"/>
        </w:trPr>
        <w:tc>
          <w:tcPr>
            <w:tcW w:w="2060" w:type="dxa"/>
            <w:tcBorders>
              <w:top w:val="nil"/>
              <w:left w:val="nil"/>
              <w:bottom w:val="single" w:sz="4" w:space="0" w:color="ADD6EA"/>
              <w:right w:val="nil"/>
            </w:tcBorders>
            <w:shd w:val="clear" w:color="000000" w:fill="D6E7F0"/>
            <w:vAlign w:val="bottom"/>
            <w:hideMark/>
          </w:tcPr>
          <w:p w14:paraId="4FE1E2E1" w14:textId="77777777" w:rsidR="007E365E" w:rsidRPr="00433B04"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27C9B34C"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11</w:t>
            </w:r>
          </w:p>
        </w:tc>
        <w:tc>
          <w:tcPr>
            <w:tcW w:w="760" w:type="dxa"/>
            <w:tcBorders>
              <w:top w:val="nil"/>
              <w:left w:val="nil"/>
              <w:bottom w:val="single" w:sz="4" w:space="0" w:color="ADD6EA"/>
              <w:right w:val="nil"/>
            </w:tcBorders>
            <w:shd w:val="clear" w:color="000000" w:fill="D6E7F0"/>
            <w:vAlign w:val="bottom"/>
            <w:hideMark/>
          </w:tcPr>
          <w:p w14:paraId="7FF0311D"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38</w:t>
            </w:r>
          </w:p>
        </w:tc>
        <w:tc>
          <w:tcPr>
            <w:tcW w:w="760" w:type="dxa"/>
            <w:tcBorders>
              <w:top w:val="nil"/>
              <w:left w:val="nil"/>
              <w:bottom w:val="single" w:sz="4" w:space="0" w:color="ADD6EA"/>
              <w:right w:val="nil"/>
            </w:tcBorders>
            <w:shd w:val="clear" w:color="000000" w:fill="D6E7F0"/>
            <w:vAlign w:val="bottom"/>
            <w:hideMark/>
          </w:tcPr>
          <w:p w14:paraId="3C9922D1"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3</w:t>
            </w:r>
          </w:p>
        </w:tc>
        <w:tc>
          <w:tcPr>
            <w:tcW w:w="760" w:type="dxa"/>
            <w:tcBorders>
              <w:top w:val="nil"/>
              <w:left w:val="nil"/>
              <w:bottom w:val="single" w:sz="4" w:space="0" w:color="ADD6EA"/>
              <w:right w:val="nil"/>
            </w:tcBorders>
            <w:shd w:val="clear" w:color="000000" w:fill="D6E7F0"/>
            <w:vAlign w:val="bottom"/>
            <w:hideMark/>
          </w:tcPr>
          <w:p w14:paraId="59D97A60"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-51</w:t>
            </w:r>
          </w:p>
        </w:tc>
        <w:tc>
          <w:tcPr>
            <w:tcW w:w="760" w:type="dxa"/>
            <w:tcBorders>
              <w:top w:val="nil"/>
              <w:left w:val="nil"/>
              <w:bottom w:val="single" w:sz="4" w:space="0" w:color="ADD6EA"/>
              <w:right w:val="nil"/>
            </w:tcBorders>
            <w:shd w:val="clear" w:color="000000" w:fill="D6E7F0"/>
            <w:vAlign w:val="bottom"/>
            <w:hideMark/>
          </w:tcPr>
          <w:p w14:paraId="07389589"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-229</w:t>
            </w:r>
          </w:p>
        </w:tc>
        <w:tc>
          <w:tcPr>
            <w:tcW w:w="760" w:type="dxa"/>
            <w:tcBorders>
              <w:top w:val="nil"/>
              <w:left w:val="nil"/>
              <w:bottom w:val="single" w:sz="4" w:space="0" w:color="ADD6EA"/>
              <w:right w:val="nil"/>
            </w:tcBorders>
            <w:shd w:val="clear" w:color="000000" w:fill="D6E7F0"/>
            <w:vAlign w:val="bottom"/>
            <w:hideMark/>
          </w:tcPr>
          <w:p w14:paraId="20CD6863"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-237</w:t>
            </w:r>
          </w:p>
        </w:tc>
        <w:tc>
          <w:tcPr>
            <w:tcW w:w="760" w:type="dxa"/>
            <w:tcBorders>
              <w:top w:val="nil"/>
              <w:left w:val="nil"/>
              <w:bottom w:val="single" w:sz="4" w:space="0" w:color="ADD6EA"/>
              <w:right w:val="nil"/>
            </w:tcBorders>
            <w:shd w:val="clear" w:color="000000" w:fill="D6E7F0"/>
            <w:vAlign w:val="bottom"/>
            <w:hideMark/>
          </w:tcPr>
          <w:p w14:paraId="032A599D"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-208</w:t>
            </w:r>
          </w:p>
        </w:tc>
        <w:tc>
          <w:tcPr>
            <w:tcW w:w="760" w:type="dxa"/>
            <w:tcBorders>
              <w:top w:val="nil"/>
              <w:left w:val="nil"/>
              <w:bottom w:val="single" w:sz="4" w:space="0" w:color="ADD6EA"/>
              <w:right w:val="nil"/>
            </w:tcBorders>
            <w:shd w:val="clear" w:color="000000" w:fill="D6E7F0"/>
            <w:vAlign w:val="bottom"/>
            <w:hideMark/>
          </w:tcPr>
          <w:p w14:paraId="0ABC7FA1"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1,603</w:t>
            </w:r>
          </w:p>
        </w:tc>
        <w:tc>
          <w:tcPr>
            <w:tcW w:w="760" w:type="dxa"/>
            <w:tcBorders>
              <w:top w:val="nil"/>
              <w:left w:val="nil"/>
              <w:bottom w:val="single" w:sz="4" w:space="0" w:color="ADD6EA"/>
              <w:right w:val="nil"/>
            </w:tcBorders>
            <w:shd w:val="clear" w:color="000000" w:fill="D6E7F0"/>
            <w:vAlign w:val="bottom"/>
            <w:hideMark/>
          </w:tcPr>
          <w:p w14:paraId="7C7901AE" w14:textId="77777777" w:rsidR="007E365E" w:rsidRPr="00433B04"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433B04">
              <w:rPr>
                <w:rFonts w:ascii="Open Sans SemiBold" w:eastAsia="Times New Roman" w:hAnsi="Open Sans SemiBold" w:cs="Open Sans SemiBold"/>
                <w:sz w:val="16"/>
                <w:szCs w:val="16"/>
                <w:lang w:eastAsia="en-AU"/>
              </w:rPr>
              <w:t>29</w:t>
            </w:r>
          </w:p>
        </w:tc>
      </w:tr>
    </w:tbl>
    <w:p w14:paraId="1133129C" w14:textId="77777777" w:rsidR="007E365E" w:rsidRPr="00785668" w:rsidRDefault="007E365E" w:rsidP="007E365E">
      <w:pPr>
        <w:pStyle w:val="CGCTablenote"/>
        <w:keepNext/>
      </w:pPr>
      <w:r w:rsidRPr="00785668">
        <w:t>Note:</w:t>
      </w:r>
      <w:r w:rsidRPr="00785668">
        <w:tab/>
        <w:t xml:space="preserve">The redistribution is the difference from an EPC assessment of category expenses. </w:t>
      </w:r>
    </w:p>
    <w:p w14:paraId="6F5DAE68" w14:textId="77777777" w:rsidR="007E365E" w:rsidRPr="00785668" w:rsidRDefault="007E365E" w:rsidP="007E365E">
      <w:pPr>
        <w:pStyle w:val="CGCTablenote"/>
        <w:keepNext/>
      </w:pPr>
      <w:r w:rsidRPr="00785668">
        <w:t>Source:</w:t>
      </w:r>
      <w:r w:rsidRPr="00785668">
        <w:tab/>
        <w:t>Commission calculation.</w:t>
      </w:r>
    </w:p>
    <w:p w14:paraId="77F8AD69" w14:textId="1908355A" w:rsidR="007E365E" w:rsidRPr="000F09E5" w:rsidRDefault="007E365E" w:rsidP="007E365E">
      <w:pPr>
        <w:pStyle w:val="CGCParaNumber"/>
      </w:pPr>
      <w:r w:rsidRPr="000F09E5">
        <w:fldChar w:fldCharType="begin"/>
      </w:r>
      <w:r w:rsidRPr="000F09E5">
        <w:instrText xml:space="preserve"> REF _Ref24555212 \h  \* MERGEFORMAT </w:instrText>
      </w:r>
      <w:r w:rsidRPr="000F09E5">
        <w:fldChar w:fldCharType="separate"/>
      </w:r>
      <w:r w:rsidR="007F721A" w:rsidRPr="000D2924">
        <w:t xml:space="preserve">Table </w:t>
      </w:r>
      <w:r w:rsidR="007F721A">
        <w:t>24-10</w:t>
      </w:r>
      <w:r w:rsidRPr="000F09E5">
        <w:fldChar w:fldCharType="end"/>
      </w:r>
      <w:r w:rsidRPr="000F09E5">
        <w:t xml:space="preserve"> shows the redistribution by the major drivers in the Investment assessment. Growth in populations who use assets </w:t>
      </w:r>
      <w:r>
        <w:t>(capital requirement)</w:t>
      </w:r>
      <w:r w:rsidRPr="000F09E5">
        <w:t xml:space="preserve"> accounts for the majority of the change in redistribution, followed by the change bought about by an increase in capital intensity (capital </w:t>
      </w:r>
      <w:r>
        <w:t>improvement</w:t>
      </w:r>
      <w:r w:rsidRPr="000F09E5">
        <w:t>)</w:t>
      </w:r>
      <w:r>
        <w:t xml:space="preserve"> </w:t>
      </w:r>
      <w:r w:rsidRPr="000F09E5">
        <w:t xml:space="preserve">and the cost of building new assets. </w:t>
      </w:r>
    </w:p>
    <w:p w14:paraId="1A218910" w14:textId="0A443735" w:rsidR="007E365E" w:rsidRDefault="007E365E" w:rsidP="007E365E">
      <w:pPr>
        <w:pStyle w:val="Caption"/>
        <w:tabs>
          <w:tab w:val="clear" w:pos="1418"/>
        </w:tabs>
      </w:pPr>
      <w:bookmarkStart w:id="441" w:name="_Ref24555212"/>
      <w:bookmarkStart w:id="442" w:name="_Ref24555174"/>
      <w:r w:rsidRPr="000D2924">
        <w:lastRenderedPageBreak/>
        <w:t xml:space="preserve">Table </w:t>
      </w:r>
      <w:r>
        <w:t>24-</w:t>
      </w:r>
      <w:fldSimple w:instr=" SEQ Table \* ARABIC ">
        <w:r w:rsidR="007F721A">
          <w:rPr>
            <w:noProof/>
          </w:rPr>
          <w:t>10</w:t>
        </w:r>
      </w:fldSimple>
      <w:bookmarkEnd w:id="441"/>
      <w:r w:rsidRPr="000D2924">
        <w:tab/>
      </w:r>
      <w:r>
        <w:tab/>
        <w:t>Major reasons for the illustrative redistribution</w:t>
      </w:r>
      <w:r w:rsidRPr="000D2924">
        <w:t xml:space="preserve">, </w:t>
      </w:r>
      <w:r>
        <w:t>Investment,</w:t>
      </w:r>
      <w:r w:rsidRPr="000D2924">
        <w:t xml:space="preserve"> </w:t>
      </w:r>
      <w:bookmarkEnd w:id="442"/>
      <w:r w:rsidRPr="000D2924">
        <w:t>2020</w:t>
      </w:r>
      <w:r>
        <w:noBreakHyphen/>
      </w:r>
      <w:r w:rsidRPr="000D2924">
        <w:t>21</w:t>
      </w:r>
    </w:p>
    <w:tbl>
      <w:tblPr>
        <w:tblW w:w="8960" w:type="dxa"/>
        <w:tblCellMar>
          <w:left w:w="0" w:type="dxa"/>
          <w:right w:w="28" w:type="dxa"/>
        </w:tblCellMar>
        <w:tblLook w:val="04A0" w:firstRow="1" w:lastRow="0" w:firstColumn="1" w:lastColumn="0" w:noHBand="0" w:noVBand="1"/>
      </w:tblPr>
      <w:tblGrid>
        <w:gridCol w:w="1894"/>
        <w:gridCol w:w="762"/>
        <w:gridCol w:w="802"/>
        <w:gridCol w:w="783"/>
        <w:gridCol w:w="783"/>
        <w:gridCol w:w="783"/>
        <w:gridCol w:w="783"/>
        <w:gridCol w:w="783"/>
        <w:gridCol w:w="803"/>
        <w:gridCol w:w="803"/>
      </w:tblGrid>
      <w:tr w:rsidR="007E365E" w:rsidRPr="00AD6348" w14:paraId="748D1FAA" w14:textId="77777777" w:rsidTr="007D1D77">
        <w:trPr>
          <w:trHeight w:val="375"/>
        </w:trPr>
        <w:tc>
          <w:tcPr>
            <w:tcW w:w="1900" w:type="dxa"/>
            <w:tcBorders>
              <w:top w:val="nil"/>
              <w:left w:val="nil"/>
              <w:bottom w:val="nil"/>
              <w:right w:val="nil"/>
            </w:tcBorders>
            <w:shd w:val="clear" w:color="000000" w:fill="006991"/>
            <w:noWrap/>
            <w:vAlign w:val="center"/>
            <w:hideMark/>
          </w:tcPr>
          <w:p w14:paraId="1393DE4B"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6348">
              <w:rPr>
                <w:rFonts w:ascii="Open Sans SemiBold" w:eastAsia="Times New Roman" w:hAnsi="Open Sans SemiBold" w:cs="Open Sans SemiBold"/>
                <w:color w:val="FFFFFF"/>
                <w:sz w:val="16"/>
                <w:szCs w:val="16"/>
                <w:lang w:eastAsia="en-AU"/>
              </w:rPr>
              <w:t> </w:t>
            </w:r>
          </w:p>
        </w:tc>
        <w:tc>
          <w:tcPr>
            <w:tcW w:w="760" w:type="dxa"/>
            <w:tcBorders>
              <w:top w:val="nil"/>
              <w:left w:val="nil"/>
              <w:bottom w:val="nil"/>
              <w:right w:val="nil"/>
            </w:tcBorders>
            <w:shd w:val="clear" w:color="000000" w:fill="006991"/>
            <w:noWrap/>
            <w:vAlign w:val="center"/>
            <w:hideMark/>
          </w:tcPr>
          <w:p w14:paraId="2AC38E8E"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6348">
              <w:rPr>
                <w:rFonts w:ascii="Open Sans SemiBold" w:eastAsia="Times New Roman" w:hAnsi="Open Sans SemiBold" w:cs="Open Sans SemiBold"/>
                <w:color w:val="FFFFFF"/>
                <w:sz w:val="16"/>
                <w:szCs w:val="16"/>
                <w:lang w:eastAsia="en-AU"/>
              </w:rPr>
              <w:t>NSW</w:t>
            </w:r>
          </w:p>
        </w:tc>
        <w:tc>
          <w:tcPr>
            <w:tcW w:w="800" w:type="dxa"/>
            <w:tcBorders>
              <w:top w:val="nil"/>
              <w:left w:val="nil"/>
              <w:bottom w:val="nil"/>
              <w:right w:val="nil"/>
            </w:tcBorders>
            <w:shd w:val="clear" w:color="000000" w:fill="006991"/>
            <w:noWrap/>
            <w:vAlign w:val="center"/>
            <w:hideMark/>
          </w:tcPr>
          <w:p w14:paraId="2B40B6FA"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6348">
              <w:rPr>
                <w:rFonts w:ascii="Open Sans SemiBold" w:eastAsia="Times New Roman" w:hAnsi="Open Sans SemiBold" w:cs="Open Sans SemiBold"/>
                <w:color w:val="FFFFFF"/>
                <w:sz w:val="16"/>
                <w:szCs w:val="16"/>
                <w:lang w:eastAsia="en-AU"/>
              </w:rPr>
              <w:t>Vic</w:t>
            </w:r>
          </w:p>
        </w:tc>
        <w:tc>
          <w:tcPr>
            <w:tcW w:w="780" w:type="dxa"/>
            <w:tcBorders>
              <w:top w:val="nil"/>
              <w:left w:val="nil"/>
              <w:bottom w:val="nil"/>
              <w:right w:val="nil"/>
            </w:tcBorders>
            <w:shd w:val="clear" w:color="000000" w:fill="006991"/>
            <w:noWrap/>
            <w:vAlign w:val="center"/>
            <w:hideMark/>
          </w:tcPr>
          <w:p w14:paraId="6CB8630B"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6348">
              <w:rPr>
                <w:rFonts w:ascii="Open Sans SemiBold" w:eastAsia="Times New Roman" w:hAnsi="Open Sans SemiBold" w:cs="Open Sans SemiBold"/>
                <w:color w:val="FFFFFF"/>
                <w:sz w:val="16"/>
                <w:szCs w:val="16"/>
                <w:lang w:eastAsia="en-AU"/>
              </w:rPr>
              <w:t>Qld</w:t>
            </w:r>
          </w:p>
        </w:tc>
        <w:tc>
          <w:tcPr>
            <w:tcW w:w="780" w:type="dxa"/>
            <w:tcBorders>
              <w:top w:val="nil"/>
              <w:left w:val="nil"/>
              <w:bottom w:val="nil"/>
              <w:right w:val="nil"/>
            </w:tcBorders>
            <w:shd w:val="clear" w:color="000000" w:fill="006991"/>
            <w:noWrap/>
            <w:vAlign w:val="center"/>
            <w:hideMark/>
          </w:tcPr>
          <w:p w14:paraId="78BC8F1C"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6348">
              <w:rPr>
                <w:rFonts w:ascii="Open Sans SemiBold" w:eastAsia="Times New Roman" w:hAnsi="Open Sans SemiBold" w:cs="Open Sans SemiBold"/>
                <w:color w:val="FFFFFF"/>
                <w:sz w:val="16"/>
                <w:szCs w:val="16"/>
                <w:lang w:eastAsia="en-AU"/>
              </w:rPr>
              <w:t>WA</w:t>
            </w:r>
          </w:p>
        </w:tc>
        <w:tc>
          <w:tcPr>
            <w:tcW w:w="780" w:type="dxa"/>
            <w:tcBorders>
              <w:top w:val="nil"/>
              <w:left w:val="nil"/>
              <w:bottom w:val="nil"/>
              <w:right w:val="nil"/>
            </w:tcBorders>
            <w:shd w:val="clear" w:color="000000" w:fill="006991"/>
            <w:noWrap/>
            <w:vAlign w:val="center"/>
            <w:hideMark/>
          </w:tcPr>
          <w:p w14:paraId="74CB1796"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6348">
              <w:rPr>
                <w:rFonts w:ascii="Open Sans SemiBold" w:eastAsia="Times New Roman" w:hAnsi="Open Sans SemiBold" w:cs="Open Sans SemiBold"/>
                <w:color w:val="FFFFFF"/>
                <w:sz w:val="16"/>
                <w:szCs w:val="16"/>
                <w:lang w:eastAsia="en-AU"/>
              </w:rPr>
              <w:t>SA</w:t>
            </w:r>
          </w:p>
        </w:tc>
        <w:tc>
          <w:tcPr>
            <w:tcW w:w="780" w:type="dxa"/>
            <w:tcBorders>
              <w:top w:val="nil"/>
              <w:left w:val="nil"/>
              <w:bottom w:val="nil"/>
              <w:right w:val="nil"/>
            </w:tcBorders>
            <w:shd w:val="clear" w:color="000000" w:fill="006991"/>
            <w:noWrap/>
            <w:vAlign w:val="center"/>
            <w:hideMark/>
          </w:tcPr>
          <w:p w14:paraId="2E54BD6B"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6348">
              <w:rPr>
                <w:rFonts w:ascii="Open Sans SemiBold" w:eastAsia="Times New Roman" w:hAnsi="Open Sans SemiBold" w:cs="Open Sans SemiBold"/>
                <w:color w:val="FFFFFF"/>
                <w:sz w:val="16"/>
                <w:szCs w:val="16"/>
                <w:lang w:eastAsia="en-AU"/>
              </w:rPr>
              <w:t>Tas</w:t>
            </w:r>
          </w:p>
        </w:tc>
        <w:tc>
          <w:tcPr>
            <w:tcW w:w="780" w:type="dxa"/>
            <w:tcBorders>
              <w:top w:val="nil"/>
              <w:left w:val="nil"/>
              <w:bottom w:val="nil"/>
              <w:right w:val="nil"/>
            </w:tcBorders>
            <w:shd w:val="clear" w:color="000000" w:fill="006991"/>
            <w:noWrap/>
            <w:vAlign w:val="center"/>
            <w:hideMark/>
          </w:tcPr>
          <w:p w14:paraId="03F38951"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6348">
              <w:rPr>
                <w:rFonts w:ascii="Open Sans SemiBold" w:eastAsia="Times New Roman" w:hAnsi="Open Sans SemiBold" w:cs="Open Sans SemiBold"/>
                <w:color w:val="FFFFFF"/>
                <w:sz w:val="16"/>
                <w:szCs w:val="16"/>
                <w:lang w:eastAsia="en-AU"/>
              </w:rPr>
              <w:t>ACT</w:t>
            </w:r>
          </w:p>
        </w:tc>
        <w:tc>
          <w:tcPr>
            <w:tcW w:w="800" w:type="dxa"/>
            <w:tcBorders>
              <w:top w:val="nil"/>
              <w:left w:val="nil"/>
              <w:bottom w:val="nil"/>
              <w:right w:val="nil"/>
            </w:tcBorders>
            <w:shd w:val="clear" w:color="000000" w:fill="006991"/>
            <w:noWrap/>
            <w:vAlign w:val="center"/>
            <w:hideMark/>
          </w:tcPr>
          <w:p w14:paraId="30E79AEE"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6348">
              <w:rPr>
                <w:rFonts w:ascii="Open Sans SemiBold" w:eastAsia="Times New Roman" w:hAnsi="Open Sans SemiBold" w:cs="Open Sans SemiBold"/>
                <w:color w:val="FFFFFF"/>
                <w:sz w:val="16"/>
                <w:szCs w:val="16"/>
                <w:lang w:eastAsia="en-AU"/>
              </w:rPr>
              <w:t>NT</w:t>
            </w:r>
          </w:p>
        </w:tc>
        <w:tc>
          <w:tcPr>
            <w:tcW w:w="800" w:type="dxa"/>
            <w:tcBorders>
              <w:top w:val="nil"/>
              <w:left w:val="nil"/>
              <w:bottom w:val="nil"/>
              <w:right w:val="nil"/>
            </w:tcBorders>
            <w:shd w:val="clear" w:color="000000" w:fill="006991"/>
            <w:noWrap/>
            <w:vAlign w:val="center"/>
            <w:hideMark/>
          </w:tcPr>
          <w:p w14:paraId="402F6045"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D6348">
              <w:rPr>
                <w:rFonts w:ascii="Open Sans SemiBold" w:eastAsia="Times New Roman" w:hAnsi="Open Sans SemiBold" w:cs="Open Sans SemiBold"/>
                <w:color w:val="FFFFFF"/>
                <w:sz w:val="16"/>
                <w:szCs w:val="16"/>
                <w:lang w:eastAsia="en-AU"/>
              </w:rPr>
              <w:t>Total</w:t>
            </w:r>
          </w:p>
        </w:tc>
      </w:tr>
      <w:tr w:rsidR="007E365E" w:rsidRPr="00AD6348" w14:paraId="6ACA29BD" w14:textId="77777777" w:rsidTr="007D1D77">
        <w:trPr>
          <w:trHeight w:val="255"/>
        </w:trPr>
        <w:tc>
          <w:tcPr>
            <w:tcW w:w="1900" w:type="dxa"/>
            <w:tcBorders>
              <w:top w:val="nil"/>
              <w:left w:val="nil"/>
              <w:bottom w:val="single" w:sz="4" w:space="0" w:color="ADD6EA"/>
              <w:right w:val="nil"/>
            </w:tcBorders>
            <w:shd w:val="clear" w:color="000000" w:fill="B6D5E4"/>
            <w:noWrap/>
            <w:vAlign w:val="bottom"/>
            <w:hideMark/>
          </w:tcPr>
          <w:p w14:paraId="6504AC79"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noWrap/>
            <w:vAlign w:val="bottom"/>
            <w:hideMark/>
          </w:tcPr>
          <w:p w14:paraId="7F599790"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$m</w:t>
            </w:r>
          </w:p>
        </w:tc>
        <w:tc>
          <w:tcPr>
            <w:tcW w:w="800" w:type="dxa"/>
            <w:tcBorders>
              <w:top w:val="nil"/>
              <w:left w:val="nil"/>
              <w:bottom w:val="single" w:sz="4" w:space="0" w:color="ADD6EA"/>
              <w:right w:val="nil"/>
            </w:tcBorders>
            <w:shd w:val="clear" w:color="000000" w:fill="B6D5E4"/>
            <w:noWrap/>
            <w:vAlign w:val="bottom"/>
            <w:hideMark/>
          </w:tcPr>
          <w:p w14:paraId="2B1867F3"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$m</w:t>
            </w:r>
          </w:p>
        </w:tc>
        <w:tc>
          <w:tcPr>
            <w:tcW w:w="780" w:type="dxa"/>
            <w:tcBorders>
              <w:top w:val="nil"/>
              <w:left w:val="nil"/>
              <w:bottom w:val="single" w:sz="4" w:space="0" w:color="ADD6EA"/>
              <w:right w:val="nil"/>
            </w:tcBorders>
            <w:shd w:val="clear" w:color="000000" w:fill="B6D5E4"/>
            <w:noWrap/>
            <w:vAlign w:val="bottom"/>
            <w:hideMark/>
          </w:tcPr>
          <w:p w14:paraId="625899D6"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$m</w:t>
            </w:r>
          </w:p>
        </w:tc>
        <w:tc>
          <w:tcPr>
            <w:tcW w:w="780" w:type="dxa"/>
            <w:tcBorders>
              <w:top w:val="nil"/>
              <w:left w:val="nil"/>
              <w:bottom w:val="single" w:sz="4" w:space="0" w:color="ADD6EA"/>
              <w:right w:val="nil"/>
            </w:tcBorders>
            <w:shd w:val="clear" w:color="000000" w:fill="B6D5E4"/>
            <w:noWrap/>
            <w:vAlign w:val="bottom"/>
            <w:hideMark/>
          </w:tcPr>
          <w:p w14:paraId="7C12884C"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$m</w:t>
            </w:r>
          </w:p>
        </w:tc>
        <w:tc>
          <w:tcPr>
            <w:tcW w:w="780" w:type="dxa"/>
            <w:tcBorders>
              <w:top w:val="nil"/>
              <w:left w:val="nil"/>
              <w:bottom w:val="single" w:sz="4" w:space="0" w:color="ADD6EA"/>
              <w:right w:val="nil"/>
            </w:tcBorders>
            <w:shd w:val="clear" w:color="000000" w:fill="B6D5E4"/>
            <w:noWrap/>
            <w:vAlign w:val="bottom"/>
            <w:hideMark/>
          </w:tcPr>
          <w:p w14:paraId="6E03B87A"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$m</w:t>
            </w:r>
          </w:p>
        </w:tc>
        <w:tc>
          <w:tcPr>
            <w:tcW w:w="780" w:type="dxa"/>
            <w:tcBorders>
              <w:top w:val="nil"/>
              <w:left w:val="nil"/>
              <w:bottom w:val="single" w:sz="4" w:space="0" w:color="ADD6EA"/>
              <w:right w:val="nil"/>
            </w:tcBorders>
            <w:shd w:val="clear" w:color="000000" w:fill="B6D5E4"/>
            <w:noWrap/>
            <w:vAlign w:val="bottom"/>
            <w:hideMark/>
          </w:tcPr>
          <w:p w14:paraId="1FC91DAD"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$m</w:t>
            </w:r>
          </w:p>
        </w:tc>
        <w:tc>
          <w:tcPr>
            <w:tcW w:w="780" w:type="dxa"/>
            <w:tcBorders>
              <w:top w:val="nil"/>
              <w:left w:val="nil"/>
              <w:bottom w:val="single" w:sz="4" w:space="0" w:color="ADD6EA"/>
              <w:right w:val="nil"/>
            </w:tcBorders>
            <w:shd w:val="clear" w:color="000000" w:fill="B6D5E4"/>
            <w:noWrap/>
            <w:vAlign w:val="bottom"/>
            <w:hideMark/>
          </w:tcPr>
          <w:p w14:paraId="01844B58"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$m</w:t>
            </w:r>
          </w:p>
        </w:tc>
        <w:tc>
          <w:tcPr>
            <w:tcW w:w="800" w:type="dxa"/>
            <w:tcBorders>
              <w:top w:val="nil"/>
              <w:left w:val="nil"/>
              <w:bottom w:val="single" w:sz="4" w:space="0" w:color="ADD6EA"/>
              <w:right w:val="nil"/>
            </w:tcBorders>
            <w:shd w:val="clear" w:color="000000" w:fill="B6D5E4"/>
            <w:noWrap/>
            <w:vAlign w:val="bottom"/>
            <w:hideMark/>
          </w:tcPr>
          <w:p w14:paraId="4B4B2C1C"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$m</w:t>
            </w:r>
          </w:p>
        </w:tc>
        <w:tc>
          <w:tcPr>
            <w:tcW w:w="800" w:type="dxa"/>
            <w:tcBorders>
              <w:top w:val="nil"/>
              <w:left w:val="nil"/>
              <w:bottom w:val="single" w:sz="4" w:space="0" w:color="ADD6EA"/>
              <w:right w:val="nil"/>
            </w:tcBorders>
            <w:shd w:val="clear" w:color="000000" w:fill="B6D5E4"/>
            <w:noWrap/>
            <w:vAlign w:val="bottom"/>
            <w:hideMark/>
          </w:tcPr>
          <w:p w14:paraId="1DE81068"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$m</w:t>
            </w:r>
          </w:p>
        </w:tc>
      </w:tr>
      <w:tr w:rsidR="007E365E" w:rsidRPr="00AD6348" w14:paraId="3F00BAB7" w14:textId="77777777" w:rsidTr="007D1D77">
        <w:trPr>
          <w:trHeight w:val="315"/>
        </w:trPr>
        <w:tc>
          <w:tcPr>
            <w:tcW w:w="1900" w:type="dxa"/>
            <w:tcBorders>
              <w:top w:val="nil"/>
              <w:left w:val="nil"/>
              <w:bottom w:val="single" w:sz="4" w:space="0" w:color="ADD6EA"/>
              <w:right w:val="nil"/>
            </w:tcBorders>
            <w:shd w:val="clear" w:color="auto" w:fill="auto"/>
            <w:vAlign w:val="bottom"/>
            <w:hideMark/>
          </w:tcPr>
          <w:p w14:paraId="68B02E32" w14:textId="77777777" w:rsidR="007E365E" w:rsidRPr="00AD6348" w:rsidRDefault="007E365E" w:rsidP="007D1D77">
            <w:pPr>
              <w:keepNext/>
              <w:tabs>
                <w:tab w:val="clear" w:pos="567"/>
              </w:tabs>
              <w:spacing w:before="0" w:line="240" w:lineRule="auto"/>
              <w:rPr>
                <w:rFonts w:eastAsia="Times New Roman" w:cs="Open Sans Light"/>
                <w:sz w:val="16"/>
                <w:szCs w:val="16"/>
                <w:lang w:eastAsia="en-AU"/>
              </w:rPr>
            </w:pPr>
            <w:r w:rsidRPr="00AD6348">
              <w:rPr>
                <w:rFonts w:eastAsia="Times New Roman" w:cs="Open Sans Light"/>
                <w:sz w:val="16"/>
                <w:szCs w:val="16"/>
                <w:lang w:eastAsia="en-AU"/>
              </w:rPr>
              <w:t>Capital requirements</w:t>
            </w:r>
          </w:p>
        </w:tc>
        <w:tc>
          <w:tcPr>
            <w:tcW w:w="760" w:type="dxa"/>
            <w:tcBorders>
              <w:top w:val="nil"/>
              <w:left w:val="nil"/>
              <w:bottom w:val="single" w:sz="4" w:space="0" w:color="ADD6EA"/>
              <w:right w:val="nil"/>
            </w:tcBorders>
            <w:shd w:val="clear" w:color="auto" w:fill="auto"/>
            <w:vAlign w:val="bottom"/>
            <w:hideMark/>
          </w:tcPr>
          <w:p w14:paraId="49E91BCA"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-67</w:t>
            </w:r>
          </w:p>
        </w:tc>
        <w:tc>
          <w:tcPr>
            <w:tcW w:w="800" w:type="dxa"/>
            <w:tcBorders>
              <w:top w:val="nil"/>
              <w:left w:val="nil"/>
              <w:bottom w:val="single" w:sz="4" w:space="0" w:color="ADD6EA"/>
              <w:right w:val="nil"/>
            </w:tcBorders>
            <w:shd w:val="clear" w:color="auto" w:fill="auto"/>
            <w:vAlign w:val="bottom"/>
            <w:hideMark/>
          </w:tcPr>
          <w:p w14:paraId="0EDBF63E"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1,130</w:t>
            </w:r>
          </w:p>
        </w:tc>
        <w:tc>
          <w:tcPr>
            <w:tcW w:w="780" w:type="dxa"/>
            <w:tcBorders>
              <w:top w:val="nil"/>
              <w:left w:val="nil"/>
              <w:bottom w:val="single" w:sz="4" w:space="0" w:color="ADD6EA"/>
              <w:right w:val="nil"/>
            </w:tcBorders>
            <w:shd w:val="clear" w:color="auto" w:fill="auto"/>
            <w:vAlign w:val="bottom"/>
            <w:hideMark/>
          </w:tcPr>
          <w:p w14:paraId="2782648B"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-44</w:t>
            </w:r>
          </w:p>
        </w:tc>
        <w:tc>
          <w:tcPr>
            <w:tcW w:w="780" w:type="dxa"/>
            <w:tcBorders>
              <w:top w:val="nil"/>
              <w:left w:val="nil"/>
              <w:bottom w:val="single" w:sz="4" w:space="0" w:color="ADD6EA"/>
              <w:right w:val="nil"/>
            </w:tcBorders>
            <w:shd w:val="clear" w:color="auto" w:fill="auto"/>
            <w:vAlign w:val="bottom"/>
            <w:hideMark/>
          </w:tcPr>
          <w:p w14:paraId="5057EEEE"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-572</w:t>
            </w:r>
          </w:p>
        </w:tc>
        <w:tc>
          <w:tcPr>
            <w:tcW w:w="780" w:type="dxa"/>
            <w:tcBorders>
              <w:top w:val="nil"/>
              <w:left w:val="nil"/>
              <w:bottom w:val="single" w:sz="4" w:space="0" w:color="ADD6EA"/>
              <w:right w:val="nil"/>
            </w:tcBorders>
            <w:shd w:val="clear" w:color="auto" w:fill="auto"/>
            <w:vAlign w:val="bottom"/>
            <w:hideMark/>
          </w:tcPr>
          <w:p w14:paraId="5875F069"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-358</w:t>
            </w:r>
          </w:p>
        </w:tc>
        <w:tc>
          <w:tcPr>
            <w:tcW w:w="780" w:type="dxa"/>
            <w:tcBorders>
              <w:top w:val="nil"/>
              <w:left w:val="nil"/>
              <w:bottom w:val="single" w:sz="4" w:space="0" w:color="ADD6EA"/>
              <w:right w:val="nil"/>
            </w:tcBorders>
            <w:shd w:val="clear" w:color="auto" w:fill="auto"/>
            <w:vAlign w:val="bottom"/>
            <w:hideMark/>
          </w:tcPr>
          <w:p w14:paraId="3F94BEB7"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-59</w:t>
            </w:r>
          </w:p>
        </w:tc>
        <w:tc>
          <w:tcPr>
            <w:tcW w:w="780" w:type="dxa"/>
            <w:tcBorders>
              <w:top w:val="nil"/>
              <w:left w:val="nil"/>
              <w:bottom w:val="single" w:sz="4" w:space="0" w:color="ADD6EA"/>
              <w:right w:val="nil"/>
            </w:tcBorders>
            <w:shd w:val="clear" w:color="auto" w:fill="auto"/>
            <w:vAlign w:val="bottom"/>
            <w:hideMark/>
          </w:tcPr>
          <w:p w14:paraId="486552C3"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21</w:t>
            </w:r>
          </w:p>
        </w:tc>
        <w:tc>
          <w:tcPr>
            <w:tcW w:w="800" w:type="dxa"/>
            <w:tcBorders>
              <w:top w:val="nil"/>
              <w:left w:val="nil"/>
              <w:bottom w:val="single" w:sz="4" w:space="0" w:color="ADD6EA"/>
              <w:right w:val="nil"/>
            </w:tcBorders>
            <w:shd w:val="clear" w:color="auto" w:fill="auto"/>
            <w:vAlign w:val="bottom"/>
            <w:hideMark/>
          </w:tcPr>
          <w:p w14:paraId="7224EC56"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-51</w:t>
            </w:r>
          </w:p>
        </w:tc>
        <w:tc>
          <w:tcPr>
            <w:tcW w:w="800" w:type="dxa"/>
            <w:tcBorders>
              <w:top w:val="nil"/>
              <w:left w:val="nil"/>
              <w:bottom w:val="single" w:sz="4" w:space="0" w:color="ADD6EA"/>
              <w:right w:val="nil"/>
            </w:tcBorders>
            <w:shd w:val="clear" w:color="auto" w:fill="auto"/>
            <w:vAlign w:val="bottom"/>
            <w:hideMark/>
          </w:tcPr>
          <w:p w14:paraId="0D8B95DB"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1,151</w:t>
            </w:r>
          </w:p>
        </w:tc>
      </w:tr>
      <w:tr w:rsidR="007E365E" w:rsidRPr="00AD6348" w14:paraId="43A79938" w14:textId="77777777" w:rsidTr="007D1D77">
        <w:trPr>
          <w:trHeight w:val="315"/>
        </w:trPr>
        <w:tc>
          <w:tcPr>
            <w:tcW w:w="1900" w:type="dxa"/>
            <w:tcBorders>
              <w:top w:val="nil"/>
              <w:left w:val="nil"/>
              <w:bottom w:val="single" w:sz="4" w:space="0" w:color="ADD6EA"/>
              <w:right w:val="nil"/>
            </w:tcBorders>
            <w:shd w:val="clear" w:color="auto" w:fill="auto"/>
            <w:vAlign w:val="bottom"/>
            <w:hideMark/>
          </w:tcPr>
          <w:p w14:paraId="1A07D540" w14:textId="77777777" w:rsidR="007E365E" w:rsidRPr="00AD6348" w:rsidRDefault="007E365E" w:rsidP="007D1D77">
            <w:pPr>
              <w:keepNext/>
              <w:tabs>
                <w:tab w:val="clear" w:pos="567"/>
              </w:tabs>
              <w:spacing w:before="0" w:line="240" w:lineRule="auto"/>
              <w:rPr>
                <w:rFonts w:eastAsia="Times New Roman" w:cs="Open Sans Light"/>
                <w:sz w:val="16"/>
                <w:szCs w:val="16"/>
                <w:lang w:eastAsia="en-AU"/>
              </w:rPr>
            </w:pPr>
            <w:r w:rsidRPr="00AD6348">
              <w:rPr>
                <w:rFonts w:eastAsia="Times New Roman" w:cs="Open Sans Light"/>
                <w:sz w:val="16"/>
                <w:szCs w:val="16"/>
                <w:lang w:eastAsia="en-AU"/>
              </w:rPr>
              <w:t>Capital improvements</w:t>
            </w:r>
          </w:p>
        </w:tc>
        <w:tc>
          <w:tcPr>
            <w:tcW w:w="760" w:type="dxa"/>
            <w:tcBorders>
              <w:top w:val="nil"/>
              <w:left w:val="nil"/>
              <w:bottom w:val="single" w:sz="4" w:space="0" w:color="ADD6EA"/>
              <w:right w:val="nil"/>
            </w:tcBorders>
            <w:shd w:val="clear" w:color="auto" w:fill="auto"/>
            <w:vAlign w:val="bottom"/>
            <w:hideMark/>
          </w:tcPr>
          <w:p w14:paraId="398CB8C4"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101</w:t>
            </w:r>
          </w:p>
        </w:tc>
        <w:tc>
          <w:tcPr>
            <w:tcW w:w="800" w:type="dxa"/>
            <w:tcBorders>
              <w:top w:val="nil"/>
              <w:left w:val="nil"/>
              <w:bottom w:val="single" w:sz="4" w:space="0" w:color="ADD6EA"/>
              <w:right w:val="nil"/>
            </w:tcBorders>
            <w:shd w:val="clear" w:color="auto" w:fill="auto"/>
            <w:vAlign w:val="bottom"/>
            <w:hideMark/>
          </w:tcPr>
          <w:p w14:paraId="6698F9BD"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-430</w:t>
            </w:r>
          </w:p>
        </w:tc>
        <w:tc>
          <w:tcPr>
            <w:tcW w:w="780" w:type="dxa"/>
            <w:tcBorders>
              <w:top w:val="nil"/>
              <w:left w:val="nil"/>
              <w:bottom w:val="single" w:sz="4" w:space="0" w:color="ADD6EA"/>
              <w:right w:val="nil"/>
            </w:tcBorders>
            <w:shd w:val="clear" w:color="auto" w:fill="auto"/>
            <w:vAlign w:val="bottom"/>
            <w:hideMark/>
          </w:tcPr>
          <w:p w14:paraId="15B1ACE4"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49</w:t>
            </w:r>
          </w:p>
        </w:tc>
        <w:tc>
          <w:tcPr>
            <w:tcW w:w="780" w:type="dxa"/>
            <w:tcBorders>
              <w:top w:val="nil"/>
              <w:left w:val="nil"/>
              <w:bottom w:val="single" w:sz="4" w:space="0" w:color="ADD6EA"/>
              <w:right w:val="nil"/>
            </w:tcBorders>
            <w:shd w:val="clear" w:color="auto" w:fill="auto"/>
            <w:vAlign w:val="bottom"/>
            <w:hideMark/>
          </w:tcPr>
          <w:p w14:paraId="5C426983"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150</w:t>
            </w:r>
          </w:p>
        </w:tc>
        <w:tc>
          <w:tcPr>
            <w:tcW w:w="780" w:type="dxa"/>
            <w:tcBorders>
              <w:top w:val="nil"/>
              <w:left w:val="nil"/>
              <w:bottom w:val="single" w:sz="4" w:space="0" w:color="ADD6EA"/>
              <w:right w:val="nil"/>
            </w:tcBorders>
            <w:shd w:val="clear" w:color="auto" w:fill="auto"/>
            <w:vAlign w:val="bottom"/>
            <w:hideMark/>
          </w:tcPr>
          <w:p w14:paraId="7AD6B9C0"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-24</w:t>
            </w:r>
          </w:p>
        </w:tc>
        <w:tc>
          <w:tcPr>
            <w:tcW w:w="780" w:type="dxa"/>
            <w:tcBorders>
              <w:top w:val="nil"/>
              <w:left w:val="nil"/>
              <w:bottom w:val="single" w:sz="4" w:space="0" w:color="ADD6EA"/>
              <w:right w:val="nil"/>
            </w:tcBorders>
            <w:shd w:val="clear" w:color="auto" w:fill="auto"/>
            <w:vAlign w:val="bottom"/>
            <w:hideMark/>
          </w:tcPr>
          <w:p w14:paraId="1AA101EC"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-31</w:t>
            </w:r>
          </w:p>
        </w:tc>
        <w:tc>
          <w:tcPr>
            <w:tcW w:w="780" w:type="dxa"/>
            <w:tcBorders>
              <w:top w:val="nil"/>
              <w:left w:val="nil"/>
              <w:bottom w:val="single" w:sz="4" w:space="0" w:color="ADD6EA"/>
              <w:right w:val="nil"/>
            </w:tcBorders>
            <w:shd w:val="clear" w:color="auto" w:fill="auto"/>
            <w:vAlign w:val="bottom"/>
            <w:hideMark/>
          </w:tcPr>
          <w:p w14:paraId="2DD38849"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-125</w:t>
            </w:r>
          </w:p>
        </w:tc>
        <w:tc>
          <w:tcPr>
            <w:tcW w:w="800" w:type="dxa"/>
            <w:tcBorders>
              <w:top w:val="nil"/>
              <w:left w:val="nil"/>
              <w:bottom w:val="single" w:sz="4" w:space="0" w:color="ADD6EA"/>
              <w:right w:val="nil"/>
            </w:tcBorders>
            <w:shd w:val="clear" w:color="auto" w:fill="auto"/>
            <w:vAlign w:val="bottom"/>
            <w:hideMark/>
          </w:tcPr>
          <w:p w14:paraId="27203249"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310</w:t>
            </w:r>
          </w:p>
        </w:tc>
        <w:tc>
          <w:tcPr>
            <w:tcW w:w="800" w:type="dxa"/>
            <w:tcBorders>
              <w:top w:val="nil"/>
              <w:left w:val="nil"/>
              <w:bottom w:val="single" w:sz="4" w:space="0" w:color="ADD6EA"/>
              <w:right w:val="nil"/>
            </w:tcBorders>
            <w:shd w:val="clear" w:color="auto" w:fill="auto"/>
            <w:vAlign w:val="bottom"/>
            <w:hideMark/>
          </w:tcPr>
          <w:p w14:paraId="1935E53A"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610</w:t>
            </w:r>
          </w:p>
        </w:tc>
      </w:tr>
      <w:tr w:rsidR="007E365E" w:rsidRPr="00AD6348" w14:paraId="4737C500" w14:textId="77777777" w:rsidTr="007D1D77">
        <w:trPr>
          <w:trHeight w:val="315"/>
        </w:trPr>
        <w:tc>
          <w:tcPr>
            <w:tcW w:w="1900" w:type="dxa"/>
            <w:tcBorders>
              <w:top w:val="nil"/>
              <w:left w:val="nil"/>
              <w:bottom w:val="single" w:sz="4" w:space="0" w:color="ADD6EA"/>
              <w:right w:val="nil"/>
            </w:tcBorders>
            <w:shd w:val="clear" w:color="auto" w:fill="auto"/>
            <w:vAlign w:val="bottom"/>
            <w:hideMark/>
          </w:tcPr>
          <w:p w14:paraId="0FADC733" w14:textId="77777777" w:rsidR="007E365E" w:rsidRPr="00AD6348" w:rsidRDefault="007E365E" w:rsidP="007D1D77">
            <w:pPr>
              <w:keepNext/>
              <w:tabs>
                <w:tab w:val="clear" w:pos="567"/>
              </w:tabs>
              <w:spacing w:before="0" w:line="240" w:lineRule="auto"/>
              <w:rPr>
                <w:rFonts w:eastAsia="Times New Roman" w:cs="Open Sans Light"/>
                <w:sz w:val="16"/>
                <w:szCs w:val="16"/>
                <w:lang w:eastAsia="en-AU"/>
              </w:rPr>
            </w:pPr>
            <w:r w:rsidRPr="00AD6348">
              <w:rPr>
                <w:rFonts w:eastAsia="Times New Roman" w:cs="Open Sans Light"/>
                <w:sz w:val="16"/>
                <w:szCs w:val="16"/>
                <w:lang w:eastAsia="en-AU"/>
              </w:rPr>
              <w:t>Costs of construction</w:t>
            </w:r>
          </w:p>
        </w:tc>
        <w:tc>
          <w:tcPr>
            <w:tcW w:w="760" w:type="dxa"/>
            <w:tcBorders>
              <w:top w:val="nil"/>
              <w:left w:val="nil"/>
              <w:bottom w:val="single" w:sz="4" w:space="0" w:color="ADD6EA"/>
              <w:right w:val="nil"/>
            </w:tcBorders>
            <w:shd w:val="clear" w:color="auto" w:fill="auto"/>
            <w:vAlign w:val="bottom"/>
            <w:hideMark/>
          </w:tcPr>
          <w:p w14:paraId="18BF9871"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55</w:t>
            </w:r>
          </w:p>
        </w:tc>
        <w:tc>
          <w:tcPr>
            <w:tcW w:w="800" w:type="dxa"/>
            <w:tcBorders>
              <w:top w:val="nil"/>
              <w:left w:val="nil"/>
              <w:bottom w:val="single" w:sz="4" w:space="0" w:color="ADD6EA"/>
              <w:right w:val="nil"/>
            </w:tcBorders>
            <w:shd w:val="clear" w:color="auto" w:fill="auto"/>
            <w:vAlign w:val="bottom"/>
            <w:hideMark/>
          </w:tcPr>
          <w:p w14:paraId="0947E146"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-437</w:t>
            </w:r>
          </w:p>
        </w:tc>
        <w:tc>
          <w:tcPr>
            <w:tcW w:w="780" w:type="dxa"/>
            <w:tcBorders>
              <w:top w:val="nil"/>
              <w:left w:val="nil"/>
              <w:bottom w:val="single" w:sz="4" w:space="0" w:color="ADD6EA"/>
              <w:right w:val="nil"/>
            </w:tcBorders>
            <w:shd w:val="clear" w:color="auto" w:fill="auto"/>
            <w:vAlign w:val="bottom"/>
            <w:hideMark/>
          </w:tcPr>
          <w:p w14:paraId="2599F314"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10</w:t>
            </w:r>
          </w:p>
        </w:tc>
        <w:tc>
          <w:tcPr>
            <w:tcW w:w="780" w:type="dxa"/>
            <w:tcBorders>
              <w:top w:val="nil"/>
              <w:left w:val="nil"/>
              <w:bottom w:val="single" w:sz="4" w:space="0" w:color="ADD6EA"/>
              <w:right w:val="nil"/>
            </w:tcBorders>
            <w:shd w:val="clear" w:color="auto" w:fill="auto"/>
            <w:vAlign w:val="bottom"/>
            <w:hideMark/>
          </w:tcPr>
          <w:p w14:paraId="1E0F0608"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287</w:t>
            </w:r>
          </w:p>
        </w:tc>
        <w:tc>
          <w:tcPr>
            <w:tcW w:w="780" w:type="dxa"/>
            <w:tcBorders>
              <w:top w:val="nil"/>
              <w:left w:val="nil"/>
              <w:bottom w:val="single" w:sz="4" w:space="0" w:color="ADD6EA"/>
              <w:right w:val="nil"/>
            </w:tcBorders>
            <w:shd w:val="clear" w:color="auto" w:fill="auto"/>
            <w:vAlign w:val="bottom"/>
            <w:hideMark/>
          </w:tcPr>
          <w:p w14:paraId="41672A7C"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-23</w:t>
            </w:r>
          </w:p>
        </w:tc>
        <w:tc>
          <w:tcPr>
            <w:tcW w:w="780" w:type="dxa"/>
            <w:tcBorders>
              <w:top w:val="nil"/>
              <w:left w:val="nil"/>
              <w:bottom w:val="single" w:sz="4" w:space="0" w:color="ADD6EA"/>
              <w:right w:val="nil"/>
            </w:tcBorders>
            <w:shd w:val="clear" w:color="auto" w:fill="auto"/>
            <w:vAlign w:val="bottom"/>
            <w:hideMark/>
          </w:tcPr>
          <w:p w14:paraId="2DD5BF20"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-39</w:t>
            </w:r>
          </w:p>
        </w:tc>
        <w:tc>
          <w:tcPr>
            <w:tcW w:w="780" w:type="dxa"/>
            <w:tcBorders>
              <w:top w:val="nil"/>
              <w:left w:val="nil"/>
              <w:bottom w:val="single" w:sz="4" w:space="0" w:color="ADD6EA"/>
              <w:right w:val="nil"/>
            </w:tcBorders>
            <w:shd w:val="clear" w:color="auto" w:fill="auto"/>
            <w:vAlign w:val="bottom"/>
            <w:hideMark/>
          </w:tcPr>
          <w:p w14:paraId="7C11ED90"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13</w:t>
            </w:r>
          </w:p>
        </w:tc>
        <w:tc>
          <w:tcPr>
            <w:tcW w:w="800" w:type="dxa"/>
            <w:tcBorders>
              <w:top w:val="nil"/>
              <w:left w:val="nil"/>
              <w:bottom w:val="single" w:sz="4" w:space="0" w:color="ADD6EA"/>
              <w:right w:val="nil"/>
            </w:tcBorders>
            <w:shd w:val="clear" w:color="auto" w:fill="auto"/>
            <w:vAlign w:val="bottom"/>
            <w:hideMark/>
          </w:tcPr>
          <w:p w14:paraId="56D39D54"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135</w:t>
            </w:r>
          </w:p>
        </w:tc>
        <w:tc>
          <w:tcPr>
            <w:tcW w:w="800" w:type="dxa"/>
            <w:tcBorders>
              <w:top w:val="nil"/>
              <w:left w:val="nil"/>
              <w:bottom w:val="single" w:sz="4" w:space="0" w:color="ADD6EA"/>
              <w:right w:val="nil"/>
            </w:tcBorders>
            <w:shd w:val="clear" w:color="auto" w:fill="auto"/>
            <w:vAlign w:val="bottom"/>
            <w:hideMark/>
          </w:tcPr>
          <w:p w14:paraId="0F478EA3"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500</w:t>
            </w:r>
          </w:p>
        </w:tc>
      </w:tr>
      <w:tr w:rsidR="007E365E" w:rsidRPr="00AD6348" w14:paraId="131D6675" w14:textId="77777777" w:rsidTr="007D1D77">
        <w:trPr>
          <w:trHeight w:val="315"/>
        </w:trPr>
        <w:tc>
          <w:tcPr>
            <w:tcW w:w="1900" w:type="dxa"/>
            <w:tcBorders>
              <w:top w:val="nil"/>
              <w:left w:val="nil"/>
              <w:bottom w:val="single" w:sz="4" w:space="0" w:color="ADD6EA"/>
              <w:right w:val="nil"/>
            </w:tcBorders>
            <w:shd w:val="clear" w:color="000000" w:fill="D6E7F0"/>
            <w:vAlign w:val="bottom"/>
            <w:hideMark/>
          </w:tcPr>
          <w:p w14:paraId="418D7D46" w14:textId="77777777" w:rsidR="007E365E" w:rsidRPr="00AD6348"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6C0BABF6"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89</w:t>
            </w:r>
          </w:p>
        </w:tc>
        <w:tc>
          <w:tcPr>
            <w:tcW w:w="800" w:type="dxa"/>
            <w:tcBorders>
              <w:top w:val="nil"/>
              <w:left w:val="nil"/>
              <w:bottom w:val="single" w:sz="4" w:space="0" w:color="ADD6EA"/>
              <w:right w:val="nil"/>
            </w:tcBorders>
            <w:shd w:val="clear" w:color="000000" w:fill="D6E7F0"/>
            <w:vAlign w:val="bottom"/>
            <w:hideMark/>
          </w:tcPr>
          <w:p w14:paraId="16D0EBCA"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263</w:t>
            </w:r>
          </w:p>
        </w:tc>
        <w:tc>
          <w:tcPr>
            <w:tcW w:w="780" w:type="dxa"/>
            <w:tcBorders>
              <w:top w:val="nil"/>
              <w:left w:val="nil"/>
              <w:bottom w:val="single" w:sz="4" w:space="0" w:color="ADD6EA"/>
              <w:right w:val="nil"/>
            </w:tcBorders>
            <w:shd w:val="clear" w:color="000000" w:fill="D6E7F0"/>
            <w:vAlign w:val="bottom"/>
            <w:hideMark/>
          </w:tcPr>
          <w:p w14:paraId="67F25BC1"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15</w:t>
            </w:r>
          </w:p>
        </w:tc>
        <w:tc>
          <w:tcPr>
            <w:tcW w:w="780" w:type="dxa"/>
            <w:tcBorders>
              <w:top w:val="nil"/>
              <w:left w:val="nil"/>
              <w:bottom w:val="single" w:sz="4" w:space="0" w:color="ADD6EA"/>
              <w:right w:val="nil"/>
            </w:tcBorders>
            <w:shd w:val="clear" w:color="000000" w:fill="D6E7F0"/>
            <w:vAlign w:val="bottom"/>
            <w:hideMark/>
          </w:tcPr>
          <w:p w14:paraId="57B6DDDE"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-136</w:t>
            </w:r>
          </w:p>
        </w:tc>
        <w:tc>
          <w:tcPr>
            <w:tcW w:w="780" w:type="dxa"/>
            <w:tcBorders>
              <w:top w:val="nil"/>
              <w:left w:val="nil"/>
              <w:bottom w:val="single" w:sz="4" w:space="0" w:color="ADD6EA"/>
              <w:right w:val="nil"/>
            </w:tcBorders>
            <w:shd w:val="clear" w:color="000000" w:fill="D6E7F0"/>
            <w:vAlign w:val="bottom"/>
            <w:hideMark/>
          </w:tcPr>
          <w:p w14:paraId="1D6A76ED"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-405</w:t>
            </w:r>
          </w:p>
        </w:tc>
        <w:tc>
          <w:tcPr>
            <w:tcW w:w="780" w:type="dxa"/>
            <w:tcBorders>
              <w:top w:val="nil"/>
              <w:left w:val="nil"/>
              <w:bottom w:val="single" w:sz="4" w:space="0" w:color="ADD6EA"/>
              <w:right w:val="nil"/>
            </w:tcBorders>
            <w:shd w:val="clear" w:color="000000" w:fill="D6E7F0"/>
            <w:vAlign w:val="bottom"/>
            <w:hideMark/>
          </w:tcPr>
          <w:p w14:paraId="18611D72"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-129</w:t>
            </w:r>
          </w:p>
        </w:tc>
        <w:tc>
          <w:tcPr>
            <w:tcW w:w="780" w:type="dxa"/>
            <w:tcBorders>
              <w:top w:val="nil"/>
              <w:left w:val="nil"/>
              <w:bottom w:val="single" w:sz="4" w:space="0" w:color="ADD6EA"/>
              <w:right w:val="nil"/>
            </w:tcBorders>
            <w:shd w:val="clear" w:color="000000" w:fill="D6E7F0"/>
            <w:vAlign w:val="bottom"/>
            <w:hideMark/>
          </w:tcPr>
          <w:p w14:paraId="60B34C7E"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-92</w:t>
            </w:r>
          </w:p>
        </w:tc>
        <w:tc>
          <w:tcPr>
            <w:tcW w:w="800" w:type="dxa"/>
            <w:tcBorders>
              <w:top w:val="nil"/>
              <w:left w:val="nil"/>
              <w:bottom w:val="single" w:sz="4" w:space="0" w:color="ADD6EA"/>
              <w:right w:val="nil"/>
            </w:tcBorders>
            <w:shd w:val="clear" w:color="000000" w:fill="D6E7F0"/>
            <w:vAlign w:val="bottom"/>
            <w:hideMark/>
          </w:tcPr>
          <w:p w14:paraId="598A72CF"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394</w:t>
            </w:r>
          </w:p>
        </w:tc>
        <w:tc>
          <w:tcPr>
            <w:tcW w:w="800" w:type="dxa"/>
            <w:tcBorders>
              <w:top w:val="nil"/>
              <w:left w:val="nil"/>
              <w:bottom w:val="single" w:sz="4" w:space="0" w:color="ADD6EA"/>
              <w:right w:val="nil"/>
            </w:tcBorders>
            <w:shd w:val="clear" w:color="000000" w:fill="D6E7F0"/>
            <w:vAlign w:val="bottom"/>
            <w:hideMark/>
          </w:tcPr>
          <w:p w14:paraId="2F6364C3"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762</w:t>
            </w:r>
          </w:p>
        </w:tc>
      </w:tr>
      <w:tr w:rsidR="007E365E" w:rsidRPr="00AD6348" w14:paraId="0C50E3DD" w14:textId="77777777" w:rsidTr="007D1D77">
        <w:trPr>
          <w:trHeight w:val="255"/>
        </w:trPr>
        <w:tc>
          <w:tcPr>
            <w:tcW w:w="1900" w:type="dxa"/>
            <w:tcBorders>
              <w:top w:val="nil"/>
              <w:left w:val="nil"/>
              <w:bottom w:val="single" w:sz="4" w:space="0" w:color="ADD6EA"/>
              <w:right w:val="nil"/>
            </w:tcBorders>
            <w:shd w:val="clear" w:color="000000" w:fill="B6D5E4"/>
            <w:noWrap/>
            <w:vAlign w:val="bottom"/>
            <w:hideMark/>
          </w:tcPr>
          <w:p w14:paraId="69F05345"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noWrap/>
            <w:vAlign w:val="bottom"/>
            <w:hideMark/>
          </w:tcPr>
          <w:p w14:paraId="43B763D2"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$pc</w:t>
            </w:r>
          </w:p>
        </w:tc>
        <w:tc>
          <w:tcPr>
            <w:tcW w:w="800" w:type="dxa"/>
            <w:tcBorders>
              <w:top w:val="nil"/>
              <w:left w:val="nil"/>
              <w:bottom w:val="single" w:sz="4" w:space="0" w:color="ADD6EA"/>
              <w:right w:val="nil"/>
            </w:tcBorders>
            <w:shd w:val="clear" w:color="000000" w:fill="B6D5E4"/>
            <w:noWrap/>
            <w:vAlign w:val="bottom"/>
            <w:hideMark/>
          </w:tcPr>
          <w:p w14:paraId="6D7D3C63"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$pc</w:t>
            </w:r>
          </w:p>
        </w:tc>
        <w:tc>
          <w:tcPr>
            <w:tcW w:w="780" w:type="dxa"/>
            <w:tcBorders>
              <w:top w:val="nil"/>
              <w:left w:val="nil"/>
              <w:bottom w:val="single" w:sz="4" w:space="0" w:color="ADD6EA"/>
              <w:right w:val="nil"/>
            </w:tcBorders>
            <w:shd w:val="clear" w:color="000000" w:fill="B6D5E4"/>
            <w:noWrap/>
            <w:vAlign w:val="bottom"/>
            <w:hideMark/>
          </w:tcPr>
          <w:p w14:paraId="78829EA4"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$pc</w:t>
            </w:r>
          </w:p>
        </w:tc>
        <w:tc>
          <w:tcPr>
            <w:tcW w:w="780" w:type="dxa"/>
            <w:tcBorders>
              <w:top w:val="nil"/>
              <w:left w:val="nil"/>
              <w:bottom w:val="single" w:sz="4" w:space="0" w:color="ADD6EA"/>
              <w:right w:val="nil"/>
            </w:tcBorders>
            <w:shd w:val="clear" w:color="000000" w:fill="B6D5E4"/>
            <w:noWrap/>
            <w:vAlign w:val="bottom"/>
            <w:hideMark/>
          </w:tcPr>
          <w:p w14:paraId="460D035F"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$pc</w:t>
            </w:r>
          </w:p>
        </w:tc>
        <w:tc>
          <w:tcPr>
            <w:tcW w:w="780" w:type="dxa"/>
            <w:tcBorders>
              <w:top w:val="nil"/>
              <w:left w:val="nil"/>
              <w:bottom w:val="single" w:sz="4" w:space="0" w:color="ADD6EA"/>
              <w:right w:val="nil"/>
            </w:tcBorders>
            <w:shd w:val="clear" w:color="000000" w:fill="B6D5E4"/>
            <w:noWrap/>
            <w:vAlign w:val="bottom"/>
            <w:hideMark/>
          </w:tcPr>
          <w:p w14:paraId="7C472ED9"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$pc</w:t>
            </w:r>
          </w:p>
        </w:tc>
        <w:tc>
          <w:tcPr>
            <w:tcW w:w="780" w:type="dxa"/>
            <w:tcBorders>
              <w:top w:val="nil"/>
              <w:left w:val="nil"/>
              <w:bottom w:val="single" w:sz="4" w:space="0" w:color="ADD6EA"/>
              <w:right w:val="nil"/>
            </w:tcBorders>
            <w:shd w:val="clear" w:color="000000" w:fill="B6D5E4"/>
            <w:noWrap/>
            <w:vAlign w:val="bottom"/>
            <w:hideMark/>
          </w:tcPr>
          <w:p w14:paraId="51DD24C8"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$pc</w:t>
            </w:r>
          </w:p>
        </w:tc>
        <w:tc>
          <w:tcPr>
            <w:tcW w:w="780" w:type="dxa"/>
            <w:tcBorders>
              <w:top w:val="nil"/>
              <w:left w:val="nil"/>
              <w:bottom w:val="single" w:sz="4" w:space="0" w:color="ADD6EA"/>
              <w:right w:val="nil"/>
            </w:tcBorders>
            <w:shd w:val="clear" w:color="000000" w:fill="B6D5E4"/>
            <w:noWrap/>
            <w:vAlign w:val="bottom"/>
            <w:hideMark/>
          </w:tcPr>
          <w:p w14:paraId="2BD8E081"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$pc</w:t>
            </w:r>
          </w:p>
        </w:tc>
        <w:tc>
          <w:tcPr>
            <w:tcW w:w="800" w:type="dxa"/>
            <w:tcBorders>
              <w:top w:val="nil"/>
              <w:left w:val="nil"/>
              <w:bottom w:val="single" w:sz="4" w:space="0" w:color="ADD6EA"/>
              <w:right w:val="nil"/>
            </w:tcBorders>
            <w:shd w:val="clear" w:color="000000" w:fill="B6D5E4"/>
            <w:noWrap/>
            <w:vAlign w:val="bottom"/>
            <w:hideMark/>
          </w:tcPr>
          <w:p w14:paraId="3A297228"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$pc</w:t>
            </w:r>
          </w:p>
        </w:tc>
        <w:tc>
          <w:tcPr>
            <w:tcW w:w="800" w:type="dxa"/>
            <w:tcBorders>
              <w:top w:val="nil"/>
              <w:left w:val="nil"/>
              <w:bottom w:val="single" w:sz="4" w:space="0" w:color="ADD6EA"/>
              <w:right w:val="nil"/>
            </w:tcBorders>
            <w:shd w:val="clear" w:color="000000" w:fill="B6D5E4"/>
            <w:noWrap/>
            <w:vAlign w:val="bottom"/>
            <w:hideMark/>
          </w:tcPr>
          <w:p w14:paraId="630D3255"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$pc</w:t>
            </w:r>
          </w:p>
        </w:tc>
      </w:tr>
      <w:tr w:rsidR="007E365E" w:rsidRPr="00AD6348" w14:paraId="2B440FBF" w14:textId="77777777" w:rsidTr="007D1D77">
        <w:trPr>
          <w:trHeight w:val="315"/>
        </w:trPr>
        <w:tc>
          <w:tcPr>
            <w:tcW w:w="1900" w:type="dxa"/>
            <w:tcBorders>
              <w:top w:val="nil"/>
              <w:left w:val="nil"/>
              <w:bottom w:val="single" w:sz="4" w:space="0" w:color="ADD6EA"/>
              <w:right w:val="nil"/>
            </w:tcBorders>
            <w:shd w:val="clear" w:color="auto" w:fill="auto"/>
            <w:vAlign w:val="bottom"/>
            <w:hideMark/>
          </w:tcPr>
          <w:p w14:paraId="164247DD" w14:textId="77777777" w:rsidR="007E365E" w:rsidRPr="00AD6348" w:rsidRDefault="007E365E" w:rsidP="007D1D77">
            <w:pPr>
              <w:keepNext/>
              <w:tabs>
                <w:tab w:val="clear" w:pos="567"/>
              </w:tabs>
              <w:spacing w:before="0" w:line="240" w:lineRule="auto"/>
              <w:rPr>
                <w:rFonts w:eastAsia="Times New Roman" w:cs="Open Sans Light"/>
                <w:sz w:val="16"/>
                <w:szCs w:val="16"/>
                <w:lang w:eastAsia="en-AU"/>
              </w:rPr>
            </w:pPr>
            <w:r w:rsidRPr="00AD6348">
              <w:rPr>
                <w:rFonts w:eastAsia="Times New Roman" w:cs="Open Sans Light"/>
                <w:sz w:val="16"/>
                <w:szCs w:val="16"/>
                <w:lang w:eastAsia="en-AU"/>
              </w:rPr>
              <w:t>Capital requirements</w:t>
            </w:r>
          </w:p>
        </w:tc>
        <w:tc>
          <w:tcPr>
            <w:tcW w:w="760" w:type="dxa"/>
            <w:tcBorders>
              <w:top w:val="nil"/>
              <w:left w:val="nil"/>
              <w:bottom w:val="single" w:sz="4" w:space="0" w:color="ADD6EA"/>
              <w:right w:val="nil"/>
            </w:tcBorders>
            <w:shd w:val="clear" w:color="auto" w:fill="auto"/>
            <w:vAlign w:val="bottom"/>
            <w:hideMark/>
          </w:tcPr>
          <w:p w14:paraId="07CBB411"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-8</w:t>
            </w:r>
          </w:p>
        </w:tc>
        <w:tc>
          <w:tcPr>
            <w:tcW w:w="800" w:type="dxa"/>
            <w:tcBorders>
              <w:top w:val="nil"/>
              <w:left w:val="nil"/>
              <w:bottom w:val="single" w:sz="4" w:space="0" w:color="ADD6EA"/>
              <w:right w:val="nil"/>
            </w:tcBorders>
            <w:shd w:val="clear" w:color="auto" w:fill="auto"/>
            <w:vAlign w:val="bottom"/>
            <w:hideMark/>
          </w:tcPr>
          <w:p w14:paraId="2CC7AE4B"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165</w:t>
            </w:r>
          </w:p>
        </w:tc>
        <w:tc>
          <w:tcPr>
            <w:tcW w:w="780" w:type="dxa"/>
            <w:tcBorders>
              <w:top w:val="nil"/>
              <w:left w:val="nil"/>
              <w:bottom w:val="single" w:sz="4" w:space="0" w:color="ADD6EA"/>
              <w:right w:val="nil"/>
            </w:tcBorders>
            <w:shd w:val="clear" w:color="auto" w:fill="auto"/>
            <w:vAlign w:val="bottom"/>
            <w:hideMark/>
          </w:tcPr>
          <w:p w14:paraId="03763CFB"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-8</w:t>
            </w:r>
          </w:p>
        </w:tc>
        <w:tc>
          <w:tcPr>
            <w:tcW w:w="780" w:type="dxa"/>
            <w:tcBorders>
              <w:top w:val="nil"/>
              <w:left w:val="nil"/>
              <w:bottom w:val="single" w:sz="4" w:space="0" w:color="ADD6EA"/>
              <w:right w:val="nil"/>
            </w:tcBorders>
            <w:shd w:val="clear" w:color="auto" w:fill="auto"/>
            <w:vAlign w:val="bottom"/>
            <w:hideMark/>
          </w:tcPr>
          <w:p w14:paraId="6A0E1278"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-216</w:t>
            </w:r>
          </w:p>
        </w:tc>
        <w:tc>
          <w:tcPr>
            <w:tcW w:w="780" w:type="dxa"/>
            <w:tcBorders>
              <w:top w:val="nil"/>
              <w:left w:val="nil"/>
              <w:bottom w:val="single" w:sz="4" w:space="0" w:color="ADD6EA"/>
              <w:right w:val="nil"/>
            </w:tcBorders>
            <w:shd w:val="clear" w:color="auto" w:fill="auto"/>
            <w:vAlign w:val="bottom"/>
            <w:hideMark/>
          </w:tcPr>
          <w:p w14:paraId="38E762A8"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-202</w:t>
            </w:r>
          </w:p>
        </w:tc>
        <w:tc>
          <w:tcPr>
            <w:tcW w:w="780" w:type="dxa"/>
            <w:tcBorders>
              <w:top w:val="nil"/>
              <w:left w:val="nil"/>
              <w:bottom w:val="single" w:sz="4" w:space="0" w:color="ADD6EA"/>
              <w:right w:val="nil"/>
            </w:tcBorders>
            <w:shd w:val="clear" w:color="auto" w:fill="auto"/>
            <w:vAlign w:val="bottom"/>
            <w:hideMark/>
          </w:tcPr>
          <w:p w14:paraId="1FC09170"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-108</w:t>
            </w:r>
          </w:p>
        </w:tc>
        <w:tc>
          <w:tcPr>
            <w:tcW w:w="780" w:type="dxa"/>
            <w:tcBorders>
              <w:top w:val="nil"/>
              <w:left w:val="nil"/>
              <w:bottom w:val="single" w:sz="4" w:space="0" w:color="ADD6EA"/>
              <w:right w:val="nil"/>
            </w:tcBorders>
            <w:shd w:val="clear" w:color="auto" w:fill="auto"/>
            <w:vAlign w:val="bottom"/>
            <w:hideMark/>
          </w:tcPr>
          <w:p w14:paraId="39983753"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48</w:t>
            </w:r>
          </w:p>
        </w:tc>
        <w:tc>
          <w:tcPr>
            <w:tcW w:w="800" w:type="dxa"/>
            <w:tcBorders>
              <w:top w:val="nil"/>
              <w:left w:val="nil"/>
              <w:bottom w:val="single" w:sz="4" w:space="0" w:color="ADD6EA"/>
              <w:right w:val="nil"/>
            </w:tcBorders>
            <w:shd w:val="clear" w:color="auto" w:fill="auto"/>
            <w:vAlign w:val="bottom"/>
            <w:hideMark/>
          </w:tcPr>
          <w:p w14:paraId="1F8F497D"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-208</w:t>
            </w:r>
          </w:p>
        </w:tc>
        <w:tc>
          <w:tcPr>
            <w:tcW w:w="800" w:type="dxa"/>
            <w:tcBorders>
              <w:top w:val="nil"/>
              <w:left w:val="nil"/>
              <w:bottom w:val="single" w:sz="4" w:space="0" w:color="ADD6EA"/>
              <w:right w:val="nil"/>
            </w:tcBorders>
            <w:shd w:val="clear" w:color="auto" w:fill="auto"/>
            <w:vAlign w:val="bottom"/>
            <w:hideMark/>
          </w:tcPr>
          <w:p w14:paraId="57030E2F"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44</w:t>
            </w:r>
          </w:p>
        </w:tc>
      </w:tr>
      <w:tr w:rsidR="007E365E" w:rsidRPr="00AD6348" w14:paraId="2FEB892C" w14:textId="77777777" w:rsidTr="007D1D77">
        <w:trPr>
          <w:trHeight w:val="315"/>
        </w:trPr>
        <w:tc>
          <w:tcPr>
            <w:tcW w:w="1900" w:type="dxa"/>
            <w:tcBorders>
              <w:top w:val="nil"/>
              <w:left w:val="nil"/>
              <w:bottom w:val="single" w:sz="4" w:space="0" w:color="ADD6EA"/>
              <w:right w:val="nil"/>
            </w:tcBorders>
            <w:shd w:val="clear" w:color="auto" w:fill="auto"/>
            <w:vAlign w:val="bottom"/>
            <w:hideMark/>
          </w:tcPr>
          <w:p w14:paraId="6D1CD0BA" w14:textId="77777777" w:rsidR="007E365E" w:rsidRPr="00AD6348" w:rsidRDefault="007E365E" w:rsidP="007D1D77">
            <w:pPr>
              <w:keepNext/>
              <w:tabs>
                <w:tab w:val="clear" w:pos="567"/>
              </w:tabs>
              <w:spacing w:before="0" w:line="240" w:lineRule="auto"/>
              <w:rPr>
                <w:rFonts w:eastAsia="Times New Roman" w:cs="Open Sans Light"/>
                <w:sz w:val="16"/>
                <w:szCs w:val="16"/>
                <w:lang w:eastAsia="en-AU"/>
              </w:rPr>
            </w:pPr>
            <w:r w:rsidRPr="00AD6348">
              <w:rPr>
                <w:rFonts w:eastAsia="Times New Roman" w:cs="Open Sans Light"/>
                <w:sz w:val="16"/>
                <w:szCs w:val="16"/>
                <w:lang w:eastAsia="en-AU"/>
              </w:rPr>
              <w:t>Capital improvements</w:t>
            </w:r>
          </w:p>
        </w:tc>
        <w:tc>
          <w:tcPr>
            <w:tcW w:w="760" w:type="dxa"/>
            <w:tcBorders>
              <w:top w:val="nil"/>
              <w:left w:val="nil"/>
              <w:bottom w:val="single" w:sz="4" w:space="0" w:color="ADD6EA"/>
              <w:right w:val="nil"/>
            </w:tcBorders>
            <w:shd w:val="clear" w:color="auto" w:fill="auto"/>
            <w:vAlign w:val="bottom"/>
            <w:hideMark/>
          </w:tcPr>
          <w:p w14:paraId="05804E35"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12</w:t>
            </w:r>
          </w:p>
        </w:tc>
        <w:tc>
          <w:tcPr>
            <w:tcW w:w="800" w:type="dxa"/>
            <w:tcBorders>
              <w:top w:val="nil"/>
              <w:left w:val="nil"/>
              <w:bottom w:val="single" w:sz="4" w:space="0" w:color="ADD6EA"/>
              <w:right w:val="nil"/>
            </w:tcBorders>
            <w:shd w:val="clear" w:color="auto" w:fill="auto"/>
            <w:vAlign w:val="bottom"/>
            <w:hideMark/>
          </w:tcPr>
          <w:p w14:paraId="26450A9E"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-63</w:t>
            </w:r>
          </w:p>
        </w:tc>
        <w:tc>
          <w:tcPr>
            <w:tcW w:w="780" w:type="dxa"/>
            <w:tcBorders>
              <w:top w:val="nil"/>
              <w:left w:val="nil"/>
              <w:bottom w:val="single" w:sz="4" w:space="0" w:color="ADD6EA"/>
              <w:right w:val="nil"/>
            </w:tcBorders>
            <w:shd w:val="clear" w:color="auto" w:fill="auto"/>
            <w:vAlign w:val="bottom"/>
            <w:hideMark/>
          </w:tcPr>
          <w:p w14:paraId="41B50E30"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9</w:t>
            </w:r>
          </w:p>
        </w:tc>
        <w:tc>
          <w:tcPr>
            <w:tcW w:w="780" w:type="dxa"/>
            <w:tcBorders>
              <w:top w:val="nil"/>
              <w:left w:val="nil"/>
              <w:bottom w:val="single" w:sz="4" w:space="0" w:color="ADD6EA"/>
              <w:right w:val="nil"/>
            </w:tcBorders>
            <w:shd w:val="clear" w:color="auto" w:fill="auto"/>
            <w:vAlign w:val="bottom"/>
            <w:hideMark/>
          </w:tcPr>
          <w:p w14:paraId="59EE2984"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56</w:t>
            </w:r>
          </w:p>
        </w:tc>
        <w:tc>
          <w:tcPr>
            <w:tcW w:w="780" w:type="dxa"/>
            <w:tcBorders>
              <w:top w:val="nil"/>
              <w:left w:val="nil"/>
              <w:bottom w:val="single" w:sz="4" w:space="0" w:color="ADD6EA"/>
              <w:right w:val="nil"/>
            </w:tcBorders>
            <w:shd w:val="clear" w:color="auto" w:fill="auto"/>
            <w:vAlign w:val="bottom"/>
            <w:hideMark/>
          </w:tcPr>
          <w:p w14:paraId="20BBA43E"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-14</w:t>
            </w:r>
          </w:p>
        </w:tc>
        <w:tc>
          <w:tcPr>
            <w:tcW w:w="780" w:type="dxa"/>
            <w:tcBorders>
              <w:top w:val="nil"/>
              <w:left w:val="nil"/>
              <w:bottom w:val="single" w:sz="4" w:space="0" w:color="ADD6EA"/>
              <w:right w:val="nil"/>
            </w:tcBorders>
            <w:shd w:val="clear" w:color="auto" w:fill="auto"/>
            <w:vAlign w:val="bottom"/>
            <w:hideMark/>
          </w:tcPr>
          <w:p w14:paraId="59989897"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-56</w:t>
            </w:r>
          </w:p>
        </w:tc>
        <w:tc>
          <w:tcPr>
            <w:tcW w:w="780" w:type="dxa"/>
            <w:tcBorders>
              <w:top w:val="nil"/>
              <w:left w:val="nil"/>
              <w:bottom w:val="single" w:sz="4" w:space="0" w:color="ADD6EA"/>
              <w:right w:val="nil"/>
            </w:tcBorders>
            <w:shd w:val="clear" w:color="auto" w:fill="auto"/>
            <w:vAlign w:val="bottom"/>
            <w:hideMark/>
          </w:tcPr>
          <w:p w14:paraId="4E22D04A"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-285</w:t>
            </w:r>
          </w:p>
        </w:tc>
        <w:tc>
          <w:tcPr>
            <w:tcW w:w="800" w:type="dxa"/>
            <w:tcBorders>
              <w:top w:val="nil"/>
              <w:left w:val="nil"/>
              <w:bottom w:val="single" w:sz="4" w:space="0" w:color="ADD6EA"/>
              <w:right w:val="nil"/>
            </w:tcBorders>
            <w:shd w:val="clear" w:color="auto" w:fill="auto"/>
            <w:vAlign w:val="bottom"/>
            <w:hideMark/>
          </w:tcPr>
          <w:p w14:paraId="289D9541"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1,260</w:t>
            </w:r>
          </w:p>
        </w:tc>
        <w:tc>
          <w:tcPr>
            <w:tcW w:w="800" w:type="dxa"/>
            <w:tcBorders>
              <w:top w:val="nil"/>
              <w:left w:val="nil"/>
              <w:bottom w:val="single" w:sz="4" w:space="0" w:color="ADD6EA"/>
              <w:right w:val="nil"/>
            </w:tcBorders>
            <w:shd w:val="clear" w:color="auto" w:fill="auto"/>
            <w:vAlign w:val="bottom"/>
            <w:hideMark/>
          </w:tcPr>
          <w:p w14:paraId="4073A772"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23</w:t>
            </w:r>
          </w:p>
        </w:tc>
      </w:tr>
      <w:tr w:rsidR="007E365E" w:rsidRPr="00AD6348" w14:paraId="39933B14" w14:textId="77777777" w:rsidTr="007D1D77">
        <w:trPr>
          <w:trHeight w:val="315"/>
        </w:trPr>
        <w:tc>
          <w:tcPr>
            <w:tcW w:w="1900" w:type="dxa"/>
            <w:tcBorders>
              <w:top w:val="nil"/>
              <w:left w:val="nil"/>
              <w:bottom w:val="single" w:sz="4" w:space="0" w:color="ADD6EA"/>
              <w:right w:val="nil"/>
            </w:tcBorders>
            <w:shd w:val="clear" w:color="auto" w:fill="auto"/>
            <w:vAlign w:val="bottom"/>
            <w:hideMark/>
          </w:tcPr>
          <w:p w14:paraId="79FA1EC5" w14:textId="77777777" w:rsidR="007E365E" w:rsidRPr="00AD6348" w:rsidRDefault="007E365E" w:rsidP="007D1D77">
            <w:pPr>
              <w:keepNext/>
              <w:tabs>
                <w:tab w:val="clear" w:pos="567"/>
              </w:tabs>
              <w:spacing w:before="0" w:line="240" w:lineRule="auto"/>
              <w:rPr>
                <w:rFonts w:eastAsia="Times New Roman" w:cs="Open Sans Light"/>
                <w:sz w:val="16"/>
                <w:szCs w:val="16"/>
                <w:lang w:eastAsia="en-AU"/>
              </w:rPr>
            </w:pPr>
            <w:r w:rsidRPr="00AD6348">
              <w:rPr>
                <w:rFonts w:eastAsia="Times New Roman" w:cs="Open Sans Light"/>
                <w:sz w:val="16"/>
                <w:szCs w:val="16"/>
                <w:lang w:eastAsia="en-AU"/>
              </w:rPr>
              <w:t>Costs of construction</w:t>
            </w:r>
          </w:p>
        </w:tc>
        <w:tc>
          <w:tcPr>
            <w:tcW w:w="760" w:type="dxa"/>
            <w:tcBorders>
              <w:top w:val="nil"/>
              <w:left w:val="nil"/>
              <w:bottom w:val="single" w:sz="4" w:space="0" w:color="ADD6EA"/>
              <w:right w:val="nil"/>
            </w:tcBorders>
            <w:shd w:val="clear" w:color="auto" w:fill="auto"/>
            <w:vAlign w:val="bottom"/>
            <w:hideMark/>
          </w:tcPr>
          <w:p w14:paraId="0B7B57D7"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7</w:t>
            </w:r>
          </w:p>
        </w:tc>
        <w:tc>
          <w:tcPr>
            <w:tcW w:w="800" w:type="dxa"/>
            <w:tcBorders>
              <w:top w:val="nil"/>
              <w:left w:val="nil"/>
              <w:bottom w:val="single" w:sz="4" w:space="0" w:color="ADD6EA"/>
              <w:right w:val="nil"/>
            </w:tcBorders>
            <w:shd w:val="clear" w:color="auto" w:fill="auto"/>
            <w:vAlign w:val="bottom"/>
            <w:hideMark/>
          </w:tcPr>
          <w:p w14:paraId="15E598B7"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-64</w:t>
            </w:r>
          </w:p>
        </w:tc>
        <w:tc>
          <w:tcPr>
            <w:tcW w:w="780" w:type="dxa"/>
            <w:tcBorders>
              <w:top w:val="nil"/>
              <w:left w:val="nil"/>
              <w:bottom w:val="single" w:sz="4" w:space="0" w:color="ADD6EA"/>
              <w:right w:val="nil"/>
            </w:tcBorders>
            <w:shd w:val="clear" w:color="auto" w:fill="auto"/>
            <w:vAlign w:val="bottom"/>
            <w:hideMark/>
          </w:tcPr>
          <w:p w14:paraId="24207482"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2</w:t>
            </w:r>
          </w:p>
        </w:tc>
        <w:tc>
          <w:tcPr>
            <w:tcW w:w="780" w:type="dxa"/>
            <w:tcBorders>
              <w:top w:val="nil"/>
              <w:left w:val="nil"/>
              <w:bottom w:val="single" w:sz="4" w:space="0" w:color="ADD6EA"/>
              <w:right w:val="nil"/>
            </w:tcBorders>
            <w:shd w:val="clear" w:color="auto" w:fill="auto"/>
            <w:vAlign w:val="bottom"/>
            <w:hideMark/>
          </w:tcPr>
          <w:p w14:paraId="0C225268"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108</w:t>
            </w:r>
          </w:p>
        </w:tc>
        <w:tc>
          <w:tcPr>
            <w:tcW w:w="780" w:type="dxa"/>
            <w:tcBorders>
              <w:top w:val="nil"/>
              <w:left w:val="nil"/>
              <w:bottom w:val="single" w:sz="4" w:space="0" w:color="ADD6EA"/>
              <w:right w:val="nil"/>
            </w:tcBorders>
            <w:shd w:val="clear" w:color="auto" w:fill="auto"/>
            <w:vAlign w:val="bottom"/>
            <w:hideMark/>
          </w:tcPr>
          <w:p w14:paraId="1BC01595"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-13</w:t>
            </w:r>
          </w:p>
        </w:tc>
        <w:tc>
          <w:tcPr>
            <w:tcW w:w="780" w:type="dxa"/>
            <w:tcBorders>
              <w:top w:val="nil"/>
              <w:left w:val="nil"/>
              <w:bottom w:val="single" w:sz="4" w:space="0" w:color="ADD6EA"/>
              <w:right w:val="nil"/>
            </w:tcBorders>
            <w:shd w:val="clear" w:color="auto" w:fill="auto"/>
            <w:vAlign w:val="bottom"/>
            <w:hideMark/>
          </w:tcPr>
          <w:p w14:paraId="3308B8A4"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-72</w:t>
            </w:r>
          </w:p>
        </w:tc>
        <w:tc>
          <w:tcPr>
            <w:tcW w:w="780" w:type="dxa"/>
            <w:tcBorders>
              <w:top w:val="nil"/>
              <w:left w:val="nil"/>
              <w:bottom w:val="single" w:sz="4" w:space="0" w:color="ADD6EA"/>
              <w:right w:val="nil"/>
            </w:tcBorders>
            <w:shd w:val="clear" w:color="auto" w:fill="auto"/>
            <w:vAlign w:val="bottom"/>
            <w:hideMark/>
          </w:tcPr>
          <w:p w14:paraId="70A0384D"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29</w:t>
            </w:r>
          </w:p>
        </w:tc>
        <w:tc>
          <w:tcPr>
            <w:tcW w:w="800" w:type="dxa"/>
            <w:tcBorders>
              <w:top w:val="nil"/>
              <w:left w:val="nil"/>
              <w:bottom w:val="single" w:sz="4" w:space="0" w:color="ADD6EA"/>
              <w:right w:val="nil"/>
            </w:tcBorders>
            <w:shd w:val="clear" w:color="auto" w:fill="auto"/>
            <w:vAlign w:val="bottom"/>
            <w:hideMark/>
          </w:tcPr>
          <w:p w14:paraId="4D9CE22D"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550</w:t>
            </w:r>
          </w:p>
        </w:tc>
        <w:tc>
          <w:tcPr>
            <w:tcW w:w="800" w:type="dxa"/>
            <w:tcBorders>
              <w:top w:val="nil"/>
              <w:left w:val="nil"/>
              <w:bottom w:val="single" w:sz="4" w:space="0" w:color="ADD6EA"/>
              <w:right w:val="nil"/>
            </w:tcBorders>
            <w:shd w:val="clear" w:color="auto" w:fill="auto"/>
            <w:vAlign w:val="bottom"/>
            <w:hideMark/>
          </w:tcPr>
          <w:p w14:paraId="169DAA19" w14:textId="77777777" w:rsidR="007E365E" w:rsidRPr="00AD6348" w:rsidRDefault="007E365E" w:rsidP="007D1D77">
            <w:pPr>
              <w:keepNext/>
              <w:tabs>
                <w:tab w:val="clear" w:pos="567"/>
              </w:tabs>
              <w:spacing w:before="0" w:line="240" w:lineRule="auto"/>
              <w:jc w:val="right"/>
              <w:rPr>
                <w:rFonts w:eastAsia="Times New Roman" w:cs="Open Sans Light"/>
                <w:sz w:val="16"/>
                <w:szCs w:val="16"/>
                <w:lang w:eastAsia="en-AU"/>
              </w:rPr>
            </w:pPr>
            <w:r w:rsidRPr="00AD6348">
              <w:rPr>
                <w:rFonts w:eastAsia="Times New Roman" w:cs="Open Sans Light"/>
                <w:sz w:val="16"/>
                <w:szCs w:val="16"/>
                <w:lang w:eastAsia="en-AU"/>
              </w:rPr>
              <w:t>19</w:t>
            </w:r>
          </w:p>
        </w:tc>
      </w:tr>
      <w:tr w:rsidR="007E365E" w:rsidRPr="00AD6348" w14:paraId="2365CBD3" w14:textId="77777777" w:rsidTr="007D1D77">
        <w:trPr>
          <w:trHeight w:val="315"/>
        </w:trPr>
        <w:tc>
          <w:tcPr>
            <w:tcW w:w="1900" w:type="dxa"/>
            <w:tcBorders>
              <w:top w:val="nil"/>
              <w:left w:val="nil"/>
              <w:bottom w:val="single" w:sz="4" w:space="0" w:color="ADD6EA"/>
              <w:right w:val="nil"/>
            </w:tcBorders>
            <w:shd w:val="clear" w:color="000000" w:fill="D6E7F0"/>
            <w:vAlign w:val="bottom"/>
            <w:hideMark/>
          </w:tcPr>
          <w:p w14:paraId="604E385E" w14:textId="77777777" w:rsidR="007E365E" w:rsidRPr="00AD6348" w:rsidRDefault="007E365E" w:rsidP="007D1D77">
            <w:pPr>
              <w:keepNext/>
              <w:tabs>
                <w:tab w:val="clear" w:pos="567"/>
              </w:tabs>
              <w:spacing w:before="0" w:line="240" w:lineRule="auto"/>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33D560A4"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11</w:t>
            </w:r>
          </w:p>
        </w:tc>
        <w:tc>
          <w:tcPr>
            <w:tcW w:w="800" w:type="dxa"/>
            <w:tcBorders>
              <w:top w:val="nil"/>
              <w:left w:val="nil"/>
              <w:bottom w:val="single" w:sz="4" w:space="0" w:color="ADD6EA"/>
              <w:right w:val="nil"/>
            </w:tcBorders>
            <w:shd w:val="clear" w:color="000000" w:fill="D6E7F0"/>
            <w:vAlign w:val="bottom"/>
            <w:hideMark/>
          </w:tcPr>
          <w:p w14:paraId="1BE93C09"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38</w:t>
            </w:r>
          </w:p>
        </w:tc>
        <w:tc>
          <w:tcPr>
            <w:tcW w:w="780" w:type="dxa"/>
            <w:tcBorders>
              <w:top w:val="nil"/>
              <w:left w:val="nil"/>
              <w:bottom w:val="single" w:sz="4" w:space="0" w:color="ADD6EA"/>
              <w:right w:val="nil"/>
            </w:tcBorders>
            <w:shd w:val="clear" w:color="000000" w:fill="D6E7F0"/>
            <w:vAlign w:val="bottom"/>
            <w:hideMark/>
          </w:tcPr>
          <w:p w14:paraId="5DB0F18C"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3</w:t>
            </w:r>
          </w:p>
        </w:tc>
        <w:tc>
          <w:tcPr>
            <w:tcW w:w="780" w:type="dxa"/>
            <w:tcBorders>
              <w:top w:val="nil"/>
              <w:left w:val="nil"/>
              <w:bottom w:val="single" w:sz="4" w:space="0" w:color="ADD6EA"/>
              <w:right w:val="nil"/>
            </w:tcBorders>
            <w:shd w:val="clear" w:color="000000" w:fill="D6E7F0"/>
            <w:vAlign w:val="bottom"/>
            <w:hideMark/>
          </w:tcPr>
          <w:p w14:paraId="682F5E40"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-51</w:t>
            </w:r>
          </w:p>
        </w:tc>
        <w:tc>
          <w:tcPr>
            <w:tcW w:w="780" w:type="dxa"/>
            <w:tcBorders>
              <w:top w:val="nil"/>
              <w:left w:val="nil"/>
              <w:bottom w:val="single" w:sz="4" w:space="0" w:color="ADD6EA"/>
              <w:right w:val="nil"/>
            </w:tcBorders>
            <w:shd w:val="clear" w:color="000000" w:fill="D6E7F0"/>
            <w:vAlign w:val="bottom"/>
            <w:hideMark/>
          </w:tcPr>
          <w:p w14:paraId="7C3FA7A5"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-229</w:t>
            </w:r>
          </w:p>
        </w:tc>
        <w:tc>
          <w:tcPr>
            <w:tcW w:w="780" w:type="dxa"/>
            <w:tcBorders>
              <w:top w:val="nil"/>
              <w:left w:val="nil"/>
              <w:bottom w:val="single" w:sz="4" w:space="0" w:color="ADD6EA"/>
              <w:right w:val="nil"/>
            </w:tcBorders>
            <w:shd w:val="clear" w:color="000000" w:fill="D6E7F0"/>
            <w:vAlign w:val="bottom"/>
            <w:hideMark/>
          </w:tcPr>
          <w:p w14:paraId="310F6273"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-237</w:t>
            </w:r>
          </w:p>
        </w:tc>
        <w:tc>
          <w:tcPr>
            <w:tcW w:w="780" w:type="dxa"/>
            <w:tcBorders>
              <w:top w:val="nil"/>
              <w:left w:val="nil"/>
              <w:bottom w:val="single" w:sz="4" w:space="0" w:color="ADD6EA"/>
              <w:right w:val="nil"/>
            </w:tcBorders>
            <w:shd w:val="clear" w:color="000000" w:fill="D6E7F0"/>
            <w:vAlign w:val="bottom"/>
            <w:hideMark/>
          </w:tcPr>
          <w:p w14:paraId="364092D8"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-208</w:t>
            </w:r>
          </w:p>
        </w:tc>
        <w:tc>
          <w:tcPr>
            <w:tcW w:w="800" w:type="dxa"/>
            <w:tcBorders>
              <w:top w:val="nil"/>
              <w:left w:val="nil"/>
              <w:bottom w:val="single" w:sz="4" w:space="0" w:color="ADD6EA"/>
              <w:right w:val="nil"/>
            </w:tcBorders>
            <w:shd w:val="clear" w:color="000000" w:fill="D6E7F0"/>
            <w:vAlign w:val="bottom"/>
            <w:hideMark/>
          </w:tcPr>
          <w:p w14:paraId="664E43BB"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1,603</w:t>
            </w:r>
          </w:p>
        </w:tc>
        <w:tc>
          <w:tcPr>
            <w:tcW w:w="800" w:type="dxa"/>
            <w:tcBorders>
              <w:top w:val="nil"/>
              <w:left w:val="nil"/>
              <w:bottom w:val="single" w:sz="4" w:space="0" w:color="ADD6EA"/>
              <w:right w:val="nil"/>
            </w:tcBorders>
            <w:shd w:val="clear" w:color="000000" w:fill="D6E7F0"/>
            <w:vAlign w:val="bottom"/>
            <w:hideMark/>
          </w:tcPr>
          <w:p w14:paraId="63893FE9" w14:textId="77777777" w:rsidR="007E365E" w:rsidRPr="00AD6348" w:rsidRDefault="007E365E" w:rsidP="007D1D77">
            <w:pPr>
              <w:keepNext/>
              <w:tabs>
                <w:tab w:val="clear" w:pos="567"/>
              </w:tabs>
              <w:spacing w:before="0" w:line="240" w:lineRule="auto"/>
              <w:jc w:val="right"/>
              <w:rPr>
                <w:rFonts w:ascii="Open Sans SemiBold" w:eastAsia="Times New Roman" w:hAnsi="Open Sans SemiBold" w:cs="Open Sans SemiBold"/>
                <w:sz w:val="16"/>
                <w:szCs w:val="16"/>
                <w:lang w:eastAsia="en-AU"/>
              </w:rPr>
            </w:pPr>
            <w:r w:rsidRPr="00AD6348">
              <w:rPr>
                <w:rFonts w:ascii="Open Sans SemiBold" w:eastAsia="Times New Roman" w:hAnsi="Open Sans SemiBold" w:cs="Open Sans SemiBold"/>
                <w:sz w:val="16"/>
                <w:szCs w:val="16"/>
                <w:lang w:eastAsia="en-AU"/>
              </w:rPr>
              <w:t>29</w:t>
            </w:r>
          </w:p>
        </w:tc>
      </w:tr>
    </w:tbl>
    <w:p w14:paraId="13493300" w14:textId="6552FA16" w:rsidR="007E365E" w:rsidRPr="000F09E5" w:rsidRDefault="007E365E" w:rsidP="007E365E">
      <w:pPr>
        <w:pStyle w:val="CGCTablenote"/>
        <w:keepNext/>
      </w:pPr>
      <w:r w:rsidRPr="000F09E5">
        <w:t>Note:</w:t>
      </w:r>
      <w:r>
        <w:tab/>
      </w:r>
      <w:r w:rsidRPr="000F09E5">
        <w:t xml:space="preserve">The redistribution from an EPC assessment </w:t>
      </w:r>
      <w:r w:rsidR="006955F7">
        <w:t>is illustrative</w:t>
      </w:r>
      <w:r w:rsidR="00A71105">
        <w:t xml:space="preserve"> </w:t>
      </w:r>
      <w:r w:rsidRPr="000F09E5">
        <w:t>of category expenses</w:t>
      </w:r>
      <w:r w:rsidR="00A71105">
        <w:t xml:space="preserve"> and may not add due to rounding</w:t>
      </w:r>
      <w:r w:rsidRPr="000F09E5">
        <w:t xml:space="preserve">. </w:t>
      </w:r>
    </w:p>
    <w:p w14:paraId="7A363634" w14:textId="77777777" w:rsidR="007E365E" w:rsidRPr="000F09E5" w:rsidRDefault="007E365E" w:rsidP="007E365E">
      <w:pPr>
        <w:pStyle w:val="CGCTablenote"/>
        <w:keepNext/>
      </w:pPr>
      <w:r w:rsidRPr="000F09E5">
        <w:t>Source:</w:t>
      </w:r>
      <w:r w:rsidRPr="000F09E5">
        <w:tab/>
        <w:t>Commission calculation.</w:t>
      </w:r>
    </w:p>
    <w:p w14:paraId="0CCA535E" w14:textId="77777777" w:rsidR="007E365E" w:rsidRPr="000F09E5" w:rsidRDefault="007E365E" w:rsidP="007E365E">
      <w:pPr>
        <w:pStyle w:val="CGCParaNumber"/>
      </w:pPr>
      <w:r w:rsidRPr="000F09E5">
        <w:t>The redistributions for each State are primarily driven by investment in urban transport and rural roads. These accounted for 2</w:t>
      </w:r>
      <w:r>
        <w:t>2</w:t>
      </w:r>
      <w:r w:rsidRPr="000F09E5">
        <w:t>% and 1</w:t>
      </w:r>
      <w:r>
        <w:t>6</w:t>
      </w:r>
      <w:r w:rsidRPr="000F09E5">
        <w:t xml:space="preserve">% of total investment in </w:t>
      </w:r>
      <w:r>
        <w:t>2018-19</w:t>
      </w:r>
      <w:r w:rsidRPr="000F09E5">
        <w:t xml:space="preserve"> respectively, and State circumstances for these services are very diverse. </w:t>
      </w:r>
    </w:p>
    <w:p w14:paraId="48ECF4F8" w14:textId="77777777" w:rsidR="007E365E" w:rsidRPr="000F09E5" w:rsidRDefault="007E365E" w:rsidP="007E365E">
      <w:pPr>
        <w:pStyle w:val="CGCParaNumber"/>
      </w:pPr>
      <w:r>
        <w:t>Urban transport investment redistributes</w:t>
      </w:r>
      <w:r w:rsidRPr="001B7894">
        <w:t xml:space="preserve"> $6.8 billion in </w:t>
      </w:r>
      <w:r>
        <w:t>2020-21</w:t>
      </w:r>
      <w:r w:rsidRPr="001B7894">
        <w:t xml:space="preserve">, of which $1.9 billion </w:t>
      </w:r>
      <w:r>
        <w:t xml:space="preserve">is </w:t>
      </w:r>
      <w:r w:rsidRPr="001B7894">
        <w:t xml:space="preserve"> driven by user population growth, and is assessed as being needed predominantly by States with fast growing cities, especially Victoria. The other $4.9 billion</w:t>
      </w:r>
      <w:r w:rsidRPr="000F09E5">
        <w:t xml:space="preserve"> is assessed as being needed predominantly by States with complex transport needs, predominantly New South Wales and Victoria. </w:t>
      </w:r>
    </w:p>
    <w:p w14:paraId="457EB44C" w14:textId="77777777" w:rsidR="007E365E" w:rsidRPr="00B13AC7" w:rsidRDefault="007E365E" w:rsidP="007E365E">
      <w:pPr>
        <w:pStyle w:val="CGCParaNumber"/>
      </w:pPr>
      <w:r w:rsidRPr="00B13AC7">
        <w:t>Rural roads investment redistributes $5.</w:t>
      </w:r>
      <w:r>
        <w:t>5</w:t>
      </w:r>
      <w:r w:rsidRPr="00B13AC7">
        <w:t xml:space="preserve"> billion in 2020-21, which is assessed as being disproportionately needed by Queensland, Western Australia and the Northern Territory. </w:t>
      </w:r>
    </w:p>
    <w:p w14:paraId="28D79829" w14:textId="77777777" w:rsidR="007E365E" w:rsidRPr="000F09E5" w:rsidRDefault="007E365E" w:rsidP="007E365E">
      <w:pPr>
        <w:pStyle w:val="CGCParaNumber"/>
      </w:pPr>
      <w:r w:rsidRPr="000F09E5">
        <w:t>Costs of construction are higher in some States than others, and in more remote areas. Western Australia and the Northern Territory have particularly high costs of construction.</w:t>
      </w:r>
    </w:p>
    <w:p w14:paraId="71F51A7C" w14:textId="77777777" w:rsidR="007E365E" w:rsidRPr="008B19C7" w:rsidRDefault="007E365E" w:rsidP="007E365E">
      <w:pPr>
        <w:pStyle w:val="CGCParaNumber"/>
      </w:pPr>
      <w:r w:rsidRPr="008B19C7">
        <w:t>The result for each State is summarised as follows.</w:t>
      </w:r>
    </w:p>
    <w:p w14:paraId="6305ECB9" w14:textId="77777777" w:rsidR="007E365E" w:rsidRPr="008B19C7" w:rsidRDefault="007E365E" w:rsidP="007E365E">
      <w:pPr>
        <w:pStyle w:val="CGCBullet1"/>
      </w:pPr>
      <w:r w:rsidRPr="008B19C7">
        <w:t xml:space="preserve">New South Wales’ high urban transport investment needs are somewhat offset by its below average requirement for rural road investment. </w:t>
      </w:r>
    </w:p>
    <w:p w14:paraId="755761C6" w14:textId="77777777" w:rsidR="007E365E" w:rsidRPr="008B19C7" w:rsidRDefault="007E365E" w:rsidP="007E365E">
      <w:pPr>
        <w:pStyle w:val="CGCBullet1"/>
      </w:pPr>
      <w:r w:rsidRPr="008B19C7">
        <w:t>Victoria has above average urban transport investment needs. This is compounded by the above average population growth in Melbourne, affecting both urban transport and urban roads and by the growth in most service populations, especially government school students and users of social housing. This is partially offset by Victoria’s below average rural road needs.</w:t>
      </w:r>
    </w:p>
    <w:p w14:paraId="344EF0B3" w14:textId="77777777" w:rsidR="007E365E" w:rsidRPr="008B19C7" w:rsidRDefault="007E365E" w:rsidP="007E365E">
      <w:pPr>
        <w:pStyle w:val="CGCBullet1"/>
      </w:pPr>
      <w:r w:rsidRPr="008B19C7">
        <w:t xml:space="preserve">The decentralised nature of Queensland means it has a below average need for urban transport and above average needs for rural roads. </w:t>
      </w:r>
    </w:p>
    <w:p w14:paraId="5374E1F6" w14:textId="77777777" w:rsidR="007E365E" w:rsidRPr="008B19C7" w:rsidRDefault="007E365E" w:rsidP="007E365E">
      <w:pPr>
        <w:pStyle w:val="CGCBullet1"/>
      </w:pPr>
      <w:r w:rsidRPr="008B19C7">
        <w:t xml:space="preserve">Western Australia’s relatively slow population growth means it has below average growth of user populations across a range of services. This is compounded by low needs for urban transport, but somewhat offset by high needs for rural road investment and high construction costs. </w:t>
      </w:r>
    </w:p>
    <w:p w14:paraId="460D7987" w14:textId="77777777" w:rsidR="007E365E" w:rsidRPr="008B19C7" w:rsidRDefault="007E365E" w:rsidP="007E365E">
      <w:pPr>
        <w:pStyle w:val="CGCBullet1"/>
      </w:pPr>
      <w:r w:rsidRPr="008B19C7">
        <w:t>The redistribution away from South Australia is predominately due to a below average requirement for urban transport investment. Below average growth in all service using populations</w:t>
      </w:r>
      <w:r>
        <w:t>, except health,</w:t>
      </w:r>
      <w:r w:rsidRPr="008B19C7">
        <w:t xml:space="preserve"> compounds this.</w:t>
      </w:r>
    </w:p>
    <w:p w14:paraId="0DFBFDBF" w14:textId="77777777" w:rsidR="007E365E" w:rsidRPr="008B19C7" w:rsidRDefault="007E365E" w:rsidP="007E365E">
      <w:pPr>
        <w:pStyle w:val="CGCBullet1"/>
      </w:pPr>
      <w:r w:rsidRPr="008B19C7">
        <w:lastRenderedPageBreak/>
        <w:t>Tasmania’s below average needs for urban transport infrastructure w</w:t>
      </w:r>
      <w:r>
        <w:t>ere</w:t>
      </w:r>
      <w:r w:rsidRPr="008B19C7">
        <w:t xml:space="preserve"> compounded by below average growth in all user populations except </w:t>
      </w:r>
      <w:r>
        <w:t>Justice and</w:t>
      </w:r>
      <w:r w:rsidRPr="008B19C7">
        <w:t xml:space="preserve"> </w:t>
      </w:r>
      <w:r>
        <w:t>H</w:t>
      </w:r>
      <w:r w:rsidRPr="008B19C7">
        <w:t>ealth</w:t>
      </w:r>
      <w:r w:rsidRPr="006F7BEE">
        <w:t>.</w:t>
      </w:r>
      <w:r w:rsidRPr="008B19C7">
        <w:t xml:space="preserve"> Tasmania’s above average rural road network offset these effects slightly. </w:t>
      </w:r>
    </w:p>
    <w:p w14:paraId="174249BA" w14:textId="77777777" w:rsidR="007E365E" w:rsidRPr="008B19C7" w:rsidRDefault="007E365E" w:rsidP="007E365E">
      <w:pPr>
        <w:pStyle w:val="CGCBullet1"/>
      </w:pPr>
      <w:r w:rsidRPr="008B19C7">
        <w:t>The ACT’s small city size and very small rural road network mean that it has significantly below average need for investment. This is somewhat offset by a rapid growth in government school students, which increased needs for school infrastructure.</w:t>
      </w:r>
    </w:p>
    <w:p w14:paraId="65132708" w14:textId="77777777" w:rsidR="007E365E" w:rsidRPr="008B19C7" w:rsidRDefault="007E365E" w:rsidP="007E365E">
      <w:pPr>
        <w:pStyle w:val="CGCBullet1"/>
      </w:pPr>
      <w:r w:rsidRPr="008B19C7">
        <w:t xml:space="preserve">The Northern Territory has very high needs for rural road investment and high cost of construction. Its above </w:t>
      </w:r>
      <w:r>
        <w:t xml:space="preserve">average </w:t>
      </w:r>
      <w:r w:rsidRPr="008B19C7">
        <w:t>need for capital improvements in most categories is offset by its below average needs for capital requirements driven by slow growth in user populations for most categories.</w:t>
      </w:r>
    </w:p>
    <w:p w14:paraId="2ACD3C2B" w14:textId="77777777" w:rsidR="007E365E" w:rsidRPr="000F09E5" w:rsidRDefault="007E365E" w:rsidP="007E365E">
      <w:pPr>
        <w:pStyle w:val="Heading3"/>
      </w:pPr>
      <w:bookmarkStart w:id="443" w:name="_Toc24569271"/>
      <w:bookmarkStart w:id="444" w:name="_Toc24468524"/>
      <w:r w:rsidRPr="000F09E5">
        <w:t>Changes since the 2019 Update</w:t>
      </w:r>
      <w:bookmarkEnd w:id="443"/>
      <w:bookmarkEnd w:id="444"/>
    </w:p>
    <w:p w14:paraId="1E8A046E" w14:textId="415CA051" w:rsidR="007E365E" w:rsidRDefault="007E365E" w:rsidP="007E365E">
      <w:pPr>
        <w:pStyle w:val="CGCParaNumber"/>
      </w:pPr>
      <w:r w:rsidRPr="000F09E5">
        <w:t xml:space="preserve">There are a number of data and method changes since the </w:t>
      </w:r>
      <w:r>
        <w:t xml:space="preserve">2019 Update as well as data revisions and changes in State circumstances. </w:t>
      </w:r>
      <w:r>
        <w:fldChar w:fldCharType="begin"/>
      </w:r>
      <w:r>
        <w:instrText xml:space="preserve"> REF _Ref31630298 \h </w:instrText>
      </w:r>
      <w:r>
        <w:fldChar w:fldCharType="separate"/>
      </w:r>
      <w:r w:rsidR="007F721A">
        <w:t>Table 24-</w:t>
      </w:r>
      <w:r w:rsidR="007F721A">
        <w:rPr>
          <w:noProof/>
        </w:rPr>
        <w:t>11</w:t>
      </w:r>
      <w:r>
        <w:fldChar w:fldCharType="end"/>
      </w:r>
      <w:r>
        <w:t xml:space="preserve"> shows the effect of these changes.</w:t>
      </w:r>
    </w:p>
    <w:p w14:paraId="2FD8BC64" w14:textId="3E09A3FC" w:rsidR="007E365E" w:rsidRDefault="007E365E" w:rsidP="007E365E">
      <w:pPr>
        <w:pStyle w:val="Caption"/>
      </w:pPr>
      <w:bookmarkStart w:id="445" w:name="_Ref31630298"/>
      <w:r>
        <w:t>Table 24-</w:t>
      </w:r>
      <w:fldSimple w:instr=" SEQ Table \* ARABIC ">
        <w:r w:rsidR="007F721A">
          <w:rPr>
            <w:noProof/>
          </w:rPr>
          <w:t>11</w:t>
        </w:r>
      </w:fldSimple>
      <w:bookmarkEnd w:id="445"/>
      <w:r w:rsidRPr="00221CC6">
        <w:tab/>
      </w:r>
      <w:r>
        <w:t>C</w:t>
      </w:r>
      <w:r w:rsidRPr="00221CC6">
        <w:t xml:space="preserve">hanges to </w:t>
      </w:r>
      <w:r>
        <w:t>the GST redistribution</w:t>
      </w:r>
      <w:r w:rsidRPr="00221CC6">
        <w:t xml:space="preserve"> between the 2019 Update and the 2020</w:t>
      </w:r>
      <w:r>
        <w:t> </w:t>
      </w:r>
      <w:r w:rsidRPr="00221CC6">
        <w:t>Review</w:t>
      </w:r>
    </w:p>
    <w:tbl>
      <w:tblPr>
        <w:tblW w:w="8940" w:type="dxa"/>
        <w:tblCellMar>
          <w:left w:w="0" w:type="dxa"/>
          <w:right w:w="28" w:type="dxa"/>
        </w:tblCellMar>
        <w:tblLook w:val="04A0" w:firstRow="1" w:lastRow="0" w:firstColumn="1" w:lastColumn="0" w:noHBand="0" w:noVBand="1"/>
      </w:tblPr>
      <w:tblGrid>
        <w:gridCol w:w="2954"/>
        <w:gridCol w:w="665"/>
        <w:gridCol w:w="665"/>
        <w:gridCol w:w="665"/>
        <w:gridCol w:w="665"/>
        <w:gridCol w:w="665"/>
        <w:gridCol w:w="665"/>
        <w:gridCol w:w="665"/>
        <w:gridCol w:w="665"/>
        <w:gridCol w:w="705"/>
      </w:tblGrid>
      <w:tr w:rsidR="007E365E" w:rsidRPr="00E33E9D" w14:paraId="6D994BB5" w14:textId="77777777" w:rsidTr="007D1D77">
        <w:trPr>
          <w:trHeight w:val="375"/>
        </w:trPr>
        <w:tc>
          <w:tcPr>
            <w:tcW w:w="2960" w:type="dxa"/>
            <w:tcBorders>
              <w:top w:val="nil"/>
              <w:left w:val="nil"/>
              <w:bottom w:val="nil"/>
              <w:right w:val="nil"/>
            </w:tcBorders>
            <w:shd w:val="clear" w:color="000000" w:fill="006991"/>
            <w:noWrap/>
            <w:vAlign w:val="center"/>
            <w:hideMark/>
          </w:tcPr>
          <w:p w14:paraId="28C0064C"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33E9D">
              <w:rPr>
                <w:rFonts w:ascii="Open Sans SemiBold" w:eastAsia="Times New Roman" w:hAnsi="Open Sans SemiBold" w:cs="Open Sans SemiBold"/>
                <w:color w:val="FFFFFF"/>
                <w:sz w:val="16"/>
                <w:szCs w:val="16"/>
                <w:lang w:eastAsia="en-AU"/>
              </w:rPr>
              <w:t> </w:t>
            </w:r>
          </w:p>
        </w:tc>
        <w:tc>
          <w:tcPr>
            <w:tcW w:w="660" w:type="dxa"/>
            <w:tcBorders>
              <w:top w:val="nil"/>
              <w:left w:val="nil"/>
              <w:bottom w:val="nil"/>
              <w:right w:val="nil"/>
            </w:tcBorders>
            <w:shd w:val="clear" w:color="000000" w:fill="006991"/>
            <w:noWrap/>
            <w:vAlign w:val="center"/>
            <w:hideMark/>
          </w:tcPr>
          <w:p w14:paraId="69BE4D66"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33E9D">
              <w:rPr>
                <w:rFonts w:ascii="Open Sans SemiBold" w:eastAsia="Times New Roman" w:hAnsi="Open Sans SemiBold" w:cs="Open Sans SemiBold"/>
                <w:color w:val="FFFFFF"/>
                <w:sz w:val="16"/>
                <w:szCs w:val="16"/>
                <w:lang w:eastAsia="en-AU"/>
              </w:rPr>
              <w:t>NSW</w:t>
            </w:r>
          </w:p>
        </w:tc>
        <w:tc>
          <w:tcPr>
            <w:tcW w:w="660" w:type="dxa"/>
            <w:tcBorders>
              <w:top w:val="nil"/>
              <w:left w:val="nil"/>
              <w:bottom w:val="nil"/>
              <w:right w:val="nil"/>
            </w:tcBorders>
            <w:shd w:val="clear" w:color="000000" w:fill="006991"/>
            <w:noWrap/>
            <w:vAlign w:val="center"/>
            <w:hideMark/>
          </w:tcPr>
          <w:p w14:paraId="44AC404F"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33E9D">
              <w:rPr>
                <w:rFonts w:ascii="Open Sans SemiBold" w:eastAsia="Times New Roman" w:hAnsi="Open Sans SemiBold" w:cs="Open Sans SemiBold"/>
                <w:color w:val="FFFFFF"/>
                <w:sz w:val="16"/>
                <w:szCs w:val="16"/>
                <w:lang w:eastAsia="en-AU"/>
              </w:rPr>
              <w:t>Vic</w:t>
            </w:r>
          </w:p>
        </w:tc>
        <w:tc>
          <w:tcPr>
            <w:tcW w:w="660" w:type="dxa"/>
            <w:tcBorders>
              <w:top w:val="nil"/>
              <w:left w:val="nil"/>
              <w:bottom w:val="nil"/>
              <w:right w:val="nil"/>
            </w:tcBorders>
            <w:shd w:val="clear" w:color="000000" w:fill="006991"/>
            <w:noWrap/>
            <w:vAlign w:val="center"/>
            <w:hideMark/>
          </w:tcPr>
          <w:p w14:paraId="1F2BF303"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33E9D">
              <w:rPr>
                <w:rFonts w:ascii="Open Sans SemiBold" w:eastAsia="Times New Roman" w:hAnsi="Open Sans SemiBold" w:cs="Open Sans SemiBold"/>
                <w:color w:val="FFFFFF"/>
                <w:sz w:val="16"/>
                <w:szCs w:val="16"/>
                <w:lang w:eastAsia="en-AU"/>
              </w:rPr>
              <w:t>Qld</w:t>
            </w:r>
          </w:p>
        </w:tc>
        <w:tc>
          <w:tcPr>
            <w:tcW w:w="660" w:type="dxa"/>
            <w:tcBorders>
              <w:top w:val="nil"/>
              <w:left w:val="nil"/>
              <w:bottom w:val="nil"/>
              <w:right w:val="nil"/>
            </w:tcBorders>
            <w:shd w:val="clear" w:color="000000" w:fill="006991"/>
            <w:noWrap/>
            <w:vAlign w:val="center"/>
            <w:hideMark/>
          </w:tcPr>
          <w:p w14:paraId="74168B89"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33E9D">
              <w:rPr>
                <w:rFonts w:ascii="Open Sans SemiBold" w:eastAsia="Times New Roman" w:hAnsi="Open Sans SemiBold" w:cs="Open Sans SemiBold"/>
                <w:color w:val="FFFFFF"/>
                <w:sz w:val="16"/>
                <w:szCs w:val="16"/>
                <w:lang w:eastAsia="en-AU"/>
              </w:rPr>
              <w:t>WA</w:t>
            </w:r>
          </w:p>
        </w:tc>
        <w:tc>
          <w:tcPr>
            <w:tcW w:w="660" w:type="dxa"/>
            <w:tcBorders>
              <w:top w:val="nil"/>
              <w:left w:val="nil"/>
              <w:bottom w:val="nil"/>
              <w:right w:val="nil"/>
            </w:tcBorders>
            <w:shd w:val="clear" w:color="000000" w:fill="006991"/>
            <w:noWrap/>
            <w:vAlign w:val="center"/>
            <w:hideMark/>
          </w:tcPr>
          <w:p w14:paraId="1FF3F19F"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33E9D">
              <w:rPr>
                <w:rFonts w:ascii="Open Sans SemiBold" w:eastAsia="Times New Roman" w:hAnsi="Open Sans SemiBold" w:cs="Open Sans SemiBold"/>
                <w:color w:val="FFFFFF"/>
                <w:sz w:val="16"/>
                <w:szCs w:val="16"/>
                <w:lang w:eastAsia="en-AU"/>
              </w:rPr>
              <w:t>SA</w:t>
            </w:r>
          </w:p>
        </w:tc>
        <w:tc>
          <w:tcPr>
            <w:tcW w:w="660" w:type="dxa"/>
            <w:tcBorders>
              <w:top w:val="nil"/>
              <w:left w:val="nil"/>
              <w:bottom w:val="nil"/>
              <w:right w:val="nil"/>
            </w:tcBorders>
            <w:shd w:val="clear" w:color="000000" w:fill="006991"/>
            <w:noWrap/>
            <w:vAlign w:val="center"/>
            <w:hideMark/>
          </w:tcPr>
          <w:p w14:paraId="6C891522"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33E9D">
              <w:rPr>
                <w:rFonts w:ascii="Open Sans SemiBold" w:eastAsia="Times New Roman" w:hAnsi="Open Sans SemiBold" w:cs="Open Sans SemiBold"/>
                <w:color w:val="FFFFFF"/>
                <w:sz w:val="16"/>
                <w:szCs w:val="16"/>
                <w:lang w:eastAsia="en-AU"/>
              </w:rPr>
              <w:t>Tas</w:t>
            </w:r>
          </w:p>
        </w:tc>
        <w:tc>
          <w:tcPr>
            <w:tcW w:w="660" w:type="dxa"/>
            <w:tcBorders>
              <w:top w:val="nil"/>
              <w:left w:val="nil"/>
              <w:bottom w:val="nil"/>
              <w:right w:val="nil"/>
            </w:tcBorders>
            <w:shd w:val="clear" w:color="000000" w:fill="006991"/>
            <w:noWrap/>
            <w:vAlign w:val="center"/>
            <w:hideMark/>
          </w:tcPr>
          <w:p w14:paraId="61FCB847"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33E9D">
              <w:rPr>
                <w:rFonts w:ascii="Open Sans SemiBold" w:eastAsia="Times New Roman" w:hAnsi="Open Sans SemiBold" w:cs="Open Sans SemiBold"/>
                <w:color w:val="FFFFFF"/>
                <w:sz w:val="16"/>
                <w:szCs w:val="16"/>
                <w:lang w:eastAsia="en-AU"/>
              </w:rPr>
              <w:t>ACT</w:t>
            </w:r>
          </w:p>
        </w:tc>
        <w:tc>
          <w:tcPr>
            <w:tcW w:w="660" w:type="dxa"/>
            <w:tcBorders>
              <w:top w:val="nil"/>
              <w:left w:val="nil"/>
              <w:bottom w:val="nil"/>
              <w:right w:val="nil"/>
            </w:tcBorders>
            <w:shd w:val="clear" w:color="000000" w:fill="006991"/>
            <w:noWrap/>
            <w:vAlign w:val="center"/>
            <w:hideMark/>
          </w:tcPr>
          <w:p w14:paraId="3736709B"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33E9D">
              <w:rPr>
                <w:rFonts w:ascii="Open Sans SemiBold" w:eastAsia="Times New Roman" w:hAnsi="Open Sans SemiBold" w:cs="Open Sans SemiBold"/>
                <w:color w:val="FFFFFF"/>
                <w:sz w:val="16"/>
                <w:szCs w:val="16"/>
                <w:lang w:eastAsia="en-AU"/>
              </w:rPr>
              <w:t>NT</w:t>
            </w:r>
          </w:p>
        </w:tc>
        <w:tc>
          <w:tcPr>
            <w:tcW w:w="700" w:type="dxa"/>
            <w:tcBorders>
              <w:top w:val="nil"/>
              <w:left w:val="nil"/>
              <w:bottom w:val="nil"/>
              <w:right w:val="nil"/>
            </w:tcBorders>
            <w:shd w:val="clear" w:color="000000" w:fill="006991"/>
            <w:noWrap/>
            <w:vAlign w:val="center"/>
            <w:hideMark/>
          </w:tcPr>
          <w:p w14:paraId="3E8ACAF7"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33E9D">
              <w:rPr>
                <w:rFonts w:ascii="Open Sans SemiBold" w:eastAsia="Times New Roman" w:hAnsi="Open Sans SemiBold" w:cs="Open Sans SemiBold"/>
                <w:color w:val="FFFFFF"/>
                <w:sz w:val="16"/>
                <w:szCs w:val="16"/>
                <w:lang w:eastAsia="en-AU"/>
              </w:rPr>
              <w:t>Redist</w:t>
            </w:r>
          </w:p>
        </w:tc>
      </w:tr>
      <w:tr w:rsidR="007E365E" w:rsidRPr="00E33E9D" w14:paraId="4CBA8638" w14:textId="77777777" w:rsidTr="007D1D77">
        <w:trPr>
          <w:trHeight w:val="255"/>
        </w:trPr>
        <w:tc>
          <w:tcPr>
            <w:tcW w:w="2960" w:type="dxa"/>
            <w:tcBorders>
              <w:top w:val="nil"/>
              <w:left w:val="nil"/>
              <w:bottom w:val="single" w:sz="4" w:space="0" w:color="ADD6EA"/>
              <w:right w:val="nil"/>
            </w:tcBorders>
            <w:shd w:val="clear" w:color="000000" w:fill="B6D5E4"/>
            <w:noWrap/>
            <w:vAlign w:val="bottom"/>
            <w:hideMark/>
          </w:tcPr>
          <w:p w14:paraId="2CFA40C3"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 </w:t>
            </w:r>
          </w:p>
        </w:tc>
        <w:tc>
          <w:tcPr>
            <w:tcW w:w="660" w:type="dxa"/>
            <w:tcBorders>
              <w:top w:val="nil"/>
              <w:left w:val="nil"/>
              <w:bottom w:val="single" w:sz="4" w:space="0" w:color="ADD6EA"/>
              <w:right w:val="nil"/>
            </w:tcBorders>
            <w:shd w:val="clear" w:color="000000" w:fill="B6D5E4"/>
            <w:noWrap/>
            <w:vAlign w:val="bottom"/>
            <w:hideMark/>
          </w:tcPr>
          <w:p w14:paraId="179342CC"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noWrap/>
            <w:vAlign w:val="bottom"/>
            <w:hideMark/>
          </w:tcPr>
          <w:p w14:paraId="07764A4E"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noWrap/>
            <w:vAlign w:val="bottom"/>
            <w:hideMark/>
          </w:tcPr>
          <w:p w14:paraId="600D3CAB"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noWrap/>
            <w:vAlign w:val="bottom"/>
            <w:hideMark/>
          </w:tcPr>
          <w:p w14:paraId="76DD5E02"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noWrap/>
            <w:vAlign w:val="bottom"/>
            <w:hideMark/>
          </w:tcPr>
          <w:p w14:paraId="256C7687"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noWrap/>
            <w:vAlign w:val="bottom"/>
            <w:hideMark/>
          </w:tcPr>
          <w:p w14:paraId="4D0BE000"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noWrap/>
            <w:vAlign w:val="bottom"/>
            <w:hideMark/>
          </w:tcPr>
          <w:p w14:paraId="5B9D3A5D"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noWrap/>
            <w:vAlign w:val="bottom"/>
            <w:hideMark/>
          </w:tcPr>
          <w:p w14:paraId="39D4DDDF"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noWrap/>
            <w:vAlign w:val="bottom"/>
            <w:hideMark/>
          </w:tcPr>
          <w:p w14:paraId="365096EB"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$m</w:t>
            </w:r>
          </w:p>
        </w:tc>
      </w:tr>
      <w:tr w:rsidR="007E365E" w:rsidRPr="00E33E9D" w14:paraId="55CF1595" w14:textId="77777777" w:rsidTr="007D1D77">
        <w:trPr>
          <w:trHeight w:val="315"/>
        </w:trPr>
        <w:tc>
          <w:tcPr>
            <w:tcW w:w="2960" w:type="dxa"/>
            <w:tcBorders>
              <w:top w:val="nil"/>
              <w:left w:val="nil"/>
              <w:bottom w:val="single" w:sz="4" w:space="0" w:color="ADD6EA"/>
              <w:right w:val="nil"/>
            </w:tcBorders>
            <w:shd w:val="clear" w:color="auto" w:fill="auto"/>
            <w:vAlign w:val="bottom"/>
            <w:hideMark/>
          </w:tcPr>
          <w:p w14:paraId="2ABBEBCF" w14:textId="77777777" w:rsidR="007E365E" w:rsidRPr="00E33E9D" w:rsidRDefault="007E365E" w:rsidP="007D1D77">
            <w:pPr>
              <w:tabs>
                <w:tab w:val="clear" w:pos="567"/>
              </w:tabs>
              <w:spacing w:before="0" w:line="240" w:lineRule="auto"/>
              <w:rPr>
                <w:rFonts w:eastAsia="Times New Roman" w:cs="Open Sans Light"/>
                <w:sz w:val="16"/>
                <w:szCs w:val="16"/>
                <w:lang w:eastAsia="en-AU"/>
              </w:rPr>
            </w:pPr>
            <w:r w:rsidRPr="00E33E9D">
              <w:rPr>
                <w:rFonts w:eastAsia="Times New Roman" w:cs="Open Sans Light"/>
                <w:sz w:val="16"/>
                <w:szCs w:val="16"/>
                <w:lang w:eastAsia="en-AU"/>
              </w:rPr>
              <w:t>Method and data changes</w:t>
            </w:r>
          </w:p>
        </w:tc>
        <w:tc>
          <w:tcPr>
            <w:tcW w:w="660" w:type="dxa"/>
            <w:tcBorders>
              <w:top w:val="nil"/>
              <w:left w:val="nil"/>
              <w:bottom w:val="single" w:sz="4" w:space="0" w:color="ADD6EA"/>
              <w:right w:val="nil"/>
            </w:tcBorders>
            <w:shd w:val="clear" w:color="auto" w:fill="auto"/>
            <w:vAlign w:val="bottom"/>
            <w:hideMark/>
          </w:tcPr>
          <w:p w14:paraId="06523966"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73</w:t>
            </w:r>
          </w:p>
        </w:tc>
        <w:tc>
          <w:tcPr>
            <w:tcW w:w="660" w:type="dxa"/>
            <w:tcBorders>
              <w:top w:val="nil"/>
              <w:left w:val="nil"/>
              <w:bottom w:val="single" w:sz="4" w:space="0" w:color="ADD6EA"/>
              <w:right w:val="nil"/>
            </w:tcBorders>
            <w:shd w:val="clear" w:color="auto" w:fill="auto"/>
            <w:vAlign w:val="bottom"/>
            <w:hideMark/>
          </w:tcPr>
          <w:p w14:paraId="1B709F53"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-485</w:t>
            </w:r>
          </w:p>
        </w:tc>
        <w:tc>
          <w:tcPr>
            <w:tcW w:w="660" w:type="dxa"/>
            <w:tcBorders>
              <w:top w:val="nil"/>
              <w:left w:val="nil"/>
              <w:bottom w:val="single" w:sz="4" w:space="0" w:color="ADD6EA"/>
              <w:right w:val="nil"/>
            </w:tcBorders>
            <w:shd w:val="clear" w:color="auto" w:fill="auto"/>
            <w:vAlign w:val="bottom"/>
            <w:hideMark/>
          </w:tcPr>
          <w:p w14:paraId="4A9CFF81"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287</w:t>
            </w:r>
          </w:p>
        </w:tc>
        <w:tc>
          <w:tcPr>
            <w:tcW w:w="660" w:type="dxa"/>
            <w:tcBorders>
              <w:top w:val="nil"/>
              <w:left w:val="nil"/>
              <w:bottom w:val="single" w:sz="4" w:space="0" w:color="ADD6EA"/>
              <w:right w:val="nil"/>
            </w:tcBorders>
            <w:shd w:val="clear" w:color="auto" w:fill="auto"/>
            <w:vAlign w:val="bottom"/>
            <w:hideMark/>
          </w:tcPr>
          <w:p w14:paraId="0402D53A"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54</w:t>
            </w:r>
          </w:p>
        </w:tc>
        <w:tc>
          <w:tcPr>
            <w:tcW w:w="660" w:type="dxa"/>
            <w:tcBorders>
              <w:top w:val="nil"/>
              <w:left w:val="nil"/>
              <w:bottom w:val="single" w:sz="4" w:space="0" w:color="ADD6EA"/>
              <w:right w:val="nil"/>
            </w:tcBorders>
            <w:shd w:val="clear" w:color="auto" w:fill="auto"/>
            <w:vAlign w:val="bottom"/>
            <w:hideMark/>
          </w:tcPr>
          <w:p w14:paraId="7BBAD1FB"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-70</w:t>
            </w:r>
          </w:p>
        </w:tc>
        <w:tc>
          <w:tcPr>
            <w:tcW w:w="660" w:type="dxa"/>
            <w:tcBorders>
              <w:top w:val="nil"/>
              <w:left w:val="nil"/>
              <w:bottom w:val="single" w:sz="4" w:space="0" w:color="ADD6EA"/>
              <w:right w:val="nil"/>
            </w:tcBorders>
            <w:shd w:val="clear" w:color="auto" w:fill="auto"/>
            <w:vAlign w:val="bottom"/>
            <w:hideMark/>
          </w:tcPr>
          <w:p w14:paraId="49168810"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-6</w:t>
            </w:r>
          </w:p>
        </w:tc>
        <w:tc>
          <w:tcPr>
            <w:tcW w:w="660" w:type="dxa"/>
            <w:tcBorders>
              <w:top w:val="nil"/>
              <w:left w:val="nil"/>
              <w:bottom w:val="single" w:sz="4" w:space="0" w:color="ADD6EA"/>
              <w:right w:val="nil"/>
            </w:tcBorders>
            <w:shd w:val="clear" w:color="auto" w:fill="auto"/>
            <w:vAlign w:val="bottom"/>
            <w:hideMark/>
          </w:tcPr>
          <w:p w14:paraId="006EADA6"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-30</w:t>
            </w:r>
          </w:p>
        </w:tc>
        <w:tc>
          <w:tcPr>
            <w:tcW w:w="660" w:type="dxa"/>
            <w:tcBorders>
              <w:top w:val="nil"/>
              <w:left w:val="nil"/>
              <w:bottom w:val="single" w:sz="4" w:space="0" w:color="ADD6EA"/>
              <w:right w:val="nil"/>
            </w:tcBorders>
            <w:shd w:val="clear" w:color="auto" w:fill="auto"/>
            <w:vAlign w:val="bottom"/>
            <w:hideMark/>
          </w:tcPr>
          <w:p w14:paraId="310878FF"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176</w:t>
            </w:r>
          </w:p>
        </w:tc>
        <w:tc>
          <w:tcPr>
            <w:tcW w:w="700" w:type="dxa"/>
            <w:tcBorders>
              <w:top w:val="nil"/>
              <w:left w:val="nil"/>
              <w:bottom w:val="single" w:sz="4" w:space="0" w:color="ADD6EA"/>
              <w:right w:val="nil"/>
            </w:tcBorders>
            <w:shd w:val="clear" w:color="auto" w:fill="auto"/>
            <w:vAlign w:val="bottom"/>
            <w:hideMark/>
          </w:tcPr>
          <w:p w14:paraId="2D169140"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591</w:t>
            </w:r>
          </w:p>
        </w:tc>
      </w:tr>
      <w:tr w:rsidR="007E365E" w:rsidRPr="00E33E9D" w14:paraId="49106302" w14:textId="77777777" w:rsidTr="007D1D77">
        <w:trPr>
          <w:trHeight w:val="315"/>
        </w:trPr>
        <w:tc>
          <w:tcPr>
            <w:tcW w:w="2960" w:type="dxa"/>
            <w:tcBorders>
              <w:top w:val="nil"/>
              <w:left w:val="nil"/>
              <w:bottom w:val="single" w:sz="4" w:space="0" w:color="ADD6EA"/>
              <w:right w:val="nil"/>
            </w:tcBorders>
            <w:shd w:val="clear" w:color="auto" w:fill="auto"/>
            <w:vAlign w:val="bottom"/>
            <w:hideMark/>
          </w:tcPr>
          <w:p w14:paraId="047BE8B6" w14:textId="77777777" w:rsidR="007E365E" w:rsidRPr="00E33E9D" w:rsidRDefault="007E365E" w:rsidP="007D1D77">
            <w:pPr>
              <w:tabs>
                <w:tab w:val="clear" w:pos="567"/>
              </w:tabs>
              <w:spacing w:before="0" w:line="240" w:lineRule="auto"/>
              <w:rPr>
                <w:rFonts w:eastAsia="Times New Roman" w:cs="Open Sans Light"/>
                <w:sz w:val="16"/>
                <w:szCs w:val="16"/>
                <w:lang w:eastAsia="en-AU"/>
              </w:rPr>
            </w:pPr>
            <w:r w:rsidRPr="00E33E9D">
              <w:rPr>
                <w:rFonts w:eastAsia="Times New Roman" w:cs="Open Sans Light"/>
                <w:sz w:val="16"/>
                <w:szCs w:val="16"/>
                <w:lang w:eastAsia="en-AU"/>
              </w:rPr>
              <w:t>Data revisions</w:t>
            </w:r>
          </w:p>
        </w:tc>
        <w:tc>
          <w:tcPr>
            <w:tcW w:w="660" w:type="dxa"/>
            <w:tcBorders>
              <w:top w:val="nil"/>
              <w:left w:val="nil"/>
              <w:bottom w:val="single" w:sz="4" w:space="0" w:color="ADD6EA"/>
              <w:right w:val="nil"/>
            </w:tcBorders>
            <w:shd w:val="clear" w:color="auto" w:fill="auto"/>
            <w:vAlign w:val="bottom"/>
            <w:hideMark/>
          </w:tcPr>
          <w:p w14:paraId="209B3562"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-74</w:t>
            </w:r>
          </w:p>
        </w:tc>
        <w:tc>
          <w:tcPr>
            <w:tcW w:w="660" w:type="dxa"/>
            <w:tcBorders>
              <w:top w:val="nil"/>
              <w:left w:val="nil"/>
              <w:bottom w:val="single" w:sz="4" w:space="0" w:color="ADD6EA"/>
              <w:right w:val="nil"/>
            </w:tcBorders>
            <w:shd w:val="clear" w:color="auto" w:fill="auto"/>
            <w:vAlign w:val="bottom"/>
            <w:hideMark/>
          </w:tcPr>
          <w:p w14:paraId="7D5BAAF8"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50</w:t>
            </w:r>
          </w:p>
        </w:tc>
        <w:tc>
          <w:tcPr>
            <w:tcW w:w="660" w:type="dxa"/>
            <w:tcBorders>
              <w:top w:val="nil"/>
              <w:left w:val="nil"/>
              <w:bottom w:val="single" w:sz="4" w:space="0" w:color="ADD6EA"/>
              <w:right w:val="nil"/>
            </w:tcBorders>
            <w:shd w:val="clear" w:color="auto" w:fill="auto"/>
            <w:vAlign w:val="bottom"/>
            <w:hideMark/>
          </w:tcPr>
          <w:p w14:paraId="40BAD90A"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-25</w:t>
            </w:r>
          </w:p>
        </w:tc>
        <w:tc>
          <w:tcPr>
            <w:tcW w:w="660" w:type="dxa"/>
            <w:tcBorders>
              <w:top w:val="nil"/>
              <w:left w:val="nil"/>
              <w:bottom w:val="single" w:sz="4" w:space="0" w:color="ADD6EA"/>
              <w:right w:val="nil"/>
            </w:tcBorders>
            <w:shd w:val="clear" w:color="auto" w:fill="auto"/>
            <w:vAlign w:val="bottom"/>
            <w:hideMark/>
          </w:tcPr>
          <w:p w14:paraId="5B2532AB"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24</w:t>
            </w:r>
          </w:p>
        </w:tc>
        <w:tc>
          <w:tcPr>
            <w:tcW w:w="660" w:type="dxa"/>
            <w:tcBorders>
              <w:top w:val="nil"/>
              <w:left w:val="nil"/>
              <w:bottom w:val="single" w:sz="4" w:space="0" w:color="ADD6EA"/>
              <w:right w:val="nil"/>
            </w:tcBorders>
            <w:shd w:val="clear" w:color="auto" w:fill="auto"/>
            <w:vAlign w:val="bottom"/>
            <w:hideMark/>
          </w:tcPr>
          <w:p w14:paraId="3D15A263"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27</w:t>
            </w:r>
          </w:p>
        </w:tc>
        <w:tc>
          <w:tcPr>
            <w:tcW w:w="660" w:type="dxa"/>
            <w:tcBorders>
              <w:top w:val="nil"/>
              <w:left w:val="nil"/>
              <w:bottom w:val="single" w:sz="4" w:space="0" w:color="ADD6EA"/>
              <w:right w:val="nil"/>
            </w:tcBorders>
            <w:shd w:val="clear" w:color="auto" w:fill="auto"/>
            <w:vAlign w:val="bottom"/>
            <w:hideMark/>
          </w:tcPr>
          <w:p w14:paraId="020388C2"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9</w:t>
            </w:r>
          </w:p>
        </w:tc>
        <w:tc>
          <w:tcPr>
            <w:tcW w:w="660" w:type="dxa"/>
            <w:tcBorders>
              <w:top w:val="nil"/>
              <w:left w:val="nil"/>
              <w:bottom w:val="single" w:sz="4" w:space="0" w:color="ADD6EA"/>
              <w:right w:val="nil"/>
            </w:tcBorders>
            <w:shd w:val="clear" w:color="auto" w:fill="auto"/>
            <w:vAlign w:val="bottom"/>
            <w:hideMark/>
          </w:tcPr>
          <w:p w14:paraId="5CA23751"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-2</w:t>
            </w:r>
          </w:p>
        </w:tc>
        <w:tc>
          <w:tcPr>
            <w:tcW w:w="660" w:type="dxa"/>
            <w:tcBorders>
              <w:top w:val="nil"/>
              <w:left w:val="nil"/>
              <w:bottom w:val="single" w:sz="4" w:space="0" w:color="ADD6EA"/>
              <w:right w:val="nil"/>
            </w:tcBorders>
            <w:shd w:val="clear" w:color="auto" w:fill="auto"/>
            <w:vAlign w:val="bottom"/>
            <w:hideMark/>
          </w:tcPr>
          <w:p w14:paraId="56310B26"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vAlign w:val="bottom"/>
            <w:hideMark/>
          </w:tcPr>
          <w:p w14:paraId="328590CA"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110</w:t>
            </w:r>
          </w:p>
        </w:tc>
      </w:tr>
      <w:tr w:rsidR="007E365E" w:rsidRPr="00E33E9D" w14:paraId="2E035B14" w14:textId="77777777" w:rsidTr="007D1D77">
        <w:trPr>
          <w:trHeight w:val="315"/>
        </w:trPr>
        <w:tc>
          <w:tcPr>
            <w:tcW w:w="2960" w:type="dxa"/>
            <w:tcBorders>
              <w:top w:val="nil"/>
              <w:left w:val="nil"/>
              <w:bottom w:val="single" w:sz="4" w:space="0" w:color="ADD6EA"/>
              <w:right w:val="nil"/>
            </w:tcBorders>
            <w:shd w:val="clear" w:color="auto" w:fill="auto"/>
            <w:vAlign w:val="bottom"/>
            <w:hideMark/>
          </w:tcPr>
          <w:p w14:paraId="14B32476" w14:textId="77777777" w:rsidR="007E365E" w:rsidRPr="00E33E9D" w:rsidRDefault="007E365E" w:rsidP="007D1D77">
            <w:pPr>
              <w:tabs>
                <w:tab w:val="clear" w:pos="567"/>
              </w:tabs>
              <w:spacing w:before="0" w:line="240" w:lineRule="auto"/>
              <w:rPr>
                <w:rFonts w:eastAsia="Times New Roman" w:cs="Open Sans Light"/>
                <w:sz w:val="16"/>
                <w:szCs w:val="16"/>
                <w:lang w:eastAsia="en-AU"/>
              </w:rPr>
            </w:pPr>
            <w:r w:rsidRPr="00E33E9D">
              <w:rPr>
                <w:rFonts w:eastAsia="Times New Roman" w:cs="Open Sans Light"/>
                <w:sz w:val="16"/>
                <w:szCs w:val="16"/>
                <w:lang w:eastAsia="en-AU"/>
              </w:rPr>
              <w:t>State circumstances</w:t>
            </w:r>
          </w:p>
        </w:tc>
        <w:tc>
          <w:tcPr>
            <w:tcW w:w="660" w:type="dxa"/>
            <w:tcBorders>
              <w:top w:val="nil"/>
              <w:left w:val="nil"/>
              <w:bottom w:val="single" w:sz="4" w:space="0" w:color="ADD6EA"/>
              <w:right w:val="nil"/>
            </w:tcBorders>
            <w:shd w:val="clear" w:color="auto" w:fill="auto"/>
            <w:vAlign w:val="bottom"/>
            <w:hideMark/>
          </w:tcPr>
          <w:p w14:paraId="378A8973"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-44</w:t>
            </w:r>
          </w:p>
        </w:tc>
        <w:tc>
          <w:tcPr>
            <w:tcW w:w="660" w:type="dxa"/>
            <w:tcBorders>
              <w:top w:val="nil"/>
              <w:left w:val="nil"/>
              <w:bottom w:val="single" w:sz="4" w:space="0" w:color="ADD6EA"/>
              <w:right w:val="nil"/>
            </w:tcBorders>
            <w:shd w:val="clear" w:color="auto" w:fill="auto"/>
            <w:vAlign w:val="bottom"/>
            <w:hideMark/>
          </w:tcPr>
          <w:p w14:paraId="58C7DEA9"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-8</w:t>
            </w:r>
          </w:p>
        </w:tc>
        <w:tc>
          <w:tcPr>
            <w:tcW w:w="660" w:type="dxa"/>
            <w:tcBorders>
              <w:top w:val="nil"/>
              <w:left w:val="nil"/>
              <w:bottom w:val="single" w:sz="4" w:space="0" w:color="ADD6EA"/>
              <w:right w:val="nil"/>
            </w:tcBorders>
            <w:shd w:val="clear" w:color="auto" w:fill="auto"/>
            <w:vAlign w:val="bottom"/>
            <w:hideMark/>
          </w:tcPr>
          <w:p w14:paraId="06B5EA17"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100</w:t>
            </w:r>
          </w:p>
        </w:tc>
        <w:tc>
          <w:tcPr>
            <w:tcW w:w="660" w:type="dxa"/>
            <w:tcBorders>
              <w:top w:val="nil"/>
              <w:left w:val="nil"/>
              <w:bottom w:val="single" w:sz="4" w:space="0" w:color="ADD6EA"/>
              <w:right w:val="nil"/>
            </w:tcBorders>
            <w:shd w:val="clear" w:color="auto" w:fill="auto"/>
            <w:vAlign w:val="bottom"/>
            <w:hideMark/>
          </w:tcPr>
          <w:p w14:paraId="0BE22F07"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-22</w:t>
            </w:r>
          </w:p>
        </w:tc>
        <w:tc>
          <w:tcPr>
            <w:tcW w:w="660" w:type="dxa"/>
            <w:tcBorders>
              <w:top w:val="nil"/>
              <w:left w:val="nil"/>
              <w:bottom w:val="single" w:sz="4" w:space="0" w:color="ADD6EA"/>
              <w:right w:val="nil"/>
            </w:tcBorders>
            <w:shd w:val="clear" w:color="auto" w:fill="auto"/>
            <w:vAlign w:val="bottom"/>
            <w:hideMark/>
          </w:tcPr>
          <w:p w14:paraId="7F32DBA2"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-31</w:t>
            </w:r>
          </w:p>
        </w:tc>
        <w:tc>
          <w:tcPr>
            <w:tcW w:w="660" w:type="dxa"/>
            <w:tcBorders>
              <w:top w:val="nil"/>
              <w:left w:val="nil"/>
              <w:bottom w:val="single" w:sz="4" w:space="0" w:color="ADD6EA"/>
              <w:right w:val="nil"/>
            </w:tcBorders>
            <w:shd w:val="clear" w:color="auto" w:fill="auto"/>
            <w:vAlign w:val="bottom"/>
            <w:hideMark/>
          </w:tcPr>
          <w:p w14:paraId="5D20C99D"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6</w:t>
            </w:r>
          </w:p>
        </w:tc>
        <w:tc>
          <w:tcPr>
            <w:tcW w:w="660" w:type="dxa"/>
            <w:tcBorders>
              <w:top w:val="nil"/>
              <w:left w:val="nil"/>
              <w:bottom w:val="single" w:sz="4" w:space="0" w:color="ADD6EA"/>
              <w:right w:val="nil"/>
            </w:tcBorders>
            <w:shd w:val="clear" w:color="auto" w:fill="auto"/>
            <w:vAlign w:val="bottom"/>
            <w:hideMark/>
          </w:tcPr>
          <w:p w14:paraId="4DE37E4D"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-12</w:t>
            </w:r>
          </w:p>
        </w:tc>
        <w:tc>
          <w:tcPr>
            <w:tcW w:w="660" w:type="dxa"/>
            <w:tcBorders>
              <w:top w:val="nil"/>
              <w:left w:val="nil"/>
              <w:bottom w:val="single" w:sz="4" w:space="0" w:color="ADD6EA"/>
              <w:right w:val="nil"/>
            </w:tcBorders>
            <w:shd w:val="clear" w:color="auto" w:fill="auto"/>
            <w:vAlign w:val="bottom"/>
            <w:hideMark/>
          </w:tcPr>
          <w:p w14:paraId="2B7129E3"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11</w:t>
            </w:r>
          </w:p>
        </w:tc>
        <w:tc>
          <w:tcPr>
            <w:tcW w:w="700" w:type="dxa"/>
            <w:tcBorders>
              <w:top w:val="nil"/>
              <w:left w:val="nil"/>
              <w:bottom w:val="single" w:sz="4" w:space="0" w:color="ADD6EA"/>
              <w:right w:val="nil"/>
            </w:tcBorders>
            <w:shd w:val="clear" w:color="auto" w:fill="auto"/>
            <w:vAlign w:val="bottom"/>
            <w:hideMark/>
          </w:tcPr>
          <w:p w14:paraId="2F60C21B" w14:textId="77777777" w:rsidR="007E365E" w:rsidRPr="00E33E9D" w:rsidRDefault="007E365E" w:rsidP="007D1D77">
            <w:pPr>
              <w:tabs>
                <w:tab w:val="clear" w:pos="567"/>
              </w:tabs>
              <w:spacing w:before="0" w:line="240" w:lineRule="auto"/>
              <w:jc w:val="right"/>
              <w:rPr>
                <w:rFonts w:eastAsia="Times New Roman" w:cs="Open Sans Light"/>
                <w:sz w:val="16"/>
                <w:szCs w:val="16"/>
                <w:lang w:eastAsia="en-AU"/>
              </w:rPr>
            </w:pPr>
            <w:r w:rsidRPr="00E33E9D">
              <w:rPr>
                <w:rFonts w:eastAsia="Times New Roman" w:cs="Open Sans Light"/>
                <w:sz w:val="16"/>
                <w:szCs w:val="16"/>
                <w:lang w:eastAsia="en-AU"/>
              </w:rPr>
              <w:t>117</w:t>
            </w:r>
          </w:p>
        </w:tc>
      </w:tr>
      <w:tr w:rsidR="007E365E" w:rsidRPr="00E33E9D" w14:paraId="34B6F7FE" w14:textId="77777777" w:rsidTr="007D1D77">
        <w:trPr>
          <w:trHeight w:val="315"/>
        </w:trPr>
        <w:tc>
          <w:tcPr>
            <w:tcW w:w="2960" w:type="dxa"/>
            <w:tcBorders>
              <w:top w:val="nil"/>
              <w:left w:val="nil"/>
              <w:bottom w:val="single" w:sz="4" w:space="0" w:color="ADD6EA"/>
              <w:right w:val="nil"/>
            </w:tcBorders>
            <w:shd w:val="clear" w:color="000000" w:fill="D6E7F0"/>
            <w:vAlign w:val="bottom"/>
            <w:hideMark/>
          </w:tcPr>
          <w:p w14:paraId="51C9DCDD" w14:textId="77777777" w:rsidR="007E365E" w:rsidRPr="00E33E9D"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Total</w:t>
            </w:r>
          </w:p>
        </w:tc>
        <w:tc>
          <w:tcPr>
            <w:tcW w:w="660" w:type="dxa"/>
            <w:tcBorders>
              <w:top w:val="nil"/>
              <w:left w:val="nil"/>
              <w:bottom w:val="single" w:sz="4" w:space="0" w:color="ADD6EA"/>
              <w:right w:val="nil"/>
            </w:tcBorders>
            <w:shd w:val="clear" w:color="000000" w:fill="D6E7F0"/>
            <w:vAlign w:val="bottom"/>
            <w:hideMark/>
          </w:tcPr>
          <w:p w14:paraId="482AF8E1"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-44</w:t>
            </w:r>
          </w:p>
        </w:tc>
        <w:tc>
          <w:tcPr>
            <w:tcW w:w="660" w:type="dxa"/>
            <w:tcBorders>
              <w:top w:val="nil"/>
              <w:left w:val="nil"/>
              <w:bottom w:val="single" w:sz="4" w:space="0" w:color="ADD6EA"/>
              <w:right w:val="nil"/>
            </w:tcBorders>
            <w:shd w:val="clear" w:color="000000" w:fill="D6E7F0"/>
            <w:vAlign w:val="bottom"/>
            <w:hideMark/>
          </w:tcPr>
          <w:p w14:paraId="339AAD7A"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-443</w:t>
            </w:r>
          </w:p>
        </w:tc>
        <w:tc>
          <w:tcPr>
            <w:tcW w:w="660" w:type="dxa"/>
            <w:tcBorders>
              <w:top w:val="nil"/>
              <w:left w:val="nil"/>
              <w:bottom w:val="single" w:sz="4" w:space="0" w:color="ADD6EA"/>
              <w:right w:val="nil"/>
            </w:tcBorders>
            <w:shd w:val="clear" w:color="000000" w:fill="D6E7F0"/>
            <w:vAlign w:val="bottom"/>
            <w:hideMark/>
          </w:tcPr>
          <w:p w14:paraId="4FFDDDB6"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362</w:t>
            </w:r>
          </w:p>
        </w:tc>
        <w:tc>
          <w:tcPr>
            <w:tcW w:w="660" w:type="dxa"/>
            <w:tcBorders>
              <w:top w:val="nil"/>
              <w:left w:val="nil"/>
              <w:bottom w:val="single" w:sz="4" w:space="0" w:color="ADD6EA"/>
              <w:right w:val="nil"/>
            </w:tcBorders>
            <w:shd w:val="clear" w:color="000000" w:fill="D6E7F0"/>
            <w:vAlign w:val="bottom"/>
            <w:hideMark/>
          </w:tcPr>
          <w:p w14:paraId="592F7864"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56</w:t>
            </w:r>
          </w:p>
        </w:tc>
        <w:tc>
          <w:tcPr>
            <w:tcW w:w="660" w:type="dxa"/>
            <w:tcBorders>
              <w:top w:val="nil"/>
              <w:left w:val="nil"/>
              <w:bottom w:val="single" w:sz="4" w:space="0" w:color="ADD6EA"/>
              <w:right w:val="nil"/>
            </w:tcBorders>
            <w:shd w:val="clear" w:color="000000" w:fill="D6E7F0"/>
            <w:vAlign w:val="bottom"/>
            <w:hideMark/>
          </w:tcPr>
          <w:p w14:paraId="0D2A760A"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-75</w:t>
            </w:r>
          </w:p>
        </w:tc>
        <w:tc>
          <w:tcPr>
            <w:tcW w:w="660" w:type="dxa"/>
            <w:tcBorders>
              <w:top w:val="nil"/>
              <w:left w:val="nil"/>
              <w:bottom w:val="single" w:sz="4" w:space="0" w:color="ADD6EA"/>
              <w:right w:val="nil"/>
            </w:tcBorders>
            <w:shd w:val="clear" w:color="000000" w:fill="D6E7F0"/>
            <w:vAlign w:val="bottom"/>
            <w:hideMark/>
          </w:tcPr>
          <w:p w14:paraId="30FF0BB7"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9</w:t>
            </w:r>
          </w:p>
        </w:tc>
        <w:tc>
          <w:tcPr>
            <w:tcW w:w="660" w:type="dxa"/>
            <w:tcBorders>
              <w:top w:val="nil"/>
              <w:left w:val="nil"/>
              <w:bottom w:val="single" w:sz="4" w:space="0" w:color="ADD6EA"/>
              <w:right w:val="nil"/>
            </w:tcBorders>
            <w:shd w:val="clear" w:color="000000" w:fill="D6E7F0"/>
            <w:vAlign w:val="bottom"/>
            <w:hideMark/>
          </w:tcPr>
          <w:p w14:paraId="43713A28"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-44</w:t>
            </w:r>
          </w:p>
        </w:tc>
        <w:tc>
          <w:tcPr>
            <w:tcW w:w="660" w:type="dxa"/>
            <w:tcBorders>
              <w:top w:val="nil"/>
              <w:left w:val="nil"/>
              <w:bottom w:val="single" w:sz="4" w:space="0" w:color="ADD6EA"/>
              <w:right w:val="nil"/>
            </w:tcBorders>
            <w:shd w:val="clear" w:color="000000" w:fill="D6E7F0"/>
            <w:vAlign w:val="bottom"/>
            <w:hideMark/>
          </w:tcPr>
          <w:p w14:paraId="69D0DFBA"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178</w:t>
            </w:r>
          </w:p>
        </w:tc>
        <w:tc>
          <w:tcPr>
            <w:tcW w:w="700" w:type="dxa"/>
            <w:tcBorders>
              <w:top w:val="nil"/>
              <w:left w:val="nil"/>
              <w:bottom w:val="single" w:sz="4" w:space="0" w:color="ADD6EA"/>
              <w:right w:val="nil"/>
            </w:tcBorders>
            <w:shd w:val="clear" w:color="000000" w:fill="D6E7F0"/>
            <w:vAlign w:val="bottom"/>
            <w:hideMark/>
          </w:tcPr>
          <w:p w14:paraId="0D23E28D" w14:textId="77777777" w:rsidR="007E365E" w:rsidRPr="00E33E9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E33E9D">
              <w:rPr>
                <w:rFonts w:ascii="Open Sans SemiBold" w:eastAsia="Times New Roman" w:hAnsi="Open Sans SemiBold" w:cs="Open Sans SemiBold"/>
                <w:sz w:val="16"/>
                <w:szCs w:val="16"/>
                <w:lang w:eastAsia="en-AU"/>
              </w:rPr>
              <w:t>606</w:t>
            </w:r>
          </w:p>
        </w:tc>
      </w:tr>
    </w:tbl>
    <w:p w14:paraId="6A548AA9" w14:textId="77777777" w:rsidR="007E365E" w:rsidRPr="000F09E5" w:rsidRDefault="007E365E" w:rsidP="007E365E">
      <w:pPr>
        <w:pStyle w:val="CGCTablenote"/>
      </w:pPr>
      <w:r w:rsidRPr="000F09E5">
        <w:t>Source:</w:t>
      </w:r>
      <w:r w:rsidRPr="000F09E5">
        <w:tab/>
        <w:t>Commission calculation</w:t>
      </w:r>
    </w:p>
    <w:p w14:paraId="485868DC" w14:textId="77777777" w:rsidR="007E365E" w:rsidRPr="000F09E5" w:rsidRDefault="007E365E" w:rsidP="007E365E">
      <w:pPr>
        <w:pStyle w:val="Heading4"/>
      </w:pPr>
      <w:r>
        <w:t xml:space="preserve">Method and data changes </w:t>
      </w:r>
    </w:p>
    <w:p w14:paraId="02BB963E" w14:textId="77777777" w:rsidR="007E365E" w:rsidRPr="000F09E5" w:rsidRDefault="007E365E" w:rsidP="007E365E">
      <w:pPr>
        <w:pStyle w:val="CGCParaNumber"/>
      </w:pPr>
      <w:r w:rsidRPr="000F09E5">
        <w:t xml:space="preserve">There were a number of changes </w:t>
      </w:r>
      <w:r>
        <w:t>to how Investment is assessed.</w:t>
      </w:r>
      <w:r w:rsidRPr="000F09E5">
        <w:t xml:space="preserve"> These include: </w:t>
      </w:r>
    </w:p>
    <w:p w14:paraId="717F8596" w14:textId="77777777" w:rsidR="007E365E" w:rsidRPr="000F09E5" w:rsidRDefault="007E365E" w:rsidP="007E365E">
      <w:pPr>
        <w:pStyle w:val="CGCBullet1"/>
      </w:pPr>
      <w:r w:rsidRPr="000F09E5">
        <w:t xml:space="preserve">Investment is separately assessed by category. In </w:t>
      </w:r>
      <w:r>
        <w:t xml:space="preserve">the </w:t>
      </w:r>
      <w:r w:rsidRPr="000F09E5">
        <w:t>2015 Review, net investment was assessed separately for Roads and Urban Transport, all other category investment w</w:t>
      </w:r>
      <w:r>
        <w:t>as</w:t>
      </w:r>
      <w:r w:rsidRPr="000F09E5">
        <w:t xml:space="preserve"> combined and assessed in a single component (</w:t>
      </w:r>
      <w:r>
        <w:t>f</w:t>
      </w:r>
      <w:r w:rsidRPr="000F09E5">
        <w:t>unctionalisation).</w:t>
      </w:r>
    </w:p>
    <w:p w14:paraId="4434CD1F" w14:textId="77777777" w:rsidR="007E365E" w:rsidRPr="000F09E5" w:rsidRDefault="007E365E" w:rsidP="007E365E">
      <w:pPr>
        <w:pStyle w:val="CGCBullet1"/>
      </w:pPr>
      <w:r w:rsidRPr="000F09E5">
        <w:t>Investment and depreciation expenses are assessed together in a gross assessment</w:t>
      </w:r>
      <w:r>
        <w:t>.</w:t>
      </w:r>
      <w:r w:rsidRPr="000F09E5">
        <w:t xml:space="preserve"> </w:t>
      </w:r>
    </w:p>
    <w:p w14:paraId="38ADF1F5" w14:textId="77777777" w:rsidR="007E365E" w:rsidRPr="000F09E5" w:rsidRDefault="007E365E" w:rsidP="007E365E">
      <w:pPr>
        <w:pStyle w:val="CGCBullet1"/>
      </w:pPr>
      <w:r w:rsidRPr="000F09E5">
        <w:t>Single year stock factors are used to derive user populations. In the 2015 Review, stock factors were averaged over 3 years</w:t>
      </w:r>
      <w:r>
        <w:t>.</w:t>
      </w:r>
      <w:r w:rsidRPr="000F09E5">
        <w:t xml:space="preserve"> </w:t>
      </w:r>
    </w:p>
    <w:p w14:paraId="042819BA" w14:textId="77777777" w:rsidR="007E365E" w:rsidRPr="000F09E5" w:rsidRDefault="007E365E" w:rsidP="007E365E">
      <w:pPr>
        <w:pStyle w:val="CGCBullet1"/>
      </w:pPr>
      <w:r w:rsidRPr="000F09E5">
        <w:t>Construction cost disabilities are based on regional and interstate Rawlinsons’ indices and recurrent wage costs</w:t>
      </w:r>
      <w:r>
        <w:t>.</w:t>
      </w:r>
      <w:r w:rsidRPr="000F09E5">
        <w:t xml:space="preserve"> </w:t>
      </w:r>
    </w:p>
    <w:p w14:paraId="116FA042" w14:textId="77777777" w:rsidR="007E365E" w:rsidRPr="000F09E5" w:rsidRDefault="007E365E" w:rsidP="007E365E">
      <w:pPr>
        <w:pStyle w:val="CGCBullet1"/>
      </w:pPr>
      <w:r w:rsidRPr="000F09E5">
        <w:t>Administrative scale disabilities are no longer assessed in the Investment assessment.</w:t>
      </w:r>
    </w:p>
    <w:p w14:paraId="0263B37C" w14:textId="77777777" w:rsidR="007E365E" w:rsidRPr="000D7FFA" w:rsidRDefault="007E365E" w:rsidP="007E365E">
      <w:pPr>
        <w:pStyle w:val="CGCParaNumber"/>
      </w:pPr>
      <w:r>
        <w:t xml:space="preserve">Data changes primarily relate to revisions in how the ABS and States estimate the level of investment, and the value of assets in each category. </w:t>
      </w:r>
    </w:p>
    <w:p w14:paraId="45E955AB" w14:textId="1745F45C" w:rsidR="007E365E" w:rsidRPr="000D7FFA" w:rsidRDefault="007E365E" w:rsidP="007E365E">
      <w:pPr>
        <w:pStyle w:val="CGCParaNumber"/>
      </w:pPr>
      <w:r w:rsidRPr="000F09E5">
        <w:t>In addition to this, many of the changes made to methods of other assessments had implications for the estimation of the number of assessed users in each State for those categories. These changes are shown in total in</w:t>
      </w:r>
      <w:r>
        <w:t xml:space="preserve"> </w:t>
      </w:r>
      <w:r>
        <w:fldChar w:fldCharType="begin"/>
      </w:r>
      <w:r>
        <w:instrText xml:space="preserve"> REF _Ref31630298 \h </w:instrText>
      </w:r>
      <w:r>
        <w:fldChar w:fldCharType="separate"/>
      </w:r>
      <w:r w:rsidR="007F721A">
        <w:t>Table 24-</w:t>
      </w:r>
      <w:r w:rsidR="007F721A">
        <w:rPr>
          <w:noProof/>
        </w:rPr>
        <w:t>11</w:t>
      </w:r>
      <w:r>
        <w:fldChar w:fldCharType="end"/>
      </w:r>
      <w:r w:rsidRPr="000F09E5">
        <w:t xml:space="preserve">, while </w:t>
      </w:r>
      <w:r>
        <w:t xml:space="preserve">they </w:t>
      </w:r>
      <w:r w:rsidRPr="000F09E5">
        <w:t>are shown for individual categor</w:t>
      </w:r>
      <w:r>
        <w:t>ies</w:t>
      </w:r>
      <w:r w:rsidRPr="000F09E5">
        <w:t xml:space="preserve"> in </w:t>
      </w:r>
      <w:r>
        <w:fldChar w:fldCharType="begin"/>
      </w:r>
      <w:r>
        <w:instrText xml:space="preserve"> REF _Ref32850215 \h </w:instrText>
      </w:r>
      <w:r>
        <w:fldChar w:fldCharType="separate"/>
      </w:r>
      <w:r w:rsidR="007F721A" w:rsidRPr="000F09E5">
        <w:t xml:space="preserve">Table </w:t>
      </w:r>
      <w:r w:rsidR="007F721A">
        <w:t>24-</w:t>
      </w:r>
      <w:r w:rsidR="007F721A">
        <w:rPr>
          <w:noProof/>
        </w:rPr>
        <w:t>12</w:t>
      </w:r>
      <w:r>
        <w:fldChar w:fldCharType="end"/>
      </w:r>
      <w:r w:rsidRPr="000F09E5">
        <w:t>.</w:t>
      </w:r>
    </w:p>
    <w:p w14:paraId="23884EC0" w14:textId="77777777" w:rsidR="007E365E" w:rsidRDefault="007E365E" w:rsidP="007E365E">
      <w:pPr>
        <w:pStyle w:val="Heading4"/>
      </w:pPr>
      <w:r>
        <w:lastRenderedPageBreak/>
        <w:t>Data revisions</w:t>
      </w:r>
    </w:p>
    <w:p w14:paraId="3F41ED1F" w14:textId="77777777" w:rsidR="007E365E" w:rsidRPr="000D7FFA" w:rsidRDefault="007E365E" w:rsidP="007E365E">
      <w:pPr>
        <w:pStyle w:val="CGCParaNumber"/>
      </w:pPr>
      <w:r>
        <w:t xml:space="preserve">There were a number of revisions made to data used to calculate the assessment including revisions to State provided asset data and revisions to data used to derive the component specific investment disabilities. </w:t>
      </w:r>
    </w:p>
    <w:p w14:paraId="5F32A224" w14:textId="77777777" w:rsidR="007E365E" w:rsidRDefault="007E365E" w:rsidP="007E365E">
      <w:pPr>
        <w:pStyle w:val="Heading4"/>
      </w:pPr>
      <w:r w:rsidRPr="000F09E5">
        <w:t>Changes in State circumstances</w:t>
      </w:r>
    </w:p>
    <w:p w14:paraId="34831DCA" w14:textId="77777777" w:rsidR="007E365E" w:rsidRPr="00D1690E" w:rsidRDefault="007E365E" w:rsidP="007E365E">
      <w:pPr>
        <w:pStyle w:val="CGCParaNumber"/>
      </w:pPr>
      <w:r w:rsidRPr="00D1690E">
        <w:t>The level of investment in urban transport increased considerably, leading to a redistribution towards New South Wales and Victoria. The level of investment in rural roads also increased considerably, leading to a redistribution away from New South Wales, Victoria and the ACT. The net effect of these two major changes is the main influence in most States. Changes in the growth of user populations was most significant for Queensland.</w:t>
      </w:r>
    </w:p>
    <w:p w14:paraId="251A98A4" w14:textId="4310F1A4" w:rsidR="007E365E" w:rsidRPr="00D1690E" w:rsidRDefault="007E365E" w:rsidP="007E365E">
      <w:pPr>
        <w:pStyle w:val="CGCParaNumber"/>
      </w:pPr>
      <w:r w:rsidRPr="00D1690E">
        <w:t xml:space="preserve">Changes to how category assessments are made have implications for assessed investment, </w:t>
      </w:r>
      <w:r>
        <w:t>as they change</w:t>
      </w:r>
      <w:r w:rsidRPr="00D1690E">
        <w:t xml:space="preserve"> each State’s share of assessed users. The effect of these changes on the </w:t>
      </w:r>
      <w:r>
        <w:t>I</w:t>
      </w:r>
      <w:r w:rsidRPr="00D1690E">
        <w:t xml:space="preserve">nvestment assessment is shown in </w:t>
      </w:r>
      <w:r>
        <w:fldChar w:fldCharType="begin"/>
      </w:r>
      <w:r>
        <w:instrText xml:space="preserve"> REF _Ref32850215 \h </w:instrText>
      </w:r>
      <w:r>
        <w:fldChar w:fldCharType="separate"/>
      </w:r>
      <w:r w:rsidR="007F721A" w:rsidRPr="000F09E5">
        <w:t xml:space="preserve">Table </w:t>
      </w:r>
      <w:r w:rsidR="007F721A">
        <w:t>24-</w:t>
      </w:r>
      <w:r w:rsidR="007F721A">
        <w:rPr>
          <w:noProof/>
        </w:rPr>
        <w:t>12</w:t>
      </w:r>
      <w:r>
        <w:fldChar w:fldCharType="end"/>
      </w:r>
      <w:r w:rsidRPr="00D1690E">
        <w:t>.</w:t>
      </w:r>
    </w:p>
    <w:p w14:paraId="085E7F48" w14:textId="26216A31" w:rsidR="007E365E" w:rsidRDefault="007E365E" w:rsidP="007E365E">
      <w:pPr>
        <w:pStyle w:val="Caption"/>
      </w:pPr>
      <w:bookmarkStart w:id="446" w:name="_Ref32850215"/>
      <w:bookmarkStart w:id="447" w:name="_Ref24568675"/>
      <w:r w:rsidRPr="000F09E5">
        <w:t xml:space="preserve">Table </w:t>
      </w:r>
      <w:r>
        <w:t>24-</w:t>
      </w:r>
      <w:fldSimple w:instr=" SEQ Table \* ARABIC ">
        <w:r w:rsidR="007F721A">
          <w:rPr>
            <w:noProof/>
          </w:rPr>
          <w:t>12</w:t>
        </w:r>
      </w:fldSimple>
      <w:bookmarkEnd w:id="446"/>
      <w:r w:rsidRPr="000F09E5">
        <w:tab/>
      </w:r>
      <w:r>
        <w:t>Method c</w:t>
      </w:r>
      <w:r w:rsidRPr="000F09E5">
        <w:t xml:space="preserve">hanges </w:t>
      </w:r>
      <w:bookmarkEnd w:id="447"/>
      <w:r>
        <w:t xml:space="preserve">between 2019 Update and 2020 Review </w:t>
      </w:r>
    </w:p>
    <w:tbl>
      <w:tblPr>
        <w:tblW w:w="8940" w:type="dxa"/>
        <w:tblCellMar>
          <w:left w:w="0" w:type="dxa"/>
        </w:tblCellMar>
        <w:tblLook w:val="04A0" w:firstRow="1" w:lastRow="0" w:firstColumn="1" w:lastColumn="0" w:noHBand="0" w:noVBand="1"/>
      </w:tblPr>
      <w:tblGrid>
        <w:gridCol w:w="2954"/>
        <w:gridCol w:w="665"/>
        <w:gridCol w:w="665"/>
        <w:gridCol w:w="665"/>
        <w:gridCol w:w="665"/>
        <w:gridCol w:w="665"/>
        <w:gridCol w:w="665"/>
        <w:gridCol w:w="665"/>
        <w:gridCol w:w="665"/>
        <w:gridCol w:w="705"/>
      </w:tblGrid>
      <w:tr w:rsidR="007E365E" w:rsidRPr="00D036E1" w14:paraId="52F50E53" w14:textId="77777777" w:rsidTr="007D1D77">
        <w:trPr>
          <w:trHeight w:val="375"/>
        </w:trPr>
        <w:tc>
          <w:tcPr>
            <w:tcW w:w="2960" w:type="dxa"/>
            <w:tcBorders>
              <w:top w:val="nil"/>
              <w:left w:val="nil"/>
              <w:bottom w:val="nil"/>
              <w:right w:val="nil"/>
            </w:tcBorders>
            <w:shd w:val="clear" w:color="000000" w:fill="006991"/>
            <w:noWrap/>
            <w:vAlign w:val="center"/>
            <w:hideMark/>
          </w:tcPr>
          <w:p w14:paraId="2C45AD5F"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36E1">
              <w:rPr>
                <w:rFonts w:ascii="Open Sans SemiBold" w:eastAsia="Times New Roman" w:hAnsi="Open Sans SemiBold" w:cs="Open Sans SemiBold"/>
                <w:color w:val="FFFFFF"/>
                <w:sz w:val="16"/>
                <w:szCs w:val="16"/>
                <w:lang w:eastAsia="en-AU"/>
              </w:rPr>
              <w:t> </w:t>
            </w:r>
          </w:p>
        </w:tc>
        <w:tc>
          <w:tcPr>
            <w:tcW w:w="660" w:type="dxa"/>
            <w:tcBorders>
              <w:top w:val="nil"/>
              <w:left w:val="nil"/>
              <w:bottom w:val="nil"/>
              <w:right w:val="nil"/>
            </w:tcBorders>
            <w:shd w:val="clear" w:color="000000" w:fill="006991"/>
            <w:noWrap/>
            <w:vAlign w:val="center"/>
            <w:hideMark/>
          </w:tcPr>
          <w:p w14:paraId="0818E28B"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36E1">
              <w:rPr>
                <w:rFonts w:ascii="Open Sans SemiBold" w:eastAsia="Times New Roman" w:hAnsi="Open Sans SemiBold" w:cs="Open Sans SemiBold"/>
                <w:color w:val="FFFFFF"/>
                <w:sz w:val="16"/>
                <w:szCs w:val="16"/>
                <w:lang w:eastAsia="en-AU"/>
              </w:rPr>
              <w:t>NSW</w:t>
            </w:r>
          </w:p>
        </w:tc>
        <w:tc>
          <w:tcPr>
            <w:tcW w:w="660" w:type="dxa"/>
            <w:tcBorders>
              <w:top w:val="nil"/>
              <w:left w:val="nil"/>
              <w:bottom w:val="nil"/>
              <w:right w:val="nil"/>
            </w:tcBorders>
            <w:shd w:val="clear" w:color="000000" w:fill="006991"/>
            <w:noWrap/>
            <w:vAlign w:val="center"/>
            <w:hideMark/>
          </w:tcPr>
          <w:p w14:paraId="3DB7977B"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36E1">
              <w:rPr>
                <w:rFonts w:ascii="Open Sans SemiBold" w:eastAsia="Times New Roman" w:hAnsi="Open Sans SemiBold" w:cs="Open Sans SemiBold"/>
                <w:color w:val="FFFFFF"/>
                <w:sz w:val="16"/>
                <w:szCs w:val="16"/>
                <w:lang w:eastAsia="en-AU"/>
              </w:rPr>
              <w:t>Vic</w:t>
            </w:r>
          </w:p>
        </w:tc>
        <w:tc>
          <w:tcPr>
            <w:tcW w:w="660" w:type="dxa"/>
            <w:tcBorders>
              <w:top w:val="nil"/>
              <w:left w:val="nil"/>
              <w:bottom w:val="nil"/>
              <w:right w:val="nil"/>
            </w:tcBorders>
            <w:shd w:val="clear" w:color="000000" w:fill="006991"/>
            <w:noWrap/>
            <w:vAlign w:val="center"/>
            <w:hideMark/>
          </w:tcPr>
          <w:p w14:paraId="473B313C"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36E1">
              <w:rPr>
                <w:rFonts w:ascii="Open Sans SemiBold" w:eastAsia="Times New Roman" w:hAnsi="Open Sans SemiBold" w:cs="Open Sans SemiBold"/>
                <w:color w:val="FFFFFF"/>
                <w:sz w:val="16"/>
                <w:szCs w:val="16"/>
                <w:lang w:eastAsia="en-AU"/>
              </w:rPr>
              <w:t>Qld</w:t>
            </w:r>
          </w:p>
        </w:tc>
        <w:tc>
          <w:tcPr>
            <w:tcW w:w="660" w:type="dxa"/>
            <w:tcBorders>
              <w:top w:val="nil"/>
              <w:left w:val="nil"/>
              <w:bottom w:val="nil"/>
              <w:right w:val="nil"/>
            </w:tcBorders>
            <w:shd w:val="clear" w:color="000000" w:fill="006991"/>
            <w:noWrap/>
            <w:vAlign w:val="center"/>
            <w:hideMark/>
          </w:tcPr>
          <w:p w14:paraId="44DCA5AF"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36E1">
              <w:rPr>
                <w:rFonts w:ascii="Open Sans SemiBold" w:eastAsia="Times New Roman" w:hAnsi="Open Sans SemiBold" w:cs="Open Sans SemiBold"/>
                <w:color w:val="FFFFFF"/>
                <w:sz w:val="16"/>
                <w:szCs w:val="16"/>
                <w:lang w:eastAsia="en-AU"/>
              </w:rPr>
              <w:t>WA</w:t>
            </w:r>
          </w:p>
        </w:tc>
        <w:tc>
          <w:tcPr>
            <w:tcW w:w="660" w:type="dxa"/>
            <w:tcBorders>
              <w:top w:val="nil"/>
              <w:left w:val="nil"/>
              <w:bottom w:val="nil"/>
              <w:right w:val="nil"/>
            </w:tcBorders>
            <w:shd w:val="clear" w:color="000000" w:fill="006991"/>
            <w:noWrap/>
            <w:vAlign w:val="center"/>
            <w:hideMark/>
          </w:tcPr>
          <w:p w14:paraId="5FCD1113"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36E1">
              <w:rPr>
                <w:rFonts w:ascii="Open Sans SemiBold" w:eastAsia="Times New Roman" w:hAnsi="Open Sans SemiBold" w:cs="Open Sans SemiBold"/>
                <w:color w:val="FFFFFF"/>
                <w:sz w:val="16"/>
                <w:szCs w:val="16"/>
                <w:lang w:eastAsia="en-AU"/>
              </w:rPr>
              <w:t>SA</w:t>
            </w:r>
          </w:p>
        </w:tc>
        <w:tc>
          <w:tcPr>
            <w:tcW w:w="660" w:type="dxa"/>
            <w:tcBorders>
              <w:top w:val="nil"/>
              <w:left w:val="nil"/>
              <w:bottom w:val="nil"/>
              <w:right w:val="nil"/>
            </w:tcBorders>
            <w:shd w:val="clear" w:color="000000" w:fill="006991"/>
            <w:noWrap/>
            <w:vAlign w:val="center"/>
            <w:hideMark/>
          </w:tcPr>
          <w:p w14:paraId="5914F253"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36E1">
              <w:rPr>
                <w:rFonts w:ascii="Open Sans SemiBold" w:eastAsia="Times New Roman" w:hAnsi="Open Sans SemiBold" w:cs="Open Sans SemiBold"/>
                <w:color w:val="FFFFFF"/>
                <w:sz w:val="16"/>
                <w:szCs w:val="16"/>
                <w:lang w:eastAsia="en-AU"/>
              </w:rPr>
              <w:t>Tas</w:t>
            </w:r>
          </w:p>
        </w:tc>
        <w:tc>
          <w:tcPr>
            <w:tcW w:w="660" w:type="dxa"/>
            <w:tcBorders>
              <w:top w:val="nil"/>
              <w:left w:val="nil"/>
              <w:bottom w:val="nil"/>
              <w:right w:val="nil"/>
            </w:tcBorders>
            <w:shd w:val="clear" w:color="000000" w:fill="006991"/>
            <w:noWrap/>
            <w:vAlign w:val="center"/>
            <w:hideMark/>
          </w:tcPr>
          <w:p w14:paraId="13A12DA0"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36E1">
              <w:rPr>
                <w:rFonts w:ascii="Open Sans SemiBold" w:eastAsia="Times New Roman" w:hAnsi="Open Sans SemiBold" w:cs="Open Sans SemiBold"/>
                <w:color w:val="FFFFFF"/>
                <w:sz w:val="16"/>
                <w:szCs w:val="16"/>
                <w:lang w:eastAsia="en-AU"/>
              </w:rPr>
              <w:t>ACT</w:t>
            </w:r>
          </w:p>
        </w:tc>
        <w:tc>
          <w:tcPr>
            <w:tcW w:w="660" w:type="dxa"/>
            <w:tcBorders>
              <w:top w:val="nil"/>
              <w:left w:val="nil"/>
              <w:bottom w:val="nil"/>
              <w:right w:val="nil"/>
            </w:tcBorders>
            <w:shd w:val="clear" w:color="000000" w:fill="006991"/>
            <w:noWrap/>
            <w:vAlign w:val="center"/>
            <w:hideMark/>
          </w:tcPr>
          <w:p w14:paraId="296013F1"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36E1">
              <w:rPr>
                <w:rFonts w:ascii="Open Sans SemiBold" w:eastAsia="Times New Roman" w:hAnsi="Open Sans SemiBold" w:cs="Open Sans SemiBold"/>
                <w:color w:val="FFFFFF"/>
                <w:sz w:val="16"/>
                <w:szCs w:val="16"/>
                <w:lang w:eastAsia="en-AU"/>
              </w:rPr>
              <w:t>NT</w:t>
            </w:r>
          </w:p>
        </w:tc>
        <w:tc>
          <w:tcPr>
            <w:tcW w:w="700" w:type="dxa"/>
            <w:tcBorders>
              <w:top w:val="nil"/>
              <w:left w:val="nil"/>
              <w:bottom w:val="nil"/>
              <w:right w:val="nil"/>
            </w:tcBorders>
            <w:shd w:val="clear" w:color="000000" w:fill="006991"/>
            <w:noWrap/>
            <w:tcMar>
              <w:right w:w="28" w:type="dxa"/>
            </w:tcMar>
            <w:vAlign w:val="center"/>
            <w:hideMark/>
          </w:tcPr>
          <w:p w14:paraId="65E9BC98"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036E1">
              <w:rPr>
                <w:rFonts w:ascii="Open Sans SemiBold" w:eastAsia="Times New Roman" w:hAnsi="Open Sans SemiBold" w:cs="Open Sans SemiBold"/>
                <w:color w:val="FFFFFF"/>
                <w:sz w:val="16"/>
                <w:szCs w:val="16"/>
                <w:lang w:eastAsia="en-AU"/>
              </w:rPr>
              <w:t>Redist</w:t>
            </w:r>
          </w:p>
        </w:tc>
      </w:tr>
      <w:tr w:rsidR="007E365E" w:rsidRPr="00D036E1" w14:paraId="4B2AD233" w14:textId="77777777" w:rsidTr="0016711A">
        <w:trPr>
          <w:trHeight w:val="255"/>
        </w:trPr>
        <w:tc>
          <w:tcPr>
            <w:tcW w:w="2960" w:type="dxa"/>
            <w:tcBorders>
              <w:top w:val="nil"/>
              <w:left w:val="nil"/>
              <w:bottom w:val="single" w:sz="4" w:space="0" w:color="ADD6EA"/>
              <w:right w:val="nil"/>
            </w:tcBorders>
            <w:shd w:val="clear" w:color="000000" w:fill="B6D5E4"/>
            <w:noWrap/>
            <w:vAlign w:val="center"/>
            <w:hideMark/>
          </w:tcPr>
          <w:p w14:paraId="1E3370B4"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 </w:t>
            </w:r>
          </w:p>
        </w:tc>
        <w:tc>
          <w:tcPr>
            <w:tcW w:w="660" w:type="dxa"/>
            <w:tcBorders>
              <w:top w:val="nil"/>
              <w:left w:val="nil"/>
              <w:bottom w:val="single" w:sz="4" w:space="0" w:color="ADD6EA"/>
              <w:right w:val="nil"/>
            </w:tcBorders>
            <w:shd w:val="clear" w:color="000000" w:fill="B6D5E4"/>
            <w:noWrap/>
            <w:vAlign w:val="center"/>
            <w:hideMark/>
          </w:tcPr>
          <w:p w14:paraId="3677681B"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noWrap/>
            <w:vAlign w:val="center"/>
            <w:hideMark/>
          </w:tcPr>
          <w:p w14:paraId="1DE1AEEC"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noWrap/>
            <w:vAlign w:val="center"/>
            <w:hideMark/>
          </w:tcPr>
          <w:p w14:paraId="760068C6"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noWrap/>
            <w:vAlign w:val="center"/>
            <w:hideMark/>
          </w:tcPr>
          <w:p w14:paraId="08C07A5B"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noWrap/>
            <w:vAlign w:val="center"/>
            <w:hideMark/>
          </w:tcPr>
          <w:p w14:paraId="5B22A370"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noWrap/>
            <w:vAlign w:val="center"/>
            <w:hideMark/>
          </w:tcPr>
          <w:p w14:paraId="5AE4EA3C"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noWrap/>
            <w:vAlign w:val="center"/>
            <w:hideMark/>
          </w:tcPr>
          <w:p w14:paraId="1AFAE4E1"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$m</w:t>
            </w:r>
          </w:p>
        </w:tc>
        <w:tc>
          <w:tcPr>
            <w:tcW w:w="660" w:type="dxa"/>
            <w:tcBorders>
              <w:top w:val="nil"/>
              <w:left w:val="nil"/>
              <w:bottom w:val="single" w:sz="4" w:space="0" w:color="ADD6EA"/>
              <w:right w:val="nil"/>
            </w:tcBorders>
            <w:shd w:val="clear" w:color="000000" w:fill="B6D5E4"/>
            <w:noWrap/>
            <w:vAlign w:val="center"/>
            <w:hideMark/>
          </w:tcPr>
          <w:p w14:paraId="262B407D"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$m</w:t>
            </w:r>
          </w:p>
        </w:tc>
        <w:tc>
          <w:tcPr>
            <w:tcW w:w="700" w:type="dxa"/>
            <w:tcBorders>
              <w:top w:val="nil"/>
              <w:left w:val="nil"/>
              <w:bottom w:val="single" w:sz="4" w:space="0" w:color="ADD6EA"/>
              <w:right w:val="nil"/>
            </w:tcBorders>
            <w:shd w:val="clear" w:color="000000" w:fill="B6D5E4"/>
            <w:noWrap/>
            <w:tcMar>
              <w:right w:w="28" w:type="dxa"/>
            </w:tcMar>
            <w:vAlign w:val="center"/>
            <w:hideMark/>
          </w:tcPr>
          <w:p w14:paraId="6455D074"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$m</w:t>
            </w:r>
          </w:p>
        </w:tc>
      </w:tr>
      <w:tr w:rsidR="007E365E" w:rsidRPr="00D036E1" w14:paraId="4F6A5CF6" w14:textId="77777777" w:rsidTr="007D1D77">
        <w:trPr>
          <w:trHeight w:val="555"/>
        </w:trPr>
        <w:tc>
          <w:tcPr>
            <w:tcW w:w="2960" w:type="dxa"/>
            <w:tcBorders>
              <w:top w:val="nil"/>
              <w:left w:val="nil"/>
              <w:bottom w:val="single" w:sz="4" w:space="0" w:color="ADD6EA"/>
              <w:right w:val="nil"/>
            </w:tcBorders>
            <w:shd w:val="clear" w:color="auto" w:fill="auto"/>
            <w:vAlign w:val="bottom"/>
            <w:hideMark/>
          </w:tcPr>
          <w:p w14:paraId="44CEC31F" w14:textId="77777777" w:rsidR="007E365E" w:rsidRPr="00D036E1" w:rsidRDefault="007E365E" w:rsidP="007D1D77">
            <w:pPr>
              <w:tabs>
                <w:tab w:val="clear" w:pos="567"/>
              </w:tabs>
              <w:spacing w:before="0" w:line="240" w:lineRule="auto"/>
              <w:rPr>
                <w:rFonts w:eastAsia="Times New Roman" w:cs="Open Sans Light"/>
                <w:sz w:val="16"/>
                <w:szCs w:val="16"/>
                <w:lang w:eastAsia="en-AU"/>
              </w:rPr>
            </w:pPr>
            <w:r w:rsidRPr="00D036E1">
              <w:rPr>
                <w:rFonts w:eastAsia="Times New Roman" w:cs="Open Sans Light"/>
                <w:sz w:val="16"/>
                <w:szCs w:val="16"/>
                <w:lang w:eastAsia="en-AU"/>
              </w:rPr>
              <w:t>Changes to how investment is assessed</w:t>
            </w:r>
          </w:p>
        </w:tc>
        <w:tc>
          <w:tcPr>
            <w:tcW w:w="660" w:type="dxa"/>
            <w:tcBorders>
              <w:top w:val="nil"/>
              <w:left w:val="nil"/>
              <w:bottom w:val="single" w:sz="4" w:space="0" w:color="ADD6EA"/>
              <w:right w:val="nil"/>
            </w:tcBorders>
            <w:shd w:val="clear" w:color="auto" w:fill="auto"/>
            <w:vAlign w:val="bottom"/>
            <w:hideMark/>
          </w:tcPr>
          <w:p w14:paraId="4B2058DF"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-116</w:t>
            </w:r>
          </w:p>
        </w:tc>
        <w:tc>
          <w:tcPr>
            <w:tcW w:w="660" w:type="dxa"/>
            <w:tcBorders>
              <w:top w:val="nil"/>
              <w:left w:val="nil"/>
              <w:bottom w:val="single" w:sz="4" w:space="0" w:color="ADD6EA"/>
              <w:right w:val="nil"/>
            </w:tcBorders>
            <w:shd w:val="clear" w:color="auto" w:fill="auto"/>
            <w:vAlign w:val="bottom"/>
            <w:hideMark/>
          </w:tcPr>
          <w:p w14:paraId="32FE5055"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-89</w:t>
            </w:r>
          </w:p>
        </w:tc>
        <w:tc>
          <w:tcPr>
            <w:tcW w:w="660" w:type="dxa"/>
            <w:tcBorders>
              <w:top w:val="nil"/>
              <w:left w:val="nil"/>
              <w:bottom w:val="single" w:sz="4" w:space="0" w:color="ADD6EA"/>
              <w:right w:val="nil"/>
            </w:tcBorders>
            <w:shd w:val="clear" w:color="auto" w:fill="auto"/>
            <w:vAlign w:val="bottom"/>
            <w:hideMark/>
          </w:tcPr>
          <w:p w14:paraId="615CA73E"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65</w:t>
            </w:r>
          </w:p>
        </w:tc>
        <w:tc>
          <w:tcPr>
            <w:tcW w:w="660" w:type="dxa"/>
            <w:tcBorders>
              <w:top w:val="nil"/>
              <w:left w:val="nil"/>
              <w:bottom w:val="single" w:sz="4" w:space="0" w:color="ADD6EA"/>
              <w:right w:val="nil"/>
            </w:tcBorders>
            <w:shd w:val="clear" w:color="auto" w:fill="auto"/>
            <w:vAlign w:val="bottom"/>
            <w:hideMark/>
          </w:tcPr>
          <w:p w14:paraId="3A88D19C"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67</w:t>
            </w:r>
          </w:p>
        </w:tc>
        <w:tc>
          <w:tcPr>
            <w:tcW w:w="660" w:type="dxa"/>
            <w:tcBorders>
              <w:top w:val="nil"/>
              <w:left w:val="nil"/>
              <w:bottom w:val="single" w:sz="4" w:space="0" w:color="ADD6EA"/>
              <w:right w:val="nil"/>
            </w:tcBorders>
            <w:shd w:val="clear" w:color="auto" w:fill="auto"/>
            <w:vAlign w:val="bottom"/>
            <w:hideMark/>
          </w:tcPr>
          <w:p w14:paraId="2DDE3094"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25</w:t>
            </w:r>
          </w:p>
        </w:tc>
        <w:tc>
          <w:tcPr>
            <w:tcW w:w="660" w:type="dxa"/>
            <w:tcBorders>
              <w:top w:val="nil"/>
              <w:left w:val="nil"/>
              <w:bottom w:val="single" w:sz="4" w:space="0" w:color="ADD6EA"/>
              <w:right w:val="nil"/>
            </w:tcBorders>
            <w:shd w:val="clear" w:color="auto" w:fill="auto"/>
            <w:vAlign w:val="bottom"/>
            <w:hideMark/>
          </w:tcPr>
          <w:p w14:paraId="3FFA6E9D"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-10</w:t>
            </w:r>
          </w:p>
        </w:tc>
        <w:tc>
          <w:tcPr>
            <w:tcW w:w="660" w:type="dxa"/>
            <w:tcBorders>
              <w:top w:val="nil"/>
              <w:left w:val="nil"/>
              <w:bottom w:val="single" w:sz="4" w:space="0" w:color="ADD6EA"/>
              <w:right w:val="nil"/>
            </w:tcBorders>
            <w:shd w:val="clear" w:color="auto" w:fill="auto"/>
            <w:vAlign w:val="bottom"/>
            <w:hideMark/>
          </w:tcPr>
          <w:p w14:paraId="05725681"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-11</w:t>
            </w:r>
          </w:p>
        </w:tc>
        <w:tc>
          <w:tcPr>
            <w:tcW w:w="660" w:type="dxa"/>
            <w:tcBorders>
              <w:top w:val="nil"/>
              <w:left w:val="nil"/>
              <w:bottom w:val="single" w:sz="4" w:space="0" w:color="ADD6EA"/>
              <w:right w:val="nil"/>
            </w:tcBorders>
            <w:shd w:val="clear" w:color="auto" w:fill="auto"/>
            <w:vAlign w:val="bottom"/>
            <w:hideMark/>
          </w:tcPr>
          <w:p w14:paraId="0E6D41B2"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70</w:t>
            </w:r>
          </w:p>
        </w:tc>
        <w:tc>
          <w:tcPr>
            <w:tcW w:w="700" w:type="dxa"/>
            <w:tcBorders>
              <w:top w:val="nil"/>
              <w:left w:val="nil"/>
              <w:bottom w:val="single" w:sz="4" w:space="0" w:color="ADD6EA"/>
              <w:right w:val="nil"/>
            </w:tcBorders>
            <w:shd w:val="clear" w:color="auto" w:fill="auto"/>
            <w:tcMar>
              <w:right w:w="28" w:type="dxa"/>
            </w:tcMar>
            <w:vAlign w:val="bottom"/>
            <w:hideMark/>
          </w:tcPr>
          <w:p w14:paraId="107E114C"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226</w:t>
            </w:r>
          </w:p>
        </w:tc>
      </w:tr>
      <w:tr w:rsidR="007E365E" w:rsidRPr="00D036E1" w14:paraId="5413E7C0" w14:textId="77777777" w:rsidTr="007D1D77">
        <w:trPr>
          <w:trHeight w:val="315"/>
        </w:trPr>
        <w:tc>
          <w:tcPr>
            <w:tcW w:w="2960" w:type="dxa"/>
            <w:tcBorders>
              <w:top w:val="nil"/>
              <w:left w:val="nil"/>
              <w:bottom w:val="single" w:sz="4" w:space="0" w:color="ADD6EA"/>
              <w:right w:val="nil"/>
            </w:tcBorders>
            <w:shd w:val="clear" w:color="auto" w:fill="auto"/>
            <w:vAlign w:val="bottom"/>
            <w:hideMark/>
          </w:tcPr>
          <w:p w14:paraId="3E7D26BA" w14:textId="77777777" w:rsidR="007E365E" w:rsidRPr="00D036E1" w:rsidRDefault="007E365E" w:rsidP="007D1D77">
            <w:pPr>
              <w:tabs>
                <w:tab w:val="clear" w:pos="567"/>
              </w:tabs>
              <w:spacing w:before="0" w:line="240" w:lineRule="auto"/>
              <w:rPr>
                <w:rFonts w:eastAsia="Times New Roman" w:cs="Open Sans Light"/>
                <w:sz w:val="16"/>
                <w:szCs w:val="16"/>
                <w:lang w:eastAsia="en-AU"/>
              </w:rPr>
            </w:pPr>
            <w:r w:rsidRPr="00D036E1">
              <w:rPr>
                <w:rFonts w:eastAsia="Times New Roman" w:cs="Open Sans Light"/>
                <w:sz w:val="16"/>
                <w:szCs w:val="16"/>
                <w:lang w:eastAsia="en-AU"/>
              </w:rPr>
              <w:t>Level of investment data sources</w:t>
            </w:r>
          </w:p>
        </w:tc>
        <w:tc>
          <w:tcPr>
            <w:tcW w:w="660" w:type="dxa"/>
            <w:tcBorders>
              <w:top w:val="nil"/>
              <w:left w:val="nil"/>
              <w:bottom w:val="single" w:sz="4" w:space="0" w:color="ADD6EA"/>
              <w:right w:val="nil"/>
            </w:tcBorders>
            <w:shd w:val="clear" w:color="auto" w:fill="auto"/>
            <w:vAlign w:val="bottom"/>
            <w:hideMark/>
          </w:tcPr>
          <w:p w14:paraId="624393D8"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-115</w:t>
            </w:r>
          </w:p>
        </w:tc>
        <w:tc>
          <w:tcPr>
            <w:tcW w:w="660" w:type="dxa"/>
            <w:tcBorders>
              <w:top w:val="nil"/>
              <w:left w:val="nil"/>
              <w:bottom w:val="single" w:sz="4" w:space="0" w:color="ADD6EA"/>
              <w:right w:val="nil"/>
            </w:tcBorders>
            <w:shd w:val="clear" w:color="auto" w:fill="auto"/>
            <w:vAlign w:val="bottom"/>
            <w:hideMark/>
          </w:tcPr>
          <w:p w14:paraId="558BC359"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-145</w:t>
            </w:r>
          </w:p>
        </w:tc>
        <w:tc>
          <w:tcPr>
            <w:tcW w:w="660" w:type="dxa"/>
            <w:tcBorders>
              <w:top w:val="nil"/>
              <w:left w:val="nil"/>
              <w:bottom w:val="single" w:sz="4" w:space="0" w:color="ADD6EA"/>
              <w:right w:val="nil"/>
            </w:tcBorders>
            <w:shd w:val="clear" w:color="auto" w:fill="auto"/>
            <w:vAlign w:val="bottom"/>
            <w:hideMark/>
          </w:tcPr>
          <w:p w14:paraId="6DD20D2A"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108</w:t>
            </w:r>
          </w:p>
        </w:tc>
        <w:tc>
          <w:tcPr>
            <w:tcW w:w="660" w:type="dxa"/>
            <w:tcBorders>
              <w:top w:val="nil"/>
              <w:left w:val="nil"/>
              <w:bottom w:val="single" w:sz="4" w:space="0" w:color="ADD6EA"/>
              <w:right w:val="nil"/>
            </w:tcBorders>
            <w:shd w:val="clear" w:color="auto" w:fill="auto"/>
            <w:vAlign w:val="bottom"/>
            <w:hideMark/>
          </w:tcPr>
          <w:p w14:paraId="2E4FEA50"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46</w:t>
            </w:r>
          </w:p>
        </w:tc>
        <w:tc>
          <w:tcPr>
            <w:tcW w:w="660" w:type="dxa"/>
            <w:tcBorders>
              <w:top w:val="nil"/>
              <w:left w:val="nil"/>
              <w:bottom w:val="single" w:sz="4" w:space="0" w:color="ADD6EA"/>
              <w:right w:val="nil"/>
            </w:tcBorders>
            <w:shd w:val="clear" w:color="auto" w:fill="auto"/>
            <w:vAlign w:val="bottom"/>
            <w:hideMark/>
          </w:tcPr>
          <w:p w14:paraId="4ADCC1D3"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47</w:t>
            </w:r>
          </w:p>
        </w:tc>
        <w:tc>
          <w:tcPr>
            <w:tcW w:w="660" w:type="dxa"/>
            <w:tcBorders>
              <w:top w:val="nil"/>
              <w:left w:val="nil"/>
              <w:bottom w:val="single" w:sz="4" w:space="0" w:color="ADD6EA"/>
              <w:right w:val="nil"/>
            </w:tcBorders>
            <w:shd w:val="clear" w:color="auto" w:fill="auto"/>
            <w:vAlign w:val="bottom"/>
            <w:hideMark/>
          </w:tcPr>
          <w:p w14:paraId="12048F6D"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23</w:t>
            </w:r>
          </w:p>
        </w:tc>
        <w:tc>
          <w:tcPr>
            <w:tcW w:w="660" w:type="dxa"/>
            <w:tcBorders>
              <w:top w:val="nil"/>
              <w:left w:val="nil"/>
              <w:bottom w:val="single" w:sz="4" w:space="0" w:color="ADD6EA"/>
              <w:right w:val="nil"/>
            </w:tcBorders>
            <w:shd w:val="clear" w:color="auto" w:fill="auto"/>
            <w:vAlign w:val="bottom"/>
            <w:hideMark/>
          </w:tcPr>
          <w:p w14:paraId="53FEFEEB"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w:t>
            </w:r>
          </w:p>
        </w:tc>
        <w:tc>
          <w:tcPr>
            <w:tcW w:w="660" w:type="dxa"/>
            <w:tcBorders>
              <w:top w:val="nil"/>
              <w:left w:val="nil"/>
              <w:bottom w:val="single" w:sz="4" w:space="0" w:color="ADD6EA"/>
              <w:right w:val="nil"/>
            </w:tcBorders>
            <w:shd w:val="clear" w:color="auto" w:fill="auto"/>
            <w:vAlign w:val="bottom"/>
            <w:hideMark/>
          </w:tcPr>
          <w:p w14:paraId="788671A8"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33</w:t>
            </w:r>
          </w:p>
        </w:tc>
        <w:tc>
          <w:tcPr>
            <w:tcW w:w="700" w:type="dxa"/>
            <w:tcBorders>
              <w:top w:val="nil"/>
              <w:left w:val="nil"/>
              <w:bottom w:val="single" w:sz="4" w:space="0" w:color="ADD6EA"/>
              <w:right w:val="nil"/>
            </w:tcBorders>
            <w:shd w:val="clear" w:color="auto" w:fill="auto"/>
            <w:tcMar>
              <w:right w:w="28" w:type="dxa"/>
            </w:tcMar>
            <w:vAlign w:val="bottom"/>
            <w:hideMark/>
          </w:tcPr>
          <w:p w14:paraId="58C336A3"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259</w:t>
            </w:r>
          </w:p>
        </w:tc>
      </w:tr>
      <w:tr w:rsidR="007E365E" w:rsidRPr="00D036E1" w14:paraId="02744463" w14:textId="77777777" w:rsidTr="007D1D77">
        <w:trPr>
          <w:trHeight w:val="555"/>
        </w:trPr>
        <w:tc>
          <w:tcPr>
            <w:tcW w:w="2960" w:type="dxa"/>
            <w:tcBorders>
              <w:top w:val="nil"/>
              <w:left w:val="nil"/>
              <w:bottom w:val="single" w:sz="4" w:space="0" w:color="ADD6EA"/>
              <w:right w:val="nil"/>
            </w:tcBorders>
            <w:shd w:val="clear" w:color="auto" w:fill="auto"/>
            <w:vAlign w:val="bottom"/>
            <w:hideMark/>
          </w:tcPr>
          <w:p w14:paraId="1AAE971B" w14:textId="77777777" w:rsidR="007E365E" w:rsidRPr="00D036E1" w:rsidRDefault="007E365E" w:rsidP="007D1D77">
            <w:pPr>
              <w:tabs>
                <w:tab w:val="clear" w:pos="567"/>
              </w:tabs>
              <w:spacing w:before="0" w:line="240" w:lineRule="auto"/>
              <w:rPr>
                <w:rFonts w:eastAsia="Times New Roman" w:cs="Open Sans Light"/>
                <w:sz w:val="16"/>
                <w:szCs w:val="16"/>
                <w:lang w:eastAsia="en-AU"/>
              </w:rPr>
            </w:pPr>
            <w:r w:rsidRPr="00D036E1">
              <w:rPr>
                <w:rFonts w:eastAsia="Times New Roman" w:cs="Open Sans Light"/>
                <w:sz w:val="16"/>
                <w:szCs w:val="16"/>
                <w:lang w:eastAsia="en-AU"/>
              </w:rPr>
              <w:t>Consequent changes from other categories (a)</w:t>
            </w:r>
          </w:p>
        </w:tc>
        <w:tc>
          <w:tcPr>
            <w:tcW w:w="660" w:type="dxa"/>
            <w:tcBorders>
              <w:top w:val="nil"/>
              <w:left w:val="nil"/>
              <w:bottom w:val="single" w:sz="4" w:space="0" w:color="ADD6EA"/>
              <w:right w:val="nil"/>
            </w:tcBorders>
            <w:shd w:val="clear" w:color="auto" w:fill="auto"/>
            <w:vAlign w:val="bottom"/>
            <w:hideMark/>
          </w:tcPr>
          <w:p w14:paraId="36E79EEE"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304</w:t>
            </w:r>
          </w:p>
        </w:tc>
        <w:tc>
          <w:tcPr>
            <w:tcW w:w="660" w:type="dxa"/>
            <w:tcBorders>
              <w:top w:val="nil"/>
              <w:left w:val="nil"/>
              <w:bottom w:val="single" w:sz="4" w:space="0" w:color="ADD6EA"/>
              <w:right w:val="nil"/>
            </w:tcBorders>
            <w:shd w:val="clear" w:color="auto" w:fill="auto"/>
            <w:vAlign w:val="bottom"/>
            <w:hideMark/>
          </w:tcPr>
          <w:p w14:paraId="6EC8EC2C"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-251</w:t>
            </w:r>
          </w:p>
        </w:tc>
        <w:tc>
          <w:tcPr>
            <w:tcW w:w="660" w:type="dxa"/>
            <w:tcBorders>
              <w:top w:val="nil"/>
              <w:left w:val="nil"/>
              <w:bottom w:val="single" w:sz="4" w:space="0" w:color="ADD6EA"/>
              <w:right w:val="nil"/>
            </w:tcBorders>
            <w:shd w:val="clear" w:color="auto" w:fill="auto"/>
            <w:vAlign w:val="bottom"/>
            <w:hideMark/>
          </w:tcPr>
          <w:p w14:paraId="2D193A6A"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114</w:t>
            </w:r>
          </w:p>
        </w:tc>
        <w:tc>
          <w:tcPr>
            <w:tcW w:w="660" w:type="dxa"/>
            <w:tcBorders>
              <w:top w:val="nil"/>
              <w:left w:val="nil"/>
              <w:bottom w:val="single" w:sz="4" w:space="0" w:color="ADD6EA"/>
              <w:right w:val="nil"/>
            </w:tcBorders>
            <w:shd w:val="clear" w:color="auto" w:fill="auto"/>
            <w:vAlign w:val="bottom"/>
            <w:hideMark/>
          </w:tcPr>
          <w:p w14:paraId="3BE2B3AC"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-59</w:t>
            </w:r>
          </w:p>
        </w:tc>
        <w:tc>
          <w:tcPr>
            <w:tcW w:w="660" w:type="dxa"/>
            <w:tcBorders>
              <w:top w:val="nil"/>
              <w:left w:val="nil"/>
              <w:bottom w:val="single" w:sz="4" w:space="0" w:color="ADD6EA"/>
              <w:right w:val="nil"/>
            </w:tcBorders>
            <w:shd w:val="clear" w:color="auto" w:fill="auto"/>
            <w:vAlign w:val="bottom"/>
            <w:hideMark/>
          </w:tcPr>
          <w:p w14:paraId="0313AC0C"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-142</w:t>
            </w:r>
          </w:p>
        </w:tc>
        <w:tc>
          <w:tcPr>
            <w:tcW w:w="660" w:type="dxa"/>
            <w:tcBorders>
              <w:top w:val="nil"/>
              <w:left w:val="nil"/>
              <w:bottom w:val="single" w:sz="4" w:space="0" w:color="ADD6EA"/>
              <w:right w:val="nil"/>
            </w:tcBorders>
            <w:shd w:val="clear" w:color="auto" w:fill="auto"/>
            <w:vAlign w:val="bottom"/>
            <w:hideMark/>
          </w:tcPr>
          <w:p w14:paraId="24BC04AE"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-19</w:t>
            </w:r>
          </w:p>
        </w:tc>
        <w:tc>
          <w:tcPr>
            <w:tcW w:w="660" w:type="dxa"/>
            <w:tcBorders>
              <w:top w:val="nil"/>
              <w:left w:val="nil"/>
              <w:bottom w:val="single" w:sz="4" w:space="0" w:color="ADD6EA"/>
              <w:right w:val="nil"/>
            </w:tcBorders>
            <w:shd w:val="clear" w:color="auto" w:fill="auto"/>
            <w:vAlign w:val="bottom"/>
            <w:hideMark/>
          </w:tcPr>
          <w:p w14:paraId="5C0C4328"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-20</w:t>
            </w:r>
          </w:p>
        </w:tc>
        <w:tc>
          <w:tcPr>
            <w:tcW w:w="660" w:type="dxa"/>
            <w:tcBorders>
              <w:top w:val="nil"/>
              <w:left w:val="nil"/>
              <w:bottom w:val="single" w:sz="4" w:space="0" w:color="ADD6EA"/>
              <w:right w:val="nil"/>
            </w:tcBorders>
            <w:shd w:val="clear" w:color="auto" w:fill="auto"/>
            <w:vAlign w:val="bottom"/>
            <w:hideMark/>
          </w:tcPr>
          <w:p w14:paraId="5D792BFF"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73</w:t>
            </w:r>
          </w:p>
        </w:tc>
        <w:tc>
          <w:tcPr>
            <w:tcW w:w="700" w:type="dxa"/>
            <w:tcBorders>
              <w:top w:val="nil"/>
              <w:left w:val="nil"/>
              <w:bottom w:val="single" w:sz="4" w:space="0" w:color="ADD6EA"/>
              <w:right w:val="nil"/>
            </w:tcBorders>
            <w:shd w:val="clear" w:color="auto" w:fill="auto"/>
            <w:tcMar>
              <w:right w:w="28" w:type="dxa"/>
            </w:tcMar>
            <w:vAlign w:val="bottom"/>
            <w:hideMark/>
          </w:tcPr>
          <w:p w14:paraId="0C99C702"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491</w:t>
            </w:r>
          </w:p>
        </w:tc>
      </w:tr>
      <w:tr w:rsidR="007E365E" w:rsidRPr="00D036E1" w14:paraId="31733CFE" w14:textId="77777777" w:rsidTr="007D1D77">
        <w:trPr>
          <w:trHeight w:val="315"/>
        </w:trPr>
        <w:tc>
          <w:tcPr>
            <w:tcW w:w="2960" w:type="dxa"/>
            <w:tcBorders>
              <w:top w:val="nil"/>
              <w:left w:val="nil"/>
              <w:bottom w:val="single" w:sz="4" w:space="0" w:color="ADD6EA"/>
              <w:right w:val="nil"/>
            </w:tcBorders>
            <w:shd w:val="clear" w:color="auto" w:fill="auto"/>
            <w:vAlign w:val="bottom"/>
            <w:hideMark/>
          </w:tcPr>
          <w:p w14:paraId="41704755" w14:textId="77777777" w:rsidR="007E365E" w:rsidRPr="00D036E1"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D036E1">
              <w:rPr>
                <w:rFonts w:eastAsia="Times New Roman" w:cs="Open Sans Light"/>
                <w:sz w:val="16"/>
                <w:szCs w:val="16"/>
                <w:lang w:eastAsia="en-AU"/>
              </w:rPr>
              <w:t>Schools</w:t>
            </w:r>
          </w:p>
        </w:tc>
        <w:tc>
          <w:tcPr>
            <w:tcW w:w="660" w:type="dxa"/>
            <w:tcBorders>
              <w:top w:val="nil"/>
              <w:left w:val="nil"/>
              <w:bottom w:val="single" w:sz="4" w:space="0" w:color="ADD6EA"/>
              <w:right w:val="nil"/>
            </w:tcBorders>
            <w:shd w:val="clear" w:color="auto" w:fill="auto"/>
            <w:vAlign w:val="bottom"/>
            <w:hideMark/>
          </w:tcPr>
          <w:p w14:paraId="0B6D58A8"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26</w:t>
            </w:r>
          </w:p>
        </w:tc>
        <w:tc>
          <w:tcPr>
            <w:tcW w:w="660" w:type="dxa"/>
            <w:tcBorders>
              <w:top w:val="nil"/>
              <w:left w:val="nil"/>
              <w:bottom w:val="single" w:sz="4" w:space="0" w:color="ADD6EA"/>
              <w:right w:val="nil"/>
            </w:tcBorders>
            <w:shd w:val="clear" w:color="auto" w:fill="auto"/>
            <w:vAlign w:val="bottom"/>
            <w:hideMark/>
          </w:tcPr>
          <w:p w14:paraId="7CEEE82A"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0</w:t>
            </w:r>
          </w:p>
        </w:tc>
        <w:tc>
          <w:tcPr>
            <w:tcW w:w="660" w:type="dxa"/>
            <w:tcBorders>
              <w:top w:val="nil"/>
              <w:left w:val="nil"/>
              <w:bottom w:val="single" w:sz="4" w:space="0" w:color="ADD6EA"/>
              <w:right w:val="nil"/>
            </w:tcBorders>
            <w:shd w:val="clear" w:color="auto" w:fill="auto"/>
            <w:vAlign w:val="bottom"/>
            <w:hideMark/>
          </w:tcPr>
          <w:p w14:paraId="744D89DE"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w:t>
            </w:r>
          </w:p>
        </w:tc>
        <w:tc>
          <w:tcPr>
            <w:tcW w:w="660" w:type="dxa"/>
            <w:tcBorders>
              <w:top w:val="nil"/>
              <w:left w:val="nil"/>
              <w:bottom w:val="single" w:sz="4" w:space="0" w:color="ADD6EA"/>
              <w:right w:val="nil"/>
            </w:tcBorders>
            <w:shd w:val="clear" w:color="auto" w:fill="auto"/>
            <w:vAlign w:val="bottom"/>
            <w:hideMark/>
          </w:tcPr>
          <w:p w14:paraId="5DAEF82B"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-4</w:t>
            </w:r>
          </w:p>
        </w:tc>
        <w:tc>
          <w:tcPr>
            <w:tcW w:w="660" w:type="dxa"/>
            <w:tcBorders>
              <w:top w:val="nil"/>
              <w:left w:val="nil"/>
              <w:bottom w:val="single" w:sz="4" w:space="0" w:color="ADD6EA"/>
              <w:right w:val="nil"/>
            </w:tcBorders>
            <w:shd w:val="clear" w:color="auto" w:fill="auto"/>
            <w:vAlign w:val="bottom"/>
            <w:hideMark/>
          </w:tcPr>
          <w:p w14:paraId="1C736077"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-5</w:t>
            </w:r>
          </w:p>
        </w:tc>
        <w:tc>
          <w:tcPr>
            <w:tcW w:w="660" w:type="dxa"/>
            <w:tcBorders>
              <w:top w:val="nil"/>
              <w:left w:val="nil"/>
              <w:bottom w:val="single" w:sz="4" w:space="0" w:color="ADD6EA"/>
              <w:right w:val="nil"/>
            </w:tcBorders>
            <w:shd w:val="clear" w:color="auto" w:fill="auto"/>
            <w:vAlign w:val="bottom"/>
            <w:hideMark/>
          </w:tcPr>
          <w:p w14:paraId="11487CB7"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w:t>
            </w:r>
          </w:p>
        </w:tc>
        <w:tc>
          <w:tcPr>
            <w:tcW w:w="660" w:type="dxa"/>
            <w:tcBorders>
              <w:top w:val="nil"/>
              <w:left w:val="nil"/>
              <w:bottom w:val="single" w:sz="4" w:space="0" w:color="ADD6EA"/>
              <w:right w:val="nil"/>
            </w:tcBorders>
            <w:shd w:val="clear" w:color="auto" w:fill="auto"/>
            <w:vAlign w:val="bottom"/>
            <w:hideMark/>
          </w:tcPr>
          <w:p w14:paraId="24E536E6"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0</w:t>
            </w:r>
          </w:p>
        </w:tc>
        <w:tc>
          <w:tcPr>
            <w:tcW w:w="660" w:type="dxa"/>
            <w:tcBorders>
              <w:top w:val="nil"/>
              <w:left w:val="nil"/>
              <w:bottom w:val="single" w:sz="4" w:space="0" w:color="ADD6EA"/>
              <w:right w:val="nil"/>
            </w:tcBorders>
            <w:shd w:val="clear" w:color="auto" w:fill="auto"/>
            <w:vAlign w:val="bottom"/>
            <w:hideMark/>
          </w:tcPr>
          <w:p w14:paraId="0877D4CC"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-14</w:t>
            </w:r>
          </w:p>
        </w:tc>
        <w:tc>
          <w:tcPr>
            <w:tcW w:w="700" w:type="dxa"/>
            <w:tcBorders>
              <w:top w:val="nil"/>
              <w:left w:val="nil"/>
              <w:bottom w:val="single" w:sz="4" w:space="0" w:color="ADD6EA"/>
              <w:right w:val="nil"/>
            </w:tcBorders>
            <w:shd w:val="clear" w:color="auto" w:fill="auto"/>
            <w:tcMar>
              <w:right w:w="28" w:type="dxa"/>
            </w:tcMar>
            <w:vAlign w:val="bottom"/>
            <w:hideMark/>
          </w:tcPr>
          <w:p w14:paraId="782B5545"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26</w:t>
            </w:r>
          </w:p>
        </w:tc>
      </w:tr>
      <w:tr w:rsidR="007E365E" w:rsidRPr="00D036E1" w14:paraId="45B23953" w14:textId="77777777" w:rsidTr="007D1D77">
        <w:trPr>
          <w:trHeight w:val="315"/>
        </w:trPr>
        <w:tc>
          <w:tcPr>
            <w:tcW w:w="2960" w:type="dxa"/>
            <w:tcBorders>
              <w:top w:val="nil"/>
              <w:left w:val="nil"/>
              <w:bottom w:val="single" w:sz="4" w:space="0" w:color="ADD6EA"/>
              <w:right w:val="nil"/>
            </w:tcBorders>
            <w:shd w:val="clear" w:color="auto" w:fill="auto"/>
            <w:vAlign w:val="bottom"/>
            <w:hideMark/>
          </w:tcPr>
          <w:p w14:paraId="2CF798BE" w14:textId="77777777" w:rsidR="007E365E" w:rsidRPr="00D036E1"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D036E1">
              <w:rPr>
                <w:rFonts w:eastAsia="Times New Roman" w:cs="Open Sans Light"/>
                <w:sz w:val="16"/>
                <w:szCs w:val="16"/>
                <w:lang w:eastAsia="en-AU"/>
              </w:rPr>
              <w:t>Health</w:t>
            </w:r>
          </w:p>
        </w:tc>
        <w:tc>
          <w:tcPr>
            <w:tcW w:w="660" w:type="dxa"/>
            <w:tcBorders>
              <w:top w:val="nil"/>
              <w:left w:val="nil"/>
              <w:bottom w:val="single" w:sz="4" w:space="0" w:color="ADD6EA"/>
              <w:right w:val="nil"/>
            </w:tcBorders>
            <w:shd w:val="clear" w:color="auto" w:fill="auto"/>
            <w:vAlign w:val="bottom"/>
            <w:hideMark/>
          </w:tcPr>
          <w:p w14:paraId="31AB7AE7"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-17</w:t>
            </w:r>
          </w:p>
        </w:tc>
        <w:tc>
          <w:tcPr>
            <w:tcW w:w="660" w:type="dxa"/>
            <w:tcBorders>
              <w:top w:val="nil"/>
              <w:left w:val="nil"/>
              <w:bottom w:val="single" w:sz="4" w:space="0" w:color="ADD6EA"/>
              <w:right w:val="nil"/>
            </w:tcBorders>
            <w:shd w:val="clear" w:color="auto" w:fill="auto"/>
            <w:vAlign w:val="bottom"/>
            <w:hideMark/>
          </w:tcPr>
          <w:p w14:paraId="1A96CD82"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8</w:t>
            </w:r>
          </w:p>
        </w:tc>
        <w:tc>
          <w:tcPr>
            <w:tcW w:w="660" w:type="dxa"/>
            <w:tcBorders>
              <w:top w:val="nil"/>
              <w:left w:val="nil"/>
              <w:bottom w:val="single" w:sz="4" w:space="0" w:color="ADD6EA"/>
              <w:right w:val="nil"/>
            </w:tcBorders>
            <w:shd w:val="clear" w:color="auto" w:fill="auto"/>
            <w:vAlign w:val="bottom"/>
            <w:hideMark/>
          </w:tcPr>
          <w:p w14:paraId="2656A2AF"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5</w:t>
            </w:r>
          </w:p>
        </w:tc>
        <w:tc>
          <w:tcPr>
            <w:tcW w:w="660" w:type="dxa"/>
            <w:tcBorders>
              <w:top w:val="nil"/>
              <w:left w:val="nil"/>
              <w:bottom w:val="single" w:sz="4" w:space="0" w:color="ADD6EA"/>
              <w:right w:val="nil"/>
            </w:tcBorders>
            <w:shd w:val="clear" w:color="auto" w:fill="auto"/>
            <w:vAlign w:val="bottom"/>
            <w:hideMark/>
          </w:tcPr>
          <w:p w14:paraId="64ABDEBA"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7</w:t>
            </w:r>
          </w:p>
        </w:tc>
        <w:tc>
          <w:tcPr>
            <w:tcW w:w="660" w:type="dxa"/>
            <w:tcBorders>
              <w:top w:val="nil"/>
              <w:left w:val="nil"/>
              <w:bottom w:val="single" w:sz="4" w:space="0" w:color="ADD6EA"/>
              <w:right w:val="nil"/>
            </w:tcBorders>
            <w:shd w:val="clear" w:color="auto" w:fill="auto"/>
            <w:vAlign w:val="bottom"/>
            <w:hideMark/>
          </w:tcPr>
          <w:p w14:paraId="308C6687"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-10</w:t>
            </w:r>
          </w:p>
        </w:tc>
        <w:tc>
          <w:tcPr>
            <w:tcW w:w="660" w:type="dxa"/>
            <w:tcBorders>
              <w:top w:val="nil"/>
              <w:left w:val="nil"/>
              <w:bottom w:val="single" w:sz="4" w:space="0" w:color="ADD6EA"/>
              <w:right w:val="nil"/>
            </w:tcBorders>
            <w:shd w:val="clear" w:color="auto" w:fill="auto"/>
            <w:vAlign w:val="bottom"/>
            <w:hideMark/>
          </w:tcPr>
          <w:p w14:paraId="15462489"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0</w:t>
            </w:r>
          </w:p>
        </w:tc>
        <w:tc>
          <w:tcPr>
            <w:tcW w:w="660" w:type="dxa"/>
            <w:tcBorders>
              <w:top w:val="nil"/>
              <w:left w:val="nil"/>
              <w:bottom w:val="single" w:sz="4" w:space="0" w:color="ADD6EA"/>
              <w:right w:val="nil"/>
            </w:tcBorders>
            <w:shd w:val="clear" w:color="auto" w:fill="auto"/>
            <w:vAlign w:val="bottom"/>
            <w:hideMark/>
          </w:tcPr>
          <w:p w14:paraId="3EF446EE"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-3</w:t>
            </w:r>
          </w:p>
        </w:tc>
        <w:tc>
          <w:tcPr>
            <w:tcW w:w="660" w:type="dxa"/>
            <w:tcBorders>
              <w:top w:val="nil"/>
              <w:left w:val="nil"/>
              <w:bottom w:val="single" w:sz="4" w:space="0" w:color="ADD6EA"/>
              <w:right w:val="nil"/>
            </w:tcBorders>
            <w:shd w:val="clear" w:color="auto" w:fill="auto"/>
            <w:vAlign w:val="bottom"/>
            <w:hideMark/>
          </w:tcPr>
          <w:p w14:paraId="3C51E3EA"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9</w:t>
            </w:r>
          </w:p>
        </w:tc>
        <w:tc>
          <w:tcPr>
            <w:tcW w:w="700" w:type="dxa"/>
            <w:tcBorders>
              <w:top w:val="nil"/>
              <w:left w:val="nil"/>
              <w:bottom w:val="single" w:sz="4" w:space="0" w:color="ADD6EA"/>
              <w:right w:val="nil"/>
            </w:tcBorders>
            <w:shd w:val="clear" w:color="auto" w:fill="auto"/>
            <w:tcMar>
              <w:right w:w="28" w:type="dxa"/>
            </w:tcMar>
            <w:vAlign w:val="bottom"/>
            <w:hideMark/>
          </w:tcPr>
          <w:p w14:paraId="2CA15E7A"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30</w:t>
            </w:r>
          </w:p>
        </w:tc>
      </w:tr>
      <w:tr w:rsidR="007E365E" w:rsidRPr="00D036E1" w14:paraId="583B5775" w14:textId="77777777" w:rsidTr="007D1D77">
        <w:trPr>
          <w:trHeight w:val="315"/>
        </w:trPr>
        <w:tc>
          <w:tcPr>
            <w:tcW w:w="2960" w:type="dxa"/>
            <w:tcBorders>
              <w:top w:val="nil"/>
              <w:left w:val="nil"/>
              <w:bottom w:val="single" w:sz="4" w:space="0" w:color="ADD6EA"/>
              <w:right w:val="nil"/>
            </w:tcBorders>
            <w:shd w:val="clear" w:color="auto" w:fill="auto"/>
            <w:vAlign w:val="bottom"/>
            <w:hideMark/>
          </w:tcPr>
          <w:p w14:paraId="614DF82C" w14:textId="77777777" w:rsidR="007E365E" w:rsidRPr="00D036E1"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D036E1">
              <w:rPr>
                <w:rFonts w:eastAsia="Times New Roman" w:cs="Open Sans Light"/>
                <w:sz w:val="16"/>
                <w:szCs w:val="16"/>
                <w:lang w:eastAsia="en-AU"/>
              </w:rPr>
              <w:t>Justice</w:t>
            </w:r>
          </w:p>
        </w:tc>
        <w:tc>
          <w:tcPr>
            <w:tcW w:w="660" w:type="dxa"/>
            <w:tcBorders>
              <w:top w:val="nil"/>
              <w:left w:val="nil"/>
              <w:bottom w:val="single" w:sz="4" w:space="0" w:color="ADD6EA"/>
              <w:right w:val="nil"/>
            </w:tcBorders>
            <w:shd w:val="clear" w:color="auto" w:fill="auto"/>
            <w:vAlign w:val="bottom"/>
            <w:hideMark/>
          </w:tcPr>
          <w:p w14:paraId="073693B8"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w:t>
            </w:r>
          </w:p>
        </w:tc>
        <w:tc>
          <w:tcPr>
            <w:tcW w:w="660" w:type="dxa"/>
            <w:tcBorders>
              <w:top w:val="nil"/>
              <w:left w:val="nil"/>
              <w:bottom w:val="single" w:sz="4" w:space="0" w:color="ADD6EA"/>
              <w:right w:val="nil"/>
            </w:tcBorders>
            <w:shd w:val="clear" w:color="auto" w:fill="auto"/>
            <w:vAlign w:val="bottom"/>
            <w:hideMark/>
          </w:tcPr>
          <w:p w14:paraId="53CDA441"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-11</w:t>
            </w:r>
          </w:p>
        </w:tc>
        <w:tc>
          <w:tcPr>
            <w:tcW w:w="660" w:type="dxa"/>
            <w:tcBorders>
              <w:top w:val="nil"/>
              <w:left w:val="nil"/>
              <w:bottom w:val="single" w:sz="4" w:space="0" w:color="ADD6EA"/>
              <w:right w:val="nil"/>
            </w:tcBorders>
            <w:shd w:val="clear" w:color="auto" w:fill="auto"/>
            <w:vAlign w:val="bottom"/>
            <w:hideMark/>
          </w:tcPr>
          <w:p w14:paraId="1323241D"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4</w:t>
            </w:r>
          </w:p>
        </w:tc>
        <w:tc>
          <w:tcPr>
            <w:tcW w:w="660" w:type="dxa"/>
            <w:tcBorders>
              <w:top w:val="nil"/>
              <w:left w:val="nil"/>
              <w:bottom w:val="single" w:sz="4" w:space="0" w:color="ADD6EA"/>
              <w:right w:val="nil"/>
            </w:tcBorders>
            <w:shd w:val="clear" w:color="auto" w:fill="auto"/>
            <w:vAlign w:val="bottom"/>
            <w:hideMark/>
          </w:tcPr>
          <w:p w14:paraId="462D1F7D"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w:t>
            </w:r>
          </w:p>
        </w:tc>
        <w:tc>
          <w:tcPr>
            <w:tcW w:w="660" w:type="dxa"/>
            <w:tcBorders>
              <w:top w:val="nil"/>
              <w:left w:val="nil"/>
              <w:bottom w:val="single" w:sz="4" w:space="0" w:color="ADD6EA"/>
              <w:right w:val="nil"/>
            </w:tcBorders>
            <w:shd w:val="clear" w:color="auto" w:fill="auto"/>
            <w:vAlign w:val="bottom"/>
            <w:hideMark/>
          </w:tcPr>
          <w:p w14:paraId="4C1DC5AB"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w:t>
            </w:r>
          </w:p>
        </w:tc>
        <w:tc>
          <w:tcPr>
            <w:tcW w:w="660" w:type="dxa"/>
            <w:tcBorders>
              <w:top w:val="nil"/>
              <w:left w:val="nil"/>
              <w:bottom w:val="single" w:sz="4" w:space="0" w:color="ADD6EA"/>
              <w:right w:val="nil"/>
            </w:tcBorders>
            <w:shd w:val="clear" w:color="auto" w:fill="auto"/>
            <w:vAlign w:val="bottom"/>
            <w:hideMark/>
          </w:tcPr>
          <w:p w14:paraId="2D3500FF"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5</w:t>
            </w:r>
          </w:p>
        </w:tc>
        <w:tc>
          <w:tcPr>
            <w:tcW w:w="660" w:type="dxa"/>
            <w:tcBorders>
              <w:top w:val="nil"/>
              <w:left w:val="nil"/>
              <w:bottom w:val="single" w:sz="4" w:space="0" w:color="ADD6EA"/>
              <w:right w:val="nil"/>
            </w:tcBorders>
            <w:shd w:val="clear" w:color="auto" w:fill="auto"/>
            <w:vAlign w:val="bottom"/>
            <w:hideMark/>
          </w:tcPr>
          <w:p w14:paraId="6574023D"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-4</w:t>
            </w:r>
          </w:p>
        </w:tc>
        <w:tc>
          <w:tcPr>
            <w:tcW w:w="660" w:type="dxa"/>
            <w:tcBorders>
              <w:top w:val="nil"/>
              <w:left w:val="nil"/>
              <w:bottom w:val="single" w:sz="4" w:space="0" w:color="ADD6EA"/>
              <w:right w:val="nil"/>
            </w:tcBorders>
            <w:shd w:val="clear" w:color="auto" w:fill="auto"/>
            <w:vAlign w:val="bottom"/>
            <w:hideMark/>
          </w:tcPr>
          <w:p w14:paraId="2E86C291"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8</w:t>
            </w:r>
          </w:p>
        </w:tc>
        <w:tc>
          <w:tcPr>
            <w:tcW w:w="700" w:type="dxa"/>
            <w:tcBorders>
              <w:top w:val="nil"/>
              <w:left w:val="nil"/>
              <w:bottom w:val="single" w:sz="4" w:space="0" w:color="ADD6EA"/>
              <w:right w:val="nil"/>
            </w:tcBorders>
            <w:shd w:val="clear" w:color="auto" w:fill="auto"/>
            <w:tcMar>
              <w:right w:w="28" w:type="dxa"/>
            </w:tcMar>
            <w:vAlign w:val="bottom"/>
            <w:hideMark/>
          </w:tcPr>
          <w:p w14:paraId="02E2F771"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18</w:t>
            </w:r>
          </w:p>
        </w:tc>
      </w:tr>
      <w:tr w:rsidR="007E365E" w:rsidRPr="00D036E1" w14:paraId="4C8E9234" w14:textId="77777777" w:rsidTr="007D1D77">
        <w:trPr>
          <w:trHeight w:val="315"/>
        </w:trPr>
        <w:tc>
          <w:tcPr>
            <w:tcW w:w="2960" w:type="dxa"/>
            <w:tcBorders>
              <w:top w:val="nil"/>
              <w:left w:val="nil"/>
              <w:bottom w:val="single" w:sz="4" w:space="0" w:color="ADD6EA"/>
              <w:right w:val="nil"/>
            </w:tcBorders>
            <w:shd w:val="clear" w:color="auto" w:fill="auto"/>
            <w:vAlign w:val="bottom"/>
            <w:hideMark/>
          </w:tcPr>
          <w:p w14:paraId="77970031" w14:textId="77777777" w:rsidR="007E365E" w:rsidRPr="00D036E1"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D036E1">
              <w:rPr>
                <w:rFonts w:eastAsia="Times New Roman" w:cs="Open Sans Light"/>
                <w:sz w:val="16"/>
                <w:szCs w:val="16"/>
                <w:lang w:eastAsia="en-AU"/>
              </w:rPr>
              <w:t>Urban roads</w:t>
            </w:r>
          </w:p>
        </w:tc>
        <w:tc>
          <w:tcPr>
            <w:tcW w:w="660" w:type="dxa"/>
            <w:tcBorders>
              <w:top w:val="nil"/>
              <w:left w:val="nil"/>
              <w:bottom w:val="single" w:sz="4" w:space="0" w:color="ADD6EA"/>
              <w:right w:val="nil"/>
            </w:tcBorders>
            <w:shd w:val="clear" w:color="auto" w:fill="auto"/>
            <w:vAlign w:val="bottom"/>
            <w:hideMark/>
          </w:tcPr>
          <w:p w14:paraId="76EF3CBA"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30</w:t>
            </w:r>
          </w:p>
        </w:tc>
        <w:tc>
          <w:tcPr>
            <w:tcW w:w="660" w:type="dxa"/>
            <w:tcBorders>
              <w:top w:val="nil"/>
              <w:left w:val="nil"/>
              <w:bottom w:val="single" w:sz="4" w:space="0" w:color="ADD6EA"/>
              <w:right w:val="nil"/>
            </w:tcBorders>
            <w:shd w:val="clear" w:color="auto" w:fill="auto"/>
            <w:vAlign w:val="bottom"/>
            <w:hideMark/>
          </w:tcPr>
          <w:p w14:paraId="52F99F2F"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-24</w:t>
            </w:r>
          </w:p>
        </w:tc>
        <w:tc>
          <w:tcPr>
            <w:tcW w:w="660" w:type="dxa"/>
            <w:tcBorders>
              <w:top w:val="nil"/>
              <w:left w:val="nil"/>
              <w:bottom w:val="single" w:sz="4" w:space="0" w:color="ADD6EA"/>
              <w:right w:val="nil"/>
            </w:tcBorders>
            <w:shd w:val="clear" w:color="auto" w:fill="auto"/>
            <w:vAlign w:val="bottom"/>
            <w:hideMark/>
          </w:tcPr>
          <w:p w14:paraId="4D5CB267"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29</w:t>
            </w:r>
          </w:p>
        </w:tc>
        <w:tc>
          <w:tcPr>
            <w:tcW w:w="660" w:type="dxa"/>
            <w:tcBorders>
              <w:top w:val="nil"/>
              <w:left w:val="nil"/>
              <w:bottom w:val="single" w:sz="4" w:space="0" w:color="ADD6EA"/>
              <w:right w:val="nil"/>
            </w:tcBorders>
            <w:shd w:val="clear" w:color="auto" w:fill="auto"/>
            <w:vAlign w:val="bottom"/>
            <w:hideMark/>
          </w:tcPr>
          <w:p w14:paraId="7834FB92"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-28</w:t>
            </w:r>
          </w:p>
        </w:tc>
        <w:tc>
          <w:tcPr>
            <w:tcW w:w="660" w:type="dxa"/>
            <w:tcBorders>
              <w:top w:val="nil"/>
              <w:left w:val="nil"/>
              <w:bottom w:val="single" w:sz="4" w:space="0" w:color="ADD6EA"/>
              <w:right w:val="nil"/>
            </w:tcBorders>
            <w:shd w:val="clear" w:color="auto" w:fill="auto"/>
            <w:vAlign w:val="bottom"/>
            <w:hideMark/>
          </w:tcPr>
          <w:p w14:paraId="23A40E4C"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-12</w:t>
            </w:r>
          </w:p>
        </w:tc>
        <w:tc>
          <w:tcPr>
            <w:tcW w:w="660" w:type="dxa"/>
            <w:tcBorders>
              <w:top w:val="nil"/>
              <w:left w:val="nil"/>
              <w:bottom w:val="single" w:sz="4" w:space="0" w:color="ADD6EA"/>
              <w:right w:val="nil"/>
            </w:tcBorders>
            <w:shd w:val="clear" w:color="auto" w:fill="auto"/>
            <w:vAlign w:val="bottom"/>
            <w:hideMark/>
          </w:tcPr>
          <w:p w14:paraId="67C52FA1"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4</w:t>
            </w:r>
          </w:p>
        </w:tc>
        <w:tc>
          <w:tcPr>
            <w:tcW w:w="660" w:type="dxa"/>
            <w:tcBorders>
              <w:top w:val="nil"/>
              <w:left w:val="nil"/>
              <w:bottom w:val="single" w:sz="4" w:space="0" w:color="ADD6EA"/>
              <w:right w:val="nil"/>
            </w:tcBorders>
            <w:shd w:val="clear" w:color="auto" w:fill="auto"/>
            <w:vAlign w:val="bottom"/>
            <w:hideMark/>
          </w:tcPr>
          <w:p w14:paraId="12C13245"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0</w:t>
            </w:r>
          </w:p>
        </w:tc>
        <w:tc>
          <w:tcPr>
            <w:tcW w:w="660" w:type="dxa"/>
            <w:tcBorders>
              <w:top w:val="nil"/>
              <w:left w:val="nil"/>
              <w:bottom w:val="single" w:sz="4" w:space="0" w:color="ADD6EA"/>
              <w:right w:val="nil"/>
            </w:tcBorders>
            <w:shd w:val="clear" w:color="auto" w:fill="auto"/>
            <w:vAlign w:val="bottom"/>
            <w:hideMark/>
          </w:tcPr>
          <w:p w14:paraId="18B2416F"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w:t>
            </w:r>
          </w:p>
        </w:tc>
        <w:tc>
          <w:tcPr>
            <w:tcW w:w="700" w:type="dxa"/>
            <w:tcBorders>
              <w:top w:val="nil"/>
              <w:left w:val="nil"/>
              <w:bottom w:val="single" w:sz="4" w:space="0" w:color="ADD6EA"/>
              <w:right w:val="nil"/>
            </w:tcBorders>
            <w:shd w:val="clear" w:color="auto" w:fill="auto"/>
            <w:tcMar>
              <w:right w:w="28" w:type="dxa"/>
            </w:tcMar>
            <w:vAlign w:val="bottom"/>
            <w:hideMark/>
          </w:tcPr>
          <w:p w14:paraId="0984F3ED"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64</w:t>
            </w:r>
          </w:p>
        </w:tc>
      </w:tr>
      <w:tr w:rsidR="007E365E" w:rsidRPr="00D036E1" w14:paraId="5A8790CB" w14:textId="77777777" w:rsidTr="007D1D77">
        <w:trPr>
          <w:trHeight w:val="315"/>
        </w:trPr>
        <w:tc>
          <w:tcPr>
            <w:tcW w:w="2960" w:type="dxa"/>
            <w:tcBorders>
              <w:top w:val="nil"/>
              <w:left w:val="nil"/>
              <w:bottom w:val="single" w:sz="4" w:space="0" w:color="ADD6EA"/>
              <w:right w:val="nil"/>
            </w:tcBorders>
            <w:shd w:val="clear" w:color="auto" w:fill="auto"/>
            <w:vAlign w:val="bottom"/>
            <w:hideMark/>
          </w:tcPr>
          <w:p w14:paraId="148BBD32" w14:textId="77777777" w:rsidR="007E365E" w:rsidRPr="00D036E1"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D036E1">
              <w:rPr>
                <w:rFonts w:eastAsia="Times New Roman" w:cs="Open Sans Light"/>
                <w:sz w:val="16"/>
                <w:szCs w:val="16"/>
                <w:lang w:eastAsia="en-AU"/>
              </w:rPr>
              <w:t>Rural roads</w:t>
            </w:r>
          </w:p>
        </w:tc>
        <w:tc>
          <w:tcPr>
            <w:tcW w:w="660" w:type="dxa"/>
            <w:tcBorders>
              <w:top w:val="nil"/>
              <w:left w:val="nil"/>
              <w:bottom w:val="single" w:sz="4" w:space="0" w:color="ADD6EA"/>
              <w:right w:val="nil"/>
            </w:tcBorders>
            <w:shd w:val="clear" w:color="auto" w:fill="auto"/>
            <w:vAlign w:val="bottom"/>
            <w:hideMark/>
          </w:tcPr>
          <w:p w14:paraId="4FE5D4A5"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-99</w:t>
            </w:r>
          </w:p>
        </w:tc>
        <w:tc>
          <w:tcPr>
            <w:tcW w:w="660" w:type="dxa"/>
            <w:tcBorders>
              <w:top w:val="nil"/>
              <w:left w:val="nil"/>
              <w:bottom w:val="single" w:sz="4" w:space="0" w:color="ADD6EA"/>
              <w:right w:val="nil"/>
            </w:tcBorders>
            <w:shd w:val="clear" w:color="auto" w:fill="auto"/>
            <w:vAlign w:val="bottom"/>
            <w:hideMark/>
          </w:tcPr>
          <w:p w14:paraId="3F1BA199"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-281</w:t>
            </w:r>
          </w:p>
        </w:tc>
        <w:tc>
          <w:tcPr>
            <w:tcW w:w="660" w:type="dxa"/>
            <w:tcBorders>
              <w:top w:val="nil"/>
              <w:left w:val="nil"/>
              <w:bottom w:val="single" w:sz="4" w:space="0" w:color="ADD6EA"/>
              <w:right w:val="nil"/>
            </w:tcBorders>
            <w:shd w:val="clear" w:color="auto" w:fill="auto"/>
            <w:vAlign w:val="bottom"/>
            <w:hideMark/>
          </w:tcPr>
          <w:p w14:paraId="22133463"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251</w:t>
            </w:r>
          </w:p>
        </w:tc>
        <w:tc>
          <w:tcPr>
            <w:tcW w:w="660" w:type="dxa"/>
            <w:tcBorders>
              <w:top w:val="nil"/>
              <w:left w:val="nil"/>
              <w:bottom w:val="single" w:sz="4" w:space="0" w:color="ADD6EA"/>
              <w:right w:val="nil"/>
            </w:tcBorders>
            <w:shd w:val="clear" w:color="auto" w:fill="auto"/>
            <w:vAlign w:val="bottom"/>
            <w:hideMark/>
          </w:tcPr>
          <w:p w14:paraId="55CD9095"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89</w:t>
            </w:r>
          </w:p>
        </w:tc>
        <w:tc>
          <w:tcPr>
            <w:tcW w:w="660" w:type="dxa"/>
            <w:tcBorders>
              <w:top w:val="nil"/>
              <w:left w:val="nil"/>
              <w:bottom w:val="single" w:sz="4" w:space="0" w:color="ADD6EA"/>
              <w:right w:val="nil"/>
            </w:tcBorders>
            <w:shd w:val="clear" w:color="auto" w:fill="auto"/>
            <w:vAlign w:val="bottom"/>
            <w:hideMark/>
          </w:tcPr>
          <w:p w14:paraId="4A307D12"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-28</w:t>
            </w:r>
          </w:p>
        </w:tc>
        <w:tc>
          <w:tcPr>
            <w:tcW w:w="660" w:type="dxa"/>
            <w:tcBorders>
              <w:top w:val="nil"/>
              <w:left w:val="nil"/>
              <w:bottom w:val="single" w:sz="4" w:space="0" w:color="ADD6EA"/>
              <w:right w:val="nil"/>
            </w:tcBorders>
            <w:shd w:val="clear" w:color="auto" w:fill="auto"/>
            <w:vAlign w:val="bottom"/>
            <w:hideMark/>
          </w:tcPr>
          <w:p w14:paraId="413AE651"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3</w:t>
            </w:r>
          </w:p>
        </w:tc>
        <w:tc>
          <w:tcPr>
            <w:tcW w:w="660" w:type="dxa"/>
            <w:tcBorders>
              <w:top w:val="nil"/>
              <w:left w:val="nil"/>
              <w:bottom w:val="single" w:sz="4" w:space="0" w:color="ADD6EA"/>
              <w:right w:val="nil"/>
            </w:tcBorders>
            <w:shd w:val="clear" w:color="auto" w:fill="auto"/>
            <w:vAlign w:val="bottom"/>
            <w:hideMark/>
          </w:tcPr>
          <w:p w14:paraId="0BA295E8"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-5</w:t>
            </w:r>
          </w:p>
        </w:tc>
        <w:tc>
          <w:tcPr>
            <w:tcW w:w="660" w:type="dxa"/>
            <w:tcBorders>
              <w:top w:val="nil"/>
              <w:left w:val="nil"/>
              <w:bottom w:val="single" w:sz="4" w:space="0" w:color="ADD6EA"/>
              <w:right w:val="nil"/>
            </w:tcBorders>
            <w:shd w:val="clear" w:color="auto" w:fill="auto"/>
            <w:vAlign w:val="bottom"/>
            <w:hideMark/>
          </w:tcPr>
          <w:p w14:paraId="775DAF02"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70</w:t>
            </w:r>
          </w:p>
        </w:tc>
        <w:tc>
          <w:tcPr>
            <w:tcW w:w="700" w:type="dxa"/>
            <w:tcBorders>
              <w:top w:val="nil"/>
              <w:left w:val="nil"/>
              <w:bottom w:val="single" w:sz="4" w:space="0" w:color="ADD6EA"/>
              <w:right w:val="nil"/>
            </w:tcBorders>
            <w:shd w:val="clear" w:color="auto" w:fill="auto"/>
            <w:tcMar>
              <w:right w:w="28" w:type="dxa"/>
            </w:tcMar>
            <w:vAlign w:val="bottom"/>
            <w:hideMark/>
          </w:tcPr>
          <w:p w14:paraId="600FD5BD"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413</w:t>
            </w:r>
          </w:p>
        </w:tc>
      </w:tr>
      <w:tr w:rsidR="007E365E" w:rsidRPr="00D036E1" w14:paraId="04CFC0D0" w14:textId="77777777" w:rsidTr="007D1D77">
        <w:trPr>
          <w:trHeight w:val="315"/>
        </w:trPr>
        <w:tc>
          <w:tcPr>
            <w:tcW w:w="2960" w:type="dxa"/>
            <w:tcBorders>
              <w:top w:val="nil"/>
              <w:left w:val="nil"/>
              <w:bottom w:val="single" w:sz="4" w:space="0" w:color="ADD6EA"/>
              <w:right w:val="nil"/>
            </w:tcBorders>
            <w:shd w:val="clear" w:color="auto" w:fill="auto"/>
            <w:vAlign w:val="bottom"/>
            <w:hideMark/>
          </w:tcPr>
          <w:p w14:paraId="1DCAB37C" w14:textId="77777777" w:rsidR="007E365E" w:rsidRPr="00D036E1"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D036E1">
              <w:rPr>
                <w:rFonts w:eastAsia="Times New Roman" w:cs="Open Sans Light"/>
                <w:sz w:val="16"/>
                <w:szCs w:val="16"/>
                <w:lang w:eastAsia="en-AU"/>
              </w:rPr>
              <w:t>Urban transport</w:t>
            </w:r>
          </w:p>
        </w:tc>
        <w:tc>
          <w:tcPr>
            <w:tcW w:w="660" w:type="dxa"/>
            <w:tcBorders>
              <w:top w:val="nil"/>
              <w:left w:val="nil"/>
              <w:bottom w:val="single" w:sz="4" w:space="0" w:color="ADD6EA"/>
              <w:right w:val="nil"/>
            </w:tcBorders>
            <w:shd w:val="clear" w:color="auto" w:fill="auto"/>
            <w:vAlign w:val="bottom"/>
            <w:hideMark/>
          </w:tcPr>
          <w:p w14:paraId="04545991"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389</w:t>
            </w:r>
          </w:p>
        </w:tc>
        <w:tc>
          <w:tcPr>
            <w:tcW w:w="660" w:type="dxa"/>
            <w:tcBorders>
              <w:top w:val="nil"/>
              <w:left w:val="nil"/>
              <w:bottom w:val="single" w:sz="4" w:space="0" w:color="ADD6EA"/>
              <w:right w:val="nil"/>
            </w:tcBorders>
            <w:shd w:val="clear" w:color="auto" w:fill="auto"/>
            <w:vAlign w:val="bottom"/>
            <w:hideMark/>
          </w:tcPr>
          <w:p w14:paraId="32FCC806"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108</w:t>
            </w:r>
          </w:p>
        </w:tc>
        <w:tc>
          <w:tcPr>
            <w:tcW w:w="660" w:type="dxa"/>
            <w:tcBorders>
              <w:top w:val="nil"/>
              <w:left w:val="nil"/>
              <w:bottom w:val="single" w:sz="4" w:space="0" w:color="ADD6EA"/>
              <w:right w:val="nil"/>
            </w:tcBorders>
            <w:shd w:val="clear" w:color="auto" w:fill="auto"/>
            <w:vAlign w:val="bottom"/>
            <w:hideMark/>
          </w:tcPr>
          <w:p w14:paraId="2692586F"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-194</w:t>
            </w:r>
          </w:p>
        </w:tc>
        <w:tc>
          <w:tcPr>
            <w:tcW w:w="660" w:type="dxa"/>
            <w:tcBorders>
              <w:top w:val="nil"/>
              <w:left w:val="nil"/>
              <w:bottom w:val="single" w:sz="4" w:space="0" w:color="ADD6EA"/>
              <w:right w:val="nil"/>
            </w:tcBorders>
            <w:shd w:val="clear" w:color="auto" w:fill="auto"/>
            <w:vAlign w:val="bottom"/>
            <w:hideMark/>
          </w:tcPr>
          <w:p w14:paraId="57577463"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-171</w:t>
            </w:r>
          </w:p>
        </w:tc>
        <w:tc>
          <w:tcPr>
            <w:tcW w:w="660" w:type="dxa"/>
            <w:tcBorders>
              <w:top w:val="nil"/>
              <w:left w:val="nil"/>
              <w:bottom w:val="single" w:sz="4" w:space="0" w:color="ADD6EA"/>
              <w:right w:val="nil"/>
            </w:tcBorders>
            <w:shd w:val="clear" w:color="auto" w:fill="auto"/>
            <w:vAlign w:val="bottom"/>
            <w:hideMark/>
          </w:tcPr>
          <w:p w14:paraId="5118E08A"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-81</w:t>
            </w:r>
          </w:p>
        </w:tc>
        <w:tc>
          <w:tcPr>
            <w:tcW w:w="660" w:type="dxa"/>
            <w:tcBorders>
              <w:top w:val="nil"/>
              <w:left w:val="nil"/>
              <w:bottom w:val="single" w:sz="4" w:space="0" w:color="ADD6EA"/>
              <w:right w:val="nil"/>
            </w:tcBorders>
            <w:shd w:val="clear" w:color="auto" w:fill="auto"/>
            <w:vAlign w:val="bottom"/>
            <w:hideMark/>
          </w:tcPr>
          <w:p w14:paraId="426B0186"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-29</w:t>
            </w:r>
          </w:p>
        </w:tc>
        <w:tc>
          <w:tcPr>
            <w:tcW w:w="660" w:type="dxa"/>
            <w:tcBorders>
              <w:top w:val="nil"/>
              <w:left w:val="nil"/>
              <w:bottom w:val="single" w:sz="4" w:space="0" w:color="ADD6EA"/>
              <w:right w:val="nil"/>
            </w:tcBorders>
            <w:shd w:val="clear" w:color="auto" w:fill="auto"/>
            <w:vAlign w:val="bottom"/>
            <w:hideMark/>
          </w:tcPr>
          <w:p w14:paraId="1E264108"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-9</w:t>
            </w:r>
          </w:p>
        </w:tc>
        <w:tc>
          <w:tcPr>
            <w:tcW w:w="660" w:type="dxa"/>
            <w:tcBorders>
              <w:top w:val="nil"/>
              <w:left w:val="nil"/>
              <w:bottom w:val="single" w:sz="4" w:space="0" w:color="ADD6EA"/>
              <w:right w:val="nil"/>
            </w:tcBorders>
            <w:shd w:val="clear" w:color="auto" w:fill="auto"/>
            <w:vAlign w:val="bottom"/>
            <w:hideMark/>
          </w:tcPr>
          <w:p w14:paraId="3C999118"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-13</w:t>
            </w:r>
          </w:p>
        </w:tc>
        <w:tc>
          <w:tcPr>
            <w:tcW w:w="700" w:type="dxa"/>
            <w:tcBorders>
              <w:top w:val="nil"/>
              <w:left w:val="nil"/>
              <w:bottom w:val="single" w:sz="4" w:space="0" w:color="ADD6EA"/>
              <w:right w:val="nil"/>
            </w:tcBorders>
            <w:shd w:val="clear" w:color="auto" w:fill="auto"/>
            <w:tcMar>
              <w:right w:w="28" w:type="dxa"/>
            </w:tcMar>
            <w:vAlign w:val="bottom"/>
            <w:hideMark/>
          </w:tcPr>
          <w:p w14:paraId="6A60209B"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497</w:t>
            </w:r>
          </w:p>
        </w:tc>
      </w:tr>
      <w:tr w:rsidR="007E365E" w:rsidRPr="00D036E1" w14:paraId="554D3D76" w14:textId="77777777" w:rsidTr="007D1D77">
        <w:trPr>
          <w:trHeight w:val="315"/>
        </w:trPr>
        <w:tc>
          <w:tcPr>
            <w:tcW w:w="2960" w:type="dxa"/>
            <w:tcBorders>
              <w:top w:val="nil"/>
              <w:left w:val="nil"/>
              <w:bottom w:val="single" w:sz="4" w:space="0" w:color="ADD6EA"/>
              <w:right w:val="nil"/>
            </w:tcBorders>
            <w:shd w:val="clear" w:color="auto" w:fill="auto"/>
            <w:vAlign w:val="bottom"/>
            <w:hideMark/>
          </w:tcPr>
          <w:p w14:paraId="3124B19F" w14:textId="77777777" w:rsidR="007E365E" w:rsidRPr="00D036E1" w:rsidRDefault="007E365E" w:rsidP="007D1D77">
            <w:pPr>
              <w:tabs>
                <w:tab w:val="clear" w:pos="567"/>
              </w:tabs>
              <w:spacing w:before="0" w:line="240" w:lineRule="auto"/>
              <w:ind w:firstLineChars="100" w:firstLine="160"/>
              <w:rPr>
                <w:rFonts w:eastAsia="Times New Roman" w:cs="Open Sans Light"/>
                <w:sz w:val="16"/>
                <w:szCs w:val="16"/>
                <w:lang w:eastAsia="en-AU"/>
              </w:rPr>
            </w:pPr>
            <w:r w:rsidRPr="00D036E1">
              <w:rPr>
                <w:rFonts w:eastAsia="Times New Roman" w:cs="Open Sans Light"/>
                <w:sz w:val="16"/>
                <w:szCs w:val="16"/>
                <w:lang w:eastAsia="en-AU"/>
              </w:rPr>
              <w:t>All other component changes</w:t>
            </w:r>
          </w:p>
        </w:tc>
        <w:tc>
          <w:tcPr>
            <w:tcW w:w="660" w:type="dxa"/>
            <w:tcBorders>
              <w:top w:val="nil"/>
              <w:left w:val="nil"/>
              <w:bottom w:val="single" w:sz="4" w:space="0" w:color="ADD6EA"/>
              <w:right w:val="nil"/>
            </w:tcBorders>
            <w:shd w:val="clear" w:color="auto" w:fill="auto"/>
            <w:vAlign w:val="bottom"/>
            <w:hideMark/>
          </w:tcPr>
          <w:p w14:paraId="67BEF43B"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-23</w:t>
            </w:r>
          </w:p>
        </w:tc>
        <w:tc>
          <w:tcPr>
            <w:tcW w:w="660" w:type="dxa"/>
            <w:tcBorders>
              <w:top w:val="nil"/>
              <w:left w:val="nil"/>
              <w:bottom w:val="single" w:sz="4" w:space="0" w:color="ADD6EA"/>
              <w:right w:val="nil"/>
            </w:tcBorders>
            <w:shd w:val="clear" w:color="auto" w:fill="auto"/>
            <w:vAlign w:val="bottom"/>
            <w:hideMark/>
          </w:tcPr>
          <w:p w14:paraId="23AC629D"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-50</w:t>
            </w:r>
          </w:p>
        </w:tc>
        <w:tc>
          <w:tcPr>
            <w:tcW w:w="660" w:type="dxa"/>
            <w:tcBorders>
              <w:top w:val="nil"/>
              <w:left w:val="nil"/>
              <w:bottom w:val="single" w:sz="4" w:space="0" w:color="ADD6EA"/>
              <w:right w:val="nil"/>
            </w:tcBorders>
            <w:shd w:val="clear" w:color="auto" w:fill="auto"/>
            <w:vAlign w:val="bottom"/>
            <w:hideMark/>
          </w:tcPr>
          <w:p w14:paraId="274FD915"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22</w:t>
            </w:r>
          </w:p>
        </w:tc>
        <w:tc>
          <w:tcPr>
            <w:tcW w:w="660" w:type="dxa"/>
            <w:tcBorders>
              <w:top w:val="nil"/>
              <w:left w:val="nil"/>
              <w:bottom w:val="single" w:sz="4" w:space="0" w:color="ADD6EA"/>
              <w:right w:val="nil"/>
            </w:tcBorders>
            <w:shd w:val="clear" w:color="auto" w:fill="auto"/>
            <w:vAlign w:val="bottom"/>
            <w:hideMark/>
          </w:tcPr>
          <w:p w14:paraId="3D47CF60"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47</w:t>
            </w:r>
          </w:p>
        </w:tc>
        <w:tc>
          <w:tcPr>
            <w:tcW w:w="660" w:type="dxa"/>
            <w:tcBorders>
              <w:top w:val="nil"/>
              <w:left w:val="nil"/>
              <w:bottom w:val="single" w:sz="4" w:space="0" w:color="ADD6EA"/>
              <w:right w:val="nil"/>
            </w:tcBorders>
            <w:shd w:val="clear" w:color="auto" w:fill="auto"/>
            <w:vAlign w:val="bottom"/>
            <w:hideMark/>
          </w:tcPr>
          <w:p w14:paraId="06EB5A10"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-8</w:t>
            </w:r>
          </w:p>
        </w:tc>
        <w:tc>
          <w:tcPr>
            <w:tcW w:w="660" w:type="dxa"/>
            <w:tcBorders>
              <w:top w:val="nil"/>
              <w:left w:val="nil"/>
              <w:bottom w:val="single" w:sz="4" w:space="0" w:color="ADD6EA"/>
              <w:right w:val="nil"/>
            </w:tcBorders>
            <w:shd w:val="clear" w:color="auto" w:fill="auto"/>
            <w:vAlign w:val="bottom"/>
            <w:hideMark/>
          </w:tcPr>
          <w:p w14:paraId="0DEAD688"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0</w:t>
            </w:r>
          </w:p>
        </w:tc>
        <w:tc>
          <w:tcPr>
            <w:tcW w:w="660" w:type="dxa"/>
            <w:tcBorders>
              <w:top w:val="nil"/>
              <w:left w:val="nil"/>
              <w:bottom w:val="single" w:sz="4" w:space="0" w:color="ADD6EA"/>
              <w:right w:val="nil"/>
            </w:tcBorders>
            <w:shd w:val="clear" w:color="auto" w:fill="auto"/>
            <w:vAlign w:val="bottom"/>
            <w:hideMark/>
          </w:tcPr>
          <w:p w14:paraId="0534D429"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w:t>
            </w:r>
          </w:p>
        </w:tc>
        <w:tc>
          <w:tcPr>
            <w:tcW w:w="660" w:type="dxa"/>
            <w:tcBorders>
              <w:top w:val="nil"/>
              <w:left w:val="nil"/>
              <w:bottom w:val="single" w:sz="4" w:space="0" w:color="ADD6EA"/>
              <w:right w:val="nil"/>
            </w:tcBorders>
            <w:shd w:val="clear" w:color="auto" w:fill="auto"/>
            <w:vAlign w:val="bottom"/>
            <w:hideMark/>
          </w:tcPr>
          <w:p w14:paraId="56BBD793"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11</w:t>
            </w:r>
          </w:p>
        </w:tc>
        <w:tc>
          <w:tcPr>
            <w:tcW w:w="700" w:type="dxa"/>
            <w:tcBorders>
              <w:top w:val="nil"/>
              <w:left w:val="nil"/>
              <w:bottom w:val="single" w:sz="4" w:space="0" w:color="ADD6EA"/>
              <w:right w:val="nil"/>
            </w:tcBorders>
            <w:shd w:val="clear" w:color="auto" w:fill="auto"/>
            <w:tcMar>
              <w:right w:w="28" w:type="dxa"/>
            </w:tcMar>
            <w:vAlign w:val="bottom"/>
            <w:hideMark/>
          </w:tcPr>
          <w:p w14:paraId="7F4A0275" w14:textId="77777777" w:rsidR="007E365E" w:rsidRPr="00D036E1" w:rsidRDefault="007E365E" w:rsidP="007D1D77">
            <w:pPr>
              <w:tabs>
                <w:tab w:val="clear" w:pos="567"/>
              </w:tabs>
              <w:spacing w:before="0" w:line="240" w:lineRule="auto"/>
              <w:jc w:val="right"/>
              <w:rPr>
                <w:rFonts w:eastAsia="Times New Roman" w:cs="Open Sans Light"/>
                <w:sz w:val="16"/>
                <w:szCs w:val="16"/>
                <w:lang w:eastAsia="en-AU"/>
              </w:rPr>
            </w:pPr>
            <w:r w:rsidRPr="00D036E1">
              <w:rPr>
                <w:rFonts w:eastAsia="Times New Roman" w:cs="Open Sans Light"/>
                <w:sz w:val="16"/>
                <w:szCs w:val="16"/>
                <w:lang w:eastAsia="en-AU"/>
              </w:rPr>
              <w:t>81</w:t>
            </w:r>
          </w:p>
        </w:tc>
      </w:tr>
      <w:tr w:rsidR="007E365E" w:rsidRPr="00D036E1" w14:paraId="0D51CAAF" w14:textId="77777777" w:rsidTr="007D1D77">
        <w:trPr>
          <w:trHeight w:val="315"/>
        </w:trPr>
        <w:tc>
          <w:tcPr>
            <w:tcW w:w="2960" w:type="dxa"/>
            <w:tcBorders>
              <w:top w:val="nil"/>
              <w:left w:val="nil"/>
              <w:bottom w:val="single" w:sz="4" w:space="0" w:color="ADD6EA"/>
              <w:right w:val="nil"/>
            </w:tcBorders>
            <w:shd w:val="clear" w:color="000000" w:fill="D6E7F0"/>
            <w:vAlign w:val="bottom"/>
            <w:hideMark/>
          </w:tcPr>
          <w:p w14:paraId="0F3BB48F" w14:textId="77777777" w:rsidR="007E365E" w:rsidRPr="00D036E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Total method change</w:t>
            </w:r>
          </w:p>
        </w:tc>
        <w:tc>
          <w:tcPr>
            <w:tcW w:w="660" w:type="dxa"/>
            <w:tcBorders>
              <w:top w:val="nil"/>
              <w:left w:val="nil"/>
              <w:bottom w:val="single" w:sz="4" w:space="0" w:color="ADD6EA"/>
              <w:right w:val="nil"/>
            </w:tcBorders>
            <w:shd w:val="clear" w:color="000000" w:fill="D6E7F0"/>
            <w:vAlign w:val="bottom"/>
            <w:hideMark/>
          </w:tcPr>
          <w:p w14:paraId="008A7984"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73</w:t>
            </w:r>
          </w:p>
        </w:tc>
        <w:tc>
          <w:tcPr>
            <w:tcW w:w="660" w:type="dxa"/>
            <w:tcBorders>
              <w:top w:val="nil"/>
              <w:left w:val="nil"/>
              <w:bottom w:val="single" w:sz="4" w:space="0" w:color="ADD6EA"/>
              <w:right w:val="nil"/>
            </w:tcBorders>
            <w:shd w:val="clear" w:color="000000" w:fill="D6E7F0"/>
            <w:vAlign w:val="bottom"/>
            <w:hideMark/>
          </w:tcPr>
          <w:p w14:paraId="5B646CD5"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-485</w:t>
            </w:r>
          </w:p>
        </w:tc>
        <w:tc>
          <w:tcPr>
            <w:tcW w:w="660" w:type="dxa"/>
            <w:tcBorders>
              <w:top w:val="nil"/>
              <w:left w:val="nil"/>
              <w:bottom w:val="single" w:sz="4" w:space="0" w:color="ADD6EA"/>
              <w:right w:val="nil"/>
            </w:tcBorders>
            <w:shd w:val="clear" w:color="000000" w:fill="D6E7F0"/>
            <w:vAlign w:val="bottom"/>
            <w:hideMark/>
          </w:tcPr>
          <w:p w14:paraId="36B003D8"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287</w:t>
            </w:r>
          </w:p>
        </w:tc>
        <w:tc>
          <w:tcPr>
            <w:tcW w:w="660" w:type="dxa"/>
            <w:tcBorders>
              <w:top w:val="nil"/>
              <w:left w:val="nil"/>
              <w:bottom w:val="single" w:sz="4" w:space="0" w:color="ADD6EA"/>
              <w:right w:val="nil"/>
            </w:tcBorders>
            <w:shd w:val="clear" w:color="000000" w:fill="D6E7F0"/>
            <w:vAlign w:val="bottom"/>
            <w:hideMark/>
          </w:tcPr>
          <w:p w14:paraId="199039F5"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54</w:t>
            </w:r>
          </w:p>
        </w:tc>
        <w:tc>
          <w:tcPr>
            <w:tcW w:w="660" w:type="dxa"/>
            <w:tcBorders>
              <w:top w:val="nil"/>
              <w:left w:val="nil"/>
              <w:bottom w:val="single" w:sz="4" w:space="0" w:color="ADD6EA"/>
              <w:right w:val="nil"/>
            </w:tcBorders>
            <w:shd w:val="clear" w:color="000000" w:fill="D6E7F0"/>
            <w:vAlign w:val="bottom"/>
            <w:hideMark/>
          </w:tcPr>
          <w:p w14:paraId="4D0C203A"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-70</w:t>
            </w:r>
          </w:p>
        </w:tc>
        <w:tc>
          <w:tcPr>
            <w:tcW w:w="660" w:type="dxa"/>
            <w:tcBorders>
              <w:top w:val="nil"/>
              <w:left w:val="nil"/>
              <w:bottom w:val="single" w:sz="4" w:space="0" w:color="ADD6EA"/>
              <w:right w:val="nil"/>
            </w:tcBorders>
            <w:shd w:val="clear" w:color="000000" w:fill="D6E7F0"/>
            <w:vAlign w:val="bottom"/>
            <w:hideMark/>
          </w:tcPr>
          <w:p w14:paraId="653D420F"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-6</w:t>
            </w:r>
          </w:p>
        </w:tc>
        <w:tc>
          <w:tcPr>
            <w:tcW w:w="660" w:type="dxa"/>
            <w:tcBorders>
              <w:top w:val="nil"/>
              <w:left w:val="nil"/>
              <w:bottom w:val="single" w:sz="4" w:space="0" w:color="ADD6EA"/>
              <w:right w:val="nil"/>
            </w:tcBorders>
            <w:shd w:val="clear" w:color="000000" w:fill="D6E7F0"/>
            <w:vAlign w:val="bottom"/>
            <w:hideMark/>
          </w:tcPr>
          <w:p w14:paraId="7A1C365A"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-30</w:t>
            </w:r>
          </w:p>
        </w:tc>
        <w:tc>
          <w:tcPr>
            <w:tcW w:w="660" w:type="dxa"/>
            <w:tcBorders>
              <w:top w:val="nil"/>
              <w:left w:val="nil"/>
              <w:bottom w:val="single" w:sz="4" w:space="0" w:color="ADD6EA"/>
              <w:right w:val="nil"/>
            </w:tcBorders>
            <w:shd w:val="clear" w:color="000000" w:fill="D6E7F0"/>
            <w:vAlign w:val="bottom"/>
            <w:hideMark/>
          </w:tcPr>
          <w:p w14:paraId="275E1308"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176</w:t>
            </w:r>
          </w:p>
        </w:tc>
        <w:tc>
          <w:tcPr>
            <w:tcW w:w="700" w:type="dxa"/>
            <w:tcBorders>
              <w:top w:val="nil"/>
              <w:left w:val="nil"/>
              <w:bottom w:val="single" w:sz="4" w:space="0" w:color="ADD6EA"/>
              <w:right w:val="nil"/>
            </w:tcBorders>
            <w:shd w:val="clear" w:color="000000" w:fill="D6E7F0"/>
            <w:tcMar>
              <w:right w:w="28" w:type="dxa"/>
            </w:tcMar>
            <w:vAlign w:val="bottom"/>
            <w:hideMark/>
          </w:tcPr>
          <w:p w14:paraId="5F0CE8F4" w14:textId="77777777" w:rsidR="007E365E" w:rsidRPr="00D036E1"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D036E1">
              <w:rPr>
                <w:rFonts w:ascii="Open Sans SemiBold" w:eastAsia="Times New Roman" w:hAnsi="Open Sans SemiBold" w:cs="Open Sans SemiBold"/>
                <w:sz w:val="16"/>
                <w:szCs w:val="16"/>
                <w:lang w:eastAsia="en-AU"/>
              </w:rPr>
              <w:t>591</w:t>
            </w:r>
          </w:p>
        </w:tc>
      </w:tr>
    </w:tbl>
    <w:p w14:paraId="15D96096" w14:textId="77777777" w:rsidR="007E365E" w:rsidRDefault="007E365E" w:rsidP="007E365E">
      <w:pPr>
        <w:pStyle w:val="CGCTablenote"/>
      </w:pPr>
      <w:r>
        <w:t>(a)</w:t>
      </w:r>
      <w:r>
        <w:tab/>
        <w:t>Includes changes to stock and cost factors.</w:t>
      </w:r>
    </w:p>
    <w:p w14:paraId="4F5B1922" w14:textId="77777777" w:rsidR="007E365E" w:rsidRPr="000F09E5" w:rsidRDefault="007E365E" w:rsidP="007E365E">
      <w:pPr>
        <w:pStyle w:val="CGCTablenote"/>
      </w:pPr>
      <w:r w:rsidRPr="000F09E5">
        <w:t>Source:</w:t>
      </w:r>
      <w:r w:rsidRPr="000F09E5">
        <w:tab/>
        <w:t>Commission calculation</w:t>
      </w:r>
    </w:p>
    <w:p w14:paraId="74E0017E" w14:textId="77777777" w:rsidR="007E365E" w:rsidRPr="00785668" w:rsidRDefault="007E365E" w:rsidP="007E365E">
      <w:pPr>
        <w:pStyle w:val="Heading3"/>
      </w:pPr>
      <w:bookmarkStart w:id="448" w:name="_Toc24569272"/>
      <w:bookmarkStart w:id="449" w:name="_Toc24468525"/>
      <w:r w:rsidRPr="00785668">
        <w:t>Updating the assessment</w:t>
      </w:r>
      <w:bookmarkEnd w:id="448"/>
      <w:bookmarkEnd w:id="449"/>
    </w:p>
    <w:p w14:paraId="50A63E4D" w14:textId="77777777" w:rsidR="007E365E" w:rsidRPr="00785668" w:rsidRDefault="007E365E" w:rsidP="007E365E">
      <w:pPr>
        <w:pStyle w:val="CGCParaNumber"/>
      </w:pPr>
      <w:r w:rsidRPr="00785668">
        <w:t xml:space="preserve">As required by the terms of reference, the Commission will incorporate the latest available data in the assessment during the annual updates. This will allow the assessment to reflect changes in State circumstances. </w:t>
      </w:r>
    </w:p>
    <w:p w14:paraId="14B0EFCF" w14:textId="77777777" w:rsidR="007E365E" w:rsidRPr="00785668" w:rsidRDefault="007E365E" w:rsidP="007E365E">
      <w:pPr>
        <w:pStyle w:val="CGCBullet1"/>
      </w:pPr>
      <w:r w:rsidRPr="00785668">
        <w:t>The following data will be updated annually:</w:t>
      </w:r>
    </w:p>
    <w:p w14:paraId="62EC97E3" w14:textId="77777777" w:rsidR="007E365E" w:rsidRPr="00785668" w:rsidRDefault="007E365E" w:rsidP="007E365E">
      <w:pPr>
        <w:pStyle w:val="CGCBullet2"/>
        <w:numPr>
          <w:ilvl w:val="0"/>
          <w:numId w:val="3"/>
        </w:numPr>
        <w:ind w:left="1208" w:hanging="357"/>
      </w:pPr>
      <w:r w:rsidRPr="00785668">
        <w:t>population and State circumstance data to the extent similar data in the recurrent assessments can be updated</w:t>
      </w:r>
    </w:p>
    <w:p w14:paraId="298BC871" w14:textId="77777777" w:rsidR="007E365E" w:rsidRPr="00785668" w:rsidRDefault="007E365E" w:rsidP="007E365E">
      <w:pPr>
        <w:pStyle w:val="CGCBullet2"/>
        <w:numPr>
          <w:ilvl w:val="0"/>
          <w:numId w:val="3"/>
        </w:numPr>
        <w:ind w:left="1208" w:hanging="357"/>
      </w:pPr>
      <w:r w:rsidRPr="00785668">
        <w:t>investment and stocks of assets</w:t>
      </w:r>
    </w:p>
    <w:p w14:paraId="72955CE2" w14:textId="77777777" w:rsidR="007E365E" w:rsidRPr="00164EDB" w:rsidRDefault="007E365E" w:rsidP="007E365E">
      <w:pPr>
        <w:pStyle w:val="CGCBullet2"/>
        <w:numPr>
          <w:ilvl w:val="0"/>
          <w:numId w:val="3"/>
        </w:numPr>
        <w:ind w:left="1208" w:hanging="357"/>
      </w:pPr>
      <w:r w:rsidRPr="00785668">
        <w:t>Rawlinsons’ capital city and regional cost indices.</w:t>
      </w:r>
    </w:p>
    <w:p w14:paraId="67192F07" w14:textId="77777777" w:rsidR="007E365E" w:rsidRDefault="007E365E" w:rsidP="007E365E">
      <w:pPr>
        <w:sectPr w:rsidR="007E365E" w:rsidSect="00917501">
          <w:footerReference w:type="default" r:id="rId48"/>
          <w:footnotePr>
            <w:numRestart w:val="eachSect"/>
          </w:footnotePr>
          <w:pgSz w:w="11899" w:h="16838" w:code="9"/>
          <w:pgMar w:top="1418" w:right="1474" w:bottom="1418" w:left="1474" w:header="709" w:footer="567" w:gutter="0"/>
          <w:cols w:space="708"/>
          <w:titlePg/>
          <w:docGrid w:linePitch="299"/>
        </w:sectPr>
      </w:pPr>
    </w:p>
    <w:p w14:paraId="4C2E1328" w14:textId="77777777" w:rsidR="007E365E" w:rsidRPr="000C4987" w:rsidRDefault="007E365E" w:rsidP="007E365E">
      <w:pPr>
        <w:pStyle w:val="Heading1"/>
      </w:pPr>
      <w:bookmarkStart w:id="450" w:name="_Toc32922489"/>
      <w:r>
        <w:lastRenderedPageBreak/>
        <w:t>25</w:t>
      </w:r>
      <w:r>
        <w:tab/>
        <w:t>Net borrowing</w:t>
      </w:r>
      <w:bookmarkEnd w:id="45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7E365E" w:rsidRPr="000C4987" w14:paraId="5315B48C" w14:textId="77777777" w:rsidTr="007D1D77">
        <w:tc>
          <w:tcPr>
            <w:tcW w:w="8951" w:type="dxa"/>
            <w:shd w:val="clear" w:color="auto" w:fill="EBF3F5"/>
          </w:tcPr>
          <w:p w14:paraId="1EA1C9CA" w14:textId="77777777" w:rsidR="007E365E" w:rsidRPr="00CE6810" w:rsidRDefault="007E365E" w:rsidP="007D1D77">
            <w:pPr>
              <w:pStyle w:val="Heading4"/>
              <w:outlineLvl w:val="3"/>
            </w:pPr>
            <w:r w:rsidRPr="00CE6810">
              <w:t>Summary of the assessment</w:t>
            </w:r>
          </w:p>
          <w:p w14:paraId="3FC6FF35" w14:textId="77777777" w:rsidR="007E365E" w:rsidRPr="00CE6810" w:rsidRDefault="007E365E" w:rsidP="007D1D77">
            <w:r w:rsidRPr="00CE6810">
              <w:t>Net borrowing reflects the extent to which the States’ total outlays on service delivery and investment in infrastructure exceed their total revenue.</w:t>
            </w:r>
          </w:p>
          <w:p w14:paraId="50397044" w14:textId="77777777" w:rsidR="007E365E" w:rsidRPr="00CE6810" w:rsidRDefault="007E365E" w:rsidP="007D1D77">
            <w:r w:rsidRPr="00CE6810">
              <w:t>The Commission assesses how much each State would need to borrow if it were to finish a year with the average per capita net financial worth, assuming it began the year with the average value at that time.</w:t>
            </w:r>
          </w:p>
          <w:p w14:paraId="4694BCA4" w14:textId="77777777" w:rsidR="007E365E" w:rsidRPr="00CE6810" w:rsidRDefault="007E365E" w:rsidP="007D1D77">
            <w:pPr>
              <w:spacing w:after="120"/>
            </w:pPr>
            <w:r w:rsidRPr="00CE6810">
              <w:t>Interstate differences in population growth rates are the only driver of differences in net borrowing recognised in this assessment. When net financial worth is negative, as is currently the case, the Commission assesses States with above average population growth as having a greater than average capacity to borrow.</w:t>
            </w:r>
          </w:p>
        </w:tc>
      </w:tr>
    </w:tbl>
    <w:p w14:paraId="02BC37F4" w14:textId="77777777" w:rsidR="007E365E" w:rsidRDefault="007E365E" w:rsidP="007E365E">
      <w:pPr>
        <w:pStyle w:val="Heading3"/>
      </w:pPr>
      <w:r w:rsidRPr="000C4987">
        <w:t>Service overview</w:t>
      </w:r>
    </w:p>
    <w:p w14:paraId="09BB3DFF" w14:textId="77777777" w:rsidR="007E365E" w:rsidRPr="00F46B46" w:rsidRDefault="007E365E" w:rsidP="0001330F">
      <w:pPr>
        <w:pStyle w:val="CGCParaNumber"/>
        <w:numPr>
          <w:ilvl w:val="0"/>
          <w:numId w:val="63"/>
        </w:numPr>
        <w:ind w:left="567" w:hanging="567"/>
      </w:pPr>
      <w:r w:rsidRPr="00F46B46">
        <w:t>Net borrowing is the amount by which the total outlays</w:t>
      </w:r>
      <w:r w:rsidRPr="00F46B46">
        <w:rPr>
          <w:rStyle w:val="FootnoteReference"/>
        </w:rPr>
        <w:footnoteReference w:id="102"/>
      </w:r>
      <w:r w:rsidRPr="00F46B46">
        <w:t xml:space="preserve"> of the State general government sector exceed its total revenue. </w:t>
      </w:r>
      <w:r>
        <w:t>For the purposes of the Commission’s assessments, i</w:t>
      </w:r>
      <w:r w:rsidRPr="00F46B46">
        <w:t xml:space="preserve">t includes the net borrowing of State housing and </w:t>
      </w:r>
      <w:r>
        <w:t>public</w:t>
      </w:r>
      <w:r w:rsidRPr="00F46B46">
        <w:t xml:space="preserve"> transport public non-financial corporations</w:t>
      </w:r>
      <w:r>
        <w:t xml:space="preserve"> (PNFCs)</w:t>
      </w:r>
      <w:r w:rsidRPr="00F46B46">
        <w:t xml:space="preserve"> because </w:t>
      </w:r>
      <w:r>
        <w:t>the Commission</w:t>
      </w:r>
      <w:r w:rsidRPr="00F46B46">
        <w:t xml:space="preserve"> </w:t>
      </w:r>
      <w:r>
        <w:t>t</w:t>
      </w:r>
      <w:r w:rsidRPr="00F46B46">
        <w:t>reat</w:t>
      </w:r>
      <w:r>
        <w:t>s</w:t>
      </w:r>
      <w:r w:rsidRPr="00F46B46">
        <w:t xml:space="preserve"> their services as general government activities. When a State’s total outlays exceed its total revenue, it must borrow or liquidate financial assets, thereby reducing its net financial worth. Conversely, when its total revenue exceeds total outlays, it saves and increases its net financial worth. </w:t>
      </w:r>
    </w:p>
    <w:p w14:paraId="6F461583" w14:textId="77777777" w:rsidR="007E365E" w:rsidRPr="00953592" w:rsidRDefault="007E365E" w:rsidP="007E365E">
      <w:pPr>
        <w:pStyle w:val="CGCParaNumber"/>
      </w:pPr>
      <w:r w:rsidRPr="00F46B46">
        <w:t>Net financial</w:t>
      </w:r>
      <w:r>
        <w:t xml:space="preserve"> assets</w:t>
      </w:r>
      <w:r w:rsidRPr="00F46B46">
        <w:t xml:space="preserve"> consist of cash, deposits and equity in public corporations less liabilities. Treating the services provided by State housing and urban transport corporations as general government activities does not change State net worth (the total of State infrastructure, land and net financial </w:t>
      </w:r>
      <w:r>
        <w:t>assets</w:t>
      </w:r>
      <w:r w:rsidRPr="00F46B46">
        <w:t>). However, it changes its composition. The value of infrastructure and land held by State housing and urban transport corporations is</w:t>
      </w:r>
      <w:r>
        <w:t xml:space="preserve"> regarded as </w:t>
      </w:r>
      <w:r w:rsidRPr="00F46B46">
        <w:t xml:space="preserve">State infrastructure and land holdings </w:t>
      </w:r>
      <w:r>
        <w:t xml:space="preserve">rather than </w:t>
      </w:r>
      <w:r w:rsidRPr="00F46B46">
        <w:t xml:space="preserve">net </w:t>
      </w:r>
      <w:r w:rsidRPr="00953592">
        <w:t xml:space="preserve">financial assets. </w:t>
      </w:r>
    </w:p>
    <w:p w14:paraId="6EB4240F" w14:textId="42669F80" w:rsidR="007E365E" w:rsidRDefault="007E365E" w:rsidP="007E365E">
      <w:pPr>
        <w:pStyle w:val="CGCParaNumber"/>
      </w:pPr>
      <w:r>
        <w:fldChar w:fldCharType="begin"/>
      </w:r>
      <w:r>
        <w:instrText xml:space="preserve"> REF _Ref31790731 \h </w:instrText>
      </w:r>
      <w:r>
        <w:fldChar w:fldCharType="separate"/>
      </w:r>
      <w:r w:rsidR="007F721A">
        <w:t>Table 25-</w:t>
      </w:r>
      <w:r w:rsidR="007F721A">
        <w:rPr>
          <w:noProof/>
        </w:rPr>
        <w:t>1</w:t>
      </w:r>
      <w:r>
        <w:fldChar w:fldCharType="end"/>
      </w:r>
      <w:r w:rsidRPr="00953592">
        <w:t xml:space="preserve"> shows net borrowing amounted to $</w:t>
      </w:r>
      <w:r>
        <w:t>19.3</w:t>
      </w:r>
      <w:r w:rsidRPr="00953592">
        <w:t xml:space="preserve"> billion and net financial assets were </w:t>
      </w:r>
      <w:r>
        <w:noBreakHyphen/>
        <w:t>$156 </w:t>
      </w:r>
      <w:r w:rsidRPr="00953592">
        <w:t>billion in 201</w:t>
      </w:r>
      <w:r>
        <w:t>8-19</w:t>
      </w:r>
      <w:r w:rsidRPr="00953592">
        <w:t xml:space="preserve">. For all States, liabilities exceeded financial assets, resulting in negative net financial assets in all States in </w:t>
      </w:r>
      <w:r>
        <w:t>2018-19</w:t>
      </w:r>
      <w:r w:rsidRPr="00953592">
        <w:t>.</w:t>
      </w:r>
    </w:p>
    <w:p w14:paraId="0FD85082" w14:textId="77534BE2" w:rsidR="007E365E" w:rsidRDefault="007E365E" w:rsidP="007E365E">
      <w:pPr>
        <w:pStyle w:val="CGCParaNumber"/>
      </w:pPr>
      <w:r w:rsidRPr="009902EA">
        <w:fldChar w:fldCharType="begin"/>
      </w:r>
      <w:r w:rsidRPr="009902EA">
        <w:instrText xml:space="preserve"> REF _Ref5094405 \h  \* MERGEFORMAT </w:instrText>
      </w:r>
      <w:r w:rsidRPr="009902EA">
        <w:fldChar w:fldCharType="separate"/>
      </w:r>
      <w:r w:rsidR="007F721A" w:rsidRPr="00CE6810">
        <w:t xml:space="preserve">Table </w:t>
      </w:r>
      <w:r w:rsidR="007F721A">
        <w:rPr>
          <w:noProof/>
        </w:rPr>
        <w:t>25-2</w:t>
      </w:r>
      <w:r w:rsidRPr="009902EA">
        <w:fldChar w:fldCharType="end"/>
      </w:r>
      <w:r w:rsidRPr="009902EA">
        <w:t xml:space="preserve"> shows net borrowing </w:t>
      </w:r>
      <w:r w:rsidRPr="008B6572">
        <w:t>increased in</w:t>
      </w:r>
      <w:r w:rsidRPr="009902EA">
        <w:t xml:space="preserve"> each year from 201</w:t>
      </w:r>
      <w:r>
        <w:t>6-17</w:t>
      </w:r>
      <w:r w:rsidRPr="009902EA">
        <w:t xml:space="preserve"> to 201</w:t>
      </w:r>
      <w:r>
        <w:t>8</w:t>
      </w:r>
      <w:r w:rsidRPr="009902EA">
        <w:t>-1</w:t>
      </w:r>
      <w:r>
        <w:t>9</w:t>
      </w:r>
      <w:r w:rsidRPr="009902EA">
        <w:t>. States, in total, held negative net financial assets during this period</w:t>
      </w:r>
      <w:r>
        <w:t>, although Western </w:t>
      </w:r>
      <w:r w:rsidRPr="009902EA">
        <w:t xml:space="preserve">Australia’s financial assets exceeded its liabilities until </w:t>
      </w:r>
      <w:r>
        <w:t>2016-17</w:t>
      </w:r>
      <w:r w:rsidRPr="009902EA">
        <w:t xml:space="preserve">. </w:t>
      </w:r>
    </w:p>
    <w:p w14:paraId="789544D8" w14:textId="77777777" w:rsidR="007E365E" w:rsidRDefault="007E365E" w:rsidP="007E365E">
      <w:pPr>
        <w:pStyle w:val="CGCParaNumber"/>
      </w:pPr>
      <w:r>
        <w:t xml:space="preserve">Net financial assets can change due to revaluations, hence net borrowing is not necessarily the difference between </w:t>
      </w:r>
      <w:r w:rsidRPr="00CE6810">
        <w:t>net financial assets in two successive years. At 30 June 201</w:t>
      </w:r>
      <w:r>
        <w:t>8</w:t>
      </w:r>
      <w:r w:rsidRPr="00CE6810">
        <w:t>, States had $</w:t>
      </w:r>
      <w:r>
        <w:t>90</w:t>
      </w:r>
      <w:r w:rsidRPr="00CE6810">
        <w:t xml:space="preserve"> billion in net debt; 12 months later, this debt had increased to $</w:t>
      </w:r>
      <w:r>
        <w:t>156</w:t>
      </w:r>
      <w:r w:rsidRPr="00CE6810">
        <w:t xml:space="preserve"> billion. </w:t>
      </w:r>
      <w:r w:rsidRPr="00797034">
        <w:t>Net borrowing only represented $19 billion of this $66 billion increase, the remainder is attributable to the revaluations of net financial assets</w:t>
      </w:r>
      <w:r w:rsidRPr="00CE6810">
        <w:t xml:space="preserve">. Across the assessment period, States have had large positive and negative revaluations. </w:t>
      </w:r>
    </w:p>
    <w:p w14:paraId="117F0676" w14:textId="39074D3B" w:rsidR="007E365E" w:rsidRDefault="007E365E" w:rsidP="007E365E">
      <w:pPr>
        <w:pStyle w:val="Caption"/>
      </w:pPr>
      <w:bookmarkStart w:id="451" w:name="_Ref31790731"/>
      <w:r>
        <w:lastRenderedPageBreak/>
        <w:t>Table 25-</w:t>
      </w:r>
      <w:fldSimple w:instr=" SEQ Table \r1 \* ARABIC ">
        <w:r w:rsidR="007F721A">
          <w:rPr>
            <w:noProof/>
          </w:rPr>
          <w:t>1</w:t>
        </w:r>
      </w:fldSimple>
      <w:bookmarkEnd w:id="451"/>
      <w:r>
        <w:tab/>
        <w:t xml:space="preserve">Net borrowing and net financial assets by State, 2018-19 </w:t>
      </w:r>
    </w:p>
    <w:tbl>
      <w:tblPr>
        <w:tblW w:w="8900" w:type="dxa"/>
        <w:tblCellMar>
          <w:left w:w="28" w:type="dxa"/>
          <w:right w:w="28" w:type="dxa"/>
        </w:tblCellMar>
        <w:tblLook w:val="04A0" w:firstRow="1" w:lastRow="0" w:firstColumn="1" w:lastColumn="0" w:noHBand="0" w:noVBand="1"/>
      </w:tblPr>
      <w:tblGrid>
        <w:gridCol w:w="1480"/>
        <w:gridCol w:w="820"/>
        <w:gridCol w:w="820"/>
        <w:gridCol w:w="820"/>
        <w:gridCol w:w="820"/>
        <w:gridCol w:w="820"/>
        <w:gridCol w:w="820"/>
        <w:gridCol w:w="820"/>
        <w:gridCol w:w="820"/>
        <w:gridCol w:w="860"/>
      </w:tblGrid>
      <w:tr w:rsidR="007E365E" w:rsidRPr="00ED1971" w14:paraId="38431091" w14:textId="77777777" w:rsidTr="007D1D77">
        <w:trPr>
          <w:trHeight w:val="375"/>
        </w:trPr>
        <w:tc>
          <w:tcPr>
            <w:tcW w:w="1480" w:type="dxa"/>
            <w:tcBorders>
              <w:top w:val="nil"/>
              <w:left w:val="nil"/>
              <w:bottom w:val="nil"/>
              <w:right w:val="nil"/>
            </w:tcBorders>
            <w:shd w:val="clear" w:color="000000" w:fill="006991"/>
            <w:noWrap/>
            <w:vAlign w:val="center"/>
            <w:hideMark/>
          </w:tcPr>
          <w:p w14:paraId="5127973C" w14:textId="77777777" w:rsidR="007E365E" w:rsidRPr="00ED197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452" w:name="RANGE!A9:J15"/>
            <w:r w:rsidRPr="00ED1971">
              <w:rPr>
                <w:rFonts w:ascii="Open Sans SemiBold" w:eastAsia="Times New Roman" w:hAnsi="Open Sans SemiBold" w:cs="Open Sans SemiBold"/>
                <w:color w:val="FFFFFF"/>
                <w:sz w:val="16"/>
                <w:szCs w:val="16"/>
                <w:lang w:eastAsia="en-AU"/>
              </w:rPr>
              <w:t> </w:t>
            </w:r>
            <w:bookmarkEnd w:id="452"/>
          </w:p>
        </w:tc>
        <w:tc>
          <w:tcPr>
            <w:tcW w:w="820" w:type="dxa"/>
            <w:tcBorders>
              <w:top w:val="nil"/>
              <w:left w:val="nil"/>
              <w:bottom w:val="nil"/>
              <w:right w:val="nil"/>
            </w:tcBorders>
            <w:shd w:val="clear" w:color="000000" w:fill="006991"/>
            <w:noWrap/>
            <w:vAlign w:val="center"/>
            <w:hideMark/>
          </w:tcPr>
          <w:p w14:paraId="76E1C5BD" w14:textId="77777777" w:rsidR="007E365E" w:rsidRPr="00ED197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1971">
              <w:rPr>
                <w:rFonts w:ascii="Open Sans SemiBold" w:eastAsia="Times New Roman" w:hAnsi="Open Sans SemiBold" w:cs="Open Sans SemiBold"/>
                <w:color w:val="FFFFFF"/>
                <w:sz w:val="16"/>
                <w:szCs w:val="16"/>
                <w:lang w:eastAsia="en-AU"/>
              </w:rPr>
              <w:t>NSW</w:t>
            </w:r>
          </w:p>
        </w:tc>
        <w:tc>
          <w:tcPr>
            <w:tcW w:w="820" w:type="dxa"/>
            <w:tcBorders>
              <w:top w:val="nil"/>
              <w:left w:val="nil"/>
              <w:bottom w:val="nil"/>
              <w:right w:val="nil"/>
            </w:tcBorders>
            <w:shd w:val="clear" w:color="000000" w:fill="006991"/>
            <w:noWrap/>
            <w:vAlign w:val="center"/>
            <w:hideMark/>
          </w:tcPr>
          <w:p w14:paraId="4E6BE7E8" w14:textId="77777777" w:rsidR="007E365E" w:rsidRPr="00ED197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1971">
              <w:rPr>
                <w:rFonts w:ascii="Open Sans SemiBold" w:eastAsia="Times New Roman" w:hAnsi="Open Sans SemiBold" w:cs="Open Sans SemiBold"/>
                <w:color w:val="FFFFFF"/>
                <w:sz w:val="16"/>
                <w:szCs w:val="16"/>
                <w:lang w:eastAsia="en-AU"/>
              </w:rPr>
              <w:t>Vic</w:t>
            </w:r>
          </w:p>
        </w:tc>
        <w:tc>
          <w:tcPr>
            <w:tcW w:w="820" w:type="dxa"/>
            <w:tcBorders>
              <w:top w:val="nil"/>
              <w:left w:val="nil"/>
              <w:bottom w:val="nil"/>
              <w:right w:val="nil"/>
            </w:tcBorders>
            <w:shd w:val="clear" w:color="000000" w:fill="006991"/>
            <w:noWrap/>
            <w:vAlign w:val="center"/>
            <w:hideMark/>
          </w:tcPr>
          <w:p w14:paraId="1CACA00D" w14:textId="77777777" w:rsidR="007E365E" w:rsidRPr="00ED197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1971">
              <w:rPr>
                <w:rFonts w:ascii="Open Sans SemiBold" w:eastAsia="Times New Roman" w:hAnsi="Open Sans SemiBold" w:cs="Open Sans SemiBold"/>
                <w:color w:val="FFFFFF"/>
                <w:sz w:val="16"/>
                <w:szCs w:val="16"/>
                <w:lang w:eastAsia="en-AU"/>
              </w:rPr>
              <w:t>Qld</w:t>
            </w:r>
          </w:p>
        </w:tc>
        <w:tc>
          <w:tcPr>
            <w:tcW w:w="820" w:type="dxa"/>
            <w:tcBorders>
              <w:top w:val="nil"/>
              <w:left w:val="nil"/>
              <w:bottom w:val="nil"/>
              <w:right w:val="nil"/>
            </w:tcBorders>
            <w:shd w:val="clear" w:color="000000" w:fill="006991"/>
            <w:noWrap/>
            <w:vAlign w:val="center"/>
            <w:hideMark/>
          </w:tcPr>
          <w:p w14:paraId="2584D45D" w14:textId="77777777" w:rsidR="007E365E" w:rsidRPr="00ED197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1971">
              <w:rPr>
                <w:rFonts w:ascii="Open Sans SemiBold" w:eastAsia="Times New Roman" w:hAnsi="Open Sans SemiBold" w:cs="Open Sans SemiBold"/>
                <w:color w:val="FFFFFF"/>
                <w:sz w:val="16"/>
                <w:szCs w:val="16"/>
                <w:lang w:eastAsia="en-AU"/>
              </w:rPr>
              <w:t>WA</w:t>
            </w:r>
          </w:p>
        </w:tc>
        <w:tc>
          <w:tcPr>
            <w:tcW w:w="820" w:type="dxa"/>
            <w:tcBorders>
              <w:top w:val="nil"/>
              <w:left w:val="nil"/>
              <w:bottom w:val="nil"/>
              <w:right w:val="nil"/>
            </w:tcBorders>
            <w:shd w:val="clear" w:color="000000" w:fill="006991"/>
            <w:noWrap/>
            <w:vAlign w:val="center"/>
            <w:hideMark/>
          </w:tcPr>
          <w:p w14:paraId="73D3ABC1" w14:textId="77777777" w:rsidR="007E365E" w:rsidRPr="00ED197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1971">
              <w:rPr>
                <w:rFonts w:ascii="Open Sans SemiBold" w:eastAsia="Times New Roman" w:hAnsi="Open Sans SemiBold" w:cs="Open Sans SemiBold"/>
                <w:color w:val="FFFFFF"/>
                <w:sz w:val="16"/>
                <w:szCs w:val="16"/>
                <w:lang w:eastAsia="en-AU"/>
              </w:rPr>
              <w:t>SA</w:t>
            </w:r>
          </w:p>
        </w:tc>
        <w:tc>
          <w:tcPr>
            <w:tcW w:w="820" w:type="dxa"/>
            <w:tcBorders>
              <w:top w:val="nil"/>
              <w:left w:val="nil"/>
              <w:bottom w:val="nil"/>
              <w:right w:val="nil"/>
            </w:tcBorders>
            <w:shd w:val="clear" w:color="000000" w:fill="006991"/>
            <w:noWrap/>
            <w:vAlign w:val="center"/>
            <w:hideMark/>
          </w:tcPr>
          <w:p w14:paraId="1A70FF41" w14:textId="77777777" w:rsidR="007E365E" w:rsidRPr="00ED197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1971">
              <w:rPr>
                <w:rFonts w:ascii="Open Sans SemiBold" w:eastAsia="Times New Roman" w:hAnsi="Open Sans SemiBold" w:cs="Open Sans SemiBold"/>
                <w:color w:val="FFFFFF"/>
                <w:sz w:val="16"/>
                <w:szCs w:val="16"/>
                <w:lang w:eastAsia="en-AU"/>
              </w:rPr>
              <w:t>Tas</w:t>
            </w:r>
          </w:p>
        </w:tc>
        <w:tc>
          <w:tcPr>
            <w:tcW w:w="820" w:type="dxa"/>
            <w:tcBorders>
              <w:top w:val="nil"/>
              <w:left w:val="nil"/>
              <w:bottom w:val="nil"/>
              <w:right w:val="nil"/>
            </w:tcBorders>
            <w:shd w:val="clear" w:color="000000" w:fill="006991"/>
            <w:noWrap/>
            <w:vAlign w:val="center"/>
            <w:hideMark/>
          </w:tcPr>
          <w:p w14:paraId="7BFD2911" w14:textId="77777777" w:rsidR="007E365E" w:rsidRPr="00ED197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1971">
              <w:rPr>
                <w:rFonts w:ascii="Open Sans SemiBold" w:eastAsia="Times New Roman" w:hAnsi="Open Sans SemiBold" w:cs="Open Sans SemiBold"/>
                <w:color w:val="FFFFFF"/>
                <w:sz w:val="16"/>
                <w:szCs w:val="16"/>
                <w:lang w:eastAsia="en-AU"/>
              </w:rPr>
              <w:t>ACT</w:t>
            </w:r>
          </w:p>
        </w:tc>
        <w:tc>
          <w:tcPr>
            <w:tcW w:w="820" w:type="dxa"/>
            <w:tcBorders>
              <w:top w:val="nil"/>
              <w:left w:val="nil"/>
              <w:bottom w:val="nil"/>
              <w:right w:val="nil"/>
            </w:tcBorders>
            <w:shd w:val="clear" w:color="000000" w:fill="006991"/>
            <w:noWrap/>
            <w:vAlign w:val="center"/>
            <w:hideMark/>
          </w:tcPr>
          <w:p w14:paraId="3A1D63D1" w14:textId="77777777" w:rsidR="007E365E" w:rsidRPr="00ED197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1971">
              <w:rPr>
                <w:rFonts w:ascii="Open Sans SemiBold" w:eastAsia="Times New Roman" w:hAnsi="Open Sans SemiBold" w:cs="Open Sans SemiBold"/>
                <w:color w:val="FFFFFF"/>
                <w:sz w:val="16"/>
                <w:szCs w:val="16"/>
                <w:lang w:eastAsia="en-AU"/>
              </w:rPr>
              <w:t>NT</w:t>
            </w:r>
          </w:p>
        </w:tc>
        <w:tc>
          <w:tcPr>
            <w:tcW w:w="860" w:type="dxa"/>
            <w:tcBorders>
              <w:top w:val="nil"/>
              <w:left w:val="nil"/>
              <w:bottom w:val="nil"/>
              <w:right w:val="nil"/>
            </w:tcBorders>
            <w:shd w:val="clear" w:color="000000" w:fill="006991"/>
            <w:noWrap/>
            <w:vAlign w:val="center"/>
            <w:hideMark/>
          </w:tcPr>
          <w:p w14:paraId="148B1F79" w14:textId="77777777" w:rsidR="007E365E" w:rsidRPr="00ED1971"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D1971">
              <w:rPr>
                <w:rFonts w:ascii="Open Sans SemiBold" w:eastAsia="Times New Roman" w:hAnsi="Open Sans SemiBold" w:cs="Open Sans SemiBold"/>
                <w:color w:val="FFFFFF"/>
                <w:sz w:val="16"/>
                <w:szCs w:val="16"/>
                <w:lang w:eastAsia="en-AU"/>
              </w:rPr>
              <w:t>Total</w:t>
            </w:r>
          </w:p>
        </w:tc>
      </w:tr>
      <w:tr w:rsidR="007E365E" w:rsidRPr="00ED1971" w14:paraId="0AC40E16" w14:textId="77777777" w:rsidTr="007D1D77">
        <w:trPr>
          <w:trHeight w:val="315"/>
        </w:trPr>
        <w:tc>
          <w:tcPr>
            <w:tcW w:w="1480" w:type="dxa"/>
            <w:tcBorders>
              <w:top w:val="nil"/>
              <w:left w:val="nil"/>
              <w:bottom w:val="single" w:sz="4" w:space="0" w:color="ADD6EA"/>
              <w:right w:val="nil"/>
            </w:tcBorders>
            <w:shd w:val="clear" w:color="000000" w:fill="B6D5E4"/>
            <w:vAlign w:val="bottom"/>
            <w:hideMark/>
          </w:tcPr>
          <w:p w14:paraId="7FDF5992"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Net borrowing</w:t>
            </w:r>
          </w:p>
        </w:tc>
        <w:tc>
          <w:tcPr>
            <w:tcW w:w="820" w:type="dxa"/>
            <w:tcBorders>
              <w:top w:val="nil"/>
              <w:left w:val="nil"/>
              <w:bottom w:val="single" w:sz="4" w:space="0" w:color="ADD6EA"/>
              <w:right w:val="nil"/>
            </w:tcBorders>
            <w:shd w:val="clear" w:color="000000" w:fill="B6D5E4"/>
            <w:vAlign w:val="bottom"/>
            <w:hideMark/>
          </w:tcPr>
          <w:p w14:paraId="367C4082"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vAlign w:val="bottom"/>
            <w:hideMark/>
          </w:tcPr>
          <w:p w14:paraId="57C3887A"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vAlign w:val="bottom"/>
            <w:hideMark/>
          </w:tcPr>
          <w:p w14:paraId="03579494"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vAlign w:val="bottom"/>
            <w:hideMark/>
          </w:tcPr>
          <w:p w14:paraId="51EBA697"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vAlign w:val="bottom"/>
            <w:hideMark/>
          </w:tcPr>
          <w:p w14:paraId="5862CADE"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vAlign w:val="bottom"/>
            <w:hideMark/>
          </w:tcPr>
          <w:p w14:paraId="610D8295"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vAlign w:val="bottom"/>
            <w:hideMark/>
          </w:tcPr>
          <w:p w14:paraId="5E578976"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vAlign w:val="bottom"/>
            <w:hideMark/>
          </w:tcPr>
          <w:p w14:paraId="5F414CF5"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c>
          <w:tcPr>
            <w:tcW w:w="860" w:type="dxa"/>
            <w:tcBorders>
              <w:top w:val="nil"/>
              <w:left w:val="nil"/>
              <w:bottom w:val="single" w:sz="4" w:space="0" w:color="ADD6EA"/>
              <w:right w:val="nil"/>
            </w:tcBorders>
            <w:shd w:val="clear" w:color="000000" w:fill="B6D5E4"/>
            <w:vAlign w:val="bottom"/>
            <w:hideMark/>
          </w:tcPr>
          <w:p w14:paraId="67322BB8"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r>
      <w:tr w:rsidR="007E365E" w:rsidRPr="00ED1971" w14:paraId="4DB4CB27" w14:textId="77777777" w:rsidTr="007D1D77">
        <w:trPr>
          <w:trHeight w:val="315"/>
        </w:trPr>
        <w:tc>
          <w:tcPr>
            <w:tcW w:w="1480" w:type="dxa"/>
            <w:tcBorders>
              <w:top w:val="nil"/>
              <w:left w:val="nil"/>
              <w:bottom w:val="single" w:sz="4" w:space="0" w:color="ADD6EA"/>
              <w:right w:val="nil"/>
            </w:tcBorders>
            <w:shd w:val="clear" w:color="auto" w:fill="auto"/>
            <w:vAlign w:val="bottom"/>
            <w:hideMark/>
          </w:tcPr>
          <w:p w14:paraId="1E5D061C" w14:textId="77777777" w:rsidR="007E365E" w:rsidRPr="00ED1971" w:rsidRDefault="007E365E" w:rsidP="007D1D77">
            <w:pPr>
              <w:tabs>
                <w:tab w:val="clear" w:pos="567"/>
              </w:tabs>
              <w:spacing w:before="0" w:line="240" w:lineRule="auto"/>
              <w:rPr>
                <w:rFonts w:eastAsia="Times New Roman" w:cs="Open Sans Light"/>
                <w:sz w:val="16"/>
                <w:szCs w:val="16"/>
                <w:lang w:eastAsia="en-AU"/>
              </w:rPr>
            </w:pPr>
            <w:r w:rsidRPr="00ED1971">
              <w:rPr>
                <w:rFonts w:eastAsia="Times New Roman" w:cs="Open Sans Light"/>
                <w:sz w:val="16"/>
                <w:szCs w:val="16"/>
                <w:lang w:eastAsia="en-AU"/>
              </w:rPr>
              <w:t>$ million</w:t>
            </w:r>
          </w:p>
        </w:tc>
        <w:tc>
          <w:tcPr>
            <w:tcW w:w="820" w:type="dxa"/>
            <w:tcBorders>
              <w:top w:val="nil"/>
              <w:left w:val="nil"/>
              <w:bottom w:val="single" w:sz="4" w:space="0" w:color="ADD6EA"/>
              <w:right w:val="nil"/>
            </w:tcBorders>
            <w:shd w:val="clear" w:color="auto" w:fill="auto"/>
            <w:vAlign w:val="bottom"/>
            <w:hideMark/>
          </w:tcPr>
          <w:p w14:paraId="71C028C6"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14,060</w:t>
            </w:r>
          </w:p>
        </w:tc>
        <w:tc>
          <w:tcPr>
            <w:tcW w:w="820" w:type="dxa"/>
            <w:tcBorders>
              <w:top w:val="nil"/>
              <w:left w:val="nil"/>
              <w:bottom w:val="single" w:sz="4" w:space="0" w:color="ADD6EA"/>
              <w:right w:val="nil"/>
            </w:tcBorders>
            <w:shd w:val="clear" w:color="auto" w:fill="auto"/>
            <w:vAlign w:val="bottom"/>
            <w:hideMark/>
          </w:tcPr>
          <w:p w14:paraId="73E93481"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105</w:t>
            </w:r>
          </w:p>
        </w:tc>
        <w:tc>
          <w:tcPr>
            <w:tcW w:w="820" w:type="dxa"/>
            <w:tcBorders>
              <w:top w:val="nil"/>
              <w:left w:val="nil"/>
              <w:bottom w:val="single" w:sz="4" w:space="0" w:color="ADD6EA"/>
              <w:right w:val="nil"/>
            </w:tcBorders>
            <w:shd w:val="clear" w:color="auto" w:fill="auto"/>
            <w:vAlign w:val="bottom"/>
            <w:hideMark/>
          </w:tcPr>
          <w:p w14:paraId="54902D60"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2,855</w:t>
            </w:r>
          </w:p>
        </w:tc>
        <w:tc>
          <w:tcPr>
            <w:tcW w:w="820" w:type="dxa"/>
            <w:tcBorders>
              <w:top w:val="nil"/>
              <w:left w:val="nil"/>
              <w:bottom w:val="single" w:sz="4" w:space="0" w:color="ADD6EA"/>
              <w:right w:val="nil"/>
            </w:tcBorders>
            <w:shd w:val="clear" w:color="auto" w:fill="auto"/>
            <w:vAlign w:val="bottom"/>
            <w:hideMark/>
          </w:tcPr>
          <w:p w14:paraId="3A29A719"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683</w:t>
            </w:r>
          </w:p>
        </w:tc>
        <w:tc>
          <w:tcPr>
            <w:tcW w:w="820" w:type="dxa"/>
            <w:tcBorders>
              <w:top w:val="nil"/>
              <w:left w:val="nil"/>
              <w:bottom w:val="single" w:sz="4" w:space="0" w:color="ADD6EA"/>
              <w:right w:val="nil"/>
            </w:tcBorders>
            <w:shd w:val="clear" w:color="auto" w:fill="auto"/>
            <w:vAlign w:val="bottom"/>
            <w:hideMark/>
          </w:tcPr>
          <w:p w14:paraId="6AFC4125"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107</w:t>
            </w:r>
          </w:p>
        </w:tc>
        <w:tc>
          <w:tcPr>
            <w:tcW w:w="820" w:type="dxa"/>
            <w:tcBorders>
              <w:top w:val="nil"/>
              <w:left w:val="nil"/>
              <w:bottom w:val="single" w:sz="4" w:space="0" w:color="ADD6EA"/>
              <w:right w:val="nil"/>
            </w:tcBorders>
            <w:shd w:val="clear" w:color="auto" w:fill="auto"/>
            <w:vAlign w:val="bottom"/>
            <w:hideMark/>
          </w:tcPr>
          <w:p w14:paraId="6A5C2B30"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266</w:t>
            </w:r>
          </w:p>
        </w:tc>
        <w:tc>
          <w:tcPr>
            <w:tcW w:w="820" w:type="dxa"/>
            <w:tcBorders>
              <w:top w:val="nil"/>
              <w:left w:val="nil"/>
              <w:bottom w:val="single" w:sz="4" w:space="0" w:color="ADD6EA"/>
              <w:right w:val="nil"/>
            </w:tcBorders>
            <w:shd w:val="clear" w:color="auto" w:fill="auto"/>
            <w:vAlign w:val="bottom"/>
            <w:hideMark/>
          </w:tcPr>
          <w:p w14:paraId="6CF1CF4A"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570</w:t>
            </w:r>
          </w:p>
        </w:tc>
        <w:tc>
          <w:tcPr>
            <w:tcW w:w="820" w:type="dxa"/>
            <w:tcBorders>
              <w:top w:val="nil"/>
              <w:left w:val="nil"/>
              <w:bottom w:val="single" w:sz="4" w:space="0" w:color="ADD6EA"/>
              <w:right w:val="nil"/>
            </w:tcBorders>
            <w:shd w:val="clear" w:color="auto" w:fill="auto"/>
            <w:vAlign w:val="bottom"/>
            <w:hideMark/>
          </w:tcPr>
          <w:p w14:paraId="13AA3795"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876</w:t>
            </w:r>
          </w:p>
        </w:tc>
        <w:tc>
          <w:tcPr>
            <w:tcW w:w="860" w:type="dxa"/>
            <w:tcBorders>
              <w:top w:val="nil"/>
              <w:left w:val="nil"/>
              <w:bottom w:val="single" w:sz="4" w:space="0" w:color="ADD6EA"/>
              <w:right w:val="nil"/>
            </w:tcBorders>
            <w:shd w:val="clear" w:color="auto" w:fill="auto"/>
            <w:vAlign w:val="bottom"/>
            <w:hideMark/>
          </w:tcPr>
          <w:p w14:paraId="0422FF9D"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19,311</w:t>
            </w:r>
          </w:p>
        </w:tc>
      </w:tr>
      <w:tr w:rsidR="007E365E" w:rsidRPr="00ED1971" w14:paraId="0CD10135" w14:textId="77777777" w:rsidTr="007D1D77">
        <w:trPr>
          <w:trHeight w:val="315"/>
        </w:trPr>
        <w:tc>
          <w:tcPr>
            <w:tcW w:w="1480" w:type="dxa"/>
            <w:tcBorders>
              <w:top w:val="nil"/>
              <w:left w:val="nil"/>
              <w:bottom w:val="single" w:sz="4" w:space="0" w:color="ADD6EA"/>
              <w:right w:val="nil"/>
            </w:tcBorders>
            <w:shd w:val="clear" w:color="auto" w:fill="auto"/>
            <w:vAlign w:val="bottom"/>
            <w:hideMark/>
          </w:tcPr>
          <w:p w14:paraId="2BE27BF3" w14:textId="77777777" w:rsidR="007E365E" w:rsidRPr="00ED1971" w:rsidRDefault="007E365E" w:rsidP="007D1D77">
            <w:pPr>
              <w:tabs>
                <w:tab w:val="clear" w:pos="567"/>
              </w:tabs>
              <w:spacing w:before="0" w:line="240" w:lineRule="auto"/>
              <w:rPr>
                <w:rFonts w:eastAsia="Times New Roman" w:cs="Open Sans Light"/>
                <w:sz w:val="16"/>
                <w:szCs w:val="16"/>
                <w:lang w:eastAsia="en-AU"/>
              </w:rPr>
            </w:pPr>
            <w:r w:rsidRPr="00ED1971">
              <w:rPr>
                <w:rFonts w:eastAsia="Times New Roman" w:cs="Open Sans Light"/>
                <w:sz w:val="16"/>
                <w:szCs w:val="16"/>
                <w:lang w:eastAsia="en-AU"/>
              </w:rPr>
              <w:t>$ per capita</w:t>
            </w:r>
          </w:p>
        </w:tc>
        <w:tc>
          <w:tcPr>
            <w:tcW w:w="820" w:type="dxa"/>
            <w:tcBorders>
              <w:top w:val="nil"/>
              <w:left w:val="nil"/>
              <w:bottom w:val="single" w:sz="4" w:space="0" w:color="ADD6EA"/>
              <w:right w:val="nil"/>
            </w:tcBorders>
            <w:shd w:val="clear" w:color="auto" w:fill="auto"/>
            <w:vAlign w:val="bottom"/>
            <w:hideMark/>
          </w:tcPr>
          <w:p w14:paraId="2AB9D885"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1,749</w:t>
            </w:r>
          </w:p>
        </w:tc>
        <w:tc>
          <w:tcPr>
            <w:tcW w:w="820" w:type="dxa"/>
            <w:tcBorders>
              <w:top w:val="nil"/>
              <w:left w:val="nil"/>
              <w:bottom w:val="single" w:sz="4" w:space="0" w:color="ADD6EA"/>
              <w:right w:val="nil"/>
            </w:tcBorders>
            <w:shd w:val="clear" w:color="auto" w:fill="auto"/>
            <w:vAlign w:val="bottom"/>
            <w:hideMark/>
          </w:tcPr>
          <w:p w14:paraId="36B4257B"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16</w:t>
            </w:r>
          </w:p>
        </w:tc>
        <w:tc>
          <w:tcPr>
            <w:tcW w:w="820" w:type="dxa"/>
            <w:tcBorders>
              <w:top w:val="nil"/>
              <w:left w:val="nil"/>
              <w:bottom w:val="single" w:sz="4" w:space="0" w:color="ADD6EA"/>
              <w:right w:val="nil"/>
            </w:tcBorders>
            <w:shd w:val="clear" w:color="auto" w:fill="auto"/>
            <w:vAlign w:val="bottom"/>
            <w:hideMark/>
          </w:tcPr>
          <w:p w14:paraId="380EBE3E"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565</w:t>
            </w:r>
          </w:p>
        </w:tc>
        <w:tc>
          <w:tcPr>
            <w:tcW w:w="820" w:type="dxa"/>
            <w:tcBorders>
              <w:top w:val="nil"/>
              <w:left w:val="nil"/>
              <w:bottom w:val="single" w:sz="4" w:space="0" w:color="ADD6EA"/>
              <w:right w:val="nil"/>
            </w:tcBorders>
            <w:shd w:val="clear" w:color="auto" w:fill="auto"/>
            <w:vAlign w:val="bottom"/>
            <w:hideMark/>
          </w:tcPr>
          <w:p w14:paraId="28A53335"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262</w:t>
            </w:r>
          </w:p>
        </w:tc>
        <w:tc>
          <w:tcPr>
            <w:tcW w:w="820" w:type="dxa"/>
            <w:tcBorders>
              <w:top w:val="nil"/>
              <w:left w:val="nil"/>
              <w:bottom w:val="single" w:sz="4" w:space="0" w:color="ADD6EA"/>
              <w:right w:val="nil"/>
            </w:tcBorders>
            <w:shd w:val="clear" w:color="auto" w:fill="auto"/>
            <w:vAlign w:val="bottom"/>
            <w:hideMark/>
          </w:tcPr>
          <w:p w14:paraId="64AA3432"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61</w:t>
            </w:r>
          </w:p>
        </w:tc>
        <w:tc>
          <w:tcPr>
            <w:tcW w:w="820" w:type="dxa"/>
            <w:tcBorders>
              <w:top w:val="nil"/>
              <w:left w:val="nil"/>
              <w:bottom w:val="single" w:sz="4" w:space="0" w:color="ADD6EA"/>
              <w:right w:val="nil"/>
            </w:tcBorders>
            <w:shd w:val="clear" w:color="auto" w:fill="auto"/>
            <w:vAlign w:val="bottom"/>
            <w:hideMark/>
          </w:tcPr>
          <w:p w14:paraId="70A147FD"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501</w:t>
            </w:r>
          </w:p>
        </w:tc>
        <w:tc>
          <w:tcPr>
            <w:tcW w:w="820" w:type="dxa"/>
            <w:tcBorders>
              <w:top w:val="nil"/>
              <w:left w:val="nil"/>
              <w:bottom w:val="single" w:sz="4" w:space="0" w:color="ADD6EA"/>
              <w:right w:val="nil"/>
            </w:tcBorders>
            <w:shd w:val="clear" w:color="auto" w:fill="auto"/>
            <w:vAlign w:val="bottom"/>
            <w:hideMark/>
          </w:tcPr>
          <w:p w14:paraId="7653AF57"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1,346</w:t>
            </w:r>
          </w:p>
        </w:tc>
        <w:tc>
          <w:tcPr>
            <w:tcW w:w="820" w:type="dxa"/>
            <w:tcBorders>
              <w:top w:val="nil"/>
              <w:left w:val="nil"/>
              <w:bottom w:val="single" w:sz="4" w:space="0" w:color="ADD6EA"/>
              <w:right w:val="nil"/>
            </w:tcBorders>
            <w:shd w:val="clear" w:color="auto" w:fill="auto"/>
            <w:vAlign w:val="bottom"/>
            <w:hideMark/>
          </w:tcPr>
          <w:p w14:paraId="037A9552"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3,566</w:t>
            </w:r>
          </w:p>
        </w:tc>
        <w:tc>
          <w:tcPr>
            <w:tcW w:w="860" w:type="dxa"/>
            <w:tcBorders>
              <w:top w:val="nil"/>
              <w:left w:val="nil"/>
              <w:bottom w:val="single" w:sz="4" w:space="0" w:color="ADD6EA"/>
              <w:right w:val="nil"/>
            </w:tcBorders>
            <w:shd w:val="clear" w:color="auto" w:fill="auto"/>
            <w:vAlign w:val="bottom"/>
            <w:hideMark/>
          </w:tcPr>
          <w:p w14:paraId="10BF0FE2"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767</w:t>
            </w:r>
          </w:p>
        </w:tc>
      </w:tr>
      <w:tr w:rsidR="007E365E" w:rsidRPr="00ED1971" w14:paraId="52A15F6B" w14:textId="77777777" w:rsidTr="007D1D77">
        <w:trPr>
          <w:trHeight w:val="315"/>
        </w:trPr>
        <w:tc>
          <w:tcPr>
            <w:tcW w:w="3120" w:type="dxa"/>
            <w:gridSpan w:val="3"/>
            <w:tcBorders>
              <w:top w:val="single" w:sz="4" w:space="0" w:color="ADD6EA"/>
              <w:left w:val="nil"/>
              <w:bottom w:val="single" w:sz="4" w:space="0" w:color="ADD6EA"/>
              <w:right w:val="nil"/>
            </w:tcBorders>
            <w:shd w:val="clear" w:color="000000" w:fill="B6D5E4"/>
            <w:vAlign w:val="bottom"/>
            <w:hideMark/>
          </w:tcPr>
          <w:p w14:paraId="49281942"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Net financial assets</w:t>
            </w:r>
          </w:p>
        </w:tc>
        <w:tc>
          <w:tcPr>
            <w:tcW w:w="820" w:type="dxa"/>
            <w:tcBorders>
              <w:top w:val="nil"/>
              <w:left w:val="nil"/>
              <w:bottom w:val="single" w:sz="4" w:space="0" w:color="ADD6EA"/>
              <w:right w:val="nil"/>
            </w:tcBorders>
            <w:shd w:val="clear" w:color="000000" w:fill="B6D5E4"/>
            <w:vAlign w:val="bottom"/>
            <w:hideMark/>
          </w:tcPr>
          <w:p w14:paraId="225DCC00"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vAlign w:val="bottom"/>
            <w:hideMark/>
          </w:tcPr>
          <w:p w14:paraId="0367D95F"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vAlign w:val="bottom"/>
            <w:hideMark/>
          </w:tcPr>
          <w:p w14:paraId="420ABBEC"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vAlign w:val="bottom"/>
            <w:hideMark/>
          </w:tcPr>
          <w:p w14:paraId="30D81F3B"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vAlign w:val="bottom"/>
            <w:hideMark/>
          </w:tcPr>
          <w:p w14:paraId="6E32F3BF"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c>
          <w:tcPr>
            <w:tcW w:w="820" w:type="dxa"/>
            <w:tcBorders>
              <w:top w:val="nil"/>
              <w:left w:val="nil"/>
              <w:bottom w:val="single" w:sz="4" w:space="0" w:color="ADD6EA"/>
              <w:right w:val="nil"/>
            </w:tcBorders>
            <w:shd w:val="clear" w:color="000000" w:fill="B6D5E4"/>
            <w:vAlign w:val="bottom"/>
            <w:hideMark/>
          </w:tcPr>
          <w:p w14:paraId="33BDD402"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c>
          <w:tcPr>
            <w:tcW w:w="860" w:type="dxa"/>
            <w:tcBorders>
              <w:top w:val="nil"/>
              <w:left w:val="nil"/>
              <w:bottom w:val="single" w:sz="4" w:space="0" w:color="ADD6EA"/>
              <w:right w:val="nil"/>
            </w:tcBorders>
            <w:shd w:val="clear" w:color="000000" w:fill="B6D5E4"/>
            <w:vAlign w:val="bottom"/>
            <w:hideMark/>
          </w:tcPr>
          <w:p w14:paraId="147B20AE" w14:textId="77777777" w:rsidR="007E365E" w:rsidRPr="00ED1971"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ED1971">
              <w:rPr>
                <w:rFonts w:ascii="Open Sans SemiBold" w:eastAsia="Times New Roman" w:hAnsi="Open Sans SemiBold" w:cs="Open Sans SemiBold"/>
                <w:sz w:val="16"/>
                <w:szCs w:val="16"/>
                <w:lang w:eastAsia="en-AU"/>
              </w:rPr>
              <w:t> </w:t>
            </w:r>
          </w:p>
        </w:tc>
      </w:tr>
      <w:tr w:rsidR="007E365E" w:rsidRPr="00ED1971" w14:paraId="2B6EAB04" w14:textId="77777777" w:rsidTr="007D1D77">
        <w:trPr>
          <w:trHeight w:val="315"/>
        </w:trPr>
        <w:tc>
          <w:tcPr>
            <w:tcW w:w="1480" w:type="dxa"/>
            <w:tcBorders>
              <w:top w:val="nil"/>
              <w:left w:val="nil"/>
              <w:bottom w:val="single" w:sz="4" w:space="0" w:color="ADD6EA"/>
              <w:right w:val="nil"/>
            </w:tcBorders>
            <w:shd w:val="clear" w:color="auto" w:fill="auto"/>
            <w:vAlign w:val="bottom"/>
            <w:hideMark/>
          </w:tcPr>
          <w:p w14:paraId="13D66C28" w14:textId="77777777" w:rsidR="007E365E" w:rsidRPr="00ED1971" w:rsidRDefault="007E365E" w:rsidP="007D1D77">
            <w:pPr>
              <w:tabs>
                <w:tab w:val="clear" w:pos="567"/>
              </w:tabs>
              <w:spacing w:before="0" w:line="240" w:lineRule="auto"/>
              <w:rPr>
                <w:rFonts w:eastAsia="Times New Roman" w:cs="Open Sans Light"/>
                <w:sz w:val="16"/>
                <w:szCs w:val="16"/>
                <w:lang w:eastAsia="en-AU"/>
              </w:rPr>
            </w:pPr>
            <w:r w:rsidRPr="00ED1971">
              <w:rPr>
                <w:rFonts w:eastAsia="Times New Roman" w:cs="Open Sans Light"/>
                <w:sz w:val="16"/>
                <w:szCs w:val="16"/>
                <w:lang w:eastAsia="en-AU"/>
              </w:rPr>
              <w:t>$ million</w:t>
            </w:r>
          </w:p>
        </w:tc>
        <w:tc>
          <w:tcPr>
            <w:tcW w:w="820" w:type="dxa"/>
            <w:tcBorders>
              <w:top w:val="nil"/>
              <w:left w:val="nil"/>
              <w:bottom w:val="single" w:sz="4" w:space="0" w:color="ADD6EA"/>
              <w:right w:val="nil"/>
            </w:tcBorders>
            <w:shd w:val="clear" w:color="auto" w:fill="auto"/>
            <w:vAlign w:val="bottom"/>
            <w:hideMark/>
          </w:tcPr>
          <w:p w14:paraId="23FFFDAB"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-67,594</w:t>
            </w:r>
          </w:p>
        </w:tc>
        <w:tc>
          <w:tcPr>
            <w:tcW w:w="820" w:type="dxa"/>
            <w:tcBorders>
              <w:top w:val="nil"/>
              <w:left w:val="nil"/>
              <w:bottom w:val="single" w:sz="4" w:space="0" w:color="ADD6EA"/>
              <w:right w:val="nil"/>
            </w:tcBorders>
            <w:shd w:val="clear" w:color="auto" w:fill="auto"/>
            <w:vAlign w:val="bottom"/>
            <w:hideMark/>
          </w:tcPr>
          <w:p w14:paraId="2EB3595F"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-22,078</w:t>
            </w:r>
          </w:p>
        </w:tc>
        <w:tc>
          <w:tcPr>
            <w:tcW w:w="820" w:type="dxa"/>
            <w:tcBorders>
              <w:top w:val="nil"/>
              <w:left w:val="nil"/>
              <w:bottom w:val="single" w:sz="4" w:space="0" w:color="ADD6EA"/>
              <w:right w:val="nil"/>
            </w:tcBorders>
            <w:shd w:val="clear" w:color="auto" w:fill="auto"/>
            <w:vAlign w:val="bottom"/>
            <w:hideMark/>
          </w:tcPr>
          <w:p w14:paraId="31785998"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-25,792</w:t>
            </w:r>
          </w:p>
        </w:tc>
        <w:tc>
          <w:tcPr>
            <w:tcW w:w="820" w:type="dxa"/>
            <w:tcBorders>
              <w:top w:val="nil"/>
              <w:left w:val="nil"/>
              <w:bottom w:val="single" w:sz="4" w:space="0" w:color="ADD6EA"/>
              <w:right w:val="nil"/>
            </w:tcBorders>
            <w:shd w:val="clear" w:color="auto" w:fill="auto"/>
            <w:vAlign w:val="bottom"/>
            <w:hideMark/>
          </w:tcPr>
          <w:p w14:paraId="7111EC04"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-4,566</w:t>
            </w:r>
          </w:p>
        </w:tc>
        <w:tc>
          <w:tcPr>
            <w:tcW w:w="820" w:type="dxa"/>
            <w:tcBorders>
              <w:top w:val="nil"/>
              <w:left w:val="nil"/>
              <w:bottom w:val="single" w:sz="4" w:space="0" w:color="ADD6EA"/>
              <w:right w:val="nil"/>
            </w:tcBorders>
            <w:shd w:val="clear" w:color="auto" w:fill="auto"/>
            <w:vAlign w:val="bottom"/>
            <w:hideMark/>
          </w:tcPr>
          <w:p w14:paraId="57984073"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-16,449</w:t>
            </w:r>
          </w:p>
        </w:tc>
        <w:tc>
          <w:tcPr>
            <w:tcW w:w="820" w:type="dxa"/>
            <w:tcBorders>
              <w:top w:val="nil"/>
              <w:left w:val="nil"/>
              <w:bottom w:val="single" w:sz="4" w:space="0" w:color="ADD6EA"/>
              <w:right w:val="nil"/>
            </w:tcBorders>
            <w:shd w:val="clear" w:color="auto" w:fill="auto"/>
            <w:vAlign w:val="bottom"/>
            <w:hideMark/>
          </w:tcPr>
          <w:p w14:paraId="06ED644E"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-4,730</w:t>
            </w:r>
          </w:p>
        </w:tc>
        <w:tc>
          <w:tcPr>
            <w:tcW w:w="820" w:type="dxa"/>
            <w:tcBorders>
              <w:top w:val="nil"/>
              <w:left w:val="nil"/>
              <w:bottom w:val="single" w:sz="4" w:space="0" w:color="ADD6EA"/>
              <w:right w:val="nil"/>
            </w:tcBorders>
            <w:shd w:val="clear" w:color="auto" w:fill="auto"/>
            <w:vAlign w:val="bottom"/>
            <w:hideMark/>
          </w:tcPr>
          <w:p w14:paraId="5C2DC6B9"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-8,843</w:t>
            </w:r>
          </w:p>
        </w:tc>
        <w:tc>
          <w:tcPr>
            <w:tcW w:w="820" w:type="dxa"/>
            <w:tcBorders>
              <w:top w:val="nil"/>
              <w:left w:val="nil"/>
              <w:bottom w:val="single" w:sz="4" w:space="0" w:color="ADD6EA"/>
              <w:right w:val="nil"/>
            </w:tcBorders>
            <w:shd w:val="clear" w:color="auto" w:fill="auto"/>
            <w:vAlign w:val="bottom"/>
            <w:hideMark/>
          </w:tcPr>
          <w:p w14:paraId="632D7E7F"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-6,163</w:t>
            </w:r>
          </w:p>
        </w:tc>
        <w:tc>
          <w:tcPr>
            <w:tcW w:w="860" w:type="dxa"/>
            <w:tcBorders>
              <w:top w:val="nil"/>
              <w:left w:val="nil"/>
              <w:bottom w:val="single" w:sz="4" w:space="0" w:color="ADD6EA"/>
              <w:right w:val="nil"/>
            </w:tcBorders>
            <w:shd w:val="clear" w:color="auto" w:fill="auto"/>
            <w:vAlign w:val="bottom"/>
            <w:hideMark/>
          </w:tcPr>
          <w:p w14:paraId="635ABF6D"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-156,216</w:t>
            </w:r>
          </w:p>
        </w:tc>
      </w:tr>
      <w:tr w:rsidR="007E365E" w:rsidRPr="00ED1971" w14:paraId="788B6C9F" w14:textId="77777777" w:rsidTr="007D1D77">
        <w:trPr>
          <w:trHeight w:val="315"/>
        </w:trPr>
        <w:tc>
          <w:tcPr>
            <w:tcW w:w="1480" w:type="dxa"/>
            <w:tcBorders>
              <w:top w:val="nil"/>
              <w:left w:val="nil"/>
              <w:bottom w:val="single" w:sz="4" w:space="0" w:color="ADD6EA"/>
              <w:right w:val="nil"/>
            </w:tcBorders>
            <w:shd w:val="clear" w:color="auto" w:fill="auto"/>
            <w:vAlign w:val="bottom"/>
            <w:hideMark/>
          </w:tcPr>
          <w:p w14:paraId="4FA379F1" w14:textId="77777777" w:rsidR="007E365E" w:rsidRPr="00ED1971" w:rsidRDefault="007E365E" w:rsidP="007D1D77">
            <w:pPr>
              <w:tabs>
                <w:tab w:val="clear" w:pos="567"/>
              </w:tabs>
              <w:spacing w:before="0" w:line="240" w:lineRule="auto"/>
              <w:rPr>
                <w:rFonts w:eastAsia="Times New Roman" w:cs="Open Sans Light"/>
                <w:sz w:val="16"/>
                <w:szCs w:val="16"/>
                <w:lang w:eastAsia="en-AU"/>
              </w:rPr>
            </w:pPr>
            <w:r w:rsidRPr="00ED1971">
              <w:rPr>
                <w:rFonts w:eastAsia="Times New Roman" w:cs="Open Sans Light"/>
                <w:sz w:val="16"/>
                <w:szCs w:val="16"/>
                <w:lang w:eastAsia="en-AU"/>
              </w:rPr>
              <w:t>$ per capita</w:t>
            </w:r>
          </w:p>
        </w:tc>
        <w:tc>
          <w:tcPr>
            <w:tcW w:w="820" w:type="dxa"/>
            <w:tcBorders>
              <w:top w:val="nil"/>
              <w:left w:val="nil"/>
              <w:bottom w:val="single" w:sz="4" w:space="0" w:color="ADD6EA"/>
              <w:right w:val="nil"/>
            </w:tcBorders>
            <w:shd w:val="clear" w:color="auto" w:fill="auto"/>
            <w:vAlign w:val="bottom"/>
            <w:hideMark/>
          </w:tcPr>
          <w:p w14:paraId="4D89E2F3"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-8,409</w:t>
            </w:r>
          </w:p>
        </w:tc>
        <w:tc>
          <w:tcPr>
            <w:tcW w:w="820" w:type="dxa"/>
            <w:tcBorders>
              <w:top w:val="nil"/>
              <w:left w:val="nil"/>
              <w:bottom w:val="single" w:sz="4" w:space="0" w:color="ADD6EA"/>
              <w:right w:val="nil"/>
            </w:tcBorders>
            <w:shd w:val="clear" w:color="auto" w:fill="auto"/>
            <w:vAlign w:val="bottom"/>
            <w:hideMark/>
          </w:tcPr>
          <w:p w14:paraId="3DD45A4C"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-3,382</w:t>
            </w:r>
          </w:p>
        </w:tc>
        <w:tc>
          <w:tcPr>
            <w:tcW w:w="820" w:type="dxa"/>
            <w:tcBorders>
              <w:top w:val="nil"/>
              <w:left w:val="nil"/>
              <w:bottom w:val="single" w:sz="4" w:space="0" w:color="ADD6EA"/>
              <w:right w:val="nil"/>
            </w:tcBorders>
            <w:shd w:val="clear" w:color="auto" w:fill="auto"/>
            <w:vAlign w:val="bottom"/>
            <w:hideMark/>
          </w:tcPr>
          <w:p w14:paraId="1698DD2B"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-5,107</w:t>
            </w:r>
          </w:p>
        </w:tc>
        <w:tc>
          <w:tcPr>
            <w:tcW w:w="820" w:type="dxa"/>
            <w:tcBorders>
              <w:top w:val="nil"/>
              <w:left w:val="nil"/>
              <w:bottom w:val="single" w:sz="4" w:space="0" w:color="ADD6EA"/>
              <w:right w:val="nil"/>
            </w:tcBorders>
            <w:shd w:val="clear" w:color="auto" w:fill="auto"/>
            <w:vAlign w:val="bottom"/>
            <w:hideMark/>
          </w:tcPr>
          <w:p w14:paraId="01698002"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-1,752</w:t>
            </w:r>
          </w:p>
        </w:tc>
        <w:tc>
          <w:tcPr>
            <w:tcW w:w="820" w:type="dxa"/>
            <w:tcBorders>
              <w:top w:val="nil"/>
              <w:left w:val="nil"/>
              <w:bottom w:val="single" w:sz="4" w:space="0" w:color="ADD6EA"/>
              <w:right w:val="nil"/>
            </w:tcBorders>
            <w:shd w:val="clear" w:color="auto" w:fill="auto"/>
            <w:vAlign w:val="bottom"/>
            <w:hideMark/>
          </w:tcPr>
          <w:p w14:paraId="476087D8"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-9,437</w:t>
            </w:r>
          </w:p>
        </w:tc>
        <w:tc>
          <w:tcPr>
            <w:tcW w:w="820" w:type="dxa"/>
            <w:tcBorders>
              <w:top w:val="nil"/>
              <w:left w:val="nil"/>
              <w:bottom w:val="single" w:sz="4" w:space="0" w:color="ADD6EA"/>
              <w:right w:val="nil"/>
            </w:tcBorders>
            <w:shd w:val="clear" w:color="auto" w:fill="auto"/>
            <w:vAlign w:val="bottom"/>
            <w:hideMark/>
          </w:tcPr>
          <w:p w14:paraId="5D484F5F"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-8,896</w:t>
            </w:r>
          </w:p>
        </w:tc>
        <w:tc>
          <w:tcPr>
            <w:tcW w:w="820" w:type="dxa"/>
            <w:tcBorders>
              <w:top w:val="nil"/>
              <w:left w:val="nil"/>
              <w:bottom w:val="single" w:sz="4" w:space="0" w:color="ADD6EA"/>
              <w:right w:val="nil"/>
            </w:tcBorders>
            <w:shd w:val="clear" w:color="auto" w:fill="auto"/>
            <w:vAlign w:val="bottom"/>
            <w:hideMark/>
          </w:tcPr>
          <w:p w14:paraId="3A19D604"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-20,889</w:t>
            </w:r>
          </w:p>
        </w:tc>
        <w:tc>
          <w:tcPr>
            <w:tcW w:w="820" w:type="dxa"/>
            <w:tcBorders>
              <w:top w:val="nil"/>
              <w:left w:val="nil"/>
              <w:bottom w:val="single" w:sz="4" w:space="0" w:color="ADD6EA"/>
              <w:right w:val="nil"/>
            </w:tcBorders>
            <w:shd w:val="clear" w:color="auto" w:fill="auto"/>
            <w:vAlign w:val="bottom"/>
            <w:hideMark/>
          </w:tcPr>
          <w:p w14:paraId="0C341D84"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-25,102</w:t>
            </w:r>
          </w:p>
        </w:tc>
        <w:tc>
          <w:tcPr>
            <w:tcW w:w="860" w:type="dxa"/>
            <w:tcBorders>
              <w:top w:val="nil"/>
              <w:left w:val="nil"/>
              <w:bottom w:val="single" w:sz="4" w:space="0" w:color="ADD6EA"/>
              <w:right w:val="nil"/>
            </w:tcBorders>
            <w:shd w:val="clear" w:color="auto" w:fill="auto"/>
            <w:vAlign w:val="bottom"/>
            <w:hideMark/>
          </w:tcPr>
          <w:p w14:paraId="465CFE0F" w14:textId="77777777" w:rsidR="007E365E" w:rsidRPr="00ED1971" w:rsidRDefault="007E365E" w:rsidP="007D1D77">
            <w:pPr>
              <w:tabs>
                <w:tab w:val="clear" w:pos="567"/>
              </w:tabs>
              <w:spacing w:before="0" w:line="240" w:lineRule="auto"/>
              <w:jc w:val="right"/>
              <w:rPr>
                <w:rFonts w:eastAsia="Times New Roman" w:cs="Open Sans Light"/>
                <w:sz w:val="16"/>
                <w:szCs w:val="16"/>
                <w:lang w:eastAsia="en-AU"/>
              </w:rPr>
            </w:pPr>
            <w:r w:rsidRPr="00ED1971">
              <w:rPr>
                <w:rFonts w:eastAsia="Times New Roman" w:cs="Open Sans Light"/>
                <w:sz w:val="16"/>
                <w:szCs w:val="16"/>
                <w:lang w:eastAsia="en-AU"/>
              </w:rPr>
              <w:t>-6,208</w:t>
            </w:r>
          </w:p>
        </w:tc>
      </w:tr>
    </w:tbl>
    <w:p w14:paraId="17D3148A" w14:textId="77777777" w:rsidR="007E365E" w:rsidRPr="00A30FBC" w:rsidRDefault="007E365E" w:rsidP="007E365E">
      <w:pPr>
        <w:pStyle w:val="CGCTablenote"/>
      </w:pPr>
      <w:r w:rsidRPr="00A30FBC">
        <w:t>Note:</w:t>
      </w:r>
      <w:r w:rsidRPr="00A30FBC">
        <w:tab/>
      </w:r>
      <w:r>
        <w:t>A</w:t>
      </w:r>
      <w:r w:rsidRPr="00302BC8">
        <w:t xml:space="preserve">ustralian </w:t>
      </w:r>
      <w:r>
        <w:t>B</w:t>
      </w:r>
      <w:r w:rsidRPr="00302BC8">
        <w:t xml:space="preserve">ureau of </w:t>
      </w:r>
      <w:r>
        <w:t>S</w:t>
      </w:r>
      <w:r w:rsidRPr="00302BC8">
        <w:t>tatistics</w:t>
      </w:r>
      <w:r>
        <w:t xml:space="preserve"> (</w:t>
      </w:r>
      <w:r w:rsidRPr="00F82513">
        <w:t>ABS</w:t>
      </w:r>
      <w:r>
        <w:t>)</w:t>
      </w:r>
      <w:r w:rsidRPr="00F82513">
        <w:t xml:space="preserve"> </w:t>
      </w:r>
      <w:r>
        <w:t>Government Finance Statistics (</w:t>
      </w:r>
      <w:r w:rsidRPr="00A30FBC">
        <w:t>GFS</w:t>
      </w:r>
      <w:r>
        <w:t>)</w:t>
      </w:r>
      <w:r w:rsidRPr="00A30FBC">
        <w:t xml:space="preserve"> general government </w:t>
      </w:r>
      <w:r>
        <w:t xml:space="preserve">(GG) </w:t>
      </w:r>
      <w:r w:rsidRPr="00A30FBC">
        <w:t>net borrowing and net financial assets at the end of each financial year as adjusted to treat housing and urban transport public</w:t>
      </w:r>
      <w:r>
        <w:t xml:space="preserve"> non-financial</w:t>
      </w:r>
      <w:r w:rsidRPr="00A30FBC">
        <w:t xml:space="preserve"> corporations</w:t>
      </w:r>
      <w:r>
        <w:t xml:space="preserve"> (PNFCs)</w:t>
      </w:r>
      <w:r w:rsidRPr="00A30FBC">
        <w:t xml:space="preserve"> as part of the </w:t>
      </w:r>
      <w:r>
        <w:t>GG</w:t>
      </w:r>
      <w:r w:rsidRPr="00A30FBC">
        <w:t xml:space="preserve"> sector. </w:t>
      </w:r>
    </w:p>
    <w:p w14:paraId="17C7A084" w14:textId="77777777" w:rsidR="007E365E" w:rsidRPr="00A30FBC" w:rsidRDefault="007E365E" w:rsidP="007E365E">
      <w:pPr>
        <w:pStyle w:val="CGCTablenote"/>
      </w:pPr>
      <w:r w:rsidRPr="00A30FBC">
        <w:t>Source:</w:t>
      </w:r>
      <w:r w:rsidRPr="00A30FBC">
        <w:tab/>
        <w:t>Commission calculation using ABS GFS and State provided data.</w:t>
      </w:r>
    </w:p>
    <w:p w14:paraId="6065AC23" w14:textId="3DDC487E" w:rsidR="007E365E" w:rsidRDefault="007E365E" w:rsidP="007E365E">
      <w:pPr>
        <w:pStyle w:val="Caption"/>
      </w:pPr>
      <w:bookmarkStart w:id="453" w:name="_Ref5094405"/>
      <w:r w:rsidRPr="00CE6810">
        <w:t xml:space="preserve">Table </w:t>
      </w:r>
      <w:r>
        <w:t>25-</w:t>
      </w:r>
      <w:fldSimple w:instr=" SEQ Table \* ARABIC ">
        <w:r w:rsidR="007F721A">
          <w:rPr>
            <w:noProof/>
          </w:rPr>
          <w:t>2</w:t>
        </w:r>
      </w:fldSimple>
      <w:bookmarkEnd w:id="453"/>
      <w:r w:rsidRPr="00CE6810">
        <w:tab/>
      </w:r>
      <w:r>
        <w:t>N</w:t>
      </w:r>
      <w:r w:rsidRPr="00CE6810">
        <w:t xml:space="preserve">et borrowing and net financial assets, </w:t>
      </w:r>
      <w:r>
        <w:t xml:space="preserve">all States, </w:t>
      </w:r>
      <w:r w:rsidRPr="00CE6810">
        <w:t>201</w:t>
      </w:r>
      <w:r>
        <w:t>5-16</w:t>
      </w:r>
      <w:r w:rsidRPr="00CE6810">
        <w:t xml:space="preserve"> to </w:t>
      </w:r>
      <w:r>
        <w:t>2018-19</w:t>
      </w:r>
    </w:p>
    <w:tbl>
      <w:tblPr>
        <w:tblW w:w="8960" w:type="dxa"/>
        <w:tblCellMar>
          <w:right w:w="28" w:type="dxa"/>
        </w:tblCellMar>
        <w:tblLook w:val="04A0" w:firstRow="1" w:lastRow="0" w:firstColumn="1" w:lastColumn="0" w:noHBand="0" w:noVBand="1"/>
      </w:tblPr>
      <w:tblGrid>
        <w:gridCol w:w="4120"/>
        <w:gridCol w:w="1180"/>
        <w:gridCol w:w="1220"/>
        <w:gridCol w:w="1220"/>
        <w:gridCol w:w="1220"/>
      </w:tblGrid>
      <w:tr w:rsidR="007E365E" w:rsidRPr="00D727C4" w14:paraId="4341F882" w14:textId="77777777" w:rsidTr="007D1D77">
        <w:trPr>
          <w:trHeight w:val="375"/>
        </w:trPr>
        <w:tc>
          <w:tcPr>
            <w:tcW w:w="4120" w:type="dxa"/>
            <w:tcBorders>
              <w:top w:val="nil"/>
              <w:left w:val="nil"/>
              <w:bottom w:val="nil"/>
              <w:right w:val="nil"/>
            </w:tcBorders>
            <w:shd w:val="clear" w:color="000000" w:fill="006991"/>
            <w:noWrap/>
            <w:vAlign w:val="center"/>
            <w:hideMark/>
          </w:tcPr>
          <w:p w14:paraId="37899FCB" w14:textId="77777777" w:rsidR="007E365E" w:rsidRPr="00D727C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27C4">
              <w:rPr>
                <w:rFonts w:ascii="Open Sans SemiBold" w:eastAsia="Times New Roman" w:hAnsi="Open Sans SemiBold" w:cs="Open Sans SemiBold"/>
                <w:color w:val="FFFFFF"/>
                <w:sz w:val="16"/>
                <w:szCs w:val="16"/>
                <w:lang w:eastAsia="en-AU"/>
              </w:rPr>
              <w:t> </w:t>
            </w:r>
          </w:p>
        </w:tc>
        <w:tc>
          <w:tcPr>
            <w:tcW w:w="1180" w:type="dxa"/>
            <w:tcBorders>
              <w:top w:val="nil"/>
              <w:left w:val="nil"/>
              <w:bottom w:val="nil"/>
              <w:right w:val="nil"/>
            </w:tcBorders>
            <w:shd w:val="clear" w:color="000000" w:fill="006991"/>
            <w:noWrap/>
            <w:vAlign w:val="center"/>
            <w:hideMark/>
          </w:tcPr>
          <w:p w14:paraId="35C409DC" w14:textId="77777777" w:rsidR="007E365E" w:rsidRPr="00D727C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27C4">
              <w:rPr>
                <w:rFonts w:ascii="Open Sans SemiBold" w:eastAsia="Times New Roman" w:hAnsi="Open Sans SemiBold" w:cs="Open Sans SemiBold"/>
                <w:color w:val="FFFFFF"/>
                <w:sz w:val="16"/>
                <w:szCs w:val="16"/>
                <w:lang w:eastAsia="en-AU"/>
              </w:rPr>
              <w:t>2015-16</w:t>
            </w:r>
          </w:p>
        </w:tc>
        <w:tc>
          <w:tcPr>
            <w:tcW w:w="1220" w:type="dxa"/>
            <w:tcBorders>
              <w:top w:val="nil"/>
              <w:left w:val="nil"/>
              <w:bottom w:val="nil"/>
              <w:right w:val="nil"/>
            </w:tcBorders>
            <w:shd w:val="clear" w:color="000000" w:fill="006991"/>
            <w:noWrap/>
            <w:vAlign w:val="center"/>
            <w:hideMark/>
          </w:tcPr>
          <w:p w14:paraId="3CBB11F7" w14:textId="77777777" w:rsidR="007E365E" w:rsidRPr="00D727C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27C4">
              <w:rPr>
                <w:rFonts w:ascii="Open Sans SemiBold" w:eastAsia="Times New Roman" w:hAnsi="Open Sans SemiBold" w:cs="Open Sans SemiBold"/>
                <w:color w:val="FFFFFF"/>
                <w:sz w:val="16"/>
                <w:szCs w:val="16"/>
                <w:lang w:eastAsia="en-AU"/>
              </w:rPr>
              <w:t>2016-17</w:t>
            </w:r>
          </w:p>
        </w:tc>
        <w:tc>
          <w:tcPr>
            <w:tcW w:w="1220" w:type="dxa"/>
            <w:tcBorders>
              <w:top w:val="nil"/>
              <w:left w:val="nil"/>
              <w:bottom w:val="nil"/>
              <w:right w:val="nil"/>
            </w:tcBorders>
            <w:shd w:val="clear" w:color="000000" w:fill="006991"/>
            <w:noWrap/>
            <w:vAlign w:val="center"/>
            <w:hideMark/>
          </w:tcPr>
          <w:p w14:paraId="6FAD10C9" w14:textId="77777777" w:rsidR="007E365E" w:rsidRPr="00D727C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27C4">
              <w:rPr>
                <w:rFonts w:ascii="Open Sans SemiBold" w:eastAsia="Times New Roman" w:hAnsi="Open Sans SemiBold" w:cs="Open Sans SemiBold"/>
                <w:color w:val="FFFFFF"/>
                <w:sz w:val="16"/>
                <w:szCs w:val="16"/>
                <w:lang w:eastAsia="en-AU"/>
              </w:rPr>
              <w:t>2017-18</w:t>
            </w:r>
          </w:p>
        </w:tc>
        <w:tc>
          <w:tcPr>
            <w:tcW w:w="1220" w:type="dxa"/>
            <w:tcBorders>
              <w:top w:val="nil"/>
              <w:left w:val="nil"/>
              <w:bottom w:val="nil"/>
              <w:right w:val="nil"/>
            </w:tcBorders>
            <w:shd w:val="clear" w:color="000000" w:fill="006991"/>
            <w:noWrap/>
            <w:vAlign w:val="center"/>
            <w:hideMark/>
          </w:tcPr>
          <w:p w14:paraId="5D69E9FA" w14:textId="77777777" w:rsidR="007E365E" w:rsidRPr="00D727C4"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727C4">
              <w:rPr>
                <w:rFonts w:ascii="Open Sans SemiBold" w:eastAsia="Times New Roman" w:hAnsi="Open Sans SemiBold" w:cs="Open Sans SemiBold"/>
                <w:color w:val="FFFFFF"/>
                <w:sz w:val="16"/>
                <w:szCs w:val="16"/>
                <w:lang w:eastAsia="en-AU"/>
              </w:rPr>
              <w:t>2018-19</w:t>
            </w:r>
          </w:p>
        </w:tc>
      </w:tr>
      <w:tr w:rsidR="007E365E" w:rsidRPr="00D727C4" w14:paraId="66BEDB9E" w14:textId="77777777" w:rsidTr="007D1D77">
        <w:trPr>
          <w:trHeight w:val="315"/>
        </w:trPr>
        <w:tc>
          <w:tcPr>
            <w:tcW w:w="4120" w:type="dxa"/>
            <w:tcBorders>
              <w:top w:val="single" w:sz="4" w:space="0" w:color="ADD6EA"/>
              <w:left w:val="nil"/>
              <w:bottom w:val="single" w:sz="4" w:space="0" w:color="ADD6EA"/>
              <w:right w:val="nil"/>
            </w:tcBorders>
            <w:shd w:val="clear" w:color="auto" w:fill="auto"/>
            <w:vAlign w:val="bottom"/>
            <w:hideMark/>
          </w:tcPr>
          <w:p w14:paraId="54E76127" w14:textId="77777777" w:rsidR="007E365E" w:rsidRPr="00D727C4" w:rsidRDefault="007E365E" w:rsidP="007D1D77">
            <w:pPr>
              <w:tabs>
                <w:tab w:val="clear" w:pos="567"/>
              </w:tabs>
              <w:spacing w:before="0" w:line="240" w:lineRule="auto"/>
              <w:rPr>
                <w:rFonts w:eastAsia="Times New Roman" w:cs="Open Sans Light"/>
                <w:sz w:val="16"/>
                <w:szCs w:val="16"/>
                <w:lang w:eastAsia="en-AU"/>
              </w:rPr>
            </w:pPr>
            <w:r w:rsidRPr="00D727C4">
              <w:rPr>
                <w:rFonts w:eastAsia="Times New Roman" w:cs="Open Sans Light"/>
                <w:sz w:val="16"/>
                <w:szCs w:val="16"/>
                <w:lang w:eastAsia="en-AU"/>
              </w:rPr>
              <w:t>Net borrowing ($m)</w:t>
            </w:r>
          </w:p>
        </w:tc>
        <w:tc>
          <w:tcPr>
            <w:tcW w:w="1180" w:type="dxa"/>
            <w:tcBorders>
              <w:top w:val="single" w:sz="4" w:space="0" w:color="ADD6EA"/>
              <w:left w:val="nil"/>
              <w:bottom w:val="single" w:sz="4" w:space="0" w:color="ADD6EA"/>
              <w:right w:val="nil"/>
            </w:tcBorders>
            <w:shd w:val="clear" w:color="auto" w:fill="auto"/>
            <w:vAlign w:val="bottom"/>
            <w:hideMark/>
          </w:tcPr>
          <w:p w14:paraId="4B86EB69" w14:textId="77777777" w:rsidR="007E365E" w:rsidRPr="00D727C4" w:rsidRDefault="007E365E" w:rsidP="007D1D77">
            <w:pPr>
              <w:tabs>
                <w:tab w:val="clear" w:pos="567"/>
              </w:tabs>
              <w:spacing w:before="0" w:line="240" w:lineRule="auto"/>
              <w:jc w:val="right"/>
              <w:rPr>
                <w:rFonts w:eastAsia="Times New Roman" w:cs="Open Sans Light"/>
                <w:sz w:val="16"/>
                <w:szCs w:val="16"/>
                <w:lang w:eastAsia="en-AU"/>
              </w:rPr>
            </w:pPr>
            <w:r w:rsidRPr="00D727C4">
              <w:rPr>
                <w:rFonts w:eastAsia="Times New Roman" w:cs="Open Sans Light"/>
                <w:sz w:val="16"/>
                <w:szCs w:val="16"/>
                <w:lang w:eastAsia="en-AU"/>
              </w:rPr>
              <w:t>7,712</w:t>
            </w:r>
          </w:p>
        </w:tc>
        <w:tc>
          <w:tcPr>
            <w:tcW w:w="1220" w:type="dxa"/>
            <w:tcBorders>
              <w:top w:val="single" w:sz="4" w:space="0" w:color="ADD6EA"/>
              <w:left w:val="nil"/>
              <w:bottom w:val="single" w:sz="4" w:space="0" w:color="ADD6EA"/>
              <w:right w:val="nil"/>
            </w:tcBorders>
            <w:shd w:val="clear" w:color="auto" w:fill="auto"/>
            <w:vAlign w:val="bottom"/>
            <w:hideMark/>
          </w:tcPr>
          <w:p w14:paraId="1201F79C" w14:textId="77777777" w:rsidR="007E365E" w:rsidRPr="00D727C4" w:rsidRDefault="007E365E" w:rsidP="007D1D77">
            <w:pPr>
              <w:tabs>
                <w:tab w:val="clear" w:pos="567"/>
              </w:tabs>
              <w:spacing w:before="0" w:line="240" w:lineRule="auto"/>
              <w:jc w:val="right"/>
              <w:rPr>
                <w:rFonts w:eastAsia="Times New Roman" w:cs="Open Sans Light"/>
                <w:sz w:val="16"/>
                <w:szCs w:val="16"/>
                <w:lang w:eastAsia="en-AU"/>
              </w:rPr>
            </w:pPr>
            <w:r w:rsidRPr="00D727C4">
              <w:rPr>
                <w:rFonts w:eastAsia="Times New Roman" w:cs="Open Sans Light"/>
                <w:sz w:val="16"/>
                <w:szCs w:val="16"/>
                <w:lang w:eastAsia="en-AU"/>
              </w:rPr>
              <w:t>10,870</w:t>
            </w:r>
          </w:p>
        </w:tc>
        <w:tc>
          <w:tcPr>
            <w:tcW w:w="1220" w:type="dxa"/>
            <w:tcBorders>
              <w:top w:val="single" w:sz="4" w:space="0" w:color="ADD6EA"/>
              <w:left w:val="nil"/>
              <w:bottom w:val="single" w:sz="4" w:space="0" w:color="ADD6EA"/>
              <w:right w:val="nil"/>
            </w:tcBorders>
            <w:shd w:val="clear" w:color="auto" w:fill="auto"/>
            <w:vAlign w:val="bottom"/>
            <w:hideMark/>
          </w:tcPr>
          <w:p w14:paraId="7084D4B1" w14:textId="77777777" w:rsidR="007E365E" w:rsidRPr="00D727C4" w:rsidRDefault="007E365E" w:rsidP="007D1D77">
            <w:pPr>
              <w:tabs>
                <w:tab w:val="clear" w:pos="567"/>
              </w:tabs>
              <w:spacing w:before="0" w:line="240" w:lineRule="auto"/>
              <w:jc w:val="right"/>
              <w:rPr>
                <w:rFonts w:eastAsia="Times New Roman" w:cs="Open Sans Light"/>
                <w:sz w:val="16"/>
                <w:szCs w:val="16"/>
                <w:lang w:eastAsia="en-AU"/>
              </w:rPr>
            </w:pPr>
            <w:r w:rsidRPr="00D727C4">
              <w:rPr>
                <w:rFonts w:eastAsia="Times New Roman" w:cs="Open Sans Light"/>
                <w:sz w:val="16"/>
                <w:szCs w:val="16"/>
                <w:lang w:eastAsia="en-AU"/>
              </w:rPr>
              <w:t>15,980</w:t>
            </w:r>
          </w:p>
        </w:tc>
        <w:tc>
          <w:tcPr>
            <w:tcW w:w="1220" w:type="dxa"/>
            <w:tcBorders>
              <w:top w:val="single" w:sz="4" w:space="0" w:color="ADD6EA"/>
              <w:left w:val="nil"/>
              <w:bottom w:val="single" w:sz="4" w:space="0" w:color="ADD6EA"/>
              <w:right w:val="nil"/>
            </w:tcBorders>
            <w:shd w:val="clear" w:color="auto" w:fill="auto"/>
            <w:vAlign w:val="bottom"/>
            <w:hideMark/>
          </w:tcPr>
          <w:p w14:paraId="32E06CE8" w14:textId="77777777" w:rsidR="007E365E" w:rsidRPr="00D727C4" w:rsidRDefault="007E365E" w:rsidP="007D1D77">
            <w:pPr>
              <w:tabs>
                <w:tab w:val="clear" w:pos="567"/>
              </w:tabs>
              <w:spacing w:before="0" w:line="240" w:lineRule="auto"/>
              <w:jc w:val="right"/>
              <w:rPr>
                <w:rFonts w:eastAsia="Times New Roman" w:cs="Open Sans Light"/>
                <w:sz w:val="16"/>
                <w:szCs w:val="16"/>
                <w:lang w:eastAsia="en-AU"/>
              </w:rPr>
            </w:pPr>
            <w:r w:rsidRPr="00D727C4">
              <w:rPr>
                <w:rFonts w:eastAsia="Times New Roman" w:cs="Open Sans Light"/>
                <w:sz w:val="16"/>
                <w:szCs w:val="16"/>
                <w:lang w:eastAsia="en-AU"/>
              </w:rPr>
              <w:t>19,311</w:t>
            </w:r>
          </w:p>
        </w:tc>
      </w:tr>
      <w:tr w:rsidR="007E365E" w:rsidRPr="00D727C4" w14:paraId="696C683B" w14:textId="77777777" w:rsidTr="007D1D77">
        <w:trPr>
          <w:trHeight w:val="315"/>
        </w:trPr>
        <w:tc>
          <w:tcPr>
            <w:tcW w:w="4120" w:type="dxa"/>
            <w:tcBorders>
              <w:top w:val="nil"/>
              <w:left w:val="nil"/>
              <w:bottom w:val="single" w:sz="4" w:space="0" w:color="ADD6EA"/>
              <w:right w:val="nil"/>
            </w:tcBorders>
            <w:shd w:val="clear" w:color="auto" w:fill="auto"/>
            <w:vAlign w:val="bottom"/>
            <w:hideMark/>
          </w:tcPr>
          <w:p w14:paraId="42FC2659" w14:textId="77777777" w:rsidR="007E365E" w:rsidRPr="00D727C4" w:rsidRDefault="007E365E" w:rsidP="007D1D77">
            <w:pPr>
              <w:tabs>
                <w:tab w:val="clear" w:pos="567"/>
              </w:tabs>
              <w:spacing w:before="0" w:line="240" w:lineRule="auto"/>
              <w:rPr>
                <w:rFonts w:eastAsia="Times New Roman" w:cs="Open Sans Light"/>
                <w:sz w:val="16"/>
                <w:szCs w:val="16"/>
                <w:lang w:eastAsia="en-AU"/>
              </w:rPr>
            </w:pPr>
            <w:r w:rsidRPr="00D727C4">
              <w:rPr>
                <w:rFonts w:eastAsia="Times New Roman" w:cs="Open Sans Light"/>
                <w:sz w:val="16"/>
                <w:szCs w:val="16"/>
                <w:lang w:eastAsia="en-AU"/>
              </w:rPr>
              <w:t>Net financial assets ($m)</w:t>
            </w:r>
          </w:p>
        </w:tc>
        <w:tc>
          <w:tcPr>
            <w:tcW w:w="1180" w:type="dxa"/>
            <w:tcBorders>
              <w:top w:val="nil"/>
              <w:left w:val="nil"/>
              <w:bottom w:val="single" w:sz="4" w:space="0" w:color="ADD6EA"/>
              <w:right w:val="nil"/>
            </w:tcBorders>
            <w:shd w:val="clear" w:color="auto" w:fill="auto"/>
            <w:vAlign w:val="bottom"/>
            <w:hideMark/>
          </w:tcPr>
          <w:p w14:paraId="5E57F807" w14:textId="77777777" w:rsidR="007E365E" w:rsidRPr="00D727C4" w:rsidRDefault="007E365E" w:rsidP="007D1D77">
            <w:pPr>
              <w:tabs>
                <w:tab w:val="clear" w:pos="567"/>
              </w:tabs>
              <w:spacing w:before="0" w:line="240" w:lineRule="auto"/>
              <w:jc w:val="right"/>
              <w:rPr>
                <w:rFonts w:eastAsia="Times New Roman" w:cs="Open Sans Light"/>
                <w:sz w:val="16"/>
                <w:szCs w:val="16"/>
                <w:lang w:eastAsia="en-AU"/>
              </w:rPr>
            </w:pPr>
            <w:r w:rsidRPr="00D727C4">
              <w:rPr>
                <w:rFonts w:eastAsia="Times New Roman" w:cs="Open Sans Light"/>
                <w:sz w:val="16"/>
                <w:szCs w:val="16"/>
                <w:lang w:eastAsia="en-AU"/>
              </w:rPr>
              <w:t>-126,467</w:t>
            </w:r>
          </w:p>
        </w:tc>
        <w:tc>
          <w:tcPr>
            <w:tcW w:w="1220" w:type="dxa"/>
            <w:tcBorders>
              <w:top w:val="nil"/>
              <w:left w:val="nil"/>
              <w:bottom w:val="single" w:sz="4" w:space="0" w:color="ADD6EA"/>
              <w:right w:val="nil"/>
            </w:tcBorders>
            <w:shd w:val="clear" w:color="auto" w:fill="auto"/>
            <w:vAlign w:val="bottom"/>
            <w:hideMark/>
          </w:tcPr>
          <w:p w14:paraId="6FD2FA42" w14:textId="77777777" w:rsidR="007E365E" w:rsidRPr="00D727C4" w:rsidRDefault="007E365E" w:rsidP="007D1D77">
            <w:pPr>
              <w:tabs>
                <w:tab w:val="clear" w:pos="567"/>
              </w:tabs>
              <w:spacing w:before="0" w:line="240" w:lineRule="auto"/>
              <w:jc w:val="right"/>
              <w:rPr>
                <w:rFonts w:eastAsia="Times New Roman" w:cs="Open Sans Light"/>
                <w:sz w:val="16"/>
                <w:szCs w:val="16"/>
                <w:lang w:eastAsia="en-AU"/>
              </w:rPr>
            </w:pPr>
            <w:r w:rsidRPr="00D727C4">
              <w:rPr>
                <w:rFonts w:eastAsia="Times New Roman" w:cs="Open Sans Light"/>
                <w:sz w:val="16"/>
                <w:szCs w:val="16"/>
                <w:lang w:eastAsia="en-AU"/>
              </w:rPr>
              <w:t>-81,869</w:t>
            </w:r>
          </w:p>
        </w:tc>
        <w:tc>
          <w:tcPr>
            <w:tcW w:w="1220" w:type="dxa"/>
            <w:tcBorders>
              <w:top w:val="nil"/>
              <w:left w:val="nil"/>
              <w:bottom w:val="single" w:sz="4" w:space="0" w:color="ADD6EA"/>
              <w:right w:val="nil"/>
            </w:tcBorders>
            <w:shd w:val="clear" w:color="auto" w:fill="auto"/>
            <w:vAlign w:val="bottom"/>
            <w:hideMark/>
          </w:tcPr>
          <w:p w14:paraId="0BD7AE64" w14:textId="77777777" w:rsidR="007E365E" w:rsidRPr="00D727C4" w:rsidRDefault="007E365E" w:rsidP="007D1D77">
            <w:pPr>
              <w:tabs>
                <w:tab w:val="clear" w:pos="567"/>
              </w:tabs>
              <w:spacing w:before="0" w:line="240" w:lineRule="auto"/>
              <w:jc w:val="right"/>
              <w:rPr>
                <w:rFonts w:eastAsia="Times New Roman" w:cs="Open Sans Light"/>
                <w:sz w:val="16"/>
                <w:szCs w:val="16"/>
                <w:lang w:eastAsia="en-AU"/>
              </w:rPr>
            </w:pPr>
            <w:r w:rsidRPr="00D727C4">
              <w:rPr>
                <w:rFonts w:eastAsia="Times New Roman" w:cs="Open Sans Light"/>
                <w:sz w:val="16"/>
                <w:szCs w:val="16"/>
                <w:lang w:eastAsia="en-AU"/>
              </w:rPr>
              <w:t>-90,128</w:t>
            </w:r>
          </w:p>
        </w:tc>
        <w:tc>
          <w:tcPr>
            <w:tcW w:w="1220" w:type="dxa"/>
            <w:tcBorders>
              <w:top w:val="nil"/>
              <w:left w:val="nil"/>
              <w:bottom w:val="single" w:sz="4" w:space="0" w:color="ADD6EA"/>
              <w:right w:val="nil"/>
            </w:tcBorders>
            <w:shd w:val="clear" w:color="auto" w:fill="auto"/>
            <w:vAlign w:val="bottom"/>
            <w:hideMark/>
          </w:tcPr>
          <w:p w14:paraId="6C49E1E8" w14:textId="77777777" w:rsidR="007E365E" w:rsidRPr="00D727C4" w:rsidRDefault="007E365E" w:rsidP="007D1D77">
            <w:pPr>
              <w:tabs>
                <w:tab w:val="clear" w:pos="567"/>
              </w:tabs>
              <w:spacing w:before="0" w:line="240" w:lineRule="auto"/>
              <w:jc w:val="right"/>
              <w:rPr>
                <w:rFonts w:eastAsia="Times New Roman" w:cs="Open Sans Light"/>
                <w:sz w:val="16"/>
                <w:szCs w:val="16"/>
                <w:lang w:eastAsia="en-AU"/>
              </w:rPr>
            </w:pPr>
            <w:r w:rsidRPr="00D727C4">
              <w:rPr>
                <w:rFonts w:eastAsia="Times New Roman" w:cs="Open Sans Light"/>
                <w:sz w:val="16"/>
                <w:szCs w:val="16"/>
                <w:lang w:eastAsia="en-AU"/>
              </w:rPr>
              <w:t>-156,216</w:t>
            </w:r>
          </w:p>
        </w:tc>
      </w:tr>
    </w:tbl>
    <w:p w14:paraId="7EE78F73" w14:textId="77777777" w:rsidR="007E365E" w:rsidRPr="00A30FBC" w:rsidRDefault="007E365E" w:rsidP="007E365E">
      <w:pPr>
        <w:pStyle w:val="CGCTablenote"/>
      </w:pPr>
      <w:r w:rsidRPr="00A30FBC">
        <w:t xml:space="preserve">Notes: </w:t>
      </w:r>
      <w:r w:rsidRPr="00A30FBC">
        <w:tab/>
        <w:t>Net borrowing reduces net financial assets.</w:t>
      </w:r>
    </w:p>
    <w:p w14:paraId="14771DD3" w14:textId="77777777" w:rsidR="007E365E" w:rsidRPr="00A30FBC" w:rsidRDefault="007E365E" w:rsidP="007E365E">
      <w:pPr>
        <w:pStyle w:val="CGCTablenote"/>
      </w:pPr>
      <w:r w:rsidRPr="00A30FBC">
        <w:tab/>
        <w:t xml:space="preserve">ABS GFS general government net borrowing and net financial assets at the end of each financial year as adjusted to treat housing and urban transport </w:t>
      </w:r>
      <w:r>
        <w:t>PNFCs</w:t>
      </w:r>
      <w:r w:rsidRPr="00A30FBC">
        <w:t xml:space="preserve"> as part of the </w:t>
      </w:r>
      <w:r>
        <w:t>GG</w:t>
      </w:r>
      <w:r w:rsidRPr="00A30FBC">
        <w:t xml:space="preserve"> sector. </w:t>
      </w:r>
    </w:p>
    <w:p w14:paraId="38BFE29F" w14:textId="77777777" w:rsidR="007E365E" w:rsidRPr="00A30FBC" w:rsidRDefault="007E365E" w:rsidP="007E365E">
      <w:pPr>
        <w:pStyle w:val="CGCTablenote"/>
      </w:pPr>
      <w:r w:rsidRPr="00A30FBC">
        <w:t>Source:</w:t>
      </w:r>
      <w:r w:rsidRPr="00A30FBC">
        <w:tab/>
        <w:t>Commission calculation using ABS GFS and State provided data.</w:t>
      </w:r>
    </w:p>
    <w:p w14:paraId="3465C5BB" w14:textId="77777777" w:rsidR="007E365E" w:rsidRPr="00CE6810" w:rsidRDefault="007E365E" w:rsidP="007E365E">
      <w:pPr>
        <w:pStyle w:val="Heading4"/>
      </w:pPr>
      <w:r w:rsidRPr="00CE6810">
        <w:t>State outcomes</w:t>
      </w:r>
    </w:p>
    <w:p w14:paraId="3F5F53DA" w14:textId="69701149" w:rsidR="007E365E" w:rsidRPr="00CE6810" w:rsidRDefault="007E365E" w:rsidP="007E365E">
      <w:pPr>
        <w:pStyle w:val="CGCParaNumber"/>
      </w:pPr>
      <w:r w:rsidRPr="00CE6810">
        <w:t xml:space="preserve">States require physical assets out of which to deliver recurrent services, such as hospitals, schools and social housing, as well as transport networks such as roads and urban transport systems. New or improved physical assets are funded out of operating surpluses, or if these are insufficient, by the addition of borrowings. </w:t>
      </w:r>
      <w:r w:rsidRPr="00CE6810">
        <w:fldChar w:fldCharType="begin"/>
      </w:r>
      <w:r w:rsidRPr="00CE6810">
        <w:instrText xml:space="preserve"> REF _Ref485713746 \h </w:instrText>
      </w:r>
      <w:r>
        <w:instrText xml:space="preserve"> \* MERGEFORMAT </w:instrText>
      </w:r>
      <w:r w:rsidRPr="00CE6810">
        <w:fldChar w:fldCharType="separate"/>
      </w:r>
      <w:r w:rsidR="007F721A" w:rsidRPr="00CE6810">
        <w:t xml:space="preserve">Figure </w:t>
      </w:r>
      <w:r w:rsidR="007F721A">
        <w:rPr>
          <w:noProof/>
        </w:rPr>
        <w:t>25-6</w:t>
      </w:r>
      <w:r w:rsidRPr="00CE6810">
        <w:fldChar w:fldCharType="end"/>
      </w:r>
      <w:r w:rsidRPr="00CE6810">
        <w:t xml:space="preserve"> shows that States have been net borrowers since the global financial crisis (GFC). The housing and urban transport PNFCs have been net borrowers for at least the last four years, as have the remainder of State PNFCs, leading the net borrowing of the State services assessed by the Commission to lie between that of the general government (GG) sector, and the total public sector. Before the GFC, States, both as GG and as total public sectors, were net lenders or borrowers at different times. </w:t>
      </w:r>
    </w:p>
    <w:p w14:paraId="47209F85" w14:textId="299DAA45" w:rsidR="007E365E" w:rsidRDefault="007E365E" w:rsidP="007E365E">
      <w:pPr>
        <w:pStyle w:val="Caption"/>
      </w:pPr>
      <w:bookmarkStart w:id="454" w:name="_Ref485713746"/>
      <w:r w:rsidRPr="00CE6810">
        <w:lastRenderedPageBreak/>
        <w:t xml:space="preserve">Figure </w:t>
      </w:r>
      <w:r>
        <w:t>25-</w:t>
      </w:r>
      <w:r w:rsidRPr="00CE6810">
        <w:rPr>
          <w:noProof/>
        </w:rPr>
        <w:fldChar w:fldCharType="begin"/>
      </w:r>
      <w:r w:rsidRPr="00CE6810">
        <w:rPr>
          <w:noProof/>
        </w:rPr>
        <w:instrText xml:space="preserve"> SEQ Figure \* ARABIC </w:instrText>
      </w:r>
      <w:r w:rsidRPr="00CE6810">
        <w:rPr>
          <w:noProof/>
        </w:rPr>
        <w:fldChar w:fldCharType="separate"/>
      </w:r>
      <w:r w:rsidR="007F721A">
        <w:rPr>
          <w:noProof/>
        </w:rPr>
        <w:t>6</w:t>
      </w:r>
      <w:r w:rsidRPr="00CE6810">
        <w:rPr>
          <w:noProof/>
        </w:rPr>
        <w:fldChar w:fldCharType="end"/>
      </w:r>
      <w:bookmarkEnd w:id="454"/>
      <w:r w:rsidRPr="00CE6810">
        <w:tab/>
        <w:t xml:space="preserve">Net borrowing, </w:t>
      </w:r>
      <w:r>
        <w:t>general government, total public sector and services within the scope of Commission assessments, 1999-2000</w:t>
      </w:r>
      <w:r w:rsidRPr="00CE6810">
        <w:t xml:space="preserve"> to 2017-18</w:t>
      </w:r>
    </w:p>
    <w:p w14:paraId="49949C8A" w14:textId="77777777" w:rsidR="007E365E" w:rsidRDefault="007E365E" w:rsidP="007E365E">
      <w:r>
        <w:rPr>
          <w:noProof/>
        </w:rPr>
        <w:drawing>
          <wp:inline distT="0" distB="0" distL="0" distR="0" wp14:anchorId="6EF3CD60" wp14:editId="1A1AC60D">
            <wp:extent cx="5652000" cy="3564000"/>
            <wp:effectExtent l="0" t="0" r="6350" b="17780"/>
            <wp:docPr id="3" name="Chart 3" descr="Line graph comparing net borrowing in the general government sector, total public sector and net borrowing within scope of the Commissions assessments from 1999-2000 to 2017-18. Noting that the net borrowing within scope of the Commissions assessments is only available from 2010-11.">
              <a:extLst xmlns:a="http://schemas.openxmlformats.org/drawingml/2006/main">
                <a:ext uri="{FF2B5EF4-FFF2-40B4-BE49-F238E27FC236}">
                  <a16:creationId xmlns:a16="http://schemas.microsoft.com/office/drawing/2014/main" id="{3D5D2682-7E04-45E6-9177-F20C45204D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5463133" w14:textId="77777777" w:rsidR="007E365E" w:rsidRPr="00CE6810" w:rsidRDefault="007E365E" w:rsidP="007E365E">
      <w:pPr>
        <w:pStyle w:val="CGCTablenote"/>
      </w:pPr>
      <w:r w:rsidRPr="00CE6810">
        <w:t xml:space="preserve">Source: </w:t>
      </w:r>
      <w:r w:rsidRPr="00CE6810">
        <w:tab/>
        <w:t xml:space="preserve">ABS, 5512.0 Government Finance Statistics, Australia. </w:t>
      </w:r>
    </w:p>
    <w:p w14:paraId="50DA4DEA" w14:textId="77777777" w:rsidR="007E365E" w:rsidRPr="00CE6810" w:rsidRDefault="007E365E" w:rsidP="007E365E">
      <w:pPr>
        <w:pStyle w:val="Heading4"/>
      </w:pPr>
      <w:r w:rsidRPr="00CE6810">
        <w:t xml:space="preserve">Commonwealth roles and responsibilities </w:t>
      </w:r>
    </w:p>
    <w:p w14:paraId="61EBE26C" w14:textId="77777777" w:rsidR="007E365E" w:rsidRPr="00CE6810" w:rsidRDefault="007E365E" w:rsidP="007E365E">
      <w:pPr>
        <w:pStyle w:val="CGCParaNumber"/>
      </w:pPr>
      <w:r w:rsidRPr="00CE6810">
        <w:t xml:space="preserve">The Commonwealth does not regularly financially support a State’s acquisition of net financial worth. However, occasionally assets are transferred from the Commonwealth to States or payments are made to government trading entities which affect the level of non-financial and final net borrowing outcomes. This was the case in 2016-17 with the transfer of the Mersey hospital from the Commonwealth to Tasmania and associated upfront payment to Public Finance Corporation (TasCorp) to support the transfer and operation of the hospital for a fixed period. </w:t>
      </w:r>
    </w:p>
    <w:p w14:paraId="315A2FF6" w14:textId="77777777" w:rsidR="007E365E" w:rsidRPr="00CE6810" w:rsidRDefault="007E365E" w:rsidP="007E365E">
      <w:pPr>
        <w:pStyle w:val="CGCParaNumber"/>
      </w:pPr>
      <w:r w:rsidRPr="00CE6810">
        <w:t xml:space="preserve">There were no such payments in 2018-19. The complete list of Commonwealth payments and their treatment is available on the </w:t>
      </w:r>
      <w:hyperlink r:id="rId50" w:history="1">
        <w:r w:rsidRPr="00CE6810">
          <w:rPr>
            <w:rStyle w:val="Hyperlink"/>
          </w:rPr>
          <w:t>Commission website</w:t>
        </w:r>
      </w:hyperlink>
      <w:r w:rsidRPr="00CE6810">
        <w:t>, (https://cgc.gov.au).</w:t>
      </w:r>
    </w:p>
    <w:p w14:paraId="6BEECB54" w14:textId="77777777" w:rsidR="007E365E" w:rsidRPr="00CE6810" w:rsidRDefault="007E365E" w:rsidP="007E365E">
      <w:pPr>
        <w:pStyle w:val="Heading3"/>
      </w:pPr>
      <w:r w:rsidRPr="00CE6810">
        <w:t xml:space="preserve">Category </w:t>
      </w:r>
      <w:r>
        <w:t>s</w:t>
      </w:r>
      <w:r w:rsidRPr="00CE6810">
        <w:t>tructure</w:t>
      </w:r>
    </w:p>
    <w:p w14:paraId="42FB42FC" w14:textId="0B80FFD8" w:rsidR="007E365E" w:rsidRPr="00CE6810" w:rsidRDefault="007E365E" w:rsidP="007E365E">
      <w:pPr>
        <w:pStyle w:val="CGCParaNumber"/>
      </w:pPr>
      <w:r w:rsidRPr="00CE6810">
        <w:fldChar w:fldCharType="begin"/>
      </w:r>
      <w:r w:rsidRPr="00CE6810">
        <w:instrText xml:space="preserve"> REF _Ref5181422 \h  \* MERGEFORMAT </w:instrText>
      </w:r>
      <w:r w:rsidRPr="00CE6810">
        <w:fldChar w:fldCharType="separate"/>
      </w:r>
      <w:r w:rsidR="007F721A" w:rsidRPr="007F721A">
        <w:rPr>
          <w:bCs/>
        </w:rPr>
        <w:t>Table</w:t>
      </w:r>
      <w:r w:rsidR="007F721A" w:rsidRPr="007F721A">
        <w:rPr>
          <w:b/>
          <w:bCs/>
        </w:rPr>
        <w:t xml:space="preserve"> </w:t>
      </w:r>
      <w:r w:rsidR="007F721A" w:rsidRPr="007F721A">
        <w:rPr>
          <w:bCs/>
          <w:noProof/>
        </w:rPr>
        <w:t>25-3</w:t>
      </w:r>
      <w:r w:rsidRPr="00CE6810">
        <w:fldChar w:fldCharType="end"/>
      </w:r>
      <w:r w:rsidRPr="00CE6810">
        <w:t xml:space="preserve"> shows the category’s assessment structure, the size of the category and the disability that applies.</w:t>
      </w:r>
    </w:p>
    <w:p w14:paraId="3C45A5EC" w14:textId="44B4EB8E" w:rsidR="007E365E" w:rsidRDefault="007E365E" w:rsidP="007E365E">
      <w:pPr>
        <w:pStyle w:val="Caption"/>
      </w:pPr>
      <w:bookmarkStart w:id="455" w:name="_Ref5181422"/>
      <w:r w:rsidRPr="00CE6810">
        <w:t xml:space="preserve">Table </w:t>
      </w:r>
      <w:r>
        <w:t>25-</w:t>
      </w:r>
      <w:fldSimple w:instr=" SEQ Table \* ARABIC ">
        <w:r w:rsidR="007F721A">
          <w:rPr>
            <w:noProof/>
          </w:rPr>
          <w:t>3</w:t>
        </w:r>
      </w:fldSimple>
      <w:bookmarkEnd w:id="455"/>
      <w:r w:rsidRPr="00CE6810">
        <w:tab/>
      </w:r>
      <w:r>
        <w:t>Category structure, Net borrowing, 2018-19.</w:t>
      </w:r>
    </w:p>
    <w:tbl>
      <w:tblPr>
        <w:tblW w:w="8940" w:type="dxa"/>
        <w:tblCellMar>
          <w:left w:w="28" w:type="dxa"/>
        </w:tblCellMar>
        <w:tblLook w:val="04A0" w:firstRow="1" w:lastRow="0" w:firstColumn="1" w:lastColumn="0" w:noHBand="0" w:noVBand="1"/>
      </w:tblPr>
      <w:tblGrid>
        <w:gridCol w:w="1540"/>
        <w:gridCol w:w="1640"/>
        <w:gridCol w:w="1280"/>
        <w:gridCol w:w="4480"/>
      </w:tblGrid>
      <w:tr w:rsidR="007E365E" w:rsidRPr="00A31B34" w14:paraId="2AC44340" w14:textId="77777777" w:rsidTr="007D1D77">
        <w:trPr>
          <w:trHeight w:val="375"/>
        </w:trPr>
        <w:tc>
          <w:tcPr>
            <w:tcW w:w="1540" w:type="dxa"/>
            <w:tcBorders>
              <w:top w:val="nil"/>
              <w:left w:val="nil"/>
              <w:bottom w:val="nil"/>
              <w:right w:val="nil"/>
            </w:tcBorders>
            <w:shd w:val="clear" w:color="000000" w:fill="006991"/>
            <w:noWrap/>
            <w:vAlign w:val="center"/>
            <w:hideMark/>
          </w:tcPr>
          <w:p w14:paraId="56FB298C" w14:textId="77777777" w:rsidR="007E365E" w:rsidRPr="00A31B34"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A31B34">
              <w:rPr>
                <w:rFonts w:ascii="Open Sans SemiBold" w:eastAsia="Times New Roman" w:hAnsi="Open Sans SemiBold" w:cs="Open Sans SemiBold"/>
                <w:color w:val="FFFFFF"/>
                <w:sz w:val="16"/>
                <w:szCs w:val="16"/>
                <w:lang w:eastAsia="en-AU"/>
              </w:rPr>
              <w:t>Component</w:t>
            </w:r>
          </w:p>
        </w:tc>
        <w:tc>
          <w:tcPr>
            <w:tcW w:w="1640" w:type="dxa"/>
            <w:tcBorders>
              <w:top w:val="nil"/>
              <w:left w:val="nil"/>
              <w:bottom w:val="nil"/>
              <w:right w:val="nil"/>
            </w:tcBorders>
            <w:shd w:val="clear" w:color="000000" w:fill="006991"/>
            <w:vAlign w:val="center"/>
            <w:hideMark/>
          </w:tcPr>
          <w:p w14:paraId="7C75BF64" w14:textId="77777777" w:rsidR="007E365E" w:rsidRPr="00A31B34" w:rsidRDefault="007E365E" w:rsidP="007D1D77">
            <w:pPr>
              <w:tabs>
                <w:tab w:val="clear" w:pos="567"/>
              </w:tabs>
              <w:spacing w:before="0" w:line="240" w:lineRule="auto"/>
              <w:ind w:right="170"/>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Component expense</w:t>
            </w:r>
          </w:p>
        </w:tc>
        <w:tc>
          <w:tcPr>
            <w:tcW w:w="1280" w:type="dxa"/>
            <w:tcBorders>
              <w:top w:val="nil"/>
              <w:left w:val="nil"/>
              <w:bottom w:val="nil"/>
              <w:right w:val="nil"/>
            </w:tcBorders>
            <w:shd w:val="clear" w:color="000000" w:fill="006991"/>
            <w:noWrap/>
            <w:vAlign w:val="center"/>
            <w:hideMark/>
          </w:tcPr>
          <w:p w14:paraId="4C3C4FDF" w14:textId="77777777" w:rsidR="007E365E" w:rsidRPr="00A31B34"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A31B34">
              <w:rPr>
                <w:rFonts w:ascii="Open Sans SemiBold" w:eastAsia="Times New Roman" w:hAnsi="Open Sans SemiBold" w:cs="Open Sans SemiBold"/>
                <w:color w:val="FFFFFF"/>
                <w:sz w:val="16"/>
                <w:szCs w:val="16"/>
                <w:lang w:eastAsia="en-AU"/>
              </w:rPr>
              <w:t>Disability</w:t>
            </w:r>
          </w:p>
        </w:tc>
        <w:tc>
          <w:tcPr>
            <w:tcW w:w="4480" w:type="dxa"/>
            <w:tcBorders>
              <w:top w:val="nil"/>
              <w:left w:val="nil"/>
              <w:bottom w:val="nil"/>
              <w:right w:val="nil"/>
            </w:tcBorders>
            <w:shd w:val="clear" w:color="000000" w:fill="006991"/>
            <w:noWrap/>
            <w:vAlign w:val="center"/>
            <w:hideMark/>
          </w:tcPr>
          <w:p w14:paraId="40D0F142" w14:textId="77777777" w:rsidR="007E365E" w:rsidRPr="00A31B34" w:rsidRDefault="007E365E" w:rsidP="007D1D77">
            <w:pPr>
              <w:tabs>
                <w:tab w:val="clear" w:pos="567"/>
              </w:tabs>
              <w:spacing w:before="0" w:line="240" w:lineRule="auto"/>
              <w:rPr>
                <w:rFonts w:ascii="Open Sans SemiBold" w:eastAsia="Times New Roman" w:hAnsi="Open Sans SemiBold" w:cs="Open Sans SemiBold"/>
                <w:color w:val="FFFFFF"/>
                <w:sz w:val="16"/>
                <w:szCs w:val="16"/>
                <w:lang w:eastAsia="en-AU"/>
              </w:rPr>
            </w:pPr>
            <w:r w:rsidRPr="00A31B34">
              <w:rPr>
                <w:rFonts w:ascii="Open Sans SemiBold" w:eastAsia="Times New Roman" w:hAnsi="Open Sans SemiBold" w:cs="Open Sans SemiBold"/>
                <w:color w:val="FFFFFF"/>
                <w:sz w:val="16"/>
                <w:szCs w:val="16"/>
                <w:lang w:eastAsia="en-AU"/>
              </w:rPr>
              <w:t>Influence measured by disability</w:t>
            </w:r>
          </w:p>
        </w:tc>
      </w:tr>
      <w:tr w:rsidR="007E365E" w:rsidRPr="00A31B34" w14:paraId="76BC4EF0" w14:textId="77777777" w:rsidTr="007D1D77">
        <w:trPr>
          <w:trHeight w:val="255"/>
        </w:trPr>
        <w:tc>
          <w:tcPr>
            <w:tcW w:w="1540" w:type="dxa"/>
            <w:tcBorders>
              <w:top w:val="nil"/>
              <w:left w:val="nil"/>
              <w:bottom w:val="single" w:sz="4" w:space="0" w:color="ADD6EA"/>
              <w:right w:val="nil"/>
            </w:tcBorders>
            <w:shd w:val="clear" w:color="000000" w:fill="B6D5E4"/>
            <w:vAlign w:val="bottom"/>
            <w:hideMark/>
          </w:tcPr>
          <w:p w14:paraId="4654B2A9" w14:textId="77777777" w:rsidR="007E365E" w:rsidRPr="00A31B34"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A31B34">
              <w:rPr>
                <w:rFonts w:ascii="Open Sans SemiBold" w:eastAsia="Times New Roman" w:hAnsi="Open Sans SemiBold" w:cs="Open Sans SemiBold"/>
                <w:sz w:val="16"/>
                <w:szCs w:val="16"/>
                <w:lang w:eastAsia="en-AU"/>
              </w:rPr>
              <w:t> </w:t>
            </w:r>
          </w:p>
        </w:tc>
        <w:tc>
          <w:tcPr>
            <w:tcW w:w="1640" w:type="dxa"/>
            <w:tcBorders>
              <w:top w:val="nil"/>
              <w:left w:val="nil"/>
              <w:bottom w:val="single" w:sz="4" w:space="0" w:color="ADD6EA"/>
              <w:right w:val="nil"/>
            </w:tcBorders>
            <w:shd w:val="clear" w:color="000000" w:fill="B6D5E4"/>
            <w:vAlign w:val="center"/>
            <w:hideMark/>
          </w:tcPr>
          <w:p w14:paraId="3A56D104" w14:textId="77777777" w:rsidR="007E365E" w:rsidRPr="00A31B34" w:rsidRDefault="007E365E" w:rsidP="007D1D77">
            <w:pPr>
              <w:tabs>
                <w:tab w:val="clear" w:pos="567"/>
              </w:tabs>
              <w:spacing w:before="0" w:line="240" w:lineRule="auto"/>
              <w:ind w:right="170"/>
              <w:jc w:val="right"/>
              <w:rPr>
                <w:rFonts w:ascii="Open Sans SemiBold" w:eastAsia="Times New Roman" w:hAnsi="Open Sans SemiBold" w:cs="Open Sans SemiBold"/>
                <w:sz w:val="16"/>
                <w:szCs w:val="16"/>
                <w:lang w:eastAsia="en-AU"/>
              </w:rPr>
            </w:pPr>
            <w:r w:rsidRPr="00A31B34">
              <w:rPr>
                <w:rFonts w:ascii="Open Sans SemiBold" w:eastAsia="Times New Roman" w:hAnsi="Open Sans SemiBold" w:cs="Open Sans SemiBold"/>
                <w:sz w:val="16"/>
                <w:szCs w:val="16"/>
                <w:lang w:eastAsia="en-AU"/>
              </w:rPr>
              <w:t>$m</w:t>
            </w:r>
          </w:p>
        </w:tc>
        <w:tc>
          <w:tcPr>
            <w:tcW w:w="1280" w:type="dxa"/>
            <w:tcBorders>
              <w:top w:val="nil"/>
              <w:left w:val="nil"/>
              <w:bottom w:val="single" w:sz="4" w:space="0" w:color="ADD6EA"/>
              <w:right w:val="nil"/>
            </w:tcBorders>
            <w:shd w:val="clear" w:color="000000" w:fill="B6D5E4"/>
            <w:vAlign w:val="bottom"/>
            <w:hideMark/>
          </w:tcPr>
          <w:p w14:paraId="2F9D5534" w14:textId="77777777" w:rsidR="007E365E" w:rsidRPr="00A31B34"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A31B34">
              <w:rPr>
                <w:rFonts w:ascii="Open Sans SemiBold" w:eastAsia="Times New Roman" w:hAnsi="Open Sans SemiBold" w:cs="Open Sans SemiBold"/>
                <w:sz w:val="16"/>
                <w:szCs w:val="16"/>
                <w:lang w:eastAsia="en-AU"/>
              </w:rPr>
              <w:t> </w:t>
            </w:r>
          </w:p>
        </w:tc>
        <w:tc>
          <w:tcPr>
            <w:tcW w:w="4480" w:type="dxa"/>
            <w:tcBorders>
              <w:top w:val="nil"/>
              <w:left w:val="nil"/>
              <w:bottom w:val="single" w:sz="4" w:space="0" w:color="ADD6EA"/>
              <w:right w:val="nil"/>
            </w:tcBorders>
            <w:shd w:val="clear" w:color="000000" w:fill="B6D5E4"/>
            <w:vAlign w:val="bottom"/>
            <w:hideMark/>
          </w:tcPr>
          <w:p w14:paraId="41DA820F" w14:textId="77777777" w:rsidR="007E365E" w:rsidRPr="00A31B34"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A31B34">
              <w:rPr>
                <w:rFonts w:ascii="Open Sans SemiBold" w:eastAsia="Times New Roman" w:hAnsi="Open Sans SemiBold" w:cs="Open Sans SemiBold"/>
                <w:sz w:val="16"/>
                <w:szCs w:val="16"/>
                <w:lang w:eastAsia="en-AU"/>
              </w:rPr>
              <w:t> </w:t>
            </w:r>
          </w:p>
        </w:tc>
      </w:tr>
      <w:tr w:rsidR="007E365E" w:rsidRPr="00A31B34" w14:paraId="16003FF1" w14:textId="77777777" w:rsidTr="007D1D77">
        <w:trPr>
          <w:trHeight w:val="555"/>
        </w:trPr>
        <w:tc>
          <w:tcPr>
            <w:tcW w:w="1540" w:type="dxa"/>
            <w:tcBorders>
              <w:top w:val="nil"/>
              <w:left w:val="nil"/>
              <w:bottom w:val="single" w:sz="4" w:space="0" w:color="ADD6EA"/>
              <w:right w:val="nil"/>
            </w:tcBorders>
            <w:shd w:val="clear" w:color="auto" w:fill="auto"/>
            <w:hideMark/>
          </w:tcPr>
          <w:p w14:paraId="312D570F" w14:textId="77777777" w:rsidR="007E365E" w:rsidRPr="00547440"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547440">
              <w:rPr>
                <w:rFonts w:ascii="Open Sans SemiBold" w:eastAsia="Times New Roman" w:hAnsi="Open Sans SemiBold" w:cs="Open Sans SemiBold"/>
                <w:sz w:val="16"/>
                <w:szCs w:val="16"/>
                <w:lang w:eastAsia="en-AU"/>
              </w:rPr>
              <w:t>Net borrowing</w:t>
            </w:r>
          </w:p>
        </w:tc>
        <w:tc>
          <w:tcPr>
            <w:tcW w:w="1640" w:type="dxa"/>
            <w:tcBorders>
              <w:top w:val="nil"/>
              <w:left w:val="nil"/>
              <w:bottom w:val="single" w:sz="4" w:space="0" w:color="ADD6EA"/>
              <w:right w:val="nil"/>
            </w:tcBorders>
            <w:shd w:val="clear" w:color="auto" w:fill="auto"/>
            <w:hideMark/>
          </w:tcPr>
          <w:p w14:paraId="33719651" w14:textId="77777777" w:rsidR="007E365E" w:rsidRPr="00A31B34" w:rsidRDefault="007E365E" w:rsidP="007D1D77">
            <w:pPr>
              <w:tabs>
                <w:tab w:val="clear" w:pos="567"/>
              </w:tabs>
              <w:spacing w:before="0" w:line="240" w:lineRule="auto"/>
              <w:ind w:right="170"/>
              <w:jc w:val="right"/>
              <w:rPr>
                <w:rFonts w:eastAsia="Times New Roman" w:cs="Open Sans Light"/>
                <w:sz w:val="16"/>
                <w:szCs w:val="16"/>
                <w:lang w:eastAsia="en-AU"/>
              </w:rPr>
            </w:pPr>
            <w:r w:rsidRPr="00A31B34">
              <w:rPr>
                <w:rFonts w:eastAsia="Times New Roman" w:cs="Open Sans Light"/>
                <w:sz w:val="16"/>
                <w:szCs w:val="16"/>
                <w:lang w:eastAsia="en-AU"/>
              </w:rPr>
              <w:t>19,311</w:t>
            </w:r>
          </w:p>
        </w:tc>
        <w:tc>
          <w:tcPr>
            <w:tcW w:w="1280" w:type="dxa"/>
            <w:tcBorders>
              <w:top w:val="nil"/>
              <w:left w:val="nil"/>
              <w:bottom w:val="single" w:sz="4" w:space="0" w:color="ADD6EA"/>
              <w:right w:val="nil"/>
            </w:tcBorders>
            <w:shd w:val="clear" w:color="auto" w:fill="auto"/>
            <w:hideMark/>
          </w:tcPr>
          <w:p w14:paraId="27A08049" w14:textId="77777777" w:rsidR="007E365E" w:rsidRPr="00A31B34" w:rsidRDefault="007E365E" w:rsidP="007D1D77">
            <w:pPr>
              <w:tabs>
                <w:tab w:val="clear" w:pos="567"/>
              </w:tabs>
              <w:spacing w:before="0" w:line="240" w:lineRule="auto"/>
              <w:rPr>
                <w:rFonts w:eastAsia="Times New Roman" w:cs="Open Sans Light"/>
                <w:sz w:val="16"/>
                <w:szCs w:val="16"/>
                <w:lang w:eastAsia="en-AU"/>
              </w:rPr>
            </w:pPr>
            <w:r w:rsidRPr="00A31B34">
              <w:rPr>
                <w:rFonts w:eastAsia="Times New Roman" w:cs="Open Sans Light"/>
                <w:sz w:val="16"/>
                <w:szCs w:val="16"/>
                <w:lang w:eastAsia="en-AU"/>
              </w:rPr>
              <w:t>Population growth</w:t>
            </w:r>
          </w:p>
        </w:tc>
        <w:tc>
          <w:tcPr>
            <w:tcW w:w="4480" w:type="dxa"/>
            <w:tcBorders>
              <w:top w:val="nil"/>
              <w:left w:val="nil"/>
              <w:bottom w:val="single" w:sz="4" w:space="0" w:color="ADD6EA"/>
              <w:right w:val="nil"/>
            </w:tcBorders>
            <w:shd w:val="clear" w:color="auto" w:fill="auto"/>
            <w:hideMark/>
          </w:tcPr>
          <w:p w14:paraId="536648B6" w14:textId="77777777" w:rsidR="007E365E" w:rsidRPr="00A31B34" w:rsidRDefault="007E365E" w:rsidP="007D1D77">
            <w:pPr>
              <w:tabs>
                <w:tab w:val="clear" w:pos="567"/>
              </w:tabs>
              <w:spacing w:before="0" w:line="240" w:lineRule="auto"/>
              <w:rPr>
                <w:rFonts w:eastAsia="Times New Roman" w:cs="Open Sans Light"/>
                <w:sz w:val="16"/>
                <w:szCs w:val="16"/>
                <w:lang w:eastAsia="en-AU"/>
              </w:rPr>
            </w:pPr>
            <w:r w:rsidRPr="00A31B34">
              <w:rPr>
                <w:rFonts w:eastAsia="Times New Roman" w:cs="Open Sans Light"/>
                <w:sz w:val="16"/>
                <w:szCs w:val="16"/>
                <w:lang w:eastAsia="en-AU"/>
              </w:rPr>
              <w:t>Recognises the per capita value of State net financial worth is reduced by population growth.</w:t>
            </w:r>
          </w:p>
        </w:tc>
      </w:tr>
    </w:tbl>
    <w:p w14:paraId="22A1C184" w14:textId="77777777" w:rsidR="007E365E" w:rsidRPr="00CE6810" w:rsidRDefault="007E365E" w:rsidP="007E365E">
      <w:pPr>
        <w:pStyle w:val="CGCTablenote"/>
      </w:pPr>
      <w:r w:rsidRPr="00CE6810">
        <w:t>Source:</w:t>
      </w:r>
      <w:r w:rsidRPr="00CE6810">
        <w:tab/>
        <w:t>Commission calculation using ABS GFS and State provided data.</w:t>
      </w:r>
    </w:p>
    <w:p w14:paraId="3289AAF0" w14:textId="77777777" w:rsidR="007E365E" w:rsidRPr="00CE6810" w:rsidRDefault="007E365E" w:rsidP="007E365E">
      <w:pPr>
        <w:pStyle w:val="CGCParaNumber"/>
      </w:pPr>
      <w:r w:rsidRPr="00CE6810">
        <w:lastRenderedPageBreak/>
        <w:t xml:space="preserve">The main data source for calculating net borrowing are </w:t>
      </w:r>
      <w:r>
        <w:t>A</w:t>
      </w:r>
      <w:r w:rsidRPr="00302BC8">
        <w:t xml:space="preserve">ustralian </w:t>
      </w:r>
      <w:r>
        <w:t>B</w:t>
      </w:r>
      <w:r w:rsidRPr="00302BC8">
        <w:t xml:space="preserve">ureau of </w:t>
      </w:r>
      <w:r>
        <w:t>S</w:t>
      </w:r>
      <w:r w:rsidRPr="00302BC8">
        <w:t>tatistics</w:t>
      </w:r>
      <w:r>
        <w:t xml:space="preserve"> (</w:t>
      </w:r>
      <w:r w:rsidRPr="00F82513">
        <w:t>ABS</w:t>
      </w:r>
      <w:r>
        <w:t>)</w:t>
      </w:r>
      <w:r w:rsidRPr="00F82513">
        <w:t xml:space="preserve"> </w:t>
      </w:r>
      <w:r w:rsidRPr="00CE6810">
        <w:t>Government Finance Statistics (GFS) and State budget data.</w:t>
      </w:r>
      <w:r w:rsidRPr="00CE6810">
        <w:rPr>
          <w:rStyle w:val="FootnoteReference"/>
        </w:rPr>
        <w:footnoteReference w:id="103"/>
      </w:r>
      <w:r w:rsidRPr="00CE6810">
        <w:t xml:space="preserve"> </w:t>
      </w:r>
    </w:p>
    <w:p w14:paraId="666F85B0" w14:textId="77777777" w:rsidR="007E365E" w:rsidRPr="00CE6810" w:rsidRDefault="007E365E" w:rsidP="007E365E">
      <w:pPr>
        <w:pStyle w:val="Heading3"/>
      </w:pPr>
      <w:r w:rsidRPr="00CE6810">
        <w:t xml:space="preserve">Assessment </w:t>
      </w:r>
      <w:r>
        <w:t>a</w:t>
      </w:r>
      <w:r w:rsidRPr="00CE6810">
        <w:t>pproach</w:t>
      </w:r>
    </w:p>
    <w:p w14:paraId="5F689C3C" w14:textId="77777777" w:rsidR="007E365E" w:rsidRPr="00CE6810" w:rsidRDefault="007E365E" w:rsidP="007E365E">
      <w:pPr>
        <w:pStyle w:val="CGCParaNumber"/>
      </w:pPr>
      <w:r w:rsidRPr="00CE6810">
        <w:t>This assessment provides States with the capacity to acquire new financial assets (or new financial liabilities, as at present States are collectively in a net financial liability position) to provide their new population with the same per capita financial assets (liabilities) as their existing population. This ensures States have the capacity to hold equal net financial assets per capita under the assumptions that they started the year with equal net financial assets per capita and can earn the same return on their assets</w:t>
      </w:r>
      <w:r w:rsidRPr="00CE6810">
        <w:rPr>
          <w:rStyle w:val="FootnoteReference"/>
        </w:rPr>
        <w:footnoteReference w:id="104"/>
      </w:r>
      <w:r w:rsidRPr="00CE6810">
        <w:t>.</w:t>
      </w:r>
    </w:p>
    <w:p w14:paraId="4B3E87D5" w14:textId="77777777" w:rsidR="007E365E" w:rsidRPr="00CE6810" w:rsidRDefault="007E365E" w:rsidP="007E365E">
      <w:pPr>
        <w:pStyle w:val="CGCParaNumber"/>
      </w:pPr>
      <w:r w:rsidRPr="00CE6810">
        <w:t>Victoria argued that an equal per capita (EPC) assessment may be more appropriate because an assessment that directly counters the direction of redistribution in the Investment assessment is counterintuitive. It noted that States tend to apply their net operating balance to the net acquisition of non-financial assets rather than debt reduction. It also noted that States have targets for net debt as a proportion of Gross State Product which can operate as a constraint to acquiring non-financial assets.</w:t>
      </w:r>
    </w:p>
    <w:p w14:paraId="38EDCEA5" w14:textId="77777777" w:rsidR="007E365E" w:rsidRPr="00CE6810" w:rsidRDefault="007E365E" w:rsidP="007E365E">
      <w:pPr>
        <w:pStyle w:val="CGCParaNumber"/>
      </w:pPr>
      <w:r w:rsidRPr="00CE6810">
        <w:t>The Commission considers its approach to net borrowing to be conceptually valid regardless of whether States hold net liabilities or net financial assets. In the current environment, when States hold net liabilities, faster growing States will end the year with below average per capita liabilities and therefore have a lower GST requirement.</w:t>
      </w:r>
      <w:r w:rsidRPr="00CE6810">
        <w:rPr>
          <w:rStyle w:val="FootnoteReference"/>
        </w:rPr>
        <w:footnoteReference w:id="105"/>
      </w:r>
      <w:r w:rsidRPr="00CE6810">
        <w:t xml:space="preserve"> That is, slower growing States have higher GST requirements because their liabilities are being diluted at a slower rate than faster growing States. If States held net financial assets on average, faster growing States would have higher GST requirements. </w:t>
      </w:r>
    </w:p>
    <w:p w14:paraId="161D68BC" w14:textId="77777777" w:rsidR="007E365E" w:rsidRPr="00CE6810" w:rsidRDefault="007E365E" w:rsidP="007E365E">
      <w:pPr>
        <w:pStyle w:val="CGCParaNumber"/>
      </w:pPr>
      <w:r w:rsidRPr="00CE6810">
        <w:t>The Northern Territory argued that small States face higher costs of borrowing due to reduced capacity to attract investors and lower liquidity. However, with States averaging around $4</w:t>
      </w:r>
      <w:r w:rsidRPr="00813F64">
        <w:t>,</w:t>
      </w:r>
      <w:r w:rsidRPr="00CE6810">
        <w:t>000 in net liabilities per capita</w:t>
      </w:r>
      <w:r w:rsidRPr="00813F64">
        <w:t xml:space="preserve"> between 2016-17 and 2018-19</w:t>
      </w:r>
      <w:r w:rsidRPr="00CE6810">
        <w:t xml:space="preserve">, costs of borrowing would need to be at least </w:t>
      </w:r>
      <w:r>
        <w:t>0.9</w:t>
      </w:r>
      <w:r w:rsidRPr="00CE6810">
        <w:t xml:space="preserve">% higher for small States than for large States to represent a material disability. There is no evidence that bond yields differ between States to such an extent, and much of the variation that does exist in bond yields reflects the policy-affected credit rating, rather than the population size, of the States. Therefore, no adjustment has been made to account for higher costs of borrowing. Population growth is the only disability recognised in this assessment. </w:t>
      </w:r>
    </w:p>
    <w:p w14:paraId="0147B125" w14:textId="77777777" w:rsidR="007E365E" w:rsidRPr="00CE6810" w:rsidRDefault="007E365E" w:rsidP="007E365E">
      <w:pPr>
        <w:pStyle w:val="Heading3"/>
      </w:pPr>
      <w:r w:rsidRPr="00CE6810">
        <w:t>Category calculations</w:t>
      </w:r>
    </w:p>
    <w:p w14:paraId="36637870" w14:textId="375FB8D7" w:rsidR="007E365E" w:rsidRPr="00CE6810" w:rsidRDefault="007E365E" w:rsidP="007E365E">
      <w:pPr>
        <w:pStyle w:val="CGCParaNumber"/>
      </w:pPr>
      <w:r w:rsidRPr="00CE6810">
        <w:fldChar w:fldCharType="begin"/>
      </w:r>
      <w:r w:rsidRPr="00CE6810">
        <w:instrText xml:space="preserve"> REF _Ref5096281 \h  \* MERGEFORMAT </w:instrText>
      </w:r>
      <w:r w:rsidRPr="00CE6810">
        <w:fldChar w:fldCharType="separate"/>
      </w:r>
      <w:r w:rsidR="007F721A" w:rsidRPr="00CE6810">
        <w:t xml:space="preserve">Table </w:t>
      </w:r>
      <w:r w:rsidR="007F721A">
        <w:rPr>
          <w:noProof/>
        </w:rPr>
        <w:t>25-4</w:t>
      </w:r>
      <w:r w:rsidRPr="00CE6810">
        <w:fldChar w:fldCharType="end"/>
      </w:r>
      <w:r w:rsidRPr="00CE6810">
        <w:t xml:space="preserve"> shows how assessed net borrowing is calculated. Assessed net financial assets at the start or end of the year are calculated as States’ shares of net financial assets</w:t>
      </w:r>
      <w:r>
        <w:rPr>
          <w:rStyle w:val="FootnoteReference"/>
        </w:rPr>
        <w:footnoteReference w:id="106"/>
      </w:r>
      <w:r w:rsidRPr="00CE6810">
        <w:t xml:space="preserve"> at that time in proportion to their share of population at that time. Assessed net borrowing (negative </w:t>
      </w:r>
      <w:r w:rsidRPr="00CE6810">
        <w:lastRenderedPageBreak/>
        <w:t xml:space="preserve">net lending) is the difference between assessed assets at the end and start of the year. While in the investment assessment, positive investment leads to an increase in physical assets, in this assessment positive net borrowing (negative net lending) leads to a decrease in net financial assets. </w:t>
      </w:r>
    </w:p>
    <w:p w14:paraId="211029AC" w14:textId="2ED161D6" w:rsidR="007E365E" w:rsidRDefault="007E365E" w:rsidP="007E365E">
      <w:pPr>
        <w:pStyle w:val="Caption"/>
      </w:pPr>
      <w:bookmarkStart w:id="456" w:name="_Ref5096281"/>
      <w:r w:rsidRPr="00CE6810">
        <w:t xml:space="preserve">Table </w:t>
      </w:r>
      <w:r>
        <w:t>25-</w:t>
      </w:r>
      <w:fldSimple w:instr=" SEQ Table \* ARABIC ">
        <w:r w:rsidR="007F721A">
          <w:rPr>
            <w:noProof/>
          </w:rPr>
          <w:t>4</w:t>
        </w:r>
      </w:fldSimple>
      <w:bookmarkEnd w:id="456"/>
      <w:r w:rsidRPr="00CE6810">
        <w:tab/>
      </w:r>
      <w:r>
        <w:t>Net borrowing, c</w:t>
      </w:r>
      <w:r w:rsidRPr="00CE6810">
        <w:t xml:space="preserve">ategory assessment, </w:t>
      </w:r>
      <w:r>
        <w:t>2018-19</w:t>
      </w:r>
    </w:p>
    <w:tbl>
      <w:tblPr>
        <w:tblW w:w="9000" w:type="dxa"/>
        <w:tblCellMar>
          <w:left w:w="28" w:type="dxa"/>
        </w:tblCellMar>
        <w:tblLook w:val="04A0" w:firstRow="1" w:lastRow="0" w:firstColumn="1" w:lastColumn="0" w:noHBand="0" w:noVBand="1"/>
      </w:tblPr>
      <w:tblGrid>
        <w:gridCol w:w="2040"/>
        <w:gridCol w:w="800"/>
        <w:gridCol w:w="800"/>
        <w:gridCol w:w="800"/>
        <w:gridCol w:w="800"/>
        <w:gridCol w:w="800"/>
        <w:gridCol w:w="700"/>
        <w:gridCol w:w="700"/>
        <w:gridCol w:w="700"/>
        <w:gridCol w:w="860"/>
      </w:tblGrid>
      <w:tr w:rsidR="007E365E" w:rsidRPr="00AC0CE2" w14:paraId="4254577E" w14:textId="77777777" w:rsidTr="007D1D77">
        <w:trPr>
          <w:trHeight w:val="375"/>
        </w:trPr>
        <w:tc>
          <w:tcPr>
            <w:tcW w:w="2040" w:type="dxa"/>
            <w:tcBorders>
              <w:top w:val="nil"/>
              <w:left w:val="nil"/>
              <w:bottom w:val="nil"/>
              <w:right w:val="nil"/>
            </w:tcBorders>
            <w:shd w:val="clear" w:color="000000" w:fill="006991"/>
            <w:noWrap/>
            <w:vAlign w:val="center"/>
            <w:hideMark/>
          </w:tcPr>
          <w:p w14:paraId="041B6748" w14:textId="77777777" w:rsidR="007E365E" w:rsidRPr="00AC0CE2"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0CE2">
              <w:rPr>
                <w:rFonts w:ascii="Open Sans SemiBold" w:eastAsia="Times New Roman" w:hAnsi="Open Sans SemiBold" w:cs="Open Sans SemiBold"/>
                <w:color w:val="FFFFFF"/>
                <w:sz w:val="16"/>
                <w:szCs w:val="16"/>
                <w:lang w:eastAsia="en-AU"/>
              </w:rPr>
              <w:t> </w:t>
            </w:r>
          </w:p>
        </w:tc>
        <w:tc>
          <w:tcPr>
            <w:tcW w:w="800" w:type="dxa"/>
            <w:tcBorders>
              <w:top w:val="nil"/>
              <w:left w:val="nil"/>
              <w:bottom w:val="nil"/>
              <w:right w:val="nil"/>
            </w:tcBorders>
            <w:shd w:val="clear" w:color="000000" w:fill="006991"/>
            <w:noWrap/>
            <w:vAlign w:val="center"/>
            <w:hideMark/>
          </w:tcPr>
          <w:p w14:paraId="2A55E6AF" w14:textId="77777777" w:rsidR="007E365E" w:rsidRPr="00AC0CE2"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0CE2">
              <w:rPr>
                <w:rFonts w:ascii="Open Sans SemiBold" w:eastAsia="Times New Roman" w:hAnsi="Open Sans SemiBold" w:cs="Open Sans SemiBold"/>
                <w:color w:val="FFFFFF"/>
                <w:sz w:val="16"/>
                <w:szCs w:val="16"/>
                <w:lang w:eastAsia="en-AU"/>
              </w:rPr>
              <w:t>NSW</w:t>
            </w:r>
          </w:p>
        </w:tc>
        <w:tc>
          <w:tcPr>
            <w:tcW w:w="800" w:type="dxa"/>
            <w:tcBorders>
              <w:top w:val="nil"/>
              <w:left w:val="nil"/>
              <w:bottom w:val="nil"/>
              <w:right w:val="nil"/>
            </w:tcBorders>
            <w:shd w:val="clear" w:color="000000" w:fill="006991"/>
            <w:noWrap/>
            <w:vAlign w:val="center"/>
            <w:hideMark/>
          </w:tcPr>
          <w:p w14:paraId="3C7FA3E3" w14:textId="77777777" w:rsidR="007E365E" w:rsidRPr="00AC0CE2"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0CE2">
              <w:rPr>
                <w:rFonts w:ascii="Open Sans SemiBold" w:eastAsia="Times New Roman" w:hAnsi="Open Sans SemiBold" w:cs="Open Sans SemiBold"/>
                <w:color w:val="FFFFFF"/>
                <w:sz w:val="16"/>
                <w:szCs w:val="16"/>
                <w:lang w:eastAsia="en-AU"/>
              </w:rPr>
              <w:t>Vic</w:t>
            </w:r>
          </w:p>
        </w:tc>
        <w:tc>
          <w:tcPr>
            <w:tcW w:w="800" w:type="dxa"/>
            <w:tcBorders>
              <w:top w:val="nil"/>
              <w:left w:val="nil"/>
              <w:bottom w:val="nil"/>
              <w:right w:val="nil"/>
            </w:tcBorders>
            <w:shd w:val="clear" w:color="000000" w:fill="006991"/>
            <w:noWrap/>
            <w:vAlign w:val="center"/>
            <w:hideMark/>
          </w:tcPr>
          <w:p w14:paraId="07BF0CEA" w14:textId="77777777" w:rsidR="007E365E" w:rsidRPr="00AC0CE2"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0CE2">
              <w:rPr>
                <w:rFonts w:ascii="Open Sans SemiBold" w:eastAsia="Times New Roman" w:hAnsi="Open Sans SemiBold" w:cs="Open Sans SemiBold"/>
                <w:color w:val="FFFFFF"/>
                <w:sz w:val="16"/>
                <w:szCs w:val="16"/>
                <w:lang w:eastAsia="en-AU"/>
              </w:rPr>
              <w:t>Qld</w:t>
            </w:r>
          </w:p>
        </w:tc>
        <w:tc>
          <w:tcPr>
            <w:tcW w:w="800" w:type="dxa"/>
            <w:tcBorders>
              <w:top w:val="nil"/>
              <w:left w:val="nil"/>
              <w:bottom w:val="nil"/>
              <w:right w:val="nil"/>
            </w:tcBorders>
            <w:shd w:val="clear" w:color="000000" w:fill="006991"/>
            <w:noWrap/>
            <w:vAlign w:val="center"/>
            <w:hideMark/>
          </w:tcPr>
          <w:p w14:paraId="475F317E" w14:textId="77777777" w:rsidR="007E365E" w:rsidRPr="00AC0CE2"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0CE2">
              <w:rPr>
                <w:rFonts w:ascii="Open Sans SemiBold" w:eastAsia="Times New Roman" w:hAnsi="Open Sans SemiBold" w:cs="Open Sans SemiBold"/>
                <w:color w:val="FFFFFF"/>
                <w:sz w:val="16"/>
                <w:szCs w:val="16"/>
                <w:lang w:eastAsia="en-AU"/>
              </w:rPr>
              <w:t>WA</w:t>
            </w:r>
          </w:p>
        </w:tc>
        <w:tc>
          <w:tcPr>
            <w:tcW w:w="800" w:type="dxa"/>
            <w:tcBorders>
              <w:top w:val="nil"/>
              <w:left w:val="nil"/>
              <w:bottom w:val="nil"/>
              <w:right w:val="nil"/>
            </w:tcBorders>
            <w:shd w:val="clear" w:color="000000" w:fill="006991"/>
            <w:noWrap/>
            <w:vAlign w:val="center"/>
            <w:hideMark/>
          </w:tcPr>
          <w:p w14:paraId="29FA895D" w14:textId="77777777" w:rsidR="007E365E" w:rsidRPr="00AC0CE2"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0CE2">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noWrap/>
            <w:vAlign w:val="center"/>
            <w:hideMark/>
          </w:tcPr>
          <w:p w14:paraId="0B747F6B" w14:textId="77777777" w:rsidR="007E365E" w:rsidRPr="00AC0CE2"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0CE2">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noWrap/>
            <w:vAlign w:val="center"/>
            <w:hideMark/>
          </w:tcPr>
          <w:p w14:paraId="0F48DC0E" w14:textId="77777777" w:rsidR="007E365E" w:rsidRPr="00AC0CE2"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0CE2">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noWrap/>
            <w:vAlign w:val="center"/>
            <w:hideMark/>
          </w:tcPr>
          <w:p w14:paraId="792EB0B1" w14:textId="77777777" w:rsidR="007E365E" w:rsidRPr="00AC0CE2"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0CE2">
              <w:rPr>
                <w:rFonts w:ascii="Open Sans SemiBold" w:eastAsia="Times New Roman" w:hAnsi="Open Sans SemiBold" w:cs="Open Sans SemiBold"/>
                <w:color w:val="FFFFFF"/>
                <w:sz w:val="16"/>
                <w:szCs w:val="16"/>
                <w:lang w:eastAsia="en-AU"/>
              </w:rPr>
              <w:t>NT</w:t>
            </w:r>
          </w:p>
        </w:tc>
        <w:tc>
          <w:tcPr>
            <w:tcW w:w="860" w:type="dxa"/>
            <w:tcBorders>
              <w:top w:val="nil"/>
              <w:left w:val="nil"/>
              <w:bottom w:val="nil"/>
              <w:right w:val="nil"/>
            </w:tcBorders>
            <w:shd w:val="clear" w:color="000000" w:fill="006991"/>
            <w:noWrap/>
            <w:vAlign w:val="center"/>
            <w:hideMark/>
          </w:tcPr>
          <w:p w14:paraId="0F3D6B91" w14:textId="77777777" w:rsidR="007E365E" w:rsidRPr="00AC0CE2"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AC0CE2">
              <w:rPr>
                <w:rFonts w:ascii="Open Sans SemiBold" w:eastAsia="Times New Roman" w:hAnsi="Open Sans SemiBold" w:cs="Open Sans SemiBold"/>
                <w:color w:val="FFFFFF"/>
                <w:sz w:val="16"/>
                <w:szCs w:val="16"/>
                <w:lang w:eastAsia="en-AU"/>
              </w:rPr>
              <w:t>Total</w:t>
            </w:r>
          </w:p>
        </w:tc>
      </w:tr>
      <w:tr w:rsidR="007E365E" w:rsidRPr="00AC0CE2" w14:paraId="5E726FFD" w14:textId="77777777" w:rsidTr="007D1D77">
        <w:trPr>
          <w:trHeight w:val="315"/>
        </w:trPr>
        <w:tc>
          <w:tcPr>
            <w:tcW w:w="2840" w:type="dxa"/>
            <w:gridSpan w:val="2"/>
            <w:tcBorders>
              <w:top w:val="single" w:sz="4" w:space="0" w:color="ADD6EA"/>
              <w:left w:val="nil"/>
              <w:bottom w:val="single" w:sz="4" w:space="0" w:color="ADD6EA"/>
              <w:right w:val="nil"/>
            </w:tcBorders>
            <w:shd w:val="clear" w:color="000000" w:fill="B6D5E4"/>
            <w:vAlign w:val="bottom"/>
            <w:hideMark/>
          </w:tcPr>
          <w:p w14:paraId="38AD50FE" w14:textId="77777777" w:rsidR="007E365E" w:rsidRPr="00AC0CE2"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AC0CE2">
              <w:rPr>
                <w:rFonts w:ascii="Open Sans SemiBold" w:eastAsia="Times New Roman" w:hAnsi="Open Sans SemiBold" w:cs="Open Sans SemiBold"/>
                <w:sz w:val="16"/>
                <w:szCs w:val="16"/>
                <w:lang w:eastAsia="en-AU"/>
              </w:rPr>
              <w:t xml:space="preserve">Assessed net financial assets </w:t>
            </w:r>
          </w:p>
        </w:tc>
        <w:tc>
          <w:tcPr>
            <w:tcW w:w="800" w:type="dxa"/>
            <w:tcBorders>
              <w:top w:val="single" w:sz="4" w:space="0" w:color="ADD6EA"/>
              <w:left w:val="nil"/>
              <w:bottom w:val="single" w:sz="4" w:space="0" w:color="ADD6EA"/>
              <w:right w:val="nil"/>
            </w:tcBorders>
            <w:shd w:val="clear" w:color="000000" w:fill="B6D5E4"/>
            <w:vAlign w:val="bottom"/>
            <w:hideMark/>
          </w:tcPr>
          <w:p w14:paraId="6C090067"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c>
          <w:tcPr>
            <w:tcW w:w="800" w:type="dxa"/>
            <w:tcBorders>
              <w:top w:val="single" w:sz="4" w:space="0" w:color="ADD6EA"/>
              <w:left w:val="nil"/>
              <w:bottom w:val="single" w:sz="4" w:space="0" w:color="ADD6EA"/>
              <w:right w:val="nil"/>
            </w:tcBorders>
            <w:shd w:val="clear" w:color="000000" w:fill="B6D5E4"/>
            <w:vAlign w:val="bottom"/>
            <w:hideMark/>
          </w:tcPr>
          <w:p w14:paraId="30617158"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c>
          <w:tcPr>
            <w:tcW w:w="800" w:type="dxa"/>
            <w:tcBorders>
              <w:top w:val="single" w:sz="4" w:space="0" w:color="ADD6EA"/>
              <w:left w:val="nil"/>
              <w:bottom w:val="single" w:sz="4" w:space="0" w:color="ADD6EA"/>
              <w:right w:val="nil"/>
            </w:tcBorders>
            <w:shd w:val="clear" w:color="000000" w:fill="B6D5E4"/>
            <w:vAlign w:val="bottom"/>
            <w:hideMark/>
          </w:tcPr>
          <w:p w14:paraId="2546159C"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c>
          <w:tcPr>
            <w:tcW w:w="800" w:type="dxa"/>
            <w:tcBorders>
              <w:top w:val="single" w:sz="4" w:space="0" w:color="ADD6EA"/>
              <w:left w:val="nil"/>
              <w:bottom w:val="single" w:sz="4" w:space="0" w:color="ADD6EA"/>
              <w:right w:val="nil"/>
            </w:tcBorders>
            <w:shd w:val="clear" w:color="000000" w:fill="B6D5E4"/>
            <w:vAlign w:val="bottom"/>
            <w:hideMark/>
          </w:tcPr>
          <w:p w14:paraId="0CB7D6F2"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000000" w:fill="B6D5E4"/>
            <w:vAlign w:val="bottom"/>
            <w:hideMark/>
          </w:tcPr>
          <w:p w14:paraId="03BDAA28"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000000" w:fill="B6D5E4"/>
            <w:vAlign w:val="bottom"/>
            <w:hideMark/>
          </w:tcPr>
          <w:p w14:paraId="1E356267"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c>
          <w:tcPr>
            <w:tcW w:w="700" w:type="dxa"/>
            <w:tcBorders>
              <w:top w:val="single" w:sz="4" w:space="0" w:color="ADD6EA"/>
              <w:left w:val="nil"/>
              <w:bottom w:val="single" w:sz="4" w:space="0" w:color="ADD6EA"/>
              <w:right w:val="nil"/>
            </w:tcBorders>
            <w:shd w:val="clear" w:color="000000" w:fill="B6D5E4"/>
            <w:vAlign w:val="bottom"/>
            <w:hideMark/>
          </w:tcPr>
          <w:p w14:paraId="010CC0CB"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c>
          <w:tcPr>
            <w:tcW w:w="860" w:type="dxa"/>
            <w:tcBorders>
              <w:top w:val="single" w:sz="4" w:space="0" w:color="ADD6EA"/>
              <w:left w:val="nil"/>
              <w:bottom w:val="single" w:sz="4" w:space="0" w:color="ADD6EA"/>
              <w:right w:val="nil"/>
            </w:tcBorders>
            <w:shd w:val="clear" w:color="000000" w:fill="B6D5E4"/>
            <w:vAlign w:val="bottom"/>
            <w:hideMark/>
          </w:tcPr>
          <w:p w14:paraId="614CE823"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r>
      <w:tr w:rsidR="007E365E" w:rsidRPr="00AC0CE2" w14:paraId="26EB4019" w14:textId="77777777" w:rsidTr="007D1D77">
        <w:trPr>
          <w:trHeight w:val="315"/>
        </w:trPr>
        <w:tc>
          <w:tcPr>
            <w:tcW w:w="2040" w:type="dxa"/>
            <w:tcBorders>
              <w:top w:val="nil"/>
              <w:left w:val="nil"/>
              <w:bottom w:val="single" w:sz="4" w:space="0" w:color="ADD6EA"/>
              <w:right w:val="nil"/>
            </w:tcBorders>
            <w:shd w:val="clear" w:color="auto" w:fill="auto"/>
            <w:vAlign w:val="bottom"/>
            <w:hideMark/>
          </w:tcPr>
          <w:p w14:paraId="673F2A14" w14:textId="77777777" w:rsidR="007E365E" w:rsidRPr="00AC0CE2" w:rsidRDefault="007E365E" w:rsidP="007D1D77">
            <w:pPr>
              <w:tabs>
                <w:tab w:val="clear" w:pos="567"/>
              </w:tabs>
              <w:spacing w:before="0" w:line="240" w:lineRule="auto"/>
              <w:rPr>
                <w:rFonts w:eastAsia="Times New Roman" w:cs="Open Sans Light"/>
                <w:sz w:val="16"/>
                <w:szCs w:val="16"/>
                <w:lang w:eastAsia="en-AU"/>
              </w:rPr>
            </w:pPr>
            <w:r w:rsidRPr="00AC0CE2">
              <w:rPr>
                <w:rFonts w:eastAsia="Times New Roman" w:cs="Open Sans Light"/>
                <w:sz w:val="16"/>
                <w:szCs w:val="16"/>
                <w:lang w:eastAsia="en-AU"/>
              </w:rPr>
              <w:t>at the end of year ($m)</w:t>
            </w:r>
          </w:p>
        </w:tc>
        <w:tc>
          <w:tcPr>
            <w:tcW w:w="800" w:type="dxa"/>
            <w:tcBorders>
              <w:top w:val="nil"/>
              <w:left w:val="nil"/>
              <w:bottom w:val="single" w:sz="4" w:space="0" w:color="ADD6EA"/>
              <w:right w:val="nil"/>
            </w:tcBorders>
            <w:shd w:val="clear" w:color="auto" w:fill="auto"/>
            <w:vAlign w:val="bottom"/>
            <w:hideMark/>
          </w:tcPr>
          <w:p w14:paraId="7D3E340D"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-49,897</w:t>
            </w:r>
          </w:p>
        </w:tc>
        <w:tc>
          <w:tcPr>
            <w:tcW w:w="800" w:type="dxa"/>
            <w:tcBorders>
              <w:top w:val="nil"/>
              <w:left w:val="nil"/>
              <w:bottom w:val="single" w:sz="4" w:space="0" w:color="ADD6EA"/>
              <w:right w:val="nil"/>
            </w:tcBorders>
            <w:shd w:val="clear" w:color="auto" w:fill="auto"/>
            <w:vAlign w:val="bottom"/>
            <w:hideMark/>
          </w:tcPr>
          <w:p w14:paraId="565FE16A"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-40,519</w:t>
            </w:r>
          </w:p>
        </w:tc>
        <w:tc>
          <w:tcPr>
            <w:tcW w:w="800" w:type="dxa"/>
            <w:tcBorders>
              <w:top w:val="nil"/>
              <w:left w:val="nil"/>
              <w:bottom w:val="single" w:sz="4" w:space="0" w:color="ADD6EA"/>
              <w:right w:val="nil"/>
            </w:tcBorders>
            <w:shd w:val="clear" w:color="auto" w:fill="auto"/>
            <w:vAlign w:val="bottom"/>
            <w:hideMark/>
          </w:tcPr>
          <w:p w14:paraId="375781BD"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-31,352</w:t>
            </w:r>
          </w:p>
        </w:tc>
        <w:tc>
          <w:tcPr>
            <w:tcW w:w="800" w:type="dxa"/>
            <w:tcBorders>
              <w:top w:val="nil"/>
              <w:left w:val="nil"/>
              <w:bottom w:val="single" w:sz="4" w:space="0" w:color="ADD6EA"/>
              <w:right w:val="nil"/>
            </w:tcBorders>
            <w:shd w:val="clear" w:color="auto" w:fill="auto"/>
            <w:vAlign w:val="bottom"/>
            <w:hideMark/>
          </w:tcPr>
          <w:p w14:paraId="33190E85"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-16,176</w:t>
            </w:r>
          </w:p>
        </w:tc>
        <w:tc>
          <w:tcPr>
            <w:tcW w:w="800" w:type="dxa"/>
            <w:tcBorders>
              <w:top w:val="nil"/>
              <w:left w:val="nil"/>
              <w:bottom w:val="single" w:sz="4" w:space="0" w:color="ADD6EA"/>
              <w:right w:val="nil"/>
            </w:tcBorders>
            <w:shd w:val="clear" w:color="auto" w:fill="auto"/>
            <w:vAlign w:val="bottom"/>
            <w:hideMark/>
          </w:tcPr>
          <w:p w14:paraId="634EDC81"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-10,820</w:t>
            </w:r>
          </w:p>
        </w:tc>
        <w:tc>
          <w:tcPr>
            <w:tcW w:w="700" w:type="dxa"/>
            <w:tcBorders>
              <w:top w:val="nil"/>
              <w:left w:val="nil"/>
              <w:bottom w:val="single" w:sz="4" w:space="0" w:color="ADD6EA"/>
              <w:right w:val="nil"/>
            </w:tcBorders>
            <w:shd w:val="clear" w:color="auto" w:fill="auto"/>
            <w:vAlign w:val="bottom"/>
            <w:hideMark/>
          </w:tcPr>
          <w:p w14:paraId="636E390C"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-3,300</w:t>
            </w:r>
          </w:p>
        </w:tc>
        <w:tc>
          <w:tcPr>
            <w:tcW w:w="700" w:type="dxa"/>
            <w:tcBorders>
              <w:top w:val="nil"/>
              <w:left w:val="nil"/>
              <w:bottom w:val="single" w:sz="4" w:space="0" w:color="ADD6EA"/>
              <w:right w:val="nil"/>
            </w:tcBorders>
            <w:shd w:val="clear" w:color="auto" w:fill="auto"/>
            <w:vAlign w:val="bottom"/>
            <w:hideMark/>
          </w:tcPr>
          <w:p w14:paraId="168F68B0"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-2,628</w:t>
            </w:r>
          </w:p>
        </w:tc>
        <w:tc>
          <w:tcPr>
            <w:tcW w:w="700" w:type="dxa"/>
            <w:tcBorders>
              <w:top w:val="nil"/>
              <w:left w:val="nil"/>
              <w:bottom w:val="single" w:sz="4" w:space="0" w:color="ADD6EA"/>
              <w:right w:val="nil"/>
            </w:tcBorders>
            <w:shd w:val="clear" w:color="auto" w:fill="auto"/>
            <w:vAlign w:val="bottom"/>
            <w:hideMark/>
          </w:tcPr>
          <w:p w14:paraId="16AFEDEC"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-1,524</w:t>
            </w:r>
          </w:p>
        </w:tc>
        <w:tc>
          <w:tcPr>
            <w:tcW w:w="860" w:type="dxa"/>
            <w:tcBorders>
              <w:top w:val="nil"/>
              <w:left w:val="nil"/>
              <w:bottom w:val="single" w:sz="4" w:space="0" w:color="ADD6EA"/>
              <w:right w:val="nil"/>
            </w:tcBorders>
            <w:shd w:val="clear" w:color="auto" w:fill="auto"/>
            <w:vAlign w:val="bottom"/>
            <w:hideMark/>
          </w:tcPr>
          <w:p w14:paraId="7647433C"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-156,216</w:t>
            </w:r>
          </w:p>
        </w:tc>
      </w:tr>
      <w:tr w:rsidR="007E365E" w:rsidRPr="00AC0CE2" w14:paraId="0E69FFBE" w14:textId="77777777" w:rsidTr="007D1D77">
        <w:trPr>
          <w:trHeight w:val="315"/>
        </w:trPr>
        <w:tc>
          <w:tcPr>
            <w:tcW w:w="2040" w:type="dxa"/>
            <w:tcBorders>
              <w:top w:val="nil"/>
              <w:left w:val="nil"/>
              <w:bottom w:val="single" w:sz="4" w:space="0" w:color="ADD6EA"/>
              <w:right w:val="nil"/>
            </w:tcBorders>
            <w:shd w:val="clear" w:color="auto" w:fill="auto"/>
            <w:vAlign w:val="bottom"/>
            <w:hideMark/>
          </w:tcPr>
          <w:p w14:paraId="2A06B6C1" w14:textId="77777777" w:rsidR="007E365E" w:rsidRPr="00AC0CE2" w:rsidRDefault="007E365E" w:rsidP="007D1D77">
            <w:pPr>
              <w:tabs>
                <w:tab w:val="clear" w:pos="567"/>
              </w:tabs>
              <w:spacing w:before="0" w:line="240" w:lineRule="auto"/>
              <w:rPr>
                <w:rFonts w:eastAsia="Times New Roman" w:cs="Open Sans Light"/>
                <w:sz w:val="16"/>
                <w:szCs w:val="16"/>
                <w:lang w:eastAsia="en-AU"/>
              </w:rPr>
            </w:pPr>
            <w:r w:rsidRPr="00AC0CE2">
              <w:rPr>
                <w:rFonts w:eastAsia="Times New Roman" w:cs="Open Sans Light"/>
                <w:sz w:val="16"/>
                <w:szCs w:val="16"/>
                <w:lang w:eastAsia="en-AU"/>
              </w:rPr>
              <w:t>at start of the year ($m)</w:t>
            </w:r>
          </w:p>
        </w:tc>
        <w:tc>
          <w:tcPr>
            <w:tcW w:w="800" w:type="dxa"/>
            <w:tcBorders>
              <w:top w:val="nil"/>
              <w:left w:val="nil"/>
              <w:bottom w:val="single" w:sz="4" w:space="0" w:color="ADD6EA"/>
              <w:right w:val="nil"/>
            </w:tcBorders>
            <w:shd w:val="clear" w:color="auto" w:fill="auto"/>
            <w:vAlign w:val="bottom"/>
            <w:hideMark/>
          </w:tcPr>
          <w:p w14:paraId="5E9DE261"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-43,775</w:t>
            </w:r>
          </w:p>
        </w:tc>
        <w:tc>
          <w:tcPr>
            <w:tcW w:w="800" w:type="dxa"/>
            <w:tcBorders>
              <w:top w:val="nil"/>
              <w:left w:val="nil"/>
              <w:bottom w:val="single" w:sz="4" w:space="0" w:color="ADD6EA"/>
              <w:right w:val="nil"/>
            </w:tcBorders>
            <w:shd w:val="clear" w:color="auto" w:fill="auto"/>
            <w:vAlign w:val="bottom"/>
            <w:hideMark/>
          </w:tcPr>
          <w:p w14:paraId="6A027C07"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-35,303</w:t>
            </w:r>
          </w:p>
        </w:tc>
        <w:tc>
          <w:tcPr>
            <w:tcW w:w="800" w:type="dxa"/>
            <w:tcBorders>
              <w:top w:val="nil"/>
              <w:left w:val="nil"/>
              <w:bottom w:val="single" w:sz="4" w:space="0" w:color="ADD6EA"/>
              <w:right w:val="nil"/>
            </w:tcBorders>
            <w:shd w:val="clear" w:color="auto" w:fill="auto"/>
            <w:vAlign w:val="bottom"/>
            <w:hideMark/>
          </w:tcPr>
          <w:p w14:paraId="7C5CFBBF"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-27,432</w:t>
            </w:r>
          </w:p>
        </w:tc>
        <w:tc>
          <w:tcPr>
            <w:tcW w:w="800" w:type="dxa"/>
            <w:tcBorders>
              <w:top w:val="nil"/>
              <w:left w:val="nil"/>
              <w:bottom w:val="single" w:sz="4" w:space="0" w:color="ADD6EA"/>
              <w:right w:val="nil"/>
            </w:tcBorders>
            <w:shd w:val="clear" w:color="auto" w:fill="auto"/>
            <w:vAlign w:val="bottom"/>
            <w:hideMark/>
          </w:tcPr>
          <w:p w14:paraId="1632BB1C"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-14,275</w:t>
            </w:r>
          </w:p>
        </w:tc>
        <w:tc>
          <w:tcPr>
            <w:tcW w:w="800" w:type="dxa"/>
            <w:tcBorders>
              <w:top w:val="nil"/>
              <w:left w:val="nil"/>
              <w:bottom w:val="single" w:sz="4" w:space="0" w:color="ADD6EA"/>
              <w:right w:val="nil"/>
            </w:tcBorders>
            <w:shd w:val="clear" w:color="auto" w:fill="auto"/>
            <w:vAlign w:val="bottom"/>
            <w:hideMark/>
          </w:tcPr>
          <w:p w14:paraId="3340EA3A"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-9,554</w:t>
            </w:r>
          </w:p>
        </w:tc>
        <w:tc>
          <w:tcPr>
            <w:tcW w:w="700" w:type="dxa"/>
            <w:tcBorders>
              <w:top w:val="nil"/>
              <w:left w:val="nil"/>
              <w:bottom w:val="single" w:sz="4" w:space="0" w:color="ADD6EA"/>
              <w:right w:val="nil"/>
            </w:tcBorders>
            <w:shd w:val="clear" w:color="auto" w:fill="auto"/>
            <w:vAlign w:val="bottom"/>
            <w:hideMark/>
          </w:tcPr>
          <w:p w14:paraId="5C6690BB"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-2,902</w:t>
            </w:r>
          </w:p>
        </w:tc>
        <w:tc>
          <w:tcPr>
            <w:tcW w:w="700" w:type="dxa"/>
            <w:tcBorders>
              <w:top w:val="nil"/>
              <w:left w:val="nil"/>
              <w:bottom w:val="single" w:sz="4" w:space="0" w:color="ADD6EA"/>
              <w:right w:val="nil"/>
            </w:tcBorders>
            <w:shd w:val="clear" w:color="auto" w:fill="auto"/>
            <w:vAlign w:val="bottom"/>
            <w:hideMark/>
          </w:tcPr>
          <w:p w14:paraId="65CB31B8"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-2,299</w:t>
            </w:r>
          </w:p>
        </w:tc>
        <w:tc>
          <w:tcPr>
            <w:tcW w:w="700" w:type="dxa"/>
            <w:tcBorders>
              <w:top w:val="nil"/>
              <w:left w:val="nil"/>
              <w:bottom w:val="single" w:sz="4" w:space="0" w:color="ADD6EA"/>
              <w:right w:val="nil"/>
            </w:tcBorders>
            <w:shd w:val="clear" w:color="auto" w:fill="auto"/>
            <w:vAlign w:val="bottom"/>
            <w:hideMark/>
          </w:tcPr>
          <w:p w14:paraId="3F3F4D3D"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-1,364</w:t>
            </w:r>
          </w:p>
        </w:tc>
        <w:tc>
          <w:tcPr>
            <w:tcW w:w="860" w:type="dxa"/>
            <w:tcBorders>
              <w:top w:val="nil"/>
              <w:left w:val="nil"/>
              <w:bottom w:val="single" w:sz="4" w:space="0" w:color="ADD6EA"/>
              <w:right w:val="nil"/>
            </w:tcBorders>
            <w:shd w:val="clear" w:color="auto" w:fill="auto"/>
            <w:vAlign w:val="bottom"/>
            <w:hideMark/>
          </w:tcPr>
          <w:p w14:paraId="7A82FE7D"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-136,904</w:t>
            </w:r>
          </w:p>
        </w:tc>
      </w:tr>
      <w:tr w:rsidR="007E365E" w:rsidRPr="00AC0CE2" w14:paraId="102A8370" w14:textId="77777777" w:rsidTr="007D1D77">
        <w:trPr>
          <w:trHeight w:val="315"/>
        </w:trPr>
        <w:tc>
          <w:tcPr>
            <w:tcW w:w="2840" w:type="dxa"/>
            <w:gridSpan w:val="2"/>
            <w:tcBorders>
              <w:top w:val="single" w:sz="4" w:space="0" w:color="ADD6EA"/>
              <w:left w:val="nil"/>
              <w:bottom w:val="single" w:sz="4" w:space="0" w:color="ADD6EA"/>
              <w:right w:val="nil"/>
            </w:tcBorders>
            <w:shd w:val="clear" w:color="000000" w:fill="B6D5E4"/>
            <w:vAlign w:val="bottom"/>
            <w:hideMark/>
          </w:tcPr>
          <w:p w14:paraId="1384D918" w14:textId="77777777" w:rsidR="007E365E" w:rsidRPr="00AC0CE2"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AC0CE2">
              <w:rPr>
                <w:rFonts w:ascii="Open Sans SemiBold" w:eastAsia="Times New Roman" w:hAnsi="Open Sans SemiBold" w:cs="Open Sans SemiBold"/>
                <w:sz w:val="16"/>
                <w:szCs w:val="16"/>
                <w:lang w:eastAsia="en-AU"/>
              </w:rPr>
              <w:t>Assessed net borrowing (a)</w:t>
            </w:r>
          </w:p>
        </w:tc>
        <w:tc>
          <w:tcPr>
            <w:tcW w:w="800" w:type="dxa"/>
            <w:tcBorders>
              <w:top w:val="nil"/>
              <w:left w:val="nil"/>
              <w:bottom w:val="single" w:sz="4" w:space="0" w:color="ADD6EA"/>
              <w:right w:val="nil"/>
            </w:tcBorders>
            <w:shd w:val="clear" w:color="000000" w:fill="B6D5E4"/>
            <w:vAlign w:val="bottom"/>
            <w:hideMark/>
          </w:tcPr>
          <w:p w14:paraId="6A89229E"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c>
          <w:tcPr>
            <w:tcW w:w="800" w:type="dxa"/>
            <w:tcBorders>
              <w:top w:val="nil"/>
              <w:left w:val="nil"/>
              <w:bottom w:val="single" w:sz="4" w:space="0" w:color="ADD6EA"/>
              <w:right w:val="nil"/>
            </w:tcBorders>
            <w:shd w:val="clear" w:color="000000" w:fill="B6D5E4"/>
            <w:vAlign w:val="bottom"/>
            <w:hideMark/>
          </w:tcPr>
          <w:p w14:paraId="2A01EA61"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c>
          <w:tcPr>
            <w:tcW w:w="800" w:type="dxa"/>
            <w:tcBorders>
              <w:top w:val="nil"/>
              <w:left w:val="nil"/>
              <w:bottom w:val="single" w:sz="4" w:space="0" w:color="ADD6EA"/>
              <w:right w:val="nil"/>
            </w:tcBorders>
            <w:shd w:val="clear" w:color="000000" w:fill="B6D5E4"/>
            <w:vAlign w:val="bottom"/>
            <w:hideMark/>
          </w:tcPr>
          <w:p w14:paraId="2689630E"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c>
          <w:tcPr>
            <w:tcW w:w="800" w:type="dxa"/>
            <w:tcBorders>
              <w:top w:val="nil"/>
              <w:left w:val="nil"/>
              <w:bottom w:val="single" w:sz="4" w:space="0" w:color="ADD6EA"/>
              <w:right w:val="nil"/>
            </w:tcBorders>
            <w:shd w:val="clear" w:color="000000" w:fill="B6D5E4"/>
            <w:vAlign w:val="bottom"/>
            <w:hideMark/>
          </w:tcPr>
          <w:p w14:paraId="7FA9E56D"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c>
          <w:tcPr>
            <w:tcW w:w="700" w:type="dxa"/>
            <w:tcBorders>
              <w:top w:val="nil"/>
              <w:left w:val="nil"/>
              <w:bottom w:val="single" w:sz="4" w:space="0" w:color="ADD6EA"/>
              <w:right w:val="nil"/>
            </w:tcBorders>
            <w:shd w:val="clear" w:color="000000" w:fill="B6D5E4"/>
            <w:vAlign w:val="bottom"/>
            <w:hideMark/>
          </w:tcPr>
          <w:p w14:paraId="33D38288"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c>
          <w:tcPr>
            <w:tcW w:w="700" w:type="dxa"/>
            <w:tcBorders>
              <w:top w:val="nil"/>
              <w:left w:val="nil"/>
              <w:bottom w:val="single" w:sz="4" w:space="0" w:color="ADD6EA"/>
              <w:right w:val="nil"/>
            </w:tcBorders>
            <w:shd w:val="clear" w:color="000000" w:fill="B6D5E4"/>
            <w:vAlign w:val="bottom"/>
            <w:hideMark/>
          </w:tcPr>
          <w:p w14:paraId="54435FAA"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c>
          <w:tcPr>
            <w:tcW w:w="700" w:type="dxa"/>
            <w:tcBorders>
              <w:top w:val="nil"/>
              <w:left w:val="nil"/>
              <w:bottom w:val="single" w:sz="4" w:space="0" w:color="ADD6EA"/>
              <w:right w:val="nil"/>
            </w:tcBorders>
            <w:shd w:val="clear" w:color="000000" w:fill="B6D5E4"/>
            <w:vAlign w:val="bottom"/>
            <w:hideMark/>
          </w:tcPr>
          <w:p w14:paraId="37B9E8CE"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c>
          <w:tcPr>
            <w:tcW w:w="860" w:type="dxa"/>
            <w:tcBorders>
              <w:top w:val="nil"/>
              <w:left w:val="nil"/>
              <w:bottom w:val="single" w:sz="4" w:space="0" w:color="ADD6EA"/>
              <w:right w:val="nil"/>
            </w:tcBorders>
            <w:shd w:val="clear" w:color="000000" w:fill="B6D5E4"/>
            <w:vAlign w:val="bottom"/>
            <w:hideMark/>
          </w:tcPr>
          <w:p w14:paraId="7224FDD3"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w:t>
            </w:r>
          </w:p>
        </w:tc>
      </w:tr>
      <w:tr w:rsidR="007E365E" w:rsidRPr="00AC0CE2" w14:paraId="2826C56F" w14:textId="77777777" w:rsidTr="007D1D77">
        <w:trPr>
          <w:trHeight w:val="315"/>
        </w:trPr>
        <w:tc>
          <w:tcPr>
            <w:tcW w:w="2040" w:type="dxa"/>
            <w:tcBorders>
              <w:top w:val="nil"/>
              <w:left w:val="nil"/>
              <w:bottom w:val="single" w:sz="4" w:space="0" w:color="ADD6EA"/>
              <w:right w:val="nil"/>
            </w:tcBorders>
            <w:shd w:val="clear" w:color="auto" w:fill="auto"/>
            <w:vAlign w:val="bottom"/>
            <w:hideMark/>
          </w:tcPr>
          <w:p w14:paraId="4A0115DC" w14:textId="0065B8CB" w:rsidR="007E365E" w:rsidRPr="00AC0CE2" w:rsidRDefault="007E365E" w:rsidP="007D1D77">
            <w:pPr>
              <w:tabs>
                <w:tab w:val="clear" w:pos="567"/>
              </w:tabs>
              <w:spacing w:before="0" w:line="240" w:lineRule="auto"/>
              <w:rPr>
                <w:rFonts w:eastAsia="Times New Roman" w:cs="Open Sans Light"/>
                <w:sz w:val="16"/>
                <w:szCs w:val="16"/>
                <w:lang w:eastAsia="en-AU"/>
              </w:rPr>
            </w:pPr>
            <w:r w:rsidRPr="00AC0CE2">
              <w:rPr>
                <w:rFonts w:eastAsia="Times New Roman" w:cs="Open Sans Light"/>
                <w:sz w:val="16"/>
                <w:szCs w:val="16"/>
                <w:lang w:eastAsia="en-AU"/>
              </w:rPr>
              <w:t>$ m</w:t>
            </w:r>
            <w:r w:rsidR="00EB62E9">
              <w:rPr>
                <w:rFonts w:eastAsia="Times New Roman" w:cs="Open Sans Light"/>
                <w:sz w:val="16"/>
                <w:szCs w:val="16"/>
                <w:lang w:eastAsia="en-AU"/>
              </w:rPr>
              <w:t>illion</w:t>
            </w:r>
          </w:p>
        </w:tc>
        <w:tc>
          <w:tcPr>
            <w:tcW w:w="800" w:type="dxa"/>
            <w:tcBorders>
              <w:top w:val="nil"/>
              <w:left w:val="nil"/>
              <w:bottom w:val="single" w:sz="4" w:space="0" w:color="ADD6EA"/>
              <w:right w:val="nil"/>
            </w:tcBorders>
            <w:shd w:val="clear" w:color="auto" w:fill="auto"/>
            <w:vAlign w:val="bottom"/>
            <w:hideMark/>
          </w:tcPr>
          <w:p w14:paraId="26B07F47"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6,122</w:t>
            </w:r>
          </w:p>
        </w:tc>
        <w:tc>
          <w:tcPr>
            <w:tcW w:w="800" w:type="dxa"/>
            <w:tcBorders>
              <w:top w:val="nil"/>
              <w:left w:val="nil"/>
              <w:bottom w:val="single" w:sz="4" w:space="0" w:color="ADD6EA"/>
              <w:right w:val="nil"/>
            </w:tcBorders>
            <w:shd w:val="clear" w:color="auto" w:fill="auto"/>
            <w:vAlign w:val="bottom"/>
            <w:hideMark/>
          </w:tcPr>
          <w:p w14:paraId="5C0F7EEA"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5,216</w:t>
            </w:r>
          </w:p>
        </w:tc>
        <w:tc>
          <w:tcPr>
            <w:tcW w:w="800" w:type="dxa"/>
            <w:tcBorders>
              <w:top w:val="nil"/>
              <w:left w:val="nil"/>
              <w:bottom w:val="single" w:sz="4" w:space="0" w:color="ADD6EA"/>
              <w:right w:val="nil"/>
            </w:tcBorders>
            <w:shd w:val="clear" w:color="auto" w:fill="auto"/>
            <w:vAlign w:val="bottom"/>
            <w:hideMark/>
          </w:tcPr>
          <w:p w14:paraId="5984B2B8"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3,920</w:t>
            </w:r>
          </w:p>
        </w:tc>
        <w:tc>
          <w:tcPr>
            <w:tcW w:w="800" w:type="dxa"/>
            <w:tcBorders>
              <w:top w:val="nil"/>
              <w:left w:val="nil"/>
              <w:bottom w:val="single" w:sz="4" w:space="0" w:color="ADD6EA"/>
              <w:right w:val="nil"/>
            </w:tcBorders>
            <w:shd w:val="clear" w:color="auto" w:fill="auto"/>
            <w:vAlign w:val="bottom"/>
            <w:hideMark/>
          </w:tcPr>
          <w:p w14:paraId="52C92345"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1,901</w:t>
            </w:r>
          </w:p>
        </w:tc>
        <w:tc>
          <w:tcPr>
            <w:tcW w:w="800" w:type="dxa"/>
            <w:tcBorders>
              <w:top w:val="nil"/>
              <w:left w:val="nil"/>
              <w:bottom w:val="single" w:sz="4" w:space="0" w:color="ADD6EA"/>
              <w:right w:val="nil"/>
            </w:tcBorders>
            <w:shd w:val="clear" w:color="auto" w:fill="auto"/>
            <w:vAlign w:val="bottom"/>
            <w:hideMark/>
          </w:tcPr>
          <w:p w14:paraId="095AF386"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1,266</w:t>
            </w:r>
          </w:p>
        </w:tc>
        <w:tc>
          <w:tcPr>
            <w:tcW w:w="700" w:type="dxa"/>
            <w:tcBorders>
              <w:top w:val="nil"/>
              <w:left w:val="nil"/>
              <w:bottom w:val="single" w:sz="4" w:space="0" w:color="ADD6EA"/>
              <w:right w:val="nil"/>
            </w:tcBorders>
            <w:shd w:val="clear" w:color="auto" w:fill="auto"/>
            <w:vAlign w:val="bottom"/>
            <w:hideMark/>
          </w:tcPr>
          <w:p w14:paraId="013D0CE9"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399</w:t>
            </w:r>
          </w:p>
        </w:tc>
        <w:tc>
          <w:tcPr>
            <w:tcW w:w="700" w:type="dxa"/>
            <w:tcBorders>
              <w:top w:val="nil"/>
              <w:left w:val="nil"/>
              <w:bottom w:val="single" w:sz="4" w:space="0" w:color="ADD6EA"/>
              <w:right w:val="nil"/>
            </w:tcBorders>
            <w:shd w:val="clear" w:color="auto" w:fill="auto"/>
            <w:vAlign w:val="bottom"/>
            <w:hideMark/>
          </w:tcPr>
          <w:p w14:paraId="1E250716"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329</w:t>
            </w:r>
          </w:p>
        </w:tc>
        <w:tc>
          <w:tcPr>
            <w:tcW w:w="700" w:type="dxa"/>
            <w:tcBorders>
              <w:top w:val="nil"/>
              <w:left w:val="nil"/>
              <w:bottom w:val="single" w:sz="4" w:space="0" w:color="ADD6EA"/>
              <w:right w:val="nil"/>
            </w:tcBorders>
            <w:shd w:val="clear" w:color="auto" w:fill="auto"/>
            <w:vAlign w:val="bottom"/>
            <w:hideMark/>
          </w:tcPr>
          <w:p w14:paraId="0D8D9291"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160</w:t>
            </w:r>
          </w:p>
        </w:tc>
        <w:tc>
          <w:tcPr>
            <w:tcW w:w="860" w:type="dxa"/>
            <w:tcBorders>
              <w:top w:val="nil"/>
              <w:left w:val="nil"/>
              <w:bottom w:val="single" w:sz="4" w:space="0" w:color="ADD6EA"/>
              <w:right w:val="nil"/>
            </w:tcBorders>
            <w:shd w:val="clear" w:color="auto" w:fill="auto"/>
            <w:vAlign w:val="bottom"/>
            <w:hideMark/>
          </w:tcPr>
          <w:p w14:paraId="0B3C6CCE"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19,311</w:t>
            </w:r>
          </w:p>
        </w:tc>
      </w:tr>
      <w:tr w:rsidR="007E365E" w:rsidRPr="00AC0CE2" w14:paraId="43419697" w14:textId="77777777" w:rsidTr="007D1D77">
        <w:trPr>
          <w:trHeight w:val="315"/>
        </w:trPr>
        <w:tc>
          <w:tcPr>
            <w:tcW w:w="2040" w:type="dxa"/>
            <w:tcBorders>
              <w:top w:val="nil"/>
              <w:left w:val="nil"/>
              <w:bottom w:val="single" w:sz="4" w:space="0" w:color="ADD6EA"/>
              <w:right w:val="nil"/>
            </w:tcBorders>
            <w:shd w:val="clear" w:color="auto" w:fill="auto"/>
            <w:vAlign w:val="bottom"/>
            <w:hideMark/>
          </w:tcPr>
          <w:p w14:paraId="7271040F" w14:textId="239ABEDE" w:rsidR="007E365E" w:rsidRPr="00AC0CE2" w:rsidRDefault="007E365E" w:rsidP="007D1D77">
            <w:pPr>
              <w:tabs>
                <w:tab w:val="clear" w:pos="567"/>
              </w:tabs>
              <w:spacing w:before="0" w:line="240" w:lineRule="auto"/>
              <w:rPr>
                <w:rFonts w:eastAsia="Times New Roman" w:cs="Open Sans Light"/>
                <w:sz w:val="16"/>
                <w:szCs w:val="16"/>
                <w:lang w:eastAsia="en-AU"/>
              </w:rPr>
            </w:pPr>
            <w:r w:rsidRPr="00AC0CE2">
              <w:rPr>
                <w:rFonts w:eastAsia="Times New Roman" w:cs="Open Sans Light"/>
                <w:sz w:val="16"/>
                <w:szCs w:val="16"/>
                <w:lang w:eastAsia="en-AU"/>
              </w:rPr>
              <w:t>$ p</w:t>
            </w:r>
            <w:r w:rsidR="00EB62E9">
              <w:rPr>
                <w:rFonts w:eastAsia="Times New Roman" w:cs="Open Sans Light"/>
                <w:sz w:val="16"/>
                <w:szCs w:val="16"/>
                <w:lang w:eastAsia="en-AU"/>
              </w:rPr>
              <w:t>er capita</w:t>
            </w:r>
          </w:p>
        </w:tc>
        <w:tc>
          <w:tcPr>
            <w:tcW w:w="800" w:type="dxa"/>
            <w:tcBorders>
              <w:top w:val="nil"/>
              <w:left w:val="nil"/>
              <w:bottom w:val="single" w:sz="4" w:space="0" w:color="ADD6EA"/>
              <w:right w:val="nil"/>
            </w:tcBorders>
            <w:shd w:val="clear" w:color="auto" w:fill="auto"/>
            <w:vAlign w:val="bottom"/>
            <w:hideMark/>
          </w:tcPr>
          <w:p w14:paraId="74B595A4"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xml:space="preserve"> 762</w:t>
            </w:r>
          </w:p>
        </w:tc>
        <w:tc>
          <w:tcPr>
            <w:tcW w:w="800" w:type="dxa"/>
            <w:tcBorders>
              <w:top w:val="nil"/>
              <w:left w:val="nil"/>
              <w:bottom w:val="single" w:sz="4" w:space="0" w:color="ADD6EA"/>
              <w:right w:val="nil"/>
            </w:tcBorders>
            <w:shd w:val="clear" w:color="auto" w:fill="auto"/>
            <w:vAlign w:val="bottom"/>
            <w:hideMark/>
          </w:tcPr>
          <w:p w14:paraId="753AA33F"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xml:space="preserve"> 799</w:t>
            </w:r>
          </w:p>
        </w:tc>
        <w:tc>
          <w:tcPr>
            <w:tcW w:w="800" w:type="dxa"/>
            <w:tcBorders>
              <w:top w:val="nil"/>
              <w:left w:val="nil"/>
              <w:bottom w:val="single" w:sz="4" w:space="0" w:color="ADD6EA"/>
              <w:right w:val="nil"/>
            </w:tcBorders>
            <w:shd w:val="clear" w:color="auto" w:fill="auto"/>
            <w:vAlign w:val="bottom"/>
            <w:hideMark/>
          </w:tcPr>
          <w:p w14:paraId="65958CAA"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xml:space="preserve"> 776</w:t>
            </w:r>
          </w:p>
        </w:tc>
        <w:tc>
          <w:tcPr>
            <w:tcW w:w="800" w:type="dxa"/>
            <w:tcBorders>
              <w:top w:val="nil"/>
              <w:left w:val="nil"/>
              <w:bottom w:val="single" w:sz="4" w:space="0" w:color="ADD6EA"/>
              <w:right w:val="nil"/>
            </w:tcBorders>
            <w:shd w:val="clear" w:color="auto" w:fill="auto"/>
            <w:vAlign w:val="bottom"/>
            <w:hideMark/>
          </w:tcPr>
          <w:p w14:paraId="35423B70"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xml:space="preserve"> 730</w:t>
            </w:r>
          </w:p>
        </w:tc>
        <w:tc>
          <w:tcPr>
            <w:tcW w:w="800" w:type="dxa"/>
            <w:tcBorders>
              <w:top w:val="nil"/>
              <w:left w:val="nil"/>
              <w:bottom w:val="single" w:sz="4" w:space="0" w:color="ADD6EA"/>
              <w:right w:val="nil"/>
            </w:tcBorders>
            <w:shd w:val="clear" w:color="auto" w:fill="auto"/>
            <w:vAlign w:val="bottom"/>
            <w:hideMark/>
          </w:tcPr>
          <w:p w14:paraId="48EEFDD2"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xml:space="preserve"> 726</w:t>
            </w:r>
          </w:p>
        </w:tc>
        <w:tc>
          <w:tcPr>
            <w:tcW w:w="700" w:type="dxa"/>
            <w:tcBorders>
              <w:top w:val="nil"/>
              <w:left w:val="nil"/>
              <w:bottom w:val="single" w:sz="4" w:space="0" w:color="ADD6EA"/>
              <w:right w:val="nil"/>
            </w:tcBorders>
            <w:shd w:val="clear" w:color="auto" w:fill="auto"/>
            <w:vAlign w:val="bottom"/>
            <w:hideMark/>
          </w:tcPr>
          <w:p w14:paraId="138C3BBB"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xml:space="preserve"> 750</w:t>
            </w:r>
          </w:p>
        </w:tc>
        <w:tc>
          <w:tcPr>
            <w:tcW w:w="700" w:type="dxa"/>
            <w:tcBorders>
              <w:top w:val="nil"/>
              <w:left w:val="nil"/>
              <w:bottom w:val="single" w:sz="4" w:space="0" w:color="ADD6EA"/>
              <w:right w:val="nil"/>
            </w:tcBorders>
            <w:shd w:val="clear" w:color="auto" w:fill="auto"/>
            <w:vAlign w:val="bottom"/>
            <w:hideMark/>
          </w:tcPr>
          <w:p w14:paraId="05DC31A1"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xml:space="preserve"> 778</w:t>
            </w:r>
          </w:p>
        </w:tc>
        <w:tc>
          <w:tcPr>
            <w:tcW w:w="700" w:type="dxa"/>
            <w:tcBorders>
              <w:top w:val="nil"/>
              <w:left w:val="nil"/>
              <w:bottom w:val="single" w:sz="4" w:space="0" w:color="ADD6EA"/>
              <w:right w:val="nil"/>
            </w:tcBorders>
            <w:shd w:val="clear" w:color="auto" w:fill="auto"/>
            <w:vAlign w:val="bottom"/>
            <w:hideMark/>
          </w:tcPr>
          <w:p w14:paraId="6B68A5E8"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xml:space="preserve"> 650</w:t>
            </w:r>
          </w:p>
        </w:tc>
        <w:tc>
          <w:tcPr>
            <w:tcW w:w="860" w:type="dxa"/>
            <w:tcBorders>
              <w:top w:val="nil"/>
              <w:left w:val="nil"/>
              <w:bottom w:val="single" w:sz="4" w:space="0" w:color="ADD6EA"/>
              <w:right w:val="nil"/>
            </w:tcBorders>
            <w:shd w:val="clear" w:color="auto" w:fill="auto"/>
            <w:vAlign w:val="bottom"/>
            <w:hideMark/>
          </w:tcPr>
          <w:p w14:paraId="28B1ACDE" w14:textId="77777777" w:rsidR="007E365E" w:rsidRPr="00AC0CE2" w:rsidRDefault="007E365E" w:rsidP="007D1D77">
            <w:pPr>
              <w:tabs>
                <w:tab w:val="clear" w:pos="567"/>
              </w:tabs>
              <w:spacing w:before="0" w:line="240" w:lineRule="auto"/>
              <w:jc w:val="right"/>
              <w:rPr>
                <w:rFonts w:eastAsia="Times New Roman" w:cs="Open Sans Light"/>
                <w:sz w:val="16"/>
                <w:szCs w:val="16"/>
                <w:lang w:eastAsia="en-AU"/>
              </w:rPr>
            </w:pPr>
            <w:r w:rsidRPr="00AC0CE2">
              <w:rPr>
                <w:rFonts w:eastAsia="Times New Roman" w:cs="Open Sans Light"/>
                <w:sz w:val="16"/>
                <w:szCs w:val="16"/>
                <w:lang w:eastAsia="en-AU"/>
              </w:rPr>
              <w:t xml:space="preserve"> 767</w:t>
            </w:r>
          </w:p>
        </w:tc>
      </w:tr>
    </w:tbl>
    <w:p w14:paraId="463B05CF" w14:textId="77777777" w:rsidR="007E365E" w:rsidRPr="00CE6810" w:rsidRDefault="007E365E" w:rsidP="007E365E">
      <w:pPr>
        <w:pStyle w:val="CGCTablenote"/>
      </w:pPr>
      <w:r w:rsidRPr="00176C97">
        <w:t>(a</w:t>
      </w:r>
      <w:r>
        <w:t>)</w:t>
      </w:r>
      <w:r>
        <w:tab/>
      </w:r>
      <w:r w:rsidRPr="00CE6810">
        <w:t>Net borrowing reduces net financial assets.</w:t>
      </w:r>
    </w:p>
    <w:p w14:paraId="615A9FB4" w14:textId="77777777" w:rsidR="007E365E" w:rsidRPr="00CE6810" w:rsidRDefault="007E365E" w:rsidP="007E365E">
      <w:pPr>
        <w:pStyle w:val="CGCTablenote"/>
      </w:pPr>
      <w:r w:rsidRPr="00CE6810">
        <w:t>Source:</w:t>
      </w:r>
      <w:r w:rsidRPr="00CE6810">
        <w:tab/>
        <w:t>Commission calculation.</w:t>
      </w:r>
    </w:p>
    <w:p w14:paraId="6CAD9D7F" w14:textId="77777777" w:rsidR="007E365E" w:rsidRPr="00CE6810" w:rsidRDefault="007E365E" w:rsidP="007E365E">
      <w:pPr>
        <w:pStyle w:val="Heading3"/>
      </w:pPr>
      <w:r>
        <w:t>Effect on the GST distribution</w:t>
      </w:r>
    </w:p>
    <w:p w14:paraId="5B7FFA8F" w14:textId="3A06D9EB" w:rsidR="007E365E" w:rsidRPr="00CE6810" w:rsidRDefault="007E365E" w:rsidP="007E365E">
      <w:pPr>
        <w:pStyle w:val="CGCParaNumber"/>
      </w:pPr>
      <w:r>
        <w:fldChar w:fldCharType="begin"/>
      </w:r>
      <w:r>
        <w:instrText xml:space="preserve"> REF _Ref32845994 \h </w:instrText>
      </w:r>
      <w:r>
        <w:fldChar w:fldCharType="separate"/>
      </w:r>
      <w:r w:rsidR="007F721A" w:rsidRPr="00CE6810">
        <w:t xml:space="preserve">Table </w:t>
      </w:r>
      <w:r w:rsidR="007F721A">
        <w:t>25-</w:t>
      </w:r>
      <w:r w:rsidR="007F721A">
        <w:rPr>
          <w:noProof/>
        </w:rPr>
        <w:t>5</w:t>
      </w:r>
      <w:r>
        <w:fldChar w:fldCharType="end"/>
      </w:r>
      <w:r w:rsidRPr="00CE6810">
        <w:t xml:space="preserve"> shows the extent to which the assessment for this category differs from an EPC assessment of net borrowing. The redistribution reflects the interstate differences in population growth rates and negative net financial assets in </w:t>
      </w:r>
      <w:r>
        <w:t>2018-19</w:t>
      </w:r>
      <w:r w:rsidRPr="00CE6810">
        <w:t>. When States hold net financial liabilities (negative net financial assets) population growth reduces the per capita value of those liabilities. The reduction is greater for States with above average population growth and their GST requirements are reduced. The GST requirements of States with below average growth are increased.</w:t>
      </w:r>
    </w:p>
    <w:p w14:paraId="57BC2FAB" w14:textId="77777777" w:rsidR="007E365E" w:rsidRPr="00A96C11" w:rsidRDefault="007E365E" w:rsidP="007E365E">
      <w:pPr>
        <w:pStyle w:val="CGCParaNumber"/>
      </w:pPr>
      <w:r w:rsidRPr="00A96C11">
        <w:t xml:space="preserve">In per capita terms, Western Australia, South Australia and the Northern Territory experience the largest redistributions, as the States with the slowest population growth.  </w:t>
      </w:r>
    </w:p>
    <w:p w14:paraId="697D864A" w14:textId="647F89B1" w:rsidR="007E365E" w:rsidRDefault="007E365E" w:rsidP="007E365E">
      <w:pPr>
        <w:pStyle w:val="Caption"/>
      </w:pPr>
      <w:bookmarkStart w:id="457" w:name="_Ref32845994"/>
      <w:r w:rsidRPr="00CE6810">
        <w:t xml:space="preserve">Table </w:t>
      </w:r>
      <w:r>
        <w:t>25-</w:t>
      </w:r>
      <w:fldSimple w:instr=" SEQ Table \* ARABIC ">
        <w:r w:rsidR="007F721A">
          <w:rPr>
            <w:noProof/>
          </w:rPr>
          <w:t>5</w:t>
        </w:r>
      </w:fldSimple>
      <w:bookmarkEnd w:id="457"/>
      <w:r w:rsidRPr="00CE6810">
        <w:tab/>
      </w:r>
      <w:r>
        <w:t>Illustrative r</w:t>
      </w:r>
      <w:r w:rsidRPr="00CE6810">
        <w:t>edistribution from an EPC assessment</w:t>
      </w:r>
      <w:r>
        <w:t>, Net borrowing, 2020-21</w:t>
      </w:r>
    </w:p>
    <w:tbl>
      <w:tblPr>
        <w:tblW w:w="8900" w:type="dxa"/>
        <w:tblInd w:w="108" w:type="dxa"/>
        <w:tblBorders>
          <w:top w:val="single" w:sz="4" w:space="0" w:color="ADD6EA"/>
          <w:bottom w:val="single" w:sz="4" w:space="0" w:color="ADD6EA"/>
          <w:insideH w:val="single" w:sz="4" w:space="0" w:color="ADD6EA"/>
        </w:tblBorders>
        <w:tblCellMar>
          <w:left w:w="28" w:type="dxa"/>
          <w:right w:w="28" w:type="dxa"/>
        </w:tblCellMar>
        <w:tblLook w:val="04A0" w:firstRow="1" w:lastRow="0" w:firstColumn="1" w:lastColumn="0" w:noHBand="0" w:noVBand="1"/>
      </w:tblPr>
      <w:tblGrid>
        <w:gridCol w:w="2040"/>
        <w:gridCol w:w="760"/>
        <w:gridCol w:w="780"/>
        <w:gridCol w:w="760"/>
        <w:gridCol w:w="760"/>
        <w:gridCol w:w="760"/>
        <w:gridCol w:w="760"/>
        <w:gridCol w:w="760"/>
        <w:gridCol w:w="760"/>
        <w:gridCol w:w="760"/>
      </w:tblGrid>
      <w:tr w:rsidR="007E365E" w:rsidRPr="002E2CBD" w14:paraId="405B3C98" w14:textId="77777777" w:rsidTr="007D1D77">
        <w:trPr>
          <w:trHeight w:val="383"/>
        </w:trPr>
        <w:tc>
          <w:tcPr>
            <w:tcW w:w="2040" w:type="dxa"/>
            <w:shd w:val="clear" w:color="000000" w:fill="006991"/>
            <w:noWrap/>
            <w:vAlign w:val="center"/>
            <w:hideMark/>
          </w:tcPr>
          <w:p w14:paraId="0F95B68D" w14:textId="77777777" w:rsidR="007E365E" w:rsidRPr="002E2CB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458" w:name="RANGE!A4:J6"/>
            <w:r w:rsidRPr="002E2CBD">
              <w:rPr>
                <w:rFonts w:ascii="Open Sans SemiBold" w:eastAsia="Times New Roman" w:hAnsi="Open Sans SemiBold" w:cs="Open Sans SemiBold"/>
                <w:color w:val="FFFFFF"/>
                <w:sz w:val="16"/>
                <w:szCs w:val="16"/>
                <w:lang w:eastAsia="en-AU"/>
              </w:rPr>
              <w:t> </w:t>
            </w:r>
            <w:bookmarkEnd w:id="458"/>
          </w:p>
        </w:tc>
        <w:tc>
          <w:tcPr>
            <w:tcW w:w="760" w:type="dxa"/>
            <w:shd w:val="clear" w:color="000000" w:fill="006991"/>
            <w:noWrap/>
            <w:vAlign w:val="center"/>
            <w:hideMark/>
          </w:tcPr>
          <w:p w14:paraId="7D8907C0" w14:textId="77777777" w:rsidR="007E365E" w:rsidRPr="002E2CB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2CBD">
              <w:rPr>
                <w:rFonts w:ascii="Open Sans SemiBold" w:eastAsia="Times New Roman" w:hAnsi="Open Sans SemiBold" w:cs="Open Sans SemiBold"/>
                <w:color w:val="FFFFFF"/>
                <w:sz w:val="16"/>
                <w:szCs w:val="16"/>
                <w:lang w:eastAsia="en-AU"/>
              </w:rPr>
              <w:t>NSW</w:t>
            </w:r>
          </w:p>
        </w:tc>
        <w:tc>
          <w:tcPr>
            <w:tcW w:w="780" w:type="dxa"/>
            <w:shd w:val="clear" w:color="000000" w:fill="006991"/>
            <w:noWrap/>
            <w:vAlign w:val="center"/>
            <w:hideMark/>
          </w:tcPr>
          <w:p w14:paraId="0CFB4A5D" w14:textId="77777777" w:rsidR="007E365E" w:rsidRPr="002E2CB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2CBD">
              <w:rPr>
                <w:rFonts w:ascii="Open Sans SemiBold" w:eastAsia="Times New Roman" w:hAnsi="Open Sans SemiBold" w:cs="Open Sans SemiBold"/>
                <w:color w:val="FFFFFF"/>
                <w:sz w:val="16"/>
                <w:szCs w:val="16"/>
                <w:lang w:eastAsia="en-AU"/>
              </w:rPr>
              <w:t>Vic</w:t>
            </w:r>
          </w:p>
        </w:tc>
        <w:tc>
          <w:tcPr>
            <w:tcW w:w="760" w:type="dxa"/>
            <w:shd w:val="clear" w:color="000000" w:fill="006991"/>
            <w:noWrap/>
            <w:vAlign w:val="center"/>
            <w:hideMark/>
          </w:tcPr>
          <w:p w14:paraId="1F607DC5" w14:textId="77777777" w:rsidR="007E365E" w:rsidRPr="002E2CB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2CBD">
              <w:rPr>
                <w:rFonts w:ascii="Open Sans SemiBold" w:eastAsia="Times New Roman" w:hAnsi="Open Sans SemiBold" w:cs="Open Sans SemiBold"/>
                <w:color w:val="FFFFFF"/>
                <w:sz w:val="16"/>
                <w:szCs w:val="16"/>
                <w:lang w:eastAsia="en-AU"/>
              </w:rPr>
              <w:t>Qld</w:t>
            </w:r>
          </w:p>
        </w:tc>
        <w:tc>
          <w:tcPr>
            <w:tcW w:w="760" w:type="dxa"/>
            <w:shd w:val="clear" w:color="000000" w:fill="006991"/>
            <w:noWrap/>
            <w:vAlign w:val="center"/>
            <w:hideMark/>
          </w:tcPr>
          <w:p w14:paraId="53C5B9F2" w14:textId="77777777" w:rsidR="007E365E" w:rsidRPr="002E2CB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2CBD">
              <w:rPr>
                <w:rFonts w:ascii="Open Sans SemiBold" w:eastAsia="Times New Roman" w:hAnsi="Open Sans SemiBold" w:cs="Open Sans SemiBold"/>
                <w:color w:val="FFFFFF"/>
                <w:sz w:val="16"/>
                <w:szCs w:val="16"/>
                <w:lang w:eastAsia="en-AU"/>
              </w:rPr>
              <w:t>WA</w:t>
            </w:r>
          </w:p>
        </w:tc>
        <w:tc>
          <w:tcPr>
            <w:tcW w:w="760" w:type="dxa"/>
            <w:shd w:val="clear" w:color="000000" w:fill="006991"/>
            <w:noWrap/>
            <w:vAlign w:val="center"/>
            <w:hideMark/>
          </w:tcPr>
          <w:p w14:paraId="637B4869" w14:textId="77777777" w:rsidR="007E365E" w:rsidRPr="002E2CB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2CBD">
              <w:rPr>
                <w:rFonts w:ascii="Open Sans SemiBold" w:eastAsia="Times New Roman" w:hAnsi="Open Sans SemiBold" w:cs="Open Sans SemiBold"/>
                <w:color w:val="FFFFFF"/>
                <w:sz w:val="16"/>
                <w:szCs w:val="16"/>
                <w:lang w:eastAsia="en-AU"/>
              </w:rPr>
              <w:t>SA</w:t>
            </w:r>
          </w:p>
        </w:tc>
        <w:tc>
          <w:tcPr>
            <w:tcW w:w="760" w:type="dxa"/>
            <w:shd w:val="clear" w:color="000000" w:fill="006991"/>
            <w:noWrap/>
            <w:vAlign w:val="center"/>
            <w:hideMark/>
          </w:tcPr>
          <w:p w14:paraId="0B95D9A3" w14:textId="77777777" w:rsidR="007E365E" w:rsidRPr="002E2CB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2CBD">
              <w:rPr>
                <w:rFonts w:ascii="Open Sans SemiBold" w:eastAsia="Times New Roman" w:hAnsi="Open Sans SemiBold" w:cs="Open Sans SemiBold"/>
                <w:color w:val="FFFFFF"/>
                <w:sz w:val="16"/>
                <w:szCs w:val="16"/>
                <w:lang w:eastAsia="en-AU"/>
              </w:rPr>
              <w:t>Tas</w:t>
            </w:r>
          </w:p>
        </w:tc>
        <w:tc>
          <w:tcPr>
            <w:tcW w:w="760" w:type="dxa"/>
            <w:shd w:val="clear" w:color="000000" w:fill="006991"/>
            <w:noWrap/>
            <w:vAlign w:val="center"/>
            <w:hideMark/>
          </w:tcPr>
          <w:p w14:paraId="0ECAEE80" w14:textId="77777777" w:rsidR="007E365E" w:rsidRPr="002E2CB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2CBD">
              <w:rPr>
                <w:rFonts w:ascii="Open Sans SemiBold" w:eastAsia="Times New Roman" w:hAnsi="Open Sans SemiBold" w:cs="Open Sans SemiBold"/>
                <w:color w:val="FFFFFF"/>
                <w:sz w:val="16"/>
                <w:szCs w:val="16"/>
                <w:lang w:eastAsia="en-AU"/>
              </w:rPr>
              <w:t>ACT</w:t>
            </w:r>
          </w:p>
        </w:tc>
        <w:tc>
          <w:tcPr>
            <w:tcW w:w="760" w:type="dxa"/>
            <w:shd w:val="clear" w:color="000000" w:fill="006991"/>
            <w:noWrap/>
            <w:vAlign w:val="center"/>
            <w:hideMark/>
          </w:tcPr>
          <w:p w14:paraId="1A2C6564" w14:textId="77777777" w:rsidR="007E365E" w:rsidRPr="002E2CB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2CBD">
              <w:rPr>
                <w:rFonts w:ascii="Open Sans SemiBold" w:eastAsia="Times New Roman" w:hAnsi="Open Sans SemiBold" w:cs="Open Sans SemiBold"/>
                <w:color w:val="FFFFFF"/>
                <w:sz w:val="16"/>
                <w:szCs w:val="16"/>
                <w:lang w:eastAsia="en-AU"/>
              </w:rPr>
              <w:t>NT</w:t>
            </w:r>
          </w:p>
        </w:tc>
        <w:tc>
          <w:tcPr>
            <w:tcW w:w="760" w:type="dxa"/>
            <w:shd w:val="clear" w:color="000000" w:fill="006991"/>
            <w:noWrap/>
            <w:vAlign w:val="center"/>
            <w:hideMark/>
          </w:tcPr>
          <w:p w14:paraId="343A6C58" w14:textId="77777777" w:rsidR="007E365E" w:rsidRPr="002E2CB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E2CBD">
              <w:rPr>
                <w:rFonts w:ascii="Open Sans SemiBold" w:eastAsia="Times New Roman" w:hAnsi="Open Sans SemiBold" w:cs="Open Sans SemiBold"/>
                <w:color w:val="FFFFFF"/>
                <w:sz w:val="16"/>
                <w:szCs w:val="16"/>
                <w:lang w:eastAsia="en-AU"/>
              </w:rPr>
              <w:t>Redist</w:t>
            </w:r>
          </w:p>
        </w:tc>
      </w:tr>
      <w:tr w:rsidR="007E365E" w:rsidRPr="002E2CBD" w14:paraId="43F6853F" w14:textId="77777777" w:rsidTr="007D1D77">
        <w:trPr>
          <w:trHeight w:val="315"/>
        </w:trPr>
        <w:tc>
          <w:tcPr>
            <w:tcW w:w="2040" w:type="dxa"/>
            <w:shd w:val="clear" w:color="auto" w:fill="auto"/>
            <w:vAlign w:val="bottom"/>
            <w:hideMark/>
          </w:tcPr>
          <w:p w14:paraId="073057C8" w14:textId="77777777" w:rsidR="007E365E" w:rsidRPr="002E2CBD" w:rsidRDefault="007E365E" w:rsidP="007D1D77">
            <w:pPr>
              <w:tabs>
                <w:tab w:val="clear" w:pos="567"/>
              </w:tabs>
              <w:spacing w:before="0" w:line="240" w:lineRule="auto"/>
              <w:rPr>
                <w:rFonts w:eastAsia="Times New Roman" w:cs="Open Sans Light"/>
                <w:sz w:val="16"/>
                <w:szCs w:val="16"/>
                <w:lang w:eastAsia="en-AU"/>
              </w:rPr>
            </w:pPr>
            <w:r w:rsidRPr="002E2CBD">
              <w:rPr>
                <w:rFonts w:eastAsia="Times New Roman" w:cs="Open Sans Light"/>
                <w:sz w:val="16"/>
                <w:szCs w:val="16"/>
                <w:lang w:eastAsia="en-AU"/>
              </w:rPr>
              <w:t>$ million</w:t>
            </w:r>
          </w:p>
        </w:tc>
        <w:tc>
          <w:tcPr>
            <w:tcW w:w="760" w:type="dxa"/>
            <w:shd w:val="clear" w:color="auto" w:fill="auto"/>
            <w:vAlign w:val="bottom"/>
            <w:hideMark/>
          </w:tcPr>
          <w:p w14:paraId="64A44ED9"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 xml:space="preserve"> 22</w:t>
            </w:r>
          </w:p>
        </w:tc>
        <w:tc>
          <w:tcPr>
            <w:tcW w:w="780" w:type="dxa"/>
            <w:shd w:val="clear" w:color="auto" w:fill="auto"/>
            <w:vAlign w:val="bottom"/>
            <w:hideMark/>
          </w:tcPr>
          <w:p w14:paraId="0E71C7B5"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-174</w:t>
            </w:r>
          </w:p>
        </w:tc>
        <w:tc>
          <w:tcPr>
            <w:tcW w:w="760" w:type="dxa"/>
            <w:shd w:val="clear" w:color="auto" w:fill="auto"/>
            <w:vAlign w:val="bottom"/>
            <w:hideMark/>
          </w:tcPr>
          <w:p w14:paraId="3E071B4F"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-14</w:t>
            </w:r>
          </w:p>
        </w:tc>
        <w:tc>
          <w:tcPr>
            <w:tcW w:w="760" w:type="dxa"/>
            <w:shd w:val="clear" w:color="auto" w:fill="auto"/>
            <w:vAlign w:val="bottom"/>
            <w:hideMark/>
          </w:tcPr>
          <w:p w14:paraId="31AF7426"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 xml:space="preserve"> 86</w:t>
            </w:r>
          </w:p>
        </w:tc>
        <w:tc>
          <w:tcPr>
            <w:tcW w:w="760" w:type="dxa"/>
            <w:shd w:val="clear" w:color="auto" w:fill="auto"/>
            <w:vAlign w:val="bottom"/>
            <w:hideMark/>
          </w:tcPr>
          <w:p w14:paraId="3307B677"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 xml:space="preserve"> 60</w:t>
            </w:r>
          </w:p>
        </w:tc>
        <w:tc>
          <w:tcPr>
            <w:tcW w:w="760" w:type="dxa"/>
            <w:shd w:val="clear" w:color="auto" w:fill="auto"/>
            <w:vAlign w:val="bottom"/>
            <w:hideMark/>
          </w:tcPr>
          <w:p w14:paraId="49EFB2D8"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 xml:space="preserve"> 11</w:t>
            </w:r>
          </w:p>
        </w:tc>
        <w:tc>
          <w:tcPr>
            <w:tcW w:w="760" w:type="dxa"/>
            <w:shd w:val="clear" w:color="auto" w:fill="auto"/>
            <w:vAlign w:val="bottom"/>
            <w:hideMark/>
          </w:tcPr>
          <w:p w14:paraId="0BACEA7A"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-6</w:t>
            </w:r>
          </w:p>
        </w:tc>
        <w:tc>
          <w:tcPr>
            <w:tcW w:w="760" w:type="dxa"/>
            <w:shd w:val="clear" w:color="auto" w:fill="auto"/>
            <w:vAlign w:val="bottom"/>
            <w:hideMark/>
          </w:tcPr>
          <w:p w14:paraId="03AC1447"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 xml:space="preserve"> 15</w:t>
            </w:r>
          </w:p>
        </w:tc>
        <w:tc>
          <w:tcPr>
            <w:tcW w:w="760" w:type="dxa"/>
            <w:shd w:val="clear" w:color="auto" w:fill="auto"/>
            <w:vAlign w:val="bottom"/>
            <w:hideMark/>
          </w:tcPr>
          <w:p w14:paraId="7B92A5FB"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 xml:space="preserve"> 194</w:t>
            </w:r>
          </w:p>
        </w:tc>
      </w:tr>
      <w:tr w:rsidR="007E365E" w:rsidRPr="002E2CBD" w14:paraId="56A0EBDD" w14:textId="77777777" w:rsidTr="007D1D77">
        <w:trPr>
          <w:trHeight w:val="315"/>
        </w:trPr>
        <w:tc>
          <w:tcPr>
            <w:tcW w:w="2040" w:type="dxa"/>
            <w:shd w:val="clear" w:color="auto" w:fill="auto"/>
            <w:vAlign w:val="bottom"/>
            <w:hideMark/>
          </w:tcPr>
          <w:p w14:paraId="63628D7D" w14:textId="77777777" w:rsidR="007E365E" w:rsidRPr="002E2CBD" w:rsidRDefault="007E365E" w:rsidP="007D1D77">
            <w:pPr>
              <w:tabs>
                <w:tab w:val="clear" w:pos="567"/>
              </w:tabs>
              <w:spacing w:before="0" w:line="240" w:lineRule="auto"/>
              <w:rPr>
                <w:rFonts w:eastAsia="Times New Roman" w:cs="Open Sans Light"/>
                <w:sz w:val="16"/>
                <w:szCs w:val="16"/>
                <w:lang w:eastAsia="en-AU"/>
              </w:rPr>
            </w:pPr>
            <w:r w:rsidRPr="002E2CBD">
              <w:rPr>
                <w:rFonts w:eastAsia="Times New Roman" w:cs="Open Sans Light"/>
                <w:sz w:val="16"/>
                <w:szCs w:val="16"/>
                <w:lang w:eastAsia="en-AU"/>
              </w:rPr>
              <w:t>$ per capita</w:t>
            </w:r>
          </w:p>
        </w:tc>
        <w:tc>
          <w:tcPr>
            <w:tcW w:w="760" w:type="dxa"/>
            <w:shd w:val="clear" w:color="auto" w:fill="auto"/>
            <w:vAlign w:val="bottom"/>
            <w:hideMark/>
          </w:tcPr>
          <w:p w14:paraId="56DAD8D0"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 xml:space="preserve"> 3</w:t>
            </w:r>
          </w:p>
        </w:tc>
        <w:tc>
          <w:tcPr>
            <w:tcW w:w="780" w:type="dxa"/>
            <w:shd w:val="clear" w:color="auto" w:fill="auto"/>
            <w:vAlign w:val="bottom"/>
            <w:hideMark/>
          </w:tcPr>
          <w:p w14:paraId="24BC8CB0"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-27</w:t>
            </w:r>
          </w:p>
        </w:tc>
        <w:tc>
          <w:tcPr>
            <w:tcW w:w="760" w:type="dxa"/>
            <w:shd w:val="clear" w:color="auto" w:fill="auto"/>
            <w:vAlign w:val="bottom"/>
            <w:hideMark/>
          </w:tcPr>
          <w:p w14:paraId="706E0FB4"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-3</w:t>
            </w:r>
          </w:p>
        </w:tc>
        <w:tc>
          <w:tcPr>
            <w:tcW w:w="760" w:type="dxa"/>
            <w:shd w:val="clear" w:color="auto" w:fill="auto"/>
            <w:vAlign w:val="bottom"/>
            <w:hideMark/>
          </w:tcPr>
          <w:p w14:paraId="495D6F71"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 xml:space="preserve"> 33</w:t>
            </w:r>
          </w:p>
        </w:tc>
        <w:tc>
          <w:tcPr>
            <w:tcW w:w="760" w:type="dxa"/>
            <w:shd w:val="clear" w:color="auto" w:fill="auto"/>
            <w:vAlign w:val="bottom"/>
            <w:hideMark/>
          </w:tcPr>
          <w:p w14:paraId="2089100E"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 xml:space="preserve"> 34</w:t>
            </w:r>
          </w:p>
        </w:tc>
        <w:tc>
          <w:tcPr>
            <w:tcW w:w="760" w:type="dxa"/>
            <w:shd w:val="clear" w:color="auto" w:fill="auto"/>
            <w:vAlign w:val="bottom"/>
            <w:hideMark/>
          </w:tcPr>
          <w:p w14:paraId="45399FEF"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 xml:space="preserve"> 22</w:t>
            </w:r>
          </w:p>
        </w:tc>
        <w:tc>
          <w:tcPr>
            <w:tcW w:w="760" w:type="dxa"/>
            <w:shd w:val="clear" w:color="auto" w:fill="auto"/>
            <w:vAlign w:val="bottom"/>
            <w:hideMark/>
          </w:tcPr>
          <w:p w14:paraId="4EB96C2A"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-13</w:t>
            </w:r>
          </w:p>
        </w:tc>
        <w:tc>
          <w:tcPr>
            <w:tcW w:w="760" w:type="dxa"/>
            <w:shd w:val="clear" w:color="auto" w:fill="auto"/>
            <w:vAlign w:val="bottom"/>
            <w:hideMark/>
          </w:tcPr>
          <w:p w14:paraId="3A776704"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 xml:space="preserve"> 61</w:t>
            </w:r>
          </w:p>
        </w:tc>
        <w:tc>
          <w:tcPr>
            <w:tcW w:w="760" w:type="dxa"/>
            <w:shd w:val="clear" w:color="auto" w:fill="auto"/>
            <w:vAlign w:val="bottom"/>
            <w:hideMark/>
          </w:tcPr>
          <w:p w14:paraId="11B7E38A" w14:textId="77777777" w:rsidR="007E365E" w:rsidRPr="002E2CBD" w:rsidRDefault="007E365E" w:rsidP="007D1D77">
            <w:pPr>
              <w:tabs>
                <w:tab w:val="clear" w:pos="567"/>
              </w:tabs>
              <w:spacing w:before="0" w:line="240" w:lineRule="auto"/>
              <w:jc w:val="right"/>
              <w:rPr>
                <w:rFonts w:eastAsia="Times New Roman" w:cs="Open Sans Light"/>
                <w:sz w:val="16"/>
                <w:szCs w:val="16"/>
                <w:lang w:eastAsia="en-AU"/>
              </w:rPr>
            </w:pPr>
            <w:r w:rsidRPr="002E2CBD">
              <w:rPr>
                <w:rFonts w:eastAsia="Times New Roman" w:cs="Open Sans Light"/>
                <w:sz w:val="16"/>
                <w:szCs w:val="16"/>
                <w:lang w:eastAsia="en-AU"/>
              </w:rPr>
              <w:t xml:space="preserve"> 8</w:t>
            </w:r>
          </w:p>
        </w:tc>
      </w:tr>
    </w:tbl>
    <w:p w14:paraId="7685691B" w14:textId="77777777" w:rsidR="007E365E" w:rsidRPr="00CE6810" w:rsidRDefault="007E365E" w:rsidP="007E365E">
      <w:pPr>
        <w:pStyle w:val="CGCTablenote"/>
      </w:pPr>
      <w:r w:rsidRPr="00CE6810">
        <w:t>Note:</w:t>
      </w:r>
      <w:r>
        <w:tab/>
      </w:r>
      <w:r w:rsidRPr="00CE6810">
        <w:t>The redistribution is the difference from an EPC assessment of category expenses.</w:t>
      </w:r>
    </w:p>
    <w:p w14:paraId="771E1941" w14:textId="77777777" w:rsidR="007E365E" w:rsidRPr="00CE6810" w:rsidRDefault="007E365E" w:rsidP="007E365E">
      <w:pPr>
        <w:pStyle w:val="CGCTablenote"/>
      </w:pPr>
      <w:r w:rsidRPr="00CE6810">
        <w:t>Source:</w:t>
      </w:r>
      <w:r w:rsidRPr="00CE6810">
        <w:tab/>
        <w:t>Commission calculation.</w:t>
      </w:r>
    </w:p>
    <w:p w14:paraId="58BBDAE8" w14:textId="77777777" w:rsidR="007E365E" w:rsidRPr="00CE6810" w:rsidRDefault="007E365E" w:rsidP="007E365E">
      <w:pPr>
        <w:pStyle w:val="Heading3"/>
      </w:pPr>
      <w:r w:rsidRPr="00CE6810">
        <w:t>Changes since the 2019 Update</w:t>
      </w:r>
    </w:p>
    <w:p w14:paraId="39C9DFB5" w14:textId="364C0116" w:rsidR="007E365E" w:rsidRPr="00CE6810" w:rsidRDefault="007E365E" w:rsidP="007E365E">
      <w:pPr>
        <w:pStyle w:val="CGCParaNumber"/>
      </w:pPr>
      <w:r w:rsidRPr="00CE6810">
        <w:t xml:space="preserve">The Commission made one method change from the 2019 Update. In the 2019 Update, a 12.5% discount was applied to assessed net borrowing to recognise the possibility that population growth may lead to advantages as well as dilution. A discount was first applied in the 2010 Review, when States were net lenders, not net borrowers as they are now. While States have articulated arguments in past reviews that population growth should lead to revaluations of financial assets, there have been no arguments that population growth leads to revaluations of financial liabilities. Therefore, the discount is no longer appropriate as there is no longer any uncertainty over the impact of population growth. </w:t>
      </w:r>
      <w:r>
        <w:t>In addition</w:t>
      </w:r>
      <w:r w:rsidRPr="00CE6810">
        <w:t xml:space="preserve">, </w:t>
      </w:r>
      <w:r w:rsidRPr="00CE6810">
        <w:fldChar w:fldCharType="begin"/>
      </w:r>
      <w:r w:rsidRPr="00CE6810">
        <w:instrText xml:space="preserve"> REF _Ref22740962 \h  \* MERGEFORMAT </w:instrText>
      </w:r>
      <w:r w:rsidRPr="00CE6810">
        <w:fldChar w:fldCharType="separate"/>
      </w:r>
      <w:r w:rsidR="007F721A" w:rsidRPr="00CE6810">
        <w:t xml:space="preserve">Table </w:t>
      </w:r>
      <w:r w:rsidR="007F721A">
        <w:rPr>
          <w:noProof/>
        </w:rPr>
        <w:t>25-6</w:t>
      </w:r>
      <w:r w:rsidRPr="00CE6810">
        <w:fldChar w:fldCharType="end"/>
      </w:r>
      <w:r w:rsidRPr="00CE6810">
        <w:t xml:space="preserve"> shows that </w:t>
      </w:r>
      <w:r>
        <w:t xml:space="preserve">slowing population growth </w:t>
      </w:r>
      <w:r w:rsidRPr="00CE6810">
        <w:t>between 201</w:t>
      </w:r>
      <w:r>
        <w:t>5</w:t>
      </w:r>
      <w:r>
        <w:noBreakHyphen/>
        <w:t>16</w:t>
      </w:r>
      <w:r w:rsidRPr="00CE6810">
        <w:t xml:space="preserve"> and 2018-19</w:t>
      </w:r>
      <w:r>
        <w:t xml:space="preserve"> in Victoria and the Northern Territory have increased their assessed needs, while increasing population growth </w:t>
      </w:r>
      <w:r>
        <w:lastRenderedPageBreak/>
        <w:t>in Queensland and Tasmania has reduced their assessed needs. C</w:t>
      </w:r>
      <w:r w:rsidRPr="00CE6810">
        <w:t xml:space="preserve">hanges in population growth </w:t>
      </w:r>
      <w:r>
        <w:t xml:space="preserve">have had some effect on the GST distribution. </w:t>
      </w:r>
    </w:p>
    <w:p w14:paraId="1097EC09" w14:textId="303C9875" w:rsidR="007E365E" w:rsidRDefault="007E365E" w:rsidP="007E365E">
      <w:pPr>
        <w:pStyle w:val="Caption"/>
      </w:pPr>
      <w:bookmarkStart w:id="459" w:name="_Ref22740962"/>
      <w:r w:rsidRPr="00CE6810">
        <w:t xml:space="preserve">Table </w:t>
      </w:r>
      <w:r>
        <w:t>25-</w:t>
      </w:r>
      <w:fldSimple w:instr=" SEQ Table \* ARABIC ">
        <w:r w:rsidR="007F721A">
          <w:rPr>
            <w:noProof/>
          </w:rPr>
          <w:t>6</w:t>
        </w:r>
      </w:fldSimple>
      <w:bookmarkEnd w:id="459"/>
      <w:r w:rsidRPr="00CE6810">
        <w:tab/>
      </w:r>
      <w:r>
        <w:t>C</w:t>
      </w:r>
      <w:r w:rsidRPr="00C3084B">
        <w:t>hanges</w:t>
      </w:r>
      <w:r w:rsidRPr="00CE6810">
        <w:t xml:space="preserve"> to</w:t>
      </w:r>
      <w:r>
        <w:t xml:space="preserve"> the</w:t>
      </w:r>
      <w:r w:rsidRPr="00CE6810">
        <w:t xml:space="preserve"> </w:t>
      </w:r>
      <w:r>
        <w:t>GST redistribution</w:t>
      </w:r>
      <w:r w:rsidRPr="00CE6810">
        <w:t xml:space="preserve"> between 2019 Update and 2020 Review</w:t>
      </w:r>
    </w:p>
    <w:tbl>
      <w:tblPr>
        <w:tblW w:w="8900" w:type="dxa"/>
        <w:tblCellMar>
          <w:left w:w="28" w:type="dxa"/>
          <w:right w:w="28" w:type="dxa"/>
        </w:tblCellMar>
        <w:tblLook w:val="04A0" w:firstRow="1" w:lastRow="0" w:firstColumn="1" w:lastColumn="0" w:noHBand="0" w:noVBand="1"/>
      </w:tblPr>
      <w:tblGrid>
        <w:gridCol w:w="2060"/>
        <w:gridCol w:w="760"/>
        <w:gridCol w:w="760"/>
        <w:gridCol w:w="760"/>
        <w:gridCol w:w="760"/>
        <w:gridCol w:w="760"/>
        <w:gridCol w:w="760"/>
        <w:gridCol w:w="760"/>
        <w:gridCol w:w="760"/>
        <w:gridCol w:w="760"/>
      </w:tblGrid>
      <w:tr w:rsidR="007E365E" w:rsidRPr="000967DD" w14:paraId="105E7DFD" w14:textId="77777777" w:rsidTr="007D1D77">
        <w:trPr>
          <w:trHeight w:val="375"/>
        </w:trPr>
        <w:tc>
          <w:tcPr>
            <w:tcW w:w="2060" w:type="dxa"/>
            <w:tcBorders>
              <w:top w:val="nil"/>
              <w:left w:val="nil"/>
              <w:bottom w:val="nil"/>
              <w:right w:val="nil"/>
            </w:tcBorders>
            <w:shd w:val="clear" w:color="000000" w:fill="006991"/>
            <w:noWrap/>
            <w:vAlign w:val="center"/>
            <w:hideMark/>
          </w:tcPr>
          <w:p w14:paraId="2F46E179"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460" w:name="RANGE!A4:J7"/>
            <w:r w:rsidRPr="000967DD">
              <w:rPr>
                <w:rFonts w:ascii="Open Sans SemiBold" w:eastAsia="Times New Roman" w:hAnsi="Open Sans SemiBold" w:cs="Open Sans SemiBold"/>
                <w:color w:val="FFFFFF"/>
                <w:sz w:val="16"/>
                <w:szCs w:val="16"/>
                <w:lang w:eastAsia="en-AU"/>
              </w:rPr>
              <w:t> </w:t>
            </w:r>
            <w:bookmarkEnd w:id="460"/>
          </w:p>
        </w:tc>
        <w:tc>
          <w:tcPr>
            <w:tcW w:w="760" w:type="dxa"/>
            <w:tcBorders>
              <w:top w:val="nil"/>
              <w:left w:val="nil"/>
              <w:bottom w:val="nil"/>
              <w:right w:val="nil"/>
            </w:tcBorders>
            <w:shd w:val="clear" w:color="000000" w:fill="006991"/>
            <w:noWrap/>
            <w:vAlign w:val="center"/>
            <w:hideMark/>
          </w:tcPr>
          <w:p w14:paraId="4D44AE61"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67DD">
              <w:rPr>
                <w:rFonts w:ascii="Open Sans SemiBold" w:eastAsia="Times New Roman" w:hAnsi="Open Sans SemiBold" w:cs="Open Sans SemiBold"/>
                <w:color w:val="FFFFFF"/>
                <w:sz w:val="16"/>
                <w:szCs w:val="16"/>
                <w:lang w:eastAsia="en-AU"/>
              </w:rPr>
              <w:t>NSW</w:t>
            </w:r>
          </w:p>
        </w:tc>
        <w:tc>
          <w:tcPr>
            <w:tcW w:w="760" w:type="dxa"/>
            <w:tcBorders>
              <w:top w:val="nil"/>
              <w:left w:val="nil"/>
              <w:bottom w:val="nil"/>
              <w:right w:val="nil"/>
            </w:tcBorders>
            <w:shd w:val="clear" w:color="000000" w:fill="006991"/>
            <w:noWrap/>
            <w:vAlign w:val="center"/>
            <w:hideMark/>
          </w:tcPr>
          <w:p w14:paraId="5EE2ADC2"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67DD">
              <w:rPr>
                <w:rFonts w:ascii="Open Sans SemiBold" w:eastAsia="Times New Roman" w:hAnsi="Open Sans SemiBold" w:cs="Open Sans SemiBold"/>
                <w:color w:val="FFFFFF"/>
                <w:sz w:val="16"/>
                <w:szCs w:val="16"/>
                <w:lang w:eastAsia="en-AU"/>
              </w:rPr>
              <w:t>Vic</w:t>
            </w:r>
          </w:p>
        </w:tc>
        <w:tc>
          <w:tcPr>
            <w:tcW w:w="760" w:type="dxa"/>
            <w:tcBorders>
              <w:top w:val="nil"/>
              <w:left w:val="nil"/>
              <w:bottom w:val="nil"/>
              <w:right w:val="nil"/>
            </w:tcBorders>
            <w:shd w:val="clear" w:color="000000" w:fill="006991"/>
            <w:noWrap/>
            <w:vAlign w:val="center"/>
            <w:hideMark/>
          </w:tcPr>
          <w:p w14:paraId="3930C23F"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67DD">
              <w:rPr>
                <w:rFonts w:ascii="Open Sans SemiBold" w:eastAsia="Times New Roman" w:hAnsi="Open Sans SemiBold" w:cs="Open Sans SemiBold"/>
                <w:color w:val="FFFFFF"/>
                <w:sz w:val="16"/>
                <w:szCs w:val="16"/>
                <w:lang w:eastAsia="en-AU"/>
              </w:rPr>
              <w:t>Qld</w:t>
            </w:r>
          </w:p>
        </w:tc>
        <w:tc>
          <w:tcPr>
            <w:tcW w:w="760" w:type="dxa"/>
            <w:tcBorders>
              <w:top w:val="nil"/>
              <w:left w:val="nil"/>
              <w:bottom w:val="nil"/>
              <w:right w:val="nil"/>
            </w:tcBorders>
            <w:shd w:val="clear" w:color="000000" w:fill="006991"/>
            <w:noWrap/>
            <w:vAlign w:val="center"/>
            <w:hideMark/>
          </w:tcPr>
          <w:p w14:paraId="1E98AB67"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67DD">
              <w:rPr>
                <w:rFonts w:ascii="Open Sans SemiBold" w:eastAsia="Times New Roman" w:hAnsi="Open Sans SemiBold" w:cs="Open Sans SemiBold"/>
                <w:color w:val="FFFFFF"/>
                <w:sz w:val="16"/>
                <w:szCs w:val="16"/>
                <w:lang w:eastAsia="en-AU"/>
              </w:rPr>
              <w:t>WA</w:t>
            </w:r>
          </w:p>
        </w:tc>
        <w:tc>
          <w:tcPr>
            <w:tcW w:w="760" w:type="dxa"/>
            <w:tcBorders>
              <w:top w:val="nil"/>
              <w:left w:val="nil"/>
              <w:bottom w:val="nil"/>
              <w:right w:val="nil"/>
            </w:tcBorders>
            <w:shd w:val="clear" w:color="000000" w:fill="006991"/>
            <w:noWrap/>
            <w:vAlign w:val="center"/>
            <w:hideMark/>
          </w:tcPr>
          <w:p w14:paraId="61F450F4"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67DD">
              <w:rPr>
                <w:rFonts w:ascii="Open Sans SemiBold" w:eastAsia="Times New Roman" w:hAnsi="Open Sans SemiBold" w:cs="Open Sans SemiBold"/>
                <w:color w:val="FFFFFF"/>
                <w:sz w:val="16"/>
                <w:szCs w:val="16"/>
                <w:lang w:eastAsia="en-AU"/>
              </w:rPr>
              <w:t>SA</w:t>
            </w:r>
          </w:p>
        </w:tc>
        <w:tc>
          <w:tcPr>
            <w:tcW w:w="760" w:type="dxa"/>
            <w:tcBorders>
              <w:top w:val="nil"/>
              <w:left w:val="nil"/>
              <w:bottom w:val="nil"/>
              <w:right w:val="nil"/>
            </w:tcBorders>
            <w:shd w:val="clear" w:color="000000" w:fill="006991"/>
            <w:noWrap/>
            <w:vAlign w:val="center"/>
            <w:hideMark/>
          </w:tcPr>
          <w:p w14:paraId="74D285DE"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67DD">
              <w:rPr>
                <w:rFonts w:ascii="Open Sans SemiBold" w:eastAsia="Times New Roman" w:hAnsi="Open Sans SemiBold" w:cs="Open Sans SemiBold"/>
                <w:color w:val="FFFFFF"/>
                <w:sz w:val="16"/>
                <w:szCs w:val="16"/>
                <w:lang w:eastAsia="en-AU"/>
              </w:rPr>
              <w:t>Tas</w:t>
            </w:r>
          </w:p>
        </w:tc>
        <w:tc>
          <w:tcPr>
            <w:tcW w:w="760" w:type="dxa"/>
            <w:tcBorders>
              <w:top w:val="nil"/>
              <w:left w:val="nil"/>
              <w:bottom w:val="nil"/>
              <w:right w:val="nil"/>
            </w:tcBorders>
            <w:shd w:val="clear" w:color="000000" w:fill="006991"/>
            <w:noWrap/>
            <w:vAlign w:val="center"/>
            <w:hideMark/>
          </w:tcPr>
          <w:p w14:paraId="4B667EB3"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67DD">
              <w:rPr>
                <w:rFonts w:ascii="Open Sans SemiBold" w:eastAsia="Times New Roman" w:hAnsi="Open Sans SemiBold" w:cs="Open Sans SemiBold"/>
                <w:color w:val="FFFFFF"/>
                <w:sz w:val="16"/>
                <w:szCs w:val="16"/>
                <w:lang w:eastAsia="en-AU"/>
              </w:rPr>
              <w:t>ACT</w:t>
            </w:r>
          </w:p>
        </w:tc>
        <w:tc>
          <w:tcPr>
            <w:tcW w:w="760" w:type="dxa"/>
            <w:tcBorders>
              <w:top w:val="nil"/>
              <w:left w:val="nil"/>
              <w:bottom w:val="nil"/>
              <w:right w:val="nil"/>
            </w:tcBorders>
            <w:shd w:val="clear" w:color="000000" w:fill="006991"/>
            <w:noWrap/>
            <w:vAlign w:val="center"/>
            <w:hideMark/>
          </w:tcPr>
          <w:p w14:paraId="361765FB"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967DD">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noWrap/>
            <w:vAlign w:val="center"/>
            <w:hideMark/>
          </w:tcPr>
          <w:p w14:paraId="3AB01691"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Redist</w:t>
            </w:r>
          </w:p>
        </w:tc>
      </w:tr>
      <w:tr w:rsidR="007E365E" w:rsidRPr="000967DD" w14:paraId="0694C3A8" w14:textId="77777777" w:rsidTr="007D1D77">
        <w:trPr>
          <w:trHeight w:val="255"/>
        </w:trPr>
        <w:tc>
          <w:tcPr>
            <w:tcW w:w="2060" w:type="dxa"/>
            <w:tcBorders>
              <w:top w:val="nil"/>
              <w:left w:val="nil"/>
              <w:bottom w:val="single" w:sz="4" w:space="0" w:color="ADD6EA"/>
              <w:right w:val="nil"/>
            </w:tcBorders>
            <w:shd w:val="clear" w:color="000000" w:fill="B6D5E4"/>
            <w:vAlign w:val="bottom"/>
            <w:hideMark/>
          </w:tcPr>
          <w:p w14:paraId="14140710" w14:textId="77777777" w:rsidR="007E365E" w:rsidRPr="000967DD" w:rsidRDefault="007E365E" w:rsidP="007D1D77">
            <w:pPr>
              <w:tabs>
                <w:tab w:val="clear" w:pos="567"/>
              </w:tabs>
              <w:spacing w:before="0" w:line="240" w:lineRule="auto"/>
              <w:rPr>
                <w:rFonts w:ascii="Open Sans SemiBold" w:eastAsia="Times New Roman" w:hAnsi="Open Sans SemiBold" w:cs="Open Sans SemiBold"/>
                <w:sz w:val="16"/>
                <w:szCs w:val="16"/>
                <w:lang w:eastAsia="en-AU"/>
              </w:rPr>
            </w:pPr>
            <w:r w:rsidRPr="000967DD">
              <w:rPr>
                <w:rFonts w:ascii="Open Sans SemiBold" w:eastAsia="Times New Roman" w:hAnsi="Open Sans SemiBold" w:cs="Open Sans SemiBold"/>
                <w:sz w:val="16"/>
                <w:szCs w:val="16"/>
                <w:lang w:eastAsia="en-AU"/>
              </w:rPr>
              <w:t> </w:t>
            </w:r>
          </w:p>
        </w:tc>
        <w:tc>
          <w:tcPr>
            <w:tcW w:w="760" w:type="dxa"/>
            <w:tcBorders>
              <w:top w:val="nil"/>
              <w:left w:val="nil"/>
              <w:bottom w:val="single" w:sz="4" w:space="0" w:color="ADD6EA"/>
              <w:right w:val="nil"/>
            </w:tcBorders>
            <w:shd w:val="clear" w:color="000000" w:fill="B6D5E4"/>
            <w:vAlign w:val="center"/>
            <w:hideMark/>
          </w:tcPr>
          <w:p w14:paraId="5F5FB479"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0967DD">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759B609E"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0967DD">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64D6855B"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0967DD">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14C6ECEC"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0967DD">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2E7BCCB0"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0967DD">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5E684331"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0967DD">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60E6A509"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0967DD">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0B563C3D"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0967DD">
              <w:rPr>
                <w:rFonts w:ascii="Open Sans SemiBold" w:eastAsia="Times New Roman" w:hAnsi="Open Sans SemiBold" w:cs="Open Sans SemiBold"/>
                <w:sz w:val="16"/>
                <w:szCs w:val="16"/>
                <w:lang w:eastAsia="en-AU"/>
              </w:rPr>
              <w:t>$m</w:t>
            </w:r>
          </w:p>
        </w:tc>
        <w:tc>
          <w:tcPr>
            <w:tcW w:w="760" w:type="dxa"/>
            <w:tcBorders>
              <w:top w:val="nil"/>
              <w:left w:val="nil"/>
              <w:bottom w:val="single" w:sz="4" w:space="0" w:color="ADD6EA"/>
              <w:right w:val="nil"/>
            </w:tcBorders>
            <w:shd w:val="clear" w:color="000000" w:fill="B6D5E4"/>
            <w:vAlign w:val="center"/>
            <w:hideMark/>
          </w:tcPr>
          <w:p w14:paraId="0651AE34" w14:textId="77777777" w:rsidR="007E365E" w:rsidRPr="000967DD" w:rsidRDefault="007E365E" w:rsidP="007D1D77">
            <w:pPr>
              <w:tabs>
                <w:tab w:val="clear" w:pos="567"/>
              </w:tabs>
              <w:spacing w:before="0" w:line="240" w:lineRule="auto"/>
              <w:jc w:val="right"/>
              <w:rPr>
                <w:rFonts w:ascii="Open Sans SemiBold" w:eastAsia="Times New Roman" w:hAnsi="Open Sans SemiBold" w:cs="Open Sans SemiBold"/>
                <w:sz w:val="16"/>
                <w:szCs w:val="16"/>
                <w:lang w:eastAsia="en-AU"/>
              </w:rPr>
            </w:pPr>
            <w:r w:rsidRPr="000967DD">
              <w:rPr>
                <w:rFonts w:ascii="Open Sans SemiBold" w:eastAsia="Times New Roman" w:hAnsi="Open Sans SemiBold" w:cs="Open Sans SemiBold"/>
                <w:sz w:val="16"/>
                <w:szCs w:val="16"/>
                <w:lang w:eastAsia="en-AU"/>
              </w:rPr>
              <w:t>$m</w:t>
            </w:r>
          </w:p>
        </w:tc>
      </w:tr>
      <w:tr w:rsidR="007E365E" w:rsidRPr="000967DD" w14:paraId="0F01CBAA"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1422B171" w14:textId="77777777" w:rsidR="007E365E" w:rsidRPr="000967DD" w:rsidRDefault="007E365E" w:rsidP="007D1D77">
            <w:pPr>
              <w:tabs>
                <w:tab w:val="clear" w:pos="567"/>
              </w:tabs>
              <w:spacing w:before="0" w:line="240" w:lineRule="auto"/>
              <w:rPr>
                <w:rFonts w:eastAsia="Times New Roman" w:cs="Open Sans Light"/>
                <w:sz w:val="16"/>
                <w:szCs w:val="16"/>
                <w:lang w:eastAsia="en-AU"/>
              </w:rPr>
            </w:pPr>
            <w:r w:rsidRPr="000967DD">
              <w:rPr>
                <w:rFonts w:eastAsia="Times New Roman" w:cs="Open Sans Light"/>
                <w:sz w:val="16"/>
                <w:szCs w:val="16"/>
                <w:lang w:eastAsia="en-AU"/>
              </w:rPr>
              <w:t>Method and data changes</w:t>
            </w:r>
          </w:p>
        </w:tc>
        <w:tc>
          <w:tcPr>
            <w:tcW w:w="760" w:type="dxa"/>
            <w:tcBorders>
              <w:top w:val="nil"/>
              <w:left w:val="nil"/>
              <w:bottom w:val="single" w:sz="4" w:space="0" w:color="ADD6EA"/>
              <w:right w:val="nil"/>
            </w:tcBorders>
            <w:shd w:val="clear" w:color="auto" w:fill="auto"/>
            <w:vAlign w:val="bottom"/>
            <w:hideMark/>
          </w:tcPr>
          <w:p w14:paraId="11FDF260"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2</w:t>
            </w:r>
          </w:p>
        </w:tc>
        <w:tc>
          <w:tcPr>
            <w:tcW w:w="760" w:type="dxa"/>
            <w:tcBorders>
              <w:top w:val="nil"/>
              <w:left w:val="nil"/>
              <w:bottom w:val="single" w:sz="4" w:space="0" w:color="ADD6EA"/>
              <w:right w:val="nil"/>
            </w:tcBorders>
            <w:shd w:val="clear" w:color="auto" w:fill="auto"/>
            <w:vAlign w:val="bottom"/>
            <w:hideMark/>
          </w:tcPr>
          <w:p w14:paraId="56481ACD"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-25</w:t>
            </w:r>
          </w:p>
        </w:tc>
        <w:tc>
          <w:tcPr>
            <w:tcW w:w="760" w:type="dxa"/>
            <w:tcBorders>
              <w:top w:val="nil"/>
              <w:left w:val="nil"/>
              <w:bottom w:val="single" w:sz="4" w:space="0" w:color="ADD6EA"/>
              <w:right w:val="nil"/>
            </w:tcBorders>
            <w:shd w:val="clear" w:color="auto" w:fill="auto"/>
            <w:vAlign w:val="bottom"/>
            <w:hideMark/>
          </w:tcPr>
          <w:p w14:paraId="273900B8"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4</w:t>
            </w:r>
          </w:p>
        </w:tc>
        <w:tc>
          <w:tcPr>
            <w:tcW w:w="760" w:type="dxa"/>
            <w:tcBorders>
              <w:top w:val="nil"/>
              <w:left w:val="nil"/>
              <w:bottom w:val="single" w:sz="4" w:space="0" w:color="ADD6EA"/>
              <w:right w:val="nil"/>
            </w:tcBorders>
            <w:shd w:val="clear" w:color="auto" w:fill="auto"/>
            <w:vAlign w:val="bottom"/>
            <w:hideMark/>
          </w:tcPr>
          <w:p w14:paraId="50DD48F1"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11</w:t>
            </w:r>
          </w:p>
        </w:tc>
        <w:tc>
          <w:tcPr>
            <w:tcW w:w="760" w:type="dxa"/>
            <w:tcBorders>
              <w:top w:val="nil"/>
              <w:left w:val="nil"/>
              <w:bottom w:val="single" w:sz="4" w:space="0" w:color="ADD6EA"/>
              <w:right w:val="nil"/>
            </w:tcBorders>
            <w:shd w:val="clear" w:color="auto" w:fill="auto"/>
            <w:vAlign w:val="bottom"/>
            <w:hideMark/>
          </w:tcPr>
          <w:p w14:paraId="544424EF"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6</w:t>
            </w:r>
          </w:p>
        </w:tc>
        <w:tc>
          <w:tcPr>
            <w:tcW w:w="760" w:type="dxa"/>
            <w:tcBorders>
              <w:top w:val="nil"/>
              <w:left w:val="nil"/>
              <w:bottom w:val="single" w:sz="4" w:space="0" w:color="ADD6EA"/>
              <w:right w:val="nil"/>
            </w:tcBorders>
            <w:shd w:val="clear" w:color="auto" w:fill="auto"/>
            <w:vAlign w:val="bottom"/>
            <w:hideMark/>
          </w:tcPr>
          <w:p w14:paraId="5549C76E"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2</w:t>
            </w:r>
          </w:p>
        </w:tc>
        <w:tc>
          <w:tcPr>
            <w:tcW w:w="760" w:type="dxa"/>
            <w:tcBorders>
              <w:top w:val="nil"/>
              <w:left w:val="nil"/>
              <w:bottom w:val="single" w:sz="4" w:space="0" w:color="ADD6EA"/>
              <w:right w:val="nil"/>
            </w:tcBorders>
            <w:shd w:val="clear" w:color="auto" w:fill="auto"/>
            <w:vAlign w:val="bottom"/>
            <w:hideMark/>
          </w:tcPr>
          <w:p w14:paraId="0A74A24D"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0</w:t>
            </w:r>
          </w:p>
        </w:tc>
        <w:tc>
          <w:tcPr>
            <w:tcW w:w="760" w:type="dxa"/>
            <w:tcBorders>
              <w:top w:val="nil"/>
              <w:left w:val="nil"/>
              <w:bottom w:val="single" w:sz="4" w:space="0" w:color="ADD6EA"/>
              <w:right w:val="nil"/>
            </w:tcBorders>
            <w:shd w:val="clear" w:color="auto" w:fill="auto"/>
            <w:vAlign w:val="bottom"/>
            <w:hideMark/>
          </w:tcPr>
          <w:p w14:paraId="3783278F"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1</w:t>
            </w:r>
          </w:p>
        </w:tc>
        <w:tc>
          <w:tcPr>
            <w:tcW w:w="760" w:type="dxa"/>
            <w:tcBorders>
              <w:top w:val="nil"/>
              <w:left w:val="nil"/>
              <w:bottom w:val="single" w:sz="4" w:space="0" w:color="ADD6EA"/>
              <w:right w:val="nil"/>
            </w:tcBorders>
            <w:shd w:val="clear" w:color="auto" w:fill="auto"/>
            <w:vAlign w:val="bottom"/>
            <w:hideMark/>
          </w:tcPr>
          <w:p w14:paraId="3D916CA5"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26</w:t>
            </w:r>
          </w:p>
        </w:tc>
      </w:tr>
      <w:tr w:rsidR="007E365E" w:rsidRPr="000967DD" w14:paraId="5735B4E6"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52EEE471" w14:textId="77777777" w:rsidR="007E365E" w:rsidRPr="000967DD" w:rsidRDefault="007E365E" w:rsidP="007D1D77">
            <w:pPr>
              <w:tabs>
                <w:tab w:val="clear" w:pos="567"/>
              </w:tabs>
              <w:spacing w:before="0" w:line="240" w:lineRule="auto"/>
              <w:rPr>
                <w:rFonts w:eastAsia="Times New Roman" w:cs="Open Sans Light"/>
                <w:sz w:val="16"/>
                <w:szCs w:val="16"/>
                <w:lang w:eastAsia="en-AU"/>
              </w:rPr>
            </w:pPr>
            <w:r w:rsidRPr="000967DD">
              <w:rPr>
                <w:rFonts w:eastAsia="Times New Roman" w:cs="Open Sans Light"/>
                <w:sz w:val="16"/>
                <w:szCs w:val="16"/>
                <w:lang w:eastAsia="en-AU"/>
              </w:rPr>
              <w:t>Data revisions</w:t>
            </w:r>
          </w:p>
        </w:tc>
        <w:tc>
          <w:tcPr>
            <w:tcW w:w="760" w:type="dxa"/>
            <w:tcBorders>
              <w:top w:val="nil"/>
              <w:left w:val="nil"/>
              <w:bottom w:val="single" w:sz="4" w:space="0" w:color="ADD6EA"/>
              <w:right w:val="nil"/>
            </w:tcBorders>
            <w:shd w:val="clear" w:color="auto" w:fill="auto"/>
            <w:vAlign w:val="bottom"/>
            <w:hideMark/>
          </w:tcPr>
          <w:p w14:paraId="31BE98EB"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0</w:t>
            </w:r>
          </w:p>
        </w:tc>
        <w:tc>
          <w:tcPr>
            <w:tcW w:w="760" w:type="dxa"/>
            <w:tcBorders>
              <w:top w:val="nil"/>
              <w:left w:val="nil"/>
              <w:bottom w:val="single" w:sz="4" w:space="0" w:color="ADD6EA"/>
              <w:right w:val="nil"/>
            </w:tcBorders>
            <w:shd w:val="clear" w:color="auto" w:fill="auto"/>
            <w:vAlign w:val="bottom"/>
            <w:hideMark/>
          </w:tcPr>
          <w:p w14:paraId="77FD4F5A"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0</w:t>
            </w:r>
          </w:p>
        </w:tc>
        <w:tc>
          <w:tcPr>
            <w:tcW w:w="760" w:type="dxa"/>
            <w:tcBorders>
              <w:top w:val="nil"/>
              <w:left w:val="nil"/>
              <w:bottom w:val="single" w:sz="4" w:space="0" w:color="ADD6EA"/>
              <w:right w:val="nil"/>
            </w:tcBorders>
            <w:shd w:val="clear" w:color="auto" w:fill="auto"/>
            <w:vAlign w:val="bottom"/>
            <w:hideMark/>
          </w:tcPr>
          <w:p w14:paraId="4BDA23AF"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0</w:t>
            </w:r>
          </w:p>
        </w:tc>
        <w:tc>
          <w:tcPr>
            <w:tcW w:w="760" w:type="dxa"/>
            <w:tcBorders>
              <w:top w:val="nil"/>
              <w:left w:val="nil"/>
              <w:bottom w:val="single" w:sz="4" w:space="0" w:color="ADD6EA"/>
              <w:right w:val="nil"/>
            </w:tcBorders>
            <w:shd w:val="clear" w:color="auto" w:fill="auto"/>
            <w:vAlign w:val="bottom"/>
            <w:hideMark/>
          </w:tcPr>
          <w:p w14:paraId="0A97D14F"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0</w:t>
            </w:r>
          </w:p>
        </w:tc>
        <w:tc>
          <w:tcPr>
            <w:tcW w:w="760" w:type="dxa"/>
            <w:tcBorders>
              <w:top w:val="nil"/>
              <w:left w:val="nil"/>
              <w:bottom w:val="single" w:sz="4" w:space="0" w:color="ADD6EA"/>
              <w:right w:val="nil"/>
            </w:tcBorders>
            <w:shd w:val="clear" w:color="auto" w:fill="auto"/>
            <w:vAlign w:val="bottom"/>
            <w:hideMark/>
          </w:tcPr>
          <w:p w14:paraId="7D458A47"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0</w:t>
            </w:r>
          </w:p>
        </w:tc>
        <w:tc>
          <w:tcPr>
            <w:tcW w:w="760" w:type="dxa"/>
            <w:tcBorders>
              <w:top w:val="nil"/>
              <w:left w:val="nil"/>
              <w:bottom w:val="single" w:sz="4" w:space="0" w:color="ADD6EA"/>
              <w:right w:val="nil"/>
            </w:tcBorders>
            <w:shd w:val="clear" w:color="auto" w:fill="auto"/>
            <w:vAlign w:val="bottom"/>
            <w:hideMark/>
          </w:tcPr>
          <w:p w14:paraId="6FD6CA0A"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0</w:t>
            </w:r>
          </w:p>
        </w:tc>
        <w:tc>
          <w:tcPr>
            <w:tcW w:w="760" w:type="dxa"/>
            <w:tcBorders>
              <w:top w:val="nil"/>
              <w:left w:val="nil"/>
              <w:bottom w:val="single" w:sz="4" w:space="0" w:color="ADD6EA"/>
              <w:right w:val="nil"/>
            </w:tcBorders>
            <w:shd w:val="clear" w:color="auto" w:fill="auto"/>
            <w:vAlign w:val="bottom"/>
            <w:hideMark/>
          </w:tcPr>
          <w:p w14:paraId="1E11D267"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0</w:t>
            </w:r>
          </w:p>
        </w:tc>
        <w:tc>
          <w:tcPr>
            <w:tcW w:w="760" w:type="dxa"/>
            <w:tcBorders>
              <w:top w:val="nil"/>
              <w:left w:val="nil"/>
              <w:bottom w:val="single" w:sz="4" w:space="0" w:color="ADD6EA"/>
              <w:right w:val="nil"/>
            </w:tcBorders>
            <w:shd w:val="clear" w:color="auto" w:fill="auto"/>
            <w:vAlign w:val="bottom"/>
            <w:hideMark/>
          </w:tcPr>
          <w:p w14:paraId="2CC17B22"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0</w:t>
            </w:r>
          </w:p>
        </w:tc>
        <w:tc>
          <w:tcPr>
            <w:tcW w:w="760" w:type="dxa"/>
            <w:tcBorders>
              <w:top w:val="nil"/>
              <w:left w:val="nil"/>
              <w:bottom w:val="single" w:sz="4" w:space="0" w:color="ADD6EA"/>
              <w:right w:val="nil"/>
            </w:tcBorders>
            <w:shd w:val="clear" w:color="auto" w:fill="auto"/>
            <w:vAlign w:val="bottom"/>
            <w:hideMark/>
          </w:tcPr>
          <w:p w14:paraId="159D864B"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0</w:t>
            </w:r>
          </w:p>
        </w:tc>
      </w:tr>
      <w:tr w:rsidR="007E365E" w:rsidRPr="000967DD" w14:paraId="2DE8F500" w14:textId="77777777" w:rsidTr="007D1D77">
        <w:trPr>
          <w:trHeight w:val="315"/>
        </w:trPr>
        <w:tc>
          <w:tcPr>
            <w:tcW w:w="2060" w:type="dxa"/>
            <w:tcBorders>
              <w:top w:val="nil"/>
              <w:left w:val="nil"/>
              <w:bottom w:val="single" w:sz="4" w:space="0" w:color="ADD6EA"/>
              <w:right w:val="nil"/>
            </w:tcBorders>
            <w:shd w:val="clear" w:color="auto" w:fill="auto"/>
            <w:vAlign w:val="bottom"/>
            <w:hideMark/>
          </w:tcPr>
          <w:p w14:paraId="4269CA99" w14:textId="77777777" w:rsidR="007E365E" w:rsidRPr="000967DD" w:rsidRDefault="007E365E" w:rsidP="007D1D77">
            <w:pPr>
              <w:tabs>
                <w:tab w:val="clear" w:pos="567"/>
              </w:tabs>
              <w:spacing w:before="0" w:line="240" w:lineRule="auto"/>
              <w:rPr>
                <w:rFonts w:eastAsia="Times New Roman" w:cs="Open Sans Light"/>
                <w:sz w:val="16"/>
                <w:szCs w:val="16"/>
                <w:lang w:eastAsia="en-AU"/>
              </w:rPr>
            </w:pPr>
            <w:r w:rsidRPr="000967DD">
              <w:rPr>
                <w:rFonts w:eastAsia="Times New Roman" w:cs="Open Sans Light"/>
                <w:sz w:val="16"/>
                <w:szCs w:val="16"/>
                <w:lang w:eastAsia="en-AU"/>
              </w:rPr>
              <w:t>State circumstances</w:t>
            </w:r>
          </w:p>
        </w:tc>
        <w:tc>
          <w:tcPr>
            <w:tcW w:w="760" w:type="dxa"/>
            <w:tcBorders>
              <w:top w:val="nil"/>
              <w:left w:val="nil"/>
              <w:bottom w:val="single" w:sz="4" w:space="0" w:color="ADD6EA"/>
              <w:right w:val="nil"/>
            </w:tcBorders>
            <w:shd w:val="clear" w:color="auto" w:fill="auto"/>
            <w:vAlign w:val="bottom"/>
            <w:hideMark/>
          </w:tcPr>
          <w:p w14:paraId="6F8E30C3"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13</w:t>
            </w:r>
          </w:p>
        </w:tc>
        <w:tc>
          <w:tcPr>
            <w:tcW w:w="760" w:type="dxa"/>
            <w:tcBorders>
              <w:top w:val="nil"/>
              <w:left w:val="nil"/>
              <w:bottom w:val="single" w:sz="4" w:space="0" w:color="ADD6EA"/>
              <w:right w:val="nil"/>
            </w:tcBorders>
            <w:shd w:val="clear" w:color="auto" w:fill="auto"/>
            <w:vAlign w:val="bottom"/>
            <w:hideMark/>
          </w:tcPr>
          <w:p w14:paraId="3CF1993C"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25</w:t>
            </w:r>
          </w:p>
        </w:tc>
        <w:tc>
          <w:tcPr>
            <w:tcW w:w="760" w:type="dxa"/>
            <w:tcBorders>
              <w:top w:val="nil"/>
              <w:left w:val="nil"/>
              <w:bottom w:val="single" w:sz="4" w:space="0" w:color="ADD6EA"/>
              <w:right w:val="nil"/>
            </w:tcBorders>
            <w:shd w:val="clear" w:color="auto" w:fill="auto"/>
            <w:vAlign w:val="bottom"/>
            <w:hideMark/>
          </w:tcPr>
          <w:p w14:paraId="1B9057F5"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-39</w:t>
            </w:r>
          </w:p>
        </w:tc>
        <w:tc>
          <w:tcPr>
            <w:tcW w:w="760" w:type="dxa"/>
            <w:tcBorders>
              <w:top w:val="nil"/>
              <w:left w:val="nil"/>
              <w:bottom w:val="single" w:sz="4" w:space="0" w:color="ADD6EA"/>
              <w:right w:val="nil"/>
            </w:tcBorders>
            <w:shd w:val="clear" w:color="auto" w:fill="auto"/>
            <w:vAlign w:val="bottom"/>
            <w:hideMark/>
          </w:tcPr>
          <w:p w14:paraId="0B8B1E96"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0</w:t>
            </w:r>
          </w:p>
        </w:tc>
        <w:tc>
          <w:tcPr>
            <w:tcW w:w="760" w:type="dxa"/>
            <w:tcBorders>
              <w:top w:val="nil"/>
              <w:left w:val="nil"/>
              <w:bottom w:val="single" w:sz="4" w:space="0" w:color="ADD6EA"/>
              <w:right w:val="nil"/>
            </w:tcBorders>
            <w:shd w:val="clear" w:color="auto" w:fill="auto"/>
            <w:vAlign w:val="bottom"/>
            <w:hideMark/>
          </w:tcPr>
          <w:p w14:paraId="73210607"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2</w:t>
            </w:r>
          </w:p>
        </w:tc>
        <w:tc>
          <w:tcPr>
            <w:tcW w:w="760" w:type="dxa"/>
            <w:tcBorders>
              <w:top w:val="nil"/>
              <w:left w:val="nil"/>
              <w:bottom w:val="single" w:sz="4" w:space="0" w:color="ADD6EA"/>
              <w:right w:val="nil"/>
            </w:tcBorders>
            <w:shd w:val="clear" w:color="auto" w:fill="auto"/>
            <w:vAlign w:val="bottom"/>
            <w:hideMark/>
          </w:tcPr>
          <w:p w14:paraId="54F13AD2"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vAlign w:val="bottom"/>
            <w:hideMark/>
          </w:tcPr>
          <w:p w14:paraId="456A62EE"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1</w:t>
            </w:r>
          </w:p>
        </w:tc>
        <w:tc>
          <w:tcPr>
            <w:tcW w:w="760" w:type="dxa"/>
            <w:tcBorders>
              <w:top w:val="nil"/>
              <w:left w:val="nil"/>
              <w:bottom w:val="single" w:sz="4" w:space="0" w:color="ADD6EA"/>
              <w:right w:val="nil"/>
            </w:tcBorders>
            <w:shd w:val="clear" w:color="auto" w:fill="auto"/>
            <w:vAlign w:val="bottom"/>
            <w:hideMark/>
          </w:tcPr>
          <w:p w14:paraId="1D6219BB"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6</w:t>
            </w:r>
          </w:p>
        </w:tc>
        <w:tc>
          <w:tcPr>
            <w:tcW w:w="760" w:type="dxa"/>
            <w:tcBorders>
              <w:top w:val="nil"/>
              <w:left w:val="nil"/>
              <w:bottom w:val="single" w:sz="4" w:space="0" w:color="ADD6EA"/>
              <w:right w:val="nil"/>
            </w:tcBorders>
            <w:shd w:val="clear" w:color="auto" w:fill="auto"/>
            <w:vAlign w:val="bottom"/>
            <w:hideMark/>
          </w:tcPr>
          <w:p w14:paraId="5781E988" w14:textId="77777777" w:rsidR="007E365E" w:rsidRPr="000967DD" w:rsidRDefault="007E365E" w:rsidP="007D1D77">
            <w:pPr>
              <w:tabs>
                <w:tab w:val="clear" w:pos="567"/>
              </w:tabs>
              <w:spacing w:before="0" w:line="240" w:lineRule="auto"/>
              <w:jc w:val="right"/>
              <w:rPr>
                <w:rFonts w:eastAsia="Times New Roman" w:cs="Open Sans Light"/>
                <w:sz w:val="16"/>
                <w:szCs w:val="16"/>
                <w:lang w:eastAsia="en-AU"/>
              </w:rPr>
            </w:pPr>
            <w:r w:rsidRPr="000967DD">
              <w:rPr>
                <w:rFonts w:eastAsia="Times New Roman" w:cs="Open Sans Light"/>
                <w:sz w:val="16"/>
                <w:szCs w:val="16"/>
                <w:lang w:eastAsia="en-AU"/>
              </w:rPr>
              <w:t xml:space="preserve"> 47</w:t>
            </w:r>
          </w:p>
        </w:tc>
      </w:tr>
      <w:tr w:rsidR="007E365E" w:rsidRPr="000967DD" w14:paraId="5E503657" w14:textId="77777777" w:rsidTr="007D1D77">
        <w:trPr>
          <w:trHeight w:val="315"/>
        </w:trPr>
        <w:tc>
          <w:tcPr>
            <w:tcW w:w="2060" w:type="dxa"/>
            <w:tcBorders>
              <w:top w:val="nil"/>
              <w:left w:val="nil"/>
              <w:bottom w:val="single" w:sz="4" w:space="0" w:color="ADD6EA"/>
              <w:right w:val="nil"/>
            </w:tcBorders>
            <w:shd w:val="clear" w:color="000000" w:fill="D6E7F0"/>
            <w:vAlign w:val="bottom"/>
            <w:hideMark/>
          </w:tcPr>
          <w:p w14:paraId="5D0BDEBC" w14:textId="77777777" w:rsidR="007E365E" w:rsidRPr="000967DD" w:rsidRDefault="007E365E" w:rsidP="007D1D77">
            <w:pPr>
              <w:tabs>
                <w:tab w:val="clear" w:pos="567"/>
              </w:tabs>
              <w:spacing w:before="0" w:line="240" w:lineRule="auto"/>
              <w:rPr>
                <w:rFonts w:eastAsia="Times New Roman" w:cs="Open Sans Light"/>
                <w:b/>
                <w:bCs/>
                <w:sz w:val="16"/>
                <w:szCs w:val="16"/>
                <w:lang w:eastAsia="en-AU"/>
              </w:rPr>
            </w:pPr>
            <w:r w:rsidRPr="000967DD">
              <w:rPr>
                <w:rFonts w:eastAsia="Times New Roman" w:cs="Open Sans Light"/>
                <w:b/>
                <w:bCs/>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2B6CB50E" w14:textId="77777777" w:rsidR="007E365E" w:rsidRPr="000967DD" w:rsidRDefault="007E365E" w:rsidP="007D1D77">
            <w:pPr>
              <w:tabs>
                <w:tab w:val="clear" w:pos="567"/>
              </w:tabs>
              <w:spacing w:before="0" w:line="240" w:lineRule="auto"/>
              <w:jc w:val="right"/>
              <w:rPr>
                <w:rFonts w:eastAsia="Times New Roman" w:cs="Open Sans Light"/>
                <w:b/>
                <w:bCs/>
                <w:sz w:val="16"/>
                <w:szCs w:val="16"/>
                <w:lang w:eastAsia="en-AU"/>
              </w:rPr>
            </w:pPr>
            <w:r w:rsidRPr="000967DD">
              <w:rPr>
                <w:rFonts w:eastAsia="Times New Roman" w:cs="Open Sans Light"/>
                <w:b/>
                <w:bCs/>
                <w:sz w:val="16"/>
                <w:szCs w:val="16"/>
                <w:lang w:eastAsia="en-AU"/>
              </w:rPr>
              <w:t>15</w:t>
            </w:r>
          </w:p>
        </w:tc>
        <w:tc>
          <w:tcPr>
            <w:tcW w:w="760" w:type="dxa"/>
            <w:tcBorders>
              <w:top w:val="nil"/>
              <w:left w:val="nil"/>
              <w:bottom w:val="single" w:sz="4" w:space="0" w:color="ADD6EA"/>
              <w:right w:val="nil"/>
            </w:tcBorders>
            <w:shd w:val="clear" w:color="000000" w:fill="D6E7F0"/>
            <w:vAlign w:val="bottom"/>
            <w:hideMark/>
          </w:tcPr>
          <w:p w14:paraId="046A9D00" w14:textId="77777777" w:rsidR="007E365E" w:rsidRPr="000967DD" w:rsidRDefault="007E365E" w:rsidP="007D1D77">
            <w:pPr>
              <w:tabs>
                <w:tab w:val="clear" w:pos="567"/>
              </w:tabs>
              <w:spacing w:before="0" w:line="240" w:lineRule="auto"/>
              <w:jc w:val="right"/>
              <w:rPr>
                <w:rFonts w:eastAsia="Times New Roman" w:cs="Open Sans Light"/>
                <w:b/>
                <w:bCs/>
                <w:sz w:val="16"/>
                <w:szCs w:val="16"/>
                <w:lang w:eastAsia="en-AU"/>
              </w:rPr>
            </w:pPr>
            <w:r w:rsidRPr="000967DD">
              <w:rPr>
                <w:rFonts w:eastAsia="Times New Roman" w:cs="Open Sans Light"/>
                <w:b/>
                <w:bCs/>
                <w:sz w:val="16"/>
                <w:szCs w:val="16"/>
                <w:lang w:eastAsia="en-AU"/>
              </w:rPr>
              <w:t>-1</w:t>
            </w:r>
          </w:p>
        </w:tc>
        <w:tc>
          <w:tcPr>
            <w:tcW w:w="760" w:type="dxa"/>
            <w:tcBorders>
              <w:top w:val="nil"/>
              <w:left w:val="nil"/>
              <w:bottom w:val="single" w:sz="4" w:space="0" w:color="ADD6EA"/>
              <w:right w:val="nil"/>
            </w:tcBorders>
            <w:shd w:val="clear" w:color="000000" w:fill="D6E7F0"/>
            <w:vAlign w:val="bottom"/>
            <w:hideMark/>
          </w:tcPr>
          <w:p w14:paraId="0915C459" w14:textId="77777777" w:rsidR="007E365E" w:rsidRPr="000967DD" w:rsidRDefault="007E365E" w:rsidP="007D1D77">
            <w:pPr>
              <w:tabs>
                <w:tab w:val="clear" w:pos="567"/>
              </w:tabs>
              <w:spacing w:before="0" w:line="240" w:lineRule="auto"/>
              <w:jc w:val="right"/>
              <w:rPr>
                <w:rFonts w:eastAsia="Times New Roman" w:cs="Open Sans Light"/>
                <w:b/>
                <w:bCs/>
                <w:sz w:val="16"/>
                <w:szCs w:val="16"/>
                <w:lang w:eastAsia="en-AU"/>
              </w:rPr>
            </w:pPr>
            <w:r w:rsidRPr="000967DD">
              <w:rPr>
                <w:rFonts w:eastAsia="Times New Roman" w:cs="Open Sans Light"/>
                <w:b/>
                <w:bCs/>
                <w:sz w:val="16"/>
                <w:szCs w:val="16"/>
                <w:lang w:eastAsia="en-AU"/>
              </w:rPr>
              <w:t>-35</w:t>
            </w:r>
          </w:p>
        </w:tc>
        <w:tc>
          <w:tcPr>
            <w:tcW w:w="760" w:type="dxa"/>
            <w:tcBorders>
              <w:top w:val="nil"/>
              <w:left w:val="nil"/>
              <w:bottom w:val="single" w:sz="4" w:space="0" w:color="ADD6EA"/>
              <w:right w:val="nil"/>
            </w:tcBorders>
            <w:shd w:val="clear" w:color="000000" w:fill="D6E7F0"/>
            <w:vAlign w:val="bottom"/>
            <w:hideMark/>
          </w:tcPr>
          <w:p w14:paraId="231A386A" w14:textId="77777777" w:rsidR="007E365E" w:rsidRPr="000967DD" w:rsidRDefault="007E365E" w:rsidP="007D1D77">
            <w:pPr>
              <w:tabs>
                <w:tab w:val="clear" w:pos="567"/>
              </w:tabs>
              <w:spacing w:before="0" w:line="240" w:lineRule="auto"/>
              <w:jc w:val="right"/>
              <w:rPr>
                <w:rFonts w:eastAsia="Times New Roman" w:cs="Open Sans Light"/>
                <w:b/>
                <w:bCs/>
                <w:sz w:val="16"/>
                <w:szCs w:val="16"/>
                <w:lang w:eastAsia="en-AU"/>
              </w:rPr>
            </w:pPr>
            <w:r w:rsidRPr="000967DD">
              <w:rPr>
                <w:rFonts w:eastAsia="Times New Roman" w:cs="Open Sans Light"/>
                <w:b/>
                <w:bCs/>
                <w:sz w:val="16"/>
                <w:szCs w:val="16"/>
                <w:lang w:eastAsia="en-AU"/>
              </w:rPr>
              <w:t>11</w:t>
            </w:r>
          </w:p>
        </w:tc>
        <w:tc>
          <w:tcPr>
            <w:tcW w:w="760" w:type="dxa"/>
            <w:tcBorders>
              <w:top w:val="nil"/>
              <w:left w:val="nil"/>
              <w:bottom w:val="single" w:sz="4" w:space="0" w:color="ADD6EA"/>
              <w:right w:val="nil"/>
            </w:tcBorders>
            <w:shd w:val="clear" w:color="000000" w:fill="D6E7F0"/>
            <w:vAlign w:val="bottom"/>
            <w:hideMark/>
          </w:tcPr>
          <w:p w14:paraId="3FF3092F" w14:textId="77777777" w:rsidR="007E365E" w:rsidRPr="000967DD" w:rsidRDefault="007E365E" w:rsidP="007D1D77">
            <w:pPr>
              <w:tabs>
                <w:tab w:val="clear" w:pos="567"/>
              </w:tabs>
              <w:spacing w:before="0" w:line="240" w:lineRule="auto"/>
              <w:jc w:val="right"/>
              <w:rPr>
                <w:rFonts w:eastAsia="Times New Roman" w:cs="Open Sans Light"/>
                <w:b/>
                <w:bCs/>
                <w:sz w:val="16"/>
                <w:szCs w:val="16"/>
                <w:lang w:eastAsia="en-AU"/>
              </w:rPr>
            </w:pPr>
            <w:r w:rsidRPr="000967DD">
              <w:rPr>
                <w:rFonts w:eastAsia="Times New Roman" w:cs="Open Sans Light"/>
                <w:b/>
                <w:bCs/>
                <w:sz w:val="16"/>
                <w:szCs w:val="16"/>
                <w:lang w:eastAsia="en-AU"/>
              </w:rPr>
              <w:t>8</w:t>
            </w:r>
          </w:p>
        </w:tc>
        <w:tc>
          <w:tcPr>
            <w:tcW w:w="760" w:type="dxa"/>
            <w:tcBorders>
              <w:top w:val="nil"/>
              <w:left w:val="nil"/>
              <w:bottom w:val="single" w:sz="4" w:space="0" w:color="ADD6EA"/>
              <w:right w:val="nil"/>
            </w:tcBorders>
            <w:shd w:val="clear" w:color="000000" w:fill="D6E7F0"/>
            <w:vAlign w:val="bottom"/>
            <w:hideMark/>
          </w:tcPr>
          <w:p w14:paraId="69B41F45" w14:textId="77777777" w:rsidR="007E365E" w:rsidRPr="000967DD" w:rsidRDefault="007E365E" w:rsidP="007D1D77">
            <w:pPr>
              <w:tabs>
                <w:tab w:val="clear" w:pos="567"/>
              </w:tabs>
              <w:spacing w:before="0" w:line="240" w:lineRule="auto"/>
              <w:jc w:val="right"/>
              <w:rPr>
                <w:rFonts w:eastAsia="Times New Roman" w:cs="Open Sans Light"/>
                <w:b/>
                <w:bCs/>
                <w:sz w:val="16"/>
                <w:szCs w:val="16"/>
                <w:lang w:eastAsia="en-AU"/>
              </w:rPr>
            </w:pPr>
            <w:r w:rsidRPr="000967DD">
              <w:rPr>
                <w:rFonts w:eastAsia="Times New Roman" w:cs="Open Sans Light"/>
                <w:b/>
                <w:bCs/>
                <w:sz w:val="16"/>
                <w:szCs w:val="16"/>
                <w:lang w:eastAsia="en-AU"/>
              </w:rPr>
              <w:t>-6</w:t>
            </w:r>
          </w:p>
        </w:tc>
        <w:tc>
          <w:tcPr>
            <w:tcW w:w="760" w:type="dxa"/>
            <w:tcBorders>
              <w:top w:val="nil"/>
              <w:left w:val="nil"/>
              <w:bottom w:val="single" w:sz="4" w:space="0" w:color="ADD6EA"/>
              <w:right w:val="nil"/>
            </w:tcBorders>
            <w:shd w:val="clear" w:color="000000" w:fill="D6E7F0"/>
            <w:vAlign w:val="bottom"/>
            <w:hideMark/>
          </w:tcPr>
          <w:p w14:paraId="3E209A0B" w14:textId="77777777" w:rsidR="007E365E" w:rsidRPr="000967DD" w:rsidRDefault="007E365E" w:rsidP="007D1D77">
            <w:pPr>
              <w:tabs>
                <w:tab w:val="clear" w:pos="567"/>
              </w:tabs>
              <w:spacing w:before="0" w:line="240" w:lineRule="auto"/>
              <w:jc w:val="right"/>
              <w:rPr>
                <w:rFonts w:eastAsia="Times New Roman" w:cs="Open Sans Light"/>
                <w:b/>
                <w:bCs/>
                <w:sz w:val="16"/>
                <w:szCs w:val="16"/>
                <w:lang w:eastAsia="en-AU"/>
              </w:rPr>
            </w:pPr>
            <w:r w:rsidRPr="000967DD">
              <w:rPr>
                <w:rFonts w:eastAsia="Times New Roman" w:cs="Open Sans Light"/>
                <w:b/>
                <w:bCs/>
                <w:sz w:val="16"/>
                <w:szCs w:val="16"/>
                <w:lang w:eastAsia="en-AU"/>
              </w:rPr>
              <w:t>0</w:t>
            </w:r>
          </w:p>
        </w:tc>
        <w:tc>
          <w:tcPr>
            <w:tcW w:w="760" w:type="dxa"/>
            <w:tcBorders>
              <w:top w:val="nil"/>
              <w:left w:val="nil"/>
              <w:bottom w:val="single" w:sz="4" w:space="0" w:color="ADD6EA"/>
              <w:right w:val="nil"/>
            </w:tcBorders>
            <w:shd w:val="clear" w:color="000000" w:fill="D6E7F0"/>
            <w:vAlign w:val="bottom"/>
            <w:hideMark/>
          </w:tcPr>
          <w:p w14:paraId="03C27B21" w14:textId="77777777" w:rsidR="007E365E" w:rsidRPr="000967DD" w:rsidRDefault="007E365E" w:rsidP="007D1D77">
            <w:pPr>
              <w:tabs>
                <w:tab w:val="clear" w:pos="567"/>
              </w:tabs>
              <w:spacing w:before="0" w:line="240" w:lineRule="auto"/>
              <w:jc w:val="right"/>
              <w:rPr>
                <w:rFonts w:eastAsia="Times New Roman" w:cs="Open Sans Light"/>
                <w:b/>
                <w:bCs/>
                <w:sz w:val="16"/>
                <w:szCs w:val="16"/>
                <w:lang w:eastAsia="en-AU"/>
              </w:rPr>
            </w:pPr>
            <w:r w:rsidRPr="000967DD">
              <w:rPr>
                <w:rFonts w:eastAsia="Times New Roman" w:cs="Open Sans Light"/>
                <w:b/>
                <w:bCs/>
                <w:sz w:val="16"/>
                <w:szCs w:val="16"/>
                <w:lang w:eastAsia="en-AU"/>
              </w:rPr>
              <w:t>7</w:t>
            </w:r>
          </w:p>
        </w:tc>
        <w:tc>
          <w:tcPr>
            <w:tcW w:w="760" w:type="dxa"/>
            <w:tcBorders>
              <w:top w:val="nil"/>
              <w:left w:val="nil"/>
              <w:bottom w:val="single" w:sz="4" w:space="0" w:color="ADD6EA"/>
              <w:right w:val="nil"/>
            </w:tcBorders>
            <w:shd w:val="clear" w:color="000000" w:fill="D6E7F0"/>
            <w:vAlign w:val="bottom"/>
            <w:hideMark/>
          </w:tcPr>
          <w:p w14:paraId="56FA6060" w14:textId="77777777" w:rsidR="007E365E" w:rsidRPr="000967DD" w:rsidRDefault="007E365E" w:rsidP="007D1D77">
            <w:pPr>
              <w:tabs>
                <w:tab w:val="clear" w:pos="567"/>
              </w:tabs>
              <w:spacing w:before="0" w:line="240" w:lineRule="auto"/>
              <w:jc w:val="right"/>
              <w:rPr>
                <w:rFonts w:eastAsia="Times New Roman" w:cs="Open Sans Light"/>
                <w:b/>
                <w:bCs/>
                <w:sz w:val="16"/>
                <w:szCs w:val="16"/>
                <w:lang w:eastAsia="en-AU"/>
              </w:rPr>
            </w:pPr>
            <w:r w:rsidRPr="000967DD">
              <w:rPr>
                <w:rFonts w:eastAsia="Times New Roman" w:cs="Open Sans Light"/>
                <w:b/>
                <w:bCs/>
                <w:sz w:val="16"/>
                <w:szCs w:val="16"/>
                <w:lang w:eastAsia="en-AU"/>
              </w:rPr>
              <w:t>41</w:t>
            </w:r>
          </w:p>
        </w:tc>
      </w:tr>
    </w:tbl>
    <w:p w14:paraId="46417DEC" w14:textId="77777777" w:rsidR="007E365E" w:rsidRPr="00CE6810" w:rsidRDefault="007E365E" w:rsidP="007E365E">
      <w:pPr>
        <w:pStyle w:val="CGCTablenote"/>
      </w:pPr>
      <w:r w:rsidRPr="00CE6810">
        <w:t>Source:</w:t>
      </w:r>
      <w:r w:rsidRPr="00CE6810">
        <w:tab/>
        <w:t>Commission calculation</w:t>
      </w:r>
      <w:r>
        <w:t>.</w:t>
      </w:r>
    </w:p>
    <w:p w14:paraId="5988AA2A" w14:textId="77777777" w:rsidR="007E365E" w:rsidRPr="00CE6810" w:rsidRDefault="007E365E" w:rsidP="007E365E">
      <w:pPr>
        <w:pStyle w:val="Heading3"/>
      </w:pPr>
      <w:r w:rsidRPr="00CE6810">
        <w:t>Updating the assessment</w:t>
      </w:r>
    </w:p>
    <w:p w14:paraId="6AF4E885" w14:textId="77777777" w:rsidR="007E365E" w:rsidRPr="00CE6810" w:rsidRDefault="007E365E" w:rsidP="007E365E">
      <w:pPr>
        <w:pStyle w:val="CGCParaNumber"/>
      </w:pPr>
      <w:r w:rsidRPr="00CE6810">
        <w:t xml:space="preserve">As required by the terms of reference, the Commission will incorporate the latest available data in the assessment during the annual updates. This will allow the assessment to reflect changes in State circumstances. </w:t>
      </w:r>
    </w:p>
    <w:p w14:paraId="5089194C" w14:textId="77777777" w:rsidR="007E365E" w:rsidRPr="00CE6810" w:rsidRDefault="007E365E" w:rsidP="007E365E">
      <w:pPr>
        <w:pStyle w:val="CGCBullet1"/>
      </w:pPr>
      <w:r w:rsidRPr="00CE6810">
        <w:t>The following data will be updated annually:</w:t>
      </w:r>
    </w:p>
    <w:p w14:paraId="369C5080" w14:textId="77777777" w:rsidR="007E365E" w:rsidRPr="00CE6810" w:rsidRDefault="007E365E" w:rsidP="007E365E">
      <w:pPr>
        <w:pStyle w:val="CGCBullet2"/>
        <w:numPr>
          <w:ilvl w:val="0"/>
          <w:numId w:val="3"/>
        </w:numPr>
        <w:ind w:left="1208" w:hanging="357"/>
      </w:pPr>
      <w:r w:rsidRPr="00CE6810">
        <w:t xml:space="preserve">net borrowing </w:t>
      </w:r>
    </w:p>
    <w:p w14:paraId="25C91AD0" w14:textId="77777777" w:rsidR="007E365E" w:rsidRPr="00CE6810" w:rsidRDefault="007E365E" w:rsidP="007E365E">
      <w:pPr>
        <w:pStyle w:val="CGCBullet2"/>
        <w:numPr>
          <w:ilvl w:val="0"/>
          <w:numId w:val="3"/>
        </w:numPr>
        <w:ind w:left="1208" w:hanging="357"/>
      </w:pPr>
      <w:r w:rsidRPr="00CE6810">
        <w:t>net financial assets</w:t>
      </w:r>
    </w:p>
    <w:p w14:paraId="2F166F03" w14:textId="77777777" w:rsidR="007E365E" w:rsidRPr="00CE6810" w:rsidRDefault="007E365E" w:rsidP="007E365E">
      <w:pPr>
        <w:pStyle w:val="CGCBullet2"/>
        <w:numPr>
          <w:ilvl w:val="0"/>
          <w:numId w:val="3"/>
        </w:numPr>
        <w:ind w:left="1208" w:hanging="357"/>
      </w:pPr>
      <w:r w:rsidRPr="00CE6810">
        <w:t>total State population.</w:t>
      </w:r>
    </w:p>
    <w:p w14:paraId="0AAD8A94" w14:textId="77777777" w:rsidR="007E365E" w:rsidRDefault="007E365E" w:rsidP="007E365E"/>
    <w:p w14:paraId="3EAA03FE" w14:textId="77777777" w:rsidR="007E365E" w:rsidRDefault="007E365E" w:rsidP="007E365E">
      <w:pPr>
        <w:sectPr w:rsidR="007E365E" w:rsidSect="00917501">
          <w:footerReference w:type="default" r:id="rId51"/>
          <w:footnotePr>
            <w:numRestart w:val="eachSect"/>
          </w:footnotePr>
          <w:pgSz w:w="11899" w:h="16838" w:code="9"/>
          <w:pgMar w:top="1418" w:right="1474" w:bottom="1418" w:left="1474" w:header="709" w:footer="567" w:gutter="0"/>
          <w:cols w:space="708"/>
          <w:titlePg/>
          <w:docGrid w:linePitch="299"/>
        </w:sectPr>
      </w:pPr>
    </w:p>
    <w:p w14:paraId="5FF19D5D" w14:textId="37A0501B" w:rsidR="000765E5" w:rsidRDefault="000765E5" w:rsidP="000765E5">
      <w:pPr>
        <w:pStyle w:val="Heading1"/>
      </w:pPr>
      <w:r>
        <w:lastRenderedPageBreak/>
        <w:t>26</w:t>
      </w:r>
      <w:r>
        <w:tab/>
        <w:t>Administrative scale</w:t>
      </w:r>
      <w:bookmarkEnd w:id="2"/>
      <w:r>
        <w:t xml:space="preserve"> </w:t>
      </w:r>
    </w:p>
    <w:tbl>
      <w:tblPr>
        <w:tblW w:w="0" w:type="auto"/>
        <w:shd w:val="clear" w:color="auto" w:fill="EBF3F5"/>
        <w:tblLook w:val="04A0" w:firstRow="1" w:lastRow="0" w:firstColumn="1" w:lastColumn="0" w:noHBand="0" w:noVBand="1"/>
      </w:tblPr>
      <w:tblGrid>
        <w:gridCol w:w="8951"/>
      </w:tblGrid>
      <w:tr w:rsidR="000765E5" w14:paraId="706A1D37" w14:textId="77777777" w:rsidTr="004D65FE">
        <w:tc>
          <w:tcPr>
            <w:tcW w:w="8951" w:type="dxa"/>
            <w:shd w:val="clear" w:color="auto" w:fill="EBF3F5"/>
          </w:tcPr>
          <w:p w14:paraId="532ED266" w14:textId="77777777" w:rsidR="000765E5" w:rsidRDefault="000765E5" w:rsidP="00BA37E1">
            <w:pPr>
              <w:pStyle w:val="Heading4"/>
            </w:pPr>
            <w:r>
              <w:t>Summary of the assessment</w:t>
            </w:r>
          </w:p>
          <w:p w14:paraId="464A762F" w14:textId="77777777" w:rsidR="000765E5" w:rsidRPr="00F46B46" w:rsidRDefault="000765E5" w:rsidP="004D65FE">
            <w:r w:rsidRPr="00F46B46">
              <w:t xml:space="preserve">States with small populations have intrinsically higher per capita costs because the minimum functions of government have to be spread over a smaller number of residents. The administrative scale disability assessment represents </w:t>
            </w:r>
            <w:r>
              <w:t>the Commission’s</w:t>
            </w:r>
            <w:r w:rsidRPr="00F46B46">
              <w:t xml:space="preserve"> recognition of those costs.</w:t>
            </w:r>
          </w:p>
          <w:p w14:paraId="31A4CED4" w14:textId="77777777" w:rsidR="000765E5" w:rsidRDefault="000765E5" w:rsidP="004D65FE">
            <w:r>
              <w:t xml:space="preserve">In this review, the Commission has estimated the base administrative scale costs for each State to </w:t>
            </w:r>
            <w:r w:rsidRPr="00DB0CF7">
              <w:t>be $35</w:t>
            </w:r>
            <w:r>
              <w:t xml:space="preserve">3 million in 2018-19. The ACT’s scale costs are reduced by $11.3 million to </w:t>
            </w:r>
            <w:r w:rsidRPr="005E39E2">
              <w:t xml:space="preserve">reflect its </w:t>
            </w:r>
            <w:r>
              <w:t>lower</w:t>
            </w:r>
            <w:r w:rsidRPr="005E39E2">
              <w:t xml:space="preserve"> spending needs for Indigenous communities, non-urban transport, </w:t>
            </w:r>
            <w:r>
              <w:t>agriculture</w:t>
            </w:r>
            <w:r w:rsidRPr="005E39E2">
              <w:t xml:space="preserve"> and mining.</w:t>
            </w:r>
            <w:r>
              <w:t xml:space="preserve"> The Northern Territory’s scale costs are increased by $2.0 million to reflect </w:t>
            </w:r>
            <w:r w:rsidRPr="005E39E2">
              <w:t xml:space="preserve">the </w:t>
            </w:r>
            <w:r>
              <w:t xml:space="preserve">costs associated with a higher </w:t>
            </w:r>
            <w:r w:rsidRPr="005E39E2">
              <w:t xml:space="preserve">level of engagement with Indigenous communities </w:t>
            </w:r>
            <w:r>
              <w:t>by</w:t>
            </w:r>
            <w:r w:rsidRPr="005E39E2">
              <w:t xml:space="preserve"> the Northern Territory</w:t>
            </w:r>
            <w:r>
              <w:t>’s central agencies</w:t>
            </w:r>
            <w:r w:rsidRPr="005E39E2">
              <w:t>.</w:t>
            </w:r>
            <w:r>
              <w:t xml:space="preserve">  </w:t>
            </w:r>
          </w:p>
          <w:p w14:paraId="1A9F681F" w14:textId="77777777" w:rsidR="000765E5" w:rsidRDefault="000765E5" w:rsidP="004D65FE">
            <w:pPr>
              <w:spacing w:after="120"/>
            </w:pPr>
            <w:r>
              <w:t xml:space="preserve">The </w:t>
            </w:r>
            <w:r w:rsidRPr="00F46B46">
              <w:t>States fac</w:t>
            </w:r>
            <w:r>
              <w:t>ing</w:t>
            </w:r>
            <w:r w:rsidRPr="00F46B46">
              <w:t xml:space="preserve"> higher per capita costs are the five less populous States. New</w:t>
            </w:r>
            <w:r>
              <w:t> South </w:t>
            </w:r>
            <w:r w:rsidRPr="00F46B46">
              <w:t>Wales, Victoria and Queensland</w:t>
            </w:r>
            <w:r>
              <w:t xml:space="preserve"> have below average per capita costs</w:t>
            </w:r>
            <w:r w:rsidRPr="00F46B46">
              <w:t>.</w:t>
            </w:r>
          </w:p>
        </w:tc>
      </w:tr>
    </w:tbl>
    <w:p w14:paraId="31EFAA69" w14:textId="77777777" w:rsidR="000765E5" w:rsidRDefault="000765E5" w:rsidP="000765E5">
      <w:pPr>
        <w:pStyle w:val="Heading3"/>
      </w:pPr>
      <w:bookmarkStart w:id="461" w:name="_Toc530491108"/>
      <w:bookmarkStart w:id="462" w:name="_Ref494442113"/>
      <w:bookmarkStart w:id="463" w:name="_Toc511634836"/>
      <w:bookmarkStart w:id="464" w:name="_Toc2182874"/>
      <w:r>
        <w:t>Definition of administrative scale</w:t>
      </w:r>
      <w:bookmarkEnd w:id="461"/>
      <w:r>
        <w:t xml:space="preserve"> </w:t>
      </w:r>
    </w:p>
    <w:p w14:paraId="5269597B" w14:textId="77777777" w:rsidR="000765E5" w:rsidRDefault="000765E5" w:rsidP="008417B3">
      <w:pPr>
        <w:pStyle w:val="CGCParaNumber"/>
        <w:numPr>
          <w:ilvl w:val="0"/>
          <w:numId w:val="48"/>
        </w:numPr>
        <w:ind w:left="567" w:hanging="567"/>
      </w:pPr>
      <w:r>
        <w:t>The administrative scale disability recognises the costs States incur in delivering services that are independent of the size of the service population.</w:t>
      </w:r>
      <w:r w:rsidRPr="009E57BF">
        <w:t xml:space="preserve"> </w:t>
      </w:r>
      <w:r>
        <w:t>Put another way, it seeks to measure unavoidable operating costs incurred prior to the delivery of services to users. It includes costs associated with:</w:t>
      </w:r>
      <w:bookmarkEnd w:id="462"/>
    </w:p>
    <w:p w14:paraId="2E9AADA2" w14:textId="77777777" w:rsidR="000765E5" w:rsidRDefault="000765E5" w:rsidP="000765E5">
      <w:pPr>
        <w:pStyle w:val="CGCBullet1"/>
      </w:pPr>
      <w:r>
        <w:t>core head office functions of departments (for example, corporate services, policy and planning functions, but not all head office costs incurred in delivering such services)</w:t>
      </w:r>
    </w:p>
    <w:p w14:paraId="7F03F38B" w14:textId="77777777" w:rsidR="000765E5" w:rsidRDefault="000765E5" w:rsidP="000765E5">
      <w:pPr>
        <w:pStyle w:val="CGCBullet1"/>
      </w:pPr>
      <w:r>
        <w:t>services that are provided for the whole of the State (for example, the legislature, the judiciary, the treasury, the revenue office, and a State museum, but not all staffing and other resource costs incurred in delivering them).</w:t>
      </w:r>
    </w:p>
    <w:p w14:paraId="55A31794" w14:textId="77777777" w:rsidR="000765E5" w:rsidRDefault="000765E5" w:rsidP="00F47EC7">
      <w:pPr>
        <w:pStyle w:val="CGCParaNumber"/>
      </w:pPr>
      <w:r>
        <w:t xml:space="preserve">Administrative scale is not an assessment of all fixed costs or ‘head office type costs’. It is an assessment of minimum fixed costs that do not vary with service populations. All remaining fixed costs are part of the service delivery expenses of each category and assessed according to the category disabilities. </w:t>
      </w:r>
      <w:bookmarkStart w:id="465" w:name="_Toc511824393"/>
      <w:bookmarkStart w:id="466" w:name="_Toc511906369"/>
      <w:bookmarkStart w:id="467" w:name="_Toc511906544"/>
      <w:bookmarkStart w:id="468" w:name="_Toc511909210"/>
    </w:p>
    <w:p w14:paraId="6CCC5ACF" w14:textId="77777777" w:rsidR="000765E5" w:rsidRDefault="000765E5" w:rsidP="00F47EC7">
      <w:pPr>
        <w:pStyle w:val="CGCParaNumber"/>
      </w:pPr>
      <w:bookmarkStart w:id="469" w:name="_Toc530491109"/>
      <w:r>
        <w:t xml:space="preserve">The definition has the support of most States. Western Australia said that States with smaller populations may not be able to operate at an optimal level, resulting in diseconomies of small scale. This issue has, however, been investigated in previous reviews and the results were inconclusive because of data limitations. The Commission did not think it possible to collect sufficiently detailed information from States for analysis, based on the information already collected for the review of administrative scale costs. It would have been impractical to identify the optimal scale of operations and to quantify any disability. Any attempt to quantify any disability would necessarily involve significant Commission judgment. </w:t>
      </w:r>
      <w:r w:rsidRPr="004D0EDD">
        <w:t>Western</w:t>
      </w:r>
      <w:r>
        <w:t> </w:t>
      </w:r>
      <w:r w:rsidRPr="004D0EDD">
        <w:t>Australia</w:t>
      </w:r>
      <w:r>
        <w:t xml:space="preserve"> did not suggest a way forward.</w:t>
      </w:r>
    </w:p>
    <w:p w14:paraId="76C4B36D" w14:textId="77777777" w:rsidR="000765E5" w:rsidRDefault="000765E5" w:rsidP="000765E5">
      <w:pPr>
        <w:pStyle w:val="Heading4"/>
      </w:pPr>
      <w:r w:rsidRPr="00783763">
        <w:lastRenderedPageBreak/>
        <w:t>Conceptual case for administrative scale costs</w:t>
      </w:r>
      <w:bookmarkEnd w:id="465"/>
      <w:bookmarkEnd w:id="466"/>
      <w:bookmarkEnd w:id="467"/>
      <w:bookmarkEnd w:id="468"/>
      <w:bookmarkEnd w:id="469"/>
    </w:p>
    <w:p w14:paraId="73246317" w14:textId="28A5D83F" w:rsidR="000765E5" w:rsidRDefault="000765E5" w:rsidP="00F47EC7">
      <w:pPr>
        <w:pStyle w:val="CGCParaNumber"/>
      </w:pPr>
      <w:r>
        <w:t>States with small populations have intrinsically higher per capita costs because the minimum functions of government are spread over a smaller number of residents. The administrative</w:t>
      </w:r>
      <w:r w:rsidR="00F71663">
        <w:t> </w:t>
      </w:r>
      <w:r>
        <w:t>scale assessment provides an allowance for this influence.</w:t>
      </w:r>
    </w:p>
    <w:p w14:paraId="55FA6B5B" w14:textId="77777777" w:rsidR="000765E5" w:rsidRDefault="000765E5" w:rsidP="00F47EC7">
      <w:pPr>
        <w:pStyle w:val="CGCParaNumber"/>
      </w:pPr>
      <w:bookmarkStart w:id="470" w:name="_Ref494442119"/>
      <w:r>
        <w:t xml:space="preserve">As the administrative scale assessment reflects the costs of providing services which are independent of the size of the service population, each State has essentially the same requirement. </w:t>
      </w:r>
      <w:bookmarkEnd w:id="470"/>
    </w:p>
    <w:p w14:paraId="02F56199" w14:textId="413D2A27" w:rsidR="000765E5" w:rsidRPr="003230B1" w:rsidRDefault="000765E5" w:rsidP="00F47EC7">
      <w:pPr>
        <w:pStyle w:val="CGCParaNumber"/>
      </w:pPr>
      <w:r w:rsidRPr="003230B1">
        <w:t>The Commission disagrees with New South Wales that the conceptual case is not demonstrated. A concrete example of the administrative scale disability is the resources dedicated by States to deal with the Commission. As far as the Commission can ascertain, States have similar numbers of treasury officers dealing with Commission matters. On a per</w:t>
      </w:r>
      <w:r w:rsidR="00F71663">
        <w:t> </w:t>
      </w:r>
      <w:r w:rsidRPr="003230B1">
        <w:t>capita basis, smaller States face a greater financial burden.</w:t>
      </w:r>
    </w:p>
    <w:bookmarkEnd w:id="463"/>
    <w:p w14:paraId="1AADCE66" w14:textId="77777777" w:rsidR="000765E5" w:rsidRDefault="000765E5" w:rsidP="000765E5">
      <w:pPr>
        <w:pStyle w:val="Heading3"/>
      </w:pPr>
      <w:r>
        <w:t>Assessment approach and calculations</w:t>
      </w:r>
    </w:p>
    <w:p w14:paraId="18D3F228" w14:textId="37FE0B68" w:rsidR="000765E5" w:rsidRPr="002C303B" w:rsidRDefault="000765E5" w:rsidP="00F47EC7">
      <w:pPr>
        <w:pStyle w:val="CGCParaNumber"/>
      </w:pPr>
      <w:r>
        <w:fldChar w:fldCharType="begin"/>
      </w:r>
      <w:r>
        <w:instrText xml:space="preserve"> REF _Ref31352176 \h </w:instrText>
      </w:r>
      <w:r>
        <w:fldChar w:fldCharType="separate"/>
      </w:r>
      <w:r w:rsidR="007F721A">
        <w:t>Table 26-</w:t>
      </w:r>
      <w:r w:rsidR="007F721A">
        <w:rPr>
          <w:noProof/>
        </w:rPr>
        <w:t>1</w:t>
      </w:r>
      <w:r>
        <w:fldChar w:fldCharType="end"/>
      </w:r>
      <w:r>
        <w:t xml:space="preserve"> shows the administrative scale assessed expenses for 2018</w:t>
      </w:r>
      <w:r>
        <w:noBreakHyphen/>
        <w:t>19 for each State by category. The total administrative scale expenses are just over 1% of total State operating expenses.</w:t>
      </w:r>
    </w:p>
    <w:p w14:paraId="15FD9D82" w14:textId="5271CAA6" w:rsidR="000765E5" w:rsidRDefault="000765E5" w:rsidP="000765E5">
      <w:pPr>
        <w:pStyle w:val="Caption"/>
      </w:pPr>
      <w:bookmarkStart w:id="471" w:name="_Ref31352176"/>
      <w:r>
        <w:t>Table 26-</w:t>
      </w:r>
      <w:r w:rsidR="00B91EF5">
        <w:fldChar w:fldCharType="begin"/>
      </w:r>
      <w:r w:rsidR="00B91EF5">
        <w:instrText xml:space="preserve"> SEQ Table </w:instrText>
      </w:r>
      <w:r w:rsidR="00863475">
        <w:instrText xml:space="preserve">\r1 </w:instrText>
      </w:r>
      <w:r w:rsidR="00B91EF5">
        <w:instrText xml:space="preserve">\* ARABIC </w:instrText>
      </w:r>
      <w:r w:rsidR="00B91EF5">
        <w:fldChar w:fldCharType="separate"/>
      </w:r>
      <w:r w:rsidR="007F721A">
        <w:rPr>
          <w:noProof/>
        </w:rPr>
        <w:t>1</w:t>
      </w:r>
      <w:r w:rsidR="00B91EF5">
        <w:fldChar w:fldCharType="end"/>
      </w:r>
      <w:bookmarkEnd w:id="471"/>
      <w:r>
        <w:tab/>
        <w:t>Administrative scale assessed expenses</w:t>
      </w:r>
      <w:r w:rsidR="00CF69C7">
        <w:t xml:space="preserve"> by State</w:t>
      </w:r>
      <w:r>
        <w:t>, 2018-19</w:t>
      </w:r>
    </w:p>
    <w:tbl>
      <w:tblPr>
        <w:tblW w:w="9020" w:type="dxa"/>
        <w:tblCellMar>
          <w:left w:w="0" w:type="dxa"/>
          <w:right w:w="28" w:type="dxa"/>
        </w:tblCellMar>
        <w:tblLook w:val="04A0" w:firstRow="1" w:lastRow="0" w:firstColumn="1" w:lastColumn="0" w:noHBand="0" w:noVBand="1"/>
      </w:tblPr>
      <w:tblGrid>
        <w:gridCol w:w="2464"/>
        <w:gridCol w:w="724"/>
        <w:gridCol w:w="724"/>
        <w:gridCol w:w="724"/>
        <w:gridCol w:w="724"/>
        <w:gridCol w:w="724"/>
        <w:gridCol w:w="724"/>
        <w:gridCol w:w="724"/>
        <w:gridCol w:w="724"/>
        <w:gridCol w:w="844"/>
      </w:tblGrid>
      <w:tr w:rsidR="000765E5" w:rsidRPr="00454A6F" w14:paraId="2CA9C010" w14:textId="77777777" w:rsidTr="00174DEB">
        <w:trPr>
          <w:trHeight w:val="383"/>
        </w:trPr>
        <w:tc>
          <w:tcPr>
            <w:tcW w:w="2456" w:type="dxa"/>
            <w:tcBorders>
              <w:top w:val="single" w:sz="4" w:space="0" w:color="ADD6EA"/>
              <w:left w:val="nil"/>
              <w:bottom w:val="single" w:sz="4" w:space="0" w:color="ADD6EA"/>
              <w:right w:val="nil"/>
            </w:tcBorders>
            <w:shd w:val="clear" w:color="000000" w:fill="006991"/>
            <w:noWrap/>
            <w:vAlign w:val="center"/>
            <w:hideMark/>
          </w:tcPr>
          <w:p w14:paraId="3D9047D0"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4A6F">
              <w:rPr>
                <w:rFonts w:ascii="Open Sans SemiBold" w:eastAsia="Times New Roman" w:hAnsi="Open Sans SemiBold" w:cs="Open Sans SemiBold"/>
                <w:color w:val="FFFFFF"/>
                <w:sz w:val="16"/>
                <w:szCs w:val="16"/>
                <w:lang w:eastAsia="en-AU"/>
              </w:rPr>
              <w:t> </w:t>
            </w:r>
          </w:p>
        </w:tc>
        <w:tc>
          <w:tcPr>
            <w:tcW w:w="716" w:type="dxa"/>
            <w:tcBorders>
              <w:top w:val="single" w:sz="4" w:space="0" w:color="ADD6EA"/>
              <w:left w:val="nil"/>
              <w:bottom w:val="single" w:sz="4" w:space="0" w:color="ADD6EA"/>
              <w:right w:val="nil"/>
            </w:tcBorders>
            <w:shd w:val="clear" w:color="000000" w:fill="006991"/>
            <w:noWrap/>
            <w:vAlign w:val="center"/>
            <w:hideMark/>
          </w:tcPr>
          <w:p w14:paraId="631FCA41"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4A6F">
              <w:rPr>
                <w:rFonts w:ascii="Open Sans SemiBold" w:eastAsia="Times New Roman" w:hAnsi="Open Sans SemiBold" w:cs="Open Sans SemiBold"/>
                <w:color w:val="FFFFFF"/>
                <w:sz w:val="16"/>
                <w:szCs w:val="16"/>
                <w:lang w:eastAsia="en-AU"/>
              </w:rPr>
              <w:t>NSW</w:t>
            </w:r>
          </w:p>
        </w:tc>
        <w:tc>
          <w:tcPr>
            <w:tcW w:w="716" w:type="dxa"/>
            <w:tcBorders>
              <w:top w:val="single" w:sz="4" w:space="0" w:color="ADD6EA"/>
              <w:left w:val="nil"/>
              <w:bottom w:val="single" w:sz="4" w:space="0" w:color="ADD6EA"/>
              <w:right w:val="nil"/>
            </w:tcBorders>
            <w:shd w:val="clear" w:color="000000" w:fill="006991"/>
            <w:noWrap/>
            <w:vAlign w:val="center"/>
            <w:hideMark/>
          </w:tcPr>
          <w:p w14:paraId="559F1BB2"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4A6F">
              <w:rPr>
                <w:rFonts w:ascii="Open Sans SemiBold" w:eastAsia="Times New Roman" w:hAnsi="Open Sans SemiBold" w:cs="Open Sans SemiBold"/>
                <w:color w:val="FFFFFF"/>
                <w:sz w:val="16"/>
                <w:szCs w:val="16"/>
                <w:lang w:eastAsia="en-AU"/>
              </w:rPr>
              <w:t>Vic</w:t>
            </w:r>
          </w:p>
        </w:tc>
        <w:tc>
          <w:tcPr>
            <w:tcW w:w="716" w:type="dxa"/>
            <w:tcBorders>
              <w:top w:val="single" w:sz="4" w:space="0" w:color="ADD6EA"/>
              <w:left w:val="nil"/>
              <w:bottom w:val="single" w:sz="4" w:space="0" w:color="ADD6EA"/>
              <w:right w:val="nil"/>
            </w:tcBorders>
            <w:shd w:val="clear" w:color="000000" w:fill="006991"/>
            <w:noWrap/>
            <w:vAlign w:val="center"/>
            <w:hideMark/>
          </w:tcPr>
          <w:p w14:paraId="53F64DB6"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4A6F">
              <w:rPr>
                <w:rFonts w:ascii="Open Sans SemiBold" w:eastAsia="Times New Roman" w:hAnsi="Open Sans SemiBold" w:cs="Open Sans SemiBold"/>
                <w:color w:val="FFFFFF"/>
                <w:sz w:val="16"/>
                <w:szCs w:val="16"/>
                <w:lang w:eastAsia="en-AU"/>
              </w:rPr>
              <w:t>Qld</w:t>
            </w:r>
          </w:p>
        </w:tc>
        <w:tc>
          <w:tcPr>
            <w:tcW w:w="716" w:type="dxa"/>
            <w:tcBorders>
              <w:top w:val="single" w:sz="4" w:space="0" w:color="ADD6EA"/>
              <w:left w:val="nil"/>
              <w:bottom w:val="single" w:sz="4" w:space="0" w:color="ADD6EA"/>
              <w:right w:val="nil"/>
            </w:tcBorders>
            <w:shd w:val="clear" w:color="000000" w:fill="006991"/>
            <w:noWrap/>
            <w:vAlign w:val="center"/>
            <w:hideMark/>
          </w:tcPr>
          <w:p w14:paraId="2B1014FD"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4A6F">
              <w:rPr>
                <w:rFonts w:ascii="Open Sans SemiBold" w:eastAsia="Times New Roman" w:hAnsi="Open Sans SemiBold" w:cs="Open Sans SemiBold"/>
                <w:color w:val="FFFFFF"/>
                <w:sz w:val="16"/>
                <w:szCs w:val="16"/>
                <w:lang w:eastAsia="en-AU"/>
              </w:rPr>
              <w:t>WA</w:t>
            </w:r>
          </w:p>
        </w:tc>
        <w:tc>
          <w:tcPr>
            <w:tcW w:w="716" w:type="dxa"/>
            <w:tcBorders>
              <w:top w:val="single" w:sz="4" w:space="0" w:color="ADD6EA"/>
              <w:left w:val="nil"/>
              <w:bottom w:val="single" w:sz="4" w:space="0" w:color="ADD6EA"/>
              <w:right w:val="nil"/>
            </w:tcBorders>
            <w:shd w:val="clear" w:color="000000" w:fill="006991"/>
            <w:noWrap/>
            <w:vAlign w:val="center"/>
            <w:hideMark/>
          </w:tcPr>
          <w:p w14:paraId="2301E788"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4A6F">
              <w:rPr>
                <w:rFonts w:ascii="Open Sans SemiBold" w:eastAsia="Times New Roman" w:hAnsi="Open Sans SemiBold" w:cs="Open Sans SemiBold"/>
                <w:color w:val="FFFFFF"/>
                <w:sz w:val="16"/>
                <w:szCs w:val="16"/>
                <w:lang w:eastAsia="en-AU"/>
              </w:rPr>
              <w:t>SA</w:t>
            </w:r>
          </w:p>
        </w:tc>
        <w:tc>
          <w:tcPr>
            <w:tcW w:w="716" w:type="dxa"/>
            <w:tcBorders>
              <w:top w:val="single" w:sz="4" w:space="0" w:color="ADD6EA"/>
              <w:left w:val="nil"/>
              <w:bottom w:val="single" w:sz="4" w:space="0" w:color="ADD6EA"/>
              <w:right w:val="nil"/>
            </w:tcBorders>
            <w:shd w:val="clear" w:color="000000" w:fill="006991"/>
            <w:noWrap/>
            <w:vAlign w:val="center"/>
            <w:hideMark/>
          </w:tcPr>
          <w:p w14:paraId="1B1C1A09"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4A6F">
              <w:rPr>
                <w:rFonts w:ascii="Open Sans SemiBold" w:eastAsia="Times New Roman" w:hAnsi="Open Sans SemiBold" w:cs="Open Sans SemiBold"/>
                <w:color w:val="FFFFFF"/>
                <w:sz w:val="16"/>
                <w:szCs w:val="16"/>
                <w:lang w:eastAsia="en-AU"/>
              </w:rPr>
              <w:t>Tas</w:t>
            </w:r>
          </w:p>
        </w:tc>
        <w:tc>
          <w:tcPr>
            <w:tcW w:w="716" w:type="dxa"/>
            <w:tcBorders>
              <w:top w:val="single" w:sz="4" w:space="0" w:color="ADD6EA"/>
              <w:left w:val="nil"/>
              <w:bottom w:val="single" w:sz="4" w:space="0" w:color="ADD6EA"/>
              <w:right w:val="nil"/>
            </w:tcBorders>
            <w:shd w:val="clear" w:color="000000" w:fill="006991"/>
            <w:noWrap/>
            <w:vAlign w:val="center"/>
            <w:hideMark/>
          </w:tcPr>
          <w:p w14:paraId="201F85A4"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4A6F">
              <w:rPr>
                <w:rFonts w:ascii="Open Sans SemiBold" w:eastAsia="Times New Roman" w:hAnsi="Open Sans SemiBold" w:cs="Open Sans SemiBold"/>
                <w:color w:val="FFFFFF"/>
                <w:sz w:val="16"/>
                <w:szCs w:val="16"/>
                <w:lang w:eastAsia="en-AU"/>
              </w:rPr>
              <w:t>ACT</w:t>
            </w:r>
          </w:p>
        </w:tc>
        <w:tc>
          <w:tcPr>
            <w:tcW w:w="716" w:type="dxa"/>
            <w:tcBorders>
              <w:top w:val="single" w:sz="4" w:space="0" w:color="ADD6EA"/>
              <w:left w:val="nil"/>
              <w:bottom w:val="single" w:sz="4" w:space="0" w:color="ADD6EA"/>
              <w:right w:val="nil"/>
            </w:tcBorders>
            <w:shd w:val="clear" w:color="000000" w:fill="006991"/>
            <w:noWrap/>
            <w:vAlign w:val="center"/>
            <w:hideMark/>
          </w:tcPr>
          <w:p w14:paraId="7456AB28"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4A6F">
              <w:rPr>
                <w:rFonts w:ascii="Open Sans SemiBold" w:eastAsia="Times New Roman" w:hAnsi="Open Sans SemiBold" w:cs="Open Sans SemiBold"/>
                <w:color w:val="FFFFFF"/>
                <w:sz w:val="16"/>
                <w:szCs w:val="16"/>
                <w:lang w:eastAsia="en-AU"/>
              </w:rPr>
              <w:t>NT</w:t>
            </w:r>
          </w:p>
        </w:tc>
        <w:tc>
          <w:tcPr>
            <w:tcW w:w="836" w:type="dxa"/>
            <w:tcBorders>
              <w:top w:val="single" w:sz="4" w:space="0" w:color="ADD6EA"/>
              <w:left w:val="nil"/>
              <w:bottom w:val="single" w:sz="4" w:space="0" w:color="ADD6EA"/>
              <w:right w:val="nil"/>
            </w:tcBorders>
            <w:shd w:val="clear" w:color="000000" w:fill="006991"/>
            <w:noWrap/>
            <w:vAlign w:val="center"/>
            <w:hideMark/>
          </w:tcPr>
          <w:p w14:paraId="3BF121C8"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54A6F">
              <w:rPr>
                <w:rFonts w:ascii="Open Sans SemiBold" w:eastAsia="Times New Roman" w:hAnsi="Open Sans SemiBold" w:cs="Open Sans SemiBold"/>
                <w:color w:val="FFFFFF"/>
                <w:sz w:val="16"/>
                <w:szCs w:val="16"/>
                <w:lang w:eastAsia="en-AU"/>
              </w:rPr>
              <w:t>Total</w:t>
            </w:r>
          </w:p>
        </w:tc>
      </w:tr>
      <w:tr w:rsidR="000765E5" w:rsidRPr="00454A6F" w14:paraId="216485EC" w14:textId="77777777" w:rsidTr="00174DEB">
        <w:trPr>
          <w:trHeight w:val="263"/>
        </w:trPr>
        <w:tc>
          <w:tcPr>
            <w:tcW w:w="2456" w:type="dxa"/>
            <w:tcBorders>
              <w:top w:val="nil"/>
              <w:left w:val="nil"/>
              <w:bottom w:val="single" w:sz="4" w:space="0" w:color="ADD6EA"/>
              <w:right w:val="nil"/>
            </w:tcBorders>
            <w:shd w:val="clear" w:color="000000" w:fill="B6D5E4"/>
            <w:noWrap/>
            <w:vAlign w:val="center"/>
            <w:hideMark/>
          </w:tcPr>
          <w:p w14:paraId="0739E774"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 </w:t>
            </w:r>
          </w:p>
        </w:tc>
        <w:tc>
          <w:tcPr>
            <w:tcW w:w="716" w:type="dxa"/>
            <w:tcBorders>
              <w:top w:val="nil"/>
              <w:left w:val="nil"/>
              <w:bottom w:val="single" w:sz="4" w:space="0" w:color="ADD6EA"/>
              <w:right w:val="nil"/>
            </w:tcBorders>
            <w:shd w:val="clear" w:color="000000" w:fill="B6D5E4"/>
            <w:noWrap/>
            <w:vAlign w:val="center"/>
            <w:hideMark/>
          </w:tcPr>
          <w:p w14:paraId="5371051C"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$m</w:t>
            </w:r>
          </w:p>
        </w:tc>
        <w:tc>
          <w:tcPr>
            <w:tcW w:w="716" w:type="dxa"/>
            <w:tcBorders>
              <w:top w:val="nil"/>
              <w:left w:val="nil"/>
              <w:bottom w:val="single" w:sz="4" w:space="0" w:color="ADD6EA"/>
              <w:right w:val="nil"/>
            </w:tcBorders>
            <w:shd w:val="clear" w:color="000000" w:fill="B6D5E4"/>
            <w:noWrap/>
            <w:vAlign w:val="center"/>
            <w:hideMark/>
          </w:tcPr>
          <w:p w14:paraId="31DDF750"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$m</w:t>
            </w:r>
          </w:p>
        </w:tc>
        <w:tc>
          <w:tcPr>
            <w:tcW w:w="716" w:type="dxa"/>
            <w:tcBorders>
              <w:top w:val="nil"/>
              <w:left w:val="nil"/>
              <w:bottom w:val="single" w:sz="4" w:space="0" w:color="ADD6EA"/>
              <w:right w:val="nil"/>
            </w:tcBorders>
            <w:shd w:val="clear" w:color="000000" w:fill="B6D5E4"/>
            <w:noWrap/>
            <w:vAlign w:val="center"/>
            <w:hideMark/>
          </w:tcPr>
          <w:p w14:paraId="2B65805F"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$m</w:t>
            </w:r>
          </w:p>
        </w:tc>
        <w:tc>
          <w:tcPr>
            <w:tcW w:w="716" w:type="dxa"/>
            <w:tcBorders>
              <w:top w:val="nil"/>
              <w:left w:val="nil"/>
              <w:bottom w:val="single" w:sz="4" w:space="0" w:color="ADD6EA"/>
              <w:right w:val="nil"/>
            </w:tcBorders>
            <w:shd w:val="clear" w:color="000000" w:fill="B6D5E4"/>
            <w:noWrap/>
            <w:vAlign w:val="center"/>
            <w:hideMark/>
          </w:tcPr>
          <w:p w14:paraId="6FFA7AD9"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$m</w:t>
            </w:r>
          </w:p>
        </w:tc>
        <w:tc>
          <w:tcPr>
            <w:tcW w:w="716" w:type="dxa"/>
            <w:tcBorders>
              <w:top w:val="nil"/>
              <w:left w:val="nil"/>
              <w:bottom w:val="single" w:sz="4" w:space="0" w:color="ADD6EA"/>
              <w:right w:val="nil"/>
            </w:tcBorders>
            <w:shd w:val="clear" w:color="000000" w:fill="B6D5E4"/>
            <w:noWrap/>
            <w:vAlign w:val="center"/>
            <w:hideMark/>
          </w:tcPr>
          <w:p w14:paraId="7747DBD4"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$m</w:t>
            </w:r>
          </w:p>
        </w:tc>
        <w:tc>
          <w:tcPr>
            <w:tcW w:w="716" w:type="dxa"/>
            <w:tcBorders>
              <w:top w:val="nil"/>
              <w:left w:val="nil"/>
              <w:bottom w:val="single" w:sz="4" w:space="0" w:color="ADD6EA"/>
              <w:right w:val="nil"/>
            </w:tcBorders>
            <w:shd w:val="clear" w:color="000000" w:fill="B6D5E4"/>
            <w:noWrap/>
            <w:vAlign w:val="center"/>
            <w:hideMark/>
          </w:tcPr>
          <w:p w14:paraId="1AC93DBE"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$m</w:t>
            </w:r>
          </w:p>
        </w:tc>
        <w:tc>
          <w:tcPr>
            <w:tcW w:w="716" w:type="dxa"/>
            <w:tcBorders>
              <w:top w:val="nil"/>
              <w:left w:val="nil"/>
              <w:bottom w:val="single" w:sz="4" w:space="0" w:color="ADD6EA"/>
              <w:right w:val="nil"/>
            </w:tcBorders>
            <w:shd w:val="clear" w:color="000000" w:fill="B6D5E4"/>
            <w:noWrap/>
            <w:vAlign w:val="center"/>
            <w:hideMark/>
          </w:tcPr>
          <w:p w14:paraId="355260E4"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$m</w:t>
            </w:r>
          </w:p>
        </w:tc>
        <w:tc>
          <w:tcPr>
            <w:tcW w:w="716" w:type="dxa"/>
            <w:tcBorders>
              <w:top w:val="nil"/>
              <w:left w:val="nil"/>
              <w:bottom w:val="single" w:sz="4" w:space="0" w:color="ADD6EA"/>
              <w:right w:val="nil"/>
            </w:tcBorders>
            <w:shd w:val="clear" w:color="000000" w:fill="B6D5E4"/>
            <w:noWrap/>
            <w:vAlign w:val="center"/>
            <w:hideMark/>
          </w:tcPr>
          <w:p w14:paraId="345BCD84"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$m</w:t>
            </w:r>
          </w:p>
        </w:tc>
        <w:tc>
          <w:tcPr>
            <w:tcW w:w="836" w:type="dxa"/>
            <w:tcBorders>
              <w:top w:val="nil"/>
              <w:left w:val="nil"/>
              <w:bottom w:val="single" w:sz="4" w:space="0" w:color="ADD6EA"/>
              <w:right w:val="nil"/>
            </w:tcBorders>
            <w:shd w:val="clear" w:color="000000" w:fill="B6D5E4"/>
            <w:noWrap/>
            <w:vAlign w:val="center"/>
            <w:hideMark/>
          </w:tcPr>
          <w:p w14:paraId="40E80DC1"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$m</w:t>
            </w:r>
          </w:p>
        </w:tc>
      </w:tr>
      <w:tr w:rsidR="000765E5" w:rsidRPr="00454A6F" w14:paraId="71507FEB" w14:textId="77777777" w:rsidTr="00174DEB">
        <w:trPr>
          <w:trHeight w:val="315"/>
        </w:trPr>
        <w:tc>
          <w:tcPr>
            <w:tcW w:w="2456" w:type="dxa"/>
            <w:tcBorders>
              <w:top w:val="nil"/>
              <w:left w:val="nil"/>
              <w:bottom w:val="single" w:sz="4" w:space="0" w:color="ADD6EA"/>
              <w:right w:val="nil"/>
            </w:tcBorders>
            <w:shd w:val="clear" w:color="auto" w:fill="auto"/>
            <w:noWrap/>
            <w:vAlign w:val="bottom"/>
            <w:hideMark/>
          </w:tcPr>
          <w:p w14:paraId="28727C49" w14:textId="77777777" w:rsidR="000765E5" w:rsidRPr="00454A6F" w:rsidRDefault="000765E5" w:rsidP="004D65FE">
            <w:pPr>
              <w:tabs>
                <w:tab w:val="clear" w:pos="567"/>
              </w:tabs>
              <w:spacing w:before="0" w:line="240" w:lineRule="auto"/>
              <w:rPr>
                <w:rFonts w:eastAsia="Times New Roman" w:cs="Open Sans Light"/>
                <w:sz w:val="16"/>
                <w:szCs w:val="16"/>
                <w:lang w:eastAsia="en-AU"/>
              </w:rPr>
            </w:pPr>
            <w:r w:rsidRPr="00454A6F">
              <w:rPr>
                <w:rFonts w:eastAsia="Times New Roman" w:cs="Open Sans Light"/>
                <w:sz w:val="16"/>
                <w:szCs w:val="16"/>
                <w:lang w:eastAsia="en-AU"/>
              </w:rPr>
              <w:t>Schools education</w:t>
            </w:r>
          </w:p>
        </w:tc>
        <w:tc>
          <w:tcPr>
            <w:tcW w:w="716" w:type="dxa"/>
            <w:tcBorders>
              <w:top w:val="nil"/>
              <w:left w:val="nil"/>
              <w:bottom w:val="single" w:sz="4" w:space="0" w:color="ADD6EA"/>
              <w:right w:val="nil"/>
            </w:tcBorders>
            <w:shd w:val="clear" w:color="auto" w:fill="auto"/>
            <w:noWrap/>
            <w:vAlign w:val="bottom"/>
            <w:hideMark/>
          </w:tcPr>
          <w:p w14:paraId="4B16D649"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21</w:t>
            </w:r>
          </w:p>
        </w:tc>
        <w:tc>
          <w:tcPr>
            <w:tcW w:w="716" w:type="dxa"/>
            <w:tcBorders>
              <w:top w:val="nil"/>
              <w:left w:val="nil"/>
              <w:bottom w:val="single" w:sz="4" w:space="0" w:color="ADD6EA"/>
              <w:right w:val="nil"/>
            </w:tcBorders>
            <w:shd w:val="clear" w:color="auto" w:fill="auto"/>
            <w:noWrap/>
            <w:vAlign w:val="bottom"/>
            <w:hideMark/>
          </w:tcPr>
          <w:p w14:paraId="46277939"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21</w:t>
            </w:r>
          </w:p>
        </w:tc>
        <w:tc>
          <w:tcPr>
            <w:tcW w:w="716" w:type="dxa"/>
            <w:tcBorders>
              <w:top w:val="nil"/>
              <w:left w:val="nil"/>
              <w:bottom w:val="single" w:sz="4" w:space="0" w:color="ADD6EA"/>
              <w:right w:val="nil"/>
            </w:tcBorders>
            <w:shd w:val="clear" w:color="auto" w:fill="auto"/>
            <w:noWrap/>
            <w:vAlign w:val="bottom"/>
            <w:hideMark/>
          </w:tcPr>
          <w:p w14:paraId="73625D37"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21</w:t>
            </w:r>
          </w:p>
        </w:tc>
        <w:tc>
          <w:tcPr>
            <w:tcW w:w="716" w:type="dxa"/>
            <w:tcBorders>
              <w:top w:val="nil"/>
              <w:left w:val="nil"/>
              <w:bottom w:val="single" w:sz="4" w:space="0" w:color="ADD6EA"/>
              <w:right w:val="nil"/>
            </w:tcBorders>
            <w:shd w:val="clear" w:color="auto" w:fill="auto"/>
            <w:noWrap/>
            <w:vAlign w:val="bottom"/>
            <w:hideMark/>
          </w:tcPr>
          <w:p w14:paraId="1F9EFB32"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21</w:t>
            </w:r>
          </w:p>
        </w:tc>
        <w:tc>
          <w:tcPr>
            <w:tcW w:w="716" w:type="dxa"/>
            <w:tcBorders>
              <w:top w:val="nil"/>
              <w:left w:val="nil"/>
              <w:bottom w:val="single" w:sz="4" w:space="0" w:color="ADD6EA"/>
              <w:right w:val="nil"/>
            </w:tcBorders>
            <w:shd w:val="clear" w:color="auto" w:fill="auto"/>
            <w:noWrap/>
            <w:vAlign w:val="bottom"/>
            <w:hideMark/>
          </w:tcPr>
          <w:p w14:paraId="31177C84"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21</w:t>
            </w:r>
          </w:p>
        </w:tc>
        <w:tc>
          <w:tcPr>
            <w:tcW w:w="716" w:type="dxa"/>
            <w:tcBorders>
              <w:top w:val="nil"/>
              <w:left w:val="nil"/>
              <w:bottom w:val="single" w:sz="4" w:space="0" w:color="ADD6EA"/>
              <w:right w:val="nil"/>
            </w:tcBorders>
            <w:shd w:val="clear" w:color="auto" w:fill="auto"/>
            <w:noWrap/>
            <w:vAlign w:val="bottom"/>
            <w:hideMark/>
          </w:tcPr>
          <w:p w14:paraId="6D109523"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21</w:t>
            </w:r>
          </w:p>
        </w:tc>
        <w:tc>
          <w:tcPr>
            <w:tcW w:w="716" w:type="dxa"/>
            <w:tcBorders>
              <w:top w:val="nil"/>
              <w:left w:val="nil"/>
              <w:bottom w:val="single" w:sz="4" w:space="0" w:color="ADD6EA"/>
              <w:right w:val="nil"/>
            </w:tcBorders>
            <w:shd w:val="clear" w:color="auto" w:fill="auto"/>
            <w:noWrap/>
            <w:vAlign w:val="bottom"/>
            <w:hideMark/>
          </w:tcPr>
          <w:p w14:paraId="303660F8"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21</w:t>
            </w:r>
          </w:p>
        </w:tc>
        <w:tc>
          <w:tcPr>
            <w:tcW w:w="716" w:type="dxa"/>
            <w:tcBorders>
              <w:top w:val="nil"/>
              <w:left w:val="nil"/>
              <w:bottom w:val="single" w:sz="4" w:space="0" w:color="ADD6EA"/>
              <w:right w:val="nil"/>
            </w:tcBorders>
            <w:shd w:val="clear" w:color="auto" w:fill="auto"/>
            <w:noWrap/>
            <w:vAlign w:val="bottom"/>
            <w:hideMark/>
          </w:tcPr>
          <w:p w14:paraId="3132CA4F"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21</w:t>
            </w:r>
          </w:p>
        </w:tc>
        <w:tc>
          <w:tcPr>
            <w:tcW w:w="836" w:type="dxa"/>
            <w:tcBorders>
              <w:top w:val="nil"/>
              <w:left w:val="nil"/>
              <w:bottom w:val="single" w:sz="4" w:space="0" w:color="ADD6EA"/>
              <w:right w:val="nil"/>
            </w:tcBorders>
            <w:shd w:val="clear" w:color="auto" w:fill="auto"/>
            <w:noWrap/>
            <w:vAlign w:val="bottom"/>
            <w:hideMark/>
          </w:tcPr>
          <w:p w14:paraId="048805BB"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169</w:t>
            </w:r>
          </w:p>
        </w:tc>
      </w:tr>
      <w:tr w:rsidR="000765E5" w:rsidRPr="00454A6F" w14:paraId="69E4D08A" w14:textId="77777777" w:rsidTr="00174DEB">
        <w:trPr>
          <w:trHeight w:val="323"/>
        </w:trPr>
        <w:tc>
          <w:tcPr>
            <w:tcW w:w="2456" w:type="dxa"/>
            <w:tcBorders>
              <w:top w:val="nil"/>
              <w:left w:val="nil"/>
              <w:bottom w:val="single" w:sz="4" w:space="0" w:color="ADD6EA"/>
              <w:right w:val="nil"/>
            </w:tcBorders>
            <w:shd w:val="clear" w:color="auto" w:fill="auto"/>
            <w:noWrap/>
            <w:vAlign w:val="bottom"/>
            <w:hideMark/>
          </w:tcPr>
          <w:p w14:paraId="384841EC" w14:textId="77777777" w:rsidR="000765E5" w:rsidRPr="00454A6F" w:rsidRDefault="000765E5" w:rsidP="004D65FE">
            <w:pPr>
              <w:tabs>
                <w:tab w:val="clear" w:pos="567"/>
              </w:tabs>
              <w:spacing w:before="0" w:line="240" w:lineRule="auto"/>
              <w:rPr>
                <w:rFonts w:eastAsia="Times New Roman" w:cs="Open Sans Light"/>
                <w:sz w:val="16"/>
                <w:szCs w:val="16"/>
                <w:lang w:eastAsia="en-AU"/>
              </w:rPr>
            </w:pPr>
            <w:r w:rsidRPr="00454A6F">
              <w:rPr>
                <w:rFonts w:eastAsia="Times New Roman" w:cs="Open Sans Light"/>
                <w:sz w:val="16"/>
                <w:szCs w:val="16"/>
                <w:lang w:eastAsia="en-AU"/>
              </w:rPr>
              <w:t>Post-secondary education</w:t>
            </w:r>
          </w:p>
        </w:tc>
        <w:tc>
          <w:tcPr>
            <w:tcW w:w="716" w:type="dxa"/>
            <w:tcBorders>
              <w:top w:val="nil"/>
              <w:left w:val="nil"/>
              <w:bottom w:val="single" w:sz="4" w:space="0" w:color="ADD6EA"/>
              <w:right w:val="nil"/>
            </w:tcBorders>
            <w:shd w:val="clear" w:color="auto" w:fill="auto"/>
            <w:noWrap/>
            <w:vAlign w:val="bottom"/>
            <w:hideMark/>
          </w:tcPr>
          <w:p w14:paraId="4715D5C6"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11</w:t>
            </w:r>
          </w:p>
        </w:tc>
        <w:tc>
          <w:tcPr>
            <w:tcW w:w="716" w:type="dxa"/>
            <w:tcBorders>
              <w:top w:val="nil"/>
              <w:left w:val="nil"/>
              <w:bottom w:val="single" w:sz="4" w:space="0" w:color="ADD6EA"/>
              <w:right w:val="nil"/>
            </w:tcBorders>
            <w:shd w:val="clear" w:color="auto" w:fill="auto"/>
            <w:noWrap/>
            <w:vAlign w:val="bottom"/>
            <w:hideMark/>
          </w:tcPr>
          <w:p w14:paraId="2BB6DB02"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11</w:t>
            </w:r>
          </w:p>
        </w:tc>
        <w:tc>
          <w:tcPr>
            <w:tcW w:w="716" w:type="dxa"/>
            <w:tcBorders>
              <w:top w:val="nil"/>
              <w:left w:val="nil"/>
              <w:bottom w:val="single" w:sz="4" w:space="0" w:color="ADD6EA"/>
              <w:right w:val="nil"/>
            </w:tcBorders>
            <w:shd w:val="clear" w:color="auto" w:fill="auto"/>
            <w:noWrap/>
            <w:vAlign w:val="bottom"/>
            <w:hideMark/>
          </w:tcPr>
          <w:p w14:paraId="20FC998B"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11</w:t>
            </w:r>
          </w:p>
        </w:tc>
        <w:tc>
          <w:tcPr>
            <w:tcW w:w="716" w:type="dxa"/>
            <w:tcBorders>
              <w:top w:val="nil"/>
              <w:left w:val="nil"/>
              <w:bottom w:val="single" w:sz="4" w:space="0" w:color="ADD6EA"/>
              <w:right w:val="nil"/>
            </w:tcBorders>
            <w:shd w:val="clear" w:color="auto" w:fill="auto"/>
            <w:noWrap/>
            <w:vAlign w:val="bottom"/>
            <w:hideMark/>
          </w:tcPr>
          <w:p w14:paraId="159B3DB8"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11</w:t>
            </w:r>
          </w:p>
        </w:tc>
        <w:tc>
          <w:tcPr>
            <w:tcW w:w="716" w:type="dxa"/>
            <w:tcBorders>
              <w:top w:val="nil"/>
              <w:left w:val="nil"/>
              <w:bottom w:val="single" w:sz="4" w:space="0" w:color="ADD6EA"/>
              <w:right w:val="nil"/>
            </w:tcBorders>
            <w:shd w:val="clear" w:color="auto" w:fill="auto"/>
            <w:noWrap/>
            <w:vAlign w:val="bottom"/>
            <w:hideMark/>
          </w:tcPr>
          <w:p w14:paraId="7F9B759C"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11</w:t>
            </w:r>
          </w:p>
        </w:tc>
        <w:tc>
          <w:tcPr>
            <w:tcW w:w="716" w:type="dxa"/>
            <w:tcBorders>
              <w:top w:val="nil"/>
              <w:left w:val="nil"/>
              <w:bottom w:val="single" w:sz="4" w:space="0" w:color="ADD6EA"/>
              <w:right w:val="nil"/>
            </w:tcBorders>
            <w:shd w:val="clear" w:color="auto" w:fill="auto"/>
            <w:noWrap/>
            <w:vAlign w:val="bottom"/>
            <w:hideMark/>
          </w:tcPr>
          <w:p w14:paraId="09FBE39A"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11</w:t>
            </w:r>
          </w:p>
        </w:tc>
        <w:tc>
          <w:tcPr>
            <w:tcW w:w="716" w:type="dxa"/>
            <w:tcBorders>
              <w:top w:val="nil"/>
              <w:left w:val="nil"/>
              <w:bottom w:val="single" w:sz="4" w:space="0" w:color="ADD6EA"/>
              <w:right w:val="nil"/>
            </w:tcBorders>
            <w:shd w:val="clear" w:color="auto" w:fill="auto"/>
            <w:noWrap/>
            <w:vAlign w:val="bottom"/>
            <w:hideMark/>
          </w:tcPr>
          <w:p w14:paraId="1F573D39"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11</w:t>
            </w:r>
          </w:p>
        </w:tc>
        <w:tc>
          <w:tcPr>
            <w:tcW w:w="716" w:type="dxa"/>
            <w:tcBorders>
              <w:top w:val="nil"/>
              <w:left w:val="nil"/>
              <w:bottom w:val="single" w:sz="4" w:space="0" w:color="ADD6EA"/>
              <w:right w:val="nil"/>
            </w:tcBorders>
            <w:shd w:val="clear" w:color="auto" w:fill="auto"/>
            <w:noWrap/>
            <w:vAlign w:val="bottom"/>
            <w:hideMark/>
          </w:tcPr>
          <w:p w14:paraId="70D488F9"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11</w:t>
            </w:r>
          </w:p>
        </w:tc>
        <w:tc>
          <w:tcPr>
            <w:tcW w:w="836" w:type="dxa"/>
            <w:tcBorders>
              <w:top w:val="nil"/>
              <w:left w:val="nil"/>
              <w:bottom w:val="single" w:sz="4" w:space="0" w:color="ADD6EA"/>
              <w:right w:val="nil"/>
            </w:tcBorders>
            <w:shd w:val="clear" w:color="auto" w:fill="auto"/>
            <w:noWrap/>
            <w:vAlign w:val="bottom"/>
            <w:hideMark/>
          </w:tcPr>
          <w:p w14:paraId="2497AD6C"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90</w:t>
            </w:r>
          </w:p>
        </w:tc>
      </w:tr>
      <w:tr w:rsidR="000765E5" w:rsidRPr="00454A6F" w14:paraId="57F9A502" w14:textId="77777777" w:rsidTr="00174DEB">
        <w:trPr>
          <w:trHeight w:val="315"/>
        </w:trPr>
        <w:tc>
          <w:tcPr>
            <w:tcW w:w="2456" w:type="dxa"/>
            <w:tcBorders>
              <w:top w:val="nil"/>
              <w:left w:val="nil"/>
              <w:bottom w:val="single" w:sz="4" w:space="0" w:color="ADD6EA"/>
              <w:right w:val="nil"/>
            </w:tcBorders>
            <w:shd w:val="clear" w:color="auto" w:fill="auto"/>
            <w:noWrap/>
            <w:vAlign w:val="bottom"/>
            <w:hideMark/>
          </w:tcPr>
          <w:p w14:paraId="0A2122D7" w14:textId="77777777" w:rsidR="000765E5" w:rsidRPr="00454A6F" w:rsidRDefault="000765E5" w:rsidP="004D65FE">
            <w:pPr>
              <w:tabs>
                <w:tab w:val="clear" w:pos="567"/>
              </w:tabs>
              <w:spacing w:before="0" w:line="240" w:lineRule="auto"/>
              <w:rPr>
                <w:rFonts w:eastAsia="Times New Roman" w:cs="Open Sans Light"/>
                <w:sz w:val="16"/>
                <w:szCs w:val="16"/>
                <w:lang w:eastAsia="en-AU"/>
              </w:rPr>
            </w:pPr>
            <w:r w:rsidRPr="00454A6F">
              <w:rPr>
                <w:rFonts w:eastAsia="Times New Roman" w:cs="Open Sans Light"/>
                <w:sz w:val="16"/>
                <w:szCs w:val="16"/>
                <w:lang w:eastAsia="en-AU"/>
              </w:rPr>
              <w:t>Health</w:t>
            </w:r>
          </w:p>
        </w:tc>
        <w:tc>
          <w:tcPr>
            <w:tcW w:w="716" w:type="dxa"/>
            <w:tcBorders>
              <w:top w:val="nil"/>
              <w:left w:val="nil"/>
              <w:bottom w:val="single" w:sz="4" w:space="0" w:color="ADD6EA"/>
              <w:right w:val="nil"/>
            </w:tcBorders>
            <w:shd w:val="clear" w:color="auto" w:fill="auto"/>
            <w:noWrap/>
            <w:vAlign w:val="bottom"/>
            <w:hideMark/>
          </w:tcPr>
          <w:p w14:paraId="34424A61"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40</w:t>
            </w:r>
          </w:p>
        </w:tc>
        <w:tc>
          <w:tcPr>
            <w:tcW w:w="716" w:type="dxa"/>
            <w:tcBorders>
              <w:top w:val="nil"/>
              <w:left w:val="nil"/>
              <w:bottom w:val="single" w:sz="4" w:space="0" w:color="ADD6EA"/>
              <w:right w:val="nil"/>
            </w:tcBorders>
            <w:shd w:val="clear" w:color="auto" w:fill="auto"/>
            <w:noWrap/>
            <w:vAlign w:val="bottom"/>
            <w:hideMark/>
          </w:tcPr>
          <w:p w14:paraId="6E2C2E85"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40</w:t>
            </w:r>
          </w:p>
        </w:tc>
        <w:tc>
          <w:tcPr>
            <w:tcW w:w="716" w:type="dxa"/>
            <w:tcBorders>
              <w:top w:val="nil"/>
              <w:left w:val="nil"/>
              <w:bottom w:val="single" w:sz="4" w:space="0" w:color="ADD6EA"/>
              <w:right w:val="nil"/>
            </w:tcBorders>
            <w:shd w:val="clear" w:color="auto" w:fill="auto"/>
            <w:noWrap/>
            <w:vAlign w:val="bottom"/>
            <w:hideMark/>
          </w:tcPr>
          <w:p w14:paraId="3001A8DE"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40</w:t>
            </w:r>
          </w:p>
        </w:tc>
        <w:tc>
          <w:tcPr>
            <w:tcW w:w="716" w:type="dxa"/>
            <w:tcBorders>
              <w:top w:val="nil"/>
              <w:left w:val="nil"/>
              <w:bottom w:val="single" w:sz="4" w:space="0" w:color="ADD6EA"/>
              <w:right w:val="nil"/>
            </w:tcBorders>
            <w:shd w:val="clear" w:color="auto" w:fill="auto"/>
            <w:noWrap/>
            <w:vAlign w:val="bottom"/>
            <w:hideMark/>
          </w:tcPr>
          <w:p w14:paraId="4AB80C90"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40</w:t>
            </w:r>
          </w:p>
        </w:tc>
        <w:tc>
          <w:tcPr>
            <w:tcW w:w="716" w:type="dxa"/>
            <w:tcBorders>
              <w:top w:val="nil"/>
              <w:left w:val="nil"/>
              <w:bottom w:val="single" w:sz="4" w:space="0" w:color="ADD6EA"/>
              <w:right w:val="nil"/>
            </w:tcBorders>
            <w:shd w:val="clear" w:color="auto" w:fill="auto"/>
            <w:noWrap/>
            <w:vAlign w:val="bottom"/>
            <w:hideMark/>
          </w:tcPr>
          <w:p w14:paraId="11C6C7D5"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40</w:t>
            </w:r>
          </w:p>
        </w:tc>
        <w:tc>
          <w:tcPr>
            <w:tcW w:w="716" w:type="dxa"/>
            <w:tcBorders>
              <w:top w:val="nil"/>
              <w:left w:val="nil"/>
              <w:bottom w:val="single" w:sz="4" w:space="0" w:color="ADD6EA"/>
              <w:right w:val="nil"/>
            </w:tcBorders>
            <w:shd w:val="clear" w:color="auto" w:fill="auto"/>
            <w:noWrap/>
            <w:vAlign w:val="bottom"/>
            <w:hideMark/>
          </w:tcPr>
          <w:p w14:paraId="11ECEFDA"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40</w:t>
            </w:r>
          </w:p>
        </w:tc>
        <w:tc>
          <w:tcPr>
            <w:tcW w:w="716" w:type="dxa"/>
            <w:tcBorders>
              <w:top w:val="nil"/>
              <w:left w:val="nil"/>
              <w:bottom w:val="single" w:sz="4" w:space="0" w:color="ADD6EA"/>
              <w:right w:val="nil"/>
            </w:tcBorders>
            <w:shd w:val="clear" w:color="auto" w:fill="auto"/>
            <w:noWrap/>
            <w:vAlign w:val="bottom"/>
            <w:hideMark/>
          </w:tcPr>
          <w:p w14:paraId="49BA3DE2"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40</w:t>
            </w:r>
          </w:p>
        </w:tc>
        <w:tc>
          <w:tcPr>
            <w:tcW w:w="716" w:type="dxa"/>
            <w:tcBorders>
              <w:top w:val="nil"/>
              <w:left w:val="nil"/>
              <w:bottom w:val="single" w:sz="4" w:space="0" w:color="ADD6EA"/>
              <w:right w:val="nil"/>
            </w:tcBorders>
            <w:shd w:val="clear" w:color="auto" w:fill="auto"/>
            <w:noWrap/>
            <w:vAlign w:val="bottom"/>
            <w:hideMark/>
          </w:tcPr>
          <w:p w14:paraId="08E4F014"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40</w:t>
            </w:r>
          </w:p>
        </w:tc>
        <w:tc>
          <w:tcPr>
            <w:tcW w:w="836" w:type="dxa"/>
            <w:tcBorders>
              <w:top w:val="nil"/>
              <w:left w:val="nil"/>
              <w:bottom w:val="single" w:sz="4" w:space="0" w:color="ADD6EA"/>
              <w:right w:val="nil"/>
            </w:tcBorders>
            <w:shd w:val="clear" w:color="auto" w:fill="auto"/>
            <w:noWrap/>
            <w:vAlign w:val="bottom"/>
            <w:hideMark/>
          </w:tcPr>
          <w:p w14:paraId="51DAF519"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317</w:t>
            </w:r>
          </w:p>
        </w:tc>
      </w:tr>
      <w:tr w:rsidR="000765E5" w:rsidRPr="00454A6F" w14:paraId="703A5E78" w14:textId="77777777" w:rsidTr="00174DEB">
        <w:trPr>
          <w:trHeight w:val="315"/>
        </w:trPr>
        <w:tc>
          <w:tcPr>
            <w:tcW w:w="2456" w:type="dxa"/>
            <w:tcBorders>
              <w:top w:val="nil"/>
              <w:left w:val="nil"/>
              <w:bottom w:val="single" w:sz="4" w:space="0" w:color="ADD6EA"/>
              <w:right w:val="nil"/>
            </w:tcBorders>
            <w:shd w:val="clear" w:color="auto" w:fill="auto"/>
            <w:noWrap/>
            <w:vAlign w:val="bottom"/>
            <w:hideMark/>
          </w:tcPr>
          <w:p w14:paraId="4002E86A" w14:textId="77777777" w:rsidR="000765E5" w:rsidRPr="00454A6F" w:rsidRDefault="000765E5" w:rsidP="004D65FE">
            <w:pPr>
              <w:tabs>
                <w:tab w:val="clear" w:pos="567"/>
              </w:tabs>
              <w:spacing w:before="0" w:line="240" w:lineRule="auto"/>
              <w:rPr>
                <w:rFonts w:eastAsia="Times New Roman" w:cs="Open Sans Light"/>
                <w:sz w:val="16"/>
                <w:szCs w:val="16"/>
                <w:lang w:eastAsia="en-AU"/>
              </w:rPr>
            </w:pPr>
            <w:r w:rsidRPr="00454A6F">
              <w:rPr>
                <w:rFonts w:eastAsia="Times New Roman" w:cs="Open Sans Light"/>
                <w:sz w:val="16"/>
                <w:szCs w:val="16"/>
                <w:lang w:eastAsia="en-AU"/>
              </w:rPr>
              <w:t>Housing</w:t>
            </w:r>
          </w:p>
        </w:tc>
        <w:tc>
          <w:tcPr>
            <w:tcW w:w="716" w:type="dxa"/>
            <w:tcBorders>
              <w:top w:val="nil"/>
              <w:left w:val="nil"/>
              <w:bottom w:val="single" w:sz="4" w:space="0" w:color="ADD6EA"/>
              <w:right w:val="nil"/>
            </w:tcBorders>
            <w:shd w:val="clear" w:color="auto" w:fill="auto"/>
            <w:noWrap/>
            <w:vAlign w:val="bottom"/>
            <w:hideMark/>
          </w:tcPr>
          <w:p w14:paraId="4A9AF450"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716" w:type="dxa"/>
            <w:tcBorders>
              <w:top w:val="nil"/>
              <w:left w:val="nil"/>
              <w:bottom w:val="single" w:sz="4" w:space="0" w:color="ADD6EA"/>
              <w:right w:val="nil"/>
            </w:tcBorders>
            <w:shd w:val="clear" w:color="auto" w:fill="auto"/>
            <w:noWrap/>
            <w:vAlign w:val="bottom"/>
            <w:hideMark/>
          </w:tcPr>
          <w:p w14:paraId="359B77AE"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716" w:type="dxa"/>
            <w:tcBorders>
              <w:top w:val="nil"/>
              <w:left w:val="nil"/>
              <w:bottom w:val="single" w:sz="4" w:space="0" w:color="ADD6EA"/>
              <w:right w:val="nil"/>
            </w:tcBorders>
            <w:shd w:val="clear" w:color="auto" w:fill="auto"/>
            <w:noWrap/>
            <w:vAlign w:val="bottom"/>
            <w:hideMark/>
          </w:tcPr>
          <w:p w14:paraId="284B2727"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716" w:type="dxa"/>
            <w:tcBorders>
              <w:top w:val="nil"/>
              <w:left w:val="nil"/>
              <w:bottom w:val="single" w:sz="4" w:space="0" w:color="ADD6EA"/>
              <w:right w:val="nil"/>
            </w:tcBorders>
            <w:shd w:val="clear" w:color="auto" w:fill="auto"/>
            <w:noWrap/>
            <w:vAlign w:val="bottom"/>
            <w:hideMark/>
          </w:tcPr>
          <w:p w14:paraId="6629CDF2"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716" w:type="dxa"/>
            <w:tcBorders>
              <w:top w:val="nil"/>
              <w:left w:val="nil"/>
              <w:bottom w:val="single" w:sz="4" w:space="0" w:color="ADD6EA"/>
              <w:right w:val="nil"/>
            </w:tcBorders>
            <w:shd w:val="clear" w:color="auto" w:fill="auto"/>
            <w:noWrap/>
            <w:vAlign w:val="bottom"/>
            <w:hideMark/>
          </w:tcPr>
          <w:p w14:paraId="6CCEA164"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716" w:type="dxa"/>
            <w:tcBorders>
              <w:top w:val="nil"/>
              <w:left w:val="nil"/>
              <w:bottom w:val="single" w:sz="4" w:space="0" w:color="ADD6EA"/>
              <w:right w:val="nil"/>
            </w:tcBorders>
            <w:shd w:val="clear" w:color="auto" w:fill="auto"/>
            <w:noWrap/>
            <w:vAlign w:val="bottom"/>
            <w:hideMark/>
          </w:tcPr>
          <w:p w14:paraId="4E12696C"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716" w:type="dxa"/>
            <w:tcBorders>
              <w:top w:val="nil"/>
              <w:left w:val="nil"/>
              <w:bottom w:val="single" w:sz="4" w:space="0" w:color="ADD6EA"/>
              <w:right w:val="nil"/>
            </w:tcBorders>
            <w:shd w:val="clear" w:color="auto" w:fill="auto"/>
            <w:noWrap/>
            <w:vAlign w:val="bottom"/>
            <w:hideMark/>
          </w:tcPr>
          <w:p w14:paraId="336323E2"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716" w:type="dxa"/>
            <w:tcBorders>
              <w:top w:val="nil"/>
              <w:left w:val="nil"/>
              <w:bottom w:val="single" w:sz="4" w:space="0" w:color="ADD6EA"/>
              <w:right w:val="nil"/>
            </w:tcBorders>
            <w:shd w:val="clear" w:color="auto" w:fill="auto"/>
            <w:noWrap/>
            <w:vAlign w:val="bottom"/>
            <w:hideMark/>
          </w:tcPr>
          <w:p w14:paraId="7D647229"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836" w:type="dxa"/>
            <w:tcBorders>
              <w:top w:val="nil"/>
              <w:left w:val="nil"/>
              <w:bottom w:val="single" w:sz="4" w:space="0" w:color="ADD6EA"/>
              <w:right w:val="nil"/>
            </w:tcBorders>
            <w:shd w:val="clear" w:color="auto" w:fill="auto"/>
            <w:noWrap/>
            <w:vAlign w:val="bottom"/>
            <w:hideMark/>
          </w:tcPr>
          <w:p w14:paraId="117C7FAA"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106</w:t>
            </w:r>
          </w:p>
        </w:tc>
      </w:tr>
      <w:tr w:rsidR="001B1E12" w:rsidRPr="00454A6F" w14:paraId="25865687" w14:textId="77777777" w:rsidTr="00174DEB">
        <w:trPr>
          <w:trHeight w:val="315"/>
        </w:trPr>
        <w:tc>
          <w:tcPr>
            <w:tcW w:w="2456" w:type="dxa"/>
            <w:tcBorders>
              <w:top w:val="nil"/>
              <w:left w:val="nil"/>
              <w:bottom w:val="single" w:sz="4" w:space="0" w:color="ADD6EA"/>
              <w:right w:val="nil"/>
            </w:tcBorders>
            <w:shd w:val="clear" w:color="auto" w:fill="auto"/>
            <w:noWrap/>
            <w:vAlign w:val="bottom"/>
            <w:hideMark/>
          </w:tcPr>
          <w:p w14:paraId="4A20958F" w14:textId="77777777" w:rsidR="001B1E12" w:rsidRPr="00454A6F" w:rsidRDefault="001B1E12" w:rsidP="0063128E">
            <w:pPr>
              <w:tabs>
                <w:tab w:val="clear" w:pos="567"/>
              </w:tabs>
              <w:spacing w:before="0" w:line="240" w:lineRule="auto"/>
              <w:rPr>
                <w:rFonts w:eastAsia="Times New Roman" w:cs="Open Sans Light"/>
                <w:sz w:val="16"/>
                <w:szCs w:val="16"/>
                <w:lang w:eastAsia="en-AU"/>
              </w:rPr>
            </w:pPr>
            <w:r w:rsidRPr="00454A6F">
              <w:rPr>
                <w:rFonts w:eastAsia="Times New Roman" w:cs="Open Sans Light"/>
                <w:sz w:val="16"/>
                <w:szCs w:val="16"/>
                <w:lang w:eastAsia="en-AU"/>
              </w:rPr>
              <w:t>Welfare</w:t>
            </w:r>
          </w:p>
        </w:tc>
        <w:tc>
          <w:tcPr>
            <w:tcW w:w="716" w:type="dxa"/>
            <w:tcBorders>
              <w:top w:val="nil"/>
              <w:left w:val="nil"/>
              <w:bottom w:val="single" w:sz="4" w:space="0" w:color="ADD6EA"/>
              <w:right w:val="nil"/>
            </w:tcBorders>
            <w:shd w:val="clear" w:color="auto" w:fill="auto"/>
            <w:noWrap/>
            <w:vAlign w:val="bottom"/>
            <w:hideMark/>
          </w:tcPr>
          <w:p w14:paraId="5F166650" w14:textId="77777777" w:rsidR="001B1E12" w:rsidRPr="00454A6F" w:rsidRDefault="001B1E12" w:rsidP="0063128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716" w:type="dxa"/>
            <w:tcBorders>
              <w:top w:val="nil"/>
              <w:left w:val="nil"/>
              <w:bottom w:val="single" w:sz="4" w:space="0" w:color="ADD6EA"/>
              <w:right w:val="nil"/>
            </w:tcBorders>
            <w:shd w:val="clear" w:color="auto" w:fill="auto"/>
            <w:noWrap/>
            <w:vAlign w:val="bottom"/>
            <w:hideMark/>
          </w:tcPr>
          <w:p w14:paraId="79600352" w14:textId="77777777" w:rsidR="001B1E12" w:rsidRPr="00454A6F" w:rsidRDefault="001B1E12" w:rsidP="0063128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716" w:type="dxa"/>
            <w:tcBorders>
              <w:top w:val="nil"/>
              <w:left w:val="nil"/>
              <w:bottom w:val="single" w:sz="4" w:space="0" w:color="ADD6EA"/>
              <w:right w:val="nil"/>
            </w:tcBorders>
            <w:shd w:val="clear" w:color="auto" w:fill="auto"/>
            <w:noWrap/>
            <w:vAlign w:val="bottom"/>
            <w:hideMark/>
          </w:tcPr>
          <w:p w14:paraId="736C4F15" w14:textId="77777777" w:rsidR="001B1E12" w:rsidRPr="00454A6F" w:rsidRDefault="001B1E12" w:rsidP="0063128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716" w:type="dxa"/>
            <w:tcBorders>
              <w:top w:val="nil"/>
              <w:left w:val="nil"/>
              <w:bottom w:val="single" w:sz="4" w:space="0" w:color="ADD6EA"/>
              <w:right w:val="nil"/>
            </w:tcBorders>
            <w:shd w:val="clear" w:color="auto" w:fill="auto"/>
            <w:noWrap/>
            <w:vAlign w:val="bottom"/>
            <w:hideMark/>
          </w:tcPr>
          <w:p w14:paraId="1D22C0DB" w14:textId="77777777" w:rsidR="001B1E12" w:rsidRPr="00454A6F" w:rsidRDefault="001B1E12" w:rsidP="0063128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716" w:type="dxa"/>
            <w:tcBorders>
              <w:top w:val="nil"/>
              <w:left w:val="nil"/>
              <w:bottom w:val="single" w:sz="4" w:space="0" w:color="ADD6EA"/>
              <w:right w:val="nil"/>
            </w:tcBorders>
            <w:shd w:val="clear" w:color="auto" w:fill="auto"/>
            <w:noWrap/>
            <w:vAlign w:val="bottom"/>
            <w:hideMark/>
          </w:tcPr>
          <w:p w14:paraId="594D5E82" w14:textId="77777777" w:rsidR="001B1E12" w:rsidRPr="00454A6F" w:rsidRDefault="001B1E12" w:rsidP="0063128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716" w:type="dxa"/>
            <w:tcBorders>
              <w:top w:val="nil"/>
              <w:left w:val="nil"/>
              <w:bottom w:val="single" w:sz="4" w:space="0" w:color="ADD6EA"/>
              <w:right w:val="nil"/>
            </w:tcBorders>
            <w:shd w:val="clear" w:color="auto" w:fill="auto"/>
            <w:noWrap/>
            <w:vAlign w:val="bottom"/>
            <w:hideMark/>
          </w:tcPr>
          <w:p w14:paraId="082F8FF9" w14:textId="77777777" w:rsidR="001B1E12" w:rsidRPr="00454A6F" w:rsidRDefault="001B1E12" w:rsidP="0063128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716" w:type="dxa"/>
            <w:tcBorders>
              <w:top w:val="nil"/>
              <w:left w:val="nil"/>
              <w:bottom w:val="single" w:sz="4" w:space="0" w:color="ADD6EA"/>
              <w:right w:val="nil"/>
            </w:tcBorders>
            <w:shd w:val="clear" w:color="auto" w:fill="auto"/>
            <w:noWrap/>
            <w:vAlign w:val="bottom"/>
            <w:hideMark/>
          </w:tcPr>
          <w:p w14:paraId="23B308C5" w14:textId="77777777" w:rsidR="001B1E12" w:rsidRPr="00454A6F" w:rsidRDefault="001B1E12" w:rsidP="0063128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716" w:type="dxa"/>
            <w:tcBorders>
              <w:top w:val="nil"/>
              <w:left w:val="nil"/>
              <w:bottom w:val="single" w:sz="4" w:space="0" w:color="ADD6EA"/>
              <w:right w:val="nil"/>
            </w:tcBorders>
            <w:shd w:val="clear" w:color="auto" w:fill="auto"/>
            <w:noWrap/>
            <w:vAlign w:val="bottom"/>
            <w:hideMark/>
          </w:tcPr>
          <w:p w14:paraId="266421B8" w14:textId="77777777" w:rsidR="001B1E12" w:rsidRPr="00454A6F" w:rsidRDefault="001B1E12" w:rsidP="0063128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13</w:t>
            </w:r>
          </w:p>
        </w:tc>
        <w:tc>
          <w:tcPr>
            <w:tcW w:w="836" w:type="dxa"/>
            <w:tcBorders>
              <w:top w:val="nil"/>
              <w:left w:val="nil"/>
              <w:bottom w:val="single" w:sz="4" w:space="0" w:color="ADD6EA"/>
              <w:right w:val="nil"/>
            </w:tcBorders>
            <w:shd w:val="clear" w:color="auto" w:fill="auto"/>
            <w:noWrap/>
            <w:vAlign w:val="bottom"/>
            <w:hideMark/>
          </w:tcPr>
          <w:p w14:paraId="6A6E5380" w14:textId="77777777" w:rsidR="001B1E12" w:rsidRPr="00454A6F" w:rsidRDefault="001B1E12" w:rsidP="0063128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106</w:t>
            </w:r>
          </w:p>
        </w:tc>
      </w:tr>
      <w:tr w:rsidR="000765E5" w:rsidRPr="00454A6F" w14:paraId="5CA76E1C" w14:textId="77777777" w:rsidTr="00174DEB">
        <w:trPr>
          <w:trHeight w:val="312"/>
        </w:trPr>
        <w:tc>
          <w:tcPr>
            <w:tcW w:w="2456" w:type="dxa"/>
            <w:tcBorders>
              <w:top w:val="nil"/>
              <w:left w:val="nil"/>
              <w:bottom w:val="single" w:sz="4" w:space="0" w:color="ADD6EA"/>
              <w:right w:val="nil"/>
            </w:tcBorders>
            <w:shd w:val="clear" w:color="auto" w:fill="auto"/>
            <w:noWrap/>
            <w:vAlign w:val="bottom"/>
            <w:hideMark/>
          </w:tcPr>
          <w:p w14:paraId="0A4706E7" w14:textId="77777777" w:rsidR="000765E5" w:rsidRPr="00454A6F" w:rsidRDefault="000765E5" w:rsidP="004D65FE">
            <w:pPr>
              <w:tabs>
                <w:tab w:val="clear" w:pos="567"/>
              </w:tabs>
              <w:spacing w:before="0" w:line="240" w:lineRule="auto"/>
              <w:rPr>
                <w:rFonts w:eastAsia="Times New Roman" w:cs="Open Sans Light"/>
                <w:sz w:val="16"/>
                <w:szCs w:val="16"/>
                <w:lang w:eastAsia="en-AU"/>
              </w:rPr>
            </w:pPr>
            <w:r w:rsidRPr="00454A6F">
              <w:rPr>
                <w:rFonts w:eastAsia="Times New Roman" w:cs="Open Sans Light"/>
                <w:sz w:val="16"/>
                <w:szCs w:val="16"/>
                <w:lang w:eastAsia="en-AU"/>
              </w:rPr>
              <w:t>Services to communities</w:t>
            </w:r>
          </w:p>
        </w:tc>
        <w:tc>
          <w:tcPr>
            <w:tcW w:w="716" w:type="dxa"/>
            <w:tcBorders>
              <w:top w:val="nil"/>
              <w:left w:val="nil"/>
              <w:bottom w:val="single" w:sz="4" w:space="0" w:color="ADD6EA"/>
              <w:right w:val="nil"/>
            </w:tcBorders>
            <w:shd w:val="clear" w:color="auto" w:fill="auto"/>
            <w:noWrap/>
            <w:vAlign w:val="bottom"/>
            <w:hideMark/>
          </w:tcPr>
          <w:p w14:paraId="61E06F35"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29</w:t>
            </w:r>
          </w:p>
        </w:tc>
        <w:tc>
          <w:tcPr>
            <w:tcW w:w="716" w:type="dxa"/>
            <w:tcBorders>
              <w:top w:val="nil"/>
              <w:left w:val="nil"/>
              <w:bottom w:val="single" w:sz="4" w:space="0" w:color="ADD6EA"/>
              <w:right w:val="nil"/>
            </w:tcBorders>
            <w:shd w:val="clear" w:color="auto" w:fill="auto"/>
            <w:noWrap/>
            <w:vAlign w:val="bottom"/>
            <w:hideMark/>
          </w:tcPr>
          <w:p w14:paraId="7A17334B"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29</w:t>
            </w:r>
          </w:p>
        </w:tc>
        <w:tc>
          <w:tcPr>
            <w:tcW w:w="716" w:type="dxa"/>
            <w:tcBorders>
              <w:top w:val="nil"/>
              <w:left w:val="nil"/>
              <w:bottom w:val="single" w:sz="4" w:space="0" w:color="ADD6EA"/>
              <w:right w:val="nil"/>
            </w:tcBorders>
            <w:shd w:val="clear" w:color="auto" w:fill="auto"/>
            <w:noWrap/>
            <w:vAlign w:val="bottom"/>
            <w:hideMark/>
          </w:tcPr>
          <w:p w14:paraId="6717CBCA"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29</w:t>
            </w:r>
          </w:p>
        </w:tc>
        <w:tc>
          <w:tcPr>
            <w:tcW w:w="716" w:type="dxa"/>
            <w:tcBorders>
              <w:top w:val="nil"/>
              <w:left w:val="nil"/>
              <w:bottom w:val="single" w:sz="4" w:space="0" w:color="ADD6EA"/>
              <w:right w:val="nil"/>
            </w:tcBorders>
            <w:shd w:val="clear" w:color="auto" w:fill="auto"/>
            <w:noWrap/>
            <w:vAlign w:val="bottom"/>
            <w:hideMark/>
          </w:tcPr>
          <w:p w14:paraId="16F1F4DA"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29</w:t>
            </w:r>
          </w:p>
        </w:tc>
        <w:tc>
          <w:tcPr>
            <w:tcW w:w="716" w:type="dxa"/>
            <w:tcBorders>
              <w:top w:val="nil"/>
              <w:left w:val="nil"/>
              <w:bottom w:val="single" w:sz="4" w:space="0" w:color="ADD6EA"/>
              <w:right w:val="nil"/>
            </w:tcBorders>
            <w:shd w:val="clear" w:color="auto" w:fill="auto"/>
            <w:noWrap/>
            <w:vAlign w:val="bottom"/>
            <w:hideMark/>
          </w:tcPr>
          <w:p w14:paraId="5B4B1B52"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29</w:t>
            </w:r>
          </w:p>
        </w:tc>
        <w:tc>
          <w:tcPr>
            <w:tcW w:w="716" w:type="dxa"/>
            <w:tcBorders>
              <w:top w:val="nil"/>
              <w:left w:val="nil"/>
              <w:bottom w:val="single" w:sz="4" w:space="0" w:color="ADD6EA"/>
              <w:right w:val="nil"/>
            </w:tcBorders>
            <w:shd w:val="clear" w:color="auto" w:fill="auto"/>
            <w:noWrap/>
            <w:vAlign w:val="bottom"/>
            <w:hideMark/>
          </w:tcPr>
          <w:p w14:paraId="6B64079B"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29</w:t>
            </w:r>
          </w:p>
        </w:tc>
        <w:tc>
          <w:tcPr>
            <w:tcW w:w="716" w:type="dxa"/>
            <w:tcBorders>
              <w:top w:val="nil"/>
              <w:left w:val="nil"/>
              <w:bottom w:val="single" w:sz="4" w:space="0" w:color="ADD6EA"/>
              <w:right w:val="nil"/>
            </w:tcBorders>
            <w:shd w:val="clear" w:color="auto" w:fill="auto"/>
            <w:noWrap/>
            <w:vAlign w:val="bottom"/>
            <w:hideMark/>
          </w:tcPr>
          <w:p w14:paraId="7784B7F2"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29</w:t>
            </w:r>
          </w:p>
        </w:tc>
        <w:tc>
          <w:tcPr>
            <w:tcW w:w="716" w:type="dxa"/>
            <w:tcBorders>
              <w:top w:val="nil"/>
              <w:left w:val="nil"/>
              <w:bottom w:val="single" w:sz="4" w:space="0" w:color="ADD6EA"/>
              <w:right w:val="nil"/>
            </w:tcBorders>
            <w:shd w:val="clear" w:color="auto" w:fill="auto"/>
            <w:noWrap/>
            <w:vAlign w:val="bottom"/>
            <w:hideMark/>
          </w:tcPr>
          <w:p w14:paraId="3991BBD2"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29</w:t>
            </w:r>
          </w:p>
        </w:tc>
        <w:tc>
          <w:tcPr>
            <w:tcW w:w="836" w:type="dxa"/>
            <w:tcBorders>
              <w:top w:val="nil"/>
              <w:left w:val="nil"/>
              <w:bottom w:val="single" w:sz="4" w:space="0" w:color="ADD6EA"/>
              <w:right w:val="nil"/>
            </w:tcBorders>
            <w:shd w:val="clear" w:color="auto" w:fill="auto"/>
            <w:noWrap/>
            <w:vAlign w:val="bottom"/>
            <w:hideMark/>
          </w:tcPr>
          <w:p w14:paraId="26DF3956"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233</w:t>
            </w:r>
          </w:p>
        </w:tc>
      </w:tr>
      <w:tr w:rsidR="000765E5" w:rsidRPr="00454A6F" w14:paraId="2D4C4D5A" w14:textId="77777777" w:rsidTr="00174DEB">
        <w:trPr>
          <w:trHeight w:val="315"/>
        </w:trPr>
        <w:tc>
          <w:tcPr>
            <w:tcW w:w="2456" w:type="dxa"/>
            <w:tcBorders>
              <w:top w:val="nil"/>
              <w:left w:val="nil"/>
              <w:bottom w:val="single" w:sz="4" w:space="0" w:color="ADD6EA"/>
              <w:right w:val="nil"/>
            </w:tcBorders>
            <w:shd w:val="clear" w:color="auto" w:fill="auto"/>
            <w:noWrap/>
            <w:vAlign w:val="bottom"/>
            <w:hideMark/>
          </w:tcPr>
          <w:p w14:paraId="1E380828" w14:textId="77777777" w:rsidR="000765E5" w:rsidRPr="00454A6F" w:rsidRDefault="000765E5" w:rsidP="004D65FE">
            <w:pPr>
              <w:tabs>
                <w:tab w:val="clear" w:pos="567"/>
              </w:tabs>
              <w:spacing w:before="0" w:line="240" w:lineRule="auto"/>
              <w:rPr>
                <w:rFonts w:eastAsia="Times New Roman" w:cs="Open Sans Light"/>
                <w:sz w:val="16"/>
                <w:szCs w:val="16"/>
                <w:lang w:eastAsia="en-AU"/>
              </w:rPr>
            </w:pPr>
            <w:r w:rsidRPr="00454A6F">
              <w:rPr>
                <w:rFonts w:eastAsia="Times New Roman" w:cs="Open Sans Light"/>
                <w:sz w:val="16"/>
                <w:szCs w:val="16"/>
                <w:lang w:eastAsia="en-AU"/>
              </w:rPr>
              <w:t>Justice</w:t>
            </w:r>
          </w:p>
        </w:tc>
        <w:tc>
          <w:tcPr>
            <w:tcW w:w="716" w:type="dxa"/>
            <w:tcBorders>
              <w:top w:val="nil"/>
              <w:left w:val="nil"/>
              <w:bottom w:val="single" w:sz="4" w:space="0" w:color="ADD6EA"/>
              <w:right w:val="nil"/>
            </w:tcBorders>
            <w:shd w:val="clear" w:color="auto" w:fill="auto"/>
            <w:noWrap/>
            <w:vAlign w:val="bottom"/>
            <w:hideMark/>
          </w:tcPr>
          <w:p w14:paraId="669DB428"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49</w:t>
            </w:r>
          </w:p>
        </w:tc>
        <w:tc>
          <w:tcPr>
            <w:tcW w:w="716" w:type="dxa"/>
            <w:tcBorders>
              <w:top w:val="nil"/>
              <w:left w:val="nil"/>
              <w:bottom w:val="single" w:sz="4" w:space="0" w:color="ADD6EA"/>
              <w:right w:val="nil"/>
            </w:tcBorders>
            <w:shd w:val="clear" w:color="auto" w:fill="auto"/>
            <w:noWrap/>
            <w:vAlign w:val="bottom"/>
            <w:hideMark/>
          </w:tcPr>
          <w:p w14:paraId="4B154343"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49</w:t>
            </w:r>
          </w:p>
        </w:tc>
        <w:tc>
          <w:tcPr>
            <w:tcW w:w="716" w:type="dxa"/>
            <w:tcBorders>
              <w:top w:val="nil"/>
              <w:left w:val="nil"/>
              <w:bottom w:val="single" w:sz="4" w:space="0" w:color="ADD6EA"/>
              <w:right w:val="nil"/>
            </w:tcBorders>
            <w:shd w:val="clear" w:color="auto" w:fill="auto"/>
            <w:noWrap/>
            <w:vAlign w:val="bottom"/>
            <w:hideMark/>
          </w:tcPr>
          <w:p w14:paraId="09C24E4A"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49</w:t>
            </w:r>
          </w:p>
        </w:tc>
        <w:tc>
          <w:tcPr>
            <w:tcW w:w="716" w:type="dxa"/>
            <w:tcBorders>
              <w:top w:val="nil"/>
              <w:left w:val="nil"/>
              <w:bottom w:val="single" w:sz="4" w:space="0" w:color="ADD6EA"/>
              <w:right w:val="nil"/>
            </w:tcBorders>
            <w:shd w:val="clear" w:color="auto" w:fill="auto"/>
            <w:noWrap/>
            <w:vAlign w:val="bottom"/>
            <w:hideMark/>
          </w:tcPr>
          <w:p w14:paraId="7E422467"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49</w:t>
            </w:r>
          </w:p>
        </w:tc>
        <w:tc>
          <w:tcPr>
            <w:tcW w:w="716" w:type="dxa"/>
            <w:tcBorders>
              <w:top w:val="nil"/>
              <w:left w:val="nil"/>
              <w:bottom w:val="single" w:sz="4" w:space="0" w:color="ADD6EA"/>
              <w:right w:val="nil"/>
            </w:tcBorders>
            <w:shd w:val="clear" w:color="auto" w:fill="auto"/>
            <w:noWrap/>
            <w:vAlign w:val="bottom"/>
            <w:hideMark/>
          </w:tcPr>
          <w:p w14:paraId="4A7B741C"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49</w:t>
            </w:r>
          </w:p>
        </w:tc>
        <w:tc>
          <w:tcPr>
            <w:tcW w:w="716" w:type="dxa"/>
            <w:tcBorders>
              <w:top w:val="nil"/>
              <w:left w:val="nil"/>
              <w:bottom w:val="single" w:sz="4" w:space="0" w:color="ADD6EA"/>
              <w:right w:val="nil"/>
            </w:tcBorders>
            <w:shd w:val="clear" w:color="auto" w:fill="auto"/>
            <w:noWrap/>
            <w:vAlign w:val="bottom"/>
            <w:hideMark/>
          </w:tcPr>
          <w:p w14:paraId="7D223733"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49</w:t>
            </w:r>
          </w:p>
        </w:tc>
        <w:tc>
          <w:tcPr>
            <w:tcW w:w="716" w:type="dxa"/>
            <w:tcBorders>
              <w:top w:val="nil"/>
              <w:left w:val="nil"/>
              <w:bottom w:val="single" w:sz="4" w:space="0" w:color="ADD6EA"/>
              <w:right w:val="nil"/>
            </w:tcBorders>
            <w:shd w:val="clear" w:color="auto" w:fill="auto"/>
            <w:noWrap/>
            <w:vAlign w:val="bottom"/>
            <w:hideMark/>
          </w:tcPr>
          <w:p w14:paraId="24ACA859"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49</w:t>
            </w:r>
          </w:p>
        </w:tc>
        <w:tc>
          <w:tcPr>
            <w:tcW w:w="716" w:type="dxa"/>
            <w:tcBorders>
              <w:top w:val="nil"/>
              <w:left w:val="nil"/>
              <w:bottom w:val="single" w:sz="4" w:space="0" w:color="ADD6EA"/>
              <w:right w:val="nil"/>
            </w:tcBorders>
            <w:shd w:val="clear" w:color="auto" w:fill="auto"/>
            <w:noWrap/>
            <w:vAlign w:val="bottom"/>
            <w:hideMark/>
          </w:tcPr>
          <w:p w14:paraId="0EC32BE3"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49</w:t>
            </w:r>
          </w:p>
        </w:tc>
        <w:tc>
          <w:tcPr>
            <w:tcW w:w="836" w:type="dxa"/>
            <w:tcBorders>
              <w:top w:val="nil"/>
              <w:left w:val="nil"/>
              <w:bottom w:val="single" w:sz="4" w:space="0" w:color="ADD6EA"/>
              <w:right w:val="nil"/>
            </w:tcBorders>
            <w:shd w:val="clear" w:color="auto" w:fill="auto"/>
            <w:noWrap/>
            <w:vAlign w:val="bottom"/>
            <w:hideMark/>
          </w:tcPr>
          <w:p w14:paraId="707756DD"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390</w:t>
            </w:r>
          </w:p>
        </w:tc>
      </w:tr>
      <w:tr w:rsidR="000765E5" w:rsidRPr="00454A6F" w14:paraId="712EA789" w14:textId="77777777" w:rsidTr="00174DEB">
        <w:trPr>
          <w:trHeight w:val="315"/>
        </w:trPr>
        <w:tc>
          <w:tcPr>
            <w:tcW w:w="2456" w:type="dxa"/>
            <w:tcBorders>
              <w:top w:val="nil"/>
              <w:left w:val="nil"/>
              <w:bottom w:val="single" w:sz="4" w:space="0" w:color="ADD6EA"/>
              <w:right w:val="nil"/>
            </w:tcBorders>
            <w:shd w:val="clear" w:color="auto" w:fill="auto"/>
            <w:noWrap/>
            <w:vAlign w:val="bottom"/>
            <w:hideMark/>
          </w:tcPr>
          <w:p w14:paraId="63405347" w14:textId="77777777" w:rsidR="000765E5" w:rsidRPr="00454A6F" w:rsidRDefault="000765E5" w:rsidP="004D65FE">
            <w:pPr>
              <w:tabs>
                <w:tab w:val="clear" w:pos="567"/>
              </w:tabs>
              <w:spacing w:before="0" w:line="240" w:lineRule="auto"/>
              <w:rPr>
                <w:rFonts w:eastAsia="Times New Roman" w:cs="Open Sans Light"/>
                <w:sz w:val="16"/>
                <w:szCs w:val="16"/>
                <w:lang w:eastAsia="en-AU"/>
              </w:rPr>
            </w:pPr>
            <w:r w:rsidRPr="00454A6F">
              <w:rPr>
                <w:rFonts w:eastAsia="Times New Roman" w:cs="Open Sans Light"/>
                <w:sz w:val="16"/>
                <w:szCs w:val="16"/>
                <w:lang w:eastAsia="en-AU"/>
              </w:rPr>
              <w:t>Roads</w:t>
            </w:r>
          </w:p>
        </w:tc>
        <w:tc>
          <w:tcPr>
            <w:tcW w:w="716" w:type="dxa"/>
            <w:tcBorders>
              <w:top w:val="nil"/>
              <w:left w:val="nil"/>
              <w:bottom w:val="single" w:sz="4" w:space="0" w:color="ADD6EA"/>
              <w:right w:val="nil"/>
            </w:tcBorders>
            <w:shd w:val="clear" w:color="auto" w:fill="auto"/>
            <w:noWrap/>
            <w:vAlign w:val="bottom"/>
            <w:hideMark/>
          </w:tcPr>
          <w:p w14:paraId="35C7C5FA"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w:t>
            </w:r>
          </w:p>
        </w:tc>
        <w:tc>
          <w:tcPr>
            <w:tcW w:w="716" w:type="dxa"/>
            <w:tcBorders>
              <w:top w:val="nil"/>
              <w:left w:val="nil"/>
              <w:bottom w:val="single" w:sz="4" w:space="0" w:color="ADD6EA"/>
              <w:right w:val="nil"/>
            </w:tcBorders>
            <w:shd w:val="clear" w:color="auto" w:fill="auto"/>
            <w:noWrap/>
            <w:vAlign w:val="bottom"/>
            <w:hideMark/>
          </w:tcPr>
          <w:p w14:paraId="4C02D2F9"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w:t>
            </w:r>
          </w:p>
        </w:tc>
        <w:tc>
          <w:tcPr>
            <w:tcW w:w="716" w:type="dxa"/>
            <w:tcBorders>
              <w:top w:val="nil"/>
              <w:left w:val="nil"/>
              <w:bottom w:val="single" w:sz="4" w:space="0" w:color="ADD6EA"/>
              <w:right w:val="nil"/>
            </w:tcBorders>
            <w:shd w:val="clear" w:color="auto" w:fill="auto"/>
            <w:noWrap/>
            <w:vAlign w:val="bottom"/>
            <w:hideMark/>
          </w:tcPr>
          <w:p w14:paraId="23647B6B"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w:t>
            </w:r>
          </w:p>
        </w:tc>
        <w:tc>
          <w:tcPr>
            <w:tcW w:w="716" w:type="dxa"/>
            <w:tcBorders>
              <w:top w:val="nil"/>
              <w:left w:val="nil"/>
              <w:bottom w:val="single" w:sz="4" w:space="0" w:color="ADD6EA"/>
              <w:right w:val="nil"/>
            </w:tcBorders>
            <w:shd w:val="clear" w:color="auto" w:fill="auto"/>
            <w:noWrap/>
            <w:vAlign w:val="bottom"/>
            <w:hideMark/>
          </w:tcPr>
          <w:p w14:paraId="60DF6CFE"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w:t>
            </w:r>
          </w:p>
        </w:tc>
        <w:tc>
          <w:tcPr>
            <w:tcW w:w="716" w:type="dxa"/>
            <w:tcBorders>
              <w:top w:val="nil"/>
              <w:left w:val="nil"/>
              <w:bottom w:val="single" w:sz="4" w:space="0" w:color="ADD6EA"/>
              <w:right w:val="nil"/>
            </w:tcBorders>
            <w:shd w:val="clear" w:color="auto" w:fill="auto"/>
            <w:noWrap/>
            <w:vAlign w:val="bottom"/>
            <w:hideMark/>
          </w:tcPr>
          <w:p w14:paraId="76654428"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w:t>
            </w:r>
          </w:p>
        </w:tc>
        <w:tc>
          <w:tcPr>
            <w:tcW w:w="716" w:type="dxa"/>
            <w:tcBorders>
              <w:top w:val="nil"/>
              <w:left w:val="nil"/>
              <w:bottom w:val="single" w:sz="4" w:space="0" w:color="ADD6EA"/>
              <w:right w:val="nil"/>
            </w:tcBorders>
            <w:shd w:val="clear" w:color="auto" w:fill="auto"/>
            <w:noWrap/>
            <w:vAlign w:val="bottom"/>
            <w:hideMark/>
          </w:tcPr>
          <w:p w14:paraId="25F4A459"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w:t>
            </w:r>
          </w:p>
        </w:tc>
        <w:tc>
          <w:tcPr>
            <w:tcW w:w="716" w:type="dxa"/>
            <w:tcBorders>
              <w:top w:val="nil"/>
              <w:left w:val="nil"/>
              <w:bottom w:val="single" w:sz="4" w:space="0" w:color="ADD6EA"/>
              <w:right w:val="nil"/>
            </w:tcBorders>
            <w:shd w:val="clear" w:color="auto" w:fill="auto"/>
            <w:noWrap/>
            <w:vAlign w:val="bottom"/>
            <w:hideMark/>
          </w:tcPr>
          <w:p w14:paraId="3551C0E0"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w:t>
            </w:r>
          </w:p>
        </w:tc>
        <w:tc>
          <w:tcPr>
            <w:tcW w:w="716" w:type="dxa"/>
            <w:tcBorders>
              <w:top w:val="nil"/>
              <w:left w:val="nil"/>
              <w:bottom w:val="single" w:sz="4" w:space="0" w:color="ADD6EA"/>
              <w:right w:val="nil"/>
            </w:tcBorders>
            <w:shd w:val="clear" w:color="auto" w:fill="auto"/>
            <w:noWrap/>
            <w:vAlign w:val="bottom"/>
            <w:hideMark/>
          </w:tcPr>
          <w:p w14:paraId="1C612359"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w:t>
            </w:r>
          </w:p>
        </w:tc>
        <w:tc>
          <w:tcPr>
            <w:tcW w:w="836" w:type="dxa"/>
            <w:tcBorders>
              <w:top w:val="nil"/>
              <w:left w:val="nil"/>
              <w:bottom w:val="single" w:sz="4" w:space="0" w:color="ADD6EA"/>
              <w:right w:val="nil"/>
            </w:tcBorders>
            <w:shd w:val="clear" w:color="auto" w:fill="auto"/>
            <w:noWrap/>
            <w:vAlign w:val="bottom"/>
            <w:hideMark/>
          </w:tcPr>
          <w:p w14:paraId="5595DC3B"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96</w:t>
            </w:r>
          </w:p>
        </w:tc>
      </w:tr>
      <w:tr w:rsidR="000765E5" w:rsidRPr="00454A6F" w14:paraId="02C291D2" w14:textId="77777777" w:rsidTr="00174DEB">
        <w:trPr>
          <w:trHeight w:val="315"/>
        </w:trPr>
        <w:tc>
          <w:tcPr>
            <w:tcW w:w="2456" w:type="dxa"/>
            <w:tcBorders>
              <w:top w:val="nil"/>
              <w:left w:val="nil"/>
              <w:bottom w:val="single" w:sz="4" w:space="0" w:color="ADD6EA"/>
              <w:right w:val="nil"/>
            </w:tcBorders>
            <w:shd w:val="clear" w:color="auto" w:fill="auto"/>
            <w:noWrap/>
            <w:vAlign w:val="bottom"/>
            <w:hideMark/>
          </w:tcPr>
          <w:p w14:paraId="25DE2663" w14:textId="77777777" w:rsidR="000765E5" w:rsidRPr="00454A6F" w:rsidRDefault="000765E5" w:rsidP="004D65FE">
            <w:pPr>
              <w:tabs>
                <w:tab w:val="clear" w:pos="567"/>
              </w:tabs>
              <w:spacing w:before="0" w:line="240" w:lineRule="auto"/>
              <w:rPr>
                <w:rFonts w:eastAsia="Times New Roman" w:cs="Open Sans Light"/>
                <w:sz w:val="16"/>
                <w:szCs w:val="16"/>
                <w:lang w:eastAsia="en-AU"/>
              </w:rPr>
            </w:pPr>
            <w:r w:rsidRPr="00454A6F">
              <w:rPr>
                <w:rFonts w:eastAsia="Times New Roman" w:cs="Open Sans Light"/>
                <w:sz w:val="16"/>
                <w:szCs w:val="16"/>
                <w:lang w:eastAsia="en-AU"/>
              </w:rPr>
              <w:t>Transport</w:t>
            </w:r>
          </w:p>
        </w:tc>
        <w:tc>
          <w:tcPr>
            <w:tcW w:w="716" w:type="dxa"/>
            <w:tcBorders>
              <w:top w:val="nil"/>
              <w:left w:val="nil"/>
              <w:bottom w:val="single" w:sz="4" w:space="0" w:color="ADD6EA"/>
              <w:right w:val="nil"/>
            </w:tcBorders>
            <w:shd w:val="clear" w:color="auto" w:fill="auto"/>
            <w:noWrap/>
            <w:vAlign w:val="bottom"/>
            <w:hideMark/>
          </w:tcPr>
          <w:p w14:paraId="567361EE"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10</w:t>
            </w:r>
          </w:p>
        </w:tc>
        <w:tc>
          <w:tcPr>
            <w:tcW w:w="716" w:type="dxa"/>
            <w:tcBorders>
              <w:top w:val="nil"/>
              <w:left w:val="nil"/>
              <w:bottom w:val="single" w:sz="4" w:space="0" w:color="ADD6EA"/>
              <w:right w:val="nil"/>
            </w:tcBorders>
            <w:shd w:val="clear" w:color="auto" w:fill="auto"/>
            <w:noWrap/>
            <w:vAlign w:val="bottom"/>
            <w:hideMark/>
          </w:tcPr>
          <w:p w14:paraId="2380C99E"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10</w:t>
            </w:r>
          </w:p>
        </w:tc>
        <w:tc>
          <w:tcPr>
            <w:tcW w:w="716" w:type="dxa"/>
            <w:tcBorders>
              <w:top w:val="nil"/>
              <w:left w:val="nil"/>
              <w:bottom w:val="single" w:sz="4" w:space="0" w:color="ADD6EA"/>
              <w:right w:val="nil"/>
            </w:tcBorders>
            <w:shd w:val="clear" w:color="auto" w:fill="auto"/>
            <w:noWrap/>
            <w:vAlign w:val="bottom"/>
            <w:hideMark/>
          </w:tcPr>
          <w:p w14:paraId="1EC38A4B"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10</w:t>
            </w:r>
          </w:p>
        </w:tc>
        <w:tc>
          <w:tcPr>
            <w:tcW w:w="716" w:type="dxa"/>
            <w:tcBorders>
              <w:top w:val="nil"/>
              <w:left w:val="nil"/>
              <w:bottom w:val="single" w:sz="4" w:space="0" w:color="ADD6EA"/>
              <w:right w:val="nil"/>
            </w:tcBorders>
            <w:shd w:val="clear" w:color="auto" w:fill="auto"/>
            <w:noWrap/>
            <w:vAlign w:val="bottom"/>
            <w:hideMark/>
          </w:tcPr>
          <w:p w14:paraId="4E9D1532"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10</w:t>
            </w:r>
          </w:p>
        </w:tc>
        <w:tc>
          <w:tcPr>
            <w:tcW w:w="716" w:type="dxa"/>
            <w:tcBorders>
              <w:top w:val="nil"/>
              <w:left w:val="nil"/>
              <w:bottom w:val="single" w:sz="4" w:space="0" w:color="ADD6EA"/>
              <w:right w:val="nil"/>
            </w:tcBorders>
            <w:shd w:val="clear" w:color="auto" w:fill="auto"/>
            <w:noWrap/>
            <w:vAlign w:val="bottom"/>
            <w:hideMark/>
          </w:tcPr>
          <w:p w14:paraId="7B42F09C"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10</w:t>
            </w:r>
          </w:p>
        </w:tc>
        <w:tc>
          <w:tcPr>
            <w:tcW w:w="716" w:type="dxa"/>
            <w:tcBorders>
              <w:top w:val="nil"/>
              <w:left w:val="nil"/>
              <w:bottom w:val="single" w:sz="4" w:space="0" w:color="ADD6EA"/>
              <w:right w:val="nil"/>
            </w:tcBorders>
            <w:shd w:val="clear" w:color="auto" w:fill="auto"/>
            <w:noWrap/>
            <w:vAlign w:val="bottom"/>
            <w:hideMark/>
          </w:tcPr>
          <w:p w14:paraId="52157B85"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10</w:t>
            </w:r>
          </w:p>
        </w:tc>
        <w:tc>
          <w:tcPr>
            <w:tcW w:w="716" w:type="dxa"/>
            <w:tcBorders>
              <w:top w:val="nil"/>
              <w:left w:val="nil"/>
              <w:bottom w:val="single" w:sz="4" w:space="0" w:color="ADD6EA"/>
              <w:right w:val="nil"/>
            </w:tcBorders>
            <w:shd w:val="clear" w:color="auto" w:fill="auto"/>
            <w:noWrap/>
            <w:vAlign w:val="bottom"/>
            <w:hideMark/>
          </w:tcPr>
          <w:p w14:paraId="1D30780F"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9</w:t>
            </w:r>
          </w:p>
        </w:tc>
        <w:tc>
          <w:tcPr>
            <w:tcW w:w="716" w:type="dxa"/>
            <w:tcBorders>
              <w:top w:val="nil"/>
              <w:left w:val="nil"/>
              <w:bottom w:val="single" w:sz="4" w:space="0" w:color="ADD6EA"/>
              <w:right w:val="nil"/>
            </w:tcBorders>
            <w:shd w:val="clear" w:color="auto" w:fill="auto"/>
            <w:noWrap/>
            <w:vAlign w:val="bottom"/>
            <w:hideMark/>
          </w:tcPr>
          <w:p w14:paraId="677A89A6"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10</w:t>
            </w:r>
          </w:p>
        </w:tc>
        <w:tc>
          <w:tcPr>
            <w:tcW w:w="836" w:type="dxa"/>
            <w:tcBorders>
              <w:top w:val="nil"/>
              <w:left w:val="nil"/>
              <w:bottom w:val="single" w:sz="4" w:space="0" w:color="ADD6EA"/>
              <w:right w:val="nil"/>
            </w:tcBorders>
            <w:shd w:val="clear" w:color="auto" w:fill="auto"/>
            <w:noWrap/>
            <w:vAlign w:val="bottom"/>
            <w:hideMark/>
          </w:tcPr>
          <w:p w14:paraId="62FF99F7"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79</w:t>
            </w:r>
          </w:p>
        </w:tc>
      </w:tr>
      <w:tr w:rsidR="000765E5" w:rsidRPr="00454A6F" w14:paraId="171F477D" w14:textId="77777777" w:rsidTr="00174DEB">
        <w:trPr>
          <w:trHeight w:val="315"/>
        </w:trPr>
        <w:tc>
          <w:tcPr>
            <w:tcW w:w="2456" w:type="dxa"/>
            <w:tcBorders>
              <w:top w:val="nil"/>
              <w:left w:val="nil"/>
              <w:bottom w:val="single" w:sz="4" w:space="0" w:color="ADD6EA"/>
              <w:right w:val="nil"/>
            </w:tcBorders>
            <w:shd w:val="clear" w:color="auto" w:fill="auto"/>
            <w:noWrap/>
            <w:vAlign w:val="bottom"/>
            <w:hideMark/>
          </w:tcPr>
          <w:p w14:paraId="7D60C6C7" w14:textId="77777777" w:rsidR="000765E5" w:rsidRPr="00454A6F" w:rsidRDefault="000765E5" w:rsidP="004D65FE">
            <w:pPr>
              <w:tabs>
                <w:tab w:val="clear" w:pos="567"/>
              </w:tabs>
              <w:spacing w:before="0" w:line="240" w:lineRule="auto"/>
              <w:rPr>
                <w:rFonts w:eastAsia="Times New Roman" w:cs="Open Sans Light"/>
                <w:sz w:val="16"/>
                <w:szCs w:val="16"/>
                <w:lang w:eastAsia="en-AU"/>
              </w:rPr>
            </w:pPr>
            <w:r w:rsidRPr="00454A6F">
              <w:rPr>
                <w:rFonts w:eastAsia="Times New Roman" w:cs="Open Sans Light"/>
                <w:sz w:val="16"/>
                <w:szCs w:val="16"/>
                <w:lang w:eastAsia="en-AU"/>
              </w:rPr>
              <w:t>Services to industry</w:t>
            </w:r>
          </w:p>
        </w:tc>
        <w:tc>
          <w:tcPr>
            <w:tcW w:w="716" w:type="dxa"/>
            <w:tcBorders>
              <w:top w:val="nil"/>
              <w:left w:val="nil"/>
              <w:bottom w:val="single" w:sz="4" w:space="0" w:color="ADD6EA"/>
              <w:right w:val="nil"/>
            </w:tcBorders>
            <w:shd w:val="clear" w:color="auto" w:fill="auto"/>
            <w:noWrap/>
            <w:vAlign w:val="bottom"/>
            <w:hideMark/>
          </w:tcPr>
          <w:p w14:paraId="04B6C7EB"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33</w:t>
            </w:r>
          </w:p>
        </w:tc>
        <w:tc>
          <w:tcPr>
            <w:tcW w:w="716" w:type="dxa"/>
            <w:tcBorders>
              <w:top w:val="nil"/>
              <w:left w:val="nil"/>
              <w:bottom w:val="single" w:sz="4" w:space="0" w:color="ADD6EA"/>
              <w:right w:val="nil"/>
            </w:tcBorders>
            <w:shd w:val="clear" w:color="auto" w:fill="auto"/>
            <w:noWrap/>
            <w:vAlign w:val="bottom"/>
            <w:hideMark/>
          </w:tcPr>
          <w:p w14:paraId="73204415"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33</w:t>
            </w:r>
          </w:p>
        </w:tc>
        <w:tc>
          <w:tcPr>
            <w:tcW w:w="716" w:type="dxa"/>
            <w:tcBorders>
              <w:top w:val="nil"/>
              <w:left w:val="nil"/>
              <w:bottom w:val="single" w:sz="4" w:space="0" w:color="ADD6EA"/>
              <w:right w:val="nil"/>
            </w:tcBorders>
            <w:shd w:val="clear" w:color="auto" w:fill="auto"/>
            <w:noWrap/>
            <w:vAlign w:val="bottom"/>
            <w:hideMark/>
          </w:tcPr>
          <w:p w14:paraId="37E0BEEF"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33</w:t>
            </w:r>
          </w:p>
        </w:tc>
        <w:tc>
          <w:tcPr>
            <w:tcW w:w="716" w:type="dxa"/>
            <w:tcBorders>
              <w:top w:val="nil"/>
              <w:left w:val="nil"/>
              <w:bottom w:val="single" w:sz="4" w:space="0" w:color="ADD6EA"/>
              <w:right w:val="nil"/>
            </w:tcBorders>
            <w:shd w:val="clear" w:color="auto" w:fill="auto"/>
            <w:noWrap/>
            <w:vAlign w:val="bottom"/>
            <w:hideMark/>
          </w:tcPr>
          <w:p w14:paraId="4409A07B"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33</w:t>
            </w:r>
          </w:p>
        </w:tc>
        <w:tc>
          <w:tcPr>
            <w:tcW w:w="716" w:type="dxa"/>
            <w:tcBorders>
              <w:top w:val="nil"/>
              <w:left w:val="nil"/>
              <w:bottom w:val="single" w:sz="4" w:space="0" w:color="ADD6EA"/>
              <w:right w:val="nil"/>
            </w:tcBorders>
            <w:shd w:val="clear" w:color="auto" w:fill="auto"/>
            <w:noWrap/>
            <w:vAlign w:val="bottom"/>
            <w:hideMark/>
          </w:tcPr>
          <w:p w14:paraId="405E575D"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33</w:t>
            </w:r>
          </w:p>
        </w:tc>
        <w:tc>
          <w:tcPr>
            <w:tcW w:w="716" w:type="dxa"/>
            <w:tcBorders>
              <w:top w:val="nil"/>
              <w:left w:val="nil"/>
              <w:bottom w:val="single" w:sz="4" w:space="0" w:color="ADD6EA"/>
              <w:right w:val="nil"/>
            </w:tcBorders>
            <w:shd w:val="clear" w:color="auto" w:fill="auto"/>
            <w:noWrap/>
            <w:vAlign w:val="bottom"/>
            <w:hideMark/>
          </w:tcPr>
          <w:p w14:paraId="7E4A6BF7"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33</w:t>
            </w:r>
          </w:p>
        </w:tc>
        <w:tc>
          <w:tcPr>
            <w:tcW w:w="716" w:type="dxa"/>
            <w:tcBorders>
              <w:top w:val="nil"/>
              <w:left w:val="nil"/>
              <w:bottom w:val="single" w:sz="4" w:space="0" w:color="ADD6EA"/>
              <w:right w:val="nil"/>
            </w:tcBorders>
            <w:shd w:val="clear" w:color="auto" w:fill="auto"/>
            <w:noWrap/>
            <w:vAlign w:val="bottom"/>
            <w:hideMark/>
          </w:tcPr>
          <w:p w14:paraId="081CD320"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23</w:t>
            </w:r>
          </w:p>
        </w:tc>
        <w:tc>
          <w:tcPr>
            <w:tcW w:w="716" w:type="dxa"/>
            <w:tcBorders>
              <w:top w:val="nil"/>
              <w:left w:val="nil"/>
              <w:bottom w:val="single" w:sz="4" w:space="0" w:color="ADD6EA"/>
              <w:right w:val="nil"/>
            </w:tcBorders>
            <w:shd w:val="clear" w:color="auto" w:fill="auto"/>
            <w:noWrap/>
            <w:vAlign w:val="bottom"/>
            <w:hideMark/>
          </w:tcPr>
          <w:p w14:paraId="54DC37C8"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33</w:t>
            </w:r>
          </w:p>
        </w:tc>
        <w:tc>
          <w:tcPr>
            <w:tcW w:w="836" w:type="dxa"/>
            <w:tcBorders>
              <w:top w:val="nil"/>
              <w:left w:val="nil"/>
              <w:bottom w:val="single" w:sz="4" w:space="0" w:color="ADD6EA"/>
              <w:right w:val="nil"/>
            </w:tcBorders>
            <w:shd w:val="clear" w:color="auto" w:fill="auto"/>
            <w:noWrap/>
            <w:vAlign w:val="bottom"/>
            <w:hideMark/>
          </w:tcPr>
          <w:p w14:paraId="1F54E699"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252</w:t>
            </w:r>
          </w:p>
        </w:tc>
      </w:tr>
      <w:tr w:rsidR="000765E5" w:rsidRPr="00454A6F" w14:paraId="291EDAF3" w14:textId="77777777" w:rsidTr="00174DEB">
        <w:trPr>
          <w:trHeight w:val="315"/>
        </w:trPr>
        <w:tc>
          <w:tcPr>
            <w:tcW w:w="2456" w:type="dxa"/>
            <w:tcBorders>
              <w:top w:val="nil"/>
              <w:left w:val="nil"/>
              <w:bottom w:val="single" w:sz="4" w:space="0" w:color="ADD6EA"/>
              <w:right w:val="nil"/>
            </w:tcBorders>
            <w:shd w:val="clear" w:color="auto" w:fill="auto"/>
            <w:noWrap/>
            <w:vAlign w:val="bottom"/>
            <w:hideMark/>
          </w:tcPr>
          <w:p w14:paraId="260639F6" w14:textId="77777777" w:rsidR="000765E5" w:rsidRPr="00454A6F" w:rsidRDefault="000765E5" w:rsidP="004D65FE">
            <w:pPr>
              <w:tabs>
                <w:tab w:val="clear" w:pos="567"/>
              </w:tabs>
              <w:spacing w:before="0" w:line="240" w:lineRule="auto"/>
              <w:rPr>
                <w:rFonts w:eastAsia="Times New Roman" w:cs="Open Sans Light"/>
                <w:sz w:val="16"/>
                <w:szCs w:val="16"/>
                <w:lang w:eastAsia="en-AU"/>
              </w:rPr>
            </w:pPr>
            <w:r w:rsidRPr="00454A6F">
              <w:rPr>
                <w:rFonts w:eastAsia="Times New Roman" w:cs="Open Sans Light"/>
                <w:sz w:val="16"/>
                <w:szCs w:val="16"/>
                <w:lang w:eastAsia="en-AU"/>
              </w:rPr>
              <w:t>Other expenses</w:t>
            </w:r>
          </w:p>
        </w:tc>
        <w:tc>
          <w:tcPr>
            <w:tcW w:w="716" w:type="dxa"/>
            <w:tcBorders>
              <w:top w:val="nil"/>
              <w:left w:val="nil"/>
              <w:bottom w:val="single" w:sz="4" w:space="0" w:color="ADD6EA"/>
              <w:right w:val="nil"/>
            </w:tcBorders>
            <w:shd w:val="clear" w:color="auto" w:fill="auto"/>
            <w:noWrap/>
            <w:vAlign w:val="bottom"/>
            <w:hideMark/>
          </w:tcPr>
          <w:p w14:paraId="57EA6B02"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122</w:t>
            </w:r>
          </w:p>
        </w:tc>
        <w:tc>
          <w:tcPr>
            <w:tcW w:w="716" w:type="dxa"/>
            <w:tcBorders>
              <w:top w:val="nil"/>
              <w:left w:val="nil"/>
              <w:bottom w:val="single" w:sz="4" w:space="0" w:color="ADD6EA"/>
              <w:right w:val="nil"/>
            </w:tcBorders>
            <w:shd w:val="clear" w:color="auto" w:fill="auto"/>
            <w:noWrap/>
            <w:vAlign w:val="bottom"/>
            <w:hideMark/>
          </w:tcPr>
          <w:p w14:paraId="571800FE"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122</w:t>
            </w:r>
          </w:p>
        </w:tc>
        <w:tc>
          <w:tcPr>
            <w:tcW w:w="716" w:type="dxa"/>
            <w:tcBorders>
              <w:top w:val="nil"/>
              <w:left w:val="nil"/>
              <w:bottom w:val="single" w:sz="4" w:space="0" w:color="ADD6EA"/>
              <w:right w:val="nil"/>
            </w:tcBorders>
            <w:shd w:val="clear" w:color="auto" w:fill="auto"/>
            <w:noWrap/>
            <w:vAlign w:val="bottom"/>
            <w:hideMark/>
          </w:tcPr>
          <w:p w14:paraId="4EEB053C"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122</w:t>
            </w:r>
          </w:p>
        </w:tc>
        <w:tc>
          <w:tcPr>
            <w:tcW w:w="716" w:type="dxa"/>
            <w:tcBorders>
              <w:top w:val="nil"/>
              <w:left w:val="nil"/>
              <w:bottom w:val="single" w:sz="4" w:space="0" w:color="ADD6EA"/>
              <w:right w:val="nil"/>
            </w:tcBorders>
            <w:shd w:val="clear" w:color="auto" w:fill="auto"/>
            <w:noWrap/>
            <w:vAlign w:val="bottom"/>
            <w:hideMark/>
          </w:tcPr>
          <w:p w14:paraId="2934BD65"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122</w:t>
            </w:r>
          </w:p>
        </w:tc>
        <w:tc>
          <w:tcPr>
            <w:tcW w:w="716" w:type="dxa"/>
            <w:tcBorders>
              <w:top w:val="nil"/>
              <w:left w:val="nil"/>
              <w:bottom w:val="single" w:sz="4" w:space="0" w:color="ADD6EA"/>
              <w:right w:val="nil"/>
            </w:tcBorders>
            <w:shd w:val="clear" w:color="auto" w:fill="auto"/>
            <w:noWrap/>
            <w:vAlign w:val="bottom"/>
            <w:hideMark/>
          </w:tcPr>
          <w:p w14:paraId="67528310"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122</w:t>
            </w:r>
          </w:p>
        </w:tc>
        <w:tc>
          <w:tcPr>
            <w:tcW w:w="716" w:type="dxa"/>
            <w:tcBorders>
              <w:top w:val="nil"/>
              <w:left w:val="nil"/>
              <w:bottom w:val="single" w:sz="4" w:space="0" w:color="ADD6EA"/>
              <w:right w:val="nil"/>
            </w:tcBorders>
            <w:shd w:val="clear" w:color="auto" w:fill="auto"/>
            <w:noWrap/>
            <w:vAlign w:val="bottom"/>
            <w:hideMark/>
          </w:tcPr>
          <w:p w14:paraId="637ADF91"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122</w:t>
            </w:r>
          </w:p>
        </w:tc>
        <w:tc>
          <w:tcPr>
            <w:tcW w:w="716" w:type="dxa"/>
            <w:tcBorders>
              <w:top w:val="nil"/>
              <w:left w:val="nil"/>
              <w:bottom w:val="single" w:sz="4" w:space="0" w:color="ADD6EA"/>
              <w:right w:val="nil"/>
            </w:tcBorders>
            <w:shd w:val="clear" w:color="auto" w:fill="auto"/>
            <w:noWrap/>
            <w:vAlign w:val="bottom"/>
            <w:hideMark/>
          </w:tcPr>
          <w:p w14:paraId="7BDFA6F2"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122</w:t>
            </w:r>
          </w:p>
        </w:tc>
        <w:tc>
          <w:tcPr>
            <w:tcW w:w="716" w:type="dxa"/>
            <w:tcBorders>
              <w:top w:val="nil"/>
              <w:left w:val="nil"/>
              <w:bottom w:val="single" w:sz="4" w:space="0" w:color="ADD6EA"/>
              <w:right w:val="nil"/>
            </w:tcBorders>
            <w:shd w:val="clear" w:color="auto" w:fill="auto"/>
            <w:noWrap/>
            <w:vAlign w:val="bottom"/>
            <w:hideMark/>
          </w:tcPr>
          <w:p w14:paraId="4E1499FC"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124</w:t>
            </w:r>
          </w:p>
        </w:tc>
        <w:tc>
          <w:tcPr>
            <w:tcW w:w="836" w:type="dxa"/>
            <w:tcBorders>
              <w:top w:val="nil"/>
              <w:left w:val="nil"/>
              <w:bottom w:val="single" w:sz="4" w:space="0" w:color="ADD6EA"/>
              <w:right w:val="nil"/>
            </w:tcBorders>
            <w:shd w:val="clear" w:color="auto" w:fill="auto"/>
            <w:noWrap/>
            <w:vAlign w:val="bottom"/>
            <w:hideMark/>
          </w:tcPr>
          <w:p w14:paraId="07642CFF" w14:textId="77777777" w:rsidR="000765E5" w:rsidRPr="00454A6F" w:rsidRDefault="000765E5" w:rsidP="004D65FE">
            <w:pPr>
              <w:tabs>
                <w:tab w:val="clear" w:pos="567"/>
              </w:tabs>
              <w:spacing w:before="0" w:line="240" w:lineRule="auto"/>
              <w:jc w:val="right"/>
              <w:rPr>
                <w:rFonts w:eastAsia="Times New Roman" w:cs="Open Sans Light"/>
                <w:sz w:val="16"/>
                <w:szCs w:val="16"/>
                <w:lang w:eastAsia="en-AU"/>
              </w:rPr>
            </w:pPr>
            <w:r w:rsidRPr="00454A6F">
              <w:rPr>
                <w:rFonts w:eastAsia="Times New Roman" w:cs="Open Sans Light"/>
                <w:sz w:val="16"/>
                <w:szCs w:val="16"/>
                <w:lang w:eastAsia="en-AU"/>
              </w:rPr>
              <w:t>978</w:t>
            </w:r>
          </w:p>
        </w:tc>
      </w:tr>
      <w:tr w:rsidR="000765E5" w:rsidRPr="00454A6F" w14:paraId="5E3FAFE6" w14:textId="77777777" w:rsidTr="00174DEB">
        <w:trPr>
          <w:trHeight w:val="315"/>
        </w:trPr>
        <w:tc>
          <w:tcPr>
            <w:tcW w:w="2456" w:type="dxa"/>
            <w:tcBorders>
              <w:top w:val="nil"/>
              <w:left w:val="nil"/>
              <w:bottom w:val="single" w:sz="4" w:space="0" w:color="ADD6EA"/>
              <w:right w:val="nil"/>
            </w:tcBorders>
            <w:shd w:val="clear" w:color="000000" w:fill="D6E7F0"/>
            <w:noWrap/>
            <w:vAlign w:val="bottom"/>
            <w:hideMark/>
          </w:tcPr>
          <w:p w14:paraId="1FC26B7B" w14:textId="77777777" w:rsidR="000765E5" w:rsidRPr="00454A6F" w:rsidRDefault="000765E5"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Total</w:t>
            </w:r>
          </w:p>
        </w:tc>
        <w:tc>
          <w:tcPr>
            <w:tcW w:w="716" w:type="dxa"/>
            <w:tcBorders>
              <w:top w:val="nil"/>
              <w:left w:val="nil"/>
              <w:bottom w:val="single" w:sz="4" w:space="0" w:color="ADD6EA"/>
              <w:right w:val="nil"/>
            </w:tcBorders>
            <w:shd w:val="clear" w:color="000000" w:fill="D6E7F0"/>
            <w:noWrap/>
            <w:vAlign w:val="bottom"/>
            <w:hideMark/>
          </w:tcPr>
          <w:p w14:paraId="00A200F0"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353</w:t>
            </w:r>
          </w:p>
        </w:tc>
        <w:tc>
          <w:tcPr>
            <w:tcW w:w="716" w:type="dxa"/>
            <w:tcBorders>
              <w:top w:val="nil"/>
              <w:left w:val="nil"/>
              <w:bottom w:val="single" w:sz="4" w:space="0" w:color="ADD6EA"/>
              <w:right w:val="nil"/>
            </w:tcBorders>
            <w:shd w:val="clear" w:color="000000" w:fill="D6E7F0"/>
            <w:noWrap/>
            <w:vAlign w:val="bottom"/>
            <w:hideMark/>
          </w:tcPr>
          <w:p w14:paraId="620AB3F4"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353</w:t>
            </w:r>
          </w:p>
        </w:tc>
        <w:tc>
          <w:tcPr>
            <w:tcW w:w="716" w:type="dxa"/>
            <w:tcBorders>
              <w:top w:val="nil"/>
              <w:left w:val="nil"/>
              <w:bottom w:val="single" w:sz="4" w:space="0" w:color="ADD6EA"/>
              <w:right w:val="nil"/>
            </w:tcBorders>
            <w:shd w:val="clear" w:color="000000" w:fill="D6E7F0"/>
            <w:noWrap/>
            <w:vAlign w:val="bottom"/>
            <w:hideMark/>
          </w:tcPr>
          <w:p w14:paraId="4FA67D65"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353</w:t>
            </w:r>
          </w:p>
        </w:tc>
        <w:tc>
          <w:tcPr>
            <w:tcW w:w="716" w:type="dxa"/>
            <w:tcBorders>
              <w:top w:val="nil"/>
              <w:left w:val="nil"/>
              <w:bottom w:val="single" w:sz="4" w:space="0" w:color="ADD6EA"/>
              <w:right w:val="nil"/>
            </w:tcBorders>
            <w:shd w:val="clear" w:color="000000" w:fill="D6E7F0"/>
            <w:noWrap/>
            <w:vAlign w:val="bottom"/>
            <w:hideMark/>
          </w:tcPr>
          <w:p w14:paraId="41256442"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353</w:t>
            </w:r>
          </w:p>
        </w:tc>
        <w:tc>
          <w:tcPr>
            <w:tcW w:w="716" w:type="dxa"/>
            <w:tcBorders>
              <w:top w:val="nil"/>
              <w:left w:val="nil"/>
              <w:bottom w:val="single" w:sz="4" w:space="0" w:color="ADD6EA"/>
              <w:right w:val="nil"/>
            </w:tcBorders>
            <w:shd w:val="clear" w:color="000000" w:fill="D6E7F0"/>
            <w:noWrap/>
            <w:vAlign w:val="bottom"/>
            <w:hideMark/>
          </w:tcPr>
          <w:p w14:paraId="52840647"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353</w:t>
            </w:r>
          </w:p>
        </w:tc>
        <w:tc>
          <w:tcPr>
            <w:tcW w:w="716" w:type="dxa"/>
            <w:tcBorders>
              <w:top w:val="nil"/>
              <w:left w:val="nil"/>
              <w:bottom w:val="single" w:sz="4" w:space="0" w:color="ADD6EA"/>
              <w:right w:val="nil"/>
            </w:tcBorders>
            <w:shd w:val="clear" w:color="000000" w:fill="D6E7F0"/>
            <w:noWrap/>
            <w:vAlign w:val="bottom"/>
            <w:hideMark/>
          </w:tcPr>
          <w:p w14:paraId="2DF1A484"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353</w:t>
            </w:r>
          </w:p>
        </w:tc>
        <w:tc>
          <w:tcPr>
            <w:tcW w:w="716" w:type="dxa"/>
            <w:tcBorders>
              <w:top w:val="nil"/>
              <w:left w:val="nil"/>
              <w:bottom w:val="single" w:sz="4" w:space="0" w:color="ADD6EA"/>
              <w:right w:val="nil"/>
            </w:tcBorders>
            <w:shd w:val="clear" w:color="000000" w:fill="D6E7F0"/>
            <w:noWrap/>
            <w:vAlign w:val="bottom"/>
            <w:hideMark/>
          </w:tcPr>
          <w:p w14:paraId="2A4123D0"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342</w:t>
            </w:r>
          </w:p>
        </w:tc>
        <w:tc>
          <w:tcPr>
            <w:tcW w:w="716" w:type="dxa"/>
            <w:tcBorders>
              <w:top w:val="nil"/>
              <w:left w:val="nil"/>
              <w:bottom w:val="single" w:sz="4" w:space="0" w:color="ADD6EA"/>
              <w:right w:val="nil"/>
            </w:tcBorders>
            <w:shd w:val="clear" w:color="000000" w:fill="D6E7F0"/>
            <w:noWrap/>
            <w:vAlign w:val="bottom"/>
            <w:hideMark/>
          </w:tcPr>
          <w:p w14:paraId="20079D75"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355</w:t>
            </w:r>
          </w:p>
        </w:tc>
        <w:tc>
          <w:tcPr>
            <w:tcW w:w="836" w:type="dxa"/>
            <w:tcBorders>
              <w:top w:val="nil"/>
              <w:left w:val="nil"/>
              <w:bottom w:val="single" w:sz="4" w:space="0" w:color="ADD6EA"/>
              <w:right w:val="nil"/>
            </w:tcBorders>
            <w:shd w:val="clear" w:color="000000" w:fill="D6E7F0"/>
            <w:noWrap/>
            <w:vAlign w:val="bottom"/>
            <w:hideMark/>
          </w:tcPr>
          <w:p w14:paraId="5F306280"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2,815</w:t>
            </w:r>
          </w:p>
        </w:tc>
      </w:tr>
      <w:tr w:rsidR="000765E5" w:rsidRPr="00454A6F" w14:paraId="5FC127A0" w14:textId="77777777" w:rsidTr="00174DEB">
        <w:trPr>
          <w:trHeight w:val="300"/>
        </w:trPr>
        <w:tc>
          <w:tcPr>
            <w:tcW w:w="2456" w:type="dxa"/>
            <w:tcBorders>
              <w:top w:val="nil"/>
              <w:left w:val="nil"/>
              <w:bottom w:val="single" w:sz="4" w:space="0" w:color="ADD6EA"/>
              <w:right w:val="nil"/>
            </w:tcBorders>
            <w:shd w:val="clear" w:color="000000" w:fill="D6E7F0"/>
            <w:noWrap/>
            <w:vAlign w:val="bottom"/>
            <w:hideMark/>
          </w:tcPr>
          <w:p w14:paraId="4C4BFDDE" w14:textId="77777777" w:rsidR="000765E5" w:rsidRPr="00454A6F" w:rsidRDefault="000765E5"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Total ($pc)</w:t>
            </w:r>
          </w:p>
        </w:tc>
        <w:tc>
          <w:tcPr>
            <w:tcW w:w="716" w:type="dxa"/>
            <w:tcBorders>
              <w:top w:val="nil"/>
              <w:left w:val="nil"/>
              <w:bottom w:val="single" w:sz="4" w:space="0" w:color="ADD6EA"/>
              <w:right w:val="nil"/>
            </w:tcBorders>
            <w:shd w:val="clear" w:color="000000" w:fill="D6E7F0"/>
            <w:noWrap/>
            <w:vAlign w:val="bottom"/>
            <w:hideMark/>
          </w:tcPr>
          <w:p w14:paraId="1A571C65"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44</w:t>
            </w:r>
          </w:p>
        </w:tc>
        <w:tc>
          <w:tcPr>
            <w:tcW w:w="716" w:type="dxa"/>
            <w:tcBorders>
              <w:top w:val="nil"/>
              <w:left w:val="nil"/>
              <w:bottom w:val="single" w:sz="4" w:space="0" w:color="ADD6EA"/>
              <w:right w:val="nil"/>
            </w:tcBorders>
            <w:shd w:val="clear" w:color="000000" w:fill="D6E7F0"/>
            <w:noWrap/>
            <w:vAlign w:val="bottom"/>
            <w:hideMark/>
          </w:tcPr>
          <w:p w14:paraId="1AE91401"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54</w:t>
            </w:r>
          </w:p>
        </w:tc>
        <w:tc>
          <w:tcPr>
            <w:tcW w:w="716" w:type="dxa"/>
            <w:tcBorders>
              <w:top w:val="nil"/>
              <w:left w:val="nil"/>
              <w:bottom w:val="single" w:sz="4" w:space="0" w:color="ADD6EA"/>
              <w:right w:val="nil"/>
            </w:tcBorders>
            <w:shd w:val="clear" w:color="000000" w:fill="D6E7F0"/>
            <w:noWrap/>
            <w:vAlign w:val="bottom"/>
            <w:hideMark/>
          </w:tcPr>
          <w:p w14:paraId="7AB11E83"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70</w:t>
            </w:r>
          </w:p>
        </w:tc>
        <w:tc>
          <w:tcPr>
            <w:tcW w:w="716" w:type="dxa"/>
            <w:tcBorders>
              <w:top w:val="nil"/>
              <w:left w:val="nil"/>
              <w:bottom w:val="single" w:sz="4" w:space="0" w:color="ADD6EA"/>
              <w:right w:val="nil"/>
            </w:tcBorders>
            <w:shd w:val="clear" w:color="000000" w:fill="D6E7F0"/>
            <w:noWrap/>
            <w:vAlign w:val="bottom"/>
            <w:hideMark/>
          </w:tcPr>
          <w:p w14:paraId="77EC719C"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135</w:t>
            </w:r>
          </w:p>
        </w:tc>
        <w:tc>
          <w:tcPr>
            <w:tcW w:w="716" w:type="dxa"/>
            <w:tcBorders>
              <w:top w:val="nil"/>
              <w:left w:val="nil"/>
              <w:bottom w:val="single" w:sz="4" w:space="0" w:color="ADD6EA"/>
              <w:right w:val="nil"/>
            </w:tcBorders>
            <w:shd w:val="clear" w:color="000000" w:fill="D6E7F0"/>
            <w:noWrap/>
            <w:vAlign w:val="bottom"/>
            <w:hideMark/>
          </w:tcPr>
          <w:p w14:paraId="44CF6EC6"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203</w:t>
            </w:r>
          </w:p>
        </w:tc>
        <w:tc>
          <w:tcPr>
            <w:tcW w:w="716" w:type="dxa"/>
            <w:tcBorders>
              <w:top w:val="nil"/>
              <w:left w:val="nil"/>
              <w:bottom w:val="single" w:sz="4" w:space="0" w:color="ADD6EA"/>
              <w:right w:val="nil"/>
            </w:tcBorders>
            <w:shd w:val="clear" w:color="000000" w:fill="D6E7F0"/>
            <w:noWrap/>
            <w:vAlign w:val="bottom"/>
            <w:hideMark/>
          </w:tcPr>
          <w:p w14:paraId="64D97A91"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664</w:t>
            </w:r>
          </w:p>
        </w:tc>
        <w:tc>
          <w:tcPr>
            <w:tcW w:w="716" w:type="dxa"/>
            <w:tcBorders>
              <w:top w:val="nil"/>
              <w:left w:val="nil"/>
              <w:bottom w:val="single" w:sz="4" w:space="0" w:color="ADD6EA"/>
              <w:right w:val="nil"/>
            </w:tcBorders>
            <w:shd w:val="clear" w:color="000000" w:fill="D6E7F0"/>
            <w:noWrap/>
            <w:vAlign w:val="bottom"/>
            <w:hideMark/>
          </w:tcPr>
          <w:p w14:paraId="06400850"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807</w:t>
            </w:r>
          </w:p>
        </w:tc>
        <w:tc>
          <w:tcPr>
            <w:tcW w:w="716" w:type="dxa"/>
            <w:tcBorders>
              <w:top w:val="nil"/>
              <w:left w:val="nil"/>
              <w:bottom w:val="single" w:sz="4" w:space="0" w:color="ADD6EA"/>
              <w:right w:val="nil"/>
            </w:tcBorders>
            <w:shd w:val="clear" w:color="000000" w:fill="D6E7F0"/>
            <w:noWrap/>
            <w:vAlign w:val="bottom"/>
            <w:hideMark/>
          </w:tcPr>
          <w:p w14:paraId="618B8D4C"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1,446</w:t>
            </w:r>
          </w:p>
        </w:tc>
        <w:tc>
          <w:tcPr>
            <w:tcW w:w="836" w:type="dxa"/>
            <w:tcBorders>
              <w:top w:val="nil"/>
              <w:left w:val="nil"/>
              <w:bottom w:val="single" w:sz="4" w:space="0" w:color="ADD6EA"/>
              <w:right w:val="nil"/>
            </w:tcBorders>
            <w:shd w:val="clear" w:color="000000" w:fill="D6E7F0"/>
            <w:noWrap/>
            <w:vAlign w:val="bottom"/>
            <w:hideMark/>
          </w:tcPr>
          <w:p w14:paraId="41B88B34" w14:textId="77777777" w:rsidR="000765E5" w:rsidRPr="00454A6F"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54A6F">
              <w:rPr>
                <w:rFonts w:ascii="Open Sans SemiBold" w:eastAsia="Times New Roman" w:hAnsi="Open Sans SemiBold" w:cs="Open Sans SemiBold"/>
                <w:color w:val="000000"/>
                <w:sz w:val="16"/>
                <w:szCs w:val="16"/>
                <w:lang w:eastAsia="en-AU"/>
              </w:rPr>
              <w:t>112</w:t>
            </w:r>
          </w:p>
        </w:tc>
      </w:tr>
    </w:tbl>
    <w:p w14:paraId="101A07E2" w14:textId="2E3BCEA8" w:rsidR="000765E5" w:rsidRDefault="000765E5" w:rsidP="000765E5">
      <w:pPr>
        <w:pStyle w:val="CGCTablenote"/>
      </w:pPr>
      <w:bookmarkStart w:id="472" w:name="RANGE!A3:J16"/>
      <w:bookmarkEnd w:id="472"/>
      <w:r>
        <w:t xml:space="preserve">Note: </w:t>
      </w:r>
      <w:r>
        <w:tab/>
        <w:t xml:space="preserve">Estimated </w:t>
      </w:r>
      <w:r w:rsidR="00F71663">
        <w:t>administrative scale</w:t>
      </w:r>
      <w:r>
        <w:t xml:space="preserve"> costs for 2016-17 scaled to 2018</w:t>
      </w:r>
      <w:r>
        <w:noBreakHyphen/>
        <w:t xml:space="preserve">19 using the </w:t>
      </w:r>
      <w:r w:rsidR="00C64FE6">
        <w:t xml:space="preserve">Australian Bureau of Statistics (ABS) </w:t>
      </w:r>
      <w:r>
        <w:t xml:space="preserve">State and local government final consumption </w:t>
      </w:r>
      <w:r w:rsidRPr="001B1D22">
        <w:t>deflator</w:t>
      </w:r>
      <w:r w:rsidR="002B6C32">
        <w:t xml:space="preserve"> (SLGFCE)</w:t>
      </w:r>
      <w:r>
        <w:t>.</w:t>
      </w:r>
    </w:p>
    <w:p w14:paraId="51AD2C03" w14:textId="77777777" w:rsidR="000765E5" w:rsidRPr="0014515C" w:rsidRDefault="000765E5" w:rsidP="000765E5">
      <w:pPr>
        <w:pStyle w:val="CGCTablenote"/>
        <w:rPr>
          <w:u w:val="single"/>
        </w:rPr>
      </w:pPr>
      <w:r>
        <w:t>Source:</w:t>
      </w:r>
      <w:r>
        <w:tab/>
        <w:t>Commission</w:t>
      </w:r>
      <w:r w:rsidRPr="00DE4289">
        <w:t xml:space="preserve"> calculation.</w:t>
      </w:r>
    </w:p>
    <w:p w14:paraId="7B7E50CB" w14:textId="77777777" w:rsidR="000765E5" w:rsidRDefault="000765E5" w:rsidP="00F47EC7">
      <w:pPr>
        <w:pStyle w:val="CGCParaNumber"/>
      </w:pPr>
      <w:r>
        <w:t>The estimates reflect a detailed examination of the services States provide and the organisational structures used to provide them. As such, they take account of changes in services provided and necessary resources since the administrative scale costs were last estimated in the 2004 Review. The new costings use data for 2016-17.</w:t>
      </w:r>
    </w:p>
    <w:p w14:paraId="37EE768E" w14:textId="7406372B" w:rsidR="000765E5" w:rsidRDefault="000765E5" w:rsidP="00F47EC7">
      <w:pPr>
        <w:pStyle w:val="CGCParaNumber"/>
      </w:pPr>
      <w:r>
        <w:t xml:space="preserve">The Commission will </w:t>
      </w:r>
      <w:r w:rsidRPr="00B81832">
        <w:t>keep the administrative scale expenses up to date following the 2020</w:t>
      </w:r>
      <w:r w:rsidR="00590ECB">
        <w:t> </w:t>
      </w:r>
      <w:r w:rsidRPr="00B81832">
        <w:t xml:space="preserve">Review by indexing them using the </w:t>
      </w:r>
      <w:r w:rsidR="002B6C32">
        <w:t>Australian Bureau of Statistics (ABS)</w:t>
      </w:r>
      <w:r w:rsidRPr="001B1D22">
        <w:t xml:space="preserve"> </w:t>
      </w:r>
      <w:r>
        <w:t xml:space="preserve">State and local </w:t>
      </w:r>
      <w:r>
        <w:lastRenderedPageBreak/>
        <w:t>government final consumption (</w:t>
      </w:r>
      <w:r w:rsidRPr="001B1D22">
        <w:t>SLGFCE</w:t>
      </w:r>
      <w:r>
        <w:t>)</w:t>
      </w:r>
      <w:r w:rsidRPr="001B1D22">
        <w:t xml:space="preserve"> deflator</w:t>
      </w:r>
      <w:r>
        <w:t>. This is the same approach as was adopted in the 2015 Review. All States that commented supported the proposal.</w:t>
      </w:r>
    </w:p>
    <w:p w14:paraId="5246F456" w14:textId="77777777" w:rsidR="000765E5" w:rsidRDefault="000765E5" w:rsidP="00F47EC7">
      <w:pPr>
        <w:pStyle w:val="CGCParaNumber"/>
      </w:pPr>
      <w:r>
        <w:t>The wage costs factor will be applied to the wages portion of expenses, which is estimated to be 60% of total administrative scale expenses.</w:t>
      </w:r>
    </w:p>
    <w:p w14:paraId="07185D6A" w14:textId="77777777" w:rsidR="000765E5" w:rsidRDefault="000765E5" w:rsidP="00F47EC7">
      <w:pPr>
        <w:pStyle w:val="CGCParaNumber"/>
      </w:pPr>
      <w:r>
        <w:t>The Commission decided to retain the 2015 Review presentation</w:t>
      </w:r>
      <w:r w:rsidRPr="00001292">
        <w:t xml:space="preserve"> </w:t>
      </w:r>
      <w:r>
        <w:t xml:space="preserve">of assessing </w:t>
      </w:r>
      <w:r w:rsidRPr="00001292">
        <w:t xml:space="preserve">all administrative scale expenses </w:t>
      </w:r>
      <w:r>
        <w:t xml:space="preserve">as a component in </w:t>
      </w:r>
      <w:r w:rsidRPr="00001292">
        <w:t>the O</w:t>
      </w:r>
      <w:r>
        <w:t>ther expenses category.</w:t>
      </w:r>
      <w:r>
        <w:rPr>
          <w:rStyle w:val="FootnoteReference"/>
        </w:rPr>
        <w:footnoteReference w:id="107"/>
      </w:r>
      <w:r>
        <w:t xml:space="preserve"> Most States that commented supported this.</w:t>
      </w:r>
      <w:r w:rsidRPr="00B20683">
        <w:t xml:space="preserve"> </w:t>
      </w:r>
      <w:r>
        <w:t xml:space="preserve"> </w:t>
      </w:r>
    </w:p>
    <w:p w14:paraId="4CC45AA3" w14:textId="0488F91B" w:rsidR="000765E5" w:rsidRPr="004B3FBF" w:rsidRDefault="000765E5" w:rsidP="000765E5">
      <w:pPr>
        <w:pStyle w:val="Heading4"/>
      </w:pPr>
      <w:bookmarkStart w:id="473" w:name="_Toc530491114"/>
      <w:bookmarkStart w:id="474" w:name="_Toc2182876"/>
      <w:bookmarkEnd w:id="464"/>
      <w:r w:rsidRPr="004B3FBF">
        <w:t xml:space="preserve">Re-estimating </w:t>
      </w:r>
      <w:r w:rsidR="00590ECB">
        <w:t>administrative scale</w:t>
      </w:r>
      <w:r w:rsidRPr="004B3FBF">
        <w:t xml:space="preserve"> costs</w:t>
      </w:r>
      <w:bookmarkEnd w:id="473"/>
    </w:p>
    <w:p w14:paraId="23D602B9" w14:textId="77777777" w:rsidR="000765E5" w:rsidRDefault="000765E5" w:rsidP="00F47EC7">
      <w:pPr>
        <w:pStyle w:val="CGCParaNumber"/>
      </w:pPr>
      <w:r>
        <w:t>Similar to the approaches used in the 1999 and 2004 Reviews, the Commission has re</w:t>
      </w:r>
      <w:r>
        <w:noBreakHyphen/>
        <w:t>estimated administrative scale costs through two main approaches:</w:t>
      </w:r>
    </w:p>
    <w:p w14:paraId="64332F13" w14:textId="77777777" w:rsidR="000765E5" w:rsidRDefault="000765E5" w:rsidP="000765E5">
      <w:pPr>
        <w:pStyle w:val="CGCBullet1"/>
      </w:pPr>
      <w:r>
        <w:t>deriving a basic structure and staffing for any given department/function and costing it (the ‘bottom-up’ approach)</w:t>
      </w:r>
    </w:p>
    <w:p w14:paraId="1AA1CAC4" w14:textId="77777777" w:rsidR="000765E5" w:rsidRDefault="000765E5" w:rsidP="000765E5">
      <w:pPr>
        <w:pStyle w:val="CGCBullet1"/>
      </w:pPr>
      <w:r>
        <w:t>making estimates by reference to the size of head offices and whole of State services in the smallest States, after removing any staffing/expenses considered inconsistent with the average minimum structure (the ‘top-down’ approach).</w:t>
      </w:r>
    </w:p>
    <w:p w14:paraId="4BEC7308" w14:textId="77777777" w:rsidR="000765E5" w:rsidRDefault="000765E5" w:rsidP="00F47EC7">
      <w:pPr>
        <w:pStyle w:val="CGCParaNumber"/>
      </w:pPr>
      <w:r>
        <w:t>The bottom-up approach consists of b</w:t>
      </w:r>
      <w:r w:rsidRPr="00831314">
        <w:t>uilding the minimum size head office from the ground up</w:t>
      </w:r>
      <w:r>
        <w:t xml:space="preserve"> and costing this structure. It involves four main steps:</w:t>
      </w:r>
    </w:p>
    <w:p w14:paraId="4905CBBA" w14:textId="77777777" w:rsidR="000765E5" w:rsidRPr="00172105" w:rsidRDefault="000765E5" w:rsidP="000765E5">
      <w:pPr>
        <w:pStyle w:val="CGCBullet1"/>
      </w:pPr>
      <w:r>
        <w:t xml:space="preserve">determining </w:t>
      </w:r>
      <w:r w:rsidRPr="00172105">
        <w:t xml:space="preserve">the average machinery of government </w:t>
      </w:r>
      <w:r>
        <w:t>(for a function, such as health, t</w:t>
      </w:r>
      <w:r w:rsidRPr="00172105">
        <w:t>his covers the average departmental structure and the</w:t>
      </w:r>
      <w:r>
        <w:t xml:space="preserve"> main related agencies)</w:t>
      </w:r>
    </w:p>
    <w:p w14:paraId="7E6585E5" w14:textId="77777777" w:rsidR="000765E5" w:rsidRPr="0035645B" w:rsidRDefault="000765E5" w:rsidP="000765E5">
      <w:pPr>
        <w:pStyle w:val="CGCBullet1"/>
      </w:pPr>
      <w:r>
        <w:t xml:space="preserve">identifying </w:t>
      </w:r>
      <w:r w:rsidRPr="0035645B">
        <w:t xml:space="preserve">the </w:t>
      </w:r>
      <w:r>
        <w:t xml:space="preserve">common </w:t>
      </w:r>
      <w:r w:rsidRPr="0035645B">
        <w:t>functions, such as corporate services</w:t>
      </w:r>
      <w:r>
        <w:t>,</w:t>
      </w:r>
      <w:r w:rsidRPr="000A3BF6">
        <w:t xml:space="preserve"> </w:t>
      </w:r>
      <w:r>
        <w:t>in each agency</w:t>
      </w:r>
    </w:p>
    <w:p w14:paraId="17CE8E8A" w14:textId="77777777" w:rsidR="000765E5" w:rsidRPr="00172105" w:rsidRDefault="000765E5" w:rsidP="000765E5">
      <w:pPr>
        <w:pStyle w:val="CGCBullet1"/>
      </w:pPr>
      <w:r>
        <w:t xml:space="preserve">applying a stylised average minimum structure and </w:t>
      </w:r>
      <w:r w:rsidRPr="00172105">
        <w:t xml:space="preserve">minimum staffing numbers for </w:t>
      </w:r>
      <w:r>
        <w:t>the common functions</w:t>
      </w:r>
    </w:p>
    <w:p w14:paraId="6A3F10C8" w14:textId="77777777" w:rsidR="000765E5" w:rsidRDefault="000765E5" w:rsidP="000765E5">
      <w:pPr>
        <w:pStyle w:val="CGCBullet1"/>
      </w:pPr>
      <w:r>
        <w:t xml:space="preserve">ascribing an </w:t>
      </w:r>
      <w:r w:rsidRPr="00172105">
        <w:t>average cost</w:t>
      </w:r>
      <w:r>
        <w:t xml:space="preserve"> per employee, including non-employee costs, to apply to the minimum staffing structure.</w:t>
      </w:r>
    </w:p>
    <w:p w14:paraId="1073C1E5" w14:textId="77777777" w:rsidR="000765E5" w:rsidRDefault="000765E5" w:rsidP="00F47EC7">
      <w:pPr>
        <w:pStyle w:val="CGCParaNumber"/>
      </w:pPr>
      <w:r>
        <w:t>Preliminary estimates of administrative scale costs and the information used to derive the estimates were provided to States. These estimates were then reviewed in light of State comments and information provided by States.</w:t>
      </w:r>
    </w:p>
    <w:p w14:paraId="43E21D9F" w14:textId="77777777" w:rsidR="000765E5" w:rsidRPr="00F5388E" w:rsidRDefault="000765E5" w:rsidP="00F47EC7">
      <w:pPr>
        <w:pStyle w:val="CGCParaNumber"/>
      </w:pPr>
      <w:r>
        <w:t>While the derivation of the administrative scale cost estimates involve judgment (mostly regarding the minimum staffing numbers), the Commission has applied the same approach and used the same assumptions for each function.</w:t>
      </w:r>
      <w:r w:rsidRPr="00AD0582">
        <w:t xml:space="preserve"> </w:t>
      </w:r>
      <w:r w:rsidRPr="00F5388E">
        <w:t>All States supported the re-estimation of the administrative scale costs and generally agreed with the proposed approaches</w:t>
      </w:r>
      <w:r>
        <w:t>, noting</w:t>
      </w:r>
      <w:r w:rsidRPr="00F5388E">
        <w:t xml:space="preserve"> that administrative scale costs were last estimated in the 2004 Review.</w:t>
      </w:r>
    </w:p>
    <w:p w14:paraId="549735C7" w14:textId="75C7FB24" w:rsidR="000765E5" w:rsidRDefault="000765E5" w:rsidP="00F47EC7">
      <w:pPr>
        <w:pStyle w:val="CGCParaNumber"/>
      </w:pPr>
      <w:r>
        <w:t xml:space="preserve">The updated estimates are higher across all categories than those based on the 1999 and 2004 Reviews’ work. This was to be expected given increasing levels of </w:t>
      </w:r>
      <w:r w:rsidRPr="0068282C">
        <w:t xml:space="preserve">collaboration between the Commonwealth and State </w:t>
      </w:r>
      <w:r>
        <w:t>governments in a number of spheres, greater legislative and reporting requirements and changes in the nature and use of information and communications technology (ICT).</w:t>
      </w:r>
      <w:bookmarkStart w:id="475" w:name="_Ref528572763"/>
      <w:bookmarkStart w:id="476" w:name="_Ref528572756"/>
      <w:r>
        <w:rPr>
          <w:rStyle w:val="FootnoteReference"/>
        </w:rPr>
        <w:footnoteReference w:id="108"/>
      </w:r>
      <w:r>
        <w:t xml:space="preserve"> It may also reflect increased service levels. The total </w:t>
      </w:r>
      <w:r>
        <w:lastRenderedPageBreak/>
        <w:t>administrative scale expenses for 2016</w:t>
      </w:r>
      <w:r>
        <w:noBreakHyphen/>
        <w:t xml:space="preserve">17 represent a $570 million or 26% increase compared with those of the 2019 Update. In the 2004 Review, scale expenses were calculated for a small number of functions (mainly education and police) and the results extrapolated to other functions. For the 2020 Review, </w:t>
      </w:r>
      <w:r w:rsidR="00EE353B">
        <w:t>administrative scale</w:t>
      </w:r>
      <w:r>
        <w:t xml:space="preserve"> amounts have been calculated for all functions. Therefore, the Commission considers they are more accurate than those of the 1999 and 2004 Reviews. The Northern Territory said the new estimates correct deficiencies with the 2004 Review method.</w:t>
      </w:r>
    </w:p>
    <w:bookmarkEnd w:id="475"/>
    <w:bookmarkEnd w:id="476"/>
    <w:p w14:paraId="47F6E50A" w14:textId="39290EB6" w:rsidR="000765E5" w:rsidRDefault="000765E5" w:rsidP="00F47EC7">
      <w:pPr>
        <w:pStyle w:val="CGCParaNumber"/>
      </w:pPr>
      <w:r>
        <w:t xml:space="preserve">New South Wales argued that the proposed approach to estimating administrative scale costs is not sufficiently reliable and its integrity cannot be tested. It also considered that the </w:t>
      </w:r>
      <w:r w:rsidRPr="00A45930">
        <w:t xml:space="preserve">administrative scale </w:t>
      </w:r>
      <w:r>
        <w:t xml:space="preserve">estimates represented an implausibly high proportion of </w:t>
      </w:r>
      <w:r w:rsidRPr="00A45930">
        <w:t>expen</w:t>
      </w:r>
      <w:r>
        <w:t>ses</w:t>
      </w:r>
      <w:r w:rsidRPr="00A45930">
        <w:t xml:space="preserve"> </w:t>
      </w:r>
      <w:r>
        <w:t xml:space="preserve">in the three smaller States for some categories, notably </w:t>
      </w:r>
      <w:r w:rsidRPr="00A45930">
        <w:t xml:space="preserve">Services to industry </w:t>
      </w:r>
      <w:r>
        <w:t>and Other expenses</w:t>
      </w:r>
      <w:r w:rsidRPr="00A45930">
        <w:t xml:space="preserve">. </w:t>
      </w:r>
      <w:r>
        <w:t>While it is not disputed that there is a grey area in terms of the appropriate staffing numbers especially at the lower levels of head office structures, the Commission has adopted a conservative approach, based on what States do on average. In addition, the Services to industry and Other expenses categories have a high proportion of State</w:t>
      </w:r>
      <w:r>
        <w:noBreakHyphen/>
        <w:t>wide functions such as treasury, parliament, industry regulation and tourism agencies, which explains the high proportion of expenses for these categories in the smaller States.</w:t>
      </w:r>
    </w:p>
    <w:p w14:paraId="65BD90FD" w14:textId="297CF0A7" w:rsidR="000765E5" w:rsidRDefault="000765E5" w:rsidP="00F47EC7">
      <w:pPr>
        <w:pStyle w:val="CGCParaNumber"/>
      </w:pPr>
      <w:r w:rsidRPr="00A36A49">
        <w:t>The Commission disagrees with New South Wales’ view that the Commission’s approach to administrative scale continues to ignore many of the opportunities presented by technology, greater harmonisation and information sharing</w:t>
      </w:r>
      <w:r>
        <w:t>. The average organisational structures derived by the Commission for the 2020 Review reflects what States do on average, which has changed since the 2004 Review. New South Wales appears to imply that changes in technology since the 2004 Review should have reduced administrative scale expenses. However, it is clear from the detailed investigation of State head office functions that States continue to provide a similar range of services and, if anything, ICT and reporting activities are now significantly more prominent than they were in the 2004 Review.</w:t>
      </w:r>
    </w:p>
    <w:p w14:paraId="34702A61" w14:textId="77777777" w:rsidR="000765E5" w:rsidRPr="00C63697" w:rsidRDefault="000765E5" w:rsidP="00F47EC7">
      <w:pPr>
        <w:pStyle w:val="CGCParaNumber"/>
      </w:pPr>
      <w:r>
        <w:t xml:space="preserve">The Commission also disagrees with </w:t>
      </w:r>
      <w:r w:rsidRPr="00C63697">
        <w:t>Queensland</w:t>
      </w:r>
      <w:r>
        <w:t xml:space="preserve">’s view that </w:t>
      </w:r>
      <w:r w:rsidRPr="00181F0E">
        <w:t xml:space="preserve">the scope of expenses considered </w:t>
      </w:r>
      <w:r>
        <w:t>is</w:t>
      </w:r>
      <w:r w:rsidRPr="00181F0E">
        <w:t xml:space="preserve"> too broad. </w:t>
      </w:r>
      <w:r>
        <w:t xml:space="preserve">Queensland did not provide examples of this, other than arguing that junior staff should not be included in the </w:t>
      </w:r>
      <w:r w:rsidRPr="00C63697">
        <w:t>administrative scale costs</w:t>
      </w:r>
      <w:r>
        <w:t>. Again, the Commission has adopted a conservative approach to measuring scale costs. However, t</w:t>
      </w:r>
      <w:r w:rsidRPr="00C63697">
        <w:t>h</w:t>
      </w:r>
      <w:r>
        <w:t>e</w:t>
      </w:r>
      <w:r w:rsidRPr="00C63697">
        <w:t xml:space="preserve"> </w:t>
      </w:r>
      <w:r>
        <w:t>Commission considers that administrative scale</w:t>
      </w:r>
      <w:r w:rsidRPr="00C63697">
        <w:t xml:space="preserve"> cost</w:t>
      </w:r>
      <w:r>
        <w:t>s</w:t>
      </w:r>
      <w:r w:rsidRPr="00C63697">
        <w:t xml:space="preserve"> </w:t>
      </w:r>
      <w:r>
        <w:t>are</w:t>
      </w:r>
      <w:r w:rsidRPr="00C63697">
        <w:t xml:space="preserve"> meant to cover all the relevant head office type activities. For example, payroll services are usually provided by junior staff and appropriate staffing for such functions should be recognised in the scale estimates. </w:t>
      </w:r>
    </w:p>
    <w:p w14:paraId="4E16975D" w14:textId="77777777" w:rsidR="000765E5" w:rsidRDefault="000765E5" w:rsidP="00F47EC7">
      <w:pPr>
        <w:pStyle w:val="CGCParaNumber"/>
      </w:pPr>
      <w:r>
        <w:t>Tasmania, the ACT and the Northern Territory considered that the staffing level estimates were too low compared with State actual head office staff numbers. For example, Tasmania said there were 62 full time equivalent (FTE) staff working in payroll in its Department of Health and Human Services. However, total staffing numbers are influenced by the size of the service delivery functions (for example, number of schools and hospitals). The scale estimates would only include one or two payroll staff depending on the number of divisions and branches in a service delivery function (such as health, welfare and housing) covered by a particular payroll unit. Reassuringly, the Commission notes that the scale staffing number estimates provided by Tasmania and the ACT for a number of head office functions are similar to its estimates.</w:t>
      </w:r>
    </w:p>
    <w:p w14:paraId="53B9B99A" w14:textId="2732CAF6" w:rsidR="000765E5" w:rsidRPr="003230B1" w:rsidRDefault="000765E5" w:rsidP="00F47EC7">
      <w:pPr>
        <w:pStyle w:val="CGCParaNumber"/>
      </w:pPr>
      <w:bookmarkStart w:id="477" w:name="_Toc511634838"/>
      <w:r w:rsidRPr="003230B1">
        <w:t xml:space="preserve">The Northern Territory argued that the minimum staffing structure for the education function should be 200 staff rather than the 133 staff estimated by the Commission. It said that the Commission’s estimated staff numbers per sub-function (section) are underestimated and it </w:t>
      </w:r>
      <w:r w:rsidRPr="003230B1">
        <w:lastRenderedPageBreak/>
        <w:t>would be better to assume four staff per section instead of three. The Northern Territory contended that the 2004 Review estimates were based on four staff per section compared with three used in the 2020 Review.</w:t>
      </w:r>
      <w:r w:rsidR="00CF43CE">
        <w:rPr>
          <w:rStyle w:val="FootnoteReference"/>
        </w:rPr>
        <w:footnoteReference w:id="109"/>
      </w:r>
      <w:r w:rsidRPr="003230B1">
        <w:t xml:space="preserve"> The Northern Territory considered that the increase from 120 to 133 staff numbers was insufficient, especially considering that the new number allows for Indigenous specific functions and increased ICT functions. However, this comparison between the 2004 and 2020 Reviews staffing estimates assumes no changes in the way States operate that may have reduced </w:t>
      </w:r>
      <w:r w:rsidR="00884F04">
        <w:t>administrative scale</w:t>
      </w:r>
      <w:r w:rsidRPr="003230B1">
        <w:t xml:space="preserve"> expenses. New South Wales mentioned that technology, greater harmonisation and information sharing would have reduced costs. Further, the education function has remained essentially the same since the 2004 Review. Therefore, the Commission did not expect a markedly different staffing estimate. </w:t>
      </w:r>
    </w:p>
    <w:p w14:paraId="17123B97" w14:textId="77777777" w:rsidR="000765E5" w:rsidRDefault="000765E5" w:rsidP="00F47EC7">
      <w:pPr>
        <w:pStyle w:val="CGCParaNumber"/>
      </w:pPr>
      <w:r>
        <w:t>In conclusion, the Commission considers that 133 staff for education, based on three staff per section, is a conservative but reasonable estimate of scale costs given the uncertainty of this aspect of the method.</w:t>
      </w:r>
    </w:p>
    <w:p w14:paraId="3184BFE3" w14:textId="77777777" w:rsidR="000765E5" w:rsidRDefault="000765E5" w:rsidP="00F47EC7">
      <w:pPr>
        <w:pStyle w:val="CGCParaNumber"/>
      </w:pPr>
      <w:r>
        <w:t>For costing, the Commission used the analogous Commonwealth employees’ salaries discounted by 3% based on salary information from five States (Victoria, South Australia, Tasmania, the ACT and the Northern Territory). While average State salaries could instead be used to calculate scale costs, the Commission used the Commonwealth salary structure as a basis because:</w:t>
      </w:r>
    </w:p>
    <w:p w14:paraId="4CC22B80" w14:textId="77777777" w:rsidR="000765E5" w:rsidRDefault="000765E5" w:rsidP="000765E5">
      <w:pPr>
        <w:pStyle w:val="CGCBullet1"/>
      </w:pPr>
      <w:r>
        <w:t>there are some uncertainties about whether individual State employee levels have been classified consistently</w:t>
      </w:r>
    </w:p>
    <w:p w14:paraId="500BA4A4" w14:textId="77777777" w:rsidR="000765E5" w:rsidRDefault="000765E5" w:rsidP="000765E5">
      <w:pPr>
        <w:pStyle w:val="CGCBullet1"/>
      </w:pPr>
      <w:r>
        <w:t>the integrity of the salaries in relation to each level would be retained.</w:t>
      </w:r>
    </w:p>
    <w:p w14:paraId="69B80AEE" w14:textId="77777777" w:rsidR="000765E5" w:rsidRPr="003230B1" w:rsidRDefault="000765E5" w:rsidP="00F47EC7">
      <w:pPr>
        <w:pStyle w:val="CGCParaNumber"/>
      </w:pPr>
      <w:r w:rsidRPr="003230B1">
        <w:t xml:space="preserve">The costings of the minimum staffing structure includes salaries plus employer superannuation contributions. Following comments from New South Wales, the Commission adjusted the employer superannuation contribution used for the initial estimates, which is the base year for the calculation of the scale costs. The final estimates used a superannuation contribution rate of 14.7%, which was derived from ABS </w:t>
      </w:r>
      <w:r w:rsidRPr="003230B1">
        <w:rPr>
          <w:i/>
        </w:rPr>
        <w:t>Government Finance Statistics, Australia, 2017-18</w:t>
      </w:r>
      <w:r w:rsidRPr="003230B1">
        <w:t>.</w:t>
      </w:r>
      <w:r w:rsidRPr="003230B1">
        <w:rPr>
          <w:rStyle w:val="FootnoteReference"/>
        </w:rPr>
        <w:footnoteReference w:id="110"/>
      </w:r>
      <w:r w:rsidRPr="003230B1">
        <w:t xml:space="preserve"> </w:t>
      </w:r>
    </w:p>
    <w:p w14:paraId="5488471E" w14:textId="77777777" w:rsidR="000765E5" w:rsidRDefault="000765E5" w:rsidP="000765E5">
      <w:pPr>
        <w:pStyle w:val="Heading4"/>
      </w:pPr>
      <w:bookmarkStart w:id="478" w:name="_Toc530491117"/>
      <w:bookmarkStart w:id="479" w:name="_Toc530491115"/>
      <w:r>
        <w:t>Employee/non-employee costs</w:t>
      </w:r>
      <w:bookmarkEnd w:id="478"/>
    </w:p>
    <w:p w14:paraId="0B1D3101" w14:textId="77777777" w:rsidR="000765E5" w:rsidRDefault="000765E5" w:rsidP="00F47EC7">
      <w:pPr>
        <w:pStyle w:val="CGCParaNumber"/>
      </w:pPr>
      <w:r>
        <w:t xml:space="preserve">The estimation of the minimum staffing structures for the stylised departments and agencies is the basis for the calculation of employee costs (essentially wages and superannuation). Non-employee costs need to be added to obtain total administrative scale expenses. </w:t>
      </w:r>
    </w:p>
    <w:p w14:paraId="79EDA470" w14:textId="77777777" w:rsidR="000765E5" w:rsidRDefault="000765E5" w:rsidP="00F47EC7">
      <w:pPr>
        <w:pStyle w:val="CGCParaNumber"/>
      </w:pPr>
      <w:r>
        <w:t>Non-employee costs were calculated separately and were estimated to be 40% of total expenses.</w:t>
      </w:r>
      <w:r w:rsidRPr="00B762DF">
        <w:t xml:space="preserve"> </w:t>
      </w:r>
      <w:r>
        <w:t xml:space="preserve">Non-employee costs were previously estimated to be 20% of total expenses. </w:t>
      </w:r>
    </w:p>
    <w:p w14:paraId="2CCA5BEB" w14:textId="1A270D53" w:rsidR="000765E5" w:rsidRDefault="000765E5" w:rsidP="00F47EC7">
      <w:pPr>
        <w:pStyle w:val="CGCParaNumber"/>
      </w:pPr>
      <w:r>
        <w:t xml:space="preserve">The Commission initially estimated the non-employee costs proportion by examining State expenses for a range of functions using annual reports. Subsequently, the Commission used ABS </w:t>
      </w:r>
      <w:r w:rsidR="00BC50D7" w:rsidRPr="00CB5972">
        <w:t>Government Finance Statistics</w:t>
      </w:r>
      <w:r w:rsidR="00BC50D7">
        <w:t xml:space="preserve"> </w:t>
      </w:r>
      <w:r w:rsidR="00AD76FB">
        <w:t>(</w:t>
      </w:r>
      <w:r>
        <w:t>GFS</w:t>
      </w:r>
      <w:r w:rsidR="00AD76FB">
        <w:t>)</w:t>
      </w:r>
      <w:r>
        <w:t xml:space="preserve"> data on employee and non-employee expenses to estimate the proportion.</w:t>
      </w:r>
      <w:r>
        <w:rPr>
          <w:rStyle w:val="FootnoteReference"/>
        </w:rPr>
        <w:footnoteReference w:id="111"/>
      </w:r>
      <w:r>
        <w:t xml:space="preserve"> </w:t>
      </w:r>
    </w:p>
    <w:p w14:paraId="6A350A54" w14:textId="77777777" w:rsidR="000765E5" w:rsidRDefault="000765E5" w:rsidP="00F47EC7">
      <w:pPr>
        <w:pStyle w:val="CGCParaNumber"/>
      </w:pPr>
      <w:r>
        <w:lastRenderedPageBreak/>
        <w:t>The reduction in employee costs from 80% to 60% is due to a slightly different method used in the 2020 Review compared with the 1999 and 2004 Reviews. In the 1999 and 2004 Reviews, the minimum staffing numbers for an agency were derived in the same way as for the 2020 Review. However, the cost per employee was derived by dividing total departmental expenses by the number of employees as little information was available on the proportion of that cost that was due to wages. The use of the 80% proportion was a Commission decision based on the evidence available at the time. In the 2020 Review, the Commission calculated the total wage related costs based on average wages and related costs then added on the non-employee costs. The Commission considers the 60% proportion is a more precise estimate than the previous one. States supported or did not oppose the 60:40 split.</w:t>
      </w:r>
    </w:p>
    <w:p w14:paraId="0FDA2F0E" w14:textId="77777777" w:rsidR="000765E5" w:rsidRDefault="000765E5" w:rsidP="000765E5">
      <w:pPr>
        <w:pStyle w:val="Heading4"/>
      </w:pPr>
      <w:r w:rsidRPr="0092735E">
        <w:t xml:space="preserve">Adjustment </w:t>
      </w:r>
      <w:r>
        <w:t xml:space="preserve">for the </w:t>
      </w:r>
      <w:r w:rsidRPr="0092735E">
        <w:t>ACT</w:t>
      </w:r>
      <w:bookmarkEnd w:id="479"/>
    </w:p>
    <w:p w14:paraId="404BED33" w14:textId="535A1EDA" w:rsidR="000765E5" w:rsidRPr="00DB0CF7" w:rsidRDefault="000765E5" w:rsidP="00F47EC7">
      <w:pPr>
        <w:pStyle w:val="CGCParaNumber"/>
      </w:pPr>
      <w:r>
        <w:t>The Commission has</w:t>
      </w:r>
      <w:r w:rsidRPr="0092735E">
        <w:t xml:space="preserve"> adjust</w:t>
      </w:r>
      <w:r>
        <w:t>ed</w:t>
      </w:r>
      <w:r w:rsidRPr="0092735E">
        <w:t xml:space="preserve"> the ACT’s </w:t>
      </w:r>
      <w:r w:rsidR="00AD76FB">
        <w:t>administrative scale</w:t>
      </w:r>
      <w:r w:rsidRPr="0092735E">
        <w:t xml:space="preserve"> expenses to reflect its </w:t>
      </w:r>
      <w:r>
        <w:t>reduced</w:t>
      </w:r>
      <w:r w:rsidRPr="0092735E">
        <w:t xml:space="preserve"> spending needs for Indigenous communities, non</w:t>
      </w:r>
      <w:r>
        <w:t>-</w:t>
      </w:r>
      <w:r w:rsidRPr="0092735E">
        <w:t xml:space="preserve">urban transport, </w:t>
      </w:r>
      <w:r>
        <w:t>agriculture</w:t>
      </w:r>
      <w:r w:rsidRPr="0092735E">
        <w:t xml:space="preserve"> and </w:t>
      </w:r>
      <w:r w:rsidRPr="00DB0CF7">
        <w:t xml:space="preserve">mining. </w:t>
      </w:r>
      <w:bookmarkEnd w:id="477"/>
      <w:r w:rsidRPr="00DB0CF7">
        <w:t>States that commented, including the ACT, supported the proposal.</w:t>
      </w:r>
    </w:p>
    <w:p w14:paraId="3BD79173" w14:textId="56F05E6A" w:rsidR="000765E5" w:rsidRPr="00DB0CF7" w:rsidRDefault="000765E5" w:rsidP="00F47EC7">
      <w:pPr>
        <w:pStyle w:val="CGCParaNumber"/>
      </w:pPr>
      <w:r w:rsidRPr="00DB0CF7">
        <w:t xml:space="preserve">These adjustments reduce the </w:t>
      </w:r>
      <w:r>
        <w:t xml:space="preserve">base year </w:t>
      </w:r>
      <w:r w:rsidRPr="00DB0CF7">
        <w:t>scale costs for the ACT by $11.3 million, from $353.</w:t>
      </w:r>
      <w:r>
        <w:t>1</w:t>
      </w:r>
      <w:r w:rsidRPr="00DB0CF7">
        <w:t> million to $</w:t>
      </w:r>
      <w:r>
        <w:t>341.7</w:t>
      </w:r>
      <w:r w:rsidRPr="00DB0CF7">
        <w:t> million.</w:t>
      </w:r>
      <w:r>
        <w:t xml:space="preserve"> </w:t>
      </w:r>
      <w:r>
        <w:fldChar w:fldCharType="begin"/>
      </w:r>
      <w:r>
        <w:instrText xml:space="preserve"> REF _Ref21676743 \h </w:instrText>
      </w:r>
      <w:r>
        <w:fldChar w:fldCharType="separate"/>
      </w:r>
      <w:r w:rsidR="007F721A" w:rsidRPr="00DB0CF7">
        <w:t xml:space="preserve">Table </w:t>
      </w:r>
      <w:r w:rsidR="007F721A">
        <w:t>26-</w:t>
      </w:r>
      <w:r w:rsidR="007F721A">
        <w:rPr>
          <w:noProof/>
        </w:rPr>
        <w:t>2</w:t>
      </w:r>
      <w:r>
        <w:fldChar w:fldCharType="end"/>
      </w:r>
      <w:r>
        <w:t xml:space="preserve"> shows the adjustment for the ACT.</w:t>
      </w:r>
    </w:p>
    <w:p w14:paraId="57F3AD09" w14:textId="11CE7844" w:rsidR="000765E5" w:rsidRDefault="000765E5" w:rsidP="000765E5">
      <w:pPr>
        <w:pStyle w:val="Caption"/>
      </w:pPr>
      <w:bookmarkStart w:id="480" w:name="_Ref21676743"/>
      <w:r w:rsidRPr="00DB0CF7">
        <w:t xml:space="preserve">Table </w:t>
      </w:r>
      <w:r>
        <w:t>26-</w:t>
      </w:r>
      <w:fldSimple w:instr=" SEQ Table \* ARABIC ">
        <w:r w:rsidR="007F721A">
          <w:rPr>
            <w:noProof/>
          </w:rPr>
          <w:t>2</w:t>
        </w:r>
      </w:fldSimple>
      <w:bookmarkEnd w:id="480"/>
      <w:r w:rsidRPr="00DB0CF7">
        <w:tab/>
        <w:t xml:space="preserve">Adjustments to the ACT’s administrative scale expenses, </w:t>
      </w:r>
      <w:r>
        <w:t>2018-19</w:t>
      </w:r>
    </w:p>
    <w:tbl>
      <w:tblPr>
        <w:tblW w:w="8940" w:type="dxa"/>
        <w:tblCellMar>
          <w:left w:w="0" w:type="dxa"/>
          <w:right w:w="28" w:type="dxa"/>
        </w:tblCellMar>
        <w:tblLook w:val="04A0" w:firstRow="1" w:lastRow="0" w:firstColumn="1" w:lastColumn="0" w:noHBand="0" w:noVBand="1"/>
      </w:tblPr>
      <w:tblGrid>
        <w:gridCol w:w="6948"/>
        <w:gridCol w:w="2008"/>
      </w:tblGrid>
      <w:tr w:rsidR="000765E5" w:rsidRPr="00B5548A" w14:paraId="185B3E4B" w14:textId="77777777" w:rsidTr="00174DEB">
        <w:trPr>
          <w:trHeight w:val="375"/>
        </w:trPr>
        <w:tc>
          <w:tcPr>
            <w:tcW w:w="6940" w:type="dxa"/>
            <w:tcBorders>
              <w:top w:val="single" w:sz="4" w:space="0" w:color="ADD6EA"/>
              <w:left w:val="nil"/>
              <w:bottom w:val="single" w:sz="4" w:space="0" w:color="ADD6EA"/>
              <w:right w:val="nil"/>
            </w:tcBorders>
            <w:shd w:val="clear" w:color="000000" w:fill="006991"/>
            <w:noWrap/>
            <w:vAlign w:val="center"/>
            <w:hideMark/>
          </w:tcPr>
          <w:p w14:paraId="3A421E51" w14:textId="77777777" w:rsidR="000765E5" w:rsidRPr="00B5548A"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481" w:name="RANGE!A4:B8"/>
            <w:r w:rsidRPr="00B5548A">
              <w:rPr>
                <w:rFonts w:ascii="Open Sans SemiBold" w:eastAsia="Times New Roman" w:hAnsi="Open Sans SemiBold" w:cs="Open Sans SemiBold"/>
                <w:color w:val="FFFFFF"/>
                <w:sz w:val="16"/>
                <w:szCs w:val="16"/>
                <w:lang w:eastAsia="en-AU"/>
              </w:rPr>
              <w:t> </w:t>
            </w:r>
            <w:bookmarkEnd w:id="481"/>
          </w:p>
        </w:tc>
        <w:tc>
          <w:tcPr>
            <w:tcW w:w="2000" w:type="dxa"/>
            <w:tcBorders>
              <w:top w:val="single" w:sz="4" w:space="0" w:color="ADD6EA"/>
              <w:left w:val="nil"/>
              <w:bottom w:val="single" w:sz="4" w:space="0" w:color="ADD6EA"/>
              <w:right w:val="nil"/>
            </w:tcBorders>
            <w:shd w:val="clear" w:color="000000" w:fill="006991"/>
            <w:noWrap/>
            <w:vAlign w:val="center"/>
            <w:hideMark/>
          </w:tcPr>
          <w:p w14:paraId="1591E06C" w14:textId="77777777" w:rsidR="000765E5" w:rsidRPr="00B5548A"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5548A">
              <w:rPr>
                <w:rFonts w:ascii="Open Sans SemiBold" w:eastAsia="Times New Roman" w:hAnsi="Open Sans SemiBold" w:cs="Open Sans SemiBold"/>
                <w:color w:val="FFFFFF"/>
                <w:sz w:val="16"/>
                <w:szCs w:val="16"/>
                <w:lang w:eastAsia="en-AU"/>
              </w:rPr>
              <w:t>$m</w:t>
            </w:r>
          </w:p>
        </w:tc>
      </w:tr>
      <w:tr w:rsidR="000765E5" w:rsidRPr="00B5548A" w14:paraId="5D7F3D57" w14:textId="77777777" w:rsidTr="00174DEB">
        <w:trPr>
          <w:trHeight w:val="315"/>
        </w:trPr>
        <w:tc>
          <w:tcPr>
            <w:tcW w:w="6940" w:type="dxa"/>
            <w:tcBorders>
              <w:top w:val="nil"/>
              <w:left w:val="nil"/>
              <w:bottom w:val="single" w:sz="4" w:space="0" w:color="ADD6EA"/>
              <w:right w:val="nil"/>
            </w:tcBorders>
            <w:shd w:val="clear" w:color="auto" w:fill="auto"/>
            <w:noWrap/>
            <w:vAlign w:val="bottom"/>
            <w:hideMark/>
          </w:tcPr>
          <w:p w14:paraId="7F71796A" w14:textId="77777777" w:rsidR="000765E5" w:rsidRPr="00B5548A" w:rsidRDefault="000765E5" w:rsidP="004D65FE">
            <w:pPr>
              <w:tabs>
                <w:tab w:val="clear" w:pos="567"/>
              </w:tabs>
              <w:spacing w:before="0" w:line="240" w:lineRule="auto"/>
              <w:rPr>
                <w:rFonts w:eastAsia="Times New Roman" w:cs="Open Sans Light"/>
                <w:sz w:val="16"/>
                <w:szCs w:val="16"/>
                <w:lang w:eastAsia="en-AU"/>
              </w:rPr>
            </w:pPr>
            <w:r w:rsidRPr="00B5548A">
              <w:rPr>
                <w:rFonts w:eastAsia="Times New Roman" w:cs="Open Sans Light"/>
                <w:sz w:val="16"/>
                <w:szCs w:val="16"/>
                <w:lang w:eastAsia="en-AU"/>
              </w:rPr>
              <w:t>Services to communities (Indigenous community development)</w:t>
            </w:r>
          </w:p>
        </w:tc>
        <w:tc>
          <w:tcPr>
            <w:tcW w:w="2000" w:type="dxa"/>
            <w:tcBorders>
              <w:top w:val="nil"/>
              <w:left w:val="nil"/>
              <w:bottom w:val="single" w:sz="4" w:space="0" w:color="ADD6EA"/>
              <w:right w:val="nil"/>
            </w:tcBorders>
            <w:shd w:val="clear" w:color="auto" w:fill="auto"/>
            <w:noWrap/>
            <w:vAlign w:val="bottom"/>
            <w:hideMark/>
          </w:tcPr>
          <w:p w14:paraId="3F4BE439" w14:textId="77777777" w:rsidR="000765E5" w:rsidRPr="00B5548A" w:rsidRDefault="000765E5" w:rsidP="004D65FE">
            <w:pPr>
              <w:tabs>
                <w:tab w:val="clear" w:pos="567"/>
              </w:tabs>
              <w:spacing w:before="0" w:line="240" w:lineRule="auto"/>
              <w:jc w:val="right"/>
              <w:rPr>
                <w:rFonts w:eastAsia="Times New Roman" w:cs="Open Sans Light"/>
                <w:sz w:val="16"/>
                <w:szCs w:val="16"/>
                <w:lang w:eastAsia="en-AU"/>
              </w:rPr>
            </w:pPr>
            <w:r w:rsidRPr="00B5548A">
              <w:rPr>
                <w:rFonts w:eastAsia="Times New Roman" w:cs="Open Sans Light"/>
                <w:sz w:val="16"/>
                <w:szCs w:val="16"/>
                <w:lang w:eastAsia="en-AU"/>
              </w:rPr>
              <w:t>0.6</w:t>
            </w:r>
          </w:p>
        </w:tc>
      </w:tr>
      <w:tr w:rsidR="000765E5" w:rsidRPr="00B5548A" w14:paraId="0C4EC364" w14:textId="77777777" w:rsidTr="00174DEB">
        <w:trPr>
          <w:trHeight w:val="315"/>
        </w:trPr>
        <w:tc>
          <w:tcPr>
            <w:tcW w:w="6940" w:type="dxa"/>
            <w:tcBorders>
              <w:top w:val="nil"/>
              <w:left w:val="nil"/>
              <w:bottom w:val="single" w:sz="4" w:space="0" w:color="ADD6EA"/>
              <w:right w:val="nil"/>
            </w:tcBorders>
            <w:shd w:val="clear" w:color="auto" w:fill="auto"/>
            <w:noWrap/>
            <w:vAlign w:val="bottom"/>
            <w:hideMark/>
          </w:tcPr>
          <w:p w14:paraId="75611C40" w14:textId="77777777" w:rsidR="000765E5" w:rsidRPr="00B5548A" w:rsidRDefault="000765E5" w:rsidP="004D65FE">
            <w:pPr>
              <w:tabs>
                <w:tab w:val="clear" w:pos="567"/>
              </w:tabs>
              <w:spacing w:before="0" w:line="240" w:lineRule="auto"/>
              <w:rPr>
                <w:rFonts w:eastAsia="Times New Roman" w:cs="Open Sans Light"/>
                <w:sz w:val="16"/>
                <w:szCs w:val="16"/>
                <w:lang w:eastAsia="en-AU"/>
              </w:rPr>
            </w:pPr>
            <w:r w:rsidRPr="00B5548A">
              <w:rPr>
                <w:rFonts w:eastAsia="Times New Roman" w:cs="Open Sans Light"/>
                <w:sz w:val="16"/>
                <w:szCs w:val="16"/>
                <w:lang w:eastAsia="en-AU"/>
              </w:rPr>
              <w:t>Transport</w:t>
            </w:r>
          </w:p>
        </w:tc>
        <w:tc>
          <w:tcPr>
            <w:tcW w:w="2000" w:type="dxa"/>
            <w:tcBorders>
              <w:top w:val="nil"/>
              <w:left w:val="nil"/>
              <w:bottom w:val="single" w:sz="4" w:space="0" w:color="ADD6EA"/>
              <w:right w:val="nil"/>
            </w:tcBorders>
            <w:shd w:val="clear" w:color="auto" w:fill="auto"/>
            <w:noWrap/>
            <w:vAlign w:val="bottom"/>
            <w:hideMark/>
          </w:tcPr>
          <w:p w14:paraId="2985C7CD" w14:textId="77777777" w:rsidR="000765E5" w:rsidRPr="00B5548A" w:rsidRDefault="000765E5" w:rsidP="004D65FE">
            <w:pPr>
              <w:tabs>
                <w:tab w:val="clear" w:pos="567"/>
              </w:tabs>
              <w:spacing w:before="0" w:line="240" w:lineRule="auto"/>
              <w:jc w:val="right"/>
              <w:rPr>
                <w:rFonts w:eastAsia="Times New Roman" w:cs="Open Sans Light"/>
                <w:sz w:val="16"/>
                <w:szCs w:val="16"/>
                <w:lang w:eastAsia="en-AU"/>
              </w:rPr>
            </w:pPr>
            <w:r w:rsidRPr="00B5548A">
              <w:rPr>
                <w:rFonts w:eastAsia="Times New Roman" w:cs="Open Sans Light"/>
                <w:sz w:val="16"/>
                <w:szCs w:val="16"/>
                <w:lang w:eastAsia="en-AU"/>
              </w:rPr>
              <w:t>0.8</w:t>
            </w:r>
          </w:p>
        </w:tc>
      </w:tr>
      <w:tr w:rsidR="000765E5" w:rsidRPr="00B5548A" w14:paraId="6469A801" w14:textId="77777777" w:rsidTr="00174DEB">
        <w:trPr>
          <w:trHeight w:val="315"/>
        </w:trPr>
        <w:tc>
          <w:tcPr>
            <w:tcW w:w="6940" w:type="dxa"/>
            <w:tcBorders>
              <w:top w:val="nil"/>
              <w:left w:val="nil"/>
              <w:bottom w:val="single" w:sz="4" w:space="0" w:color="ADD6EA"/>
              <w:right w:val="nil"/>
            </w:tcBorders>
            <w:shd w:val="clear" w:color="auto" w:fill="auto"/>
            <w:noWrap/>
            <w:vAlign w:val="bottom"/>
            <w:hideMark/>
          </w:tcPr>
          <w:p w14:paraId="44AA847B" w14:textId="77777777" w:rsidR="000765E5" w:rsidRPr="00B5548A" w:rsidRDefault="000765E5" w:rsidP="004D65FE">
            <w:pPr>
              <w:tabs>
                <w:tab w:val="clear" w:pos="567"/>
              </w:tabs>
              <w:spacing w:before="0" w:line="240" w:lineRule="auto"/>
              <w:rPr>
                <w:rFonts w:eastAsia="Times New Roman" w:cs="Open Sans Light"/>
                <w:sz w:val="16"/>
                <w:szCs w:val="16"/>
                <w:lang w:eastAsia="en-AU"/>
              </w:rPr>
            </w:pPr>
            <w:r w:rsidRPr="00B5548A">
              <w:rPr>
                <w:rFonts w:eastAsia="Times New Roman" w:cs="Open Sans Light"/>
                <w:sz w:val="16"/>
                <w:szCs w:val="16"/>
                <w:lang w:eastAsia="en-AU"/>
              </w:rPr>
              <w:t>Services to industry (primary industries and mining)</w:t>
            </w:r>
          </w:p>
        </w:tc>
        <w:tc>
          <w:tcPr>
            <w:tcW w:w="2000" w:type="dxa"/>
            <w:tcBorders>
              <w:top w:val="nil"/>
              <w:left w:val="nil"/>
              <w:bottom w:val="single" w:sz="4" w:space="0" w:color="ADD6EA"/>
              <w:right w:val="nil"/>
            </w:tcBorders>
            <w:shd w:val="clear" w:color="auto" w:fill="auto"/>
            <w:noWrap/>
            <w:vAlign w:val="bottom"/>
            <w:hideMark/>
          </w:tcPr>
          <w:p w14:paraId="5CA94284" w14:textId="77777777" w:rsidR="000765E5" w:rsidRPr="00B5548A" w:rsidRDefault="000765E5" w:rsidP="004D65FE">
            <w:pPr>
              <w:tabs>
                <w:tab w:val="clear" w:pos="567"/>
              </w:tabs>
              <w:spacing w:before="0" w:line="240" w:lineRule="auto"/>
              <w:jc w:val="right"/>
              <w:rPr>
                <w:rFonts w:eastAsia="Times New Roman" w:cs="Open Sans Light"/>
                <w:sz w:val="16"/>
                <w:szCs w:val="16"/>
                <w:lang w:eastAsia="en-AU"/>
              </w:rPr>
            </w:pPr>
            <w:r w:rsidRPr="00B5548A">
              <w:rPr>
                <w:rFonts w:eastAsia="Times New Roman" w:cs="Open Sans Light"/>
                <w:sz w:val="16"/>
                <w:szCs w:val="16"/>
                <w:lang w:eastAsia="en-AU"/>
              </w:rPr>
              <w:t>9.9</w:t>
            </w:r>
          </w:p>
        </w:tc>
      </w:tr>
      <w:tr w:rsidR="000765E5" w:rsidRPr="00B5548A" w14:paraId="53DBEF9D" w14:textId="77777777" w:rsidTr="00174DEB">
        <w:trPr>
          <w:trHeight w:val="315"/>
        </w:trPr>
        <w:tc>
          <w:tcPr>
            <w:tcW w:w="6940" w:type="dxa"/>
            <w:tcBorders>
              <w:top w:val="nil"/>
              <w:left w:val="nil"/>
              <w:bottom w:val="single" w:sz="4" w:space="0" w:color="ADD6EA"/>
              <w:right w:val="nil"/>
            </w:tcBorders>
            <w:shd w:val="clear" w:color="000000" w:fill="D6E7F0"/>
            <w:noWrap/>
            <w:vAlign w:val="bottom"/>
            <w:hideMark/>
          </w:tcPr>
          <w:p w14:paraId="445F1756" w14:textId="77777777" w:rsidR="000765E5" w:rsidRPr="00B5548A" w:rsidRDefault="000765E5"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B5548A">
              <w:rPr>
                <w:rFonts w:ascii="Open Sans SemiBold" w:eastAsia="Times New Roman" w:hAnsi="Open Sans SemiBold" w:cs="Open Sans SemiBold"/>
                <w:color w:val="000000"/>
                <w:sz w:val="16"/>
                <w:szCs w:val="16"/>
                <w:lang w:eastAsia="en-AU"/>
              </w:rPr>
              <w:t>Total</w:t>
            </w:r>
          </w:p>
        </w:tc>
        <w:tc>
          <w:tcPr>
            <w:tcW w:w="2000" w:type="dxa"/>
            <w:tcBorders>
              <w:top w:val="nil"/>
              <w:left w:val="nil"/>
              <w:bottom w:val="single" w:sz="4" w:space="0" w:color="ADD6EA"/>
              <w:right w:val="nil"/>
            </w:tcBorders>
            <w:shd w:val="clear" w:color="000000" w:fill="D6E7F0"/>
            <w:noWrap/>
            <w:vAlign w:val="bottom"/>
            <w:hideMark/>
          </w:tcPr>
          <w:p w14:paraId="0F0F2A71" w14:textId="77777777" w:rsidR="000765E5" w:rsidRPr="00B5548A"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5548A">
              <w:rPr>
                <w:rFonts w:ascii="Open Sans SemiBold" w:eastAsia="Times New Roman" w:hAnsi="Open Sans SemiBold" w:cs="Open Sans SemiBold"/>
                <w:color w:val="000000"/>
                <w:sz w:val="16"/>
                <w:szCs w:val="16"/>
                <w:lang w:eastAsia="en-AU"/>
              </w:rPr>
              <w:t>11.3</w:t>
            </w:r>
          </w:p>
        </w:tc>
      </w:tr>
    </w:tbl>
    <w:p w14:paraId="37844D93" w14:textId="77777777" w:rsidR="000765E5" w:rsidRDefault="000765E5" w:rsidP="000765E5">
      <w:pPr>
        <w:pStyle w:val="CGCTablenote"/>
      </w:pPr>
      <w:r>
        <w:t>Source:</w:t>
      </w:r>
      <w:r>
        <w:tab/>
      </w:r>
      <w:r w:rsidRPr="007D5787">
        <w:t>Commission</w:t>
      </w:r>
      <w:r>
        <w:t xml:space="preserve"> calculation.</w:t>
      </w:r>
    </w:p>
    <w:p w14:paraId="69A0DDB0" w14:textId="77777777" w:rsidR="000765E5" w:rsidRPr="003230B1" w:rsidRDefault="000765E5" w:rsidP="000765E5">
      <w:pPr>
        <w:pStyle w:val="Heading4"/>
      </w:pPr>
      <w:bookmarkStart w:id="482" w:name="_Toc530491116"/>
      <w:r w:rsidRPr="003230B1">
        <w:t>Adjustment for the Northern Territory</w:t>
      </w:r>
      <w:bookmarkEnd w:id="482"/>
    </w:p>
    <w:p w14:paraId="5B65883F" w14:textId="77777777" w:rsidR="000765E5" w:rsidRPr="003230B1" w:rsidRDefault="000765E5" w:rsidP="00F47EC7">
      <w:pPr>
        <w:pStyle w:val="CGCParaNumber"/>
      </w:pPr>
      <w:r w:rsidRPr="003230B1">
        <w:t xml:space="preserve">Adjustments for the Northern Territory were made in the 2015 Review in the areas of education, health, welfare and housing services in recognition of its dual service delivery </w:t>
      </w:r>
      <w:r>
        <w:t>arrangements</w:t>
      </w:r>
      <w:r w:rsidRPr="003230B1">
        <w:t xml:space="preserve"> for its Indigenous and non</w:t>
      </w:r>
      <w:r w:rsidRPr="003230B1">
        <w:noBreakHyphen/>
        <w:t xml:space="preserve">Indigenous residents. However, the review of the head office functions indicated that States have elevated the focus on Indigenous services and most States now appear to provide services specifically designed to meet Indigenous needs. Accordingly, the proposed stylised head office structure for the education and health functions now includes an Indigenous services role. The case for </w:t>
      </w:r>
      <w:r>
        <w:t xml:space="preserve">retaining </w:t>
      </w:r>
      <w:r w:rsidRPr="003230B1">
        <w:t xml:space="preserve">a </w:t>
      </w:r>
      <w:r>
        <w:t xml:space="preserve">separate </w:t>
      </w:r>
      <w:r w:rsidRPr="003230B1">
        <w:t xml:space="preserve">Northern Territory adjustment was less clear. </w:t>
      </w:r>
    </w:p>
    <w:p w14:paraId="6128B486" w14:textId="77777777" w:rsidR="000765E5" w:rsidRPr="003230B1" w:rsidRDefault="000765E5" w:rsidP="00F47EC7">
      <w:pPr>
        <w:pStyle w:val="CGCParaNumber"/>
      </w:pPr>
      <w:r w:rsidRPr="003230B1">
        <w:t xml:space="preserve">The Northern Territory argued for all the adjustments to be retained and additional ones for the Department of the Chief Minister (DCM) and the Northern Territory Police in recognition of Indigenous specific functions, particularly in relation to regional coordination and engagement with remote Indigenous communities. </w:t>
      </w:r>
    </w:p>
    <w:p w14:paraId="71A25823" w14:textId="77777777" w:rsidR="000765E5" w:rsidRPr="003230B1" w:rsidRDefault="000765E5" w:rsidP="000765E5">
      <w:pPr>
        <w:pStyle w:val="CGCBullet1"/>
      </w:pPr>
      <w:r w:rsidRPr="003230B1">
        <w:t>DCM supports all levels of government, regional stakeholders and Indigenous communities through its Office of Aboriginal Affairs, Aboriginal Land Strategic Policy and Regional Network functions (combined staffing of over 50 FTE).</w:t>
      </w:r>
    </w:p>
    <w:p w14:paraId="7C1C2049" w14:textId="77777777" w:rsidR="000765E5" w:rsidRPr="003230B1" w:rsidRDefault="000765E5" w:rsidP="000765E5">
      <w:pPr>
        <w:pStyle w:val="CGCBullet1"/>
      </w:pPr>
      <w:r w:rsidRPr="003230B1">
        <w:t xml:space="preserve">Policing in the Northern Territory’s Indigenous communities differs from that of other States because of the heterogeneity of the remote Indigenous communities, their extent (in proportionate terms) and the issues of distance and isolation that mean solutions to </w:t>
      </w:r>
      <w:r w:rsidRPr="003230B1">
        <w:lastRenderedPageBreak/>
        <w:t xml:space="preserve">problems and policing models are different in the Northern Territory and also differ between communities within the Northern Territory. </w:t>
      </w:r>
    </w:p>
    <w:p w14:paraId="5E0F8E2C" w14:textId="77777777" w:rsidR="000765E5" w:rsidRPr="003230B1" w:rsidRDefault="000765E5" w:rsidP="00F47EC7">
      <w:pPr>
        <w:pStyle w:val="CGCParaNumber"/>
      </w:pPr>
      <w:r w:rsidRPr="003230B1">
        <w:t xml:space="preserve">The Northern Territory did not contest that most States now have a greater focus on Indigenous needs. However, the Northern Territory argued that its needs for Indigenous specific services go deeper than in other States because it has such a high proportion of Indigenous people and Indigenous people in remote areas. The Northern Territory said its dual service delivery arrangements result in a need for additional administrative resources for developing strategies, policies, plans and service delivery approaches. It acknowledged that the additional administrative resources are not easily identified within head office structures. </w:t>
      </w:r>
    </w:p>
    <w:p w14:paraId="15CE1F5B" w14:textId="77777777" w:rsidR="000765E5" w:rsidRPr="003230B1" w:rsidRDefault="000765E5" w:rsidP="00F47EC7">
      <w:pPr>
        <w:pStyle w:val="CGCParaNumber"/>
      </w:pPr>
      <w:r w:rsidRPr="003230B1">
        <w:t>The Commission recognises the Northern Territory’s complex Indigeneity related issues and that they affect how services are delivered. However, during State visits, other States with significant Indigenous populations described similar service delivery challenges and a need to develop strategies and arrangements to respond to the specific requirements of this population group. The Commission considers that the minimum staffing structures across all key service delivery areas include an allowance for the development of Indigenous specific service delivery arrangements. Furthermore, some of the examples provided by the Northern</w:t>
      </w:r>
      <w:r>
        <w:t> </w:t>
      </w:r>
      <w:r w:rsidRPr="003230B1">
        <w:t>Territory to underpin its case described service delivery costs, which are recognised in the expense category assessments.</w:t>
      </w:r>
    </w:p>
    <w:p w14:paraId="1F9592B8" w14:textId="77777777" w:rsidR="000765E5" w:rsidRPr="003230B1" w:rsidRDefault="000765E5" w:rsidP="00F47EC7">
      <w:pPr>
        <w:pStyle w:val="CGCParaNumber"/>
      </w:pPr>
      <w:r w:rsidRPr="003230B1">
        <w:t>The Commission considers that it is now average policy for States to recognise Indigenous priorities in policy formulation and service delivery strategies. As such, the Commission ceased the Northern Territory adjustment for dual service delivery. However, it decided to retain a small adjustment to recognise the additional costs faced by the DCM in engaging with Indigenous stakeholders for policy development and coordination. The Commission considers that the level of engagement with Indigenous communities reflects the centrality of Indigenous people in the provision of government services in the Northern Territory. An administrative scale cost adjustment for the Northern Territory of $</w:t>
      </w:r>
      <w:r>
        <w:t>2.0</w:t>
      </w:r>
      <w:r w:rsidRPr="003230B1">
        <w:t xml:space="preserve"> million has been included, based on one branch led by a senior executive and two sections of four staff. </w:t>
      </w:r>
    </w:p>
    <w:p w14:paraId="482A5A36" w14:textId="77777777" w:rsidR="000765E5" w:rsidRDefault="000765E5" w:rsidP="000765E5">
      <w:pPr>
        <w:pStyle w:val="Heading4"/>
      </w:pPr>
      <w:r>
        <w:t>Wage costs</w:t>
      </w:r>
    </w:p>
    <w:p w14:paraId="1BD39A64" w14:textId="77777777" w:rsidR="000765E5" w:rsidRPr="00C172B0" w:rsidRDefault="000765E5" w:rsidP="00F47EC7">
      <w:pPr>
        <w:pStyle w:val="CGCParaNumber"/>
      </w:pPr>
      <w:r w:rsidRPr="00C172B0">
        <w:t xml:space="preserve">Differences in wage costs between States have a differential effect on the cost of providing services. There is a general method for measuring the influence of wage costs in components where the disability applies. For a description of the method see </w:t>
      </w:r>
      <w:r>
        <w:t>Chapter 27</w:t>
      </w:r>
      <w:r w:rsidRPr="00C172B0">
        <w:t xml:space="preserve"> Wage costs. </w:t>
      </w:r>
    </w:p>
    <w:p w14:paraId="1FD6C0D4" w14:textId="77777777" w:rsidR="000765E5" w:rsidRDefault="000765E5" w:rsidP="00F47EC7">
      <w:pPr>
        <w:pStyle w:val="CGCParaNumber"/>
      </w:pPr>
      <w:r>
        <w:t>The 60:40 split between employee and non</w:t>
      </w:r>
      <w:r>
        <w:noBreakHyphen/>
        <w:t>employee costs was used to determine the proportion to which the wages costs factor should apply.</w:t>
      </w:r>
    </w:p>
    <w:p w14:paraId="0CB037F8" w14:textId="77777777" w:rsidR="000765E5" w:rsidRDefault="000765E5" w:rsidP="00DD6F25">
      <w:pPr>
        <w:pStyle w:val="Heading4"/>
        <w:keepNext w:val="0"/>
      </w:pPr>
      <w:bookmarkStart w:id="483" w:name="_Toc2182883"/>
      <w:bookmarkEnd w:id="474"/>
      <w:r>
        <w:t>Assessed expenses calculations</w:t>
      </w:r>
    </w:p>
    <w:p w14:paraId="5F5FEC59" w14:textId="337B1FAD" w:rsidR="000765E5" w:rsidRPr="00847F39" w:rsidRDefault="00A4394A" w:rsidP="00DD6F25">
      <w:pPr>
        <w:pStyle w:val="CGCParaNumber"/>
      </w:pPr>
      <w:r>
        <w:fldChar w:fldCharType="begin"/>
      </w:r>
      <w:r>
        <w:instrText xml:space="preserve"> REF _Ref32850402 \h </w:instrText>
      </w:r>
      <w:r>
        <w:fldChar w:fldCharType="separate"/>
      </w:r>
      <w:r w:rsidR="007F721A">
        <w:t>Table 26-</w:t>
      </w:r>
      <w:r w:rsidR="007F721A">
        <w:rPr>
          <w:noProof/>
        </w:rPr>
        <w:t>3</w:t>
      </w:r>
      <w:r>
        <w:fldChar w:fldCharType="end"/>
      </w:r>
      <w:r w:rsidR="000765E5">
        <w:t xml:space="preserve"> shows the calculation of total assessed expenses for administrative scale in 2018</w:t>
      </w:r>
      <w:r w:rsidR="000765E5">
        <w:noBreakHyphen/>
        <w:t>19.</w:t>
      </w:r>
    </w:p>
    <w:p w14:paraId="7DFB0891" w14:textId="61BD4AE0" w:rsidR="000765E5" w:rsidRDefault="000765E5" w:rsidP="00DD6F25">
      <w:pPr>
        <w:pStyle w:val="Caption"/>
      </w:pPr>
      <w:bookmarkStart w:id="484" w:name="_Ref32850402"/>
      <w:r>
        <w:lastRenderedPageBreak/>
        <w:t>Table 26-</w:t>
      </w:r>
      <w:fldSimple w:instr=" SEQ Table \* ARABIC ">
        <w:r w:rsidR="007F721A">
          <w:rPr>
            <w:noProof/>
          </w:rPr>
          <w:t>3</w:t>
        </w:r>
      </w:fldSimple>
      <w:bookmarkEnd w:id="484"/>
      <w:r>
        <w:tab/>
        <w:t>Administrative scale</w:t>
      </w:r>
      <w:r w:rsidRPr="00FA76ED">
        <w:t xml:space="preserve"> </w:t>
      </w:r>
      <w:r>
        <w:t>assessment, 2018</w:t>
      </w:r>
      <w:r>
        <w:noBreakHyphen/>
        <w:t>19</w:t>
      </w:r>
    </w:p>
    <w:tbl>
      <w:tblPr>
        <w:tblW w:w="8920" w:type="dxa"/>
        <w:tblCellMar>
          <w:left w:w="0" w:type="dxa"/>
          <w:right w:w="28" w:type="dxa"/>
        </w:tblCellMar>
        <w:tblLook w:val="04A0" w:firstRow="1" w:lastRow="0" w:firstColumn="1" w:lastColumn="0" w:noHBand="0" w:noVBand="1"/>
      </w:tblPr>
      <w:tblGrid>
        <w:gridCol w:w="2363"/>
        <w:gridCol w:w="727"/>
        <w:gridCol w:w="727"/>
        <w:gridCol w:w="726"/>
        <w:gridCol w:w="726"/>
        <w:gridCol w:w="726"/>
        <w:gridCol w:w="726"/>
        <w:gridCol w:w="726"/>
        <w:gridCol w:w="766"/>
        <w:gridCol w:w="766"/>
      </w:tblGrid>
      <w:tr w:rsidR="000765E5" w:rsidRPr="00161FC1" w14:paraId="7F122995" w14:textId="77777777" w:rsidTr="008708A5">
        <w:trPr>
          <w:trHeight w:val="383"/>
        </w:trPr>
        <w:tc>
          <w:tcPr>
            <w:tcW w:w="2360" w:type="dxa"/>
            <w:tcBorders>
              <w:top w:val="single" w:sz="4" w:space="0" w:color="ADD6EA"/>
              <w:left w:val="nil"/>
              <w:bottom w:val="single" w:sz="4" w:space="0" w:color="ADD6EA"/>
              <w:right w:val="nil"/>
            </w:tcBorders>
            <w:shd w:val="clear" w:color="000000" w:fill="006991"/>
            <w:noWrap/>
            <w:vAlign w:val="center"/>
            <w:hideMark/>
          </w:tcPr>
          <w:p w14:paraId="228494A5" w14:textId="77777777" w:rsidR="000765E5" w:rsidRPr="00161FC1" w:rsidRDefault="000765E5" w:rsidP="00DD6F2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61FC1">
              <w:rPr>
                <w:rFonts w:ascii="Open Sans SemiBold" w:eastAsia="Times New Roman" w:hAnsi="Open Sans SemiBold" w:cs="Open Sans SemiBold"/>
                <w:color w:val="FFFFFF"/>
                <w:sz w:val="16"/>
                <w:szCs w:val="16"/>
                <w:lang w:eastAsia="en-AU"/>
              </w:rPr>
              <w:t> </w:t>
            </w:r>
          </w:p>
        </w:tc>
        <w:tc>
          <w:tcPr>
            <w:tcW w:w="720" w:type="dxa"/>
            <w:tcBorders>
              <w:top w:val="single" w:sz="4" w:space="0" w:color="ADD6EA"/>
              <w:left w:val="nil"/>
              <w:bottom w:val="single" w:sz="4" w:space="0" w:color="ADD6EA"/>
              <w:right w:val="nil"/>
            </w:tcBorders>
            <w:shd w:val="clear" w:color="000000" w:fill="006991"/>
            <w:noWrap/>
            <w:vAlign w:val="center"/>
            <w:hideMark/>
          </w:tcPr>
          <w:p w14:paraId="53473C0E" w14:textId="77777777" w:rsidR="000765E5" w:rsidRPr="00161FC1" w:rsidRDefault="000765E5" w:rsidP="00DD6F2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61FC1">
              <w:rPr>
                <w:rFonts w:ascii="Open Sans SemiBold" w:eastAsia="Times New Roman" w:hAnsi="Open Sans SemiBold" w:cs="Open Sans SemiBold"/>
                <w:color w:val="FFFFFF"/>
                <w:sz w:val="16"/>
                <w:szCs w:val="16"/>
                <w:lang w:eastAsia="en-AU"/>
              </w:rPr>
              <w:t>NSW</w:t>
            </w:r>
          </w:p>
        </w:tc>
        <w:tc>
          <w:tcPr>
            <w:tcW w:w="720" w:type="dxa"/>
            <w:tcBorders>
              <w:top w:val="single" w:sz="4" w:space="0" w:color="ADD6EA"/>
              <w:left w:val="nil"/>
              <w:bottom w:val="single" w:sz="4" w:space="0" w:color="ADD6EA"/>
              <w:right w:val="nil"/>
            </w:tcBorders>
            <w:shd w:val="clear" w:color="000000" w:fill="006991"/>
            <w:noWrap/>
            <w:vAlign w:val="center"/>
            <w:hideMark/>
          </w:tcPr>
          <w:p w14:paraId="6ED7D52D" w14:textId="77777777" w:rsidR="000765E5" w:rsidRPr="00161FC1" w:rsidRDefault="000765E5" w:rsidP="00DD6F2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61FC1">
              <w:rPr>
                <w:rFonts w:ascii="Open Sans SemiBold" w:eastAsia="Times New Roman" w:hAnsi="Open Sans SemiBold" w:cs="Open Sans SemiBold"/>
                <w:color w:val="FFFFFF"/>
                <w:sz w:val="16"/>
                <w:szCs w:val="16"/>
                <w:lang w:eastAsia="en-AU"/>
              </w:rPr>
              <w:t>Vic</w:t>
            </w:r>
          </w:p>
        </w:tc>
        <w:tc>
          <w:tcPr>
            <w:tcW w:w="720" w:type="dxa"/>
            <w:tcBorders>
              <w:top w:val="single" w:sz="4" w:space="0" w:color="ADD6EA"/>
              <w:left w:val="nil"/>
              <w:bottom w:val="single" w:sz="4" w:space="0" w:color="ADD6EA"/>
              <w:right w:val="nil"/>
            </w:tcBorders>
            <w:shd w:val="clear" w:color="000000" w:fill="006991"/>
            <w:noWrap/>
            <w:vAlign w:val="center"/>
            <w:hideMark/>
          </w:tcPr>
          <w:p w14:paraId="691A155C" w14:textId="77777777" w:rsidR="000765E5" w:rsidRPr="00161FC1" w:rsidRDefault="000765E5" w:rsidP="00DD6F2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61FC1">
              <w:rPr>
                <w:rFonts w:ascii="Open Sans SemiBold" w:eastAsia="Times New Roman" w:hAnsi="Open Sans SemiBold" w:cs="Open Sans SemiBold"/>
                <w:color w:val="FFFFFF"/>
                <w:sz w:val="16"/>
                <w:szCs w:val="16"/>
                <w:lang w:eastAsia="en-AU"/>
              </w:rPr>
              <w:t>Qld</w:t>
            </w:r>
          </w:p>
        </w:tc>
        <w:tc>
          <w:tcPr>
            <w:tcW w:w="720" w:type="dxa"/>
            <w:tcBorders>
              <w:top w:val="single" w:sz="4" w:space="0" w:color="ADD6EA"/>
              <w:left w:val="nil"/>
              <w:bottom w:val="single" w:sz="4" w:space="0" w:color="ADD6EA"/>
              <w:right w:val="nil"/>
            </w:tcBorders>
            <w:shd w:val="clear" w:color="000000" w:fill="006991"/>
            <w:noWrap/>
            <w:vAlign w:val="center"/>
            <w:hideMark/>
          </w:tcPr>
          <w:p w14:paraId="28B2478F" w14:textId="77777777" w:rsidR="000765E5" w:rsidRPr="00161FC1" w:rsidRDefault="000765E5" w:rsidP="00DD6F2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61FC1">
              <w:rPr>
                <w:rFonts w:ascii="Open Sans SemiBold" w:eastAsia="Times New Roman" w:hAnsi="Open Sans SemiBold" w:cs="Open Sans SemiBold"/>
                <w:color w:val="FFFFFF"/>
                <w:sz w:val="16"/>
                <w:szCs w:val="16"/>
                <w:lang w:eastAsia="en-AU"/>
              </w:rPr>
              <w:t>WA</w:t>
            </w:r>
          </w:p>
        </w:tc>
        <w:tc>
          <w:tcPr>
            <w:tcW w:w="720" w:type="dxa"/>
            <w:tcBorders>
              <w:top w:val="single" w:sz="4" w:space="0" w:color="ADD6EA"/>
              <w:left w:val="nil"/>
              <w:bottom w:val="single" w:sz="4" w:space="0" w:color="ADD6EA"/>
              <w:right w:val="nil"/>
            </w:tcBorders>
            <w:shd w:val="clear" w:color="000000" w:fill="006991"/>
            <w:noWrap/>
            <w:vAlign w:val="center"/>
            <w:hideMark/>
          </w:tcPr>
          <w:p w14:paraId="5A700A52" w14:textId="77777777" w:rsidR="000765E5" w:rsidRPr="00161FC1" w:rsidRDefault="000765E5" w:rsidP="00DD6F2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61FC1">
              <w:rPr>
                <w:rFonts w:ascii="Open Sans SemiBold" w:eastAsia="Times New Roman" w:hAnsi="Open Sans SemiBold" w:cs="Open Sans SemiBold"/>
                <w:color w:val="FFFFFF"/>
                <w:sz w:val="16"/>
                <w:szCs w:val="16"/>
                <w:lang w:eastAsia="en-AU"/>
              </w:rPr>
              <w:t>SA</w:t>
            </w:r>
          </w:p>
        </w:tc>
        <w:tc>
          <w:tcPr>
            <w:tcW w:w="720" w:type="dxa"/>
            <w:tcBorders>
              <w:top w:val="single" w:sz="4" w:space="0" w:color="ADD6EA"/>
              <w:left w:val="nil"/>
              <w:bottom w:val="single" w:sz="4" w:space="0" w:color="ADD6EA"/>
              <w:right w:val="nil"/>
            </w:tcBorders>
            <w:shd w:val="clear" w:color="000000" w:fill="006991"/>
            <w:noWrap/>
            <w:vAlign w:val="center"/>
            <w:hideMark/>
          </w:tcPr>
          <w:p w14:paraId="1748CFAC" w14:textId="77777777" w:rsidR="000765E5" w:rsidRPr="00161FC1" w:rsidRDefault="000765E5" w:rsidP="00DD6F2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61FC1">
              <w:rPr>
                <w:rFonts w:ascii="Open Sans SemiBold" w:eastAsia="Times New Roman" w:hAnsi="Open Sans SemiBold" w:cs="Open Sans SemiBold"/>
                <w:color w:val="FFFFFF"/>
                <w:sz w:val="16"/>
                <w:szCs w:val="16"/>
                <w:lang w:eastAsia="en-AU"/>
              </w:rPr>
              <w:t>Tas</w:t>
            </w:r>
          </w:p>
        </w:tc>
        <w:tc>
          <w:tcPr>
            <w:tcW w:w="720" w:type="dxa"/>
            <w:tcBorders>
              <w:top w:val="single" w:sz="4" w:space="0" w:color="ADD6EA"/>
              <w:left w:val="nil"/>
              <w:bottom w:val="single" w:sz="4" w:space="0" w:color="ADD6EA"/>
              <w:right w:val="nil"/>
            </w:tcBorders>
            <w:shd w:val="clear" w:color="000000" w:fill="006991"/>
            <w:noWrap/>
            <w:vAlign w:val="center"/>
            <w:hideMark/>
          </w:tcPr>
          <w:p w14:paraId="5F53B1D4" w14:textId="77777777" w:rsidR="000765E5" w:rsidRPr="00161FC1" w:rsidRDefault="000765E5" w:rsidP="00DD6F2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61FC1">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noWrap/>
            <w:vAlign w:val="center"/>
            <w:hideMark/>
          </w:tcPr>
          <w:p w14:paraId="28DA02A2" w14:textId="77777777" w:rsidR="000765E5" w:rsidRPr="00161FC1" w:rsidRDefault="000765E5" w:rsidP="00DD6F2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61FC1">
              <w:rPr>
                <w:rFonts w:ascii="Open Sans SemiBold" w:eastAsia="Times New Roman"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noWrap/>
            <w:vAlign w:val="center"/>
            <w:hideMark/>
          </w:tcPr>
          <w:p w14:paraId="4EA3DAEA" w14:textId="77777777" w:rsidR="000765E5" w:rsidRPr="00161FC1" w:rsidRDefault="000765E5" w:rsidP="00DD6F25">
            <w:pPr>
              <w:keepNext/>
              <w:keepLines/>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61FC1">
              <w:rPr>
                <w:rFonts w:ascii="Open Sans SemiBold" w:eastAsia="Times New Roman" w:hAnsi="Open Sans SemiBold" w:cs="Open Sans SemiBold"/>
                <w:color w:val="FFFFFF"/>
                <w:sz w:val="16"/>
                <w:szCs w:val="16"/>
                <w:lang w:eastAsia="en-AU"/>
              </w:rPr>
              <w:t>Total</w:t>
            </w:r>
          </w:p>
        </w:tc>
      </w:tr>
      <w:tr w:rsidR="000765E5" w:rsidRPr="00161FC1" w14:paraId="25F38C13" w14:textId="77777777" w:rsidTr="008708A5">
        <w:trPr>
          <w:trHeight w:val="555"/>
        </w:trPr>
        <w:tc>
          <w:tcPr>
            <w:tcW w:w="2360" w:type="dxa"/>
            <w:tcBorders>
              <w:top w:val="nil"/>
              <w:left w:val="nil"/>
              <w:bottom w:val="single" w:sz="4" w:space="0" w:color="ADD6EA"/>
              <w:right w:val="nil"/>
            </w:tcBorders>
            <w:shd w:val="clear" w:color="auto" w:fill="auto"/>
            <w:vAlign w:val="bottom"/>
            <w:hideMark/>
          </w:tcPr>
          <w:p w14:paraId="76D22C84" w14:textId="77777777" w:rsidR="000765E5" w:rsidRPr="00161FC1" w:rsidRDefault="000765E5" w:rsidP="00DD6F25">
            <w:pPr>
              <w:keepNext/>
              <w:keepLines/>
              <w:tabs>
                <w:tab w:val="clear" w:pos="567"/>
              </w:tabs>
              <w:spacing w:before="0" w:line="240" w:lineRule="auto"/>
              <w:rPr>
                <w:rFonts w:eastAsia="Times New Roman" w:cs="Open Sans Light"/>
                <w:sz w:val="16"/>
                <w:szCs w:val="16"/>
                <w:lang w:eastAsia="en-AU"/>
              </w:rPr>
            </w:pPr>
            <w:r w:rsidRPr="00161FC1">
              <w:rPr>
                <w:rFonts w:eastAsia="Times New Roman" w:cs="Open Sans Light"/>
                <w:sz w:val="16"/>
                <w:szCs w:val="16"/>
                <w:lang w:eastAsia="en-AU"/>
              </w:rPr>
              <w:t>Total administrative scale expenses ($m)</w:t>
            </w:r>
          </w:p>
        </w:tc>
        <w:tc>
          <w:tcPr>
            <w:tcW w:w="720" w:type="dxa"/>
            <w:tcBorders>
              <w:top w:val="nil"/>
              <w:left w:val="nil"/>
              <w:bottom w:val="single" w:sz="4" w:space="0" w:color="ADD6EA"/>
              <w:right w:val="nil"/>
            </w:tcBorders>
            <w:shd w:val="clear" w:color="auto" w:fill="auto"/>
            <w:noWrap/>
            <w:vAlign w:val="bottom"/>
            <w:hideMark/>
          </w:tcPr>
          <w:p w14:paraId="7802B9AA"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353</w:t>
            </w:r>
          </w:p>
        </w:tc>
        <w:tc>
          <w:tcPr>
            <w:tcW w:w="720" w:type="dxa"/>
            <w:tcBorders>
              <w:top w:val="nil"/>
              <w:left w:val="nil"/>
              <w:bottom w:val="single" w:sz="4" w:space="0" w:color="ADD6EA"/>
              <w:right w:val="nil"/>
            </w:tcBorders>
            <w:shd w:val="clear" w:color="auto" w:fill="auto"/>
            <w:noWrap/>
            <w:vAlign w:val="bottom"/>
            <w:hideMark/>
          </w:tcPr>
          <w:p w14:paraId="1B999663"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353</w:t>
            </w:r>
          </w:p>
        </w:tc>
        <w:tc>
          <w:tcPr>
            <w:tcW w:w="720" w:type="dxa"/>
            <w:tcBorders>
              <w:top w:val="nil"/>
              <w:left w:val="nil"/>
              <w:bottom w:val="single" w:sz="4" w:space="0" w:color="ADD6EA"/>
              <w:right w:val="nil"/>
            </w:tcBorders>
            <w:shd w:val="clear" w:color="auto" w:fill="auto"/>
            <w:noWrap/>
            <w:vAlign w:val="bottom"/>
            <w:hideMark/>
          </w:tcPr>
          <w:p w14:paraId="6E2B0F88"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353</w:t>
            </w:r>
          </w:p>
        </w:tc>
        <w:tc>
          <w:tcPr>
            <w:tcW w:w="720" w:type="dxa"/>
            <w:tcBorders>
              <w:top w:val="nil"/>
              <w:left w:val="nil"/>
              <w:bottom w:val="single" w:sz="4" w:space="0" w:color="ADD6EA"/>
              <w:right w:val="nil"/>
            </w:tcBorders>
            <w:shd w:val="clear" w:color="auto" w:fill="auto"/>
            <w:noWrap/>
            <w:vAlign w:val="bottom"/>
            <w:hideMark/>
          </w:tcPr>
          <w:p w14:paraId="04FFBDC2"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353</w:t>
            </w:r>
          </w:p>
        </w:tc>
        <w:tc>
          <w:tcPr>
            <w:tcW w:w="720" w:type="dxa"/>
            <w:tcBorders>
              <w:top w:val="nil"/>
              <w:left w:val="nil"/>
              <w:bottom w:val="single" w:sz="4" w:space="0" w:color="ADD6EA"/>
              <w:right w:val="nil"/>
            </w:tcBorders>
            <w:shd w:val="clear" w:color="auto" w:fill="auto"/>
            <w:noWrap/>
            <w:vAlign w:val="bottom"/>
            <w:hideMark/>
          </w:tcPr>
          <w:p w14:paraId="621F7DF0"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353</w:t>
            </w:r>
          </w:p>
        </w:tc>
        <w:tc>
          <w:tcPr>
            <w:tcW w:w="720" w:type="dxa"/>
            <w:tcBorders>
              <w:top w:val="nil"/>
              <w:left w:val="nil"/>
              <w:bottom w:val="single" w:sz="4" w:space="0" w:color="ADD6EA"/>
              <w:right w:val="nil"/>
            </w:tcBorders>
            <w:shd w:val="clear" w:color="auto" w:fill="auto"/>
            <w:noWrap/>
            <w:vAlign w:val="bottom"/>
            <w:hideMark/>
          </w:tcPr>
          <w:p w14:paraId="6D2F3E72"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353</w:t>
            </w:r>
          </w:p>
        </w:tc>
        <w:tc>
          <w:tcPr>
            <w:tcW w:w="720" w:type="dxa"/>
            <w:tcBorders>
              <w:top w:val="nil"/>
              <w:left w:val="nil"/>
              <w:bottom w:val="single" w:sz="4" w:space="0" w:color="ADD6EA"/>
              <w:right w:val="nil"/>
            </w:tcBorders>
            <w:shd w:val="clear" w:color="auto" w:fill="auto"/>
            <w:noWrap/>
            <w:vAlign w:val="bottom"/>
            <w:hideMark/>
          </w:tcPr>
          <w:p w14:paraId="487B8896"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342</w:t>
            </w:r>
          </w:p>
        </w:tc>
        <w:tc>
          <w:tcPr>
            <w:tcW w:w="760" w:type="dxa"/>
            <w:tcBorders>
              <w:top w:val="nil"/>
              <w:left w:val="nil"/>
              <w:bottom w:val="single" w:sz="4" w:space="0" w:color="ADD6EA"/>
              <w:right w:val="nil"/>
            </w:tcBorders>
            <w:shd w:val="clear" w:color="auto" w:fill="auto"/>
            <w:noWrap/>
            <w:vAlign w:val="bottom"/>
            <w:hideMark/>
          </w:tcPr>
          <w:p w14:paraId="4633AEFE"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355</w:t>
            </w:r>
          </w:p>
        </w:tc>
        <w:tc>
          <w:tcPr>
            <w:tcW w:w="760" w:type="dxa"/>
            <w:tcBorders>
              <w:top w:val="nil"/>
              <w:left w:val="nil"/>
              <w:bottom w:val="single" w:sz="4" w:space="0" w:color="ADD6EA"/>
              <w:right w:val="nil"/>
            </w:tcBorders>
            <w:shd w:val="clear" w:color="auto" w:fill="auto"/>
            <w:noWrap/>
            <w:vAlign w:val="bottom"/>
            <w:hideMark/>
          </w:tcPr>
          <w:p w14:paraId="47CD3192"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2,815</w:t>
            </w:r>
          </w:p>
        </w:tc>
      </w:tr>
      <w:tr w:rsidR="000765E5" w:rsidRPr="00161FC1" w14:paraId="4AA15BEF" w14:textId="77777777" w:rsidTr="008708A5">
        <w:trPr>
          <w:trHeight w:val="315"/>
        </w:trPr>
        <w:tc>
          <w:tcPr>
            <w:tcW w:w="2360" w:type="dxa"/>
            <w:tcBorders>
              <w:top w:val="nil"/>
              <w:left w:val="nil"/>
              <w:bottom w:val="single" w:sz="4" w:space="0" w:color="ADD6EA"/>
              <w:right w:val="nil"/>
            </w:tcBorders>
            <w:shd w:val="clear" w:color="auto" w:fill="auto"/>
            <w:noWrap/>
            <w:vAlign w:val="bottom"/>
            <w:hideMark/>
          </w:tcPr>
          <w:p w14:paraId="0B518D2C" w14:textId="77777777" w:rsidR="000765E5" w:rsidRPr="00161FC1" w:rsidRDefault="000765E5" w:rsidP="00DD6F25">
            <w:pPr>
              <w:keepNext/>
              <w:keepLines/>
              <w:tabs>
                <w:tab w:val="clear" w:pos="567"/>
              </w:tabs>
              <w:spacing w:before="0" w:line="240" w:lineRule="auto"/>
              <w:rPr>
                <w:rFonts w:eastAsia="Times New Roman" w:cs="Open Sans Light"/>
                <w:sz w:val="16"/>
                <w:szCs w:val="16"/>
                <w:lang w:eastAsia="en-AU"/>
              </w:rPr>
            </w:pPr>
            <w:r w:rsidRPr="00161FC1">
              <w:rPr>
                <w:rFonts w:eastAsia="Times New Roman" w:cs="Open Sans Light"/>
                <w:sz w:val="16"/>
                <w:szCs w:val="16"/>
                <w:lang w:eastAsia="en-AU"/>
              </w:rPr>
              <w:t>Wage costs factor</w:t>
            </w:r>
          </w:p>
        </w:tc>
        <w:tc>
          <w:tcPr>
            <w:tcW w:w="720" w:type="dxa"/>
            <w:tcBorders>
              <w:top w:val="nil"/>
              <w:left w:val="nil"/>
              <w:bottom w:val="single" w:sz="4" w:space="0" w:color="ADD6EA"/>
              <w:right w:val="nil"/>
            </w:tcBorders>
            <w:shd w:val="clear" w:color="auto" w:fill="auto"/>
            <w:noWrap/>
            <w:vAlign w:val="bottom"/>
            <w:hideMark/>
          </w:tcPr>
          <w:p w14:paraId="52A18369"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1.006</w:t>
            </w:r>
          </w:p>
        </w:tc>
        <w:tc>
          <w:tcPr>
            <w:tcW w:w="720" w:type="dxa"/>
            <w:tcBorders>
              <w:top w:val="nil"/>
              <w:left w:val="nil"/>
              <w:bottom w:val="single" w:sz="4" w:space="0" w:color="ADD6EA"/>
              <w:right w:val="nil"/>
            </w:tcBorders>
            <w:shd w:val="clear" w:color="auto" w:fill="auto"/>
            <w:noWrap/>
            <w:vAlign w:val="bottom"/>
            <w:hideMark/>
          </w:tcPr>
          <w:p w14:paraId="193B365A"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0.994</w:t>
            </w:r>
          </w:p>
        </w:tc>
        <w:tc>
          <w:tcPr>
            <w:tcW w:w="720" w:type="dxa"/>
            <w:tcBorders>
              <w:top w:val="nil"/>
              <w:left w:val="nil"/>
              <w:bottom w:val="single" w:sz="4" w:space="0" w:color="ADD6EA"/>
              <w:right w:val="nil"/>
            </w:tcBorders>
            <w:shd w:val="clear" w:color="auto" w:fill="auto"/>
            <w:noWrap/>
            <w:vAlign w:val="bottom"/>
            <w:hideMark/>
          </w:tcPr>
          <w:p w14:paraId="0FA0E10E"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0.996</w:t>
            </w:r>
          </w:p>
        </w:tc>
        <w:tc>
          <w:tcPr>
            <w:tcW w:w="720" w:type="dxa"/>
            <w:tcBorders>
              <w:top w:val="nil"/>
              <w:left w:val="nil"/>
              <w:bottom w:val="single" w:sz="4" w:space="0" w:color="ADD6EA"/>
              <w:right w:val="nil"/>
            </w:tcBorders>
            <w:shd w:val="clear" w:color="auto" w:fill="auto"/>
            <w:noWrap/>
            <w:vAlign w:val="bottom"/>
            <w:hideMark/>
          </w:tcPr>
          <w:p w14:paraId="29E69F11"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1.017</w:t>
            </w:r>
          </w:p>
        </w:tc>
        <w:tc>
          <w:tcPr>
            <w:tcW w:w="720" w:type="dxa"/>
            <w:tcBorders>
              <w:top w:val="nil"/>
              <w:left w:val="nil"/>
              <w:bottom w:val="single" w:sz="4" w:space="0" w:color="ADD6EA"/>
              <w:right w:val="nil"/>
            </w:tcBorders>
            <w:shd w:val="clear" w:color="auto" w:fill="auto"/>
            <w:noWrap/>
            <w:vAlign w:val="bottom"/>
            <w:hideMark/>
          </w:tcPr>
          <w:p w14:paraId="0F7125DF"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0.980</w:t>
            </w:r>
          </w:p>
        </w:tc>
        <w:tc>
          <w:tcPr>
            <w:tcW w:w="720" w:type="dxa"/>
            <w:tcBorders>
              <w:top w:val="nil"/>
              <w:left w:val="nil"/>
              <w:bottom w:val="single" w:sz="4" w:space="0" w:color="ADD6EA"/>
              <w:right w:val="nil"/>
            </w:tcBorders>
            <w:shd w:val="clear" w:color="auto" w:fill="auto"/>
            <w:noWrap/>
            <w:vAlign w:val="bottom"/>
            <w:hideMark/>
          </w:tcPr>
          <w:p w14:paraId="02C69590"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0.973</w:t>
            </w:r>
          </w:p>
        </w:tc>
        <w:tc>
          <w:tcPr>
            <w:tcW w:w="720" w:type="dxa"/>
            <w:tcBorders>
              <w:top w:val="nil"/>
              <w:left w:val="nil"/>
              <w:bottom w:val="single" w:sz="4" w:space="0" w:color="ADD6EA"/>
              <w:right w:val="nil"/>
            </w:tcBorders>
            <w:shd w:val="clear" w:color="auto" w:fill="auto"/>
            <w:noWrap/>
            <w:vAlign w:val="bottom"/>
            <w:hideMark/>
          </w:tcPr>
          <w:p w14:paraId="1764559C"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1.018</w:t>
            </w:r>
          </w:p>
        </w:tc>
        <w:tc>
          <w:tcPr>
            <w:tcW w:w="760" w:type="dxa"/>
            <w:tcBorders>
              <w:top w:val="nil"/>
              <w:left w:val="nil"/>
              <w:bottom w:val="single" w:sz="4" w:space="0" w:color="ADD6EA"/>
              <w:right w:val="nil"/>
            </w:tcBorders>
            <w:shd w:val="clear" w:color="auto" w:fill="auto"/>
            <w:noWrap/>
            <w:vAlign w:val="bottom"/>
            <w:hideMark/>
          </w:tcPr>
          <w:p w14:paraId="7F350029"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1.028</w:t>
            </w:r>
          </w:p>
        </w:tc>
        <w:tc>
          <w:tcPr>
            <w:tcW w:w="760" w:type="dxa"/>
            <w:tcBorders>
              <w:top w:val="nil"/>
              <w:left w:val="nil"/>
              <w:bottom w:val="single" w:sz="4" w:space="0" w:color="ADD6EA"/>
              <w:right w:val="nil"/>
            </w:tcBorders>
            <w:shd w:val="clear" w:color="auto" w:fill="auto"/>
            <w:noWrap/>
            <w:vAlign w:val="bottom"/>
            <w:hideMark/>
          </w:tcPr>
          <w:p w14:paraId="2F542878" w14:textId="77777777" w:rsidR="000765E5" w:rsidRPr="00161FC1" w:rsidRDefault="000765E5" w:rsidP="00DD6F25">
            <w:pPr>
              <w:keepNext/>
              <w:keepLines/>
              <w:tabs>
                <w:tab w:val="clear" w:pos="567"/>
              </w:tabs>
              <w:spacing w:before="0" w:line="240" w:lineRule="auto"/>
              <w:jc w:val="right"/>
              <w:rPr>
                <w:rFonts w:eastAsia="Times New Roman" w:cs="Open Sans Light"/>
                <w:sz w:val="16"/>
                <w:szCs w:val="16"/>
                <w:lang w:eastAsia="en-AU"/>
              </w:rPr>
            </w:pPr>
            <w:r w:rsidRPr="00161FC1">
              <w:rPr>
                <w:rFonts w:eastAsia="Times New Roman" w:cs="Open Sans Light"/>
                <w:sz w:val="16"/>
                <w:szCs w:val="16"/>
                <w:lang w:eastAsia="en-AU"/>
              </w:rPr>
              <w:t>1.000</w:t>
            </w:r>
          </w:p>
        </w:tc>
      </w:tr>
      <w:tr w:rsidR="000765E5" w:rsidRPr="0038793E" w14:paraId="26B16E9F" w14:textId="77777777" w:rsidTr="008708A5">
        <w:trPr>
          <w:trHeight w:val="315"/>
        </w:trPr>
        <w:tc>
          <w:tcPr>
            <w:tcW w:w="2360" w:type="dxa"/>
            <w:tcBorders>
              <w:top w:val="nil"/>
              <w:left w:val="nil"/>
              <w:bottom w:val="single" w:sz="4" w:space="0" w:color="ADD6EA"/>
              <w:right w:val="nil"/>
            </w:tcBorders>
            <w:shd w:val="clear" w:color="000000" w:fill="D6E7F0"/>
            <w:noWrap/>
            <w:vAlign w:val="bottom"/>
            <w:hideMark/>
          </w:tcPr>
          <w:p w14:paraId="2B50BF96" w14:textId="77777777" w:rsidR="000765E5" w:rsidRPr="0038793E" w:rsidRDefault="000765E5" w:rsidP="00DD6F25">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Assessed expenses ($m)</w:t>
            </w:r>
          </w:p>
        </w:tc>
        <w:tc>
          <w:tcPr>
            <w:tcW w:w="720" w:type="dxa"/>
            <w:tcBorders>
              <w:top w:val="nil"/>
              <w:left w:val="nil"/>
              <w:bottom w:val="single" w:sz="4" w:space="0" w:color="ADD6EA"/>
              <w:right w:val="nil"/>
            </w:tcBorders>
            <w:shd w:val="clear" w:color="000000" w:fill="D6E7F0"/>
            <w:noWrap/>
            <w:vAlign w:val="bottom"/>
            <w:hideMark/>
          </w:tcPr>
          <w:p w14:paraId="53D29636"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355</w:t>
            </w:r>
          </w:p>
        </w:tc>
        <w:tc>
          <w:tcPr>
            <w:tcW w:w="720" w:type="dxa"/>
            <w:tcBorders>
              <w:top w:val="nil"/>
              <w:left w:val="nil"/>
              <w:bottom w:val="single" w:sz="4" w:space="0" w:color="ADD6EA"/>
              <w:right w:val="nil"/>
            </w:tcBorders>
            <w:shd w:val="clear" w:color="000000" w:fill="D6E7F0"/>
            <w:noWrap/>
            <w:vAlign w:val="bottom"/>
            <w:hideMark/>
          </w:tcPr>
          <w:p w14:paraId="50D982B6"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351</w:t>
            </w:r>
          </w:p>
        </w:tc>
        <w:tc>
          <w:tcPr>
            <w:tcW w:w="720" w:type="dxa"/>
            <w:tcBorders>
              <w:top w:val="nil"/>
              <w:left w:val="nil"/>
              <w:bottom w:val="single" w:sz="4" w:space="0" w:color="ADD6EA"/>
              <w:right w:val="nil"/>
            </w:tcBorders>
            <w:shd w:val="clear" w:color="000000" w:fill="D6E7F0"/>
            <w:noWrap/>
            <w:vAlign w:val="bottom"/>
            <w:hideMark/>
          </w:tcPr>
          <w:p w14:paraId="43786BF0"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351</w:t>
            </w:r>
          </w:p>
        </w:tc>
        <w:tc>
          <w:tcPr>
            <w:tcW w:w="720" w:type="dxa"/>
            <w:tcBorders>
              <w:top w:val="nil"/>
              <w:left w:val="nil"/>
              <w:bottom w:val="single" w:sz="4" w:space="0" w:color="ADD6EA"/>
              <w:right w:val="nil"/>
            </w:tcBorders>
            <w:shd w:val="clear" w:color="000000" w:fill="D6E7F0"/>
            <w:noWrap/>
            <w:vAlign w:val="bottom"/>
            <w:hideMark/>
          </w:tcPr>
          <w:p w14:paraId="7DD1BEA2"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359</w:t>
            </w:r>
          </w:p>
        </w:tc>
        <w:tc>
          <w:tcPr>
            <w:tcW w:w="720" w:type="dxa"/>
            <w:tcBorders>
              <w:top w:val="nil"/>
              <w:left w:val="nil"/>
              <w:bottom w:val="single" w:sz="4" w:space="0" w:color="ADD6EA"/>
              <w:right w:val="nil"/>
            </w:tcBorders>
            <w:shd w:val="clear" w:color="000000" w:fill="D6E7F0"/>
            <w:noWrap/>
            <w:vAlign w:val="bottom"/>
            <w:hideMark/>
          </w:tcPr>
          <w:p w14:paraId="728B54FE"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345</w:t>
            </w:r>
          </w:p>
        </w:tc>
        <w:tc>
          <w:tcPr>
            <w:tcW w:w="720" w:type="dxa"/>
            <w:tcBorders>
              <w:top w:val="nil"/>
              <w:left w:val="nil"/>
              <w:bottom w:val="single" w:sz="4" w:space="0" w:color="ADD6EA"/>
              <w:right w:val="nil"/>
            </w:tcBorders>
            <w:shd w:val="clear" w:color="000000" w:fill="D6E7F0"/>
            <w:noWrap/>
            <w:vAlign w:val="bottom"/>
            <w:hideMark/>
          </w:tcPr>
          <w:p w14:paraId="6648961F"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343</w:t>
            </w:r>
          </w:p>
        </w:tc>
        <w:tc>
          <w:tcPr>
            <w:tcW w:w="720" w:type="dxa"/>
            <w:tcBorders>
              <w:top w:val="nil"/>
              <w:left w:val="nil"/>
              <w:bottom w:val="single" w:sz="4" w:space="0" w:color="ADD6EA"/>
              <w:right w:val="nil"/>
            </w:tcBorders>
            <w:shd w:val="clear" w:color="000000" w:fill="D6E7F0"/>
            <w:noWrap/>
            <w:vAlign w:val="bottom"/>
            <w:hideMark/>
          </w:tcPr>
          <w:p w14:paraId="09B41B3A"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347</w:t>
            </w:r>
          </w:p>
        </w:tc>
        <w:tc>
          <w:tcPr>
            <w:tcW w:w="760" w:type="dxa"/>
            <w:tcBorders>
              <w:top w:val="nil"/>
              <w:left w:val="nil"/>
              <w:bottom w:val="single" w:sz="4" w:space="0" w:color="ADD6EA"/>
              <w:right w:val="nil"/>
            </w:tcBorders>
            <w:shd w:val="clear" w:color="000000" w:fill="D6E7F0"/>
            <w:noWrap/>
            <w:vAlign w:val="bottom"/>
            <w:hideMark/>
          </w:tcPr>
          <w:p w14:paraId="5D852C20"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364</w:t>
            </w:r>
          </w:p>
        </w:tc>
        <w:tc>
          <w:tcPr>
            <w:tcW w:w="760" w:type="dxa"/>
            <w:tcBorders>
              <w:top w:val="nil"/>
              <w:left w:val="nil"/>
              <w:bottom w:val="single" w:sz="4" w:space="0" w:color="ADD6EA"/>
              <w:right w:val="nil"/>
            </w:tcBorders>
            <w:shd w:val="clear" w:color="000000" w:fill="D6E7F0"/>
            <w:noWrap/>
            <w:vAlign w:val="bottom"/>
            <w:hideMark/>
          </w:tcPr>
          <w:p w14:paraId="58FAC055"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2,815</w:t>
            </w:r>
          </w:p>
        </w:tc>
      </w:tr>
      <w:tr w:rsidR="000765E5" w:rsidRPr="0038793E" w14:paraId="7F289826" w14:textId="77777777" w:rsidTr="008708A5">
        <w:trPr>
          <w:trHeight w:val="315"/>
        </w:trPr>
        <w:tc>
          <w:tcPr>
            <w:tcW w:w="2360" w:type="dxa"/>
            <w:tcBorders>
              <w:top w:val="nil"/>
              <w:left w:val="nil"/>
              <w:bottom w:val="single" w:sz="4" w:space="0" w:color="ADD6EA"/>
              <w:right w:val="nil"/>
            </w:tcBorders>
            <w:shd w:val="clear" w:color="000000" w:fill="D6E7F0"/>
            <w:noWrap/>
            <w:vAlign w:val="bottom"/>
            <w:hideMark/>
          </w:tcPr>
          <w:p w14:paraId="7FED9942" w14:textId="77777777" w:rsidR="000765E5" w:rsidRPr="0038793E" w:rsidRDefault="000765E5" w:rsidP="00DD6F25">
            <w:pPr>
              <w:keepNext/>
              <w:keepLines/>
              <w:tabs>
                <w:tab w:val="clear" w:pos="567"/>
              </w:tabs>
              <w:spacing w:before="0" w:line="240" w:lineRule="auto"/>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Assessed expenses ($pc)</w:t>
            </w:r>
          </w:p>
        </w:tc>
        <w:tc>
          <w:tcPr>
            <w:tcW w:w="720" w:type="dxa"/>
            <w:tcBorders>
              <w:top w:val="nil"/>
              <w:left w:val="nil"/>
              <w:bottom w:val="single" w:sz="4" w:space="0" w:color="ADD6EA"/>
              <w:right w:val="nil"/>
            </w:tcBorders>
            <w:shd w:val="clear" w:color="000000" w:fill="D6E7F0"/>
            <w:noWrap/>
            <w:vAlign w:val="bottom"/>
            <w:hideMark/>
          </w:tcPr>
          <w:p w14:paraId="591D6E77"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44</w:t>
            </w:r>
          </w:p>
        </w:tc>
        <w:tc>
          <w:tcPr>
            <w:tcW w:w="720" w:type="dxa"/>
            <w:tcBorders>
              <w:top w:val="nil"/>
              <w:left w:val="nil"/>
              <w:bottom w:val="single" w:sz="4" w:space="0" w:color="ADD6EA"/>
              <w:right w:val="nil"/>
            </w:tcBorders>
            <w:shd w:val="clear" w:color="000000" w:fill="D6E7F0"/>
            <w:noWrap/>
            <w:vAlign w:val="bottom"/>
            <w:hideMark/>
          </w:tcPr>
          <w:p w14:paraId="59239DE0"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54</w:t>
            </w:r>
          </w:p>
        </w:tc>
        <w:tc>
          <w:tcPr>
            <w:tcW w:w="720" w:type="dxa"/>
            <w:tcBorders>
              <w:top w:val="nil"/>
              <w:left w:val="nil"/>
              <w:bottom w:val="single" w:sz="4" w:space="0" w:color="ADD6EA"/>
              <w:right w:val="nil"/>
            </w:tcBorders>
            <w:shd w:val="clear" w:color="000000" w:fill="D6E7F0"/>
            <w:noWrap/>
            <w:vAlign w:val="bottom"/>
            <w:hideMark/>
          </w:tcPr>
          <w:p w14:paraId="466C81A0"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70</w:t>
            </w:r>
          </w:p>
        </w:tc>
        <w:tc>
          <w:tcPr>
            <w:tcW w:w="720" w:type="dxa"/>
            <w:tcBorders>
              <w:top w:val="nil"/>
              <w:left w:val="nil"/>
              <w:bottom w:val="single" w:sz="4" w:space="0" w:color="ADD6EA"/>
              <w:right w:val="nil"/>
            </w:tcBorders>
            <w:shd w:val="clear" w:color="000000" w:fill="D6E7F0"/>
            <w:noWrap/>
            <w:vAlign w:val="bottom"/>
            <w:hideMark/>
          </w:tcPr>
          <w:p w14:paraId="4BB5BC81"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138</w:t>
            </w:r>
          </w:p>
        </w:tc>
        <w:tc>
          <w:tcPr>
            <w:tcW w:w="720" w:type="dxa"/>
            <w:tcBorders>
              <w:top w:val="nil"/>
              <w:left w:val="nil"/>
              <w:bottom w:val="single" w:sz="4" w:space="0" w:color="ADD6EA"/>
              <w:right w:val="nil"/>
            </w:tcBorders>
            <w:shd w:val="clear" w:color="000000" w:fill="D6E7F0"/>
            <w:noWrap/>
            <w:vAlign w:val="bottom"/>
            <w:hideMark/>
          </w:tcPr>
          <w:p w14:paraId="160D717D"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198</w:t>
            </w:r>
          </w:p>
        </w:tc>
        <w:tc>
          <w:tcPr>
            <w:tcW w:w="720" w:type="dxa"/>
            <w:tcBorders>
              <w:top w:val="nil"/>
              <w:left w:val="nil"/>
              <w:bottom w:val="single" w:sz="4" w:space="0" w:color="ADD6EA"/>
              <w:right w:val="nil"/>
            </w:tcBorders>
            <w:shd w:val="clear" w:color="000000" w:fill="D6E7F0"/>
            <w:noWrap/>
            <w:vAlign w:val="bottom"/>
            <w:hideMark/>
          </w:tcPr>
          <w:p w14:paraId="1CC78CF9"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645</w:t>
            </w:r>
          </w:p>
        </w:tc>
        <w:tc>
          <w:tcPr>
            <w:tcW w:w="720" w:type="dxa"/>
            <w:tcBorders>
              <w:top w:val="nil"/>
              <w:left w:val="nil"/>
              <w:bottom w:val="single" w:sz="4" w:space="0" w:color="ADD6EA"/>
              <w:right w:val="nil"/>
            </w:tcBorders>
            <w:shd w:val="clear" w:color="000000" w:fill="D6E7F0"/>
            <w:noWrap/>
            <w:vAlign w:val="bottom"/>
            <w:hideMark/>
          </w:tcPr>
          <w:p w14:paraId="2E77E7A7"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821</w:t>
            </w:r>
          </w:p>
        </w:tc>
        <w:tc>
          <w:tcPr>
            <w:tcW w:w="760" w:type="dxa"/>
            <w:tcBorders>
              <w:top w:val="nil"/>
              <w:left w:val="nil"/>
              <w:bottom w:val="single" w:sz="4" w:space="0" w:color="ADD6EA"/>
              <w:right w:val="nil"/>
            </w:tcBorders>
            <w:shd w:val="clear" w:color="000000" w:fill="D6E7F0"/>
            <w:noWrap/>
            <w:vAlign w:val="bottom"/>
            <w:hideMark/>
          </w:tcPr>
          <w:p w14:paraId="48FEB82D"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1,484</w:t>
            </w:r>
          </w:p>
        </w:tc>
        <w:tc>
          <w:tcPr>
            <w:tcW w:w="760" w:type="dxa"/>
            <w:tcBorders>
              <w:top w:val="nil"/>
              <w:left w:val="nil"/>
              <w:bottom w:val="single" w:sz="4" w:space="0" w:color="ADD6EA"/>
              <w:right w:val="nil"/>
            </w:tcBorders>
            <w:shd w:val="clear" w:color="000000" w:fill="D6E7F0"/>
            <w:noWrap/>
            <w:vAlign w:val="bottom"/>
            <w:hideMark/>
          </w:tcPr>
          <w:p w14:paraId="6EEC6D43" w14:textId="77777777" w:rsidR="000765E5" w:rsidRPr="0038793E" w:rsidRDefault="000765E5" w:rsidP="00DD6F25">
            <w:pPr>
              <w:keepNext/>
              <w:keepLines/>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38793E">
              <w:rPr>
                <w:rFonts w:ascii="Open Sans SemiBold" w:eastAsia="Times New Roman" w:hAnsi="Open Sans SemiBold" w:cs="Open Sans SemiBold"/>
                <w:color w:val="000000"/>
                <w:sz w:val="16"/>
                <w:szCs w:val="16"/>
                <w:lang w:eastAsia="en-AU"/>
              </w:rPr>
              <w:t>112</w:t>
            </w:r>
          </w:p>
        </w:tc>
      </w:tr>
    </w:tbl>
    <w:p w14:paraId="5361F0E6" w14:textId="77777777" w:rsidR="000765E5" w:rsidRPr="00DB0CF7" w:rsidRDefault="000765E5" w:rsidP="00DD6F25">
      <w:pPr>
        <w:pStyle w:val="CGCTablenote"/>
        <w:keepNext/>
        <w:keepLines/>
      </w:pPr>
      <w:r w:rsidRPr="00DB0CF7">
        <w:t>Source:</w:t>
      </w:r>
      <w:r w:rsidRPr="00DB0CF7">
        <w:tab/>
        <w:t>Commission calculation.</w:t>
      </w:r>
    </w:p>
    <w:bookmarkEnd w:id="483"/>
    <w:p w14:paraId="6F639493" w14:textId="77777777" w:rsidR="000765E5" w:rsidRPr="00DB0CF7" w:rsidRDefault="000765E5" w:rsidP="000765E5">
      <w:pPr>
        <w:pStyle w:val="Heading3"/>
      </w:pPr>
      <w:r>
        <w:t xml:space="preserve">Effect on the GST distribution </w:t>
      </w:r>
    </w:p>
    <w:p w14:paraId="5A47B041" w14:textId="213DBCE3" w:rsidR="000765E5" w:rsidRPr="00DB0CF7" w:rsidRDefault="000765E5" w:rsidP="00F47EC7">
      <w:pPr>
        <w:pStyle w:val="CGCParaNumber"/>
      </w:pPr>
      <w:r w:rsidRPr="00DB0CF7">
        <w:fldChar w:fldCharType="begin"/>
      </w:r>
      <w:r w:rsidRPr="00DB0CF7">
        <w:instrText xml:space="preserve"> REF _Ref4568905 \h </w:instrText>
      </w:r>
      <w:r>
        <w:instrText xml:space="preserve"> \* MERGEFORMAT </w:instrText>
      </w:r>
      <w:r w:rsidRPr="00DB0CF7">
        <w:fldChar w:fldCharType="separate"/>
      </w:r>
      <w:r w:rsidR="007F721A" w:rsidRPr="00DB0CF7">
        <w:t xml:space="preserve">Table </w:t>
      </w:r>
      <w:r w:rsidR="007F721A">
        <w:rPr>
          <w:noProof/>
        </w:rPr>
        <w:t>26-4</w:t>
      </w:r>
      <w:r w:rsidRPr="00DB0CF7">
        <w:fldChar w:fldCharType="end"/>
      </w:r>
      <w:r w:rsidRPr="00DB0CF7">
        <w:t xml:space="preserve"> shows the extent to which the assessment of administrative scale expenses </w:t>
      </w:r>
      <w:r>
        <w:t>moves the distribution of GST away</w:t>
      </w:r>
      <w:r w:rsidRPr="00C172B0">
        <w:t xml:space="preserve"> from an EPC </w:t>
      </w:r>
      <w:r>
        <w:t>distribution</w:t>
      </w:r>
      <w:r w:rsidRPr="00DB0CF7">
        <w:t>. States with a positive redistribution are assessed to have above average spending requirements and States with a negative redistribution are assessed to have below average spending requirements.</w:t>
      </w:r>
    </w:p>
    <w:p w14:paraId="0B419A56" w14:textId="592F90F2" w:rsidR="000765E5" w:rsidRDefault="000765E5" w:rsidP="000765E5">
      <w:pPr>
        <w:pStyle w:val="Caption"/>
      </w:pPr>
      <w:bookmarkStart w:id="485" w:name="_Ref4568905"/>
      <w:r w:rsidRPr="00DB0CF7">
        <w:t xml:space="preserve">Table </w:t>
      </w:r>
      <w:r>
        <w:t>26-</w:t>
      </w:r>
      <w:fldSimple w:instr=" SEQ Table \* ARABIC ">
        <w:r w:rsidR="007F721A">
          <w:rPr>
            <w:noProof/>
          </w:rPr>
          <w:t>4</w:t>
        </w:r>
      </w:fldSimple>
      <w:bookmarkEnd w:id="485"/>
      <w:r w:rsidRPr="00DB0CF7">
        <w:tab/>
      </w:r>
      <w:r>
        <w:t>Illustrative r</w:t>
      </w:r>
      <w:r w:rsidRPr="00DB0CF7">
        <w:t xml:space="preserve">edistribution from an EPC </w:t>
      </w:r>
      <w:r>
        <w:t>distribution of GST</w:t>
      </w:r>
      <w:r w:rsidRPr="00DB0CF7">
        <w:t>, administrative scale, 20</w:t>
      </w:r>
      <w:r>
        <w:t>20</w:t>
      </w:r>
      <w:r>
        <w:noBreakHyphen/>
        <w:t>21</w:t>
      </w:r>
    </w:p>
    <w:tbl>
      <w:tblPr>
        <w:tblW w:w="8920" w:type="dxa"/>
        <w:tblCellMar>
          <w:left w:w="0" w:type="dxa"/>
          <w:right w:w="28" w:type="dxa"/>
        </w:tblCellMar>
        <w:tblLook w:val="04A0" w:firstRow="1" w:lastRow="0" w:firstColumn="1" w:lastColumn="0" w:noHBand="0" w:noVBand="1"/>
      </w:tblPr>
      <w:tblGrid>
        <w:gridCol w:w="1505"/>
        <w:gridCol w:w="846"/>
        <w:gridCol w:w="826"/>
        <w:gridCol w:w="826"/>
        <w:gridCol w:w="746"/>
        <w:gridCol w:w="766"/>
        <w:gridCol w:w="766"/>
        <w:gridCol w:w="766"/>
        <w:gridCol w:w="926"/>
        <w:gridCol w:w="1006"/>
      </w:tblGrid>
      <w:tr w:rsidR="000765E5" w:rsidRPr="00265168" w14:paraId="1F520232" w14:textId="77777777" w:rsidTr="00DE4725">
        <w:trPr>
          <w:trHeight w:val="383"/>
        </w:trPr>
        <w:tc>
          <w:tcPr>
            <w:tcW w:w="1500" w:type="dxa"/>
            <w:tcBorders>
              <w:top w:val="single" w:sz="4" w:space="0" w:color="ADD6EA"/>
              <w:left w:val="nil"/>
              <w:bottom w:val="single" w:sz="4" w:space="0" w:color="ADD6EA"/>
              <w:right w:val="nil"/>
            </w:tcBorders>
            <w:shd w:val="clear" w:color="000000" w:fill="006991"/>
            <w:noWrap/>
            <w:vAlign w:val="center"/>
            <w:hideMark/>
          </w:tcPr>
          <w:p w14:paraId="6ECA9E38" w14:textId="77777777" w:rsidR="000765E5" w:rsidRPr="0026516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486" w:name="RANGE!A7:J9"/>
            <w:r w:rsidRPr="00265168">
              <w:rPr>
                <w:rFonts w:ascii="Open Sans SemiBold" w:eastAsia="Times New Roman" w:hAnsi="Open Sans SemiBold" w:cs="Open Sans SemiBold"/>
                <w:color w:val="FFFFFF"/>
                <w:sz w:val="16"/>
                <w:szCs w:val="16"/>
                <w:lang w:eastAsia="en-AU"/>
              </w:rPr>
              <w:t> </w:t>
            </w:r>
            <w:bookmarkEnd w:id="486"/>
          </w:p>
        </w:tc>
        <w:tc>
          <w:tcPr>
            <w:tcW w:w="840" w:type="dxa"/>
            <w:tcBorders>
              <w:top w:val="single" w:sz="4" w:space="0" w:color="ADD6EA"/>
              <w:left w:val="nil"/>
              <w:bottom w:val="single" w:sz="4" w:space="0" w:color="ADD6EA"/>
              <w:right w:val="nil"/>
            </w:tcBorders>
            <w:shd w:val="clear" w:color="000000" w:fill="006991"/>
            <w:noWrap/>
            <w:vAlign w:val="center"/>
            <w:hideMark/>
          </w:tcPr>
          <w:p w14:paraId="6E24C766" w14:textId="77777777" w:rsidR="000765E5" w:rsidRPr="0026516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168">
              <w:rPr>
                <w:rFonts w:ascii="Open Sans SemiBold" w:eastAsia="Times New Roman" w:hAnsi="Open Sans SemiBold" w:cs="Open Sans SemiBold"/>
                <w:color w:val="FFFFFF"/>
                <w:sz w:val="16"/>
                <w:szCs w:val="16"/>
                <w:lang w:eastAsia="en-AU"/>
              </w:rPr>
              <w:t>NSW</w:t>
            </w:r>
          </w:p>
        </w:tc>
        <w:tc>
          <w:tcPr>
            <w:tcW w:w="820" w:type="dxa"/>
            <w:tcBorders>
              <w:top w:val="single" w:sz="4" w:space="0" w:color="ADD6EA"/>
              <w:left w:val="nil"/>
              <w:bottom w:val="single" w:sz="4" w:space="0" w:color="ADD6EA"/>
              <w:right w:val="nil"/>
            </w:tcBorders>
            <w:shd w:val="clear" w:color="000000" w:fill="006991"/>
            <w:noWrap/>
            <w:vAlign w:val="center"/>
            <w:hideMark/>
          </w:tcPr>
          <w:p w14:paraId="1402740A" w14:textId="77777777" w:rsidR="000765E5" w:rsidRPr="0026516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168">
              <w:rPr>
                <w:rFonts w:ascii="Open Sans SemiBold" w:eastAsia="Times New Roman" w:hAnsi="Open Sans SemiBold" w:cs="Open Sans SemiBold"/>
                <w:color w:val="FFFFFF"/>
                <w:sz w:val="16"/>
                <w:szCs w:val="16"/>
                <w:lang w:eastAsia="en-AU"/>
              </w:rPr>
              <w:t>Vic</w:t>
            </w:r>
          </w:p>
        </w:tc>
        <w:tc>
          <w:tcPr>
            <w:tcW w:w="820" w:type="dxa"/>
            <w:tcBorders>
              <w:top w:val="single" w:sz="4" w:space="0" w:color="ADD6EA"/>
              <w:left w:val="nil"/>
              <w:bottom w:val="single" w:sz="4" w:space="0" w:color="ADD6EA"/>
              <w:right w:val="nil"/>
            </w:tcBorders>
            <w:shd w:val="clear" w:color="000000" w:fill="006991"/>
            <w:noWrap/>
            <w:vAlign w:val="center"/>
            <w:hideMark/>
          </w:tcPr>
          <w:p w14:paraId="3D2A7155" w14:textId="77777777" w:rsidR="000765E5" w:rsidRPr="0026516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168">
              <w:rPr>
                <w:rFonts w:ascii="Open Sans SemiBold" w:eastAsia="Times New Roman" w:hAnsi="Open Sans SemiBold" w:cs="Open Sans SemiBold"/>
                <w:color w:val="FFFFFF"/>
                <w:sz w:val="16"/>
                <w:szCs w:val="16"/>
                <w:lang w:eastAsia="en-AU"/>
              </w:rPr>
              <w:t>Qld</w:t>
            </w:r>
          </w:p>
        </w:tc>
        <w:tc>
          <w:tcPr>
            <w:tcW w:w="740" w:type="dxa"/>
            <w:tcBorders>
              <w:top w:val="single" w:sz="4" w:space="0" w:color="ADD6EA"/>
              <w:left w:val="nil"/>
              <w:bottom w:val="single" w:sz="4" w:space="0" w:color="ADD6EA"/>
              <w:right w:val="nil"/>
            </w:tcBorders>
            <w:shd w:val="clear" w:color="000000" w:fill="006991"/>
            <w:noWrap/>
            <w:vAlign w:val="center"/>
            <w:hideMark/>
          </w:tcPr>
          <w:p w14:paraId="204AB195" w14:textId="77777777" w:rsidR="000765E5" w:rsidRPr="0026516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168">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noWrap/>
            <w:vAlign w:val="center"/>
            <w:hideMark/>
          </w:tcPr>
          <w:p w14:paraId="6C8B6397" w14:textId="77777777" w:rsidR="000765E5" w:rsidRPr="0026516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168">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noWrap/>
            <w:vAlign w:val="center"/>
            <w:hideMark/>
          </w:tcPr>
          <w:p w14:paraId="3A78761E" w14:textId="77777777" w:rsidR="000765E5" w:rsidRPr="0026516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168">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noWrap/>
            <w:vAlign w:val="center"/>
            <w:hideMark/>
          </w:tcPr>
          <w:p w14:paraId="3A5823DB" w14:textId="77777777" w:rsidR="000765E5" w:rsidRPr="0026516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168">
              <w:rPr>
                <w:rFonts w:ascii="Open Sans SemiBold" w:eastAsia="Times New Roman" w:hAnsi="Open Sans SemiBold" w:cs="Open Sans SemiBold"/>
                <w:color w:val="FFFFFF"/>
                <w:sz w:val="16"/>
                <w:szCs w:val="16"/>
                <w:lang w:eastAsia="en-AU"/>
              </w:rPr>
              <w:t>ACT</w:t>
            </w:r>
          </w:p>
        </w:tc>
        <w:tc>
          <w:tcPr>
            <w:tcW w:w="920" w:type="dxa"/>
            <w:tcBorders>
              <w:top w:val="single" w:sz="4" w:space="0" w:color="ADD6EA"/>
              <w:left w:val="nil"/>
              <w:bottom w:val="single" w:sz="4" w:space="0" w:color="ADD6EA"/>
              <w:right w:val="nil"/>
            </w:tcBorders>
            <w:shd w:val="clear" w:color="000000" w:fill="006991"/>
            <w:noWrap/>
            <w:vAlign w:val="center"/>
            <w:hideMark/>
          </w:tcPr>
          <w:p w14:paraId="626462EC" w14:textId="77777777" w:rsidR="000765E5" w:rsidRPr="0026516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168">
              <w:rPr>
                <w:rFonts w:ascii="Open Sans SemiBold" w:eastAsia="Times New Roman" w:hAnsi="Open Sans SemiBold" w:cs="Open Sans SemiBold"/>
                <w:color w:val="FFFFFF"/>
                <w:sz w:val="16"/>
                <w:szCs w:val="16"/>
                <w:lang w:eastAsia="en-AU"/>
              </w:rPr>
              <w:t>NT</w:t>
            </w:r>
          </w:p>
        </w:tc>
        <w:tc>
          <w:tcPr>
            <w:tcW w:w="1000" w:type="dxa"/>
            <w:tcBorders>
              <w:top w:val="single" w:sz="4" w:space="0" w:color="ADD6EA"/>
              <w:left w:val="nil"/>
              <w:bottom w:val="single" w:sz="4" w:space="0" w:color="ADD6EA"/>
              <w:right w:val="nil"/>
            </w:tcBorders>
            <w:shd w:val="clear" w:color="000000" w:fill="006991"/>
            <w:noWrap/>
            <w:vAlign w:val="center"/>
            <w:hideMark/>
          </w:tcPr>
          <w:p w14:paraId="4033D3D2" w14:textId="77777777" w:rsidR="000765E5" w:rsidRPr="0026516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5168">
              <w:rPr>
                <w:rFonts w:ascii="Open Sans SemiBold" w:eastAsia="Times New Roman" w:hAnsi="Open Sans SemiBold" w:cs="Open Sans SemiBold"/>
                <w:color w:val="FFFFFF"/>
                <w:sz w:val="16"/>
                <w:szCs w:val="16"/>
                <w:lang w:eastAsia="en-AU"/>
              </w:rPr>
              <w:t>Redist</w:t>
            </w:r>
          </w:p>
        </w:tc>
      </w:tr>
      <w:tr w:rsidR="000765E5" w:rsidRPr="00265168" w14:paraId="4D2C963F" w14:textId="77777777" w:rsidTr="00DE4725">
        <w:trPr>
          <w:trHeight w:val="315"/>
        </w:trPr>
        <w:tc>
          <w:tcPr>
            <w:tcW w:w="1500" w:type="dxa"/>
            <w:tcBorders>
              <w:top w:val="nil"/>
              <w:left w:val="nil"/>
              <w:bottom w:val="single" w:sz="4" w:space="0" w:color="ADD6EA"/>
              <w:right w:val="nil"/>
            </w:tcBorders>
            <w:shd w:val="clear" w:color="auto" w:fill="auto"/>
            <w:noWrap/>
            <w:vAlign w:val="bottom"/>
            <w:hideMark/>
          </w:tcPr>
          <w:p w14:paraId="282B0903" w14:textId="77777777" w:rsidR="000765E5" w:rsidRPr="00265168" w:rsidRDefault="000765E5" w:rsidP="004D65FE">
            <w:pPr>
              <w:tabs>
                <w:tab w:val="clear" w:pos="567"/>
              </w:tabs>
              <w:spacing w:before="0" w:line="240" w:lineRule="auto"/>
              <w:rPr>
                <w:rFonts w:eastAsia="Times New Roman" w:cs="Open Sans Light"/>
                <w:sz w:val="16"/>
                <w:szCs w:val="16"/>
                <w:lang w:eastAsia="en-AU"/>
              </w:rPr>
            </w:pPr>
            <w:r w:rsidRPr="00265168">
              <w:rPr>
                <w:rFonts w:eastAsia="Times New Roman" w:cs="Open Sans Light"/>
                <w:sz w:val="16"/>
                <w:szCs w:val="16"/>
                <w:lang w:eastAsia="en-AU"/>
              </w:rPr>
              <w:t>$ million</w:t>
            </w:r>
          </w:p>
        </w:tc>
        <w:tc>
          <w:tcPr>
            <w:tcW w:w="840" w:type="dxa"/>
            <w:tcBorders>
              <w:top w:val="nil"/>
              <w:left w:val="nil"/>
              <w:bottom w:val="single" w:sz="4" w:space="0" w:color="ADD6EA"/>
              <w:right w:val="nil"/>
            </w:tcBorders>
            <w:shd w:val="clear" w:color="auto" w:fill="auto"/>
            <w:noWrap/>
            <w:vAlign w:val="bottom"/>
            <w:hideMark/>
          </w:tcPr>
          <w:p w14:paraId="1605918F"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-545</w:t>
            </w:r>
          </w:p>
        </w:tc>
        <w:tc>
          <w:tcPr>
            <w:tcW w:w="820" w:type="dxa"/>
            <w:tcBorders>
              <w:top w:val="nil"/>
              <w:left w:val="nil"/>
              <w:bottom w:val="single" w:sz="4" w:space="0" w:color="ADD6EA"/>
              <w:right w:val="nil"/>
            </w:tcBorders>
            <w:shd w:val="clear" w:color="auto" w:fill="auto"/>
            <w:noWrap/>
            <w:vAlign w:val="bottom"/>
            <w:hideMark/>
          </w:tcPr>
          <w:p w14:paraId="6EADC9C7"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-380</w:t>
            </w:r>
          </w:p>
        </w:tc>
        <w:tc>
          <w:tcPr>
            <w:tcW w:w="820" w:type="dxa"/>
            <w:tcBorders>
              <w:top w:val="nil"/>
              <w:left w:val="nil"/>
              <w:bottom w:val="single" w:sz="4" w:space="0" w:color="ADD6EA"/>
              <w:right w:val="nil"/>
            </w:tcBorders>
            <w:shd w:val="clear" w:color="auto" w:fill="auto"/>
            <w:noWrap/>
            <w:vAlign w:val="bottom"/>
            <w:hideMark/>
          </w:tcPr>
          <w:p w14:paraId="1C22C54A"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-214</w:t>
            </w:r>
          </w:p>
        </w:tc>
        <w:tc>
          <w:tcPr>
            <w:tcW w:w="740" w:type="dxa"/>
            <w:tcBorders>
              <w:top w:val="nil"/>
              <w:left w:val="nil"/>
              <w:bottom w:val="single" w:sz="4" w:space="0" w:color="ADD6EA"/>
              <w:right w:val="nil"/>
            </w:tcBorders>
            <w:shd w:val="clear" w:color="auto" w:fill="auto"/>
            <w:noWrap/>
            <w:vAlign w:val="bottom"/>
            <w:hideMark/>
          </w:tcPr>
          <w:p w14:paraId="7CF7743B"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67</w:t>
            </w:r>
          </w:p>
        </w:tc>
        <w:tc>
          <w:tcPr>
            <w:tcW w:w="760" w:type="dxa"/>
            <w:tcBorders>
              <w:top w:val="nil"/>
              <w:left w:val="nil"/>
              <w:bottom w:val="single" w:sz="4" w:space="0" w:color="ADD6EA"/>
              <w:right w:val="nil"/>
            </w:tcBorders>
            <w:shd w:val="clear" w:color="auto" w:fill="auto"/>
            <w:noWrap/>
            <w:vAlign w:val="bottom"/>
            <w:hideMark/>
          </w:tcPr>
          <w:p w14:paraId="3C32FF28"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150</w:t>
            </w:r>
          </w:p>
        </w:tc>
        <w:tc>
          <w:tcPr>
            <w:tcW w:w="760" w:type="dxa"/>
            <w:tcBorders>
              <w:top w:val="nil"/>
              <w:left w:val="nil"/>
              <w:bottom w:val="single" w:sz="4" w:space="0" w:color="ADD6EA"/>
              <w:right w:val="nil"/>
            </w:tcBorders>
            <w:shd w:val="clear" w:color="auto" w:fill="auto"/>
            <w:noWrap/>
            <w:vAlign w:val="bottom"/>
            <w:hideMark/>
          </w:tcPr>
          <w:p w14:paraId="0B7387F6"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284</w:t>
            </w:r>
          </w:p>
        </w:tc>
        <w:tc>
          <w:tcPr>
            <w:tcW w:w="760" w:type="dxa"/>
            <w:tcBorders>
              <w:top w:val="nil"/>
              <w:left w:val="nil"/>
              <w:bottom w:val="single" w:sz="4" w:space="0" w:color="ADD6EA"/>
              <w:right w:val="nil"/>
            </w:tcBorders>
            <w:shd w:val="clear" w:color="auto" w:fill="auto"/>
            <w:noWrap/>
            <w:vAlign w:val="bottom"/>
            <w:hideMark/>
          </w:tcPr>
          <w:p w14:paraId="6A33A774"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300</w:t>
            </w:r>
          </w:p>
        </w:tc>
        <w:tc>
          <w:tcPr>
            <w:tcW w:w="920" w:type="dxa"/>
            <w:tcBorders>
              <w:top w:val="nil"/>
              <w:left w:val="nil"/>
              <w:bottom w:val="single" w:sz="4" w:space="0" w:color="ADD6EA"/>
              <w:right w:val="nil"/>
            </w:tcBorders>
            <w:shd w:val="clear" w:color="auto" w:fill="auto"/>
            <w:noWrap/>
            <w:vAlign w:val="bottom"/>
            <w:hideMark/>
          </w:tcPr>
          <w:p w14:paraId="5AAC0B18"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337</w:t>
            </w:r>
          </w:p>
        </w:tc>
        <w:tc>
          <w:tcPr>
            <w:tcW w:w="1000" w:type="dxa"/>
            <w:tcBorders>
              <w:top w:val="nil"/>
              <w:left w:val="nil"/>
              <w:bottom w:val="single" w:sz="4" w:space="0" w:color="ADD6EA"/>
              <w:right w:val="nil"/>
            </w:tcBorders>
            <w:shd w:val="clear" w:color="auto" w:fill="auto"/>
            <w:noWrap/>
            <w:vAlign w:val="bottom"/>
            <w:hideMark/>
          </w:tcPr>
          <w:p w14:paraId="15327E86"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1,138</w:t>
            </w:r>
          </w:p>
        </w:tc>
      </w:tr>
      <w:tr w:rsidR="000765E5" w:rsidRPr="00265168" w14:paraId="32ABAB36" w14:textId="77777777" w:rsidTr="00DE4725">
        <w:trPr>
          <w:trHeight w:val="315"/>
        </w:trPr>
        <w:tc>
          <w:tcPr>
            <w:tcW w:w="1500" w:type="dxa"/>
            <w:tcBorders>
              <w:top w:val="nil"/>
              <w:left w:val="nil"/>
              <w:bottom w:val="single" w:sz="4" w:space="0" w:color="ADD6EA"/>
              <w:right w:val="nil"/>
            </w:tcBorders>
            <w:shd w:val="clear" w:color="auto" w:fill="auto"/>
            <w:noWrap/>
            <w:vAlign w:val="bottom"/>
            <w:hideMark/>
          </w:tcPr>
          <w:p w14:paraId="428CD83C" w14:textId="77777777" w:rsidR="000765E5" w:rsidRPr="00265168" w:rsidRDefault="000765E5" w:rsidP="004D65FE">
            <w:pPr>
              <w:tabs>
                <w:tab w:val="clear" w:pos="567"/>
              </w:tabs>
              <w:spacing w:before="0" w:line="240" w:lineRule="auto"/>
              <w:rPr>
                <w:rFonts w:eastAsia="Times New Roman" w:cs="Open Sans Light"/>
                <w:sz w:val="16"/>
                <w:szCs w:val="16"/>
                <w:lang w:eastAsia="en-AU"/>
              </w:rPr>
            </w:pPr>
            <w:r w:rsidRPr="00265168">
              <w:rPr>
                <w:rFonts w:eastAsia="Times New Roman" w:cs="Open Sans Light"/>
                <w:sz w:val="16"/>
                <w:szCs w:val="16"/>
                <w:lang w:eastAsia="en-AU"/>
              </w:rPr>
              <w:t>$ per capita</w:t>
            </w:r>
          </w:p>
        </w:tc>
        <w:tc>
          <w:tcPr>
            <w:tcW w:w="840" w:type="dxa"/>
            <w:tcBorders>
              <w:top w:val="nil"/>
              <w:left w:val="nil"/>
              <w:bottom w:val="single" w:sz="4" w:space="0" w:color="ADD6EA"/>
              <w:right w:val="nil"/>
            </w:tcBorders>
            <w:shd w:val="clear" w:color="auto" w:fill="auto"/>
            <w:noWrap/>
            <w:vAlign w:val="bottom"/>
            <w:hideMark/>
          </w:tcPr>
          <w:p w14:paraId="30505E79"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-68</w:t>
            </w:r>
          </w:p>
        </w:tc>
        <w:tc>
          <w:tcPr>
            <w:tcW w:w="820" w:type="dxa"/>
            <w:tcBorders>
              <w:top w:val="nil"/>
              <w:left w:val="nil"/>
              <w:bottom w:val="single" w:sz="4" w:space="0" w:color="ADD6EA"/>
              <w:right w:val="nil"/>
            </w:tcBorders>
            <w:shd w:val="clear" w:color="auto" w:fill="auto"/>
            <w:noWrap/>
            <w:vAlign w:val="bottom"/>
            <w:hideMark/>
          </w:tcPr>
          <w:p w14:paraId="16451848"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-58</w:t>
            </w:r>
          </w:p>
        </w:tc>
        <w:tc>
          <w:tcPr>
            <w:tcW w:w="820" w:type="dxa"/>
            <w:tcBorders>
              <w:top w:val="nil"/>
              <w:left w:val="nil"/>
              <w:bottom w:val="single" w:sz="4" w:space="0" w:color="ADD6EA"/>
              <w:right w:val="nil"/>
            </w:tcBorders>
            <w:shd w:val="clear" w:color="auto" w:fill="auto"/>
            <w:noWrap/>
            <w:vAlign w:val="bottom"/>
            <w:hideMark/>
          </w:tcPr>
          <w:p w14:paraId="73C15134"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-42</w:t>
            </w:r>
          </w:p>
        </w:tc>
        <w:tc>
          <w:tcPr>
            <w:tcW w:w="740" w:type="dxa"/>
            <w:tcBorders>
              <w:top w:val="nil"/>
              <w:left w:val="nil"/>
              <w:bottom w:val="single" w:sz="4" w:space="0" w:color="ADD6EA"/>
              <w:right w:val="nil"/>
            </w:tcBorders>
            <w:shd w:val="clear" w:color="auto" w:fill="auto"/>
            <w:noWrap/>
            <w:vAlign w:val="bottom"/>
            <w:hideMark/>
          </w:tcPr>
          <w:p w14:paraId="5A5529EE"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26</w:t>
            </w:r>
          </w:p>
        </w:tc>
        <w:tc>
          <w:tcPr>
            <w:tcW w:w="760" w:type="dxa"/>
            <w:tcBorders>
              <w:top w:val="nil"/>
              <w:left w:val="nil"/>
              <w:bottom w:val="single" w:sz="4" w:space="0" w:color="ADD6EA"/>
              <w:right w:val="nil"/>
            </w:tcBorders>
            <w:shd w:val="clear" w:color="auto" w:fill="auto"/>
            <w:noWrap/>
            <w:vAlign w:val="bottom"/>
            <w:hideMark/>
          </w:tcPr>
          <w:p w14:paraId="10367AFC"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86</w:t>
            </w:r>
          </w:p>
        </w:tc>
        <w:tc>
          <w:tcPr>
            <w:tcW w:w="760" w:type="dxa"/>
            <w:tcBorders>
              <w:top w:val="nil"/>
              <w:left w:val="nil"/>
              <w:bottom w:val="single" w:sz="4" w:space="0" w:color="ADD6EA"/>
              <w:right w:val="nil"/>
            </w:tcBorders>
            <w:shd w:val="clear" w:color="auto" w:fill="auto"/>
            <w:noWrap/>
            <w:vAlign w:val="bottom"/>
            <w:hideMark/>
          </w:tcPr>
          <w:p w14:paraId="1518E220"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534</w:t>
            </w:r>
          </w:p>
        </w:tc>
        <w:tc>
          <w:tcPr>
            <w:tcW w:w="760" w:type="dxa"/>
            <w:tcBorders>
              <w:top w:val="nil"/>
              <w:left w:val="nil"/>
              <w:bottom w:val="single" w:sz="4" w:space="0" w:color="ADD6EA"/>
              <w:right w:val="nil"/>
            </w:tcBorders>
            <w:shd w:val="clear" w:color="auto" w:fill="auto"/>
            <w:noWrap/>
            <w:vAlign w:val="bottom"/>
            <w:hideMark/>
          </w:tcPr>
          <w:p w14:paraId="76A7B186"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709</w:t>
            </w:r>
          </w:p>
        </w:tc>
        <w:tc>
          <w:tcPr>
            <w:tcW w:w="920" w:type="dxa"/>
            <w:tcBorders>
              <w:top w:val="nil"/>
              <w:left w:val="nil"/>
              <w:bottom w:val="single" w:sz="4" w:space="0" w:color="ADD6EA"/>
              <w:right w:val="nil"/>
            </w:tcBorders>
            <w:shd w:val="clear" w:color="auto" w:fill="auto"/>
            <w:noWrap/>
            <w:vAlign w:val="bottom"/>
            <w:hideMark/>
          </w:tcPr>
          <w:p w14:paraId="1A5261F6"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1,372</w:t>
            </w:r>
          </w:p>
        </w:tc>
        <w:tc>
          <w:tcPr>
            <w:tcW w:w="1000" w:type="dxa"/>
            <w:tcBorders>
              <w:top w:val="nil"/>
              <w:left w:val="nil"/>
              <w:bottom w:val="single" w:sz="4" w:space="0" w:color="ADD6EA"/>
              <w:right w:val="nil"/>
            </w:tcBorders>
            <w:shd w:val="clear" w:color="auto" w:fill="auto"/>
            <w:noWrap/>
            <w:vAlign w:val="bottom"/>
            <w:hideMark/>
          </w:tcPr>
          <w:p w14:paraId="6584CCA4" w14:textId="77777777" w:rsidR="000765E5" w:rsidRPr="00265168" w:rsidRDefault="000765E5" w:rsidP="004D65FE">
            <w:pPr>
              <w:tabs>
                <w:tab w:val="clear" w:pos="567"/>
              </w:tabs>
              <w:spacing w:before="0" w:line="240" w:lineRule="auto"/>
              <w:jc w:val="right"/>
              <w:rPr>
                <w:rFonts w:eastAsia="Times New Roman" w:cs="Open Sans Light"/>
                <w:sz w:val="16"/>
                <w:szCs w:val="16"/>
                <w:lang w:eastAsia="en-AU"/>
              </w:rPr>
            </w:pPr>
            <w:r w:rsidRPr="00265168">
              <w:rPr>
                <w:rFonts w:eastAsia="Times New Roman" w:cs="Open Sans Light"/>
                <w:sz w:val="16"/>
                <w:szCs w:val="16"/>
                <w:lang w:eastAsia="en-AU"/>
              </w:rPr>
              <w:t>45</w:t>
            </w:r>
          </w:p>
        </w:tc>
      </w:tr>
    </w:tbl>
    <w:p w14:paraId="7ED40537" w14:textId="77777777" w:rsidR="000765E5" w:rsidRPr="00DB0CF7" w:rsidRDefault="000765E5" w:rsidP="000765E5">
      <w:pPr>
        <w:pStyle w:val="CGCTablenote"/>
      </w:pPr>
      <w:r w:rsidRPr="00DB0CF7">
        <w:t>Note:</w:t>
      </w:r>
      <w:r>
        <w:tab/>
      </w:r>
      <w:r w:rsidRPr="00C172B0">
        <w:t xml:space="preserve">The redistribution is the difference from an EPC assessment </w:t>
      </w:r>
      <w:r>
        <w:t>derived using 2016-17 to 2018-19 assessed expenses and 2020-21 GST revenue.</w:t>
      </w:r>
    </w:p>
    <w:p w14:paraId="26D8FD94" w14:textId="77777777" w:rsidR="000765E5" w:rsidRPr="00DB0CF7" w:rsidRDefault="000765E5" w:rsidP="000765E5">
      <w:pPr>
        <w:pStyle w:val="CGCTablenote"/>
      </w:pPr>
      <w:r w:rsidRPr="00DB0CF7">
        <w:t>Source:</w:t>
      </w:r>
      <w:r w:rsidRPr="00DB0CF7">
        <w:tab/>
        <w:t>Commission calculation.</w:t>
      </w:r>
    </w:p>
    <w:p w14:paraId="6D84CE23" w14:textId="77777777" w:rsidR="000765E5" w:rsidRPr="00DB0CF7" w:rsidRDefault="000765E5" w:rsidP="00F47EC7">
      <w:pPr>
        <w:pStyle w:val="CGCParaNumber"/>
      </w:pPr>
      <w:r w:rsidRPr="00DB0CF7">
        <w:t>As the administrative scale assessment reflects the costs of providing services that are independent of the size of the service population, each State has essentially the same requirement. The appropriate assessment is therefore an equal per State assessment (with some minor adjustments for the ACT and the Northern Territory), which implies a greater per</w:t>
      </w:r>
      <w:r>
        <w:t> </w:t>
      </w:r>
      <w:r w:rsidRPr="00DB0CF7">
        <w:t xml:space="preserve">capita cost for the less populous States. The assessment therefore leads to a redistribution away from the three largest States to the other States, with the largest per capita redistributions being to Tasmania, the ACT and the Northern Territory. </w:t>
      </w:r>
    </w:p>
    <w:p w14:paraId="1AE4F779" w14:textId="2EBD0B6B" w:rsidR="000765E5" w:rsidRPr="00DB0CF7" w:rsidRDefault="00952095" w:rsidP="00F47EC7">
      <w:pPr>
        <w:pStyle w:val="CGCParaNumber"/>
      </w:pPr>
      <w:r>
        <w:fldChar w:fldCharType="begin"/>
      </w:r>
      <w:r>
        <w:instrText xml:space="preserve"> REF _Ref32846042 \h </w:instrText>
      </w:r>
      <w:r>
        <w:fldChar w:fldCharType="separate"/>
      </w:r>
      <w:r w:rsidR="007F721A" w:rsidRPr="00DB0CF7">
        <w:t xml:space="preserve">Table </w:t>
      </w:r>
      <w:r w:rsidR="007F721A">
        <w:t>26-</w:t>
      </w:r>
      <w:r w:rsidR="007F721A">
        <w:rPr>
          <w:noProof/>
        </w:rPr>
        <w:t>5</w:t>
      </w:r>
      <w:r>
        <w:fldChar w:fldCharType="end"/>
      </w:r>
      <w:r w:rsidR="000765E5" w:rsidRPr="00DB0CF7">
        <w:t xml:space="preserve"> provides a summary of the main disabilities contributing to the redistribution from an EPC assessment for this category. </w:t>
      </w:r>
    </w:p>
    <w:p w14:paraId="5CF6A004" w14:textId="0748877A" w:rsidR="000765E5" w:rsidRDefault="000765E5" w:rsidP="000765E5">
      <w:pPr>
        <w:pStyle w:val="Caption"/>
      </w:pPr>
      <w:bookmarkStart w:id="487" w:name="_Ref32846042"/>
      <w:r w:rsidRPr="00DB0CF7">
        <w:t xml:space="preserve">Table </w:t>
      </w:r>
      <w:r w:rsidR="00952095">
        <w:t>26-</w:t>
      </w:r>
      <w:fldSimple w:instr=" SEQ Table \* ARABIC ">
        <w:r w:rsidR="007F721A">
          <w:rPr>
            <w:noProof/>
          </w:rPr>
          <w:t>5</w:t>
        </w:r>
      </w:fldSimple>
      <w:bookmarkEnd w:id="487"/>
      <w:r w:rsidRPr="00DB0CF7">
        <w:tab/>
        <w:t xml:space="preserve">Major reasons for the </w:t>
      </w:r>
      <w:r>
        <w:t xml:space="preserve">illustrative </w:t>
      </w:r>
      <w:r w:rsidRPr="00DB0CF7">
        <w:t>redistribution, administrative scale</w:t>
      </w:r>
      <w:r>
        <w:t>, 2020</w:t>
      </w:r>
      <w:r w:rsidRPr="00DB0CF7">
        <w:t>-</w:t>
      </w:r>
      <w:r>
        <w:t>21</w:t>
      </w:r>
    </w:p>
    <w:tbl>
      <w:tblPr>
        <w:tblW w:w="9000" w:type="dxa"/>
        <w:tblCellMar>
          <w:left w:w="0" w:type="dxa"/>
          <w:right w:w="28" w:type="dxa"/>
        </w:tblCellMar>
        <w:tblLook w:val="04A0" w:firstRow="1" w:lastRow="0" w:firstColumn="1" w:lastColumn="0" w:noHBand="0" w:noVBand="1"/>
      </w:tblPr>
      <w:tblGrid>
        <w:gridCol w:w="2008"/>
        <w:gridCol w:w="828"/>
        <w:gridCol w:w="828"/>
        <w:gridCol w:w="828"/>
        <w:gridCol w:w="648"/>
        <w:gridCol w:w="768"/>
        <w:gridCol w:w="768"/>
        <w:gridCol w:w="768"/>
        <w:gridCol w:w="768"/>
        <w:gridCol w:w="868"/>
      </w:tblGrid>
      <w:tr w:rsidR="000765E5" w:rsidRPr="002A5958" w14:paraId="065FF830" w14:textId="77777777" w:rsidTr="00DE4725">
        <w:trPr>
          <w:trHeight w:val="383"/>
        </w:trPr>
        <w:tc>
          <w:tcPr>
            <w:tcW w:w="2000" w:type="dxa"/>
            <w:tcBorders>
              <w:top w:val="single" w:sz="4" w:space="0" w:color="ADD6EA"/>
              <w:left w:val="nil"/>
              <w:bottom w:val="single" w:sz="4" w:space="0" w:color="ADD6EA"/>
              <w:right w:val="nil"/>
            </w:tcBorders>
            <w:shd w:val="clear" w:color="000000" w:fill="006991"/>
            <w:noWrap/>
            <w:vAlign w:val="center"/>
            <w:hideMark/>
          </w:tcPr>
          <w:p w14:paraId="7C65A918"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5958">
              <w:rPr>
                <w:rFonts w:ascii="Open Sans SemiBold" w:eastAsia="Times New Roman" w:hAnsi="Open Sans SemiBold" w:cs="Open Sans SemiBold"/>
                <w:color w:val="FFFFFF"/>
                <w:sz w:val="16"/>
                <w:szCs w:val="16"/>
                <w:lang w:eastAsia="en-AU"/>
              </w:rPr>
              <w:t> </w:t>
            </w:r>
          </w:p>
        </w:tc>
        <w:tc>
          <w:tcPr>
            <w:tcW w:w="820" w:type="dxa"/>
            <w:tcBorders>
              <w:top w:val="single" w:sz="4" w:space="0" w:color="ADD6EA"/>
              <w:left w:val="nil"/>
              <w:bottom w:val="single" w:sz="4" w:space="0" w:color="ADD6EA"/>
              <w:right w:val="nil"/>
            </w:tcBorders>
            <w:shd w:val="clear" w:color="000000" w:fill="006991"/>
            <w:noWrap/>
            <w:vAlign w:val="center"/>
            <w:hideMark/>
          </w:tcPr>
          <w:p w14:paraId="6314F048"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5958">
              <w:rPr>
                <w:rFonts w:ascii="Open Sans SemiBold" w:eastAsia="Times New Roman" w:hAnsi="Open Sans SemiBold" w:cs="Open Sans SemiBold"/>
                <w:color w:val="FFFFFF"/>
                <w:sz w:val="16"/>
                <w:szCs w:val="16"/>
                <w:lang w:eastAsia="en-AU"/>
              </w:rPr>
              <w:t>NSW</w:t>
            </w:r>
          </w:p>
        </w:tc>
        <w:tc>
          <w:tcPr>
            <w:tcW w:w="820" w:type="dxa"/>
            <w:tcBorders>
              <w:top w:val="single" w:sz="4" w:space="0" w:color="ADD6EA"/>
              <w:left w:val="nil"/>
              <w:bottom w:val="single" w:sz="4" w:space="0" w:color="ADD6EA"/>
              <w:right w:val="nil"/>
            </w:tcBorders>
            <w:shd w:val="clear" w:color="000000" w:fill="006991"/>
            <w:noWrap/>
            <w:vAlign w:val="center"/>
            <w:hideMark/>
          </w:tcPr>
          <w:p w14:paraId="3552F005"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5958">
              <w:rPr>
                <w:rFonts w:ascii="Open Sans SemiBold" w:eastAsia="Times New Roman" w:hAnsi="Open Sans SemiBold" w:cs="Open Sans SemiBold"/>
                <w:color w:val="FFFFFF"/>
                <w:sz w:val="16"/>
                <w:szCs w:val="16"/>
                <w:lang w:eastAsia="en-AU"/>
              </w:rPr>
              <w:t>Vic</w:t>
            </w:r>
          </w:p>
        </w:tc>
        <w:tc>
          <w:tcPr>
            <w:tcW w:w="820" w:type="dxa"/>
            <w:tcBorders>
              <w:top w:val="single" w:sz="4" w:space="0" w:color="ADD6EA"/>
              <w:left w:val="nil"/>
              <w:bottom w:val="single" w:sz="4" w:space="0" w:color="ADD6EA"/>
              <w:right w:val="nil"/>
            </w:tcBorders>
            <w:shd w:val="clear" w:color="000000" w:fill="006991"/>
            <w:noWrap/>
            <w:vAlign w:val="center"/>
            <w:hideMark/>
          </w:tcPr>
          <w:p w14:paraId="49CEBEF1"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5958">
              <w:rPr>
                <w:rFonts w:ascii="Open Sans SemiBold" w:eastAsia="Times New Roman" w:hAnsi="Open Sans SemiBold" w:cs="Open Sans SemiBold"/>
                <w:color w:val="FFFFFF"/>
                <w:sz w:val="16"/>
                <w:szCs w:val="16"/>
                <w:lang w:eastAsia="en-AU"/>
              </w:rPr>
              <w:t>Qld</w:t>
            </w:r>
          </w:p>
        </w:tc>
        <w:tc>
          <w:tcPr>
            <w:tcW w:w="640" w:type="dxa"/>
            <w:tcBorders>
              <w:top w:val="single" w:sz="4" w:space="0" w:color="ADD6EA"/>
              <w:left w:val="nil"/>
              <w:bottom w:val="single" w:sz="4" w:space="0" w:color="ADD6EA"/>
              <w:right w:val="nil"/>
            </w:tcBorders>
            <w:shd w:val="clear" w:color="000000" w:fill="006991"/>
            <w:noWrap/>
            <w:vAlign w:val="center"/>
            <w:hideMark/>
          </w:tcPr>
          <w:p w14:paraId="1B7FF633"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5958">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noWrap/>
            <w:vAlign w:val="center"/>
            <w:hideMark/>
          </w:tcPr>
          <w:p w14:paraId="1714C36B"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5958">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noWrap/>
            <w:vAlign w:val="center"/>
            <w:hideMark/>
          </w:tcPr>
          <w:p w14:paraId="12999EE4"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5958">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noWrap/>
            <w:vAlign w:val="center"/>
            <w:hideMark/>
          </w:tcPr>
          <w:p w14:paraId="2A713B17"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5958">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noWrap/>
            <w:vAlign w:val="center"/>
            <w:hideMark/>
          </w:tcPr>
          <w:p w14:paraId="54F4A5EA"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5958">
              <w:rPr>
                <w:rFonts w:ascii="Open Sans SemiBold" w:eastAsia="Times New Roman" w:hAnsi="Open Sans SemiBold" w:cs="Open Sans SemiBold"/>
                <w:color w:val="FFFFFF"/>
                <w:sz w:val="16"/>
                <w:szCs w:val="16"/>
                <w:lang w:eastAsia="en-AU"/>
              </w:rPr>
              <w:t>NT</w:t>
            </w:r>
          </w:p>
        </w:tc>
        <w:tc>
          <w:tcPr>
            <w:tcW w:w="860" w:type="dxa"/>
            <w:tcBorders>
              <w:top w:val="single" w:sz="4" w:space="0" w:color="ADD6EA"/>
              <w:left w:val="nil"/>
              <w:bottom w:val="single" w:sz="4" w:space="0" w:color="ADD6EA"/>
              <w:right w:val="nil"/>
            </w:tcBorders>
            <w:shd w:val="clear" w:color="000000" w:fill="006991"/>
            <w:noWrap/>
            <w:vAlign w:val="center"/>
            <w:hideMark/>
          </w:tcPr>
          <w:p w14:paraId="488DE390"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A5958">
              <w:rPr>
                <w:rFonts w:ascii="Open Sans SemiBold" w:eastAsia="Times New Roman" w:hAnsi="Open Sans SemiBold" w:cs="Open Sans SemiBold"/>
                <w:color w:val="FFFFFF"/>
                <w:sz w:val="16"/>
                <w:szCs w:val="16"/>
                <w:lang w:eastAsia="en-AU"/>
              </w:rPr>
              <w:t>Redist</w:t>
            </w:r>
          </w:p>
        </w:tc>
      </w:tr>
      <w:tr w:rsidR="000765E5" w:rsidRPr="002A5958" w14:paraId="149335FB" w14:textId="77777777" w:rsidTr="00DE4725">
        <w:trPr>
          <w:trHeight w:val="263"/>
        </w:trPr>
        <w:tc>
          <w:tcPr>
            <w:tcW w:w="2000" w:type="dxa"/>
            <w:tcBorders>
              <w:top w:val="nil"/>
              <w:left w:val="nil"/>
              <w:bottom w:val="single" w:sz="4" w:space="0" w:color="ADD6EA"/>
              <w:right w:val="nil"/>
            </w:tcBorders>
            <w:shd w:val="clear" w:color="000000" w:fill="B6D5E4"/>
            <w:noWrap/>
            <w:vAlign w:val="center"/>
            <w:hideMark/>
          </w:tcPr>
          <w:p w14:paraId="2AC0F9FE"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 </w:t>
            </w:r>
          </w:p>
        </w:tc>
        <w:tc>
          <w:tcPr>
            <w:tcW w:w="820" w:type="dxa"/>
            <w:tcBorders>
              <w:top w:val="nil"/>
              <w:left w:val="nil"/>
              <w:bottom w:val="single" w:sz="4" w:space="0" w:color="ADD6EA"/>
              <w:right w:val="nil"/>
            </w:tcBorders>
            <w:shd w:val="clear" w:color="000000" w:fill="B6D5E4"/>
            <w:noWrap/>
            <w:vAlign w:val="center"/>
            <w:hideMark/>
          </w:tcPr>
          <w:p w14:paraId="484353B9"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$m</w:t>
            </w:r>
          </w:p>
        </w:tc>
        <w:tc>
          <w:tcPr>
            <w:tcW w:w="820" w:type="dxa"/>
            <w:tcBorders>
              <w:top w:val="nil"/>
              <w:left w:val="nil"/>
              <w:bottom w:val="single" w:sz="4" w:space="0" w:color="ADD6EA"/>
              <w:right w:val="nil"/>
            </w:tcBorders>
            <w:shd w:val="clear" w:color="000000" w:fill="B6D5E4"/>
            <w:noWrap/>
            <w:vAlign w:val="center"/>
            <w:hideMark/>
          </w:tcPr>
          <w:p w14:paraId="59EFC0DD"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$m</w:t>
            </w:r>
          </w:p>
        </w:tc>
        <w:tc>
          <w:tcPr>
            <w:tcW w:w="820" w:type="dxa"/>
            <w:tcBorders>
              <w:top w:val="nil"/>
              <w:left w:val="nil"/>
              <w:bottom w:val="single" w:sz="4" w:space="0" w:color="ADD6EA"/>
              <w:right w:val="nil"/>
            </w:tcBorders>
            <w:shd w:val="clear" w:color="000000" w:fill="B6D5E4"/>
            <w:noWrap/>
            <w:vAlign w:val="center"/>
            <w:hideMark/>
          </w:tcPr>
          <w:p w14:paraId="5DC6C443"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$m</w:t>
            </w:r>
          </w:p>
        </w:tc>
        <w:tc>
          <w:tcPr>
            <w:tcW w:w="640" w:type="dxa"/>
            <w:tcBorders>
              <w:top w:val="nil"/>
              <w:left w:val="nil"/>
              <w:bottom w:val="single" w:sz="4" w:space="0" w:color="ADD6EA"/>
              <w:right w:val="nil"/>
            </w:tcBorders>
            <w:shd w:val="clear" w:color="000000" w:fill="B6D5E4"/>
            <w:noWrap/>
            <w:vAlign w:val="center"/>
            <w:hideMark/>
          </w:tcPr>
          <w:p w14:paraId="2D642059"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7539C049"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43929513"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696DCABF"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center"/>
            <w:hideMark/>
          </w:tcPr>
          <w:p w14:paraId="34080137"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$m</w:t>
            </w:r>
          </w:p>
        </w:tc>
        <w:tc>
          <w:tcPr>
            <w:tcW w:w="860" w:type="dxa"/>
            <w:tcBorders>
              <w:top w:val="nil"/>
              <w:left w:val="nil"/>
              <w:bottom w:val="single" w:sz="4" w:space="0" w:color="ADD6EA"/>
              <w:right w:val="nil"/>
            </w:tcBorders>
            <w:shd w:val="clear" w:color="000000" w:fill="B6D5E4"/>
            <w:noWrap/>
            <w:vAlign w:val="center"/>
            <w:hideMark/>
          </w:tcPr>
          <w:p w14:paraId="3223702D"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$m</w:t>
            </w:r>
          </w:p>
        </w:tc>
      </w:tr>
      <w:tr w:rsidR="000765E5" w:rsidRPr="002A5958" w14:paraId="7E124BBE" w14:textId="77777777" w:rsidTr="00DE4725">
        <w:trPr>
          <w:trHeight w:val="315"/>
        </w:trPr>
        <w:tc>
          <w:tcPr>
            <w:tcW w:w="2000" w:type="dxa"/>
            <w:tcBorders>
              <w:top w:val="nil"/>
              <w:left w:val="nil"/>
              <w:bottom w:val="single" w:sz="4" w:space="0" w:color="ADD6EA"/>
              <w:right w:val="nil"/>
            </w:tcBorders>
            <w:shd w:val="clear" w:color="auto" w:fill="auto"/>
            <w:noWrap/>
            <w:vAlign w:val="bottom"/>
            <w:hideMark/>
          </w:tcPr>
          <w:p w14:paraId="6E8AAA88" w14:textId="77777777" w:rsidR="000765E5" w:rsidRPr="002A5958" w:rsidRDefault="000765E5" w:rsidP="004D65FE">
            <w:pPr>
              <w:tabs>
                <w:tab w:val="clear" w:pos="567"/>
              </w:tabs>
              <w:spacing w:before="0" w:line="240" w:lineRule="auto"/>
              <w:rPr>
                <w:rFonts w:eastAsia="Times New Roman" w:cs="Open Sans Light"/>
                <w:sz w:val="16"/>
                <w:szCs w:val="16"/>
                <w:lang w:eastAsia="en-AU"/>
              </w:rPr>
            </w:pPr>
            <w:r w:rsidRPr="002A5958">
              <w:rPr>
                <w:rFonts w:eastAsia="Times New Roman" w:cs="Open Sans Light"/>
                <w:sz w:val="16"/>
                <w:szCs w:val="16"/>
                <w:lang w:eastAsia="en-AU"/>
              </w:rPr>
              <w:t>Administrative scale</w:t>
            </w:r>
          </w:p>
        </w:tc>
        <w:tc>
          <w:tcPr>
            <w:tcW w:w="820" w:type="dxa"/>
            <w:tcBorders>
              <w:top w:val="nil"/>
              <w:left w:val="nil"/>
              <w:bottom w:val="single" w:sz="4" w:space="0" w:color="ADD6EA"/>
              <w:right w:val="nil"/>
            </w:tcBorders>
            <w:shd w:val="clear" w:color="auto" w:fill="auto"/>
            <w:noWrap/>
            <w:vAlign w:val="bottom"/>
            <w:hideMark/>
          </w:tcPr>
          <w:p w14:paraId="58BD2721"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-546</w:t>
            </w:r>
          </w:p>
        </w:tc>
        <w:tc>
          <w:tcPr>
            <w:tcW w:w="820" w:type="dxa"/>
            <w:tcBorders>
              <w:top w:val="nil"/>
              <w:left w:val="nil"/>
              <w:bottom w:val="single" w:sz="4" w:space="0" w:color="ADD6EA"/>
              <w:right w:val="nil"/>
            </w:tcBorders>
            <w:shd w:val="clear" w:color="auto" w:fill="auto"/>
            <w:noWrap/>
            <w:vAlign w:val="bottom"/>
            <w:hideMark/>
          </w:tcPr>
          <w:p w14:paraId="6B93036A"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-377</w:t>
            </w:r>
          </w:p>
        </w:tc>
        <w:tc>
          <w:tcPr>
            <w:tcW w:w="820" w:type="dxa"/>
            <w:tcBorders>
              <w:top w:val="nil"/>
              <w:left w:val="nil"/>
              <w:bottom w:val="single" w:sz="4" w:space="0" w:color="ADD6EA"/>
              <w:right w:val="nil"/>
            </w:tcBorders>
            <w:shd w:val="clear" w:color="auto" w:fill="auto"/>
            <w:noWrap/>
            <w:vAlign w:val="bottom"/>
            <w:hideMark/>
          </w:tcPr>
          <w:p w14:paraId="01F6DEF7"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-212</w:t>
            </w:r>
          </w:p>
        </w:tc>
        <w:tc>
          <w:tcPr>
            <w:tcW w:w="640" w:type="dxa"/>
            <w:tcBorders>
              <w:top w:val="nil"/>
              <w:left w:val="nil"/>
              <w:bottom w:val="single" w:sz="4" w:space="0" w:color="ADD6EA"/>
              <w:right w:val="nil"/>
            </w:tcBorders>
            <w:shd w:val="clear" w:color="auto" w:fill="auto"/>
            <w:noWrap/>
            <w:vAlign w:val="bottom"/>
            <w:hideMark/>
          </w:tcPr>
          <w:p w14:paraId="76D45B1B"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62</w:t>
            </w:r>
          </w:p>
        </w:tc>
        <w:tc>
          <w:tcPr>
            <w:tcW w:w="760" w:type="dxa"/>
            <w:tcBorders>
              <w:top w:val="nil"/>
              <w:left w:val="nil"/>
              <w:bottom w:val="single" w:sz="4" w:space="0" w:color="ADD6EA"/>
              <w:right w:val="nil"/>
            </w:tcBorders>
            <w:shd w:val="clear" w:color="auto" w:fill="auto"/>
            <w:noWrap/>
            <w:vAlign w:val="bottom"/>
            <w:hideMark/>
          </w:tcPr>
          <w:p w14:paraId="4BB80F8D"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158</w:t>
            </w:r>
          </w:p>
        </w:tc>
        <w:tc>
          <w:tcPr>
            <w:tcW w:w="760" w:type="dxa"/>
            <w:tcBorders>
              <w:top w:val="nil"/>
              <w:left w:val="nil"/>
              <w:bottom w:val="single" w:sz="4" w:space="0" w:color="ADD6EA"/>
              <w:right w:val="nil"/>
            </w:tcBorders>
            <w:shd w:val="clear" w:color="auto" w:fill="auto"/>
            <w:noWrap/>
            <w:vAlign w:val="bottom"/>
            <w:hideMark/>
          </w:tcPr>
          <w:p w14:paraId="6F395EA0"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294</w:t>
            </w:r>
          </w:p>
        </w:tc>
        <w:tc>
          <w:tcPr>
            <w:tcW w:w="760" w:type="dxa"/>
            <w:tcBorders>
              <w:top w:val="nil"/>
              <w:left w:val="nil"/>
              <w:bottom w:val="single" w:sz="4" w:space="0" w:color="ADD6EA"/>
              <w:right w:val="nil"/>
            </w:tcBorders>
            <w:shd w:val="clear" w:color="auto" w:fill="auto"/>
            <w:noWrap/>
            <w:vAlign w:val="bottom"/>
            <w:hideMark/>
          </w:tcPr>
          <w:p w14:paraId="06F00821"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294</w:t>
            </w:r>
          </w:p>
        </w:tc>
        <w:tc>
          <w:tcPr>
            <w:tcW w:w="760" w:type="dxa"/>
            <w:tcBorders>
              <w:top w:val="nil"/>
              <w:left w:val="nil"/>
              <w:bottom w:val="single" w:sz="4" w:space="0" w:color="ADD6EA"/>
              <w:right w:val="nil"/>
            </w:tcBorders>
            <w:shd w:val="clear" w:color="auto" w:fill="auto"/>
            <w:noWrap/>
            <w:vAlign w:val="bottom"/>
            <w:hideMark/>
          </w:tcPr>
          <w:p w14:paraId="417491F6"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328</w:t>
            </w:r>
          </w:p>
        </w:tc>
        <w:tc>
          <w:tcPr>
            <w:tcW w:w="860" w:type="dxa"/>
            <w:tcBorders>
              <w:top w:val="nil"/>
              <w:left w:val="nil"/>
              <w:bottom w:val="single" w:sz="4" w:space="0" w:color="ADD6EA"/>
              <w:right w:val="nil"/>
            </w:tcBorders>
            <w:shd w:val="clear" w:color="auto" w:fill="auto"/>
            <w:noWrap/>
            <w:vAlign w:val="bottom"/>
            <w:hideMark/>
          </w:tcPr>
          <w:p w14:paraId="30105825"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1,135</w:t>
            </w:r>
          </w:p>
        </w:tc>
      </w:tr>
      <w:tr w:rsidR="000765E5" w:rsidRPr="002A5958" w14:paraId="0709BC69" w14:textId="77777777" w:rsidTr="00DE4725">
        <w:trPr>
          <w:trHeight w:val="315"/>
        </w:trPr>
        <w:tc>
          <w:tcPr>
            <w:tcW w:w="2000" w:type="dxa"/>
            <w:tcBorders>
              <w:top w:val="nil"/>
              <w:left w:val="nil"/>
              <w:bottom w:val="single" w:sz="4" w:space="0" w:color="ADD6EA"/>
              <w:right w:val="nil"/>
            </w:tcBorders>
            <w:shd w:val="clear" w:color="auto" w:fill="auto"/>
            <w:noWrap/>
            <w:vAlign w:val="bottom"/>
            <w:hideMark/>
          </w:tcPr>
          <w:p w14:paraId="1EF0C318" w14:textId="77777777" w:rsidR="000765E5" w:rsidRPr="002A5958" w:rsidRDefault="000765E5" w:rsidP="004D65FE">
            <w:pPr>
              <w:tabs>
                <w:tab w:val="clear" w:pos="567"/>
              </w:tabs>
              <w:spacing w:before="0" w:line="240" w:lineRule="auto"/>
              <w:rPr>
                <w:rFonts w:eastAsia="Times New Roman" w:cs="Open Sans Light"/>
                <w:sz w:val="16"/>
                <w:szCs w:val="16"/>
                <w:lang w:eastAsia="en-AU"/>
              </w:rPr>
            </w:pPr>
            <w:r w:rsidRPr="002A5958">
              <w:rPr>
                <w:rFonts w:eastAsia="Times New Roman" w:cs="Open Sans Light"/>
                <w:sz w:val="16"/>
                <w:szCs w:val="16"/>
                <w:lang w:eastAsia="en-AU"/>
              </w:rPr>
              <w:t>Wage costs</w:t>
            </w:r>
          </w:p>
        </w:tc>
        <w:tc>
          <w:tcPr>
            <w:tcW w:w="820" w:type="dxa"/>
            <w:tcBorders>
              <w:top w:val="nil"/>
              <w:left w:val="nil"/>
              <w:bottom w:val="single" w:sz="4" w:space="0" w:color="ADD6EA"/>
              <w:right w:val="nil"/>
            </w:tcBorders>
            <w:shd w:val="clear" w:color="auto" w:fill="auto"/>
            <w:noWrap/>
            <w:vAlign w:val="bottom"/>
            <w:hideMark/>
          </w:tcPr>
          <w:p w14:paraId="157927FE"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2</w:t>
            </w:r>
          </w:p>
        </w:tc>
        <w:tc>
          <w:tcPr>
            <w:tcW w:w="820" w:type="dxa"/>
            <w:tcBorders>
              <w:top w:val="nil"/>
              <w:left w:val="nil"/>
              <w:bottom w:val="single" w:sz="4" w:space="0" w:color="ADD6EA"/>
              <w:right w:val="nil"/>
            </w:tcBorders>
            <w:shd w:val="clear" w:color="auto" w:fill="auto"/>
            <w:noWrap/>
            <w:vAlign w:val="bottom"/>
            <w:hideMark/>
          </w:tcPr>
          <w:p w14:paraId="63FFFE8F"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-2</w:t>
            </w:r>
          </w:p>
        </w:tc>
        <w:tc>
          <w:tcPr>
            <w:tcW w:w="820" w:type="dxa"/>
            <w:tcBorders>
              <w:top w:val="nil"/>
              <w:left w:val="nil"/>
              <w:bottom w:val="single" w:sz="4" w:space="0" w:color="ADD6EA"/>
              <w:right w:val="nil"/>
            </w:tcBorders>
            <w:shd w:val="clear" w:color="auto" w:fill="auto"/>
            <w:noWrap/>
            <w:vAlign w:val="bottom"/>
            <w:hideMark/>
          </w:tcPr>
          <w:p w14:paraId="6ED59222"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-2</w:t>
            </w:r>
          </w:p>
        </w:tc>
        <w:tc>
          <w:tcPr>
            <w:tcW w:w="640" w:type="dxa"/>
            <w:tcBorders>
              <w:top w:val="nil"/>
              <w:left w:val="nil"/>
              <w:bottom w:val="single" w:sz="4" w:space="0" w:color="ADD6EA"/>
              <w:right w:val="nil"/>
            </w:tcBorders>
            <w:shd w:val="clear" w:color="auto" w:fill="auto"/>
            <w:noWrap/>
            <w:vAlign w:val="bottom"/>
            <w:hideMark/>
          </w:tcPr>
          <w:p w14:paraId="1254088F"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noWrap/>
            <w:vAlign w:val="bottom"/>
            <w:hideMark/>
          </w:tcPr>
          <w:p w14:paraId="3CD90022"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-8</w:t>
            </w:r>
          </w:p>
        </w:tc>
        <w:tc>
          <w:tcPr>
            <w:tcW w:w="760" w:type="dxa"/>
            <w:tcBorders>
              <w:top w:val="nil"/>
              <w:left w:val="nil"/>
              <w:bottom w:val="single" w:sz="4" w:space="0" w:color="ADD6EA"/>
              <w:right w:val="nil"/>
            </w:tcBorders>
            <w:shd w:val="clear" w:color="auto" w:fill="auto"/>
            <w:noWrap/>
            <w:vAlign w:val="bottom"/>
            <w:hideMark/>
          </w:tcPr>
          <w:p w14:paraId="6BE6FC4E"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-10</w:t>
            </w:r>
          </w:p>
        </w:tc>
        <w:tc>
          <w:tcPr>
            <w:tcW w:w="760" w:type="dxa"/>
            <w:tcBorders>
              <w:top w:val="nil"/>
              <w:left w:val="nil"/>
              <w:bottom w:val="single" w:sz="4" w:space="0" w:color="ADD6EA"/>
              <w:right w:val="nil"/>
            </w:tcBorders>
            <w:shd w:val="clear" w:color="auto" w:fill="auto"/>
            <w:noWrap/>
            <w:vAlign w:val="bottom"/>
            <w:hideMark/>
          </w:tcPr>
          <w:p w14:paraId="176A2204"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noWrap/>
            <w:vAlign w:val="bottom"/>
            <w:hideMark/>
          </w:tcPr>
          <w:p w14:paraId="5DA7B9A9"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9</w:t>
            </w:r>
          </w:p>
        </w:tc>
        <w:tc>
          <w:tcPr>
            <w:tcW w:w="860" w:type="dxa"/>
            <w:tcBorders>
              <w:top w:val="nil"/>
              <w:left w:val="nil"/>
              <w:bottom w:val="single" w:sz="4" w:space="0" w:color="ADD6EA"/>
              <w:right w:val="nil"/>
            </w:tcBorders>
            <w:shd w:val="clear" w:color="auto" w:fill="auto"/>
            <w:noWrap/>
            <w:vAlign w:val="bottom"/>
            <w:hideMark/>
          </w:tcPr>
          <w:p w14:paraId="068A69CE" w14:textId="77777777" w:rsidR="000765E5" w:rsidRPr="002A5958" w:rsidRDefault="000765E5" w:rsidP="004D65FE">
            <w:pPr>
              <w:tabs>
                <w:tab w:val="clear" w:pos="567"/>
              </w:tabs>
              <w:spacing w:before="0" w:line="240" w:lineRule="auto"/>
              <w:jc w:val="right"/>
              <w:rPr>
                <w:rFonts w:eastAsia="Times New Roman" w:cs="Open Sans Light"/>
                <w:sz w:val="16"/>
                <w:szCs w:val="16"/>
                <w:lang w:eastAsia="en-AU"/>
              </w:rPr>
            </w:pPr>
            <w:r w:rsidRPr="002A5958">
              <w:rPr>
                <w:rFonts w:eastAsia="Times New Roman" w:cs="Open Sans Light"/>
                <w:sz w:val="16"/>
                <w:szCs w:val="16"/>
                <w:lang w:eastAsia="en-AU"/>
              </w:rPr>
              <w:t>22</w:t>
            </w:r>
          </w:p>
        </w:tc>
      </w:tr>
      <w:tr w:rsidR="000765E5" w:rsidRPr="002A5958" w14:paraId="21889B3B" w14:textId="77777777" w:rsidTr="00DE4725">
        <w:trPr>
          <w:trHeight w:val="315"/>
        </w:trPr>
        <w:tc>
          <w:tcPr>
            <w:tcW w:w="2000" w:type="dxa"/>
            <w:tcBorders>
              <w:top w:val="nil"/>
              <w:left w:val="nil"/>
              <w:bottom w:val="single" w:sz="4" w:space="0" w:color="ADD6EA"/>
              <w:right w:val="nil"/>
            </w:tcBorders>
            <w:shd w:val="clear" w:color="000000" w:fill="D6E7F0"/>
            <w:noWrap/>
            <w:vAlign w:val="bottom"/>
            <w:hideMark/>
          </w:tcPr>
          <w:p w14:paraId="1B8DC0F1" w14:textId="77777777" w:rsidR="000765E5" w:rsidRPr="002A5958" w:rsidRDefault="000765E5"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Total</w:t>
            </w:r>
          </w:p>
        </w:tc>
        <w:tc>
          <w:tcPr>
            <w:tcW w:w="820" w:type="dxa"/>
            <w:tcBorders>
              <w:top w:val="nil"/>
              <w:left w:val="nil"/>
              <w:bottom w:val="single" w:sz="4" w:space="0" w:color="ADD6EA"/>
              <w:right w:val="nil"/>
            </w:tcBorders>
            <w:shd w:val="clear" w:color="000000" w:fill="D6E7F0"/>
            <w:noWrap/>
            <w:vAlign w:val="bottom"/>
            <w:hideMark/>
          </w:tcPr>
          <w:p w14:paraId="282FAB41"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-545</w:t>
            </w:r>
          </w:p>
        </w:tc>
        <w:tc>
          <w:tcPr>
            <w:tcW w:w="820" w:type="dxa"/>
            <w:tcBorders>
              <w:top w:val="nil"/>
              <w:left w:val="nil"/>
              <w:bottom w:val="single" w:sz="4" w:space="0" w:color="ADD6EA"/>
              <w:right w:val="nil"/>
            </w:tcBorders>
            <w:shd w:val="clear" w:color="000000" w:fill="D6E7F0"/>
            <w:noWrap/>
            <w:vAlign w:val="bottom"/>
            <w:hideMark/>
          </w:tcPr>
          <w:p w14:paraId="47C99DF3"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-380</w:t>
            </w:r>
          </w:p>
        </w:tc>
        <w:tc>
          <w:tcPr>
            <w:tcW w:w="820" w:type="dxa"/>
            <w:tcBorders>
              <w:top w:val="nil"/>
              <w:left w:val="nil"/>
              <w:bottom w:val="single" w:sz="4" w:space="0" w:color="ADD6EA"/>
              <w:right w:val="nil"/>
            </w:tcBorders>
            <w:shd w:val="clear" w:color="000000" w:fill="D6E7F0"/>
            <w:noWrap/>
            <w:vAlign w:val="bottom"/>
            <w:hideMark/>
          </w:tcPr>
          <w:p w14:paraId="1CBD5C1B"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-214</w:t>
            </w:r>
          </w:p>
        </w:tc>
        <w:tc>
          <w:tcPr>
            <w:tcW w:w="640" w:type="dxa"/>
            <w:tcBorders>
              <w:top w:val="nil"/>
              <w:left w:val="nil"/>
              <w:bottom w:val="single" w:sz="4" w:space="0" w:color="ADD6EA"/>
              <w:right w:val="nil"/>
            </w:tcBorders>
            <w:shd w:val="clear" w:color="000000" w:fill="D6E7F0"/>
            <w:noWrap/>
            <w:vAlign w:val="bottom"/>
            <w:hideMark/>
          </w:tcPr>
          <w:p w14:paraId="27832FB5"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67</w:t>
            </w:r>
          </w:p>
        </w:tc>
        <w:tc>
          <w:tcPr>
            <w:tcW w:w="760" w:type="dxa"/>
            <w:tcBorders>
              <w:top w:val="nil"/>
              <w:left w:val="nil"/>
              <w:bottom w:val="single" w:sz="4" w:space="0" w:color="ADD6EA"/>
              <w:right w:val="nil"/>
            </w:tcBorders>
            <w:shd w:val="clear" w:color="000000" w:fill="D6E7F0"/>
            <w:noWrap/>
            <w:vAlign w:val="bottom"/>
            <w:hideMark/>
          </w:tcPr>
          <w:p w14:paraId="6EC9F98F"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150</w:t>
            </w:r>
          </w:p>
        </w:tc>
        <w:tc>
          <w:tcPr>
            <w:tcW w:w="760" w:type="dxa"/>
            <w:tcBorders>
              <w:top w:val="nil"/>
              <w:left w:val="nil"/>
              <w:bottom w:val="single" w:sz="4" w:space="0" w:color="ADD6EA"/>
              <w:right w:val="nil"/>
            </w:tcBorders>
            <w:shd w:val="clear" w:color="000000" w:fill="D6E7F0"/>
            <w:noWrap/>
            <w:vAlign w:val="bottom"/>
            <w:hideMark/>
          </w:tcPr>
          <w:p w14:paraId="5577D5BD"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284</w:t>
            </w:r>
          </w:p>
        </w:tc>
        <w:tc>
          <w:tcPr>
            <w:tcW w:w="760" w:type="dxa"/>
            <w:tcBorders>
              <w:top w:val="nil"/>
              <w:left w:val="nil"/>
              <w:bottom w:val="single" w:sz="4" w:space="0" w:color="ADD6EA"/>
              <w:right w:val="nil"/>
            </w:tcBorders>
            <w:shd w:val="clear" w:color="000000" w:fill="D6E7F0"/>
            <w:noWrap/>
            <w:vAlign w:val="bottom"/>
            <w:hideMark/>
          </w:tcPr>
          <w:p w14:paraId="714F97FD"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300</w:t>
            </w:r>
          </w:p>
        </w:tc>
        <w:tc>
          <w:tcPr>
            <w:tcW w:w="760" w:type="dxa"/>
            <w:tcBorders>
              <w:top w:val="nil"/>
              <w:left w:val="nil"/>
              <w:bottom w:val="single" w:sz="4" w:space="0" w:color="ADD6EA"/>
              <w:right w:val="nil"/>
            </w:tcBorders>
            <w:shd w:val="clear" w:color="000000" w:fill="D6E7F0"/>
            <w:noWrap/>
            <w:vAlign w:val="bottom"/>
            <w:hideMark/>
          </w:tcPr>
          <w:p w14:paraId="1586A712"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337</w:t>
            </w:r>
          </w:p>
        </w:tc>
        <w:tc>
          <w:tcPr>
            <w:tcW w:w="860" w:type="dxa"/>
            <w:tcBorders>
              <w:top w:val="nil"/>
              <w:left w:val="nil"/>
              <w:bottom w:val="single" w:sz="4" w:space="0" w:color="ADD6EA"/>
              <w:right w:val="nil"/>
            </w:tcBorders>
            <w:shd w:val="clear" w:color="000000" w:fill="D6E7F0"/>
            <w:noWrap/>
            <w:vAlign w:val="bottom"/>
            <w:hideMark/>
          </w:tcPr>
          <w:p w14:paraId="69C40F37" w14:textId="77777777" w:rsidR="000765E5" w:rsidRPr="002A5958" w:rsidRDefault="000765E5"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A5958">
              <w:rPr>
                <w:rFonts w:ascii="Open Sans SemiBold" w:eastAsia="Times New Roman" w:hAnsi="Open Sans SemiBold" w:cs="Open Sans SemiBold"/>
                <w:color w:val="000000"/>
                <w:sz w:val="16"/>
                <w:szCs w:val="16"/>
                <w:lang w:eastAsia="en-AU"/>
              </w:rPr>
              <w:t>1,138</w:t>
            </w:r>
          </w:p>
        </w:tc>
      </w:tr>
    </w:tbl>
    <w:p w14:paraId="10B7EFA4" w14:textId="77777777" w:rsidR="000765E5" w:rsidRPr="00DB0CF7" w:rsidRDefault="000765E5" w:rsidP="000765E5">
      <w:pPr>
        <w:pStyle w:val="CGCTablenote"/>
      </w:pPr>
      <w:r w:rsidRPr="00DB0CF7">
        <w:t>Note:</w:t>
      </w:r>
      <w:r>
        <w:tab/>
        <w:t>The sum of the d</w:t>
      </w:r>
      <w:r w:rsidRPr="00DB0CF7">
        <w:t>isabilities may not add due to rounding.</w:t>
      </w:r>
    </w:p>
    <w:p w14:paraId="7B712BCF" w14:textId="77777777" w:rsidR="000765E5" w:rsidRPr="00DB0CF7" w:rsidRDefault="000765E5" w:rsidP="000765E5">
      <w:pPr>
        <w:pStyle w:val="CGCTablenote"/>
      </w:pPr>
      <w:bookmarkStart w:id="488" w:name="_Hlk33105359"/>
      <w:r w:rsidRPr="00DB0CF7">
        <w:t>Source:</w:t>
      </w:r>
      <w:r w:rsidRPr="00DB0CF7">
        <w:tab/>
        <w:t>Commission calculation.</w:t>
      </w:r>
    </w:p>
    <w:bookmarkEnd w:id="488"/>
    <w:p w14:paraId="3FAA9E1C" w14:textId="77777777" w:rsidR="000765E5" w:rsidRPr="00DB0CF7" w:rsidRDefault="000765E5" w:rsidP="000765E5">
      <w:pPr>
        <w:pStyle w:val="Heading3"/>
      </w:pPr>
      <w:r>
        <w:t>C</w:t>
      </w:r>
      <w:r w:rsidRPr="00DB0CF7">
        <w:t xml:space="preserve">hanges </w:t>
      </w:r>
      <w:r>
        <w:t>since</w:t>
      </w:r>
      <w:r w:rsidRPr="00DB0CF7">
        <w:t xml:space="preserve"> the </w:t>
      </w:r>
      <w:r>
        <w:t>2019 Update</w:t>
      </w:r>
      <w:r w:rsidRPr="00DB0CF7">
        <w:t xml:space="preserve"> </w:t>
      </w:r>
    </w:p>
    <w:p w14:paraId="0F806008" w14:textId="77777777" w:rsidR="000765E5" w:rsidRPr="00DB0CF7" w:rsidRDefault="000765E5" w:rsidP="00F47EC7">
      <w:pPr>
        <w:pStyle w:val="CGCParaNumber"/>
      </w:pPr>
      <w:r w:rsidRPr="00DB0CF7">
        <w:t xml:space="preserve">There are a number of </w:t>
      </w:r>
      <w:r>
        <w:t xml:space="preserve">method and data </w:t>
      </w:r>
      <w:r w:rsidRPr="00DB0CF7">
        <w:t>changes since the 201</w:t>
      </w:r>
      <w:r>
        <w:t>9</w:t>
      </w:r>
      <w:r w:rsidRPr="00DB0CF7">
        <w:t xml:space="preserve"> </w:t>
      </w:r>
      <w:r>
        <w:t>Update</w:t>
      </w:r>
      <w:r w:rsidRPr="00DB0CF7">
        <w:t>.</w:t>
      </w:r>
    </w:p>
    <w:p w14:paraId="4AF0CDCD" w14:textId="77777777" w:rsidR="000765E5" w:rsidRPr="00DB0CF7" w:rsidRDefault="000765E5" w:rsidP="000765E5">
      <w:pPr>
        <w:pStyle w:val="CGCBullet1"/>
      </w:pPr>
      <w:r w:rsidRPr="00DB0CF7">
        <w:lastRenderedPageBreak/>
        <w:t>The estimate of total administrative scale expenses ha</w:t>
      </w:r>
      <w:r>
        <w:t>ve</w:t>
      </w:r>
      <w:r w:rsidRPr="00DB0CF7">
        <w:t xml:space="preserve"> increased by 2</w:t>
      </w:r>
      <w:r>
        <w:t>6</w:t>
      </w:r>
      <w:r w:rsidRPr="00DB0CF7">
        <w:t>%</w:t>
      </w:r>
      <w:r>
        <w:t xml:space="preserve"> or about $600</w:t>
      </w:r>
      <w:r w:rsidRPr="00DB0CF7">
        <w:t> </w:t>
      </w:r>
      <w:r>
        <w:t>m</w:t>
      </w:r>
      <w:r w:rsidRPr="00DB0CF7">
        <w:t>illion</w:t>
      </w:r>
      <w:r>
        <w:t xml:space="preserve"> in total</w:t>
      </w:r>
      <w:r w:rsidRPr="00DB0CF7">
        <w:t xml:space="preserve">. </w:t>
      </w:r>
    </w:p>
    <w:p w14:paraId="13140279" w14:textId="77777777" w:rsidR="000765E5" w:rsidRPr="00DB0CF7" w:rsidRDefault="000765E5" w:rsidP="000765E5">
      <w:pPr>
        <w:pStyle w:val="CGCBullet1"/>
      </w:pPr>
      <w:r w:rsidRPr="00DB0CF7">
        <w:t>The Northern Territory dual service delivery adjustment has been remov</w:t>
      </w:r>
      <w:r>
        <w:t>ed. However, an adjustment of $2.0</w:t>
      </w:r>
      <w:r w:rsidRPr="00DB0CF7">
        <w:t xml:space="preserve"> million for the Northern Territory has been included to recognise a difference in its organisational structure requiring additional engagement with Indigenous stakeholders for policy development and coordination.</w:t>
      </w:r>
    </w:p>
    <w:p w14:paraId="01AF9D00" w14:textId="77777777" w:rsidR="000765E5" w:rsidRDefault="000765E5" w:rsidP="000765E5">
      <w:pPr>
        <w:pStyle w:val="CGCBullet1"/>
      </w:pPr>
      <w:r w:rsidRPr="00DB0CF7">
        <w:t>The wage costs proportion of adminis</w:t>
      </w:r>
      <w:r>
        <w:t>trative scale expenses has been reduced from 80% to 60%.</w:t>
      </w:r>
    </w:p>
    <w:p w14:paraId="4926AF96" w14:textId="77777777" w:rsidR="000765E5" w:rsidRDefault="000765E5" w:rsidP="00F47EC7">
      <w:pPr>
        <w:pStyle w:val="CGCParaNumber"/>
      </w:pPr>
      <w:r>
        <w:t>Between 2015-16 and 2018-19, a</w:t>
      </w:r>
      <w:r w:rsidRPr="00A04992">
        <w:t>dministrative scale expenses have grown more slowly than growth in the GST pool. This increased the GST share for the three largest States and reduced the GST share for other States.</w:t>
      </w:r>
    </w:p>
    <w:p w14:paraId="6C2AFC3C" w14:textId="77777777" w:rsidR="000765E5" w:rsidRDefault="000765E5" w:rsidP="000765E5">
      <w:pPr>
        <w:pStyle w:val="Heading3"/>
      </w:pPr>
      <w:r>
        <w:t>Updating the assessment</w:t>
      </w:r>
    </w:p>
    <w:p w14:paraId="481B8C79" w14:textId="0FBB7A58" w:rsidR="000765E5" w:rsidRPr="00D3323E" w:rsidRDefault="000765E5" w:rsidP="00F47EC7">
      <w:pPr>
        <w:pStyle w:val="CGCParaNumber"/>
        <w:rPr>
          <w:rFonts w:cstheme="minorHAnsi"/>
        </w:rPr>
      </w:pPr>
      <w:r>
        <w:t xml:space="preserve">The </w:t>
      </w:r>
      <w:r w:rsidRPr="000F5F0A">
        <w:t>administrative</w:t>
      </w:r>
      <w:r w:rsidRPr="00B81832">
        <w:t xml:space="preserve"> scale expenses</w:t>
      </w:r>
      <w:r>
        <w:t xml:space="preserve"> will be kept</w:t>
      </w:r>
      <w:r w:rsidRPr="00B81832">
        <w:t xml:space="preserve"> up to date </w:t>
      </w:r>
      <w:r>
        <w:t>following the 2020 </w:t>
      </w:r>
      <w:r w:rsidRPr="00B81832">
        <w:t xml:space="preserve">Review by indexing them using the </w:t>
      </w:r>
      <w:r w:rsidRPr="001B1D22">
        <w:t>SLGFC</w:t>
      </w:r>
      <w:r w:rsidR="0088074C">
        <w:t>E</w:t>
      </w:r>
      <w:r>
        <w:t xml:space="preserve"> </w:t>
      </w:r>
      <w:r w:rsidRPr="00615E4E">
        <w:t>deflator</w:t>
      </w:r>
      <w:r>
        <w:t>.</w:t>
      </w:r>
    </w:p>
    <w:p w14:paraId="3763EF0E" w14:textId="77777777" w:rsidR="00956B08" w:rsidRDefault="00956B08" w:rsidP="001242DE"/>
    <w:p w14:paraId="199DF61C" w14:textId="5BF74020" w:rsidR="00956B08" w:rsidRDefault="00956B08" w:rsidP="001242DE">
      <w:pPr>
        <w:sectPr w:rsidR="00956B08" w:rsidSect="007C4B6D">
          <w:footerReference w:type="default" r:id="rId52"/>
          <w:footnotePr>
            <w:numRestart w:val="eachSect"/>
          </w:footnotePr>
          <w:pgSz w:w="11899" w:h="16838" w:code="9"/>
          <w:pgMar w:top="1418" w:right="1474" w:bottom="1418" w:left="1474" w:header="709" w:footer="567" w:gutter="0"/>
          <w:cols w:space="708"/>
          <w:titlePg/>
          <w:docGrid w:linePitch="299"/>
        </w:sectPr>
      </w:pPr>
    </w:p>
    <w:p w14:paraId="336B0F4C" w14:textId="77777777" w:rsidR="00C4779A" w:rsidRPr="000C4987" w:rsidRDefault="00C4779A" w:rsidP="00C4779A">
      <w:pPr>
        <w:pStyle w:val="Heading1"/>
      </w:pPr>
      <w:bookmarkStart w:id="489" w:name="_Toc32922491"/>
      <w:r>
        <w:lastRenderedPageBreak/>
        <w:t>27</w:t>
      </w:r>
      <w:r>
        <w:tab/>
        <w:t>Wage costs</w:t>
      </w:r>
      <w:bookmarkEnd w:id="489"/>
      <w:r w:rsidRPr="000C498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C4779A" w:rsidRPr="000C4987" w14:paraId="7C353C21" w14:textId="77777777" w:rsidTr="004D65FE">
        <w:tc>
          <w:tcPr>
            <w:tcW w:w="8951" w:type="dxa"/>
            <w:shd w:val="clear" w:color="auto" w:fill="EBF3F5"/>
          </w:tcPr>
          <w:p w14:paraId="2D36B2FF" w14:textId="77777777" w:rsidR="00C4779A" w:rsidRPr="000C4987" w:rsidRDefault="00C4779A" w:rsidP="004D65FE">
            <w:pPr>
              <w:pStyle w:val="Heading4"/>
              <w:outlineLvl w:val="3"/>
            </w:pPr>
            <w:r w:rsidRPr="000C4987">
              <w:t xml:space="preserve">Summary of </w:t>
            </w:r>
            <w:r>
              <w:t>the assessment</w:t>
            </w:r>
          </w:p>
          <w:p w14:paraId="267DB90E" w14:textId="77777777" w:rsidR="00C4779A" w:rsidRDefault="00C4779A" w:rsidP="004D65FE">
            <w:r w:rsidRPr="00F46B46">
              <w:t>The wage costs disability recognises that comparable public sector employees in different States are paid different wages, partly due to differences in labour markets beyond the control of State governments.</w:t>
            </w:r>
          </w:p>
          <w:p w14:paraId="40310E73" w14:textId="78FACAF3" w:rsidR="00C4779A" w:rsidRPr="00F46B46" w:rsidRDefault="00C4779A" w:rsidP="004D65FE">
            <w:r>
              <w:t>T</w:t>
            </w:r>
            <w:r w:rsidRPr="00F46B46">
              <w:t>he assessment</w:t>
            </w:r>
            <w:r>
              <w:t xml:space="preserve"> is performed</w:t>
            </w:r>
            <w:r w:rsidRPr="00F46B46">
              <w:t xml:space="preserve"> by estimating the additional costs relative to the national average wage each State government would have to pay for the ‘average’ employee. The difference is estimated using an econometric model of private sector employees, controlling for differences in education, industry, experience and other attributes known to affect wage levels. </w:t>
            </w:r>
            <w:r>
              <w:t>P</w:t>
            </w:r>
            <w:r w:rsidRPr="00F46B46">
              <w:t xml:space="preserve">rivate sector employee characteristics and wage levels </w:t>
            </w:r>
            <w:r>
              <w:t xml:space="preserve">are used </w:t>
            </w:r>
            <w:r w:rsidRPr="00F46B46">
              <w:t>as a policy</w:t>
            </w:r>
            <w:r w:rsidR="00475C3E">
              <w:t xml:space="preserve"> </w:t>
            </w:r>
            <w:r w:rsidRPr="00F46B46">
              <w:t>neutral benchmark, as public sector wages are heavily influenced by State policy.</w:t>
            </w:r>
          </w:p>
          <w:p w14:paraId="35042CBE" w14:textId="77777777" w:rsidR="00C4779A" w:rsidRPr="000C4987" w:rsidRDefault="00C4779A" w:rsidP="004D65FE">
            <w:pPr>
              <w:spacing w:after="120"/>
            </w:pPr>
            <w:r w:rsidRPr="00F46B46">
              <w:t xml:space="preserve">The disability is assessed for all expense categories; the degree to which it applies varies depending on the proportion of labour costs in each category. </w:t>
            </w:r>
            <w:r>
              <w:t>A</w:t>
            </w:r>
            <w:r w:rsidRPr="00F46B46">
              <w:t xml:space="preserve"> low level discount </w:t>
            </w:r>
            <w:r>
              <w:t xml:space="preserve">of 12.5% is applied </w:t>
            </w:r>
            <w:r w:rsidRPr="00F46B46">
              <w:t xml:space="preserve">to the results to reflect some uncertainty in the data </w:t>
            </w:r>
            <w:r>
              <w:t>used</w:t>
            </w:r>
            <w:r w:rsidRPr="00F46B46">
              <w:t xml:space="preserve"> for the assessment.</w:t>
            </w:r>
          </w:p>
        </w:tc>
      </w:tr>
    </w:tbl>
    <w:p w14:paraId="2150A64A" w14:textId="77777777" w:rsidR="00C4779A" w:rsidRPr="000C4987" w:rsidRDefault="00C4779A" w:rsidP="00C4779A">
      <w:pPr>
        <w:pStyle w:val="Heading3"/>
      </w:pPr>
      <w:r>
        <w:t>O</w:t>
      </w:r>
      <w:r w:rsidRPr="000C4987">
        <w:t>verview</w:t>
      </w:r>
    </w:p>
    <w:p w14:paraId="2E0838BB" w14:textId="77777777" w:rsidR="00C4779A" w:rsidRPr="008C2EF6" w:rsidRDefault="00C4779A" w:rsidP="00C0751D">
      <w:pPr>
        <w:pStyle w:val="CGCParaNumber"/>
        <w:numPr>
          <w:ilvl w:val="0"/>
          <w:numId w:val="49"/>
        </w:numPr>
        <w:ind w:left="567" w:hanging="567"/>
      </w:pPr>
      <w:r w:rsidRPr="008C2EF6">
        <w:t xml:space="preserve">State governments employ about one in 10 Australian workers. Wages and salaries represent the largest component of recurrent State expenditure and account for a significant share of expenses in nearly every expense category. The </w:t>
      </w:r>
      <w:r>
        <w:t>w</w:t>
      </w:r>
      <w:r w:rsidRPr="008C2EF6">
        <w:t xml:space="preserve">age costs assessment addresses a global disability, rather than the expenses associated with an individual category of service delivery (such as schools or health spending). </w:t>
      </w:r>
    </w:p>
    <w:p w14:paraId="0C751B3A" w14:textId="77777777" w:rsidR="00C4779A" w:rsidRPr="000C4987" w:rsidRDefault="00C4779A" w:rsidP="00C4779A">
      <w:pPr>
        <w:pStyle w:val="Heading3"/>
      </w:pPr>
      <w:r w:rsidRPr="000C4987">
        <w:t xml:space="preserve">Assessment </w:t>
      </w:r>
      <w:r>
        <w:t>a</w:t>
      </w:r>
      <w:r w:rsidRPr="000C4987">
        <w:t>pproach</w:t>
      </w:r>
    </w:p>
    <w:p w14:paraId="03A249E1" w14:textId="77777777" w:rsidR="00C4779A" w:rsidRPr="008C2EF6" w:rsidRDefault="00C4779A" w:rsidP="00C4779A">
      <w:pPr>
        <w:pStyle w:val="Heading4"/>
      </w:pPr>
      <w:r w:rsidRPr="008C2EF6">
        <w:t>Wage costs</w:t>
      </w:r>
    </w:p>
    <w:p w14:paraId="03F8ECFF" w14:textId="77777777" w:rsidR="00C4779A" w:rsidRPr="008C2EF6" w:rsidRDefault="00C4779A" w:rsidP="00F47EC7">
      <w:pPr>
        <w:pStyle w:val="CGCParaNumber"/>
      </w:pPr>
      <w:r w:rsidRPr="008C2EF6">
        <w:t>Using data from the Characteristics of Employ</w:t>
      </w:r>
      <w:r>
        <w:t>ment</w:t>
      </w:r>
      <w:r w:rsidRPr="008C2EF6">
        <w:t xml:space="preserve"> survey (CoES), the Commission models the wages of the average private sector worker in each State, controlling for differences in the characteristics of that worker that are known to affect wage levels, such as work experience and qualifications. The model also adjusts for differences in the composition of industry and occupations in each State. </w:t>
      </w:r>
    </w:p>
    <w:p w14:paraId="7FA8A536" w14:textId="77777777" w:rsidR="00C4779A" w:rsidRPr="008C2EF6" w:rsidRDefault="00C4779A" w:rsidP="00F47EC7">
      <w:pPr>
        <w:pStyle w:val="CGCParaNumber"/>
      </w:pPr>
      <w:r w:rsidRPr="008C2EF6">
        <w:t>An additional variable for State of residence allows the Commission to estimate the influence that State of residence has on the wages of comparable individuals. The</w:t>
      </w:r>
      <w:r>
        <w:t xml:space="preserve"> </w:t>
      </w:r>
      <w:r w:rsidRPr="008C2EF6">
        <w:t xml:space="preserve">wages paid to comparable private sector workers are used as a proxy for the pressures on public sector wages in each State. </w:t>
      </w:r>
    </w:p>
    <w:p w14:paraId="03D6F9C3" w14:textId="1284E955" w:rsidR="00C4779A" w:rsidRPr="008C2EF6" w:rsidRDefault="00C4779A" w:rsidP="00F47EC7">
      <w:pPr>
        <w:pStyle w:val="CGCParaNumber"/>
      </w:pPr>
      <w:r>
        <w:fldChar w:fldCharType="begin"/>
      </w:r>
      <w:r>
        <w:instrText xml:space="preserve"> REF _Ref31797959 \h </w:instrText>
      </w:r>
      <w:r>
        <w:fldChar w:fldCharType="separate"/>
      </w:r>
      <w:r w:rsidR="007F721A">
        <w:t>Table 27-</w:t>
      </w:r>
      <w:r w:rsidR="007F721A">
        <w:rPr>
          <w:noProof/>
        </w:rPr>
        <w:t>1</w:t>
      </w:r>
      <w:r>
        <w:fldChar w:fldCharType="end"/>
      </w:r>
      <w:r w:rsidRPr="008C2EF6">
        <w:t xml:space="preserve"> shows the modelled outcomes for 2014-15 to </w:t>
      </w:r>
      <w:r>
        <w:t>2018-19,</w:t>
      </w:r>
      <w:r w:rsidRPr="008C2EF6">
        <w:t xml:space="preserve"> discounted by 12.5%.</w:t>
      </w:r>
      <w:r w:rsidRPr="008C2EF6">
        <w:rPr>
          <w:rStyle w:val="FootnoteReference"/>
        </w:rPr>
        <w:footnoteReference w:id="112"/>
      </w:r>
      <w:r w:rsidRPr="00724B6F">
        <w:t xml:space="preserve"> </w:t>
      </w:r>
      <w:r w:rsidRPr="008C2EF6">
        <w:t>New</w:t>
      </w:r>
      <w:r>
        <w:t> </w:t>
      </w:r>
      <w:r w:rsidRPr="008C2EF6">
        <w:t xml:space="preserve">South Wales, the ACT and the Northern Territory were assessed to have above average wage costs in all years. Victoria and Western Australia had above average and below average </w:t>
      </w:r>
      <w:r w:rsidRPr="008C2EF6">
        <w:lastRenderedPageBreak/>
        <w:t xml:space="preserve">assessed wage </w:t>
      </w:r>
      <w:r w:rsidRPr="004E4D86">
        <w:t>costs over the period. The other States were assessed to have below average wage costs.</w:t>
      </w:r>
    </w:p>
    <w:p w14:paraId="69386C1A" w14:textId="295B9916" w:rsidR="00C4779A" w:rsidRPr="008C2EF6" w:rsidRDefault="00C4779A" w:rsidP="00C4779A">
      <w:pPr>
        <w:pStyle w:val="Caption"/>
      </w:pPr>
      <w:bookmarkStart w:id="490" w:name="_Ref31797959"/>
      <w:r>
        <w:t>Table 27-</w:t>
      </w:r>
      <w:r w:rsidR="00B91EF5">
        <w:fldChar w:fldCharType="begin"/>
      </w:r>
      <w:r w:rsidR="00B91EF5">
        <w:instrText xml:space="preserve"> SEQ Table </w:instrText>
      </w:r>
      <w:r w:rsidR="00863475">
        <w:instrText xml:space="preserve">\r1 </w:instrText>
      </w:r>
      <w:r w:rsidR="00B91EF5">
        <w:instrText xml:space="preserve">\* ARABIC </w:instrText>
      </w:r>
      <w:r w:rsidR="00B91EF5">
        <w:fldChar w:fldCharType="separate"/>
      </w:r>
      <w:r w:rsidR="007F721A">
        <w:rPr>
          <w:noProof/>
        </w:rPr>
        <w:t>1</w:t>
      </w:r>
      <w:r w:rsidR="00B91EF5">
        <w:fldChar w:fldCharType="end"/>
      </w:r>
      <w:bookmarkEnd w:id="490"/>
      <w:r w:rsidRPr="008C2EF6">
        <w:tab/>
        <w:t xml:space="preserve">Relative private sector wages, 2014-15 to </w:t>
      </w:r>
      <w:r>
        <w:t>2018-19</w:t>
      </w:r>
    </w:p>
    <w:tbl>
      <w:tblPr>
        <w:tblW w:w="8942" w:type="dxa"/>
        <w:tblCellMar>
          <w:left w:w="28" w:type="dxa"/>
          <w:right w:w="28" w:type="dxa"/>
        </w:tblCellMar>
        <w:tblLook w:val="04A0" w:firstRow="1" w:lastRow="0" w:firstColumn="1" w:lastColumn="0" w:noHBand="0" w:noVBand="1"/>
      </w:tblPr>
      <w:tblGrid>
        <w:gridCol w:w="1486"/>
        <w:gridCol w:w="932"/>
        <w:gridCol w:w="932"/>
        <w:gridCol w:w="932"/>
        <w:gridCol w:w="932"/>
        <w:gridCol w:w="932"/>
        <w:gridCol w:w="932"/>
        <w:gridCol w:w="932"/>
        <w:gridCol w:w="932"/>
      </w:tblGrid>
      <w:tr w:rsidR="00C4779A" w:rsidRPr="00DF2712" w14:paraId="451D28F2" w14:textId="77777777" w:rsidTr="00AA415A">
        <w:trPr>
          <w:trHeight w:val="375"/>
        </w:trPr>
        <w:tc>
          <w:tcPr>
            <w:tcW w:w="1500" w:type="dxa"/>
            <w:tcBorders>
              <w:top w:val="single" w:sz="4" w:space="0" w:color="ADD6EA"/>
              <w:left w:val="nil"/>
              <w:bottom w:val="single" w:sz="4" w:space="0" w:color="ADD6EA"/>
              <w:right w:val="nil"/>
            </w:tcBorders>
            <w:shd w:val="clear" w:color="000000" w:fill="006991"/>
            <w:vAlign w:val="center"/>
            <w:hideMark/>
          </w:tcPr>
          <w:p w14:paraId="34981F7A" w14:textId="77777777" w:rsidR="00C4779A" w:rsidRPr="00BE3CF7"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E3CF7">
              <w:rPr>
                <w:rFonts w:ascii="Open Sans SemiBold" w:eastAsia="Times New Roman" w:hAnsi="Open Sans SemiBold" w:cs="Open Sans SemiBold"/>
                <w:color w:val="FFFFFF"/>
                <w:sz w:val="16"/>
                <w:szCs w:val="16"/>
                <w:lang w:eastAsia="en-AU"/>
              </w:rPr>
              <w:t> </w:t>
            </w:r>
          </w:p>
        </w:tc>
        <w:tc>
          <w:tcPr>
            <w:tcW w:w="940" w:type="dxa"/>
            <w:tcBorders>
              <w:top w:val="single" w:sz="4" w:space="0" w:color="ADD6EA"/>
              <w:left w:val="nil"/>
              <w:bottom w:val="single" w:sz="4" w:space="0" w:color="ADD6EA"/>
              <w:right w:val="nil"/>
            </w:tcBorders>
            <w:shd w:val="clear" w:color="000000" w:fill="006991"/>
            <w:vAlign w:val="center"/>
            <w:hideMark/>
          </w:tcPr>
          <w:p w14:paraId="4AFC52BA" w14:textId="77777777" w:rsidR="00C4779A" w:rsidRPr="00BE3CF7"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E3CF7">
              <w:rPr>
                <w:rFonts w:ascii="Open Sans SemiBold" w:eastAsia="Times New Roman" w:hAnsi="Open Sans SemiBold" w:cs="Open Sans SemiBold"/>
                <w:color w:val="FFFFFF"/>
                <w:sz w:val="16"/>
                <w:szCs w:val="16"/>
                <w:lang w:eastAsia="en-AU"/>
              </w:rPr>
              <w:t>NSW</w:t>
            </w:r>
          </w:p>
        </w:tc>
        <w:tc>
          <w:tcPr>
            <w:tcW w:w="940" w:type="dxa"/>
            <w:tcBorders>
              <w:top w:val="single" w:sz="4" w:space="0" w:color="ADD6EA"/>
              <w:left w:val="nil"/>
              <w:bottom w:val="single" w:sz="4" w:space="0" w:color="ADD6EA"/>
              <w:right w:val="nil"/>
            </w:tcBorders>
            <w:shd w:val="clear" w:color="000000" w:fill="006991"/>
            <w:vAlign w:val="center"/>
            <w:hideMark/>
          </w:tcPr>
          <w:p w14:paraId="4CFE8761" w14:textId="77777777" w:rsidR="00C4779A" w:rsidRPr="00BE3CF7"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E3CF7">
              <w:rPr>
                <w:rFonts w:ascii="Open Sans SemiBold" w:eastAsia="Times New Roman" w:hAnsi="Open Sans SemiBold" w:cs="Open Sans SemiBold"/>
                <w:color w:val="FFFFFF"/>
                <w:sz w:val="16"/>
                <w:szCs w:val="16"/>
                <w:lang w:eastAsia="en-AU"/>
              </w:rPr>
              <w:t>Vic</w:t>
            </w:r>
          </w:p>
        </w:tc>
        <w:tc>
          <w:tcPr>
            <w:tcW w:w="940" w:type="dxa"/>
            <w:tcBorders>
              <w:top w:val="single" w:sz="4" w:space="0" w:color="ADD6EA"/>
              <w:left w:val="nil"/>
              <w:bottom w:val="single" w:sz="4" w:space="0" w:color="ADD6EA"/>
              <w:right w:val="nil"/>
            </w:tcBorders>
            <w:shd w:val="clear" w:color="000000" w:fill="006991"/>
            <w:vAlign w:val="center"/>
            <w:hideMark/>
          </w:tcPr>
          <w:p w14:paraId="5B9C7DF6" w14:textId="77777777" w:rsidR="00C4779A" w:rsidRPr="00BE3CF7"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E3CF7">
              <w:rPr>
                <w:rFonts w:ascii="Open Sans SemiBold" w:eastAsia="Times New Roman" w:hAnsi="Open Sans SemiBold" w:cs="Open Sans SemiBold"/>
                <w:color w:val="FFFFFF"/>
                <w:sz w:val="16"/>
                <w:szCs w:val="16"/>
                <w:lang w:eastAsia="en-AU"/>
              </w:rPr>
              <w:t>Qld</w:t>
            </w:r>
          </w:p>
        </w:tc>
        <w:tc>
          <w:tcPr>
            <w:tcW w:w="940" w:type="dxa"/>
            <w:tcBorders>
              <w:top w:val="single" w:sz="4" w:space="0" w:color="ADD6EA"/>
              <w:left w:val="nil"/>
              <w:bottom w:val="single" w:sz="4" w:space="0" w:color="ADD6EA"/>
              <w:right w:val="nil"/>
            </w:tcBorders>
            <w:shd w:val="clear" w:color="000000" w:fill="006991"/>
            <w:vAlign w:val="center"/>
            <w:hideMark/>
          </w:tcPr>
          <w:p w14:paraId="1D992B86" w14:textId="77777777" w:rsidR="00C4779A" w:rsidRPr="00BE3CF7"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E3CF7">
              <w:rPr>
                <w:rFonts w:ascii="Open Sans SemiBold" w:eastAsia="Times New Roman" w:hAnsi="Open Sans SemiBold" w:cs="Open Sans SemiBold"/>
                <w:color w:val="FFFFFF"/>
                <w:sz w:val="16"/>
                <w:szCs w:val="16"/>
                <w:lang w:eastAsia="en-AU"/>
              </w:rPr>
              <w:t>WA</w:t>
            </w:r>
          </w:p>
        </w:tc>
        <w:tc>
          <w:tcPr>
            <w:tcW w:w="940" w:type="dxa"/>
            <w:tcBorders>
              <w:top w:val="single" w:sz="4" w:space="0" w:color="ADD6EA"/>
              <w:left w:val="nil"/>
              <w:bottom w:val="single" w:sz="4" w:space="0" w:color="ADD6EA"/>
              <w:right w:val="nil"/>
            </w:tcBorders>
            <w:shd w:val="clear" w:color="000000" w:fill="006991"/>
            <w:vAlign w:val="center"/>
            <w:hideMark/>
          </w:tcPr>
          <w:p w14:paraId="18276F66" w14:textId="77777777" w:rsidR="00C4779A" w:rsidRPr="00BE3CF7"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E3CF7">
              <w:rPr>
                <w:rFonts w:ascii="Open Sans SemiBold" w:eastAsia="Times New Roman" w:hAnsi="Open Sans SemiBold" w:cs="Open Sans SemiBold"/>
                <w:color w:val="FFFFFF"/>
                <w:sz w:val="16"/>
                <w:szCs w:val="16"/>
                <w:lang w:eastAsia="en-AU"/>
              </w:rPr>
              <w:t>SA</w:t>
            </w:r>
          </w:p>
        </w:tc>
        <w:tc>
          <w:tcPr>
            <w:tcW w:w="940" w:type="dxa"/>
            <w:tcBorders>
              <w:top w:val="single" w:sz="4" w:space="0" w:color="ADD6EA"/>
              <w:left w:val="nil"/>
              <w:bottom w:val="single" w:sz="4" w:space="0" w:color="ADD6EA"/>
              <w:right w:val="nil"/>
            </w:tcBorders>
            <w:shd w:val="clear" w:color="000000" w:fill="006991"/>
            <w:vAlign w:val="center"/>
            <w:hideMark/>
          </w:tcPr>
          <w:p w14:paraId="3BE96CFA" w14:textId="77777777" w:rsidR="00C4779A" w:rsidRPr="00BE3CF7"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E3CF7">
              <w:rPr>
                <w:rFonts w:ascii="Open Sans SemiBold" w:eastAsia="Times New Roman" w:hAnsi="Open Sans SemiBold" w:cs="Open Sans SemiBold"/>
                <w:color w:val="FFFFFF"/>
                <w:sz w:val="16"/>
                <w:szCs w:val="16"/>
                <w:lang w:eastAsia="en-AU"/>
              </w:rPr>
              <w:t>Tas</w:t>
            </w:r>
          </w:p>
        </w:tc>
        <w:tc>
          <w:tcPr>
            <w:tcW w:w="940" w:type="dxa"/>
            <w:tcBorders>
              <w:top w:val="single" w:sz="4" w:space="0" w:color="ADD6EA"/>
              <w:left w:val="nil"/>
              <w:bottom w:val="single" w:sz="4" w:space="0" w:color="ADD6EA"/>
              <w:right w:val="nil"/>
            </w:tcBorders>
            <w:shd w:val="clear" w:color="000000" w:fill="006991"/>
            <w:vAlign w:val="center"/>
            <w:hideMark/>
          </w:tcPr>
          <w:p w14:paraId="05069342" w14:textId="77777777" w:rsidR="00C4779A" w:rsidRPr="00BE3CF7"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E3CF7">
              <w:rPr>
                <w:rFonts w:ascii="Open Sans SemiBold" w:eastAsia="Times New Roman" w:hAnsi="Open Sans SemiBold" w:cs="Open Sans SemiBold"/>
                <w:color w:val="FFFFFF"/>
                <w:sz w:val="16"/>
                <w:szCs w:val="16"/>
                <w:lang w:eastAsia="en-AU"/>
              </w:rPr>
              <w:t>ACT</w:t>
            </w:r>
          </w:p>
        </w:tc>
        <w:tc>
          <w:tcPr>
            <w:tcW w:w="940" w:type="dxa"/>
            <w:tcBorders>
              <w:top w:val="single" w:sz="4" w:space="0" w:color="ADD6EA"/>
              <w:left w:val="nil"/>
              <w:bottom w:val="single" w:sz="4" w:space="0" w:color="ADD6EA"/>
              <w:right w:val="nil"/>
            </w:tcBorders>
            <w:shd w:val="clear" w:color="000000" w:fill="006991"/>
            <w:vAlign w:val="center"/>
            <w:hideMark/>
          </w:tcPr>
          <w:p w14:paraId="684BF5AF" w14:textId="77777777" w:rsidR="00C4779A" w:rsidRPr="00BE3CF7"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E3CF7">
              <w:rPr>
                <w:rFonts w:ascii="Open Sans SemiBold" w:eastAsia="Times New Roman" w:hAnsi="Open Sans SemiBold" w:cs="Open Sans SemiBold"/>
                <w:color w:val="FFFFFF"/>
                <w:sz w:val="16"/>
                <w:szCs w:val="16"/>
                <w:lang w:eastAsia="en-AU"/>
              </w:rPr>
              <w:t>NT</w:t>
            </w:r>
          </w:p>
        </w:tc>
      </w:tr>
      <w:tr w:rsidR="00C4779A" w:rsidRPr="00DF2712" w14:paraId="2D22DC46" w14:textId="77777777" w:rsidTr="00AA415A">
        <w:trPr>
          <w:trHeight w:val="315"/>
        </w:trPr>
        <w:tc>
          <w:tcPr>
            <w:tcW w:w="1500" w:type="dxa"/>
            <w:tcBorders>
              <w:top w:val="nil"/>
              <w:left w:val="nil"/>
              <w:bottom w:val="single" w:sz="4" w:space="0" w:color="ADD6EA"/>
              <w:right w:val="nil"/>
            </w:tcBorders>
            <w:shd w:val="clear" w:color="auto" w:fill="auto"/>
            <w:vAlign w:val="bottom"/>
            <w:hideMark/>
          </w:tcPr>
          <w:p w14:paraId="0AB894BF" w14:textId="77777777" w:rsidR="00C4779A" w:rsidRPr="00BE3CF7" w:rsidRDefault="00C4779A" w:rsidP="004D65FE">
            <w:pPr>
              <w:tabs>
                <w:tab w:val="clear" w:pos="567"/>
              </w:tabs>
              <w:spacing w:before="0" w:line="240" w:lineRule="auto"/>
              <w:rPr>
                <w:rFonts w:eastAsia="Times New Roman" w:cs="Open Sans Light"/>
                <w:sz w:val="16"/>
                <w:szCs w:val="16"/>
                <w:lang w:eastAsia="en-AU"/>
              </w:rPr>
            </w:pPr>
            <w:r w:rsidRPr="00BE3CF7">
              <w:rPr>
                <w:rFonts w:eastAsia="Times New Roman" w:cs="Open Sans Light"/>
                <w:sz w:val="16"/>
                <w:szCs w:val="16"/>
                <w:lang w:eastAsia="en-AU"/>
              </w:rPr>
              <w:t>2014-15</w:t>
            </w:r>
          </w:p>
        </w:tc>
        <w:tc>
          <w:tcPr>
            <w:tcW w:w="940" w:type="dxa"/>
            <w:tcBorders>
              <w:top w:val="nil"/>
              <w:left w:val="nil"/>
              <w:bottom w:val="single" w:sz="4" w:space="0" w:color="ADD6EA"/>
              <w:right w:val="nil"/>
            </w:tcBorders>
            <w:shd w:val="clear" w:color="auto" w:fill="auto"/>
            <w:vAlign w:val="bottom"/>
            <w:hideMark/>
          </w:tcPr>
          <w:p w14:paraId="662F2C24"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0.8%</w:t>
            </w:r>
          </w:p>
        </w:tc>
        <w:tc>
          <w:tcPr>
            <w:tcW w:w="940" w:type="dxa"/>
            <w:tcBorders>
              <w:top w:val="nil"/>
              <w:left w:val="nil"/>
              <w:bottom w:val="single" w:sz="4" w:space="0" w:color="ADD6EA"/>
              <w:right w:val="nil"/>
            </w:tcBorders>
            <w:shd w:val="clear" w:color="auto" w:fill="auto"/>
            <w:vAlign w:val="bottom"/>
            <w:hideMark/>
          </w:tcPr>
          <w:p w14:paraId="3ABD493B"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-1.3%</w:t>
            </w:r>
          </w:p>
        </w:tc>
        <w:tc>
          <w:tcPr>
            <w:tcW w:w="940" w:type="dxa"/>
            <w:tcBorders>
              <w:top w:val="nil"/>
              <w:left w:val="nil"/>
              <w:bottom w:val="single" w:sz="4" w:space="0" w:color="ADD6EA"/>
              <w:right w:val="nil"/>
            </w:tcBorders>
            <w:shd w:val="clear" w:color="auto" w:fill="auto"/>
            <w:vAlign w:val="bottom"/>
            <w:hideMark/>
          </w:tcPr>
          <w:p w14:paraId="0AAF2258"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-1.5%</w:t>
            </w:r>
          </w:p>
        </w:tc>
        <w:tc>
          <w:tcPr>
            <w:tcW w:w="940" w:type="dxa"/>
            <w:tcBorders>
              <w:top w:val="nil"/>
              <w:left w:val="nil"/>
              <w:bottom w:val="single" w:sz="4" w:space="0" w:color="ADD6EA"/>
              <w:right w:val="nil"/>
            </w:tcBorders>
            <w:shd w:val="clear" w:color="auto" w:fill="auto"/>
            <w:vAlign w:val="bottom"/>
            <w:hideMark/>
          </w:tcPr>
          <w:p w14:paraId="7BC54F80"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6.8%</w:t>
            </w:r>
          </w:p>
        </w:tc>
        <w:tc>
          <w:tcPr>
            <w:tcW w:w="940" w:type="dxa"/>
            <w:tcBorders>
              <w:top w:val="nil"/>
              <w:left w:val="nil"/>
              <w:bottom w:val="single" w:sz="4" w:space="0" w:color="ADD6EA"/>
              <w:right w:val="nil"/>
            </w:tcBorders>
            <w:shd w:val="clear" w:color="auto" w:fill="auto"/>
            <w:vAlign w:val="bottom"/>
            <w:hideMark/>
          </w:tcPr>
          <w:p w14:paraId="5B87D0EB"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-4.2%</w:t>
            </w:r>
          </w:p>
        </w:tc>
        <w:tc>
          <w:tcPr>
            <w:tcW w:w="940" w:type="dxa"/>
            <w:tcBorders>
              <w:top w:val="nil"/>
              <w:left w:val="nil"/>
              <w:bottom w:val="single" w:sz="4" w:space="0" w:color="ADD6EA"/>
              <w:right w:val="nil"/>
            </w:tcBorders>
            <w:shd w:val="clear" w:color="auto" w:fill="auto"/>
            <w:vAlign w:val="bottom"/>
            <w:hideMark/>
          </w:tcPr>
          <w:p w14:paraId="0466A51C"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-7.8%</w:t>
            </w:r>
          </w:p>
        </w:tc>
        <w:tc>
          <w:tcPr>
            <w:tcW w:w="940" w:type="dxa"/>
            <w:tcBorders>
              <w:top w:val="nil"/>
              <w:left w:val="nil"/>
              <w:bottom w:val="single" w:sz="4" w:space="0" w:color="ADD6EA"/>
              <w:right w:val="nil"/>
            </w:tcBorders>
            <w:shd w:val="clear" w:color="auto" w:fill="auto"/>
            <w:vAlign w:val="bottom"/>
            <w:hideMark/>
          </w:tcPr>
          <w:p w14:paraId="70D8DF90"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2.9%</w:t>
            </w:r>
          </w:p>
        </w:tc>
        <w:tc>
          <w:tcPr>
            <w:tcW w:w="940" w:type="dxa"/>
            <w:tcBorders>
              <w:top w:val="nil"/>
              <w:left w:val="nil"/>
              <w:bottom w:val="single" w:sz="4" w:space="0" w:color="ADD6EA"/>
              <w:right w:val="nil"/>
            </w:tcBorders>
            <w:shd w:val="clear" w:color="auto" w:fill="auto"/>
            <w:vAlign w:val="bottom"/>
            <w:hideMark/>
          </w:tcPr>
          <w:p w14:paraId="4B058096"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8.0%</w:t>
            </w:r>
          </w:p>
        </w:tc>
      </w:tr>
      <w:tr w:rsidR="00C4779A" w:rsidRPr="00DF2712" w14:paraId="0033EB5B" w14:textId="77777777" w:rsidTr="00AA415A">
        <w:trPr>
          <w:trHeight w:val="315"/>
        </w:trPr>
        <w:tc>
          <w:tcPr>
            <w:tcW w:w="1500" w:type="dxa"/>
            <w:tcBorders>
              <w:top w:val="nil"/>
              <w:left w:val="nil"/>
              <w:bottom w:val="single" w:sz="4" w:space="0" w:color="ADD6EA"/>
              <w:right w:val="nil"/>
            </w:tcBorders>
            <w:shd w:val="clear" w:color="auto" w:fill="auto"/>
            <w:vAlign w:val="bottom"/>
            <w:hideMark/>
          </w:tcPr>
          <w:p w14:paraId="2D6944D8" w14:textId="77777777" w:rsidR="00C4779A" w:rsidRPr="00BE3CF7" w:rsidRDefault="00C4779A" w:rsidP="004D65FE">
            <w:pPr>
              <w:tabs>
                <w:tab w:val="clear" w:pos="567"/>
              </w:tabs>
              <w:spacing w:before="0" w:line="240" w:lineRule="auto"/>
              <w:rPr>
                <w:rFonts w:eastAsia="Times New Roman" w:cs="Open Sans Light"/>
                <w:sz w:val="16"/>
                <w:szCs w:val="16"/>
                <w:lang w:eastAsia="en-AU"/>
              </w:rPr>
            </w:pPr>
            <w:r w:rsidRPr="00BE3CF7">
              <w:rPr>
                <w:rFonts w:eastAsia="Times New Roman" w:cs="Open Sans Light"/>
                <w:sz w:val="16"/>
                <w:szCs w:val="16"/>
                <w:lang w:eastAsia="en-AU"/>
              </w:rPr>
              <w:t>2015-16</w:t>
            </w:r>
          </w:p>
        </w:tc>
        <w:tc>
          <w:tcPr>
            <w:tcW w:w="940" w:type="dxa"/>
            <w:tcBorders>
              <w:top w:val="nil"/>
              <w:left w:val="nil"/>
              <w:bottom w:val="single" w:sz="4" w:space="0" w:color="ADD6EA"/>
              <w:right w:val="nil"/>
            </w:tcBorders>
            <w:shd w:val="clear" w:color="auto" w:fill="auto"/>
            <w:vAlign w:val="bottom"/>
            <w:hideMark/>
          </w:tcPr>
          <w:p w14:paraId="3A82DD06"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0.1%</w:t>
            </w:r>
          </w:p>
        </w:tc>
        <w:tc>
          <w:tcPr>
            <w:tcW w:w="940" w:type="dxa"/>
            <w:tcBorders>
              <w:top w:val="nil"/>
              <w:left w:val="nil"/>
              <w:bottom w:val="single" w:sz="4" w:space="0" w:color="ADD6EA"/>
              <w:right w:val="nil"/>
            </w:tcBorders>
            <w:shd w:val="clear" w:color="auto" w:fill="auto"/>
            <w:vAlign w:val="bottom"/>
            <w:hideMark/>
          </w:tcPr>
          <w:p w14:paraId="4965FEC1"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-1.4%</w:t>
            </w:r>
          </w:p>
        </w:tc>
        <w:tc>
          <w:tcPr>
            <w:tcW w:w="940" w:type="dxa"/>
            <w:tcBorders>
              <w:top w:val="nil"/>
              <w:left w:val="nil"/>
              <w:bottom w:val="single" w:sz="4" w:space="0" w:color="ADD6EA"/>
              <w:right w:val="nil"/>
            </w:tcBorders>
            <w:shd w:val="clear" w:color="auto" w:fill="auto"/>
            <w:vAlign w:val="bottom"/>
            <w:hideMark/>
          </w:tcPr>
          <w:p w14:paraId="68EB0834"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-0.2%</w:t>
            </w:r>
          </w:p>
        </w:tc>
        <w:tc>
          <w:tcPr>
            <w:tcW w:w="940" w:type="dxa"/>
            <w:tcBorders>
              <w:top w:val="nil"/>
              <w:left w:val="nil"/>
              <w:bottom w:val="single" w:sz="4" w:space="0" w:color="ADD6EA"/>
              <w:right w:val="nil"/>
            </w:tcBorders>
            <w:shd w:val="clear" w:color="auto" w:fill="auto"/>
            <w:vAlign w:val="bottom"/>
            <w:hideMark/>
          </w:tcPr>
          <w:p w14:paraId="1BA6A7C8"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4.8%</w:t>
            </w:r>
          </w:p>
        </w:tc>
        <w:tc>
          <w:tcPr>
            <w:tcW w:w="940" w:type="dxa"/>
            <w:tcBorders>
              <w:top w:val="nil"/>
              <w:left w:val="nil"/>
              <w:bottom w:val="single" w:sz="4" w:space="0" w:color="ADD6EA"/>
              <w:right w:val="nil"/>
            </w:tcBorders>
            <w:shd w:val="clear" w:color="auto" w:fill="auto"/>
            <w:vAlign w:val="bottom"/>
            <w:hideMark/>
          </w:tcPr>
          <w:p w14:paraId="637F64EB"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-2.2%</w:t>
            </w:r>
          </w:p>
        </w:tc>
        <w:tc>
          <w:tcPr>
            <w:tcW w:w="940" w:type="dxa"/>
            <w:tcBorders>
              <w:top w:val="nil"/>
              <w:left w:val="nil"/>
              <w:bottom w:val="single" w:sz="4" w:space="0" w:color="ADD6EA"/>
              <w:right w:val="nil"/>
            </w:tcBorders>
            <w:shd w:val="clear" w:color="auto" w:fill="auto"/>
            <w:vAlign w:val="bottom"/>
            <w:hideMark/>
          </w:tcPr>
          <w:p w14:paraId="294F6D3B"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-6.1%</w:t>
            </w:r>
          </w:p>
        </w:tc>
        <w:tc>
          <w:tcPr>
            <w:tcW w:w="940" w:type="dxa"/>
            <w:tcBorders>
              <w:top w:val="nil"/>
              <w:left w:val="nil"/>
              <w:bottom w:val="single" w:sz="4" w:space="0" w:color="ADD6EA"/>
              <w:right w:val="nil"/>
            </w:tcBorders>
            <w:shd w:val="clear" w:color="auto" w:fill="auto"/>
            <w:vAlign w:val="bottom"/>
            <w:hideMark/>
          </w:tcPr>
          <w:p w14:paraId="671E2C73"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4.9%</w:t>
            </w:r>
          </w:p>
        </w:tc>
        <w:tc>
          <w:tcPr>
            <w:tcW w:w="940" w:type="dxa"/>
            <w:tcBorders>
              <w:top w:val="nil"/>
              <w:left w:val="nil"/>
              <w:bottom w:val="single" w:sz="4" w:space="0" w:color="ADD6EA"/>
              <w:right w:val="nil"/>
            </w:tcBorders>
            <w:shd w:val="clear" w:color="auto" w:fill="auto"/>
            <w:vAlign w:val="bottom"/>
            <w:hideMark/>
          </w:tcPr>
          <w:p w14:paraId="0B9C2494"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5.2%</w:t>
            </w:r>
          </w:p>
        </w:tc>
      </w:tr>
      <w:tr w:rsidR="00C4779A" w:rsidRPr="00DF2712" w14:paraId="47D487B1" w14:textId="77777777" w:rsidTr="00AA415A">
        <w:trPr>
          <w:trHeight w:val="315"/>
        </w:trPr>
        <w:tc>
          <w:tcPr>
            <w:tcW w:w="1500" w:type="dxa"/>
            <w:tcBorders>
              <w:top w:val="nil"/>
              <w:left w:val="nil"/>
              <w:bottom w:val="single" w:sz="4" w:space="0" w:color="ADD6EA"/>
              <w:right w:val="nil"/>
            </w:tcBorders>
            <w:shd w:val="clear" w:color="auto" w:fill="auto"/>
            <w:vAlign w:val="bottom"/>
            <w:hideMark/>
          </w:tcPr>
          <w:p w14:paraId="62D8AE44" w14:textId="77777777" w:rsidR="00C4779A" w:rsidRPr="00BE3CF7" w:rsidRDefault="00C4779A" w:rsidP="004D65FE">
            <w:pPr>
              <w:tabs>
                <w:tab w:val="clear" w:pos="567"/>
              </w:tabs>
              <w:spacing w:before="0" w:line="240" w:lineRule="auto"/>
              <w:rPr>
                <w:rFonts w:eastAsia="Times New Roman" w:cs="Open Sans Light"/>
                <w:sz w:val="16"/>
                <w:szCs w:val="16"/>
                <w:lang w:eastAsia="en-AU"/>
              </w:rPr>
            </w:pPr>
            <w:r w:rsidRPr="00BE3CF7">
              <w:rPr>
                <w:rFonts w:eastAsia="Times New Roman" w:cs="Open Sans Light"/>
                <w:sz w:val="16"/>
                <w:szCs w:val="16"/>
                <w:lang w:eastAsia="en-AU"/>
              </w:rPr>
              <w:t>2016-17</w:t>
            </w:r>
          </w:p>
        </w:tc>
        <w:tc>
          <w:tcPr>
            <w:tcW w:w="940" w:type="dxa"/>
            <w:tcBorders>
              <w:top w:val="nil"/>
              <w:left w:val="nil"/>
              <w:bottom w:val="single" w:sz="4" w:space="0" w:color="ADD6EA"/>
              <w:right w:val="nil"/>
            </w:tcBorders>
            <w:shd w:val="clear" w:color="auto" w:fill="auto"/>
            <w:vAlign w:val="bottom"/>
            <w:hideMark/>
          </w:tcPr>
          <w:p w14:paraId="2DA246FD"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0.2%</w:t>
            </w:r>
          </w:p>
        </w:tc>
        <w:tc>
          <w:tcPr>
            <w:tcW w:w="940" w:type="dxa"/>
            <w:tcBorders>
              <w:top w:val="nil"/>
              <w:left w:val="nil"/>
              <w:bottom w:val="single" w:sz="4" w:space="0" w:color="ADD6EA"/>
              <w:right w:val="nil"/>
            </w:tcBorders>
            <w:shd w:val="clear" w:color="auto" w:fill="auto"/>
            <w:vAlign w:val="bottom"/>
            <w:hideMark/>
          </w:tcPr>
          <w:p w14:paraId="458A296F"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-0.9%</w:t>
            </w:r>
          </w:p>
        </w:tc>
        <w:tc>
          <w:tcPr>
            <w:tcW w:w="940" w:type="dxa"/>
            <w:tcBorders>
              <w:top w:val="nil"/>
              <w:left w:val="nil"/>
              <w:bottom w:val="single" w:sz="4" w:space="0" w:color="ADD6EA"/>
              <w:right w:val="nil"/>
            </w:tcBorders>
            <w:shd w:val="clear" w:color="auto" w:fill="auto"/>
            <w:vAlign w:val="bottom"/>
            <w:hideMark/>
          </w:tcPr>
          <w:p w14:paraId="606452C6"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-1.0%</w:t>
            </w:r>
          </w:p>
        </w:tc>
        <w:tc>
          <w:tcPr>
            <w:tcW w:w="940" w:type="dxa"/>
            <w:tcBorders>
              <w:top w:val="nil"/>
              <w:left w:val="nil"/>
              <w:bottom w:val="single" w:sz="4" w:space="0" w:color="ADD6EA"/>
              <w:right w:val="nil"/>
            </w:tcBorders>
            <w:shd w:val="clear" w:color="auto" w:fill="auto"/>
            <w:vAlign w:val="bottom"/>
            <w:hideMark/>
          </w:tcPr>
          <w:p w14:paraId="03C872C4"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4.5%</w:t>
            </w:r>
          </w:p>
        </w:tc>
        <w:tc>
          <w:tcPr>
            <w:tcW w:w="940" w:type="dxa"/>
            <w:tcBorders>
              <w:top w:val="nil"/>
              <w:left w:val="nil"/>
              <w:bottom w:val="single" w:sz="4" w:space="0" w:color="ADD6EA"/>
              <w:right w:val="nil"/>
            </w:tcBorders>
            <w:shd w:val="clear" w:color="auto" w:fill="auto"/>
            <w:vAlign w:val="bottom"/>
            <w:hideMark/>
          </w:tcPr>
          <w:p w14:paraId="3BE76DD8"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-1.9%</w:t>
            </w:r>
          </w:p>
        </w:tc>
        <w:tc>
          <w:tcPr>
            <w:tcW w:w="940" w:type="dxa"/>
            <w:tcBorders>
              <w:top w:val="nil"/>
              <w:left w:val="nil"/>
              <w:bottom w:val="single" w:sz="4" w:space="0" w:color="ADD6EA"/>
              <w:right w:val="nil"/>
            </w:tcBorders>
            <w:shd w:val="clear" w:color="auto" w:fill="auto"/>
            <w:vAlign w:val="bottom"/>
            <w:hideMark/>
          </w:tcPr>
          <w:p w14:paraId="386DCA7D"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-7.3%</w:t>
            </w:r>
          </w:p>
        </w:tc>
        <w:tc>
          <w:tcPr>
            <w:tcW w:w="940" w:type="dxa"/>
            <w:tcBorders>
              <w:top w:val="nil"/>
              <w:left w:val="nil"/>
              <w:bottom w:val="single" w:sz="4" w:space="0" w:color="ADD6EA"/>
              <w:right w:val="nil"/>
            </w:tcBorders>
            <w:shd w:val="clear" w:color="auto" w:fill="auto"/>
            <w:vAlign w:val="bottom"/>
            <w:hideMark/>
          </w:tcPr>
          <w:p w14:paraId="66FE0123"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6.3%</w:t>
            </w:r>
          </w:p>
        </w:tc>
        <w:tc>
          <w:tcPr>
            <w:tcW w:w="940" w:type="dxa"/>
            <w:tcBorders>
              <w:top w:val="nil"/>
              <w:left w:val="nil"/>
              <w:bottom w:val="single" w:sz="4" w:space="0" w:color="ADD6EA"/>
              <w:right w:val="nil"/>
            </w:tcBorders>
            <w:shd w:val="clear" w:color="auto" w:fill="auto"/>
            <w:vAlign w:val="bottom"/>
            <w:hideMark/>
          </w:tcPr>
          <w:p w14:paraId="397E92DA"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5.7%</w:t>
            </w:r>
          </w:p>
        </w:tc>
      </w:tr>
      <w:tr w:rsidR="00C4779A" w:rsidRPr="00DF2712" w14:paraId="71476DEC" w14:textId="77777777" w:rsidTr="00AA415A">
        <w:trPr>
          <w:trHeight w:val="315"/>
        </w:trPr>
        <w:tc>
          <w:tcPr>
            <w:tcW w:w="1500" w:type="dxa"/>
            <w:tcBorders>
              <w:top w:val="nil"/>
              <w:left w:val="nil"/>
              <w:bottom w:val="single" w:sz="4" w:space="0" w:color="ADD6EA"/>
              <w:right w:val="nil"/>
            </w:tcBorders>
            <w:shd w:val="clear" w:color="auto" w:fill="auto"/>
            <w:vAlign w:val="bottom"/>
            <w:hideMark/>
          </w:tcPr>
          <w:p w14:paraId="3F666A9E" w14:textId="77777777" w:rsidR="00C4779A" w:rsidRPr="00BE3CF7" w:rsidRDefault="00C4779A" w:rsidP="004D65FE">
            <w:pPr>
              <w:tabs>
                <w:tab w:val="clear" w:pos="567"/>
              </w:tabs>
              <w:spacing w:before="0" w:line="240" w:lineRule="auto"/>
              <w:rPr>
                <w:rFonts w:eastAsia="Times New Roman" w:cs="Open Sans Light"/>
                <w:sz w:val="16"/>
                <w:szCs w:val="16"/>
                <w:lang w:eastAsia="en-AU"/>
              </w:rPr>
            </w:pPr>
            <w:r w:rsidRPr="00BE3CF7">
              <w:rPr>
                <w:rFonts w:eastAsia="Times New Roman" w:cs="Open Sans Light"/>
                <w:sz w:val="16"/>
                <w:szCs w:val="16"/>
                <w:lang w:eastAsia="en-AU"/>
              </w:rPr>
              <w:t>2017-18</w:t>
            </w:r>
          </w:p>
        </w:tc>
        <w:tc>
          <w:tcPr>
            <w:tcW w:w="940" w:type="dxa"/>
            <w:tcBorders>
              <w:top w:val="nil"/>
              <w:left w:val="nil"/>
              <w:bottom w:val="single" w:sz="4" w:space="0" w:color="ADD6EA"/>
              <w:right w:val="nil"/>
            </w:tcBorders>
            <w:shd w:val="clear" w:color="auto" w:fill="auto"/>
            <w:vAlign w:val="bottom"/>
            <w:hideMark/>
          </w:tcPr>
          <w:p w14:paraId="5714F6A7"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0.9%</w:t>
            </w:r>
          </w:p>
        </w:tc>
        <w:tc>
          <w:tcPr>
            <w:tcW w:w="940" w:type="dxa"/>
            <w:tcBorders>
              <w:top w:val="nil"/>
              <w:left w:val="nil"/>
              <w:bottom w:val="single" w:sz="4" w:space="0" w:color="ADD6EA"/>
              <w:right w:val="nil"/>
            </w:tcBorders>
            <w:shd w:val="clear" w:color="auto" w:fill="auto"/>
            <w:vAlign w:val="bottom"/>
            <w:hideMark/>
          </w:tcPr>
          <w:p w14:paraId="5A475AE7"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0.6%</w:t>
            </w:r>
          </w:p>
        </w:tc>
        <w:tc>
          <w:tcPr>
            <w:tcW w:w="940" w:type="dxa"/>
            <w:tcBorders>
              <w:top w:val="nil"/>
              <w:left w:val="nil"/>
              <w:bottom w:val="single" w:sz="4" w:space="0" w:color="ADD6EA"/>
              <w:right w:val="nil"/>
            </w:tcBorders>
            <w:shd w:val="clear" w:color="auto" w:fill="auto"/>
            <w:vAlign w:val="bottom"/>
            <w:hideMark/>
          </w:tcPr>
          <w:p w14:paraId="7E7741E1"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-0.6%</w:t>
            </w:r>
          </w:p>
        </w:tc>
        <w:tc>
          <w:tcPr>
            <w:tcW w:w="940" w:type="dxa"/>
            <w:tcBorders>
              <w:top w:val="nil"/>
              <w:left w:val="nil"/>
              <w:bottom w:val="single" w:sz="4" w:space="0" w:color="ADD6EA"/>
              <w:right w:val="nil"/>
            </w:tcBorders>
            <w:shd w:val="clear" w:color="auto" w:fill="auto"/>
            <w:vAlign w:val="bottom"/>
            <w:hideMark/>
          </w:tcPr>
          <w:p w14:paraId="40275F81"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-1.1%</w:t>
            </w:r>
          </w:p>
        </w:tc>
        <w:tc>
          <w:tcPr>
            <w:tcW w:w="940" w:type="dxa"/>
            <w:tcBorders>
              <w:top w:val="nil"/>
              <w:left w:val="nil"/>
              <w:bottom w:val="single" w:sz="4" w:space="0" w:color="ADD6EA"/>
              <w:right w:val="nil"/>
            </w:tcBorders>
            <w:shd w:val="clear" w:color="auto" w:fill="auto"/>
            <w:vAlign w:val="bottom"/>
            <w:hideMark/>
          </w:tcPr>
          <w:p w14:paraId="4187C0FD"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-4.0%</w:t>
            </w:r>
          </w:p>
        </w:tc>
        <w:tc>
          <w:tcPr>
            <w:tcW w:w="940" w:type="dxa"/>
            <w:tcBorders>
              <w:top w:val="nil"/>
              <w:left w:val="nil"/>
              <w:bottom w:val="single" w:sz="4" w:space="0" w:color="ADD6EA"/>
              <w:right w:val="nil"/>
            </w:tcBorders>
            <w:shd w:val="clear" w:color="auto" w:fill="auto"/>
            <w:vAlign w:val="bottom"/>
            <w:hideMark/>
          </w:tcPr>
          <w:p w14:paraId="10037DAF"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-4.6%</w:t>
            </w:r>
          </w:p>
        </w:tc>
        <w:tc>
          <w:tcPr>
            <w:tcW w:w="940" w:type="dxa"/>
            <w:tcBorders>
              <w:top w:val="nil"/>
              <w:left w:val="nil"/>
              <w:bottom w:val="single" w:sz="4" w:space="0" w:color="ADD6EA"/>
              <w:right w:val="nil"/>
            </w:tcBorders>
            <w:shd w:val="clear" w:color="auto" w:fill="auto"/>
            <w:vAlign w:val="bottom"/>
            <w:hideMark/>
          </w:tcPr>
          <w:p w14:paraId="70F958E5"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7.6%</w:t>
            </w:r>
          </w:p>
        </w:tc>
        <w:tc>
          <w:tcPr>
            <w:tcW w:w="940" w:type="dxa"/>
            <w:tcBorders>
              <w:top w:val="nil"/>
              <w:left w:val="nil"/>
              <w:bottom w:val="single" w:sz="4" w:space="0" w:color="ADD6EA"/>
              <w:right w:val="nil"/>
            </w:tcBorders>
            <w:shd w:val="clear" w:color="auto" w:fill="auto"/>
            <w:vAlign w:val="bottom"/>
            <w:hideMark/>
          </w:tcPr>
          <w:p w14:paraId="28D43D7B"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4.7%</w:t>
            </w:r>
          </w:p>
        </w:tc>
      </w:tr>
      <w:tr w:rsidR="00C4779A" w:rsidRPr="00DF2712" w14:paraId="2C5C281A" w14:textId="77777777" w:rsidTr="00AA415A">
        <w:trPr>
          <w:trHeight w:val="315"/>
        </w:trPr>
        <w:tc>
          <w:tcPr>
            <w:tcW w:w="1500" w:type="dxa"/>
            <w:tcBorders>
              <w:top w:val="nil"/>
              <w:left w:val="nil"/>
              <w:bottom w:val="single" w:sz="4" w:space="0" w:color="ADD6EA"/>
              <w:right w:val="nil"/>
            </w:tcBorders>
            <w:shd w:val="clear" w:color="auto" w:fill="auto"/>
            <w:vAlign w:val="bottom"/>
            <w:hideMark/>
          </w:tcPr>
          <w:p w14:paraId="5C50F98F" w14:textId="77777777" w:rsidR="00C4779A" w:rsidRPr="00BE3CF7" w:rsidRDefault="00C4779A" w:rsidP="004D65FE">
            <w:pPr>
              <w:tabs>
                <w:tab w:val="clear" w:pos="567"/>
              </w:tabs>
              <w:spacing w:before="0" w:line="240" w:lineRule="auto"/>
              <w:rPr>
                <w:rFonts w:eastAsia="Times New Roman" w:cs="Open Sans Light"/>
                <w:sz w:val="16"/>
                <w:szCs w:val="16"/>
                <w:lang w:eastAsia="en-AU"/>
              </w:rPr>
            </w:pPr>
            <w:r w:rsidRPr="00BE3CF7">
              <w:rPr>
                <w:rFonts w:eastAsia="Times New Roman" w:cs="Open Sans Light"/>
                <w:sz w:val="16"/>
                <w:szCs w:val="16"/>
                <w:lang w:eastAsia="en-AU"/>
              </w:rPr>
              <w:t>2018-19</w:t>
            </w:r>
          </w:p>
        </w:tc>
        <w:tc>
          <w:tcPr>
            <w:tcW w:w="940" w:type="dxa"/>
            <w:tcBorders>
              <w:top w:val="nil"/>
              <w:left w:val="nil"/>
              <w:bottom w:val="single" w:sz="4" w:space="0" w:color="ADD6EA"/>
              <w:right w:val="nil"/>
            </w:tcBorders>
            <w:shd w:val="clear" w:color="auto" w:fill="auto"/>
            <w:vAlign w:val="bottom"/>
            <w:hideMark/>
          </w:tcPr>
          <w:p w14:paraId="2982C27C"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1.0%</w:t>
            </w:r>
          </w:p>
        </w:tc>
        <w:tc>
          <w:tcPr>
            <w:tcW w:w="940" w:type="dxa"/>
            <w:tcBorders>
              <w:top w:val="nil"/>
              <w:left w:val="nil"/>
              <w:bottom w:val="single" w:sz="4" w:space="0" w:color="ADD6EA"/>
              <w:right w:val="nil"/>
            </w:tcBorders>
            <w:shd w:val="clear" w:color="auto" w:fill="auto"/>
            <w:vAlign w:val="bottom"/>
            <w:hideMark/>
          </w:tcPr>
          <w:p w14:paraId="186BD93B"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-0.9%</w:t>
            </w:r>
          </w:p>
        </w:tc>
        <w:tc>
          <w:tcPr>
            <w:tcW w:w="940" w:type="dxa"/>
            <w:tcBorders>
              <w:top w:val="nil"/>
              <w:left w:val="nil"/>
              <w:bottom w:val="single" w:sz="4" w:space="0" w:color="ADD6EA"/>
              <w:right w:val="nil"/>
            </w:tcBorders>
            <w:shd w:val="clear" w:color="auto" w:fill="auto"/>
            <w:vAlign w:val="bottom"/>
            <w:hideMark/>
          </w:tcPr>
          <w:p w14:paraId="7C79592A"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-0.7%</w:t>
            </w:r>
          </w:p>
        </w:tc>
        <w:tc>
          <w:tcPr>
            <w:tcW w:w="940" w:type="dxa"/>
            <w:tcBorders>
              <w:top w:val="nil"/>
              <w:left w:val="nil"/>
              <w:bottom w:val="single" w:sz="4" w:space="0" w:color="ADD6EA"/>
              <w:right w:val="nil"/>
            </w:tcBorders>
            <w:shd w:val="clear" w:color="auto" w:fill="auto"/>
            <w:vAlign w:val="bottom"/>
            <w:hideMark/>
          </w:tcPr>
          <w:p w14:paraId="565E8AF4"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2.8%</w:t>
            </w:r>
          </w:p>
        </w:tc>
        <w:tc>
          <w:tcPr>
            <w:tcW w:w="940" w:type="dxa"/>
            <w:tcBorders>
              <w:top w:val="nil"/>
              <w:left w:val="nil"/>
              <w:bottom w:val="single" w:sz="4" w:space="0" w:color="ADD6EA"/>
              <w:right w:val="nil"/>
            </w:tcBorders>
            <w:shd w:val="clear" w:color="auto" w:fill="auto"/>
            <w:vAlign w:val="bottom"/>
            <w:hideMark/>
          </w:tcPr>
          <w:p w14:paraId="0405A5A9"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-3.4%</w:t>
            </w:r>
          </w:p>
        </w:tc>
        <w:tc>
          <w:tcPr>
            <w:tcW w:w="940" w:type="dxa"/>
            <w:tcBorders>
              <w:top w:val="nil"/>
              <w:left w:val="nil"/>
              <w:bottom w:val="single" w:sz="4" w:space="0" w:color="ADD6EA"/>
              <w:right w:val="nil"/>
            </w:tcBorders>
            <w:shd w:val="clear" w:color="auto" w:fill="auto"/>
            <w:vAlign w:val="bottom"/>
            <w:hideMark/>
          </w:tcPr>
          <w:p w14:paraId="67B0F0E6"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-4.4%</w:t>
            </w:r>
          </w:p>
        </w:tc>
        <w:tc>
          <w:tcPr>
            <w:tcW w:w="940" w:type="dxa"/>
            <w:tcBorders>
              <w:top w:val="nil"/>
              <w:left w:val="nil"/>
              <w:bottom w:val="single" w:sz="4" w:space="0" w:color="ADD6EA"/>
              <w:right w:val="nil"/>
            </w:tcBorders>
            <w:shd w:val="clear" w:color="auto" w:fill="auto"/>
            <w:vAlign w:val="bottom"/>
            <w:hideMark/>
          </w:tcPr>
          <w:p w14:paraId="0A16A3B7"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3.0%</w:t>
            </w:r>
          </w:p>
        </w:tc>
        <w:tc>
          <w:tcPr>
            <w:tcW w:w="940" w:type="dxa"/>
            <w:tcBorders>
              <w:top w:val="nil"/>
              <w:left w:val="nil"/>
              <w:bottom w:val="single" w:sz="4" w:space="0" w:color="ADD6EA"/>
              <w:right w:val="nil"/>
            </w:tcBorders>
            <w:shd w:val="clear" w:color="auto" w:fill="auto"/>
            <w:vAlign w:val="bottom"/>
            <w:hideMark/>
          </w:tcPr>
          <w:p w14:paraId="21935622" w14:textId="77777777" w:rsidR="00C4779A" w:rsidRPr="00BE3CF7" w:rsidRDefault="00C4779A" w:rsidP="004D65FE">
            <w:pPr>
              <w:tabs>
                <w:tab w:val="clear" w:pos="567"/>
              </w:tabs>
              <w:spacing w:before="0" w:line="240" w:lineRule="auto"/>
              <w:jc w:val="right"/>
              <w:rPr>
                <w:rFonts w:eastAsia="Times New Roman" w:cs="Open Sans Light"/>
                <w:sz w:val="16"/>
                <w:szCs w:val="16"/>
                <w:lang w:eastAsia="en-AU"/>
              </w:rPr>
            </w:pPr>
            <w:r w:rsidRPr="00BE3CF7">
              <w:rPr>
                <w:rFonts w:eastAsia="Times New Roman" w:cs="Open Sans Light"/>
                <w:sz w:val="16"/>
                <w:szCs w:val="16"/>
                <w:lang w:eastAsia="en-AU"/>
              </w:rPr>
              <w:t>4.6%</w:t>
            </w:r>
          </w:p>
        </w:tc>
      </w:tr>
    </w:tbl>
    <w:p w14:paraId="667B2770" w14:textId="77777777" w:rsidR="00C4779A" w:rsidRDefault="00C4779A" w:rsidP="00C4779A">
      <w:pPr>
        <w:pStyle w:val="CGCTablenote"/>
      </w:pPr>
      <w:r w:rsidRPr="008C2EF6">
        <w:t>Note:</w:t>
      </w:r>
      <w:r w:rsidRPr="008C2EF6">
        <w:tab/>
        <w:t>The modelled outcomes are expressed relative to the national average wage level.</w:t>
      </w:r>
    </w:p>
    <w:p w14:paraId="1DA4E428" w14:textId="77777777" w:rsidR="00C4779A" w:rsidRPr="008C2EF6" w:rsidRDefault="00C4779A" w:rsidP="00C4779A">
      <w:pPr>
        <w:pStyle w:val="CGCTablenote"/>
      </w:pPr>
      <w:r>
        <w:tab/>
      </w:r>
      <w:r w:rsidRPr="008C2EF6">
        <w:t>A 12.5% discount has been applied.</w:t>
      </w:r>
    </w:p>
    <w:p w14:paraId="59D19EA8" w14:textId="77777777" w:rsidR="00C4779A" w:rsidRPr="008C2EF6" w:rsidRDefault="00C4779A" w:rsidP="00C4779A">
      <w:pPr>
        <w:pStyle w:val="CGCTablenote"/>
      </w:pPr>
      <w:r w:rsidRPr="008C2EF6">
        <w:t>Source:</w:t>
      </w:r>
      <w:r w:rsidRPr="008C2EF6">
        <w:tab/>
        <w:t>Commission modelling based on CoES.</w:t>
      </w:r>
    </w:p>
    <w:p w14:paraId="59C081D9" w14:textId="219D6DF5" w:rsidR="00C4779A" w:rsidRPr="004E4D86" w:rsidRDefault="00C4779A" w:rsidP="00F47EC7">
      <w:pPr>
        <w:pStyle w:val="CGCParaNumber"/>
      </w:pPr>
      <w:r w:rsidRPr="008C2EF6">
        <w:fldChar w:fldCharType="begin"/>
      </w:r>
      <w:r w:rsidRPr="008C2EF6">
        <w:instrText xml:space="preserve"> REF _Ref468443887 \h </w:instrText>
      </w:r>
      <w:r>
        <w:instrText xml:space="preserve"> \* MERGEFORMAT </w:instrText>
      </w:r>
      <w:r w:rsidRPr="008C2EF6">
        <w:fldChar w:fldCharType="separate"/>
      </w:r>
      <w:r w:rsidR="007F721A" w:rsidRPr="004E4D86">
        <w:t xml:space="preserve">Figure </w:t>
      </w:r>
      <w:r w:rsidR="007F721A">
        <w:rPr>
          <w:noProof/>
        </w:rPr>
        <w:t>27-1</w:t>
      </w:r>
      <w:r w:rsidRPr="008C2EF6">
        <w:fldChar w:fldCharType="end"/>
      </w:r>
      <w:r w:rsidRPr="008C2EF6">
        <w:t xml:space="preserve"> </w:t>
      </w:r>
      <w:r>
        <w:t xml:space="preserve">shows </w:t>
      </w:r>
      <w:r w:rsidRPr="008C2EF6">
        <w:t xml:space="preserve">the modelled outcomes </w:t>
      </w:r>
      <w:r>
        <w:t xml:space="preserve">from </w:t>
      </w:r>
      <w:r>
        <w:fldChar w:fldCharType="begin"/>
      </w:r>
      <w:r>
        <w:instrText xml:space="preserve"> REF _Ref31797959 \h  \* MERGEFORMAT </w:instrText>
      </w:r>
      <w:r>
        <w:fldChar w:fldCharType="separate"/>
      </w:r>
      <w:r w:rsidR="007F721A">
        <w:t>Table 27-1</w:t>
      </w:r>
      <w:r>
        <w:fldChar w:fldCharType="end"/>
      </w:r>
      <w:r w:rsidRPr="008C2EF6">
        <w:t xml:space="preserve">. </w:t>
      </w:r>
    </w:p>
    <w:p w14:paraId="49425479" w14:textId="76117136" w:rsidR="00C4779A" w:rsidRPr="004E4D86" w:rsidRDefault="00C4779A" w:rsidP="00C4779A">
      <w:pPr>
        <w:pStyle w:val="Caption"/>
      </w:pPr>
      <w:bookmarkStart w:id="491" w:name="_Ref468443887"/>
      <w:r w:rsidRPr="004E4D86">
        <w:t xml:space="preserve">Figure </w:t>
      </w:r>
      <w:r>
        <w:t>27-</w:t>
      </w:r>
      <w:r w:rsidRPr="004E4D86">
        <w:rPr>
          <w:noProof/>
        </w:rPr>
        <w:fldChar w:fldCharType="begin"/>
      </w:r>
      <w:r w:rsidRPr="004E4D86">
        <w:rPr>
          <w:noProof/>
        </w:rPr>
        <w:instrText xml:space="preserve"> SEQ Figure \r 1\* ARABIC </w:instrText>
      </w:r>
      <w:r w:rsidRPr="004E4D86">
        <w:rPr>
          <w:noProof/>
        </w:rPr>
        <w:fldChar w:fldCharType="separate"/>
      </w:r>
      <w:r w:rsidR="007F721A">
        <w:rPr>
          <w:noProof/>
        </w:rPr>
        <w:t>1</w:t>
      </w:r>
      <w:r w:rsidRPr="004E4D86">
        <w:rPr>
          <w:noProof/>
        </w:rPr>
        <w:fldChar w:fldCharType="end"/>
      </w:r>
      <w:bookmarkEnd w:id="491"/>
      <w:r w:rsidRPr="004E4D86">
        <w:tab/>
        <w:t>Discounted modelled outcomes, 201</w:t>
      </w:r>
      <w:r>
        <w:t>5</w:t>
      </w:r>
      <w:r w:rsidRPr="004E4D86">
        <w:noBreakHyphen/>
        <w:t>1</w:t>
      </w:r>
      <w:r>
        <w:t>6</w:t>
      </w:r>
      <w:r w:rsidRPr="004E4D86">
        <w:t xml:space="preserve"> to 201</w:t>
      </w:r>
      <w:r>
        <w:t>8</w:t>
      </w:r>
      <w:r w:rsidRPr="004E4D86">
        <w:noBreakHyphen/>
        <w:t>1</w:t>
      </w:r>
      <w:r>
        <w:t>9</w:t>
      </w:r>
    </w:p>
    <w:p w14:paraId="10AF7C5A" w14:textId="77777777" w:rsidR="00C4779A" w:rsidRPr="004E4D86" w:rsidRDefault="00C4779A" w:rsidP="00C4779A">
      <w:pPr>
        <w:rPr>
          <w:noProof/>
          <w:lang w:eastAsia="en-AU"/>
        </w:rPr>
      </w:pPr>
      <w:r>
        <w:rPr>
          <w:noProof/>
          <w:lang w:eastAsia="en-AU"/>
        </w:rPr>
        <w:drawing>
          <wp:inline distT="0" distB="0" distL="0" distR="0" wp14:anchorId="64D26F1E" wp14:editId="77FDCB34">
            <wp:extent cx="5663565" cy="3194685"/>
            <wp:effectExtent l="0" t="0" r="0" b="5715"/>
            <wp:docPr id="49" name="Picture 49" descr="A bar graph of wage model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3565" cy="3194685"/>
                    </a:xfrm>
                    <a:prstGeom prst="rect">
                      <a:avLst/>
                    </a:prstGeom>
                    <a:noFill/>
                  </pic:spPr>
                </pic:pic>
              </a:graphicData>
            </a:graphic>
          </wp:inline>
        </w:drawing>
      </w:r>
    </w:p>
    <w:p w14:paraId="37424CBB" w14:textId="77777777" w:rsidR="00C4779A" w:rsidRPr="004E4D86" w:rsidRDefault="00C4779A" w:rsidP="00C4779A">
      <w:pPr>
        <w:pStyle w:val="CGCTablenote"/>
      </w:pPr>
      <w:r w:rsidRPr="004E4D86">
        <w:t>Note:</w:t>
      </w:r>
      <w:r>
        <w:tab/>
      </w:r>
      <w:r w:rsidRPr="004E4D86">
        <w:t>A 12.5% discount has been applied.</w:t>
      </w:r>
    </w:p>
    <w:p w14:paraId="05867914" w14:textId="77777777" w:rsidR="00C4779A" w:rsidRPr="004E4D86" w:rsidRDefault="00C4779A" w:rsidP="00C4779A">
      <w:pPr>
        <w:pStyle w:val="CGCTablenote"/>
      </w:pPr>
      <w:r w:rsidRPr="004E4D86">
        <w:t>Source:</w:t>
      </w:r>
      <w:r w:rsidRPr="004E4D86">
        <w:tab/>
        <w:t>Commission modelling based on CoES.</w:t>
      </w:r>
    </w:p>
    <w:p w14:paraId="12DFB143" w14:textId="06CC0EF6" w:rsidR="00C4779A" w:rsidRPr="005A63A8" w:rsidRDefault="00C4779A" w:rsidP="00F47EC7">
      <w:pPr>
        <w:pStyle w:val="CGCParaNumber"/>
      </w:pPr>
      <w:r w:rsidRPr="004E4D86">
        <w:t>The discounted modelled outcomes are applied to the proportion of expenses in each category attributable to wage costs.</w:t>
      </w:r>
      <w:r>
        <w:t xml:space="preserve"> The Commission has used the average of the wage </w:t>
      </w:r>
      <w:r w:rsidRPr="005A63A8">
        <w:t xml:space="preserve">cost proportions for the three most recent years from </w:t>
      </w:r>
      <w:r w:rsidR="009E1EC3">
        <w:t xml:space="preserve">Australian Bureau of Statistics (ABS) </w:t>
      </w:r>
      <w:r w:rsidRPr="005A63A8">
        <w:t xml:space="preserve">Government Finance Statistics (GFS), 2015-16 to 2017-18. </w:t>
      </w:r>
      <w:r w:rsidRPr="005A63A8">
        <w:fldChar w:fldCharType="begin"/>
      </w:r>
      <w:r w:rsidRPr="005A63A8">
        <w:instrText xml:space="preserve"> REF _Ref468701492 \h  \* MERGEFORMAT </w:instrText>
      </w:r>
      <w:r w:rsidRPr="005A63A8">
        <w:fldChar w:fldCharType="separate"/>
      </w:r>
      <w:r w:rsidR="007F721A" w:rsidRPr="005A63A8">
        <w:t>Table </w:t>
      </w:r>
      <w:r w:rsidR="007F721A">
        <w:t>27-2</w:t>
      </w:r>
      <w:r w:rsidRPr="005A63A8">
        <w:fldChar w:fldCharType="end"/>
      </w:r>
      <w:r w:rsidRPr="005A63A8">
        <w:t xml:space="preserve"> shows the average proportion for each category. Since these proportions are relatively stable over time, the Commission does not consider it necessary to update the proportions in future updates.</w:t>
      </w:r>
    </w:p>
    <w:p w14:paraId="2AA00546" w14:textId="77777777" w:rsidR="00C4779A" w:rsidRPr="005A63A8" w:rsidRDefault="00C4779A" w:rsidP="00F47EC7">
      <w:pPr>
        <w:pStyle w:val="CGCParaNumber"/>
      </w:pPr>
      <w:r w:rsidRPr="005A63A8">
        <w:t>The Commission has set the wage proportions in Housing, Roads, Transport and two sub</w:t>
      </w:r>
      <w:r>
        <w:noBreakHyphen/>
      </w:r>
      <w:r w:rsidRPr="005A63A8">
        <w:t>components of Services to communities</w:t>
      </w:r>
      <w:r w:rsidRPr="005A63A8">
        <w:rPr>
          <w:rStyle w:val="FootnoteReference"/>
        </w:rPr>
        <w:footnoteReference w:id="113"/>
      </w:r>
      <w:r w:rsidRPr="005A63A8">
        <w:t xml:space="preserve"> to the average of the other categories, since a </w:t>
      </w:r>
      <w:r w:rsidRPr="005A63A8">
        <w:lastRenderedPageBreak/>
        <w:t>significant amount of wage expenses in these categories are classified as other types of expenses, such as payments to contractors.</w:t>
      </w:r>
    </w:p>
    <w:p w14:paraId="57F70F2B" w14:textId="2D369F54" w:rsidR="00C4779A" w:rsidRPr="00DD42F7" w:rsidRDefault="00C4779A" w:rsidP="00F47EC7">
      <w:pPr>
        <w:pStyle w:val="CGCParaNumber"/>
      </w:pPr>
      <w:r w:rsidRPr="005A63A8">
        <w:t>The Commission has decided to continue to use the relative wage costs produced in this assessment (in combination with</w:t>
      </w:r>
      <w:r w:rsidRPr="008C2EF6">
        <w:t xml:space="preserve"> the regional cost</w:t>
      </w:r>
      <w:r w:rsidR="003309F8">
        <w:t>s</w:t>
      </w:r>
      <w:r w:rsidRPr="008C2EF6">
        <w:t xml:space="preserve"> assessment and Rawlinsons</w:t>
      </w:r>
      <w:r>
        <w:t>’</w:t>
      </w:r>
      <w:r w:rsidRPr="008C2EF6">
        <w:t xml:space="preserve"> construction costs indexes) to calculate capital cost disabilities in the Investment assessment. For a description of the Investment assessment, see </w:t>
      </w:r>
      <w:r>
        <w:t>Chapter 24</w:t>
      </w:r>
      <w:r w:rsidRPr="008C2EF6">
        <w:t xml:space="preserve"> Investment.</w:t>
      </w:r>
    </w:p>
    <w:p w14:paraId="3C0DBC10" w14:textId="421F46EC" w:rsidR="00C4779A" w:rsidRDefault="00C4779A" w:rsidP="00C4779A">
      <w:pPr>
        <w:pStyle w:val="Caption"/>
      </w:pPr>
      <w:bookmarkStart w:id="492" w:name="_Ref468701492"/>
      <w:r w:rsidRPr="005A63A8">
        <w:t>Table </w:t>
      </w:r>
      <w:r>
        <w:t>27-</w:t>
      </w:r>
      <w:fldSimple w:instr=" SEQ Table \* ARABIC ">
        <w:r w:rsidR="007F721A">
          <w:rPr>
            <w:noProof/>
          </w:rPr>
          <w:t>2</w:t>
        </w:r>
      </w:fldSimple>
      <w:bookmarkEnd w:id="492"/>
      <w:r w:rsidRPr="005A63A8">
        <w:tab/>
        <w:t>Wage costs by category, 2015-16 to 2017-18 averages</w:t>
      </w:r>
    </w:p>
    <w:tbl>
      <w:tblPr>
        <w:tblW w:w="9220" w:type="dxa"/>
        <w:tblCellMar>
          <w:left w:w="28" w:type="dxa"/>
          <w:right w:w="28" w:type="dxa"/>
        </w:tblCellMar>
        <w:tblLook w:val="04A0" w:firstRow="1" w:lastRow="0" w:firstColumn="1" w:lastColumn="0" w:noHBand="0" w:noVBand="1"/>
      </w:tblPr>
      <w:tblGrid>
        <w:gridCol w:w="2420"/>
        <w:gridCol w:w="1700"/>
        <w:gridCol w:w="1700"/>
        <w:gridCol w:w="1700"/>
        <w:gridCol w:w="1700"/>
      </w:tblGrid>
      <w:tr w:rsidR="00C4779A" w:rsidRPr="00C45933" w14:paraId="4FECCD1A" w14:textId="77777777" w:rsidTr="0093765C">
        <w:trPr>
          <w:trHeight w:val="555"/>
        </w:trPr>
        <w:tc>
          <w:tcPr>
            <w:tcW w:w="2420" w:type="dxa"/>
            <w:tcBorders>
              <w:top w:val="single" w:sz="4" w:space="0" w:color="ADD6EA"/>
              <w:left w:val="nil"/>
              <w:bottom w:val="single" w:sz="4" w:space="0" w:color="ADD6EA"/>
              <w:right w:val="nil"/>
            </w:tcBorders>
            <w:shd w:val="clear" w:color="000000" w:fill="006991"/>
            <w:vAlign w:val="center"/>
            <w:hideMark/>
          </w:tcPr>
          <w:p w14:paraId="75F48AAD" w14:textId="77777777" w:rsidR="00C4779A" w:rsidRPr="00C45933" w:rsidRDefault="00C4779A"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C45933">
              <w:rPr>
                <w:rFonts w:ascii="Open Sans SemiBold" w:eastAsia="Times New Roman" w:hAnsi="Open Sans SemiBold" w:cs="Open Sans SemiBold"/>
                <w:color w:val="FFFFFF"/>
                <w:sz w:val="16"/>
                <w:szCs w:val="16"/>
                <w:lang w:eastAsia="en-AU"/>
              </w:rPr>
              <w:t>Category</w:t>
            </w:r>
          </w:p>
        </w:tc>
        <w:tc>
          <w:tcPr>
            <w:tcW w:w="1700" w:type="dxa"/>
            <w:tcBorders>
              <w:top w:val="single" w:sz="4" w:space="0" w:color="ADD6EA"/>
              <w:left w:val="nil"/>
              <w:bottom w:val="single" w:sz="4" w:space="0" w:color="ADD6EA"/>
              <w:right w:val="nil"/>
            </w:tcBorders>
            <w:shd w:val="clear" w:color="000000" w:fill="006991"/>
            <w:vAlign w:val="center"/>
            <w:hideMark/>
          </w:tcPr>
          <w:p w14:paraId="4178F905" w14:textId="77777777" w:rsidR="00C4779A" w:rsidRPr="00C45933"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5933">
              <w:rPr>
                <w:rFonts w:ascii="Open Sans SemiBold" w:eastAsia="Times New Roman" w:hAnsi="Open Sans SemiBold" w:cs="Open Sans SemiBold"/>
                <w:color w:val="FFFFFF"/>
                <w:sz w:val="16"/>
                <w:szCs w:val="16"/>
                <w:lang w:eastAsia="en-AU"/>
              </w:rPr>
              <w:t xml:space="preserve">Wage expenses </w:t>
            </w:r>
          </w:p>
        </w:tc>
        <w:tc>
          <w:tcPr>
            <w:tcW w:w="1700" w:type="dxa"/>
            <w:tcBorders>
              <w:top w:val="single" w:sz="4" w:space="0" w:color="ADD6EA"/>
              <w:left w:val="nil"/>
              <w:bottom w:val="single" w:sz="4" w:space="0" w:color="ADD6EA"/>
              <w:right w:val="nil"/>
            </w:tcBorders>
            <w:shd w:val="clear" w:color="000000" w:fill="006991"/>
            <w:vAlign w:val="center"/>
            <w:hideMark/>
          </w:tcPr>
          <w:p w14:paraId="58F61D7D" w14:textId="77777777" w:rsidR="00C4779A" w:rsidRPr="00C45933"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5933">
              <w:rPr>
                <w:rFonts w:ascii="Open Sans SemiBold" w:eastAsia="Times New Roman" w:hAnsi="Open Sans SemiBold" w:cs="Open Sans SemiBold"/>
                <w:color w:val="FFFFFF"/>
                <w:sz w:val="16"/>
                <w:szCs w:val="16"/>
                <w:lang w:eastAsia="en-AU"/>
              </w:rPr>
              <w:t xml:space="preserve">Non-wage expenses </w:t>
            </w:r>
          </w:p>
        </w:tc>
        <w:tc>
          <w:tcPr>
            <w:tcW w:w="1700" w:type="dxa"/>
            <w:tcBorders>
              <w:top w:val="single" w:sz="4" w:space="0" w:color="ADD6EA"/>
              <w:left w:val="nil"/>
              <w:bottom w:val="single" w:sz="4" w:space="0" w:color="ADD6EA"/>
              <w:right w:val="nil"/>
            </w:tcBorders>
            <w:shd w:val="clear" w:color="000000" w:fill="006991"/>
            <w:vAlign w:val="center"/>
            <w:hideMark/>
          </w:tcPr>
          <w:p w14:paraId="74D63B18" w14:textId="77777777" w:rsidR="00C4779A" w:rsidRPr="00C45933"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5933">
              <w:rPr>
                <w:rFonts w:ascii="Open Sans SemiBold" w:eastAsia="Times New Roman" w:hAnsi="Open Sans SemiBold" w:cs="Open Sans SemiBold"/>
                <w:color w:val="FFFFFF"/>
                <w:sz w:val="16"/>
                <w:szCs w:val="16"/>
                <w:lang w:eastAsia="en-AU"/>
              </w:rPr>
              <w:t xml:space="preserve">Proportion </w:t>
            </w:r>
          </w:p>
        </w:tc>
        <w:tc>
          <w:tcPr>
            <w:tcW w:w="1700" w:type="dxa"/>
            <w:tcBorders>
              <w:top w:val="single" w:sz="4" w:space="0" w:color="ADD6EA"/>
              <w:left w:val="nil"/>
              <w:bottom w:val="single" w:sz="4" w:space="0" w:color="ADD6EA"/>
              <w:right w:val="nil"/>
            </w:tcBorders>
            <w:shd w:val="clear" w:color="000000" w:fill="006991"/>
            <w:vAlign w:val="center"/>
            <w:hideMark/>
          </w:tcPr>
          <w:p w14:paraId="59A5FD21" w14:textId="6B41D3AC" w:rsidR="00C4779A" w:rsidRPr="00C45933"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45933">
              <w:rPr>
                <w:rFonts w:ascii="Open Sans SemiBold" w:eastAsia="Times New Roman" w:hAnsi="Open Sans SemiBold" w:cs="Open Sans SemiBold"/>
                <w:color w:val="FFFFFF"/>
                <w:sz w:val="16"/>
                <w:szCs w:val="16"/>
                <w:lang w:eastAsia="en-AU"/>
              </w:rPr>
              <w:t xml:space="preserve">Assessed </w:t>
            </w:r>
            <w:r w:rsidR="00670362">
              <w:rPr>
                <w:rFonts w:ascii="Open Sans SemiBold" w:eastAsia="Times New Roman" w:hAnsi="Open Sans SemiBold" w:cs="Open Sans SemiBold"/>
                <w:color w:val="FFFFFF"/>
                <w:sz w:val="16"/>
                <w:szCs w:val="16"/>
                <w:lang w:eastAsia="en-AU"/>
              </w:rPr>
              <w:br/>
            </w:r>
            <w:r w:rsidRPr="00C45933">
              <w:rPr>
                <w:rFonts w:ascii="Open Sans SemiBold" w:eastAsia="Times New Roman" w:hAnsi="Open Sans SemiBold" w:cs="Open Sans SemiBold"/>
                <w:color w:val="FFFFFF"/>
                <w:sz w:val="16"/>
                <w:szCs w:val="16"/>
                <w:lang w:eastAsia="en-AU"/>
              </w:rPr>
              <w:t xml:space="preserve">proportion </w:t>
            </w:r>
          </w:p>
        </w:tc>
      </w:tr>
      <w:tr w:rsidR="00C4779A" w:rsidRPr="00C45933" w14:paraId="754702DC" w14:textId="77777777" w:rsidTr="009B3664">
        <w:trPr>
          <w:trHeight w:val="258"/>
        </w:trPr>
        <w:tc>
          <w:tcPr>
            <w:tcW w:w="2420" w:type="dxa"/>
            <w:tcBorders>
              <w:top w:val="nil"/>
              <w:left w:val="nil"/>
              <w:bottom w:val="single" w:sz="4" w:space="0" w:color="ADD6EA"/>
              <w:right w:val="nil"/>
            </w:tcBorders>
            <w:shd w:val="clear" w:color="000000" w:fill="B6D5E4"/>
            <w:vAlign w:val="center"/>
            <w:hideMark/>
          </w:tcPr>
          <w:p w14:paraId="4A8550C9" w14:textId="77777777" w:rsidR="00C4779A" w:rsidRPr="00C45933" w:rsidRDefault="00C4779A"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45933">
              <w:rPr>
                <w:rFonts w:ascii="Open Sans SemiBold" w:eastAsia="Times New Roman" w:hAnsi="Open Sans SemiBold" w:cs="Open Sans SemiBold"/>
                <w:sz w:val="16"/>
                <w:szCs w:val="16"/>
                <w:lang w:eastAsia="en-AU"/>
              </w:rPr>
              <w:t> </w:t>
            </w:r>
          </w:p>
        </w:tc>
        <w:tc>
          <w:tcPr>
            <w:tcW w:w="1700" w:type="dxa"/>
            <w:tcBorders>
              <w:top w:val="nil"/>
              <w:left w:val="nil"/>
              <w:bottom w:val="single" w:sz="4" w:space="0" w:color="ADD6EA"/>
              <w:right w:val="nil"/>
            </w:tcBorders>
            <w:shd w:val="clear" w:color="000000" w:fill="B6D5E4"/>
            <w:vAlign w:val="center"/>
            <w:hideMark/>
          </w:tcPr>
          <w:p w14:paraId="77790FE6" w14:textId="156577DA" w:rsidR="00C4779A" w:rsidRPr="00C45933" w:rsidRDefault="00C4779A"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45933">
              <w:rPr>
                <w:rFonts w:ascii="Open Sans SemiBold" w:eastAsia="Times New Roman" w:hAnsi="Open Sans SemiBold" w:cs="Open Sans SemiBold"/>
                <w:sz w:val="16"/>
                <w:szCs w:val="16"/>
                <w:lang w:eastAsia="en-AU"/>
              </w:rPr>
              <w:t>$m</w:t>
            </w:r>
          </w:p>
        </w:tc>
        <w:tc>
          <w:tcPr>
            <w:tcW w:w="1700" w:type="dxa"/>
            <w:tcBorders>
              <w:top w:val="nil"/>
              <w:left w:val="nil"/>
              <w:bottom w:val="single" w:sz="4" w:space="0" w:color="ADD6EA"/>
              <w:right w:val="nil"/>
            </w:tcBorders>
            <w:shd w:val="clear" w:color="000000" w:fill="B6D5E4"/>
            <w:vAlign w:val="center"/>
            <w:hideMark/>
          </w:tcPr>
          <w:p w14:paraId="7A63E56F" w14:textId="795A39B9" w:rsidR="00C4779A" w:rsidRPr="00C45933" w:rsidRDefault="00C4779A"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45933">
              <w:rPr>
                <w:rFonts w:ascii="Open Sans SemiBold" w:eastAsia="Times New Roman" w:hAnsi="Open Sans SemiBold" w:cs="Open Sans SemiBold"/>
                <w:sz w:val="16"/>
                <w:szCs w:val="16"/>
                <w:lang w:eastAsia="en-AU"/>
              </w:rPr>
              <w:t>$m</w:t>
            </w:r>
          </w:p>
        </w:tc>
        <w:tc>
          <w:tcPr>
            <w:tcW w:w="1700" w:type="dxa"/>
            <w:tcBorders>
              <w:top w:val="nil"/>
              <w:left w:val="nil"/>
              <w:bottom w:val="single" w:sz="4" w:space="0" w:color="ADD6EA"/>
              <w:right w:val="nil"/>
            </w:tcBorders>
            <w:shd w:val="clear" w:color="000000" w:fill="B6D5E4"/>
            <w:vAlign w:val="center"/>
            <w:hideMark/>
          </w:tcPr>
          <w:p w14:paraId="6565CF54" w14:textId="77777777" w:rsidR="00C4779A" w:rsidRPr="00C45933" w:rsidRDefault="00C4779A"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45933">
              <w:rPr>
                <w:rFonts w:ascii="Open Sans SemiBold" w:eastAsia="Times New Roman" w:hAnsi="Open Sans SemiBold" w:cs="Open Sans SemiBold"/>
                <w:sz w:val="16"/>
                <w:szCs w:val="16"/>
                <w:lang w:eastAsia="en-AU"/>
              </w:rPr>
              <w:t>%</w:t>
            </w:r>
          </w:p>
        </w:tc>
        <w:tc>
          <w:tcPr>
            <w:tcW w:w="1700" w:type="dxa"/>
            <w:tcBorders>
              <w:top w:val="nil"/>
              <w:left w:val="nil"/>
              <w:bottom w:val="single" w:sz="4" w:space="0" w:color="ADD6EA"/>
              <w:right w:val="nil"/>
            </w:tcBorders>
            <w:shd w:val="clear" w:color="000000" w:fill="B6D5E4"/>
            <w:vAlign w:val="center"/>
            <w:hideMark/>
          </w:tcPr>
          <w:p w14:paraId="0DCFBB09" w14:textId="77777777" w:rsidR="00C4779A" w:rsidRPr="00C45933" w:rsidRDefault="00C4779A"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45933">
              <w:rPr>
                <w:rFonts w:ascii="Open Sans SemiBold" w:eastAsia="Times New Roman" w:hAnsi="Open Sans SemiBold" w:cs="Open Sans SemiBold"/>
                <w:sz w:val="16"/>
                <w:szCs w:val="16"/>
                <w:lang w:eastAsia="en-AU"/>
              </w:rPr>
              <w:t>%</w:t>
            </w:r>
          </w:p>
        </w:tc>
      </w:tr>
      <w:tr w:rsidR="00C4779A" w:rsidRPr="00C45933" w14:paraId="7DDBF3F0" w14:textId="77777777" w:rsidTr="0093765C">
        <w:trPr>
          <w:trHeight w:val="315"/>
        </w:trPr>
        <w:tc>
          <w:tcPr>
            <w:tcW w:w="2420" w:type="dxa"/>
            <w:tcBorders>
              <w:top w:val="nil"/>
              <w:left w:val="nil"/>
              <w:bottom w:val="single" w:sz="4" w:space="0" w:color="ADD6EA"/>
              <w:right w:val="nil"/>
            </w:tcBorders>
            <w:shd w:val="clear" w:color="auto" w:fill="auto"/>
            <w:hideMark/>
          </w:tcPr>
          <w:p w14:paraId="4045B3C6" w14:textId="77777777" w:rsidR="00C4779A" w:rsidRPr="00C45933" w:rsidRDefault="00C4779A" w:rsidP="004D65FE">
            <w:pPr>
              <w:tabs>
                <w:tab w:val="clear" w:pos="567"/>
              </w:tabs>
              <w:spacing w:before="0" w:line="240" w:lineRule="auto"/>
              <w:rPr>
                <w:rFonts w:eastAsia="Times New Roman" w:cs="Open Sans Light"/>
                <w:sz w:val="16"/>
                <w:szCs w:val="16"/>
                <w:lang w:eastAsia="en-AU"/>
              </w:rPr>
            </w:pPr>
            <w:r w:rsidRPr="00C45933">
              <w:rPr>
                <w:rFonts w:eastAsia="Times New Roman" w:cs="Open Sans Light"/>
                <w:sz w:val="16"/>
                <w:szCs w:val="16"/>
                <w:lang w:eastAsia="en-AU"/>
              </w:rPr>
              <w:t>Schools</w:t>
            </w:r>
          </w:p>
        </w:tc>
        <w:tc>
          <w:tcPr>
            <w:tcW w:w="1700" w:type="dxa"/>
            <w:tcBorders>
              <w:top w:val="nil"/>
              <w:left w:val="nil"/>
              <w:bottom w:val="single" w:sz="4" w:space="0" w:color="ADD6EA"/>
              <w:right w:val="nil"/>
            </w:tcBorders>
            <w:shd w:val="clear" w:color="auto" w:fill="auto"/>
            <w:hideMark/>
          </w:tcPr>
          <w:p w14:paraId="4D0E8487"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28,331</w:t>
            </w:r>
          </w:p>
        </w:tc>
        <w:tc>
          <w:tcPr>
            <w:tcW w:w="1700" w:type="dxa"/>
            <w:tcBorders>
              <w:top w:val="nil"/>
              <w:left w:val="nil"/>
              <w:bottom w:val="single" w:sz="4" w:space="0" w:color="ADD6EA"/>
              <w:right w:val="nil"/>
            </w:tcBorders>
            <w:shd w:val="clear" w:color="auto" w:fill="auto"/>
            <w:hideMark/>
          </w:tcPr>
          <w:p w14:paraId="40FF0177"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7,326</w:t>
            </w:r>
          </w:p>
        </w:tc>
        <w:tc>
          <w:tcPr>
            <w:tcW w:w="1700" w:type="dxa"/>
            <w:tcBorders>
              <w:top w:val="nil"/>
              <w:left w:val="nil"/>
              <w:bottom w:val="single" w:sz="4" w:space="0" w:color="ADD6EA"/>
              <w:right w:val="nil"/>
            </w:tcBorders>
            <w:shd w:val="clear" w:color="auto" w:fill="auto"/>
            <w:hideMark/>
          </w:tcPr>
          <w:p w14:paraId="11E80494" w14:textId="6A9E99A5"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79.5</w:t>
            </w:r>
          </w:p>
        </w:tc>
        <w:tc>
          <w:tcPr>
            <w:tcW w:w="1700" w:type="dxa"/>
            <w:tcBorders>
              <w:top w:val="nil"/>
              <w:left w:val="nil"/>
              <w:bottom w:val="single" w:sz="4" w:space="0" w:color="ADD6EA"/>
              <w:right w:val="nil"/>
            </w:tcBorders>
            <w:shd w:val="clear" w:color="auto" w:fill="auto"/>
            <w:hideMark/>
          </w:tcPr>
          <w:p w14:paraId="0D046D26" w14:textId="093C6412"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79.5</w:t>
            </w:r>
          </w:p>
        </w:tc>
      </w:tr>
      <w:tr w:rsidR="00C4779A" w:rsidRPr="00C45933" w14:paraId="5A6E183D" w14:textId="77777777" w:rsidTr="0093765C">
        <w:trPr>
          <w:trHeight w:val="315"/>
        </w:trPr>
        <w:tc>
          <w:tcPr>
            <w:tcW w:w="2420" w:type="dxa"/>
            <w:tcBorders>
              <w:top w:val="nil"/>
              <w:left w:val="nil"/>
              <w:bottom w:val="single" w:sz="4" w:space="0" w:color="ADD6EA"/>
              <w:right w:val="nil"/>
            </w:tcBorders>
            <w:shd w:val="clear" w:color="auto" w:fill="auto"/>
            <w:hideMark/>
          </w:tcPr>
          <w:p w14:paraId="7A2A33AC" w14:textId="77777777" w:rsidR="00C4779A" w:rsidRPr="00C45933" w:rsidRDefault="00C4779A" w:rsidP="004D65FE">
            <w:pPr>
              <w:tabs>
                <w:tab w:val="clear" w:pos="567"/>
              </w:tabs>
              <w:spacing w:before="0" w:line="240" w:lineRule="auto"/>
              <w:rPr>
                <w:rFonts w:eastAsia="Times New Roman" w:cs="Open Sans Light"/>
                <w:sz w:val="16"/>
                <w:szCs w:val="16"/>
                <w:lang w:eastAsia="en-AU"/>
              </w:rPr>
            </w:pPr>
            <w:r w:rsidRPr="00C45933">
              <w:rPr>
                <w:rFonts w:eastAsia="Times New Roman" w:cs="Open Sans Light"/>
                <w:sz w:val="16"/>
                <w:szCs w:val="16"/>
                <w:lang w:eastAsia="en-AU"/>
              </w:rPr>
              <w:t>Post-secondary education</w:t>
            </w:r>
          </w:p>
        </w:tc>
        <w:tc>
          <w:tcPr>
            <w:tcW w:w="1700" w:type="dxa"/>
            <w:tcBorders>
              <w:top w:val="nil"/>
              <w:left w:val="nil"/>
              <w:bottom w:val="single" w:sz="4" w:space="0" w:color="ADD6EA"/>
              <w:right w:val="nil"/>
            </w:tcBorders>
            <w:shd w:val="clear" w:color="auto" w:fill="auto"/>
            <w:hideMark/>
          </w:tcPr>
          <w:p w14:paraId="400D467E"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3,245</w:t>
            </w:r>
          </w:p>
        </w:tc>
        <w:tc>
          <w:tcPr>
            <w:tcW w:w="1700" w:type="dxa"/>
            <w:tcBorders>
              <w:top w:val="nil"/>
              <w:left w:val="nil"/>
              <w:bottom w:val="single" w:sz="4" w:space="0" w:color="ADD6EA"/>
              <w:right w:val="nil"/>
            </w:tcBorders>
            <w:shd w:val="clear" w:color="auto" w:fill="auto"/>
            <w:hideMark/>
          </w:tcPr>
          <w:p w14:paraId="58563719"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2,620</w:t>
            </w:r>
          </w:p>
        </w:tc>
        <w:tc>
          <w:tcPr>
            <w:tcW w:w="1700" w:type="dxa"/>
            <w:tcBorders>
              <w:top w:val="nil"/>
              <w:left w:val="nil"/>
              <w:bottom w:val="single" w:sz="4" w:space="0" w:color="ADD6EA"/>
              <w:right w:val="nil"/>
            </w:tcBorders>
            <w:shd w:val="clear" w:color="auto" w:fill="auto"/>
            <w:hideMark/>
          </w:tcPr>
          <w:p w14:paraId="7E8CA66D" w14:textId="61793CA2"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55.3</w:t>
            </w:r>
          </w:p>
        </w:tc>
        <w:tc>
          <w:tcPr>
            <w:tcW w:w="1700" w:type="dxa"/>
            <w:tcBorders>
              <w:top w:val="nil"/>
              <w:left w:val="nil"/>
              <w:bottom w:val="single" w:sz="4" w:space="0" w:color="ADD6EA"/>
              <w:right w:val="nil"/>
            </w:tcBorders>
            <w:shd w:val="clear" w:color="auto" w:fill="auto"/>
            <w:hideMark/>
          </w:tcPr>
          <w:p w14:paraId="74D99676" w14:textId="6CD7CC5F"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55.3</w:t>
            </w:r>
          </w:p>
        </w:tc>
      </w:tr>
      <w:tr w:rsidR="00C4779A" w:rsidRPr="00C45933" w14:paraId="676BA70B" w14:textId="77777777" w:rsidTr="0093765C">
        <w:trPr>
          <w:trHeight w:val="315"/>
        </w:trPr>
        <w:tc>
          <w:tcPr>
            <w:tcW w:w="2420" w:type="dxa"/>
            <w:tcBorders>
              <w:top w:val="nil"/>
              <w:left w:val="nil"/>
              <w:bottom w:val="single" w:sz="4" w:space="0" w:color="ADD6EA"/>
              <w:right w:val="nil"/>
            </w:tcBorders>
            <w:shd w:val="clear" w:color="auto" w:fill="auto"/>
            <w:hideMark/>
          </w:tcPr>
          <w:p w14:paraId="4CA4C13D" w14:textId="77777777" w:rsidR="00C4779A" w:rsidRPr="00C45933" w:rsidRDefault="00C4779A" w:rsidP="004D65FE">
            <w:pPr>
              <w:tabs>
                <w:tab w:val="clear" w:pos="567"/>
              </w:tabs>
              <w:spacing w:before="0" w:line="240" w:lineRule="auto"/>
              <w:rPr>
                <w:rFonts w:eastAsia="Times New Roman" w:cs="Open Sans Light"/>
                <w:sz w:val="16"/>
                <w:szCs w:val="16"/>
                <w:lang w:eastAsia="en-AU"/>
              </w:rPr>
            </w:pPr>
            <w:r w:rsidRPr="00C45933">
              <w:rPr>
                <w:rFonts w:eastAsia="Times New Roman" w:cs="Open Sans Light"/>
                <w:sz w:val="16"/>
                <w:szCs w:val="16"/>
                <w:lang w:eastAsia="en-AU"/>
              </w:rPr>
              <w:t>Health</w:t>
            </w:r>
          </w:p>
        </w:tc>
        <w:tc>
          <w:tcPr>
            <w:tcW w:w="1700" w:type="dxa"/>
            <w:tcBorders>
              <w:top w:val="nil"/>
              <w:left w:val="nil"/>
              <w:bottom w:val="single" w:sz="4" w:space="0" w:color="ADD6EA"/>
              <w:right w:val="nil"/>
            </w:tcBorders>
            <w:shd w:val="clear" w:color="auto" w:fill="auto"/>
            <w:hideMark/>
          </w:tcPr>
          <w:p w14:paraId="67961C45"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43,812</w:t>
            </w:r>
          </w:p>
        </w:tc>
        <w:tc>
          <w:tcPr>
            <w:tcW w:w="1700" w:type="dxa"/>
            <w:tcBorders>
              <w:top w:val="nil"/>
              <w:left w:val="nil"/>
              <w:bottom w:val="single" w:sz="4" w:space="0" w:color="ADD6EA"/>
              <w:right w:val="nil"/>
            </w:tcBorders>
            <w:shd w:val="clear" w:color="auto" w:fill="auto"/>
            <w:hideMark/>
          </w:tcPr>
          <w:p w14:paraId="04C77E7A"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23,208</w:t>
            </w:r>
          </w:p>
        </w:tc>
        <w:tc>
          <w:tcPr>
            <w:tcW w:w="1700" w:type="dxa"/>
            <w:tcBorders>
              <w:top w:val="nil"/>
              <w:left w:val="nil"/>
              <w:bottom w:val="single" w:sz="4" w:space="0" w:color="ADD6EA"/>
              <w:right w:val="nil"/>
            </w:tcBorders>
            <w:shd w:val="clear" w:color="auto" w:fill="auto"/>
            <w:hideMark/>
          </w:tcPr>
          <w:p w14:paraId="744BC803" w14:textId="03181010"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65.4</w:t>
            </w:r>
          </w:p>
        </w:tc>
        <w:tc>
          <w:tcPr>
            <w:tcW w:w="1700" w:type="dxa"/>
            <w:tcBorders>
              <w:top w:val="nil"/>
              <w:left w:val="nil"/>
              <w:bottom w:val="single" w:sz="4" w:space="0" w:color="ADD6EA"/>
              <w:right w:val="nil"/>
            </w:tcBorders>
            <w:shd w:val="clear" w:color="auto" w:fill="auto"/>
            <w:hideMark/>
          </w:tcPr>
          <w:p w14:paraId="1A45160D" w14:textId="2DC83D71"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65.4</w:t>
            </w:r>
          </w:p>
        </w:tc>
      </w:tr>
      <w:tr w:rsidR="00C4779A" w:rsidRPr="00C45933" w14:paraId="72530718" w14:textId="77777777" w:rsidTr="0093765C">
        <w:trPr>
          <w:trHeight w:val="315"/>
        </w:trPr>
        <w:tc>
          <w:tcPr>
            <w:tcW w:w="2420" w:type="dxa"/>
            <w:tcBorders>
              <w:top w:val="nil"/>
              <w:left w:val="nil"/>
              <w:bottom w:val="single" w:sz="4" w:space="0" w:color="ADD6EA"/>
              <w:right w:val="nil"/>
            </w:tcBorders>
            <w:shd w:val="clear" w:color="auto" w:fill="auto"/>
            <w:hideMark/>
          </w:tcPr>
          <w:p w14:paraId="27F44549" w14:textId="77777777" w:rsidR="00C4779A" w:rsidRPr="00C45933" w:rsidRDefault="00C4779A" w:rsidP="004D65FE">
            <w:pPr>
              <w:tabs>
                <w:tab w:val="clear" w:pos="567"/>
              </w:tabs>
              <w:spacing w:before="0" w:line="240" w:lineRule="auto"/>
              <w:rPr>
                <w:rFonts w:eastAsia="Times New Roman" w:cs="Open Sans Light"/>
                <w:sz w:val="16"/>
                <w:szCs w:val="16"/>
                <w:lang w:eastAsia="en-AU"/>
              </w:rPr>
            </w:pPr>
            <w:r w:rsidRPr="00C45933">
              <w:rPr>
                <w:rFonts w:eastAsia="Times New Roman" w:cs="Open Sans Light"/>
                <w:sz w:val="16"/>
                <w:szCs w:val="16"/>
                <w:lang w:eastAsia="en-AU"/>
              </w:rPr>
              <w:t>Housing</w:t>
            </w:r>
          </w:p>
        </w:tc>
        <w:tc>
          <w:tcPr>
            <w:tcW w:w="1700" w:type="dxa"/>
            <w:tcBorders>
              <w:top w:val="nil"/>
              <w:left w:val="nil"/>
              <w:bottom w:val="single" w:sz="4" w:space="0" w:color="ADD6EA"/>
              <w:right w:val="nil"/>
            </w:tcBorders>
            <w:shd w:val="clear" w:color="auto" w:fill="auto"/>
            <w:hideMark/>
          </w:tcPr>
          <w:p w14:paraId="6112D7C3"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570</w:t>
            </w:r>
          </w:p>
        </w:tc>
        <w:tc>
          <w:tcPr>
            <w:tcW w:w="1700" w:type="dxa"/>
            <w:tcBorders>
              <w:top w:val="nil"/>
              <w:left w:val="nil"/>
              <w:bottom w:val="single" w:sz="4" w:space="0" w:color="ADD6EA"/>
              <w:right w:val="nil"/>
            </w:tcBorders>
            <w:shd w:val="clear" w:color="auto" w:fill="auto"/>
            <w:hideMark/>
          </w:tcPr>
          <w:p w14:paraId="2AEC304E"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892</w:t>
            </w:r>
          </w:p>
        </w:tc>
        <w:tc>
          <w:tcPr>
            <w:tcW w:w="1700" w:type="dxa"/>
            <w:tcBorders>
              <w:top w:val="nil"/>
              <w:left w:val="nil"/>
              <w:bottom w:val="single" w:sz="4" w:space="0" w:color="ADD6EA"/>
              <w:right w:val="nil"/>
            </w:tcBorders>
            <w:shd w:val="clear" w:color="auto" w:fill="auto"/>
            <w:hideMark/>
          </w:tcPr>
          <w:p w14:paraId="4205D95B" w14:textId="4D2CD6EE"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39.0</w:t>
            </w:r>
          </w:p>
        </w:tc>
        <w:tc>
          <w:tcPr>
            <w:tcW w:w="1700" w:type="dxa"/>
            <w:tcBorders>
              <w:top w:val="nil"/>
              <w:left w:val="nil"/>
              <w:bottom w:val="single" w:sz="4" w:space="0" w:color="ADD6EA"/>
              <w:right w:val="nil"/>
            </w:tcBorders>
            <w:shd w:val="clear" w:color="auto" w:fill="auto"/>
            <w:hideMark/>
          </w:tcPr>
          <w:p w14:paraId="75705AA9" w14:textId="75E9E54D"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63.3</w:t>
            </w:r>
          </w:p>
        </w:tc>
      </w:tr>
      <w:tr w:rsidR="00C4779A" w:rsidRPr="00C45933" w14:paraId="0EEA51C2" w14:textId="77777777" w:rsidTr="0093765C">
        <w:trPr>
          <w:trHeight w:val="315"/>
        </w:trPr>
        <w:tc>
          <w:tcPr>
            <w:tcW w:w="2420" w:type="dxa"/>
            <w:tcBorders>
              <w:top w:val="nil"/>
              <w:left w:val="nil"/>
              <w:bottom w:val="single" w:sz="4" w:space="0" w:color="ADD6EA"/>
              <w:right w:val="nil"/>
            </w:tcBorders>
            <w:shd w:val="clear" w:color="auto" w:fill="auto"/>
            <w:hideMark/>
          </w:tcPr>
          <w:p w14:paraId="76440DBD" w14:textId="77777777" w:rsidR="00C4779A" w:rsidRPr="00C45933" w:rsidRDefault="00C4779A" w:rsidP="004D65FE">
            <w:pPr>
              <w:tabs>
                <w:tab w:val="clear" w:pos="567"/>
              </w:tabs>
              <w:spacing w:before="0" w:line="240" w:lineRule="auto"/>
              <w:rPr>
                <w:rFonts w:eastAsia="Times New Roman" w:cs="Open Sans Light"/>
                <w:sz w:val="16"/>
                <w:szCs w:val="16"/>
                <w:lang w:eastAsia="en-AU"/>
              </w:rPr>
            </w:pPr>
            <w:r w:rsidRPr="00C45933">
              <w:rPr>
                <w:rFonts w:eastAsia="Times New Roman" w:cs="Open Sans Light"/>
                <w:sz w:val="16"/>
                <w:szCs w:val="16"/>
                <w:lang w:eastAsia="en-AU"/>
              </w:rPr>
              <w:t>Welfare</w:t>
            </w:r>
          </w:p>
        </w:tc>
        <w:tc>
          <w:tcPr>
            <w:tcW w:w="1700" w:type="dxa"/>
            <w:tcBorders>
              <w:top w:val="nil"/>
              <w:left w:val="nil"/>
              <w:bottom w:val="single" w:sz="4" w:space="0" w:color="ADD6EA"/>
              <w:right w:val="nil"/>
            </w:tcBorders>
            <w:shd w:val="clear" w:color="auto" w:fill="auto"/>
            <w:hideMark/>
          </w:tcPr>
          <w:p w14:paraId="2BD00CC3"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4,419</w:t>
            </w:r>
          </w:p>
        </w:tc>
        <w:tc>
          <w:tcPr>
            <w:tcW w:w="1700" w:type="dxa"/>
            <w:tcBorders>
              <w:top w:val="nil"/>
              <w:left w:val="nil"/>
              <w:bottom w:val="single" w:sz="4" w:space="0" w:color="ADD6EA"/>
              <w:right w:val="nil"/>
            </w:tcBorders>
            <w:shd w:val="clear" w:color="auto" w:fill="auto"/>
            <w:hideMark/>
          </w:tcPr>
          <w:p w14:paraId="67866D7A"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7,714</w:t>
            </w:r>
          </w:p>
        </w:tc>
        <w:tc>
          <w:tcPr>
            <w:tcW w:w="1700" w:type="dxa"/>
            <w:tcBorders>
              <w:top w:val="nil"/>
              <w:left w:val="nil"/>
              <w:bottom w:val="single" w:sz="4" w:space="0" w:color="ADD6EA"/>
              <w:right w:val="nil"/>
            </w:tcBorders>
            <w:shd w:val="clear" w:color="auto" w:fill="auto"/>
            <w:hideMark/>
          </w:tcPr>
          <w:p w14:paraId="2B22DCF4" w14:textId="4C3E4D3E"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36.4</w:t>
            </w:r>
          </w:p>
        </w:tc>
        <w:tc>
          <w:tcPr>
            <w:tcW w:w="1700" w:type="dxa"/>
            <w:tcBorders>
              <w:top w:val="nil"/>
              <w:left w:val="nil"/>
              <w:bottom w:val="single" w:sz="4" w:space="0" w:color="ADD6EA"/>
              <w:right w:val="nil"/>
            </w:tcBorders>
            <w:shd w:val="clear" w:color="auto" w:fill="auto"/>
            <w:hideMark/>
          </w:tcPr>
          <w:p w14:paraId="73834B3D" w14:textId="290E9F3A"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36.4</w:t>
            </w:r>
          </w:p>
        </w:tc>
      </w:tr>
      <w:tr w:rsidR="00C4779A" w:rsidRPr="00C45933" w14:paraId="50B6E808" w14:textId="77777777" w:rsidTr="0093765C">
        <w:trPr>
          <w:trHeight w:val="315"/>
        </w:trPr>
        <w:tc>
          <w:tcPr>
            <w:tcW w:w="2420" w:type="dxa"/>
            <w:tcBorders>
              <w:top w:val="nil"/>
              <w:left w:val="nil"/>
              <w:bottom w:val="single" w:sz="4" w:space="0" w:color="ADD6EA"/>
              <w:right w:val="nil"/>
            </w:tcBorders>
            <w:shd w:val="clear" w:color="auto" w:fill="auto"/>
            <w:hideMark/>
          </w:tcPr>
          <w:p w14:paraId="4E4F36D9" w14:textId="77777777" w:rsidR="00C4779A" w:rsidRPr="00C45933" w:rsidRDefault="00C4779A" w:rsidP="004D65FE">
            <w:pPr>
              <w:tabs>
                <w:tab w:val="clear" w:pos="567"/>
              </w:tabs>
              <w:spacing w:before="0" w:line="240" w:lineRule="auto"/>
              <w:rPr>
                <w:rFonts w:eastAsia="Times New Roman" w:cs="Open Sans Light"/>
                <w:sz w:val="16"/>
                <w:szCs w:val="16"/>
                <w:lang w:eastAsia="en-AU"/>
              </w:rPr>
            </w:pPr>
            <w:r w:rsidRPr="00C45933">
              <w:rPr>
                <w:rFonts w:eastAsia="Times New Roman" w:cs="Open Sans Light"/>
                <w:sz w:val="16"/>
                <w:szCs w:val="16"/>
                <w:lang w:eastAsia="en-AU"/>
              </w:rPr>
              <w:t>Services to communities</w:t>
            </w:r>
          </w:p>
        </w:tc>
        <w:tc>
          <w:tcPr>
            <w:tcW w:w="1700" w:type="dxa"/>
            <w:tcBorders>
              <w:top w:val="nil"/>
              <w:left w:val="nil"/>
              <w:bottom w:val="single" w:sz="4" w:space="0" w:color="ADD6EA"/>
              <w:right w:val="nil"/>
            </w:tcBorders>
            <w:shd w:val="clear" w:color="auto" w:fill="auto"/>
            <w:hideMark/>
          </w:tcPr>
          <w:p w14:paraId="4FF80596"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2,606</w:t>
            </w:r>
          </w:p>
        </w:tc>
        <w:tc>
          <w:tcPr>
            <w:tcW w:w="1700" w:type="dxa"/>
            <w:tcBorders>
              <w:top w:val="nil"/>
              <w:left w:val="nil"/>
              <w:bottom w:val="single" w:sz="4" w:space="0" w:color="ADD6EA"/>
              <w:right w:val="nil"/>
            </w:tcBorders>
            <w:shd w:val="clear" w:color="auto" w:fill="auto"/>
            <w:hideMark/>
          </w:tcPr>
          <w:p w14:paraId="78FB34C3"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3,200</w:t>
            </w:r>
          </w:p>
        </w:tc>
        <w:tc>
          <w:tcPr>
            <w:tcW w:w="1700" w:type="dxa"/>
            <w:tcBorders>
              <w:top w:val="nil"/>
              <w:left w:val="nil"/>
              <w:bottom w:val="single" w:sz="4" w:space="0" w:color="ADD6EA"/>
              <w:right w:val="nil"/>
            </w:tcBorders>
            <w:shd w:val="clear" w:color="auto" w:fill="auto"/>
            <w:hideMark/>
          </w:tcPr>
          <w:p w14:paraId="582424E9" w14:textId="0D2619C5"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44.9</w:t>
            </w:r>
          </w:p>
        </w:tc>
        <w:tc>
          <w:tcPr>
            <w:tcW w:w="1700" w:type="dxa"/>
            <w:tcBorders>
              <w:top w:val="nil"/>
              <w:left w:val="nil"/>
              <w:bottom w:val="single" w:sz="4" w:space="0" w:color="ADD6EA"/>
              <w:right w:val="nil"/>
            </w:tcBorders>
            <w:shd w:val="clear" w:color="auto" w:fill="auto"/>
            <w:hideMark/>
          </w:tcPr>
          <w:p w14:paraId="7DA8D316" w14:textId="30FF4F69"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44.9</w:t>
            </w:r>
          </w:p>
        </w:tc>
      </w:tr>
      <w:tr w:rsidR="00C4779A" w:rsidRPr="00C45933" w14:paraId="51FC1700" w14:textId="77777777" w:rsidTr="0093765C">
        <w:trPr>
          <w:trHeight w:val="315"/>
        </w:trPr>
        <w:tc>
          <w:tcPr>
            <w:tcW w:w="2420" w:type="dxa"/>
            <w:tcBorders>
              <w:top w:val="nil"/>
              <w:left w:val="nil"/>
              <w:bottom w:val="single" w:sz="4" w:space="0" w:color="ADD6EA"/>
              <w:right w:val="nil"/>
            </w:tcBorders>
            <w:shd w:val="clear" w:color="auto" w:fill="auto"/>
            <w:hideMark/>
          </w:tcPr>
          <w:p w14:paraId="13F04A42" w14:textId="77777777" w:rsidR="00C4779A" w:rsidRPr="00C45933" w:rsidRDefault="00C4779A" w:rsidP="004D65FE">
            <w:pPr>
              <w:tabs>
                <w:tab w:val="clear" w:pos="567"/>
              </w:tabs>
              <w:spacing w:before="0" w:line="240" w:lineRule="auto"/>
              <w:rPr>
                <w:rFonts w:eastAsia="Times New Roman" w:cs="Open Sans Light"/>
                <w:sz w:val="16"/>
                <w:szCs w:val="16"/>
                <w:lang w:eastAsia="en-AU"/>
              </w:rPr>
            </w:pPr>
            <w:r w:rsidRPr="00C45933">
              <w:rPr>
                <w:rFonts w:eastAsia="Times New Roman" w:cs="Open Sans Light"/>
                <w:sz w:val="16"/>
                <w:szCs w:val="16"/>
                <w:lang w:eastAsia="en-AU"/>
              </w:rPr>
              <w:t>Justice</w:t>
            </w:r>
          </w:p>
        </w:tc>
        <w:tc>
          <w:tcPr>
            <w:tcW w:w="1700" w:type="dxa"/>
            <w:tcBorders>
              <w:top w:val="nil"/>
              <w:left w:val="nil"/>
              <w:bottom w:val="single" w:sz="4" w:space="0" w:color="ADD6EA"/>
              <w:right w:val="nil"/>
            </w:tcBorders>
            <w:shd w:val="clear" w:color="auto" w:fill="auto"/>
            <w:hideMark/>
          </w:tcPr>
          <w:p w14:paraId="045D872B"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14,152</w:t>
            </w:r>
          </w:p>
        </w:tc>
        <w:tc>
          <w:tcPr>
            <w:tcW w:w="1700" w:type="dxa"/>
            <w:tcBorders>
              <w:top w:val="nil"/>
              <w:left w:val="nil"/>
              <w:bottom w:val="single" w:sz="4" w:space="0" w:color="ADD6EA"/>
              <w:right w:val="nil"/>
            </w:tcBorders>
            <w:shd w:val="clear" w:color="auto" w:fill="auto"/>
            <w:hideMark/>
          </w:tcPr>
          <w:p w14:paraId="13173126"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5,384</w:t>
            </w:r>
          </w:p>
        </w:tc>
        <w:tc>
          <w:tcPr>
            <w:tcW w:w="1700" w:type="dxa"/>
            <w:tcBorders>
              <w:top w:val="nil"/>
              <w:left w:val="nil"/>
              <w:bottom w:val="single" w:sz="4" w:space="0" w:color="ADD6EA"/>
              <w:right w:val="nil"/>
            </w:tcBorders>
            <w:shd w:val="clear" w:color="auto" w:fill="auto"/>
            <w:hideMark/>
          </w:tcPr>
          <w:p w14:paraId="7BC53EF1" w14:textId="09B750AB"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72.4</w:t>
            </w:r>
          </w:p>
        </w:tc>
        <w:tc>
          <w:tcPr>
            <w:tcW w:w="1700" w:type="dxa"/>
            <w:tcBorders>
              <w:top w:val="nil"/>
              <w:left w:val="nil"/>
              <w:bottom w:val="single" w:sz="4" w:space="0" w:color="ADD6EA"/>
              <w:right w:val="nil"/>
            </w:tcBorders>
            <w:shd w:val="clear" w:color="auto" w:fill="auto"/>
            <w:hideMark/>
          </w:tcPr>
          <w:p w14:paraId="590C8FF9" w14:textId="4D9632BB"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72.4</w:t>
            </w:r>
          </w:p>
        </w:tc>
      </w:tr>
      <w:tr w:rsidR="00C4779A" w:rsidRPr="00C45933" w14:paraId="6AEC97B1" w14:textId="77777777" w:rsidTr="0093765C">
        <w:trPr>
          <w:trHeight w:val="315"/>
        </w:trPr>
        <w:tc>
          <w:tcPr>
            <w:tcW w:w="2420" w:type="dxa"/>
            <w:tcBorders>
              <w:top w:val="nil"/>
              <w:left w:val="nil"/>
              <w:bottom w:val="single" w:sz="4" w:space="0" w:color="ADD6EA"/>
              <w:right w:val="nil"/>
            </w:tcBorders>
            <w:shd w:val="clear" w:color="auto" w:fill="auto"/>
            <w:hideMark/>
          </w:tcPr>
          <w:p w14:paraId="4F0B4925" w14:textId="77777777" w:rsidR="00C4779A" w:rsidRPr="00C45933" w:rsidRDefault="00C4779A" w:rsidP="004D65FE">
            <w:pPr>
              <w:tabs>
                <w:tab w:val="clear" w:pos="567"/>
              </w:tabs>
              <w:spacing w:before="0" w:line="240" w:lineRule="auto"/>
              <w:rPr>
                <w:rFonts w:eastAsia="Times New Roman" w:cs="Open Sans Light"/>
                <w:sz w:val="16"/>
                <w:szCs w:val="16"/>
                <w:lang w:eastAsia="en-AU"/>
              </w:rPr>
            </w:pPr>
            <w:r w:rsidRPr="00C45933">
              <w:rPr>
                <w:rFonts w:eastAsia="Times New Roman" w:cs="Open Sans Light"/>
                <w:sz w:val="16"/>
                <w:szCs w:val="16"/>
                <w:lang w:eastAsia="en-AU"/>
              </w:rPr>
              <w:t>Roads</w:t>
            </w:r>
          </w:p>
        </w:tc>
        <w:tc>
          <w:tcPr>
            <w:tcW w:w="1700" w:type="dxa"/>
            <w:tcBorders>
              <w:top w:val="nil"/>
              <w:left w:val="nil"/>
              <w:bottom w:val="single" w:sz="4" w:space="0" w:color="ADD6EA"/>
              <w:right w:val="nil"/>
            </w:tcBorders>
            <w:shd w:val="clear" w:color="auto" w:fill="auto"/>
            <w:hideMark/>
          </w:tcPr>
          <w:p w14:paraId="7F01EABA"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1,656</w:t>
            </w:r>
          </w:p>
        </w:tc>
        <w:tc>
          <w:tcPr>
            <w:tcW w:w="1700" w:type="dxa"/>
            <w:tcBorders>
              <w:top w:val="nil"/>
              <w:left w:val="nil"/>
              <w:bottom w:val="single" w:sz="4" w:space="0" w:color="ADD6EA"/>
              <w:right w:val="nil"/>
            </w:tcBorders>
            <w:shd w:val="clear" w:color="auto" w:fill="auto"/>
            <w:hideMark/>
          </w:tcPr>
          <w:p w14:paraId="0796DD0E"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3,932</w:t>
            </w:r>
          </w:p>
        </w:tc>
        <w:tc>
          <w:tcPr>
            <w:tcW w:w="1700" w:type="dxa"/>
            <w:tcBorders>
              <w:top w:val="nil"/>
              <w:left w:val="nil"/>
              <w:bottom w:val="single" w:sz="4" w:space="0" w:color="ADD6EA"/>
              <w:right w:val="nil"/>
            </w:tcBorders>
            <w:shd w:val="clear" w:color="auto" w:fill="auto"/>
            <w:hideMark/>
          </w:tcPr>
          <w:p w14:paraId="41AB22C0" w14:textId="589E6924"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29.6</w:t>
            </w:r>
          </w:p>
        </w:tc>
        <w:tc>
          <w:tcPr>
            <w:tcW w:w="1700" w:type="dxa"/>
            <w:tcBorders>
              <w:top w:val="nil"/>
              <w:left w:val="nil"/>
              <w:bottom w:val="single" w:sz="4" w:space="0" w:color="ADD6EA"/>
              <w:right w:val="nil"/>
            </w:tcBorders>
            <w:shd w:val="clear" w:color="auto" w:fill="auto"/>
            <w:hideMark/>
          </w:tcPr>
          <w:p w14:paraId="5D60F039" w14:textId="162503A2"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63.3</w:t>
            </w:r>
          </w:p>
        </w:tc>
      </w:tr>
      <w:tr w:rsidR="00C4779A" w:rsidRPr="00C45933" w14:paraId="43C2D068" w14:textId="77777777" w:rsidTr="0093765C">
        <w:trPr>
          <w:trHeight w:val="315"/>
        </w:trPr>
        <w:tc>
          <w:tcPr>
            <w:tcW w:w="2420" w:type="dxa"/>
            <w:tcBorders>
              <w:top w:val="nil"/>
              <w:left w:val="nil"/>
              <w:bottom w:val="single" w:sz="4" w:space="0" w:color="ADD6EA"/>
              <w:right w:val="nil"/>
            </w:tcBorders>
            <w:shd w:val="clear" w:color="auto" w:fill="auto"/>
            <w:hideMark/>
          </w:tcPr>
          <w:p w14:paraId="11844B1A" w14:textId="77777777" w:rsidR="00C4779A" w:rsidRPr="00C45933" w:rsidRDefault="00C4779A" w:rsidP="004D65FE">
            <w:pPr>
              <w:tabs>
                <w:tab w:val="clear" w:pos="567"/>
              </w:tabs>
              <w:spacing w:before="0" w:line="240" w:lineRule="auto"/>
              <w:rPr>
                <w:rFonts w:eastAsia="Times New Roman" w:cs="Open Sans Light"/>
                <w:sz w:val="16"/>
                <w:szCs w:val="16"/>
                <w:lang w:eastAsia="en-AU"/>
              </w:rPr>
            </w:pPr>
            <w:r w:rsidRPr="00C45933">
              <w:rPr>
                <w:rFonts w:eastAsia="Times New Roman" w:cs="Open Sans Light"/>
                <w:sz w:val="16"/>
                <w:szCs w:val="16"/>
                <w:lang w:eastAsia="en-AU"/>
              </w:rPr>
              <w:t>Transport</w:t>
            </w:r>
          </w:p>
        </w:tc>
        <w:tc>
          <w:tcPr>
            <w:tcW w:w="1700" w:type="dxa"/>
            <w:tcBorders>
              <w:top w:val="nil"/>
              <w:left w:val="nil"/>
              <w:bottom w:val="single" w:sz="4" w:space="0" w:color="ADD6EA"/>
              <w:right w:val="nil"/>
            </w:tcBorders>
            <w:shd w:val="clear" w:color="auto" w:fill="auto"/>
            <w:hideMark/>
          </w:tcPr>
          <w:p w14:paraId="1B41EA35"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865</w:t>
            </w:r>
          </w:p>
        </w:tc>
        <w:tc>
          <w:tcPr>
            <w:tcW w:w="1700" w:type="dxa"/>
            <w:tcBorders>
              <w:top w:val="nil"/>
              <w:left w:val="nil"/>
              <w:bottom w:val="single" w:sz="4" w:space="0" w:color="ADD6EA"/>
              <w:right w:val="nil"/>
            </w:tcBorders>
            <w:shd w:val="clear" w:color="auto" w:fill="auto"/>
            <w:hideMark/>
          </w:tcPr>
          <w:p w14:paraId="4AC2AADA"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5,963</w:t>
            </w:r>
          </w:p>
        </w:tc>
        <w:tc>
          <w:tcPr>
            <w:tcW w:w="1700" w:type="dxa"/>
            <w:tcBorders>
              <w:top w:val="nil"/>
              <w:left w:val="nil"/>
              <w:bottom w:val="single" w:sz="4" w:space="0" w:color="ADD6EA"/>
              <w:right w:val="nil"/>
            </w:tcBorders>
            <w:shd w:val="clear" w:color="auto" w:fill="auto"/>
            <w:hideMark/>
          </w:tcPr>
          <w:p w14:paraId="29213E7F" w14:textId="50346CAF"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12.7</w:t>
            </w:r>
          </w:p>
        </w:tc>
        <w:tc>
          <w:tcPr>
            <w:tcW w:w="1700" w:type="dxa"/>
            <w:tcBorders>
              <w:top w:val="nil"/>
              <w:left w:val="nil"/>
              <w:bottom w:val="single" w:sz="4" w:space="0" w:color="ADD6EA"/>
              <w:right w:val="nil"/>
            </w:tcBorders>
            <w:shd w:val="clear" w:color="auto" w:fill="auto"/>
            <w:hideMark/>
          </w:tcPr>
          <w:p w14:paraId="7B6744AE" w14:textId="25090D35"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63.3</w:t>
            </w:r>
          </w:p>
        </w:tc>
      </w:tr>
      <w:tr w:rsidR="00C4779A" w:rsidRPr="00C45933" w14:paraId="1810F70B" w14:textId="77777777" w:rsidTr="0093765C">
        <w:trPr>
          <w:trHeight w:val="315"/>
        </w:trPr>
        <w:tc>
          <w:tcPr>
            <w:tcW w:w="2420" w:type="dxa"/>
            <w:tcBorders>
              <w:top w:val="nil"/>
              <w:left w:val="nil"/>
              <w:bottom w:val="single" w:sz="4" w:space="0" w:color="ADD6EA"/>
              <w:right w:val="nil"/>
            </w:tcBorders>
            <w:shd w:val="clear" w:color="auto" w:fill="auto"/>
            <w:hideMark/>
          </w:tcPr>
          <w:p w14:paraId="23C1EFBD" w14:textId="77777777" w:rsidR="00C4779A" w:rsidRPr="00C45933" w:rsidRDefault="00C4779A" w:rsidP="004D65FE">
            <w:pPr>
              <w:tabs>
                <w:tab w:val="clear" w:pos="567"/>
              </w:tabs>
              <w:spacing w:before="0" w:line="240" w:lineRule="auto"/>
              <w:rPr>
                <w:rFonts w:eastAsia="Times New Roman" w:cs="Open Sans Light"/>
                <w:sz w:val="16"/>
                <w:szCs w:val="16"/>
                <w:lang w:eastAsia="en-AU"/>
              </w:rPr>
            </w:pPr>
            <w:r w:rsidRPr="00C45933">
              <w:rPr>
                <w:rFonts w:eastAsia="Times New Roman" w:cs="Open Sans Light"/>
                <w:sz w:val="16"/>
                <w:szCs w:val="16"/>
                <w:lang w:eastAsia="en-AU"/>
              </w:rPr>
              <w:t>Services to industry</w:t>
            </w:r>
          </w:p>
        </w:tc>
        <w:tc>
          <w:tcPr>
            <w:tcW w:w="1700" w:type="dxa"/>
            <w:tcBorders>
              <w:top w:val="nil"/>
              <w:left w:val="nil"/>
              <w:bottom w:val="single" w:sz="4" w:space="0" w:color="ADD6EA"/>
              <w:right w:val="nil"/>
            </w:tcBorders>
            <w:shd w:val="clear" w:color="auto" w:fill="auto"/>
            <w:hideMark/>
          </w:tcPr>
          <w:p w14:paraId="6216E3D9"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2,221</w:t>
            </w:r>
          </w:p>
        </w:tc>
        <w:tc>
          <w:tcPr>
            <w:tcW w:w="1700" w:type="dxa"/>
            <w:tcBorders>
              <w:top w:val="nil"/>
              <w:left w:val="nil"/>
              <w:bottom w:val="single" w:sz="4" w:space="0" w:color="ADD6EA"/>
              <w:right w:val="nil"/>
            </w:tcBorders>
            <w:shd w:val="clear" w:color="auto" w:fill="auto"/>
            <w:hideMark/>
          </w:tcPr>
          <w:p w14:paraId="232FF2E5"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2,504</w:t>
            </w:r>
          </w:p>
        </w:tc>
        <w:tc>
          <w:tcPr>
            <w:tcW w:w="1700" w:type="dxa"/>
            <w:tcBorders>
              <w:top w:val="nil"/>
              <w:left w:val="nil"/>
              <w:bottom w:val="single" w:sz="4" w:space="0" w:color="ADD6EA"/>
              <w:right w:val="nil"/>
            </w:tcBorders>
            <w:shd w:val="clear" w:color="auto" w:fill="auto"/>
            <w:hideMark/>
          </w:tcPr>
          <w:p w14:paraId="018606B9" w14:textId="063A50EA"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47.0</w:t>
            </w:r>
          </w:p>
        </w:tc>
        <w:tc>
          <w:tcPr>
            <w:tcW w:w="1700" w:type="dxa"/>
            <w:tcBorders>
              <w:top w:val="nil"/>
              <w:left w:val="nil"/>
              <w:bottom w:val="single" w:sz="4" w:space="0" w:color="ADD6EA"/>
              <w:right w:val="nil"/>
            </w:tcBorders>
            <w:shd w:val="clear" w:color="auto" w:fill="auto"/>
            <w:hideMark/>
          </w:tcPr>
          <w:p w14:paraId="0DBC9E48" w14:textId="7C496BD6"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47.</w:t>
            </w:r>
          </w:p>
        </w:tc>
      </w:tr>
      <w:tr w:rsidR="00C4779A" w:rsidRPr="00C45933" w14:paraId="47404142" w14:textId="77777777" w:rsidTr="0093765C">
        <w:trPr>
          <w:trHeight w:val="315"/>
        </w:trPr>
        <w:tc>
          <w:tcPr>
            <w:tcW w:w="2420" w:type="dxa"/>
            <w:tcBorders>
              <w:top w:val="nil"/>
              <w:left w:val="nil"/>
              <w:bottom w:val="single" w:sz="4" w:space="0" w:color="ADD6EA"/>
              <w:right w:val="nil"/>
            </w:tcBorders>
            <w:shd w:val="clear" w:color="auto" w:fill="auto"/>
            <w:hideMark/>
          </w:tcPr>
          <w:p w14:paraId="5DE21987" w14:textId="77777777" w:rsidR="00C4779A" w:rsidRPr="00C45933" w:rsidRDefault="00C4779A" w:rsidP="004D65FE">
            <w:pPr>
              <w:tabs>
                <w:tab w:val="clear" w:pos="567"/>
              </w:tabs>
              <w:spacing w:before="0" w:line="240" w:lineRule="auto"/>
              <w:rPr>
                <w:rFonts w:eastAsia="Times New Roman" w:cs="Open Sans Light"/>
                <w:sz w:val="16"/>
                <w:szCs w:val="16"/>
                <w:lang w:eastAsia="en-AU"/>
              </w:rPr>
            </w:pPr>
            <w:r w:rsidRPr="00C45933">
              <w:rPr>
                <w:rFonts w:eastAsia="Times New Roman" w:cs="Open Sans Light"/>
                <w:sz w:val="16"/>
                <w:szCs w:val="16"/>
                <w:lang w:eastAsia="en-AU"/>
              </w:rPr>
              <w:t>Other expenses</w:t>
            </w:r>
          </w:p>
        </w:tc>
        <w:tc>
          <w:tcPr>
            <w:tcW w:w="1700" w:type="dxa"/>
            <w:tcBorders>
              <w:top w:val="nil"/>
              <w:left w:val="nil"/>
              <w:bottom w:val="single" w:sz="4" w:space="0" w:color="ADD6EA"/>
              <w:right w:val="nil"/>
            </w:tcBorders>
            <w:shd w:val="clear" w:color="auto" w:fill="auto"/>
            <w:hideMark/>
          </w:tcPr>
          <w:p w14:paraId="45FA3EE6"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8,185</w:t>
            </w:r>
          </w:p>
        </w:tc>
        <w:tc>
          <w:tcPr>
            <w:tcW w:w="1700" w:type="dxa"/>
            <w:tcBorders>
              <w:top w:val="nil"/>
              <w:left w:val="nil"/>
              <w:bottom w:val="single" w:sz="4" w:space="0" w:color="ADD6EA"/>
              <w:right w:val="nil"/>
            </w:tcBorders>
            <w:shd w:val="clear" w:color="auto" w:fill="auto"/>
            <w:hideMark/>
          </w:tcPr>
          <w:p w14:paraId="2C4BE076"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9,999</w:t>
            </w:r>
          </w:p>
        </w:tc>
        <w:tc>
          <w:tcPr>
            <w:tcW w:w="1700" w:type="dxa"/>
            <w:tcBorders>
              <w:top w:val="nil"/>
              <w:left w:val="nil"/>
              <w:bottom w:val="single" w:sz="4" w:space="0" w:color="ADD6EA"/>
              <w:right w:val="nil"/>
            </w:tcBorders>
            <w:shd w:val="clear" w:color="auto" w:fill="auto"/>
            <w:hideMark/>
          </w:tcPr>
          <w:p w14:paraId="75EEDFB6" w14:textId="063EE499"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45.0</w:t>
            </w:r>
          </w:p>
        </w:tc>
        <w:tc>
          <w:tcPr>
            <w:tcW w:w="1700" w:type="dxa"/>
            <w:tcBorders>
              <w:top w:val="nil"/>
              <w:left w:val="nil"/>
              <w:bottom w:val="single" w:sz="4" w:space="0" w:color="ADD6EA"/>
              <w:right w:val="nil"/>
            </w:tcBorders>
            <w:shd w:val="clear" w:color="auto" w:fill="auto"/>
            <w:hideMark/>
          </w:tcPr>
          <w:p w14:paraId="680948F1" w14:textId="77777777" w:rsidR="00C4779A" w:rsidRPr="00C45933" w:rsidRDefault="00C4779A" w:rsidP="004D65FE">
            <w:pPr>
              <w:tabs>
                <w:tab w:val="clear" w:pos="567"/>
              </w:tabs>
              <w:spacing w:before="0" w:line="240" w:lineRule="auto"/>
              <w:jc w:val="right"/>
              <w:rPr>
                <w:rFonts w:eastAsia="Times New Roman" w:cs="Open Sans Light"/>
                <w:sz w:val="16"/>
                <w:szCs w:val="16"/>
                <w:lang w:eastAsia="en-AU"/>
              </w:rPr>
            </w:pPr>
            <w:r w:rsidRPr="00C45933">
              <w:rPr>
                <w:rFonts w:eastAsia="Times New Roman" w:cs="Open Sans Light"/>
                <w:sz w:val="16"/>
                <w:szCs w:val="16"/>
                <w:lang w:eastAsia="en-AU"/>
              </w:rPr>
              <w:t>45.0%</w:t>
            </w:r>
          </w:p>
        </w:tc>
      </w:tr>
      <w:tr w:rsidR="00C4779A" w:rsidRPr="00C45933" w14:paraId="0A2E9ED4" w14:textId="77777777" w:rsidTr="0093765C">
        <w:trPr>
          <w:trHeight w:val="555"/>
        </w:trPr>
        <w:tc>
          <w:tcPr>
            <w:tcW w:w="2420" w:type="dxa"/>
            <w:tcBorders>
              <w:top w:val="nil"/>
              <w:left w:val="nil"/>
              <w:bottom w:val="single" w:sz="4" w:space="0" w:color="ADD6EA"/>
              <w:right w:val="nil"/>
            </w:tcBorders>
            <w:shd w:val="clear" w:color="000000" w:fill="D6E7F0"/>
            <w:vAlign w:val="bottom"/>
            <w:hideMark/>
          </w:tcPr>
          <w:p w14:paraId="0714568C" w14:textId="77777777" w:rsidR="00C4779A" w:rsidRPr="00C45933" w:rsidRDefault="00C4779A" w:rsidP="004D65FE">
            <w:pPr>
              <w:tabs>
                <w:tab w:val="clear" w:pos="567"/>
              </w:tabs>
              <w:spacing w:before="0" w:line="240" w:lineRule="auto"/>
              <w:rPr>
                <w:rFonts w:ascii="Open Sans SemiBold" w:eastAsia="Times New Roman" w:hAnsi="Open Sans SemiBold" w:cs="Open Sans SemiBold"/>
                <w:sz w:val="16"/>
                <w:szCs w:val="16"/>
                <w:lang w:eastAsia="en-AU"/>
              </w:rPr>
            </w:pPr>
            <w:r w:rsidRPr="00C45933">
              <w:rPr>
                <w:rFonts w:ascii="Open Sans SemiBold" w:eastAsia="Times New Roman" w:hAnsi="Open Sans SemiBold" w:cs="Open Sans SemiBold"/>
                <w:sz w:val="16"/>
                <w:szCs w:val="16"/>
                <w:lang w:eastAsia="en-AU"/>
              </w:rPr>
              <w:t>Total excluding Housing, Roads and Transport</w:t>
            </w:r>
          </w:p>
        </w:tc>
        <w:tc>
          <w:tcPr>
            <w:tcW w:w="1700" w:type="dxa"/>
            <w:tcBorders>
              <w:top w:val="nil"/>
              <w:left w:val="nil"/>
              <w:bottom w:val="single" w:sz="4" w:space="0" w:color="ADD6EA"/>
              <w:right w:val="nil"/>
            </w:tcBorders>
            <w:shd w:val="clear" w:color="000000" w:fill="D6E7F0"/>
            <w:vAlign w:val="bottom"/>
            <w:hideMark/>
          </w:tcPr>
          <w:p w14:paraId="3248FCF8" w14:textId="77777777" w:rsidR="00C4779A" w:rsidRPr="00C45933" w:rsidRDefault="00C4779A"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45933">
              <w:rPr>
                <w:rFonts w:ascii="Open Sans SemiBold" w:eastAsia="Times New Roman" w:hAnsi="Open Sans SemiBold" w:cs="Open Sans SemiBold"/>
                <w:sz w:val="16"/>
                <w:szCs w:val="16"/>
                <w:lang w:eastAsia="en-AU"/>
              </w:rPr>
              <w:t>106,970</w:t>
            </w:r>
          </w:p>
        </w:tc>
        <w:tc>
          <w:tcPr>
            <w:tcW w:w="1700" w:type="dxa"/>
            <w:tcBorders>
              <w:top w:val="nil"/>
              <w:left w:val="nil"/>
              <w:bottom w:val="single" w:sz="4" w:space="0" w:color="ADD6EA"/>
              <w:right w:val="nil"/>
            </w:tcBorders>
            <w:shd w:val="clear" w:color="000000" w:fill="D6E7F0"/>
            <w:vAlign w:val="bottom"/>
            <w:hideMark/>
          </w:tcPr>
          <w:p w14:paraId="351D9434" w14:textId="77777777" w:rsidR="00C4779A" w:rsidRPr="00C45933" w:rsidRDefault="00C4779A"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45933">
              <w:rPr>
                <w:rFonts w:ascii="Open Sans SemiBold" w:eastAsia="Times New Roman" w:hAnsi="Open Sans SemiBold" w:cs="Open Sans SemiBold"/>
                <w:sz w:val="16"/>
                <w:szCs w:val="16"/>
                <w:lang w:eastAsia="en-AU"/>
              </w:rPr>
              <w:t>61,956</w:t>
            </w:r>
          </w:p>
        </w:tc>
        <w:tc>
          <w:tcPr>
            <w:tcW w:w="1700" w:type="dxa"/>
            <w:tcBorders>
              <w:top w:val="nil"/>
              <w:left w:val="nil"/>
              <w:bottom w:val="single" w:sz="4" w:space="0" w:color="ADD6EA"/>
              <w:right w:val="nil"/>
            </w:tcBorders>
            <w:shd w:val="clear" w:color="000000" w:fill="D6E7F0"/>
            <w:vAlign w:val="bottom"/>
            <w:hideMark/>
          </w:tcPr>
          <w:p w14:paraId="4ACB6E20" w14:textId="77777777" w:rsidR="00C4779A" w:rsidRPr="00C45933" w:rsidRDefault="00C4779A"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45933">
              <w:rPr>
                <w:rFonts w:ascii="Open Sans SemiBold" w:eastAsia="Times New Roman" w:hAnsi="Open Sans SemiBold" w:cs="Open Sans SemiBold"/>
                <w:sz w:val="16"/>
                <w:szCs w:val="16"/>
                <w:lang w:eastAsia="en-AU"/>
              </w:rPr>
              <w:t>63.3%</w:t>
            </w:r>
          </w:p>
        </w:tc>
        <w:tc>
          <w:tcPr>
            <w:tcW w:w="1700" w:type="dxa"/>
            <w:tcBorders>
              <w:top w:val="nil"/>
              <w:left w:val="nil"/>
              <w:bottom w:val="single" w:sz="4" w:space="0" w:color="ADD6EA"/>
              <w:right w:val="nil"/>
            </w:tcBorders>
            <w:shd w:val="clear" w:color="000000" w:fill="D6E7F0"/>
            <w:vAlign w:val="bottom"/>
            <w:hideMark/>
          </w:tcPr>
          <w:p w14:paraId="794C964A" w14:textId="77777777" w:rsidR="00C4779A" w:rsidRPr="00C45933" w:rsidRDefault="00C4779A"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C45933">
              <w:rPr>
                <w:rFonts w:ascii="Open Sans SemiBold" w:eastAsia="Times New Roman" w:hAnsi="Open Sans SemiBold" w:cs="Open Sans SemiBold"/>
                <w:sz w:val="16"/>
                <w:szCs w:val="16"/>
                <w:lang w:eastAsia="en-AU"/>
              </w:rPr>
              <w:t>63.3%</w:t>
            </w:r>
          </w:p>
        </w:tc>
      </w:tr>
    </w:tbl>
    <w:p w14:paraId="398FEDED" w14:textId="77777777" w:rsidR="00C4779A" w:rsidRPr="005A63A8" w:rsidRDefault="00C4779A" w:rsidP="00C4779A">
      <w:pPr>
        <w:pStyle w:val="CGCTablenote"/>
      </w:pPr>
      <w:r w:rsidRPr="005A63A8">
        <w:t>Notes:</w:t>
      </w:r>
      <w:r w:rsidRPr="005A63A8">
        <w:tab/>
        <w:t xml:space="preserve">Proportions for Housing, Roads and Transport have been set to the average of all other categories. </w:t>
      </w:r>
    </w:p>
    <w:p w14:paraId="61A77ECD" w14:textId="77777777" w:rsidR="00C4779A" w:rsidRPr="005A63A8" w:rsidRDefault="00C4779A" w:rsidP="00C4779A">
      <w:pPr>
        <w:pStyle w:val="CGCTablenote"/>
      </w:pPr>
      <w:r w:rsidRPr="005A63A8">
        <w:tab/>
        <w:t>The proportion for two sub-components of Services to communities have been set to the average of all other categories. These sub-components are not shown here.</w:t>
      </w:r>
    </w:p>
    <w:p w14:paraId="71B87947" w14:textId="77777777" w:rsidR="00C4779A" w:rsidRPr="005A63A8" w:rsidRDefault="00C4779A" w:rsidP="00C4779A">
      <w:pPr>
        <w:pStyle w:val="CGCTablenote"/>
      </w:pPr>
      <w:r w:rsidRPr="005A63A8">
        <w:tab/>
        <w:t>The wage proportion of administrative scale expenses is set at 60%.</w:t>
      </w:r>
    </w:p>
    <w:p w14:paraId="4D118DD5" w14:textId="4D88AF43" w:rsidR="00C4779A" w:rsidRPr="005A63A8" w:rsidRDefault="00C4779A" w:rsidP="00C4779A">
      <w:pPr>
        <w:pStyle w:val="CGCTablenote"/>
      </w:pPr>
      <w:r w:rsidRPr="005A63A8">
        <w:t>Source:</w:t>
      </w:r>
      <w:r w:rsidRPr="005A63A8">
        <w:tab/>
        <w:t xml:space="preserve">Commission calculation based on </w:t>
      </w:r>
      <w:r w:rsidR="009E1EC3">
        <w:t xml:space="preserve">Australian Bureau of Statistics (ABS) </w:t>
      </w:r>
      <w:r w:rsidRPr="005A63A8">
        <w:t>GFS.</w:t>
      </w:r>
    </w:p>
    <w:p w14:paraId="357AF3BB" w14:textId="042BEE40" w:rsidR="00C4779A" w:rsidRPr="005A63A8" w:rsidRDefault="00C4779A" w:rsidP="00F47EC7">
      <w:pPr>
        <w:pStyle w:val="CGCParaNumber"/>
      </w:pPr>
      <w:r w:rsidRPr="005A63A8">
        <w:fldChar w:fldCharType="begin"/>
      </w:r>
      <w:r w:rsidRPr="005A63A8">
        <w:instrText xml:space="preserve"> REF _Ref498679223 \h  \* MERGEFORMAT </w:instrText>
      </w:r>
      <w:r w:rsidRPr="005A63A8">
        <w:fldChar w:fldCharType="separate"/>
      </w:r>
      <w:r w:rsidR="007F721A" w:rsidRPr="005A63A8">
        <w:t xml:space="preserve">Table </w:t>
      </w:r>
      <w:r w:rsidR="007F721A">
        <w:rPr>
          <w:noProof/>
        </w:rPr>
        <w:t>27-3</w:t>
      </w:r>
      <w:r w:rsidRPr="005A63A8">
        <w:fldChar w:fldCharType="end"/>
      </w:r>
      <w:r w:rsidRPr="005A63A8">
        <w:t xml:space="preserve"> sets out the influence measured by the </w:t>
      </w:r>
      <w:r w:rsidR="00B225E9" w:rsidRPr="005A63A8">
        <w:t>wage</w:t>
      </w:r>
      <w:r w:rsidRPr="005A63A8">
        <w:t xml:space="preserve"> costs assessment. </w:t>
      </w:r>
    </w:p>
    <w:p w14:paraId="48E50E1F" w14:textId="4B8EDCC2" w:rsidR="00C4779A" w:rsidRDefault="00C4779A" w:rsidP="00C4779A">
      <w:pPr>
        <w:pStyle w:val="Caption"/>
      </w:pPr>
      <w:bookmarkStart w:id="493" w:name="_Ref498679223"/>
      <w:r w:rsidRPr="005A63A8">
        <w:t xml:space="preserve">Table </w:t>
      </w:r>
      <w:r>
        <w:t>27-</w:t>
      </w:r>
      <w:fldSimple w:instr=" SEQ Table \* ARABIC ">
        <w:r w:rsidR="007F721A">
          <w:rPr>
            <w:noProof/>
          </w:rPr>
          <w:t>3</w:t>
        </w:r>
      </w:fldSimple>
      <w:bookmarkEnd w:id="493"/>
      <w:r w:rsidRPr="005A63A8">
        <w:tab/>
        <w:t>Wage costs assessment, 2020 Review</w:t>
      </w:r>
    </w:p>
    <w:tbl>
      <w:tblPr>
        <w:tblW w:w="9220" w:type="dxa"/>
        <w:tblCellMar>
          <w:left w:w="28" w:type="dxa"/>
        </w:tblCellMar>
        <w:tblLook w:val="04A0" w:firstRow="1" w:lastRow="0" w:firstColumn="1" w:lastColumn="0" w:noHBand="0" w:noVBand="1"/>
      </w:tblPr>
      <w:tblGrid>
        <w:gridCol w:w="1640"/>
        <w:gridCol w:w="7580"/>
      </w:tblGrid>
      <w:tr w:rsidR="00C4779A" w:rsidRPr="00334EFA" w14:paraId="49109AC2" w14:textId="77777777" w:rsidTr="00A745E0">
        <w:trPr>
          <w:trHeight w:val="375"/>
        </w:trPr>
        <w:tc>
          <w:tcPr>
            <w:tcW w:w="1640" w:type="dxa"/>
            <w:tcBorders>
              <w:top w:val="single" w:sz="4" w:space="0" w:color="ADD6EA"/>
              <w:left w:val="nil"/>
              <w:bottom w:val="single" w:sz="4" w:space="0" w:color="ADD6EA"/>
              <w:right w:val="nil"/>
            </w:tcBorders>
            <w:shd w:val="clear" w:color="000000" w:fill="006991"/>
            <w:vAlign w:val="center"/>
            <w:hideMark/>
          </w:tcPr>
          <w:p w14:paraId="165B9627" w14:textId="77777777" w:rsidR="00C4779A" w:rsidRPr="00334EFA" w:rsidRDefault="00C4779A"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334EFA">
              <w:rPr>
                <w:rFonts w:ascii="Open Sans SemiBold" w:eastAsia="Times New Roman" w:hAnsi="Open Sans SemiBold" w:cs="Open Sans SemiBold"/>
                <w:color w:val="FFFFFF"/>
                <w:sz w:val="16"/>
                <w:szCs w:val="16"/>
                <w:lang w:eastAsia="en-AU"/>
              </w:rPr>
              <w:t>Disability</w:t>
            </w:r>
          </w:p>
        </w:tc>
        <w:tc>
          <w:tcPr>
            <w:tcW w:w="7580" w:type="dxa"/>
            <w:tcBorders>
              <w:top w:val="single" w:sz="4" w:space="0" w:color="ADD6EA"/>
              <w:left w:val="nil"/>
              <w:bottom w:val="single" w:sz="4" w:space="0" w:color="ADD6EA"/>
              <w:right w:val="nil"/>
            </w:tcBorders>
            <w:shd w:val="clear" w:color="000000" w:fill="006991"/>
            <w:vAlign w:val="center"/>
            <w:hideMark/>
          </w:tcPr>
          <w:p w14:paraId="529C164E" w14:textId="77777777" w:rsidR="00C4779A" w:rsidRPr="00334EFA" w:rsidRDefault="00C4779A"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334EFA">
              <w:rPr>
                <w:rFonts w:ascii="Open Sans SemiBold" w:eastAsia="Times New Roman" w:hAnsi="Open Sans SemiBold" w:cs="Open Sans SemiBold"/>
                <w:color w:val="FFFFFF"/>
                <w:sz w:val="16"/>
                <w:szCs w:val="16"/>
                <w:lang w:eastAsia="en-AU"/>
              </w:rPr>
              <w:t>Influence measured by disability</w:t>
            </w:r>
          </w:p>
        </w:tc>
      </w:tr>
      <w:tr w:rsidR="00C4779A" w:rsidRPr="00334EFA" w14:paraId="38E7BEC4" w14:textId="77777777" w:rsidTr="00A745E0">
        <w:trPr>
          <w:trHeight w:val="555"/>
        </w:trPr>
        <w:tc>
          <w:tcPr>
            <w:tcW w:w="1640" w:type="dxa"/>
            <w:tcBorders>
              <w:top w:val="nil"/>
              <w:left w:val="nil"/>
              <w:bottom w:val="single" w:sz="4" w:space="0" w:color="ADD6EA"/>
              <w:right w:val="nil"/>
            </w:tcBorders>
            <w:shd w:val="clear" w:color="auto" w:fill="auto"/>
            <w:hideMark/>
          </w:tcPr>
          <w:p w14:paraId="1D0DD7F3" w14:textId="77777777" w:rsidR="00C4779A" w:rsidRPr="00334EFA" w:rsidRDefault="00C4779A" w:rsidP="004D65FE">
            <w:pPr>
              <w:tabs>
                <w:tab w:val="clear" w:pos="567"/>
              </w:tabs>
              <w:spacing w:before="0" w:line="240" w:lineRule="auto"/>
              <w:rPr>
                <w:rFonts w:ascii="Open Sans SemiBold" w:eastAsia="Times New Roman" w:hAnsi="Open Sans SemiBold" w:cs="Open Sans SemiBold"/>
                <w:sz w:val="16"/>
                <w:szCs w:val="16"/>
                <w:lang w:eastAsia="en-AU"/>
              </w:rPr>
            </w:pPr>
            <w:r w:rsidRPr="00334EFA">
              <w:rPr>
                <w:rFonts w:ascii="Open Sans SemiBold" w:eastAsia="Times New Roman" w:hAnsi="Open Sans SemiBold" w:cs="Open Sans SemiBold"/>
                <w:sz w:val="16"/>
                <w:szCs w:val="16"/>
                <w:lang w:eastAsia="en-AU"/>
              </w:rPr>
              <w:t>Wage costs</w:t>
            </w:r>
          </w:p>
        </w:tc>
        <w:tc>
          <w:tcPr>
            <w:tcW w:w="7580" w:type="dxa"/>
            <w:tcBorders>
              <w:top w:val="nil"/>
              <w:left w:val="nil"/>
              <w:bottom w:val="single" w:sz="4" w:space="0" w:color="ADD6EA"/>
              <w:right w:val="nil"/>
            </w:tcBorders>
            <w:shd w:val="clear" w:color="auto" w:fill="auto"/>
            <w:hideMark/>
          </w:tcPr>
          <w:p w14:paraId="37224617" w14:textId="77777777" w:rsidR="00C4779A" w:rsidRPr="00334EFA" w:rsidRDefault="00C4779A" w:rsidP="004D65FE">
            <w:pPr>
              <w:tabs>
                <w:tab w:val="clear" w:pos="567"/>
              </w:tabs>
              <w:spacing w:before="0" w:line="240" w:lineRule="auto"/>
              <w:rPr>
                <w:rFonts w:eastAsia="Times New Roman" w:cs="Open Sans Light"/>
                <w:sz w:val="16"/>
                <w:szCs w:val="16"/>
                <w:lang w:eastAsia="en-AU"/>
              </w:rPr>
            </w:pPr>
            <w:r w:rsidRPr="00334EFA">
              <w:rPr>
                <w:rFonts w:eastAsia="Times New Roman" w:cs="Open Sans Light"/>
                <w:sz w:val="16"/>
                <w:szCs w:val="16"/>
                <w:lang w:eastAsia="en-AU"/>
              </w:rPr>
              <w:t>Recognises the additional cost to States with higher wage levels for reasons beyond their control. These costs are estimated using an econometric model run on ABS CoES data.</w:t>
            </w:r>
          </w:p>
        </w:tc>
      </w:tr>
    </w:tbl>
    <w:p w14:paraId="2D8E39F3" w14:textId="77777777" w:rsidR="00C4779A" w:rsidRPr="005A63A8" w:rsidRDefault="00C4779A" w:rsidP="00F47EC7">
      <w:pPr>
        <w:pStyle w:val="CGCParaNumber"/>
      </w:pPr>
      <w:r w:rsidRPr="005A63A8">
        <w:t>The main assessment issues for the assessment were:</w:t>
      </w:r>
    </w:p>
    <w:p w14:paraId="4451E376" w14:textId="77777777" w:rsidR="00C4779A" w:rsidRPr="005A63A8" w:rsidRDefault="00C4779A" w:rsidP="00C4779A">
      <w:pPr>
        <w:pStyle w:val="CGCBullet1"/>
      </w:pPr>
      <w:r w:rsidRPr="005A63A8">
        <w:t>the conceptual basis for the assessment</w:t>
      </w:r>
    </w:p>
    <w:p w14:paraId="14900AF3" w14:textId="77777777" w:rsidR="00C4779A" w:rsidRPr="005A63A8" w:rsidRDefault="00C4779A" w:rsidP="00C4779A">
      <w:pPr>
        <w:pStyle w:val="CGCBullet1"/>
      </w:pPr>
      <w:r w:rsidRPr="005A63A8">
        <w:t>the specification of the econometric model and interpretation of its results</w:t>
      </w:r>
    </w:p>
    <w:p w14:paraId="7500C106" w14:textId="77777777" w:rsidR="00C4779A" w:rsidRPr="005A63A8" w:rsidRDefault="00C4779A" w:rsidP="00C4779A">
      <w:pPr>
        <w:pStyle w:val="CGCBullet1"/>
      </w:pPr>
      <w:r w:rsidRPr="005A63A8">
        <w:t>the volatility of the modelled outcomes</w:t>
      </w:r>
    </w:p>
    <w:p w14:paraId="38F9FE96" w14:textId="77777777" w:rsidR="00C4779A" w:rsidRPr="005A63A8" w:rsidRDefault="00C4779A" w:rsidP="00C4779A">
      <w:pPr>
        <w:pStyle w:val="CGCBullet1"/>
      </w:pPr>
      <w:r w:rsidRPr="005A63A8">
        <w:t>the level of discount applied</w:t>
      </w:r>
    </w:p>
    <w:p w14:paraId="69A8A09F" w14:textId="77777777" w:rsidR="00C4779A" w:rsidRPr="005A63A8" w:rsidRDefault="00C4779A" w:rsidP="00C4779A">
      <w:pPr>
        <w:pStyle w:val="CGCBullet1"/>
      </w:pPr>
      <w:r w:rsidRPr="005A63A8">
        <w:t>State specific adjustments to the modelled outcomes</w:t>
      </w:r>
    </w:p>
    <w:p w14:paraId="0526F5B1" w14:textId="77777777" w:rsidR="00C4779A" w:rsidRPr="005A63A8" w:rsidRDefault="00C4779A" w:rsidP="00C4779A">
      <w:pPr>
        <w:pStyle w:val="CGCBullet1"/>
      </w:pPr>
      <w:r w:rsidRPr="005A63A8">
        <w:t>category specific wage costs adjustments</w:t>
      </w:r>
    </w:p>
    <w:p w14:paraId="42AC396E" w14:textId="77777777" w:rsidR="00C4779A" w:rsidRPr="005A63A8" w:rsidRDefault="00C4779A" w:rsidP="00C4779A">
      <w:pPr>
        <w:pStyle w:val="CGCBullet1"/>
      </w:pPr>
      <w:r w:rsidRPr="005A63A8">
        <w:t>adopting an alternative model or data source for the assessment.</w:t>
      </w:r>
    </w:p>
    <w:p w14:paraId="6423F84A" w14:textId="77777777" w:rsidR="00C4779A" w:rsidRPr="008C2EF6" w:rsidRDefault="00C4779A" w:rsidP="00F47EC7">
      <w:pPr>
        <w:pStyle w:val="CGCParaNumber"/>
      </w:pPr>
      <w:r w:rsidRPr="008C2EF6">
        <w:lastRenderedPageBreak/>
        <w:t>These issues are considered below, including State views.</w:t>
      </w:r>
      <w:r>
        <w:rPr>
          <w:rStyle w:val="FootnoteReference"/>
        </w:rPr>
        <w:footnoteReference w:id="114"/>
      </w:r>
    </w:p>
    <w:p w14:paraId="52F92C16" w14:textId="77777777" w:rsidR="00C4779A" w:rsidRPr="008C2EF6" w:rsidRDefault="00C4779A" w:rsidP="00C4779A">
      <w:pPr>
        <w:pStyle w:val="Heading4"/>
      </w:pPr>
      <w:bookmarkStart w:id="494" w:name="_Toc532376410"/>
      <w:bookmarkStart w:id="495" w:name="_Toc6905019"/>
      <w:bookmarkStart w:id="496" w:name="_Toc511636041"/>
      <w:bookmarkStart w:id="497" w:name="_Toc527563570"/>
      <w:r w:rsidRPr="008C2EF6">
        <w:t>The conceptual basis for the assessment</w:t>
      </w:r>
      <w:bookmarkEnd w:id="494"/>
      <w:bookmarkEnd w:id="495"/>
    </w:p>
    <w:p w14:paraId="3C1D35D6" w14:textId="77777777" w:rsidR="00C4779A" w:rsidRPr="008C2EF6" w:rsidRDefault="00C4779A" w:rsidP="00F47EC7">
      <w:pPr>
        <w:pStyle w:val="CGCParaNumber"/>
      </w:pPr>
      <w:r w:rsidRPr="008C2EF6">
        <w:t>States raised three different concerns regarding the conceptual basis for the assessment.</w:t>
      </w:r>
    </w:p>
    <w:p w14:paraId="47A73785" w14:textId="77777777" w:rsidR="00C4779A" w:rsidRPr="008C2EF6" w:rsidRDefault="00C4779A" w:rsidP="00C4779A">
      <w:pPr>
        <w:pStyle w:val="Heading5"/>
      </w:pPr>
      <w:r w:rsidRPr="008C2EF6">
        <w:t>National labour markets</w:t>
      </w:r>
    </w:p>
    <w:p w14:paraId="7509CEEB" w14:textId="77777777" w:rsidR="00C4779A" w:rsidRPr="008C2EF6" w:rsidRDefault="00C4779A" w:rsidP="00F47EC7">
      <w:pPr>
        <w:pStyle w:val="CGCParaNumber"/>
      </w:pPr>
      <w:r w:rsidRPr="008C2EF6">
        <w:t>Victoria and South Australia cited the report of the consultants engaged by the Commission in its review of the assessment in the 2016 Update</w:t>
      </w:r>
      <w:r>
        <w:t>, when the Commission developed its current assessment method</w:t>
      </w:r>
      <w:r w:rsidRPr="008C2EF6">
        <w:t>.</w:t>
      </w:r>
      <w:r w:rsidRPr="008C2EF6">
        <w:rPr>
          <w:rStyle w:val="FootnoteReference"/>
        </w:rPr>
        <w:footnoteReference w:id="115"/>
      </w:r>
      <w:r w:rsidRPr="008C2EF6">
        <w:t xml:space="preserve"> In particular, they pointed to the consultants’ observation that States may compete for workers in local labour markets and national labour markets simultaneously. They said the premise that wage pressures beyond the control of States are solely (or predominantly) due to State</w:t>
      </w:r>
      <w:r>
        <w:t xml:space="preserve"> </w:t>
      </w:r>
      <w:r w:rsidRPr="008C2EF6">
        <w:t>specific factors can no longer be sustained, and the assessment methodology should be revised.</w:t>
      </w:r>
    </w:p>
    <w:p w14:paraId="1453F2E7" w14:textId="77777777" w:rsidR="00C4779A" w:rsidRPr="008C2EF6" w:rsidRDefault="00C4779A" w:rsidP="00F47EC7">
      <w:pPr>
        <w:pStyle w:val="CGCParaNumber"/>
      </w:pPr>
      <w:r w:rsidRPr="008C2EF6">
        <w:t>Western Australia, the ACT and the Northern Territory disagreed with the view that any influence of national markets meant the assessment was flawed. Western Australia reiterated its argument that if a State pays a ‘national market’ wage that is above what the local market dictates, it will be able to employ more productive workers, allowing either cost savings or a higher standard of service. The ACT said that, if labour mobility between States was low, national markets would have little influence on wage levels. However, it said the existence of national labour markets in no way precluded premiums or discounts to the national average which represent differences between States in locational costs and amenities.</w:t>
      </w:r>
    </w:p>
    <w:p w14:paraId="739A4030" w14:textId="77777777" w:rsidR="00C4779A" w:rsidRPr="008C2EF6" w:rsidRDefault="00C4779A" w:rsidP="00F47EC7">
      <w:pPr>
        <w:pStyle w:val="CGCParaNumber"/>
      </w:pPr>
      <w:r w:rsidRPr="008C2EF6">
        <w:t xml:space="preserve">The Northern Territory said Census data showing relatively little interstate movement between public sector workforces did not support the argument that States primarily compete </w:t>
      </w:r>
      <w:r>
        <w:t>with</w:t>
      </w:r>
      <w:r w:rsidRPr="008C2EF6">
        <w:t xml:space="preserve"> one another for workers. While the Northern Territory had a greater reliance on non-local workers than other States, it did not seek to be a wage leader or set levels based on national levels; rather its base level of wages reflected local conditions.</w:t>
      </w:r>
    </w:p>
    <w:p w14:paraId="7F9D5B15" w14:textId="77777777" w:rsidR="00C4779A" w:rsidRPr="008C2EF6" w:rsidRDefault="00C4779A" w:rsidP="00F47EC7">
      <w:pPr>
        <w:pStyle w:val="CGCParaNumber"/>
      </w:pPr>
      <w:r w:rsidRPr="008C2EF6">
        <w:t>The Commission continues to observe differences in the wages paid to public sector employees in the same occupations in different States. It has not changed its view that these differences are likely to arise from both policy choices and influences beyond States’ control.</w:t>
      </w:r>
    </w:p>
    <w:p w14:paraId="52BC3953" w14:textId="77777777" w:rsidR="00C4779A" w:rsidRPr="008C2EF6" w:rsidRDefault="00C4779A" w:rsidP="00F47EC7">
      <w:pPr>
        <w:pStyle w:val="CGCParaNumber"/>
      </w:pPr>
      <w:r w:rsidRPr="008C2EF6">
        <w:t>The Commission has previously referred to economic theories that can explain the persistence of differences in nominal wages for comparable private and public sector employees across regional labour markets. Those theories include compensating differentials, macroe</w:t>
      </w:r>
      <w:r>
        <w:t>conomic factors, attachment to S</w:t>
      </w:r>
      <w:r w:rsidRPr="008C2EF6">
        <w:t>tate and migration costs.</w:t>
      </w:r>
      <w:r w:rsidRPr="008C2EF6">
        <w:rPr>
          <w:rStyle w:val="FootnoteReference"/>
        </w:rPr>
        <w:footnoteReference w:id="116"/>
      </w:r>
      <w:r w:rsidRPr="008C2EF6">
        <w:t xml:space="preserve"> The theories provide conceptual reasons why observed differences in public sector wages may not necessarily reflect policy choice alone and can persist over time.</w:t>
      </w:r>
    </w:p>
    <w:p w14:paraId="19F0195E" w14:textId="77777777" w:rsidR="00C4779A" w:rsidRPr="008C2EF6" w:rsidRDefault="00C4779A" w:rsidP="00F47EC7">
      <w:pPr>
        <w:pStyle w:val="CGCParaNumber"/>
      </w:pPr>
      <w:r w:rsidRPr="008C2EF6">
        <w:t xml:space="preserve">Mavromaras </w:t>
      </w:r>
      <w:r w:rsidRPr="008C2EF6">
        <w:rPr>
          <w:i/>
        </w:rPr>
        <w:t xml:space="preserve">et al. </w:t>
      </w:r>
      <w:r w:rsidRPr="008C2EF6">
        <w:t xml:space="preserve">found that States compete in two markets simultaneously </w:t>
      </w:r>
      <w:r>
        <w:t>—</w:t>
      </w:r>
      <w:r w:rsidRPr="008C2EF6">
        <w:t xml:space="preserve"> the national labour market and the local labour market. But they also found that comparable State employees are paid different wages in different States.</w:t>
      </w:r>
      <w:r w:rsidRPr="008C2EF6">
        <w:rPr>
          <w:rStyle w:val="FootnoteReference"/>
        </w:rPr>
        <w:footnoteReference w:id="117"/>
      </w:r>
      <w:r w:rsidRPr="008C2EF6">
        <w:t xml:space="preserve"> If, as South Australia has argued, </w:t>
      </w:r>
      <w:r w:rsidRPr="008C2EF6">
        <w:lastRenderedPageBreak/>
        <w:t xml:space="preserve">States set public sector wages solely (or principally) with regard to those in other States, the Commission would expect to see some convergence in public sector wages across States. This is not what </w:t>
      </w:r>
      <w:r>
        <w:t>the Commission</w:t>
      </w:r>
      <w:r w:rsidRPr="008C2EF6">
        <w:t xml:space="preserve"> </w:t>
      </w:r>
      <w:r>
        <w:t xml:space="preserve">has </w:t>
      </w:r>
      <w:r w:rsidRPr="008C2EF6">
        <w:t>observe</w:t>
      </w:r>
      <w:r>
        <w:t>d</w:t>
      </w:r>
      <w:r w:rsidRPr="008C2EF6">
        <w:t xml:space="preserve"> from the available data. </w:t>
      </w:r>
    </w:p>
    <w:p w14:paraId="2B09FA6D" w14:textId="77777777" w:rsidR="00C4779A" w:rsidRPr="008C2EF6" w:rsidRDefault="00C4779A" w:rsidP="00F47EC7">
      <w:pPr>
        <w:pStyle w:val="CGCParaNumber"/>
      </w:pPr>
      <w:r w:rsidRPr="008C2EF6">
        <w:t xml:space="preserve">Further, while South Australia argued States compete for workers in job specific (national) labour markets, it did not provide evidence that the private sector does not also face similar competition. To the extent that the private sector also competes in the two markets simultaneously, the effects on wages </w:t>
      </w:r>
      <w:r>
        <w:t>are</w:t>
      </w:r>
      <w:r w:rsidRPr="008C2EF6">
        <w:t xml:space="preserve"> reflected in the Commission’s model.</w:t>
      </w:r>
    </w:p>
    <w:p w14:paraId="38D8E1D1" w14:textId="77777777" w:rsidR="00C4779A" w:rsidRPr="008C2EF6" w:rsidRDefault="00C4779A" w:rsidP="00F47EC7">
      <w:pPr>
        <w:pStyle w:val="CGCParaNumber"/>
      </w:pPr>
      <w:r w:rsidRPr="008C2EF6">
        <w:t xml:space="preserve">The Commission’s previous analysis of Census data showed that 60% of people joining State public services between 2006 and 2011 moved from the private sector in their State, while only 3% moved from the State public service in another State. This suggests that the direct impact of competition for labour from other sectors within a State appears to be stronger than the impact of a national labour market for State public service employees. In the absence of strong evidence for the influence of national markets and a sound method for measuring the impact of that influence, the Commission </w:t>
      </w:r>
      <w:r>
        <w:t>has decided not to</w:t>
      </w:r>
      <w:r w:rsidRPr="008C2EF6">
        <w:t xml:space="preserve"> make any changes to the assessment in respect of the national labour market argument.</w:t>
      </w:r>
    </w:p>
    <w:p w14:paraId="735BEDEF" w14:textId="77777777" w:rsidR="00C4779A" w:rsidRPr="008C2EF6" w:rsidRDefault="00C4779A" w:rsidP="00C4779A">
      <w:pPr>
        <w:pStyle w:val="Heading5"/>
      </w:pPr>
      <w:r w:rsidRPr="008C2EF6">
        <w:t>Private sector wages as a proxy for public sector wage pressures</w:t>
      </w:r>
    </w:p>
    <w:p w14:paraId="28C3CFF4" w14:textId="77777777" w:rsidR="00C4779A" w:rsidRPr="008C2EF6" w:rsidRDefault="00C4779A" w:rsidP="00F47EC7">
      <w:pPr>
        <w:pStyle w:val="CGCParaNumber"/>
      </w:pPr>
      <w:r w:rsidRPr="008C2EF6">
        <w:t>Queensland and South Australia argued that private sector wages are not a good proxy of public sector wage pressures. Queensland said the model, based on private sector wages, did not capture pressures on public sector wages, such as the cost of living or the ability to attract employees to remote regions. South Australia said that private sector wage movements alone are unlikely to determine movements in wages for the majority of public sector employees (for example, nurses and teachers). It said that, with a few exceptions in highly specialised fields, the public sector is not forced to pay private sector wages, and that public sector wage outcomes reflect movements in national markets and State fiscal strategies.</w:t>
      </w:r>
    </w:p>
    <w:p w14:paraId="7B0D8D4B" w14:textId="77777777" w:rsidR="00C4779A" w:rsidRPr="005A63A8" w:rsidRDefault="00C4779A" w:rsidP="00F47EC7">
      <w:pPr>
        <w:pStyle w:val="CGCParaNumber"/>
      </w:pPr>
      <w:r w:rsidRPr="008C2EF6">
        <w:t>Western Australia</w:t>
      </w:r>
      <w:r>
        <w:t>,</w:t>
      </w:r>
      <w:r w:rsidRPr="008C2EF6">
        <w:t xml:space="preserve"> the ACT</w:t>
      </w:r>
      <w:r>
        <w:t xml:space="preserve"> and the </w:t>
      </w:r>
      <w:r w:rsidRPr="00D23C06">
        <w:t>Northern Territory</w:t>
      </w:r>
      <w:r w:rsidRPr="008C2EF6">
        <w:t xml:space="preserve"> disagreed. Western Australia considered that the relationship between public and private sector wages is likely to hold in the long term, even though movements in public sector wages often lag those in the private sector. The ACT pointed to the strong correlation between public and private sector wages (0.83) in the econometric results for </w:t>
      </w:r>
      <w:r w:rsidRPr="005A63A8">
        <w:t>the 2016-17 CoES.</w:t>
      </w:r>
    </w:p>
    <w:p w14:paraId="51F2654A" w14:textId="2CFB614A" w:rsidR="00C4779A" w:rsidRPr="005A63A8" w:rsidRDefault="00C4779A" w:rsidP="00F47EC7">
      <w:pPr>
        <w:pStyle w:val="CGCParaNumber"/>
      </w:pPr>
      <w:r w:rsidRPr="005A63A8">
        <w:t xml:space="preserve">Mavromaras </w:t>
      </w:r>
      <w:r w:rsidRPr="005A63A8">
        <w:rPr>
          <w:i/>
        </w:rPr>
        <w:t>et al.</w:t>
      </w:r>
      <w:r w:rsidRPr="005A63A8">
        <w:t xml:space="preserve"> found that public sector wages respond to the same pressures as private sector wages (albeit with a lag). </w:t>
      </w:r>
      <w:r w:rsidRPr="005A63A8">
        <w:fldChar w:fldCharType="begin"/>
      </w:r>
      <w:r w:rsidRPr="005A63A8">
        <w:instrText xml:space="preserve"> REF _Ref528855758 \h  \* MERGEFORMAT </w:instrText>
      </w:r>
      <w:r w:rsidRPr="005A63A8">
        <w:fldChar w:fldCharType="separate"/>
      </w:r>
      <w:r w:rsidR="007F721A" w:rsidRPr="008C2EF6">
        <w:t xml:space="preserve">Figure </w:t>
      </w:r>
      <w:r w:rsidR="007F721A">
        <w:rPr>
          <w:noProof/>
        </w:rPr>
        <w:t>27-2</w:t>
      </w:r>
      <w:r w:rsidRPr="005A63A8">
        <w:fldChar w:fldCharType="end"/>
      </w:r>
      <w:r w:rsidRPr="005A63A8">
        <w:t xml:space="preserve">, </w:t>
      </w:r>
      <w:r w:rsidRPr="005A63A8">
        <w:fldChar w:fldCharType="begin"/>
      </w:r>
      <w:r w:rsidRPr="005A63A8">
        <w:instrText xml:space="preserve"> REF _Ref528855461 \h  \* MERGEFORMAT </w:instrText>
      </w:r>
      <w:r w:rsidRPr="005A63A8">
        <w:fldChar w:fldCharType="separate"/>
      </w:r>
      <w:r w:rsidR="007F721A" w:rsidRPr="008C2EF6">
        <w:t xml:space="preserve">Figure </w:t>
      </w:r>
      <w:r w:rsidR="007F721A">
        <w:rPr>
          <w:noProof/>
        </w:rPr>
        <w:t>27-3</w:t>
      </w:r>
      <w:r w:rsidRPr="005A63A8">
        <w:fldChar w:fldCharType="end"/>
      </w:r>
      <w:r w:rsidRPr="005A63A8">
        <w:t xml:space="preserve"> and </w:t>
      </w:r>
      <w:r w:rsidRPr="005A63A8">
        <w:fldChar w:fldCharType="begin"/>
      </w:r>
      <w:r w:rsidRPr="005A63A8">
        <w:instrText xml:space="preserve"> REF _Ref26285695 \h </w:instrText>
      </w:r>
      <w:r>
        <w:instrText xml:space="preserve"> \* MERGEFORMAT </w:instrText>
      </w:r>
      <w:r w:rsidRPr="005A63A8">
        <w:fldChar w:fldCharType="separate"/>
      </w:r>
      <w:r w:rsidR="007F721A" w:rsidRPr="005A63A8">
        <w:t xml:space="preserve">Figure </w:t>
      </w:r>
      <w:r w:rsidR="007F721A">
        <w:rPr>
          <w:noProof/>
        </w:rPr>
        <w:t>27-4</w:t>
      </w:r>
      <w:r w:rsidRPr="005A63A8">
        <w:fldChar w:fldCharType="end"/>
      </w:r>
      <w:r w:rsidRPr="005A63A8">
        <w:t xml:space="preserve"> (and similar data for earlier years) show that, while the strength of the relationship between public and private sector relative wage levels varies over time, the relationship is positive, consistent with the Mavromaras </w:t>
      </w:r>
      <w:r w:rsidRPr="005A63A8">
        <w:rPr>
          <w:i/>
        </w:rPr>
        <w:t>et al.</w:t>
      </w:r>
      <w:r w:rsidRPr="005A63A8">
        <w:t xml:space="preserve"> finding.</w:t>
      </w:r>
    </w:p>
    <w:p w14:paraId="5B24A937" w14:textId="77777777" w:rsidR="00C4779A" w:rsidRPr="008C2EF6" w:rsidRDefault="00C4779A" w:rsidP="00F47EC7">
      <w:pPr>
        <w:pStyle w:val="CGCParaNumber"/>
      </w:pPr>
      <w:r w:rsidRPr="005A63A8">
        <w:t>South Australia argued that, with a few exceptions, the public sector is</w:t>
      </w:r>
      <w:r w:rsidRPr="008C2EF6">
        <w:t xml:space="preserve"> not forced to pay private sector wages. The Commission recognises that States retain a degree of policy control over the wages of its employees and bases its assessment on relative private sector wages to ensure policy neutrality. However, the evidence suggests that States, for reasons beyond their control, face the same wage pressures as their local private sector. It is the impact of those wage pressures that the assessment aims to measure.</w:t>
      </w:r>
    </w:p>
    <w:p w14:paraId="287C7AF3" w14:textId="77777777" w:rsidR="00C4779A" w:rsidRPr="008C2EF6" w:rsidRDefault="00C4779A" w:rsidP="00F47EC7">
      <w:pPr>
        <w:pStyle w:val="CGCParaNumber"/>
      </w:pPr>
      <w:r w:rsidRPr="008C2EF6">
        <w:t xml:space="preserve">In relation to the Queensland argument that the model does not pick up pressures arising from differences in the cost of living, the Commission observes that, to the extent that cost of living differences drive differences in the private sector wages, they are reflected in the </w:t>
      </w:r>
      <w:r w:rsidRPr="008C2EF6">
        <w:lastRenderedPageBreak/>
        <w:t>assessment. To the extent that States pay additional compensation to attract workers to remote areas, it is captured in the regional costs assessment.</w:t>
      </w:r>
    </w:p>
    <w:p w14:paraId="4A857932" w14:textId="77777777" w:rsidR="00C4779A" w:rsidRPr="008C2EF6" w:rsidRDefault="00C4779A" w:rsidP="00C4779A">
      <w:pPr>
        <w:pStyle w:val="Heading5"/>
      </w:pPr>
      <w:r w:rsidRPr="008C2EF6">
        <w:t>Comparability of public sector workers across jurisdictions</w:t>
      </w:r>
    </w:p>
    <w:p w14:paraId="7D87407D" w14:textId="77777777" w:rsidR="00C4779A" w:rsidRPr="008C2EF6" w:rsidRDefault="00C4779A" w:rsidP="00F47EC7">
      <w:pPr>
        <w:pStyle w:val="CGCParaNumber"/>
      </w:pPr>
      <w:r>
        <w:t>South Australia re</w:t>
      </w:r>
      <w:r w:rsidRPr="008C2EF6">
        <w:t>prosecuted its argument that public sector workers are not truly comparable across States. It argued that highly skilled and ambitious individuals leave smaller States for States with larger labour markets and, therefore, greater and more diverse employment opportunities. This meant governments in larger States may have access to a relatively more productive labour supply than smaller States.</w:t>
      </w:r>
    </w:p>
    <w:p w14:paraId="48C1E6A2" w14:textId="77777777" w:rsidR="00C4779A" w:rsidRPr="008C2EF6" w:rsidRDefault="00C4779A" w:rsidP="00F47EC7">
      <w:pPr>
        <w:pStyle w:val="CGCParaNumber"/>
      </w:pPr>
      <w:r w:rsidRPr="008C2EF6">
        <w:t>The ACT maintained that a concern over productivity differences is unfounded as the model controls for all the major factors driving productivity differences between workers.</w:t>
      </w:r>
    </w:p>
    <w:p w14:paraId="51B9ABFE" w14:textId="77777777" w:rsidR="00C4779A" w:rsidRPr="008C2EF6" w:rsidRDefault="00C4779A" w:rsidP="00F47EC7">
      <w:pPr>
        <w:pStyle w:val="CGCParaNumber"/>
      </w:pPr>
      <w:r w:rsidRPr="008C2EF6">
        <w:t xml:space="preserve">The Commission </w:t>
      </w:r>
      <w:r>
        <w:t xml:space="preserve">has previously compared its </w:t>
      </w:r>
      <w:r w:rsidRPr="008C2EF6">
        <w:t>econometric model to a similar model based on the Household, Income and Labour Dynamics in Australia (HILDA) data that included measures of cognitive ability, achievement motivation, personality scales and health status. That comparison gave no indication that the exclusion of those variables from the Commission’s model introduces a bias for any State or, in most cases,</w:t>
      </w:r>
      <w:r>
        <w:t xml:space="preserve"> leads</w:t>
      </w:r>
      <w:r w:rsidRPr="008C2EF6">
        <w:t xml:space="preserve"> to a materially different distribution. </w:t>
      </w:r>
    </w:p>
    <w:p w14:paraId="5B0812A1" w14:textId="6315D9AC" w:rsidR="00C4779A" w:rsidRPr="008C2EF6" w:rsidRDefault="00C4779A" w:rsidP="00C4779A">
      <w:pPr>
        <w:pStyle w:val="Heading4"/>
        <w:keepLines/>
      </w:pPr>
      <w:bookmarkStart w:id="498" w:name="_Toc532376411"/>
      <w:bookmarkStart w:id="499" w:name="_Toc6905020"/>
      <w:r w:rsidRPr="008C2EF6">
        <w:t xml:space="preserve">The specification of the </w:t>
      </w:r>
      <w:bookmarkEnd w:id="496"/>
      <w:bookmarkEnd w:id="497"/>
      <w:r w:rsidRPr="008C2EF6">
        <w:t>econometric model and interpretation of its results</w:t>
      </w:r>
      <w:bookmarkEnd w:id="498"/>
      <w:bookmarkEnd w:id="499"/>
    </w:p>
    <w:p w14:paraId="5FBF7EC8" w14:textId="77777777" w:rsidR="00C4779A" w:rsidRPr="005A63A8" w:rsidRDefault="00C4779A" w:rsidP="00F47EC7">
      <w:pPr>
        <w:pStyle w:val="CGCParaNumber"/>
      </w:pPr>
      <w:r w:rsidRPr="005A63A8">
        <w:t xml:space="preserve">Victoria and Western Australia both raised concerns over the specification of the econometric model in relation to the appropriateness of the number of variables included and the significance of the results. </w:t>
      </w:r>
    </w:p>
    <w:p w14:paraId="506FA5C2" w14:textId="77777777" w:rsidR="00C4779A" w:rsidRPr="005A63A8" w:rsidRDefault="00C4779A" w:rsidP="00F47EC7">
      <w:pPr>
        <w:pStyle w:val="CGCParaNumber"/>
      </w:pPr>
      <w:r w:rsidRPr="005A63A8">
        <w:t xml:space="preserve">Victoria argued that the large number of variables in the econometric model leads to inflated standard errors for the regression coefficients. Western Australia also considered that an excessive number of variables creates problems where they can potentially have explanatory significance due to random chance, rather than due to being valid explanatory variables.  </w:t>
      </w:r>
    </w:p>
    <w:p w14:paraId="6636DAEA" w14:textId="77777777" w:rsidR="00C4779A" w:rsidRDefault="00C4779A" w:rsidP="00F47EC7">
      <w:pPr>
        <w:pStyle w:val="CGCParaNumber"/>
      </w:pPr>
      <w:r w:rsidRPr="005A63A8">
        <w:t>The explanatory variables used in the econometric model were chosen based on empirical evidence that they affect wage levels. Those variables have been externally reviewed a number of times. For example, the consultant engaged in the 2010 Review regarded the Commission’s approach to modelling wages as standard when judged against the large body of wage regressions estimated previously for Australia, and said it was econometrically sound and fit for purpose.</w:t>
      </w:r>
      <w:r w:rsidRPr="005A63A8">
        <w:rPr>
          <w:rStyle w:val="FootnoteReference"/>
        </w:rPr>
        <w:footnoteReference w:id="118"/>
      </w:r>
      <w:r w:rsidRPr="005A63A8">
        <w:t xml:space="preserve"> The inclusion of a large number of variables</w:t>
      </w:r>
      <w:r w:rsidRPr="008C2EF6">
        <w:t xml:space="preserve"> in the Commission’s model reduces the possibility that relevant variables may be omitted and increases the accuracy of the </w:t>
      </w:r>
      <w:r>
        <w:t>results</w:t>
      </w:r>
      <w:r w:rsidRPr="008C2EF6">
        <w:t>.</w:t>
      </w:r>
    </w:p>
    <w:p w14:paraId="6179423C" w14:textId="77777777" w:rsidR="00C4779A" w:rsidRPr="008C2EF6" w:rsidRDefault="00C4779A" w:rsidP="00F47EC7">
      <w:pPr>
        <w:pStyle w:val="CGCParaNumber"/>
      </w:pPr>
      <w:r w:rsidRPr="008C2EF6">
        <w:t>The Commission considers there is a sound conceptual case for the assessment and that the divergence of private sector wages from average is an appropriate, policy neutral indicator of how public sector wages in each State would diverge from the average (for reasons beyond the State’s control).</w:t>
      </w:r>
    </w:p>
    <w:p w14:paraId="03EEE1F9" w14:textId="2A6C4E15" w:rsidR="00C4779A" w:rsidRPr="008C2EF6" w:rsidRDefault="00C4779A" w:rsidP="00F47EC7">
      <w:pPr>
        <w:pStyle w:val="CGCParaNumber"/>
      </w:pPr>
      <w:r w:rsidRPr="008C2EF6">
        <w:fldChar w:fldCharType="begin"/>
      </w:r>
      <w:r w:rsidRPr="008C2EF6">
        <w:instrText xml:space="preserve"> REF _Ref528855758 \h </w:instrText>
      </w:r>
      <w:r>
        <w:instrText xml:space="preserve"> \* MERGEFORMAT </w:instrText>
      </w:r>
      <w:r w:rsidRPr="008C2EF6">
        <w:fldChar w:fldCharType="separate"/>
      </w:r>
      <w:r w:rsidR="007F721A" w:rsidRPr="008C2EF6">
        <w:t xml:space="preserve">Figure </w:t>
      </w:r>
      <w:r w:rsidR="007F721A">
        <w:rPr>
          <w:noProof/>
        </w:rPr>
        <w:t>27-2</w:t>
      </w:r>
      <w:r w:rsidRPr="008C2EF6">
        <w:fldChar w:fldCharType="end"/>
      </w:r>
      <w:r w:rsidRPr="008C2EF6">
        <w:t xml:space="preserve"> shows a positive relationship between relative wages in the public and private sectors in the 2016-17 CoES regression results. The relative public sector wages were </w:t>
      </w:r>
      <w:r w:rsidRPr="008C2EF6">
        <w:lastRenderedPageBreak/>
        <w:t xml:space="preserve">estimated using the same approach used for the private sector. </w:t>
      </w:r>
      <w:r>
        <w:t>However, i</w:t>
      </w:r>
      <w:r w:rsidRPr="008C2EF6">
        <w:t>t should be noted that the public sector results are affected by States’ policy choices.</w:t>
      </w:r>
    </w:p>
    <w:p w14:paraId="7E5FCFB1" w14:textId="64CC7219" w:rsidR="00C4779A" w:rsidRPr="008C2EF6" w:rsidRDefault="00C4779A" w:rsidP="00C4779A">
      <w:pPr>
        <w:pStyle w:val="Caption"/>
      </w:pPr>
      <w:bookmarkStart w:id="500" w:name="_Ref528855758"/>
      <w:r w:rsidRPr="008C2EF6">
        <w:t xml:space="preserve">Figure </w:t>
      </w:r>
      <w:r>
        <w:t>27-</w:t>
      </w:r>
      <w:r w:rsidRPr="008C2EF6">
        <w:rPr>
          <w:noProof/>
        </w:rPr>
        <w:fldChar w:fldCharType="begin"/>
      </w:r>
      <w:r w:rsidRPr="008C2EF6">
        <w:rPr>
          <w:noProof/>
        </w:rPr>
        <w:instrText xml:space="preserve"> SEQ Figure \* ARABIC </w:instrText>
      </w:r>
      <w:r w:rsidRPr="008C2EF6">
        <w:rPr>
          <w:noProof/>
        </w:rPr>
        <w:fldChar w:fldCharType="separate"/>
      </w:r>
      <w:r w:rsidR="007F721A">
        <w:rPr>
          <w:noProof/>
        </w:rPr>
        <w:t>2</w:t>
      </w:r>
      <w:r w:rsidRPr="008C2EF6">
        <w:rPr>
          <w:noProof/>
        </w:rPr>
        <w:fldChar w:fldCharType="end"/>
      </w:r>
      <w:bookmarkEnd w:id="500"/>
      <w:r w:rsidRPr="008C2EF6">
        <w:t xml:space="preserve"> </w:t>
      </w:r>
      <w:r w:rsidRPr="008C2EF6">
        <w:tab/>
        <w:t>Public and private sector relative wages, 2016-17</w:t>
      </w:r>
    </w:p>
    <w:p w14:paraId="3CAFA905" w14:textId="77777777" w:rsidR="00C4779A" w:rsidRPr="008C2EF6" w:rsidRDefault="00C4779A" w:rsidP="00C4779A">
      <w:r>
        <w:rPr>
          <w:noProof/>
        </w:rPr>
        <w:drawing>
          <wp:inline distT="0" distB="0" distL="0" distR="0" wp14:anchorId="5E698D03" wp14:editId="1253A780">
            <wp:extent cx="5652000" cy="3481962"/>
            <wp:effectExtent l="0" t="0" r="6350" b="4445"/>
            <wp:docPr id="50" name="Picture 1" descr="A scatter plot showing the relationship between public and private relative wage costs in 2016-17.">
              <a:extLst xmlns:a="http://schemas.openxmlformats.org/drawingml/2006/main">
                <a:ext uri="{FF2B5EF4-FFF2-40B4-BE49-F238E27FC236}">
                  <a16:creationId xmlns:a16="http://schemas.microsoft.com/office/drawing/2014/main" id="{5D44D297-C186-4C20-8DAB-90C6B9CA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D44D297-C186-4C20-8DAB-90C6B9CAACC1}"/>
                        </a:ext>
                      </a:extLst>
                    </pic:cNvPr>
                    <pic:cNvPicPr>
                      <a:picLocks noChangeAspect="1"/>
                    </pic:cNvPicPr>
                  </pic:nvPicPr>
                  <pic:blipFill>
                    <a:blip r:embed="rId54"/>
                    <a:stretch>
                      <a:fillRect/>
                    </a:stretch>
                  </pic:blipFill>
                  <pic:spPr>
                    <a:xfrm>
                      <a:off x="0" y="0"/>
                      <a:ext cx="5652000" cy="3481962"/>
                    </a:xfrm>
                    <a:prstGeom prst="rect">
                      <a:avLst/>
                    </a:prstGeom>
                  </pic:spPr>
                </pic:pic>
              </a:graphicData>
            </a:graphic>
          </wp:inline>
        </w:drawing>
      </w:r>
    </w:p>
    <w:p w14:paraId="39F3F810" w14:textId="77777777" w:rsidR="00C4779A" w:rsidRPr="008C2EF6" w:rsidRDefault="00C4779A" w:rsidP="00C4779A">
      <w:pPr>
        <w:pStyle w:val="CGCTablenote"/>
      </w:pPr>
      <w:r w:rsidRPr="008C2EF6">
        <w:t>Source:</w:t>
      </w:r>
      <w:r w:rsidRPr="008C2EF6">
        <w:tab/>
      </w:r>
      <w:r>
        <w:t xml:space="preserve">Commission calculation based on </w:t>
      </w:r>
      <w:r w:rsidRPr="008C2EF6">
        <w:t>2016 CoES.</w:t>
      </w:r>
    </w:p>
    <w:p w14:paraId="5F805015" w14:textId="36C59292" w:rsidR="00C4779A" w:rsidRPr="008C2EF6" w:rsidRDefault="00C4779A" w:rsidP="00F47EC7">
      <w:pPr>
        <w:pStyle w:val="CGCParaNumber"/>
      </w:pPr>
      <w:r w:rsidRPr="008C2EF6">
        <w:fldChar w:fldCharType="begin"/>
      </w:r>
      <w:r w:rsidRPr="008C2EF6">
        <w:instrText xml:space="preserve"> REF _Ref528855461 \h </w:instrText>
      </w:r>
      <w:r>
        <w:instrText xml:space="preserve"> \* MERGEFORMAT </w:instrText>
      </w:r>
      <w:r w:rsidRPr="008C2EF6">
        <w:fldChar w:fldCharType="separate"/>
      </w:r>
      <w:r w:rsidR="007F721A" w:rsidRPr="008C2EF6">
        <w:t xml:space="preserve">Figure </w:t>
      </w:r>
      <w:r w:rsidR="007F721A">
        <w:rPr>
          <w:noProof/>
        </w:rPr>
        <w:t>27-3</w:t>
      </w:r>
      <w:r w:rsidRPr="008C2EF6">
        <w:fldChar w:fldCharType="end"/>
      </w:r>
      <w:r w:rsidRPr="008C2EF6">
        <w:t xml:space="preserve"> shows, </w:t>
      </w:r>
      <w:r>
        <w:t>based on</w:t>
      </w:r>
      <w:r w:rsidRPr="008C2EF6">
        <w:t xml:space="preserve"> the 2017-18 CoES regression results,</w:t>
      </w:r>
      <w:r>
        <w:t xml:space="preserve"> that</w:t>
      </w:r>
      <w:r w:rsidRPr="008C2EF6">
        <w:t xml:space="preserve"> the relationship between relative wages in the public and private sectors weakened, but remained positive. While the strength of the relationship between public and private relative wage levels shows some variation year to year, there has been a strong positive relationship over a number of years. </w:t>
      </w:r>
    </w:p>
    <w:p w14:paraId="588D2067" w14:textId="574CD721" w:rsidR="00C4779A" w:rsidRPr="008C2EF6" w:rsidRDefault="00C4779A" w:rsidP="00C4779A">
      <w:pPr>
        <w:pStyle w:val="Caption"/>
      </w:pPr>
      <w:bookmarkStart w:id="501" w:name="_Ref528855461"/>
      <w:r w:rsidRPr="008C2EF6">
        <w:lastRenderedPageBreak/>
        <w:t xml:space="preserve">Figure </w:t>
      </w:r>
      <w:r>
        <w:t>27-</w:t>
      </w:r>
      <w:r w:rsidRPr="008C2EF6">
        <w:rPr>
          <w:noProof/>
        </w:rPr>
        <w:fldChar w:fldCharType="begin"/>
      </w:r>
      <w:r w:rsidRPr="008C2EF6">
        <w:rPr>
          <w:noProof/>
        </w:rPr>
        <w:instrText xml:space="preserve"> SEQ Figure \* ARABIC </w:instrText>
      </w:r>
      <w:r w:rsidRPr="008C2EF6">
        <w:rPr>
          <w:noProof/>
        </w:rPr>
        <w:fldChar w:fldCharType="separate"/>
      </w:r>
      <w:r w:rsidR="007F721A">
        <w:rPr>
          <w:noProof/>
        </w:rPr>
        <w:t>3</w:t>
      </w:r>
      <w:r w:rsidRPr="008C2EF6">
        <w:rPr>
          <w:noProof/>
        </w:rPr>
        <w:fldChar w:fldCharType="end"/>
      </w:r>
      <w:bookmarkEnd w:id="501"/>
      <w:r w:rsidRPr="008C2EF6">
        <w:t xml:space="preserve"> </w:t>
      </w:r>
      <w:r w:rsidRPr="008C2EF6">
        <w:tab/>
        <w:t xml:space="preserve">Public and private sector relative wages, 2017-18 </w:t>
      </w:r>
    </w:p>
    <w:p w14:paraId="3920E30A" w14:textId="77777777" w:rsidR="00C4779A" w:rsidRPr="008C2EF6" w:rsidRDefault="00C4779A" w:rsidP="00C4779A">
      <w:r>
        <w:rPr>
          <w:noProof/>
        </w:rPr>
        <w:drawing>
          <wp:inline distT="0" distB="0" distL="0" distR="0" wp14:anchorId="2E4D9332" wp14:editId="7114B9C1">
            <wp:extent cx="5652000" cy="3486087"/>
            <wp:effectExtent l="0" t="0" r="6350" b="635"/>
            <wp:docPr id="51" name="Picture 8" descr="A scatter plot showing the relationship between public and private relative wage costs in 2017-18.">
              <a:extLst xmlns:a="http://schemas.openxmlformats.org/drawingml/2006/main">
                <a:ext uri="{FF2B5EF4-FFF2-40B4-BE49-F238E27FC236}">
                  <a16:creationId xmlns:a16="http://schemas.microsoft.com/office/drawing/2014/main" id="{3C4A107C-9B2B-4D1C-B1F3-861282E1D2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C4A107C-9B2B-4D1C-B1F3-861282E1D24A}"/>
                        </a:ext>
                      </a:extLst>
                    </pic:cNvPr>
                    <pic:cNvPicPr>
                      <a:picLocks noChangeAspect="1"/>
                    </pic:cNvPicPr>
                  </pic:nvPicPr>
                  <pic:blipFill>
                    <a:blip r:embed="rId55"/>
                    <a:stretch>
                      <a:fillRect/>
                    </a:stretch>
                  </pic:blipFill>
                  <pic:spPr>
                    <a:xfrm>
                      <a:off x="0" y="0"/>
                      <a:ext cx="5652000" cy="3486087"/>
                    </a:xfrm>
                    <a:prstGeom prst="rect">
                      <a:avLst/>
                    </a:prstGeom>
                  </pic:spPr>
                </pic:pic>
              </a:graphicData>
            </a:graphic>
          </wp:inline>
        </w:drawing>
      </w:r>
    </w:p>
    <w:p w14:paraId="3DB2C562" w14:textId="77777777" w:rsidR="00C4779A" w:rsidRPr="005A63A8" w:rsidRDefault="00C4779A" w:rsidP="00C4779A">
      <w:pPr>
        <w:pStyle w:val="CGCTablenote"/>
      </w:pPr>
      <w:r w:rsidRPr="008C2EF6">
        <w:t xml:space="preserve">Source: </w:t>
      </w:r>
      <w:r w:rsidRPr="008C2EF6">
        <w:tab/>
      </w:r>
      <w:r>
        <w:t xml:space="preserve">Commission calculation based on 2017 </w:t>
      </w:r>
      <w:r w:rsidRPr="005A63A8">
        <w:t>CoES.</w:t>
      </w:r>
    </w:p>
    <w:p w14:paraId="0E4B16C6" w14:textId="5B0B21C5" w:rsidR="00C4779A" w:rsidRPr="005A63A8" w:rsidRDefault="00C4779A" w:rsidP="00F47EC7">
      <w:pPr>
        <w:pStyle w:val="CGCParaNumber"/>
      </w:pPr>
      <w:r w:rsidRPr="005A63A8">
        <w:fldChar w:fldCharType="begin"/>
      </w:r>
      <w:r w:rsidRPr="005A63A8">
        <w:instrText xml:space="preserve"> REF _Ref26285695 \h  \* MERGEFORMAT </w:instrText>
      </w:r>
      <w:r w:rsidRPr="005A63A8">
        <w:fldChar w:fldCharType="separate"/>
      </w:r>
      <w:r w:rsidR="007F721A" w:rsidRPr="005A63A8">
        <w:t xml:space="preserve">Figure </w:t>
      </w:r>
      <w:r w:rsidR="007F721A">
        <w:rPr>
          <w:noProof/>
        </w:rPr>
        <w:t>27-4</w:t>
      </w:r>
      <w:r w:rsidRPr="005A63A8">
        <w:fldChar w:fldCharType="end"/>
      </w:r>
      <w:r w:rsidRPr="005A63A8">
        <w:t xml:space="preserve"> shows, based on the 2018-19 CoES regression results, that the relationship between relative wages in the public and private sectors strengthened. </w:t>
      </w:r>
    </w:p>
    <w:p w14:paraId="71B5590F" w14:textId="77777777" w:rsidR="00C4779A" w:rsidRDefault="00C4779A" w:rsidP="00F47EC7">
      <w:pPr>
        <w:pStyle w:val="CGCParaNumber"/>
      </w:pPr>
      <w:r w:rsidRPr="005A63A8">
        <w:t xml:space="preserve">Movement of State estimates through the top left or bottom right quadrants is consistent with periods of transition between above average wage levels and below average wage levels. </w:t>
      </w:r>
      <w:r w:rsidRPr="005A63A8" w:rsidDel="0011058F">
        <w:t xml:space="preserve">Mavromaras </w:t>
      </w:r>
      <w:r w:rsidRPr="005A63A8" w:rsidDel="0011058F">
        <w:rPr>
          <w:i/>
        </w:rPr>
        <w:t>et al</w:t>
      </w:r>
      <w:r w:rsidRPr="005A63A8">
        <w:rPr>
          <w:i/>
        </w:rPr>
        <w:t>.</w:t>
      </w:r>
      <w:r w:rsidRPr="005A63A8">
        <w:t xml:space="preserve"> found that public sector wage movements generally lag private sector</w:t>
      </w:r>
      <w:r w:rsidRPr="008C2EF6">
        <w:t xml:space="preserve"> wage movements.</w:t>
      </w:r>
    </w:p>
    <w:p w14:paraId="552677F4" w14:textId="6D574E9D" w:rsidR="00C4779A" w:rsidRPr="005A63A8" w:rsidRDefault="00C4779A" w:rsidP="00C4779A">
      <w:pPr>
        <w:pStyle w:val="Caption"/>
      </w:pPr>
      <w:bookmarkStart w:id="502" w:name="_Ref26285695"/>
      <w:r w:rsidRPr="005A63A8">
        <w:lastRenderedPageBreak/>
        <w:t xml:space="preserve">Figure </w:t>
      </w:r>
      <w:r>
        <w:t>27-</w:t>
      </w:r>
      <w:fldSimple w:instr=" SEQ Figure \* ARABIC ">
        <w:r w:rsidR="007F721A">
          <w:rPr>
            <w:noProof/>
          </w:rPr>
          <w:t>4</w:t>
        </w:r>
      </w:fldSimple>
      <w:bookmarkEnd w:id="502"/>
      <w:r w:rsidRPr="005A63A8">
        <w:t xml:space="preserve"> </w:t>
      </w:r>
      <w:r w:rsidRPr="005A63A8">
        <w:tab/>
        <w:t>Public and private sector relative wages, 2018-19</w:t>
      </w:r>
    </w:p>
    <w:p w14:paraId="3FD4ADDF" w14:textId="77777777" w:rsidR="00C4779A" w:rsidRDefault="00C4779A" w:rsidP="00C4779A">
      <w:r>
        <w:rPr>
          <w:noProof/>
        </w:rPr>
        <w:drawing>
          <wp:inline distT="0" distB="0" distL="0" distR="0" wp14:anchorId="43272417" wp14:editId="4FA04D50">
            <wp:extent cx="5663565" cy="3493135"/>
            <wp:effectExtent l="0" t="0" r="0" b="0"/>
            <wp:docPr id="52" name="Picture 52" descr="A scatter plot showing the relationship between public and private relative wage costs 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63565" cy="3493135"/>
                    </a:xfrm>
                    <a:prstGeom prst="rect">
                      <a:avLst/>
                    </a:prstGeom>
                    <a:noFill/>
                  </pic:spPr>
                </pic:pic>
              </a:graphicData>
            </a:graphic>
          </wp:inline>
        </w:drawing>
      </w:r>
    </w:p>
    <w:p w14:paraId="5D1F22DF" w14:textId="77777777" w:rsidR="00C4779A" w:rsidRDefault="00C4779A" w:rsidP="00C4779A">
      <w:pPr>
        <w:pStyle w:val="CGCTablenote"/>
      </w:pPr>
      <w:r>
        <w:t>Source:</w:t>
      </w:r>
      <w:r>
        <w:tab/>
        <w:t>Commission calculation based on 2018 CoES.</w:t>
      </w:r>
    </w:p>
    <w:p w14:paraId="0E899D35" w14:textId="77777777" w:rsidR="00C4779A" w:rsidRPr="008C2EF6" w:rsidRDefault="00C4779A" w:rsidP="00F47EC7">
      <w:pPr>
        <w:pStyle w:val="CGCParaNumber"/>
      </w:pPr>
      <w:r w:rsidRPr="008C2EF6">
        <w:t>The Commission considers that the econometric model produces the best available estimate</w:t>
      </w:r>
      <w:r>
        <w:t>s</w:t>
      </w:r>
      <w:r w:rsidRPr="008C2EF6">
        <w:t xml:space="preserve"> of differences in wage costs between States.</w:t>
      </w:r>
    </w:p>
    <w:p w14:paraId="5060A5B6" w14:textId="77777777" w:rsidR="00C4779A" w:rsidRPr="008C2EF6" w:rsidRDefault="00C4779A" w:rsidP="00C4779A">
      <w:pPr>
        <w:pStyle w:val="Heading4"/>
      </w:pPr>
      <w:bookmarkStart w:id="503" w:name="_Toc532376412"/>
      <w:bookmarkStart w:id="504" w:name="_Toc6905021"/>
      <w:r w:rsidRPr="008C2EF6">
        <w:t>Volatility of the modelled outcomes</w:t>
      </w:r>
    </w:p>
    <w:p w14:paraId="26C21E72" w14:textId="77777777" w:rsidR="00C4779A" w:rsidRPr="008C2EF6" w:rsidRDefault="00C4779A" w:rsidP="00F47EC7">
      <w:pPr>
        <w:pStyle w:val="CGCParaNumber"/>
      </w:pPr>
      <w:r w:rsidRPr="008C2EF6">
        <w:t>Western Australia was concerned that the decline of approximately six percentage points in its relative private sector wage levels between 2016</w:t>
      </w:r>
      <w:r w:rsidRPr="008C2EF6">
        <w:noBreakHyphen/>
        <w:t>17 and 2017</w:t>
      </w:r>
      <w:r w:rsidRPr="008C2EF6">
        <w:noBreakHyphen/>
        <w:t>18 (prior to discounting) was unrealistic. It argued that the decline in its modelled outcome did not accord with the magnitude of the decline shown by other data.</w:t>
      </w:r>
      <w:r w:rsidRPr="008C2EF6">
        <w:rPr>
          <w:rStyle w:val="FootnoteReference"/>
        </w:rPr>
        <w:footnoteReference w:id="119"/>
      </w:r>
    </w:p>
    <w:p w14:paraId="0016C167" w14:textId="009F947D" w:rsidR="00C4779A" w:rsidRPr="008C2EF6" w:rsidRDefault="00C4779A" w:rsidP="00F47EC7">
      <w:pPr>
        <w:pStyle w:val="CGCParaNumber"/>
      </w:pPr>
      <w:r w:rsidRPr="008C2EF6">
        <w:t>The change in the data source for the assessment in the 2016 Update, from the four yearly Survey of Education and Training (SET)</w:t>
      </w:r>
      <w:r w:rsidRPr="008C2EF6">
        <w:rPr>
          <w:rStyle w:val="FootnoteReference"/>
        </w:rPr>
        <w:footnoteReference w:id="120"/>
      </w:r>
      <w:r w:rsidRPr="008C2EF6">
        <w:t xml:space="preserve"> to the annual CoES, meant the assessment would be more contemporaneous, but had the potential to produce more volatile outcomes year to year. The Commission investigated </w:t>
      </w:r>
      <w:r>
        <w:t>methods that</w:t>
      </w:r>
      <w:r w:rsidRPr="008C2EF6">
        <w:t xml:space="preserve"> </w:t>
      </w:r>
      <w:r>
        <w:t xml:space="preserve">introduce </w:t>
      </w:r>
      <w:r w:rsidRPr="008C2EF6">
        <w:t xml:space="preserve">additional smoothing of the modelled outcomes, </w:t>
      </w:r>
      <w:r>
        <w:t>beyond</w:t>
      </w:r>
      <w:r w:rsidRPr="008C2EF6">
        <w:t xml:space="preserve"> the </w:t>
      </w:r>
      <w:r>
        <w:t xml:space="preserve">smoothing implicit in the Commission’s use of </w:t>
      </w:r>
      <w:r w:rsidRPr="008C2EF6">
        <w:t>three year averag</w:t>
      </w:r>
      <w:r>
        <w:t>e relativities</w:t>
      </w:r>
      <w:r w:rsidRPr="008C2EF6">
        <w:t>. Th</w:t>
      </w:r>
      <w:r>
        <w:t>os</w:t>
      </w:r>
      <w:r w:rsidRPr="008C2EF6">
        <w:t xml:space="preserve">e </w:t>
      </w:r>
      <w:r>
        <w:t>methods</w:t>
      </w:r>
      <w:r w:rsidRPr="008C2EF6">
        <w:t xml:space="preserve"> included </w:t>
      </w:r>
      <w:r>
        <w:t xml:space="preserve">the use of </w:t>
      </w:r>
      <w:r w:rsidRPr="008C2EF6">
        <w:t xml:space="preserve">moving averages to determine the outcomes for each assessment year, weighted averaging and blending the modelled outcomes with the private sector wage price index. </w:t>
      </w:r>
      <w:r>
        <w:t xml:space="preserve">While </w:t>
      </w:r>
      <w:r w:rsidRPr="008C2EF6">
        <w:t>these techni</w:t>
      </w:r>
      <w:r>
        <w:t>ques reduced</w:t>
      </w:r>
      <w:r w:rsidRPr="008C2EF6">
        <w:t xml:space="preserve"> the volatility of the assessment</w:t>
      </w:r>
      <w:r>
        <w:t xml:space="preserve"> outcomes</w:t>
      </w:r>
      <w:r w:rsidRPr="008C2EF6">
        <w:t xml:space="preserve">, </w:t>
      </w:r>
      <w:r>
        <w:t>they also reduced</w:t>
      </w:r>
      <w:r w:rsidRPr="008C2EF6">
        <w:t xml:space="preserve"> </w:t>
      </w:r>
      <w:r>
        <w:t xml:space="preserve">their </w:t>
      </w:r>
      <w:r w:rsidRPr="008C2EF6">
        <w:t>contemporaneity. On balance, the Commission considers that using the modelled outcomes</w:t>
      </w:r>
      <w:r>
        <w:t>,</w:t>
      </w:r>
      <w:r w:rsidRPr="008C2EF6">
        <w:t xml:space="preserve"> together with three year averaging</w:t>
      </w:r>
      <w:r>
        <w:t xml:space="preserve"> of relativities,</w:t>
      </w:r>
      <w:r w:rsidRPr="008C2EF6">
        <w:t xml:space="preserve"> provides the best measure of States’ relative wage costs.</w:t>
      </w:r>
    </w:p>
    <w:p w14:paraId="0406328F" w14:textId="66B7CB0D" w:rsidR="00C4779A" w:rsidRPr="008C2EF6" w:rsidRDefault="00C4779A" w:rsidP="00C4779A">
      <w:pPr>
        <w:pStyle w:val="Heading4"/>
      </w:pPr>
      <w:r w:rsidRPr="008C2EF6">
        <w:lastRenderedPageBreak/>
        <w:t>Discounting the assessment</w:t>
      </w:r>
      <w:bookmarkEnd w:id="503"/>
      <w:bookmarkEnd w:id="504"/>
    </w:p>
    <w:p w14:paraId="7CCE5CE2" w14:textId="77777777" w:rsidR="00C4779A" w:rsidRPr="008C2EF6" w:rsidRDefault="00C4779A" w:rsidP="00F47EC7">
      <w:pPr>
        <w:pStyle w:val="CGCParaNumber"/>
      </w:pPr>
      <w:r w:rsidRPr="00A45BFD">
        <w:t>New South Wales, Western Australia</w:t>
      </w:r>
      <w:r w:rsidRPr="008C2EF6">
        <w:t>, the ACT and the Northern Territory argued that the low level discount (12.5%) applied to the assessment in 2015 Review should be removed. Western Australia said the discount will reduce the margin of error if the model overestimates wage costs differences, but will reduce the accuracy of the assessment if the model underestimates the wage costs differences. It presented comparisons with other ABS labour market data in support of its argument that the model appeared to be underestimating wage costs differences between States.</w:t>
      </w:r>
      <w:r w:rsidRPr="008C2EF6">
        <w:rPr>
          <w:rStyle w:val="FootnoteReference"/>
        </w:rPr>
        <w:footnoteReference w:id="121"/>
      </w:r>
    </w:p>
    <w:p w14:paraId="13CE35CC" w14:textId="77777777" w:rsidR="00C4779A" w:rsidRPr="008C2EF6" w:rsidRDefault="00C4779A" w:rsidP="00F47EC7">
      <w:pPr>
        <w:pStyle w:val="CGCParaNumber"/>
      </w:pPr>
      <w:r w:rsidRPr="008C2EF6">
        <w:t>Similarly, the Northern</w:t>
      </w:r>
      <w:r>
        <w:t> </w:t>
      </w:r>
      <w:r w:rsidRPr="008C2EF6">
        <w:t xml:space="preserve">Territory considered that the assessment may understate its needs, since it did not take into account the additional two weeks leave it had to provide as a recruitment and retention tool to attract interstate and overseas workers, or the productivity related </w:t>
      </w:r>
      <w:r>
        <w:t>effects</w:t>
      </w:r>
      <w:r w:rsidRPr="008C2EF6">
        <w:t xml:space="preserve"> of high staff turnover in the </w:t>
      </w:r>
      <w:r>
        <w:t>Northern </w:t>
      </w:r>
      <w:r w:rsidRPr="008C2EF6">
        <w:t>Territory. It said the discount should be removed.</w:t>
      </w:r>
    </w:p>
    <w:p w14:paraId="68F27F8A" w14:textId="77777777" w:rsidR="00C4779A" w:rsidRPr="005A63A8" w:rsidRDefault="00C4779A" w:rsidP="00F47EC7">
      <w:pPr>
        <w:pStyle w:val="CGCParaNumber"/>
      </w:pPr>
      <w:r w:rsidRPr="008C2EF6">
        <w:t xml:space="preserve">The ACT said there was no longer a case for a general discount on grounds of data uncertainty or methodological issues. It said the CoES data used in the model were an improvement on the previous data. It argued that concerns over how accurately the model controls for productivity differences and how well private sector wages proxy public sector wage </w:t>
      </w:r>
      <w:r w:rsidRPr="005A63A8">
        <w:t>pressures were not well founded. It cited the strong correlation between private and public sector wages in the 2016-17 CoES results and that the model controls for industry and occupation composition, as well as variables that impact the productivity of individual workers.</w:t>
      </w:r>
    </w:p>
    <w:p w14:paraId="3A13C652" w14:textId="4B87EBBE" w:rsidR="00C4779A" w:rsidRPr="005A63A8" w:rsidRDefault="00C4779A" w:rsidP="00F47EC7">
      <w:pPr>
        <w:pStyle w:val="CGCParaNumber"/>
      </w:pPr>
      <w:r w:rsidRPr="005A63A8">
        <w:t>South Australia considered that there was sufficient uncertainty with the conceptual validity of the wage cost</w:t>
      </w:r>
      <w:r w:rsidR="00F15E4C">
        <w:t>s</w:t>
      </w:r>
      <w:r w:rsidRPr="005A63A8">
        <w:t xml:space="preserve"> assessment to support an increase in the discount applied.</w:t>
      </w:r>
    </w:p>
    <w:p w14:paraId="23AC14ED" w14:textId="77777777" w:rsidR="00C4779A" w:rsidRPr="005A63A8" w:rsidRDefault="00C4779A" w:rsidP="00F47EC7">
      <w:pPr>
        <w:pStyle w:val="CGCParaNumber"/>
      </w:pPr>
      <w:r w:rsidRPr="005A63A8">
        <w:t>Other States did not specifically comment on the discount.</w:t>
      </w:r>
    </w:p>
    <w:p w14:paraId="1BAB9979" w14:textId="77777777" w:rsidR="00C4779A" w:rsidRPr="008C2EF6" w:rsidRDefault="00C4779A" w:rsidP="00F47EC7">
      <w:pPr>
        <w:pStyle w:val="CGCParaNumber"/>
      </w:pPr>
      <w:r w:rsidRPr="005A63A8">
        <w:t>The Commission uses discounts when it has concerns about an assessment method or the data it uses. A 12.5% discount has been applied</w:t>
      </w:r>
      <w:r w:rsidRPr="008C2EF6">
        <w:t xml:space="preserve"> to the </w:t>
      </w:r>
      <w:r>
        <w:t>w</w:t>
      </w:r>
      <w:r w:rsidRPr="008C2EF6">
        <w:t>age costs assessment since the 2010</w:t>
      </w:r>
      <w:r>
        <w:t> </w:t>
      </w:r>
      <w:r w:rsidRPr="008C2EF6">
        <w:t>Review</w:t>
      </w:r>
      <w:r>
        <w:t>.</w:t>
      </w:r>
      <w:r w:rsidRPr="00A61B98">
        <w:rPr>
          <w:rStyle w:val="FootnoteReference"/>
        </w:rPr>
        <w:t>.</w:t>
      </w:r>
      <w:r w:rsidRPr="00A61B98">
        <w:rPr>
          <w:rStyle w:val="FootnoteReference"/>
        </w:rPr>
        <w:footnoteReference w:id="122"/>
      </w:r>
      <w:r w:rsidRPr="008C2EF6">
        <w:t xml:space="preserve"> In adopting this discount, the Commission had regard to: </w:t>
      </w:r>
    </w:p>
    <w:p w14:paraId="212B747A" w14:textId="77777777" w:rsidR="00C4779A" w:rsidRPr="008C2EF6" w:rsidRDefault="00C4779A" w:rsidP="00C4779A">
      <w:pPr>
        <w:pStyle w:val="CGCBullet1"/>
      </w:pPr>
      <w:r w:rsidRPr="008C2EF6">
        <w:t xml:space="preserve">how accurately the data measured wage costs </w:t>
      </w:r>
    </w:p>
    <w:p w14:paraId="1B2024AB" w14:textId="77777777" w:rsidR="00C4779A" w:rsidRPr="008C2EF6" w:rsidRDefault="00C4779A" w:rsidP="00C4779A">
      <w:pPr>
        <w:pStyle w:val="CGCBullet1"/>
      </w:pPr>
      <w:r w:rsidRPr="008C2EF6">
        <w:t>how accurately the econometric model controlled for differences in productivity</w:t>
      </w:r>
    </w:p>
    <w:p w14:paraId="3B2B7E60" w14:textId="77777777" w:rsidR="00C4779A" w:rsidRPr="008C2EF6" w:rsidRDefault="00C4779A" w:rsidP="00C4779A">
      <w:pPr>
        <w:pStyle w:val="CGCBullet1"/>
      </w:pPr>
      <w:r w:rsidRPr="008C2EF6">
        <w:t>how well private sector wages can be used as a proxy for wage pressures in the public sector.</w:t>
      </w:r>
    </w:p>
    <w:p w14:paraId="0E9C02F1" w14:textId="77777777" w:rsidR="00C4779A" w:rsidRPr="008C2EF6" w:rsidRDefault="00C4779A" w:rsidP="00F47EC7">
      <w:pPr>
        <w:pStyle w:val="CGCParaNumber"/>
      </w:pPr>
      <w:r w:rsidRPr="008C2EF6">
        <w:t>The Commission retained the 12.5% discount when it moved to CoES data in the 2016 Update, as it did not consider that the issues had markedly changed.</w:t>
      </w:r>
    </w:p>
    <w:p w14:paraId="122997C4" w14:textId="77777777" w:rsidR="00C4779A" w:rsidRPr="008C2EF6" w:rsidRDefault="00C4779A" w:rsidP="00F47EC7">
      <w:pPr>
        <w:pStyle w:val="CGCParaNumber"/>
      </w:pPr>
      <w:r w:rsidRPr="008C2EF6">
        <w:t xml:space="preserve">The Commission considers that the factors on which it based its judgment remain. It does not have evidence that the data or method systemically underestimate (or overestimate) the differences in wage costs between States. The Commission </w:t>
      </w:r>
      <w:r>
        <w:t>will</w:t>
      </w:r>
      <w:r w:rsidRPr="008C2EF6">
        <w:t xml:space="preserve"> continue to apply the 12.5% discount to the </w:t>
      </w:r>
      <w:r>
        <w:t>w</w:t>
      </w:r>
      <w:r w:rsidRPr="008C2EF6">
        <w:t xml:space="preserve">age costs assessment. </w:t>
      </w:r>
    </w:p>
    <w:p w14:paraId="60B0073A" w14:textId="315525A8" w:rsidR="00C4779A" w:rsidRPr="008C2EF6" w:rsidRDefault="00C4779A" w:rsidP="00C4779A">
      <w:pPr>
        <w:pStyle w:val="Heading4"/>
      </w:pPr>
      <w:bookmarkStart w:id="505" w:name="_Toc532376413"/>
      <w:bookmarkStart w:id="506" w:name="_Toc6905022"/>
      <w:r w:rsidRPr="008C2EF6">
        <w:lastRenderedPageBreak/>
        <w:t>State specific adjustments to the modelled outcomes</w:t>
      </w:r>
      <w:bookmarkEnd w:id="505"/>
      <w:bookmarkEnd w:id="506"/>
    </w:p>
    <w:p w14:paraId="5C1231C8" w14:textId="77777777" w:rsidR="00C4779A" w:rsidRPr="008C2EF6" w:rsidRDefault="00C4779A" w:rsidP="00F47EC7">
      <w:pPr>
        <w:pStyle w:val="CGCParaNumber"/>
      </w:pPr>
      <w:r w:rsidRPr="008C2EF6">
        <w:t>Tasmania and the ACT argued for State specific adjustments to their modelled outcome</w:t>
      </w:r>
      <w:r>
        <w:t>s</w:t>
      </w:r>
      <w:r w:rsidRPr="008C2EF6">
        <w:t>.</w:t>
      </w:r>
    </w:p>
    <w:p w14:paraId="410CAD35" w14:textId="77777777" w:rsidR="00C4779A" w:rsidRPr="008C2EF6" w:rsidRDefault="00C4779A" w:rsidP="00C4779A">
      <w:pPr>
        <w:pStyle w:val="Heading5"/>
      </w:pPr>
      <w:r w:rsidRPr="008C2EF6">
        <w:t>Tasmania</w:t>
      </w:r>
    </w:p>
    <w:p w14:paraId="1E5DA525" w14:textId="77777777" w:rsidR="00C4779A" w:rsidRPr="008C2EF6" w:rsidRDefault="00C4779A" w:rsidP="00F47EC7">
      <w:pPr>
        <w:pStyle w:val="CGCParaNumber"/>
      </w:pPr>
      <w:r w:rsidRPr="008C2EF6">
        <w:t>Tasmania considered that its modelled outcomes were inconsistent with the results for other States and that its relative private sector wage level was outside the bounds within which public sector wages can reasonably lie. It was also concerned that the CoES data seemed to suggest a significant step change from earlier data. It argued that the Commission should discount Tasmania’s modelled outcome by 50%.</w:t>
      </w:r>
    </w:p>
    <w:p w14:paraId="09953C95" w14:textId="77777777" w:rsidR="00C4779A" w:rsidRPr="008C2EF6" w:rsidRDefault="00C4779A" w:rsidP="00F47EC7">
      <w:pPr>
        <w:pStyle w:val="CGCParaNumber"/>
      </w:pPr>
      <w:r w:rsidRPr="008C2EF6">
        <w:t xml:space="preserve">The Commission last applied a State specific adjustment (25%) to Tasmania’s modelled outcome in the 2010 Review, because it considered that constraints on the variation in public sector wages meant there were bounds within which those wages could lie. At that time, Tasmania’s relative private sector wages were assessed as being 7.7% below average. The State specific discount was removed in the 2011 Update when the Commission decided that Tasmania’s relative private sector wages were no longer outside the bounds within which relative public sector wages lie. </w:t>
      </w:r>
    </w:p>
    <w:p w14:paraId="3D41E630" w14:textId="77777777" w:rsidR="00C4779A" w:rsidRPr="005A63A8" w:rsidRDefault="00C4779A" w:rsidP="00F47EC7">
      <w:pPr>
        <w:pStyle w:val="CGCParaNumber"/>
      </w:pPr>
      <w:r w:rsidRPr="008C2EF6">
        <w:t xml:space="preserve">Tasmania </w:t>
      </w:r>
      <w:r>
        <w:t xml:space="preserve">sought </w:t>
      </w:r>
      <w:r w:rsidRPr="008C2EF6">
        <w:t xml:space="preserve">a 50% </w:t>
      </w:r>
      <w:r w:rsidRPr="005A63A8">
        <w:t>adjustment to its modelled outcome, on the basis of its 2016</w:t>
      </w:r>
      <w:r w:rsidRPr="005A63A8">
        <w:noBreakHyphen/>
        <w:t>17</w:t>
      </w:r>
      <w:r>
        <w:t> </w:t>
      </w:r>
      <w:r w:rsidRPr="005A63A8">
        <w:t>CoES modelled outcome (a modelled outcome of 8.4% below average; 7.3% below average after applying the discount). The discounted modelled outcomes for Tasmania for 2017</w:t>
      </w:r>
      <w:r w:rsidRPr="005A63A8">
        <w:noBreakHyphen/>
        <w:t>18 and 2018</w:t>
      </w:r>
      <w:r w:rsidRPr="005A63A8">
        <w:noBreakHyphen/>
        <w:t>19 were 4.6% and 4.4% below average, respectively. These are well within the bounds in which the Commission has previously viewed public sector wages can feasibly lie. When averaged over the three assessment years, Tasmania’s relative wage levels are assessed to be 5.5% below average.</w:t>
      </w:r>
    </w:p>
    <w:p w14:paraId="242892E9" w14:textId="77777777" w:rsidR="00C4779A" w:rsidRPr="008C2EF6" w:rsidRDefault="00C4779A" w:rsidP="00F47EC7">
      <w:pPr>
        <w:pStyle w:val="CGCParaNumber"/>
      </w:pPr>
      <w:r w:rsidRPr="005A63A8">
        <w:t>The Commission has decided not to make a State</w:t>
      </w:r>
      <w:r w:rsidRPr="008C2EF6">
        <w:t xml:space="preserve"> specific adjustment to the modelled outcome for Tasmania.</w:t>
      </w:r>
    </w:p>
    <w:p w14:paraId="4398B575" w14:textId="77777777" w:rsidR="00C4779A" w:rsidRPr="008C2EF6" w:rsidRDefault="00C4779A" w:rsidP="00C4779A">
      <w:pPr>
        <w:pStyle w:val="Heading5"/>
      </w:pPr>
      <w:bookmarkStart w:id="507" w:name="_Toc527563572"/>
      <w:bookmarkStart w:id="508" w:name="_Toc511634841"/>
      <w:r w:rsidRPr="008C2EF6">
        <w:t>The ACT</w:t>
      </w:r>
    </w:p>
    <w:p w14:paraId="547627EA" w14:textId="77777777" w:rsidR="00C4779A" w:rsidRPr="008C2EF6" w:rsidRDefault="00C4779A" w:rsidP="00F47EC7">
      <w:pPr>
        <w:pStyle w:val="CGCParaNumber"/>
      </w:pPr>
      <w:r w:rsidRPr="008C2EF6">
        <w:t>The ACT argued for State specific adjustments to its modelled outcomes on two grounds:</w:t>
      </w:r>
    </w:p>
    <w:p w14:paraId="53E610C0" w14:textId="77777777" w:rsidR="00C4779A" w:rsidRPr="008C2EF6" w:rsidRDefault="00C4779A" w:rsidP="00C4779A">
      <w:pPr>
        <w:pStyle w:val="CGCBullet1"/>
      </w:pPr>
      <w:r w:rsidRPr="008C2EF6">
        <w:t>the influence of the Australian Public Service (APS) on wage levels in the ACT</w:t>
      </w:r>
    </w:p>
    <w:p w14:paraId="3C1D804C" w14:textId="77777777" w:rsidR="00C4779A" w:rsidRPr="008C2EF6" w:rsidRDefault="00C4779A" w:rsidP="00C4779A">
      <w:pPr>
        <w:pStyle w:val="CGCBullet1"/>
      </w:pPr>
      <w:r w:rsidRPr="008C2EF6">
        <w:t>the higher costs of the Public Sector Superannuation scheme (PSS</w:t>
      </w:r>
      <w:r>
        <w:t>)</w:t>
      </w:r>
      <w:r w:rsidRPr="008C2EF6">
        <w:t xml:space="preserve"> scheme it inherited at the time of self-government.</w:t>
      </w:r>
    </w:p>
    <w:p w14:paraId="52CFC8B0" w14:textId="77777777" w:rsidR="00C4779A" w:rsidRPr="008C2EF6" w:rsidRDefault="00C4779A" w:rsidP="00F47EC7">
      <w:pPr>
        <w:pStyle w:val="CGCParaNumber"/>
      </w:pPr>
      <w:r w:rsidRPr="008C2EF6">
        <w:t>The ACT also argued for the re-introduction of the Commonwealth Superannuation Scheme (CSS) adjustment that was removed in the 2017 Update, expanded to include the additional costs of the PSS. It said the costs associated with these schemes were outside its control.</w:t>
      </w:r>
    </w:p>
    <w:p w14:paraId="0852E30E" w14:textId="6F12F461" w:rsidR="00C4779A" w:rsidRPr="008C2EF6" w:rsidRDefault="00C4779A" w:rsidP="00F47EC7">
      <w:pPr>
        <w:pStyle w:val="CGCParaNumber"/>
      </w:pPr>
      <w:r w:rsidRPr="008C2EF6">
        <w:t xml:space="preserve">In addition, the ACT considered that the large influence of the </w:t>
      </w:r>
      <w:r>
        <w:t>APS</w:t>
      </w:r>
      <w:r w:rsidRPr="008C2EF6">
        <w:t xml:space="preserve"> on wage levels in the ACT meant that private sector wage levels do not fully reflect the wage pressures faced by the ACT </w:t>
      </w:r>
      <w:r w:rsidR="007E2E79">
        <w:t>g</w:t>
      </w:r>
      <w:r w:rsidRPr="008C2EF6">
        <w:t>overnment.</w:t>
      </w:r>
    </w:p>
    <w:p w14:paraId="6EDD3EC4" w14:textId="77777777" w:rsidR="00C4779A" w:rsidRPr="008C2EF6" w:rsidRDefault="00C4779A" w:rsidP="00F47EC7">
      <w:pPr>
        <w:pStyle w:val="CGCParaNumber"/>
      </w:pPr>
      <w:r w:rsidRPr="008C2EF6">
        <w:t>Prior to the 2011 Update, the Commission made an adjustment to the modelled outcomes for the ACT to account for the impact of the APS on ACT Public Service (ACTPS) wage levels. The adjustment recognised that the SET data used in the assessment did not differentiate between levels of government and, therefore, could not be adjusted to include APS wages with those of the private sector. The adjustment was discontinued in the 2011 Update, when the Commission decided that SET private sector wages provided a reasonable proxy for the wage pressures faced by the ACT.</w:t>
      </w:r>
    </w:p>
    <w:p w14:paraId="38BDC543" w14:textId="77777777" w:rsidR="00C4779A" w:rsidRPr="008C2EF6" w:rsidRDefault="00C4779A" w:rsidP="00F47EC7">
      <w:pPr>
        <w:pStyle w:val="CGCParaNumber"/>
      </w:pPr>
      <w:r w:rsidRPr="008C2EF6">
        <w:lastRenderedPageBreak/>
        <w:t xml:space="preserve">In support of its argument that this adjustment should be reinstated, the ACT has presented analysis of data from the 2016 Census and the APS Remuneration Report. </w:t>
      </w:r>
    </w:p>
    <w:p w14:paraId="63457015" w14:textId="77777777" w:rsidR="00C4779A" w:rsidRPr="008C2EF6" w:rsidRDefault="00C4779A" w:rsidP="00C4779A">
      <w:pPr>
        <w:pStyle w:val="CGCBullet1"/>
      </w:pPr>
      <w:r w:rsidRPr="008C2EF6">
        <w:t>Using income data from the 2016 Census, it showed a very strong correlation between APS and ACTPS employee weekly earnings, a moderate correlation between ACTPS and private sector earnings, and a weak correlation between APS and private sector earnings. It performed a similar analysis using mean annual earnings.</w:t>
      </w:r>
    </w:p>
    <w:p w14:paraId="79E9C02C" w14:textId="77777777" w:rsidR="00C4779A" w:rsidRPr="008C2EF6" w:rsidRDefault="00C4779A" w:rsidP="00C4779A">
      <w:pPr>
        <w:pStyle w:val="CGCBullet1"/>
      </w:pPr>
      <w:r w:rsidRPr="008C2EF6">
        <w:t>Using published remuneration data, it found base salaries for comparable administrative and senior officers in the APS and the ACTPS to be very similar.</w:t>
      </w:r>
    </w:p>
    <w:p w14:paraId="177E636E" w14:textId="5F433A00" w:rsidR="00C4779A" w:rsidRPr="008C2EF6" w:rsidRDefault="00C4779A" w:rsidP="00F47EC7">
      <w:pPr>
        <w:pStyle w:val="CGCParaNumber"/>
      </w:pPr>
      <w:r w:rsidRPr="008C2EF6">
        <w:t>The ACT's analysis of Census income data did not control for differences in worker characteristics and, therefore, was not comparing the earnings of comparable employees. It was also based on income</w:t>
      </w:r>
      <w:r w:rsidR="007E2E79">
        <w:t>,</w:t>
      </w:r>
      <w:r w:rsidRPr="008C2EF6">
        <w:t xml:space="preserve"> not wages. The ACT’s comparison of remuneration of administrative and senior officers covered head office staff, but these represent only part of the ACTPS, which also includes teachers and nurses, for example. Neither of these analyses strongly supported the case that the APS has an impact on ACTPS wage levels over and above its impact on private sector wages levels in the ACT. The Commission has previously concluded that, to the extent APS remuneration affects ACTPS remuneration, it will also affect private sector wages and be reflected in the assessment.</w:t>
      </w:r>
    </w:p>
    <w:p w14:paraId="66B927C9" w14:textId="4B716B8A" w:rsidR="00C4779A" w:rsidRPr="008C2EF6" w:rsidRDefault="00C4779A" w:rsidP="00F47EC7">
      <w:pPr>
        <w:pStyle w:val="CGCParaNumber"/>
      </w:pPr>
      <w:r w:rsidRPr="008C2EF6">
        <w:t xml:space="preserve">The second adjustment sought by the ACT is to recognise the above average costs of the PSS superannuation scheme. In the 2017 Update, after consulting the States, the Commission decided to discontinue the adjustment it made to the </w:t>
      </w:r>
      <w:r w:rsidR="00133A09" w:rsidRPr="008C2EF6">
        <w:t>wage</w:t>
      </w:r>
      <w:r w:rsidRPr="008C2EF6">
        <w:t xml:space="preserve"> costs assessment for the ACT and the Northern Territory to account for the higher costs to those States as a result of the CSS they inherited at the time of self</w:t>
      </w:r>
      <w:r w:rsidRPr="008C2EF6">
        <w:noBreakHyphen/>
        <w:t>government.</w:t>
      </w:r>
      <w:r w:rsidRPr="008C2EF6">
        <w:rPr>
          <w:rStyle w:val="FootnoteReference"/>
        </w:rPr>
        <w:footnoteReference w:id="123"/>
      </w:r>
    </w:p>
    <w:p w14:paraId="68382608" w14:textId="77777777" w:rsidR="00C4779A" w:rsidRPr="008C2EF6" w:rsidRDefault="00C4779A" w:rsidP="00F47EC7">
      <w:pPr>
        <w:pStyle w:val="CGCParaNumber"/>
      </w:pPr>
      <w:r w:rsidRPr="008C2EF6">
        <w:t>In its submission to the 2018 Update the ACT provided evidence in support of its view that the CSS adjustment should be reinstated and expanded to include the costs associated with the PSS. The ACT considered this evidence clearly established that the cost of the PSS had increased to a greater extent than similar schemes in other States. It said that the key issue was the degree of divergence between the costs of the PSS and other schemes, not the reasons for that divergence.</w:t>
      </w:r>
    </w:p>
    <w:p w14:paraId="4D17DCD8" w14:textId="485AD251" w:rsidR="00C4779A" w:rsidRPr="008C2EF6" w:rsidRDefault="00C4779A" w:rsidP="00F47EC7">
      <w:pPr>
        <w:pStyle w:val="CGCParaNumber"/>
      </w:pPr>
      <w:r w:rsidRPr="008C2EF6">
        <w:t xml:space="preserve">The Commission decided not to reintroduce the adjustment in the 2018 Update, as it would constitute a method change that should be considered as part of the 2020 Review. The Commission also considered that the ACT </w:t>
      </w:r>
      <w:r w:rsidR="007E2E79">
        <w:t>g</w:t>
      </w:r>
      <w:r w:rsidRPr="008C2EF6">
        <w:t xml:space="preserve">overnment had control over its superannuation arrangements from the establishment of the ACTPS in 1994. It followed that any adjustment should only include the cost of contributing PSS members who became ACT </w:t>
      </w:r>
      <w:r w:rsidR="007E2E79">
        <w:t>government</w:t>
      </w:r>
      <w:r w:rsidRPr="008C2EF6">
        <w:t xml:space="preserve"> employees prior to that time. Data provided by other States suggested that the cost of schemes similar to the PSS was also high. Together, these suggested that an adjustment was unlikely to be material.</w:t>
      </w:r>
    </w:p>
    <w:p w14:paraId="27801F70" w14:textId="77777777" w:rsidR="00C4779A" w:rsidRPr="008C2EF6" w:rsidRDefault="00C4779A" w:rsidP="00F47EC7">
      <w:pPr>
        <w:pStyle w:val="CGCParaNumber"/>
      </w:pPr>
      <w:r w:rsidRPr="008C2EF6">
        <w:t>Further, the Commission said it was inclined to move away from State</w:t>
      </w:r>
      <w:r>
        <w:t xml:space="preserve"> s</w:t>
      </w:r>
      <w:r w:rsidRPr="008C2EF6">
        <w:t xml:space="preserve">pecific adjustments in its expenditure assessments, especially those introduced to recognise legacy issues affecting the newly formed governments in the two self-governing Territories. It said the Territories could be expected to have matured sufficiently to be able to deal with historical </w:t>
      </w:r>
      <w:r w:rsidRPr="008C2EF6">
        <w:lastRenderedPageBreak/>
        <w:t>happenstance, just as all other State governments have been expected to address their legacy issues.</w:t>
      </w:r>
    </w:p>
    <w:p w14:paraId="7942E4C6" w14:textId="78A95A13" w:rsidR="00C4779A" w:rsidRPr="008C2EF6" w:rsidRDefault="00C4779A" w:rsidP="00F47EC7">
      <w:pPr>
        <w:pStyle w:val="CGCParaNumber"/>
      </w:pPr>
      <w:r w:rsidRPr="008C2EF6">
        <w:t xml:space="preserve">The ACT questioned the presumption that it could be expected to have matured sufficiently to be able to deal with historical legacies. It said those legacies were fundamental to the legal and institutional design of the ACT and time has not ameliorated the fiscal impact of the special circumstances of the ACT on the ACT </w:t>
      </w:r>
      <w:r w:rsidR="007E2E79">
        <w:t>government</w:t>
      </w:r>
      <w:r w:rsidRPr="008C2EF6">
        <w:t>. It asked that the Commission reconsider its position on a PSS adjustment.</w:t>
      </w:r>
    </w:p>
    <w:p w14:paraId="164F7F03" w14:textId="77777777" w:rsidR="00C4779A" w:rsidRPr="008C2EF6" w:rsidRDefault="00C4779A" w:rsidP="00F47EC7">
      <w:pPr>
        <w:pStyle w:val="CGCParaNumber"/>
      </w:pPr>
      <w:r w:rsidRPr="008C2EF6">
        <w:t>The Commission</w:t>
      </w:r>
      <w:r>
        <w:t xml:space="preserve"> </w:t>
      </w:r>
      <w:r w:rsidRPr="008C2EF6">
        <w:t xml:space="preserve">has not changed </w:t>
      </w:r>
      <w:r>
        <w:t xml:space="preserve">its view </w:t>
      </w:r>
      <w:r w:rsidRPr="008C2EF6">
        <w:t>since the 2018 Update</w:t>
      </w:r>
      <w:r>
        <w:t xml:space="preserve">, </w:t>
      </w:r>
      <w:r w:rsidRPr="008C2EF6">
        <w:t>that after its establishment the ACTPS faced no legal requirement to maintain access to the PSS. While the ACT continues to allow CSS and PSS members who transfer from the APS to the ACTPS to maintain access to their superannuation schemes, an adjustment should only include PSS members who commenced employment with the ACT prior to the establishment of the ACTPS on 30 June</w:t>
      </w:r>
      <w:r>
        <w:t> </w:t>
      </w:r>
      <w:r w:rsidRPr="008C2EF6">
        <w:t>1994 (and all CSS employees).</w:t>
      </w:r>
      <w:r w:rsidRPr="008C2EF6">
        <w:rPr>
          <w:rStyle w:val="FootnoteReference"/>
        </w:rPr>
        <w:footnoteReference w:id="124"/>
      </w:r>
      <w:r w:rsidRPr="008C2EF6">
        <w:t xml:space="preserve"> Based on data provided by the ACT, a PSS adjustment including the cost of those employees would not be material. Similarly, the combined PSS/CSS adjustment would not </w:t>
      </w:r>
      <w:r>
        <w:t xml:space="preserve">be </w:t>
      </w:r>
      <w:r w:rsidRPr="008C2EF6">
        <w:t xml:space="preserve">material. </w:t>
      </w:r>
    </w:p>
    <w:p w14:paraId="02C84BF8" w14:textId="77777777" w:rsidR="00C4779A" w:rsidRPr="008C2EF6" w:rsidRDefault="00C4779A" w:rsidP="00F47EC7">
      <w:pPr>
        <w:pStyle w:val="CGCParaNumber"/>
      </w:pPr>
      <w:r w:rsidRPr="008C2EF6">
        <w:t xml:space="preserve">The Commission </w:t>
      </w:r>
      <w:r>
        <w:t>has decided not to make</w:t>
      </w:r>
      <w:r w:rsidRPr="008C2EF6">
        <w:t xml:space="preserve"> a State specific adjustment to the modelled outcome for the ACT.</w:t>
      </w:r>
    </w:p>
    <w:p w14:paraId="59170D35" w14:textId="77777777" w:rsidR="00C4779A" w:rsidRPr="008C2EF6" w:rsidRDefault="00C4779A" w:rsidP="00C4779A">
      <w:pPr>
        <w:pStyle w:val="Heading4"/>
      </w:pPr>
      <w:bookmarkStart w:id="509" w:name="_Toc532376414"/>
      <w:bookmarkStart w:id="510" w:name="_Toc6905023"/>
      <w:r>
        <w:t>C</w:t>
      </w:r>
      <w:r w:rsidRPr="008C2EF6">
        <w:t>ategory specific wage costs adjustment</w:t>
      </w:r>
      <w:r>
        <w:t>s</w:t>
      </w:r>
      <w:bookmarkEnd w:id="509"/>
      <w:bookmarkEnd w:id="510"/>
    </w:p>
    <w:p w14:paraId="64629939" w14:textId="77777777" w:rsidR="00C4779A" w:rsidRPr="008C2EF6" w:rsidRDefault="00C4779A" w:rsidP="00F47EC7">
      <w:pPr>
        <w:pStyle w:val="CGCParaNumber"/>
      </w:pPr>
      <w:r w:rsidRPr="008C2EF6">
        <w:t>Western Australia argued that not all sectors are subject to the same wage pressures. It said a potential limitation of the current model is that it reflects the industry and occupation structure of the private sector rather than the public sector. It proposed a category specific wage cost adjustment to the Health assessment to recognise that wage pressures are much higher in its public health system than in the private system. It said it experienced unique workforce issues in the health sector, and higher wages than other States, due to shortages of nurses and medical practitioners.</w:t>
      </w:r>
    </w:p>
    <w:p w14:paraId="359D10ED" w14:textId="5867CB38" w:rsidR="00C4779A" w:rsidRPr="008C2EF6" w:rsidRDefault="00C4779A" w:rsidP="00F47EC7">
      <w:pPr>
        <w:pStyle w:val="CGCParaNumber"/>
      </w:pPr>
      <w:r w:rsidRPr="008C2EF6">
        <w:t>While the current assessment takes into account the proportion of expenses in each category that relate to wage costs, it does not provide category specific adjustments where States argue they have higher than assessed wage expenses. Western Australia said its medical practitioners cost, on aver</w:t>
      </w:r>
      <w:r>
        <w:t>age, 16% more than those in New </w:t>
      </w:r>
      <w:r w:rsidRPr="008C2EF6">
        <w:t>South Wales, Victoria or Queensland. This compared to the wage cost</w:t>
      </w:r>
      <w:r w:rsidR="000F2801">
        <w:t>s</w:t>
      </w:r>
      <w:r w:rsidRPr="008C2EF6">
        <w:t xml:space="preserve"> assessment in which relative wages in Western</w:t>
      </w:r>
      <w:r>
        <w:t> </w:t>
      </w:r>
      <w:r w:rsidRPr="008C2EF6">
        <w:t>Australia were assessed to be about 3% above average in the 2019</w:t>
      </w:r>
      <w:r>
        <w:t> </w:t>
      </w:r>
      <w:r w:rsidRPr="008C2EF6">
        <w:t>Update.</w:t>
      </w:r>
    </w:p>
    <w:p w14:paraId="659F192E" w14:textId="77777777" w:rsidR="00C4779A" w:rsidRPr="008C2EF6" w:rsidRDefault="00C4779A" w:rsidP="00F47EC7">
      <w:pPr>
        <w:pStyle w:val="CGCParaNumber"/>
      </w:pPr>
      <w:r w:rsidRPr="008C2EF6">
        <w:t xml:space="preserve">It is difficult to determine whether the above average wages paid to Western Australian public health practitioners reflect a policy choice or a disability. </w:t>
      </w:r>
    </w:p>
    <w:p w14:paraId="2395E5AF" w14:textId="308FC94E" w:rsidR="00C4779A" w:rsidRPr="008C2EF6" w:rsidRDefault="00C4779A" w:rsidP="00F47EC7">
      <w:pPr>
        <w:pStyle w:val="CGCParaNumber"/>
      </w:pPr>
      <w:r w:rsidRPr="008C2EF6">
        <w:t xml:space="preserve">The </w:t>
      </w:r>
      <w:r w:rsidR="00133A09" w:rsidRPr="008C2EF6">
        <w:t>wage</w:t>
      </w:r>
      <w:r w:rsidRPr="008C2EF6">
        <w:t xml:space="preserve"> costs assessment assumes that relative private sector wages are an accurate reflection of the wage pressures facing each State </w:t>
      </w:r>
      <w:r w:rsidR="007E2E79">
        <w:t>government</w:t>
      </w:r>
      <w:r w:rsidRPr="008C2EF6">
        <w:t xml:space="preserve"> and any relative public sector wages above that amount are the result of a policy choice. The assessment does not directly compare the wage levels of specific occupations or industries in different States. A category specific wage costs adjustment would be an attempt to do this. </w:t>
      </w:r>
    </w:p>
    <w:p w14:paraId="48993A99" w14:textId="32AE6618" w:rsidR="00C4779A" w:rsidRPr="005A63A8" w:rsidRDefault="00C4779A" w:rsidP="00F47EC7">
      <w:pPr>
        <w:pStyle w:val="CGCParaNumber"/>
      </w:pPr>
      <w:r w:rsidRPr="008C2EF6">
        <w:t>It is not clear how the Commission would objectively differentiate between above average wage costs that reflect a genuine disability and those that reflect a policy choice</w:t>
      </w:r>
      <w:r w:rsidRPr="005A63A8">
        <w:t xml:space="preserve">. Given the </w:t>
      </w:r>
      <w:r w:rsidRPr="005A63A8">
        <w:lastRenderedPageBreak/>
        <w:t>likely increase in complexity of the assessment and need for Commission judgment, the Commission has decided not to adopt category specific wage cost adjustments.</w:t>
      </w:r>
      <w:bookmarkEnd w:id="507"/>
      <w:bookmarkEnd w:id="508"/>
    </w:p>
    <w:p w14:paraId="3969D91F" w14:textId="34AA0A6E" w:rsidR="00C4779A" w:rsidRPr="005A63A8" w:rsidRDefault="00C4779A" w:rsidP="00F47EC7">
      <w:pPr>
        <w:pStyle w:val="CGCParaNumber"/>
      </w:pPr>
      <w:r w:rsidRPr="005A63A8">
        <w:t>South Australia said the wage cost</w:t>
      </w:r>
      <w:r w:rsidR="00686897">
        <w:t>s</w:t>
      </w:r>
      <w:r w:rsidRPr="005A63A8">
        <w:t xml:space="preserve"> assessment for the Schools assessment should be discounted. This issue is discussed in Chapter 13 Schools.</w:t>
      </w:r>
    </w:p>
    <w:p w14:paraId="2CBB566D" w14:textId="77777777" w:rsidR="00C4779A" w:rsidRPr="005A63A8" w:rsidRDefault="00C4779A" w:rsidP="00C4779A">
      <w:pPr>
        <w:pStyle w:val="Heading4"/>
      </w:pPr>
      <w:r w:rsidRPr="005A63A8">
        <w:t>Adopting an alternative model or data source for the assessment</w:t>
      </w:r>
    </w:p>
    <w:p w14:paraId="29EF571C" w14:textId="77777777" w:rsidR="00C4779A" w:rsidRPr="005A63A8" w:rsidRDefault="00C4779A" w:rsidP="00F47EC7">
      <w:pPr>
        <w:pStyle w:val="CGCParaNumber"/>
      </w:pPr>
      <w:r w:rsidRPr="005A63A8">
        <w:t xml:space="preserve">Western Australia supported the assessment of wage differences across States, but was concerned that the current methodology </w:t>
      </w:r>
      <w:r>
        <w:t>does</w:t>
      </w:r>
      <w:r w:rsidRPr="005A63A8">
        <w:t xml:space="preserve"> not accurately measure these differences. It regarded the model as misspecified and overly complicated. It also had concerns about the reliability of the CoES data used in the model.</w:t>
      </w:r>
    </w:p>
    <w:p w14:paraId="5DED99E6" w14:textId="77777777" w:rsidR="00C4779A" w:rsidRPr="005A63A8" w:rsidRDefault="00C4779A" w:rsidP="00F47EC7">
      <w:pPr>
        <w:pStyle w:val="CGCParaNumber"/>
      </w:pPr>
      <w:r w:rsidRPr="005A63A8">
        <w:t>Western Australia said the Commission should replace the model with an indicator based on private sector average weekly earnings (AWE), adjusted for industry composition. It argued that AWE (based on employer surveys) was superior to CoES (a household survey) as a source of earnings data. It said an adjustment for industry composition would provide a reasonable control for differences in occupation, education, migrants and other attributes.</w:t>
      </w:r>
    </w:p>
    <w:p w14:paraId="7F35E664" w14:textId="77777777" w:rsidR="00C4779A" w:rsidRPr="005A63A8" w:rsidRDefault="00C4779A" w:rsidP="00F47EC7">
      <w:pPr>
        <w:pStyle w:val="CGCParaNumber"/>
      </w:pPr>
      <w:r w:rsidRPr="005A63A8">
        <w:t>The Commission considers that its econometric model produces the best available estimates of differences in wage costs between States for reasons beyond their direct control. To estimate the wages paid to comparable private sector employees in different States, the model controls for differences in employee characteristics such as qualifications and experience, as well as differences between States in occupation and industry composition. The Commission notes that several external reviews have found its model to be econometrically sound and fit for purpose.</w:t>
      </w:r>
    </w:p>
    <w:p w14:paraId="51D4825D" w14:textId="77777777" w:rsidR="00C4779A" w:rsidRDefault="00C4779A" w:rsidP="00F47EC7">
      <w:pPr>
        <w:pStyle w:val="CGCParaNumber"/>
      </w:pPr>
      <w:r w:rsidRPr="005A63A8">
        <w:t xml:space="preserve">The Commission also considers CoES data are the best available for use in its model. As a supplement to the Labour Force Survey, CoES is methodologically rigorous and comprehensive, involving a sample size of about 17,000 individuals. Importantly, the CoES includes, in addition to data on earnings, detailed information on employee characteristics, occupation and industry structure. In the Commission’s view, an assessment based on adjusted AWE would produce an inferior outcome, since it could not control for the full range of employee characteristics. Such a model would be more likely to produce results that were affected by omitted variable bias. </w:t>
      </w:r>
    </w:p>
    <w:p w14:paraId="609A0353" w14:textId="77777777" w:rsidR="00C4779A" w:rsidRPr="00B36EEF" w:rsidRDefault="00C4779A" w:rsidP="00F47EC7">
      <w:pPr>
        <w:pStyle w:val="CGCParaNumber"/>
      </w:pPr>
      <w:r w:rsidRPr="00B36EEF">
        <w:t>Western Australia said that the latest wage costs regression results support its position that the 2017-18 results should not be used. Western Australia said that the ABS has revised its CoES data for earlier years and that, therefore, the regressions for earlier years should be re-run on the revised data. Advice from the ABS is that these revisions, primarily relating to the definition of employees and changes to its imputation process, may not have significantly affected the results from the Commission’s regression model. Nonetheless, the Commission’s view is that, in line with the terms of reference direction to use the latest available data, it should ask the ABS to re-run its model for earlier years. However, since it has not had sufficient time to consult States on this issue, the previous years’ regression results have been retained in the assessment for this review. The Commission will consult with States in the 2021 Update as to any changes resulting from revisions to ABS data.</w:t>
      </w:r>
    </w:p>
    <w:p w14:paraId="0F7E6351" w14:textId="5FFB108F" w:rsidR="00C4779A" w:rsidRPr="005A63A8" w:rsidRDefault="00C4779A" w:rsidP="00C4779A">
      <w:pPr>
        <w:pStyle w:val="Heading3"/>
      </w:pPr>
      <w:bookmarkStart w:id="511" w:name="_Toc3446133"/>
      <w:bookmarkStart w:id="512" w:name="_Toc6905024"/>
      <w:r w:rsidRPr="00E23377">
        <w:lastRenderedPageBreak/>
        <w:t>Effect on the GST distribution</w:t>
      </w:r>
      <w:bookmarkEnd w:id="511"/>
      <w:bookmarkEnd w:id="512"/>
    </w:p>
    <w:p w14:paraId="7EB4DDEF" w14:textId="456DFBA8" w:rsidR="00C4779A" w:rsidRPr="005A63A8" w:rsidRDefault="00952095" w:rsidP="00F47EC7">
      <w:pPr>
        <w:pStyle w:val="CGCParaNumber"/>
      </w:pPr>
      <w:r>
        <w:fldChar w:fldCharType="begin"/>
      </w:r>
      <w:r>
        <w:instrText xml:space="preserve"> REF _Ref32846060 \h </w:instrText>
      </w:r>
      <w:r>
        <w:fldChar w:fldCharType="separate"/>
      </w:r>
      <w:r w:rsidR="007F721A" w:rsidRPr="005A63A8">
        <w:t xml:space="preserve">Table </w:t>
      </w:r>
      <w:r w:rsidR="007F721A">
        <w:t>27-</w:t>
      </w:r>
      <w:r w:rsidR="007F721A">
        <w:rPr>
          <w:noProof/>
        </w:rPr>
        <w:t>4</w:t>
      </w:r>
      <w:r>
        <w:fldChar w:fldCharType="end"/>
      </w:r>
      <w:r w:rsidR="00C4779A" w:rsidRPr="005A63A8">
        <w:t xml:space="preserve"> shows the extent to which the assessment for this category differs from an EPC assessment of wage costs. States with a positive redistribution are assessed to have above average wage costs and States with a negative redistribution are assessed to have below average wage costs. In per capita terms, South Australia, Tasmania, the ACT and the Northern</w:t>
      </w:r>
      <w:r w:rsidR="00C4779A">
        <w:t> </w:t>
      </w:r>
      <w:r w:rsidR="00C4779A" w:rsidRPr="005A63A8">
        <w:t>Territory experienced the largest redistributions.</w:t>
      </w:r>
    </w:p>
    <w:p w14:paraId="7BB30CE9" w14:textId="3DCBC0D7" w:rsidR="00C4779A" w:rsidRDefault="00C4779A" w:rsidP="00C4779A">
      <w:pPr>
        <w:pStyle w:val="Caption"/>
      </w:pPr>
      <w:bookmarkStart w:id="513" w:name="_Ref32846060"/>
      <w:r w:rsidRPr="005A63A8">
        <w:t xml:space="preserve">Table </w:t>
      </w:r>
      <w:r>
        <w:t>27-</w:t>
      </w:r>
      <w:fldSimple w:instr=" SEQ Table \* ARABIC ">
        <w:r w:rsidR="007F721A">
          <w:rPr>
            <w:noProof/>
          </w:rPr>
          <w:t>4</w:t>
        </w:r>
      </w:fldSimple>
      <w:bookmarkEnd w:id="513"/>
      <w:r w:rsidRPr="005A63A8">
        <w:tab/>
      </w:r>
      <w:r>
        <w:t>Illustrative r</w:t>
      </w:r>
      <w:r w:rsidRPr="005A63A8">
        <w:t xml:space="preserve">edistribution from an EPC assessment, Wage costs, </w:t>
      </w:r>
      <w:r>
        <w:t>2020 Review</w:t>
      </w:r>
    </w:p>
    <w:tbl>
      <w:tblPr>
        <w:tblW w:w="8902" w:type="dxa"/>
        <w:tblCellMar>
          <w:left w:w="28" w:type="dxa"/>
          <w:right w:w="28" w:type="dxa"/>
        </w:tblCellMar>
        <w:tblLook w:val="04A0" w:firstRow="1" w:lastRow="0" w:firstColumn="1" w:lastColumn="0" w:noHBand="0" w:noVBand="1"/>
      </w:tblPr>
      <w:tblGrid>
        <w:gridCol w:w="1268"/>
        <w:gridCol w:w="859"/>
        <w:gridCol w:w="860"/>
        <w:gridCol w:w="860"/>
        <w:gridCol w:w="860"/>
        <w:gridCol w:w="860"/>
        <w:gridCol w:w="860"/>
        <w:gridCol w:w="860"/>
        <w:gridCol w:w="860"/>
        <w:gridCol w:w="860"/>
      </w:tblGrid>
      <w:tr w:rsidR="00C4779A" w:rsidRPr="00211B24" w14:paraId="04EF2152" w14:textId="77777777" w:rsidTr="008B3E12">
        <w:trPr>
          <w:trHeight w:val="375"/>
        </w:trPr>
        <w:tc>
          <w:tcPr>
            <w:tcW w:w="1300" w:type="dxa"/>
            <w:tcBorders>
              <w:top w:val="single" w:sz="4" w:space="0" w:color="ADD6EA"/>
              <w:left w:val="nil"/>
              <w:bottom w:val="single" w:sz="4" w:space="0" w:color="ADD6EA"/>
              <w:right w:val="nil"/>
            </w:tcBorders>
            <w:shd w:val="clear" w:color="000000" w:fill="006991"/>
            <w:noWrap/>
            <w:vAlign w:val="center"/>
            <w:hideMark/>
          </w:tcPr>
          <w:p w14:paraId="1F0346D9" w14:textId="77777777" w:rsidR="00C4779A" w:rsidRPr="00211B24" w:rsidRDefault="00C4779A"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211B24">
              <w:rPr>
                <w:rFonts w:ascii="Open Sans SemiBold" w:eastAsia="Times New Roman" w:hAnsi="Open Sans SemiBold" w:cs="Open Sans SemiBold"/>
                <w:color w:val="FFFFFF"/>
                <w:sz w:val="16"/>
                <w:szCs w:val="16"/>
                <w:lang w:eastAsia="en-AU"/>
              </w:rPr>
              <w:t>Component</w:t>
            </w:r>
          </w:p>
        </w:tc>
        <w:tc>
          <w:tcPr>
            <w:tcW w:w="880" w:type="dxa"/>
            <w:tcBorders>
              <w:top w:val="single" w:sz="4" w:space="0" w:color="ADD6EA"/>
              <w:left w:val="nil"/>
              <w:bottom w:val="single" w:sz="4" w:space="0" w:color="ADD6EA"/>
              <w:right w:val="nil"/>
            </w:tcBorders>
            <w:shd w:val="clear" w:color="000000" w:fill="006991"/>
            <w:noWrap/>
            <w:vAlign w:val="center"/>
            <w:hideMark/>
          </w:tcPr>
          <w:p w14:paraId="5BC1C494" w14:textId="77777777" w:rsidR="00C4779A" w:rsidRPr="00211B24"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1B24">
              <w:rPr>
                <w:rFonts w:ascii="Open Sans SemiBold" w:eastAsia="Times New Roman" w:hAnsi="Open Sans SemiBold" w:cs="Open Sans SemiBold"/>
                <w:color w:val="FFFFFF"/>
                <w:sz w:val="16"/>
                <w:szCs w:val="16"/>
                <w:lang w:eastAsia="en-AU"/>
              </w:rPr>
              <w:t>NSW</w:t>
            </w:r>
          </w:p>
        </w:tc>
        <w:tc>
          <w:tcPr>
            <w:tcW w:w="880" w:type="dxa"/>
            <w:tcBorders>
              <w:top w:val="single" w:sz="4" w:space="0" w:color="ADD6EA"/>
              <w:left w:val="nil"/>
              <w:bottom w:val="single" w:sz="4" w:space="0" w:color="ADD6EA"/>
              <w:right w:val="nil"/>
            </w:tcBorders>
            <w:shd w:val="clear" w:color="000000" w:fill="006991"/>
            <w:noWrap/>
            <w:vAlign w:val="center"/>
            <w:hideMark/>
          </w:tcPr>
          <w:p w14:paraId="339F4220" w14:textId="77777777" w:rsidR="00C4779A" w:rsidRPr="00211B24"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1B24">
              <w:rPr>
                <w:rFonts w:ascii="Open Sans SemiBold" w:eastAsia="Times New Roman" w:hAnsi="Open Sans SemiBold" w:cs="Open Sans SemiBold"/>
                <w:color w:val="FFFFFF"/>
                <w:sz w:val="16"/>
                <w:szCs w:val="16"/>
                <w:lang w:eastAsia="en-AU"/>
              </w:rPr>
              <w:t>Vic</w:t>
            </w:r>
          </w:p>
        </w:tc>
        <w:tc>
          <w:tcPr>
            <w:tcW w:w="880" w:type="dxa"/>
            <w:tcBorders>
              <w:top w:val="single" w:sz="4" w:space="0" w:color="ADD6EA"/>
              <w:left w:val="nil"/>
              <w:bottom w:val="single" w:sz="4" w:space="0" w:color="ADD6EA"/>
              <w:right w:val="nil"/>
            </w:tcBorders>
            <w:shd w:val="clear" w:color="000000" w:fill="006991"/>
            <w:noWrap/>
            <w:vAlign w:val="center"/>
            <w:hideMark/>
          </w:tcPr>
          <w:p w14:paraId="7FB88FBA" w14:textId="77777777" w:rsidR="00C4779A" w:rsidRPr="00211B24"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1B24">
              <w:rPr>
                <w:rFonts w:ascii="Open Sans SemiBold" w:eastAsia="Times New Roman" w:hAnsi="Open Sans SemiBold" w:cs="Open Sans SemiBold"/>
                <w:color w:val="FFFFFF"/>
                <w:sz w:val="16"/>
                <w:szCs w:val="16"/>
                <w:lang w:eastAsia="en-AU"/>
              </w:rPr>
              <w:t>Qld</w:t>
            </w:r>
          </w:p>
        </w:tc>
        <w:tc>
          <w:tcPr>
            <w:tcW w:w="880" w:type="dxa"/>
            <w:tcBorders>
              <w:top w:val="single" w:sz="4" w:space="0" w:color="ADD6EA"/>
              <w:left w:val="nil"/>
              <w:bottom w:val="single" w:sz="4" w:space="0" w:color="ADD6EA"/>
              <w:right w:val="nil"/>
            </w:tcBorders>
            <w:shd w:val="clear" w:color="000000" w:fill="006991"/>
            <w:noWrap/>
            <w:vAlign w:val="center"/>
            <w:hideMark/>
          </w:tcPr>
          <w:p w14:paraId="666EC50F" w14:textId="77777777" w:rsidR="00C4779A" w:rsidRPr="00211B24"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1B24">
              <w:rPr>
                <w:rFonts w:ascii="Open Sans SemiBold" w:eastAsia="Times New Roman" w:hAnsi="Open Sans SemiBold" w:cs="Open Sans SemiBold"/>
                <w:color w:val="FFFFFF"/>
                <w:sz w:val="16"/>
                <w:szCs w:val="16"/>
                <w:lang w:eastAsia="en-AU"/>
              </w:rPr>
              <w:t>WA</w:t>
            </w:r>
          </w:p>
        </w:tc>
        <w:tc>
          <w:tcPr>
            <w:tcW w:w="880" w:type="dxa"/>
            <w:tcBorders>
              <w:top w:val="single" w:sz="4" w:space="0" w:color="ADD6EA"/>
              <w:left w:val="nil"/>
              <w:bottom w:val="single" w:sz="4" w:space="0" w:color="ADD6EA"/>
              <w:right w:val="nil"/>
            </w:tcBorders>
            <w:shd w:val="clear" w:color="000000" w:fill="006991"/>
            <w:noWrap/>
            <w:vAlign w:val="center"/>
            <w:hideMark/>
          </w:tcPr>
          <w:p w14:paraId="428ABF45" w14:textId="77777777" w:rsidR="00C4779A" w:rsidRPr="00211B24"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1B24">
              <w:rPr>
                <w:rFonts w:ascii="Open Sans SemiBold" w:eastAsia="Times New Roman" w:hAnsi="Open Sans SemiBold" w:cs="Open Sans SemiBold"/>
                <w:color w:val="FFFFFF"/>
                <w:sz w:val="16"/>
                <w:szCs w:val="16"/>
                <w:lang w:eastAsia="en-AU"/>
              </w:rPr>
              <w:t>SA</w:t>
            </w:r>
          </w:p>
        </w:tc>
        <w:tc>
          <w:tcPr>
            <w:tcW w:w="880" w:type="dxa"/>
            <w:tcBorders>
              <w:top w:val="single" w:sz="4" w:space="0" w:color="ADD6EA"/>
              <w:left w:val="nil"/>
              <w:bottom w:val="single" w:sz="4" w:space="0" w:color="ADD6EA"/>
              <w:right w:val="nil"/>
            </w:tcBorders>
            <w:shd w:val="clear" w:color="000000" w:fill="006991"/>
            <w:noWrap/>
            <w:vAlign w:val="center"/>
            <w:hideMark/>
          </w:tcPr>
          <w:p w14:paraId="5FD88657" w14:textId="77777777" w:rsidR="00C4779A" w:rsidRPr="00211B24"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1B24">
              <w:rPr>
                <w:rFonts w:ascii="Open Sans SemiBold" w:eastAsia="Times New Roman" w:hAnsi="Open Sans SemiBold" w:cs="Open Sans SemiBold"/>
                <w:color w:val="FFFFFF"/>
                <w:sz w:val="16"/>
                <w:szCs w:val="16"/>
                <w:lang w:eastAsia="en-AU"/>
              </w:rPr>
              <w:t>Tas</w:t>
            </w:r>
          </w:p>
        </w:tc>
        <w:tc>
          <w:tcPr>
            <w:tcW w:w="880" w:type="dxa"/>
            <w:tcBorders>
              <w:top w:val="single" w:sz="4" w:space="0" w:color="ADD6EA"/>
              <w:left w:val="nil"/>
              <w:bottom w:val="single" w:sz="4" w:space="0" w:color="ADD6EA"/>
              <w:right w:val="nil"/>
            </w:tcBorders>
            <w:shd w:val="clear" w:color="000000" w:fill="006991"/>
            <w:noWrap/>
            <w:vAlign w:val="center"/>
            <w:hideMark/>
          </w:tcPr>
          <w:p w14:paraId="10A6B45D" w14:textId="77777777" w:rsidR="00C4779A" w:rsidRPr="00211B24"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1B24">
              <w:rPr>
                <w:rFonts w:ascii="Open Sans SemiBold" w:eastAsia="Times New Roman" w:hAnsi="Open Sans SemiBold" w:cs="Open Sans SemiBold"/>
                <w:color w:val="FFFFFF"/>
                <w:sz w:val="16"/>
                <w:szCs w:val="16"/>
                <w:lang w:eastAsia="en-AU"/>
              </w:rPr>
              <w:t>ACT</w:t>
            </w:r>
          </w:p>
        </w:tc>
        <w:tc>
          <w:tcPr>
            <w:tcW w:w="880" w:type="dxa"/>
            <w:tcBorders>
              <w:top w:val="single" w:sz="4" w:space="0" w:color="ADD6EA"/>
              <w:left w:val="nil"/>
              <w:bottom w:val="single" w:sz="4" w:space="0" w:color="ADD6EA"/>
              <w:right w:val="nil"/>
            </w:tcBorders>
            <w:shd w:val="clear" w:color="000000" w:fill="006991"/>
            <w:noWrap/>
            <w:vAlign w:val="center"/>
            <w:hideMark/>
          </w:tcPr>
          <w:p w14:paraId="666217D1" w14:textId="77777777" w:rsidR="00C4779A" w:rsidRPr="00211B24"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1B24">
              <w:rPr>
                <w:rFonts w:ascii="Open Sans SemiBold" w:eastAsia="Times New Roman" w:hAnsi="Open Sans SemiBold" w:cs="Open Sans SemiBold"/>
                <w:color w:val="FFFFFF"/>
                <w:sz w:val="16"/>
                <w:szCs w:val="16"/>
                <w:lang w:eastAsia="en-AU"/>
              </w:rPr>
              <w:t>NT</w:t>
            </w:r>
          </w:p>
        </w:tc>
        <w:tc>
          <w:tcPr>
            <w:tcW w:w="880" w:type="dxa"/>
            <w:tcBorders>
              <w:top w:val="single" w:sz="4" w:space="0" w:color="ADD6EA"/>
              <w:left w:val="nil"/>
              <w:bottom w:val="single" w:sz="4" w:space="0" w:color="ADD6EA"/>
              <w:right w:val="nil"/>
            </w:tcBorders>
            <w:shd w:val="clear" w:color="000000" w:fill="006991"/>
            <w:noWrap/>
            <w:vAlign w:val="center"/>
            <w:hideMark/>
          </w:tcPr>
          <w:p w14:paraId="5C38AA6E" w14:textId="77777777" w:rsidR="00C4779A" w:rsidRPr="00211B24"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1B24">
              <w:rPr>
                <w:rFonts w:ascii="Open Sans SemiBold" w:eastAsia="Times New Roman" w:hAnsi="Open Sans SemiBold" w:cs="Open Sans SemiBold"/>
                <w:color w:val="FFFFFF"/>
                <w:sz w:val="16"/>
                <w:szCs w:val="16"/>
                <w:lang w:eastAsia="en-AU"/>
              </w:rPr>
              <w:t>Redist</w:t>
            </w:r>
          </w:p>
        </w:tc>
      </w:tr>
      <w:tr w:rsidR="00C4779A" w:rsidRPr="00211B24" w14:paraId="53383A92" w14:textId="77777777" w:rsidTr="008B3E12">
        <w:trPr>
          <w:trHeight w:val="315"/>
        </w:trPr>
        <w:tc>
          <w:tcPr>
            <w:tcW w:w="1300" w:type="dxa"/>
            <w:tcBorders>
              <w:top w:val="nil"/>
              <w:left w:val="nil"/>
              <w:bottom w:val="single" w:sz="4" w:space="0" w:color="ADD6EA"/>
              <w:right w:val="nil"/>
            </w:tcBorders>
            <w:shd w:val="clear" w:color="auto" w:fill="auto"/>
            <w:noWrap/>
            <w:vAlign w:val="bottom"/>
            <w:hideMark/>
          </w:tcPr>
          <w:p w14:paraId="64DDF4B8" w14:textId="77777777" w:rsidR="00C4779A" w:rsidRPr="00211B24" w:rsidRDefault="00C4779A" w:rsidP="004D65FE">
            <w:pPr>
              <w:tabs>
                <w:tab w:val="clear" w:pos="567"/>
              </w:tabs>
              <w:spacing w:before="0" w:line="240" w:lineRule="auto"/>
              <w:rPr>
                <w:rFonts w:eastAsia="Times New Roman" w:cs="Open Sans Light"/>
                <w:sz w:val="16"/>
                <w:szCs w:val="16"/>
                <w:lang w:eastAsia="en-AU"/>
              </w:rPr>
            </w:pPr>
            <w:r w:rsidRPr="00211B24">
              <w:rPr>
                <w:rFonts w:eastAsia="Times New Roman" w:cs="Open Sans Light"/>
                <w:sz w:val="16"/>
                <w:szCs w:val="16"/>
                <w:lang w:eastAsia="en-AU"/>
              </w:rPr>
              <w:t>$ million</w:t>
            </w:r>
          </w:p>
        </w:tc>
        <w:tc>
          <w:tcPr>
            <w:tcW w:w="880" w:type="dxa"/>
            <w:tcBorders>
              <w:top w:val="nil"/>
              <w:left w:val="nil"/>
              <w:bottom w:val="single" w:sz="4" w:space="0" w:color="ADD6EA"/>
              <w:right w:val="nil"/>
            </w:tcBorders>
            <w:shd w:val="clear" w:color="auto" w:fill="auto"/>
            <w:noWrap/>
            <w:vAlign w:val="bottom"/>
            <w:hideMark/>
          </w:tcPr>
          <w:p w14:paraId="32021DF2"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293</w:t>
            </w:r>
          </w:p>
        </w:tc>
        <w:tc>
          <w:tcPr>
            <w:tcW w:w="880" w:type="dxa"/>
            <w:tcBorders>
              <w:top w:val="nil"/>
              <w:left w:val="nil"/>
              <w:bottom w:val="single" w:sz="4" w:space="0" w:color="ADD6EA"/>
              <w:right w:val="nil"/>
            </w:tcBorders>
            <w:shd w:val="clear" w:color="auto" w:fill="auto"/>
            <w:noWrap/>
            <w:vAlign w:val="bottom"/>
            <w:hideMark/>
          </w:tcPr>
          <w:p w14:paraId="1643A45C"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-152</w:t>
            </w:r>
          </w:p>
        </w:tc>
        <w:tc>
          <w:tcPr>
            <w:tcW w:w="880" w:type="dxa"/>
            <w:tcBorders>
              <w:top w:val="nil"/>
              <w:left w:val="nil"/>
              <w:bottom w:val="single" w:sz="4" w:space="0" w:color="ADD6EA"/>
              <w:right w:val="nil"/>
            </w:tcBorders>
            <w:shd w:val="clear" w:color="auto" w:fill="auto"/>
            <w:noWrap/>
            <w:vAlign w:val="bottom"/>
            <w:hideMark/>
          </w:tcPr>
          <w:p w14:paraId="3C050FED"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-217</w:t>
            </w:r>
          </w:p>
        </w:tc>
        <w:tc>
          <w:tcPr>
            <w:tcW w:w="880" w:type="dxa"/>
            <w:tcBorders>
              <w:top w:val="nil"/>
              <w:left w:val="nil"/>
              <w:bottom w:val="single" w:sz="4" w:space="0" w:color="ADD6EA"/>
              <w:right w:val="nil"/>
            </w:tcBorders>
            <w:shd w:val="clear" w:color="auto" w:fill="auto"/>
            <w:noWrap/>
            <w:vAlign w:val="bottom"/>
            <w:hideMark/>
          </w:tcPr>
          <w:p w14:paraId="2940BAE9"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304</w:t>
            </w:r>
          </w:p>
        </w:tc>
        <w:tc>
          <w:tcPr>
            <w:tcW w:w="880" w:type="dxa"/>
            <w:tcBorders>
              <w:top w:val="nil"/>
              <w:left w:val="nil"/>
              <w:bottom w:val="single" w:sz="4" w:space="0" w:color="ADD6EA"/>
              <w:right w:val="nil"/>
            </w:tcBorders>
            <w:shd w:val="clear" w:color="auto" w:fill="auto"/>
            <w:noWrap/>
            <w:vAlign w:val="bottom"/>
            <w:hideMark/>
          </w:tcPr>
          <w:p w14:paraId="334F3EE2"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-295</w:t>
            </w:r>
          </w:p>
        </w:tc>
        <w:tc>
          <w:tcPr>
            <w:tcW w:w="880" w:type="dxa"/>
            <w:tcBorders>
              <w:top w:val="nil"/>
              <w:left w:val="nil"/>
              <w:bottom w:val="single" w:sz="4" w:space="0" w:color="ADD6EA"/>
              <w:right w:val="nil"/>
            </w:tcBorders>
            <w:shd w:val="clear" w:color="auto" w:fill="auto"/>
            <w:noWrap/>
            <w:vAlign w:val="bottom"/>
            <w:hideMark/>
          </w:tcPr>
          <w:p w14:paraId="022C2D76"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-186</w:t>
            </w:r>
          </w:p>
        </w:tc>
        <w:tc>
          <w:tcPr>
            <w:tcW w:w="880" w:type="dxa"/>
            <w:tcBorders>
              <w:top w:val="nil"/>
              <w:left w:val="nil"/>
              <w:bottom w:val="single" w:sz="4" w:space="0" w:color="ADD6EA"/>
              <w:right w:val="nil"/>
            </w:tcBorders>
            <w:shd w:val="clear" w:color="auto" w:fill="auto"/>
            <w:noWrap/>
            <w:vAlign w:val="bottom"/>
            <w:hideMark/>
          </w:tcPr>
          <w:p w14:paraId="73D8B4AC"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115</w:t>
            </w:r>
          </w:p>
        </w:tc>
        <w:tc>
          <w:tcPr>
            <w:tcW w:w="880" w:type="dxa"/>
            <w:tcBorders>
              <w:top w:val="nil"/>
              <w:left w:val="nil"/>
              <w:bottom w:val="single" w:sz="4" w:space="0" w:color="ADD6EA"/>
              <w:right w:val="nil"/>
            </w:tcBorders>
            <w:shd w:val="clear" w:color="auto" w:fill="auto"/>
            <w:noWrap/>
            <w:vAlign w:val="bottom"/>
            <w:hideMark/>
          </w:tcPr>
          <w:p w14:paraId="5B981C27"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137</w:t>
            </w:r>
          </w:p>
        </w:tc>
        <w:tc>
          <w:tcPr>
            <w:tcW w:w="880" w:type="dxa"/>
            <w:tcBorders>
              <w:top w:val="nil"/>
              <w:left w:val="nil"/>
              <w:bottom w:val="single" w:sz="4" w:space="0" w:color="ADD6EA"/>
              <w:right w:val="nil"/>
            </w:tcBorders>
            <w:shd w:val="clear" w:color="auto" w:fill="auto"/>
            <w:noWrap/>
            <w:vAlign w:val="bottom"/>
            <w:hideMark/>
          </w:tcPr>
          <w:p w14:paraId="757CE3B3"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849</w:t>
            </w:r>
          </w:p>
        </w:tc>
      </w:tr>
      <w:tr w:rsidR="00C4779A" w:rsidRPr="00211B24" w14:paraId="4C054D95" w14:textId="77777777" w:rsidTr="008B3E12">
        <w:trPr>
          <w:trHeight w:val="315"/>
        </w:trPr>
        <w:tc>
          <w:tcPr>
            <w:tcW w:w="1300" w:type="dxa"/>
            <w:tcBorders>
              <w:top w:val="nil"/>
              <w:left w:val="nil"/>
              <w:bottom w:val="single" w:sz="4" w:space="0" w:color="ADD6EA"/>
              <w:right w:val="nil"/>
            </w:tcBorders>
            <w:shd w:val="clear" w:color="auto" w:fill="auto"/>
            <w:noWrap/>
            <w:vAlign w:val="bottom"/>
            <w:hideMark/>
          </w:tcPr>
          <w:p w14:paraId="2F2BC649" w14:textId="77777777" w:rsidR="00C4779A" w:rsidRPr="00211B24" w:rsidRDefault="00C4779A" w:rsidP="004D65FE">
            <w:pPr>
              <w:tabs>
                <w:tab w:val="clear" w:pos="567"/>
              </w:tabs>
              <w:spacing w:before="0" w:line="240" w:lineRule="auto"/>
              <w:rPr>
                <w:rFonts w:eastAsia="Times New Roman" w:cs="Open Sans Light"/>
                <w:sz w:val="16"/>
                <w:szCs w:val="16"/>
                <w:lang w:eastAsia="en-AU"/>
              </w:rPr>
            </w:pPr>
            <w:r w:rsidRPr="00211B24">
              <w:rPr>
                <w:rFonts w:eastAsia="Times New Roman" w:cs="Open Sans Light"/>
                <w:sz w:val="16"/>
                <w:szCs w:val="16"/>
                <w:lang w:eastAsia="en-AU"/>
              </w:rPr>
              <w:t>$ per capita</w:t>
            </w:r>
          </w:p>
        </w:tc>
        <w:tc>
          <w:tcPr>
            <w:tcW w:w="880" w:type="dxa"/>
            <w:tcBorders>
              <w:top w:val="nil"/>
              <w:left w:val="nil"/>
              <w:bottom w:val="single" w:sz="4" w:space="0" w:color="ADD6EA"/>
              <w:right w:val="nil"/>
            </w:tcBorders>
            <w:shd w:val="clear" w:color="auto" w:fill="auto"/>
            <w:noWrap/>
            <w:vAlign w:val="bottom"/>
            <w:hideMark/>
          </w:tcPr>
          <w:p w14:paraId="3D62B0CB"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35</w:t>
            </w:r>
          </w:p>
        </w:tc>
        <w:tc>
          <w:tcPr>
            <w:tcW w:w="880" w:type="dxa"/>
            <w:tcBorders>
              <w:top w:val="nil"/>
              <w:left w:val="nil"/>
              <w:bottom w:val="single" w:sz="4" w:space="0" w:color="ADD6EA"/>
              <w:right w:val="nil"/>
            </w:tcBorders>
            <w:shd w:val="clear" w:color="auto" w:fill="auto"/>
            <w:noWrap/>
            <w:vAlign w:val="bottom"/>
            <w:hideMark/>
          </w:tcPr>
          <w:p w14:paraId="0E252029"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-22</w:t>
            </w:r>
          </w:p>
        </w:tc>
        <w:tc>
          <w:tcPr>
            <w:tcW w:w="880" w:type="dxa"/>
            <w:tcBorders>
              <w:top w:val="nil"/>
              <w:left w:val="nil"/>
              <w:bottom w:val="single" w:sz="4" w:space="0" w:color="ADD6EA"/>
              <w:right w:val="nil"/>
            </w:tcBorders>
            <w:shd w:val="clear" w:color="auto" w:fill="auto"/>
            <w:noWrap/>
            <w:vAlign w:val="bottom"/>
            <w:hideMark/>
          </w:tcPr>
          <w:p w14:paraId="414F7227"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-41</w:t>
            </w:r>
          </w:p>
        </w:tc>
        <w:tc>
          <w:tcPr>
            <w:tcW w:w="880" w:type="dxa"/>
            <w:tcBorders>
              <w:top w:val="nil"/>
              <w:left w:val="nil"/>
              <w:bottom w:val="single" w:sz="4" w:space="0" w:color="ADD6EA"/>
              <w:right w:val="nil"/>
            </w:tcBorders>
            <w:shd w:val="clear" w:color="auto" w:fill="auto"/>
            <w:noWrap/>
            <w:vAlign w:val="bottom"/>
            <w:hideMark/>
          </w:tcPr>
          <w:p w14:paraId="1FDB10EB"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115</w:t>
            </w:r>
          </w:p>
        </w:tc>
        <w:tc>
          <w:tcPr>
            <w:tcW w:w="880" w:type="dxa"/>
            <w:tcBorders>
              <w:top w:val="nil"/>
              <w:left w:val="nil"/>
              <w:bottom w:val="single" w:sz="4" w:space="0" w:color="ADD6EA"/>
              <w:right w:val="nil"/>
            </w:tcBorders>
            <w:shd w:val="clear" w:color="auto" w:fill="auto"/>
            <w:noWrap/>
            <w:vAlign w:val="bottom"/>
            <w:hideMark/>
          </w:tcPr>
          <w:p w14:paraId="3224DD8A"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-166</w:t>
            </w:r>
          </w:p>
        </w:tc>
        <w:tc>
          <w:tcPr>
            <w:tcW w:w="880" w:type="dxa"/>
            <w:tcBorders>
              <w:top w:val="nil"/>
              <w:left w:val="nil"/>
              <w:bottom w:val="single" w:sz="4" w:space="0" w:color="ADD6EA"/>
              <w:right w:val="nil"/>
            </w:tcBorders>
            <w:shd w:val="clear" w:color="auto" w:fill="auto"/>
            <w:noWrap/>
            <w:vAlign w:val="bottom"/>
            <w:hideMark/>
          </w:tcPr>
          <w:p w14:paraId="4B53CCA0"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-342</w:t>
            </w:r>
          </w:p>
        </w:tc>
        <w:tc>
          <w:tcPr>
            <w:tcW w:w="880" w:type="dxa"/>
            <w:tcBorders>
              <w:top w:val="nil"/>
              <w:left w:val="nil"/>
              <w:bottom w:val="single" w:sz="4" w:space="0" w:color="ADD6EA"/>
              <w:right w:val="nil"/>
            </w:tcBorders>
            <w:shd w:val="clear" w:color="auto" w:fill="auto"/>
            <w:noWrap/>
            <w:vAlign w:val="bottom"/>
            <w:hideMark/>
          </w:tcPr>
          <w:p w14:paraId="68DDF9A1"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261</w:t>
            </w:r>
          </w:p>
        </w:tc>
        <w:tc>
          <w:tcPr>
            <w:tcW w:w="880" w:type="dxa"/>
            <w:tcBorders>
              <w:top w:val="nil"/>
              <w:left w:val="nil"/>
              <w:bottom w:val="single" w:sz="4" w:space="0" w:color="ADD6EA"/>
              <w:right w:val="nil"/>
            </w:tcBorders>
            <w:shd w:val="clear" w:color="auto" w:fill="auto"/>
            <w:noWrap/>
            <w:vAlign w:val="bottom"/>
            <w:hideMark/>
          </w:tcPr>
          <w:p w14:paraId="26BE77B9"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559</w:t>
            </w:r>
          </w:p>
        </w:tc>
        <w:tc>
          <w:tcPr>
            <w:tcW w:w="880" w:type="dxa"/>
            <w:tcBorders>
              <w:top w:val="nil"/>
              <w:left w:val="nil"/>
              <w:bottom w:val="single" w:sz="4" w:space="0" w:color="ADD6EA"/>
              <w:right w:val="nil"/>
            </w:tcBorders>
            <w:shd w:val="clear" w:color="auto" w:fill="auto"/>
            <w:noWrap/>
            <w:vAlign w:val="bottom"/>
            <w:hideMark/>
          </w:tcPr>
          <w:p w14:paraId="7403ACB3" w14:textId="77777777" w:rsidR="00C4779A" w:rsidRPr="00211B24" w:rsidRDefault="00C4779A" w:rsidP="004D65FE">
            <w:pPr>
              <w:tabs>
                <w:tab w:val="clear" w:pos="567"/>
              </w:tabs>
              <w:spacing w:before="0" w:line="240" w:lineRule="auto"/>
              <w:jc w:val="right"/>
              <w:rPr>
                <w:rFonts w:eastAsia="Times New Roman" w:cs="Open Sans Light"/>
                <w:sz w:val="16"/>
                <w:szCs w:val="16"/>
                <w:lang w:eastAsia="en-AU"/>
              </w:rPr>
            </w:pPr>
            <w:r w:rsidRPr="00211B24">
              <w:rPr>
                <w:rFonts w:eastAsia="Times New Roman" w:cs="Open Sans Light"/>
                <w:sz w:val="16"/>
                <w:szCs w:val="16"/>
                <w:lang w:eastAsia="en-AU"/>
              </w:rPr>
              <w:t>33</w:t>
            </w:r>
          </w:p>
        </w:tc>
      </w:tr>
    </w:tbl>
    <w:p w14:paraId="027E1F08" w14:textId="77777777" w:rsidR="00C4779A" w:rsidRPr="005A63A8" w:rsidRDefault="00C4779A" w:rsidP="00C4779A">
      <w:pPr>
        <w:pStyle w:val="CGCTablenote"/>
        <w:keepNext/>
        <w:keepLines/>
      </w:pPr>
      <w:r w:rsidRPr="005A63A8">
        <w:t>Note:</w:t>
      </w:r>
      <w:r w:rsidRPr="005A63A8">
        <w:tab/>
        <w:t>The redistribution is the difference from an EPC assessment of wage costs.</w:t>
      </w:r>
    </w:p>
    <w:p w14:paraId="3B79177A" w14:textId="77777777" w:rsidR="00C4779A" w:rsidRPr="005A63A8" w:rsidRDefault="00C4779A" w:rsidP="00C4779A">
      <w:pPr>
        <w:pStyle w:val="CGCTablenote"/>
        <w:keepNext/>
        <w:keepLines/>
      </w:pPr>
      <w:r w:rsidRPr="005A63A8">
        <w:tab/>
        <w:t>The redistribution varies from the 2019 Update results as it only includes a single assessment year and correspondingly only a single year of regression results.</w:t>
      </w:r>
    </w:p>
    <w:p w14:paraId="2F866530" w14:textId="77777777" w:rsidR="00C4779A" w:rsidRPr="005A63A8" w:rsidRDefault="00C4779A" w:rsidP="00C4779A">
      <w:pPr>
        <w:pStyle w:val="CGCTablenote"/>
        <w:keepNext/>
        <w:keepLines/>
      </w:pPr>
      <w:r w:rsidRPr="005A63A8">
        <w:t>Source:</w:t>
      </w:r>
      <w:r w:rsidRPr="005A63A8">
        <w:tab/>
        <w:t>Commission calculation.</w:t>
      </w:r>
    </w:p>
    <w:p w14:paraId="51E49FF4" w14:textId="77777777" w:rsidR="00C4779A" w:rsidRPr="005A63A8" w:rsidRDefault="00C4779A" w:rsidP="00F47EC7">
      <w:pPr>
        <w:pStyle w:val="CGCParaNumber"/>
      </w:pPr>
      <w:r w:rsidRPr="005A63A8">
        <w:t xml:space="preserve">The main reason for these redistributions is the differences between States in their relative private sector wage levels. </w:t>
      </w:r>
    </w:p>
    <w:p w14:paraId="4AD9325A" w14:textId="77777777" w:rsidR="00C4779A" w:rsidRPr="005A63A8" w:rsidRDefault="00C4779A" w:rsidP="00C4779A">
      <w:pPr>
        <w:pStyle w:val="Heading3"/>
      </w:pPr>
      <w:r w:rsidRPr="005A63A8">
        <w:t>Changes since the 2019 Update</w:t>
      </w:r>
    </w:p>
    <w:p w14:paraId="096D70F4" w14:textId="2BE5D078" w:rsidR="00C4779A" w:rsidRDefault="00952095" w:rsidP="00F47EC7">
      <w:pPr>
        <w:pStyle w:val="CGCParaNumber"/>
      </w:pPr>
      <w:r>
        <w:fldChar w:fldCharType="begin"/>
      </w:r>
      <w:r>
        <w:instrText xml:space="preserve"> REF _Ref32846075 \h </w:instrText>
      </w:r>
      <w:r>
        <w:fldChar w:fldCharType="separate"/>
      </w:r>
      <w:r w:rsidR="007F721A" w:rsidRPr="005A63A8">
        <w:t>Table </w:t>
      </w:r>
      <w:r w:rsidR="007F721A">
        <w:t>27-</w:t>
      </w:r>
      <w:r w:rsidR="007F721A">
        <w:rPr>
          <w:noProof/>
        </w:rPr>
        <w:t>5</w:t>
      </w:r>
      <w:r>
        <w:fldChar w:fldCharType="end"/>
      </w:r>
      <w:r w:rsidR="00C4779A">
        <w:t xml:space="preserve"> shows the effect of revisions and changes in State circumstances since the 2019 Update. Revisions to the size of State wage expenses had only minor effects. </w:t>
      </w:r>
      <w:r w:rsidR="00C4779A" w:rsidRPr="19AB37D9">
        <w:rPr>
          <w:rFonts w:eastAsia="Open Sans Light" w:cs="Open Sans Light"/>
        </w:rPr>
        <w:t xml:space="preserve">Between </w:t>
      </w:r>
      <w:r w:rsidR="00C4779A" w:rsidRPr="0029549A">
        <w:t>2015</w:t>
      </w:r>
      <w:r w:rsidR="00C4779A" w:rsidRPr="19AB37D9">
        <w:rPr>
          <w:rFonts w:ascii="Cambria Math" w:eastAsia="Open Sans Light" w:hAnsi="Cambria Math" w:cs="Cambria Math"/>
        </w:rPr>
        <w:t>‑</w:t>
      </w:r>
      <w:r w:rsidR="00C4779A" w:rsidRPr="19AB37D9">
        <w:rPr>
          <w:rFonts w:eastAsia="Open Sans Light" w:cs="Open Sans Light"/>
        </w:rPr>
        <w:t>16 and 2018</w:t>
      </w:r>
      <w:r w:rsidR="00C4779A" w:rsidRPr="19AB37D9">
        <w:rPr>
          <w:rFonts w:ascii="Cambria Math" w:eastAsia="Open Sans Light" w:hAnsi="Cambria Math" w:cs="Cambria Math"/>
        </w:rPr>
        <w:t>‑</w:t>
      </w:r>
      <w:r w:rsidR="00C4779A" w:rsidRPr="19AB37D9">
        <w:rPr>
          <w:rFonts w:eastAsia="Open Sans Light" w:cs="Open Sans Light"/>
        </w:rPr>
        <w:t>19, relative wage levels increased in New South Wales, Victoria and Tasmania, increasing their GST requirements. Relative wage levels declined in the other States over the period, reducing their GST requirements.</w:t>
      </w:r>
    </w:p>
    <w:p w14:paraId="4692F457" w14:textId="757B41EF" w:rsidR="00C4779A" w:rsidRDefault="00C4779A" w:rsidP="00C4779A">
      <w:pPr>
        <w:pStyle w:val="Caption"/>
      </w:pPr>
      <w:bookmarkStart w:id="514" w:name="_Ref32846075"/>
      <w:r w:rsidRPr="005A63A8">
        <w:t>Table </w:t>
      </w:r>
      <w:r>
        <w:t>27-</w:t>
      </w:r>
      <w:fldSimple w:instr=" SEQ Table \* ARABIC ">
        <w:r w:rsidR="007F721A">
          <w:rPr>
            <w:noProof/>
          </w:rPr>
          <w:t>5</w:t>
        </w:r>
      </w:fldSimple>
      <w:bookmarkEnd w:id="514"/>
      <w:r w:rsidRPr="005A63A8">
        <w:tab/>
        <w:t xml:space="preserve">Changes to </w:t>
      </w:r>
      <w:r>
        <w:t xml:space="preserve">the GST distribution </w:t>
      </w:r>
      <w:r w:rsidRPr="005A63A8">
        <w:t>between the 2019 Update and 2020 Review</w:t>
      </w:r>
    </w:p>
    <w:tbl>
      <w:tblPr>
        <w:tblW w:w="9220" w:type="dxa"/>
        <w:tblCellMar>
          <w:left w:w="0" w:type="dxa"/>
          <w:right w:w="28" w:type="dxa"/>
        </w:tblCellMar>
        <w:tblLook w:val="04A0" w:firstRow="1" w:lastRow="0" w:firstColumn="1" w:lastColumn="0" w:noHBand="0" w:noVBand="1"/>
      </w:tblPr>
      <w:tblGrid>
        <w:gridCol w:w="2388"/>
        <w:gridCol w:w="768"/>
        <w:gridCol w:w="768"/>
        <w:gridCol w:w="768"/>
        <w:gridCol w:w="768"/>
        <w:gridCol w:w="768"/>
        <w:gridCol w:w="768"/>
        <w:gridCol w:w="768"/>
        <w:gridCol w:w="768"/>
        <w:gridCol w:w="768"/>
      </w:tblGrid>
      <w:tr w:rsidR="00C4779A" w:rsidRPr="009129F0" w14:paraId="278D57E4" w14:textId="77777777" w:rsidTr="00EE414B">
        <w:trPr>
          <w:trHeight w:val="375"/>
        </w:trPr>
        <w:tc>
          <w:tcPr>
            <w:tcW w:w="2380" w:type="dxa"/>
            <w:tcBorders>
              <w:top w:val="single" w:sz="4" w:space="0" w:color="ADD6EA"/>
              <w:left w:val="nil"/>
              <w:bottom w:val="single" w:sz="4" w:space="0" w:color="ADD6EA"/>
              <w:right w:val="nil"/>
            </w:tcBorders>
            <w:shd w:val="clear" w:color="000000" w:fill="006991"/>
            <w:noWrap/>
            <w:vAlign w:val="center"/>
            <w:hideMark/>
          </w:tcPr>
          <w:p w14:paraId="0EB49430"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29F0">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noWrap/>
            <w:vAlign w:val="center"/>
            <w:hideMark/>
          </w:tcPr>
          <w:p w14:paraId="40A59C1A"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29F0">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noWrap/>
            <w:vAlign w:val="center"/>
            <w:hideMark/>
          </w:tcPr>
          <w:p w14:paraId="2C6260CC"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29F0">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5528334C"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29F0">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0244C580"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29F0">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noWrap/>
            <w:vAlign w:val="center"/>
            <w:hideMark/>
          </w:tcPr>
          <w:p w14:paraId="23597FA4"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29F0">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noWrap/>
            <w:vAlign w:val="center"/>
            <w:hideMark/>
          </w:tcPr>
          <w:p w14:paraId="3B827CA4"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29F0">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noWrap/>
            <w:vAlign w:val="center"/>
            <w:hideMark/>
          </w:tcPr>
          <w:p w14:paraId="17F463B1"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29F0">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noWrap/>
            <w:vAlign w:val="center"/>
            <w:hideMark/>
          </w:tcPr>
          <w:p w14:paraId="15A1350D"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29F0">
              <w:rPr>
                <w:rFonts w:ascii="Open Sans SemiBold" w:eastAsia="Times New Roman"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noWrap/>
            <w:vAlign w:val="center"/>
            <w:hideMark/>
          </w:tcPr>
          <w:p w14:paraId="647CEC97"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129F0">
              <w:rPr>
                <w:rFonts w:ascii="Open Sans SemiBold" w:eastAsia="Times New Roman" w:hAnsi="Open Sans SemiBold" w:cs="Open Sans SemiBold"/>
                <w:color w:val="FFFFFF"/>
                <w:sz w:val="16"/>
                <w:szCs w:val="16"/>
                <w:lang w:eastAsia="en-AU"/>
              </w:rPr>
              <w:t>Redist</w:t>
            </w:r>
          </w:p>
        </w:tc>
      </w:tr>
      <w:tr w:rsidR="00C4779A" w:rsidRPr="009129F0" w14:paraId="62431C68" w14:textId="77777777" w:rsidTr="00EE414B">
        <w:trPr>
          <w:trHeight w:val="258"/>
        </w:trPr>
        <w:tc>
          <w:tcPr>
            <w:tcW w:w="2380" w:type="dxa"/>
            <w:tcBorders>
              <w:top w:val="nil"/>
              <w:left w:val="nil"/>
              <w:bottom w:val="single" w:sz="4" w:space="0" w:color="ADD6EA"/>
              <w:right w:val="nil"/>
            </w:tcBorders>
            <w:shd w:val="clear" w:color="000000" w:fill="B6D5E4"/>
            <w:noWrap/>
            <w:vAlign w:val="center"/>
            <w:hideMark/>
          </w:tcPr>
          <w:p w14:paraId="7471830B"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 </w:t>
            </w:r>
          </w:p>
        </w:tc>
        <w:tc>
          <w:tcPr>
            <w:tcW w:w="760" w:type="dxa"/>
            <w:tcBorders>
              <w:top w:val="nil"/>
              <w:left w:val="nil"/>
              <w:bottom w:val="single" w:sz="4" w:space="0" w:color="ADD6EA"/>
              <w:right w:val="nil"/>
            </w:tcBorders>
            <w:shd w:val="clear" w:color="000000" w:fill="B6D5E4"/>
            <w:noWrap/>
            <w:vAlign w:val="bottom"/>
            <w:hideMark/>
          </w:tcPr>
          <w:p w14:paraId="41BD2632"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106F26E8"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1334447C"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57341759"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0470840F"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6B86D4F1"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2EA402CF"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650C9058"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2E0A754F"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$m</w:t>
            </w:r>
          </w:p>
        </w:tc>
      </w:tr>
      <w:tr w:rsidR="00C4779A" w:rsidRPr="009129F0" w14:paraId="622849A0" w14:textId="77777777" w:rsidTr="00EE414B">
        <w:trPr>
          <w:trHeight w:val="315"/>
        </w:trPr>
        <w:tc>
          <w:tcPr>
            <w:tcW w:w="2380" w:type="dxa"/>
            <w:tcBorders>
              <w:top w:val="nil"/>
              <w:left w:val="nil"/>
              <w:bottom w:val="single" w:sz="4" w:space="0" w:color="ADD6EA"/>
              <w:right w:val="nil"/>
            </w:tcBorders>
            <w:shd w:val="clear" w:color="auto" w:fill="auto"/>
            <w:vAlign w:val="bottom"/>
            <w:hideMark/>
          </w:tcPr>
          <w:p w14:paraId="43A5B146" w14:textId="77777777" w:rsidR="00C4779A" w:rsidRPr="009129F0" w:rsidRDefault="00C4779A" w:rsidP="004D65FE">
            <w:pPr>
              <w:tabs>
                <w:tab w:val="clear" w:pos="567"/>
              </w:tabs>
              <w:spacing w:before="0" w:line="240" w:lineRule="auto"/>
              <w:rPr>
                <w:rFonts w:eastAsia="Times New Roman" w:cs="Open Sans Light"/>
                <w:sz w:val="16"/>
                <w:szCs w:val="16"/>
                <w:lang w:eastAsia="en-AU"/>
              </w:rPr>
            </w:pPr>
            <w:r w:rsidRPr="009129F0">
              <w:rPr>
                <w:rFonts w:eastAsia="Times New Roman" w:cs="Open Sans Light"/>
                <w:sz w:val="16"/>
                <w:szCs w:val="16"/>
                <w:lang w:eastAsia="en-AU"/>
              </w:rPr>
              <w:t>Data revisions</w:t>
            </w:r>
          </w:p>
        </w:tc>
        <w:tc>
          <w:tcPr>
            <w:tcW w:w="760" w:type="dxa"/>
            <w:tcBorders>
              <w:top w:val="nil"/>
              <w:left w:val="nil"/>
              <w:bottom w:val="single" w:sz="4" w:space="0" w:color="ADD6EA"/>
              <w:right w:val="nil"/>
            </w:tcBorders>
            <w:shd w:val="clear" w:color="auto" w:fill="auto"/>
            <w:vAlign w:val="bottom"/>
            <w:hideMark/>
          </w:tcPr>
          <w:p w14:paraId="468EAF0F"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6ADEAA1D"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7B31084D"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23187639"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7C7C331C"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43C1A12C"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7650F351"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1A935E91"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229FA922"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7</w:t>
            </w:r>
          </w:p>
        </w:tc>
      </w:tr>
      <w:tr w:rsidR="00C4779A" w:rsidRPr="009129F0" w14:paraId="25BF4202" w14:textId="77777777" w:rsidTr="00EE414B">
        <w:trPr>
          <w:trHeight w:val="315"/>
        </w:trPr>
        <w:tc>
          <w:tcPr>
            <w:tcW w:w="2380" w:type="dxa"/>
            <w:tcBorders>
              <w:top w:val="nil"/>
              <w:left w:val="nil"/>
              <w:bottom w:val="single" w:sz="4" w:space="0" w:color="ADD6EA"/>
              <w:right w:val="nil"/>
            </w:tcBorders>
            <w:shd w:val="clear" w:color="auto" w:fill="auto"/>
            <w:vAlign w:val="bottom"/>
            <w:hideMark/>
          </w:tcPr>
          <w:p w14:paraId="3E9D7BE2" w14:textId="77777777" w:rsidR="00C4779A" w:rsidRPr="009129F0" w:rsidRDefault="00C4779A" w:rsidP="004D65FE">
            <w:pPr>
              <w:tabs>
                <w:tab w:val="clear" w:pos="567"/>
              </w:tabs>
              <w:spacing w:before="0" w:line="240" w:lineRule="auto"/>
              <w:rPr>
                <w:rFonts w:eastAsia="Times New Roman" w:cs="Open Sans Light"/>
                <w:sz w:val="16"/>
                <w:szCs w:val="16"/>
                <w:lang w:eastAsia="en-AU"/>
              </w:rPr>
            </w:pPr>
            <w:r w:rsidRPr="009129F0">
              <w:rPr>
                <w:rFonts w:eastAsia="Times New Roman" w:cs="Open Sans Light"/>
                <w:sz w:val="16"/>
                <w:szCs w:val="16"/>
                <w:lang w:eastAsia="en-AU"/>
              </w:rPr>
              <w:t>State circumstances</w:t>
            </w:r>
          </w:p>
        </w:tc>
        <w:tc>
          <w:tcPr>
            <w:tcW w:w="760" w:type="dxa"/>
            <w:tcBorders>
              <w:top w:val="nil"/>
              <w:left w:val="nil"/>
              <w:bottom w:val="single" w:sz="4" w:space="0" w:color="ADD6EA"/>
              <w:right w:val="nil"/>
            </w:tcBorders>
            <w:shd w:val="clear" w:color="auto" w:fill="auto"/>
            <w:vAlign w:val="bottom"/>
            <w:hideMark/>
          </w:tcPr>
          <w:p w14:paraId="3AA65123"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126</w:t>
            </w:r>
          </w:p>
        </w:tc>
        <w:tc>
          <w:tcPr>
            <w:tcW w:w="760" w:type="dxa"/>
            <w:tcBorders>
              <w:top w:val="nil"/>
              <w:left w:val="nil"/>
              <w:bottom w:val="single" w:sz="4" w:space="0" w:color="ADD6EA"/>
              <w:right w:val="nil"/>
            </w:tcBorders>
            <w:shd w:val="clear" w:color="auto" w:fill="auto"/>
            <w:vAlign w:val="bottom"/>
            <w:hideMark/>
          </w:tcPr>
          <w:p w14:paraId="198382DC"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45</w:t>
            </w:r>
          </w:p>
        </w:tc>
        <w:tc>
          <w:tcPr>
            <w:tcW w:w="760" w:type="dxa"/>
            <w:tcBorders>
              <w:top w:val="nil"/>
              <w:left w:val="nil"/>
              <w:bottom w:val="single" w:sz="4" w:space="0" w:color="ADD6EA"/>
              <w:right w:val="nil"/>
            </w:tcBorders>
            <w:shd w:val="clear" w:color="auto" w:fill="auto"/>
            <w:vAlign w:val="bottom"/>
            <w:hideMark/>
          </w:tcPr>
          <w:p w14:paraId="653FEEE9"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-44</w:t>
            </w:r>
          </w:p>
        </w:tc>
        <w:tc>
          <w:tcPr>
            <w:tcW w:w="760" w:type="dxa"/>
            <w:tcBorders>
              <w:top w:val="nil"/>
              <w:left w:val="nil"/>
              <w:bottom w:val="single" w:sz="4" w:space="0" w:color="ADD6EA"/>
              <w:right w:val="nil"/>
            </w:tcBorders>
            <w:shd w:val="clear" w:color="auto" w:fill="auto"/>
            <w:vAlign w:val="bottom"/>
            <w:hideMark/>
          </w:tcPr>
          <w:p w14:paraId="60BD5B4D"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-88</w:t>
            </w:r>
          </w:p>
        </w:tc>
        <w:tc>
          <w:tcPr>
            <w:tcW w:w="760" w:type="dxa"/>
            <w:tcBorders>
              <w:top w:val="nil"/>
              <w:left w:val="nil"/>
              <w:bottom w:val="single" w:sz="4" w:space="0" w:color="ADD6EA"/>
              <w:right w:val="nil"/>
            </w:tcBorders>
            <w:shd w:val="clear" w:color="auto" w:fill="auto"/>
            <w:vAlign w:val="bottom"/>
            <w:hideMark/>
          </w:tcPr>
          <w:p w14:paraId="5B648013"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-41</w:t>
            </w:r>
          </w:p>
        </w:tc>
        <w:tc>
          <w:tcPr>
            <w:tcW w:w="760" w:type="dxa"/>
            <w:tcBorders>
              <w:top w:val="nil"/>
              <w:left w:val="nil"/>
              <w:bottom w:val="single" w:sz="4" w:space="0" w:color="ADD6EA"/>
              <w:right w:val="nil"/>
            </w:tcBorders>
            <w:shd w:val="clear" w:color="auto" w:fill="auto"/>
            <w:vAlign w:val="bottom"/>
            <w:hideMark/>
          </w:tcPr>
          <w:p w14:paraId="39923058"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17</w:t>
            </w:r>
          </w:p>
        </w:tc>
        <w:tc>
          <w:tcPr>
            <w:tcW w:w="760" w:type="dxa"/>
            <w:tcBorders>
              <w:top w:val="nil"/>
              <w:left w:val="nil"/>
              <w:bottom w:val="single" w:sz="4" w:space="0" w:color="ADD6EA"/>
              <w:right w:val="nil"/>
            </w:tcBorders>
            <w:shd w:val="clear" w:color="auto" w:fill="auto"/>
            <w:vAlign w:val="bottom"/>
            <w:hideMark/>
          </w:tcPr>
          <w:p w14:paraId="385578D6"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-12</w:t>
            </w:r>
          </w:p>
        </w:tc>
        <w:tc>
          <w:tcPr>
            <w:tcW w:w="760" w:type="dxa"/>
            <w:tcBorders>
              <w:top w:val="nil"/>
              <w:left w:val="nil"/>
              <w:bottom w:val="single" w:sz="4" w:space="0" w:color="ADD6EA"/>
              <w:right w:val="nil"/>
            </w:tcBorders>
            <w:shd w:val="clear" w:color="auto" w:fill="auto"/>
            <w:vAlign w:val="bottom"/>
            <w:hideMark/>
          </w:tcPr>
          <w:p w14:paraId="42096D8D"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7EBCA2D2" w14:textId="77777777" w:rsidR="00C4779A" w:rsidRPr="009129F0" w:rsidRDefault="00C4779A" w:rsidP="004D65FE">
            <w:pPr>
              <w:tabs>
                <w:tab w:val="clear" w:pos="567"/>
              </w:tabs>
              <w:spacing w:before="0" w:line="240" w:lineRule="auto"/>
              <w:jc w:val="right"/>
              <w:rPr>
                <w:rFonts w:eastAsia="Times New Roman" w:cs="Open Sans Light"/>
                <w:sz w:val="16"/>
                <w:szCs w:val="16"/>
                <w:lang w:eastAsia="en-AU"/>
              </w:rPr>
            </w:pPr>
            <w:r w:rsidRPr="009129F0">
              <w:rPr>
                <w:rFonts w:eastAsia="Times New Roman" w:cs="Open Sans Light"/>
                <w:sz w:val="16"/>
                <w:szCs w:val="16"/>
                <w:lang w:eastAsia="en-AU"/>
              </w:rPr>
              <w:t>188</w:t>
            </w:r>
          </w:p>
        </w:tc>
      </w:tr>
      <w:tr w:rsidR="00C4779A" w:rsidRPr="009129F0" w14:paraId="24005A21" w14:textId="77777777" w:rsidTr="00EE414B">
        <w:trPr>
          <w:trHeight w:val="276"/>
        </w:trPr>
        <w:tc>
          <w:tcPr>
            <w:tcW w:w="2380" w:type="dxa"/>
            <w:tcBorders>
              <w:top w:val="nil"/>
              <w:left w:val="nil"/>
              <w:bottom w:val="single" w:sz="4" w:space="0" w:color="ADD6EA"/>
              <w:right w:val="nil"/>
            </w:tcBorders>
            <w:shd w:val="clear" w:color="000000" w:fill="D6E7F0"/>
            <w:vAlign w:val="bottom"/>
            <w:hideMark/>
          </w:tcPr>
          <w:p w14:paraId="355419F9" w14:textId="77777777" w:rsidR="00C4779A" w:rsidRPr="009129F0" w:rsidRDefault="00C4779A"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767537BA"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125</w:t>
            </w:r>
          </w:p>
        </w:tc>
        <w:tc>
          <w:tcPr>
            <w:tcW w:w="760" w:type="dxa"/>
            <w:tcBorders>
              <w:top w:val="nil"/>
              <w:left w:val="nil"/>
              <w:bottom w:val="single" w:sz="4" w:space="0" w:color="ADD6EA"/>
              <w:right w:val="nil"/>
            </w:tcBorders>
            <w:shd w:val="clear" w:color="000000" w:fill="D6E7F0"/>
            <w:vAlign w:val="bottom"/>
            <w:hideMark/>
          </w:tcPr>
          <w:p w14:paraId="09E7C559"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47</w:t>
            </w:r>
          </w:p>
        </w:tc>
        <w:tc>
          <w:tcPr>
            <w:tcW w:w="760" w:type="dxa"/>
            <w:tcBorders>
              <w:top w:val="nil"/>
              <w:left w:val="nil"/>
              <w:bottom w:val="single" w:sz="4" w:space="0" w:color="ADD6EA"/>
              <w:right w:val="nil"/>
            </w:tcBorders>
            <w:shd w:val="clear" w:color="000000" w:fill="D6E7F0"/>
            <w:vAlign w:val="bottom"/>
            <w:hideMark/>
          </w:tcPr>
          <w:p w14:paraId="1B8A94AB"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-43</w:t>
            </w:r>
          </w:p>
        </w:tc>
        <w:tc>
          <w:tcPr>
            <w:tcW w:w="760" w:type="dxa"/>
            <w:tcBorders>
              <w:top w:val="nil"/>
              <w:left w:val="nil"/>
              <w:bottom w:val="single" w:sz="4" w:space="0" w:color="ADD6EA"/>
              <w:right w:val="nil"/>
            </w:tcBorders>
            <w:shd w:val="clear" w:color="000000" w:fill="D6E7F0"/>
            <w:vAlign w:val="bottom"/>
            <w:hideMark/>
          </w:tcPr>
          <w:p w14:paraId="2E76137A"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-91</w:t>
            </w:r>
          </w:p>
        </w:tc>
        <w:tc>
          <w:tcPr>
            <w:tcW w:w="760" w:type="dxa"/>
            <w:tcBorders>
              <w:top w:val="nil"/>
              <w:left w:val="nil"/>
              <w:bottom w:val="single" w:sz="4" w:space="0" w:color="ADD6EA"/>
              <w:right w:val="nil"/>
            </w:tcBorders>
            <w:shd w:val="clear" w:color="000000" w:fill="D6E7F0"/>
            <w:vAlign w:val="bottom"/>
            <w:hideMark/>
          </w:tcPr>
          <w:p w14:paraId="02D6015F"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-39</w:t>
            </w:r>
          </w:p>
        </w:tc>
        <w:tc>
          <w:tcPr>
            <w:tcW w:w="760" w:type="dxa"/>
            <w:tcBorders>
              <w:top w:val="nil"/>
              <w:left w:val="nil"/>
              <w:bottom w:val="single" w:sz="4" w:space="0" w:color="ADD6EA"/>
              <w:right w:val="nil"/>
            </w:tcBorders>
            <w:shd w:val="clear" w:color="000000" w:fill="D6E7F0"/>
            <w:vAlign w:val="bottom"/>
            <w:hideMark/>
          </w:tcPr>
          <w:p w14:paraId="66FF4904"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18</w:t>
            </w:r>
          </w:p>
        </w:tc>
        <w:tc>
          <w:tcPr>
            <w:tcW w:w="760" w:type="dxa"/>
            <w:tcBorders>
              <w:top w:val="nil"/>
              <w:left w:val="nil"/>
              <w:bottom w:val="single" w:sz="4" w:space="0" w:color="ADD6EA"/>
              <w:right w:val="nil"/>
            </w:tcBorders>
            <w:shd w:val="clear" w:color="000000" w:fill="D6E7F0"/>
            <w:vAlign w:val="bottom"/>
            <w:hideMark/>
          </w:tcPr>
          <w:p w14:paraId="6AA0FE70"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-13</w:t>
            </w:r>
          </w:p>
        </w:tc>
        <w:tc>
          <w:tcPr>
            <w:tcW w:w="760" w:type="dxa"/>
            <w:tcBorders>
              <w:top w:val="nil"/>
              <w:left w:val="nil"/>
              <w:bottom w:val="single" w:sz="4" w:space="0" w:color="ADD6EA"/>
              <w:right w:val="nil"/>
            </w:tcBorders>
            <w:shd w:val="clear" w:color="000000" w:fill="D6E7F0"/>
            <w:vAlign w:val="bottom"/>
            <w:hideMark/>
          </w:tcPr>
          <w:p w14:paraId="3D4DF351"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-4</w:t>
            </w:r>
          </w:p>
        </w:tc>
        <w:tc>
          <w:tcPr>
            <w:tcW w:w="760" w:type="dxa"/>
            <w:tcBorders>
              <w:top w:val="nil"/>
              <w:left w:val="nil"/>
              <w:bottom w:val="single" w:sz="4" w:space="0" w:color="ADD6EA"/>
              <w:right w:val="nil"/>
            </w:tcBorders>
            <w:shd w:val="clear" w:color="000000" w:fill="D6E7F0"/>
            <w:vAlign w:val="bottom"/>
            <w:hideMark/>
          </w:tcPr>
          <w:p w14:paraId="727C4217" w14:textId="77777777" w:rsidR="00C4779A" w:rsidRPr="009129F0" w:rsidRDefault="00C4779A"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129F0">
              <w:rPr>
                <w:rFonts w:ascii="Open Sans SemiBold" w:eastAsia="Times New Roman" w:hAnsi="Open Sans SemiBold" w:cs="Open Sans SemiBold"/>
                <w:color w:val="000000"/>
                <w:sz w:val="16"/>
                <w:szCs w:val="16"/>
                <w:lang w:eastAsia="en-AU"/>
              </w:rPr>
              <w:t>196</w:t>
            </w:r>
          </w:p>
        </w:tc>
      </w:tr>
    </w:tbl>
    <w:p w14:paraId="49EC1F97" w14:textId="77777777" w:rsidR="00160443" w:rsidRPr="00DB0CF7" w:rsidRDefault="00160443" w:rsidP="00160443">
      <w:pPr>
        <w:pStyle w:val="CGCTablenote"/>
      </w:pPr>
      <w:bookmarkStart w:id="515" w:name="_Toc6905026"/>
      <w:r w:rsidRPr="00DB0CF7">
        <w:t>Source:</w:t>
      </w:r>
      <w:r w:rsidRPr="00DB0CF7">
        <w:tab/>
        <w:t>Commission calculation.</w:t>
      </w:r>
    </w:p>
    <w:p w14:paraId="3C8E5B83" w14:textId="4B84E317" w:rsidR="00C4779A" w:rsidRPr="008C2EF6" w:rsidRDefault="00C4779A" w:rsidP="00C4779A">
      <w:pPr>
        <w:pStyle w:val="Heading3"/>
      </w:pPr>
      <w:r w:rsidRPr="005A63A8">
        <w:t>Updating the</w:t>
      </w:r>
      <w:r w:rsidRPr="008C2EF6">
        <w:t xml:space="preserve"> assessment</w:t>
      </w:r>
      <w:bookmarkEnd w:id="515"/>
    </w:p>
    <w:p w14:paraId="3C597AEB" w14:textId="77777777" w:rsidR="00C4779A" w:rsidRDefault="00C4779A" w:rsidP="00F47EC7">
      <w:pPr>
        <w:pStyle w:val="CGCParaNumber"/>
      </w:pPr>
      <w:r w:rsidRPr="008C2EF6">
        <w:t xml:space="preserve">As required by the terms of reference, the Commission will incorporate the latest available data in the assessment during the annual updates. This will allow the assessment to reflect changes in State circumstances. </w:t>
      </w:r>
    </w:p>
    <w:p w14:paraId="4FCD6A67" w14:textId="77777777" w:rsidR="00C4779A" w:rsidRDefault="00C4779A" w:rsidP="00C4779A">
      <w:pPr>
        <w:pStyle w:val="CGCBullet1"/>
      </w:pPr>
      <w:r>
        <w:t>The following data will be updated annually:</w:t>
      </w:r>
    </w:p>
    <w:p w14:paraId="1677D3E0" w14:textId="77777777" w:rsidR="00C4779A" w:rsidRDefault="00C4779A" w:rsidP="00985625">
      <w:pPr>
        <w:pStyle w:val="CGCBullet2"/>
        <w:numPr>
          <w:ilvl w:val="0"/>
          <w:numId w:val="3"/>
        </w:numPr>
        <w:ind w:left="1208" w:hanging="357"/>
      </w:pPr>
      <w:r w:rsidRPr="008C2EF6">
        <w:t>CoES data will be updated annually</w:t>
      </w:r>
      <w:r>
        <w:t xml:space="preserve"> (with States to be consulted on the use of revised data in the 2021 Update)</w:t>
      </w:r>
    </w:p>
    <w:p w14:paraId="0E0805C8" w14:textId="31D65D56" w:rsidR="00C4779A" w:rsidRPr="008C2EF6" w:rsidRDefault="00C4779A" w:rsidP="00C4779A">
      <w:pPr>
        <w:pStyle w:val="CGCBullet1"/>
      </w:pPr>
      <w:r w:rsidRPr="008C2EF6">
        <w:t xml:space="preserve">The wage proportions will remain fixed until the next </w:t>
      </w:r>
      <w:r w:rsidR="00713BC4">
        <w:t>r</w:t>
      </w:r>
      <w:r w:rsidRPr="008C2EF6">
        <w:t>eview.</w:t>
      </w:r>
    </w:p>
    <w:p w14:paraId="63E299D5" w14:textId="4E331AF5" w:rsidR="001242DE" w:rsidRPr="00164EDB" w:rsidRDefault="001242DE" w:rsidP="001242DE"/>
    <w:p w14:paraId="0697C4AD" w14:textId="77777777" w:rsidR="0032107C" w:rsidRDefault="0032107C" w:rsidP="00983CF9">
      <w:pPr>
        <w:sectPr w:rsidR="0032107C" w:rsidSect="00917501">
          <w:footerReference w:type="default" r:id="rId57"/>
          <w:footnotePr>
            <w:numRestart w:val="eachSect"/>
          </w:footnotePr>
          <w:pgSz w:w="11899" w:h="16838" w:code="9"/>
          <w:pgMar w:top="1418" w:right="1474" w:bottom="1418" w:left="1474" w:header="709" w:footer="567" w:gutter="0"/>
          <w:cols w:space="708"/>
          <w:titlePg/>
          <w:docGrid w:linePitch="299"/>
        </w:sectPr>
      </w:pPr>
    </w:p>
    <w:p w14:paraId="3F4BEF55" w14:textId="77777777" w:rsidR="00D9434E" w:rsidRDefault="00D9434E" w:rsidP="00D9434E">
      <w:pPr>
        <w:pStyle w:val="Heading1"/>
      </w:pPr>
      <w:bookmarkStart w:id="516" w:name="_Toc32922492"/>
      <w:r w:rsidRPr="00A47ACC">
        <w:lastRenderedPageBreak/>
        <w:t>2</w:t>
      </w:r>
      <w:r>
        <w:t>8</w:t>
      </w:r>
      <w:bookmarkStart w:id="517" w:name="_Toc7536871"/>
      <w:bookmarkStart w:id="518" w:name="_Toc20906118"/>
      <w:bookmarkStart w:id="519" w:name="_Toc20906137"/>
      <w:bookmarkStart w:id="520" w:name="_Toc23243212"/>
      <w:bookmarkStart w:id="521" w:name="_Toc27727758"/>
      <w:r>
        <w:tab/>
        <w:t>Geography</w:t>
      </w:r>
      <w:bookmarkEnd w:id="516"/>
      <w:bookmarkEnd w:id="517"/>
      <w:bookmarkEnd w:id="518"/>
      <w:bookmarkEnd w:id="519"/>
      <w:bookmarkEnd w:id="520"/>
      <w:bookmarkEnd w:id="521"/>
      <w:r>
        <w:t xml:space="preserve"> </w:t>
      </w:r>
      <w:bookmarkStart w:id="522" w:name="_Toc7536873"/>
      <w:bookmarkStart w:id="523" w:name="_Toc20906119"/>
      <w:bookmarkStart w:id="524" w:name="_Toc20906138"/>
      <w:bookmarkStart w:id="525" w:name="_Toc232432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41"/>
      </w:tblGrid>
      <w:tr w:rsidR="00D9434E" w14:paraId="08B90820" w14:textId="77777777" w:rsidTr="004D65FE">
        <w:tc>
          <w:tcPr>
            <w:tcW w:w="8941" w:type="dxa"/>
            <w:shd w:val="clear" w:color="auto" w:fill="EBF3F5"/>
          </w:tcPr>
          <w:p w14:paraId="5F29624C" w14:textId="77777777" w:rsidR="00D9434E" w:rsidRDefault="00D9434E" w:rsidP="004D65FE">
            <w:pPr>
              <w:pStyle w:val="Heading4"/>
              <w:outlineLvl w:val="3"/>
            </w:pPr>
            <w:bookmarkStart w:id="526" w:name="_Toc27727759"/>
            <w:r>
              <w:t>Summary of the assessment</w:t>
            </w:r>
            <w:bookmarkEnd w:id="526"/>
          </w:p>
          <w:p w14:paraId="51ACF651" w14:textId="77777777" w:rsidR="00D9434E" w:rsidRDefault="00D9434E" w:rsidP="004D65FE">
            <w:r>
              <w:t xml:space="preserve">The Commission recognises that location effects service delivery costs and that, in particular, services are typically more costly to deliver with increasing remoteness. Across a range of expense categories, the Commission uses Australian Bureau of Statistics (ABS) remoteness areas to classify the population into up to five remoteness areas. Differential use rates are calculated for these areas. Differences in costs per unit of service across these regions are also calculated for a range of categories. </w:t>
            </w:r>
          </w:p>
          <w:p w14:paraId="7372732A" w14:textId="77777777" w:rsidR="00D9434E" w:rsidRDefault="00D9434E" w:rsidP="004D65FE">
            <w:pPr>
              <w:spacing w:after="120"/>
            </w:pPr>
            <w:r>
              <w:t>Across a range of expense categories, area based measures of socio-economic status are used to measure different levels of use by socio-economic status. These measures are calculated separately to measure the socio-economic status of the Indigenous population using the Index of Indigenous Relative Socio-Economic Outcomes (IRSEO) and for the non-Indigenous population using the Non-Indigenous Socio-Economic Index for Areas (NISEIFA).</w:t>
            </w:r>
          </w:p>
        </w:tc>
      </w:tr>
    </w:tbl>
    <w:p w14:paraId="3D795C76" w14:textId="77777777" w:rsidR="00D9434E" w:rsidRDefault="00D9434E" w:rsidP="00D9434E">
      <w:pPr>
        <w:pStyle w:val="Heading3"/>
      </w:pPr>
      <w:bookmarkStart w:id="527" w:name="_Toc27727760"/>
      <w:r>
        <w:t>Overview</w:t>
      </w:r>
      <w:bookmarkEnd w:id="522"/>
      <w:bookmarkEnd w:id="523"/>
      <w:bookmarkEnd w:id="524"/>
      <w:bookmarkEnd w:id="525"/>
      <w:bookmarkEnd w:id="527"/>
    </w:p>
    <w:p w14:paraId="73DCF47B" w14:textId="77777777" w:rsidR="00D9434E" w:rsidRDefault="00D9434E" w:rsidP="003F6E81">
      <w:pPr>
        <w:pStyle w:val="CGCParaNumber"/>
        <w:numPr>
          <w:ilvl w:val="0"/>
          <w:numId w:val="50"/>
        </w:numPr>
        <w:ind w:left="567" w:hanging="567"/>
      </w:pPr>
      <w:r>
        <w:t xml:space="preserve">This attachment does not relate to a specific area of State spending, but to a driver or influence across a number of areas of State spending. The issue for the Commission is the approach to measuring that driver across the expense categories. The Commission aims to measure the GST required to equalise State fiscal capacities. This is achieved when States are provided with the capacity to provide comparable communities with the same (average) standard of service. An essential element of defining ‘comparable communities’ in this context is geographic characteristics. </w:t>
      </w:r>
    </w:p>
    <w:p w14:paraId="7E9BF5CF" w14:textId="77777777" w:rsidR="00D9434E" w:rsidRDefault="00D9434E" w:rsidP="00F47EC7">
      <w:pPr>
        <w:pStyle w:val="CGCParaNumber"/>
      </w:pPr>
      <w:r>
        <w:t>There are four aspects of how geography influences State spending:</w:t>
      </w:r>
    </w:p>
    <w:p w14:paraId="40321264" w14:textId="77777777" w:rsidR="00D9434E" w:rsidRDefault="00D9434E" w:rsidP="00D9434E">
      <w:pPr>
        <w:pStyle w:val="CGCBullet1"/>
      </w:pPr>
      <w:r>
        <w:t>regional costs and service delivery scale (SDS)</w:t>
      </w:r>
    </w:p>
    <w:p w14:paraId="5BF85A79" w14:textId="77777777" w:rsidR="00D9434E" w:rsidRDefault="00D9434E" w:rsidP="00985625">
      <w:pPr>
        <w:pStyle w:val="CGCBullet2"/>
        <w:numPr>
          <w:ilvl w:val="0"/>
          <w:numId w:val="3"/>
        </w:numPr>
        <w:ind w:left="1208" w:hanging="357"/>
      </w:pPr>
      <w:r>
        <w:t xml:space="preserve">capturing higher costs of delivering comparable services, due to increasing remoteness and isolation </w:t>
      </w:r>
    </w:p>
    <w:p w14:paraId="61B3AD1F" w14:textId="77777777" w:rsidR="00D9434E" w:rsidRDefault="00D9434E" w:rsidP="00D9434E">
      <w:pPr>
        <w:pStyle w:val="CGCBullet1"/>
      </w:pPr>
      <w:r>
        <w:t>socio-economic status (SES)</w:t>
      </w:r>
    </w:p>
    <w:p w14:paraId="45055DF2" w14:textId="2635602E" w:rsidR="00D9434E" w:rsidRDefault="00D9434E" w:rsidP="00985625">
      <w:pPr>
        <w:pStyle w:val="CGCBullet2"/>
        <w:numPr>
          <w:ilvl w:val="0"/>
          <w:numId w:val="3"/>
        </w:numPr>
        <w:ind w:left="1208" w:hanging="357"/>
      </w:pPr>
      <w:r>
        <w:t>capturing differential use (and cost) of services by areas of differing SES</w:t>
      </w:r>
    </w:p>
    <w:p w14:paraId="79F1E507" w14:textId="77777777" w:rsidR="00D9434E" w:rsidRDefault="00D9434E" w:rsidP="00D9434E">
      <w:pPr>
        <w:pStyle w:val="CGCBullet1"/>
      </w:pPr>
      <w:r>
        <w:t>definitions of urban areas for the Roads, Transport and Services to communities assessments</w:t>
      </w:r>
    </w:p>
    <w:p w14:paraId="4FEC2EC2" w14:textId="77777777" w:rsidR="00D9434E" w:rsidRDefault="00D9434E" w:rsidP="00D9434E">
      <w:pPr>
        <w:pStyle w:val="CGCBullet1"/>
      </w:pPr>
      <w:r>
        <w:t>interstate differences in non-wage costs.</w:t>
      </w:r>
    </w:p>
    <w:p w14:paraId="32CAB400" w14:textId="7EF7B585" w:rsidR="00D9434E" w:rsidRDefault="00D9434E" w:rsidP="00F47EC7">
      <w:pPr>
        <w:pStyle w:val="CGCParaNumber"/>
      </w:pPr>
      <w:r>
        <w:t xml:space="preserve">This </w:t>
      </w:r>
      <w:r w:rsidR="00E90AC9">
        <w:t xml:space="preserve">chapter </w:t>
      </w:r>
      <w:r>
        <w:t xml:space="preserve">addresses each of these aspects in turn. </w:t>
      </w:r>
    </w:p>
    <w:p w14:paraId="25683094" w14:textId="6FE550C0" w:rsidR="00D9434E" w:rsidRDefault="00D9434E" w:rsidP="00D9434E">
      <w:pPr>
        <w:pStyle w:val="Heading3"/>
      </w:pPr>
      <w:bookmarkStart w:id="528" w:name="_Toc7536875"/>
      <w:bookmarkStart w:id="529" w:name="_Toc20906121"/>
      <w:bookmarkStart w:id="530" w:name="_Toc20906140"/>
      <w:bookmarkStart w:id="531" w:name="_Toc23243214"/>
      <w:bookmarkStart w:id="532" w:name="_Toc27727761"/>
      <w:r>
        <w:t>Regional costs and service delivery scale</w:t>
      </w:r>
      <w:bookmarkEnd w:id="528"/>
      <w:bookmarkEnd w:id="529"/>
      <w:bookmarkEnd w:id="530"/>
      <w:bookmarkEnd w:id="531"/>
      <w:bookmarkEnd w:id="532"/>
    </w:p>
    <w:p w14:paraId="291C69AB" w14:textId="36B3BAF9" w:rsidR="00D9434E" w:rsidRPr="004C377A" w:rsidRDefault="00D9434E" w:rsidP="00F47EC7">
      <w:pPr>
        <w:pStyle w:val="CGCParaNumber"/>
      </w:pPr>
      <w:r w:rsidRPr="004C377A">
        <w:t xml:space="preserve">In assessing the effect of remoteness and </w:t>
      </w:r>
      <w:r w:rsidR="00C451AC">
        <w:t>SDS</w:t>
      </w:r>
      <w:r w:rsidRPr="004C377A">
        <w:t xml:space="preserve"> on State spending, the Commission considered three issues:</w:t>
      </w:r>
    </w:p>
    <w:p w14:paraId="420E9F09" w14:textId="77777777" w:rsidR="00D9434E" w:rsidRPr="004C377A" w:rsidRDefault="00D9434E" w:rsidP="00D9434E">
      <w:pPr>
        <w:pStyle w:val="CGCBullet1"/>
      </w:pPr>
      <w:r w:rsidRPr="004C377A">
        <w:t xml:space="preserve">Different services are delivered in different ways, and the effect of remoteness on these services can vary. Where possible, the Commission has attempted to measure cost pressures specific to each category assessment. </w:t>
      </w:r>
    </w:p>
    <w:p w14:paraId="45F7F4E9" w14:textId="77777777" w:rsidR="00D9434E" w:rsidRPr="004C377A" w:rsidRDefault="00D9434E" w:rsidP="00D9434E">
      <w:pPr>
        <w:pStyle w:val="CGCBullet1"/>
      </w:pPr>
      <w:r w:rsidRPr="004C377A">
        <w:lastRenderedPageBreak/>
        <w:t xml:space="preserve">Whether ABS remoteness areas are the appropriate geography to use to ensure that comparable areas in different States are treated in a comparable manner. </w:t>
      </w:r>
    </w:p>
    <w:p w14:paraId="547B63E9" w14:textId="77777777" w:rsidR="00D9434E" w:rsidRPr="004C377A" w:rsidRDefault="00D9434E" w:rsidP="00D9434E">
      <w:pPr>
        <w:pStyle w:val="CGCBullet1"/>
      </w:pPr>
      <w:r w:rsidRPr="004C377A">
        <w:t xml:space="preserve">Whether people travel from more remote to less remote areas to receive services, and therefore absolve States of some of the cost of remote service provision. </w:t>
      </w:r>
    </w:p>
    <w:p w14:paraId="1CB4D69C" w14:textId="77777777" w:rsidR="00D9434E" w:rsidRPr="004C377A" w:rsidRDefault="00D9434E" w:rsidP="00D9434E">
      <w:pPr>
        <w:pStyle w:val="Heading4"/>
      </w:pPr>
      <w:bookmarkStart w:id="533" w:name="_Toc7536879"/>
      <w:bookmarkStart w:id="534" w:name="_Toc20906122"/>
      <w:bookmarkStart w:id="535" w:name="_Toc20906141"/>
      <w:bookmarkStart w:id="536" w:name="_Toc23243216"/>
      <w:bookmarkStart w:id="537" w:name="_Toc27727763"/>
      <w:bookmarkStart w:id="538" w:name="_Toc7536876"/>
      <w:r w:rsidRPr="004C377A">
        <w:t>Use of ABS remoteness areas to classify remoteness</w:t>
      </w:r>
      <w:bookmarkEnd w:id="533"/>
      <w:bookmarkEnd w:id="534"/>
      <w:bookmarkEnd w:id="535"/>
      <w:bookmarkEnd w:id="536"/>
      <w:bookmarkEnd w:id="537"/>
    </w:p>
    <w:p w14:paraId="6099E6E7" w14:textId="77777777" w:rsidR="00D9434E" w:rsidRPr="004C377A" w:rsidRDefault="00D9434E" w:rsidP="00F47EC7">
      <w:pPr>
        <w:pStyle w:val="CGCParaNumber"/>
      </w:pPr>
      <w:r w:rsidRPr="004C377A">
        <w:t xml:space="preserve">The Commission uses remoteness as a key aspect of the expense category assessments, affecting both the use of services, and the cost of delivering services. It is important to choose an indicator of remoteness that appropriately captures the underlying concept, groups like areas together and distinguishes </w:t>
      </w:r>
      <w:r>
        <w:t xml:space="preserve">between </w:t>
      </w:r>
      <w:r w:rsidRPr="004C377A">
        <w:t xml:space="preserve">unlike areas. </w:t>
      </w:r>
    </w:p>
    <w:p w14:paraId="0B3C09A8" w14:textId="3C7B93FB" w:rsidR="00D9434E" w:rsidRPr="004C377A" w:rsidRDefault="00D9434E" w:rsidP="00F47EC7">
      <w:pPr>
        <w:pStyle w:val="CGCParaNumber"/>
      </w:pPr>
      <w:r w:rsidRPr="004C377A">
        <w:t>In the 2015 Review, the Commission changed its measure of remoteness from the State Accessibility</w:t>
      </w:r>
      <w:r w:rsidR="00CA6C1C">
        <w:t>/</w:t>
      </w:r>
      <w:r w:rsidRPr="004C377A">
        <w:t>Remoteness Index of Australia (SARIA) to ABS remoteness areas, which are based on the Accessibility and Remoteness Index of Australia (ARIA+).</w:t>
      </w:r>
      <w:r w:rsidRPr="004C377A">
        <w:rPr>
          <w:rStyle w:val="FootnoteReference"/>
        </w:rPr>
        <w:footnoteReference w:id="125"/>
      </w:r>
      <w:r w:rsidRPr="004C377A">
        <w:t xml:space="preserve"> In this review, the Commission again considers ABS remoteness areas the best measure of remoteness for its purposes. </w:t>
      </w:r>
    </w:p>
    <w:p w14:paraId="194B2E6D" w14:textId="77777777" w:rsidR="00D9434E" w:rsidRPr="004C377A" w:rsidRDefault="00D9434E" w:rsidP="00D9434E">
      <w:pPr>
        <w:pStyle w:val="Heading5"/>
      </w:pPr>
      <w:r w:rsidRPr="004C377A">
        <w:t>State views</w:t>
      </w:r>
    </w:p>
    <w:p w14:paraId="7440CE81" w14:textId="77777777" w:rsidR="00D9434E" w:rsidRPr="004C377A" w:rsidRDefault="00D9434E" w:rsidP="00F47EC7">
      <w:pPr>
        <w:pStyle w:val="CGCParaNumber"/>
      </w:pPr>
      <w:r w:rsidRPr="004C377A">
        <w:t>Western Australia expressed concern that ‘very remote areas as defined by ARIA are all assumed to be equally costly to service’. It said:</w:t>
      </w:r>
    </w:p>
    <w:p w14:paraId="753F32EE" w14:textId="77777777" w:rsidR="00D9434E" w:rsidRPr="00C612E3" w:rsidRDefault="00D9434E" w:rsidP="00D9434E">
      <w:pPr>
        <w:pStyle w:val="CGCQuotation"/>
      </w:pPr>
      <w:r w:rsidRPr="00C612E3">
        <w:t>For regional costs, the CGC should recognise that ARIA</w:t>
      </w:r>
      <w:r w:rsidRPr="00C612E3">
        <w:noBreakHyphen/>
        <w:t>type measures are ultimately a mathematical construct, and need to be tailored to fit underlying cost drivers. The CGC could consider reforms to the current ARIA+ measure to better reflect underlying cost drivers at a global level, such as a continuous ARIA score, removal of distance limits, introduction of a sixth region, or indicators of different circumstances within ARIA</w:t>
      </w:r>
      <w:r w:rsidRPr="00C612E3">
        <w:noBreakHyphen/>
        <w:t>comparable regions to capture State</w:t>
      </w:r>
      <w:r w:rsidRPr="00C612E3">
        <w:noBreakHyphen/>
        <w:t>specific circumstances.</w:t>
      </w:r>
    </w:p>
    <w:p w14:paraId="1491CF45" w14:textId="77777777" w:rsidR="00D9434E" w:rsidRPr="004C377A" w:rsidRDefault="00D9434E" w:rsidP="00F47EC7">
      <w:pPr>
        <w:pStyle w:val="CGCParaNumber"/>
      </w:pPr>
      <w:r w:rsidRPr="004C377A">
        <w:t xml:space="preserve">Queensland, Western Australia and the Northern Territory considered that ABS remoteness areas do not accurately group communities in like situations together, and do not accurately distinguish between communities with different circumstances. </w:t>
      </w:r>
    </w:p>
    <w:p w14:paraId="38C958D1" w14:textId="77777777" w:rsidR="00D9434E" w:rsidRPr="004C377A" w:rsidRDefault="00D9434E" w:rsidP="00F47EC7">
      <w:pPr>
        <w:pStyle w:val="CGCParaNumber"/>
      </w:pPr>
      <w:r w:rsidRPr="004C377A">
        <w:t>The Northern Territory argued that population density could be a means by which very remote areas could be disaggregated further.</w:t>
      </w:r>
    </w:p>
    <w:p w14:paraId="1F612018" w14:textId="77777777" w:rsidR="00D9434E" w:rsidRPr="004C377A" w:rsidRDefault="00D9434E" w:rsidP="00D9434E">
      <w:pPr>
        <w:pStyle w:val="Heading5"/>
      </w:pPr>
      <w:r w:rsidRPr="004C377A">
        <w:t>Analysis</w:t>
      </w:r>
    </w:p>
    <w:p w14:paraId="6C190E36" w14:textId="77777777" w:rsidR="00D9434E" w:rsidRPr="004C377A" w:rsidRDefault="00D9434E" w:rsidP="00F47EC7">
      <w:pPr>
        <w:pStyle w:val="CGCParaNumber"/>
      </w:pPr>
      <w:r w:rsidRPr="004C377A">
        <w:t xml:space="preserve">The underlying issue for Queensland, Western Australia and the Northern Territory appears to be that very remote areas are not homogenous. These States appear to be advocating for differentiating very remote from extremely remote areas. The Commission accepts that very remote Australia is not homogeneous. The difficulty is in finding a way of splitting it that would group like areas in different States together in a material and reliable way. </w:t>
      </w:r>
    </w:p>
    <w:p w14:paraId="18431120" w14:textId="77777777" w:rsidR="00D9434E" w:rsidRPr="00C612E3" w:rsidRDefault="00D9434E" w:rsidP="00F47EC7">
      <w:pPr>
        <w:pStyle w:val="CGCParaNumber"/>
      </w:pPr>
      <w:r w:rsidRPr="00C612E3">
        <w:t xml:space="preserve">Western Australia also suggested that the Commission identify indicators of State specific remote issues. It is not clear what this would entail. </w:t>
      </w:r>
    </w:p>
    <w:p w14:paraId="5FF4B47E" w14:textId="77777777" w:rsidR="00D9434E" w:rsidRPr="00C612E3" w:rsidRDefault="00D9434E" w:rsidP="00F47EC7">
      <w:pPr>
        <w:pStyle w:val="CGCParaNumber"/>
      </w:pPr>
      <w:r w:rsidRPr="00C612E3">
        <w:rPr>
          <w:rStyle w:val="Heading6Char"/>
        </w:rPr>
        <w:t>Continuous ARIA+ score.</w:t>
      </w:r>
      <w:r w:rsidRPr="00C612E3">
        <w:t xml:space="preserve"> Western Australia consider the Commission could measure remoteness using a continuous ARIA+ score. This would entail ‘…the CGC collecting cost per </w:t>
      </w:r>
      <w:r w:rsidRPr="00C612E3">
        <w:lastRenderedPageBreak/>
        <w:t xml:space="preserve">user for each location across the country … regress them against the ARIA scores for each location’. The Commission has only collected this data for a small number of services, such as schools. Most data were collected in broader regions. The relationship between ARIA score and cost is unlikely to be linear, and developing a model such as the schools regression (which takes into account the number of Indigenous and low SES students, and school size as well as a non-linear relationship with ARIA score) is likely to be difficult. Developing similar models for other services with more limited data on service delivery by location costs is likely to be even more difficult. </w:t>
      </w:r>
    </w:p>
    <w:p w14:paraId="49BD24A2" w14:textId="77777777" w:rsidR="00D9434E" w:rsidRPr="00C612E3" w:rsidRDefault="00D9434E" w:rsidP="00F47EC7">
      <w:pPr>
        <w:pStyle w:val="CGCParaNumber"/>
      </w:pPr>
      <w:r w:rsidRPr="004C377A">
        <w:rPr>
          <w:rStyle w:val="Heading6Char"/>
        </w:rPr>
        <w:t xml:space="preserve">Extremely remote category. </w:t>
      </w:r>
      <w:r w:rsidRPr="00C612E3">
        <w:t xml:space="preserve">Very remote areas cover 74% of the land area of the country but contain less than 1% of the country’s population (and a slightly greater proportion of State spending). The Commission acknowledges that this area is not homogenous. However, it is difficult to obtain reliable data that would enable disaggregation of this population. There are several examples from the current assessments where data does not support a reliable split between remote and very remote. Accordingly, there are likely to be very few assessments where a reliable split between very remote and extremely remote areas could be made. </w:t>
      </w:r>
    </w:p>
    <w:p w14:paraId="7833330A" w14:textId="77777777" w:rsidR="00D9434E" w:rsidRPr="00C612E3" w:rsidRDefault="00D9434E" w:rsidP="00F47EC7">
      <w:pPr>
        <w:pStyle w:val="CGCParaNumber"/>
      </w:pPr>
      <w:r w:rsidRPr="004C377A">
        <w:rPr>
          <w:rStyle w:val="Heading6Char"/>
        </w:rPr>
        <w:t>Truncation of distance.</w:t>
      </w:r>
      <w:r w:rsidRPr="004C377A">
        <w:rPr>
          <w:rStyle w:val="Heading5Char"/>
        </w:rPr>
        <w:t xml:space="preserve"> </w:t>
      </w:r>
      <w:r w:rsidRPr="00C612E3">
        <w:t>Western Australia is concerned about the distance limits in ARIA+. ARIA+ is constructed so that greater distance from a major city increases remoteness. However, after 1</w:t>
      </w:r>
      <w:r>
        <w:t>,</w:t>
      </w:r>
      <w:r w:rsidRPr="00C612E3">
        <w:t xml:space="preserve">266km, no further increase in remoteness is allowed for. </w:t>
      </w:r>
    </w:p>
    <w:p w14:paraId="5F39FED1" w14:textId="77777777" w:rsidR="00D9434E" w:rsidRPr="00C612E3" w:rsidRDefault="00D9434E" w:rsidP="00F47EC7">
      <w:pPr>
        <w:pStyle w:val="CGCParaNumber"/>
      </w:pPr>
      <w:r w:rsidRPr="00C612E3">
        <w:t>Kalumburu is 3</w:t>
      </w:r>
      <w:r>
        <w:t>,047</w:t>
      </w:r>
      <w:r w:rsidRPr="00C612E3">
        <w:t>km from Perth</w:t>
      </w:r>
      <w:r>
        <w:t xml:space="preserve"> by road</w:t>
      </w:r>
      <w:r w:rsidRPr="00C612E3">
        <w:t>, probably the furthest distance from a major city to a populated location in the country. The Commission agrees with Western Australia that the costs relating to distance from a major city are higher in Kalumburu than in a centre 1</w:t>
      </w:r>
      <w:r>
        <w:t>,</w:t>
      </w:r>
      <w:r w:rsidRPr="00C612E3">
        <w:t>266</w:t>
      </w:r>
      <w:r>
        <w:t xml:space="preserve"> </w:t>
      </w:r>
      <w:r w:rsidRPr="00C612E3">
        <w:t>km from Perth, but it considers that th</w:t>
      </w:r>
      <w:r>
        <w:t>is is</w:t>
      </w:r>
      <w:r w:rsidRPr="00C612E3">
        <w:t xml:space="preserve"> well short of </w:t>
      </w:r>
      <w:r>
        <w:t xml:space="preserve">2 and a half </w:t>
      </w:r>
      <w:r w:rsidRPr="00C612E3">
        <w:t>times higher. In considering a remoteness classification, the Commission has noted that distance from a major city only contributes 20% of a location’s ARIA</w:t>
      </w:r>
      <w:r>
        <w:t>+</w:t>
      </w:r>
      <w:r w:rsidRPr="00C612E3">
        <w:t xml:space="preserve"> score. </w:t>
      </w:r>
    </w:p>
    <w:p w14:paraId="4EF17F40" w14:textId="77777777" w:rsidR="00D9434E" w:rsidRPr="00C612E3" w:rsidRDefault="00D9434E" w:rsidP="00F47EC7">
      <w:pPr>
        <w:pStyle w:val="CGCParaNumber"/>
      </w:pPr>
      <w:r w:rsidRPr="00C612E3">
        <w:t xml:space="preserve">The Commission also notes that in the absence of an extremely remote category, or a continuous ARIA+ score, discussed above, the most significant consequence of removing truncation would be to classify Broome, Port Hedland and Karratha as very remote rather than remote. The Commission accepts and agrees with the expert opinion of the Hugo Centre for Migration and Population Research, and considers that these towns are more comparable to other remote communities than to very remote communities, and that ARIA+ is a better reflection of the actual effect that remoteness has than an alternative ARIA+ without distance limits. </w:t>
      </w:r>
    </w:p>
    <w:p w14:paraId="21ABA699" w14:textId="590C9E40" w:rsidR="00D9434E" w:rsidRPr="00123FD5" w:rsidRDefault="00D9434E" w:rsidP="00F47EC7">
      <w:pPr>
        <w:pStyle w:val="CGCParaNumber"/>
      </w:pPr>
      <w:r w:rsidRPr="004C377A">
        <w:rPr>
          <w:rStyle w:val="Heading6Char"/>
        </w:rPr>
        <w:t xml:space="preserve">Density. </w:t>
      </w:r>
      <w:r w:rsidRPr="004C377A">
        <w:t>The Northern Territory asked the Commission to consider a density</w:t>
      </w:r>
      <w:r w:rsidR="003F636E">
        <w:t xml:space="preserve"> </w:t>
      </w:r>
      <w:r w:rsidRPr="004C377A">
        <w:t>based measure of isolation. However, there is no generally accepted measure of density as a proxy for remoteness, with the densit</w:t>
      </w:r>
      <w:r w:rsidRPr="00123FD5">
        <w:t xml:space="preserve">y of an area being highly sensitive to the arbitrary boundaries defining the regions, and not obviously correlated with the cost of service delivery. ABS Statistical Area level 2 (SA2s) of Nhulunbuy, Tennant creek and Weipa all have densities higher than the average across inner regional Australia. </w:t>
      </w:r>
    </w:p>
    <w:p w14:paraId="51230815" w14:textId="276A5828" w:rsidR="00D9434E" w:rsidRPr="004C377A" w:rsidRDefault="00D9434E" w:rsidP="00F47EC7">
      <w:pPr>
        <w:pStyle w:val="CGCParaNumber"/>
      </w:pPr>
      <w:r w:rsidRPr="00123FD5">
        <w:rPr>
          <w:rStyle w:val="Heading6Char"/>
        </w:rPr>
        <w:t xml:space="preserve">Fuel costs. </w:t>
      </w:r>
      <w:r w:rsidRPr="00123FD5">
        <w:t>The Northern Te</w:t>
      </w:r>
      <w:r w:rsidRPr="004C377A">
        <w:t xml:space="preserve">rritory contended that the cost of providing services varies considerably within very remote areas, citing as evidence that diesel prices in some very remote locations are much higher than in other very remote locations. </w:t>
      </w:r>
      <w:r w:rsidRPr="004C377A">
        <w:fldChar w:fldCharType="begin"/>
      </w:r>
      <w:r w:rsidRPr="004C377A">
        <w:instrText xml:space="preserve"> REF _Ref532374796 \h </w:instrText>
      </w:r>
      <w:r>
        <w:instrText xml:space="preserve"> \* MERGEFORMAT </w:instrText>
      </w:r>
      <w:r w:rsidRPr="004C377A">
        <w:fldChar w:fldCharType="separate"/>
      </w:r>
      <w:r w:rsidR="007F721A" w:rsidRPr="004C377A">
        <w:t xml:space="preserve">Figure </w:t>
      </w:r>
      <w:r w:rsidR="007F721A">
        <w:rPr>
          <w:noProof/>
        </w:rPr>
        <w:t>28-1</w:t>
      </w:r>
      <w:r w:rsidRPr="004C377A">
        <w:fldChar w:fldCharType="end"/>
      </w:r>
      <w:r w:rsidRPr="004C377A">
        <w:t xml:space="preserve"> shows diesel prices in all very remote Urban Centres</w:t>
      </w:r>
      <w:r w:rsidR="00CF33ED">
        <w:t xml:space="preserve"> and </w:t>
      </w:r>
      <w:r w:rsidRPr="004C377A">
        <w:t>Localities (UCLs) in the Northern Territory. This shows that there is significant variation in diesel prices across the Territory. While prices along highways sometimes are lower than those away from highways, there is no other immediately apparent systematic relationship. The variation does not appear to relate to:</w:t>
      </w:r>
    </w:p>
    <w:p w14:paraId="47F9F8ED" w14:textId="77777777" w:rsidR="00D9434E" w:rsidRPr="004C377A" w:rsidRDefault="00D9434E" w:rsidP="00D9434E">
      <w:pPr>
        <w:pStyle w:val="CGCBullet1"/>
      </w:pPr>
      <w:r w:rsidRPr="004C377A">
        <w:lastRenderedPageBreak/>
        <w:t>the density of the area (the Northern Territory</w:t>
      </w:r>
      <w:r w:rsidRPr="004C377A" w:rsidDel="00B96BF7">
        <w:t xml:space="preserve"> </w:t>
      </w:r>
      <w:r w:rsidRPr="004C377A">
        <w:t>suggestion for improving classification of remoteness)</w:t>
      </w:r>
    </w:p>
    <w:p w14:paraId="5BCF7A22" w14:textId="77777777" w:rsidR="00D9434E" w:rsidRPr="004C377A" w:rsidRDefault="00D9434E" w:rsidP="00D9434E">
      <w:pPr>
        <w:pStyle w:val="CGCBullet1"/>
      </w:pPr>
      <w:r w:rsidRPr="004C377A">
        <w:t xml:space="preserve">ARIA + scores (which could also be used to disaggregate very remote areas). </w:t>
      </w:r>
    </w:p>
    <w:p w14:paraId="418D429E" w14:textId="3B5AF12B" w:rsidR="00D9434E" w:rsidRPr="004C377A" w:rsidRDefault="00D9434E" w:rsidP="00D9434E">
      <w:pPr>
        <w:pStyle w:val="Caption"/>
      </w:pPr>
      <w:bookmarkStart w:id="539" w:name="_Ref532374796"/>
      <w:r w:rsidRPr="004C377A">
        <w:t xml:space="preserve">Figure </w:t>
      </w:r>
      <w:r>
        <w:t>28-</w:t>
      </w:r>
      <w:r w:rsidRPr="004C377A">
        <w:rPr>
          <w:noProof/>
        </w:rPr>
        <w:fldChar w:fldCharType="begin"/>
      </w:r>
      <w:r w:rsidRPr="004C377A">
        <w:rPr>
          <w:noProof/>
        </w:rPr>
        <w:instrText xml:space="preserve"> SEQ Figure </w:instrText>
      </w:r>
      <w:r w:rsidR="00AD1C84">
        <w:rPr>
          <w:noProof/>
        </w:rPr>
        <w:instrText xml:space="preserve">\r1 </w:instrText>
      </w:r>
      <w:r w:rsidRPr="004C377A">
        <w:rPr>
          <w:noProof/>
        </w:rPr>
        <w:instrText xml:space="preserve">\* ARABIC </w:instrText>
      </w:r>
      <w:r w:rsidRPr="004C377A">
        <w:rPr>
          <w:noProof/>
        </w:rPr>
        <w:fldChar w:fldCharType="separate"/>
      </w:r>
      <w:r w:rsidR="007F721A">
        <w:rPr>
          <w:noProof/>
        </w:rPr>
        <w:t>1</w:t>
      </w:r>
      <w:r w:rsidRPr="004C377A">
        <w:rPr>
          <w:noProof/>
        </w:rPr>
        <w:fldChar w:fldCharType="end"/>
      </w:r>
      <w:bookmarkEnd w:id="539"/>
      <w:r w:rsidRPr="004C377A">
        <w:tab/>
        <w:t>Diesel prices and disaggregating very remote Northern Territory</w:t>
      </w:r>
    </w:p>
    <w:p w14:paraId="63418030" w14:textId="77777777" w:rsidR="00D9434E" w:rsidRPr="004C377A" w:rsidRDefault="00D9434E" w:rsidP="00D9434E">
      <w:pPr>
        <w:pStyle w:val="Caption"/>
      </w:pPr>
      <w:r w:rsidRPr="004C377A">
        <w:rPr>
          <w:rStyle w:val="FootnoteReference"/>
          <w:noProof/>
          <w:lang w:eastAsia="en-AU"/>
        </w:rPr>
        <w:drawing>
          <wp:inline distT="0" distB="0" distL="0" distR="0" wp14:anchorId="787853D4" wp14:editId="3B34EDCB">
            <wp:extent cx="5485938" cy="5520905"/>
            <wp:effectExtent l="0" t="0" r="635" b="3810"/>
            <wp:docPr id="53" name="Picture 53" descr="Map of the Northern Territory showing remoteness areas and the diesel prices in selected locations as at Sept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remely remote Petrol.png"/>
                    <pic:cNvPicPr/>
                  </pic:nvPicPr>
                  <pic:blipFill rotWithShape="1">
                    <a:blip r:embed="rId58">
                      <a:extLst>
                        <a:ext uri="{28A0092B-C50C-407E-A947-70E740481C1C}">
                          <a14:useLocalDpi xmlns:a14="http://schemas.microsoft.com/office/drawing/2010/main" val="0"/>
                        </a:ext>
                      </a:extLst>
                    </a:blip>
                    <a:srcRect l="1366" t="965" r="2100" b="30347"/>
                    <a:stretch/>
                  </pic:blipFill>
                  <pic:spPr bwMode="auto">
                    <a:xfrm>
                      <a:off x="0" y="0"/>
                      <a:ext cx="5486983" cy="5521957"/>
                    </a:xfrm>
                    <a:prstGeom prst="rect">
                      <a:avLst/>
                    </a:prstGeom>
                    <a:ln>
                      <a:noFill/>
                    </a:ln>
                    <a:extLst>
                      <a:ext uri="{53640926-AAD7-44D8-BBD7-CCE9431645EC}">
                        <a14:shadowObscured xmlns:a14="http://schemas.microsoft.com/office/drawing/2010/main"/>
                      </a:ext>
                    </a:extLst>
                  </pic:spPr>
                </pic:pic>
              </a:graphicData>
            </a:graphic>
          </wp:inline>
        </w:drawing>
      </w:r>
    </w:p>
    <w:p w14:paraId="62DF94A4" w14:textId="77777777" w:rsidR="00D9434E" w:rsidRPr="004C377A" w:rsidRDefault="00D9434E" w:rsidP="00D9434E">
      <w:pPr>
        <w:pStyle w:val="CGCTablenote"/>
      </w:pPr>
      <w:r w:rsidRPr="004C377A">
        <w:t xml:space="preserve">Source: </w:t>
      </w:r>
      <w:r w:rsidRPr="004C377A">
        <w:tab/>
      </w:r>
      <w:hyperlink r:id="rId59" w:history="1">
        <w:r w:rsidRPr="004C377A">
          <w:rPr>
            <w:rStyle w:val="Hyperlink"/>
          </w:rPr>
          <w:t>PetrolSpy Australia</w:t>
        </w:r>
      </w:hyperlink>
      <w:r w:rsidRPr="004C377A">
        <w:t>, (</w:t>
      </w:r>
      <w:hyperlink r:id="rId60" w:history="1">
        <w:r w:rsidRPr="004C377A">
          <w:t>https://petrolspy.com.au/</w:t>
        </w:r>
      </w:hyperlink>
      <w:r w:rsidRPr="004C377A">
        <w:t>), [accessed 06/2019], and Hugo Centre for Migration and Population Research.</w:t>
      </w:r>
    </w:p>
    <w:p w14:paraId="3656444D" w14:textId="461BECDF" w:rsidR="00D9434E" w:rsidRPr="004C377A" w:rsidRDefault="00D9434E" w:rsidP="00F47EC7">
      <w:pPr>
        <w:pStyle w:val="CGCParaNumber"/>
      </w:pPr>
      <w:r w:rsidRPr="004C377A">
        <w:rPr>
          <w:rStyle w:val="Heading6Char"/>
        </w:rPr>
        <w:t>Grouping remote areas together.</w:t>
      </w:r>
      <w:r w:rsidRPr="004C377A">
        <w:t xml:space="preserve"> The Commission sometimes aggregates rather than divides remote areas, for example grouping remote and very remote areas together. The Northern Territory and Western Australia have expressed concern with this practice. As the Northern Territory has 25% of Australia’s very remote population, and only 16% of Australia’s remote population, grouping these regions will underestimate the </w:t>
      </w:r>
      <w:r w:rsidR="001C52ED">
        <w:t>Northern </w:t>
      </w:r>
      <w:r w:rsidRPr="004C377A">
        <w:t>Territory’s needs in situations where very remote spending per capita is higher than remote spending per capita. Western Australia has suggested that the Commission could apply judgement to increase the very remote cost given the conceptual case. However, to increase the very remote cost weight and decrease the remote cost weight to retain the average total remote cost weight</w:t>
      </w:r>
      <w:r w:rsidR="009505BE">
        <w:t>,</w:t>
      </w:r>
      <w:r w:rsidRPr="004C377A">
        <w:t xml:space="preserve"> would add complexity</w:t>
      </w:r>
      <w:r w:rsidR="00B462E7">
        <w:t>;</w:t>
      </w:r>
      <w:r w:rsidRPr="004C377A">
        <w:t xml:space="preserve"> and given that it applies to a small population and a small number of assessments, is unlikely to be material. </w:t>
      </w:r>
    </w:p>
    <w:p w14:paraId="268706F4" w14:textId="01846557" w:rsidR="00D9434E" w:rsidRPr="004C377A" w:rsidRDefault="00D9434E" w:rsidP="00F47EC7">
      <w:pPr>
        <w:pStyle w:val="CGCParaNumber"/>
      </w:pPr>
      <w:r w:rsidRPr="004C377A">
        <w:lastRenderedPageBreak/>
        <w:t xml:space="preserve">The Commission follows its assessment guidelines when deciding whether or not to further disaggregate remote areas. That is, there needs to be a conceptual case, with supporting evidence and reliable data that produces a materially different result between remote and very remote areas. In Schools for example, the Commission has retained a single remote cost weight. This is because, while there is a substantial increase in the costs of delivering school services in remote areas (consistent with the service delivery approaches described by States during State visits), the Commission’s modelling indicated that (after controlling for Indigenous status and </w:t>
      </w:r>
      <w:r w:rsidR="00261ED1">
        <w:t>SES</w:t>
      </w:r>
      <w:r w:rsidRPr="004C377A">
        <w:t xml:space="preserve">) there was no significant difference between remote and very remote students in explaining student costs. On the other hand, concerns about the reliability of data measuring differences between remote and very remote patient use and cost in the Health assessment in the 2015 Review have been resolved, with these remote areas now being separately identified in this review. </w:t>
      </w:r>
    </w:p>
    <w:p w14:paraId="25229556" w14:textId="77777777" w:rsidR="00D9434E" w:rsidRPr="004C377A" w:rsidRDefault="00D9434E" w:rsidP="00D9434E">
      <w:pPr>
        <w:pStyle w:val="Heading4"/>
      </w:pPr>
      <w:bookmarkStart w:id="540" w:name="_Toc532376759"/>
      <w:bookmarkStart w:id="541" w:name="_Toc7536880"/>
      <w:bookmarkStart w:id="542" w:name="_Toc20906123"/>
      <w:bookmarkStart w:id="543" w:name="_Toc20906142"/>
      <w:bookmarkStart w:id="544" w:name="_Toc23243217"/>
      <w:bookmarkStart w:id="545" w:name="_Toc27727764"/>
      <w:bookmarkStart w:id="546" w:name="_Toc532376754"/>
      <w:r w:rsidRPr="004C377A">
        <w:t>Place of residence and place of service receipt</w:t>
      </w:r>
      <w:bookmarkEnd w:id="540"/>
      <w:bookmarkEnd w:id="541"/>
      <w:bookmarkEnd w:id="542"/>
      <w:bookmarkEnd w:id="543"/>
      <w:bookmarkEnd w:id="544"/>
      <w:bookmarkEnd w:id="545"/>
    </w:p>
    <w:p w14:paraId="3AC7BDCA" w14:textId="55A7B853" w:rsidR="00D9434E" w:rsidRDefault="00D9434E" w:rsidP="00F47EC7">
      <w:pPr>
        <w:pStyle w:val="CGCParaNumber"/>
      </w:pPr>
      <w:bookmarkStart w:id="547" w:name="_Ref5638071"/>
      <w:bookmarkStart w:id="548" w:name="_Ref10471497"/>
      <w:r w:rsidRPr="004C377A">
        <w:t>In some assessments, the Commission measures the cost of providing services in different regions, and applies the resultant cost differentials to the State user populations in those regions. Victoria argued that this approach ignores that people travel from their residences to more centralised locations to receive certain services; rather it makes the implicit assumption that people use services in the area in which they live.</w:t>
      </w:r>
      <w:bookmarkEnd w:id="547"/>
      <w:r w:rsidRPr="004C377A">
        <w:t xml:space="preserve"> Victoria provided data showing the majority of people from remote areas appearing before a court do so in a major city (</w:t>
      </w:r>
      <w:r w:rsidRPr="004C377A">
        <w:fldChar w:fldCharType="begin"/>
      </w:r>
      <w:r w:rsidRPr="004C377A">
        <w:instrText xml:space="preserve"> REF _Ref528581496 \h </w:instrText>
      </w:r>
      <w:r>
        <w:instrText xml:space="preserve"> \* MERGEFORMAT </w:instrText>
      </w:r>
      <w:r w:rsidRPr="004C377A">
        <w:fldChar w:fldCharType="separate"/>
      </w:r>
      <w:r w:rsidR="007F721A">
        <w:t>Table 28-1</w:t>
      </w:r>
      <w:r w:rsidRPr="004C377A">
        <w:fldChar w:fldCharType="end"/>
      </w:r>
      <w:r>
        <w:t>).</w:t>
      </w:r>
      <w:bookmarkEnd w:id="548"/>
    </w:p>
    <w:p w14:paraId="1BC8B50B" w14:textId="71DECF2B" w:rsidR="00D9434E" w:rsidRDefault="00D9434E" w:rsidP="00D9434E">
      <w:pPr>
        <w:pStyle w:val="Caption"/>
      </w:pPr>
      <w:bookmarkStart w:id="549" w:name="_Ref528581496"/>
      <w:r>
        <w:t>Table 28-</w:t>
      </w:r>
      <w:r w:rsidR="00B91EF5">
        <w:fldChar w:fldCharType="begin"/>
      </w:r>
      <w:r w:rsidR="00B91EF5">
        <w:instrText xml:space="preserve"> SEQ Table </w:instrText>
      </w:r>
      <w:r w:rsidR="00863475">
        <w:instrText xml:space="preserve">\r1 </w:instrText>
      </w:r>
      <w:r w:rsidR="00B91EF5">
        <w:instrText xml:space="preserve">\* ARABIC </w:instrText>
      </w:r>
      <w:r w:rsidR="00B91EF5">
        <w:fldChar w:fldCharType="separate"/>
      </w:r>
      <w:r w:rsidR="007F721A">
        <w:rPr>
          <w:noProof/>
        </w:rPr>
        <w:t>1</w:t>
      </w:r>
      <w:r w:rsidR="00B91EF5">
        <w:fldChar w:fldCharType="end"/>
      </w:r>
      <w:bookmarkEnd w:id="549"/>
      <w:r>
        <w:tab/>
        <w:t>Remoteness of residence by court remoteness, lower court defendants, Victoria, 2014-15</w:t>
      </w:r>
    </w:p>
    <w:tbl>
      <w:tblPr>
        <w:tblW w:w="8902" w:type="dxa"/>
        <w:tblBorders>
          <w:top w:val="single" w:sz="4" w:space="0" w:color="ADD6EA"/>
          <w:bottom w:val="single" w:sz="4" w:space="0" w:color="ADD6EA"/>
          <w:insideH w:val="single" w:sz="4" w:space="0" w:color="ADD6EA"/>
        </w:tblBorders>
        <w:tblCellMar>
          <w:left w:w="28" w:type="dxa"/>
          <w:right w:w="28" w:type="dxa"/>
        </w:tblCellMar>
        <w:tblLook w:val="04A0" w:firstRow="1" w:lastRow="0" w:firstColumn="1" w:lastColumn="0" w:noHBand="0" w:noVBand="1"/>
      </w:tblPr>
      <w:tblGrid>
        <w:gridCol w:w="2087"/>
        <w:gridCol w:w="1172"/>
        <w:gridCol w:w="1470"/>
        <w:gridCol w:w="1470"/>
        <w:gridCol w:w="1352"/>
        <w:gridCol w:w="1351"/>
      </w:tblGrid>
      <w:tr w:rsidR="00D9434E" w:rsidRPr="00F83759" w14:paraId="243078E2" w14:textId="77777777" w:rsidTr="00FD7D21">
        <w:trPr>
          <w:trHeight w:val="315"/>
        </w:trPr>
        <w:tc>
          <w:tcPr>
            <w:tcW w:w="2100" w:type="dxa"/>
            <w:vMerge w:val="restart"/>
            <w:shd w:val="clear" w:color="000000" w:fill="006991"/>
            <w:tcMar>
              <w:left w:w="0" w:type="dxa"/>
            </w:tcMar>
            <w:vAlign w:val="center"/>
            <w:hideMark/>
          </w:tcPr>
          <w:p w14:paraId="7DD6257C" w14:textId="77777777" w:rsidR="00D9434E" w:rsidRPr="00F83759" w:rsidRDefault="00D9434E"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F83759">
              <w:rPr>
                <w:rFonts w:ascii="Open Sans SemiBold" w:eastAsia="Times New Roman" w:hAnsi="Open Sans SemiBold" w:cs="Open Sans SemiBold"/>
                <w:color w:val="FFFFFF"/>
                <w:sz w:val="16"/>
                <w:szCs w:val="16"/>
                <w:lang w:eastAsia="en-AU"/>
              </w:rPr>
              <w:t xml:space="preserve">Residence of </w:t>
            </w:r>
            <w:r w:rsidRPr="00F83759">
              <w:rPr>
                <w:rFonts w:ascii="Open Sans SemiBold" w:eastAsia="Times New Roman" w:hAnsi="Open Sans SemiBold" w:cs="Open Sans SemiBold"/>
                <w:color w:val="FFFFFF"/>
                <w:sz w:val="16"/>
                <w:szCs w:val="16"/>
                <w:lang w:eastAsia="en-AU"/>
              </w:rPr>
              <w:br/>
              <w:t>Defendants</w:t>
            </w:r>
            <w:r w:rsidRPr="00F83759">
              <w:rPr>
                <w:rFonts w:ascii="Open Sans SemiBold" w:eastAsia="Times New Roman" w:hAnsi="Open Sans SemiBold" w:cs="Open Sans SemiBold"/>
                <w:color w:val="FFFFFF"/>
                <w:sz w:val="16"/>
                <w:szCs w:val="16"/>
                <w:vertAlign w:val="superscript"/>
                <w:lang w:eastAsia="en-AU"/>
              </w:rPr>
              <w:t>a</w:t>
            </w:r>
          </w:p>
        </w:tc>
        <w:tc>
          <w:tcPr>
            <w:tcW w:w="6860" w:type="dxa"/>
            <w:gridSpan w:val="5"/>
            <w:shd w:val="clear" w:color="000000" w:fill="006991"/>
            <w:vAlign w:val="center"/>
            <w:hideMark/>
          </w:tcPr>
          <w:p w14:paraId="1B68F29F" w14:textId="77777777" w:rsidR="00D9434E" w:rsidRPr="00F83759" w:rsidRDefault="00D9434E" w:rsidP="004D65FE">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F83759">
              <w:rPr>
                <w:rFonts w:ascii="Open Sans SemiBold" w:eastAsia="Times New Roman" w:hAnsi="Open Sans SemiBold" w:cs="Open Sans SemiBold"/>
                <w:color w:val="FFFFFF"/>
                <w:sz w:val="16"/>
                <w:szCs w:val="16"/>
                <w:lang w:eastAsia="en-AU"/>
              </w:rPr>
              <w:t>Court location</w:t>
            </w:r>
          </w:p>
        </w:tc>
      </w:tr>
      <w:tr w:rsidR="00D9434E" w:rsidRPr="00F83759" w14:paraId="173B07F0" w14:textId="77777777" w:rsidTr="001442B9">
        <w:trPr>
          <w:trHeight w:val="555"/>
        </w:trPr>
        <w:tc>
          <w:tcPr>
            <w:tcW w:w="2100" w:type="dxa"/>
            <w:vMerge/>
            <w:vAlign w:val="center"/>
            <w:hideMark/>
          </w:tcPr>
          <w:p w14:paraId="729A35A3" w14:textId="77777777" w:rsidR="00D9434E" w:rsidRPr="00F83759" w:rsidRDefault="00D9434E"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p>
        </w:tc>
        <w:tc>
          <w:tcPr>
            <w:tcW w:w="1180" w:type="dxa"/>
            <w:shd w:val="clear" w:color="000000" w:fill="006991"/>
            <w:hideMark/>
          </w:tcPr>
          <w:p w14:paraId="2108AF9E" w14:textId="77777777" w:rsidR="00D9434E" w:rsidRPr="00F83759"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3759">
              <w:rPr>
                <w:rFonts w:ascii="Open Sans SemiBold" w:eastAsia="Times New Roman" w:hAnsi="Open Sans SemiBold" w:cs="Open Sans SemiBold"/>
                <w:color w:val="FFFFFF"/>
                <w:sz w:val="16"/>
                <w:szCs w:val="16"/>
                <w:lang w:eastAsia="en-AU"/>
              </w:rPr>
              <w:t xml:space="preserve">Major </w:t>
            </w:r>
            <w:r w:rsidRPr="00F83759">
              <w:rPr>
                <w:rFonts w:ascii="Open Sans SemiBold" w:eastAsia="Times New Roman" w:hAnsi="Open Sans SemiBold" w:cs="Open Sans SemiBold"/>
                <w:color w:val="FFFFFF"/>
                <w:sz w:val="16"/>
                <w:szCs w:val="16"/>
                <w:lang w:eastAsia="en-AU"/>
              </w:rPr>
              <w:br/>
              <w:t>cities</w:t>
            </w:r>
          </w:p>
        </w:tc>
        <w:tc>
          <w:tcPr>
            <w:tcW w:w="1480" w:type="dxa"/>
            <w:shd w:val="clear" w:color="000000" w:fill="006991"/>
            <w:hideMark/>
          </w:tcPr>
          <w:p w14:paraId="65460E8C" w14:textId="77777777" w:rsidR="00D9434E" w:rsidRPr="00F83759"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3759">
              <w:rPr>
                <w:rFonts w:ascii="Open Sans SemiBold" w:eastAsia="Times New Roman" w:hAnsi="Open Sans SemiBold" w:cs="Open Sans SemiBold"/>
                <w:color w:val="FFFFFF"/>
                <w:sz w:val="16"/>
                <w:szCs w:val="16"/>
                <w:lang w:eastAsia="en-AU"/>
              </w:rPr>
              <w:t xml:space="preserve">Inner </w:t>
            </w:r>
            <w:r w:rsidRPr="00F83759">
              <w:rPr>
                <w:rFonts w:ascii="Open Sans SemiBold" w:eastAsia="Times New Roman" w:hAnsi="Open Sans SemiBold" w:cs="Open Sans SemiBold"/>
                <w:color w:val="FFFFFF"/>
                <w:sz w:val="16"/>
                <w:szCs w:val="16"/>
                <w:lang w:eastAsia="en-AU"/>
              </w:rPr>
              <w:br/>
              <w:t>regional</w:t>
            </w:r>
          </w:p>
        </w:tc>
        <w:tc>
          <w:tcPr>
            <w:tcW w:w="1480" w:type="dxa"/>
            <w:shd w:val="clear" w:color="000000" w:fill="006991"/>
            <w:hideMark/>
          </w:tcPr>
          <w:p w14:paraId="4BA8FC02" w14:textId="26D2945C" w:rsidR="00D9434E" w:rsidRPr="00F83759"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3759">
              <w:rPr>
                <w:rFonts w:ascii="Open Sans SemiBold" w:eastAsia="Times New Roman" w:hAnsi="Open Sans SemiBold" w:cs="Open Sans SemiBold"/>
                <w:color w:val="FFFFFF"/>
                <w:sz w:val="16"/>
                <w:szCs w:val="16"/>
                <w:lang w:eastAsia="en-AU"/>
              </w:rPr>
              <w:t>Outer</w:t>
            </w:r>
            <w:r w:rsidR="001442B9">
              <w:rPr>
                <w:rFonts w:ascii="Open Sans SemiBold" w:eastAsia="Times New Roman" w:hAnsi="Open Sans SemiBold" w:cs="Open Sans SemiBold"/>
                <w:color w:val="FFFFFF"/>
                <w:sz w:val="16"/>
                <w:szCs w:val="16"/>
                <w:lang w:eastAsia="en-AU"/>
              </w:rPr>
              <w:br/>
            </w:r>
            <w:r w:rsidRPr="00F83759">
              <w:rPr>
                <w:rFonts w:ascii="Open Sans SemiBold" w:eastAsia="Times New Roman" w:hAnsi="Open Sans SemiBold" w:cs="Open Sans SemiBold"/>
                <w:color w:val="FFFFFF"/>
                <w:sz w:val="16"/>
                <w:szCs w:val="16"/>
                <w:lang w:eastAsia="en-AU"/>
              </w:rPr>
              <w:t xml:space="preserve"> regional</w:t>
            </w:r>
          </w:p>
        </w:tc>
        <w:tc>
          <w:tcPr>
            <w:tcW w:w="1360" w:type="dxa"/>
            <w:shd w:val="clear" w:color="000000" w:fill="006991"/>
            <w:hideMark/>
          </w:tcPr>
          <w:p w14:paraId="2CD8A8D4" w14:textId="77777777" w:rsidR="00D9434E" w:rsidRPr="00F83759"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3759">
              <w:rPr>
                <w:rFonts w:ascii="Open Sans SemiBold" w:eastAsia="Times New Roman" w:hAnsi="Open Sans SemiBold" w:cs="Open Sans SemiBold"/>
                <w:color w:val="FFFFFF"/>
                <w:sz w:val="16"/>
                <w:szCs w:val="16"/>
                <w:lang w:eastAsia="en-AU"/>
              </w:rPr>
              <w:t>Remote</w:t>
            </w:r>
          </w:p>
        </w:tc>
        <w:tc>
          <w:tcPr>
            <w:tcW w:w="1360" w:type="dxa"/>
            <w:shd w:val="clear" w:color="000000" w:fill="006991"/>
            <w:hideMark/>
          </w:tcPr>
          <w:p w14:paraId="0ED1872A" w14:textId="7FE59D5A" w:rsidR="00D9434E" w:rsidRPr="00F83759"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3759">
              <w:rPr>
                <w:rFonts w:ascii="Open Sans SemiBold" w:eastAsia="Times New Roman" w:hAnsi="Open Sans SemiBold" w:cs="Open Sans SemiBold"/>
                <w:color w:val="FFFFFF"/>
                <w:sz w:val="16"/>
                <w:szCs w:val="16"/>
                <w:lang w:eastAsia="en-AU"/>
              </w:rPr>
              <w:t xml:space="preserve">Very </w:t>
            </w:r>
            <w:r w:rsidR="001442B9">
              <w:rPr>
                <w:rFonts w:ascii="Open Sans SemiBold" w:eastAsia="Times New Roman" w:hAnsi="Open Sans SemiBold" w:cs="Open Sans SemiBold"/>
                <w:color w:val="FFFFFF"/>
                <w:sz w:val="16"/>
                <w:szCs w:val="16"/>
                <w:lang w:eastAsia="en-AU"/>
              </w:rPr>
              <w:br/>
            </w:r>
            <w:r w:rsidRPr="00F83759">
              <w:rPr>
                <w:rFonts w:ascii="Open Sans SemiBold" w:eastAsia="Times New Roman" w:hAnsi="Open Sans SemiBold" w:cs="Open Sans SemiBold"/>
                <w:color w:val="FFFFFF"/>
                <w:sz w:val="16"/>
                <w:szCs w:val="16"/>
                <w:lang w:eastAsia="en-AU"/>
              </w:rPr>
              <w:t>remote</w:t>
            </w:r>
          </w:p>
        </w:tc>
      </w:tr>
      <w:tr w:rsidR="00D9434E" w:rsidRPr="00F83759" w14:paraId="589A116F" w14:textId="77777777" w:rsidTr="00FD7D21">
        <w:trPr>
          <w:trHeight w:val="255"/>
        </w:trPr>
        <w:tc>
          <w:tcPr>
            <w:tcW w:w="2100" w:type="dxa"/>
            <w:shd w:val="clear" w:color="000000" w:fill="B6D5E4"/>
            <w:vAlign w:val="center"/>
            <w:hideMark/>
          </w:tcPr>
          <w:p w14:paraId="4EAC4612" w14:textId="77777777" w:rsidR="00D9434E" w:rsidRPr="00F83759" w:rsidRDefault="00D9434E" w:rsidP="004D65FE">
            <w:pPr>
              <w:tabs>
                <w:tab w:val="clear" w:pos="567"/>
              </w:tabs>
              <w:spacing w:before="0" w:line="240" w:lineRule="auto"/>
              <w:rPr>
                <w:rFonts w:ascii="Open Sans SemiBold" w:eastAsia="Times New Roman" w:hAnsi="Open Sans SemiBold" w:cs="Open Sans SemiBold"/>
                <w:sz w:val="16"/>
                <w:szCs w:val="16"/>
                <w:lang w:eastAsia="en-AU"/>
              </w:rPr>
            </w:pPr>
            <w:r w:rsidRPr="00F83759">
              <w:rPr>
                <w:rFonts w:ascii="Open Sans SemiBold" w:eastAsia="Times New Roman" w:hAnsi="Open Sans SemiBold" w:cs="Open Sans SemiBold"/>
                <w:sz w:val="16"/>
                <w:szCs w:val="16"/>
                <w:lang w:eastAsia="en-AU"/>
              </w:rPr>
              <w:t> </w:t>
            </w:r>
          </w:p>
        </w:tc>
        <w:tc>
          <w:tcPr>
            <w:tcW w:w="1180" w:type="dxa"/>
            <w:shd w:val="clear" w:color="000000" w:fill="B6D5E4"/>
            <w:vAlign w:val="center"/>
            <w:hideMark/>
          </w:tcPr>
          <w:p w14:paraId="4209101C" w14:textId="77777777" w:rsidR="00D9434E" w:rsidRPr="00F83759" w:rsidRDefault="00D9434E"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F83759">
              <w:rPr>
                <w:rFonts w:ascii="Open Sans SemiBold" w:eastAsia="Times New Roman" w:hAnsi="Open Sans SemiBold" w:cs="Open Sans SemiBold"/>
                <w:sz w:val="16"/>
                <w:szCs w:val="16"/>
                <w:lang w:eastAsia="en-AU"/>
              </w:rPr>
              <w:t>%</w:t>
            </w:r>
          </w:p>
        </w:tc>
        <w:tc>
          <w:tcPr>
            <w:tcW w:w="1480" w:type="dxa"/>
            <w:shd w:val="clear" w:color="000000" w:fill="B6D5E4"/>
            <w:vAlign w:val="center"/>
            <w:hideMark/>
          </w:tcPr>
          <w:p w14:paraId="70BBC767" w14:textId="77777777" w:rsidR="00D9434E" w:rsidRPr="00F83759" w:rsidRDefault="00D9434E"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F83759">
              <w:rPr>
                <w:rFonts w:ascii="Open Sans SemiBold" w:eastAsia="Times New Roman" w:hAnsi="Open Sans SemiBold" w:cs="Open Sans SemiBold"/>
                <w:sz w:val="16"/>
                <w:szCs w:val="16"/>
                <w:lang w:eastAsia="en-AU"/>
              </w:rPr>
              <w:t>%</w:t>
            </w:r>
          </w:p>
        </w:tc>
        <w:tc>
          <w:tcPr>
            <w:tcW w:w="1480" w:type="dxa"/>
            <w:shd w:val="clear" w:color="000000" w:fill="B6D5E4"/>
            <w:vAlign w:val="center"/>
            <w:hideMark/>
          </w:tcPr>
          <w:p w14:paraId="6EDDB453" w14:textId="77777777" w:rsidR="00D9434E" w:rsidRPr="00F83759" w:rsidRDefault="00D9434E"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F83759">
              <w:rPr>
                <w:rFonts w:ascii="Open Sans SemiBold" w:eastAsia="Times New Roman" w:hAnsi="Open Sans SemiBold" w:cs="Open Sans SemiBold"/>
                <w:sz w:val="16"/>
                <w:szCs w:val="16"/>
                <w:lang w:eastAsia="en-AU"/>
              </w:rPr>
              <w:t>%</w:t>
            </w:r>
          </w:p>
        </w:tc>
        <w:tc>
          <w:tcPr>
            <w:tcW w:w="1360" w:type="dxa"/>
            <w:shd w:val="clear" w:color="000000" w:fill="B6D5E4"/>
            <w:vAlign w:val="center"/>
            <w:hideMark/>
          </w:tcPr>
          <w:p w14:paraId="4A5BC25F" w14:textId="77777777" w:rsidR="00D9434E" w:rsidRPr="00F83759" w:rsidRDefault="00D9434E"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F83759">
              <w:rPr>
                <w:rFonts w:ascii="Open Sans SemiBold" w:eastAsia="Times New Roman" w:hAnsi="Open Sans SemiBold" w:cs="Open Sans SemiBold"/>
                <w:sz w:val="16"/>
                <w:szCs w:val="16"/>
                <w:lang w:eastAsia="en-AU"/>
              </w:rPr>
              <w:t>%</w:t>
            </w:r>
          </w:p>
        </w:tc>
        <w:tc>
          <w:tcPr>
            <w:tcW w:w="1360" w:type="dxa"/>
            <w:shd w:val="clear" w:color="000000" w:fill="B6D5E4"/>
            <w:vAlign w:val="center"/>
            <w:hideMark/>
          </w:tcPr>
          <w:p w14:paraId="3D3C97D8" w14:textId="77777777" w:rsidR="00D9434E" w:rsidRPr="00F83759" w:rsidRDefault="00D9434E"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F83759">
              <w:rPr>
                <w:rFonts w:ascii="Open Sans SemiBold" w:eastAsia="Times New Roman" w:hAnsi="Open Sans SemiBold" w:cs="Open Sans SemiBold"/>
                <w:sz w:val="16"/>
                <w:szCs w:val="16"/>
                <w:lang w:eastAsia="en-AU"/>
              </w:rPr>
              <w:t>%</w:t>
            </w:r>
          </w:p>
        </w:tc>
      </w:tr>
      <w:tr w:rsidR="00D9434E" w:rsidRPr="00F83759" w14:paraId="248140D0" w14:textId="77777777" w:rsidTr="00FD7D21">
        <w:trPr>
          <w:trHeight w:val="315"/>
        </w:trPr>
        <w:tc>
          <w:tcPr>
            <w:tcW w:w="2100" w:type="dxa"/>
            <w:shd w:val="clear" w:color="000000" w:fill="FFFFFF"/>
            <w:tcMar>
              <w:left w:w="0" w:type="dxa"/>
            </w:tcMar>
            <w:vAlign w:val="bottom"/>
            <w:hideMark/>
          </w:tcPr>
          <w:p w14:paraId="299BB29B" w14:textId="77777777" w:rsidR="00D9434E" w:rsidRPr="00F83759" w:rsidRDefault="00D9434E" w:rsidP="004D65FE">
            <w:pPr>
              <w:tabs>
                <w:tab w:val="clear" w:pos="567"/>
              </w:tabs>
              <w:spacing w:before="0" w:line="240" w:lineRule="auto"/>
              <w:rPr>
                <w:rFonts w:eastAsia="Times New Roman" w:cs="Open Sans Light"/>
                <w:sz w:val="16"/>
                <w:szCs w:val="16"/>
                <w:lang w:eastAsia="en-AU"/>
              </w:rPr>
            </w:pPr>
            <w:r w:rsidRPr="00F83759">
              <w:rPr>
                <w:rFonts w:eastAsia="Times New Roman" w:cs="Open Sans Light"/>
                <w:sz w:val="16"/>
                <w:szCs w:val="16"/>
                <w:lang w:eastAsia="en-AU"/>
              </w:rPr>
              <w:t>Major cities</w:t>
            </w:r>
          </w:p>
        </w:tc>
        <w:tc>
          <w:tcPr>
            <w:tcW w:w="1180" w:type="dxa"/>
            <w:shd w:val="clear" w:color="000000" w:fill="FFFFFF"/>
            <w:vAlign w:val="bottom"/>
            <w:hideMark/>
          </w:tcPr>
          <w:p w14:paraId="551FB1A2"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96</w:t>
            </w:r>
          </w:p>
        </w:tc>
        <w:tc>
          <w:tcPr>
            <w:tcW w:w="1480" w:type="dxa"/>
            <w:shd w:val="clear" w:color="000000" w:fill="FFFFFF"/>
            <w:vAlign w:val="bottom"/>
            <w:hideMark/>
          </w:tcPr>
          <w:p w14:paraId="3BEE7F13"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4</w:t>
            </w:r>
          </w:p>
        </w:tc>
        <w:tc>
          <w:tcPr>
            <w:tcW w:w="1480" w:type="dxa"/>
            <w:shd w:val="clear" w:color="000000" w:fill="FFFFFF"/>
            <w:vAlign w:val="bottom"/>
            <w:hideMark/>
          </w:tcPr>
          <w:p w14:paraId="478DD2F8"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1</w:t>
            </w:r>
          </w:p>
        </w:tc>
        <w:tc>
          <w:tcPr>
            <w:tcW w:w="1360" w:type="dxa"/>
            <w:shd w:val="clear" w:color="000000" w:fill="FFFFFF"/>
            <w:vAlign w:val="bottom"/>
            <w:hideMark/>
          </w:tcPr>
          <w:p w14:paraId="26E3507B"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0</w:t>
            </w:r>
          </w:p>
        </w:tc>
        <w:tc>
          <w:tcPr>
            <w:tcW w:w="1360" w:type="dxa"/>
            <w:shd w:val="clear" w:color="000000" w:fill="FFFFFF"/>
            <w:vAlign w:val="bottom"/>
            <w:hideMark/>
          </w:tcPr>
          <w:p w14:paraId="79935719"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0</w:t>
            </w:r>
          </w:p>
        </w:tc>
      </w:tr>
      <w:tr w:rsidR="00D9434E" w:rsidRPr="00F83759" w14:paraId="632F12A3" w14:textId="77777777" w:rsidTr="00FD7D21">
        <w:trPr>
          <w:trHeight w:val="315"/>
        </w:trPr>
        <w:tc>
          <w:tcPr>
            <w:tcW w:w="2100" w:type="dxa"/>
            <w:shd w:val="clear" w:color="000000" w:fill="FFFFFF"/>
            <w:tcMar>
              <w:left w:w="0" w:type="dxa"/>
            </w:tcMar>
            <w:vAlign w:val="bottom"/>
            <w:hideMark/>
          </w:tcPr>
          <w:p w14:paraId="0DA0203E" w14:textId="77777777" w:rsidR="00D9434E" w:rsidRPr="00F83759" w:rsidRDefault="00D9434E" w:rsidP="004D65FE">
            <w:pPr>
              <w:tabs>
                <w:tab w:val="clear" w:pos="567"/>
              </w:tabs>
              <w:spacing w:before="0" w:line="240" w:lineRule="auto"/>
              <w:rPr>
                <w:rFonts w:eastAsia="Times New Roman" w:cs="Open Sans Light"/>
                <w:sz w:val="16"/>
                <w:szCs w:val="16"/>
                <w:lang w:eastAsia="en-AU"/>
              </w:rPr>
            </w:pPr>
            <w:r w:rsidRPr="00F83759">
              <w:rPr>
                <w:rFonts w:eastAsia="Times New Roman" w:cs="Open Sans Light"/>
                <w:sz w:val="16"/>
                <w:szCs w:val="16"/>
                <w:lang w:eastAsia="en-AU"/>
              </w:rPr>
              <w:t>Inner regional</w:t>
            </w:r>
          </w:p>
        </w:tc>
        <w:tc>
          <w:tcPr>
            <w:tcW w:w="1180" w:type="dxa"/>
            <w:shd w:val="clear" w:color="000000" w:fill="FFFFFF"/>
            <w:vAlign w:val="bottom"/>
            <w:hideMark/>
          </w:tcPr>
          <w:p w14:paraId="5301923C"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48</w:t>
            </w:r>
          </w:p>
        </w:tc>
        <w:tc>
          <w:tcPr>
            <w:tcW w:w="1480" w:type="dxa"/>
            <w:shd w:val="clear" w:color="000000" w:fill="FFFFFF"/>
            <w:vAlign w:val="bottom"/>
            <w:hideMark/>
          </w:tcPr>
          <w:p w14:paraId="7E53EBF9"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48</w:t>
            </w:r>
          </w:p>
        </w:tc>
        <w:tc>
          <w:tcPr>
            <w:tcW w:w="1480" w:type="dxa"/>
            <w:shd w:val="clear" w:color="000000" w:fill="FFFFFF"/>
            <w:vAlign w:val="bottom"/>
            <w:hideMark/>
          </w:tcPr>
          <w:p w14:paraId="7490AA09"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4</w:t>
            </w:r>
          </w:p>
        </w:tc>
        <w:tc>
          <w:tcPr>
            <w:tcW w:w="1360" w:type="dxa"/>
            <w:shd w:val="clear" w:color="000000" w:fill="FFFFFF"/>
            <w:vAlign w:val="bottom"/>
            <w:hideMark/>
          </w:tcPr>
          <w:p w14:paraId="6CD821C3"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0</w:t>
            </w:r>
          </w:p>
        </w:tc>
        <w:tc>
          <w:tcPr>
            <w:tcW w:w="1360" w:type="dxa"/>
            <w:shd w:val="clear" w:color="000000" w:fill="FFFFFF"/>
            <w:vAlign w:val="bottom"/>
            <w:hideMark/>
          </w:tcPr>
          <w:p w14:paraId="3A9437D7"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0</w:t>
            </w:r>
          </w:p>
        </w:tc>
      </w:tr>
      <w:tr w:rsidR="00D9434E" w:rsidRPr="00F83759" w14:paraId="0572417E" w14:textId="77777777" w:rsidTr="00FD7D21">
        <w:trPr>
          <w:trHeight w:val="315"/>
        </w:trPr>
        <w:tc>
          <w:tcPr>
            <w:tcW w:w="2100" w:type="dxa"/>
            <w:shd w:val="clear" w:color="000000" w:fill="FFFFFF"/>
            <w:tcMar>
              <w:left w:w="0" w:type="dxa"/>
            </w:tcMar>
            <w:vAlign w:val="bottom"/>
            <w:hideMark/>
          </w:tcPr>
          <w:p w14:paraId="1FEAE7C2" w14:textId="77777777" w:rsidR="00D9434E" w:rsidRPr="00F83759" w:rsidRDefault="00D9434E" w:rsidP="004D65FE">
            <w:pPr>
              <w:tabs>
                <w:tab w:val="clear" w:pos="567"/>
              </w:tabs>
              <w:spacing w:before="0" w:line="240" w:lineRule="auto"/>
              <w:rPr>
                <w:rFonts w:eastAsia="Times New Roman" w:cs="Open Sans Light"/>
                <w:sz w:val="16"/>
                <w:szCs w:val="16"/>
                <w:lang w:eastAsia="en-AU"/>
              </w:rPr>
            </w:pPr>
            <w:r w:rsidRPr="00F83759">
              <w:rPr>
                <w:rFonts w:eastAsia="Times New Roman" w:cs="Open Sans Light"/>
                <w:sz w:val="16"/>
                <w:szCs w:val="16"/>
                <w:lang w:eastAsia="en-AU"/>
              </w:rPr>
              <w:t>Outer regional</w:t>
            </w:r>
          </w:p>
        </w:tc>
        <w:tc>
          <w:tcPr>
            <w:tcW w:w="1180" w:type="dxa"/>
            <w:shd w:val="clear" w:color="000000" w:fill="FFFFFF"/>
            <w:vAlign w:val="bottom"/>
            <w:hideMark/>
          </w:tcPr>
          <w:p w14:paraId="11C9D093"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16</w:t>
            </w:r>
          </w:p>
        </w:tc>
        <w:tc>
          <w:tcPr>
            <w:tcW w:w="1480" w:type="dxa"/>
            <w:shd w:val="clear" w:color="000000" w:fill="FFFFFF"/>
            <w:vAlign w:val="bottom"/>
            <w:hideMark/>
          </w:tcPr>
          <w:p w14:paraId="06535BBE"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36</w:t>
            </w:r>
          </w:p>
        </w:tc>
        <w:tc>
          <w:tcPr>
            <w:tcW w:w="1480" w:type="dxa"/>
            <w:shd w:val="clear" w:color="000000" w:fill="FFFFFF"/>
            <w:vAlign w:val="bottom"/>
            <w:hideMark/>
          </w:tcPr>
          <w:p w14:paraId="46F32E50"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47</w:t>
            </w:r>
          </w:p>
        </w:tc>
        <w:tc>
          <w:tcPr>
            <w:tcW w:w="1360" w:type="dxa"/>
            <w:shd w:val="clear" w:color="000000" w:fill="FFFFFF"/>
            <w:vAlign w:val="bottom"/>
            <w:hideMark/>
          </w:tcPr>
          <w:p w14:paraId="7A4485EE"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1</w:t>
            </w:r>
          </w:p>
        </w:tc>
        <w:tc>
          <w:tcPr>
            <w:tcW w:w="1360" w:type="dxa"/>
            <w:shd w:val="clear" w:color="000000" w:fill="FFFFFF"/>
            <w:vAlign w:val="bottom"/>
            <w:hideMark/>
          </w:tcPr>
          <w:p w14:paraId="31D2F79E"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0</w:t>
            </w:r>
          </w:p>
        </w:tc>
      </w:tr>
      <w:tr w:rsidR="00D9434E" w:rsidRPr="00F83759" w14:paraId="03A3AE42" w14:textId="77777777" w:rsidTr="00FD7D21">
        <w:trPr>
          <w:trHeight w:val="315"/>
        </w:trPr>
        <w:tc>
          <w:tcPr>
            <w:tcW w:w="2100" w:type="dxa"/>
            <w:shd w:val="clear" w:color="000000" w:fill="FFFFFF"/>
            <w:tcMar>
              <w:left w:w="0" w:type="dxa"/>
            </w:tcMar>
            <w:vAlign w:val="bottom"/>
            <w:hideMark/>
          </w:tcPr>
          <w:p w14:paraId="0B473121" w14:textId="77777777" w:rsidR="00D9434E" w:rsidRPr="00F83759" w:rsidRDefault="00D9434E" w:rsidP="004D65FE">
            <w:pPr>
              <w:tabs>
                <w:tab w:val="clear" w:pos="567"/>
              </w:tabs>
              <w:spacing w:before="0" w:line="240" w:lineRule="auto"/>
              <w:rPr>
                <w:rFonts w:eastAsia="Times New Roman" w:cs="Open Sans Light"/>
                <w:sz w:val="16"/>
                <w:szCs w:val="16"/>
                <w:lang w:eastAsia="en-AU"/>
              </w:rPr>
            </w:pPr>
            <w:r w:rsidRPr="00F83759">
              <w:rPr>
                <w:rFonts w:eastAsia="Times New Roman" w:cs="Open Sans Light"/>
                <w:sz w:val="16"/>
                <w:szCs w:val="16"/>
                <w:lang w:eastAsia="en-AU"/>
              </w:rPr>
              <w:t>Remote</w:t>
            </w:r>
          </w:p>
        </w:tc>
        <w:tc>
          <w:tcPr>
            <w:tcW w:w="1180" w:type="dxa"/>
            <w:shd w:val="clear" w:color="000000" w:fill="FFFFFF"/>
            <w:vAlign w:val="bottom"/>
            <w:hideMark/>
          </w:tcPr>
          <w:p w14:paraId="453474DD"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67</w:t>
            </w:r>
          </w:p>
        </w:tc>
        <w:tc>
          <w:tcPr>
            <w:tcW w:w="1480" w:type="dxa"/>
            <w:shd w:val="clear" w:color="000000" w:fill="FFFFFF"/>
            <w:vAlign w:val="bottom"/>
            <w:hideMark/>
          </w:tcPr>
          <w:p w14:paraId="08740CC5"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15</w:t>
            </w:r>
          </w:p>
        </w:tc>
        <w:tc>
          <w:tcPr>
            <w:tcW w:w="1480" w:type="dxa"/>
            <w:shd w:val="clear" w:color="000000" w:fill="FFFFFF"/>
            <w:vAlign w:val="bottom"/>
            <w:hideMark/>
          </w:tcPr>
          <w:p w14:paraId="671A83CE"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17</w:t>
            </w:r>
          </w:p>
        </w:tc>
        <w:tc>
          <w:tcPr>
            <w:tcW w:w="1360" w:type="dxa"/>
            <w:shd w:val="clear" w:color="000000" w:fill="FFFFFF"/>
            <w:vAlign w:val="bottom"/>
            <w:hideMark/>
          </w:tcPr>
          <w:p w14:paraId="7F3F7669"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1</w:t>
            </w:r>
          </w:p>
        </w:tc>
        <w:tc>
          <w:tcPr>
            <w:tcW w:w="1360" w:type="dxa"/>
            <w:shd w:val="clear" w:color="000000" w:fill="FFFFFF"/>
            <w:vAlign w:val="bottom"/>
            <w:hideMark/>
          </w:tcPr>
          <w:p w14:paraId="40AE8EA9"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0</w:t>
            </w:r>
          </w:p>
        </w:tc>
      </w:tr>
      <w:tr w:rsidR="00D9434E" w:rsidRPr="00F83759" w14:paraId="3EBFFCC0" w14:textId="77777777" w:rsidTr="00FD7D21">
        <w:trPr>
          <w:trHeight w:val="315"/>
        </w:trPr>
        <w:tc>
          <w:tcPr>
            <w:tcW w:w="2100" w:type="dxa"/>
            <w:shd w:val="clear" w:color="000000" w:fill="FFFFFF"/>
            <w:tcMar>
              <w:left w:w="0" w:type="dxa"/>
            </w:tcMar>
            <w:vAlign w:val="bottom"/>
            <w:hideMark/>
          </w:tcPr>
          <w:p w14:paraId="3960CAAE" w14:textId="77777777" w:rsidR="00D9434E" w:rsidRPr="00F83759" w:rsidRDefault="00D9434E" w:rsidP="004D65FE">
            <w:pPr>
              <w:tabs>
                <w:tab w:val="clear" w:pos="567"/>
              </w:tabs>
              <w:spacing w:before="0" w:line="240" w:lineRule="auto"/>
              <w:rPr>
                <w:rFonts w:eastAsia="Times New Roman" w:cs="Open Sans Light"/>
                <w:sz w:val="16"/>
                <w:szCs w:val="16"/>
                <w:lang w:eastAsia="en-AU"/>
              </w:rPr>
            </w:pPr>
            <w:r w:rsidRPr="00F83759">
              <w:rPr>
                <w:rFonts w:eastAsia="Times New Roman" w:cs="Open Sans Light"/>
                <w:sz w:val="16"/>
                <w:szCs w:val="16"/>
                <w:lang w:eastAsia="en-AU"/>
              </w:rPr>
              <w:t>Very remote</w:t>
            </w:r>
          </w:p>
        </w:tc>
        <w:tc>
          <w:tcPr>
            <w:tcW w:w="1180" w:type="dxa"/>
            <w:shd w:val="clear" w:color="000000" w:fill="FFFFFF"/>
            <w:vAlign w:val="bottom"/>
            <w:hideMark/>
          </w:tcPr>
          <w:p w14:paraId="514C5199"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0</w:t>
            </w:r>
          </w:p>
        </w:tc>
        <w:tc>
          <w:tcPr>
            <w:tcW w:w="1480" w:type="dxa"/>
            <w:shd w:val="clear" w:color="000000" w:fill="FFFFFF"/>
            <w:vAlign w:val="bottom"/>
            <w:hideMark/>
          </w:tcPr>
          <w:p w14:paraId="77E332FF"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0</w:t>
            </w:r>
          </w:p>
        </w:tc>
        <w:tc>
          <w:tcPr>
            <w:tcW w:w="1480" w:type="dxa"/>
            <w:shd w:val="clear" w:color="000000" w:fill="FFFFFF"/>
            <w:vAlign w:val="bottom"/>
            <w:hideMark/>
          </w:tcPr>
          <w:p w14:paraId="6228475D"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0</w:t>
            </w:r>
          </w:p>
        </w:tc>
        <w:tc>
          <w:tcPr>
            <w:tcW w:w="1360" w:type="dxa"/>
            <w:shd w:val="clear" w:color="000000" w:fill="FFFFFF"/>
            <w:vAlign w:val="bottom"/>
            <w:hideMark/>
          </w:tcPr>
          <w:p w14:paraId="3E4695D3"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0</w:t>
            </w:r>
          </w:p>
        </w:tc>
        <w:tc>
          <w:tcPr>
            <w:tcW w:w="1360" w:type="dxa"/>
            <w:shd w:val="clear" w:color="000000" w:fill="FFFFFF"/>
            <w:vAlign w:val="bottom"/>
            <w:hideMark/>
          </w:tcPr>
          <w:p w14:paraId="34EE8DBB" w14:textId="77777777" w:rsidR="00D9434E" w:rsidRPr="00F83759" w:rsidRDefault="00D9434E" w:rsidP="004D65FE">
            <w:pPr>
              <w:tabs>
                <w:tab w:val="clear" w:pos="567"/>
              </w:tabs>
              <w:spacing w:before="0" w:line="240" w:lineRule="auto"/>
              <w:jc w:val="right"/>
              <w:rPr>
                <w:rFonts w:eastAsia="Times New Roman" w:cs="Open Sans Light"/>
                <w:sz w:val="16"/>
                <w:szCs w:val="16"/>
                <w:lang w:eastAsia="en-AU"/>
              </w:rPr>
            </w:pPr>
            <w:r w:rsidRPr="00F83759">
              <w:rPr>
                <w:rFonts w:eastAsia="Times New Roman" w:cs="Open Sans Light"/>
                <w:sz w:val="16"/>
                <w:szCs w:val="16"/>
                <w:lang w:eastAsia="en-AU"/>
              </w:rPr>
              <w:t>0</w:t>
            </w:r>
          </w:p>
        </w:tc>
      </w:tr>
    </w:tbl>
    <w:p w14:paraId="665025F8" w14:textId="77777777" w:rsidR="00D9434E" w:rsidRPr="00063D0C" w:rsidRDefault="00D9434E" w:rsidP="00800416">
      <w:pPr>
        <w:pStyle w:val="CGCTablenote"/>
        <w:ind w:hanging="680"/>
      </w:pPr>
      <w:r w:rsidRPr="00063D0C">
        <w:t xml:space="preserve">(a) </w:t>
      </w:r>
      <w:r>
        <w:tab/>
      </w:r>
      <w:r w:rsidRPr="00063D0C">
        <w:t>Includes Victorian resident defendants and excludes interstate resident defendants</w:t>
      </w:r>
    </w:p>
    <w:p w14:paraId="2BCD7B3A" w14:textId="77777777" w:rsidR="00D9434E" w:rsidRDefault="00D9434E" w:rsidP="00800416">
      <w:pPr>
        <w:pStyle w:val="CGCTablenote"/>
        <w:ind w:hanging="680"/>
      </w:pPr>
      <w:r>
        <w:t>Source:</w:t>
      </w:r>
      <w:r>
        <w:tab/>
        <w:t>Victorian Treasury.</w:t>
      </w:r>
    </w:p>
    <w:p w14:paraId="04FD3BA3" w14:textId="77777777" w:rsidR="00D9434E" w:rsidRDefault="00D9434E" w:rsidP="00D9434E">
      <w:pPr>
        <w:pStyle w:val="Heading5"/>
      </w:pPr>
      <w:r>
        <w:t>Analysis</w:t>
      </w:r>
    </w:p>
    <w:p w14:paraId="01E58E59" w14:textId="77777777" w:rsidR="00D9434E" w:rsidRDefault="00D9434E" w:rsidP="00F47EC7">
      <w:pPr>
        <w:pStyle w:val="CGCParaNumber"/>
      </w:pPr>
      <w:r>
        <w:t>If a service is more expensive when provided in remote areas, that cost should be applied to the population that receives that service in remote areas, which is not necessarily the same as the population that live in remote areas. However, with some exceptions, there is no identified policy neutral measure (or generally any measure) of the population by where it receives a service.</w:t>
      </w:r>
      <w:r>
        <w:rPr>
          <w:rStyle w:val="FootnoteReference"/>
        </w:rPr>
        <w:footnoteReference w:id="126"/>
      </w:r>
      <w:r>
        <w:t xml:space="preserve"> </w:t>
      </w:r>
    </w:p>
    <w:p w14:paraId="5E928D4D" w14:textId="41F3F58F" w:rsidR="00D9434E" w:rsidRDefault="00D9434E" w:rsidP="00F47EC7">
      <w:pPr>
        <w:pStyle w:val="CGCParaNumber"/>
      </w:pPr>
      <w:r w:rsidRPr="006924BD">
        <w:lastRenderedPageBreak/>
        <w:t>No data are available on the distribution of</w:t>
      </w:r>
      <w:r>
        <w:t xml:space="preserve"> service delivery for most services. However, </w:t>
      </w:r>
      <w:r>
        <w:fldChar w:fldCharType="begin"/>
      </w:r>
      <w:r>
        <w:instrText xml:space="preserve"> REF _Ref532375195 \h </w:instrText>
      </w:r>
      <w:r>
        <w:fldChar w:fldCharType="separate"/>
      </w:r>
      <w:r w:rsidR="007F721A">
        <w:t>Figure 28-</w:t>
      </w:r>
      <w:r w:rsidR="007F721A">
        <w:rPr>
          <w:noProof/>
        </w:rPr>
        <w:t>2</w:t>
      </w:r>
      <w:r>
        <w:fldChar w:fldCharType="end"/>
      </w:r>
      <w:r>
        <w:t xml:space="preserve"> shows the proportion of State government employees in selected service sectors working in remote areas. Schools and police are very decentralised services, with SDS or greater needs leading to a proportion of staff working in remote areas higher than the share of the population in remote areas. </w:t>
      </w:r>
    </w:p>
    <w:p w14:paraId="374399D1" w14:textId="77777777" w:rsidR="00D9434E" w:rsidRDefault="00D9434E" w:rsidP="00F47EC7">
      <w:pPr>
        <w:pStyle w:val="CGCParaNumber"/>
      </w:pPr>
      <w:r>
        <w:t xml:space="preserve">Post-secondary education, other health and courts appear to have similar levels of centralisation, with around 1% of employees working in remote areas. </w:t>
      </w:r>
    </w:p>
    <w:p w14:paraId="3770C569" w14:textId="77777777" w:rsidR="00D9434E" w:rsidRDefault="00D9434E" w:rsidP="00F47EC7">
      <w:pPr>
        <w:pStyle w:val="CGCParaNumber"/>
      </w:pPr>
      <w:r>
        <w:t xml:space="preserve">About 1.8% of hospital staff work in remote areas, about the same as the proportion of the population living in remote areas. This appears to reflect two countervailing forces. Remote hospitals experience diseconomies through SDS, and so have higher staffing levels, while a range of services are centralised, with the hospitals in larger centres providing a wider range of services. </w:t>
      </w:r>
    </w:p>
    <w:p w14:paraId="7C5228DA" w14:textId="6424D4C4" w:rsidR="00D9434E" w:rsidRDefault="00D9434E" w:rsidP="00D9434E">
      <w:pPr>
        <w:pStyle w:val="Caption"/>
      </w:pPr>
      <w:bookmarkStart w:id="550" w:name="_Ref532375195"/>
      <w:r>
        <w:t>Figure 28-</w:t>
      </w:r>
      <w:r>
        <w:rPr>
          <w:noProof/>
        </w:rPr>
        <w:fldChar w:fldCharType="begin"/>
      </w:r>
      <w:r>
        <w:rPr>
          <w:noProof/>
        </w:rPr>
        <w:instrText xml:space="preserve"> SEQ Figure \* ARABIC </w:instrText>
      </w:r>
      <w:r>
        <w:rPr>
          <w:noProof/>
        </w:rPr>
        <w:fldChar w:fldCharType="separate"/>
      </w:r>
      <w:r w:rsidR="007F721A">
        <w:rPr>
          <w:noProof/>
        </w:rPr>
        <w:t>2</w:t>
      </w:r>
      <w:r>
        <w:rPr>
          <w:noProof/>
        </w:rPr>
        <w:fldChar w:fldCharType="end"/>
      </w:r>
      <w:bookmarkEnd w:id="550"/>
      <w:r>
        <w:rPr>
          <w:noProof/>
        </w:rPr>
        <w:tab/>
        <w:t xml:space="preserve"> P</w:t>
      </w:r>
      <w:r>
        <w:t>roportion of State government employees working in remote areas, 2016</w:t>
      </w:r>
    </w:p>
    <w:p w14:paraId="76F63FFC" w14:textId="77777777" w:rsidR="00D9434E" w:rsidRDefault="00D9434E" w:rsidP="00D9434E">
      <w:r w:rsidRPr="003F2179">
        <w:rPr>
          <w:noProof/>
        </w:rPr>
        <w:drawing>
          <wp:inline distT="0" distB="0" distL="0" distR="0" wp14:anchorId="78934F4C" wp14:editId="46560C8C">
            <wp:extent cx="5648325" cy="3562350"/>
            <wp:effectExtent l="0" t="0" r="9525" b="0"/>
            <wp:docPr id="54" name="Picture 54" descr="Column graph showing proportion of State government employees working in remote areas by 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48325" cy="3562350"/>
                    </a:xfrm>
                    <a:prstGeom prst="rect">
                      <a:avLst/>
                    </a:prstGeom>
                    <a:noFill/>
                    <a:ln>
                      <a:noFill/>
                    </a:ln>
                  </pic:spPr>
                </pic:pic>
              </a:graphicData>
            </a:graphic>
          </wp:inline>
        </w:drawing>
      </w:r>
    </w:p>
    <w:p w14:paraId="60018C13" w14:textId="4BF64B96" w:rsidR="00D9434E" w:rsidRDefault="00D9434E" w:rsidP="00D9434E">
      <w:pPr>
        <w:pStyle w:val="CGCTablenote"/>
      </w:pPr>
      <w:r>
        <w:t>Source:</w:t>
      </w:r>
      <w:r>
        <w:tab/>
        <w:t xml:space="preserve">2016 </w:t>
      </w:r>
      <w:r w:rsidR="00653DC8">
        <w:t>Australian Bureau of Statistics (ABS)</w:t>
      </w:r>
      <w:r>
        <w:t xml:space="preserve"> Census of Population and Housing.</w:t>
      </w:r>
    </w:p>
    <w:p w14:paraId="3667938A" w14:textId="77777777" w:rsidR="00D9434E" w:rsidRPr="00C612E3" w:rsidRDefault="00D9434E" w:rsidP="00F47EC7">
      <w:pPr>
        <w:pStyle w:val="CGCParaNumber"/>
      </w:pPr>
      <w:r w:rsidRPr="00C612E3">
        <w:t xml:space="preserve">The </w:t>
      </w:r>
      <w:r>
        <w:t>S</w:t>
      </w:r>
      <w:r w:rsidRPr="00C612E3">
        <w:t xml:space="preserve">chools assessment is unaffected by this issue, as students are classified by </w:t>
      </w:r>
      <w:r>
        <w:t xml:space="preserve">the </w:t>
      </w:r>
      <w:r w:rsidRPr="00C612E3">
        <w:t xml:space="preserve">remoteness </w:t>
      </w:r>
      <w:r>
        <w:t>region</w:t>
      </w:r>
      <w:r w:rsidRPr="00C612E3">
        <w:t xml:space="preserve"> where they attend school, not where they live (although in practice the difference is generally small). </w:t>
      </w:r>
    </w:p>
    <w:p w14:paraId="3E93D86B" w14:textId="77777777" w:rsidR="00D9434E" w:rsidRPr="00C612E3" w:rsidRDefault="00D9434E" w:rsidP="00F47EC7">
      <w:pPr>
        <w:pStyle w:val="CGCParaNumber"/>
      </w:pPr>
      <w:r w:rsidRPr="00C612E3">
        <w:t>In most other services where regional costs and SDS are measured directly, costs are effectively collected based on the residence of user populations for hospitals, social housing, electricity subsidies and police. The difference between place of service delivery and place of residence of user population is most relevant for:</w:t>
      </w:r>
    </w:p>
    <w:p w14:paraId="48E25F0E" w14:textId="0EAC3EAB" w:rsidR="00D9434E" w:rsidRPr="00C612E3" w:rsidRDefault="00B857DE" w:rsidP="00D9434E">
      <w:pPr>
        <w:pStyle w:val="CGCBullet1"/>
      </w:pPr>
      <w:r>
        <w:t>p</w:t>
      </w:r>
      <w:r w:rsidR="00D9434E" w:rsidRPr="00C612E3">
        <w:t>ost-secondary education</w:t>
      </w:r>
    </w:p>
    <w:p w14:paraId="2F65824A" w14:textId="188FDDD4" w:rsidR="00D9434E" w:rsidRPr="00C612E3" w:rsidRDefault="00B857DE" w:rsidP="00D9434E">
      <w:pPr>
        <w:pStyle w:val="CGCBullet1"/>
      </w:pPr>
      <w:r>
        <w:t>c</w:t>
      </w:r>
      <w:r w:rsidR="00D9434E" w:rsidRPr="00C612E3">
        <w:t>riminal courts</w:t>
      </w:r>
    </w:p>
    <w:p w14:paraId="6444216E" w14:textId="75D8E015" w:rsidR="00D9434E" w:rsidRPr="00C612E3" w:rsidRDefault="00B857DE" w:rsidP="00D9434E">
      <w:pPr>
        <w:pStyle w:val="CGCBullet1"/>
      </w:pPr>
      <w:r>
        <w:t>p</w:t>
      </w:r>
      <w:r w:rsidR="00D9434E">
        <w:t>risons</w:t>
      </w:r>
      <w:r w:rsidR="00D9434E" w:rsidRPr="00C612E3">
        <w:t>.</w:t>
      </w:r>
    </w:p>
    <w:p w14:paraId="24C35CEB" w14:textId="6D4524EA" w:rsidR="00D9434E" w:rsidRDefault="00D9434E" w:rsidP="00F47EC7">
      <w:pPr>
        <w:pStyle w:val="CGCParaNumber"/>
      </w:pPr>
      <w:r>
        <w:rPr>
          <w:rStyle w:val="Heading6Char"/>
        </w:rPr>
        <w:lastRenderedPageBreak/>
        <w:t>Post-secondary education</w:t>
      </w:r>
      <w:r w:rsidRPr="003D0D91">
        <w:rPr>
          <w:rStyle w:val="Heading6Char"/>
        </w:rPr>
        <w:t xml:space="preserve">. </w:t>
      </w:r>
      <w:r>
        <w:t xml:space="preserve">It is possible to measure the extent of the difference between place of residence and place of service receipt for </w:t>
      </w:r>
      <w:r w:rsidR="00CB1DD7">
        <w:t>p</w:t>
      </w:r>
      <w:r>
        <w:t xml:space="preserve">ost-secondary education. People living in remote and very remote areas receive nearly 8 million hours of vocational education and training, but only 6.5 million hours are provided in remote and very remote areas. Nationally, the number of hours provided in remote areas is 82% of the number received by remote residents. This ratio varies significantly, as shown in </w:t>
      </w:r>
      <w:r>
        <w:fldChar w:fldCharType="begin"/>
      </w:r>
      <w:r>
        <w:instrText xml:space="preserve"> REF _Ref526779532 \h </w:instrText>
      </w:r>
      <w:r>
        <w:fldChar w:fldCharType="separate"/>
      </w:r>
      <w:r w:rsidR="007F721A">
        <w:t>Table 28-</w:t>
      </w:r>
      <w:r w:rsidR="007F721A">
        <w:rPr>
          <w:noProof/>
        </w:rPr>
        <w:t>2</w:t>
      </w:r>
      <w:r>
        <w:fldChar w:fldCharType="end"/>
      </w:r>
      <w:r>
        <w:t>.</w:t>
      </w:r>
    </w:p>
    <w:p w14:paraId="75D062AF" w14:textId="0B91420E" w:rsidR="00D9434E" w:rsidRDefault="00D9434E" w:rsidP="00D9434E">
      <w:pPr>
        <w:pStyle w:val="Caption"/>
      </w:pPr>
      <w:bookmarkStart w:id="551" w:name="_Ref526779532"/>
      <w:r>
        <w:t>Table 28-</w:t>
      </w:r>
      <w:fldSimple w:instr=" SEQ Table \* ARABIC ">
        <w:r w:rsidR="007F721A">
          <w:rPr>
            <w:noProof/>
          </w:rPr>
          <w:t>2</w:t>
        </w:r>
      </w:fldSimple>
      <w:bookmarkEnd w:id="551"/>
      <w:r>
        <w:tab/>
        <w:t>Remote provision and receipt of Vocational education and training, 2017</w:t>
      </w:r>
    </w:p>
    <w:tbl>
      <w:tblPr>
        <w:tblW w:w="8908" w:type="dxa"/>
        <w:tblCellMar>
          <w:left w:w="28" w:type="dxa"/>
          <w:right w:w="28" w:type="dxa"/>
        </w:tblCellMar>
        <w:tblLook w:val="04A0" w:firstRow="1" w:lastRow="0" w:firstColumn="1" w:lastColumn="0" w:noHBand="0" w:noVBand="1"/>
      </w:tblPr>
      <w:tblGrid>
        <w:gridCol w:w="2616"/>
        <w:gridCol w:w="700"/>
        <w:gridCol w:w="700"/>
        <w:gridCol w:w="700"/>
        <w:gridCol w:w="700"/>
        <w:gridCol w:w="700"/>
        <w:gridCol w:w="700"/>
        <w:gridCol w:w="700"/>
        <w:gridCol w:w="700"/>
        <w:gridCol w:w="700"/>
      </w:tblGrid>
      <w:tr w:rsidR="00D9434E" w:rsidRPr="005A5BA6" w14:paraId="27D63C40" w14:textId="77777777" w:rsidTr="009E3578">
        <w:trPr>
          <w:trHeight w:val="375"/>
        </w:trPr>
        <w:tc>
          <w:tcPr>
            <w:tcW w:w="2608" w:type="dxa"/>
            <w:tcBorders>
              <w:top w:val="nil"/>
              <w:left w:val="nil"/>
              <w:bottom w:val="single" w:sz="8" w:space="0" w:color="ADD6EA"/>
              <w:right w:val="nil"/>
            </w:tcBorders>
            <w:shd w:val="clear" w:color="000000" w:fill="006991"/>
            <w:tcMar>
              <w:left w:w="0" w:type="dxa"/>
            </w:tcMar>
            <w:vAlign w:val="center"/>
            <w:hideMark/>
          </w:tcPr>
          <w:p w14:paraId="5666C012"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5BA6">
              <w:rPr>
                <w:rFonts w:ascii="Open Sans SemiBold" w:eastAsia="Times New Roman" w:hAnsi="Open Sans SemiBold" w:cs="Open Sans SemiBold"/>
                <w:color w:val="FFFFFF"/>
                <w:sz w:val="16"/>
                <w:szCs w:val="16"/>
                <w:lang w:eastAsia="en-AU"/>
              </w:rPr>
              <w:t> </w:t>
            </w:r>
          </w:p>
        </w:tc>
        <w:tc>
          <w:tcPr>
            <w:tcW w:w="700" w:type="dxa"/>
            <w:tcBorders>
              <w:top w:val="nil"/>
              <w:left w:val="nil"/>
              <w:bottom w:val="single" w:sz="8" w:space="0" w:color="ADD6EA"/>
              <w:right w:val="nil"/>
            </w:tcBorders>
            <w:shd w:val="clear" w:color="000000" w:fill="006991"/>
            <w:vAlign w:val="center"/>
            <w:hideMark/>
          </w:tcPr>
          <w:p w14:paraId="3EE34CFA"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5BA6">
              <w:rPr>
                <w:rFonts w:ascii="Open Sans SemiBold" w:eastAsia="Times New Roman" w:hAnsi="Open Sans SemiBold" w:cs="Open Sans SemiBold"/>
                <w:color w:val="FFFFFF"/>
                <w:sz w:val="16"/>
                <w:szCs w:val="16"/>
                <w:lang w:eastAsia="en-AU"/>
              </w:rPr>
              <w:t>NSW</w:t>
            </w:r>
          </w:p>
        </w:tc>
        <w:tc>
          <w:tcPr>
            <w:tcW w:w="700" w:type="dxa"/>
            <w:tcBorders>
              <w:top w:val="nil"/>
              <w:left w:val="nil"/>
              <w:bottom w:val="single" w:sz="8" w:space="0" w:color="ADD6EA"/>
              <w:right w:val="nil"/>
            </w:tcBorders>
            <w:shd w:val="clear" w:color="000000" w:fill="006991"/>
            <w:vAlign w:val="center"/>
            <w:hideMark/>
          </w:tcPr>
          <w:p w14:paraId="310CF5E0"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5BA6">
              <w:rPr>
                <w:rFonts w:ascii="Open Sans SemiBold" w:eastAsia="Times New Roman" w:hAnsi="Open Sans SemiBold" w:cs="Open Sans SemiBold"/>
                <w:color w:val="FFFFFF"/>
                <w:sz w:val="16"/>
                <w:szCs w:val="16"/>
                <w:lang w:eastAsia="en-AU"/>
              </w:rPr>
              <w:t>Vic</w:t>
            </w:r>
          </w:p>
        </w:tc>
        <w:tc>
          <w:tcPr>
            <w:tcW w:w="700" w:type="dxa"/>
            <w:tcBorders>
              <w:top w:val="nil"/>
              <w:left w:val="nil"/>
              <w:bottom w:val="single" w:sz="8" w:space="0" w:color="ADD6EA"/>
              <w:right w:val="nil"/>
            </w:tcBorders>
            <w:shd w:val="clear" w:color="000000" w:fill="006991"/>
            <w:vAlign w:val="center"/>
            <w:hideMark/>
          </w:tcPr>
          <w:p w14:paraId="59417128"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5BA6">
              <w:rPr>
                <w:rFonts w:ascii="Open Sans SemiBold" w:eastAsia="Times New Roman" w:hAnsi="Open Sans SemiBold" w:cs="Open Sans SemiBold"/>
                <w:color w:val="FFFFFF"/>
                <w:sz w:val="16"/>
                <w:szCs w:val="16"/>
                <w:lang w:eastAsia="en-AU"/>
              </w:rPr>
              <w:t>Qld</w:t>
            </w:r>
          </w:p>
        </w:tc>
        <w:tc>
          <w:tcPr>
            <w:tcW w:w="700" w:type="dxa"/>
            <w:tcBorders>
              <w:top w:val="nil"/>
              <w:left w:val="nil"/>
              <w:bottom w:val="single" w:sz="8" w:space="0" w:color="ADD6EA"/>
              <w:right w:val="nil"/>
            </w:tcBorders>
            <w:shd w:val="clear" w:color="000000" w:fill="006991"/>
            <w:vAlign w:val="center"/>
            <w:hideMark/>
          </w:tcPr>
          <w:p w14:paraId="3E9F031E"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5BA6">
              <w:rPr>
                <w:rFonts w:ascii="Open Sans SemiBold" w:eastAsia="Times New Roman" w:hAnsi="Open Sans SemiBold" w:cs="Open Sans SemiBold"/>
                <w:color w:val="FFFFFF"/>
                <w:sz w:val="16"/>
                <w:szCs w:val="16"/>
                <w:lang w:eastAsia="en-AU"/>
              </w:rPr>
              <w:t>WA</w:t>
            </w:r>
          </w:p>
        </w:tc>
        <w:tc>
          <w:tcPr>
            <w:tcW w:w="700" w:type="dxa"/>
            <w:tcBorders>
              <w:top w:val="nil"/>
              <w:left w:val="nil"/>
              <w:bottom w:val="single" w:sz="8" w:space="0" w:color="ADD6EA"/>
              <w:right w:val="nil"/>
            </w:tcBorders>
            <w:shd w:val="clear" w:color="000000" w:fill="006991"/>
            <w:vAlign w:val="center"/>
            <w:hideMark/>
          </w:tcPr>
          <w:p w14:paraId="75476BD7"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5BA6">
              <w:rPr>
                <w:rFonts w:ascii="Open Sans SemiBold" w:eastAsia="Times New Roman" w:hAnsi="Open Sans SemiBold" w:cs="Open Sans SemiBold"/>
                <w:color w:val="FFFFFF"/>
                <w:sz w:val="16"/>
                <w:szCs w:val="16"/>
                <w:lang w:eastAsia="en-AU"/>
              </w:rPr>
              <w:t>SA</w:t>
            </w:r>
          </w:p>
        </w:tc>
        <w:tc>
          <w:tcPr>
            <w:tcW w:w="700" w:type="dxa"/>
            <w:tcBorders>
              <w:top w:val="nil"/>
              <w:left w:val="nil"/>
              <w:bottom w:val="single" w:sz="8" w:space="0" w:color="ADD6EA"/>
              <w:right w:val="nil"/>
            </w:tcBorders>
            <w:shd w:val="clear" w:color="000000" w:fill="006991"/>
            <w:vAlign w:val="center"/>
            <w:hideMark/>
          </w:tcPr>
          <w:p w14:paraId="5000FE0E"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5BA6">
              <w:rPr>
                <w:rFonts w:ascii="Open Sans SemiBold" w:eastAsia="Times New Roman" w:hAnsi="Open Sans SemiBold" w:cs="Open Sans SemiBold"/>
                <w:color w:val="FFFFFF"/>
                <w:sz w:val="16"/>
                <w:szCs w:val="16"/>
                <w:lang w:eastAsia="en-AU"/>
              </w:rPr>
              <w:t>Tas</w:t>
            </w:r>
          </w:p>
        </w:tc>
        <w:tc>
          <w:tcPr>
            <w:tcW w:w="700" w:type="dxa"/>
            <w:tcBorders>
              <w:top w:val="nil"/>
              <w:left w:val="nil"/>
              <w:bottom w:val="single" w:sz="8" w:space="0" w:color="ADD6EA"/>
              <w:right w:val="nil"/>
            </w:tcBorders>
            <w:shd w:val="clear" w:color="000000" w:fill="006991"/>
            <w:vAlign w:val="center"/>
            <w:hideMark/>
          </w:tcPr>
          <w:p w14:paraId="511F4F1A"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5BA6">
              <w:rPr>
                <w:rFonts w:ascii="Open Sans SemiBold" w:eastAsia="Times New Roman" w:hAnsi="Open Sans SemiBold" w:cs="Open Sans SemiBold"/>
                <w:color w:val="FFFFFF"/>
                <w:sz w:val="16"/>
                <w:szCs w:val="16"/>
                <w:lang w:eastAsia="en-AU"/>
              </w:rPr>
              <w:t>ACT</w:t>
            </w:r>
          </w:p>
        </w:tc>
        <w:tc>
          <w:tcPr>
            <w:tcW w:w="700" w:type="dxa"/>
            <w:tcBorders>
              <w:top w:val="nil"/>
              <w:left w:val="nil"/>
              <w:bottom w:val="single" w:sz="8" w:space="0" w:color="ADD6EA"/>
              <w:right w:val="nil"/>
            </w:tcBorders>
            <w:shd w:val="clear" w:color="000000" w:fill="006991"/>
            <w:vAlign w:val="center"/>
            <w:hideMark/>
          </w:tcPr>
          <w:p w14:paraId="392A877D"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5BA6">
              <w:rPr>
                <w:rFonts w:ascii="Open Sans SemiBold" w:eastAsia="Times New Roman" w:hAnsi="Open Sans SemiBold" w:cs="Open Sans SemiBold"/>
                <w:color w:val="FFFFFF"/>
                <w:sz w:val="16"/>
                <w:szCs w:val="16"/>
                <w:lang w:eastAsia="en-AU"/>
              </w:rPr>
              <w:t>NT</w:t>
            </w:r>
          </w:p>
        </w:tc>
        <w:tc>
          <w:tcPr>
            <w:tcW w:w="700" w:type="dxa"/>
            <w:tcBorders>
              <w:top w:val="nil"/>
              <w:left w:val="nil"/>
              <w:bottom w:val="single" w:sz="8" w:space="0" w:color="ADD6EA"/>
              <w:right w:val="nil"/>
            </w:tcBorders>
            <w:shd w:val="clear" w:color="000000" w:fill="006991"/>
            <w:vAlign w:val="center"/>
            <w:hideMark/>
          </w:tcPr>
          <w:p w14:paraId="2F9CA798"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A5BA6">
              <w:rPr>
                <w:rFonts w:ascii="Open Sans SemiBold" w:eastAsia="Times New Roman" w:hAnsi="Open Sans SemiBold" w:cs="Open Sans SemiBold"/>
                <w:color w:val="FFFFFF"/>
                <w:sz w:val="16"/>
                <w:szCs w:val="16"/>
                <w:lang w:eastAsia="en-AU"/>
              </w:rPr>
              <w:t>Total</w:t>
            </w:r>
          </w:p>
        </w:tc>
      </w:tr>
      <w:tr w:rsidR="00D9434E" w:rsidRPr="005A5BA6" w14:paraId="67D7CB40" w14:textId="77777777" w:rsidTr="009E3578">
        <w:trPr>
          <w:trHeight w:val="259"/>
        </w:trPr>
        <w:tc>
          <w:tcPr>
            <w:tcW w:w="2608" w:type="dxa"/>
            <w:tcBorders>
              <w:top w:val="nil"/>
              <w:left w:val="nil"/>
              <w:bottom w:val="nil"/>
              <w:right w:val="nil"/>
            </w:tcBorders>
            <w:shd w:val="clear" w:color="000000" w:fill="B6D5E4"/>
            <w:noWrap/>
            <w:tcMar>
              <w:left w:w="0" w:type="dxa"/>
            </w:tcMar>
            <w:vAlign w:val="center"/>
            <w:hideMark/>
          </w:tcPr>
          <w:p w14:paraId="60D22868"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A5BA6">
              <w:rPr>
                <w:rFonts w:ascii="Open Sans SemiBold" w:eastAsia="Times New Roman" w:hAnsi="Open Sans SemiBold" w:cs="Open Sans SemiBold"/>
                <w:color w:val="000000"/>
                <w:sz w:val="16"/>
                <w:szCs w:val="16"/>
                <w:lang w:eastAsia="en-AU"/>
              </w:rPr>
              <w:t> </w:t>
            </w:r>
          </w:p>
        </w:tc>
        <w:tc>
          <w:tcPr>
            <w:tcW w:w="700" w:type="dxa"/>
            <w:tcBorders>
              <w:top w:val="nil"/>
              <w:left w:val="nil"/>
              <w:bottom w:val="nil"/>
              <w:right w:val="nil"/>
            </w:tcBorders>
            <w:shd w:val="clear" w:color="000000" w:fill="B6D5E4"/>
            <w:noWrap/>
            <w:tcMar>
              <w:left w:w="85" w:type="dxa"/>
            </w:tcMar>
            <w:vAlign w:val="bottom"/>
            <w:hideMark/>
          </w:tcPr>
          <w:p w14:paraId="796510B8" w14:textId="5597558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A5BA6">
              <w:rPr>
                <w:rFonts w:ascii="Open Sans SemiBold" w:eastAsia="Times New Roman" w:hAnsi="Open Sans SemiBold" w:cs="Open Sans SemiBold"/>
                <w:color w:val="000000"/>
                <w:sz w:val="16"/>
                <w:szCs w:val="16"/>
                <w:lang w:eastAsia="en-AU"/>
              </w:rPr>
              <w:t>'000 hrs</w:t>
            </w:r>
          </w:p>
        </w:tc>
        <w:tc>
          <w:tcPr>
            <w:tcW w:w="700" w:type="dxa"/>
            <w:tcBorders>
              <w:top w:val="nil"/>
              <w:left w:val="nil"/>
              <w:bottom w:val="nil"/>
              <w:right w:val="nil"/>
            </w:tcBorders>
            <w:shd w:val="clear" w:color="000000" w:fill="B6D5E4"/>
            <w:noWrap/>
            <w:tcMar>
              <w:left w:w="85" w:type="dxa"/>
            </w:tcMar>
            <w:vAlign w:val="bottom"/>
            <w:hideMark/>
          </w:tcPr>
          <w:p w14:paraId="353F551C"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A5BA6">
              <w:rPr>
                <w:rFonts w:ascii="Open Sans SemiBold" w:eastAsia="Times New Roman" w:hAnsi="Open Sans SemiBold" w:cs="Open Sans SemiBold"/>
                <w:color w:val="000000"/>
                <w:sz w:val="16"/>
                <w:szCs w:val="16"/>
                <w:lang w:eastAsia="en-AU"/>
              </w:rPr>
              <w:t>'000 hrs</w:t>
            </w:r>
          </w:p>
        </w:tc>
        <w:tc>
          <w:tcPr>
            <w:tcW w:w="700" w:type="dxa"/>
            <w:tcBorders>
              <w:top w:val="nil"/>
              <w:left w:val="nil"/>
              <w:bottom w:val="nil"/>
              <w:right w:val="nil"/>
            </w:tcBorders>
            <w:shd w:val="clear" w:color="000000" w:fill="B6D5E4"/>
            <w:noWrap/>
            <w:tcMar>
              <w:left w:w="85" w:type="dxa"/>
            </w:tcMar>
            <w:vAlign w:val="bottom"/>
            <w:hideMark/>
          </w:tcPr>
          <w:p w14:paraId="59B0ED29"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A5BA6">
              <w:rPr>
                <w:rFonts w:ascii="Open Sans SemiBold" w:eastAsia="Times New Roman" w:hAnsi="Open Sans SemiBold" w:cs="Open Sans SemiBold"/>
                <w:color w:val="000000"/>
                <w:sz w:val="16"/>
                <w:szCs w:val="16"/>
                <w:lang w:eastAsia="en-AU"/>
              </w:rPr>
              <w:t>'000 hrs</w:t>
            </w:r>
          </w:p>
        </w:tc>
        <w:tc>
          <w:tcPr>
            <w:tcW w:w="700" w:type="dxa"/>
            <w:tcBorders>
              <w:top w:val="nil"/>
              <w:left w:val="nil"/>
              <w:bottom w:val="nil"/>
              <w:right w:val="nil"/>
            </w:tcBorders>
            <w:shd w:val="clear" w:color="000000" w:fill="B6D5E4"/>
            <w:noWrap/>
            <w:tcMar>
              <w:left w:w="85" w:type="dxa"/>
            </w:tcMar>
            <w:vAlign w:val="bottom"/>
            <w:hideMark/>
          </w:tcPr>
          <w:p w14:paraId="73871D80"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A5BA6">
              <w:rPr>
                <w:rFonts w:ascii="Open Sans SemiBold" w:eastAsia="Times New Roman" w:hAnsi="Open Sans SemiBold" w:cs="Open Sans SemiBold"/>
                <w:color w:val="000000"/>
                <w:sz w:val="16"/>
                <w:szCs w:val="16"/>
                <w:lang w:eastAsia="en-AU"/>
              </w:rPr>
              <w:t>'000 hrs</w:t>
            </w:r>
          </w:p>
        </w:tc>
        <w:tc>
          <w:tcPr>
            <w:tcW w:w="700" w:type="dxa"/>
            <w:tcBorders>
              <w:top w:val="nil"/>
              <w:left w:val="nil"/>
              <w:bottom w:val="nil"/>
              <w:right w:val="nil"/>
            </w:tcBorders>
            <w:shd w:val="clear" w:color="000000" w:fill="B6D5E4"/>
            <w:noWrap/>
            <w:tcMar>
              <w:left w:w="85" w:type="dxa"/>
            </w:tcMar>
            <w:vAlign w:val="bottom"/>
            <w:hideMark/>
          </w:tcPr>
          <w:p w14:paraId="2183AF03"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A5BA6">
              <w:rPr>
                <w:rFonts w:ascii="Open Sans SemiBold" w:eastAsia="Times New Roman" w:hAnsi="Open Sans SemiBold" w:cs="Open Sans SemiBold"/>
                <w:color w:val="000000"/>
                <w:sz w:val="16"/>
                <w:szCs w:val="16"/>
                <w:lang w:eastAsia="en-AU"/>
              </w:rPr>
              <w:t>'000 hrs</w:t>
            </w:r>
          </w:p>
        </w:tc>
        <w:tc>
          <w:tcPr>
            <w:tcW w:w="700" w:type="dxa"/>
            <w:tcBorders>
              <w:top w:val="nil"/>
              <w:left w:val="nil"/>
              <w:bottom w:val="nil"/>
              <w:right w:val="nil"/>
            </w:tcBorders>
            <w:shd w:val="clear" w:color="000000" w:fill="B6D5E4"/>
            <w:noWrap/>
            <w:tcMar>
              <w:left w:w="85" w:type="dxa"/>
            </w:tcMar>
            <w:vAlign w:val="bottom"/>
            <w:hideMark/>
          </w:tcPr>
          <w:p w14:paraId="53DDD523"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A5BA6">
              <w:rPr>
                <w:rFonts w:ascii="Open Sans SemiBold" w:eastAsia="Times New Roman" w:hAnsi="Open Sans SemiBold" w:cs="Open Sans SemiBold"/>
                <w:color w:val="000000"/>
                <w:sz w:val="16"/>
                <w:szCs w:val="16"/>
                <w:lang w:eastAsia="en-AU"/>
              </w:rPr>
              <w:t>'000 hrs</w:t>
            </w:r>
          </w:p>
        </w:tc>
        <w:tc>
          <w:tcPr>
            <w:tcW w:w="700" w:type="dxa"/>
            <w:tcBorders>
              <w:top w:val="nil"/>
              <w:left w:val="nil"/>
              <w:bottom w:val="nil"/>
              <w:right w:val="nil"/>
            </w:tcBorders>
            <w:shd w:val="clear" w:color="000000" w:fill="B6D5E4"/>
            <w:noWrap/>
            <w:tcMar>
              <w:left w:w="85" w:type="dxa"/>
            </w:tcMar>
            <w:vAlign w:val="bottom"/>
            <w:hideMark/>
          </w:tcPr>
          <w:p w14:paraId="004691C3"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A5BA6">
              <w:rPr>
                <w:rFonts w:ascii="Open Sans SemiBold" w:eastAsia="Times New Roman" w:hAnsi="Open Sans SemiBold" w:cs="Open Sans SemiBold"/>
                <w:color w:val="000000"/>
                <w:sz w:val="16"/>
                <w:szCs w:val="16"/>
                <w:lang w:eastAsia="en-AU"/>
              </w:rPr>
              <w:t>'000 hrs</w:t>
            </w:r>
          </w:p>
        </w:tc>
        <w:tc>
          <w:tcPr>
            <w:tcW w:w="700" w:type="dxa"/>
            <w:tcBorders>
              <w:top w:val="nil"/>
              <w:left w:val="nil"/>
              <w:bottom w:val="nil"/>
              <w:right w:val="nil"/>
            </w:tcBorders>
            <w:shd w:val="clear" w:color="000000" w:fill="B6D5E4"/>
            <w:noWrap/>
            <w:tcMar>
              <w:left w:w="85" w:type="dxa"/>
            </w:tcMar>
            <w:vAlign w:val="bottom"/>
            <w:hideMark/>
          </w:tcPr>
          <w:p w14:paraId="2E52847D"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A5BA6">
              <w:rPr>
                <w:rFonts w:ascii="Open Sans SemiBold" w:eastAsia="Times New Roman" w:hAnsi="Open Sans SemiBold" w:cs="Open Sans SemiBold"/>
                <w:color w:val="000000"/>
                <w:sz w:val="16"/>
                <w:szCs w:val="16"/>
                <w:lang w:eastAsia="en-AU"/>
              </w:rPr>
              <w:t>'000 hrs</w:t>
            </w:r>
          </w:p>
        </w:tc>
        <w:tc>
          <w:tcPr>
            <w:tcW w:w="700" w:type="dxa"/>
            <w:tcBorders>
              <w:top w:val="nil"/>
              <w:left w:val="nil"/>
              <w:bottom w:val="nil"/>
              <w:right w:val="nil"/>
            </w:tcBorders>
            <w:shd w:val="clear" w:color="000000" w:fill="B6D5E4"/>
            <w:noWrap/>
            <w:tcMar>
              <w:left w:w="85" w:type="dxa"/>
            </w:tcMar>
            <w:vAlign w:val="bottom"/>
            <w:hideMark/>
          </w:tcPr>
          <w:p w14:paraId="2EB16E0E" w14:textId="77777777" w:rsidR="00D9434E" w:rsidRPr="005A5BA6"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A5BA6">
              <w:rPr>
                <w:rFonts w:ascii="Open Sans SemiBold" w:eastAsia="Times New Roman" w:hAnsi="Open Sans SemiBold" w:cs="Open Sans SemiBold"/>
                <w:color w:val="000000"/>
                <w:sz w:val="16"/>
                <w:szCs w:val="16"/>
                <w:lang w:eastAsia="en-AU"/>
              </w:rPr>
              <w:t>'000 hrs</w:t>
            </w:r>
          </w:p>
        </w:tc>
      </w:tr>
      <w:tr w:rsidR="00D9434E" w:rsidRPr="005A5BA6" w14:paraId="45777AF7" w14:textId="77777777" w:rsidTr="009E3578">
        <w:trPr>
          <w:trHeight w:val="315"/>
        </w:trPr>
        <w:tc>
          <w:tcPr>
            <w:tcW w:w="2608" w:type="dxa"/>
            <w:tcBorders>
              <w:top w:val="single" w:sz="4" w:space="0" w:color="DCE6F1"/>
              <w:left w:val="nil"/>
              <w:bottom w:val="single" w:sz="4" w:space="0" w:color="ADD5EA"/>
              <w:right w:val="nil"/>
            </w:tcBorders>
            <w:shd w:val="clear" w:color="000000" w:fill="FFFFFF"/>
            <w:tcMar>
              <w:left w:w="0" w:type="dxa"/>
            </w:tcMar>
            <w:vAlign w:val="bottom"/>
            <w:hideMark/>
          </w:tcPr>
          <w:p w14:paraId="5C9D50FB" w14:textId="77777777" w:rsidR="00D9434E" w:rsidRPr="005A5BA6" w:rsidRDefault="00D9434E" w:rsidP="004D65FE">
            <w:pPr>
              <w:tabs>
                <w:tab w:val="clear" w:pos="567"/>
              </w:tabs>
              <w:spacing w:before="0" w:line="240" w:lineRule="auto"/>
              <w:rPr>
                <w:rFonts w:eastAsia="Times New Roman" w:cs="Open Sans Light"/>
                <w:sz w:val="16"/>
                <w:szCs w:val="16"/>
                <w:lang w:eastAsia="en-AU"/>
              </w:rPr>
            </w:pPr>
            <w:r w:rsidRPr="005A5BA6">
              <w:rPr>
                <w:rFonts w:eastAsia="Times New Roman" w:cs="Open Sans Light"/>
                <w:sz w:val="16"/>
                <w:szCs w:val="16"/>
                <w:lang w:eastAsia="en-AU"/>
              </w:rPr>
              <w:t>Received by remote residents</w:t>
            </w:r>
          </w:p>
        </w:tc>
        <w:tc>
          <w:tcPr>
            <w:tcW w:w="700" w:type="dxa"/>
            <w:tcBorders>
              <w:top w:val="single" w:sz="4" w:space="0" w:color="DCE6F1"/>
              <w:left w:val="nil"/>
              <w:bottom w:val="single" w:sz="4" w:space="0" w:color="ADD5EA"/>
              <w:right w:val="nil"/>
            </w:tcBorders>
            <w:shd w:val="clear" w:color="000000" w:fill="FFFFFF"/>
            <w:vAlign w:val="bottom"/>
            <w:hideMark/>
          </w:tcPr>
          <w:p w14:paraId="1A389B42"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638</w:t>
            </w:r>
          </w:p>
        </w:tc>
        <w:tc>
          <w:tcPr>
            <w:tcW w:w="700" w:type="dxa"/>
            <w:tcBorders>
              <w:top w:val="single" w:sz="4" w:space="0" w:color="DCE6F1"/>
              <w:left w:val="nil"/>
              <w:bottom w:val="single" w:sz="4" w:space="0" w:color="ADD5EA"/>
              <w:right w:val="nil"/>
            </w:tcBorders>
            <w:shd w:val="clear" w:color="000000" w:fill="FFFFFF"/>
            <w:vAlign w:val="bottom"/>
            <w:hideMark/>
          </w:tcPr>
          <w:p w14:paraId="08A8DFF0"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20</w:t>
            </w:r>
          </w:p>
        </w:tc>
        <w:tc>
          <w:tcPr>
            <w:tcW w:w="700" w:type="dxa"/>
            <w:tcBorders>
              <w:top w:val="single" w:sz="4" w:space="0" w:color="DCE6F1"/>
              <w:left w:val="nil"/>
              <w:bottom w:val="single" w:sz="4" w:space="0" w:color="ADD5EA"/>
              <w:right w:val="nil"/>
            </w:tcBorders>
            <w:shd w:val="clear" w:color="000000" w:fill="FFFFFF"/>
            <w:vAlign w:val="bottom"/>
            <w:hideMark/>
          </w:tcPr>
          <w:p w14:paraId="51A3AD10"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1,801</w:t>
            </w:r>
          </w:p>
        </w:tc>
        <w:tc>
          <w:tcPr>
            <w:tcW w:w="700" w:type="dxa"/>
            <w:tcBorders>
              <w:top w:val="single" w:sz="4" w:space="0" w:color="DCE6F1"/>
              <w:left w:val="nil"/>
              <w:bottom w:val="single" w:sz="4" w:space="0" w:color="ADD5EA"/>
              <w:right w:val="nil"/>
            </w:tcBorders>
            <w:shd w:val="clear" w:color="000000" w:fill="FFFFFF"/>
            <w:vAlign w:val="bottom"/>
            <w:hideMark/>
          </w:tcPr>
          <w:p w14:paraId="0F332578"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2,613</w:t>
            </w:r>
          </w:p>
        </w:tc>
        <w:tc>
          <w:tcPr>
            <w:tcW w:w="700" w:type="dxa"/>
            <w:tcBorders>
              <w:top w:val="single" w:sz="4" w:space="0" w:color="DCE6F1"/>
              <w:left w:val="nil"/>
              <w:bottom w:val="single" w:sz="4" w:space="0" w:color="ADD5EA"/>
              <w:right w:val="nil"/>
            </w:tcBorders>
            <w:shd w:val="clear" w:color="000000" w:fill="FFFFFF"/>
            <w:vAlign w:val="bottom"/>
            <w:hideMark/>
          </w:tcPr>
          <w:p w14:paraId="38311A3A"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745</w:t>
            </w:r>
          </w:p>
        </w:tc>
        <w:tc>
          <w:tcPr>
            <w:tcW w:w="700" w:type="dxa"/>
            <w:tcBorders>
              <w:top w:val="single" w:sz="4" w:space="0" w:color="DCE6F1"/>
              <w:left w:val="nil"/>
              <w:bottom w:val="single" w:sz="4" w:space="0" w:color="ADD5EA"/>
              <w:right w:val="nil"/>
            </w:tcBorders>
            <w:shd w:val="clear" w:color="000000" w:fill="FFFFFF"/>
            <w:vAlign w:val="bottom"/>
            <w:hideMark/>
          </w:tcPr>
          <w:p w14:paraId="4EC7EE4C"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99</w:t>
            </w:r>
          </w:p>
        </w:tc>
        <w:tc>
          <w:tcPr>
            <w:tcW w:w="700" w:type="dxa"/>
            <w:tcBorders>
              <w:top w:val="single" w:sz="4" w:space="0" w:color="DCE6F1"/>
              <w:left w:val="nil"/>
              <w:bottom w:val="single" w:sz="4" w:space="0" w:color="ADD5EA"/>
              <w:right w:val="nil"/>
            </w:tcBorders>
            <w:shd w:val="clear" w:color="000000" w:fill="FFFFFF"/>
            <w:vAlign w:val="bottom"/>
            <w:hideMark/>
          </w:tcPr>
          <w:p w14:paraId="670DC188"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0</w:t>
            </w:r>
          </w:p>
        </w:tc>
        <w:tc>
          <w:tcPr>
            <w:tcW w:w="700" w:type="dxa"/>
            <w:tcBorders>
              <w:top w:val="single" w:sz="4" w:space="0" w:color="DCE6F1"/>
              <w:left w:val="nil"/>
              <w:bottom w:val="single" w:sz="4" w:space="0" w:color="ADD5EA"/>
              <w:right w:val="nil"/>
            </w:tcBorders>
            <w:shd w:val="clear" w:color="000000" w:fill="FFFFFF"/>
            <w:vAlign w:val="bottom"/>
            <w:hideMark/>
          </w:tcPr>
          <w:p w14:paraId="15C67C24"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1,978</w:t>
            </w:r>
          </w:p>
        </w:tc>
        <w:tc>
          <w:tcPr>
            <w:tcW w:w="700" w:type="dxa"/>
            <w:tcBorders>
              <w:top w:val="single" w:sz="4" w:space="0" w:color="DCE6F1"/>
              <w:left w:val="nil"/>
              <w:bottom w:val="single" w:sz="4" w:space="0" w:color="ADD5EA"/>
              <w:right w:val="nil"/>
            </w:tcBorders>
            <w:shd w:val="clear" w:color="000000" w:fill="FFFFFF"/>
            <w:vAlign w:val="bottom"/>
            <w:hideMark/>
          </w:tcPr>
          <w:p w14:paraId="7A951C9C"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7,894</w:t>
            </w:r>
          </w:p>
        </w:tc>
      </w:tr>
      <w:tr w:rsidR="00D9434E" w:rsidRPr="005A5BA6" w14:paraId="69EA13EB" w14:textId="77777777" w:rsidTr="009E3578">
        <w:trPr>
          <w:trHeight w:val="315"/>
        </w:trPr>
        <w:tc>
          <w:tcPr>
            <w:tcW w:w="2608" w:type="dxa"/>
            <w:tcBorders>
              <w:top w:val="nil"/>
              <w:left w:val="nil"/>
              <w:bottom w:val="single" w:sz="4" w:space="0" w:color="ADD5EA"/>
              <w:right w:val="nil"/>
            </w:tcBorders>
            <w:shd w:val="clear" w:color="000000" w:fill="FFFFFF"/>
            <w:tcMar>
              <w:left w:w="0" w:type="dxa"/>
            </w:tcMar>
            <w:vAlign w:val="bottom"/>
            <w:hideMark/>
          </w:tcPr>
          <w:p w14:paraId="13B53DF5" w14:textId="77777777" w:rsidR="00D9434E" w:rsidRPr="005A5BA6" w:rsidRDefault="00D9434E" w:rsidP="004D65FE">
            <w:pPr>
              <w:tabs>
                <w:tab w:val="clear" w:pos="567"/>
              </w:tabs>
              <w:spacing w:before="0" w:line="240" w:lineRule="auto"/>
              <w:rPr>
                <w:rFonts w:eastAsia="Times New Roman" w:cs="Open Sans Light"/>
                <w:sz w:val="16"/>
                <w:szCs w:val="16"/>
                <w:lang w:eastAsia="en-AU"/>
              </w:rPr>
            </w:pPr>
            <w:r w:rsidRPr="005A5BA6">
              <w:rPr>
                <w:rFonts w:eastAsia="Times New Roman" w:cs="Open Sans Light"/>
                <w:sz w:val="16"/>
                <w:szCs w:val="16"/>
                <w:lang w:eastAsia="en-AU"/>
              </w:rPr>
              <w:t>Provided in remote areas</w:t>
            </w:r>
          </w:p>
        </w:tc>
        <w:tc>
          <w:tcPr>
            <w:tcW w:w="700" w:type="dxa"/>
            <w:tcBorders>
              <w:top w:val="nil"/>
              <w:left w:val="nil"/>
              <w:bottom w:val="single" w:sz="4" w:space="0" w:color="ADD5EA"/>
              <w:right w:val="nil"/>
            </w:tcBorders>
            <w:shd w:val="clear" w:color="000000" w:fill="FFFFFF"/>
            <w:vAlign w:val="bottom"/>
            <w:hideMark/>
          </w:tcPr>
          <w:p w14:paraId="2B16ACE2"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136</w:t>
            </w:r>
          </w:p>
        </w:tc>
        <w:tc>
          <w:tcPr>
            <w:tcW w:w="700" w:type="dxa"/>
            <w:tcBorders>
              <w:top w:val="nil"/>
              <w:left w:val="nil"/>
              <w:bottom w:val="single" w:sz="4" w:space="0" w:color="ADD5EA"/>
              <w:right w:val="nil"/>
            </w:tcBorders>
            <w:shd w:val="clear" w:color="000000" w:fill="FFFFFF"/>
            <w:vAlign w:val="bottom"/>
            <w:hideMark/>
          </w:tcPr>
          <w:p w14:paraId="1FF31B84"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2</w:t>
            </w:r>
          </w:p>
        </w:tc>
        <w:tc>
          <w:tcPr>
            <w:tcW w:w="700" w:type="dxa"/>
            <w:tcBorders>
              <w:top w:val="nil"/>
              <w:left w:val="nil"/>
              <w:bottom w:val="single" w:sz="4" w:space="0" w:color="ADD5EA"/>
              <w:right w:val="nil"/>
            </w:tcBorders>
            <w:shd w:val="clear" w:color="000000" w:fill="FFFFFF"/>
            <w:vAlign w:val="bottom"/>
            <w:hideMark/>
          </w:tcPr>
          <w:p w14:paraId="4C736062"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1,322</w:t>
            </w:r>
          </w:p>
        </w:tc>
        <w:tc>
          <w:tcPr>
            <w:tcW w:w="700" w:type="dxa"/>
            <w:tcBorders>
              <w:top w:val="nil"/>
              <w:left w:val="nil"/>
              <w:bottom w:val="single" w:sz="4" w:space="0" w:color="ADD5EA"/>
              <w:right w:val="nil"/>
            </w:tcBorders>
            <w:shd w:val="clear" w:color="000000" w:fill="FFFFFF"/>
            <w:vAlign w:val="bottom"/>
            <w:hideMark/>
          </w:tcPr>
          <w:p w14:paraId="014569BF"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2,584</w:t>
            </w:r>
          </w:p>
        </w:tc>
        <w:tc>
          <w:tcPr>
            <w:tcW w:w="700" w:type="dxa"/>
            <w:tcBorders>
              <w:top w:val="nil"/>
              <w:left w:val="nil"/>
              <w:bottom w:val="single" w:sz="4" w:space="0" w:color="ADD5EA"/>
              <w:right w:val="nil"/>
            </w:tcBorders>
            <w:shd w:val="clear" w:color="000000" w:fill="FFFFFF"/>
            <w:vAlign w:val="bottom"/>
            <w:hideMark/>
          </w:tcPr>
          <w:p w14:paraId="5EF66534"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524</w:t>
            </w:r>
          </w:p>
        </w:tc>
        <w:tc>
          <w:tcPr>
            <w:tcW w:w="700" w:type="dxa"/>
            <w:tcBorders>
              <w:top w:val="nil"/>
              <w:left w:val="nil"/>
              <w:bottom w:val="single" w:sz="4" w:space="0" w:color="ADD5EA"/>
              <w:right w:val="nil"/>
            </w:tcBorders>
            <w:shd w:val="clear" w:color="000000" w:fill="FFFFFF"/>
            <w:vAlign w:val="bottom"/>
            <w:hideMark/>
          </w:tcPr>
          <w:p w14:paraId="2D956B29"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14</w:t>
            </w:r>
          </w:p>
        </w:tc>
        <w:tc>
          <w:tcPr>
            <w:tcW w:w="700" w:type="dxa"/>
            <w:tcBorders>
              <w:top w:val="nil"/>
              <w:left w:val="nil"/>
              <w:bottom w:val="single" w:sz="4" w:space="0" w:color="ADD5EA"/>
              <w:right w:val="nil"/>
            </w:tcBorders>
            <w:shd w:val="clear" w:color="000000" w:fill="FFFFFF"/>
            <w:vAlign w:val="bottom"/>
            <w:hideMark/>
          </w:tcPr>
          <w:p w14:paraId="583CDF15"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0</w:t>
            </w:r>
          </w:p>
        </w:tc>
        <w:tc>
          <w:tcPr>
            <w:tcW w:w="700" w:type="dxa"/>
            <w:tcBorders>
              <w:top w:val="nil"/>
              <w:left w:val="nil"/>
              <w:bottom w:val="single" w:sz="4" w:space="0" w:color="ADD5EA"/>
              <w:right w:val="nil"/>
            </w:tcBorders>
            <w:shd w:val="clear" w:color="000000" w:fill="FFFFFF"/>
            <w:vAlign w:val="bottom"/>
            <w:hideMark/>
          </w:tcPr>
          <w:p w14:paraId="324704A4"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1,920</w:t>
            </w:r>
          </w:p>
        </w:tc>
        <w:tc>
          <w:tcPr>
            <w:tcW w:w="700" w:type="dxa"/>
            <w:tcBorders>
              <w:top w:val="nil"/>
              <w:left w:val="nil"/>
              <w:bottom w:val="single" w:sz="4" w:space="0" w:color="ADD5EA"/>
              <w:right w:val="nil"/>
            </w:tcBorders>
            <w:shd w:val="clear" w:color="000000" w:fill="FFFFFF"/>
            <w:vAlign w:val="bottom"/>
            <w:hideMark/>
          </w:tcPr>
          <w:p w14:paraId="6989E383"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6,503</w:t>
            </w:r>
          </w:p>
        </w:tc>
      </w:tr>
      <w:tr w:rsidR="00D9434E" w:rsidRPr="005A5BA6" w14:paraId="539B59B2" w14:textId="77777777" w:rsidTr="009E3578">
        <w:trPr>
          <w:trHeight w:val="315"/>
        </w:trPr>
        <w:tc>
          <w:tcPr>
            <w:tcW w:w="2608" w:type="dxa"/>
            <w:tcBorders>
              <w:top w:val="single" w:sz="4" w:space="0" w:color="DCE6F1"/>
              <w:left w:val="nil"/>
              <w:bottom w:val="single" w:sz="4" w:space="0" w:color="ADD5EA"/>
              <w:right w:val="nil"/>
            </w:tcBorders>
            <w:shd w:val="clear" w:color="000000" w:fill="FFFFFF"/>
            <w:tcMar>
              <w:left w:w="0" w:type="dxa"/>
            </w:tcMar>
            <w:vAlign w:val="bottom"/>
            <w:hideMark/>
          </w:tcPr>
          <w:p w14:paraId="7A004A6C" w14:textId="7F980A1A" w:rsidR="00D9434E" w:rsidRPr="005A5BA6" w:rsidRDefault="00D9434E" w:rsidP="004D65FE">
            <w:pPr>
              <w:tabs>
                <w:tab w:val="clear" w:pos="567"/>
              </w:tabs>
              <w:spacing w:before="0" w:line="240" w:lineRule="auto"/>
              <w:rPr>
                <w:rFonts w:eastAsia="Times New Roman" w:cs="Open Sans Light"/>
                <w:sz w:val="16"/>
                <w:szCs w:val="16"/>
                <w:lang w:eastAsia="en-AU"/>
              </w:rPr>
            </w:pPr>
            <w:r w:rsidRPr="005A5BA6">
              <w:rPr>
                <w:rFonts w:eastAsia="Times New Roman" w:cs="Open Sans Light"/>
                <w:sz w:val="16"/>
                <w:szCs w:val="16"/>
                <w:lang w:eastAsia="en-AU"/>
              </w:rPr>
              <w:t>Ratio</w:t>
            </w:r>
            <w:r w:rsidR="009E3578">
              <w:rPr>
                <w:rFonts w:eastAsia="Times New Roman" w:cs="Open Sans Light"/>
                <w:sz w:val="16"/>
                <w:szCs w:val="16"/>
                <w:lang w:eastAsia="en-AU"/>
              </w:rPr>
              <w:t xml:space="preserve"> (%)</w:t>
            </w:r>
          </w:p>
        </w:tc>
        <w:tc>
          <w:tcPr>
            <w:tcW w:w="700" w:type="dxa"/>
            <w:tcBorders>
              <w:top w:val="single" w:sz="4" w:space="0" w:color="DCE6F1"/>
              <w:left w:val="nil"/>
              <w:bottom w:val="single" w:sz="4" w:space="0" w:color="ADD5EA"/>
              <w:right w:val="nil"/>
            </w:tcBorders>
            <w:shd w:val="clear" w:color="000000" w:fill="FFFFFF"/>
            <w:vAlign w:val="bottom"/>
            <w:hideMark/>
          </w:tcPr>
          <w:p w14:paraId="783400CD"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21</w:t>
            </w:r>
          </w:p>
        </w:tc>
        <w:tc>
          <w:tcPr>
            <w:tcW w:w="700" w:type="dxa"/>
            <w:tcBorders>
              <w:top w:val="single" w:sz="4" w:space="0" w:color="DCE6F1"/>
              <w:left w:val="nil"/>
              <w:bottom w:val="single" w:sz="4" w:space="0" w:color="ADD5EA"/>
              <w:right w:val="nil"/>
            </w:tcBorders>
            <w:shd w:val="clear" w:color="000000" w:fill="FFFFFF"/>
            <w:vAlign w:val="bottom"/>
            <w:hideMark/>
          </w:tcPr>
          <w:p w14:paraId="7E0FA424"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11</w:t>
            </w:r>
          </w:p>
        </w:tc>
        <w:tc>
          <w:tcPr>
            <w:tcW w:w="700" w:type="dxa"/>
            <w:tcBorders>
              <w:top w:val="single" w:sz="4" w:space="0" w:color="DCE6F1"/>
              <w:left w:val="nil"/>
              <w:bottom w:val="single" w:sz="4" w:space="0" w:color="ADD5EA"/>
              <w:right w:val="nil"/>
            </w:tcBorders>
            <w:shd w:val="clear" w:color="000000" w:fill="FFFFFF"/>
            <w:vAlign w:val="bottom"/>
            <w:hideMark/>
          </w:tcPr>
          <w:p w14:paraId="3918FA08"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73</w:t>
            </w:r>
          </w:p>
        </w:tc>
        <w:tc>
          <w:tcPr>
            <w:tcW w:w="700" w:type="dxa"/>
            <w:tcBorders>
              <w:top w:val="single" w:sz="4" w:space="0" w:color="DCE6F1"/>
              <w:left w:val="nil"/>
              <w:bottom w:val="single" w:sz="4" w:space="0" w:color="ADD5EA"/>
              <w:right w:val="nil"/>
            </w:tcBorders>
            <w:shd w:val="clear" w:color="000000" w:fill="FFFFFF"/>
            <w:vAlign w:val="bottom"/>
            <w:hideMark/>
          </w:tcPr>
          <w:p w14:paraId="0E3CCF9D"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99</w:t>
            </w:r>
          </w:p>
        </w:tc>
        <w:tc>
          <w:tcPr>
            <w:tcW w:w="700" w:type="dxa"/>
            <w:tcBorders>
              <w:top w:val="single" w:sz="4" w:space="0" w:color="DCE6F1"/>
              <w:left w:val="nil"/>
              <w:bottom w:val="single" w:sz="4" w:space="0" w:color="ADD5EA"/>
              <w:right w:val="nil"/>
            </w:tcBorders>
            <w:shd w:val="clear" w:color="000000" w:fill="FFFFFF"/>
            <w:vAlign w:val="bottom"/>
            <w:hideMark/>
          </w:tcPr>
          <w:p w14:paraId="4DF5712F"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70</w:t>
            </w:r>
          </w:p>
        </w:tc>
        <w:tc>
          <w:tcPr>
            <w:tcW w:w="700" w:type="dxa"/>
            <w:tcBorders>
              <w:top w:val="single" w:sz="4" w:space="0" w:color="DCE6F1"/>
              <w:left w:val="nil"/>
              <w:bottom w:val="single" w:sz="4" w:space="0" w:color="ADD5EA"/>
              <w:right w:val="nil"/>
            </w:tcBorders>
            <w:shd w:val="clear" w:color="000000" w:fill="FFFFFF"/>
            <w:vAlign w:val="bottom"/>
            <w:hideMark/>
          </w:tcPr>
          <w:p w14:paraId="5C03E5EC"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14</w:t>
            </w:r>
          </w:p>
        </w:tc>
        <w:tc>
          <w:tcPr>
            <w:tcW w:w="700" w:type="dxa"/>
            <w:tcBorders>
              <w:top w:val="single" w:sz="4" w:space="0" w:color="DCE6F1"/>
              <w:left w:val="nil"/>
              <w:bottom w:val="single" w:sz="4" w:space="0" w:color="ADD5EA"/>
              <w:right w:val="nil"/>
            </w:tcBorders>
            <w:shd w:val="clear" w:color="000000" w:fill="FFFFFF"/>
            <w:vAlign w:val="bottom"/>
            <w:hideMark/>
          </w:tcPr>
          <w:p w14:paraId="1C988460"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w:t>
            </w:r>
          </w:p>
        </w:tc>
        <w:tc>
          <w:tcPr>
            <w:tcW w:w="700" w:type="dxa"/>
            <w:tcBorders>
              <w:top w:val="single" w:sz="4" w:space="0" w:color="DCE6F1"/>
              <w:left w:val="nil"/>
              <w:bottom w:val="single" w:sz="4" w:space="0" w:color="ADD5EA"/>
              <w:right w:val="nil"/>
            </w:tcBorders>
            <w:shd w:val="clear" w:color="000000" w:fill="FFFFFF"/>
            <w:vAlign w:val="bottom"/>
            <w:hideMark/>
          </w:tcPr>
          <w:p w14:paraId="221B1119"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97</w:t>
            </w:r>
          </w:p>
        </w:tc>
        <w:tc>
          <w:tcPr>
            <w:tcW w:w="700" w:type="dxa"/>
            <w:tcBorders>
              <w:top w:val="single" w:sz="4" w:space="0" w:color="DCE6F1"/>
              <w:left w:val="nil"/>
              <w:bottom w:val="single" w:sz="4" w:space="0" w:color="ADD5EA"/>
              <w:right w:val="nil"/>
            </w:tcBorders>
            <w:shd w:val="clear" w:color="000000" w:fill="FFFFFF"/>
            <w:vAlign w:val="bottom"/>
            <w:hideMark/>
          </w:tcPr>
          <w:p w14:paraId="036BA4BB" w14:textId="77777777" w:rsidR="00D9434E" w:rsidRPr="005A5BA6" w:rsidRDefault="00D9434E" w:rsidP="004D65FE">
            <w:pPr>
              <w:tabs>
                <w:tab w:val="clear" w:pos="567"/>
              </w:tabs>
              <w:spacing w:before="0" w:line="240" w:lineRule="auto"/>
              <w:jc w:val="right"/>
              <w:rPr>
                <w:rFonts w:eastAsia="Times New Roman" w:cs="Open Sans Light"/>
                <w:sz w:val="16"/>
                <w:szCs w:val="16"/>
                <w:lang w:eastAsia="en-AU"/>
              </w:rPr>
            </w:pPr>
            <w:r w:rsidRPr="005A5BA6">
              <w:rPr>
                <w:rFonts w:eastAsia="Times New Roman" w:cs="Open Sans Light"/>
                <w:sz w:val="16"/>
                <w:szCs w:val="16"/>
                <w:lang w:eastAsia="en-AU"/>
              </w:rPr>
              <w:t>82</w:t>
            </w:r>
          </w:p>
        </w:tc>
      </w:tr>
    </w:tbl>
    <w:p w14:paraId="09CCF19C" w14:textId="77777777" w:rsidR="00D9434E" w:rsidRDefault="00D9434E" w:rsidP="00D9434E">
      <w:pPr>
        <w:pStyle w:val="CGCTablenote"/>
      </w:pPr>
      <w:r>
        <w:t xml:space="preserve">Source: </w:t>
      </w:r>
      <w:r>
        <w:tab/>
        <w:t>National Centre for Vocational Education Research (NCVER).</w:t>
      </w:r>
    </w:p>
    <w:p w14:paraId="165DAF63" w14:textId="77777777" w:rsidR="00D9434E" w:rsidRDefault="00D9434E" w:rsidP="00F47EC7">
      <w:pPr>
        <w:pStyle w:val="CGCParaNumber"/>
      </w:pPr>
      <w:r>
        <w:t xml:space="preserve">This difference could reflect that some remote areas are serviced by non-remote towns to varying degrees in different States, or that the remote populations of Western Australia are not as near to non-remote towns, or that, particularly for Indigenous populations, the take up of services is contingent on them being provided close to home. Alternatively, it could reflect differences in policy choice about where to provide vocational education and training. </w:t>
      </w:r>
    </w:p>
    <w:p w14:paraId="231E27E8" w14:textId="77777777" w:rsidR="00D9434E" w:rsidRDefault="00D9434E" w:rsidP="00F47EC7">
      <w:pPr>
        <w:pStyle w:val="CGCParaNumber"/>
      </w:pPr>
      <w:r>
        <w:t xml:space="preserve">If the State populations were adjusted to reflect these actual service delivery proportions, there would be two counteracting effects. The proportion of people (and hence costs) assessed to warrant the higher remote cost weight would be reduced, but the proportion of those costs attributed to Western Australia and the Northern Territory would be increased. An adjustment would have a very small effect (around $1 per capita) on the assessed fiscal capacities, and so has not been made. </w:t>
      </w:r>
    </w:p>
    <w:p w14:paraId="56EDB8EF" w14:textId="77777777" w:rsidR="00D9434E" w:rsidRDefault="00D9434E" w:rsidP="00F47EC7">
      <w:pPr>
        <w:pStyle w:val="CGCParaNumber"/>
      </w:pPr>
      <w:r w:rsidRPr="00897D83">
        <w:rPr>
          <w:rStyle w:val="Heading6Char"/>
        </w:rPr>
        <w:t>Courts.</w:t>
      </w:r>
      <w:r>
        <w:t xml:space="preserve"> </w:t>
      </w:r>
      <w:r w:rsidRPr="00C612E3">
        <w:t>Data on the extent to which people travel from more remote locations to more accessible towns to attend court, along with State provided data on the costs of providing court services, has informed the Commission’s judgement on the appropriate regional cost weights to apply to courts. This assessment is described in Chapter 19 Justice.</w:t>
      </w:r>
      <w:r w:rsidRPr="004C377A">
        <w:t xml:space="preserve"> </w:t>
      </w:r>
      <w:bookmarkEnd w:id="546"/>
    </w:p>
    <w:p w14:paraId="78DC97DD" w14:textId="77777777" w:rsidR="00D9434E" w:rsidRDefault="00D9434E" w:rsidP="00F47EC7">
      <w:pPr>
        <w:pStyle w:val="CGCParaNumber"/>
      </w:pPr>
      <w:r w:rsidRPr="00CC7DD6">
        <w:rPr>
          <w:rStyle w:val="Heading6Char"/>
        </w:rPr>
        <w:t xml:space="preserve">Prisons. </w:t>
      </w:r>
      <w:r w:rsidRPr="00CC7DD6">
        <w:t xml:space="preserve">While States have a high degree of policy control over where to place prisons, they appear to have an average policy of distributing prisons across </w:t>
      </w:r>
      <w:r>
        <w:t>regions</w:t>
      </w:r>
      <w:r w:rsidRPr="00CC7DD6">
        <w:t>. States with large</w:t>
      </w:r>
      <w:r>
        <w:t>r</w:t>
      </w:r>
      <w:r w:rsidRPr="00CC7DD6">
        <w:t xml:space="preserve"> remote populations tend to have more remote prisons. However, the extent of providing remote prisons for prisoners from remote areas is much less significant than in other services. State provided data have been used by the Commission to inform its judgement on the appropriate regional cost weights to apply to the prison component.</w:t>
      </w:r>
      <w:r w:rsidRPr="00C612E3">
        <w:t xml:space="preserve"> This assessment is described in Chapter 19 Justice.</w:t>
      </w:r>
    </w:p>
    <w:p w14:paraId="41BB00D5" w14:textId="77777777" w:rsidR="00D9434E" w:rsidRPr="001303AD" w:rsidRDefault="00D9434E" w:rsidP="00D9434E">
      <w:pPr>
        <w:pStyle w:val="Heading4"/>
      </w:pPr>
      <w:bookmarkStart w:id="552" w:name="_Toc23243215"/>
      <w:bookmarkStart w:id="553" w:name="_Toc27727762"/>
      <w:r>
        <w:t>Assessment approach and data</w:t>
      </w:r>
      <w:bookmarkEnd w:id="552"/>
      <w:bookmarkEnd w:id="553"/>
    </w:p>
    <w:p w14:paraId="3E1BB57C" w14:textId="77777777" w:rsidR="00D9434E" w:rsidRDefault="00D9434E" w:rsidP="00F47EC7">
      <w:pPr>
        <w:pStyle w:val="CGCParaNumber"/>
      </w:pPr>
      <w:r>
        <w:t xml:space="preserve">In the 2015 Review, the Commission measured the effect of remoteness on costs in a small number of categories, and extrapolated a general regional cost gradient (calculated as the average cost gradient of schools and police) to other categories where a conceptual case was considered to exist. In this review, the Commission attempted to gather data to measure directly the effect of remoteness on costs in a wider range of categories. However, it has not been able to measure directly the influence in all categories where a conceptual case exists. For these assessments, a general regional cost gradient is applied, which is calculated </w:t>
      </w:r>
      <w:r w:rsidRPr="00280916">
        <w:t xml:space="preserve">as the </w:t>
      </w:r>
      <w:r w:rsidRPr="00280916">
        <w:lastRenderedPageBreak/>
        <w:t>simple average of schools and admitted patient costs</w:t>
      </w:r>
      <w:r>
        <w:t>.</w:t>
      </w:r>
      <w:r>
        <w:rPr>
          <w:rStyle w:val="FootnoteReference"/>
        </w:rPr>
        <w:footnoteReference w:id="127"/>
      </w:r>
      <w:r>
        <w:t xml:space="preserve"> The relevant category chapters discuss the conceptual case and the methods for measuring regional costs and SDS. A summary is provided below. </w:t>
      </w:r>
    </w:p>
    <w:p w14:paraId="480E222D" w14:textId="77777777" w:rsidR="00D9434E" w:rsidRPr="00A11F99" w:rsidRDefault="00D9434E" w:rsidP="00D9434E">
      <w:pPr>
        <w:pStyle w:val="CGCBullet1"/>
      </w:pPr>
      <w:r w:rsidRPr="00AD1D59">
        <w:rPr>
          <w:b/>
        </w:rPr>
        <w:t>Schools</w:t>
      </w:r>
      <w:r>
        <w:t>: Regional costs and SDS are derived from the econometric model of State funding of government schools.</w:t>
      </w:r>
      <w:r w:rsidRPr="00CC1AE3">
        <w:t xml:space="preserve"> </w:t>
      </w:r>
      <w:r w:rsidRPr="00A11F99">
        <w:t xml:space="preserve">The </w:t>
      </w:r>
      <w:r>
        <w:t>s</w:t>
      </w:r>
      <w:r w:rsidRPr="00A11F99">
        <w:t xml:space="preserve">chooling resource standard provided by the </w:t>
      </w:r>
      <w:r>
        <w:t xml:space="preserve">Commonwealth </w:t>
      </w:r>
      <w:r w:rsidRPr="00A11F99">
        <w:t>Department of Education</w:t>
      </w:r>
      <w:r>
        <w:t>, Skills and Employment,</w:t>
      </w:r>
      <w:r w:rsidRPr="00A11F99">
        <w:t xml:space="preserve"> </w:t>
      </w:r>
      <w:r>
        <w:t xml:space="preserve">which drives the assessment of the Commonwealth funding of government schools, </w:t>
      </w:r>
      <w:r w:rsidRPr="00A11F99">
        <w:t xml:space="preserve">incorporates regional costs and </w:t>
      </w:r>
      <w:r>
        <w:t>SDS</w:t>
      </w:r>
      <w:r w:rsidRPr="00A11F99">
        <w:t xml:space="preserve">, but these </w:t>
      </w:r>
      <w:r>
        <w:t xml:space="preserve">effects are not </w:t>
      </w:r>
      <w:r w:rsidRPr="00A11F99">
        <w:t>separately identified.</w:t>
      </w:r>
    </w:p>
    <w:p w14:paraId="6141E0CD" w14:textId="77777777" w:rsidR="00D9434E" w:rsidRPr="00A11F99" w:rsidRDefault="00D9434E" w:rsidP="00D9434E">
      <w:pPr>
        <w:pStyle w:val="CGCBullet1"/>
      </w:pPr>
      <w:r w:rsidRPr="00A11F99">
        <w:rPr>
          <w:b/>
        </w:rPr>
        <w:t>Post-secondary education</w:t>
      </w:r>
      <w:r w:rsidRPr="00A11F99">
        <w:t xml:space="preserve">: State data on loadings for regional influences gives a direct measure of both regional costs and </w:t>
      </w:r>
      <w:r>
        <w:t>SDS</w:t>
      </w:r>
      <w:r w:rsidRPr="00A11F99">
        <w:t>.</w:t>
      </w:r>
    </w:p>
    <w:p w14:paraId="375A0B1D" w14:textId="77777777" w:rsidR="00D9434E" w:rsidRPr="004C377A" w:rsidRDefault="00D9434E" w:rsidP="00D9434E">
      <w:pPr>
        <w:pStyle w:val="CGCBullet1"/>
      </w:pPr>
      <w:r w:rsidRPr="00A11F99">
        <w:rPr>
          <w:b/>
        </w:rPr>
        <w:t xml:space="preserve">Health: </w:t>
      </w:r>
      <w:r w:rsidRPr="00A11F99">
        <w:t>I</w:t>
      </w:r>
      <w:r>
        <w:t>ndependent Hospital Pricing Authority (I</w:t>
      </w:r>
      <w:r w:rsidRPr="00A11F99">
        <w:t>HPA</w:t>
      </w:r>
      <w:r>
        <w:t>)</w:t>
      </w:r>
      <w:r w:rsidRPr="00A11F99">
        <w:t xml:space="preserve"> data on hospital costs include a</w:t>
      </w:r>
      <w:r>
        <w:t xml:space="preserve">n adjustment in recognition that, for a comparable patient diagnosis and treatment, services in remote areas tend to be more expensive. In addition to this, funding for </w:t>
      </w:r>
      <w:r w:rsidRPr="00A11F99">
        <w:t>block funded hosp</w:t>
      </w:r>
      <w:r>
        <w:t>i</w:t>
      </w:r>
      <w:r w:rsidRPr="00A11F99">
        <w:t xml:space="preserve">tals </w:t>
      </w:r>
      <w:r>
        <w:t xml:space="preserve">can be used to </w:t>
      </w:r>
      <w:r w:rsidRPr="00A11F99">
        <w:t xml:space="preserve">capture the </w:t>
      </w:r>
      <w:r>
        <w:t>SDS</w:t>
      </w:r>
      <w:r w:rsidRPr="00A11F99">
        <w:t xml:space="preserve"> effect in hospitals. IHPA data</w:t>
      </w:r>
      <w:r>
        <w:t xml:space="preserve"> on regional cost effects for admitted patients and emergency </w:t>
      </w:r>
      <w:r w:rsidRPr="004C377A">
        <w:t>departments are used as a proxy indicator for non-admitted patients and community and other health</w:t>
      </w:r>
      <w:r>
        <w:t>,</w:t>
      </w:r>
      <w:r w:rsidRPr="004C377A">
        <w:t xml:space="preserve"> respectively.</w:t>
      </w:r>
    </w:p>
    <w:p w14:paraId="14692DEE" w14:textId="77777777" w:rsidR="00D9434E" w:rsidRPr="004C377A" w:rsidRDefault="00D9434E" w:rsidP="00D9434E">
      <w:pPr>
        <w:pStyle w:val="CGCBullet1"/>
      </w:pPr>
      <w:r w:rsidRPr="004C377A">
        <w:rPr>
          <w:b/>
        </w:rPr>
        <w:t>Housing</w:t>
      </w:r>
      <w:r w:rsidRPr="004C377A">
        <w:t xml:space="preserve">: While States have provided data to capture the costs of public housing by region, these data are not consistent or reliable enough to use to construct a cost gradient. Instead, the general gradient has been applied to housing, as the most reliable measure available. </w:t>
      </w:r>
    </w:p>
    <w:p w14:paraId="2213C77F" w14:textId="268627BF" w:rsidR="00D9434E" w:rsidRPr="004C377A" w:rsidRDefault="00D9434E" w:rsidP="00D9434E">
      <w:pPr>
        <w:pStyle w:val="CGCBullet1"/>
      </w:pPr>
      <w:r w:rsidRPr="004C377A">
        <w:rPr>
          <w:b/>
        </w:rPr>
        <w:t>Welfare</w:t>
      </w:r>
      <w:r w:rsidRPr="004C377A">
        <w:t>: The provision of some welfare</w:t>
      </w:r>
      <w:r>
        <w:t xml:space="preserve"> services</w:t>
      </w:r>
      <w:r w:rsidRPr="004C377A">
        <w:t xml:space="preserve">, such as child protection, is likely to be more expensive in more remote areas. However, as child welfare officers are likely to be somewhat centralised and cover a broad area, it is unlikely that States would have data that would enable costs to be reliably allocated to different regions. </w:t>
      </w:r>
      <w:r>
        <w:t xml:space="preserve">The child protection assessment uses the general combined gradient to measure regional cost and SDS influences. </w:t>
      </w:r>
      <w:r w:rsidRPr="004C377A">
        <w:t xml:space="preserve">The general </w:t>
      </w:r>
      <w:r>
        <w:t xml:space="preserve">regional costs </w:t>
      </w:r>
      <w:r w:rsidRPr="004C377A">
        <w:t>gradient is applied to other welfare expenses.</w:t>
      </w:r>
      <w:r>
        <w:t xml:space="preserve"> T</w:t>
      </w:r>
      <w:r w:rsidRPr="004C377A">
        <w:t>he Commission considers that there is no conceptual case for regional costs affecting N</w:t>
      </w:r>
      <w:r>
        <w:t xml:space="preserve">ational Disability Insurance Scheme </w:t>
      </w:r>
      <w:r w:rsidR="00740CF9">
        <w:t xml:space="preserve">(NDIS) </w:t>
      </w:r>
      <w:r w:rsidRPr="004C377A">
        <w:t>or concessions.</w:t>
      </w:r>
    </w:p>
    <w:p w14:paraId="6BD92A47" w14:textId="77777777" w:rsidR="00D9434E" w:rsidRPr="004C377A" w:rsidRDefault="00D9434E" w:rsidP="00D9434E">
      <w:pPr>
        <w:pStyle w:val="CGCBullet1"/>
      </w:pPr>
      <w:r w:rsidRPr="004C377A">
        <w:rPr>
          <w:b/>
        </w:rPr>
        <w:t>Services to communities</w:t>
      </w:r>
      <w:r w:rsidRPr="004C377A">
        <w:t xml:space="preserve">: Subsidies paid for electricity are only assessed in remote areas. The costs of these services is 3.5 times higher in very remote areas than in remote areas. On average, communities in very remote areas are smaller than those in remote areas, so </w:t>
      </w:r>
      <w:r>
        <w:t>SDS-</w:t>
      </w:r>
      <w:r w:rsidRPr="004C377A">
        <w:t xml:space="preserve">type effects contribute to the higher cost of subsidies in very remote areas. There is evidence for a combined regional costs and SDS gradient to apply to water subsidies, but only three States provided the required data. The Commission has used data from these States along with estimates for the other two relevant States to derive a combined gradient. Other Services to communities components are also likely to be more expensive in more remote locations, but data are not available to quantify the effect. Therefore, </w:t>
      </w:r>
      <w:r>
        <w:t>the</w:t>
      </w:r>
      <w:r w:rsidRPr="004C377A">
        <w:t xml:space="preserve"> general gradient has been applied in these components. </w:t>
      </w:r>
    </w:p>
    <w:p w14:paraId="0537C927" w14:textId="77777777" w:rsidR="00D9434E" w:rsidRPr="00A11F99" w:rsidRDefault="00D9434E" w:rsidP="00D9434E">
      <w:pPr>
        <w:pStyle w:val="CGCBullet1"/>
      </w:pPr>
      <w:r w:rsidRPr="004C377A">
        <w:rPr>
          <w:b/>
        </w:rPr>
        <w:t>Justice</w:t>
      </w:r>
      <w:r w:rsidRPr="004C377A">
        <w:t>: The police assessment incorporates the influence of regional costs and SDS. However, unlike the 2015 Review approach, these influences cannot be separately identified, and so cannot</w:t>
      </w:r>
      <w:r w:rsidRPr="00A11F99">
        <w:t xml:space="preserve"> be used as part of the general </w:t>
      </w:r>
      <w:r>
        <w:t xml:space="preserve">regional costs </w:t>
      </w:r>
      <w:r w:rsidRPr="00A11F99">
        <w:t xml:space="preserve">gradient. </w:t>
      </w:r>
      <w:r>
        <w:t xml:space="preserve">In addition, increasing costs for policing in increasingly remote areas also capture the </w:t>
      </w:r>
      <w:r>
        <w:lastRenderedPageBreak/>
        <w:t xml:space="preserve">additional tasks undertaken by police in these areas, compared to less remote areas. State data on the costs of courts and prisons have been used to inform a measure of regional cost effects in those components. </w:t>
      </w:r>
    </w:p>
    <w:p w14:paraId="482C8B40" w14:textId="77777777" w:rsidR="00D9434E" w:rsidRPr="004C377A" w:rsidRDefault="00D9434E" w:rsidP="00D9434E">
      <w:pPr>
        <w:pStyle w:val="CGCBullet1"/>
      </w:pPr>
      <w:r w:rsidRPr="00243B0A">
        <w:rPr>
          <w:b/>
        </w:rPr>
        <w:t>Roads</w:t>
      </w:r>
      <w:r w:rsidRPr="00243B0A">
        <w:t xml:space="preserve">: The sourcing of road construction and maintenance quarry materials is unlikely to have any relationship to remoteness. However, distances are generally greater for the </w:t>
      </w:r>
      <w:r w:rsidRPr="004C377A">
        <w:t xml:space="preserve">transport of plant, equipment and materials in more remote areas. A regional cost gradient cannot be readily measured, but the conceptual case for one is valid. As such, the Commission has retained the </w:t>
      </w:r>
      <w:r w:rsidRPr="00A8779C">
        <w:t xml:space="preserve">application of a general gradient to rural roads. </w:t>
      </w:r>
    </w:p>
    <w:p w14:paraId="6FE6E4EC" w14:textId="77777777" w:rsidR="00D9434E" w:rsidRPr="004C377A" w:rsidRDefault="00D9434E" w:rsidP="00D9434E">
      <w:pPr>
        <w:pStyle w:val="CGCBullet1"/>
      </w:pPr>
      <w:r w:rsidRPr="004C377A">
        <w:rPr>
          <w:b/>
        </w:rPr>
        <w:t>Services to industry</w:t>
      </w:r>
      <w:r w:rsidRPr="004C377A">
        <w:t xml:space="preserve">: Business development is primarily supported through grants, which are not affected by remoteness. Regional cost differences are likely to have some influence on the cost of regulation, and the general gradient is applied. </w:t>
      </w:r>
    </w:p>
    <w:p w14:paraId="07E9274D" w14:textId="77777777" w:rsidR="00D9434E" w:rsidRPr="00A11F99" w:rsidRDefault="00D9434E" w:rsidP="00D9434E">
      <w:pPr>
        <w:pStyle w:val="CGCBullet1"/>
      </w:pPr>
      <w:r w:rsidRPr="004C377A">
        <w:rPr>
          <w:b/>
        </w:rPr>
        <w:t>Other expenses</w:t>
      </w:r>
      <w:r w:rsidRPr="004C377A">
        <w:t>: There are a diverse range</w:t>
      </w:r>
      <w:r>
        <w:t xml:space="preserve"> of functions within the other expenses category. Some functions, such as central agency functions and public debt transactions, are largely unaffected by regional costs. For other functions, such as fire protection services and cultural and recreational services, service delivery is likely to be more expensive in more remote areas. In total, the Commission applies the general regional cost gradient to </w:t>
      </w:r>
      <w:r w:rsidRPr="00582CB2">
        <w:t>5</w:t>
      </w:r>
      <w:r>
        <w:t>0</w:t>
      </w:r>
      <w:r w:rsidRPr="00582CB2">
        <w:t>%</w:t>
      </w:r>
      <w:r>
        <w:t xml:space="preserve"> of the other services component.</w:t>
      </w:r>
      <w:r w:rsidRPr="00A11F99">
        <w:t xml:space="preserve"> </w:t>
      </w:r>
      <w:r>
        <w:t>Regional costs are not applied to natural disaster relief, administrative scale or the other components of this category.</w:t>
      </w:r>
    </w:p>
    <w:p w14:paraId="1695684D" w14:textId="77777777" w:rsidR="00D9434E" w:rsidRPr="00A11F99" w:rsidRDefault="00D9434E" w:rsidP="00F47EC7">
      <w:pPr>
        <w:pStyle w:val="CGCParaNumber"/>
      </w:pPr>
      <w:r w:rsidRPr="00A11F99">
        <w:t xml:space="preserve">In the 2020 </w:t>
      </w:r>
      <w:r>
        <w:t>R</w:t>
      </w:r>
      <w:r w:rsidRPr="00A11F99">
        <w:t xml:space="preserve">eview, regional costs and </w:t>
      </w:r>
      <w:r>
        <w:t>SDS are</w:t>
      </w:r>
      <w:r w:rsidRPr="00A11F99">
        <w:t xml:space="preserve"> </w:t>
      </w:r>
      <w:r>
        <w:t xml:space="preserve">separately identified and </w:t>
      </w:r>
      <w:r w:rsidRPr="00A11F99">
        <w:t>measured in</w:t>
      </w:r>
      <w:r>
        <w:t xml:space="preserve"> the following expense categories (components)</w:t>
      </w:r>
      <w:r w:rsidRPr="00A11F99">
        <w:t>:</w:t>
      </w:r>
    </w:p>
    <w:p w14:paraId="7CCF15B4" w14:textId="77777777" w:rsidR="00D9434E" w:rsidRPr="00A11F99" w:rsidRDefault="00D9434E" w:rsidP="00D9434E">
      <w:pPr>
        <w:pStyle w:val="CGCBullet1"/>
      </w:pPr>
      <w:r>
        <w:t>S</w:t>
      </w:r>
      <w:r w:rsidRPr="00A11F99">
        <w:t xml:space="preserve">chools </w:t>
      </w:r>
    </w:p>
    <w:p w14:paraId="2F80A263" w14:textId="77777777" w:rsidR="00D9434E" w:rsidRDefault="00D9434E" w:rsidP="00D9434E">
      <w:pPr>
        <w:pStyle w:val="CGCBullet1"/>
      </w:pPr>
      <w:r>
        <w:t>Post-secondary education</w:t>
      </w:r>
    </w:p>
    <w:p w14:paraId="74E27D83" w14:textId="77777777" w:rsidR="00D9434E" w:rsidRDefault="00D9434E" w:rsidP="00D9434E">
      <w:pPr>
        <w:pStyle w:val="CGCBullet1"/>
      </w:pPr>
      <w:r>
        <w:t>Health (admitted patients and emergency departments)</w:t>
      </w:r>
    </w:p>
    <w:p w14:paraId="2FF60AB8" w14:textId="77777777" w:rsidR="00D9434E" w:rsidRDefault="00D9434E" w:rsidP="00D9434E">
      <w:pPr>
        <w:pStyle w:val="CGCBullet1"/>
      </w:pPr>
      <w:r>
        <w:t>Justice (courts and prisons)</w:t>
      </w:r>
    </w:p>
    <w:p w14:paraId="0D05FFB3" w14:textId="77777777" w:rsidR="00D9434E" w:rsidRDefault="00D9434E" w:rsidP="00D9434E">
      <w:pPr>
        <w:pStyle w:val="CGCBullet1"/>
      </w:pPr>
      <w:r>
        <w:t xml:space="preserve">Services to communities (electricity subsidies and water subsidies). </w:t>
      </w:r>
    </w:p>
    <w:p w14:paraId="3A2F3B1D" w14:textId="215DD009" w:rsidR="00D9434E" w:rsidRDefault="00D9434E" w:rsidP="00F47EC7">
      <w:pPr>
        <w:pStyle w:val="CGCParaNumber"/>
      </w:pPr>
      <w:r>
        <w:t xml:space="preserve">The regional costs and SDS gradients for these categories are shown in </w:t>
      </w:r>
      <w:r>
        <w:fldChar w:fldCharType="begin"/>
      </w:r>
      <w:r>
        <w:instrText xml:space="preserve"> REF _Ref7534841 \h </w:instrText>
      </w:r>
      <w:r>
        <w:fldChar w:fldCharType="separate"/>
      </w:r>
      <w:r w:rsidR="007F721A" w:rsidRPr="00135796">
        <w:t xml:space="preserve">Table </w:t>
      </w:r>
      <w:r w:rsidR="007F721A">
        <w:t>28-</w:t>
      </w:r>
      <w:r w:rsidR="007F721A">
        <w:rPr>
          <w:noProof/>
        </w:rPr>
        <w:t>3</w:t>
      </w:r>
      <w:r>
        <w:fldChar w:fldCharType="end"/>
      </w:r>
      <w:r>
        <w:t xml:space="preserve">. </w:t>
      </w:r>
    </w:p>
    <w:p w14:paraId="40FB8D25" w14:textId="77777777" w:rsidR="00D9434E" w:rsidRDefault="00D9434E" w:rsidP="00D9434E">
      <w:pPr>
        <w:tabs>
          <w:tab w:val="clear" w:pos="567"/>
        </w:tabs>
        <w:spacing w:after="200" w:line="276" w:lineRule="auto"/>
        <w:rPr>
          <w:szCs w:val="24"/>
        </w:rPr>
      </w:pPr>
      <w:r>
        <w:br w:type="page"/>
      </w:r>
    </w:p>
    <w:p w14:paraId="0D629478" w14:textId="4030C34E" w:rsidR="00D9434E" w:rsidRDefault="00D9434E" w:rsidP="00D9434E">
      <w:pPr>
        <w:pStyle w:val="Caption"/>
      </w:pPr>
      <w:bookmarkStart w:id="554" w:name="_Ref532374960"/>
      <w:bookmarkStart w:id="555" w:name="_Ref7534841"/>
      <w:bookmarkStart w:id="556" w:name="_Ref9335590"/>
      <w:r w:rsidRPr="00135796">
        <w:lastRenderedPageBreak/>
        <w:t xml:space="preserve">Table </w:t>
      </w:r>
      <w:r>
        <w:t>28-</w:t>
      </w:r>
      <w:fldSimple w:instr=" SEQ Table \* ARABIC ">
        <w:r w:rsidR="007F721A">
          <w:rPr>
            <w:noProof/>
          </w:rPr>
          <w:t>3</w:t>
        </w:r>
      </w:fldSimple>
      <w:bookmarkEnd w:id="554"/>
      <w:bookmarkEnd w:id="555"/>
      <w:bookmarkEnd w:id="556"/>
      <w:r w:rsidRPr="00135796">
        <w:tab/>
        <w:t xml:space="preserve">Regional cost and </w:t>
      </w:r>
      <w:r>
        <w:t>SDS</w:t>
      </w:r>
      <w:r w:rsidRPr="00135796">
        <w:t xml:space="preserve"> </w:t>
      </w:r>
      <w:r>
        <w:t>cost gradients</w:t>
      </w:r>
    </w:p>
    <w:tbl>
      <w:tblPr>
        <w:tblW w:w="8960" w:type="dxa"/>
        <w:tblCellMar>
          <w:left w:w="28" w:type="dxa"/>
          <w:right w:w="28" w:type="dxa"/>
        </w:tblCellMar>
        <w:tblLook w:val="04A0" w:firstRow="1" w:lastRow="0" w:firstColumn="1" w:lastColumn="0" w:noHBand="0" w:noVBand="1"/>
      </w:tblPr>
      <w:tblGrid>
        <w:gridCol w:w="4249"/>
        <w:gridCol w:w="639"/>
        <w:gridCol w:w="1018"/>
        <w:gridCol w:w="1018"/>
        <w:gridCol w:w="1018"/>
        <w:gridCol w:w="1018"/>
      </w:tblGrid>
      <w:tr w:rsidR="00D9434E" w:rsidRPr="002152AF" w14:paraId="24D9E48A" w14:textId="77777777" w:rsidTr="00DD216A">
        <w:trPr>
          <w:trHeight w:val="555"/>
        </w:trPr>
        <w:tc>
          <w:tcPr>
            <w:tcW w:w="4240" w:type="dxa"/>
            <w:tcBorders>
              <w:top w:val="nil"/>
              <w:left w:val="nil"/>
              <w:bottom w:val="nil"/>
              <w:right w:val="nil"/>
            </w:tcBorders>
            <w:shd w:val="clear" w:color="000000" w:fill="006991"/>
            <w:tcMar>
              <w:left w:w="0" w:type="dxa"/>
            </w:tcMar>
            <w:vAlign w:val="center"/>
            <w:hideMark/>
          </w:tcPr>
          <w:p w14:paraId="19E672C6" w14:textId="77777777" w:rsidR="00D9434E" w:rsidRPr="002152AF"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52AF">
              <w:rPr>
                <w:rFonts w:ascii="Open Sans SemiBold" w:eastAsia="Times New Roman" w:hAnsi="Open Sans SemiBold" w:cs="Open Sans SemiBold"/>
                <w:color w:val="FFFFFF"/>
                <w:sz w:val="16"/>
                <w:szCs w:val="16"/>
                <w:lang w:eastAsia="en-AU"/>
              </w:rPr>
              <w:t> </w:t>
            </w:r>
          </w:p>
        </w:tc>
        <w:tc>
          <w:tcPr>
            <w:tcW w:w="640" w:type="dxa"/>
            <w:tcBorders>
              <w:top w:val="nil"/>
              <w:left w:val="nil"/>
              <w:bottom w:val="nil"/>
              <w:right w:val="nil"/>
            </w:tcBorders>
            <w:shd w:val="clear" w:color="000000" w:fill="006991"/>
            <w:vAlign w:val="center"/>
            <w:hideMark/>
          </w:tcPr>
          <w:p w14:paraId="38CDCBBB" w14:textId="77777777" w:rsidR="00D9434E" w:rsidRPr="002152AF"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52AF">
              <w:rPr>
                <w:rFonts w:ascii="Open Sans SemiBold" w:eastAsia="Times New Roman" w:hAnsi="Open Sans SemiBold" w:cs="Open Sans SemiBold"/>
                <w:color w:val="FFFFFF"/>
                <w:sz w:val="16"/>
                <w:szCs w:val="16"/>
                <w:lang w:eastAsia="en-AU"/>
              </w:rPr>
              <w:t xml:space="preserve">Major </w:t>
            </w:r>
            <w:r w:rsidRPr="002152AF">
              <w:rPr>
                <w:rFonts w:ascii="Open Sans SemiBold" w:eastAsia="Times New Roman" w:hAnsi="Open Sans SemiBold" w:cs="Open Sans SemiBold"/>
                <w:color w:val="FFFFFF"/>
                <w:sz w:val="16"/>
                <w:szCs w:val="16"/>
                <w:lang w:eastAsia="en-AU"/>
              </w:rPr>
              <w:br/>
              <w:t>cities</w:t>
            </w:r>
          </w:p>
        </w:tc>
        <w:tc>
          <w:tcPr>
            <w:tcW w:w="1020" w:type="dxa"/>
            <w:tcBorders>
              <w:top w:val="nil"/>
              <w:left w:val="nil"/>
              <w:bottom w:val="nil"/>
              <w:right w:val="nil"/>
            </w:tcBorders>
            <w:shd w:val="clear" w:color="000000" w:fill="006991"/>
            <w:vAlign w:val="center"/>
            <w:hideMark/>
          </w:tcPr>
          <w:p w14:paraId="4A0D8872" w14:textId="77777777" w:rsidR="00D9434E" w:rsidRPr="002152AF"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52AF">
              <w:rPr>
                <w:rFonts w:ascii="Open Sans SemiBold" w:eastAsia="Times New Roman" w:hAnsi="Open Sans SemiBold" w:cs="Open Sans SemiBold"/>
                <w:color w:val="FFFFFF"/>
                <w:sz w:val="16"/>
                <w:szCs w:val="16"/>
                <w:lang w:eastAsia="en-AU"/>
              </w:rPr>
              <w:t xml:space="preserve">Inner </w:t>
            </w:r>
            <w:r w:rsidRPr="002152AF">
              <w:rPr>
                <w:rFonts w:ascii="Open Sans SemiBold" w:eastAsia="Times New Roman" w:hAnsi="Open Sans SemiBold" w:cs="Open Sans SemiBold"/>
                <w:color w:val="FFFFFF"/>
                <w:sz w:val="16"/>
                <w:szCs w:val="16"/>
                <w:lang w:eastAsia="en-AU"/>
              </w:rPr>
              <w:br/>
              <w:t>regional</w:t>
            </w:r>
          </w:p>
        </w:tc>
        <w:tc>
          <w:tcPr>
            <w:tcW w:w="1020" w:type="dxa"/>
            <w:tcBorders>
              <w:top w:val="nil"/>
              <w:left w:val="nil"/>
              <w:bottom w:val="nil"/>
              <w:right w:val="nil"/>
            </w:tcBorders>
            <w:shd w:val="clear" w:color="000000" w:fill="006991"/>
            <w:vAlign w:val="center"/>
            <w:hideMark/>
          </w:tcPr>
          <w:p w14:paraId="04384A25" w14:textId="77777777" w:rsidR="00D9434E" w:rsidRPr="002152AF"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52AF">
              <w:rPr>
                <w:rFonts w:ascii="Open Sans SemiBold" w:eastAsia="Times New Roman" w:hAnsi="Open Sans SemiBold" w:cs="Open Sans SemiBold"/>
                <w:color w:val="FFFFFF"/>
                <w:sz w:val="16"/>
                <w:szCs w:val="16"/>
                <w:lang w:eastAsia="en-AU"/>
              </w:rPr>
              <w:t xml:space="preserve">Outer </w:t>
            </w:r>
            <w:r w:rsidRPr="002152AF">
              <w:rPr>
                <w:rFonts w:ascii="Open Sans SemiBold" w:eastAsia="Times New Roman" w:hAnsi="Open Sans SemiBold" w:cs="Open Sans SemiBold"/>
                <w:color w:val="FFFFFF"/>
                <w:sz w:val="16"/>
                <w:szCs w:val="16"/>
                <w:lang w:eastAsia="en-AU"/>
              </w:rPr>
              <w:br/>
              <w:t>regional</w:t>
            </w:r>
          </w:p>
        </w:tc>
        <w:tc>
          <w:tcPr>
            <w:tcW w:w="1020" w:type="dxa"/>
            <w:tcBorders>
              <w:top w:val="nil"/>
              <w:left w:val="nil"/>
              <w:bottom w:val="nil"/>
              <w:right w:val="nil"/>
            </w:tcBorders>
            <w:shd w:val="clear" w:color="000000" w:fill="006991"/>
            <w:vAlign w:val="center"/>
            <w:hideMark/>
          </w:tcPr>
          <w:p w14:paraId="7E8120EA" w14:textId="77777777" w:rsidR="00D9434E" w:rsidRPr="002152AF"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52AF">
              <w:rPr>
                <w:rFonts w:ascii="Open Sans SemiBold" w:eastAsia="Times New Roman" w:hAnsi="Open Sans SemiBold" w:cs="Open Sans SemiBold"/>
                <w:color w:val="FFFFFF"/>
                <w:sz w:val="16"/>
                <w:szCs w:val="16"/>
                <w:lang w:eastAsia="en-AU"/>
              </w:rPr>
              <w:t>Remote</w:t>
            </w:r>
          </w:p>
        </w:tc>
        <w:tc>
          <w:tcPr>
            <w:tcW w:w="1020" w:type="dxa"/>
            <w:tcBorders>
              <w:top w:val="nil"/>
              <w:left w:val="nil"/>
              <w:bottom w:val="nil"/>
              <w:right w:val="nil"/>
            </w:tcBorders>
            <w:shd w:val="clear" w:color="000000" w:fill="006991"/>
            <w:vAlign w:val="center"/>
            <w:hideMark/>
          </w:tcPr>
          <w:p w14:paraId="3AD8A90B" w14:textId="77777777" w:rsidR="00D9434E" w:rsidRPr="002152AF"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152AF">
              <w:rPr>
                <w:rFonts w:ascii="Open Sans SemiBold" w:eastAsia="Times New Roman" w:hAnsi="Open Sans SemiBold" w:cs="Open Sans SemiBold"/>
                <w:color w:val="FFFFFF"/>
                <w:sz w:val="16"/>
                <w:szCs w:val="16"/>
                <w:lang w:eastAsia="en-AU"/>
              </w:rPr>
              <w:t xml:space="preserve">Very </w:t>
            </w:r>
            <w:r w:rsidRPr="002152AF">
              <w:rPr>
                <w:rFonts w:ascii="Open Sans SemiBold" w:eastAsia="Times New Roman" w:hAnsi="Open Sans SemiBold" w:cs="Open Sans SemiBold"/>
                <w:color w:val="FFFFFF"/>
                <w:sz w:val="16"/>
                <w:szCs w:val="16"/>
                <w:lang w:eastAsia="en-AU"/>
              </w:rPr>
              <w:br/>
              <w:t>remote</w:t>
            </w:r>
          </w:p>
        </w:tc>
      </w:tr>
      <w:tr w:rsidR="00D9434E" w:rsidRPr="002152AF" w14:paraId="222F4945" w14:textId="77777777" w:rsidTr="00DD216A">
        <w:trPr>
          <w:trHeight w:val="315"/>
        </w:trPr>
        <w:tc>
          <w:tcPr>
            <w:tcW w:w="4240" w:type="dxa"/>
            <w:tcBorders>
              <w:top w:val="single" w:sz="4" w:space="0" w:color="ADD5EA"/>
              <w:left w:val="nil"/>
              <w:bottom w:val="single" w:sz="4" w:space="0" w:color="ADD5EA"/>
              <w:right w:val="nil"/>
            </w:tcBorders>
            <w:shd w:val="clear" w:color="000000" w:fill="FFFFFF"/>
            <w:tcMar>
              <w:left w:w="0" w:type="dxa"/>
            </w:tcMar>
            <w:vAlign w:val="bottom"/>
            <w:hideMark/>
          </w:tcPr>
          <w:p w14:paraId="562137EE" w14:textId="77777777" w:rsidR="00D9434E" w:rsidRPr="002152AF" w:rsidRDefault="00D9434E" w:rsidP="004D65FE">
            <w:pPr>
              <w:tabs>
                <w:tab w:val="clear" w:pos="567"/>
              </w:tabs>
              <w:spacing w:before="0" w:line="240" w:lineRule="auto"/>
              <w:rPr>
                <w:rFonts w:ascii="Open Sans SemiBold" w:eastAsia="Times New Roman" w:hAnsi="Open Sans SemiBold" w:cs="Open Sans SemiBold"/>
                <w:sz w:val="16"/>
                <w:szCs w:val="16"/>
                <w:lang w:eastAsia="en-AU"/>
              </w:rPr>
            </w:pPr>
            <w:r w:rsidRPr="002152AF">
              <w:rPr>
                <w:rFonts w:ascii="Open Sans SemiBold" w:eastAsia="Times New Roman" w:hAnsi="Open Sans SemiBold" w:cs="Open Sans SemiBold"/>
                <w:sz w:val="16"/>
                <w:szCs w:val="16"/>
                <w:lang w:eastAsia="en-AU"/>
              </w:rPr>
              <w:t>Schools</w:t>
            </w:r>
          </w:p>
        </w:tc>
        <w:tc>
          <w:tcPr>
            <w:tcW w:w="640" w:type="dxa"/>
            <w:tcBorders>
              <w:top w:val="single" w:sz="4" w:space="0" w:color="ADD5EA"/>
              <w:left w:val="nil"/>
              <w:bottom w:val="single" w:sz="4" w:space="0" w:color="ADD5EA"/>
              <w:right w:val="nil"/>
            </w:tcBorders>
            <w:shd w:val="clear" w:color="000000" w:fill="FFFFFF"/>
            <w:vAlign w:val="center"/>
            <w:hideMark/>
          </w:tcPr>
          <w:p w14:paraId="536B8F55"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single" w:sz="4" w:space="0" w:color="ADD5EA"/>
              <w:left w:val="nil"/>
              <w:bottom w:val="single" w:sz="4" w:space="0" w:color="ADD5EA"/>
              <w:right w:val="nil"/>
            </w:tcBorders>
            <w:shd w:val="clear" w:color="000000" w:fill="FFFFFF"/>
            <w:vAlign w:val="center"/>
            <w:hideMark/>
          </w:tcPr>
          <w:p w14:paraId="6066A2F8"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single" w:sz="4" w:space="0" w:color="ADD5EA"/>
              <w:left w:val="nil"/>
              <w:bottom w:val="single" w:sz="4" w:space="0" w:color="ADD5EA"/>
              <w:right w:val="nil"/>
            </w:tcBorders>
            <w:shd w:val="clear" w:color="000000" w:fill="FFFFFF"/>
            <w:vAlign w:val="center"/>
            <w:hideMark/>
          </w:tcPr>
          <w:p w14:paraId="5C86DDEE"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single" w:sz="4" w:space="0" w:color="ADD5EA"/>
              <w:left w:val="nil"/>
              <w:bottom w:val="single" w:sz="4" w:space="0" w:color="ADD5EA"/>
              <w:right w:val="nil"/>
            </w:tcBorders>
            <w:shd w:val="clear" w:color="000000" w:fill="FFFFFF"/>
            <w:vAlign w:val="center"/>
            <w:hideMark/>
          </w:tcPr>
          <w:p w14:paraId="3CFCEB7F"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single" w:sz="4" w:space="0" w:color="ADD5EA"/>
              <w:left w:val="nil"/>
              <w:bottom w:val="single" w:sz="4" w:space="0" w:color="ADD5EA"/>
              <w:right w:val="nil"/>
            </w:tcBorders>
            <w:shd w:val="clear" w:color="000000" w:fill="FFFFFF"/>
            <w:vAlign w:val="center"/>
            <w:hideMark/>
          </w:tcPr>
          <w:p w14:paraId="4DE34087"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r>
      <w:tr w:rsidR="00D9434E" w:rsidRPr="002152AF" w14:paraId="73862EDD"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0B1AA7D3"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Regional costs</w:t>
            </w:r>
          </w:p>
        </w:tc>
        <w:tc>
          <w:tcPr>
            <w:tcW w:w="640" w:type="dxa"/>
            <w:tcBorders>
              <w:top w:val="nil"/>
              <w:left w:val="nil"/>
              <w:bottom w:val="single" w:sz="4" w:space="0" w:color="ADD5EA"/>
              <w:right w:val="nil"/>
            </w:tcBorders>
            <w:shd w:val="clear" w:color="000000" w:fill="FFFFFF"/>
            <w:vAlign w:val="bottom"/>
            <w:hideMark/>
          </w:tcPr>
          <w:p w14:paraId="18A4EF45"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0A7BE497"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4DFD2303"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1.11</w:t>
            </w:r>
          </w:p>
        </w:tc>
        <w:tc>
          <w:tcPr>
            <w:tcW w:w="1020" w:type="dxa"/>
            <w:tcBorders>
              <w:top w:val="nil"/>
              <w:left w:val="nil"/>
              <w:bottom w:val="single" w:sz="4" w:space="0" w:color="ADD5EA"/>
              <w:right w:val="nil"/>
            </w:tcBorders>
            <w:shd w:val="clear" w:color="000000" w:fill="FFFFFF"/>
            <w:vAlign w:val="bottom"/>
            <w:hideMark/>
          </w:tcPr>
          <w:p w14:paraId="0334FFBD"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1.50</w:t>
            </w:r>
          </w:p>
        </w:tc>
        <w:tc>
          <w:tcPr>
            <w:tcW w:w="1020" w:type="dxa"/>
            <w:tcBorders>
              <w:top w:val="nil"/>
              <w:left w:val="nil"/>
              <w:bottom w:val="single" w:sz="4" w:space="0" w:color="ADD5EA"/>
              <w:right w:val="nil"/>
            </w:tcBorders>
            <w:shd w:val="clear" w:color="000000" w:fill="FFFFFF"/>
            <w:vAlign w:val="bottom"/>
            <w:hideMark/>
          </w:tcPr>
          <w:p w14:paraId="23439A61"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1.50</w:t>
            </w:r>
          </w:p>
        </w:tc>
      </w:tr>
      <w:tr w:rsidR="00D9434E" w:rsidRPr="002152AF" w14:paraId="65E55EF5"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7DC0CAE5"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SDS</w:t>
            </w:r>
          </w:p>
        </w:tc>
        <w:tc>
          <w:tcPr>
            <w:tcW w:w="640" w:type="dxa"/>
            <w:tcBorders>
              <w:top w:val="nil"/>
              <w:left w:val="nil"/>
              <w:bottom w:val="single" w:sz="4" w:space="0" w:color="ADD5EA"/>
              <w:right w:val="nil"/>
            </w:tcBorders>
            <w:shd w:val="clear" w:color="000000" w:fill="FFFFFF"/>
            <w:vAlign w:val="bottom"/>
            <w:hideMark/>
          </w:tcPr>
          <w:p w14:paraId="6834A1B5"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1.05</w:t>
            </w:r>
          </w:p>
        </w:tc>
        <w:tc>
          <w:tcPr>
            <w:tcW w:w="1020" w:type="dxa"/>
            <w:tcBorders>
              <w:top w:val="nil"/>
              <w:left w:val="nil"/>
              <w:bottom w:val="single" w:sz="4" w:space="0" w:color="ADD5EA"/>
              <w:right w:val="nil"/>
            </w:tcBorders>
            <w:shd w:val="clear" w:color="000000" w:fill="FFFFFF"/>
            <w:vAlign w:val="bottom"/>
            <w:hideMark/>
          </w:tcPr>
          <w:p w14:paraId="462C99F6"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1.10</w:t>
            </w:r>
          </w:p>
        </w:tc>
        <w:tc>
          <w:tcPr>
            <w:tcW w:w="1020" w:type="dxa"/>
            <w:tcBorders>
              <w:top w:val="nil"/>
              <w:left w:val="nil"/>
              <w:bottom w:val="single" w:sz="4" w:space="0" w:color="ADD5EA"/>
              <w:right w:val="nil"/>
            </w:tcBorders>
            <w:shd w:val="clear" w:color="000000" w:fill="FFFFFF"/>
            <w:vAlign w:val="bottom"/>
            <w:hideMark/>
          </w:tcPr>
          <w:p w14:paraId="381B39D9"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1.13</w:t>
            </w:r>
          </w:p>
        </w:tc>
        <w:tc>
          <w:tcPr>
            <w:tcW w:w="1020" w:type="dxa"/>
            <w:tcBorders>
              <w:top w:val="nil"/>
              <w:left w:val="nil"/>
              <w:bottom w:val="single" w:sz="4" w:space="0" w:color="ADD5EA"/>
              <w:right w:val="nil"/>
            </w:tcBorders>
            <w:shd w:val="clear" w:color="000000" w:fill="FFFFFF"/>
            <w:vAlign w:val="bottom"/>
            <w:hideMark/>
          </w:tcPr>
          <w:p w14:paraId="07871E9D"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1.16</w:t>
            </w:r>
          </w:p>
        </w:tc>
        <w:tc>
          <w:tcPr>
            <w:tcW w:w="1020" w:type="dxa"/>
            <w:tcBorders>
              <w:top w:val="nil"/>
              <w:left w:val="nil"/>
              <w:bottom w:val="single" w:sz="4" w:space="0" w:color="ADD5EA"/>
              <w:right w:val="nil"/>
            </w:tcBorders>
            <w:shd w:val="clear" w:color="000000" w:fill="FFFFFF"/>
            <w:vAlign w:val="bottom"/>
            <w:hideMark/>
          </w:tcPr>
          <w:p w14:paraId="65AE2C46"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1.25</w:t>
            </w:r>
          </w:p>
        </w:tc>
      </w:tr>
      <w:tr w:rsidR="00D9434E" w:rsidRPr="002152AF" w14:paraId="677FAD11"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2B78BB91"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Combined SDS &amp; Regional costs</w:t>
            </w:r>
          </w:p>
        </w:tc>
        <w:tc>
          <w:tcPr>
            <w:tcW w:w="640" w:type="dxa"/>
            <w:tcBorders>
              <w:top w:val="nil"/>
              <w:left w:val="nil"/>
              <w:bottom w:val="single" w:sz="4" w:space="0" w:color="ADD5EA"/>
              <w:right w:val="nil"/>
            </w:tcBorders>
            <w:shd w:val="clear" w:color="000000" w:fill="FFFFFF"/>
            <w:vAlign w:val="bottom"/>
            <w:hideMark/>
          </w:tcPr>
          <w:p w14:paraId="51C065FE"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1.05</w:t>
            </w:r>
          </w:p>
        </w:tc>
        <w:tc>
          <w:tcPr>
            <w:tcW w:w="1020" w:type="dxa"/>
            <w:tcBorders>
              <w:top w:val="nil"/>
              <w:left w:val="nil"/>
              <w:bottom w:val="single" w:sz="4" w:space="0" w:color="ADD5EA"/>
              <w:right w:val="nil"/>
            </w:tcBorders>
            <w:shd w:val="clear" w:color="000000" w:fill="FFFFFF"/>
            <w:vAlign w:val="bottom"/>
            <w:hideMark/>
          </w:tcPr>
          <w:p w14:paraId="5D15A394"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1.10</w:t>
            </w:r>
          </w:p>
        </w:tc>
        <w:tc>
          <w:tcPr>
            <w:tcW w:w="1020" w:type="dxa"/>
            <w:tcBorders>
              <w:top w:val="nil"/>
              <w:left w:val="nil"/>
              <w:bottom w:val="single" w:sz="4" w:space="0" w:color="ADD5EA"/>
              <w:right w:val="nil"/>
            </w:tcBorders>
            <w:shd w:val="clear" w:color="000000" w:fill="FFFFFF"/>
            <w:vAlign w:val="bottom"/>
            <w:hideMark/>
          </w:tcPr>
          <w:p w14:paraId="22314A98"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1.25</w:t>
            </w:r>
          </w:p>
        </w:tc>
        <w:tc>
          <w:tcPr>
            <w:tcW w:w="1020" w:type="dxa"/>
            <w:tcBorders>
              <w:top w:val="nil"/>
              <w:left w:val="nil"/>
              <w:bottom w:val="single" w:sz="4" w:space="0" w:color="ADD5EA"/>
              <w:right w:val="nil"/>
            </w:tcBorders>
            <w:shd w:val="clear" w:color="000000" w:fill="FFFFFF"/>
            <w:vAlign w:val="bottom"/>
            <w:hideMark/>
          </w:tcPr>
          <w:p w14:paraId="58077D4A"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1.67</w:t>
            </w:r>
          </w:p>
        </w:tc>
        <w:tc>
          <w:tcPr>
            <w:tcW w:w="1020" w:type="dxa"/>
            <w:tcBorders>
              <w:top w:val="nil"/>
              <w:left w:val="nil"/>
              <w:bottom w:val="single" w:sz="4" w:space="0" w:color="ADD5EA"/>
              <w:right w:val="nil"/>
            </w:tcBorders>
            <w:shd w:val="clear" w:color="000000" w:fill="FFFFFF"/>
            <w:vAlign w:val="bottom"/>
            <w:hideMark/>
          </w:tcPr>
          <w:p w14:paraId="325E5215"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1.76</w:t>
            </w:r>
          </w:p>
        </w:tc>
      </w:tr>
      <w:tr w:rsidR="00D9434E" w:rsidRPr="002152AF" w14:paraId="1A62BA65"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281F6348" w14:textId="77777777" w:rsidR="00D9434E" w:rsidRPr="002152AF" w:rsidRDefault="00D9434E" w:rsidP="004D65FE">
            <w:pPr>
              <w:tabs>
                <w:tab w:val="clear" w:pos="567"/>
              </w:tabs>
              <w:spacing w:before="0" w:line="240" w:lineRule="auto"/>
              <w:rPr>
                <w:rFonts w:ascii="Open Sans SemiBold" w:eastAsia="Times New Roman" w:hAnsi="Open Sans SemiBold" w:cs="Open Sans SemiBold"/>
                <w:sz w:val="16"/>
                <w:szCs w:val="16"/>
                <w:lang w:eastAsia="en-AU"/>
              </w:rPr>
            </w:pPr>
            <w:r w:rsidRPr="002152AF">
              <w:rPr>
                <w:rFonts w:ascii="Open Sans SemiBold" w:eastAsia="Times New Roman" w:hAnsi="Open Sans SemiBold" w:cs="Open Sans SemiBold"/>
                <w:sz w:val="16"/>
                <w:szCs w:val="16"/>
                <w:lang w:eastAsia="en-AU"/>
              </w:rPr>
              <w:t>Post-secondary education</w:t>
            </w:r>
          </w:p>
        </w:tc>
        <w:tc>
          <w:tcPr>
            <w:tcW w:w="640" w:type="dxa"/>
            <w:tcBorders>
              <w:top w:val="nil"/>
              <w:left w:val="nil"/>
              <w:bottom w:val="single" w:sz="4" w:space="0" w:color="ADD5EA"/>
              <w:right w:val="nil"/>
            </w:tcBorders>
            <w:shd w:val="clear" w:color="000000" w:fill="FFFFFF"/>
            <w:vAlign w:val="bottom"/>
            <w:hideMark/>
          </w:tcPr>
          <w:p w14:paraId="57308F88"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7CFF2E18"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649838D1"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3EC88B8F"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2E9EBA6D"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r>
      <w:tr w:rsidR="00D9434E" w:rsidRPr="002152AF" w14:paraId="0AD9271F"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58958384"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Regional costs</w:t>
            </w:r>
          </w:p>
        </w:tc>
        <w:tc>
          <w:tcPr>
            <w:tcW w:w="640" w:type="dxa"/>
            <w:tcBorders>
              <w:top w:val="nil"/>
              <w:left w:val="nil"/>
              <w:bottom w:val="single" w:sz="4" w:space="0" w:color="ADD5EA"/>
              <w:right w:val="nil"/>
            </w:tcBorders>
            <w:shd w:val="clear" w:color="000000" w:fill="FFFFFF"/>
            <w:vAlign w:val="bottom"/>
            <w:hideMark/>
          </w:tcPr>
          <w:p w14:paraId="7AE33C16"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7A850FB9"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1.10</w:t>
            </w:r>
          </w:p>
        </w:tc>
        <w:tc>
          <w:tcPr>
            <w:tcW w:w="1020" w:type="dxa"/>
            <w:tcBorders>
              <w:top w:val="nil"/>
              <w:left w:val="nil"/>
              <w:bottom w:val="single" w:sz="4" w:space="0" w:color="ADD5EA"/>
              <w:right w:val="nil"/>
            </w:tcBorders>
            <w:shd w:val="clear" w:color="000000" w:fill="FFFFFF"/>
            <w:vAlign w:val="bottom"/>
            <w:hideMark/>
          </w:tcPr>
          <w:p w14:paraId="5DB93699"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1.17</w:t>
            </w:r>
          </w:p>
        </w:tc>
        <w:tc>
          <w:tcPr>
            <w:tcW w:w="1020" w:type="dxa"/>
            <w:tcBorders>
              <w:top w:val="nil"/>
              <w:left w:val="nil"/>
              <w:bottom w:val="single" w:sz="4" w:space="0" w:color="ADD5EA"/>
              <w:right w:val="nil"/>
            </w:tcBorders>
            <w:shd w:val="clear" w:color="000000" w:fill="FFFFFF"/>
            <w:vAlign w:val="bottom"/>
            <w:hideMark/>
          </w:tcPr>
          <w:p w14:paraId="2570784E"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1.53</w:t>
            </w:r>
          </w:p>
        </w:tc>
        <w:tc>
          <w:tcPr>
            <w:tcW w:w="1020" w:type="dxa"/>
            <w:tcBorders>
              <w:top w:val="nil"/>
              <w:left w:val="nil"/>
              <w:bottom w:val="single" w:sz="4" w:space="0" w:color="ADD5EA"/>
              <w:right w:val="nil"/>
            </w:tcBorders>
            <w:shd w:val="clear" w:color="000000" w:fill="FFFFFF"/>
            <w:vAlign w:val="bottom"/>
            <w:hideMark/>
          </w:tcPr>
          <w:p w14:paraId="66C41150"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1.91</w:t>
            </w:r>
          </w:p>
        </w:tc>
      </w:tr>
      <w:tr w:rsidR="00D9434E" w:rsidRPr="002152AF" w14:paraId="7DD1E29E" w14:textId="77777777" w:rsidTr="00DD216A">
        <w:trPr>
          <w:trHeight w:val="315"/>
        </w:trPr>
        <w:tc>
          <w:tcPr>
            <w:tcW w:w="4240" w:type="dxa"/>
            <w:tcBorders>
              <w:top w:val="nil"/>
              <w:left w:val="nil"/>
              <w:bottom w:val="single" w:sz="4" w:space="0" w:color="ADD5EA"/>
              <w:right w:val="nil"/>
            </w:tcBorders>
            <w:shd w:val="clear" w:color="000000" w:fill="FFFFFF"/>
            <w:noWrap/>
            <w:tcMar>
              <w:left w:w="0" w:type="dxa"/>
            </w:tcMar>
            <w:vAlign w:val="bottom"/>
            <w:hideMark/>
          </w:tcPr>
          <w:p w14:paraId="47BE89CE" w14:textId="10EB2B60" w:rsidR="00D9434E" w:rsidRPr="002152AF" w:rsidRDefault="00D9434E" w:rsidP="004D65FE">
            <w:pPr>
              <w:tabs>
                <w:tab w:val="clear" w:pos="567"/>
              </w:tabs>
              <w:spacing w:before="0" w:line="240" w:lineRule="auto"/>
              <w:rPr>
                <w:rFonts w:ascii="Open Sans SemiBold" w:eastAsia="Times New Roman" w:hAnsi="Open Sans SemiBold" w:cs="Open Sans SemiBold"/>
                <w:sz w:val="16"/>
                <w:szCs w:val="16"/>
                <w:lang w:eastAsia="en-AU"/>
              </w:rPr>
            </w:pPr>
            <w:r w:rsidRPr="002152AF">
              <w:rPr>
                <w:rFonts w:ascii="Open Sans SemiBold" w:eastAsia="Times New Roman" w:hAnsi="Open Sans SemiBold" w:cs="Open Sans SemiBold"/>
                <w:sz w:val="16"/>
                <w:szCs w:val="16"/>
                <w:lang w:eastAsia="en-AU"/>
              </w:rPr>
              <w:t xml:space="preserve">Admitted </w:t>
            </w:r>
            <w:r w:rsidR="00DB3744" w:rsidRPr="002152AF">
              <w:rPr>
                <w:rFonts w:ascii="Open Sans SemiBold" w:eastAsia="Times New Roman" w:hAnsi="Open Sans SemiBold" w:cs="Open Sans SemiBold"/>
                <w:sz w:val="16"/>
                <w:szCs w:val="16"/>
                <w:lang w:eastAsia="en-AU"/>
              </w:rPr>
              <w:t>patients</w:t>
            </w:r>
            <w:r w:rsidRPr="002152AF">
              <w:rPr>
                <w:rFonts w:ascii="Open Sans SemiBold" w:eastAsia="Times New Roman" w:hAnsi="Open Sans SemiBold" w:cs="Open Sans SemiBold"/>
                <w:sz w:val="16"/>
                <w:szCs w:val="16"/>
                <w:lang w:eastAsia="en-AU"/>
              </w:rPr>
              <w:t xml:space="preserve"> (by location of hospital)</w:t>
            </w:r>
          </w:p>
        </w:tc>
        <w:tc>
          <w:tcPr>
            <w:tcW w:w="640" w:type="dxa"/>
            <w:tcBorders>
              <w:top w:val="nil"/>
              <w:left w:val="nil"/>
              <w:bottom w:val="single" w:sz="4" w:space="0" w:color="ADD5EA"/>
              <w:right w:val="nil"/>
            </w:tcBorders>
            <w:shd w:val="clear" w:color="000000" w:fill="FFFFFF"/>
            <w:vAlign w:val="bottom"/>
            <w:hideMark/>
          </w:tcPr>
          <w:p w14:paraId="73B990DB"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30F7066A"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0FBDD6DE"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00E8CBA2"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7DD8B62D"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r>
      <w:tr w:rsidR="00D9434E" w:rsidRPr="002152AF" w14:paraId="642F30CE"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77EFBFF4"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Regional costs</w:t>
            </w:r>
          </w:p>
        </w:tc>
        <w:tc>
          <w:tcPr>
            <w:tcW w:w="640" w:type="dxa"/>
            <w:tcBorders>
              <w:top w:val="nil"/>
              <w:left w:val="nil"/>
              <w:bottom w:val="single" w:sz="4" w:space="0" w:color="ADD5EA"/>
              <w:right w:val="nil"/>
            </w:tcBorders>
            <w:shd w:val="clear" w:color="000000" w:fill="FFFFFF"/>
            <w:vAlign w:val="bottom"/>
            <w:hideMark/>
          </w:tcPr>
          <w:p w14:paraId="43A3FDE2"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054FA5E4"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5B9BC6B0"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022223E2"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1.08</w:t>
            </w:r>
          </w:p>
        </w:tc>
        <w:tc>
          <w:tcPr>
            <w:tcW w:w="1020" w:type="dxa"/>
            <w:tcBorders>
              <w:top w:val="nil"/>
              <w:left w:val="nil"/>
              <w:bottom w:val="single" w:sz="4" w:space="0" w:color="ADD5EA"/>
              <w:right w:val="nil"/>
            </w:tcBorders>
            <w:shd w:val="clear" w:color="000000" w:fill="FFFFFF"/>
            <w:vAlign w:val="bottom"/>
            <w:hideMark/>
          </w:tcPr>
          <w:p w14:paraId="72C755B0"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1.12</w:t>
            </w:r>
          </w:p>
        </w:tc>
      </w:tr>
      <w:tr w:rsidR="00D9434E" w:rsidRPr="002152AF" w14:paraId="240FBE91"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017046F3"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SDS</w:t>
            </w:r>
          </w:p>
        </w:tc>
        <w:tc>
          <w:tcPr>
            <w:tcW w:w="640" w:type="dxa"/>
            <w:tcBorders>
              <w:top w:val="nil"/>
              <w:left w:val="nil"/>
              <w:bottom w:val="single" w:sz="4" w:space="0" w:color="ADD5EA"/>
              <w:right w:val="nil"/>
            </w:tcBorders>
            <w:shd w:val="clear" w:color="000000" w:fill="FFFFFF"/>
            <w:vAlign w:val="bottom"/>
            <w:hideMark/>
          </w:tcPr>
          <w:p w14:paraId="4B5E9245"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061E518A"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1.02</w:t>
            </w:r>
          </w:p>
        </w:tc>
        <w:tc>
          <w:tcPr>
            <w:tcW w:w="1020" w:type="dxa"/>
            <w:tcBorders>
              <w:top w:val="nil"/>
              <w:left w:val="nil"/>
              <w:bottom w:val="single" w:sz="4" w:space="0" w:color="ADD5EA"/>
              <w:right w:val="nil"/>
            </w:tcBorders>
            <w:shd w:val="clear" w:color="000000" w:fill="FFFFFF"/>
            <w:vAlign w:val="bottom"/>
            <w:hideMark/>
          </w:tcPr>
          <w:p w14:paraId="542ACC5C"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1.07</w:t>
            </w:r>
          </w:p>
        </w:tc>
        <w:tc>
          <w:tcPr>
            <w:tcW w:w="1020" w:type="dxa"/>
            <w:tcBorders>
              <w:top w:val="nil"/>
              <w:left w:val="nil"/>
              <w:bottom w:val="single" w:sz="4" w:space="0" w:color="ADD5EA"/>
              <w:right w:val="nil"/>
            </w:tcBorders>
            <w:shd w:val="clear" w:color="000000" w:fill="FFFFFF"/>
            <w:vAlign w:val="bottom"/>
            <w:hideMark/>
          </w:tcPr>
          <w:p w14:paraId="08EECC3A"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1.09</w:t>
            </w:r>
          </w:p>
        </w:tc>
        <w:tc>
          <w:tcPr>
            <w:tcW w:w="1020" w:type="dxa"/>
            <w:tcBorders>
              <w:top w:val="nil"/>
              <w:left w:val="nil"/>
              <w:bottom w:val="single" w:sz="4" w:space="0" w:color="ADD5EA"/>
              <w:right w:val="nil"/>
            </w:tcBorders>
            <w:shd w:val="clear" w:color="000000" w:fill="FFFFFF"/>
            <w:vAlign w:val="bottom"/>
            <w:hideMark/>
          </w:tcPr>
          <w:p w14:paraId="4C1D88A3"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1.71</w:t>
            </w:r>
          </w:p>
        </w:tc>
      </w:tr>
      <w:tr w:rsidR="00D9434E" w:rsidRPr="002152AF" w14:paraId="1CEE8E83"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0B0E82FE"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Combined SDS &amp; Regional costs</w:t>
            </w:r>
          </w:p>
        </w:tc>
        <w:tc>
          <w:tcPr>
            <w:tcW w:w="640" w:type="dxa"/>
            <w:tcBorders>
              <w:top w:val="nil"/>
              <w:left w:val="nil"/>
              <w:bottom w:val="single" w:sz="4" w:space="0" w:color="ADD5EA"/>
              <w:right w:val="nil"/>
            </w:tcBorders>
            <w:shd w:val="clear" w:color="000000" w:fill="FFFFFF"/>
            <w:vAlign w:val="bottom"/>
            <w:hideMark/>
          </w:tcPr>
          <w:p w14:paraId="46C3F43C"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667D70D8"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1.02</w:t>
            </w:r>
          </w:p>
        </w:tc>
        <w:tc>
          <w:tcPr>
            <w:tcW w:w="1020" w:type="dxa"/>
            <w:tcBorders>
              <w:top w:val="nil"/>
              <w:left w:val="nil"/>
              <w:bottom w:val="single" w:sz="4" w:space="0" w:color="ADD5EA"/>
              <w:right w:val="nil"/>
            </w:tcBorders>
            <w:shd w:val="clear" w:color="000000" w:fill="FFFFFF"/>
            <w:vAlign w:val="bottom"/>
            <w:hideMark/>
          </w:tcPr>
          <w:p w14:paraId="755F0082"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1.07</w:t>
            </w:r>
          </w:p>
        </w:tc>
        <w:tc>
          <w:tcPr>
            <w:tcW w:w="1020" w:type="dxa"/>
            <w:tcBorders>
              <w:top w:val="nil"/>
              <w:left w:val="nil"/>
              <w:bottom w:val="single" w:sz="4" w:space="0" w:color="ADD5EA"/>
              <w:right w:val="nil"/>
            </w:tcBorders>
            <w:shd w:val="clear" w:color="000000" w:fill="FFFFFF"/>
            <w:vAlign w:val="bottom"/>
            <w:hideMark/>
          </w:tcPr>
          <w:p w14:paraId="58A36699"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1.18</w:t>
            </w:r>
          </w:p>
        </w:tc>
        <w:tc>
          <w:tcPr>
            <w:tcW w:w="1020" w:type="dxa"/>
            <w:tcBorders>
              <w:top w:val="nil"/>
              <w:left w:val="nil"/>
              <w:bottom w:val="single" w:sz="4" w:space="0" w:color="ADD5EA"/>
              <w:right w:val="nil"/>
            </w:tcBorders>
            <w:shd w:val="clear" w:color="000000" w:fill="FFFFFF"/>
            <w:vAlign w:val="bottom"/>
            <w:hideMark/>
          </w:tcPr>
          <w:p w14:paraId="0FA3E0AA"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1.91</w:t>
            </w:r>
          </w:p>
        </w:tc>
      </w:tr>
      <w:tr w:rsidR="00D9434E" w:rsidRPr="002152AF" w14:paraId="0D21C306" w14:textId="77777777" w:rsidTr="00DD216A">
        <w:trPr>
          <w:trHeight w:val="315"/>
        </w:trPr>
        <w:tc>
          <w:tcPr>
            <w:tcW w:w="4240" w:type="dxa"/>
            <w:tcBorders>
              <w:top w:val="nil"/>
              <w:left w:val="nil"/>
              <w:bottom w:val="single" w:sz="4" w:space="0" w:color="ADD5EA"/>
              <w:right w:val="nil"/>
            </w:tcBorders>
            <w:shd w:val="clear" w:color="000000" w:fill="FFFFFF"/>
            <w:noWrap/>
            <w:tcMar>
              <w:left w:w="0" w:type="dxa"/>
            </w:tcMar>
            <w:vAlign w:val="bottom"/>
            <w:hideMark/>
          </w:tcPr>
          <w:p w14:paraId="06DDE646" w14:textId="77777777" w:rsidR="00D9434E" w:rsidRPr="002152AF" w:rsidRDefault="00D9434E" w:rsidP="004D65FE">
            <w:pPr>
              <w:tabs>
                <w:tab w:val="clear" w:pos="567"/>
              </w:tabs>
              <w:spacing w:before="0" w:line="240" w:lineRule="auto"/>
              <w:rPr>
                <w:rFonts w:ascii="Open Sans SemiBold" w:eastAsia="Times New Roman" w:hAnsi="Open Sans SemiBold" w:cs="Open Sans SemiBold"/>
                <w:sz w:val="16"/>
                <w:szCs w:val="16"/>
                <w:lang w:eastAsia="en-AU"/>
              </w:rPr>
            </w:pPr>
            <w:r w:rsidRPr="002152AF">
              <w:rPr>
                <w:rFonts w:ascii="Open Sans SemiBold" w:eastAsia="Times New Roman" w:hAnsi="Open Sans SemiBold" w:cs="Open Sans SemiBold"/>
                <w:sz w:val="16"/>
                <w:szCs w:val="16"/>
                <w:lang w:eastAsia="en-AU"/>
              </w:rPr>
              <w:t>Emergency departments (by residence of patient)</w:t>
            </w:r>
          </w:p>
        </w:tc>
        <w:tc>
          <w:tcPr>
            <w:tcW w:w="640" w:type="dxa"/>
            <w:tcBorders>
              <w:top w:val="nil"/>
              <w:left w:val="nil"/>
              <w:bottom w:val="single" w:sz="4" w:space="0" w:color="ADD5EA"/>
              <w:right w:val="nil"/>
            </w:tcBorders>
            <w:shd w:val="clear" w:color="000000" w:fill="FFFFFF"/>
            <w:vAlign w:val="bottom"/>
            <w:hideMark/>
          </w:tcPr>
          <w:p w14:paraId="09D7C521"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35B23138"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10170DF5"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5F7F36F6"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2E6C55BB"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r>
      <w:tr w:rsidR="00D9434E" w:rsidRPr="002152AF" w14:paraId="3D085B57"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634379B8"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Regional costs</w:t>
            </w:r>
          </w:p>
        </w:tc>
        <w:tc>
          <w:tcPr>
            <w:tcW w:w="640" w:type="dxa"/>
            <w:tcBorders>
              <w:top w:val="nil"/>
              <w:left w:val="nil"/>
              <w:bottom w:val="single" w:sz="4" w:space="0" w:color="ADD5EA"/>
              <w:right w:val="nil"/>
            </w:tcBorders>
            <w:shd w:val="clear" w:color="000000" w:fill="FFFFFF"/>
            <w:vAlign w:val="bottom"/>
            <w:hideMark/>
          </w:tcPr>
          <w:p w14:paraId="2EA17F0E"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0494158E"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400B976B"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17BCAB81"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1.22</w:t>
            </w:r>
          </w:p>
        </w:tc>
        <w:tc>
          <w:tcPr>
            <w:tcW w:w="1020" w:type="dxa"/>
            <w:tcBorders>
              <w:top w:val="nil"/>
              <w:left w:val="nil"/>
              <w:bottom w:val="single" w:sz="4" w:space="0" w:color="ADD5EA"/>
              <w:right w:val="nil"/>
            </w:tcBorders>
            <w:shd w:val="clear" w:color="000000" w:fill="FFFFFF"/>
            <w:vAlign w:val="bottom"/>
            <w:hideMark/>
          </w:tcPr>
          <w:p w14:paraId="3C0C4037"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1.22</w:t>
            </w:r>
          </w:p>
        </w:tc>
      </w:tr>
      <w:tr w:rsidR="00D9434E" w:rsidRPr="002152AF" w14:paraId="4199EF05"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04A4FEE3"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SDS</w:t>
            </w:r>
          </w:p>
        </w:tc>
        <w:tc>
          <w:tcPr>
            <w:tcW w:w="640" w:type="dxa"/>
            <w:tcBorders>
              <w:top w:val="nil"/>
              <w:left w:val="nil"/>
              <w:bottom w:val="single" w:sz="4" w:space="0" w:color="ADD5EA"/>
              <w:right w:val="nil"/>
            </w:tcBorders>
            <w:shd w:val="clear" w:color="000000" w:fill="FFFFFF"/>
            <w:vAlign w:val="bottom"/>
            <w:hideMark/>
          </w:tcPr>
          <w:p w14:paraId="48D2FB9E"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610BBC3B"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1.04</w:t>
            </w:r>
          </w:p>
        </w:tc>
        <w:tc>
          <w:tcPr>
            <w:tcW w:w="1020" w:type="dxa"/>
            <w:tcBorders>
              <w:top w:val="nil"/>
              <w:left w:val="nil"/>
              <w:bottom w:val="single" w:sz="4" w:space="0" w:color="ADD5EA"/>
              <w:right w:val="nil"/>
            </w:tcBorders>
            <w:shd w:val="clear" w:color="000000" w:fill="FFFFFF"/>
            <w:vAlign w:val="bottom"/>
            <w:hideMark/>
          </w:tcPr>
          <w:p w14:paraId="1A41097D"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1.13</w:t>
            </w:r>
          </w:p>
        </w:tc>
        <w:tc>
          <w:tcPr>
            <w:tcW w:w="1020" w:type="dxa"/>
            <w:tcBorders>
              <w:top w:val="nil"/>
              <w:left w:val="nil"/>
              <w:bottom w:val="single" w:sz="4" w:space="0" w:color="ADD5EA"/>
              <w:right w:val="nil"/>
            </w:tcBorders>
            <w:shd w:val="clear" w:color="000000" w:fill="FFFFFF"/>
            <w:vAlign w:val="bottom"/>
            <w:hideMark/>
          </w:tcPr>
          <w:p w14:paraId="4C15C305"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1.16</w:t>
            </w:r>
          </w:p>
        </w:tc>
        <w:tc>
          <w:tcPr>
            <w:tcW w:w="1020" w:type="dxa"/>
            <w:tcBorders>
              <w:top w:val="nil"/>
              <w:left w:val="nil"/>
              <w:bottom w:val="single" w:sz="4" w:space="0" w:color="ADD5EA"/>
              <w:right w:val="nil"/>
            </w:tcBorders>
            <w:shd w:val="clear" w:color="000000" w:fill="FFFFFF"/>
            <w:vAlign w:val="bottom"/>
            <w:hideMark/>
          </w:tcPr>
          <w:p w14:paraId="79E78302"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1.54</w:t>
            </w:r>
          </w:p>
        </w:tc>
      </w:tr>
      <w:tr w:rsidR="00D9434E" w:rsidRPr="002152AF" w14:paraId="2E0B0AB4"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49736011"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Combined SDS &amp; Regional costs</w:t>
            </w:r>
          </w:p>
        </w:tc>
        <w:tc>
          <w:tcPr>
            <w:tcW w:w="640" w:type="dxa"/>
            <w:tcBorders>
              <w:top w:val="nil"/>
              <w:left w:val="nil"/>
              <w:bottom w:val="single" w:sz="4" w:space="0" w:color="ADD5EA"/>
              <w:right w:val="nil"/>
            </w:tcBorders>
            <w:shd w:val="clear" w:color="000000" w:fill="FFFFFF"/>
            <w:vAlign w:val="bottom"/>
            <w:hideMark/>
          </w:tcPr>
          <w:p w14:paraId="6A39506D"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33CF6726"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1.04</w:t>
            </w:r>
          </w:p>
        </w:tc>
        <w:tc>
          <w:tcPr>
            <w:tcW w:w="1020" w:type="dxa"/>
            <w:tcBorders>
              <w:top w:val="nil"/>
              <w:left w:val="nil"/>
              <w:bottom w:val="single" w:sz="4" w:space="0" w:color="ADD5EA"/>
              <w:right w:val="nil"/>
            </w:tcBorders>
            <w:shd w:val="clear" w:color="000000" w:fill="FFFFFF"/>
            <w:vAlign w:val="bottom"/>
            <w:hideMark/>
          </w:tcPr>
          <w:p w14:paraId="36B4F8D1"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1.13</w:t>
            </w:r>
          </w:p>
        </w:tc>
        <w:tc>
          <w:tcPr>
            <w:tcW w:w="1020" w:type="dxa"/>
            <w:tcBorders>
              <w:top w:val="nil"/>
              <w:left w:val="nil"/>
              <w:bottom w:val="single" w:sz="4" w:space="0" w:color="ADD5EA"/>
              <w:right w:val="nil"/>
            </w:tcBorders>
            <w:shd w:val="clear" w:color="000000" w:fill="FFFFFF"/>
            <w:vAlign w:val="bottom"/>
            <w:hideMark/>
          </w:tcPr>
          <w:p w14:paraId="57BA45DD"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1.42</w:t>
            </w:r>
          </w:p>
        </w:tc>
        <w:tc>
          <w:tcPr>
            <w:tcW w:w="1020" w:type="dxa"/>
            <w:tcBorders>
              <w:top w:val="nil"/>
              <w:left w:val="nil"/>
              <w:bottom w:val="single" w:sz="4" w:space="0" w:color="ADD5EA"/>
              <w:right w:val="nil"/>
            </w:tcBorders>
            <w:shd w:val="clear" w:color="000000" w:fill="FFFFFF"/>
            <w:vAlign w:val="bottom"/>
            <w:hideMark/>
          </w:tcPr>
          <w:p w14:paraId="20170442"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1.88</w:t>
            </w:r>
          </w:p>
        </w:tc>
      </w:tr>
      <w:tr w:rsidR="00D9434E" w:rsidRPr="002152AF" w14:paraId="6F67E001" w14:textId="77777777" w:rsidTr="00DD216A">
        <w:trPr>
          <w:trHeight w:val="315"/>
        </w:trPr>
        <w:tc>
          <w:tcPr>
            <w:tcW w:w="4240" w:type="dxa"/>
            <w:tcBorders>
              <w:top w:val="nil"/>
              <w:left w:val="nil"/>
              <w:bottom w:val="single" w:sz="4" w:space="0" w:color="ADD5EA"/>
              <w:right w:val="nil"/>
            </w:tcBorders>
            <w:shd w:val="clear" w:color="000000" w:fill="FFFFFF"/>
            <w:noWrap/>
            <w:tcMar>
              <w:left w:w="0" w:type="dxa"/>
            </w:tcMar>
            <w:vAlign w:val="bottom"/>
            <w:hideMark/>
          </w:tcPr>
          <w:p w14:paraId="78A6741A" w14:textId="77777777" w:rsidR="00D9434E" w:rsidRPr="002152AF" w:rsidRDefault="00D9434E" w:rsidP="004D65FE">
            <w:pPr>
              <w:tabs>
                <w:tab w:val="clear" w:pos="567"/>
              </w:tabs>
              <w:spacing w:before="0" w:line="240" w:lineRule="auto"/>
              <w:rPr>
                <w:rFonts w:ascii="Open Sans SemiBold" w:eastAsia="Times New Roman" w:hAnsi="Open Sans SemiBold" w:cs="Open Sans SemiBold"/>
                <w:sz w:val="16"/>
                <w:szCs w:val="16"/>
                <w:lang w:eastAsia="en-AU"/>
              </w:rPr>
            </w:pPr>
            <w:r w:rsidRPr="002152AF">
              <w:rPr>
                <w:rFonts w:ascii="Open Sans SemiBold" w:eastAsia="Times New Roman" w:hAnsi="Open Sans SemiBold" w:cs="Open Sans SemiBold"/>
                <w:sz w:val="16"/>
                <w:szCs w:val="16"/>
                <w:lang w:eastAsia="en-AU"/>
              </w:rPr>
              <w:t xml:space="preserve">Prisons (a) </w:t>
            </w:r>
          </w:p>
        </w:tc>
        <w:tc>
          <w:tcPr>
            <w:tcW w:w="640" w:type="dxa"/>
            <w:tcBorders>
              <w:top w:val="nil"/>
              <w:left w:val="nil"/>
              <w:bottom w:val="single" w:sz="4" w:space="0" w:color="ADD5EA"/>
              <w:right w:val="nil"/>
            </w:tcBorders>
            <w:shd w:val="clear" w:color="000000" w:fill="FFFFFF"/>
            <w:vAlign w:val="bottom"/>
            <w:hideMark/>
          </w:tcPr>
          <w:p w14:paraId="24C10C0C"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1CF7F2EA"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6F2ECA94"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711E8C38"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3BF6354F"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r>
      <w:tr w:rsidR="00D9434E" w:rsidRPr="002152AF" w14:paraId="5A4D5B16"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7F096B10"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Regional costs</w:t>
            </w:r>
          </w:p>
        </w:tc>
        <w:tc>
          <w:tcPr>
            <w:tcW w:w="640" w:type="dxa"/>
            <w:tcBorders>
              <w:top w:val="nil"/>
              <w:left w:val="nil"/>
              <w:bottom w:val="single" w:sz="4" w:space="0" w:color="ADD5EA"/>
              <w:right w:val="nil"/>
            </w:tcBorders>
            <w:shd w:val="clear" w:color="000000" w:fill="FFFFFF"/>
            <w:vAlign w:val="bottom"/>
            <w:hideMark/>
          </w:tcPr>
          <w:p w14:paraId="275D49D0"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40E573EC"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3D9D09E3"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4C912B8C"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1.14</w:t>
            </w:r>
          </w:p>
        </w:tc>
        <w:tc>
          <w:tcPr>
            <w:tcW w:w="1020" w:type="dxa"/>
            <w:tcBorders>
              <w:top w:val="nil"/>
              <w:left w:val="nil"/>
              <w:bottom w:val="single" w:sz="4" w:space="0" w:color="ADD5EA"/>
              <w:right w:val="nil"/>
            </w:tcBorders>
            <w:shd w:val="clear" w:color="000000" w:fill="FFFFFF"/>
            <w:vAlign w:val="bottom"/>
            <w:hideMark/>
          </w:tcPr>
          <w:p w14:paraId="78406AC7"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1.14</w:t>
            </w:r>
          </w:p>
        </w:tc>
      </w:tr>
      <w:tr w:rsidR="00D9434E" w:rsidRPr="002152AF" w14:paraId="7E565E14"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64AC5280"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SDS</w:t>
            </w:r>
          </w:p>
        </w:tc>
        <w:tc>
          <w:tcPr>
            <w:tcW w:w="640" w:type="dxa"/>
            <w:tcBorders>
              <w:top w:val="nil"/>
              <w:left w:val="nil"/>
              <w:bottom w:val="single" w:sz="4" w:space="0" w:color="ADD5EA"/>
              <w:right w:val="nil"/>
            </w:tcBorders>
            <w:shd w:val="clear" w:color="000000" w:fill="FFFFFF"/>
            <w:vAlign w:val="bottom"/>
            <w:hideMark/>
          </w:tcPr>
          <w:p w14:paraId="41E5EDD7"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2CE215D1"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786BBC0D"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581A49B7"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1.04</w:t>
            </w:r>
          </w:p>
        </w:tc>
        <w:tc>
          <w:tcPr>
            <w:tcW w:w="1020" w:type="dxa"/>
            <w:tcBorders>
              <w:top w:val="nil"/>
              <w:left w:val="nil"/>
              <w:bottom w:val="single" w:sz="4" w:space="0" w:color="ADD5EA"/>
              <w:right w:val="nil"/>
            </w:tcBorders>
            <w:shd w:val="clear" w:color="000000" w:fill="FFFFFF"/>
            <w:vAlign w:val="bottom"/>
            <w:hideMark/>
          </w:tcPr>
          <w:p w14:paraId="038AC93A"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1.04</w:t>
            </w:r>
          </w:p>
        </w:tc>
      </w:tr>
      <w:tr w:rsidR="00D9434E" w:rsidRPr="002152AF" w14:paraId="7FA0F38F"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52642551"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Combined SDS &amp; Regional costs</w:t>
            </w:r>
          </w:p>
        </w:tc>
        <w:tc>
          <w:tcPr>
            <w:tcW w:w="640" w:type="dxa"/>
            <w:tcBorders>
              <w:top w:val="nil"/>
              <w:left w:val="nil"/>
              <w:bottom w:val="single" w:sz="4" w:space="0" w:color="ADD5EA"/>
              <w:right w:val="nil"/>
            </w:tcBorders>
            <w:shd w:val="clear" w:color="000000" w:fill="FFFFFF"/>
            <w:vAlign w:val="bottom"/>
            <w:hideMark/>
          </w:tcPr>
          <w:p w14:paraId="66F87E99"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661D9C2E"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18FD806F"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5034CF21"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1.17</w:t>
            </w:r>
          </w:p>
        </w:tc>
        <w:tc>
          <w:tcPr>
            <w:tcW w:w="1020" w:type="dxa"/>
            <w:tcBorders>
              <w:top w:val="nil"/>
              <w:left w:val="nil"/>
              <w:bottom w:val="single" w:sz="4" w:space="0" w:color="ADD5EA"/>
              <w:right w:val="nil"/>
            </w:tcBorders>
            <w:shd w:val="clear" w:color="000000" w:fill="FFFFFF"/>
            <w:vAlign w:val="bottom"/>
            <w:hideMark/>
          </w:tcPr>
          <w:p w14:paraId="14FB16A8"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1.17</w:t>
            </w:r>
          </w:p>
        </w:tc>
      </w:tr>
      <w:tr w:rsidR="00D9434E" w:rsidRPr="002152AF" w14:paraId="3667B55F" w14:textId="77777777" w:rsidTr="00DD216A">
        <w:trPr>
          <w:trHeight w:val="315"/>
        </w:trPr>
        <w:tc>
          <w:tcPr>
            <w:tcW w:w="4240" w:type="dxa"/>
            <w:tcBorders>
              <w:top w:val="nil"/>
              <w:left w:val="nil"/>
              <w:bottom w:val="single" w:sz="4" w:space="0" w:color="ADD5EA"/>
              <w:right w:val="nil"/>
            </w:tcBorders>
            <w:shd w:val="clear" w:color="000000" w:fill="FFFFFF"/>
            <w:noWrap/>
            <w:tcMar>
              <w:left w:w="0" w:type="dxa"/>
            </w:tcMar>
            <w:vAlign w:val="bottom"/>
            <w:hideMark/>
          </w:tcPr>
          <w:p w14:paraId="5CACAE8E" w14:textId="77777777" w:rsidR="00D9434E" w:rsidRPr="002152AF" w:rsidRDefault="00D9434E" w:rsidP="004D65FE">
            <w:pPr>
              <w:tabs>
                <w:tab w:val="clear" w:pos="567"/>
              </w:tabs>
              <w:spacing w:before="0" w:line="240" w:lineRule="auto"/>
              <w:rPr>
                <w:rFonts w:ascii="Open Sans SemiBold" w:eastAsia="Times New Roman" w:hAnsi="Open Sans SemiBold" w:cs="Open Sans SemiBold"/>
                <w:sz w:val="16"/>
                <w:szCs w:val="16"/>
                <w:lang w:eastAsia="en-AU"/>
              </w:rPr>
            </w:pPr>
            <w:r w:rsidRPr="002152AF">
              <w:rPr>
                <w:rFonts w:ascii="Open Sans SemiBold" w:eastAsia="Times New Roman" w:hAnsi="Open Sans SemiBold" w:cs="Open Sans SemiBold"/>
                <w:sz w:val="16"/>
                <w:szCs w:val="16"/>
                <w:lang w:eastAsia="en-AU"/>
              </w:rPr>
              <w:t>Courts</w:t>
            </w:r>
          </w:p>
        </w:tc>
        <w:tc>
          <w:tcPr>
            <w:tcW w:w="640" w:type="dxa"/>
            <w:tcBorders>
              <w:top w:val="nil"/>
              <w:left w:val="nil"/>
              <w:bottom w:val="single" w:sz="4" w:space="0" w:color="ADD5EA"/>
              <w:right w:val="nil"/>
            </w:tcBorders>
            <w:shd w:val="clear" w:color="000000" w:fill="FFFFFF"/>
            <w:vAlign w:val="bottom"/>
            <w:hideMark/>
          </w:tcPr>
          <w:p w14:paraId="67B1764B"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1E140CFD"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0243156A"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62992C44"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294425B7"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r>
      <w:tr w:rsidR="00D9434E" w:rsidRPr="002152AF" w14:paraId="7D6CF534"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43A5D9D3"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Combined SDS &amp; Regional costs</w:t>
            </w:r>
          </w:p>
        </w:tc>
        <w:tc>
          <w:tcPr>
            <w:tcW w:w="640" w:type="dxa"/>
            <w:tcBorders>
              <w:top w:val="nil"/>
              <w:left w:val="nil"/>
              <w:bottom w:val="single" w:sz="4" w:space="0" w:color="ADD5EA"/>
              <w:right w:val="nil"/>
            </w:tcBorders>
            <w:shd w:val="clear" w:color="000000" w:fill="FFFFFF"/>
            <w:vAlign w:val="bottom"/>
            <w:hideMark/>
          </w:tcPr>
          <w:p w14:paraId="4CA24519"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0841BAEF"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5CAD170C"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775A1859"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1.21</w:t>
            </w:r>
          </w:p>
        </w:tc>
        <w:tc>
          <w:tcPr>
            <w:tcW w:w="1020" w:type="dxa"/>
            <w:tcBorders>
              <w:top w:val="nil"/>
              <w:left w:val="nil"/>
              <w:bottom w:val="single" w:sz="4" w:space="0" w:color="ADD5EA"/>
              <w:right w:val="nil"/>
            </w:tcBorders>
            <w:shd w:val="clear" w:color="000000" w:fill="FFFFFF"/>
            <w:vAlign w:val="bottom"/>
            <w:hideMark/>
          </w:tcPr>
          <w:p w14:paraId="56650B3D"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1.21</w:t>
            </w:r>
          </w:p>
        </w:tc>
      </w:tr>
      <w:tr w:rsidR="00D9434E" w:rsidRPr="002152AF" w14:paraId="58623437" w14:textId="77777777" w:rsidTr="00DD216A">
        <w:trPr>
          <w:trHeight w:val="315"/>
        </w:trPr>
        <w:tc>
          <w:tcPr>
            <w:tcW w:w="4240" w:type="dxa"/>
            <w:tcBorders>
              <w:top w:val="nil"/>
              <w:left w:val="nil"/>
              <w:bottom w:val="single" w:sz="4" w:space="0" w:color="ADD5EA"/>
              <w:right w:val="nil"/>
            </w:tcBorders>
            <w:shd w:val="clear" w:color="000000" w:fill="FFFFFF"/>
            <w:noWrap/>
            <w:tcMar>
              <w:left w:w="0" w:type="dxa"/>
            </w:tcMar>
            <w:vAlign w:val="bottom"/>
            <w:hideMark/>
          </w:tcPr>
          <w:p w14:paraId="5807C81F" w14:textId="77777777" w:rsidR="00D9434E" w:rsidRPr="002152AF" w:rsidRDefault="00D9434E" w:rsidP="004D65FE">
            <w:pPr>
              <w:tabs>
                <w:tab w:val="clear" w:pos="567"/>
              </w:tabs>
              <w:spacing w:before="0" w:line="240" w:lineRule="auto"/>
              <w:rPr>
                <w:rFonts w:ascii="Open Sans SemiBold" w:eastAsia="Times New Roman" w:hAnsi="Open Sans SemiBold" w:cs="Open Sans SemiBold"/>
                <w:sz w:val="16"/>
                <w:szCs w:val="16"/>
                <w:lang w:eastAsia="en-AU"/>
              </w:rPr>
            </w:pPr>
            <w:r w:rsidRPr="002152AF">
              <w:rPr>
                <w:rFonts w:ascii="Open Sans SemiBold" w:eastAsia="Times New Roman" w:hAnsi="Open Sans SemiBold" w:cs="Open Sans SemiBold"/>
                <w:sz w:val="16"/>
                <w:szCs w:val="16"/>
                <w:lang w:eastAsia="en-AU"/>
              </w:rPr>
              <w:t>Electricity subsidies</w:t>
            </w:r>
          </w:p>
        </w:tc>
        <w:tc>
          <w:tcPr>
            <w:tcW w:w="640" w:type="dxa"/>
            <w:tcBorders>
              <w:top w:val="nil"/>
              <w:left w:val="nil"/>
              <w:bottom w:val="single" w:sz="4" w:space="0" w:color="ADD5EA"/>
              <w:right w:val="nil"/>
            </w:tcBorders>
            <w:shd w:val="clear" w:color="000000" w:fill="FFFFFF"/>
            <w:vAlign w:val="bottom"/>
            <w:hideMark/>
          </w:tcPr>
          <w:p w14:paraId="3D952D65"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1EFB5742"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2B4F311B"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181BA025"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76DB5BEB"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r>
      <w:tr w:rsidR="00D9434E" w:rsidRPr="002152AF" w14:paraId="6270569C"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4A7A06E9"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Regional costs</w:t>
            </w:r>
          </w:p>
        </w:tc>
        <w:tc>
          <w:tcPr>
            <w:tcW w:w="640" w:type="dxa"/>
            <w:tcBorders>
              <w:top w:val="nil"/>
              <w:left w:val="nil"/>
              <w:bottom w:val="single" w:sz="4" w:space="0" w:color="ADD5EA"/>
              <w:right w:val="nil"/>
            </w:tcBorders>
            <w:shd w:val="clear" w:color="000000" w:fill="FFFFFF"/>
            <w:vAlign w:val="bottom"/>
            <w:hideMark/>
          </w:tcPr>
          <w:p w14:paraId="4667E5D2"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0.00</w:t>
            </w:r>
          </w:p>
        </w:tc>
        <w:tc>
          <w:tcPr>
            <w:tcW w:w="1020" w:type="dxa"/>
            <w:tcBorders>
              <w:top w:val="nil"/>
              <w:left w:val="nil"/>
              <w:bottom w:val="single" w:sz="4" w:space="0" w:color="ADD5EA"/>
              <w:right w:val="nil"/>
            </w:tcBorders>
            <w:shd w:val="clear" w:color="000000" w:fill="FFFFFF"/>
            <w:vAlign w:val="bottom"/>
            <w:hideMark/>
          </w:tcPr>
          <w:p w14:paraId="1AE88694"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0.00</w:t>
            </w:r>
          </w:p>
        </w:tc>
        <w:tc>
          <w:tcPr>
            <w:tcW w:w="1020" w:type="dxa"/>
            <w:tcBorders>
              <w:top w:val="nil"/>
              <w:left w:val="nil"/>
              <w:bottom w:val="single" w:sz="4" w:space="0" w:color="ADD5EA"/>
              <w:right w:val="nil"/>
            </w:tcBorders>
            <w:shd w:val="clear" w:color="000000" w:fill="FFFFFF"/>
            <w:vAlign w:val="bottom"/>
            <w:hideMark/>
          </w:tcPr>
          <w:p w14:paraId="657F94B6"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0.00</w:t>
            </w:r>
          </w:p>
        </w:tc>
        <w:tc>
          <w:tcPr>
            <w:tcW w:w="1020" w:type="dxa"/>
            <w:tcBorders>
              <w:top w:val="nil"/>
              <w:left w:val="nil"/>
              <w:bottom w:val="single" w:sz="4" w:space="0" w:color="ADD5EA"/>
              <w:right w:val="nil"/>
            </w:tcBorders>
            <w:shd w:val="clear" w:color="000000" w:fill="FFFFFF"/>
            <w:vAlign w:val="bottom"/>
            <w:hideMark/>
          </w:tcPr>
          <w:p w14:paraId="6A78E5C1"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3B12FC93"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3.45</w:t>
            </w:r>
          </w:p>
        </w:tc>
      </w:tr>
      <w:tr w:rsidR="00D9434E" w:rsidRPr="002152AF" w14:paraId="1F6146B8" w14:textId="77777777" w:rsidTr="00DD216A">
        <w:trPr>
          <w:trHeight w:val="315"/>
        </w:trPr>
        <w:tc>
          <w:tcPr>
            <w:tcW w:w="4240" w:type="dxa"/>
            <w:tcBorders>
              <w:top w:val="nil"/>
              <w:left w:val="nil"/>
              <w:bottom w:val="single" w:sz="4" w:space="0" w:color="ADD5EA"/>
              <w:right w:val="nil"/>
            </w:tcBorders>
            <w:shd w:val="clear" w:color="000000" w:fill="FFFFFF"/>
            <w:noWrap/>
            <w:tcMar>
              <w:left w:w="0" w:type="dxa"/>
            </w:tcMar>
            <w:vAlign w:val="bottom"/>
            <w:hideMark/>
          </w:tcPr>
          <w:p w14:paraId="0AB79C41" w14:textId="77777777" w:rsidR="00D9434E" w:rsidRPr="002152AF" w:rsidRDefault="00D9434E" w:rsidP="004D65FE">
            <w:pPr>
              <w:tabs>
                <w:tab w:val="clear" w:pos="567"/>
              </w:tabs>
              <w:spacing w:before="0" w:line="240" w:lineRule="auto"/>
              <w:rPr>
                <w:rFonts w:ascii="Open Sans SemiBold" w:eastAsia="Times New Roman" w:hAnsi="Open Sans SemiBold" w:cs="Open Sans SemiBold"/>
                <w:sz w:val="16"/>
                <w:szCs w:val="16"/>
                <w:lang w:eastAsia="en-AU"/>
              </w:rPr>
            </w:pPr>
            <w:r w:rsidRPr="002152AF">
              <w:rPr>
                <w:rFonts w:ascii="Open Sans SemiBold" w:eastAsia="Times New Roman" w:hAnsi="Open Sans SemiBold" w:cs="Open Sans SemiBold"/>
                <w:sz w:val="16"/>
                <w:szCs w:val="16"/>
                <w:lang w:eastAsia="en-AU"/>
              </w:rPr>
              <w:t>Water subsidies</w:t>
            </w:r>
          </w:p>
        </w:tc>
        <w:tc>
          <w:tcPr>
            <w:tcW w:w="640" w:type="dxa"/>
            <w:tcBorders>
              <w:top w:val="nil"/>
              <w:left w:val="nil"/>
              <w:bottom w:val="single" w:sz="4" w:space="0" w:color="ADD5EA"/>
              <w:right w:val="nil"/>
            </w:tcBorders>
            <w:shd w:val="clear" w:color="000000" w:fill="FFFFFF"/>
            <w:vAlign w:val="bottom"/>
            <w:hideMark/>
          </w:tcPr>
          <w:p w14:paraId="40F22D93"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25CB3094"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7F135EE0"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252BB1A9"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184B64A8"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r>
      <w:tr w:rsidR="00D9434E" w:rsidRPr="002152AF" w14:paraId="3EFEBE62"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71E2B178"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Regional costs</w:t>
            </w:r>
          </w:p>
        </w:tc>
        <w:tc>
          <w:tcPr>
            <w:tcW w:w="640" w:type="dxa"/>
            <w:tcBorders>
              <w:top w:val="nil"/>
              <w:left w:val="nil"/>
              <w:bottom w:val="single" w:sz="4" w:space="0" w:color="ADD5EA"/>
              <w:right w:val="nil"/>
            </w:tcBorders>
            <w:shd w:val="clear" w:color="000000" w:fill="FFFFFF"/>
            <w:vAlign w:val="bottom"/>
            <w:hideMark/>
          </w:tcPr>
          <w:p w14:paraId="20BF4461"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0.00</w:t>
            </w:r>
          </w:p>
        </w:tc>
        <w:tc>
          <w:tcPr>
            <w:tcW w:w="1020" w:type="dxa"/>
            <w:tcBorders>
              <w:top w:val="nil"/>
              <w:left w:val="nil"/>
              <w:bottom w:val="single" w:sz="4" w:space="0" w:color="ADD5EA"/>
              <w:right w:val="nil"/>
            </w:tcBorders>
            <w:shd w:val="clear" w:color="000000" w:fill="FFFFFF"/>
            <w:vAlign w:val="bottom"/>
            <w:hideMark/>
          </w:tcPr>
          <w:p w14:paraId="64AEF369"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26BCE980"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2.17</w:t>
            </w:r>
          </w:p>
        </w:tc>
        <w:tc>
          <w:tcPr>
            <w:tcW w:w="1020" w:type="dxa"/>
            <w:tcBorders>
              <w:top w:val="nil"/>
              <w:left w:val="nil"/>
              <w:bottom w:val="single" w:sz="4" w:space="0" w:color="ADD5EA"/>
              <w:right w:val="nil"/>
            </w:tcBorders>
            <w:shd w:val="clear" w:color="000000" w:fill="FFFFFF"/>
            <w:vAlign w:val="bottom"/>
            <w:hideMark/>
          </w:tcPr>
          <w:p w14:paraId="38568B9F"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4.45</w:t>
            </w:r>
          </w:p>
        </w:tc>
        <w:tc>
          <w:tcPr>
            <w:tcW w:w="1020" w:type="dxa"/>
            <w:tcBorders>
              <w:top w:val="nil"/>
              <w:left w:val="nil"/>
              <w:bottom w:val="single" w:sz="4" w:space="0" w:color="ADD5EA"/>
              <w:right w:val="nil"/>
            </w:tcBorders>
            <w:shd w:val="clear" w:color="000000" w:fill="FFFFFF"/>
            <w:vAlign w:val="bottom"/>
            <w:hideMark/>
          </w:tcPr>
          <w:p w14:paraId="6B372E79"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4.45</w:t>
            </w:r>
          </w:p>
        </w:tc>
      </w:tr>
      <w:tr w:rsidR="00D9434E" w:rsidRPr="002152AF" w14:paraId="6D10F260" w14:textId="77777777" w:rsidTr="00DD216A">
        <w:trPr>
          <w:trHeight w:val="315"/>
        </w:trPr>
        <w:tc>
          <w:tcPr>
            <w:tcW w:w="4240" w:type="dxa"/>
            <w:tcBorders>
              <w:top w:val="nil"/>
              <w:left w:val="nil"/>
              <w:bottom w:val="single" w:sz="4" w:space="0" w:color="ADD5EA"/>
              <w:right w:val="nil"/>
            </w:tcBorders>
            <w:shd w:val="clear" w:color="000000" w:fill="FFFFFF"/>
            <w:noWrap/>
            <w:tcMar>
              <w:left w:w="0" w:type="dxa"/>
            </w:tcMar>
            <w:vAlign w:val="bottom"/>
            <w:hideMark/>
          </w:tcPr>
          <w:p w14:paraId="4DDA9B21" w14:textId="77777777" w:rsidR="00D9434E" w:rsidRPr="002152AF" w:rsidRDefault="00D9434E" w:rsidP="004D65FE">
            <w:pPr>
              <w:tabs>
                <w:tab w:val="clear" w:pos="567"/>
              </w:tabs>
              <w:spacing w:before="0" w:line="240" w:lineRule="auto"/>
              <w:rPr>
                <w:rFonts w:ascii="Open Sans SemiBold" w:eastAsia="Times New Roman" w:hAnsi="Open Sans SemiBold" w:cs="Open Sans SemiBold"/>
                <w:sz w:val="16"/>
                <w:szCs w:val="16"/>
                <w:lang w:eastAsia="en-AU"/>
              </w:rPr>
            </w:pPr>
            <w:r w:rsidRPr="002152AF">
              <w:rPr>
                <w:rFonts w:ascii="Open Sans SemiBold" w:eastAsia="Times New Roman" w:hAnsi="Open Sans SemiBold" w:cs="Open Sans SemiBold"/>
                <w:sz w:val="16"/>
                <w:szCs w:val="16"/>
                <w:lang w:eastAsia="en-AU"/>
              </w:rPr>
              <w:t>Construction costs (b)</w:t>
            </w:r>
          </w:p>
        </w:tc>
        <w:tc>
          <w:tcPr>
            <w:tcW w:w="640" w:type="dxa"/>
            <w:tcBorders>
              <w:top w:val="nil"/>
              <w:left w:val="nil"/>
              <w:bottom w:val="single" w:sz="4" w:space="0" w:color="ADD5EA"/>
              <w:right w:val="nil"/>
            </w:tcBorders>
            <w:shd w:val="clear" w:color="000000" w:fill="FFFFFF"/>
            <w:vAlign w:val="bottom"/>
            <w:hideMark/>
          </w:tcPr>
          <w:p w14:paraId="567E1F8C"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3F8D208A"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24263071"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681D1E83"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c>
          <w:tcPr>
            <w:tcW w:w="1020" w:type="dxa"/>
            <w:tcBorders>
              <w:top w:val="nil"/>
              <w:left w:val="nil"/>
              <w:bottom w:val="single" w:sz="4" w:space="0" w:color="ADD5EA"/>
              <w:right w:val="nil"/>
            </w:tcBorders>
            <w:shd w:val="clear" w:color="000000" w:fill="FFFFFF"/>
            <w:vAlign w:val="bottom"/>
            <w:hideMark/>
          </w:tcPr>
          <w:p w14:paraId="40288206"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 </w:t>
            </w:r>
          </w:p>
        </w:tc>
      </w:tr>
      <w:tr w:rsidR="00D9434E" w:rsidRPr="002152AF" w14:paraId="70BD54A8" w14:textId="77777777" w:rsidTr="00DD216A">
        <w:trPr>
          <w:trHeight w:val="315"/>
        </w:trPr>
        <w:tc>
          <w:tcPr>
            <w:tcW w:w="4240" w:type="dxa"/>
            <w:tcBorders>
              <w:top w:val="nil"/>
              <w:left w:val="nil"/>
              <w:bottom w:val="single" w:sz="4" w:space="0" w:color="ADD5EA"/>
              <w:right w:val="nil"/>
            </w:tcBorders>
            <w:shd w:val="clear" w:color="000000" w:fill="FFFFFF"/>
            <w:tcMar>
              <w:left w:w="0" w:type="dxa"/>
            </w:tcMar>
            <w:vAlign w:val="bottom"/>
            <w:hideMark/>
          </w:tcPr>
          <w:p w14:paraId="3E2F30AE" w14:textId="77777777" w:rsidR="00D9434E" w:rsidRPr="002152AF" w:rsidRDefault="00D9434E" w:rsidP="004D65FE">
            <w:pPr>
              <w:tabs>
                <w:tab w:val="clear" w:pos="567"/>
              </w:tabs>
              <w:spacing w:before="0" w:line="240" w:lineRule="auto"/>
              <w:ind w:firstLineChars="100" w:firstLine="160"/>
              <w:rPr>
                <w:rFonts w:eastAsia="Times New Roman" w:cs="Open Sans Light"/>
                <w:sz w:val="16"/>
                <w:szCs w:val="16"/>
                <w:lang w:eastAsia="en-AU"/>
              </w:rPr>
            </w:pPr>
            <w:r w:rsidRPr="002152AF">
              <w:rPr>
                <w:rFonts w:eastAsia="Times New Roman" w:cs="Open Sans Light"/>
                <w:sz w:val="16"/>
                <w:szCs w:val="16"/>
                <w:lang w:eastAsia="en-AU"/>
              </w:rPr>
              <w:t>Regional costs</w:t>
            </w:r>
          </w:p>
        </w:tc>
        <w:tc>
          <w:tcPr>
            <w:tcW w:w="640" w:type="dxa"/>
            <w:tcBorders>
              <w:top w:val="nil"/>
              <w:left w:val="nil"/>
              <w:bottom w:val="single" w:sz="4" w:space="0" w:color="ADD5EA"/>
              <w:right w:val="nil"/>
            </w:tcBorders>
            <w:shd w:val="clear" w:color="000000" w:fill="FFFFFF"/>
            <w:vAlign w:val="bottom"/>
            <w:hideMark/>
          </w:tcPr>
          <w:p w14:paraId="336B5AF4"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1.00</w:t>
            </w:r>
          </w:p>
        </w:tc>
        <w:tc>
          <w:tcPr>
            <w:tcW w:w="1020" w:type="dxa"/>
            <w:tcBorders>
              <w:top w:val="nil"/>
              <w:left w:val="nil"/>
              <w:bottom w:val="single" w:sz="4" w:space="0" w:color="ADD5EA"/>
              <w:right w:val="nil"/>
            </w:tcBorders>
            <w:shd w:val="clear" w:color="000000" w:fill="FFFFFF"/>
            <w:vAlign w:val="bottom"/>
            <w:hideMark/>
          </w:tcPr>
          <w:p w14:paraId="388D1104"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1.06</w:t>
            </w:r>
          </w:p>
        </w:tc>
        <w:tc>
          <w:tcPr>
            <w:tcW w:w="1020" w:type="dxa"/>
            <w:tcBorders>
              <w:top w:val="nil"/>
              <w:left w:val="nil"/>
              <w:bottom w:val="single" w:sz="4" w:space="0" w:color="ADD5EA"/>
              <w:right w:val="nil"/>
            </w:tcBorders>
            <w:shd w:val="clear" w:color="000000" w:fill="FFFFFF"/>
            <w:vAlign w:val="bottom"/>
            <w:hideMark/>
          </w:tcPr>
          <w:p w14:paraId="16D2A025"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1.14</w:t>
            </w:r>
          </w:p>
        </w:tc>
        <w:tc>
          <w:tcPr>
            <w:tcW w:w="1020" w:type="dxa"/>
            <w:tcBorders>
              <w:top w:val="nil"/>
              <w:left w:val="nil"/>
              <w:bottom w:val="single" w:sz="4" w:space="0" w:color="ADD5EA"/>
              <w:right w:val="nil"/>
            </w:tcBorders>
            <w:shd w:val="clear" w:color="000000" w:fill="FFFFFF"/>
            <w:vAlign w:val="bottom"/>
            <w:hideMark/>
          </w:tcPr>
          <w:p w14:paraId="29566F2E"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1.27</w:t>
            </w:r>
          </w:p>
        </w:tc>
        <w:tc>
          <w:tcPr>
            <w:tcW w:w="1020" w:type="dxa"/>
            <w:tcBorders>
              <w:top w:val="nil"/>
              <w:left w:val="nil"/>
              <w:bottom w:val="single" w:sz="4" w:space="0" w:color="ADD5EA"/>
              <w:right w:val="nil"/>
            </w:tcBorders>
            <w:shd w:val="clear" w:color="000000" w:fill="FFFFFF"/>
            <w:vAlign w:val="bottom"/>
            <w:hideMark/>
          </w:tcPr>
          <w:p w14:paraId="73F3F2FA" w14:textId="77777777" w:rsidR="00D9434E" w:rsidRPr="002152AF" w:rsidRDefault="00D9434E" w:rsidP="004D65FE">
            <w:pPr>
              <w:tabs>
                <w:tab w:val="clear" w:pos="567"/>
              </w:tabs>
              <w:spacing w:before="0" w:line="240" w:lineRule="auto"/>
              <w:jc w:val="right"/>
              <w:rPr>
                <w:rFonts w:eastAsia="Times New Roman" w:cs="Open Sans Light"/>
                <w:sz w:val="16"/>
                <w:szCs w:val="16"/>
                <w:lang w:eastAsia="en-AU"/>
              </w:rPr>
            </w:pPr>
            <w:r w:rsidRPr="002152AF">
              <w:rPr>
                <w:rFonts w:eastAsia="Times New Roman" w:cs="Open Sans Light"/>
                <w:sz w:val="16"/>
                <w:szCs w:val="16"/>
                <w:lang w:eastAsia="en-AU"/>
              </w:rPr>
              <w:t>1.34</w:t>
            </w:r>
          </w:p>
        </w:tc>
      </w:tr>
    </w:tbl>
    <w:p w14:paraId="2A65AA58" w14:textId="6D50178A" w:rsidR="00D9434E" w:rsidRDefault="00D9434E" w:rsidP="00D9434E">
      <w:pPr>
        <w:pStyle w:val="CGCTablenote"/>
      </w:pPr>
      <w:r>
        <w:t>Note:</w:t>
      </w:r>
      <w:r>
        <w:tab/>
        <w:t xml:space="preserve">Regional costs and SDS are multiplicative factors in all categories except </w:t>
      </w:r>
      <w:r w:rsidR="009C5D38">
        <w:t>S</w:t>
      </w:r>
      <w:r>
        <w:t xml:space="preserve">chools, where the factors were calculated from a regression equation which is additive in nature. The factors are therefore applied additively in </w:t>
      </w:r>
      <w:r w:rsidR="009C5D38">
        <w:t>the S</w:t>
      </w:r>
      <w:r>
        <w:t>chools</w:t>
      </w:r>
      <w:r w:rsidR="009C5D38">
        <w:t xml:space="preserve"> catgeory</w:t>
      </w:r>
      <w:r>
        <w:t xml:space="preserve">. </w:t>
      </w:r>
    </w:p>
    <w:p w14:paraId="1944A872" w14:textId="77777777" w:rsidR="00D9434E" w:rsidRPr="00560A59" w:rsidRDefault="00D9434E" w:rsidP="00D9434E">
      <w:pPr>
        <w:pStyle w:val="CGCTablenote"/>
      </w:pPr>
      <w:r>
        <w:tab/>
        <w:t>Data are the latest available. In most cases this is 2017-18.</w:t>
      </w:r>
    </w:p>
    <w:p w14:paraId="79FED2E9" w14:textId="77777777" w:rsidR="00D9434E" w:rsidRDefault="00D9434E" w:rsidP="00D9434E">
      <w:pPr>
        <w:pStyle w:val="CGCTablenote"/>
      </w:pPr>
      <w:r>
        <w:t>(a)</w:t>
      </w:r>
      <w:r>
        <w:tab/>
        <w:t>Adjusted from place of prison.</w:t>
      </w:r>
    </w:p>
    <w:p w14:paraId="3FEE2902" w14:textId="77777777" w:rsidR="00D9434E" w:rsidRPr="005B1BC8" w:rsidRDefault="00D9434E" w:rsidP="00D9434E">
      <w:pPr>
        <w:pStyle w:val="CGCTablenote"/>
      </w:pPr>
      <w:r w:rsidRPr="005B1BC8">
        <w:t>(</w:t>
      </w:r>
      <w:r>
        <w:t>b</w:t>
      </w:r>
      <w:r w:rsidRPr="005B1BC8">
        <w:t xml:space="preserve">) </w:t>
      </w:r>
      <w:r>
        <w:tab/>
      </w:r>
      <w:r w:rsidRPr="005B1BC8">
        <w:t xml:space="preserve">This represents the national average construction cost gradient. </w:t>
      </w:r>
      <w:r>
        <w:t>A State specific version of this gradient is used in the Investment assessment.</w:t>
      </w:r>
    </w:p>
    <w:p w14:paraId="2EA80F03" w14:textId="77777777" w:rsidR="00D9434E" w:rsidRDefault="00D9434E" w:rsidP="00D9434E">
      <w:pPr>
        <w:pStyle w:val="CGCTablenote"/>
      </w:pPr>
      <w:r w:rsidRPr="005B1BC8">
        <w:t>Source:</w:t>
      </w:r>
      <w:r w:rsidRPr="005B1BC8">
        <w:tab/>
        <w:t>Commission calculation.</w:t>
      </w:r>
    </w:p>
    <w:p w14:paraId="0054C567" w14:textId="5A97311E" w:rsidR="00D9434E" w:rsidRDefault="00D9434E" w:rsidP="00F47EC7">
      <w:pPr>
        <w:pStyle w:val="CGCParaNumber"/>
      </w:pPr>
      <w:r>
        <w:t xml:space="preserve">Where regional costs cannot be directly measured, these have been extrapolated using the average of the admitted patient and school regional cost gradients (referred to as the general gradient). The assessment approach to regional costs and SDS for each expense category is shown in </w:t>
      </w:r>
      <w:r>
        <w:fldChar w:fldCharType="begin"/>
      </w:r>
      <w:r>
        <w:instrText xml:space="preserve"> REF _Ref5636610 \h </w:instrText>
      </w:r>
      <w:r>
        <w:fldChar w:fldCharType="separate"/>
      </w:r>
      <w:r w:rsidR="007F721A">
        <w:t>Table 28-</w:t>
      </w:r>
      <w:r w:rsidR="007F721A">
        <w:rPr>
          <w:noProof/>
        </w:rPr>
        <w:t>4</w:t>
      </w:r>
      <w:r>
        <w:fldChar w:fldCharType="end"/>
      </w:r>
      <w:r>
        <w:t>.</w:t>
      </w:r>
    </w:p>
    <w:p w14:paraId="4F25B5B1" w14:textId="7BAA6D85" w:rsidR="00D9434E" w:rsidRDefault="00D9434E" w:rsidP="00D9434E">
      <w:pPr>
        <w:pStyle w:val="Caption"/>
        <w:ind w:left="0" w:firstLine="0"/>
      </w:pPr>
      <w:bookmarkStart w:id="557" w:name="_Ref5636610"/>
      <w:r>
        <w:lastRenderedPageBreak/>
        <w:t>Table 28-</w:t>
      </w:r>
      <w:fldSimple w:instr=" SEQ Table \* ARABIC ">
        <w:r w:rsidR="007F721A">
          <w:rPr>
            <w:noProof/>
          </w:rPr>
          <w:t>4</w:t>
        </w:r>
      </w:fldSimple>
      <w:bookmarkEnd w:id="557"/>
      <w:r>
        <w:tab/>
        <w:t>Measure of regional costs and SDS by component</w:t>
      </w:r>
    </w:p>
    <w:tbl>
      <w:tblPr>
        <w:tblW w:w="8690" w:type="dxa"/>
        <w:tblCellMar>
          <w:left w:w="28" w:type="dxa"/>
          <w:right w:w="28" w:type="dxa"/>
        </w:tblCellMar>
        <w:tblLook w:val="04A0" w:firstRow="1" w:lastRow="0" w:firstColumn="1" w:lastColumn="0" w:noHBand="0" w:noVBand="1"/>
      </w:tblPr>
      <w:tblGrid>
        <w:gridCol w:w="3626"/>
        <w:gridCol w:w="1267"/>
        <w:gridCol w:w="257"/>
        <w:gridCol w:w="2366"/>
        <w:gridCol w:w="1190"/>
      </w:tblGrid>
      <w:tr w:rsidR="00D9434E" w:rsidRPr="0026623F" w14:paraId="0084845F" w14:textId="77777777" w:rsidTr="00DD216A">
        <w:trPr>
          <w:trHeight w:val="375"/>
        </w:trPr>
        <w:tc>
          <w:tcPr>
            <w:tcW w:w="3618" w:type="dxa"/>
            <w:tcBorders>
              <w:top w:val="nil"/>
              <w:left w:val="nil"/>
              <w:bottom w:val="nil"/>
              <w:right w:val="nil"/>
            </w:tcBorders>
            <w:shd w:val="clear" w:color="000000" w:fill="006991"/>
            <w:noWrap/>
            <w:tcMar>
              <w:left w:w="0" w:type="dxa"/>
            </w:tcMar>
            <w:vAlign w:val="center"/>
            <w:hideMark/>
          </w:tcPr>
          <w:p w14:paraId="74B826C2"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26623F">
              <w:rPr>
                <w:rFonts w:ascii="Open Sans SemiBold" w:eastAsia="Times New Roman" w:hAnsi="Open Sans SemiBold" w:cs="Open Sans SemiBold"/>
                <w:color w:val="FFFFFF"/>
                <w:sz w:val="16"/>
                <w:szCs w:val="16"/>
                <w:lang w:eastAsia="en-AU"/>
              </w:rPr>
              <w:t>Component</w:t>
            </w:r>
          </w:p>
        </w:tc>
        <w:tc>
          <w:tcPr>
            <w:tcW w:w="1267" w:type="dxa"/>
            <w:tcBorders>
              <w:top w:val="nil"/>
              <w:left w:val="nil"/>
              <w:bottom w:val="nil"/>
              <w:right w:val="nil"/>
            </w:tcBorders>
            <w:shd w:val="clear" w:color="000000" w:fill="006991"/>
            <w:noWrap/>
            <w:vAlign w:val="center"/>
            <w:hideMark/>
          </w:tcPr>
          <w:p w14:paraId="57B3D870"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26623F">
              <w:rPr>
                <w:rFonts w:ascii="Open Sans SemiBold" w:eastAsia="Times New Roman" w:hAnsi="Open Sans SemiBold" w:cs="Open Sans SemiBold"/>
                <w:color w:val="FFFFFF"/>
                <w:sz w:val="16"/>
                <w:szCs w:val="16"/>
                <w:lang w:eastAsia="en-AU"/>
              </w:rPr>
              <w:t>Measure</w:t>
            </w:r>
          </w:p>
        </w:tc>
        <w:tc>
          <w:tcPr>
            <w:tcW w:w="257" w:type="dxa"/>
            <w:tcBorders>
              <w:top w:val="nil"/>
              <w:left w:val="nil"/>
              <w:bottom w:val="single" w:sz="4" w:space="0" w:color="DCE6F1"/>
              <w:right w:val="nil"/>
            </w:tcBorders>
            <w:shd w:val="clear" w:color="000000" w:fill="006991"/>
            <w:noWrap/>
            <w:vAlign w:val="center"/>
            <w:hideMark/>
          </w:tcPr>
          <w:p w14:paraId="2983132F" w14:textId="77777777" w:rsidR="00D9434E" w:rsidRPr="00B86171" w:rsidRDefault="00D9434E" w:rsidP="004D65FE">
            <w:pPr>
              <w:keepNext/>
              <w:tabs>
                <w:tab w:val="clear" w:pos="567"/>
              </w:tabs>
              <w:spacing w:before="0" w:line="240" w:lineRule="auto"/>
              <w:jc w:val="right"/>
              <w:rPr>
                <w:rFonts w:eastAsia="Times New Roman" w:cs="Open Sans Light"/>
                <w:color w:val="FFFFFF"/>
                <w:sz w:val="16"/>
                <w:szCs w:val="16"/>
                <w:lang w:eastAsia="en-AU"/>
              </w:rPr>
            </w:pPr>
            <w:r w:rsidRPr="00B86171">
              <w:rPr>
                <w:rFonts w:eastAsia="Times New Roman" w:cs="Open Sans Light"/>
                <w:color w:val="FFFFFF"/>
                <w:sz w:val="16"/>
                <w:szCs w:val="16"/>
                <w:lang w:eastAsia="en-AU"/>
              </w:rPr>
              <w:t> </w:t>
            </w:r>
          </w:p>
        </w:tc>
        <w:tc>
          <w:tcPr>
            <w:tcW w:w="2358" w:type="dxa"/>
            <w:tcBorders>
              <w:top w:val="nil"/>
              <w:left w:val="nil"/>
              <w:bottom w:val="single" w:sz="4" w:space="0" w:color="DCE6F1"/>
              <w:right w:val="nil"/>
            </w:tcBorders>
            <w:shd w:val="clear" w:color="000000" w:fill="006991"/>
            <w:noWrap/>
            <w:tcMar>
              <w:left w:w="0" w:type="dxa"/>
            </w:tcMar>
            <w:vAlign w:val="center"/>
            <w:hideMark/>
          </w:tcPr>
          <w:p w14:paraId="2483CB64"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26623F">
              <w:rPr>
                <w:rFonts w:ascii="Open Sans SemiBold" w:eastAsia="Times New Roman" w:hAnsi="Open Sans SemiBold" w:cs="Open Sans SemiBold"/>
                <w:color w:val="FFFFFF"/>
                <w:sz w:val="16"/>
                <w:szCs w:val="16"/>
                <w:lang w:eastAsia="en-AU"/>
              </w:rPr>
              <w:t>Component</w:t>
            </w:r>
          </w:p>
        </w:tc>
        <w:tc>
          <w:tcPr>
            <w:tcW w:w="1190" w:type="dxa"/>
            <w:tcBorders>
              <w:top w:val="nil"/>
              <w:left w:val="nil"/>
              <w:bottom w:val="single" w:sz="4" w:space="0" w:color="DCE6F1"/>
              <w:right w:val="nil"/>
            </w:tcBorders>
            <w:shd w:val="clear" w:color="000000" w:fill="006991"/>
            <w:noWrap/>
            <w:vAlign w:val="center"/>
            <w:hideMark/>
          </w:tcPr>
          <w:p w14:paraId="6F1E8295"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color w:val="FFFFFF"/>
                <w:sz w:val="16"/>
                <w:szCs w:val="16"/>
                <w:lang w:eastAsia="en-AU"/>
              </w:rPr>
            </w:pPr>
            <w:r w:rsidRPr="0026623F">
              <w:rPr>
                <w:rFonts w:ascii="Open Sans SemiBold" w:eastAsia="Times New Roman" w:hAnsi="Open Sans SemiBold" w:cs="Open Sans SemiBold"/>
                <w:color w:val="FFFFFF"/>
                <w:sz w:val="16"/>
                <w:szCs w:val="16"/>
                <w:lang w:eastAsia="en-AU"/>
              </w:rPr>
              <w:t>Measure</w:t>
            </w:r>
          </w:p>
        </w:tc>
      </w:tr>
      <w:tr w:rsidR="00D9434E" w:rsidRPr="0026623F" w14:paraId="357FEF0B" w14:textId="77777777" w:rsidTr="00DD216A">
        <w:trPr>
          <w:trHeight w:val="315"/>
        </w:trPr>
        <w:tc>
          <w:tcPr>
            <w:tcW w:w="3618" w:type="dxa"/>
            <w:tcBorders>
              <w:top w:val="single" w:sz="4" w:space="0" w:color="DCE6F1"/>
              <w:left w:val="nil"/>
              <w:bottom w:val="single" w:sz="4" w:space="0" w:color="ADD5EA"/>
              <w:right w:val="nil"/>
            </w:tcBorders>
            <w:shd w:val="clear" w:color="000000" w:fill="FFFFFF"/>
            <w:noWrap/>
            <w:tcMar>
              <w:left w:w="0" w:type="dxa"/>
            </w:tcMar>
            <w:vAlign w:val="bottom"/>
            <w:hideMark/>
          </w:tcPr>
          <w:p w14:paraId="76D6D5E6"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26623F">
              <w:rPr>
                <w:rFonts w:ascii="Open Sans SemiBold" w:eastAsia="Times New Roman" w:hAnsi="Open Sans SemiBold" w:cs="Open Sans SemiBold"/>
                <w:sz w:val="16"/>
                <w:szCs w:val="16"/>
                <w:lang w:eastAsia="en-AU"/>
              </w:rPr>
              <w:t>Schools</w:t>
            </w:r>
          </w:p>
        </w:tc>
        <w:tc>
          <w:tcPr>
            <w:tcW w:w="1267" w:type="dxa"/>
            <w:tcBorders>
              <w:top w:val="single" w:sz="4" w:space="0" w:color="DCE6F1"/>
              <w:left w:val="nil"/>
              <w:bottom w:val="single" w:sz="4" w:space="0" w:color="ADD5EA"/>
              <w:right w:val="nil"/>
            </w:tcBorders>
            <w:shd w:val="clear" w:color="000000" w:fill="FFFFFF"/>
            <w:noWrap/>
            <w:vAlign w:val="center"/>
            <w:hideMark/>
          </w:tcPr>
          <w:p w14:paraId="2AD8CAE6"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b/>
                <w:bCs/>
                <w:sz w:val="16"/>
                <w:szCs w:val="16"/>
                <w:lang w:eastAsia="en-AU"/>
              </w:rPr>
            </w:pPr>
            <w:r w:rsidRPr="0026623F">
              <w:rPr>
                <w:rFonts w:ascii="Open Sans SemiBold" w:eastAsia="Times New Roman" w:hAnsi="Open Sans SemiBold" w:cs="Open Sans SemiBold"/>
                <w:b/>
                <w:bCs/>
                <w:sz w:val="16"/>
                <w:szCs w:val="16"/>
                <w:lang w:eastAsia="en-AU"/>
              </w:rPr>
              <w:t> </w:t>
            </w:r>
          </w:p>
        </w:tc>
        <w:tc>
          <w:tcPr>
            <w:tcW w:w="257" w:type="dxa"/>
            <w:tcBorders>
              <w:top w:val="nil"/>
              <w:left w:val="nil"/>
              <w:bottom w:val="nil"/>
              <w:right w:val="nil"/>
            </w:tcBorders>
            <w:shd w:val="clear" w:color="auto" w:fill="auto"/>
            <w:noWrap/>
            <w:vAlign w:val="bottom"/>
            <w:hideMark/>
          </w:tcPr>
          <w:p w14:paraId="59EC9F9D"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65B41D81"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26623F">
              <w:rPr>
                <w:rFonts w:ascii="Open Sans SemiBold" w:eastAsia="Times New Roman" w:hAnsi="Open Sans SemiBold" w:cs="Open Sans SemiBold"/>
                <w:sz w:val="16"/>
                <w:szCs w:val="16"/>
                <w:lang w:eastAsia="en-AU"/>
              </w:rPr>
              <w:t>Justice</w:t>
            </w:r>
          </w:p>
        </w:tc>
        <w:tc>
          <w:tcPr>
            <w:tcW w:w="1190" w:type="dxa"/>
            <w:tcBorders>
              <w:top w:val="nil"/>
              <w:left w:val="nil"/>
              <w:bottom w:val="single" w:sz="4" w:space="0" w:color="ADD5EA"/>
              <w:right w:val="nil"/>
            </w:tcBorders>
            <w:shd w:val="clear" w:color="000000" w:fill="FFFFFF"/>
            <w:noWrap/>
            <w:vAlign w:val="center"/>
            <w:hideMark/>
          </w:tcPr>
          <w:p w14:paraId="49DCC50A"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b/>
                <w:bCs/>
                <w:sz w:val="16"/>
                <w:szCs w:val="16"/>
                <w:lang w:eastAsia="en-AU"/>
              </w:rPr>
            </w:pPr>
            <w:r w:rsidRPr="0026623F">
              <w:rPr>
                <w:rFonts w:ascii="Open Sans SemiBold" w:eastAsia="Times New Roman" w:hAnsi="Open Sans SemiBold" w:cs="Open Sans SemiBold"/>
                <w:b/>
                <w:bCs/>
                <w:sz w:val="16"/>
                <w:szCs w:val="16"/>
                <w:lang w:eastAsia="en-AU"/>
              </w:rPr>
              <w:t> </w:t>
            </w:r>
          </w:p>
        </w:tc>
      </w:tr>
      <w:tr w:rsidR="00D9434E" w:rsidRPr="0026623F" w14:paraId="64A2077B"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08024DBE"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State funded government schools</w:t>
            </w:r>
          </w:p>
        </w:tc>
        <w:tc>
          <w:tcPr>
            <w:tcW w:w="1267" w:type="dxa"/>
            <w:tcBorders>
              <w:top w:val="nil"/>
              <w:left w:val="nil"/>
              <w:bottom w:val="single" w:sz="4" w:space="0" w:color="ADD5EA"/>
              <w:right w:val="nil"/>
            </w:tcBorders>
            <w:shd w:val="clear" w:color="000000" w:fill="FFFFFF"/>
            <w:noWrap/>
            <w:vAlign w:val="bottom"/>
            <w:hideMark/>
          </w:tcPr>
          <w:p w14:paraId="5B6D3635"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RC &amp; SDS</w:t>
            </w:r>
          </w:p>
        </w:tc>
        <w:tc>
          <w:tcPr>
            <w:tcW w:w="257" w:type="dxa"/>
            <w:tcBorders>
              <w:top w:val="nil"/>
              <w:left w:val="nil"/>
              <w:bottom w:val="nil"/>
              <w:right w:val="nil"/>
            </w:tcBorders>
            <w:shd w:val="clear" w:color="auto" w:fill="auto"/>
            <w:noWrap/>
            <w:vAlign w:val="bottom"/>
            <w:hideMark/>
          </w:tcPr>
          <w:p w14:paraId="07C57456"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3D0CBBFE"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Police</w:t>
            </w:r>
          </w:p>
        </w:tc>
        <w:tc>
          <w:tcPr>
            <w:tcW w:w="1190" w:type="dxa"/>
            <w:tcBorders>
              <w:top w:val="nil"/>
              <w:left w:val="nil"/>
              <w:bottom w:val="single" w:sz="4" w:space="0" w:color="ADD5EA"/>
              <w:right w:val="nil"/>
            </w:tcBorders>
            <w:shd w:val="clear" w:color="000000" w:fill="FFFFFF"/>
            <w:noWrap/>
            <w:vAlign w:val="bottom"/>
            <w:hideMark/>
          </w:tcPr>
          <w:p w14:paraId="2C94D452"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Implicit</w:t>
            </w:r>
          </w:p>
        </w:tc>
      </w:tr>
      <w:tr w:rsidR="00D9434E" w:rsidRPr="0026623F" w14:paraId="4F011E99"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3705F4A4"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Commonwealth funded government schools</w:t>
            </w:r>
          </w:p>
        </w:tc>
        <w:tc>
          <w:tcPr>
            <w:tcW w:w="1267" w:type="dxa"/>
            <w:tcBorders>
              <w:top w:val="nil"/>
              <w:left w:val="nil"/>
              <w:bottom w:val="single" w:sz="4" w:space="0" w:color="ADD5EA"/>
              <w:right w:val="nil"/>
            </w:tcBorders>
            <w:shd w:val="clear" w:color="000000" w:fill="FFFFFF"/>
            <w:noWrap/>
            <w:vAlign w:val="bottom"/>
            <w:hideMark/>
          </w:tcPr>
          <w:p w14:paraId="7A871430"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w:t>
            </w:r>
          </w:p>
        </w:tc>
        <w:tc>
          <w:tcPr>
            <w:tcW w:w="257" w:type="dxa"/>
            <w:tcBorders>
              <w:top w:val="nil"/>
              <w:left w:val="nil"/>
              <w:bottom w:val="nil"/>
              <w:right w:val="nil"/>
            </w:tcBorders>
            <w:shd w:val="clear" w:color="auto" w:fill="auto"/>
            <w:vAlign w:val="bottom"/>
            <w:hideMark/>
          </w:tcPr>
          <w:p w14:paraId="2B1E62C2"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47BF86EA"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Criminal Courts</w:t>
            </w:r>
          </w:p>
        </w:tc>
        <w:tc>
          <w:tcPr>
            <w:tcW w:w="1190" w:type="dxa"/>
            <w:tcBorders>
              <w:top w:val="nil"/>
              <w:left w:val="nil"/>
              <w:bottom w:val="single" w:sz="4" w:space="0" w:color="ADD5EA"/>
              <w:right w:val="nil"/>
            </w:tcBorders>
            <w:shd w:val="clear" w:color="000000" w:fill="FFFFFF"/>
            <w:noWrap/>
            <w:vAlign w:val="bottom"/>
            <w:hideMark/>
          </w:tcPr>
          <w:p w14:paraId="19A7A211"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RC &amp; SDS</w:t>
            </w:r>
          </w:p>
        </w:tc>
      </w:tr>
      <w:tr w:rsidR="00D9434E" w:rsidRPr="0026623F" w14:paraId="71A18C3F"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78FFA4CD"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State funded non-government schools</w:t>
            </w:r>
          </w:p>
        </w:tc>
        <w:tc>
          <w:tcPr>
            <w:tcW w:w="1267" w:type="dxa"/>
            <w:tcBorders>
              <w:top w:val="nil"/>
              <w:left w:val="nil"/>
              <w:bottom w:val="single" w:sz="4" w:space="0" w:color="ADD5EA"/>
              <w:right w:val="nil"/>
            </w:tcBorders>
            <w:shd w:val="clear" w:color="000000" w:fill="FFFFFF"/>
            <w:noWrap/>
            <w:vAlign w:val="bottom"/>
            <w:hideMark/>
          </w:tcPr>
          <w:p w14:paraId="026248C8"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RC &amp; SDS</w:t>
            </w:r>
          </w:p>
        </w:tc>
        <w:tc>
          <w:tcPr>
            <w:tcW w:w="257" w:type="dxa"/>
            <w:tcBorders>
              <w:top w:val="nil"/>
              <w:left w:val="nil"/>
              <w:bottom w:val="nil"/>
              <w:right w:val="nil"/>
            </w:tcBorders>
            <w:shd w:val="clear" w:color="auto" w:fill="auto"/>
            <w:vAlign w:val="bottom"/>
            <w:hideMark/>
          </w:tcPr>
          <w:p w14:paraId="0F8EE153"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7766D743"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Other legal services</w:t>
            </w:r>
          </w:p>
        </w:tc>
        <w:tc>
          <w:tcPr>
            <w:tcW w:w="1190" w:type="dxa"/>
            <w:tcBorders>
              <w:top w:val="nil"/>
              <w:left w:val="nil"/>
              <w:bottom w:val="single" w:sz="4" w:space="0" w:color="ADD5EA"/>
              <w:right w:val="nil"/>
            </w:tcBorders>
            <w:shd w:val="clear" w:color="000000" w:fill="FFFFFF"/>
            <w:noWrap/>
            <w:vAlign w:val="bottom"/>
            <w:hideMark/>
          </w:tcPr>
          <w:p w14:paraId="3F5D1954"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Extrapolate</w:t>
            </w:r>
          </w:p>
        </w:tc>
      </w:tr>
      <w:tr w:rsidR="00D9434E" w:rsidRPr="0026623F" w14:paraId="15F0BB16"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5D8E39D5"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26623F">
              <w:rPr>
                <w:rFonts w:ascii="Open Sans SemiBold" w:eastAsia="Times New Roman" w:hAnsi="Open Sans SemiBold" w:cs="Open Sans SemiBold"/>
                <w:sz w:val="16"/>
                <w:szCs w:val="16"/>
                <w:lang w:eastAsia="en-AU"/>
              </w:rPr>
              <w:t>Post-secondary education</w:t>
            </w:r>
          </w:p>
        </w:tc>
        <w:tc>
          <w:tcPr>
            <w:tcW w:w="1267" w:type="dxa"/>
            <w:tcBorders>
              <w:top w:val="nil"/>
              <w:left w:val="nil"/>
              <w:bottom w:val="single" w:sz="4" w:space="0" w:color="ADD5EA"/>
              <w:right w:val="nil"/>
            </w:tcBorders>
            <w:shd w:val="clear" w:color="000000" w:fill="FFFFFF"/>
            <w:noWrap/>
            <w:vAlign w:val="bottom"/>
            <w:hideMark/>
          </w:tcPr>
          <w:p w14:paraId="344D7E6A"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RC</w:t>
            </w:r>
          </w:p>
        </w:tc>
        <w:tc>
          <w:tcPr>
            <w:tcW w:w="257" w:type="dxa"/>
            <w:tcBorders>
              <w:top w:val="nil"/>
              <w:left w:val="nil"/>
              <w:bottom w:val="nil"/>
              <w:right w:val="nil"/>
            </w:tcBorders>
            <w:shd w:val="clear" w:color="auto" w:fill="auto"/>
            <w:noWrap/>
            <w:vAlign w:val="bottom"/>
            <w:hideMark/>
          </w:tcPr>
          <w:p w14:paraId="1BF780C7"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011404B9"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Prisons</w:t>
            </w:r>
          </w:p>
        </w:tc>
        <w:tc>
          <w:tcPr>
            <w:tcW w:w="1190" w:type="dxa"/>
            <w:tcBorders>
              <w:top w:val="nil"/>
              <w:left w:val="nil"/>
              <w:bottom w:val="single" w:sz="4" w:space="0" w:color="ADD5EA"/>
              <w:right w:val="nil"/>
            </w:tcBorders>
            <w:shd w:val="clear" w:color="000000" w:fill="FFFFFF"/>
            <w:noWrap/>
            <w:vAlign w:val="bottom"/>
            <w:hideMark/>
          </w:tcPr>
          <w:p w14:paraId="7805EA0C"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RC &amp; SDS (c) </w:t>
            </w:r>
          </w:p>
        </w:tc>
      </w:tr>
      <w:tr w:rsidR="00D9434E" w:rsidRPr="0026623F" w14:paraId="5DD38EA5"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4F45E939"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26623F">
              <w:rPr>
                <w:rFonts w:ascii="Open Sans SemiBold" w:eastAsia="Times New Roman" w:hAnsi="Open Sans SemiBold" w:cs="Open Sans SemiBold"/>
                <w:sz w:val="16"/>
                <w:szCs w:val="16"/>
                <w:lang w:eastAsia="en-AU"/>
              </w:rPr>
              <w:t>Health</w:t>
            </w:r>
          </w:p>
        </w:tc>
        <w:tc>
          <w:tcPr>
            <w:tcW w:w="1267" w:type="dxa"/>
            <w:tcBorders>
              <w:top w:val="nil"/>
              <w:left w:val="nil"/>
              <w:bottom w:val="single" w:sz="4" w:space="0" w:color="ADD5EA"/>
              <w:right w:val="nil"/>
            </w:tcBorders>
            <w:shd w:val="clear" w:color="000000" w:fill="FFFFFF"/>
            <w:noWrap/>
            <w:vAlign w:val="bottom"/>
            <w:hideMark/>
          </w:tcPr>
          <w:p w14:paraId="48110C51"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b/>
                <w:bCs/>
                <w:sz w:val="16"/>
                <w:szCs w:val="16"/>
                <w:lang w:eastAsia="en-AU"/>
              </w:rPr>
            </w:pPr>
            <w:r w:rsidRPr="0026623F">
              <w:rPr>
                <w:rFonts w:ascii="Open Sans SemiBold" w:eastAsia="Times New Roman" w:hAnsi="Open Sans SemiBold" w:cs="Open Sans SemiBold"/>
                <w:b/>
                <w:bCs/>
                <w:sz w:val="16"/>
                <w:szCs w:val="16"/>
                <w:lang w:eastAsia="en-AU"/>
              </w:rPr>
              <w:t> </w:t>
            </w:r>
          </w:p>
        </w:tc>
        <w:tc>
          <w:tcPr>
            <w:tcW w:w="257" w:type="dxa"/>
            <w:tcBorders>
              <w:top w:val="nil"/>
              <w:left w:val="nil"/>
              <w:bottom w:val="nil"/>
              <w:right w:val="nil"/>
            </w:tcBorders>
            <w:shd w:val="clear" w:color="auto" w:fill="auto"/>
            <w:noWrap/>
            <w:vAlign w:val="bottom"/>
            <w:hideMark/>
          </w:tcPr>
          <w:p w14:paraId="51126CBF" w14:textId="77777777" w:rsidR="00D9434E" w:rsidRPr="00B86171" w:rsidRDefault="00D9434E" w:rsidP="004D65FE">
            <w:pPr>
              <w:keepNext/>
              <w:tabs>
                <w:tab w:val="clear" w:pos="567"/>
              </w:tabs>
              <w:spacing w:before="0" w:line="240" w:lineRule="auto"/>
              <w:jc w:val="right"/>
              <w:rPr>
                <w:rFonts w:eastAsia="Times New Roman" w:cs="Open Sans Light"/>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4AE2B5C0"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26623F">
              <w:rPr>
                <w:rFonts w:ascii="Open Sans SemiBold" w:eastAsia="Times New Roman" w:hAnsi="Open Sans SemiBold" w:cs="Open Sans SemiBold"/>
                <w:sz w:val="16"/>
                <w:szCs w:val="16"/>
                <w:lang w:eastAsia="en-AU"/>
              </w:rPr>
              <w:t>Roads</w:t>
            </w:r>
          </w:p>
        </w:tc>
        <w:tc>
          <w:tcPr>
            <w:tcW w:w="1190" w:type="dxa"/>
            <w:tcBorders>
              <w:top w:val="nil"/>
              <w:left w:val="nil"/>
              <w:bottom w:val="single" w:sz="4" w:space="0" w:color="ADD5EA"/>
              <w:right w:val="nil"/>
            </w:tcBorders>
            <w:shd w:val="clear" w:color="000000" w:fill="FFFFFF"/>
            <w:noWrap/>
            <w:vAlign w:val="bottom"/>
            <w:hideMark/>
          </w:tcPr>
          <w:p w14:paraId="766362D5"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b/>
                <w:bCs/>
                <w:sz w:val="16"/>
                <w:szCs w:val="16"/>
                <w:lang w:eastAsia="en-AU"/>
              </w:rPr>
            </w:pPr>
            <w:r w:rsidRPr="0026623F">
              <w:rPr>
                <w:rFonts w:ascii="Open Sans SemiBold" w:eastAsia="Times New Roman" w:hAnsi="Open Sans SemiBold" w:cs="Open Sans SemiBold"/>
                <w:b/>
                <w:bCs/>
                <w:sz w:val="16"/>
                <w:szCs w:val="16"/>
                <w:lang w:eastAsia="en-AU"/>
              </w:rPr>
              <w:t> </w:t>
            </w:r>
          </w:p>
        </w:tc>
      </w:tr>
      <w:tr w:rsidR="00D9434E" w:rsidRPr="0026623F" w14:paraId="013BF691"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18144728"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Admitted patients</w:t>
            </w:r>
          </w:p>
        </w:tc>
        <w:tc>
          <w:tcPr>
            <w:tcW w:w="1267" w:type="dxa"/>
            <w:tcBorders>
              <w:top w:val="nil"/>
              <w:left w:val="nil"/>
              <w:bottom w:val="single" w:sz="4" w:space="0" w:color="ADD5EA"/>
              <w:right w:val="nil"/>
            </w:tcBorders>
            <w:shd w:val="clear" w:color="000000" w:fill="FFFFFF"/>
            <w:noWrap/>
            <w:vAlign w:val="bottom"/>
            <w:hideMark/>
          </w:tcPr>
          <w:p w14:paraId="5CFA7CA2"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RC &amp; SDS</w:t>
            </w:r>
          </w:p>
        </w:tc>
        <w:tc>
          <w:tcPr>
            <w:tcW w:w="257" w:type="dxa"/>
            <w:tcBorders>
              <w:top w:val="nil"/>
              <w:left w:val="nil"/>
              <w:bottom w:val="nil"/>
              <w:right w:val="nil"/>
            </w:tcBorders>
            <w:shd w:val="clear" w:color="auto" w:fill="auto"/>
            <w:noWrap/>
            <w:vAlign w:val="bottom"/>
            <w:hideMark/>
          </w:tcPr>
          <w:p w14:paraId="108C280C"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6BE91BFD"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Rural roads</w:t>
            </w:r>
          </w:p>
        </w:tc>
        <w:tc>
          <w:tcPr>
            <w:tcW w:w="1190" w:type="dxa"/>
            <w:tcBorders>
              <w:top w:val="nil"/>
              <w:left w:val="nil"/>
              <w:bottom w:val="single" w:sz="4" w:space="0" w:color="ADD5EA"/>
              <w:right w:val="nil"/>
            </w:tcBorders>
            <w:shd w:val="clear" w:color="000000" w:fill="FFFFFF"/>
            <w:noWrap/>
            <w:vAlign w:val="bottom"/>
            <w:hideMark/>
          </w:tcPr>
          <w:p w14:paraId="68E3ABA0"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General </w:t>
            </w:r>
          </w:p>
        </w:tc>
      </w:tr>
      <w:tr w:rsidR="00D9434E" w:rsidRPr="0026623F" w14:paraId="21820937"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746EB931"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Emergency departments</w:t>
            </w:r>
          </w:p>
        </w:tc>
        <w:tc>
          <w:tcPr>
            <w:tcW w:w="1267" w:type="dxa"/>
            <w:tcBorders>
              <w:top w:val="nil"/>
              <w:left w:val="nil"/>
              <w:bottom w:val="single" w:sz="4" w:space="0" w:color="ADD5EA"/>
              <w:right w:val="nil"/>
            </w:tcBorders>
            <w:shd w:val="clear" w:color="000000" w:fill="FFFFFF"/>
            <w:noWrap/>
            <w:vAlign w:val="bottom"/>
            <w:hideMark/>
          </w:tcPr>
          <w:p w14:paraId="56C3868F"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RC &amp; SDS</w:t>
            </w:r>
          </w:p>
        </w:tc>
        <w:tc>
          <w:tcPr>
            <w:tcW w:w="257" w:type="dxa"/>
            <w:tcBorders>
              <w:top w:val="nil"/>
              <w:left w:val="nil"/>
              <w:bottom w:val="nil"/>
              <w:right w:val="nil"/>
            </w:tcBorders>
            <w:shd w:val="clear" w:color="auto" w:fill="auto"/>
            <w:noWrap/>
            <w:vAlign w:val="bottom"/>
            <w:hideMark/>
          </w:tcPr>
          <w:p w14:paraId="260E07C6"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034CF905"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Urban roads</w:t>
            </w:r>
          </w:p>
        </w:tc>
        <w:tc>
          <w:tcPr>
            <w:tcW w:w="1190" w:type="dxa"/>
            <w:tcBorders>
              <w:top w:val="nil"/>
              <w:left w:val="nil"/>
              <w:bottom w:val="single" w:sz="4" w:space="0" w:color="ADD5EA"/>
              <w:right w:val="nil"/>
            </w:tcBorders>
            <w:shd w:val="clear" w:color="000000" w:fill="FFFFFF"/>
            <w:noWrap/>
            <w:vAlign w:val="bottom"/>
            <w:hideMark/>
          </w:tcPr>
          <w:p w14:paraId="3AF9F03C"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w:t>
            </w:r>
          </w:p>
        </w:tc>
      </w:tr>
      <w:tr w:rsidR="00D9434E" w:rsidRPr="0026623F" w14:paraId="5EBF36AF"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14A83E2D"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Non-admitted patients</w:t>
            </w:r>
          </w:p>
        </w:tc>
        <w:tc>
          <w:tcPr>
            <w:tcW w:w="1267" w:type="dxa"/>
            <w:tcBorders>
              <w:top w:val="nil"/>
              <w:left w:val="nil"/>
              <w:bottom w:val="single" w:sz="4" w:space="0" w:color="ADD5EA"/>
              <w:right w:val="nil"/>
            </w:tcBorders>
            <w:shd w:val="clear" w:color="000000" w:fill="FFFFFF"/>
            <w:noWrap/>
            <w:vAlign w:val="bottom"/>
            <w:hideMark/>
          </w:tcPr>
          <w:p w14:paraId="15660ADC"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Extrapolate</w:t>
            </w:r>
          </w:p>
        </w:tc>
        <w:tc>
          <w:tcPr>
            <w:tcW w:w="257" w:type="dxa"/>
            <w:tcBorders>
              <w:top w:val="nil"/>
              <w:left w:val="nil"/>
              <w:bottom w:val="nil"/>
              <w:right w:val="nil"/>
            </w:tcBorders>
            <w:shd w:val="clear" w:color="auto" w:fill="auto"/>
            <w:noWrap/>
            <w:vAlign w:val="bottom"/>
            <w:hideMark/>
          </w:tcPr>
          <w:p w14:paraId="06BB4A7B"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5A24F8C5"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Bridges and tunnels</w:t>
            </w:r>
          </w:p>
        </w:tc>
        <w:tc>
          <w:tcPr>
            <w:tcW w:w="1190" w:type="dxa"/>
            <w:tcBorders>
              <w:top w:val="nil"/>
              <w:left w:val="nil"/>
              <w:bottom w:val="single" w:sz="4" w:space="0" w:color="ADD5EA"/>
              <w:right w:val="nil"/>
            </w:tcBorders>
            <w:shd w:val="clear" w:color="000000" w:fill="FFFFFF"/>
            <w:noWrap/>
            <w:vAlign w:val="bottom"/>
            <w:hideMark/>
          </w:tcPr>
          <w:p w14:paraId="57687E39"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w:t>
            </w:r>
          </w:p>
        </w:tc>
      </w:tr>
      <w:tr w:rsidR="00D9434E" w:rsidRPr="0026623F" w14:paraId="4CED88F0"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68A1B994"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Community and other health</w:t>
            </w:r>
          </w:p>
        </w:tc>
        <w:tc>
          <w:tcPr>
            <w:tcW w:w="1267" w:type="dxa"/>
            <w:tcBorders>
              <w:top w:val="nil"/>
              <w:left w:val="nil"/>
              <w:bottom w:val="single" w:sz="4" w:space="0" w:color="ADD5EA"/>
              <w:right w:val="nil"/>
            </w:tcBorders>
            <w:shd w:val="clear" w:color="000000" w:fill="FFFFFF"/>
            <w:noWrap/>
            <w:vAlign w:val="bottom"/>
            <w:hideMark/>
          </w:tcPr>
          <w:p w14:paraId="1F595316"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Extrapolate</w:t>
            </w:r>
          </w:p>
        </w:tc>
        <w:tc>
          <w:tcPr>
            <w:tcW w:w="257" w:type="dxa"/>
            <w:tcBorders>
              <w:top w:val="nil"/>
              <w:left w:val="nil"/>
              <w:bottom w:val="nil"/>
              <w:right w:val="nil"/>
            </w:tcBorders>
            <w:shd w:val="clear" w:color="auto" w:fill="auto"/>
            <w:noWrap/>
            <w:vAlign w:val="bottom"/>
            <w:hideMark/>
          </w:tcPr>
          <w:p w14:paraId="40D5312F"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4DCCA8C5"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26623F">
              <w:rPr>
                <w:rFonts w:ascii="Open Sans SemiBold" w:eastAsia="Times New Roman" w:hAnsi="Open Sans SemiBold" w:cs="Open Sans SemiBold"/>
                <w:sz w:val="16"/>
                <w:szCs w:val="16"/>
                <w:lang w:eastAsia="en-AU"/>
              </w:rPr>
              <w:t>Transport</w:t>
            </w:r>
          </w:p>
        </w:tc>
        <w:tc>
          <w:tcPr>
            <w:tcW w:w="1190" w:type="dxa"/>
            <w:tcBorders>
              <w:top w:val="nil"/>
              <w:left w:val="nil"/>
              <w:bottom w:val="single" w:sz="4" w:space="0" w:color="ADD5EA"/>
              <w:right w:val="nil"/>
            </w:tcBorders>
            <w:shd w:val="clear" w:color="000000" w:fill="FFFFFF"/>
            <w:noWrap/>
            <w:vAlign w:val="bottom"/>
            <w:hideMark/>
          </w:tcPr>
          <w:p w14:paraId="3F737F75"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b/>
                <w:bCs/>
                <w:sz w:val="16"/>
                <w:szCs w:val="16"/>
                <w:lang w:eastAsia="en-AU"/>
              </w:rPr>
            </w:pPr>
            <w:r w:rsidRPr="0026623F">
              <w:rPr>
                <w:rFonts w:ascii="Open Sans SemiBold" w:eastAsia="Times New Roman" w:hAnsi="Open Sans SemiBold" w:cs="Open Sans SemiBold"/>
                <w:b/>
                <w:bCs/>
                <w:sz w:val="16"/>
                <w:szCs w:val="16"/>
                <w:lang w:eastAsia="en-AU"/>
              </w:rPr>
              <w:t> </w:t>
            </w:r>
          </w:p>
        </w:tc>
      </w:tr>
      <w:tr w:rsidR="00D9434E" w:rsidRPr="0026623F" w14:paraId="25F89541"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4FAB4C6F"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Non-hospital patients transport</w:t>
            </w:r>
          </w:p>
        </w:tc>
        <w:tc>
          <w:tcPr>
            <w:tcW w:w="1267" w:type="dxa"/>
            <w:tcBorders>
              <w:top w:val="nil"/>
              <w:left w:val="nil"/>
              <w:bottom w:val="single" w:sz="4" w:space="0" w:color="ADD5EA"/>
              <w:right w:val="nil"/>
            </w:tcBorders>
            <w:shd w:val="clear" w:color="000000" w:fill="FFFFFF"/>
            <w:noWrap/>
            <w:vAlign w:val="bottom"/>
            <w:hideMark/>
          </w:tcPr>
          <w:p w14:paraId="79A011B7"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w:t>
            </w:r>
          </w:p>
        </w:tc>
        <w:tc>
          <w:tcPr>
            <w:tcW w:w="257" w:type="dxa"/>
            <w:tcBorders>
              <w:top w:val="nil"/>
              <w:left w:val="nil"/>
              <w:bottom w:val="nil"/>
              <w:right w:val="nil"/>
            </w:tcBorders>
            <w:shd w:val="clear" w:color="auto" w:fill="auto"/>
            <w:noWrap/>
            <w:vAlign w:val="bottom"/>
            <w:hideMark/>
          </w:tcPr>
          <w:p w14:paraId="0CD4A00E"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540CF541"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Urban transport</w:t>
            </w:r>
          </w:p>
        </w:tc>
        <w:tc>
          <w:tcPr>
            <w:tcW w:w="1190" w:type="dxa"/>
            <w:tcBorders>
              <w:top w:val="nil"/>
              <w:left w:val="nil"/>
              <w:bottom w:val="single" w:sz="4" w:space="0" w:color="ADD5EA"/>
              <w:right w:val="nil"/>
            </w:tcBorders>
            <w:shd w:val="clear" w:color="000000" w:fill="FFFFFF"/>
            <w:noWrap/>
            <w:vAlign w:val="bottom"/>
            <w:hideMark/>
          </w:tcPr>
          <w:p w14:paraId="102992FC" w14:textId="35637AFB" w:rsidR="00D9434E" w:rsidRPr="0026623F" w:rsidRDefault="005C13C7" w:rsidP="004D65FE">
            <w:pPr>
              <w:keepNext/>
              <w:tabs>
                <w:tab w:val="clear" w:pos="567"/>
              </w:tabs>
              <w:spacing w:before="0" w:line="240" w:lineRule="auto"/>
              <w:rPr>
                <w:rFonts w:eastAsia="Times New Roman" w:cs="Open Sans Light"/>
                <w:sz w:val="16"/>
                <w:szCs w:val="16"/>
                <w:lang w:eastAsia="en-AU"/>
              </w:rPr>
            </w:pPr>
            <w:r>
              <w:rPr>
                <w:rFonts w:eastAsia="Times New Roman" w:cs="Open Sans Light"/>
                <w:sz w:val="16"/>
                <w:szCs w:val="16"/>
                <w:lang w:eastAsia="en-AU"/>
              </w:rPr>
              <w:t>General</w:t>
            </w:r>
          </w:p>
        </w:tc>
      </w:tr>
      <w:tr w:rsidR="00D9434E" w:rsidRPr="0026623F" w14:paraId="69ED2B88"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4C82B1EF"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26623F">
              <w:rPr>
                <w:rFonts w:ascii="Open Sans SemiBold" w:eastAsia="Times New Roman" w:hAnsi="Open Sans SemiBold" w:cs="Open Sans SemiBold"/>
                <w:sz w:val="16"/>
                <w:szCs w:val="16"/>
                <w:lang w:eastAsia="en-AU"/>
              </w:rPr>
              <w:t>Housing</w:t>
            </w:r>
          </w:p>
        </w:tc>
        <w:tc>
          <w:tcPr>
            <w:tcW w:w="1267" w:type="dxa"/>
            <w:tcBorders>
              <w:top w:val="nil"/>
              <w:left w:val="nil"/>
              <w:bottom w:val="single" w:sz="4" w:space="0" w:color="ADD5EA"/>
              <w:right w:val="nil"/>
            </w:tcBorders>
            <w:shd w:val="clear" w:color="000000" w:fill="FFFFFF"/>
            <w:noWrap/>
            <w:vAlign w:val="bottom"/>
            <w:hideMark/>
          </w:tcPr>
          <w:p w14:paraId="4CF0F710"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w:t>
            </w:r>
          </w:p>
        </w:tc>
        <w:tc>
          <w:tcPr>
            <w:tcW w:w="257" w:type="dxa"/>
            <w:tcBorders>
              <w:top w:val="nil"/>
              <w:left w:val="nil"/>
              <w:bottom w:val="nil"/>
              <w:right w:val="nil"/>
            </w:tcBorders>
            <w:shd w:val="clear" w:color="auto" w:fill="auto"/>
            <w:noWrap/>
            <w:vAlign w:val="bottom"/>
            <w:hideMark/>
          </w:tcPr>
          <w:p w14:paraId="53430777" w14:textId="77777777" w:rsidR="00D9434E" w:rsidRPr="00B86171" w:rsidRDefault="00D9434E" w:rsidP="004D65FE">
            <w:pPr>
              <w:keepNext/>
              <w:tabs>
                <w:tab w:val="clear" w:pos="567"/>
              </w:tabs>
              <w:spacing w:before="0" w:line="240" w:lineRule="auto"/>
              <w:jc w:val="right"/>
              <w:rPr>
                <w:rFonts w:eastAsia="Times New Roman" w:cs="Open Sans Light"/>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4D823439"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Non-urban transport</w:t>
            </w:r>
          </w:p>
        </w:tc>
        <w:tc>
          <w:tcPr>
            <w:tcW w:w="1190" w:type="dxa"/>
            <w:tcBorders>
              <w:top w:val="nil"/>
              <w:left w:val="nil"/>
              <w:bottom w:val="single" w:sz="4" w:space="0" w:color="ADD5EA"/>
              <w:right w:val="nil"/>
            </w:tcBorders>
            <w:shd w:val="clear" w:color="000000" w:fill="FFFFFF"/>
            <w:noWrap/>
            <w:vAlign w:val="bottom"/>
            <w:hideMark/>
          </w:tcPr>
          <w:p w14:paraId="171A604D"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w:t>
            </w:r>
          </w:p>
        </w:tc>
      </w:tr>
      <w:tr w:rsidR="00D9434E" w:rsidRPr="0026623F" w14:paraId="7FE47583"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4AABFE23"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First home owner expenses</w:t>
            </w:r>
          </w:p>
        </w:tc>
        <w:tc>
          <w:tcPr>
            <w:tcW w:w="1267" w:type="dxa"/>
            <w:tcBorders>
              <w:top w:val="nil"/>
              <w:left w:val="nil"/>
              <w:bottom w:val="single" w:sz="4" w:space="0" w:color="ADD5EA"/>
              <w:right w:val="nil"/>
            </w:tcBorders>
            <w:shd w:val="clear" w:color="000000" w:fill="FFFFFF"/>
            <w:noWrap/>
            <w:vAlign w:val="bottom"/>
            <w:hideMark/>
          </w:tcPr>
          <w:p w14:paraId="4341569D"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b/>
                <w:bCs/>
                <w:sz w:val="16"/>
                <w:szCs w:val="16"/>
                <w:lang w:eastAsia="en-AU"/>
              </w:rPr>
            </w:pPr>
            <w:r w:rsidRPr="0026623F">
              <w:rPr>
                <w:rFonts w:eastAsia="Times New Roman" w:cs="Open Sans Light"/>
                <w:sz w:val="16"/>
                <w:szCs w:val="16"/>
                <w:lang w:eastAsia="en-AU"/>
              </w:rPr>
              <w:t>—</w:t>
            </w:r>
          </w:p>
        </w:tc>
        <w:tc>
          <w:tcPr>
            <w:tcW w:w="257" w:type="dxa"/>
            <w:tcBorders>
              <w:top w:val="nil"/>
              <w:left w:val="nil"/>
              <w:bottom w:val="nil"/>
              <w:right w:val="nil"/>
            </w:tcBorders>
            <w:shd w:val="clear" w:color="auto" w:fill="auto"/>
            <w:noWrap/>
            <w:vAlign w:val="bottom"/>
            <w:hideMark/>
          </w:tcPr>
          <w:p w14:paraId="3CA48CF8"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0FC0C7F6"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26623F">
              <w:rPr>
                <w:rFonts w:ascii="Open Sans SemiBold" w:eastAsia="Times New Roman" w:hAnsi="Open Sans SemiBold" w:cs="Open Sans SemiBold"/>
                <w:sz w:val="16"/>
                <w:szCs w:val="16"/>
                <w:lang w:eastAsia="en-AU"/>
              </w:rPr>
              <w:t>Services to industry</w:t>
            </w:r>
          </w:p>
        </w:tc>
        <w:tc>
          <w:tcPr>
            <w:tcW w:w="1190" w:type="dxa"/>
            <w:tcBorders>
              <w:top w:val="nil"/>
              <w:left w:val="nil"/>
              <w:bottom w:val="single" w:sz="4" w:space="0" w:color="ADD5EA"/>
              <w:right w:val="nil"/>
            </w:tcBorders>
            <w:shd w:val="clear" w:color="000000" w:fill="FFFFFF"/>
            <w:noWrap/>
            <w:vAlign w:val="bottom"/>
            <w:hideMark/>
          </w:tcPr>
          <w:p w14:paraId="71C3CEE1"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b/>
                <w:bCs/>
                <w:sz w:val="16"/>
                <w:szCs w:val="16"/>
                <w:lang w:eastAsia="en-AU"/>
              </w:rPr>
            </w:pPr>
            <w:r w:rsidRPr="0026623F">
              <w:rPr>
                <w:rFonts w:ascii="Open Sans SemiBold" w:eastAsia="Times New Roman" w:hAnsi="Open Sans SemiBold" w:cs="Open Sans SemiBold"/>
                <w:b/>
                <w:bCs/>
                <w:sz w:val="16"/>
                <w:szCs w:val="16"/>
                <w:lang w:eastAsia="en-AU"/>
              </w:rPr>
              <w:t> </w:t>
            </w:r>
          </w:p>
        </w:tc>
      </w:tr>
      <w:tr w:rsidR="00D9434E" w:rsidRPr="0026623F" w14:paraId="3C946CE8" w14:textId="77777777" w:rsidTr="00DD216A">
        <w:trPr>
          <w:trHeight w:val="315"/>
        </w:trPr>
        <w:tc>
          <w:tcPr>
            <w:tcW w:w="3618" w:type="dxa"/>
            <w:tcBorders>
              <w:top w:val="nil"/>
              <w:left w:val="nil"/>
              <w:bottom w:val="single" w:sz="4" w:space="0" w:color="DCE6F1"/>
              <w:right w:val="nil"/>
            </w:tcBorders>
            <w:shd w:val="clear" w:color="000000" w:fill="FFFFFF"/>
            <w:noWrap/>
            <w:tcMar>
              <w:left w:w="0" w:type="dxa"/>
            </w:tcMar>
            <w:vAlign w:val="bottom"/>
            <w:hideMark/>
          </w:tcPr>
          <w:p w14:paraId="7A7D1274"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Social housing</w:t>
            </w:r>
          </w:p>
        </w:tc>
        <w:tc>
          <w:tcPr>
            <w:tcW w:w="1267" w:type="dxa"/>
            <w:tcBorders>
              <w:top w:val="nil"/>
              <w:left w:val="nil"/>
              <w:bottom w:val="single" w:sz="4" w:space="0" w:color="DCE6F1"/>
              <w:right w:val="nil"/>
            </w:tcBorders>
            <w:shd w:val="clear" w:color="000000" w:fill="FFFFFF"/>
            <w:noWrap/>
            <w:vAlign w:val="bottom"/>
            <w:hideMark/>
          </w:tcPr>
          <w:p w14:paraId="2B39F3B0"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General (a)</w:t>
            </w:r>
          </w:p>
        </w:tc>
        <w:tc>
          <w:tcPr>
            <w:tcW w:w="257" w:type="dxa"/>
            <w:tcBorders>
              <w:top w:val="nil"/>
              <w:left w:val="nil"/>
              <w:bottom w:val="nil"/>
              <w:right w:val="nil"/>
            </w:tcBorders>
            <w:shd w:val="clear" w:color="auto" w:fill="auto"/>
            <w:noWrap/>
            <w:vAlign w:val="bottom"/>
            <w:hideMark/>
          </w:tcPr>
          <w:p w14:paraId="6946710A"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4E6B7F1F"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Agriculture regulation</w:t>
            </w:r>
          </w:p>
        </w:tc>
        <w:tc>
          <w:tcPr>
            <w:tcW w:w="1190" w:type="dxa"/>
            <w:tcBorders>
              <w:top w:val="nil"/>
              <w:left w:val="nil"/>
              <w:bottom w:val="single" w:sz="4" w:space="0" w:color="ADD5EA"/>
              <w:right w:val="nil"/>
            </w:tcBorders>
            <w:shd w:val="clear" w:color="000000" w:fill="FFFFFF"/>
            <w:noWrap/>
            <w:vAlign w:val="bottom"/>
            <w:hideMark/>
          </w:tcPr>
          <w:p w14:paraId="0CF8B716"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General </w:t>
            </w:r>
          </w:p>
        </w:tc>
      </w:tr>
      <w:tr w:rsidR="00D9434E" w:rsidRPr="0026623F" w14:paraId="7480A214"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2522D6AD"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Social housing user charges</w:t>
            </w:r>
          </w:p>
        </w:tc>
        <w:tc>
          <w:tcPr>
            <w:tcW w:w="1267" w:type="dxa"/>
            <w:tcBorders>
              <w:top w:val="nil"/>
              <w:left w:val="nil"/>
              <w:bottom w:val="single" w:sz="4" w:space="0" w:color="ADD5EA"/>
              <w:right w:val="nil"/>
            </w:tcBorders>
            <w:shd w:val="clear" w:color="000000" w:fill="FFFFFF"/>
            <w:noWrap/>
            <w:vAlign w:val="bottom"/>
            <w:hideMark/>
          </w:tcPr>
          <w:p w14:paraId="44926EE2"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w:t>
            </w:r>
          </w:p>
        </w:tc>
        <w:tc>
          <w:tcPr>
            <w:tcW w:w="257" w:type="dxa"/>
            <w:tcBorders>
              <w:top w:val="nil"/>
              <w:left w:val="nil"/>
              <w:bottom w:val="nil"/>
              <w:right w:val="nil"/>
            </w:tcBorders>
            <w:shd w:val="clear" w:color="auto" w:fill="auto"/>
            <w:noWrap/>
            <w:vAlign w:val="bottom"/>
            <w:hideMark/>
          </w:tcPr>
          <w:p w14:paraId="40B4AB3E"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6E1A4CE0"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Mining regulation</w:t>
            </w:r>
          </w:p>
        </w:tc>
        <w:tc>
          <w:tcPr>
            <w:tcW w:w="1190" w:type="dxa"/>
            <w:tcBorders>
              <w:top w:val="nil"/>
              <w:left w:val="nil"/>
              <w:bottom w:val="single" w:sz="4" w:space="0" w:color="ADD5EA"/>
              <w:right w:val="nil"/>
            </w:tcBorders>
            <w:shd w:val="clear" w:color="000000" w:fill="FFFFFF"/>
            <w:noWrap/>
            <w:vAlign w:val="bottom"/>
            <w:hideMark/>
          </w:tcPr>
          <w:p w14:paraId="02042809"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General </w:t>
            </w:r>
          </w:p>
        </w:tc>
      </w:tr>
      <w:tr w:rsidR="00D9434E" w:rsidRPr="0026623F" w14:paraId="0E6B57EA"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05D6DE0B"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26623F">
              <w:rPr>
                <w:rFonts w:ascii="Open Sans SemiBold" w:eastAsia="Times New Roman" w:hAnsi="Open Sans SemiBold" w:cs="Open Sans SemiBold"/>
                <w:sz w:val="16"/>
                <w:szCs w:val="16"/>
                <w:lang w:eastAsia="en-AU"/>
              </w:rPr>
              <w:t>Welfare</w:t>
            </w:r>
          </w:p>
        </w:tc>
        <w:tc>
          <w:tcPr>
            <w:tcW w:w="1267" w:type="dxa"/>
            <w:tcBorders>
              <w:top w:val="nil"/>
              <w:left w:val="nil"/>
              <w:bottom w:val="single" w:sz="4" w:space="0" w:color="ADD5EA"/>
              <w:right w:val="nil"/>
            </w:tcBorders>
            <w:shd w:val="clear" w:color="000000" w:fill="FFFFFF"/>
            <w:noWrap/>
            <w:vAlign w:val="bottom"/>
            <w:hideMark/>
          </w:tcPr>
          <w:p w14:paraId="1F111175"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w:t>
            </w:r>
          </w:p>
        </w:tc>
        <w:tc>
          <w:tcPr>
            <w:tcW w:w="257" w:type="dxa"/>
            <w:tcBorders>
              <w:top w:val="nil"/>
              <w:left w:val="nil"/>
              <w:bottom w:val="nil"/>
              <w:right w:val="nil"/>
            </w:tcBorders>
            <w:shd w:val="clear" w:color="auto" w:fill="auto"/>
            <w:noWrap/>
            <w:vAlign w:val="bottom"/>
            <w:hideMark/>
          </w:tcPr>
          <w:p w14:paraId="6CD77797" w14:textId="77777777" w:rsidR="00D9434E" w:rsidRPr="00B86171" w:rsidRDefault="00D9434E" w:rsidP="004D65FE">
            <w:pPr>
              <w:keepNext/>
              <w:tabs>
                <w:tab w:val="clear" w:pos="567"/>
              </w:tabs>
              <w:spacing w:before="0" w:line="240" w:lineRule="auto"/>
              <w:jc w:val="right"/>
              <w:rPr>
                <w:rFonts w:eastAsia="Times New Roman" w:cs="Open Sans Light"/>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2113BDA4"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Other industries regulation</w:t>
            </w:r>
          </w:p>
        </w:tc>
        <w:tc>
          <w:tcPr>
            <w:tcW w:w="1190" w:type="dxa"/>
            <w:tcBorders>
              <w:top w:val="nil"/>
              <w:left w:val="nil"/>
              <w:bottom w:val="single" w:sz="4" w:space="0" w:color="ADD5EA"/>
              <w:right w:val="nil"/>
            </w:tcBorders>
            <w:shd w:val="clear" w:color="000000" w:fill="FFFFFF"/>
            <w:noWrap/>
            <w:vAlign w:val="bottom"/>
            <w:hideMark/>
          </w:tcPr>
          <w:p w14:paraId="0D5EF1B5"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General </w:t>
            </w:r>
          </w:p>
        </w:tc>
      </w:tr>
      <w:tr w:rsidR="00D9434E" w:rsidRPr="0026623F" w14:paraId="77270CDC"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47187776"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Child protection and family services</w:t>
            </w:r>
          </w:p>
        </w:tc>
        <w:tc>
          <w:tcPr>
            <w:tcW w:w="1267" w:type="dxa"/>
            <w:tcBorders>
              <w:top w:val="nil"/>
              <w:left w:val="nil"/>
              <w:bottom w:val="single" w:sz="4" w:space="0" w:color="ADD5EA"/>
              <w:right w:val="nil"/>
            </w:tcBorders>
            <w:shd w:val="clear" w:color="000000" w:fill="FFFFFF"/>
            <w:noWrap/>
            <w:vAlign w:val="bottom"/>
            <w:hideMark/>
          </w:tcPr>
          <w:p w14:paraId="10ABC056"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General (b)</w:t>
            </w:r>
          </w:p>
        </w:tc>
        <w:tc>
          <w:tcPr>
            <w:tcW w:w="257" w:type="dxa"/>
            <w:tcBorders>
              <w:top w:val="nil"/>
              <w:left w:val="nil"/>
              <w:bottom w:val="nil"/>
              <w:right w:val="nil"/>
            </w:tcBorders>
            <w:shd w:val="clear" w:color="auto" w:fill="auto"/>
            <w:vAlign w:val="bottom"/>
            <w:hideMark/>
          </w:tcPr>
          <w:p w14:paraId="27FE6E3F"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66D839E8"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Business development</w:t>
            </w:r>
          </w:p>
        </w:tc>
        <w:tc>
          <w:tcPr>
            <w:tcW w:w="1190" w:type="dxa"/>
            <w:tcBorders>
              <w:top w:val="nil"/>
              <w:left w:val="nil"/>
              <w:bottom w:val="single" w:sz="4" w:space="0" w:color="ADD5EA"/>
              <w:right w:val="nil"/>
            </w:tcBorders>
            <w:shd w:val="clear" w:color="000000" w:fill="FFFFFF"/>
            <w:noWrap/>
            <w:vAlign w:val="bottom"/>
            <w:hideMark/>
          </w:tcPr>
          <w:p w14:paraId="10325D04"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w:t>
            </w:r>
          </w:p>
        </w:tc>
      </w:tr>
      <w:tr w:rsidR="00D9434E" w:rsidRPr="0026623F" w14:paraId="76ED9150"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30254CC8"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NDIS</w:t>
            </w:r>
          </w:p>
        </w:tc>
        <w:tc>
          <w:tcPr>
            <w:tcW w:w="1267" w:type="dxa"/>
            <w:tcBorders>
              <w:top w:val="nil"/>
              <w:left w:val="nil"/>
              <w:bottom w:val="single" w:sz="4" w:space="0" w:color="ADD5EA"/>
              <w:right w:val="nil"/>
            </w:tcBorders>
            <w:shd w:val="clear" w:color="000000" w:fill="FFFFFF"/>
            <w:noWrap/>
            <w:vAlign w:val="bottom"/>
            <w:hideMark/>
          </w:tcPr>
          <w:p w14:paraId="21FF6E0C"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b/>
                <w:bCs/>
                <w:sz w:val="16"/>
                <w:szCs w:val="16"/>
                <w:lang w:eastAsia="en-AU"/>
              </w:rPr>
            </w:pPr>
            <w:r w:rsidRPr="0026623F">
              <w:rPr>
                <w:rFonts w:eastAsia="Times New Roman" w:cs="Open Sans Light"/>
                <w:sz w:val="16"/>
                <w:szCs w:val="16"/>
                <w:lang w:eastAsia="en-AU"/>
              </w:rPr>
              <w:t>—</w:t>
            </w:r>
          </w:p>
        </w:tc>
        <w:tc>
          <w:tcPr>
            <w:tcW w:w="257" w:type="dxa"/>
            <w:tcBorders>
              <w:top w:val="nil"/>
              <w:left w:val="nil"/>
              <w:bottom w:val="nil"/>
              <w:right w:val="nil"/>
            </w:tcBorders>
            <w:shd w:val="clear" w:color="auto" w:fill="auto"/>
            <w:noWrap/>
            <w:vAlign w:val="bottom"/>
            <w:hideMark/>
          </w:tcPr>
          <w:p w14:paraId="5F2D9095"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7210963E"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26623F">
              <w:rPr>
                <w:rFonts w:ascii="Open Sans SemiBold" w:eastAsia="Times New Roman" w:hAnsi="Open Sans SemiBold" w:cs="Open Sans SemiBold"/>
                <w:sz w:val="16"/>
                <w:szCs w:val="16"/>
                <w:lang w:eastAsia="en-AU"/>
              </w:rPr>
              <w:t>Other expenses</w:t>
            </w:r>
          </w:p>
        </w:tc>
        <w:tc>
          <w:tcPr>
            <w:tcW w:w="1190" w:type="dxa"/>
            <w:tcBorders>
              <w:top w:val="nil"/>
              <w:left w:val="nil"/>
              <w:bottom w:val="single" w:sz="4" w:space="0" w:color="ADD5EA"/>
              <w:right w:val="nil"/>
            </w:tcBorders>
            <w:shd w:val="clear" w:color="000000" w:fill="FFFFFF"/>
            <w:noWrap/>
            <w:vAlign w:val="bottom"/>
            <w:hideMark/>
          </w:tcPr>
          <w:p w14:paraId="0160BADE"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b/>
                <w:bCs/>
                <w:sz w:val="16"/>
                <w:szCs w:val="16"/>
                <w:lang w:eastAsia="en-AU"/>
              </w:rPr>
            </w:pPr>
            <w:r w:rsidRPr="0026623F">
              <w:rPr>
                <w:rFonts w:ascii="Open Sans SemiBold" w:eastAsia="Times New Roman" w:hAnsi="Open Sans SemiBold" w:cs="Open Sans SemiBold"/>
                <w:b/>
                <w:bCs/>
                <w:sz w:val="16"/>
                <w:szCs w:val="16"/>
                <w:lang w:eastAsia="en-AU"/>
              </w:rPr>
              <w:t> </w:t>
            </w:r>
          </w:p>
        </w:tc>
      </w:tr>
      <w:tr w:rsidR="00D9434E" w:rsidRPr="0026623F" w14:paraId="30692306"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12ECB2E3"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Non-NDIS Disability services and aged care</w:t>
            </w:r>
          </w:p>
        </w:tc>
        <w:tc>
          <w:tcPr>
            <w:tcW w:w="1267" w:type="dxa"/>
            <w:tcBorders>
              <w:top w:val="nil"/>
              <w:left w:val="nil"/>
              <w:bottom w:val="single" w:sz="4" w:space="0" w:color="ADD5EA"/>
              <w:right w:val="nil"/>
            </w:tcBorders>
            <w:shd w:val="clear" w:color="000000" w:fill="FFFFFF"/>
            <w:noWrap/>
            <w:vAlign w:val="bottom"/>
            <w:hideMark/>
          </w:tcPr>
          <w:p w14:paraId="1D97610B"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w:t>
            </w:r>
          </w:p>
        </w:tc>
        <w:tc>
          <w:tcPr>
            <w:tcW w:w="257" w:type="dxa"/>
            <w:tcBorders>
              <w:top w:val="nil"/>
              <w:left w:val="nil"/>
              <w:bottom w:val="nil"/>
              <w:right w:val="nil"/>
            </w:tcBorders>
            <w:shd w:val="clear" w:color="auto" w:fill="auto"/>
            <w:vAlign w:val="bottom"/>
            <w:hideMark/>
          </w:tcPr>
          <w:p w14:paraId="5372ADC6"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71816968"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Service expenses</w:t>
            </w:r>
          </w:p>
        </w:tc>
        <w:tc>
          <w:tcPr>
            <w:tcW w:w="1190" w:type="dxa"/>
            <w:tcBorders>
              <w:top w:val="nil"/>
              <w:left w:val="nil"/>
              <w:bottom w:val="single" w:sz="4" w:space="0" w:color="ADD5EA"/>
              <w:right w:val="nil"/>
            </w:tcBorders>
            <w:shd w:val="clear" w:color="000000" w:fill="FFFFFF"/>
            <w:noWrap/>
            <w:vAlign w:val="bottom"/>
            <w:hideMark/>
          </w:tcPr>
          <w:p w14:paraId="0CB5AAE1"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General </w:t>
            </w:r>
          </w:p>
        </w:tc>
      </w:tr>
      <w:tr w:rsidR="00D9434E" w:rsidRPr="0026623F" w14:paraId="49620D9C"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4C717A3D"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Concessions</w:t>
            </w:r>
          </w:p>
        </w:tc>
        <w:tc>
          <w:tcPr>
            <w:tcW w:w="1267" w:type="dxa"/>
            <w:tcBorders>
              <w:top w:val="nil"/>
              <w:left w:val="nil"/>
              <w:bottom w:val="single" w:sz="4" w:space="0" w:color="ADD5EA"/>
              <w:right w:val="nil"/>
            </w:tcBorders>
            <w:shd w:val="clear" w:color="000000" w:fill="FFFFFF"/>
            <w:noWrap/>
            <w:vAlign w:val="bottom"/>
            <w:hideMark/>
          </w:tcPr>
          <w:p w14:paraId="386B66EE"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w:t>
            </w:r>
          </w:p>
        </w:tc>
        <w:tc>
          <w:tcPr>
            <w:tcW w:w="257" w:type="dxa"/>
            <w:tcBorders>
              <w:top w:val="nil"/>
              <w:left w:val="nil"/>
              <w:bottom w:val="nil"/>
              <w:right w:val="nil"/>
            </w:tcBorders>
            <w:shd w:val="clear" w:color="auto" w:fill="auto"/>
            <w:noWrap/>
            <w:vAlign w:val="bottom"/>
            <w:hideMark/>
          </w:tcPr>
          <w:p w14:paraId="0B587A1A"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5C50EF6A"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Natural disaster relief</w:t>
            </w:r>
          </w:p>
        </w:tc>
        <w:tc>
          <w:tcPr>
            <w:tcW w:w="1190" w:type="dxa"/>
            <w:tcBorders>
              <w:top w:val="nil"/>
              <w:left w:val="nil"/>
              <w:bottom w:val="single" w:sz="4" w:space="0" w:color="ADD5EA"/>
              <w:right w:val="nil"/>
            </w:tcBorders>
            <w:shd w:val="clear" w:color="000000" w:fill="FFFFFF"/>
            <w:noWrap/>
            <w:vAlign w:val="bottom"/>
            <w:hideMark/>
          </w:tcPr>
          <w:p w14:paraId="27FDA9A6"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w:t>
            </w:r>
          </w:p>
        </w:tc>
      </w:tr>
      <w:tr w:rsidR="00D9434E" w:rsidRPr="0026623F" w14:paraId="38F77EB7"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51B0FE60"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Other welfare</w:t>
            </w:r>
          </w:p>
        </w:tc>
        <w:tc>
          <w:tcPr>
            <w:tcW w:w="1267" w:type="dxa"/>
            <w:tcBorders>
              <w:top w:val="nil"/>
              <w:left w:val="nil"/>
              <w:bottom w:val="single" w:sz="4" w:space="0" w:color="ADD5EA"/>
              <w:right w:val="nil"/>
            </w:tcBorders>
            <w:shd w:val="clear" w:color="000000" w:fill="FFFFFF"/>
            <w:noWrap/>
            <w:vAlign w:val="bottom"/>
            <w:hideMark/>
          </w:tcPr>
          <w:p w14:paraId="0E1B8783"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w:t>
            </w:r>
          </w:p>
        </w:tc>
        <w:tc>
          <w:tcPr>
            <w:tcW w:w="257" w:type="dxa"/>
            <w:tcBorders>
              <w:top w:val="nil"/>
              <w:left w:val="nil"/>
              <w:bottom w:val="nil"/>
              <w:right w:val="nil"/>
            </w:tcBorders>
            <w:shd w:val="clear" w:color="auto" w:fill="auto"/>
            <w:noWrap/>
            <w:vAlign w:val="bottom"/>
            <w:hideMark/>
          </w:tcPr>
          <w:p w14:paraId="512A6FE0"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6412C28F"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Administrative scale</w:t>
            </w:r>
          </w:p>
        </w:tc>
        <w:tc>
          <w:tcPr>
            <w:tcW w:w="1190" w:type="dxa"/>
            <w:tcBorders>
              <w:top w:val="nil"/>
              <w:left w:val="nil"/>
              <w:bottom w:val="single" w:sz="4" w:space="0" w:color="ADD5EA"/>
              <w:right w:val="nil"/>
            </w:tcBorders>
            <w:shd w:val="clear" w:color="000000" w:fill="FFFFFF"/>
            <w:noWrap/>
            <w:vAlign w:val="bottom"/>
            <w:hideMark/>
          </w:tcPr>
          <w:p w14:paraId="3EBECE27"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w:t>
            </w:r>
          </w:p>
        </w:tc>
      </w:tr>
      <w:tr w:rsidR="00D9434E" w:rsidRPr="0026623F" w14:paraId="7D80BD28"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09C51670"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26623F">
              <w:rPr>
                <w:rFonts w:ascii="Open Sans SemiBold" w:eastAsia="Times New Roman" w:hAnsi="Open Sans SemiBold" w:cs="Open Sans SemiBold"/>
                <w:sz w:val="16"/>
                <w:szCs w:val="16"/>
                <w:lang w:eastAsia="en-AU"/>
              </w:rPr>
              <w:t>Services to communities</w:t>
            </w:r>
          </w:p>
        </w:tc>
        <w:tc>
          <w:tcPr>
            <w:tcW w:w="1267" w:type="dxa"/>
            <w:tcBorders>
              <w:top w:val="nil"/>
              <w:left w:val="nil"/>
              <w:bottom w:val="single" w:sz="4" w:space="0" w:color="ADD5EA"/>
              <w:right w:val="nil"/>
            </w:tcBorders>
            <w:shd w:val="clear" w:color="000000" w:fill="FFFFFF"/>
            <w:noWrap/>
            <w:vAlign w:val="bottom"/>
            <w:hideMark/>
          </w:tcPr>
          <w:p w14:paraId="68FA8600"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w:t>
            </w:r>
          </w:p>
        </w:tc>
        <w:tc>
          <w:tcPr>
            <w:tcW w:w="257" w:type="dxa"/>
            <w:tcBorders>
              <w:top w:val="nil"/>
              <w:left w:val="nil"/>
              <w:bottom w:val="nil"/>
              <w:right w:val="nil"/>
            </w:tcBorders>
            <w:shd w:val="clear" w:color="auto" w:fill="auto"/>
            <w:noWrap/>
            <w:vAlign w:val="bottom"/>
            <w:hideMark/>
          </w:tcPr>
          <w:p w14:paraId="6DF39A7E" w14:textId="77777777" w:rsidR="00D9434E" w:rsidRPr="00B86171" w:rsidRDefault="00D9434E" w:rsidP="004D65FE">
            <w:pPr>
              <w:keepNext/>
              <w:tabs>
                <w:tab w:val="clear" w:pos="567"/>
              </w:tabs>
              <w:spacing w:before="0" w:line="240" w:lineRule="auto"/>
              <w:jc w:val="right"/>
              <w:rPr>
                <w:rFonts w:eastAsia="Times New Roman" w:cs="Open Sans Light"/>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357AD493"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Native title and land rights</w:t>
            </w:r>
          </w:p>
        </w:tc>
        <w:tc>
          <w:tcPr>
            <w:tcW w:w="1190" w:type="dxa"/>
            <w:tcBorders>
              <w:top w:val="nil"/>
              <w:left w:val="nil"/>
              <w:bottom w:val="single" w:sz="4" w:space="0" w:color="ADD5EA"/>
              <w:right w:val="nil"/>
            </w:tcBorders>
            <w:shd w:val="clear" w:color="000000" w:fill="FFFFFF"/>
            <w:noWrap/>
            <w:vAlign w:val="bottom"/>
            <w:hideMark/>
          </w:tcPr>
          <w:p w14:paraId="4439EE88"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w:t>
            </w:r>
          </w:p>
        </w:tc>
      </w:tr>
      <w:tr w:rsidR="00D9434E" w:rsidRPr="0026623F" w14:paraId="3FA99732"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4EE59AFF"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Water subsidies</w:t>
            </w:r>
          </w:p>
        </w:tc>
        <w:tc>
          <w:tcPr>
            <w:tcW w:w="1267" w:type="dxa"/>
            <w:tcBorders>
              <w:top w:val="nil"/>
              <w:left w:val="nil"/>
              <w:bottom w:val="single" w:sz="4" w:space="0" w:color="ADD5EA"/>
              <w:right w:val="nil"/>
            </w:tcBorders>
            <w:shd w:val="clear" w:color="000000" w:fill="FFFFFF"/>
            <w:noWrap/>
            <w:vAlign w:val="bottom"/>
            <w:hideMark/>
          </w:tcPr>
          <w:p w14:paraId="5977FF07"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RC</w:t>
            </w:r>
          </w:p>
        </w:tc>
        <w:tc>
          <w:tcPr>
            <w:tcW w:w="257" w:type="dxa"/>
            <w:tcBorders>
              <w:top w:val="nil"/>
              <w:left w:val="nil"/>
              <w:bottom w:val="nil"/>
              <w:right w:val="nil"/>
            </w:tcBorders>
            <w:shd w:val="clear" w:color="auto" w:fill="auto"/>
            <w:noWrap/>
            <w:vAlign w:val="bottom"/>
            <w:hideMark/>
          </w:tcPr>
          <w:p w14:paraId="6B7F99F0"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194189B2"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National capital</w:t>
            </w:r>
          </w:p>
        </w:tc>
        <w:tc>
          <w:tcPr>
            <w:tcW w:w="1190" w:type="dxa"/>
            <w:tcBorders>
              <w:top w:val="nil"/>
              <w:left w:val="nil"/>
              <w:bottom w:val="single" w:sz="4" w:space="0" w:color="ADD5EA"/>
              <w:right w:val="nil"/>
            </w:tcBorders>
            <w:shd w:val="clear" w:color="000000" w:fill="FFFFFF"/>
            <w:noWrap/>
            <w:vAlign w:val="bottom"/>
            <w:hideMark/>
          </w:tcPr>
          <w:p w14:paraId="024C2EBC"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w:t>
            </w:r>
          </w:p>
        </w:tc>
      </w:tr>
      <w:tr w:rsidR="00D9434E" w:rsidRPr="0026623F" w14:paraId="5A5E11CC"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681A3C25"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Electricity subsidies</w:t>
            </w:r>
          </w:p>
        </w:tc>
        <w:tc>
          <w:tcPr>
            <w:tcW w:w="1267" w:type="dxa"/>
            <w:tcBorders>
              <w:top w:val="nil"/>
              <w:left w:val="nil"/>
              <w:bottom w:val="single" w:sz="4" w:space="0" w:color="ADD5EA"/>
              <w:right w:val="nil"/>
            </w:tcBorders>
            <w:shd w:val="clear" w:color="000000" w:fill="FFFFFF"/>
            <w:noWrap/>
            <w:vAlign w:val="bottom"/>
            <w:hideMark/>
          </w:tcPr>
          <w:p w14:paraId="51824642"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RC</w:t>
            </w:r>
          </w:p>
        </w:tc>
        <w:tc>
          <w:tcPr>
            <w:tcW w:w="257" w:type="dxa"/>
            <w:tcBorders>
              <w:top w:val="nil"/>
              <w:left w:val="nil"/>
              <w:bottom w:val="nil"/>
              <w:right w:val="nil"/>
            </w:tcBorders>
            <w:shd w:val="clear" w:color="auto" w:fill="auto"/>
            <w:noWrap/>
            <w:vAlign w:val="bottom"/>
            <w:hideMark/>
          </w:tcPr>
          <w:p w14:paraId="0DCE449F"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single" w:sz="4" w:space="0" w:color="ADD5EA"/>
              <w:right w:val="nil"/>
            </w:tcBorders>
            <w:shd w:val="clear" w:color="000000" w:fill="FFFFFF"/>
            <w:noWrap/>
            <w:tcMar>
              <w:left w:w="0" w:type="dxa"/>
            </w:tcMar>
            <w:vAlign w:val="bottom"/>
            <w:hideMark/>
          </w:tcPr>
          <w:p w14:paraId="3D2B37CB" w14:textId="77777777" w:rsidR="00D9434E" w:rsidRPr="0026623F" w:rsidRDefault="00D9434E"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26623F">
              <w:rPr>
                <w:rFonts w:ascii="Open Sans SemiBold" w:eastAsia="Times New Roman" w:hAnsi="Open Sans SemiBold" w:cs="Open Sans SemiBold"/>
                <w:sz w:val="16"/>
                <w:szCs w:val="16"/>
                <w:lang w:eastAsia="en-AU"/>
              </w:rPr>
              <w:t>Investment</w:t>
            </w:r>
          </w:p>
        </w:tc>
        <w:tc>
          <w:tcPr>
            <w:tcW w:w="1190" w:type="dxa"/>
            <w:tcBorders>
              <w:top w:val="nil"/>
              <w:left w:val="nil"/>
              <w:bottom w:val="single" w:sz="4" w:space="0" w:color="ADD5EA"/>
              <w:right w:val="nil"/>
            </w:tcBorders>
            <w:shd w:val="clear" w:color="000000" w:fill="FFFFFF"/>
            <w:noWrap/>
            <w:vAlign w:val="bottom"/>
            <w:hideMark/>
          </w:tcPr>
          <w:p w14:paraId="3E082AC8"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RC</w:t>
            </w:r>
          </w:p>
        </w:tc>
      </w:tr>
      <w:tr w:rsidR="00D9434E" w:rsidRPr="0026623F" w14:paraId="7E2CAB62"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65DDA276"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Indigenous community development</w:t>
            </w:r>
          </w:p>
        </w:tc>
        <w:tc>
          <w:tcPr>
            <w:tcW w:w="1267" w:type="dxa"/>
            <w:tcBorders>
              <w:top w:val="nil"/>
              <w:left w:val="nil"/>
              <w:bottom w:val="single" w:sz="4" w:space="0" w:color="ADD5EA"/>
              <w:right w:val="nil"/>
            </w:tcBorders>
            <w:shd w:val="clear" w:color="000000" w:fill="FFFFFF"/>
            <w:noWrap/>
            <w:vAlign w:val="bottom"/>
            <w:hideMark/>
          </w:tcPr>
          <w:p w14:paraId="02AE8387"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General </w:t>
            </w:r>
          </w:p>
        </w:tc>
        <w:tc>
          <w:tcPr>
            <w:tcW w:w="257" w:type="dxa"/>
            <w:tcBorders>
              <w:top w:val="nil"/>
              <w:left w:val="nil"/>
              <w:bottom w:val="nil"/>
              <w:right w:val="nil"/>
            </w:tcBorders>
            <w:shd w:val="clear" w:color="auto" w:fill="auto"/>
            <w:vAlign w:val="bottom"/>
            <w:hideMark/>
          </w:tcPr>
          <w:p w14:paraId="7BF892C7"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nil"/>
              <w:right w:val="nil"/>
            </w:tcBorders>
            <w:shd w:val="clear" w:color="auto" w:fill="auto"/>
            <w:noWrap/>
            <w:tcMar>
              <w:left w:w="0" w:type="dxa"/>
            </w:tcMar>
            <w:vAlign w:val="bottom"/>
            <w:hideMark/>
          </w:tcPr>
          <w:p w14:paraId="0A23DA1B" w14:textId="77777777" w:rsidR="00D9434E" w:rsidRPr="0026623F" w:rsidRDefault="00D9434E" w:rsidP="004D65FE">
            <w:pPr>
              <w:keepNext/>
              <w:tabs>
                <w:tab w:val="clear" w:pos="567"/>
              </w:tabs>
              <w:spacing w:before="0" w:line="240" w:lineRule="auto"/>
              <w:jc w:val="right"/>
              <w:rPr>
                <w:rFonts w:ascii="Times New Roman" w:eastAsia="Times New Roman" w:hAnsi="Times New Roman" w:cs="Times New Roman"/>
                <w:szCs w:val="20"/>
                <w:lang w:eastAsia="en-AU"/>
              </w:rPr>
            </w:pPr>
          </w:p>
        </w:tc>
        <w:tc>
          <w:tcPr>
            <w:tcW w:w="1190" w:type="dxa"/>
            <w:tcBorders>
              <w:top w:val="nil"/>
              <w:left w:val="nil"/>
              <w:bottom w:val="nil"/>
              <w:right w:val="nil"/>
            </w:tcBorders>
            <w:shd w:val="clear" w:color="auto" w:fill="auto"/>
            <w:noWrap/>
            <w:vAlign w:val="bottom"/>
            <w:hideMark/>
          </w:tcPr>
          <w:p w14:paraId="1C72E0F4" w14:textId="77777777" w:rsidR="00D9434E" w:rsidRPr="0026623F" w:rsidRDefault="00D9434E" w:rsidP="004D65FE">
            <w:pPr>
              <w:keepNext/>
              <w:tabs>
                <w:tab w:val="clear" w:pos="567"/>
              </w:tabs>
              <w:spacing w:before="0" w:line="240" w:lineRule="auto"/>
              <w:rPr>
                <w:rFonts w:ascii="Times New Roman" w:eastAsia="Times New Roman" w:hAnsi="Times New Roman" w:cs="Times New Roman"/>
                <w:szCs w:val="20"/>
                <w:lang w:eastAsia="en-AU"/>
              </w:rPr>
            </w:pPr>
          </w:p>
        </w:tc>
      </w:tr>
      <w:tr w:rsidR="00D9434E" w:rsidRPr="0026623F" w14:paraId="189B1588" w14:textId="77777777" w:rsidTr="00DD216A">
        <w:trPr>
          <w:trHeight w:val="555"/>
        </w:trPr>
        <w:tc>
          <w:tcPr>
            <w:tcW w:w="3618" w:type="dxa"/>
            <w:tcBorders>
              <w:top w:val="nil"/>
              <w:left w:val="nil"/>
              <w:bottom w:val="single" w:sz="4" w:space="0" w:color="ADD5EA"/>
              <w:right w:val="nil"/>
            </w:tcBorders>
            <w:shd w:val="clear" w:color="000000" w:fill="FFFFFF"/>
            <w:tcMar>
              <w:left w:w="0" w:type="dxa"/>
            </w:tcMar>
            <w:vAlign w:val="center"/>
            <w:hideMark/>
          </w:tcPr>
          <w:p w14:paraId="12B7B807"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Other community development and </w:t>
            </w:r>
            <w:r w:rsidRPr="0026623F">
              <w:rPr>
                <w:rFonts w:eastAsia="Times New Roman" w:cs="Open Sans Light"/>
                <w:sz w:val="16"/>
                <w:szCs w:val="16"/>
                <w:lang w:eastAsia="en-AU"/>
              </w:rPr>
              <w:br/>
              <w:t xml:space="preserve">    amenities</w:t>
            </w:r>
          </w:p>
        </w:tc>
        <w:tc>
          <w:tcPr>
            <w:tcW w:w="1267" w:type="dxa"/>
            <w:tcBorders>
              <w:top w:val="nil"/>
              <w:left w:val="nil"/>
              <w:bottom w:val="single" w:sz="4" w:space="0" w:color="ADD5EA"/>
              <w:right w:val="nil"/>
            </w:tcBorders>
            <w:shd w:val="clear" w:color="000000" w:fill="FFFFFF"/>
            <w:noWrap/>
            <w:vAlign w:val="bottom"/>
            <w:hideMark/>
          </w:tcPr>
          <w:p w14:paraId="2D1BADE6"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General </w:t>
            </w:r>
          </w:p>
        </w:tc>
        <w:tc>
          <w:tcPr>
            <w:tcW w:w="257" w:type="dxa"/>
            <w:tcBorders>
              <w:top w:val="nil"/>
              <w:left w:val="nil"/>
              <w:bottom w:val="nil"/>
              <w:right w:val="nil"/>
            </w:tcBorders>
            <w:shd w:val="clear" w:color="auto" w:fill="auto"/>
            <w:vAlign w:val="bottom"/>
            <w:hideMark/>
          </w:tcPr>
          <w:p w14:paraId="19EB23BA" w14:textId="77777777" w:rsidR="00D9434E" w:rsidRPr="00B86171" w:rsidRDefault="00D9434E" w:rsidP="004D65FE">
            <w:pPr>
              <w:keepNext/>
              <w:tabs>
                <w:tab w:val="clear" w:pos="567"/>
              </w:tabs>
              <w:spacing w:before="0" w:line="240" w:lineRule="auto"/>
              <w:jc w:val="right"/>
              <w:rPr>
                <w:rFonts w:eastAsia="Times New Roman" w:cs="Open Sans Light"/>
                <w:color w:val="000000"/>
                <w:szCs w:val="20"/>
                <w:lang w:eastAsia="en-AU"/>
              </w:rPr>
            </w:pPr>
          </w:p>
        </w:tc>
        <w:tc>
          <w:tcPr>
            <w:tcW w:w="2358" w:type="dxa"/>
            <w:tcBorders>
              <w:top w:val="nil"/>
              <w:left w:val="nil"/>
              <w:bottom w:val="nil"/>
              <w:right w:val="nil"/>
            </w:tcBorders>
            <w:shd w:val="clear" w:color="auto" w:fill="auto"/>
            <w:noWrap/>
            <w:tcMar>
              <w:left w:w="0" w:type="dxa"/>
            </w:tcMar>
            <w:vAlign w:val="bottom"/>
            <w:hideMark/>
          </w:tcPr>
          <w:p w14:paraId="6CC661DF" w14:textId="77777777" w:rsidR="00D9434E" w:rsidRPr="0026623F" w:rsidRDefault="00D9434E" w:rsidP="004D65FE">
            <w:pPr>
              <w:keepNext/>
              <w:tabs>
                <w:tab w:val="clear" w:pos="567"/>
              </w:tabs>
              <w:spacing w:before="0" w:line="240" w:lineRule="auto"/>
              <w:jc w:val="right"/>
              <w:rPr>
                <w:rFonts w:ascii="Times New Roman" w:eastAsia="Times New Roman" w:hAnsi="Times New Roman" w:cs="Times New Roman"/>
                <w:szCs w:val="20"/>
                <w:lang w:eastAsia="en-AU"/>
              </w:rPr>
            </w:pPr>
          </w:p>
        </w:tc>
        <w:tc>
          <w:tcPr>
            <w:tcW w:w="1190" w:type="dxa"/>
            <w:tcBorders>
              <w:top w:val="nil"/>
              <w:left w:val="nil"/>
              <w:bottom w:val="nil"/>
              <w:right w:val="nil"/>
            </w:tcBorders>
            <w:shd w:val="clear" w:color="auto" w:fill="auto"/>
            <w:noWrap/>
            <w:vAlign w:val="bottom"/>
            <w:hideMark/>
          </w:tcPr>
          <w:p w14:paraId="11A596E9" w14:textId="77777777" w:rsidR="00D9434E" w:rsidRPr="0026623F" w:rsidRDefault="00D9434E" w:rsidP="004D65FE">
            <w:pPr>
              <w:keepNext/>
              <w:tabs>
                <w:tab w:val="clear" w:pos="567"/>
              </w:tabs>
              <w:spacing w:before="0" w:line="240" w:lineRule="auto"/>
              <w:rPr>
                <w:rFonts w:ascii="Times New Roman" w:eastAsia="Times New Roman" w:hAnsi="Times New Roman" w:cs="Times New Roman"/>
                <w:szCs w:val="20"/>
                <w:lang w:eastAsia="en-AU"/>
              </w:rPr>
            </w:pPr>
          </w:p>
        </w:tc>
      </w:tr>
      <w:tr w:rsidR="00D9434E" w:rsidRPr="0026623F" w14:paraId="1ACDC98E" w14:textId="77777777" w:rsidTr="00DD216A">
        <w:trPr>
          <w:trHeight w:val="315"/>
        </w:trPr>
        <w:tc>
          <w:tcPr>
            <w:tcW w:w="3618" w:type="dxa"/>
            <w:tcBorders>
              <w:top w:val="nil"/>
              <w:left w:val="nil"/>
              <w:bottom w:val="single" w:sz="4" w:space="0" w:color="ADD5EA"/>
              <w:right w:val="nil"/>
            </w:tcBorders>
            <w:shd w:val="clear" w:color="000000" w:fill="FFFFFF"/>
            <w:noWrap/>
            <w:tcMar>
              <w:left w:w="0" w:type="dxa"/>
            </w:tcMar>
            <w:vAlign w:val="bottom"/>
            <w:hideMark/>
          </w:tcPr>
          <w:p w14:paraId="1095AE51"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    Environmental protection</w:t>
            </w:r>
          </w:p>
        </w:tc>
        <w:tc>
          <w:tcPr>
            <w:tcW w:w="1267" w:type="dxa"/>
            <w:tcBorders>
              <w:top w:val="nil"/>
              <w:left w:val="nil"/>
              <w:bottom w:val="single" w:sz="4" w:space="0" w:color="ADD5EA"/>
              <w:right w:val="nil"/>
            </w:tcBorders>
            <w:shd w:val="clear" w:color="000000" w:fill="FFFFFF"/>
            <w:noWrap/>
            <w:vAlign w:val="bottom"/>
            <w:hideMark/>
          </w:tcPr>
          <w:p w14:paraId="594D1DD6"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xml:space="preserve">General </w:t>
            </w:r>
          </w:p>
        </w:tc>
        <w:tc>
          <w:tcPr>
            <w:tcW w:w="257" w:type="dxa"/>
            <w:tcBorders>
              <w:top w:val="nil"/>
              <w:left w:val="nil"/>
              <w:bottom w:val="single" w:sz="4" w:space="0" w:color="ADD5EA"/>
              <w:right w:val="nil"/>
            </w:tcBorders>
            <w:shd w:val="clear" w:color="000000" w:fill="FFFFFF"/>
            <w:vAlign w:val="center"/>
            <w:hideMark/>
          </w:tcPr>
          <w:p w14:paraId="7E7E6E5C" w14:textId="77777777" w:rsidR="00D9434E" w:rsidRPr="00B86171" w:rsidRDefault="00D9434E" w:rsidP="004D65FE">
            <w:pPr>
              <w:keepNext/>
              <w:tabs>
                <w:tab w:val="clear" w:pos="567"/>
              </w:tabs>
              <w:spacing w:before="0" w:line="240" w:lineRule="auto"/>
              <w:rPr>
                <w:rFonts w:eastAsia="Times New Roman" w:cs="Open Sans Light"/>
                <w:sz w:val="16"/>
                <w:szCs w:val="16"/>
                <w:lang w:eastAsia="en-AU"/>
              </w:rPr>
            </w:pPr>
            <w:r w:rsidRPr="00B86171">
              <w:rPr>
                <w:rFonts w:eastAsia="Times New Roman" w:cs="Open Sans Light"/>
                <w:sz w:val="16"/>
                <w:szCs w:val="16"/>
                <w:lang w:eastAsia="en-AU"/>
              </w:rPr>
              <w:t> </w:t>
            </w:r>
          </w:p>
        </w:tc>
        <w:tc>
          <w:tcPr>
            <w:tcW w:w="2358" w:type="dxa"/>
            <w:tcBorders>
              <w:top w:val="nil"/>
              <w:left w:val="nil"/>
              <w:bottom w:val="single" w:sz="4" w:space="0" w:color="ADD5EA"/>
              <w:right w:val="nil"/>
            </w:tcBorders>
            <w:shd w:val="clear" w:color="000000" w:fill="FFFFFF"/>
            <w:tcMar>
              <w:left w:w="0" w:type="dxa"/>
            </w:tcMar>
            <w:vAlign w:val="center"/>
            <w:hideMark/>
          </w:tcPr>
          <w:p w14:paraId="535CB489"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w:t>
            </w:r>
          </w:p>
        </w:tc>
        <w:tc>
          <w:tcPr>
            <w:tcW w:w="1190" w:type="dxa"/>
            <w:tcBorders>
              <w:top w:val="nil"/>
              <w:left w:val="nil"/>
              <w:bottom w:val="single" w:sz="4" w:space="0" w:color="ADD5EA"/>
              <w:right w:val="nil"/>
            </w:tcBorders>
            <w:shd w:val="clear" w:color="000000" w:fill="FFFFFF"/>
            <w:vAlign w:val="center"/>
            <w:hideMark/>
          </w:tcPr>
          <w:p w14:paraId="2686C204" w14:textId="77777777" w:rsidR="00D9434E" w:rsidRPr="0026623F" w:rsidRDefault="00D9434E" w:rsidP="004D65FE">
            <w:pPr>
              <w:keepNext/>
              <w:tabs>
                <w:tab w:val="clear" w:pos="567"/>
              </w:tabs>
              <w:spacing w:before="0" w:line="240" w:lineRule="auto"/>
              <w:rPr>
                <w:rFonts w:eastAsia="Times New Roman" w:cs="Open Sans Light"/>
                <w:sz w:val="16"/>
                <w:szCs w:val="16"/>
                <w:lang w:eastAsia="en-AU"/>
              </w:rPr>
            </w:pPr>
            <w:r w:rsidRPr="0026623F">
              <w:rPr>
                <w:rFonts w:eastAsia="Times New Roman" w:cs="Open Sans Light"/>
                <w:sz w:val="16"/>
                <w:szCs w:val="16"/>
                <w:lang w:eastAsia="en-AU"/>
              </w:rPr>
              <w:t> </w:t>
            </w:r>
          </w:p>
        </w:tc>
      </w:tr>
    </w:tbl>
    <w:p w14:paraId="63BA059B" w14:textId="39FCF5EE" w:rsidR="00D9434E" w:rsidRDefault="00D9434E" w:rsidP="00D9434E">
      <w:pPr>
        <w:pStyle w:val="CGCTablenote"/>
        <w:keepNext/>
        <w:keepLines/>
      </w:pPr>
      <w:r>
        <w:t>Note:</w:t>
      </w:r>
      <w:r>
        <w:tab/>
      </w:r>
      <w:r w:rsidRPr="00C13539">
        <w:rPr>
          <w:b/>
        </w:rPr>
        <w:t>—</w:t>
      </w:r>
      <w:r>
        <w:t xml:space="preserve"> means no regional cost</w:t>
      </w:r>
      <w:r w:rsidR="002545A3">
        <w:t>s</w:t>
      </w:r>
      <w:r>
        <w:t xml:space="preserve"> assessment is made on conceptual grounds.</w:t>
      </w:r>
    </w:p>
    <w:p w14:paraId="7275EDE9" w14:textId="18736703" w:rsidR="00D9434E" w:rsidRDefault="00D9434E" w:rsidP="00D9434E">
      <w:pPr>
        <w:pStyle w:val="CGCTablenote"/>
        <w:keepNext/>
        <w:keepLines/>
      </w:pPr>
      <w:r>
        <w:tab/>
      </w:r>
      <w:r w:rsidRPr="00C13539">
        <w:rPr>
          <w:b/>
        </w:rPr>
        <w:t>RC &amp; SDS</w:t>
      </w:r>
      <w:r w:rsidRPr="00C13539">
        <w:t xml:space="preserve"> refer respectively to the direct measurement of </w:t>
      </w:r>
      <w:r w:rsidR="001A75B5">
        <w:t>r</w:t>
      </w:r>
      <w:r w:rsidRPr="00C13539">
        <w:t xml:space="preserve">egional cost and </w:t>
      </w:r>
      <w:r>
        <w:t>SDS</w:t>
      </w:r>
      <w:r w:rsidRPr="00C13539">
        <w:t xml:space="preserve"> using data specific to that service.</w:t>
      </w:r>
    </w:p>
    <w:p w14:paraId="31350559" w14:textId="1E439FF4" w:rsidR="00D9434E" w:rsidRPr="00C13539" w:rsidRDefault="00D9434E" w:rsidP="00D9434E">
      <w:pPr>
        <w:pStyle w:val="CGCTablenote"/>
        <w:keepNext/>
        <w:keepLines/>
      </w:pPr>
      <w:r>
        <w:tab/>
      </w:r>
      <w:r w:rsidRPr="00C13539">
        <w:rPr>
          <w:b/>
        </w:rPr>
        <w:t>General</w:t>
      </w:r>
      <w:r w:rsidRPr="00C13539">
        <w:t xml:space="preserve"> refers to the extrapolation of a general </w:t>
      </w:r>
      <w:r>
        <w:t>r</w:t>
      </w:r>
      <w:r w:rsidRPr="00C13539">
        <w:t xml:space="preserve">egional cost gradient, </w:t>
      </w:r>
      <w:r>
        <w:t>calculated using the average of the Schools and admitted patient cost gradients</w:t>
      </w:r>
      <w:r w:rsidRPr="00C13539">
        <w:t>.</w:t>
      </w:r>
    </w:p>
    <w:p w14:paraId="5A1AEAFE" w14:textId="77777777" w:rsidR="00D9434E" w:rsidRDefault="00D9434E" w:rsidP="00D9434E">
      <w:pPr>
        <w:pStyle w:val="CGCTablenote"/>
        <w:keepNext/>
        <w:keepLines/>
      </w:pPr>
      <w:r>
        <w:tab/>
      </w:r>
      <w:r w:rsidRPr="00C13539">
        <w:rPr>
          <w:b/>
        </w:rPr>
        <w:t>Extrapolate</w:t>
      </w:r>
      <w:r w:rsidRPr="00C13539">
        <w:t xml:space="preserve"> refers to the extrapolation of a specific Regional costs and </w:t>
      </w:r>
      <w:r>
        <w:t>SDS</w:t>
      </w:r>
      <w:r w:rsidRPr="00C13539">
        <w:t xml:space="preserve"> gradient, as measured in relevant components of the health assessment.</w:t>
      </w:r>
      <w:r>
        <w:t xml:space="preserve"> For details see Chapter 15 Health.</w:t>
      </w:r>
    </w:p>
    <w:p w14:paraId="55B5ECF0" w14:textId="77777777" w:rsidR="00D9434E" w:rsidRDefault="00D9434E" w:rsidP="00D9434E">
      <w:pPr>
        <w:pStyle w:val="CGCTablenote"/>
        <w:keepNext/>
        <w:keepLines/>
      </w:pPr>
      <w:r>
        <w:tab/>
      </w:r>
      <w:r w:rsidRPr="00C13539">
        <w:rPr>
          <w:b/>
        </w:rPr>
        <w:t>Implicit</w:t>
      </w:r>
      <w:r w:rsidRPr="00C13539">
        <w:t xml:space="preserve"> refers to an integrated </w:t>
      </w:r>
      <w:r>
        <w:t xml:space="preserve">Socio-demographic </w:t>
      </w:r>
      <w:r w:rsidRPr="00C13539">
        <w:t xml:space="preserve">measure of costs </w:t>
      </w:r>
      <w:r>
        <w:t>that</w:t>
      </w:r>
      <w:r w:rsidRPr="00C13539">
        <w:t xml:space="preserve"> incorporates regional costs and </w:t>
      </w:r>
      <w:r>
        <w:t>SDS</w:t>
      </w:r>
      <w:r w:rsidRPr="00C13539">
        <w:t xml:space="preserve"> disabilities, </w:t>
      </w:r>
      <w:r>
        <w:t>that</w:t>
      </w:r>
      <w:r w:rsidRPr="00C13539">
        <w:t xml:space="preserve"> cannot be separately identified</w:t>
      </w:r>
      <w:r>
        <w:t>.</w:t>
      </w:r>
    </w:p>
    <w:p w14:paraId="3F4F84C9" w14:textId="77777777" w:rsidR="00D9434E" w:rsidRPr="008E66D1" w:rsidRDefault="00D9434E" w:rsidP="00D9434E">
      <w:pPr>
        <w:pStyle w:val="CGCTablenote"/>
      </w:pPr>
      <w:r>
        <w:t>(a)</w:t>
      </w:r>
      <w:r>
        <w:tab/>
      </w:r>
      <w:r w:rsidRPr="008E66D1">
        <w:t>Includes both general gradient and Rawlinsons’ investment gradient.</w:t>
      </w:r>
    </w:p>
    <w:p w14:paraId="68A5E570" w14:textId="77777777" w:rsidR="00D9434E" w:rsidRPr="008E66D1" w:rsidRDefault="00D9434E" w:rsidP="00D9434E">
      <w:pPr>
        <w:pStyle w:val="CGCTablenote"/>
      </w:pPr>
      <w:r>
        <w:t>(b)</w:t>
      </w:r>
      <w:r>
        <w:tab/>
      </w:r>
      <w:r w:rsidRPr="008E66D1">
        <w:t>Child protection and family services uses an extrapolated general gradient that combines regional costs and SDS costs, calculated  using the average of the combined (RC and SDS) schools and admitted patients gradients.</w:t>
      </w:r>
    </w:p>
    <w:p w14:paraId="3F5FF266" w14:textId="77777777" w:rsidR="00D9434E" w:rsidRPr="008E66D1" w:rsidRDefault="00D9434E" w:rsidP="00D9434E">
      <w:pPr>
        <w:pStyle w:val="CGCTablenote"/>
      </w:pPr>
      <w:r>
        <w:t>(c)</w:t>
      </w:r>
      <w:r>
        <w:tab/>
      </w:r>
      <w:r w:rsidRPr="008E66D1">
        <w:t>Represents an adjustment for place of service receipt being different to place of residence.</w:t>
      </w:r>
    </w:p>
    <w:p w14:paraId="5EE2FE6E" w14:textId="77777777" w:rsidR="00D9434E" w:rsidRPr="00587C34" w:rsidRDefault="00D9434E" w:rsidP="00D9434E">
      <w:pPr>
        <w:pStyle w:val="CGCTablenote"/>
        <w:keepNext/>
        <w:rPr>
          <w:lang w:eastAsia="en-AU"/>
        </w:rPr>
      </w:pPr>
      <w:r>
        <w:rPr>
          <w:lang w:eastAsia="en-AU"/>
        </w:rPr>
        <w:t>Source:</w:t>
      </w:r>
      <w:r>
        <w:rPr>
          <w:lang w:eastAsia="en-AU"/>
        </w:rPr>
        <w:tab/>
        <w:t>Commission decision</w:t>
      </w:r>
    </w:p>
    <w:p w14:paraId="4547B7D3" w14:textId="77777777" w:rsidR="00D9434E" w:rsidRDefault="00D9434E" w:rsidP="00D9434E">
      <w:pPr>
        <w:tabs>
          <w:tab w:val="clear" w:pos="567"/>
        </w:tabs>
        <w:spacing w:before="0" w:after="200" w:line="276" w:lineRule="auto"/>
        <w:rPr>
          <w:rFonts w:ascii="Montserrat Semi Bold" w:eastAsiaTheme="majorEastAsia" w:hAnsi="Montserrat Semi Bold" w:cstheme="majorBidi"/>
          <w:color w:val="636466"/>
          <w:sz w:val="24"/>
        </w:rPr>
      </w:pPr>
      <w:bookmarkStart w:id="558" w:name="_Toc7536882"/>
      <w:bookmarkStart w:id="559" w:name="_Toc20906125"/>
      <w:bookmarkStart w:id="560" w:name="_Toc20906144"/>
      <w:bookmarkStart w:id="561" w:name="_Toc7536881"/>
      <w:bookmarkStart w:id="562" w:name="_Toc20906124"/>
      <w:bookmarkStart w:id="563" w:name="_Toc20906143"/>
      <w:r>
        <w:br w:type="page"/>
      </w:r>
    </w:p>
    <w:p w14:paraId="6B63E8C6" w14:textId="77777777" w:rsidR="00D9434E" w:rsidRDefault="00D9434E" w:rsidP="00D9434E">
      <w:pPr>
        <w:pStyle w:val="Heading5"/>
      </w:pPr>
      <w:r>
        <w:lastRenderedPageBreak/>
        <w:t>Measuring regional costs</w:t>
      </w:r>
      <w:bookmarkEnd w:id="558"/>
      <w:bookmarkEnd w:id="559"/>
      <w:bookmarkEnd w:id="560"/>
    </w:p>
    <w:p w14:paraId="72E5ECF0" w14:textId="77777777" w:rsidR="00D9434E" w:rsidRDefault="00D9434E" w:rsidP="00F47EC7">
      <w:pPr>
        <w:pStyle w:val="CGCParaNumber"/>
      </w:pPr>
      <w:bookmarkStart w:id="564" w:name="_Ref528658923"/>
      <w:r>
        <w:t>In the 2015 Review, the Commission measured the effect of regional costs on government schools and police services. It generalised from these relationships to other services where data were not available. The Commission acknowledged that different services can be delivered in very different, less localised, ways, and so discounted the regional cost gradient where it was extrapolated to other services.</w:t>
      </w:r>
      <w:bookmarkEnd w:id="564"/>
      <w:r>
        <w:t xml:space="preserve"> </w:t>
      </w:r>
    </w:p>
    <w:p w14:paraId="79BF9A83" w14:textId="77777777" w:rsidR="00D9434E" w:rsidRDefault="00D9434E" w:rsidP="00F47EC7">
      <w:pPr>
        <w:pStyle w:val="CGCParaNumber"/>
      </w:pPr>
      <w:r>
        <w:t xml:space="preserve">In the 2020 Review, the Commission has used category specific data on the effect of increasing remoteness on a broader range of services than in the 2015 Review, and so has improved the quality of the evidence base for this assessment. </w:t>
      </w:r>
      <w:r w:rsidRPr="002813DB">
        <w:t>Where extrapolation is required, a 25% discount has been retained, reflecting the ongoing uncertainty about the nature of the relationship between remoteness and cost for some functions.</w:t>
      </w:r>
      <w:r>
        <w:t xml:space="preserve"> </w:t>
      </w:r>
    </w:p>
    <w:p w14:paraId="46978003" w14:textId="77777777" w:rsidR="00D9434E" w:rsidRPr="004C377A" w:rsidRDefault="00D9434E" w:rsidP="00F47EC7">
      <w:pPr>
        <w:pStyle w:val="CGCParaNumber"/>
      </w:pPr>
      <w:r w:rsidRPr="001C1696">
        <w:rPr>
          <w:rStyle w:val="Heading6Char"/>
        </w:rPr>
        <w:t>State views.</w:t>
      </w:r>
      <w:r>
        <w:t xml:space="preserve"> </w:t>
      </w:r>
      <w:r w:rsidRPr="001C1696">
        <w:t xml:space="preserve">New South Wales and Victoria were concerned about extrapolation from one service to another. The view of these States is that the nature of service delivery is so different it is </w:t>
      </w:r>
      <w:r w:rsidRPr="004C377A">
        <w:t>unreasonable to expect that the effect of increasing remoteness on, say, schools has any relationship to the effect on welfare or other services. Victoria contends that in the absence of reliable evidence, the Commission should not assess regional costs. New</w:t>
      </w:r>
      <w:r>
        <w:t> </w:t>
      </w:r>
      <w:r w:rsidRPr="004C377A">
        <w:t>South</w:t>
      </w:r>
      <w:r>
        <w:t> </w:t>
      </w:r>
      <w:r w:rsidRPr="004C377A">
        <w:t>Wales contends that a significant discount is warranted where extrapolation is necessary.</w:t>
      </w:r>
    </w:p>
    <w:p w14:paraId="3D16C6A3" w14:textId="77777777" w:rsidR="00D9434E" w:rsidRPr="004C377A" w:rsidRDefault="00D9434E" w:rsidP="00F47EC7">
      <w:pPr>
        <w:pStyle w:val="CGCParaNumber"/>
      </w:pPr>
      <w:r w:rsidRPr="004C377A">
        <w:t xml:space="preserve">Queensland considered it important to develop reliable assessments for the regional cost gradient in each service. </w:t>
      </w:r>
    </w:p>
    <w:p w14:paraId="2DCF22FF" w14:textId="77777777" w:rsidR="00D9434E" w:rsidRPr="004C377A" w:rsidRDefault="00D9434E" w:rsidP="00F47EC7">
      <w:pPr>
        <w:pStyle w:val="CGCParaNumber"/>
      </w:pPr>
      <w:r w:rsidRPr="004C377A">
        <w:t>Western Australia considered that IHPA’s estimate</w:t>
      </w:r>
      <w:r>
        <w:t>s</w:t>
      </w:r>
      <w:r w:rsidRPr="004C377A">
        <w:t xml:space="preserve"> of costs attributable to the remoteness of the hospital underestimate the full costs of remote service delivery, as much of the high cost of service delivery in remote areas is attributed to patient remoteness. As such, Western</w:t>
      </w:r>
      <w:r>
        <w:t> </w:t>
      </w:r>
      <w:r w:rsidRPr="004C377A">
        <w:t xml:space="preserve">Australia’s view was that using hospital remoteness in the general gradient underestimates the full cost of remote service delivery for a standard service. </w:t>
      </w:r>
    </w:p>
    <w:p w14:paraId="7E7E6AEC" w14:textId="32A46C6E" w:rsidR="00D9434E" w:rsidRPr="004C377A" w:rsidRDefault="00D9434E" w:rsidP="00F47EC7">
      <w:pPr>
        <w:pStyle w:val="CGCParaNumber"/>
      </w:pPr>
      <w:r w:rsidRPr="004C377A">
        <w:rPr>
          <w:rStyle w:val="Heading6Char"/>
        </w:rPr>
        <w:t>Analysis.</w:t>
      </w:r>
      <w:r w:rsidRPr="004C377A">
        <w:t xml:space="preserve"> </w:t>
      </w:r>
      <w:r w:rsidRPr="004C377A">
        <w:fldChar w:fldCharType="begin"/>
      </w:r>
      <w:r w:rsidRPr="004C377A">
        <w:instrText xml:space="preserve"> REF _Ref5636610 \h </w:instrText>
      </w:r>
      <w:r>
        <w:instrText xml:space="preserve"> \* MERGEFORMAT </w:instrText>
      </w:r>
      <w:r w:rsidRPr="004C377A">
        <w:fldChar w:fldCharType="separate"/>
      </w:r>
      <w:r w:rsidR="007F721A">
        <w:t xml:space="preserve">Table </w:t>
      </w:r>
      <w:r w:rsidR="007F721A">
        <w:rPr>
          <w:noProof/>
        </w:rPr>
        <w:t>28-4</w:t>
      </w:r>
      <w:r w:rsidRPr="004C377A">
        <w:fldChar w:fldCharType="end"/>
      </w:r>
      <w:r w:rsidRPr="004C377A">
        <w:t xml:space="preserve"> shows that for most components in most expense categories, the impact of regional costs and SDS either:</w:t>
      </w:r>
    </w:p>
    <w:p w14:paraId="52D8DB37" w14:textId="77777777" w:rsidR="00D9434E" w:rsidRPr="004C377A" w:rsidRDefault="00D9434E" w:rsidP="00D9434E">
      <w:pPr>
        <w:pStyle w:val="CGCBullet1"/>
      </w:pPr>
      <w:r w:rsidRPr="004C377A">
        <w:t>does not have a strong conceptual basis, or</w:t>
      </w:r>
    </w:p>
    <w:p w14:paraId="645EB401" w14:textId="77777777" w:rsidR="00D9434E" w:rsidRPr="004C377A" w:rsidRDefault="00D9434E" w:rsidP="00D9434E">
      <w:pPr>
        <w:pStyle w:val="CGCBullet1"/>
      </w:pPr>
      <w:r w:rsidRPr="004C377A">
        <w:t>can be measured using data specific to the delivery of that service.</w:t>
      </w:r>
    </w:p>
    <w:p w14:paraId="202C8134" w14:textId="77777777" w:rsidR="00D9434E" w:rsidRDefault="00D9434E" w:rsidP="00F47EC7">
      <w:pPr>
        <w:pStyle w:val="CGCParaNumber"/>
      </w:pPr>
      <w:r w:rsidRPr="004C377A">
        <w:t>There are a small number of other areas where data cannot be gathered on the effect, but there is a strong conceptual case that</w:t>
      </w:r>
      <w:r>
        <w:t xml:space="preserve"> more remote areas, and smaller communities, face higher costs.</w:t>
      </w:r>
    </w:p>
    <w:p w14:paraId="66655E83" w14:textId="77777777" w:rsidR="00D9434E" w:rsidRDefault="00D9434E" w:rsidP="00F47EC7">
      <w:pPr>
        <w:pStyle w:val="CGCParaNumber"/>
      </w:pPr>
      <w:r>
        <w:t xml:space="preserve">In some of these, there are similar services where data can be reliably measured, so the Commission has extrapolated: </w:t>
      </w:r>
    </w:p>
    <w:p w14:paraId="59E7B163" w14:textId="77777777" w:rsidR="00D9434E" w:rsidRPr="00887185" w:rsidRDefault="00D9434E" w:rsidP="00D9434E">
      <w:pPr>
        <w:pStyle w:val="CGCBullet1"/>
      </w:pPr>
      <w:r>
        <w:t xml:space="preserve">regional costs and SDS from </w:t>
      </w:r>
      <w:r w:rsidRPr="00887185">
        <w:t xml:space="preserve">emergency department </w:t>
      </w:r>
      <w:r>
        <w:t xml:space="preserve">services </w:t>
      </w:r>
      <w:r w:rsidRPr="00887185">
        <w:t>to non-admitted patients</w:t>
      </w:r>
      <w:r>
        <w:t xml:space="preserve"> and </w:t>
      </w:r>
      <w:r w:rsidRPr="00887185">
        <w:t>community and other health services</w:t>
      </w:r>
      <w:r>
        <w:t>.</w:t>
      </w:r>
    </w:p>
    <w:p w14:paraId="288D0F17" w14:textId="77777777" w:rsidR="00D9434E" w:rsidRPr="00887185" w:rsidRDefault="00D9434E" w:rsidP="00F47EC7">
      <w:pPr>
        <w:pStyle w:val="CGCParaNumber"/>
      </w:pPr>
      <w:r w:rsidRPr="00887185">
        <w:t>For other services, a general gradient is required.</w:t>
      </w:r>
    </w:p>
    <w:bookmarkStart w:id="565" w:name="_Ref5719254"/>
    <w:p w14:paraId="46889CF4" w14:textId="4145BCC8" w:rsidR="00D9434E" w:rsidRPr="005B1BC8" w:rsidRDefault="00D9434E" w:rsidP="00F47EC7">
      <w:pPr>
        <w:pStyle w:val="CGCParaNumber"/>
      </w:pPr>
      <w:r w:rsidRPr="005B1BC8">
        <w:fldChar w:fldCharType="begin"/>
      </w:r>
      <w:r w:rsidRPr="005B1BC8">
        <w:instrText xml:space="preserve"> REF _Ref532374960 \h  \* MERGEFORMAT </w:instrText>
      </w:r>
      <w:r w:rsidRPr="005B1BC8">
        <w:fldChar w:fldCharType="separate"/>
      </w:r>
      <w:r w:rsidR="007F721A" w:rsidRPr="00135796">
        <w:t xml:space="preserve">Table </w:t>
      </w:r>
      <w:r w:rsidR="007F721A">
        <w:rPr>
          <w:noProof/>
        </w:rPr>
        <w:t>28-3</w:t>
      </w:r>
      <w:r w:rsidRPr="005B1BC8">
        <w:fldChar w:fldCharType="end"/>
      </w:r>
      <w:r w:rsidRPr="005B1BC8">
        <w:t xml:space="preserve"> shows that different services can have quite different slopes to their regional gradient. This reflects that different services are delivered and measured in different ways:</w:t>
      </w:r>
    </w:p>
    <w:p w14:paraId="01FA0DF1" w14:textId="77777777" w:rsidR="00D9434E" w:rsidRPr="005B1BC8" w:rsidRDefault="00D9434E" w:rsidP="00D9434E">
      <w:pPr>
        <w:pStyle w:val="CGCBullet1"/>
      </w:pPr>
      <w:r w:rsidRPr="005B1BC8">
        <w:t xml:space="preserve">whether services are delivered locally or regionally </w:t>
      </w:r>
    </w:p>
    <w:p w14:paraId="70F58D19" w14:textId="53F3C4FB" w:rsidR="00D9434E" w:rsidRPr="005B1BC8" w:rsidRDefault="00D9434E" w:rsidP="00D9434E">
      <w:pPr>
        <w:pStyle w:val="CGCBullet1"/>
      </w:pPr>
      <w:r w:rsidRPr="005B1BC8">
        <w:t xml:space="preserve">whether services are measured on the place of service delivery or place of residence (see discussion of this issue from paragraph </w:t>
      </w:r>
      <w:r w:rsidRPr="005B1BC8">
        <w:fldChar w:fldCharType="begin"/>
      </w:r>
      <w:r w:rsidRPr="005B1BC8">
        <w:instrText xml:space="preserve"> REF _Ref10471497 \r \h  \* MERGEFORMAT </w:instrText>
      </w:r>
      <w:r w:rsidRPr="005B1BC8">
        <w:fldChar w:fldCharType="separate"/>
      </w:r>
      <w:r w:rsidR="007F721A">
        <w:t>21</w:t>
      </w:r>
      <w:r w:rsidRPr="005B1BC8">
        <w:fldChar w:fldCharType="end"/>
      </w:r>
      <w:r w:rsidRPr="005B1BC8">
        <w:t xml:space="preserve">). </w:t>
      </w:r>
    </w:p>
    <w:p w14:paraId="1732DAEB" w14:textId="77777777" w:rsidR="00D9434E" w:rsidRPr="005B1BC8" w:rsidRDefault="00D9434E" w:rsidP="00F47EC7">
      <w:pPr>
        <w:pStyle w:val="CGCParaNumber"/>
      </w:pPr>
      <w:r w:rsidRPr="005B1BC8">
        <w:lastRenderedPageBreak/>
        <w:t>Where a regional cost gradient cannot be directly measured, but a strong conceptual case exists, the Commission considers the average regional cost gradient of schools and admitted patient services should be used</w:t>
      </w:r>
      <w:r w:rsidRPr="00640838">
        <w:t>, including a 25% discount</w:t>
      </w:r>
      <w:r w:rsidRPr="005B1BC8">
        <w:t xml:space="preserve">. This </w:t>
      </w:r>
      <w:r w:rsidRPr="00640838">
        <w:t>generally</w:t>
      </w:r>
      <w:r>
        <w:t xml:space="preserve"> </w:t>
      </w:r>
      <w:r w:rsidRPr="005B1BC8">
        <w:t>incorporates regional costs but not SDS. This general gradient is applied in:</w:t>
      </w:r>
    </w:p>
    <w:p w14:paraId="150523E5" w14:textId="77777777" w:rsidR="00D9434E" w:rsidRDefault="00D9434E" w:rsidP="00D9434E">
      <w:pPr>
        <w:pStyle w:val="CGCBullet1"/>
      </w:pPr>
      <w:r>
        <w:t>social housing</w:t>
      </w:r>
    </w:p>
    <w:p w14:paraId="013EB65A" w14:textId="77777777" w:rsidR="00D9434E" w:rsidRDefault="00D9434E" w:rsidP="00D9434E">
      <w:pPr>
        <w:pStyle w:val="CGCBullet1"/>
      </w:pPr>
      <w:r>
        <w:t xml:space="preserve">child protection and family </w:t>
      </w:r>
      <w:r w:rsidDel="00773018">
        <w:t>services</w:t>
      </w:r>
      <w:r>
        <w:t xml:space="preserve"> (</w:t>
      </w:r>
      <w:r w:rsidRPr="00640838">
        <w:t>includes a general SDS as well as regional costs gradient</w:t>
      </w:r>
      <w:r>
        <w:t>)</w:t>
      </w:r>
    </w:p>
    <w:p w14:paraId="5DE649F9" w14:textId="77777777" w:rsidR="00D9434E" w:rsidRPr="005B1BC8" w:rsidRDefault="00D9434E" w:rsidP="00D9434E">
      <w:pPr>
        <w:pStyle w:val="CGCBullet1"/>
      </w:pPr>
      <w:r>
        <w:t>S</w:t>
      </w:r>
      <w:r w:rsidRPr="005B1BC8">
        <w:t>ervices to communities, other than water and electricity subsidies</w:t>
      </w:r>
    </w:p>
    <w:p w14:paraId="66B0C6E6" w14:textId="77777777" w:rsidR="00D9434E" w:rsidRDefault="00D9434E" w:rsidP="00D9434E">
      <w:pPr>
        <w:pStyle w:val="CGCBullet1"/>
      </w:pPr>
      <w:r w:rsidRPr="005B1BC8">
        <w:t>rural roads</w:t>
      </w:r>
      <w:r>
        <w:t xml:space="preserve"> (</w:t>
      </w:r>
      <w:r w:rsidRPr="00640838">
        <w:t>only applied to expenses related to road length</w:t>
      </w:r>
      <w:r>
        <w:t>)</w:t>
      </w:r>
    </w:p>
    <w:p w14:paraId="189C915A" w14:textId="4C300DB4" w:rsidR="00D538AA" w:rsidRPr="005B1BC8" w:rsidRDefault="00D538AA" w:rsidP="00D9434E">
      <w:pPr>
        <w:pStyle w:val="CGCBullet1"/>
      </w:pPr>
      <w:r>
        <w:t>non-urba</w:t>
      </w:r>
      <w:r w:rsidR="00331145">
        <w:t>n transport</w:t>
      </w:r>
    </w:p>
    <w:p w14:paraId="26CB4B02" w14:textId="77777777" w:rsidR="00D9434E" w:rsidRPr="004C377A" w:rsidRDefault="00D9434E" w:rsidP="00D9434E">
      <w:pPr>
        <w:pStyle w:val="CGCBullet1"/>
      </w:pPr>
      <w:r>
        <w:t>S</w:t>
      </w:r>
      <w:r w:rsidRPr="004C377A">
        <w:t>ervices to industry (regulation components)</w:t>
      </w:r>
    </w:p>
    <w:p w14:paraId="60096351" w14:textId="77777777" w:rsidR="00D9434E" w:rsidRPr="004C377A" w:rsidRDefault="00D9434E" w:rsidP="00D9434E">
      <w:pPr>
        <w:pStyle w:val="CGCBullet1"/>
      </w:pPr>
      <w:r w:rsidRPr="004C377A">
        <w:t>other expenses (to a proportion of service expenses).</w:t>
      </w:r>
    </w:p>
    <w:p w14:paraId="6334013A" w14:textId="77777777" w:rsidR="00D9434E" w:rsidRPr="004C377A" w:rsidRDefault="00D9434E" w:rsidP="00F47EC7">
      <w:pPr>
        <w:pStyle w:val="CGCParaNumber"/>
      </w:pPr>
      <w:r w:rsidRPr="004C377A">
        <w:t>The Commission considers school and hospital services are delivered in very different ways, and hence have very different regional cost gradients. The Commission considers that the simple average of these two gradients</w:t>
      </w:r>
      <w:r w:rsidRPr="00640838">
        <w:t>, with a 25% discount,</w:t>
      </w:r>
      <w:r w:rsidRPr="004C377A">
        <w:t xml:space="preserve"> represents an appropriate estimate of the cost gradient for those services where the general gradient is required. </w:t>
      </w:r>
    </w:p>
    <w:p w14:paraId="5D1FF000" w14:textId="77777777" w:rsidR="00D9434E" w:rsidRPr="00D700FC" w:rsidRDefault="00D9434E" w:rsidP="00F47EC7">
      <w:pPr>
        <w:pStyle w:val="CGCParaNumber"/>
      </w:pPr>
      <w:r w:rsidRPr="004C377A">
        <w:t>Western Australia has argued that the effect of patient remoteness should be included in the general gradient as well as the effect of hospital remoteness. It considers that the types of complexities that arise from patients living in remote areas also apply to all categories to which the general gradient is applied. The Commission has no reason to conclude that costs arising from additional complexity associated with remote patients would be similar for other services. While it may be true that child protection interventions are more costly for remote children due to their isolation from early intervention and prevention services, the conceptual case has not been made. While the Commission is comfortable to apply a ‘pure’ cost gradient to unrelated services, it is not comfortable to assume that costs related to the complexity of remote service delivery for a particular service translate to other services.</w:t>
      </w:r>
    </w:p>
    <w:p w14:paraId="2D47195A" w14:textId="77777777" w:rsidR="00D9434E" w:rsidRPr="004C377A" w:rsidRDefault="00D9434E" w:rsidP="00F47EC7">
      <w:pPr>
        <w:pStyle w:val="CGCParaNumber"/>
      </w:pPr>
      <w:r w:rsidRPr="004C377A">
        <w:t xml:space="preserve">For Investment, cost indices from the </w:t>
      </w:r>
      <w:r w:rsidRPr="00300985">
        <w:rPr>
          <w:i/>
          <w:iCs/>
        </w:rPr>
        <w:t>Rawlinsons Construction Handbook</w:t>
      </w:r>
      <w:r w:rsidRPr="004C377A">
        <w:t xml:space="preserve"> provide some indication of the costs of construction. Rawlinsons does not necessarily capture all relevant costs, for example, road construction costs may be different from building construction costs. In the 2015 Review, the Commission blended (50:50) a measure based on Rawlinsons, and a measure based on the relevant regional cost gradient and </w:t>
      </w:r>
      <w:r>
        <w:t>i</w:t>
      </w:r>
      <w:r w:rsidRPr="004C377A">
        <w:t>nterstate wage costs.</w:t>
      </w:r>
      <w:bookmarkEnd w:id="565"/>
      <w:r w:rsidRPr="004C377A">
        <w:t xml:space="preserve"> However, in this review, the general gradient is applied much less widely than in the 2015 review, and the gradient is similar to that of Rawlinsons</w:t>
      </w:r>
      <w:r>
        <w:t>’</w:t>
      </w:r>
      <w:r w:rsidRPr="004C377A">
        <w:t xml:space="preserve">. The Commission considers it would be simpler and more appropriate to simply use the Rawlinsons’ cost differences between States and between regions. </w:t>
      </w:r>
    </w:p>
    <w:p w14:paraId="1BA45402" w14:textId="45FCA42C" w:rsidR="00D9434E" w:rsidRPr="004C377A" w:rsidRDefault="00D9434E" w:rsidP="00F47EC7">
      <w:pPr>
        <w:pStyle w:val="CGCParaNumber"/>
      </w:pPr>
      <w:r w:rsidRPr="004C377A">
        <w:t>The stock factors for Justice and Health, used to determine the capital needs per capita for related investment, incorporate regional cost</w:t>
      </w:r>
      <w:r w:rsidR="00DC299A">
        <w:t>s</w:t>
      </w:r>
      <w:r w:rsidRPr="004C377A">
        <w:t xml:space="preserve"> disabilities. These disabilities cannot readily be removed. As such, to avoid double counting of these effects, no additional regional construction cost disabilities are applied to this investment.</w:t>
      </w:r>
    </w:p>
    <w:p w14:paraId="0A37A10E" w14:textId="052D6D50" w:rsidR="00D9434E" w:rsidRPr="004C377A" w:rsidRDefault="00D9434E" w:rsidP="00D9434E">
      <w:pPr>
        <w:pStyle w:val="Heading5"/>
      </w:pPr>
      <w:r w:rsidRPr="004C377A">
        <w:t xml:space="preserve">Measuring </w:t>
      </w:r>
      <w:r w:rsidR="00E56ED6">
        <w:t>s</w:t>
      </w:r>
      <w:r w:rsidRPr="004C377A">
        <w:t xml:space="preserve">ervice </w:t>
      </w:r>
      <w:r w:rsidR="00E56ED6">
        <w:t>d</w:t>
      </w:r>
      <w:r w:rsidRPr="004C377A">
        <w:t xml:space="preserve">elivery </w:t>
      </w:r>
      <w:r w:rsidR="00E56ED6">
        <w:t>s</w:t>
      </w:r>
      <w:r w:rsidRPr="004C377A">
        <w:t>cale</w:t>
      </w:r>
      <w:bookmarkEnd w:id="561"/>
      <w:bookmarkEnd w:id="562"/>
      <w:bookmarkEnd w:id="563"/>
    </w:p>
    <w:p w14:paraId="132A3EC6" w14:textId="77777777" w:rsidR="00D9434E" w:rsidRPr="004C377A" w:rsidRDefault="00D9434E" w:rsidP="00F47EC7">
      <w:pPr>
        <w:pStyle w:val="CGCParaNumber"/>
      </w:pPr>
      <w:r w:rsidRPr="004C377A">
        <w:t xml:space="preserve">When States deliver services in smaller communities, the indivisibility of labour and other related effects increase costs. In the 2015 Review, the Commission captured this through the SDS assessment, which used a geographic classification of SDS areas, defined as locations </w:t>
      </w:r>
      <w:r w:rsidRPr="004C377A">
        <w:lastRenderedPageBreak/>
        <w:t>more than 50 km by road from a town of 5</w:t>
      </w:r>
      <w:r>
        <w:t>,</w:t>
      </w:r>
      <w:r w:rsidRPr="004C377A">
        <w:t>000 or more. In this Review, the Commission is assessing SDS using ABS remoteness areas, the same geography used for the regional costs assessment.</w:t>
      </w:r>
    </w:p>
    <w:p w14:paraId="56B6FD9B" w14:textId="77777777" w:rsidR="00D9434E" w:rsidRPr="004C377A" w:rsidRDefault="00D9434E" w:rsidP="00F47EC7">
      <w:pPr>
        <w:pStyle w:val="CGCParaNumber"/>
      </w:pPr>
      <w:r w:rsidRPr="004C377A">
        <w:rPr>
          <w:rStyle w:val="Heading6Char"/>
        </w:rPr>
        <w:t xml:space="preserve">State views. </w:t>
      </w:r>
      <w:r w:rsidRPr="004C377A">
        <w:t xml:space="preserve">Victoria was concerned that there is a level of double counting between the SDS and the regional costs assessments. It considered that the approach to measuring where SDS is experienced in the 2015 Review was flawed, but did not consider that redeveloping the assessment was warranted, or likely to result in materially different outcomes. It argued that the proposed approach to measuring SDS in Schools </w:t>
      </w:r>
      <w:r>
        <w:t>i</w:t>
      </w:r>
      <w:r w:rsidRPr="004C377A">
        <w:t xml:space="preserve">s flawed, and that school size having an effect on school funding per student is a reflection of scale effects, rather than a fixed cost per school. </w:t>
      </w:r>
    </w:p>
    <w:p w14:paraId="452C0EAE" w14:textId="77777777" w:rsidR="00D9434E" w:rsidRPr="004C377A" w:rsidRDefault="00D9434E" w:rsidP="00F47EC7">
      <w:pPr>
        <w:pStyle w:val="CGCParaNumber"/>
      </w:pPr>
      <w:r w:rsidRPr="004C377A">
        <w:t xml:space="preserve">The ACT accepted the conceptual case that SDS and regional costs are different ideas and could be measured separately. However, the States that gain from SDS tend to be the States that gain from regional costs. Using a similar approach to both, based upon level of remoteness, would simplify the assessments. </w:t>
      </w:r>
    </w:p>
    <w:p w14:paraId="463C0E37" w14:textId="77777777" w:rsidR="00D9434E" w:rsidRPr="004C377A" w:rsidRDefault="00D9434E" w:rsidP="00F47EC7">
      <w:pPr>
        <w:pStyle w:val="CGCParaNumber"/>
      </w:pPr>
      <w:r w:rsidRPr="004C377A">
        <w:t xml:space="preserve">The Northern Territory was concerned that SDS exists in a much wider range of areas than indicated by the 2015 Review approach. For example, block funded hospitals are funded as such because they do not have sufficient throughput to be economically feasible. This is the very basis of a SDS disability. The Northern Territory also argued that remote large towns such as Katherine and Alice Springs bear additional SDS costs, associated with providing outreach services to the surrounding communities. </w:t>
      </w:r>
    </w:p>
    <w:p w14:paraId="08FA2821" w14:textId="77777777" w:rsidR="00D9434E" w:rsidRPr="004C377A" w:rsidRDefault="00D9434E" w:rsidP="00F47EC7">
      <w:pPr>
        <w:pStyle w:val="CGCParaNumber"/>
      </w:pPr>
      <w:r w:rsidRPr="004C377A">
        <w:rPr>
          <w:rStyle w:val="Heading6Char"/>
        </w:rPr>
        <w:t xml:space="preserve">Analysis. </w:t>
      </w:r>
      <w:r w:rsidRPr="004C377A">
        <w:t>The Commission considers that the 2015 Review approach to defining SDS areas (being those areas more than 50 km from a town of 5</w:t>
      </w:r>
      <w:r>
        <w:t>,000</w:t>
      </w:r>
      <w:r w:rsidRPr="004C377A">
        <w:t xml:space="preserve"> people) was an appropriate, although not necessarily an optimised, definition. However, the Commission was attracted to the ACT argument that SDS can be reliably and more simply measured using remoteness areas and has adopted this approach.</w:t>
      </w:r>
    </w:p>
    <w:p w14:paraId="7FE22CC9" w14:textId="77777777" w:rsidR="00D9434E" w:rsidRPr="00D700FC" w:rsidRDefault="00D9434E" w:rsidP="00F47EC7">
      <w:pPr>
        <w:pStyle w:val="CGCParaNumber"/>
      </w:pPr>
      <w:r w:rsidRPr="00D700FC">
        <w:t xml:space="preserve">For the 2020 Review, in an attempt to simplify the assessment and reduce the reliance on judgement, the Commission has changed the police assessment. Both remoteness and SDS effects are captured in the same calculation and use the same geography. This geography is necessarily relatively broad, as States cannot reliably or meaningfully allocate costs to individual police stations. So conceptually, SDS disabilities are still captured in the police assessment, but as part of an integrated category assessment which captures not only regional costs and SDS, but also differences in the nature of the police task in different regions. This assessment is described in Chapter 19 Justice. </w:t>
      </w:r>
    </w:p>
    <w:p w14:paraId="22DD2111" w14:textId="77777777" w:rsidR="00D9434E" w:rsidRPr="00D700FC" w:rsidRDefault="00D9434E" w:rsidP="00F47EC7">
      <w:pPr>
        <w:pStyle w:val="CGCParaNumber"/>
      </w:pPr>
      <w:r w:rsidRPr="00D700FC">
        <w:t xml:space="preserve">IHPA has provided data on the cost weighted use of hospitals by patient remoteness, for hospitals funded using activity based funding (ABF) and block funded hospitals. These data allow the Commission to capture SDS affects for hospitals using patient remoteness. This assessment is described in Chapter 15 Health. </w:t>
      </w:r>
    </w:p>
    <w:p w14:paraId="184A615E" w14:textId="77777777" w:rsidR="00D9434E" w:rsidRPr="004C377A" w:rsidRDefault="00D9434E" w:rsidP="00F47EC7">
      <w:pPr>
        <w:pStyle w:val="CGCParaNumber"/>
      </w:pPr>
      <w:r w:rsidRPr="004C377A">
        <w:t>As the Commission assess</w:t>
      </w:r>
      <w:r>
        <w:t>es</w:t>
      </w:r>
      <w:r w:rsidRPr="004C377A">
        <w:t xml:space="preserve"> SDS using remoteness areas for both police and hospitals, it considered whether this was appropriate in Schools as well, so that there would no longer be a need to maintain a specialist SDS geography. Instead of calculating the average school size in SDS and non-SDS areas, as was done in the 2015 Review, the Commission calculat</w:t>
      </w:r>
      <w:r>
        <w:t>es</w:t>
      </w:r>
      <w:r w:rsidRPr="004C377A">
        <w:t xml:space="preserve"> the average school size in each remoteness region, as described in Chapter 13 Schools.</w:t>
      </w:r>
    </w:p>
    <w:p w14:paraId="788624F8" w14:textId="77777777" w:rsidR="00D9434E" w:rsidRPr="004C377A" w:rsidRDefault="00D9434E" w:rsidP="00F47EC7">
      <w:pPr>
        <w:pStyle w:val="CGCParaNumber"/>
      </w:pPr>
      <w:r w:rsidRPr="004C377A">
        <w:t xml:space="preserve">Conceptually, SDS relates to the indivisibility of labour and the fixed costs of providing services in a certain location. This is related to the population in small isolated communities. Regional costs relate to the additional costs required to run a service in more remote </w:t>
      </w:r>
      <w:r w:rsidRPr="004C377A">
        <w:lastRenderedPageBreak/>
        <w:t>locations, due to influences such as higher staff costs, greater distances travelled, and staff housing requirements. These are two distinct disabilities, but there is significant (although not perfect) overlap in the regions in which they occur, and the States that experience them most significantly. While the</w:t>
      </w:r>
      <w:r>
        <w:t>se</w:t>
      </w:r>
      <w:r w:rsidRPr="004C377A">
        <w:t xml:space="preserve"> are correlated in geography, the</w:t>
      </w:r>
      <w:r>
        <w:t>se</w:t>
      </w:r>
      <w:r w:rsidRPr="004C377A">
        <w:t xml:space="preserve"> are separate concepts, and the approaches used to measure them (either separately or combined) do not result in double counting of either effect.</w:t>
      </w:r>
    </w:p>
    <w:p w14:paraId="4D45256B" w14:textId="77777777" w:rsidR="00D9434E" w:rsidRPr="004C377A" w:rsidRDefault="00D9434E" w:rsidP="00F47EC7">
      <w:pPr>
        <w:pStyle w:val="CGCParaNumber"/>
      </w:pPr>
      <w:r w:rsidRPr="004C377A">
        <w:t xml:space="preserve">The Commission does not consider that </w:t>
      </w:r>
      <w:r>
        <w:t xml:space="preserve">SDS </w:t>
      </w:r>
      <w:r w:rsidRPr="004C377A">
        <w:t xml:space="preserve">conceptually applies in large remote centres such as Katherine or Alice Springs. Ideally, the high costs of services delivered from these centres to small isolated centres should be attributed to those smaller centres. To the extent that State data attributes these costs to the larger remote centres, very remote costs will be understated, and remote costs overstated. However, there is no way of quantifying this, and the Commission considers it unlikely to be a major source of bias. </w:t>
      </w:r>
    </w:p>
    <w:p w14:paraId="70B9664A" w14:textId="35D068C8" w:rsidR="00D9434E" w:rsidRPr="004C377A" w:rsidRDefault="00D9434E" w:rsidP="00D9434E">
      <w:pPr>
        <w:pStyle w:val="Heading3"/>
      </w:pPr>
      <w:bookmarkStart w:id="566" w:name="_Toc20906126"/>
      <w:bookmarkStart w:id="567" w:name="_Toc20906145"/>
      <w:bookmarkStart w:id="568" w:name="_Toc23243218"/>
      <w:bookmarkStart w:id="569" w:name="_Toc27727765"/>
      <w:r w:rsidRPr="004C377A">
        <w:t>Socio-economic status</w:t>
      </w:r>
      <w:bookmarkEnd w:id="538"/>
      <w:bookmarkEnd w:id="566"/>
      <w:bookmarkEnd w:id="567"/>
      <w:bookmarkEnd w:id="568"/>
      <w:bookmarkEnd w:id="569"/>
    </w:p>
    <w:p w14:paraId="13961EB8" w14:textId="5016AD44" w:rsidR="00D9434E" w:rsidRPr="004C377A" w:rsidRDefault="00D9434E" w:rsidP="00F47EC7">
      <w:pPr>
        <w:pStyle w:val="CGCParaNumber"/>
      </w:pPr>
      <w:r w:rsidRPr="004C377A">
        <w:t>In most expense categories, SES is measured as part of the socio-demographic composition (SDC) disability. This uses the population living in high SES through to low SES areas. The SES of an area is measured using the same principles the ABS employs to develop the Socio</w:t>
      </w:r>
      <w:r>
        <w:noBreakHyphen/>
      </w:r>
      <w:r w:rsidRPr="004C377A">
        <w:t>Economic Indexes for Areas (SEIFA), but is calculated for</w:t>
      </w:r>
      <w:r w:rsidR="00F94CD2">
        <w:t xml:space="preserve"> </w:t>
      </w:r>
    </w:p>
    <w:p w14:paraId="012539D0" w14:textId="313E642B" w:rsidR="00D9434E" w:rsidRPr="004C377A" w:rsidRDefault="00D9434E" w:rsidP="00D9434E">
      <w:pPr>
        <w:pStyle w:val="CGCBullet1"/>
      </w:pPr>
      <w:r w:rsidRPr="004C377A">
        <w:t>the Indigenous population using the</w:t>
      </w:r>
      <w:r w:rsidR="00F67859">
        <w:t xml:space="preserve"> </w:t>
      </w:r>
      <w:r w:rsidRPr="004C377A">
        <w:t>IRSEO</w:t>
      </w:r>
    </w:p>
    <w:p w14:paraId="0C278030" w14:textId="1FFEAC82" w:rsidR="00D9434E" w:rsidRPr="004C377A" w:rsidRDefault="00D9434E" w:rsidP="00D9434E">
      <w:pPr>
        <w:pStyle w:val="CGCBullet1"/>
      </w:pPr>
      <w:r w:rsidRPr="004C377A">
        <w:t xml:space="preserve">the non-Indigenous population using the NISEIFA. </w:t>
      </w:r>
    </w:p>
    <w:p w14:paraId="626D5793" w14:textId="77777777" w:rsidR="00D9434E" w:rsidRPr="004C377A" w:rsidRDefault="00D9434E" w:rsidP="00D9434E">
      <w:pPr>
        <w:pStyle w:val="Heading4"/>
      </w:pPr>
      <w:bookmarkStart w:id="570" w:name="_Toc23243219"/>
      <w:bookmarkStart w:id="571" w:name="_Toc27727766"/>
      <w:bookmarkStart w:id="572" w:name="_Toc532376757"/>
      <w:bookmarkStart w:id="573" w:name="_Toc7536885"/>
      <w:bookmarkStart w:id="574" w:name="_Toc20906127"/>
      <w:bookmarkStart w:id="575" w:name="_Toc20906146"/>
      <w:r w:rsidRPr="004C377A">
        <w:t>Use of area based measures of socio-economic status</w:t>
      </w:r>
      <w:bookmarkEnd w:id="570"/>
      <w:bookmarkEnd w:id="571"/>
    </w:p>
    <w:p w14:paraId="17C59934" w14:textId="77777777" w:rsidR="00D9434E" w:rsidRPr="004C377A" w:rsidRDefault="00D9434E" w:rsidP="00F47EC7">
      <w:pPr>
        <w:pStyle w:val="CGCParaNumber"/>
      </w:pPr>
      <w:r w:rsidRPr="004C377A">
        <w:t xml:space="preserve">Some States were concerned with whether areas with comparable NISEIFA scores in different States have the same attributes and the same inherent need for services. NISEIFA, like the SEIFA Index of Relative Socio-economic Disadvantage upon which it is based, is a composite of 19 different indicators of socio-economic disadvantage. Some of these indicators are more prevalent in some States than others. </w:t>
      </w:r>
    </w:p>
    <w:p w14:paraId="1293262D" w14:textId="77777777" w:rsidR="00D9434E" w:rsidRPr="004C377A" w:rsidRDefault="00D9434E" w:rsidP="00F47EC7">
      <w:pPr>
        <w:pStyle w:val="CGCParaNumber"/>
      </w:pPr>
      <w:r w:rsidRPr="004C377A">
        <w:t xml:space="preserve">States have also raised concerns about whether the heterogeneity within quintiles masks significant variation between States’ </w:t>
      </w:r>
      <w:r>
        <w:t>SES</w:t>
      </w:r>
      <w:r w:rsidRPr="004C377A">
        <w:t xml:space="preserve">. The Commission assesses that </w:t>
      </w:r>
      <w:r>
        <w:t xml:space="preserve">the </w:t>
      </w:r>
      <w:r w:rsidRPr="004C377A">
        <w:t xml:space="preserve">use of health services among the residents of areas with SES scores in the bottom quintile is higher than for other quintiles, but it assumes that within this quintile, use patterns are homogenous. However, while Tasmania has 3.6% of Australia’s bottom quintile </w:t>
      </w:r>
      <w:r>
        <w:t>non</w:t>
      </w:r>
      <w:r>
        <w:noBreakHyphen/>
        <w:t xml:space="preserve">Indigenous </w:t>
      </w:r>
      <w:r w:rsidRPr="004C377A">
        <w:t xml:space="preserve">population, its bottom quintile are more disadvantaged than average. It has 5.6% of the first (bottom) percentile, but only </w:t>
      </w:r>
      <w:r>
        <w:t>1.7</w:t>
      </w:r>
      <w:r w:rsidRPr="004C377A">
        <w:t>% of the 20</w:t>
      </w:r>
      <w:r w:rsidRPr="004C377A">
        <w:rPr>
          <w:vertAlign w:val="superscript"/>
        </w:rPr>
        <w:t>th</w:t>
      </w:r>
      <w:r w:rsidRPr="004C377A">
        <w:t xml:space="preserve"> percentile. This issue is exacerbated when quintiles are combined. </w:t>
      </w:r>
    </w:p>
    <w:p w14:paraId="322C4E5C" w14:textId="77777777" w:rsidR="00D9434E" w:rsidRPr="004C377A" w:rsidRDefault="00D9434E" w:rsidP="00F47EC7">
      <w:pPr>
        <w:pStyle w:val="CGCParaNumber"/>
      </w:pPr>
      <w:r w:rsidRPr="004C377A">
        <w:t>It seems likely that where a service use is correlated with SES, the bottom 1% probably have higher use than the 20</w:t>
      </w:r>
      <w:r w:rsidRPr="004C377A">
        <w:rPr>
          <w:vertAlign w:val="superscript"/>
        </w:rPr>
        <w:t>th</w:t>
      </w:r>
      <w:r w:rsidRPr="004C377A">
        <w:t xml:space="preserve"> percentile, but data are not available to measure the effect. </w:t>
      </w:r>
    </w:p>
    <w:p w14:paraId="68C6FA3C" w14:textId="6F8A540F" w:rsidR="00D9434E" w:rsidRDefault="00D9434E" w:rsidP="00F47EC7">
      <w:pPr>
        <w:pStyle w:val="CGCParaNumber"/>
      </w:pPr>
      <w:r w:rsidRPr="004C377A">
        <w:fldChar w:fldCharType="begin"/>
      </w:r>
      <w:r w:rsidRPr="004C377A">
        <w:instrText xml:space="preserve"> REF _Ref20913692 \h </w:instrText>
      </w:r>
      <w:r>
        <w:instrText xml:space="preserve"> \* MERGEFORMAT </w:instrText>
      </w:r>
      <w:r w:rsidRPr="004C377A">
        <w:fldChar w:fldCharType="separate"/>
      </w:r>
      <w:r w:rsidR="007F721A" w:rsidRPr="004C377A">
        <w:t xml:space="preserve">Table </w:t>
      </w:r>
      <w:r w:rsidR="007F721A">
        <w:rPr>
          <w:noProof/>
        </w:rPr>
        <w:t>28-5</w:t>
      </w:r>
      <w:r w:rsidRPr="004C377A">
        <w:fldChar w:fldCharType="end"/>
      </w:r>
      <w:r w:rsidRPr="004C377A">
        <w:t xml:space="preserve"> illustrates the magnitude of both these issues. In the absence of data on the use of health, justice or other services by individual percentile, if it is assumed that State services are provided exclusively to low income households, or that State service recipients ha</w:t>
      </w:r>
      <w:r>
        <w:t>ve</w:t>
      </w:r>
      <w:r w:rsidRPr="004C377A">
        <w:t xml:space="preserve"> the same distribution as low income households, then using a percentile</w:t>
      </w:r>
      <w:r>
        <w:t>-</w:t>
      </w:r>
      <w:r w:rsidRPr="004C377A">
        <w:t xml:space="preserve">based assessment would underestimate the actual number of disadvantaged </w:t>
      </w:r>
      <w:r>
        <w:t xml:space="preserve">people </w:t>
      </w:r>
      <w:r w:rsidRPr="004C377A">
        <w:t xml:space="preserve">in some States, especially South Australia and Tasmania, and overestimate it in other States, especially the ACT and the Northern Territory. This is because low income households are a more significant aspect of disadvantage in South Australia and Tasmania than in the ACT and the Northern Territory. </w:t>
      </w:r>
      <w:r w:rsidRPr="004C377A">
        <w:lastRenderedPageBreak/>
        <w:t>However, if the level of need for State services followed the distribution of children in jobless families instead, different States would be advantaged or disadvantaged by the use of a percentile</w:t>
      </w:r>
      <w:r w:rsidR="005A4BC9">
        <w:noBreakHyphen/>
      </w:r>
      <w:r w:rsidRPr="004C377A">
        <w:t xml:space="preserve">based assessment. In particular, for example, South Australia’s and Tasmania’s level of disadvantage would change to being overestimated. </w:t>
      </w:r>
    </w:p>
    <w:p w14:paraId="347AAF55" w14:textId="77777777" w:rsidR="00D9434E" w:rsidRPr="004C377A" w:rsidRDefault="00D9434E" w:rsidP="00F47EC7">
      <w:pPr>
        <w:pStyle w:val="CGCParaNumber"/>
      </w:pPr>
      <w:r w:rsidRPr="004C377A">
        <w:t xml:space="preserve">The Commission recognises that NISEIFA is an abstract concept of disadvantage that is not perfectly correlated with each different type of State service use. Schools is the one instance where a category specific measure of disadvantage is available, which the Commission uses. In the absence of a hospitals or justice specific measure of disadvantage, the Commission uses the generic NISEIFA and IRSEO. While these will not perfectly reflect the drivers of State service use, it is not clear in what direction any bias will be, so no adjustment is feasible to account for it. </w:t>
      </w:r>
    </w:p>
    <w:p w14:paraId="61A51A0E" w14:textId="633E2B33" w:rsidR="00D9434E" w:rsidRPr="004C377A" w:rsidRDefault="00D9434E" w:rsidP="00F47EC7">
      <w:pPr>
        <w:pStyle w:val="CGCParaNumber"/>
      </w:pPr>
      <w:r w:rsidRPr="004C377A">
        <w:fldChar w:fldCharType="begin"/>
      </w:r>
      <w:r w:rsidRPr="004C377A">
        <w:instrText xml:space="preserve"> REF _Ref20913692 \h </w:instrText>
      </w:r>
      <w:r>
        <w:instrText xml:space="preserve"> \* MERGEFORMAT </w:instrText>
      </w:r>
      <w:r w:rsidRPr="004C377A">
        <w:fldChar w:fldCharType="separate"/>
      </w:r>
      <w:r w:rsidR="007F721A" w:rsidRPr="004C377A">
        <w:t xml:space="preserve">Table </w:t>
      </w:r>
      <w:r w:rsidR="007F721A">
        <w:rPr>
          <w:noProof/>
        </w:rPr>
        <w:t>28-5</w:t>
      </w:r>
      <w:r w:rsidRPr="004C377A">
        <w:fldChar w:fldCharType="end"/>
      </w:r>
      <w:r w:rsidRPr="004C377A">
        <w:t xml:space="preserve"> also illustrates the difference between making an assessment at the more accurate percentile basis, and aggregating data to SES quintiles. While this suggests that States with above average needs from SES would have higher needs from a more disaggregated approach, the magnitude of the effect cannot be reliably assessed. The difference evident from the examples used in </w:t>
      </w:r>
      <w:r w:rsidRPr="004C377A">
        <w:fldChar w:fldCharType="begin"/>
      </w:r>
      <w:r w:rsidRPr="004C377A">
        <w:instrText xml:space="preserve"> REF _Ref20913692 \h </w:instrText>
      </w:r>
      <w:r>
        <w:instrText xml:space="preserve"> \* MERGEFORMAT </w:instrText>
      </w:r>
      <w:r w:rsidRPr="004C377A">
        <w:fldChar w:fldCharType="separate"/>
      </w:r>
      <w:r w:rsidR="007F721A" w:rsidRPr="004C377A">
        <w:t xml:space="preserve">Table </w:t>
      </w:r>
      <w:r w:rsidR="007F721A">
        <w:rPr>
          <w:noProof/>
        </w:rPr>
        <w:t>28-5</w:t>
      </w:r>
      <w:r w:rsidRPr="004C377A">
        <w:fldChar w:fldCharType="end"/>
      </w:r>
      <w:r w:rsidRPr="004C377A">
        <w:t xml:space="preserve"> would not be material for any State. </w:t>
      </w:r>
    </w:p>
    <w:p w14:paraId="15E5848C" w14:textId="456AF5B6" w:rsidR="00D9434E" w:rsidRDefault="00D9434E" w:rsidP="00D9434E">
      <w:pPr>
        <w:pStyle w:val="Caption"/>
      </w:pPr>
      <w:bookmarkStart w:id="576" w:name="_Ref20913692"/>
      <w:r w:rsidRPr="004C377A">
        <w:t xml:space="preserve">Table </w:t>
      </w:r>
      <w:r>
        <w:t>28-</w:t>
      </w:r>
      <w:fldSimple w:instr=" SEQ Table \* ARABIC ">
        <w:r w:rsidR="007F721A">
          <w:rPr>
            <w:noProof/>
          </w:rPr>
          <w:t>5</w:t>
        </w:r>
      </w:fldSimple>
      <w:bookmarkEnd w:id="576"/>
      <w:r w:rsidRPr="004C377A">
        <w:t xml:space="preserve"> Indicators of reliability of using NISEIFA to measure non-Indigenous SES</w:t>
      </w:r>
    </w:p>
    <w:tbl>
      <w:tblPr>
        <w:tblW w:w="8960" w:type="dxa"/>
        <w:tblCellMar>
          <w:left w:w="28" w:type="dxa"/>
          <w:right w:w="28" w:type="dxa"/>
        </w:tblCellMar>
        <w:tblLook w:val="04A0" w:firstRow="1" w:lastRow="0" w:firstColumn="1" w:lastColumn="0" w:noHBand="0" w:noVBand="1"/>
      </w:tblPr>
      <w:tblGrid>
        <w:gridCol w:w="3108"/>
        <w:gridCol w:w="660"/>
        <w:gridCol w:w="600"/>
        <w:gridCol w:w="660"/>
        <w:gridCol w:w="600"/>
        <w:gridCol w:w="640"/>
        <w:gridCol w:w="640"/>
        <w:gridCol w:w="660"/>
        <w:gridCol w:w="640"/>
        <w:gridCol w:w="760"/>
      </w:tblGrid>
      <w:tr w:rsidR="00D9434E" w:rsidRPr="002D4F94" w14:paraId="09D8BC92" w14:textId="77777777" w:rsidTr="00DD216A">
        <w:trPr>
          <w:trHeight w:val="379"/>
        </w:trPr>
        <w:tc>
          <w:tcPr>
            <w:tcW w:w="3100" w:type="dxa"/>
            <w:tcBorders>
              <w:top w:val="single" w:sz="4" w:space="0" w:color="ADD6EA"/>
              <w:left w:val="nil"/>
              <w:bottom w:val="nil"/>
              <w:right w:val="nil"/>
            </w:tcBorders>
            <w:shd w:val="clear" w:color="000000" w:fill="006991"/>
            <w:noWrap/>
            <w:vAlign w:val="center"/>
            <w:hideMark/>
          </w:tcPr>
          <w:p w14:paraId="211AB332" w14:textId="77777777" w:rsidR="00D9434E" w:rsidRPr="002D4F94"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F94">
              <w:rPr>
                <w:rFonts w:ascii="Open Sans SemiBold" w:eastAsia="Times New Roman" w:hAnsi="Open Sans SemiBold" w:cs="Open Sans SemiBold"/>
                <w:color w:val="FFFFFF"/>
                <w:sz w:val="16"/>
                <w:szCs w:val="16"/>
                <w:lang w:eastAsia="en-AU"/>
              </w:rPr>
              <w:t> </w:t>
            </w:r>
          </w:p>
        </w:tc>
        <w:tc>
          <w:tcPr>
            <w:tcW w:w="660" w:type="dxa"/>
            <w:tcBorders>
              <w:top w:val="single" w:sz="4" w:space="0" w:color="ADD6EA"/>
              <w:left w:val="nil"/>
              <w:bottom w:val="nil"/>
              <w:right w:val="nil"/>
            </w:tcBorders>
            <w:shd w:val="clear" w:color="000000" w:fill="006991"/>
            <w:noWrap/>
            <w:vAlign w:val="center"/>
            <w:hideMark/>
          </w:tcPr>
          <w:p w14:paraId="185951D2" w14:textId="77777777" w:rsidR="00D9434E" w:rsidRPr="002D4F94"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F94">
              <w:rPr>
                <w:rFonts w:ascii="Open Sans SemiBold" w:eastAsia="Times New Roman" w:hAnsi="Open Sans SemiBold" w:cs="Open Sans SemiBold"/>
                <w:color w:val="FFFFFF"/>
                <w:sz w:val="16"/>
                <w:szCs w:val="16"/>
                <w:lang w:eastAsia="en-AU"/>
              </w:rPr>
              <w:t>NSW</w:t>
            </w:r>
          </w:p>
        </w:tc>
        <w:tc>
          <w:tcPr>
            <w:tcW w:w="600" w:type="dxa"/>
            <w:tcBorders>
              <w:top w:val="single" w:sz="4" w:space="0" w:color="ADD6EA"/>
              <w:left w:val="nil"/>
              <w:bottom w:val="nil"/>
              <w:right w:val="nil"/>
            </w:tcBorders>
            <w:shd w:val="clear" w:color="000000" w:fill="006991"/>
            <w:noWrap/>
            <w:vAlign w:val="center"/>
            <w:hideMark/>
          </w:tcPr>
          <w:p w14:paraId="35A491CC" w14:textId="77777777" w:rsidR="00D9434E" w:rsidRPr="002D4F94"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F94">
              <w:rPr>
                <w:rFonts w:ascii="Open Sans SemiBold" w:eastAsia="Times New Roman" w:hAnsi="Open Sans SemiBold" w:cs="Open Sans SemiBold"/>
                <w:color w:val="FFFFFF"/>
                <w:sz w:val="16"/>
                <w:szCs w:val="16"/>
                <w:lang w:eastAsia="en-AU"/>
              </w:rPr>
              <w:t>Vic</w:t>
            </w:r>
          </w:p>
        </w:tc>
        <w:tc>
          <w:tcPr>
            <w:tcW w:w="660" w:type="dxa"/>
            <w:tcBorders>
              <w:top w:val="single" w:sz="4" w:space="0" w:color="ADD6EA"/>
              <w:left w:val="nil"/>
              <w:bottom w:val="nil"/>
              <w:right w:val="nil"/>
            </w:tcBorders>
            <w:shd w:val="clear" w:color="000000" w:fill="006991"/>
            <w:noWrap/>
            <w:vAlign w:val="center"/>
            <w:hideMark/>
          </w:tcPr>
          <w:p w14:paraId="057A14E8" w14:textId="77777777" w:rsidR="00D9434E" w:rsidRPr="002D4F94"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F94">
              <w:rPr>
                <w:rFonts w:ascii="Open Sans SemiBold" w:eastAsia="Times New Roman" w:hAnsi="Open Sans SemiBold" w:cs="Open Sans SemiBold"/>
                <w:color w:val="FFFFFF"/>
                <w:sz w:val="16"/>
                <w:szCs w:val="16"/>
                <w:lang w:eastAsia="en-AU"/>
              </w:rPr>
              <w:t>Qld</w:t>
            </w:r>
          </w:p>
        </w:tc>
        <w:tc>
          <w:tcPr>
            <w:tcW w:w="600" w:type="dxa"/>
            <w:tcBorders>
              <w:top w:val="single" w:sz="4" w:space="0" w:color="ADD6EA"/>
              <w:left w:val="nil"/>
              <w:bottom w:val="nil"/>
              <w:right w:val="nil"/>
            </w:tcBorders>
            <w:shd w:val="clear" w:color="000000" w:fill="006991"/>
            <w:noWrap/>
            <w:vAlign w:val="center"/>
            <w:hideMark/>
          </w:tcPr>
          <w:p w14:paraId="3780BAEF" w14:textId="77777777" w:rsidR="00D9434E" w:rsidRPr="002D4F94"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F94">
              <w:rPr>
                <w:rFonts w:ascii="Open Sans SemiBold" w:eastAsia="Times New Roman" w:hAnsi="Open Sans SemiBold" w:cs="Open Sans SemiBold"/>
                <w:color w:val="FFFFFF"/>
                <w:sz w:val="16"/>
                <w:szCs w:val="16"/>
                <w:lang w:eastAsia="en-AU"/>
              </w:rPr>
              <w:t>WA</w:t>
            </w:r>
          </w:p>
        </w:tc>
        <w:tc>
          <w:tcPr>
            <w:tcW w:w="640" w:type="dxa"/>
            <w:tcBorders>
              <w:top w:val="single" w:sz="4" w:space="0" w:color="ADD6EA"/>
              <w:left w:val="nil"/>
              <w:bottom w:val="nil"/>
              <w:right w:val="nil"/>
            </w:tcBorders>
            <w:shd w:val="clear" w:color="000000" w:fill="006991"/>
            <w:noWrap/>
            <w:vAlign w:val="center"/>
            <w:hideMark/>
          </w:tcPr>
          <w:p w14:paraId="60903492" w14:textId="77777777" w:rsidR="00D9434E" w:rsidRPr="002D4F94"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F94">
              <w:rPr>
                <w:rFonts w:ascii="Open Sans SemiBold" w:eastAsia="Times New Roman" w:hAnsi="Open Sans SemiBold" w:cs="Open Sans SemiBold"/>
                <w:color w:val="FFFFFF"/>
                <w:sz w:val="16"/>
                <w:szCs w:val="16"/>
                <w:lang w:eastAsia="en-AU"/>
              </w:rPr>
              <w:t>SA</w:t>
            </w:r>
          </w:p>
        </w:tc>
        <w:tc>
          <w:tcPr>
            <w:tcW w:w="640" w:type="dxa"/>
            <w:tcBorders>
              <w:top w:val="single" w:sz="4" w:space="0" w:color="ADD6EA"/>
              <w:left w:val="nil"/>
              <w:bottom w:val="nil"/>
              <w:right w:val="nil"/>
            </w:tcBorders>
            <w:shd w:val="clear" w:color="000000" w:fill="006991"/>
            <w:noWrap/>
            <w:vAlign w:val="center"/>
            <w:hideMark/>
          </w:tcPr>
          <w:p w14:paraId="173DA566" w14:textId="77777777" w:rsidR="00D9434E" w:rsidRPr="002D4F94"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F94">
              <w:rPr>
                <w:rFonts w:ascii="Open Sans SemiBold" w:eastAsia="Times New Roman" w:hAnsi="Open Sans SemiBold" w:cs="Open Sans SemiBold"/>
                <w:color w:val="FFFFFF"/>
                <w:sz w:val="16"/>
                <w:szCs w:val="16"/>
                <w:lang w:eastAsia="en-AU"/>
              </w:rPr>
              <w:t>Tas</w:t>
            </w:r>
          </w:p>
        </w:tc>
        <w:tc>
          <w:tcPr>
            <w:tcW w:w="660" w:type="dxa"/>
            <w:tcBorders>
              <w:top w:val="single" w:sz="4" w:space="0" w:color="ADD6EA"/>
              <w:left w:val="nil"/>
              <w:bottom w:val="nil"/>
              <w:right w:val="nil"/>
            </w:tcBorders>
            <w:shd w:val="clear" w:color="000000" w:fill="006991"/>
            <w:noWrap/>
            <w:vAlign w:val="center"/>
            <w:hideMark/>
          </w:tcPr>
          <w:p w14:paraId="32FF0429" w14:textId="77777777" w:rsidR="00D9434E" w:rsidRPr="002D4F94"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F94">
              <w:rPr>
                <w:rFonts w:ascii="Open Sans SemiBold" w:eastAsia="Times New Roman" w:hAnsi="Open Sans SemiBold" w:cs="Open Sans SemiBold"/>
                <w:color w:val="FFFFFF"/>
                <w:sz w:val="16"/>
                <w:szCs w:val="16"/>
                <w:lang w:eastAsia="en-AU"/>
              </w:rPr>
              <w:t>ACT</w:t>
            </w:r>
          </w:p>
        </w:tc>
        <w:tc>
          <w:tcPr>
            <w:tcW w:w="640" w:type="dxa"/>
            <w:tcBorders>
              <w:top w:val="single" w:sz="4" w:space="0" w:color="ADD6EA"/>
              <w:left w:val="nil"/>
              <w:bottom w:val="nil"/>
              <w:right w:val="nil"/>
            </w:tcBorders>
            <w:shd w:val="clear" w:color="000000" w:fill="006991"/>
            <w:noWrap/>
            <w:vAlign w:val="center"/>
            <w:hideMark/>
          </w:tcPr>
          <w:p w14:paraId="7C4F6505" w14:textId="77777777" w:rsidR="00D9434E" w:rsidRPr="002D4F94"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F94">
              <w:rPr>
                <w:rFonts w:ascii="Open Sans SemiBold" w:eastAsia="Times New Roman" w:hAnsi="Open Sans SemiBold" w:cs="Open Sans SemiBold"/>
                <w:color w:val="FFFFFF"/>
                <w:sz w:val="16"/>
                <w:szCs w:val="16"/>
                <w:lang w:eastAsia="en-AU"/>
              </w:rPr>
              <w:t>NT</w:t>
            </w:r>
          </w:p>
        </w:tc>
        <w:tc>
          <w:tcPr>
            <w:tcW w:w="760" w:type="dxa"/>
            <w:tcBorders>
              <w:top w:val="single" w:sz="4" w:space="0" w:color="ADD6EA"/>
              <w:left w:val="nil"/>
              <w:bottom w:val="nil"/>
              <w:right w:val="nil"/>
            </w:tcBorders>
            <w:shd w:val="clear" w:color="000000" w:fill="006991"/>
            <w:noWrap/>
            <w:vAlign w:val="center"/>
            <w:hideMark/>
          </w:tcPr>
          <w:p w14:paraId="0CE35FA4" w14:textId="77777777" w:rsidR="00D9434E" w:rsidRPr="002D4F94"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D4F94">
              <w:rPr>
                <w:rFonts w:ascii="Open Sans SemiBold" w:eastAsia="Times New Roman" w:hAnsi="Open Sans SemiBold" w:cs="Open Sans SemiBold"/>
                <w:color w:val="FFFFFF"/>
                <w:sz w:val="16"/>
                <w:szCs w:val="16"/>
                <w:lang w:eastAsia="en-AU"/>
              </w:rPr>
              <w:t>Total</w:t>
            </w:r>
          </w:p>
        </w:tc>
      </w:tr>
      <w:tr w:rsidR="00D9434E" w:rsidRPr="002D4F94" w14:paraId="3C200444" w14:textId="77777777" w:rsidTr="00DD216A">
        <w:trPr>
          <w:trHeight w:val="259"/>
        </w:trPr>
        <w:tc>
          <w:tcPr>
            <w:tcW w:w="3100" w:type="dxa"/>
            <w:tcBorders>
              <w:top w:val="nil"/>
              <w:left w:val="nil"/>
              <w:bottom w:val="nil"/>
              <w:right w:val="nil"/>
            </w:tcBorders>
            <w:shd w:val="clear" w:color="000000" w:fill="B6D5E4"/>
            <w:noWrap/>
            <w:vAlign w:val="bottom"/>
            <w:hideMark/>
          </w:tcPr>
          <w:p w14:paraId="5AC6E409" w14:textId="77777777" w:rsidR="00D9434E" w:rsidRPr="002D4F94"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D4F94">
              <w:rPr>
                <w:rFonts w:ascii="Open Sans SemiBold" w:eastAsia="Times New Roman" w:hAnsi="Open Sans SemiBold" w:cs="Open Sans SemiBold"/>
                <w:color w:val="000000"/>
                <w:sz w:val="16"/>
                <w:szCs w:val="16"/>
                <w:lang w:eastAsia="en-AU"/>
              </w:rPr>
              <w:t> </w:t>
            </w:r>
          </w:p>
        </w:tc>
        <w:tc>
          <w:tcPr>
            <w:tcW w:w="660" w:type="dxa"/>
            <w:tcBorders>
              <w:top w:val="nil"/>
              <w:left w:val="nil"/>
              <w:bottom w:val="nil"/>
              <w:right w:val="nil"/>
            </w:tcBorders>
            <w:shd w:val="clear" w:color="000000" w:fill="B6D5E4"/>
            <w:noWrap/>
            <w:vAlign w:val="bottom"/>
            <w:hideMark/>
          </w:tcPr>
          <w:p w14:paraId="1B27138D" w14:textId="77777777" w:rsidR="00D9434E" w:rsidRPr="002D4F94" w:rsidRDefault="00D9434E" w:rsidP="001A722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D4F94">
              <w:rPr>
                <w:rFonts w:ascii="Open Sans SemiBold" w:eastAsia="Times New Roman" w:hAnsi="Open Sans SemiBold" w:cs="Open Sans SemiBold"/>
                <w:color w:val="000000"/>
                <w:sz w:val="16"/>
                <w:szCs w:val="16"/>
                <w:lang w:eastAsia="en-AU"/>
              </w:rPr>
              <w:t>%</w:t>
            </w:r>
          </w:p>
        </w:tc>
        <w:tc>
          <w:tcPr>
            <w:tcW w:w="600" w:type="dxa"/>
            <w:tcBorders>
              <w:top w:val="nil"/>
              <w:left w:val="nil"/>
              <w:bottom w:val="nil"/>
              <w:right w:val="nil"/>
            </w:tcBorders>
            <w:shd w:val="clear" w:color="000000" w:fill="B6D5E4"/>
            <w:noWrap/>
            <w:vAlign w:val="bottom"/>
            <w:hideMark/>
          </w:tcPr>
          <w:p w14:paraId="4525B960" w14:textId="77777777" w:rsidR="00D9434E" w:rsidRPr="002D4F94" w:rsidRDefault="00D9434E" w:rsidP="001A722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D4F94">
              <w:rPr>
                <w:rFonts w:ascii="Open Sans SemiBold" w:eastAsia="Times New Roman" w:hAnsi="Open Sans SemiBold" w:cs="Open Sans SemiBold"/>
                <w:color w:val="000000"/>
                <w:sz w:val="16"/>
                <w:szCs w:val="16"/>
                <w:lang w:eastAsia="en-AU"/>
              </w:rPr>
              <w:t>%</w:t>
            </w:r>
          </w:p>
        </w:tc>
        <w:tc>
          <w:tcPr>
            <w:tcW w:w="660" w:type="dxa"/>
            <w:tcBorders>
              <w:top w:val="nil"/>
              <w:left w:val="nil"/>
              <w:bottom w:val="nil"/>
              <w:right w:val="nil"/>
            </w:tcBorders>
            <w:shd w:val="clear" w:color="000000" w:fill="B6D5E4"/>
            <w:noWrap/>
            <w:vAlign w:val="bottom"/>
            <w:hideMark/>
          </w:tcPr>
          <w:p w14:paraId="534577B5" w14:textId="77777777" w:rsidR="00D9434E" w:rsidRPr="002D4F94" w:rsidRDefault="00D9434E" w:rsidP="001A722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D4F94">
              <w:rPr>
                <w:rFonts w:ascii="Open Sans SemiBold" w:eastAsia="Times New Roman" w:hAnsi="Open Sans SemiBold" w:cs="Open Sans SemiBold"/>
                <w:color w:val="000000"/>
                <w:sz w:val="16"/>
                <w:szCs w:val="16"/>
                <w:lang w:eastAsia="en-AU"/>
              </w:rPr>
              <w:t>%</w:t>
            </w:r>
          </w:p>
        </w:tc>
        <w:tc>
          <w:tcPr>
            <w:tcW w:w="600" w:type="dxa"/>
            <w:tcBorders>
              <w:top w:val="nil"/>
              <w:left w:val="nil"/>
              <w:bottom w:val="nil"/>
              <w:right w:val="nil"/>
            </w:tcBorders>
            <w:shd w:val="clear" w:color="000000" w:fill="B6D5E4"/>
            <w:noWrap/>
            <w:vAlign w:val="bottom"/>
            <w:hideMark/>
          </w:tcPr>
          <w:p w14:paraId="2B0E40CF" w14:textId="77777777" w:rsidR="00D9434E" w:rsidRPr="002D4F94" w:rsidRDefault="00D9434E" w:rsidP="001A722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D4F94">
              <w:rPr>
                <w:rFonts w:ascii="Open Sans SemiBold" w:eastAsia="Times New Roman" w:hAnsi="Open Sans SemiBold" w:cs="Open Sans SemiBold"/>
                <w:color w:val="000000"/>
                <w:sz w:val="16"/>
                <w:szCs w:val="16"/>
                <w:lang w:eastAsia="en-AU"/>
              </w:rPr>
              <w:t>%</w:t>
            </w:r>
          </w:p>
        </w:tc>
        <w:tc>
          <w:tcPr>
            <w:tcW w:w="640" w:type="dxa"/>
            <w:tcBorders>
              <w:top w:val="nil"/>
              <w:left w:val="nil"/>
              <w:bottom w:val="nil"/>
              <w:right w:val="nil"/>
            </w:tcBorders>
            <w:shd w:val="clear" w:color="000000" w:fill="B6D5E4"/>
            <w:noWrap/>
            <w:vAlign w:val="bottom"/>
            <w:hideMark/>
          </w:tcPr>
          <w:p w14:paraId="5CD907CF" w14:textId="77777777" w:rsidR="00D9434E" w:rsidRPr="002D4F94" w:rsidRDefault="00D9434E" w:rsidP="001A722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D4F94">
              <w:rPr>
                <w:rFonts w:ascii="Open Sans SemiBold" w:eastAsia="Times New Roman" w:hAnsi="Open Sans SemiBold" w:cs="Open Sans SemiBold"/>
                <w:color w:val="000000"/>
                <w:sz w:val="16"/>
                <w:szCs w:val="16"/>
                <w:lang w:eastAsia="en-AU"/>
              </w:rPr>
              <w:t>%</w:t>
            </w:r>
          </w:p>
        </w:tc>
        <w:tc>
          <w:tcPr>
            <w:tcW w:w="640" w:type="dxa"/>
            <w:tcBorders>
              <w:top w:val="nil"/>
              <w:left w:val="nil"/>
              <w:bottom w:val="nil"/>
              <w:right w:val="nil"/>
            </w:tcBorders>
            <w:shd w:val="clear" w:color="000000" w:fill="B6D5E4"/>
            <w:noWrap/>
            <w:vAlign w:val="bottom"/>
            <w:hideMark/>
          </w:tcPr>
          <w:p w14:paraId="0D0D7C66" w14:textId="77777777" w:rsidR="00D9434E" w:rsidRPr="002D4F94" w:rsidRDefault="00D9434E" w:rsidP="001A722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D4F94">
              <w:rPr>
                <w:rFonts w:ascii="Open Sans SemiBold" w:eastAsia="Times New Roman" w:hAnsi="Open Sans SemiBold" w:cs="Open Sans SemiBold"/>
                <w:color w:val="000000"/>
                <w:sz w:val="16"/>
                <w:szCs w:val="16"/>
                <w:lang w:eastAsia="en-AU"/>
              </w:rPr>
              <w:t>%</w:t>
            </w:r>
          </w:p>
        </w:tc>
        <w:tc>
          <w:tcPr>
            <w:tcW w:w="660" w:type="dxa"/>
            <w:tcBorders>
              <w:top w:val="nil"/>
              <w:left w:val="nil"/>
              <w:bottom w:val="nil"/>
              <w:right w:val="nil"/>
            </w:tcBorders>
            <w:shd w:val="clear" w:color="000000" w:fill="B6D5E4"/>
            <w:noWrap/>
            <w:vAlign w:val="bottom"/>
            <w:hideMark/>
          </w:tcPr>
          <w:p w14:paraId="596A139E" w14:textId="77777777" w:rsidR="00D9434E" w:rsidRPr="002D4F94" w:rsidRDefault="00D9434E" w:rsidP="001A722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D4F94">
              <w:rPr>
                <w:rFonts w:ascii="Open Sans SemiBold" w:eastAsia="Times New Roman" w:hAnsi="Open Sans SemiBold" w:cs="Open Sans SemiBold"/>
                <w:color w:val="000000"/>
                <w:sz w:val="16"/>
                <w:szCs w:val="16"/>
                <w:lang w:eastAsia="en-AU"/>
              </w:rPr>
              <w:t>%</w:t>
            </w:r>
          </w:p>
        </w:tc>
        <w:tc>
          <w:tcPr>
            <w:tcW w:w="640" w:type="dxa"/>
            <w:tcBorders>
              <w:top w:val="nil"/>
              <w:left w:val="nil"/>
              <w:bottom w:val="nil"/>
              <w:right w:val="nil"/>
            </w:tcBorders>
            <w:shd w:val="clear" w:color="000000" w:fill="B6D5E4"/>
            <w:noWrap/>
            <w:vAlign w:val="bottom"/>
            <w:hideMark/>
          </w:tcPr>
          <w:p w14:paraId="557F87F0" w14:textId="77777777" w:rsidR="00D9434E" w:rsidRPr="002D4F94" w:rsidRDefault="00D9434E" w:rsidP="001A722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D4F94">
              <w:rPr>
                <w:rFonts w:ascii="Open Sans SemiBold" w:eastAsia="Times New Roman" w:hAnsi="Open Sans SemiBold" w:cs="Open Sans SemiBold"/>
                <w:color w:val="000000"/>
                <w:sz w:val="16"/>
                <w:szCs w:val="16"/>
                <w:lang w:eastAsia="en-AU"/>
              </w:rPr>
              <w:t>%</w:t>
            </w:r>
          </w:p>
        </w:tc>
        <w:tc>
          <w:tcPr>
            <w:tcW w:w="760" w:type="dxa"/>
            <w:tcBorders>
              <w:top w:val="nil"/>
              <w:left w:val="nil"/>
              <w:bottom w:val="nil"/>
              <w:right w:val="nil"/>
            </w:tcBorders>
            <w:shd w:val="clear" w:color="000000" w:fill="B6D5E4"/>
            <w:noWrap/>
            <w:vAlign w:val="bottom"/>
            <w:hideMark/>
          </w:tcPr>
          <w:p w14:paraId="188EDF7A" w14:textId="77777777" w:rsidR="00D9434E" w:rsidRPr="002D4F94" w:rsidRDefault="00D9434E" w:rsidP="001A722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D4F94">
              <w:rPr>
                <w:rFonts w:ascii="Open Sans SemiBold" w:eastAsia="Times New Roman" w:hAnsi="Open Sans SemiBold" w:cs="Open Sans SemiBold"/>
                <w:color w:val="000000"/>
                <w:sz w:val="16"/>
                <w:szCs w:val="16"/>
                <w:lang w:eastAsia="en-AU"/>
              </w:rPr>
              <w:t>%</w:t>
            </w:r>
          </w:p>
        </w:tc>
      </w:tr>
      <w:tr w:rsidR="00D9434E" w:rsidRPr="002D4F94" w14:paraId="7D205ADD" w14:textId="77777777" w:rsidTr="00DD216A">
        <w:trPr>
          <w:trHeight w:val="315"/>
        </w:trPr>
        <w:tc>
          <w:tcPr>
            <w:tcW w:w="3100" w:type="dxa"/>
            <w:tcBorders>
              <w:top w:val="single" w:sz="4" w:space="0" w:color="ADD5EA"/>
              <w:left w:val="nil"/>
              <w:bottom w:val="single" w:sz="4" w:space="0" w:color="ADD5EA"/>
              <w:right w:val="nil"/>
            </w:tcBorders>
            <w:shd w:val="clear" w:color="auto" w:fill="auto"/>
            <w:noWrap/>
            <w:tcMar>
              <w:left w:w="0" w:type="dxa"/>
            </w:tcMar>
            <w:vAlign w:val="bottom"/>
            <w:hideMark/>
          </w:tcPr>
          <w:p w14:paraId="33508057" w14:textId="77777777" w:rsidR="00D9434E" w:rsidRPr="002D4F94" w:rsidRDefault="00D9434E"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2D4F94">
              <w:rPr>
                <w:rFonts w:ascii="Open Sans SemiBold" w:eastAsia="Times New Roman" w:hAnsi="Open Sans SemiBold" w:cs="Open Sans SemiBold"/>
                <w:color w:val="000000"/>
                <w:sz w:val="16"/>
                <w:szCs w:val="16"/>
                <w:lang w:eastAsia="en-AU"/>
              </w:rPr>
              <w:t>Low income households</w:t>
            </w:r>
          </w:p>
        </w:tc>
        <w:tc>
          <w:tcPr>
            <w:tcW w:w="660" w:type="dxa"/>
            <w:tcBorders>
              <w:top w:val="single" w:sz="4" w:space="0" w:color="ADD5EA"/>
              <w:left w:val="nil"/>
              <w:bottom w:val="single" w:sz="4" w:space="0" w:color="ADD5EA"/>
              <w:right w:val="nil"/>
            </w:tcBorders>
            <w:shd w:val="clear" w:color="auto" w:fill="auto"/>
            <w:noWrap/>
            <w:vAlign w:val="bottom"/>
            <w:hideMark/>
          </w:tcPr>
          <w:p w14:paraId="32586911" w14:textId="77777777" w:rsidR="00D9434E" w:rsidRPr="002D4F94" w:rsidRDefault="00D9434E" w:rsidP="004D65FE">
            <w:pPr>
              <w:tabs>
                <w:tab w:val="clear" w:pos="567"/>
              </w:tabs>
              <w:spacing w:before="0" w:line="240" w:lineRule="auto"/>
              <w:jc w:val="right"/>
              <w:rPr>
                <w:rFonts w:ascii="Calibri" w:eastAsia="Times New Roman" w:hAnsi="Calibri" w:cs="Calibri"/>
                <w:color w:val="000000"/>
                <w:szCs w:val="20"/>
                <w:lang w:eastAsia="en-AU"/>
              </w:rPr>
            </w:pPr>
            <w:r w:rsidRPr="002D4F94">
              <w:rPr>
                <w:rFonts w:ascii="Calibri" w:eastAsia="Times New Roman" w:hAnsi="Calibri" w:cs="Calibri"/>
                <w:color w:val="000000"/>
                <w:szCs w:val="20"/>
                <w:lang w:eastAsia="en-AU"/>
              </w:rPr>
              <w:t> </w:t>
            </w:r>
          </w:p>
        </w:tc>
        <w:tc>
          <w:tcPr>
            <w:tcW w:w="600" w:type="dxa"/>
            <w:tcBorders>
              <w:top w:val="single" w:sz="4" w:space="0" w:color="ADD5EA"/>
              <w:left w:val="nil"/>
              <w:bottom w:val="single" w:sz="4" w:space="0" w:color="ADD5EA"/>
              <w:right w:val="nil"/>
            </w:tcBorders>
            <w:shd w:val="clear" w:color="auto" w:fill="auto"/>
            <w:noWrap/>
            <w:vAlign w:val="bottom"/>
            <w:hideMark/>
          </w:tcPr>
          <w:p w14:paraId="04C37464" w14:textId="77777777" w:rsidR="00D9434E" w:rsidRPr="002D4F94" w:rsidRDefault="00D9434E" w:rsidP="004D65FE">
            <w:pPr>
              <w:tabs>
                <w:tab w:val="clear" w:pos="567"/>
              </w:tabs>
              <w:spacing w:before="0" w:line="240" w:lineRule="auto"/>
              <w:jc w:val="right"/>
              <w:rPr>
                <w:rFonts w:ascii="Calibri" w:eastAsia="Times New Roman" w:hAnsi="Calibri" w:cs="Calibri"/>
                <w:color w:val="000000"/>
                <w:szCs w:val="20"/>
                <w:lang w:eastAsia="en-AU"/>
              </w:rPr>
            </w:pPr>
            <w:r w:rsidRPr="002D4F94">
              <w:rPr>
                <w:rFonts w:ascii="Calibri" w:eastAsia="Times New Roman" w:hAnsi="Calibri" w:cs="Calibri"/>
                <w:color w:val="000000"/>
                <w:szCs w:val="20"/>
                <w:lang w:eastAsia="en-AU"/>
              </w:rPr>
              <w:t> </w:t>
            </w:r>
          </w:p>
        </w:tc>
        <w:tc>
          <w:tcPr>
            <w:tcW w:w="660" w:type="dxa"/>
            <w:tcBorders>
              <w:top w:val="single" w:sz="4" w:space="0" w:color="ADD5EA"/>
              <w:left w:val="nil"/>
              <w:bottom w:val="single" w:sz="4" w:space="0" w:color="ADD5EA"/>
              <w:right w:val="nil"/>
            </w:tcBorders>
            <w:shd w:val="clear" w:color="auto" w:fill="auto"/>
            <w:noWrap/>
            <w:vAlign w:val="bottom"/>
            <w:hideMark/>
          </w:tcPr>
          <w:p w14:paraId="5954D12E" w14:textId="77777777" w:rsidR="00D9434E" w:rsidRPr="002D4F94" w:rsidRDefault="00D9434E" w:rsidP="004D65FE">
            <w:pPr>
              <w:tabs>
                <w:tab w:val="clear" w:pos="567"/>
              </w:tabs>
              <w:spacing w:before="0" w:line="240" w:lineRule="auto"/>
              <w:jc w:val="right"/>
              <w:rPr>
                <w:rFonts w:ascii="Calibri" w:eastAsia="Times New Roman" w:hAnsi="Calibri" w:cs="Calibri"/>
                <w:color w:val="000000"/>
                <w:szCs w:val="20"/>
                <w:lang w:eastAsia="en-AU"/>
              </w:rPr>
            </w:pPr>
            <w:r w:rsidRPr="002D4F94">
              <w:rPr>
                <w:rFonts w:ascii="Calibri" w:eastAsia="Times New Roman" w:hAnsi="Calibri" w:cs="Calibri"/>
                <w:color w:val="000000"/>
                <w:szCs w:val="20"/>
                <w:lang w:eastAsia="en-AU"/>
              </w:rPr>
              <w:t> </w:t>
            </w:r>
          </w:p>
        </w:tc>
        <w:tc>
          <w:tcPr>
            <w:tcW w:w="600" w:type="dxa"/>
            <w:tcBorders>
              <w:top w:val="single" w:sz="4" w:space="0" w:color="ADD5EA"/>
              <w:left w:val="nil"/>
              <w:bottom w:val="single" w:sz="4" w:space="0" w:color="ADD5EA"/>
              <w:right w:val="nil"/>
            </w:tcBorders>
            <w:shd w:val="clear" w:color="auto" w:fill="auto"/>
            <w:noWrap/>
            <w:vAlign w:val="bottom"/>
            <w:hideMark/>
          </w:tcPr>
          <w:p w14:paraId="25E9BC09" w14:textId="77777777" w:rsidR="00D9434E" w:rsidRPr="002D4F94" w:rsidRDefault="00D9434E" w:rsidP="004D65FE">
            <w:pPr>
              <w:tabs>
                <w:tab w:val="clear" w:pos="567"/>
              </w:tabs>
              <w:spacing w:before="0" w:line="240" w:lineRule="auto"/>
              <w:jc w:val="right"/>
              <w:rPr>
                <w:rFonts w:ascii="Calibri" w:eastAsia="Times New Roman" w:hAnsi="Calibri" w:cs="Calibri"/>
                <w:color w:val="000000"/>
                <w:szCs w:val="20"/>
                <w:lang w:eastAsia="en-AU"/>
              </w:rPr>
            </w:pPr>
            <w:r w:rsidRPr="002D4F94">
              <w:rPr>
                <w:rFonts w:ascii="Calibri" w:eastAsia="Times New Roman" w:hAnsi="Calibri" w:cs="Calibri"/>
                <w:color w:val="000000"/>
                <w:szCs w:val="20"/>
                <w:lang w:eastAsia="en-AU"/>
              </w:rPr>
              <w:t> </w:t>
            </w:r>
          </w:p>
        </w:tc>
        <w:tc>
          <w:tcPr>
            <w:tcW w:w="640" w:type="dxa"/>
            <w:tcBorders>
              <w:top w:val="single" w:sz="4" w:space="0" w:color="ADD5EA"/>
              <w:left w:val="nil"/>
              <w:bottom w:val="single" w:sz="4" w:space="0" w:color="ADD5EA"/>
              <w:right w:val="nil"/>
            </w:tcBorders>
            <w:shd w:val="clear" w:color="auto" w:fill="auto"/>
            <w:noWrap/>
            <w:vAlign w:val="bottom"/>
            <w:hideMark/>
          </w:tcPr>
          <w:p w14:paraId="12DF7572" w14:textId="77777777" w:rsidR="00D9434E" w:rsidRPr="002D4F94" w:rsidRDefault="00D9434E" w:rsidP="004D65FE">
            <w:pPr>
              <w:tabs>
                <w:tab w:val="clear" w:pos="567"/>
              </w:tabs>
              <w:spacing w:before="0" w:line="240" w:lineRule="auto"/>
              <w:jc w:val="right"/>
              <w:rPr>
                <w:rFonts w:ascii="Calibri" w:eastAsia="Times New Roman" w:hAnsi="Calibri" w:cs="Calibri"/>
                <w:color w:val="000000"/>
                <w:szCs w:val="20"/>
                <w:lang w:eastAsia="en-AU"/>
              </w:rPr>
            </w:pPr>
            <w:r w:rsidRPr="002D4F94">
              <w:rPr>
                <w:rFonts w:ascii="Calibri" w:eastAsia="Times New Roman" w:hAnsi="Calibri" w:cs="Calibri"/>
                <w:color w:val="000000"/>
                <w:szCs w:val="20"/>
                <w:lang w:eastAsia="en-AU"/>
              </w:rPr>
              <w:t> </w:t>
            </w:r>
          </w:p>
        </w:tc>
        <w:tc>
          <w:tcPr>
            <w:tcW w:w="640" w:type="dxa"/>
            <w:tcBorders>
              <w:top w:val="single" w:sz="4" w:space="0" w:color="ADD5EA"/>
              <w:left w:val="nil"/>
              <w:bottom w:val="single" w:sz="4" w:space="0" w:color="ADD5EA"/>
              <w:right w:val="nil"/>
            </w:tcBorders>
            <w:shd w:val="clear" w:color="auto" w:fill="auto"/>
            <w:noWrap/>
            <w:vAlign w:val="bottom"/>
            <w:hideMark/>
          </w:tcPr>
          <w:p w14:paraId="21A95787" w14:textId="77777777" w:rsidR="00D9434E" w:rsidRPr="002D4F94" w:rsidRDefault="00D9434E" w:rsidP="004D65FE">
            <w:pPr>
              <w:tabs>
                <w:tab w:val="clear" w:pos="567"/>
              </w:tabs>
              <w:spacing w:before="0" w:line="240" w:lineRule="auto"/>
              <w:jc w:val="right"/>
              <w:rPr>
                <w:rFonts w:ascii="Calibri" w:eastAsia="Times New Roman" w:hAnsi="Calibri" w:cs="Calibri"/>
                <w:color w:val="000000"/>
                <w:szCs w:val="20"/>
                <w:lang w:eastAsia="en-AU"/>
              </w:rPr>
            </w:pPr>
            <w:r w:rsidRPr="002D4F94">
              <w:rPr>
                <w:rFonts w:ascii="Calibri" w:eastAsia="Times New Roman" w:hAnsi="Calibri" w:cs="Calibri"/>
                <w:color w:val="000000"/>
                <w:szCs w:val="20"/>
                <w:lang w:eastAsia="en-AU"/>
              </w:rPr>
              <w:t> </w:t>
            </w:r>
          </w:p>
        </w:tc>
        <w:tc>
          <w:tcPr>
            <w:tcW w:w="660" w:type="dxa"/>
            <w:tcBorders>
              <w:top w:val="single" w:sz="4" w:space="0" w:color="ADD5EA"/>
              <w:left w:val="nil"/>
              <w:bottom w:val="single" w:sz="4" w:space="0" w:color="ADD5EA"/>
              <w:right w:val="nil"/>
            </w:tcBorders>
            <w:shd w:val="clear" w:color="auto" w:fill="auto"/>
            <w:noWrap/>
            <w:vAlign w:val="bottom"/>
            <w:hideMark/>
          </w:tcPr>
          <w:p w14:paraId="788FA9F6" w14:textId="77777777" w:rsidR="00D9434E" w:rsidRPr="002D4F94" w:rsidRDefault="00D9434E" w:rsidP="004D65FE">
            <w:pPr>
              <w:tabs>
                <w:tab w:val="clear" w:pos="567"/>
              </w:tabs>
              <w:spacing w:before="0" w:line="240" w:lineRule="auto"/>
              <w:jc w:val="right"/>
              <w:rPr>
                <w:rFonts w:ascii="Calibri" w:eastAsia="Times New Roman" w:hAnsi="Calibri" w:cs="Calibri"/>
                <w:color w:val="000000"/>
                <w:szCs w:val="20"/>
                <w:lang w:eastAsia="en-AU"/>
              </w:rPr>
            </w:pPr>
            <w:r w:rsidRPr="002D4F94">
              <w:rPr>
                <w:rFonts w:ascii="Calibri" w:eastAsia="Times New Roman" w:hAnsi="Calibri" w:cs="Calibri"/>
                <w:color w:val="000000"/>
                <w:szCs w:val="20"/>
                <w:lang w:eastAsia="en-AU"/>
              </w:rPr>
              <w:t> </w:t>
            </w:r>
          </w:p>
        </w:tc>
        <w:tc>
          <w:tcPr>
            <w:tcW w:w="640" w:type="dxa"/>
            <w:tcBorders>
              <w:top w:val="single" w:sz="4" w:space="0" w:color="ADD5EA"/>
              <w:left w:val="nil"/>
              <w:bottom w:val="single" w:sz="4" w:space="0" w:color="ADD5EA"/>
              <w:right w:val="nil"/>
            </w:tcBorders>
            <w:shd w:val="clear" w:color="auto" w:fill="auto"/>
            <w:noWrap/>
            <w:vAlign w:val="bottom"/>
            <w:hideMark/>
          </w:tcPr>
          <w:p w14:paraId="3A782CFE" w14:textId="77777777" w:rsidR="00D9434E" w:rsidRPr="002D4F94" w:rsidRDefault="00D9434E" w:rsidP="004D65FE">
            <w:pPr>
              <w:tabs>
                <w:tab w:val="clear" w:pos="567"/>
              </w:tabs>
              <w:spacing w:before="0" w:line="240" w:lineRule="auto"/>
              <w:jc w:val="right"/>
              <w:rPr>
                <w:rFonts w:ascii="Calibri" w:eastAsia="Times New Roman" w:hAnsi="Calibri" w:cs="Calibri"/>
                <w:color w:val="000000"/>
                <w:szCs w:val="20"/>
                <w:lang w:eastAsia="en-AU"/>
              </w:rPr>
            </w:pPr>
            <w:r w:rsidRPr="002D4F94">
              <w:rPr>
                <w:rFonts w:ascii="Calibri" w:eastAsia="Times New Roman" w:hAnsi="Calibri" w:cs="Calibri"/>
                <w:color w:val="000000"/>
                <w:szCs w:val="20"/>
                <w:lang w:eastAsia="en-AU"/>
              </w:rPr>
              <w:t> </w:t>
            </w:r>
          </w:p>
        </w:tc>
        <w:tc>
          <w:tcPr>
            <w:tcW w:w="760" w:type="dxa"/>
            <w:tcBorders>
              <w:top w:val="single" w:sz="4" w:space="0" w:color="ADD5EA"/>
              <w:left w:val="nil"/>
              <w:bottom w:val="single" w:sz="4" w:space="0" w:color="ADD5EA"/>
              <w:right w:val="nil"/>
            </w:tcBorders>
            <w:shd w:val="clear" w:color="auto" w:fill="auto"/>
            <w:noWrap/>
            <w:vAlign w:val="bottom"/>
            <w:hideMark/>
          </w:tcPr>
          <w:p w14:paraId="2F62D208" w14:textId="77777777" w:rsidR="00D9434E" w:rsidRPr="002D4F94" w:rsidRDefault="00D9434E" w:rsidP="004D65FE">
            <w:pPr>
              <w:tabs>
                <w:tab w:val="clear" w:pos="567"/>
              </w:tabs>
              <w:spacing w:before="0" w:line="240" w:lineRule="auto"/>
              <w:jc w:val="right"/>
              <w:rPr>
                <w:rFonts w:ascii="Calibri" w:eastAsia="Times New Roman" w:hAnsi="Calibri" w:cs="Calibri"/>
                <w:color w:val="000000"/>
                <w:szCs w:val="20"/>
                <w:lang w:eastAsia="en-AU"/>
              </w:rPr>
            </w:pPr>
            <w:r w:rsidRPr="002D4F94">
              <w:rPr>
                <w:rFonts w:ascii="Calibri" w:eastAsia="Times New Roman" w:hAnsi="Calibri" w:cs="Calibri"/>
                <w:color w:val="000000"/>
                <w:szCs w:val="20"/>
                <w:lang w:eastAsia="en-AU"/>
              </w:rPr>
              <w:t> </w:t>
            </w:r>
          </w:p>
        </w:tc>
      </w:tr>
      <w:tr w:rsidR="00D9434E" w:rsidRPr="002D4F94" w14:paraId="7F10763F" w14:textId="77777777" w:rsidTr="00DD216A">
        <w:trPr>
          <w:trHeight w:val="315"/>
        </w:trPr>
        <w:tc>
          <w:tcPr>
            <w:tcW w:w="3100" w:type="dxa"/>
            <w:tcBorders>
              <w:top w:val="nil"/>
              <w:left w:val="nil"/>
              <w:bottom w:val="single" w:sz="4" w:space="0" w:color="ADD5EA"/>
              <w:right w:val="nil"/>
            </w:tcBorders>
            <w:shd w:val="clear" w:color="auto" w:fill="auto"/>
            <w:noWrap/>
            <w:tcMar>
              <w:left w:w="0" w:type="dxa"/>
            </w:tcMar>
            <w:vAlign w:val="bottom"/>
            <w:hideMark/>
          </w:tcPr>
          <w:p w14:paraId="5D4AC7F2" w14:textId="2C06E4AB" w:rsidR="00D9434E" w:rsidRPr="002D4F94" w:rsidRDefault="00D9434E" w:rsidP="004D65FE">
            <w:pPr>
              <w:tabs>
                <w:tab w:val="clear" w:pos="567"/>
              </w:tabs>
              <w:spacing w:before="0" w:line="240" w:lineRule="auto"/>
              <w:rPr>
                <w:rFonts w:eastAsia="Times New Roman" w:cs="Open Sans Light"/>
                <w:color w:val="000000"/>
                <w:sz w:val="16"/>
                <w:szCs w:val="16"/>
                <w:lang w:eastAsia="en-AU"/>
              </w:rPr>
            </w:pPr>
            <w:r w:rsidRPr="002D4F94">
              <w:rPr>
                <w:rFonts w:eastAsia="Times New Roman" w:cs="Open Sans Light"/>
                <w:color w:val="000000"/>
                <w:sz w:val="16"/>
                <w:szCs w:val="16"/>
                <w:lang w:eastAsia="en-AU"/>
              </w:rPr>
              <w:t xml:space="preserve">  Actual number of disadvantaged</w:t>
            </w:r>
          </w:p>
        </w:tc>
        <w:tc>
          <w:tcPr>
            <w:tcW w:w="660" w:type="dxa"/>
            <w:tcBorders>
              <w:top w:val="nil"/>
              <w:left w:val="nil"/>
              <w:bottom w:val="single" w:sz="4" w:space="0" w:color="ADD5EA"/>
              <w:right w:val="nil"/>
            </w:tcBorders>
            <w:shd w:val="clear" w:color="auto" w:fill="auto"/>
            <w:noWrap/>
            <w:vAlign w:val="bottom"/>
            <w:hideMark/>
          </w:tcPr>
          <w:p w14:paraId="18E56BE7"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16.7</w:t>
            </w:r>
          </w:p>
        </w:tc>
        <w:tc>
          <w:tcPr>
            <w:tcW w:w="600" w:type="dxa"/>
            <w:tcBorders>
              <w:top w:val="nil"/>
              <w:left w:val="nil"/>
              <w:bottom w:val="single" w:sz="4" w:space="0" w:color="ADD5EA"/>
              <w:right w:val="nil"/>
            </w:tcBorders>
            <w:shd w:val="clear" w:color="auto" w:fill="auto"/>
            <w:noWrap/>
            <w:vAlign w:val="bottom"/>
            <w:hideMark/>
          </w:tcPr>
          <w:p w14:paraId="3469405B"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17.6</w:t>
            </w:r>
          </w:p>
        </w:tc>
        <w:tc>
          <w:tcPr>
            <w:tcW w:w="660" w:type="dxa"/>
            <w:tcBorders>
              <w:top w:val="nil"/>
              <w:left w:val="nil"/>
              <w:bottom w:val="single" w:sz="4" w:space="0" w:color="ADD5EA"/>
              <w:right w:val="nil"/>
            </w:tcBorders>
            <w:shd w:val="clear" w:color="auto" w:fill="auto"/>
            <w:noWrap/>
            <w:vAlign w:val="bottom"/>
            <w:hideMark/>
          </w:tcPr>
          <w:p w14:paraId="44D6A8D1"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16.6</w:t>
            </w:r>
          </w:p>
        </w:tc>
        <w:tc>
          <w:tcPr>
            <w:tcW w:w="600" w:type="dxa"/>
            <w:tcBorders>
              <w:top w:val="nil"/>
              <w:left w:val="nil"/>
              <w:bottom w:val="single" w:sz="4" w:space="0" w:color="ADD5EA"/>
              <w:right w:val="nil"/>
            </w:tcBorders>
            <w:shd w:val="clear" w:color="auto" w:fill="auto"/>
            <w:noWrap/>
            <w:vAlign w:val="bottom"/>
            <w:hideMark/>
          </w:tcPr>
          <w:p w14:paraId="7A1737E2"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14.5</w:t>
            </w:r>
          </w:p>
        </w:tc>
        <w:tc>
          <w:tcPr>
            <w:tcW w:w="640" w:type="dxa"/>
            <w:tcBorders>
              <w:top w:val="nil"/>
              <w:left w:val="nil"/>
              <w:bottom w:val="single" w:sz="4" w:space="0" w:color="ADD5EA"/>
              <w:right w:val="nil"/>
            </w:tcBorders>
            <w:shd w:val="clear" w:color="auto" w:fill="auto"/>
            <w:noWrap/>
            <w:vAlign w:val="bottom"/>
            <w:hideMark/>
          </w:tcPr>
          <w:p w14:paraId="67C7D0C3"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20.8</w:t>
            </w:r>
          </w:p>
        </w:tc>
        <w:tc>
          <w:tcPr>
            <w:tcW w:w="640" w:type="dxa"/>
            <w:tcBorders>
              <w:top w:val="nil"/>
              <w:left w:val="nil"/>
              <w:bottom w:val="single" w:sz="4" w:space="0" w:color="ADD5EA"/>
              <w:right w:val="nil"/>
            </w:tcBorders>
            <w:shd w:val="clear" w:color="auto" w:fill="auto"/>
            <w:noWrap/>
            <w:vAlign w:val="bottom"/>
            <w:hideMark/>
          </w:tcPr>
          <w:p w14:paraId="77A0A5D3"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22.9</w:t>
            </w:r>
          </w:p>
        </w:tc>
        <w:tc>
          <w:tcPr>
            <w:tcW w:w="660" w:type="dxa"/>
            <w:tcBorders>
              <w:top w:val="nil"/>
              <w:left w:val="nil"/>
              <w:bottom w:val="single" w:sz="4" w:space="0" w:color="ADD5EA"/>
              <w:right w:val="nil"/>
            </w:tcBorders>
            <w:shd w:val="clear" w:color="auto" w:fill="auto"/>
            <w:noWrap/>
            <w:vAlign w:val="bottom"/>
            <w:hideMark/>
          </w:tcPr>
          <w:p w14:paraId="69067973"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8.8</w:t>
            </w:r>
          </w:p>
        </w:tc>
        <w:tc>
          <w:tcPr>
            <w:tcW w:w="640" w:type="dxa"/>
            <w:tcBorders>
              <w:top w:val="nil"/>
              <w:left w:val="nil"/>
              <w:bottom w:val="single" w:sz="4" w:space="0" w:color="ADD5EA"/>
              <w:right w:val="nil"/>
            </w:tcBorders>
            <w:shd w:val="clear" w:color="auto" w:fill="auto"/>
            <w:noWrap/>
            <w:vAlign w:val="bottom"/>
            <w:hideMark/>
          </w:tcPr>
          <w:p w14:paraId="386E1CE6"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6.2</w:t>
            </w:r>
          </w:p>
        </w:tc>
        <w:tc>
          <w:tcPr>
            <w:tcW w:w="760" w:type="dxa"/>
            <w:tcBorders>
              <w:top w:val="nil"/>
              <w:left w:val="nil"/>
              <w:bottom w:val="single" w:sz="4" w:space="0" w:color="ADD5EA"/>
              <w:right w:val="nil"/>
            </w:tcBorders>
            <w:shd w:val="clear" w:color="auto" w:fill="auto"/>
            <w:noWrap/>
            <w:vAlign w:val="bottom"/>
            <w:hideMark/>
          </w:tcPr>
          <w:p w14:paraId="73578183"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16.9</w:t>
            </w:r>
          </w:p>
        </w:tc>
      </w:tr>
      <w:tr w:rsidR="00D9434E" w:rsidRPr="002D4F94" w14:paraId="09E3F702" w14:textId="77777777" w:rsidTr="00DD216A">
        <w:trPr>
          <w:trHeight w:val="315"/>
        </w:trPr>
        <w:tc>
          <w:tcPr>
            <w:tcW w:w="3100" w:type="dxa"/>
            <w:tcBorders>
              <w:top w:val="nil"/>
              <w:left w:val="nil"/>
              <w:bottom w:val="single" w:sz="4" w:space="0" w:color="ADD5EA"/>
              <w:right w:val="nil"/>
            </w:tcBorders>
            <w:shd w:val="clear" w:color="auto" w:fill="auto"/>
            <w:noWrap/>
            <w:tcMar>
              <w:left w:w="0" w:type="dxa"/>
            </w:tcMar>
            <w:vAlign w:val="bottom"/>
            <w:hideMark/>
          </w:tcPr>
          <w:p w14:paraId="3595523D" w14:textId="2D5C3315" w:rsidR="00D9434E" w:rsidRPr="002D4F94" w:rsidRDefault="00D9434E" w:rsidP="004D65FE">
            <w:pPr>
              <w:tabs>
                <w:tab w:val="clear" w:pos="567"/>
              </w:tabs>
              <w:spacing w:before="0" w:line="240" w:lineRule="auto"/>
              <w:rPr>
                <w:rFonts w:eastAsia="Times New Roman" w:cs="Open Sans Light"/>
                <w:color w:val="000000"/>
                <w:sz w:val="16"/>
                <w:szCs w:val="16"/>
                <w:lang w:eastAsia="en-AU"/>
              </w:rPr>
            </w:pPr>
            <w:r w:rsidRPr="002D4F94">
              <w:rPr>
                <w:rFonts w:eastAsia="Times New Roman" w:cs="Open Sans Light"/>
                <w:color w:val="000000"/>
                <w:sz w:val="16"/>
                <w:szCs w:val="16"/>
                <w:lang w:eastAsia="en-AU"/>
              </w:rPr>
              <w:t xml:space="preserve">  Percentile</w:t>
            </w:r>
            <w:r w:rsidR="00A33DF0">
              <w:rPr>
                <w:rFonts w:eastAsia="Times New Roman" w:cs="Open Sans Light"/>
                <w:color w:val="000000"/>
                <w:sz w:val="16"/>
                <w:szCs w:val="16"/>
                <w:lang w:eastAsia="en-AU"/>
              </w:rPr>
              <w:t>-</w:t>
            </w:r>
            <w:r w:rsidRPr="002D4F94">
              <w:rPr>
                <w:rFonts w:eastAsia="Times New Roman" w:cs="Open Sans Light"/>
                <w:color w:val="000000"/>
                <w:sz w:val="16"/>
                <w:szCs w:val="16"/>
                <w:lang w:eastAsia="en-AU"/>
              </w:rPr>
              <w:t>based assessment</w:t>
            </w:r>
          </w:p>
        </w:tc>
        <w:tc>
          <w:tcPr>
            <w:tcW w:w="660" w:type="dxa"/>
            <w:tcBorders>
              <w:top w:val="nil"/>
              <w:left w:val="nil"/>
              <w:bottom w:val="single" w:sz="4" w:space="0" w:color="ADD5EA"/>
              <w:right w:val="nil"/>
            </w:tcBorders>
            <w:shd w:val="clear" w:color="auto" w:fill="auto"/>
            <w:noWrap/>
            <w:vAlign w:val="bottom"/>
            <w:hideMark/>
          </w:tcPr>
          <w:p w14:paraId="3C80B1AC"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17.0</w:t>
            </w:r>
          </w:p>
        </w:tc>
        <w:tc>
          <w:tcPr>
            <w:tcW w:w="600" w:type="dxa"/>
            <w:tcBorders>
              <w:top w:val="nil"/>
              <w:left w:val="nil"/>
              <w:bottom w:val="single" w:sz="4" w:space="0" w:color="ADD5EA"/>
              <w:right w:val="nil"/>
            </w:tcBorders>
            <w:shd w:val="clear" w:color="auto" w:fill="auto"/>
            <w:noWrap/>
            <w:vAlign w:val="bottom"/>
            <w:hideMark/>
          </w:tcPr>
          <w:p w14:paraId="302CE036"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16.7</w:t>
            </w:r>
          </w:p>
        </w:tc>
        <w:tc>
          <w:tcPr>
            <w:tcW w:w="660" w:type="dxa"/>
            <w:tcBorders>
              <w:top w:val="nil"/>
              <w:left w:val="nil"/>
              <w:bottom w:val="single" w:sz="4" w:space="0" w:color="ADD5EA"/>
              <w:right w:val="nil"/>
            </w:tcBorders>
            <w:shd w:val="clear" w:color="auto" w:fill="auto"/>
            <w:noWrap/>
            <w:vAlign w:val="bottom"/>
            <w:hideMark/>
          </w:tcPr>
          <w:p w14:paraId="44A25175"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17.2</w:t>
            </w:r>
          </w:p>
        </w:tc>
        <w:tc>
          <w:tcPr>
            <w:tcW w:w="600" w:type="dxa"/>
            <w:tcBorders>
              <w:top w:val="nil"/>
              <w:left w:val="nil"/>
              <w:bottom w:val="single" w:sz="4" w:space="0" w:color="ADD5EA"/>
              <w:right w:val="nil"/>
            </w:tcBorders>
            <w:shd w:val="clear" w:color="auto" w:fill="auto"/>
            <w:noWrap/>
            <w:vAlign w:val="bottom"/>
            <w:hideMark/>
          </w:tcPr>
          <w:p w14:paraId="221BC72E"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15.5</w:t>
            </w:r>
          </w:p>
        </w:tc>
        <w:tc>
          <w:tcPr>
            <w:tcW w:w="640" w:type="dxa"/>
            <w:tcBorders>
              <w:top w:val="nil"/>
              <w:left w:val="nil"/>
              <w:bottom w:val="single" w:sz="4" w:space="0" w:color="ADD5EA"/>
              <w:right w:val="nil"/>
            </w:tcBorders>
            <w:shd w:val="clear" w:color="auto" w:fill="auto"/>
            <w:noWrap/>
            <w:vAlign w:val="bottom"/>
            <w:hideMark/>
          </w:tcPr>
          <w:p w14:paraId="1EB4E2BD"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19.4</w:t>
            </w:r>
          </w:p>
        </w:tc>
        <w:tc>
          <w:tcPr>
            <w:tcW w:w="640" w:type="dxa"/>
            <w:tcBorders>
              <w:top w:val="nil"/>
              <w:left w:val="nil"/>
              <w:bottom w:val="single" w:sz="4" w:space="0" w:color="ADD5EA"/>
              <w:right w:val="nil"/>
            </w:tcBorders>
            <w:shd w:val="clear" w:color="auto" w:fill="auto"/>
            <w:noWrap/>
            <w:vAlign w:val="bottom"/>
            <w:hideMark/>
          </w:tcPr>
          <w:p w14:paraId="1C6B3AE3"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21.0</w:t>
            </w:r>
          </w:p>
        </w:tc>
        <w:tc>
          <w:tcPr>
            <w:tcW w:w="660" w:type="dxa"/>
            <w:tcBorders>
              <w:top w:val="nil"/>
              <w:left w:val="nil"/>
              <w:bottom w:val="single" w:sz="4" w:space="0" w:color="ADD5EA"/>
              <w:right w:val="nil"/>
            </w:tcBorders>
            <w:shd w:val="clear" w:color="auto" w:fill="auto"/>
            <w:noWrap/>
            <w:vAlign w:val="bottom"/>
            <w:hideMark/>
          </w:tcPr>
          <w:p w14:paraId="58BEE237"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10.4</w:t>
            </w:r>
          </w:p>
        </w:tc>
        <w:tc>
          <w:tcPr>
            <w:tcW w:w="640" w:type="dxa"/>
            <w:tcBorders>
              <w:top w:val="nil"/>
              <w:left w:val="nil"/>
              <w:bottom w:val="single" w:sz="4" w:space="0" w:color="ADD5EA"/>
              <w:right w:val="nil"/>
            </w:tcBorders>
            <w:shd w:val="clear" w:color="auto" w:fill="auto"/>
            <w:noWrap/>
            <w:vAlign w:val="bottom"/>
            <w:hideMark/>
          </w:tcPr>
          <w:p w14:paraId="2DF94A53"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12.4</w:t>
            </w:r>
          </w:p>
        </w:tc>
        <w:tc>
          <w:tcPr>
            <w:tcW w:w="760" w:type="dxa"/>
            <w:tcBorders>
              <w:top w:val="nil"/>
              <w:left w:val="nil"/>
              <w:bottom w:val="single" w:sz="4" w:space="0" w:color="ADD5EA"/>
              <w:right w:val="nil"/>
            </w:tcBorders>
            <w:shd w:val="clear" w:color="auto" w:fill="auto"/>
            <w:noWrap/>
            <w:vAlign w:val="bottom"/>
            <w:hideMark/>
          </w:tcPr>
          <w:p w14:paraId="4FA50CAC"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16.9</w:t>
            </w:r>
          </w:p>
        </w:tc>
      </w:tr>
      <w:tr w:rsidR="00D9434E" w:rsidRPr="002D4F94" w14:paraId="6C33F5C2" w14:textId="77777777" w:rsidTr="00DD216A">
        <w:trPr>
          <w:trHeight w:val="315"/>
        </w:trPr>
        <w:tc>
          <w:tcPr>
            <w:tcW w:w="3100" w:type="dxa"/>
            <w:tcBorders>
              <w:top w:val="nil"/>
              <w:left w:val="nil"/>
              <w:bottom w:val="single" w:sz="4" w:space="0" w:color="ADD5EA"/>
              <w:right w:val="nil"/>
            </w:tcBorders>
            <w:shd w:val="clear" w:color="auto" w:fill="auto"/>
            <w:noWrap/>
            <w:tcMar>
              <w:left w:w="0" w:type="dxa"/>
            </w:tcMar>
            <w:vAlign w:val="bottom"/>
            <w:hideMark/>
          </w:tcPr>
          <w:p w14:paraId="0987B703" w14:textId="0A77AAEB" w:rsidR="00D9434E" w:rsidRPr="002D4F94" w:rsidRDefault="00D9434E" w:rsidP="004D65FE">
            <w:pPr>
              <w:tabs>
                <w:tab w:val="clear" w:pos="567"/>
              </w:tabs>
              <w:spacing w:before="0" w:line="240" w:lineRule="auto"/>
              <w:rPr>
                <w:rFonts w:eastAsia="Times New Roman" w:cs="Open Sans Light"/>
                <w:color w:val="000000"/>
                <w:sz w:val="16"/>
                <w:szCs w:val="16"/>
                <w:lang w:eastAsia="en-AU"/>
              </w:rPr>
            </w:pPr>
            <w:r w:rsidRPr="002D4F94">
              <w:rPr>
                <w:rFonts w:eastAsia="Times New Roman" w:cs="Open Sans Light"/>
                <w:color w:val="000000"/>
                <w:sz w:val="16"/>
                <w:szCs w:val="16"/>
                <w:lang w:eastAsia="en-AU"/>
              </w:rPr>
              <w:t xml:space="preserve">  Quintile</w:t>
            </w:r>
            <w:r w:rsidR="00A33DF0">
              <w:rPr>
                <w:rFonts w:eastAsia="Times New Roman" w:cs="Open Sans Light"/>
                <w:color w:val="000000"/>
                <w:sz w:val="16"/>
                <w:szCs w:val="16"/>
                <w:lang w:eastAsia="en-AU"/>
              </w:rPr>
              <w:t>-</w:t>
            </w:r>
            <w:r w:rsidRPr="002D4F94">
              <w:rPr>
                <w:rFonts w:eastAsia="Times New Roman" w:cs="Open Sans Light"/>
                <w:color w:val="000000"/>
                <w:sz w:val="16"/>
                <w:szCs w:val="16"/>
                <w:lang w:eastAsia="en-AU"/>
              </w:rPr>
              <w:t>based assessment</w:t>
            </w:r>
          </w:p>
        </w:tc>
        <w:tc>
          <w:tcPr>
            <w:tcW w:w="660" w:type="dxa"/>
            <w:tcBorders>
              <w:top w:val="nil"/>
              <w:left w:val="nil"/>
              <w:bottom w:val="single" w:sz="4" w:space="0" w:color="ADD5EA"/>
              <w:right w:val="nil"/>
            </w:tcBorders>
            <w:shd w:val="clear" w:color="auto" w:fill="auto"/>
            <w:noWrap/>
            <w:vAlign w:val="bottom"/>
            <w:hideMark/>
          </w:tcPr>
          <w:p w14:paraId="368492CE"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17.0</w:t>
            </w:r>
          </w:p>
        </w:tc>
        <w:tc>
          <w:tcPr>
            <w:tcW w:w="600" w:type="dxa"/>
            <w:tcBorders>
              <w:top w:val="nil"/>
              <w:left w:val="nil"/>
              <w:bottom w:val="single" w:sz="4" w:space="0" w:color="ADD5EA"/>
              <w:right w:val="nil"/>
            </w:tcBorders>
            <w:shd w:val="clear" w:color="auto" w:fill="auto"/>
            <w:noWrap/>
            <w:vAlign w:val="bottom"/>
            <w:hideMark/>
          </w:tcPr>
          <w:p w14:paraId="1700C2D4"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16.6</w:t>
            </w:r>
          </w:p>
        </w:tc>
        <w:tc>
          <w:tcPr>
            <w:tcW w:w="660" w:type="dxa"/>
            <w:tcBorders>
              <w:top w:val="nil"/>
              <w:left w:val="nil"/>
              <w:bottom w:val="single" w:sz="4" w:space="0" w:color="ADD5EA"/>
              <w:right w:val="nil"/>
            </w:tcBorders>
            <w:shd w:val="clear" w:color="auto" w:fill="auto"/>
            <w:noWrap/>
            <w:vAlign w:val="bottom"/>
            <w:hideMark/>
          </w:tcPr>
          <w:p w14:paraId="133EF844"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17.3</w:t>
            </w:r>
          </w:p>
        </w:tc>
        <w:tc>
          <w:tcPr>
            <w:tcW w:w="600" w:type="dxa"/>
            <w:tcBorders>
              <w:top w:val="nil"/>
              <w:left w:val="nil"/>
              <w:bottom w:val="single" w:sz="4" w:space="0" w:color="ADD5EA"/>
              <w:right w:val="nil"/>
            </w:tcBorders>
            <w:shd w:val="clear" w:color="auto" w:fill="auto"/>
            <w:noWrap/>
            <w:vAlign w:val="bottom"/>
            <w:hideMark/>
          </w:tcPr>
          <w:p w14:paraId="71C6F37C"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15.7</w:t>
            </w:r>
          </w:p>
        </w:tc>
        <w:tc>
          <w:tcPr>
            <w:tcW w:w="640" w:type="dxa"/>
            <w:tcBorders>
              <w:top w:val="nil"/>
              <w:left w:val="nil"/>
              <w:bottom w:val="single" w:sz="4" w:space="0" w:color="ADD5EA"/>
              <w:right w:val="nil"/>
            </w:tcBorders>
            <w:shd w:val="clear" w:color="auto" w:fill="auto"/>
            <w:noWrap/>
            <w:vAlign w:val="bottom"/>
            <w:hideMark/>
          </w:tcPr>
          <w:p w14:paraId="7877D162"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19.1</w:t>
            </w:r>
          </w:p>
        </w:tc>
        <w:tc>
          <w:tcPr>
            <w:tcW w:w="640" w:type="dxa"/>
            <w:tcBorders>
              <w:top w:val="nil"/>
              <w:left w:val="nil"/>
              <w:bottom w:val="single" w:sz="4" w:space="0" w:color="ADD5EA"/>
              <w:right w:val="nil"/>
            </w:tcBorders>
            <w:shd w:val="clear" w:color="auto" w:fill="auto"/>
            <w:noWrap/>
            <w:vAlign w:val="bottom"/>
            <w:hideMark/>
          </w:tcPr>
          <w:p w14:paraId="27A887D3"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20.5</w:t>
            </w:r>
          </w:p>
        </w:tc>
        <w:tc>
          <w:tcPr>
            <w:tcW w:w="660" w:type="dxa"/>
            <w:tcBorders>
              <w:top w:val="nil"/>
              <w:left w:val="nil"/>
              <w:bottom w:val="single" w:sz="4" w:space="0" w:color="ADD5EA"/>
              <w:right w:val="nil"/>
            </w:tcBorders>
            <w:shd w:val="clear" w:color="auto" w:fill="auto"/>
            <w:noWrap/>
            <w:vAlign w:val="bottom"/>
            <w:hideMark/>
          </w:tcPr>
          <w:p w14:paraId="076F80CC"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10.9</w:t>
            </w:r>
          </w:p>
        </w:tc>
        <w:tc>
          <w:tcPr>
            <w:tcW w:w="640" w:type="dxa"/>
            <w:tcBorders>
              <w:top w:val="nil"/>
              <w:left w:val="nil"/>
              <w:bottom w:val="single" w:sz="4" w:space="0" w:color="ADD5EA"/>
              <w:right w:val="nil"/>
            </w:tcBorders>
            <w:shd w:val="clear" w:color="auto" w:fill="auto"/>
            <w:noWrap/>
            <w:vAlign w:val="bottom"/>
            <w:hideMark/>
          </w:tcPr>
          <w:p w14:paraId="5BACCF1A"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12.6</w:t>
            </w:r>
          </w:p>
        </w:tc>
        <w:tc>
          <w:tcPr>
            <w:tcW w:w="760" w:type="dxa"/>
            <w:tcBorders>
              <w:top w:val="nil"/>
              <w:left w:val="nil"/>
              <w:bottom w:val="single" w:sz="4" w:space="0" w:color="ADD5EA"/>
              <w:right w:val="nil"/>
            </w:tcBorders>
            <w:shd w:val="clear" w:color="auto" w:fill="auto"/>
            <w:noWrap/>
            <w:vAlign w:val="bottom"/>
            <w:hideMark/>
          </w:tcPr>
          <w:p w14:paraId="0F91ECBE"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16.9</w:t>
            </w:r>
          </w:p>
        </w:tc>
      </w:tr>
      <w:tr w:rsidR="00D9434E" w:rsidRPr="002D4F94" w14:paraId="40C2337C" w14:textId="77777777" w:rsidTr="00DD216A">
        <w:trPr>
          <w:trHeight w:val="315"/>
        </w:trPr>
        <w:tc>
          <w:tcPr>
            <w:tcW w:w="3100" w:type="dxa"/>
            <w:tcBorders>
              <w:top w:val="nil"/>
              <w:left w:val="nil"/>
              <w:bottom w:val="single" w:sz="4" w:space="0" w:color="ADD5EA"/>
              <w:right w:val="nil"/>
            </w:tcBorders>
            <w:shd w:val="clear" w:color="auto" w:fill="auto"/>
            <w:noWrap/>
            <w:tcMar>
              <w:left w:w="0" w:type="dxa"/>
            </w:tcMar>
            <w:vAlign w:val="bottom"/>
            <w:hideMark/>
          </w:tcPr>
          <w:p w14:paraId="20681149" w14:textId="77777777" w:rsidR="00D9434E" w:rsidRPr="002D4F94" w:rsidRDefault="00D9434E"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2D4F94">
              <w:rPr>
                <w:rFonts w:ascii="Open Sans SemiBold" w:eastAsia="Times New Roman" w:hAnsi="Open Sans SemiBold" w:cs="Open Sans SemiBold"/>
                <w:color w:val="000000"/>
                <w:sz w:val="16"/>
                <w:szCs w:val="16"/>
                <w:lang w:eastAsia="en-AU"/>
              </w:rPr>
              <w:t>Children in jobless families</w:t>
            </w:r>
          </w:p>
        </w:tc>
        <w:tc>
          <w:tcPr>
            <w:tcW w:w="660" w:type="dxa"/>
            <w:tcBorders>
              <w:top w:val="nil"/>
              <w:left w:val="nil"/>
              <w:bottom w:val="single" w:sz="4" w:space="0" w:color="ADD5EA"/>
              <w:right w:val="nil"/>
            </w:tcBorders>
            <w:shd w:val="clear" w:color="auto" w:fill="auto"/>
            <w:noWrap/>
            <w:vAlign w:val="bottom"/>
            <w:hideMark/>
          </w:tcPr>
          <w:p w14:paraId="536BD018" w14:textId="77777777" w:rsidR="00D9434E" w:rsidRPr="00A04692" w:rsidRDefault="00D9434E"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A04692">
              <w:rPr>
                <w:rFonts w:ascii="Open Sans SemiBold" w:eastAsia="Times New Roman" w:hAnsi="Open Sans SemiBold" w:cs="Open Sans SemiBold"/>
                <w:color w:val="000000"/>
                <w:sz w:val="16"/>
                <w:szCs w:val="16"/>
                <w:lang w:eastAsia="en-AU"/>
              </w:rPr>
              <w:t> </w:t>
            </w:r>
          </w:p>
        </w:tc>
        <w:tc>
          <w:tcPr>
            <w:tcW w:w="600" w:type="dxa"/>
            <w:tcBorders>
              <w:top w:val="nil"/>
              <w:left w:val="nil"/>
              <w:bottom w:val="single" w:sz="4" w:space="0" w:color="ADD5EA"/>
              <w:right w:val="nil"/>
            </w:tcBorders>
            <w:shd w:val="clear" w:color="auto" w:fill="auto"/>
            <w:noWrap/>
            <w:vAlign w:val="bottom"/>
            <w:hideMark/>
          </w:tcPr>
          <w:p w14:paraId="6A1B19DC" w14:textId="77777777" w:rsidR="00D9434E" w:rsidRPr="00A04692" w:rsidRDefault="00D9434E"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A04692">
              <w:rPr>
                <w:rFonts w:ascii="Open Sans SemiBold" w:eastAsia="Times New Roman" w:hAnsi="Open Sans SemiBold" w:cs="Open Sans SemiBold"/>
                <w:color w:val="000000"/>
                <w:sz w:val="16"/>
                <w:szCs w:val="16"/>
                <w:lang w:eastAsia="en-AU"/>
              </w:rPr>
              <w:t> </w:t>
            </w:r>
          </w:p>
        </w:tc>
        <w:tc>
          <w:tcPr>
            <w:tcW w:w="660" w:type="dxa"/>
            <w:tcBorders>
              <w:top w:val="nil"/>
              <w:left w:val="nil"/>
              <w:bottom w:val="single" w:sz="4" w:space="0" w:color="ADD5EA"/>
              <w:right w:val="nil"/>
            </w:tcBorders>
            <w:shd w:val="clear" w:color="auto" w:fill="auto"/>
            <w:noWrap/>
            <w:vAlign w:val="bottom"/>
            <w:hideMark/>
          </w:tcPr>
          <w:p w14:paraId="2CBBF167" w14:textId="77777777" w:rsidR="00D9434E" w:rsidRPr="00A04692" w:rsidRDefault="00D9434E"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A04692">
              <w:rPr>
                <w:rFonts w:ascii="Open Sans SemiBold" w:eastAsia="Times New Roman" w:hAnsi="Open Sans SemiBold" w:cs="Open Sans SemiBold"/>
                <w:color w:val="000000"/>
                <w:sz w:val="16"/>
                <w:szCs w:val="16"/>
                <w:lang w:eastAsia="en-AU"/>
              </w:rPr>
              <w:t> </w:t>
            </w:r>
          </w:p>
        </w:tc>
        <w:tc>
          <w:tcPr>
            <w:tcW w:w="600" w:type="dxa"/>
            <w:tcBorders>
              <w:top w:val="nil"/>
              <w:left w:val="nil"/>
              <w:bottom w:val="single" w:sz="4" w:space="0" w:color="ADD5EA"/>
              <w:right w:val="nil"/>
            </w:tcBorders>
            <w:shd w:val="clear" w:color="auto" w:fill="auto"/>
            <w:noWrap/>
            <w:vAlign w:val="bottom"/>
            <w:hideMark/>
          </w:tcPr>
          <w:p w14:paraId="4128C626" w14:textId="77777777" w:rsidR="00D9434E" w:rsidRPr="00A04692" w:rsidRDefault="00D9434E"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A04692">
              <w:rPr>
                <w:rFonts w:ascii="Open Sans SemiBold" w:eastAsia="Times New Roman" w:hAnsi="Open Sans SemiBold" w:cs="Open Sans SemiBold"/>
                <w:color w:val="000000"/>
                <w:sz w:val="16"/>
                <w:szCs w:val="16"/>
                <w:lang w:eastAsia="en-AU"/>
              </w:rPr>
              <w:t> </w:t>
            </w:r>
          </w:p>
        </w:tc>
        <w:tc>
          <w:tcPr>
            <w:tcW w:w="640" w:type="dxa"/>
            <w:tcBorders>
              <w:top w:val="nil"/>
              <w:left w:val="nil"/>
              <w:bottom w:val="single" w:sz="4" w:space="0" w:color="ADD5EA"/>
              <w:right w:val="nil"/>
            </w:tcBorders>
            <w:shd w:val="clear" w:color="auto" w:fill="auto"/>
            <w:noWrap/>
            <w:vAlign w:val="bottom"/>
            <w:hideMark/>
          </w:tcPr>
          <w:p w14:paraId="54466F74" w14:textId="77777777" w:rsidR="00D9434E" w:rsidRPr="00A04692" w:rsidRDefault="00D9434E"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A04692">
              <w:rPr>
                <w:rFonts w:ascii="Open Sans SemiBold" w:eastAsia="Times New Roman" w:hAnsi="Open Sans SemiBold" w:cs="Open Sans SemiBold"/>
                <w:color w:val="000000"/>
                <w:sz w:val="16"/>
                <w:szCs w:val="16"/>
                <w:lang w:eastAsia="en-AU"/>
              </w:rPr>
              <w:t> </w:t>
            </w:r>
          </w:p>
        </w:tc>
        <w:tc>
          <w:tcPr>
            <w:tcW w:w="640" w:type="dxa"/>
            <w:tcBorders>
              <w:top w:val="nil"/>
              <w:left w:val="nil"/>
              <w:bottom w:val="single" w:sz="4" w:space="0" w:color="ADD5EA"/>
              <w:right w:val="nil"/>
            </w:tcBorders>
            <w:shd w:val="clear" w:color="auto" w:fill="auto"/>
            <w:noWrap/>
            <w:vAlign w:val="bottom"/>
            <w:hideMark/>
          </w:tcPr>
          <w:p w14:paraId="2D2E9234" w14:textId="77777777" w:rsidR="00D9434E" w:rsidRPr="00A04692" w:rsidRDefault="00D9434E"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A04692">
              <w:rPr>
                <w:rFonts w:ascii="Open Sans SemiBold" w:eastAsia="Times New Roman" w:hAnsi="Open Sans SemiBold" w:cs="Open Sans SemiBold"/>
                <w:color w:val="000000"/>
                <w:sz w:val="16"/>
                <w:szCs w:val="16"/>
                <w:lang w:eastAsia="en-AU"/>
              </w:rPr>
              <w:t> </w:t>
            </w:r>
          </w:p>
        </w:tc>
        <w:tc>
          <w:tcPr>
            <w:tcW w:w="660" w:type="dxa"/>
            <w:tcBorders>
              <w:top w:val="nil"/>
              <w:left w:val="nil"/>
              <w:bottom w:val="single" w:sz="4" w:space="0" w:color="ADD5EA"/>
              <w:right w:val="nil"/>
            </w:tcBorders>
            <w:shd w:val="clear" w:color="auto" w:fill="auto"/>
            <w:noWrap/>
            <w:vAlign w:val="bottom"/>
            <w:hideMark/>
          </w:tcPr>
          <w:p w14:paraId="6EAB9F4B" w14:textId="77777777" w:rsidR="00D9434E" w:rsidRPr="00A04692" w:rsidRDefault="00D9434E"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A04692">
              <w:rPr>
                <w:rFonts w:ascii="Open Sans SemiBold" w:eastAsia="Times New Roman" w:hAnsi="Open Sans SemiBold" w:cs="Open Sans SemiBold"/>
                <w:color w:val="000000"/>
                <w:sz w:val="16"/>
                <w:szCs w:val="16"/>
                <w:lang w:eastAsia="en-AU"/>
              </w:rPr>
              <w:t> </w:t>
            </w:r>
          </w:p>
        </w:tc>
        <w:tc>
          <w:tcPr>
            <w:tcW w:w="640" w:type="dxa"/>
            <w:tcBorders>
              <w:top w:val="nil"/>
              <w:left w:val="nil"/>
              <w:bottom w:val="single" w:sz="4" w:space="0" w:color="ADD5EA"/>
              <w:right w:val="nil"/>
            </w:tcBorders>
            <w:shd w:val="clear" w:color="auto" w:fill="auto"/>
            <w:noWrap/>
            <w:vAlign w:val="bottom"/>
            <w:hideMark/>
          </w:tcPr>
          <w:p w14:paraId="490AE83F" w14:textId="77777777" w:rsidR="00D9434E" w:rsidRPr="00A04692" w:rsidRDefault="00D9434E"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A04692">
              <w:rPr>
                <w:rFonts w:ascii="Open Sans SemiBold" w:eastAsia="Times New Roman" w:hAnsi="Open Sans SemiBold" w:cs="Open Sans SemiBold"/>
                <w:color w:val="000000"/>
                <w:sz w:val="16"/>
                <w:szCs w:val="16"/>
                <w:lang w:eastAsia="en-AU"/>
              </w:rPr>
              <w:t> </w:t>
            </w:r>
          </w:p>
        </w:tc>
        <w:tc>
          <w:tcPr>
            <w:tcW w:w="760" w:type="dxa"/>
            <w:tcBorders>
              <w:top w:val="nil"/>
              <w:left w:val="nil"/>
              <w:bottom w:val="single" w:sz="4" w:space="0" w:color="ADD5EA"/>
              <w:right w:val="nil"/>
            </w:tcBorders>
            <w:shd w:val="clear" w:color="auto" w:fill="auto"/>
            <w:noWrap/>
            <w:vAlign w:val="bottom"/>
            <w:hideMark/>
          </w:tcPr>
          <w:p w14:paraId="427C9739" w14:textId="77777777" w:rsidR="00D9434E" w:rsidRPr="00A04692" w:rsidRDefault="00D9434E"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A04692">
              <w:rPr>
                <w:rFonts w:ascii="Open Sans SemiBold" w:eastAsia="Times New Roman" w:hAnsi="Open Sans SemiBold" w:cs="Open Sans SemiBold"/>
                <w:color w:val="000000"/>
                <w:sz w:val="16"/>
                <w:szCs w:val="16"/>
                <w:lang w:eastAsia="en-AU"/>
              </w:rPr>
              <w:t> </w:t>
            </w:r>
          </w:p>
        </w:tc>
      </w:tr>
      <w:tr w:rsidR="00D9434E" w:rsidRPr="002D4F94" w14:paraId="359892B5" w14:textId="77777777" w:rsidTr="00DD216A">
        <w:trPr>
          <w:trHeight w:val="315"/>
        </w:trPr>
        <w:tc>
          <w:tcPr>
            <w:tcW w:w="3100" w:type="dxa"/>
            <w:tcBorders>
              <w:top w:val="nil"/>
              <w:left w:val="nil"/>
              <w:bottom w:val="single" w:sz="4" w:space="0" w:color="ADD5EA"/>
              <w:right w:val="nil"/>
            </w:tcBorders>
            <w:shd w:val="clear" w:color="auto" w:fill="auto"/>
            <w:noWrap/>
            <w:tcMar>
              <w:left w:w="0" w:type="dxa"/>
            </w:tcMar>
            <w:vAlign w:val="bottom"/>
            <w:hideMark/>
          </w:tcPr>
          <w:p w14:paraId="753DE45A" w14:textId="3E91C1B2" w:rsidR="00D9434E" w:rsidRPr="002D4F94" w:rsidRDefault="00D9434E" w:rsidP="004D65FE">
            <w:pPr>
              <w:tabs>
                <w:tab w:val="clear" w:pos="567"/>
              </w:tabs>
              <w:spacing w:before="0" w:line="240" w:lineRule="auto"/>
              <w:rPr>
                <w:rFonts w:eastAsia="Times New Roman" w:cs="Open Sans Light"/>
                <w:color w:val="000000"/>
                <w:sz w:val="16"/>
                <w:szCs w:val="16"/>
                <w:lang w:eastAsia="en-AU"/>
              </w:rPr>
            </w:pPr>
            <w:r w:rsidRPr="002D4F94">
              <w:rPr>
                <w:rFonts w:eastAsia="Times New Roman" w:cs="Open Sans Light"/>
                <w:color w:val="000000"/>
                <w:sz w:val="16"/>
                <w:szCs w:val="16"/>
                <w:lang w:eastAsia="en-AU"/>
              </w:rPr>
              <w:t xml:space="preserve">  Actual number of disadvantaged</w:t>
            </w:r>
          </w:p>
        </w:tc>
        <w:tc>
          <w:tcPr>
            <w:tcW w:w="660" w:type="dxa"/>
            <w:tcBorders>
              <w:top w:val="nil"/>
              <w:left w:val="nil"/>
              <w:bottom w:val="single" w:sz="4" w:space="0" w:color="ADD5EA"/>
              <w:right w:val="nil"/>
            </w:tcBorders>
            <w:shd w:val="clear" w:color="auto" w:fill="auto"/>
            <w:noWrap/>
            <w:vAlign w:val="bottom"/>
            <w:hideMark/>
          </w:tcPr>
          <w:p w14:paraId="626E3566"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4.7</w:t>
            </w:r>
          </w:p>
        </w:tc>
        <w:tc>
          <w:tcPr>
            <w:tcW w:w="600" w:type="dxa"/>
            <w:tcBorders>
              <w:top w:val="nil"/>
              <w:left w:val="nil"/>
              <w:bottom w:val="single" w:sz="4" w:space="0" w:color="ADD5EA"/>
              <w:right w:val="nil"/>
            </w:tcBorders>
            <w:shd w:val="clear" w:color="auto" w:fill="auto"/>
            <w:noWrap/>
            <w:vAlign w:val="bottom"/>
            <w:hideMark/>
          </w:tcPr>
          <w:p w14:paraId="390368B1"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4.7</w:t>
            </w:r>
          </w:p>
        </w:tc>
        <w:tc>
          <w:tcPr>
            <w:tcW w:w="660" w:type="dxa"/>
            <w:tcBorders>
              <w:top w:val="nil"/>
              <w:left w:val="nil"/>
              <w:bottom w:val="single" w:sz="4" w:space="0" w:color="ADD5EA"/>
              <w:right w:val="nil"/>
            </w:tcBorders>
            <w:shd w:val="clear" w:color="auto" w:fill="auto"/>
            <w:noWrap/>
            <w:vAlign w:val="bottom"/>
            <w:hideMark/>
          </w:tcPr>
          <w:p w14:paraId="52D41196"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4.9</w:t>
            </w:r>
          </w:p>
        </w:tc>
        <w:tc>
          <w:tcPr>
            <w:tcW w:w="600" w:type="dxa"/>
            <w:tcBorders>
              <w:top w:val="nil"/>
              <w:left w:val="nil"/>
              <w:bottom w:val="single" w:sz="4" w:space="0" w:color="ADD5EA"/>
              <w:right w:val="nil"/>
            </w:tcBorders>
            <w:shd w:val="clear" w:color="auto" w:fill="auto"/>
            <w:noWrap/>
            <w:vAlign w:val="bottom"/>
            <w:hideMark/>
          </w:tcPr>
          <w:p w14:paraId="2CB385AE"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4.3</w:t>
            </w:r>
          </w:p>
        </w:tc>
        <w:tc>
          <w:tcPr>
            <w:tcW w:w="640" w:type="dxa"/>
            <w:tcBorders>
              <w:top w:val="nil"/>
              <w:left w:val="nil"/>
              <w:bottom w:val="single" w:sz="4" w:space="0" w:color="ADD5EA"/>
              <w:right w:val="nil"/>
            </w:tcBorders>
            <w:shd w:val="clear" w:color="auto" w:fill="auto"/>
            <w:noWrap/>
            <w:vAlign w:val="bottom"/>
            <w:hideMark/>
          </w:tcPr>
          <w:p w14:paraId="7E1C240C"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5.5</w:t>
            </w:r>
          </w:p>
        </w:tc>
        <w:tc>
          <w:tcPr>
            <w:tcW w:w="640" w:type="dxa"/>
            <w:tcBorders>
              <w:top w:val="nil"/>
              <w:left w:val="nil"/>
              <w:bottom w:val="single" w:sz="4" w:space="0" w:color="ADD5EA"/>
              <w:right w:val="nil"/>
            </w:tcBorders>
            <w:shd w:val="clear" w:color="auto" w:fill="auto"/>
            <w:noWrap/>
            <w:vAlign w:val="bottom"/>
            <w:hideMark/>
          </w:tcPr>
          <w:p w14:paraId="189FD746"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6.1</w:t>
            </w:r>
          </w:p>
        </w:tc>
        <w:tc>
          <w:tcPr>
            <w:tcW w:w="660" w:type="dxa"/>
            <w:tcBorders>
              <w:top w:val="nil"/>
              <w:left w:val="nil"/>
              <w:bottom w:val="single" w:sz="4" w:space="0" w:color="ADD5EA"/>
              <w:right w:val="nil"/>
            </w:tcBorders>
            <w:shd w:val="clear" w:color="auto" w:fill="auto"/>
            <w:noWrap/>
            <w:vAlign w:val="bottom"/>
            <w:hideMark/>
          </w:tcPr>
          <w:p w14:paraId="47125618"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2.3</w:t>
            </w:r>
          </w:p>
        </w:tc>
        <w:tc>
          <w:tcPr>
            <w:tcW w:w="640" w:type="dxa"/>
            <w:tcBorders>
              <w:top w:val="nil"/>
              <w:left w:val="nil"/>
              <w:bottom w:val="single" w:sz="4" w:space="0" w:color="ADD5EA"/>
              <w:right w:val="nil"/>
            </w:tcBorders>
            <w:shd w:val="clear" w:color="auto" w:fill="auto"/>
            <w:noWrap/>
            <w:vAlign w:val="bottom"/>
            <w:hideMark/>
          </w:tcPr>
          <w:p w14:paraId="257DC35E"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2.1</w:t>
            </w:r>
          </w:p>
        </w:tc>
        <w:tc>
          <w:tcPr>
            <w:tcW w:w="760" w:type="dxa"/>
            <w:tcBorders>
              <w:top w:val="nil"/>
              <w:left w:val="nil"/>
              <w:bottom w:val="single" w:sz="4" w:space="0" w:color="ADD5EA"/>
              <w:right w:val="nil"/>
            </w:tcBorders>
            <w:shd w:val="clear" w:color="auto" w:fill="auto"/>
            <w:noWrap/>
            <w:vAlign w:val="bottom"/>
            <w:hideMark/>
          </w:tcPr>
          <w:p w14:paraId="64BCAF29"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4.7</w:t>
            </w:r>
          </w:p>
        </w:tc>
      </w:tr>
      <w:tr w:rsidR="00D9434E" w:rsidRPr="002D4F94" w14:paraId="09772764" w14:textId="77777777" w:rsidTr="00DD216A">
        <w:trPr>
          <w:trHeight w:val="315"/>
        </w:trPr>
        <w:tc>
          <w:tcPr>
            <w:tcW w:w="3100" w:type="dxa"/>
            <w:tcBorders>
              <w:top w:val="nil"/>
              <w:left w:val="nil"/>
              <w:bottom w:val="single" w:sz="4" w:space="0" w:color="ADD5EA"/>
              <w:right w:val="nil"/>
            </w:tcBorders>
            <w:shd w:val="clear" w:color="auto" w:fill="auto"/>
            <w:noWrap/>
            <w:tcMar>
              <w:left w:w="0" w:type="dxa"/>
            </w:tcMar>
            <w:vAlign w:val="bottom"/>
            <w:hideMark/>
          </w:tcPr>
          <w:p w14:paraId="3941094A" w14:textId="7EB3B368" w:rsidR="00D9434E" w:rsidRPr="002D4F94" w:rsidRDefault="00D9434E" w:rsidP="004D65FE">
            <w:pPr>
              <w:tabs>
                <w:tab w:val="clear" w:pos="567"/>
              </w:tabs>
              <w:spacing w:before="0" w:line="240" w:lineRule="auto"/>
              <w:rPr>
                <w:rFonts w:eastAsia="Times New Roman" w:cs="Open Sans Light"/>
                <w:color w:val="000000"/>
                <w:sz w:val="16"/>
                <w:szCs w:val="16"/>
                <w:lang w:eastAsia="en-AU"/>
              </w:rPr>
            </w:pPr>
            <w:r w:rsidRPr="002D4F94">
              <w:rPr>
                <w:rFonts w:eastAsia="Times New Roman" w:cs="Open Sans Light"/>
                <w:color w:val="000000"/>
                <w:sz w:val="16"/>
                <w:szCs w:val="16"/>
                <w:lang w:eastAsia="en-AU"/>
              </w:rPr>
              <w:t xml:space="preserve">  Percentile</w:t>
            </w:r>
            <w:r w:rsidR="00A33DF0">
              <w:rPr>
                <w:rFonts w:eastAsia="Times New Roman" w:cs="Open Sans Light"/>
                <w:color w:val="000000"/>
                <w:sz w:val="16"/>
                <w:szCs w:val="16"/>
                <w:lang w:eastAsia="en-AU"/>
              </w:rPr>
              <w:t>-</w:t>
            </w:r>
            <w:r w:rsidRPr="002D4F94">
              <w:rPr>
                <w:rFonts w:eastAsia="Times New Roman" w:cs="Open Sans Light"/>
                <w:color w:val="000000"/>
                <w:sz w:val="16"/>
                <w:szCs w:val="16"/>
                <w:lang w:eastAsia="en-AU"/>
              </w:rPr>
              <w:t>based assessment</w:t>
            </w:r>
          </w:p>
        </w:tc>
        <w:tc>
          <w:tcPr>
            <w:tcW w:w="660" w:type="dxa"/>
            <w:tcBorders>
              <w:top w:val="nil"/>
              <w:left w:val="nil"/>
              <w:bottom w:val="single" w:sz="4" w:space="0" w:color="ADD5EA"/>
              <w:right w:val="nil"/>
            </w:tcBorders>
            <w:shd w:val="clear" w:color="auto" w:fill="auto"/>
            <w:noWrap/>
            <w:vAlign w:val="bottom"/>
            <w:hideMark/>
          </w:tcPr>
          <w:p w14:paraId="0F0E2611"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4.9</w:t>
            </w:r>
          </w:p>
        </w:tc>
        <w:tc>
          <w:tcPr>
            <w:tcW w:w="600" w:type="dxa"/>
            <w:tcBorders>
              <w:top w:val="nil"/>
              <w:left w:val="nil"/>
              <w:bottom w:val="single" w:sz="4" w:space="0" w:color="ADD5EA"/>
              <w:right w:val="nil"/>
            </w:tcBorders>
            <w:shd w:val="clear" w:color="auto" w:fill="auto"/>
            <w:noWrap/>
            <w:vAlign w:val="bottom"/>
            <w:hideMark/>
          </w:tcPr>
          <w:p w14:paraId="2CD706E9"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4.6</w:t>
            </w:r>
          </w:p>
        </w:tc>
        <w:tc>
          <w:tcPr>
            <w:tcW w:w="660" w:type="dxa"/>
            <w:tcBorders>
              <w:top w:val="nil"/>
              <w:left w:val="nil"/>
              <w:bottom w:val="single" w:sz="4" w:space="0" w:color="ADD5EA"/>
              <w:right w:val="nil"/>
            </w:tcBorders>
            <w:shd w:val="clear" w:color="auto" w:fill="auto"/>
            <w:noWrap/>
            <w:vAlign w:val="bottom"/>
            <w:hideMark/>
          </w:tcPr>
          <w:p w14:paraId="5030DCFA"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4.7</w:t>
            </w:r>
          </w:p>
        </w:tc>
        <w:tc>
          <w:tcPr>
            <w:tcW w:w="600" w:type="dxa"/>
            <w:tcBorders>
              <w:top w:val="nil"/>
              <w:left w:val="nil"/>
              <w:bottom w:val="single" w:sz="4" w:space="0" w:color="ADD5EA"/>
              <w:right w:val="nil"/>
            </w:tcBorders>
            <w:shd w:val="clear" w:color="auto" w:fill="auto"/>
            <w:noWrap/>
            <w:vAlign w:val="bottom"/>
            <w:hideMark/>
          </w:tcPr>
          <w:p w14:paraId="7D9A55D5"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3.8</w:t>
            </w:r>
          </w:p>
        </w:tc>
        <w:tc>
          <w:tcPr>
            <w:tcW w:w="640" w:type="dxa"/>
            <w:tcBorders>
              <w:top w:val="nil"/>
              <w:left w:val="nil"/>
              <w:bottom w:val="single" w:sz="4" w:space="0" w:color="ADD5EA"/>
              <w:right w:val="nil"/>
            </w:tcBorders>
            <w:shd w:val="clear" w:color="auto" w:fill="auto"/>
            <w:noWrap/>
            <w:vAlign w:val="bottom"/>
            <w:hideMark/>
          </w:tcPr>
          <w:p w14:paraId="24DBC59D"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6.1</w:t>
            </w:r>
          </w:p>
        </w:tc>
        <w:tc>
          <w:tcPr>
            <w:tcW w:w="640" w:type="dxa"/>
            <w:tcBorders>
              <w:top w:val="nil"/>
              <w:left w:val="nil"/>
              <w:bottom w:val="single" w:sz="4" w:space="0" w:color="ADD5EA"/>
              <w:right w:val="nil"/>
            </w:tcBorders>
            <w:shd w:val="clear" w:color="auto" w:fill="auto"/>
            <w:noWrap/>
            <w:vAlign w:val="bottom"/>
            <w:hideMark/>
          </w:tcPr>
          <w:p w14:paraId="1E38EDFB"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7.0</w:t>
            </w:r>
          </w:p>
        </w:tc>
        <w:tc>
          <w:tcPr>
            <w:tcW w:w="660" w:type="dxa"/>
            <w:tcBorders>
              <w:top w:val="nil"/>
              <w:left w:val="nil"/>
              <w:bottom w:val="single" w:sz="4" w:space="0" w:color="ADD5EA"/>
              <w:right w:val="nil"/>
            </w:tcBorders>
            <w:shd w:val="clear" w:color="auto" w:fill="auto"/>
            <w:noWrap/>
            <w:vAlign w:val="bottom"/>
            <w:hideMark/>
          </w:tcPr>
          <w:p w14:paraId="090E76C7"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2.2</w:t>
            </w:r>
          </w:p>
        </w:tc>
        <w:tc>
          <w:tcPr>
            <w:tcW w:w="640" w:type="dxa"/>
            <w:tcBorders>
              <w:top w:val="nil"/>
              <w:left w:val="nil"/>
              <w:bottom w:val="single" w:sz="4" w:space="0" w:color="ADD5EA"/>
              <w:right w:val="nil"/>
            </w:tcBorders>
            <w:shd w:val="clear" w:color="auto" w:fill="auto"/>
            <w:noWrap/>
            <w:vAlign w:val="bottom"/>
            <w:hideMark/>
          </w:tcPr>
          <w:p w14:paraId="0AEF5370"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2.7</w:t>
            </w:r>
          </w:p>
        </w:tc>
        <w:tc>
          <w:tcPr>
            <w:tcW w:w="760" w:type="dxa"/>
            <w:tcBorders>
              <w:top w:val="nil"/>
              <w:left w:val="nil"/>
              <w:bottom w:val="single" w:sz="4" w:space="0" w:color="ADD5EA"/>
              <w:right w:val="nil"/>
            </w:tcBorders>
            <w:shd w:val="clear" w:color="auto" w:fill="auto"/>
            <w:noWrap/>
            <w:vAlign w:val="bottom"/>
            <w:hideMark/>
          </w:tcPr>
          <w:p w14:paraId="1A60AA6F"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4.7</w:t>
            </w:r>
          </w:p>
        </w:tc>
      </w:tr>
      <w:tr w:rsidR="00D9434E" w:rsidRPr="002D4F94" w14:paraId="6C9D7D20" w14:textId="77777777" w:rsidTr="00DD216A">
        <w:trPr>
          <w:trHeight w:val="315"/>
        </w:trPr>
        <w:tc>
          <w:tcPr>
            <w:tcW w:w="3100" w:type="dxa"/>
            <w:tcBorders>
              <w:top w:val="nil"/>
              <w:left w:val="nil"/>
              <w:bottom w:val="single" w:sz="4" w:space="0" w:color="ADD5EA"/>
              <w:right w:val="nil"/>
            </w:tcBorders>
            <w:shd w:val="clear" w:color="auto" w:fill="auto"/>
            <w:noWrap/>
            <w:tcMar>
              <w:left w:w="0" w:type="dxa"/>
            </w:tcMar>
            <w:vAlign w:val="bottom"/>
            <w:hideMark/>
          </w:tcPr>
          <w:p w14:paraId="3B2ECA3F" w14:textId="6472F291" w:rsidR="00D9434E" w:rsidRPr="002D4F94" w:rsidRDefault="00D9434E" w:rsidP="004D65FE">
            <w:pPr>
              <w:tabs>
                <w:tab w:val="clear" w:pos="567"/>
              </w:tabs>
              <w:spacing w:before="0" w:line="240" w:lineRule="auto"/>
              <w:rPr>
                <w:rFonts w:eastAsia="Times New Roman" w:cs="Open Sans Light"/>
                <w:color w:val="000000"/>
                <w:sz w:val="16"/>
                <w:szCs w:val="16"/>
                <w:lang w:eastAsia="en-AU"/>
              </w:rPr>
            </w:pPr>
            <w:r w:rsidRPr="002D4F94">
              <w:rPr>
                <w:rFonts w:eastAsia="Times New Roman" w:cs="Open Sans Light"/>
                <w:color w:val="000000"/>
                <w:sz w:val="16"/>
                <w:szCs w:val="16"/>
                <w:lang w:eastAsia="en-AU"/>
              </w:rPr>
              <w:t xml:space="preserve">  Quintile</w:t>
            </w:r>
            <w:r w:rsidR="00A33DF0">
              <w:rPr>
                <w:rFonts w:eastAsia="Times New Roman" w:cs="Open Sans Light"/>
                <w:color w:val="000000"/>
                <w:sz w:val="16"/>
                <w:szCs w:val="16"/>
                <w:lang w:eastAsia="en-AU"/>
              </w:rPr>
              <w:t>-</w:t>
            </w:r>
            <w:r w:rsidRPr="002D4F94">
              <w:rPr>
                <w:rFonts w:eastAsia="Times New Roman" w:cs="Open Sans Light"/>
                <w:color w:val="000000"/>
                <w:sz w:val="16"/>
                <w:szCs w:val="16"/>
                <w:lang w:eastAsia="en-AU"/>
              </w:rPr>
              <w:t>based assessment</w:t>
            </w:r>
          </w:p>
        </w:tc>
        <w:tc>
          <w:tcPr>
            <w:tcW w:w="660" w:type="dxa"/>
            <w:tcBorders>
              <w:top w:val="nil"/>
              <w:left w:val="nil"/>
              <w:bottom w:val="single" w:sz="4" w:space="0" w:color="ADD5EA"/>
              <w:right w:val="nil"/>
            </w:tcBorders>
            <w:shd w:val="clear" w:color="auto" w:fill="auto"/>
            <w:noWrap/>
            <w:vAlign w:val="bottom"/>
            <w:hideMark/>
          </w:tcPr>
          <w:p w14:paraId="0D119F18"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4.8</w:t>
            </w:r>
          </w:p>
        </w:tc>
        <w:tc>
          <w:tcPr>
            <w:tcW w:w="600" w:type="dxa"/>
            <w:tcBorders>
              <w:top w:val="nil"/>
              <w:left w:val="nil"/>
              <w:bottom w:val="single" w:sz="4" w:space="0" w:color="ADD5EA"/>
              <w:right w:val="nil"/>
            </w:tcBorders>
            <w:shd w:val="clear" w:color="auto" w:fill="auto"/>
            <w:noWrap/>
            <w:vAlign w:val="bottom"/>
            <w:hideMark/>
          </w:tcPr>
          <w:p w14:paraId="781104C7"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4.6</w:t>
            </w:r>
          </w:p>
        </w:tc>
        <w:tc>
          <w:tcPr>
            <w:tcW w:w="660" w:type="dxa"/>
            <w:tcBorders>
              <w:top w:val="nil"/>
              <w:left w:val="nil"/>
              <w:bottom w:val="single" w:sz="4" w:space="0" w:color="ADD5EA"/>
              <w:right w:val="nil"/>
            </w:tcBorders>
            <w:shd w:val="clear" w:color="auto" w:fill="auto"/>
            <w:noWrap/>
            <w:vAlign w:val="bottom"/>
            <w:hideMark/>
          </w:tcPr>
          <w:p w14:paraId="3FF134D0"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4.8</w:t>
            </w:r>
          </w:p>
        </w:tc>
        <w:tc>
          <w:tcPr>
            <w:tcW w:w="600" w:type="dxa"/>
            <w:tcBorders>
              <w:top w:val="nil"/>
              <w:left w:val="nil"/>
              <w:bottom w:val="single" w:sz="4" w:space="0" w:color="ADD5EA"/>
              <w:right w:val="nil"/>
            </w:tcBorders>
            <w:shd w:val="clear" w:color="auto" w:fill="auto"/>
            <w:noWrap/>
            <w:vAlign w:val="bottom"/>
            <w:hideMark/>
          </w:tcPr>
          <w:p w14:paraId="2383E668"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4.0</w:t>
            </w:r>
          </w:p>
        </w:tc>
        <w:tc>
          <w:tcPr>
            <w:tcW w:w="640" w:type="dxa"/>
            <w:tcBorders>
              <w:top w:val="nil"/>
              <w:left w:val="nil"/>
              <w:bottom w:val="single" w:sz="4" w:space="0" w:color="ADD5EA"/>
              <w:right w:val="nil"/>
            </w:tcBorders>
            <w:shd w:val="clear" w:color="auto" w:fill="auto"/>
            <w:noWrap/>
            <w:vAlign w:val="bottom"/>
            <w:hideMark/>
          </w:tcPr>
          <w:p w14:paraId="162AEB44"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5.8</w:t>
            </w:r>
          </w:p>
        </w:tc>
        <w:tc>
          <w:tcPr>
            <w:tcW w:w="640" w:type="dxa"/>
            <w:tcBorders>
              <w:top w:val="nil"/>
              <w:left w:val="nil"/>
              <w:bottom w:val="single" w:sz="4" w:space="0" w:color="ADD5EA"/>
              <w:right w:val="nil"/>
            </w:tcBorders>
            <w:shd w:val="clear" w:color="auto" w:fill="auto"/>
            <w:noWrap/>
            <w:vAlign w:val="bottom"/>
            <w:hideMark/>
          </w:tcPr>
          <w:p w14:paraId="07904E1F"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6.6</w:t>
            </w:r>
          </w:p>
        </w:tc>
        <w:tc>
          <w:tcPr>
            <w:tcW w:w="660" w:type="dxa"/>
            <w:tcBorders>
              <w:top w:val="nil"/>
              <w:left w:val="nil"/>
              <w:bottom w:val="single" w:sz="4" w:space="0" w:color="ADD5EA"/>
              <w:right w:val="nil"/>
            </w:tcBorders>
            <w:shd w:val="clear" w:color="auto" w:fill="auto"/>
            <w:noWrap/>
            <w:vAlign w:val="bottom"/>
            <w:hideMark/>
          </w:tcPr>
          <w:p w14:paraId="4611BA80"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2.3</w:t>
            </w:r>
          </w:p>
        </w:tc>
        <w:tc>
          <w:tcPr>
            <w:tcW w:w="640" w:type="dxa"/>
            <w:tcBorders>
              <w:top w:val="nil"/>
              <w:left w:val="nil"/>
              <w:bottom w:val="single" w:sz="4" w:space="0" w:color="ADD5EA"/>
              <w:right w:val="nil"/>
            </w:tcBorders>
            <w:shd w:val="clear" w:color="auto" w:fill="auto"/>
            <w:noWrap/>
            <w:vAlign w:val="bottom"/>
            <w:hideMark/>
          </w:tcPr>
          <w:p w14:paraId="312CA607"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2.8</w:t>
            </w:r>
          </w:p>
        </w:tc>
        <w:tc>
          <w:tcPr>
            <w:tcW w:w="760" w:type="dxa"/>
            <w:tcBorders>
              <w:top w:val="nil"/>
              <w:left w:val="nil"/>
              <w:bottom w:val="single" w:sz="4" w:space="0" w:color="ADD5EA"/>
              <w:right w:val="nil"/>
            </w:tcBorders>
            <w:shd w:val="clear" w:color="auto" w:fill="auto"/>
            <w:noWrap/>
            <w:vAlign w:val="bottom"/>
            <w:hideMark/>
          </w:tcPr>
          <w:p w14:paraId="18EA391B" w14:textId="77777777" w:rsidR="00D9434E" w:rsidRPr="002D4F94" w:rsidRDefault="00D9434E" w:rsidP="004D65FE">
            <w:pPr>
              <w:tabs>
                <w:tab w:val="clear" w:pos="567"/>
              </w:tabs>
              <w:spacing w:before="0" w:line="240" w:lineRule="auto"/>
              <w:jc w:val="right"/>
              <w:rPr>
                <w:rFonts w:eastAsia="Times New Roman" w:cs="Open Sans Light"/>
                <w:color w:val="000000"/>
                <w:sz w:val="16"/>
                <w:szCs w:val="16"/>
                <w:lang w:eastAsia="en-AU"/>
              </w:rPr>
            </w:pPr>
            <w:r w:rsidRPr="002D4F94">
              <w:rPr>
                <w:rFonts w:eastAsia="Times New Roman" w:cs="Open Sans Light"/>
                <w:color w:val="000000"/>
                <w:sz w:val="16"/>
                <w:szCs w:val="16"/>
                <w:lang w:eastAsia="en-AU"/>
              </w:rPr>
              <w:t>4.7</w:t>
            </w:r>
          </w:p>
        </w:tc>
      </w:tr>
    </w:tbl>
    <w:p w14:paraId="70D616EE" w14:textId="77777777" w:rsidR="00D9434E" w:rsidRDefault="00D9434E" w:rsidP="00D9434E">
      <w:pPr>
        <w:pStyle w:val="CGCTablenote"/>
      </w:pPr>
      <w:bookmarkStart w:id="577" w:name="_Toc23243220"/>
      <w:bookmarkStart w:id="578" w:name="_Toc27727767"/>
      <w:r>
        <w:t xml:space="preserve">Source: </w:t>
      </w:r>
      <w:r>
        <w:tab/>
        <w:t>Census of population and housing, 2016.</w:t>
      </w:r>
    </w:p>
    <w:p w14:paraId="603A8E49" w14:textId="63D2AE0F" w:rsidR="00D9434E" w:rsidRPr="004C377A" w:rsidRDefault="00D9434E" w:rsidP="00D9434E">
      <w:pPr>
        <w:pStyle w:val="Heading4"/>
      </w:pPr>
      <w:r w:rsidRPr="004C377A">
        <w:t>Housing costs and disadvantage</w:t>
      </w:r>
      <w:bookmarkEnd w:id="572"/>
      <w:bookmarkEnd w:id="573"/>
      <w:bookmarkEnd w:id="574"/>
      <w:bookmarkEnd w:id="575"/>
      <w:bookmarkEnd w:id="577"/>
      <w:bookmarkEnd w:id="578"/>
    </w:p>
    <w:p w14:paraId="41718107" w14:textId="77777777" w:rsidR="00D9434E" w:rsidRPr="004C377A" w:rsidRDefault="00D9434E" w:rsidP="00F47EC7">
      <w:pPr>
        <w:pStyle w:val="CGCParaNumber"/>
      </w:pPr>
      <w:r w:rsidRPr="004C377A">
        <w:t>Measures of socio-economic disadvantage take account of gross income, but do not take account of the variation in housing, or other costs, and hence the</w:t>
      </w:r>
      <w:r>
        <w:t>se</w:t>
      </w:r>
      <w:r w:rsidRPr="004C377A">
        <w:t xml:space="preserve"> treat people with the same income as comparable, rather than </w:t>
      </w:r>
      <w:r>
        <w:t xml:space="preserve">treating </w:t>
      </w:r>
      <w:r w:rsidRPr="004C377A">
        <w:t>people with the same capacity to purchase goods and services</w:t>
      </w:r>
      <w:r>
        <w:t xml:space="preserve"> as comparable</w:t>
      </w:r>
      <w:r w:rsidRPr="004C377A">
        <w:t xml:space="preserve">. </w:t>
      </w:r>
    </w:p>
    <w:p w14:paraId="3A6FC2B5" w14:textId="77777777" w:rsidR="00D9434E" w:rsidRPr="004C377A" w:rsidRDefault="00D9434E" w:rsidP="00D9434E">
      <w:pPr>
        <w:pStyle w:val="Heading5"/>
      </w:pPr>
      <w:r w:rsidRPr="004C377A">
        <w:t>State views</w:t>
      </w:r>
    </w:p>
    <w:p w14:paraId="6C8D796F" w14:textId="77777777" w:rsidR="00D9434E" w:rsidRPr="004C377A" w:rsidRDefault="00D9434E" w:rsidP="00F47EC7">
      <w:pPr>
        <w:pStyle w:val="CGCParaNumber"/>
      </w:pPr>
      <w:r w:rsidRPr="004C377A">
        <w:t>Victoria was concerned that high housing costs in Melbourne compared with most other capital cities meant that it had a greater need for public housing than would be measured by the Commission’s 2015 Review approach.</w:t>
      </w:r>
    </w:p>
    <w:p w14:paraId="0A7895CF" w14:textId="77777777" w:rsidR="00D9434E" w:rsidRPr="004C377A" w:rsidRDefault="00D9434E" w:rsidP="00F47EC7">
      <w:pPr>
        <w:pStyle w:val="CGCParaNumber"/>
      </w:pPr>
      <w:r w:rsidRPr="004C377A">
        <w:t xml:space="preserve">New South Wales considered that the high housing costs in Sydney meant that the population was generally of lower SES than would be measured using an indicator that did not take account of housing costs. </w:t>
      </w:r>
    </w:p>
    <w:p w14:paraId="4F17CAB0" w14:textId="77777777" w:rsidR="00D9434E" w:rsidRPr="004C377A" w:rsidRDefault="00D9434E" w:rsidP="00F47EC7">
      <w:pPr>
        <w:pStyle w:val="CGCParaNumber"/>
      </w:pPr>
      <w:r w:rsidRPr="004C377A">
        <w:t>New South Wales commissioned the ABS to produce a version of SEIFA that included the variable o</w:t>
      </w:r>
      <w:r>
        <w:t>n</w:t>
      </w:r>
      <w:r w:rsidRPr="004C377A">
        <w:t xml:space="preserve"> whether a household is in involuntary housing stress. Involuntary housing stress </w:t>
      </w:r>
      <w:r w:rsidRPr="004C377A">
        <w:lastRenderedPageBreak/>
        <w:t xml:space="preserve">was defined as households that spend more than 30% of their income on rent or mortgage payments. It excluded households in the top 60% of household income, as these households were assumed to be paying high housing costs as a voluntary choice of residential location, or as a form of savings. </w:t>
      </w:r>
    </w:p>
    <w:p w14:paraId="5EC7AD62" w14:textId="77777777" w:rsidR="00D9434E" w:rsidRPr="004C377A" w:rsidRDefault="00D9434E" w:rsidP="00D9434E">
      <w:pPr>
        <w:pStyle w:val="Heading5"/>
      </w:pPr>
      <w:r w:rsidRPr="004C377A">
        <w:t>Analysis</w:t>
      </w:r>
    </w:p>
    <w:p w14:paraId="2D537493" w14:textId="2EDE4AB8" w:rsidR="00D9434E" w:rsidRPr="004C377A" w:rsidRDefault="00D9434E" w:rsidP="00F47EC7">
      <w:pPr>
        <w:pStyle w:val="CGCParaNumber"/>
      </w:pPr>
      <w:r w:rsidRPr="004C377A">
        <w:t xml:space="preserve">The Commission accepts the New South Wales argument that housing costs affect SES. It also accepts that incorporating housing stress into SEIFA, or NISEIFA, would be an appropriate strategy for dealing with this issue. Analysis of the data provided by New South Wales shows that the primary effect of incorporating housing costs into a measure of SEIFA is to increase the number of people classified as low SES in all major cities, where housing costs tend to be higher, while decreasing the number of these people in regional and remote areas, where housing costs tend to be lower. </w:t>
      </w:r>
      <w:r w:rsidRPr="004C377A">
        <w:fldChar w:fldCharType="begin"/>
      </w:r>
      <w:r w:rsidRPr="004C377A">
        <w:instrText xml:space="preserve"> REF _Ref532375124 \h </w:instrText>
      </w:r>
      <w:r>
        <w:instrText xml:space="preserve"> \* MERGEFORMAT </w:instrText>
      </w:r>
      <w:r w:rsidRPr="004C377A">
        <w:fldChar w:fldCharType="separate"/>
      </w:r>
      <w:r w:rsidR="007F721A" w:rsidRPr="004C377A">
        <w:t xml:space="preserve">Figure </w:t>
      </w:r>
      <w:r w:rsidR="007F721A">
        <w:rPr>
          <w:noProof/>
        </w:rPr>
        <w:t>28-3</w:t>
      </w:r>
      <w:r w:rsidRPr="004C377A">
        <w:fldChar w:fldCharType="end"/>
      </w:r>
      <w:r w:rsidRPr="004C377A">
        <w:t xml:space="preserve"> shows that under a measure of SEIFA based upon the Index of Relative Socio-economic Disadvantage</w:t>
      </w:r>
      <w:r w:rsidR="00570CE7">
        <w:t xml:space="preserve"> (IRSD)</w:t>
      </w:r>
      <w:r w:rsidRPr="004C377A">
        <w:t>, Sydney has 41% of the population in the bottom decile in major cities. Incorporating housing stress increases this share to 42%. Under this change, Sydney’s share of middle SES declines. The changes in other cities are generally smaller.</w:t>
      </w:r>
    </w:p>
    <w:p w14:paraId="75ABFB6C" w14:textId="462151DA" w:rsidR="00D9434E" w:rsidRPr="004C377A" w:rsidRDefault="00D9434E" w:rsidP="00D9434E">
      <w:pPr>
        <w:pStyle w:val="Caption"/>
      </w:pPr>
      <w:bookmarkStart w:id="579" w:name="_Ref532375124"/>
      <w:r w:rsidRPr="004C377A">
        <w:t xml:space="preserve">Figure </w:t>
      </w:r>
      <w:r>
        <w:t>28-</w:t>
      </w:r>
      <w:r w:rsidRPr="004C377A">
        <w:rPr>
          <w:noProof/>
        </w:rPr>
        <w:fldChar w:fldCharType="begin"/>
      </w:r>
      <w:r w:rsidRPr="004C377A">
        <w:rPr>
          <w:noProof/>
        </w:rPr>
        <w:instrText xml:space="preserve"> SEQ Figure \* ARABIC </w:instrText>
      </w:r>
      <w:r w:rsidRPr="004C377A">
        <w:rPr>
          <w:noProof/>
        </w:rPr>
        <w:fldChar w:fldCharType="separate"/>
      </w:r>
      <w:r w:rsidR="007F721A">
        <w:rPr>
          <w:noProof/>
        </w:rPr>
        <w:t>3</w:t>
      </w:r>
      <w:r w:rsidRPr="004C377A">
        <w:rPr>
          <w:noProof/>
        </w:rPr>
        <w:fldChar w:fldCharType="end"/>
      </w:r>
      <w:bookmarkEnd w:id="579"/>
      <w:r w:rsidRPr="004C377A">
        <w:tab/>
      </w:r>
      <w:r>
        <w:t xml:space="preserve"> </w:t>
      </w:r>
      <w:r w:rsidRPr="004C377A">
        <w:t>New South Wales’ share of each major city decile population, 2016</w:t>
      </w:r>
    </w:p>
    <w:p w14:paraId="61D95E23" w14:textId="77777777" w:rsidR="00D9434E" w:rsidRPr="004C377A" w:rsidRDefault="00D9434E" w:rsidP="00D9434E">
      <w:pPr>
        <w:pStyle w:val="CGCTablenote"/>
      </w:pPr>
      <w:r w:rsidRPr="000272B5">
        <w:rPr>
          <w:noProof/>
        </w:rPr>
        <w:drawing>
          <wp:inline distT="0" distB="0" distL="0" distR="0" wp14:anchorId="6E2C2D19" wp14:editId="2FCB1AE8">
            <wp:extent cx="5645150" cy="3562350"/>
            <wp:effectExtent l="0" t="0" r="0" b="0"/>
            <wp:docPr id="55" name="Picture 55" descr="Line graph showing New South Wales share of each major city SEIFA decile population incorporating the IRSD index and the IRSD index with housing 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5150" cy="3562350"/>
                    </a:xfrm>
                    <a:prstGeom prst="rect">
                      <a:avLst/>
                    </a:prstGeom>
                    <a:noFill/>
                    <a:ln>
                      <a:noFill/>
                    </a:ln>
                  </pic:spPr>
                </pic:pic>
              </a:graphicData>
            </a:graphic>
          </wp:inline>
        </w:drawing>
      </w:r>
    </w:p>
    <w:p w14:paraId="6AFD40F3" w14:textId="77777777" w:rsidR="00D9434E" w:rsidRPr="004C377A" w:rsidRDefault="00D9434E" w:rsidP="00D9434E">
      <w:pPr>
        <w:pStyle w:val="CGCTablenote"/>
        <w:rPr>
          <w:rStyle w:val="FootnoteReference"/>
        </w:rPr>
      </w:pPr>
      <w:r w:rsidRPr="004C377A">
        <w:t>Source:</w:t>
      </w:r>
      <w:r w:rsidRPr="004C377A">
        <w:tab/>
        <w:t xml:space="preserve">Commission analysis of New South Wales provided ABS consultancy. </w:t>
      </w:r>
    </w:p>
    <w:p w14:paraId="10B19B1F" w14:textId="77777777" w:rsidR="00D9434E" w:rsidRPr="004C377A" w:rsidRDefault="00D9434E" w:rsidP="00F47EC7">
      <w:pPr>
        <w:pStyle w:val="CGCParaNumber"/>
      </w:pPr>
      <w:r w:rsidRPr="004C377A">
        <w:t xml:space="preserve">As this change is likely to result in a very small change to the GST distribution, well below the materiality threshold, an adjustment is not warranted. </w:t>
      </w:r>
    </w:p>
    <w:p w14:paraId="0898BD05" w14:textId="77777777" w:rsidR="00D9434E" w:rsidRPr="004C377A" w:rsidRDefault="00D9434E" w:rsidP="00F47EC7">
      <w:pPr>
        <w:pStyle w:val="CGCParaNumber"/>
      </w:pPr>
      <w:r w:rsidRPr="004C377A">
        <w:t xml:space="preserve">The ABS has not included housing stress in its measure of SEIFA, due to concerns about the effect of Commonwealth Rent Assistance on apparent housing costs, and concerns that spending 30% of household income on rent can be a very different socio-economic effect than spending 30% of household income on a mortgage, even for low income households. If the ABS resolves these issues and determines an appropriate and consistent way of </w:t>
      </w:r>
      <w:r w:rsidRPr="004C377A">
        <w:lastRenderedPageBreak/>
        <w:t xml:space="preserve">incorporating housing stress into its measure of SEIFA, the Commission would expect to use the same indicators in NISEIFA. </w:t>
      </w:r>
    </w:p>
    <w:p w14:paraId="66982A9A" w14:textId="15684F54" w:rsidR="00D9434E" w:rsidRPr="004C377A" w:rsidRDefault="00D9434E" w:rsidP="00D9434E">
      <w:pPr>
        <w:pStyle w:val="Heading4"/>
      </w:pPr>
      <w:bookmarkStart w:id="580" w:name="_Toc7536887"/>
      <w:bookmarkStart w:id="581" w:name="_Toc20906128"/>
      <w:bookmarkStart w:id="582" w:name="_Toc20906147"/>
      <w:bookmarkStart w:id="583" w:name="_Toc23243221"/>
      <w:bookmarkStart w:id="584" w:name="_Toc27727768"/>
      <w:r w:rsidRPr="004C377A">
        <w:t>Measures of Indigenous socio-economic disadvantage</w:t>
      </w:r>
      <w:bookmarkEnd w:id="580"/>
      <w:bookmarkEnd w:id="581"/>
      <w:bookmarkEnd w:id="582"/>
      <w:bookmarkEnd w:id="583"/>
      <w:bookmarkEnd w:id="584"/>
    </w:p>
    <w:p w14:paraId="76A74237" w14:textId="1A1402D2" w:rsidR="00D9434E" w:rsidRPr="00D700FC" w:rsidRDefault="00D9434E" w:rsidP="00F47EC7">
      <w:pPr>
        <w:pStyle w:val="CGCParaNumber"/>
      </w:pPr>
      <w:r w:rsidRPr="00D700FC">
        <w:t xml:space="preserve">In response to the 2015 Review </w:t>
      </w:r>
      <w:r w:rsidR="00630E8A">
        <w:t>ToR</w:t>
      </w:r>
      <w:r w:rsidRPr="00D700FC">
        <w:t xml:space="preserve"> requiring it to ‘develop methods to appropriately capture the changing characteristics of the Indigenous population’, the Commission adopted the IRSEO as the geographic socio-economic index for the Indigenous population.</w:t>
      </w:r>
    </w:p>
    <w:p w14:paraId="09A423E1" w14:textId="77777777" w:rsidR="00D9434E" w:rsidRPr="004C377A" w:rsidRDefault="00D9434E" w:rsidP="00F47EC7">
      <w:pPr>
        <w:pStyle w:val="CGCParaNumber"/>
      </w:pPr>
      <w:r w:rsidRPr="004C377A">
        <w:t xml:space="preserve">In the 2015 Review and 2018 Update, some States raised concerns with technical aspects of IRSEO. Staff of the Commission proposed to work with the Centre for Aboriginal Economic and Population Research (CAEPR) to develop a revised measure. </w:t>
      </w:r>
    </w:p>
    <w:p w14:paraId="790137CA" w14:textId="77777777" w:rsidR="00D9434E" w:rsidRPr="004C377A" w:rsidRDefault="00D9434E" w:rsidP="00F47EC7">
      <w:pPr>
        <w:pStyle w:val="CGCParaNumber"/>
      </w:pPr>
      <w:r w:rsidRPr="004C377A">
        <w:t>Queensland, the Northern Territory and the ACT consider that the broad level of geography used in IRSEO can result in a masking of the diversity of the level of disadvantage in different sub-areas.</w:t>
      </w:r>
    </w:p>
    <w:p w14:paraId="3EC64468" w14:textId="77777777" w:rsidR="00D9434E" w:rsidRPr="004C377A" w:rsidRDefault="00D9434E" w:rsidP="00F47EC7">
      <w:pPr>
        <w:pStyle w:val="CGCParaNumber"/>
      </w:pPr>
      <w:r w:rsidRPr="004C377A">
        <w:t xml:space="preserve">While CAEPR had been intending to examine the level of geography used for IRSEO, the required funding has not been continued and CAEPR does not have the resources to undertake the planned further development of IRSEO. The Commission does not have the resources to progress this work on its own. </w:t>
      </w:r>
    </w:p>
    <w:p w14:paraId="573B25B8" w14:textId="77777777" w:rsidR="00D9434E" w:rsidRPr="004C377A" w:rsidRDefault="00D9434E" w:rsidP="00F47EC7">
      <w:pPr>
        <w:pStyle w:val="CGCParaNumber"/>
      </w:pPr>
      <w:r w:rsidRPr="004C377A">
        <w:t xml:space="preserve">In any case, the Commission’s view is that while the choice of geography used in IRSEO may have some effect, it is relatively minor. </w:t>
      </w:r>
    </w:p>
    <w:p w14:paraId="1322D8D1" w14:textId="77777777" w:rsidR="00D9434E" w:rsidRPr="00D700FC" w:rsidRDefault="00D9434E" w:rsidP="00AE492A">
      <w:pPr>
        <w:pStyle w:val="Heading6"/>
        <w:rPr>
          <w:rStyle w:val="Heading6Char"/>
          <w:i/>
          <w:iCs/>
        </w:rPr>
      </w:pPr>
      <w:bookmarkStart w:id="585" w:name="_Toc27727769"/>
      <w:bookmarkStart w:id="586" w:name="_Toc20906130"/>
      <w:bookmarkStart w:id="587" w:name="_Toc20906149"/>
      <w:bookmarkStart w:id="588" w:name="_Toc23243222"/>
      <w:r w:rsidRPr="00AE492A">
        <w:t>Urban areas</w:t>
      </w:r>
      <w:bookmarkEnd w:id="585"/>
    </w:p>
    <w:p w14:paraId="3AE47CA7" w14:textId="77777777" w:rsidR="00D9434E" w:rsidRPr="004C377A" w:rsidRDefault="00D9434E" w:rsidP="00F47EC7">
      <w:pPr>
        <w:pStyle w:val="CGCParaNumber"/>
      </w:pPr>
      <w:r w:rsidRPr="004C377A">
        <w:t xml:space="preserve">Some services are provided in geographic areas that are specific to that service. </w:t>
      </w:r>
    </w:p>
    <w:p w14:paraId="6A8EEB61" w14:textId="77777777" w:rsidR="00D9434E" w:rsidRPr="004C377A" w:rsidRDefault="00D9434E" w:rsidP="00D9434E">
      <w:pPr>
        <w:pStyle w:val="CGCBullet1"/>
      </w:pPr>
      <w:r w:rsidRPr="004C377A">
        <w:t xml:space="preserve">urban roads are assessed in UCLs of </w:t>
      </w:r>
      <w:r>
        <w:t>4</w:t>
      </w:r>
      <w:r w:rsidRPr="004C377A">
        <w:t>0</w:t>
      </w:r>
      <w:r>
        <w:t>,000</w:t>
      </w:r>
      <w:r w:rsidRPr="004C377A">
        <w:t xml:space="preserve"> or more </w:t>
      </w:r>
    </w:p>
    <w:p w14:paraId="07E8EAD8" w14:textId="515C47F6" w:rsidR="00D9434E" w:rsidRPr="004C377A" w:rsidRDefault="00D9434E" w:rsidP="00D9434E">
      <w:pPr>
        <w:pStyle w:val="CGCBullet1"/>
      </w:pPr>
      <w:r w:rsidRPr="004C377A">
        <w:t xml:space="preserve">urban transport is assessed in UCLs within </w:t>
      </w:r>
      <w:r>
        <w:t>ABS S</w:t>
      </w:r>
      <w:r w:rsidRPr="004C377A">
        <w:t xml:space="preserve">ignificant </w:t>
      </w:r>
      <w:r>
        <w:t>U</w:t>
      </w:r>
      <w:r w:rsidRPr="004C377A">
        <w:t xml:space="preserve">rban </w:t>
      </w:r>
      <w:r>
        <w:t>A</w:t>
      </w:r>
      <w:r w:rsidRPr="004C377A">
        <w:t>reas</w:t>
      </w:r>
      <w:r w:rsidR="00AB0CE9">
        <w:t xml:space="preserve"> (SUAs)</w:t>
      </w:r>
    </w:p>
    <w:p w14:paraId="0D860496" w14:textId="77777777" w:rsidR="00D9434E" w:rsidRPr="004C377A" w:rsidRDefault="00D9434E" w:rsidP="00D9434E">
      <w:pPr>
        <w:pStyle w:val="CGCBullet1"/>
      </w:pPr>
      <w:r w:rsidRPr="004C377A">
        <w:t>in the Services to communities category, electricity subsidies are assessed in remote UCLs</w:t>
      </w:r>
      <w:r w:rsidRPr="004C377A">
        <w:rPr>
          <w:rStyle w:val="FootnoteReference"/>
        </w:rPr>
        <w:footnoteReference w:id="128"/>
      </w:r>
      <w:r w:rsidRPr="004C377A">
        <w:t xml:space="preserve"> above 50 people </w:t>
      </w:r>
    </w:p>
    <w:p w14:paraId="696AB718" w14:textId="77777777" w:rsidR="00D9434E" w:rsidRPr="004C377A" w:rsidRDefault="00D9434E" w:rsidP="00D9434E">
      <w:pPr>
        <w:pStyle w:val="CGCBullet1"/>
      </w:pPr>
      <w:r w:rsidRPr="004C377A">
        <w:t>in the Services to communities category, water subsidies are assessed in UCLs between 50 and 3</w:t>
      </w:r>
      <w:r>
        <w:t>,000</w:t>
      </w:r>
      <w:r w:rsidRPr="004C377A">
        <w:t xml:space="preserve"> people outside of major cities.</w:t>
      </w:r>
    </w:p>
    <w:p w14:paraId="3DFF144C" w14:textId="77777777" w:rsidR="00D9434E" w:rsidRPr="004C377A" w:rsidRDefault="00D9434E" w:rsidP="00F47EC7">
      <w:pPr>
        <w:pStyle w:val="CGCParaNumber"/>
      </w:pPr>
      <w:r w:rsidRPr="004C377A">
        <w:t xml:space="preserve">The rationale behind these classifications is addressed in the respective category assessment chapters. </w:t>
      </w:r>
    </w:p>
    <w:p w14:paraId="7DBA75C2" w14:textId="6CC0ADD5" w:rsidR="00D9434E" w:rsidRPr="00D700FC" w:rsidRDefault="00D9434E" w:rsidP="00AE492A">
      <w:pPr>
        <w:pStyle w:val="Heading6"/>
        <w:rPr>
          <w:rStyle w:val="Heading6Char"/>
          <w:i/>
          <w:iCs/>
        </w:rPr>
      </w:pPr>
      <w:bookmarkStart w:id="589" w:name="_Toc27727770"/>
      <w:r w:rsidRPr="00AE492A">
        <w:t>Interstate non-wage costs</w:t>
      </w:r>
      <w:bookmarkEnd w:id="586"/>
      <w:bookmarkEnd w:id="587"/>
      <w:bookmarkEnd w:id="588"/>
      <w:bookmarkEnd w:id="589"/>
      <w:r w:rsidRPr="00AE492A">
        <w:t xml:space="preserve"> </w:t>
      </w:r>
    </w:p>
    <w:p w14:paraId="75447E9F" w14:textId="77777777" w:rsidR="00D9434E" w:rsidRPr="004C377A" w:rsidRDefault="00D9434E" w:rsidP="00F47EC7">
      <w:pPr>
        <w:pStyle w:val="CGCParaNumber"/>
      </w:pPr>
      <w:r w:rsidRPr="004C377A">
        <w:t>The Commission has decided not to make an adjustment for interstate non-wage costs.</w:t>
      </w:r>
      <w:r w:rsidRPr="004C377A">
        <w:rPr>
          <w:rStyle w:val="FootnoteReference"/>
        </w:rPr>
        <w:footnoteReference w:id="129"/>
      </w:r>
      <w:r w:rsidRPr="004C377A">
        <w:t xml:space="preserve"> </w:t>
      </w:r>
    </w:p>
    <w:p w14:paraId="5FBA905F" w14:textId="77777777" w:rsidR="00D9434E" w:rsidRPr="004C377A" w:rsidRDefault="00D9434E" w:rsidP="00F47EC7">
      <w:pPr>
        <w:pStyle w:val="CGCParaNumber"/>
      </w:pPr>
      <w:r w:rsidRPr="004C377A">
        <w:t xml:space="preserve">In the 2015 Review, the Commission decided that there were differences between the costs of providing services in different capital cities, which were not fully captured by the regional costs and other assessments. </w:t>
      </w:r>
    </w:p>
    <w:p w14:paraId="13417B09" w14:textId="4F4F2BC8" w:rsidR="00D9434E" w:rsidRPr="004C377A" w:rsidRDefault="00D9434E" w:rsidP="00F47EC7">
      <w:pPr>
        <w:pStyle w:val="CGCParaNumber"/>
      </w:pPr>
      <w:r w:rsidRPr="004C377A">
        <w:t xml:space="preserve">On the basis of these concerns, the Commission made a </w:t>
      </w:r>
      <w:r w:rsidRPr="004C377A" w:rsidDel="008C4C29">
        <w:t>judgment</w:t>
      </w:r>
      <w:r w:rsidR="001D7F9E">
        <w:t xml:space="preserve"> </w:t>
      </w:r>
      <w:r w:rsidRPr="004C377A">
        <w:t xml:space="preserve">based adjustment in the 2015 Review that reduced the fiscal needs of Darwin and Hobart, and increased the fiscal needs of Canberra and Perth. </w:t>
      </w:r>
    </w:p>
    <w:p w14:paraId="5219B8AC" w14:textId="77777777" w:rsidR="00D9434E" w:rsidRPr="004C377A" w:rsidRDefault="00D9434E" w:rsidP="00F47EC7">
      <w:pPr>
        <w:pStyle w:val="CGCParaNumber"/>
      </w:pPr>
      <w:r w:rsidRPr="004C377A">
        <w:lastRenderedPageBreak/>
        <w:t xml:space="preserve">The Commission still considers that there are differences between States in their interstate non-wage costs. However, the lack of data, and the difficulty in determining the magnitude, or even in some cases the direction, of an appropriate adjustment has led the Commission to cease this assessment. </w:t>
      </w:r>
    </w:p>
    <w:p w14:paraId="3FCE855C" w14:textId="77777777" w:rsidR="00D9434E" w:rsidRPr="004C377A" w:rsidRDefault="00D9434E" w:rsidP="00D9434E">
      <w:pPr>
        <w:pStyle w:val="Heading5"/>
      </w:pPr>
      <w:r w:rsidRPr="004C377A">
        <w:t>State views</w:t>
      </w:r>
    </w:p>
    <w:p w14:paraId="70DF0352" w14:textId="77777777" w:rsidR="00D9434E" w:rsidRPr="004C377A" w:rsidRDefault="00D9434E" w:rsidP="00F47EC7">
      <w:pPr>
        <w:pStyle w:val="CGCParaNumber"/>
      </w:pPr>
      <w:r w:rsidRPr="004C377A">
        <w:t xml:space="preserve">New South Wales and Victoria considered that this assessment was based on a weak conceptual case, and no evidence, and as such agreed that it should be discontinued. </w:t>
      </w:r>
    </w:p>
    <w:p w14:paraId="368F4605" w14:textId="77777777" w:rsidR="00D9434E" w:rsidRDefault="00D9434E" w:rsidP="00F47EC7">
      <w:pPr>
        <w:pStyle w:val="CGCParaNumber"/>
      </w:pPr>
      <w:r>
        <w:t>Western Australia expressed concern that the Commission was intending to cease the interstate non-wage assessment, and identified two possible approaches to assessing the costs of its isolation.</w:t>
      </w:r>
    </w:p>
    <w:p w14:paraId="317DF094" w14:textId="71DB9BBB" w:rsidR="00D9434E" w:rsidRPr="004C377A" w:rsidRDefault="00D9434E" w:rsidP="00F47EC7">
      <w:pPr>
        <w:pStyle w:val="CGCParaNumber"/>
      </w:pPr>
      <w:r w:rsidRPr="004C377A">
        <w:t>Tasmania was also concerned by the lack of evidence, but</w:t>
      </w:r>
      <w:r>
        <w:t xml:space="preserve"> it</w:t>
      </w:r>
      <w:r w:rsidRPr="004C377A">
        <w:t xml:space="preserve"> could not identify an alternative </w:t>
      </w:r>
      <w:r w:rsidR="00426446">
        <w:t>evidence-based</w:t>
      </w:r>
      <w:r w:rsidRPr="004C377A">
        <w:t xml:space="preserve"> approach. </w:t>
      </w:r>
    </w:p>
    <w:p w14:paraId="47833189" w14:textId="77777777" w:rsidR="00D9434E" w:rsidRPr="004C377A" w:rsidRDefault="00D9434E" w:rsidP="00F47EC7">
      <w:pPr>
        <w:pStyle w:val="CGCParaNumber"/>
      </w:pPr>
      <w:r w:rsidRPr="004C377A">
        <w:t xml:space="preserve">The Northern Territory considered that Darwin is not like major cities, and as such the adjustment made by the Commission to reduce its relative need was not warranted. It was also concerned that the size of the adjustment appeared excessive. </w:t>
      </w:r>
    </w:p>
    <w:p w14:paraId="0F103176" w14:textId="77777777" w:rsidR="00D9434E" w:rsidRPr="004C377A" w:rsidRDefault="00D9434E" w:rsidP="00D9434E">
      <w:pPr>
        <w:pStyle w:val="Heading5"/>
      </w:pPr>
      <w:r w:rsidRPr="004C377A">
        <w:t>Analysis</w:t>
      </w:r>
    </w:p>
    <w:p w14:paraId="7B46236D" w14:textId="246C8BFB" w:rsidR="00D9434E" w:rsidRPr="004C377A" w:rsidRDefault="00D9434E" w:rsidP="00F47EC7">
      <w:pPr>
        <w:pStyle w:val="CGCParaNumber"/>
      </w:pPr>
      <w:r w:rsidRPr="004C377A">
        <w:fldChar w:fldCharType="begin"/>
      </w:r>
      <w:r w:rsidRPr="004C377A">
        <w:instrText xml:space="preserve"> REF _Ref532375101 \h  \* MERGEFORMAT </w:instrText>
      </w:r>
      <w:r w:rsidRPr="004C377A">
        <w:fldChar w:fldCharType="separate"/>
      </w:r>
      <w:r w:rsidR="007F721A" w:rsidRPr="004C377A">
        <w:t xml:space="preserve">Table </w:t>
      </w:r>
      <w:r w:rsidR="007F721A">
        <w:rPr>
          <w:noProof/>
        </w:rPr>
        <w:t>28-6</w:t>
      </w:r>
      <w:r w:rsidRPr="004C377A">
        <w:fldChar w:fldCharType="end"/>
      </w:r>
      <w:r w:rsidRPr="004C377A">
        <w:t xml:space="preserve"> shows the assessed costs from the 2019 Update. </w:t>
      </w:r>
    </w:p>
    <w:p w14:paraId="4CCA0934" w14:textId="4CFE0AC2" w:rsidR="00D9434E" w:rsidRDefault="00D9434E" w:rsidP="00D9434E">
      <w:pPr>
        <w:pStyle w:val="Caption"/>
        <w:ind w:left="0" w:firstLine="0"/>
      </w:pPr>
      <w:bookmarkStart w:id="590" w:name="_Ref532375101"/>
      <w:r w:rsidRPr="004C377A">
        <w:t xml:space="preserve">Table </w:t>
      </w:r>
      <w:r>
        <w:t>28-</w:t>
      </w:r>
      <w:fldSimple w:instr=" SEQ Table \* ARABIC ">
        <w:r w:rsidR="007F721A">
          <w:rPr>
            <w:noProof/>
          </w:rPr>
          <w:t>6</w:t>
        </w:r>
      </w:fldSimple>
      <w:bookmarkEnd w:id="590"/>
      <w:r w:rsidRPr="004C377A">
        <w:tab/>
        <w:t>Assessed interstate non-wage costs in Update 2019, 201</w:t>
      </w:r>
      <w:r>
        <w:t>7-18</w:t>
      </w:r>
    </w:p>
    <w:tbl>
      <w:tblPr>
        <w:tblW w:w="8980" w:type="dxa"/>
        <w:tblCellMar>
          <w:left w:w="0" w:type="dxa"/>
          <w:right w:w="28" w:type="dxa"/>
        </w:tblCellMar>
        <w:tblLook w:val="04A0" w:firstRow="1" w:lastRow="0" w:firstColumn="1" w:lastColumn="0" w:noHBand="0" w:noVBand="1"/>
      </w:tblPr>
      <w:tblGrid>
        <w:gridCol w:w="1360"/>
        <w:gridCol w:w="1020"/>
        <w:gridCol w:w="880"/>
        <w:gridCol w:w="940"/>
        <w:gridCol w:w="940"/>
        <w:gridCol w:w="880"/>
        <w:gridCol w:w="1000"/>
        <w:gridCol w:w="940"/>
        <w:gridCol w:w="1020"/>
      </w:tblGrid>
      <w:tr w:rsidR="005345F4" w:rsidRPr="00261F4B" w14:paraId="2ABB97F2" w14:textId="77777777" w:rsidTr="00AE4213">
        <w:trPr>
          <w:trHeight w:val="379"/>
        </w:trPr>
        <w:tc>
          <w:tcPr>
            <w:tcW w:w="1360" w:type="dxa"/>
            <w:tcBorders>
              <w:top w:val="nil"/>
              <w:left w:val="nil"/>
              <w:bottom w:val="single" w:sz="4" w:space="0" w:color="DCE6F1"/>
              <w:right w:val="nil"/>
            </w:tcBorders>
            <w:shd w:val="clear" w:color="000000" w:fill="006991"/>
            <w:vAlign w:val="center"/>
            <w:hideMark/>
          </w:tcPr>
          <w:p w14:paraId="7DCFEC6C" w14:textId="77777777" w:rsidR="00D9434E" w:rsidRPr="00261F4B"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591" w:name="RANGE!A5:I7"/>
            <w:r w:rsidRPr="00261F4B">
              <w:rPr>
                <w:rFonts w:ascii="Open Sans SemiBold" w:eastAsia="Times New Roman" w:hAnsi="Open Sans SemiBold" w:cs="Open Sans SemiBold"/>
                <w:color w:val="FFFFFF"/>
                <w:sz w:val="16"/>
                <w:szCs w:val="16"/>
                <w:lang w:eastAsia="en-AU"/>
              </w:rPr>
              <w:t> </w:t>
            </w:r>
            <w:bookmarkEnd w:id="591"/>
          </w:p>
        </w:tc>
        <w:tc>
          <w:tcPr>
            <w:tcW w:w="1020" w:type="dxa"/>
            <w:tcBorders>
              <w:top w:val="nil"/>
              <w:left w:val="nil"/>
              <w:bottom w:val="single" w:sz="4" w:space="0" w:color="DCE6F1"/>
              <w:right w:val="nil"/>
            </w:tcBorders>
            <w:shd w:val="clear" w:color="000000" w:fill="006991"/>
            <w:vAlign w:val="center"/>
            <w:hideMark/>
          </w:tcPr>
          <w:p w14:paraId="2CADF7F4" w14:textId="77777777" w:rsidR="00D9434E" w:rsidRPr="00261F4B"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1F4B">
              <w:rPr>
                <w:rFonts w:ascii="Open Sans SemiBold" w:eastAsia="Times New Roman" w:hAnsi="Open Sans SemiBold" w:cs="Open Sans SemiBold"/>
                <w:color w:val="FFFFFF"/>
                <w:sz w:val="16"/>
                <w:szCs w:val="16"/>
                <w:lang w:eastAsia="en-AU"/>
              </w:rPr>
              <w:t>NSW</w:t>
            </w:r>
          </w:p>
        </w:tc>
        <w:tc>
          <w:tcPr>
            <w:tcW w:w="880" w:type="dxa"/>
            <w:tcBorders>
              <w:top w:val="nil"/>
              <w:left w:val="nil"/>
              <w:bottom w:val="single" w:sz="4" w:space="0" w:color="DCE6F1"/>
              <w:right w:val="nil"/>
            </w:tcBorders>
            <w:shd w:val="clear" w:color="000000" w:fill="006991"/>
            <w:vAlign w:val="center"/>
            <w:hideMark/>
          </w:tcPr>
          <w:p w14:paraId="290E03EA" w14:textId="77777777" w:rsidR="00D9434E" w:rsidRPr="00261F4B"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1F4B">
              <w:rPr>
                <w:rFonts w:ascii="Open Sans SemiBold" w:eastAsia="Times New Roman" w:hAnsi="Open Sans SemiBold" w:cs="Open Sans SemiBold"/>
                <w:color w:val="FFFFFF"/>
                <w:sz w:val="16"/>
                <w:szCs w:val="16"/>
                <w:lang w:eastAsia="en-AU"/>
              </w:rPr>
              <w:t>Vic</w:t>
            </w:r>
          </w:p>
        </w:tc>
        <w:tc>
          <w:tcPr>
            <w:tcW w:w="940" w:type="dxa"/>
            <w:tcBorders>
              <w:top w:val="nil"/>
              <w:left w:val="nil"/>
              <w:bottom w:val="single" w:sz="4" w:space="0" w:color="DCE6F1"/>
              <w:right w:val="nil"/>
            </w:tcBorders>
            <w:shd w:val="clear" w:color="000000" w:fill="006991"/>
            <w:vAlign w:val="center"/>
            <w:hideMark/>
          </w:tcPr>
          <w:p w14:paraId="19B8EB4C" w14:textId="77777777" w:rsidR="00D9434E" w:rsidRPr="00261F4B"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1F4B">
              <w:rPr>
                <w:rFonts w:ascii="Open Sans SemiBold" w:eastAsia="Times New Roman" w:hAnsi="Open Sans SemiBold" w:cs="Open Sans SemiBold"/>
                <w:color w:val="FFFFFF"/>
                <w:sz w:val="16"/>
                <w:szCs w:val="16"/>
                <w:lang w:eastAsia="en-AU"/>
              </w:rPr>
              <w:t>Qld</w:t>
            </w:r>
          </w:p>
        </w:tc>
        <w:tc>
          <w:tcPr>
            <w:tcW w:w="940" w:type="dxa"/>
            <w:tcBorders>
              <w:top w:val="nil"/>
              <w:left w:val="nil"/>
              <w:bottom w:val="single" w:sz="4" w:space="0" w:color="DCE6F1"/>
              <w:right w:val="nil"/>
            </w:tcBorders>
            <w:shd w:val="clear" w:color="000000" w:fill="006991"/>
            <w:vAlign w:val="center"/>
            <w:hideMark/>
          </w:tcPr>
          <w:p w14:paraId="66277A6E" w14:textId="77777777" w:rsidR="00D9434E" w:rsidRPr="00261F4B"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1F4B">
              <w:rPr>
                <w:rFonts w:ascii="Open Sans SemiBold" w:eastAsia="Times New Roman" w:hAnsi="Open Sans SemiBold" w:cs="Open Sans SemiBold"/>
                <w:color w:val="FFFFFF"/>
                <w:sz w:val="16"/>
                <w:szCs w:val="16"/>
                <w:lang w:eastAsia="en-AU"/>
              </w:rPr>
              <w:t>WA</w:t>
            </w:r>
          </w:p>
        </w:tc>
        <w:tc>
          <w:tcPr>
            <w:tcW w:w="880" w:type="dxa"/>
            <w:tcBorders>
              <w:top w:val="nil"/>
              <w:left w:val="nil"/>
              <w:bottom w:val="single" w:sz="4" w:space="0" w:color="DCE6F1"/>
              <w:right w:val="nil"/>
            </w:tcBorders>
            <w:shd w:val="clear" w:color="000000" w:fill="006991"/>
            <w:vAlign w:val="center"/>
            <w:hideMark/>
          </w:tcPr>
          <w:p w14:paraId="1390B42B" w14:textId="77777777" w:rsidR="00D9434E" w:rsidRPr="00261F4B"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1F4B">
              <w:rPr>
                <w:rFonts w:ascii="Open Sans SemiBold" w:eastAsia="Times New Roman" w:hAnsi="Open Sans SemiBold" w:cs="Open Sans SemiBold"/>
                <w:color w:val="FFFFFF"/>
                <w:sz w:val="16"/>
                <w:szCs w:val="16"/>
                <w:lang w:eastAsia="en-AU"/>
              </w:rPr>
              <w:t>SA</w:t>
            </w:r>
          </w:p>
        </w:tc>
        <w:tc>
          <w:tcPr>
            <w:tcW w:w="1000" w:type="dxa"/>
            <w:tcBorders>
              <w:top w:val="nil"/>
              <w:left w:val="nil"/>
              <w:bottom w:val="single" w:sz="4" w:space="0" w:color="DCE6F1"/>
              <w:right w:val="nil"/>
            </w:tcBorders>
            <w:shd w:val="clear" w:color="000000" w:fill="006991"/>
            <w:vAlign w:val="center"/>
            <w:hideMark/>
          </w:tcPr>
          <w:p w14:paraId="315C7FCF" w14:textId="77777777" w:rsidR="00D9434E" w:rsidRPr="00261F4B"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1F4B">
              <w:rPr>
                <w:rFonts w:ascii="Open Sans SemiBold" w:eastAsia="Times New Roman" w:hAnsi="Open Sans SemiBold" w:cs="Open Sans SemiBold"/>
                <w:color w:val="FFFFFF"/>
                <w:sz w:val="16"/>
                <w:szCs w:val="16"/>
                <w:lang w:eastAsia="en-AU"/>
              </w:rPr>
              <w:t>Tas</w:t>
            </w:r>
          </w:p>
        </w:tc>
        <w:tc>
          <w:tcPr>
            <w:tcW w:w="940" w:type="dxa"/>
            <w:tcBorders>
              <w:top w:val="nil"/>
              <w:left w:val="nil"/>
              <w:bottom w:val="single" w:sz="4" w:space="0" w:color="DCE6F1"/>
              <w:right w:val="nil"/>
            </w:tcBorders>
            <w:shd w:val="clear" w:color="000000" w:fill="006991"/>
            <w:vAlign w:val="center"/>
            <w:hideMark/>
          </w:tcPr>
          <w:p w14:paraId="449FE5CA" w14:textId="77777777" w:rsidR="00D9434E" w:rsidRPr="00261F4B"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1F4B">
              <w:rPr>
                <w:rFonts w:ascii="Open Sans SemiBold" w:eastAsia="Times New Roman" w:hAnsi="Open Sans SemiBold" w:cs="Open Sans SemiBold"/>
                <w:color w:val="FFFFFF"/>
                <w:sz w:val="16"/>
                <w:szCs w:val="16"/>
                <w:lang w:eastAsia="en-AU"/>
              </w:rPr>
              <w:t>ACT</w:t>
            </w:r>
          </w:p>
        </w:tc>
        <w:tc>
          <w:tcPr>
            <w:tcW w:w="1020" w:type="dxa"/>
            <w:tcBorders>
              <w:top w:val="nil"/>
              <w:left w:val="nil"/>
              <w:bottom w:val="single" w:sz="4" w:space="0" w:color="DCE6F1"/>
              <w:right w:val="nil"/>
            </w:tcBorders>
            <w:shd w:val="clear" w:color="000000" w:fill="006991"/>
            <w:vAlign w:val="center"/>
            <w:hideMark/>
          </w:tcPr>
          <w:p w14:paraId="453F5C0F" w14:textId="77777777" w:rsidR="00D9434E" w:rsidRPr="00261F4B"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61F4B">
              <w:rPr>
                <w:rFonts w:ascii="Open Sans SemiBold" w:eastAsia="Times New Roman" w:hAnsi="Open Sans SemiBold" w:cs="Open Sans SemiBold"/>
                <w:color w:val="FFFFFF"/>
                <w:sz w:val="16"/>
                <w:szCs w:val="16"/>
                <w:lang w:eastAsia="en-AU"/>
              </w:rPr>
              <w:t>NT</w:t>
            </w:r>
          </w:p>
        </w:tc>
      </w:tr>
      <w:tr w:rsidR="005345F4" w:rsidRPr="00261F4B" w14:paraId="1F27E0B8" w14:textId="77777777" w:rsidTr="00AE4213">
        <w:trPr>
          <w:trHeight w:val="315"/>
        </w:trPr>
        <w:tc>
          <w:tcPr>
            <w:tcW w:w="1360" w:type="dxa"/>
            <w:tcBorders>
              <w:top w:val="nil"/>
              <w:left w:val="nil"/>
              <w:bottom w:val="single" w:sz="4" w:space="0" w:color="ADD5EA"/>
              <w:right w:val="nil"/>
            </w:tcBorders>
            <w:shd w:val="clear" w:color="000000" w:fill="FFFFFF"/>
            <w:vAlign w:val="bottom"/>
            <w:hideMark/>
          </w:tcPr>
          <w:p w14:paraId="79C0F959" w14:textId="77777777" w:rsidR="00D9434E" w:rsidRPr="00261F4B" w:rsidRDefault="00D9434E" w:rsidP="004D65FE">
            <w:pPr>
              <w:tabs>
                <w:tab w:val="clear" w:pos="567"/>
              </w:tabs>
              <w:spacing w:before="0" w:line="240" w:lineRule="auto"/>
              <w:rPr>
                <w:rFonts w:eastAsia="Times New Roman" w:cs="Open Sans Light"/>
                <w:sz w:val="16"/>
                <w:szCs w:val="16"/>
                <w:lang w:eastAsia="en-AU"/>
              </w:rPr>
            </w:pPr>
            <w:r w:rsidRPr="00261F4B">
              <w:rPr>
                <w:rFonts w:eastAsia="Times New Roman" w:cs="Open Sans Light"/>
                <w:sz w:val="16"/>
                <w:szCs w:val="16"/>
                <w:lang w:eastAsia="en-AU"/>
              </w:rPr>
              <w:t>$ million</w:t>
            </w:r>
          </w:p>
        </w:tc>
        <w:tc>
          <w:tcPr>
            <w:tcW w:w="1020" w:type="dxa"/>
            <w:tcBorders>
              <w:top w:val="nil"/>
              <w:left w:val="nil"/>
              <w:bottom w:val="single" w:sz="4" w:space="0" w:color="ADD5EA"/>
              <w:right w:val="nil"/>
            </w:tcBorders>
            <w:shd w:val="clear" w:color="000000" w:fill="FFFFFF"/>
            <w:vAlign w:val="bottom"/>
            <w:hideMark/>
          </w:tcPr>
          <w:p w14:paraId="7B2AD4BF"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-9</w:t>
            </w:r>
          </w:p>
        </w:tc>
        <w:tc>
          <w:tcPr>
            <w:tcW w:w="880" w:type="dxa"/>
            <w:tcBorders>
              <w:top w:val="nil"/>
              <w:left w:val="nil"/>
              <w:bottom w:val="single" w:sz="4" w:space="0" w:color="ADD5EA"/>
              <w:right w:val="nil"/>
            </w:tcBorders>
            <w:shd w:val="clear" w:color="000000" w:fill="FFFFFF"/>
            <w:vAlign w:val="bottom"/>
            <w:hideMark/>
          </w:tcPr>
          <w:p w14:paraId="3530A8AF"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-7</w:t>
            </w:r>
          </w:p>
        </w:tc>
        <w:tc>
          <w:tcPr>
            <w:tcW w:w="940" w:type="dxa"/>
            <w:tcBorders>
              <w:top w:val="nil"/>
              <w:left w:val="nil"/>
              <w:bottom w:val="single" w:sz="4" w:space="0" w:color="ADD5EA"/>
              <w:right w:val="nil"/>
            </w:tcBorders>
            <w:shd w:val="clear" w:color="000000" w:fill="FFFFFF"/>
            <w:vAlign w:val="bottom"/>
            <w:hideMark/>
          </w:tcPr>
          <w:p w14:paraId="26C420CF"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-5</w:t>
            </w:r>
          </w:p>
        </w:tc>
        <w:tc>
          <w:tcPr>
            <w:tcW w:w="940" w:type="dxa"/>
            <w:tcBorders>
              <w:top w:val="nil"/>
              <w:left w:val="nil"/>
              <w:bottom w:val="single" w:sz="4" w:space="0" w:color="ADD5EA"/>
              <w:right w:val="nil"/>
            </w:tcBorders>
            <w:shd w:val="clear" w:color="000000" w:fill="FFFFFF"/>
            <w:vAlign w:val="bottom"/>
            <w:hideMark/>
          </w:tcPr>
          <w:p w14:paraId="4D2B79DE"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91</w:t>
            </w:r>
          </w:p>
        </w:tc>
        <w:tc>
          <w:tcPr>
            <w:tcW w:w="880" w:type="dxa"/>
            <w:tcBorders>
              <w:top w:val="nil"/>
              <w:left w:val="nil"/>
              <w:bottom w:val="single" w:sz="4" w:space="0" w:color="ADD5EA"/>
              <w:right w:val="nil"/>
            </w:tcBorders>
            <w:shd w:val="clear" w:color="000000" w:fill="FFFFFF"/>
            <w:vAlign w:val="bottom"/>
            <w:hideMark/>
          </w:tcPr>
          <w:p w14:paraId="17EF1D3B"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-2</w:t>
            </w:r>
          </w:p>
        </w:tc>
        <w:tc>
          <w:tcPr>
            <w:tcW w:w="1000" w:type="dxa"/>
            <w:tcBorders>
              <w:top w:val="nil"/>
              <w:left w:val="nil"/>
              <w:bottom w:val="single" w:sz="4" w:space="0" w:color="ADD5EA"/>
              <w:right w:val="nil"/>
            </w:tcBorders>
            <w:shd w:val="clear" w:color="000000" w:fill="FFFFFF"/>
            <w:vAlign w:val="bottom"/>
            <w:hideMark/>
          </w:tcPr>
          <w:p w14:paraId="4B412345"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-41</w:t>
            </w:r>
          </w:p>
        </w:tc>
        <w:tc>
          <w:tcPr>
            <w:tcW w:w="940" w:type="dxa"/>
            <w:tcBorders>
              <w:top w:val="nil"/>
              <w:left w:val="nil"/>
              <w:bottom w:val="single" w:sz="4" w:space="0" w:color="ADD5EA"/>
              <w:right w:val="nil"/>
            </w:tcBorders>
            <w:shd w:val="clear" w:color="000000" w:fill="FFFFFF"/>
            <w:vAlign w:val="bottom"/>
            <w:hideMark/>
          </w:tcPr>
          <w:p w14:paraId="1CF2E8CF"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40</w:t>
            </w:r>
          </w:p>
        </w:tc>
        <w:tc>
          <w:tcPr>
            <w:tcW w:w="1020" w:type="dxa"/>
            <w:tcBorders>
              <w:top w:val="nil"/>
              <w:left w:val="nil"/>
              <w:bottom w:val="single" w:sz="4" w:space="0" w:color="ADD5EA"/>
              <w:right w:val="nil"/>
            </w:tcBorders>
            <w:shd w:val="clear" w:color="000000" w:fill="FFFFFF"/>
            <w:vAlign w:val="bottom"/>
            <w:hideMark/>
          </w:tcPr>
          <w:p w14:paraId="2DD9FF67"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-67</w:t>
            </w:r>
          </w:p>
        </w:tc>
      </w:tr>
      <w:tr w:rsidR="005345F4" w:rsidRPr="00261F4B" w14:paraId="2EC2E78C" w14:textId="77777777" w:rsidTr="00AE4213">
        <w:trPr>
          <w:trHeight w:val="315"/>
        </w:trPr>
        <w:tc>
          <w:tcPr>
            <w:tcW w:w="1360" w:type="dxa"/>
            <w:tcBorders>
              <w:top w:val="nil"/>
              <w:left w:val="nil"/>
              <w:bottom w:val="single" w:sz="4" w:space="0" w:color="ADD5EA"/>
              <w:right w:val="nil"/>
            </w:tcBorders>
            <w:shd w:val="clear" w:color="000000" w:fill="FFFFFF"/>
            <w:vAlign w:val="bottom"/>
            <w:hideMark/>
          </w:tcPr>
          <w:p w14:paraId="57E4C590" w14:textId="77777777" w:rsidR="00D9434E" w:rsidRPr="00261F4B" w:rsidRDefault="00D9434E" w:rsidP="004D65FE">
            <w:pPr>
              <w:tabs>
                <w:tab w:val="clear" w:pos="567"/>
              </w:tabs>
              <w:spacing w:before="0" w:line="240" w:lineRule="auto"/>
              <w:rPr>
                <w:rFonts w:eastAsia="Times New Roman" w:cs="Open Sans Light"/>
                <w:sz w:val="16"/>
                <w:szCs w:val="16"/>
                <w:lang w:eastAsia="en-AU"/>
              </w:rPr>
            </w:pPr>
            <w:r w:rsidRPr="00261F4B">
              <w:rPr>
                <w:rFonts w:eastAsia="Times New Roman" w:cs="Open Sans Light"/>
                <w:sz w:val="16"/>
                <w:szCs w:val="16"/>
                <w:lang w:eastAsia="en-AU"/>
              </w:rPr>
              <w:t>$ per capita</w:t>
            </w:r>
          </w:p>
        </w:tc>
        <w:tc>
          <w:tcPr>
            <w:tcW w:w="1020" w:type="dxa"/>
            <w:tcBorders>
              <w:top w:val="nil"/>
              <w:left w:val="nil"/>
              <w:bottom w:val="single" w:sz="4" w:space="0" w:color="ADD5EA"/>
              <w:right w:val="nil"/>
            </w:tcBorders>
            <w:shd w:val="clear" w:color="000000" w:fill="FFFFFF"/>
            <w:vAlign w:val="bottom"/>
            <w:hideMark/>
          </w:tcPr>
          <w:p w14:paraId="7E7C1387"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-1</w:t>
            </w:r>
          </w:p>
        </w:tc>
        <w:tc>
          <w:tcPr>
            <w:tcW w:w="880" w:type="dxa"/>
            <w:tcBorders>
              <w:top w:val="nil"/>
              <w:left w:val="nil"/>
              <w:bottom w:val="single" w:sz="4" w:space="0" w:color="ADD5EA"/>
              <w:right w:val="nil"/>
            </w:tcBorders>
            <w:shd w:val="clear" w:color="000000" w:fill="FFFFFF"/>
            <w:vAlign w:val="bottom"/>
            <w:hideMark/>
          </w:tcPr>
          <w:p w14:paraId="790629A9"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-1</w:t>
            </w:r>
          </w:p>
        </w:tc>
        <w:tc>
          <w:tcPr>
            <w:tcW w:w="940" w:type="dxa"/>
            <w:tcBorders>
              <w:top w:val="nil"/>
              <w:left w:val="nil"/>
              <w:bottom w:val="single" w:sz="4" w:space="0" w:color="ADD5EA"/>
              <w:right w:val="nil"/>
            </w:tcBorders>
            <w:shd w:val="clear" w:color="000000" w:fill="FFFFFF"/>
            <w:vAlign w:val="bottom"/>
            <w:hideMark/>
          </w:tcPr>
          <w:p w14:paraId="7C792FE7"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-1</w:t>
            </w:r>
          </w:p>
        </w:tc>
        <w:tc>
          <w:tcPr>
            <w:tcW w:w="940" w:type="dxa"/>
            <w:tcBorders>
              <w:top w:val="nil"/>
              <w:left w:val="nil"/>
              <w:bottom w:val="single" w:sz="4" w:space="0" w:color="ADD5EA"/>
              <w:right w:val="nil"/>
            </w:tcBorders>
            <w:shd w:val="clear" w:color="000000" w:fill="FFFFFF"/>
            <w:vAlign w:val="bottom"/>
            <w:hideMark/>
          </w:tcPr>
          <w:p w14:paraId="502FA654"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35</w:t>
            </w:r>
          </w:p>
        </w:tc>
        <w:tc>
          <w:tcPr>
            <w:tcW w:w="880" w:type="dxa"/>
            <w:tcBorders>
              <w:top w:val="nil"/>
              <w:left w:val="nil"/>
              <w:bottom w:val="single" w:sz="4" w:space="0" w:color="ADD5EA"/>
              <w:right w:val="nil"/>
            </w:tcBorders>
            <w:shd w:val="clear" w:color="000000" w:fill="FFFFFF"/>
            <w:vAlign w:val="bottom"/>
            <w:hideMark/>
          </w:tcPr>
          <w:p w14:paraId="4F0CD6A1"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-1</w:t>
            </w:r>
          </w:p>
        </w:tc>
        <w:tc>
          <w:tcPr>
            <w:tcW w:w="1000" w:type="dxa"/>
            <w:tcBorders>
              <w:top w:val="nil"/>
              <w:left w:val="nil"/>
              <w:bottom w:val="single" w:sz="4" w:space="0" w:color="ADD5EA"/>
              <w:right w:val="nil"/>
            </w:tcBorders>
            <w:shd w:val="clear" w:color="000000" w:fill="FFFFFF"/>
            <w:vAlign w:val="bottom"/>
            <w:hideMark/>
          </w:tcPr>
          <w:p w14:paraId="3A92D0D4"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-77</w:t>
            </w:r>
          </w:p>
        </w:tc>
        <w:tc>
          <w:tcPr>
            <w:tcW w:w="940" w:type="dxa"/>
            <w:tcBorders>
              <w:top w:val="nil"/>
              <w:left w:val="nil"/>
              <w:bottom w:val="single" w:sz="4" w:space="0" w:color="ADD5EA"/>
              <w:right w:val="nil"/>
            </w:tcBorders>
            <w:shd w:val="clear" w:color="000000" w:fill="FFFFFF"/>
            <w:vAlign w:val="bottom"/>
            <w:hideMark/>
          </w:tcPr>
          <w:p w14:paraId="2D6235E6"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95</w:t>
            </w:r>
          </w:p>
        </w:tc>
        <w:tc>
          <w:tcPr>
            <w:tcW w:w="1020" w:type="dxa"/>
            <w:tcBorders>
              <w:top w:val="nil"/>
              <w:left w:val="nil"/>
              <w:bottom w:val="single" w:sz="4" w:space="0" w:color="ADD5EA"/>
              <w:right w:val="nil"/>
            </w:tcBorders>
            <w:shd w:val="clear" w:color="000000" w:fill="FFFFFF"/>
            <w:vAlign w:val="bottom"/>
            <w:hideMark/>
          </w:tcPr>
          <w:p w14:paraId="2BBA8D13" w14:textId="77777777" w:rsidR="00D9434E" w:rsidRPr="00261F4B" w:rsidRDefault="00D9434E" w:rsidP="004D65FE">
            <w:pPr>
              <w:tabs>
                <w:tab w:val="clear" w:pos="567"/>
              </w:tabs>
              <w:spacing w:before="0" w:line="240" w:lineRule="auto"/>
              <w:jc w:val="right"/>
              <w:rPr>
                <w:rFonts w:eastAsia="Times New Roman" w:cs="Open Sans Light"/>
                <w:sz w:val="16"/>
                <w:szCs w:val="16"/>
                <w:lang w:eastAsia="en-AU"/>
              </w:rPr>
            </w:pPr>
            <w:r w:rsidRPr="00261F4B">
              <w:rPr>
                <w:rFonts w:eastAsia="Times New Roman" w:cs="Open Sans Light"/>
                <w:sz w:val="16"/>
                <w:szCs w:val="16"/>
                <w:lang w:eastAsia="en-AU"/>
              </w:rPr>
              <w:t>-271</w:t>
            </w:r>
          </w:p>
        </w:tc>
      </w:tr>
    </w:tbl>
    <w:p w14:paraId="0639B0F1" w14:textId="77777777" w:rsidR="00D9434E" w:rsidRPr="004C377A" w:rsidRDefault="00D9434E" w:rsidP="00D9434E">
      <w:pPr>
        <w:pStyle w:val="CGCTablenote"/>
      </w:pPr>
      <w:r w:rsidRPr="004C377A">
        <w:t xml:space="preserve">Note: </w:t>
      </w:r>
      <w:r w:rsidRPr="004C377A">
        <w:tab/>
        <w:t xml:space="preserve">This assessment is based on a zero standard, with assessed costs summing to zero. Therefore this table represents both the assessed costs and the difference from EPC. </w:t>
      </w:r>
    </w:p>
    <w:p w14:paraId="6E45C12D" w14:textId="2C4BEEE5" w:rsidR="00D9434E" w:rsidRPr="00A119FA" w:rsidRDefault="00D9434E" w:rsidP="00F47EC7">
      <w:pPr>
        <w:pStyle w:val="CGCParaNumber"/>
        <w:rPr>
          <w:rStyle w:val="normaltextrun"/>
        </w:rPr>
      </w:pPr>
      <w:r>
        <w:rPr>
          <w:rStyle w:val="normaltextrun"/>
          <w:rFonts w:cs="Open Sans Light"/>
          <w:color w:val="000000"/>
          <w:shd w:val="clear" w:color="auto" w:fill="FFFFFF"/>
        </w:rPr>
        <w:t>Western Australia proposed that the Commission use Federal parliamentary expenses on interstate travel fares to measure the relative cost of interstate transport. The Western</w:t>
      </w:r>
      <w:r w:rsidR="00500D21">
        <w:rPr>
          <w:rStyle w:val="normaltextrun"/>
          <w:rFonts w:cs="Open Sans Light"/>
          <w:color w:val="000000"/>
          <w:shd w:val="clear" w:color="auto" w:fill="FFFFFF"/>
        </w:rPr>
        <w:t> </w:t>
      </w:r>
      <w:r>
        <w:rPr>
          <w:rStyle w:val="normaltextrun"/>
          <w:rFonts w:cs="Open Sans Light"/>
          <w:color w:val="000000"/>
          <w:shd w:val="clear" w:color="auto" w:fill="FFFFFF"/>
        </w:rPr>
        <w:t>Australian Auditor-General produced a 2015 report into official public sector air travel which estimated that the cost of all flights to the Western Australian government in 2013-14 was $16.5 million, of which less than one third were interstate flights. With Western Australian spending less than $2 per capita on interstate flights, this assessment is unlikely to be material.</w:t>
      </w:r>
    </w:p>
    <w:p w14:paraId="0510BAF6" w14:textId="77777777" w:rsidR="00D9434E" w:rsidRPr="00774E21" w:rsidRDefault="00D9434E" w:rsidP="00F47EC7">
      <w:pPr>
        <w:pStyle w:val="CGCParaNumber"/>
        <w:rPr>
          <w:rStyle w:val="normaltextrun"/>
        </w:rPr>
      </w:pPr>
      <w:r w:rsidRPr="00967814">
        <w:rPr>
          <w:rStyle w:val="normaltextrun"/>
        </w:rPr>
        <w:t xml:space="preserve">Western Australia also suggested the Commission could use Rawlinsons’ construction costs as a proxy for the cost of goods and services. In 2018-19, Rawlinsons’ construction costs in Darwin </w:t>
      </w:r>
      <w:r>
        <w:rPr>
          <w:rStyle w:val="normaltextrun"/>
        </w:rPr>
        <w:t xml:space="preserve">were </w:t>
      </w:r>
      <w:r w:rsidRPr="00967814">
        <w:rPr>
          <w:rStyle w:val="normaltextrun"/>
        </w:rPr>
        <w:t xml:space="preserve">about </w:t>
      </w:r>
      <w:r>
        <w:rPr>
          <w:rStyle w:val="normaltextrun"/>
        </w:rPr>
        <w:t>20</w:t>
      </w:r>
      <w:r w:rsidRPr="00967814">
        <w:rPr>
          <w:rStyle w:val="normaltextrun"/>
        </w:rPr>
        <w:t xml:space="preserve">% above </w:t>
      </w:r>
      <w:r>
        <w:rPr>
          <w:rStyle w:val="normaltextrun"/>
        </w:rPr>
        <w:t xml:space="preserve">the all capital city </w:t>
      </w:r>
      <w:r w:rsidRPr="00967814">
        <w:rPr>
          <w:rStyle w:val="normaltextrun"/>
        </w:rPr>
        <w:t>average</w:t>
      </w:r>
      <w:r>
        <w:rPr>
          <w:rStyle w:val="normaltextrun"/>
        </w:rPr>
        <w:t xml:space="preserve">, costs were 4-5% above average in Sydney, Perth and Canberra, and 4-5% below average in </w:t>
      </w:r>
      <w:r w:rsidRPr="00967814">
        <w:rPr>
          <w:rStyle w:val="normaltextrun"/>
        </w:rPr>
        <w:t>Melbourne and Brisbane</w:t>
      </w:r>
      <w:r>
        <w:rPr>
          <w:rStyle w:val="normaltextrun"/>
        </w:rPr>
        <w:t>. Adelaide and Hobart costs were slightly above average</w:t>
      </w:r>
      <w:r w:rsidRPr="00967814">
        <w:rPr>
          <w:rStyle w:val="normaltextrun"/>
        </w:rPr>
        <w:t>. The Commission is not convinced that this pattern reflects costs other than construction costs</w:t>
      </w:r>
      <w:r>
        <w:rPr>
          <w:rStyle w:val="normaltextrun"/>
        </w:rPr>
        <w:t>.</w:t>
      </w:r>
    </w:p>
    <w:p w14:paraId="6DE11A26" w14:textId="77777777" w:rsidR="00D9434E" w:rsidRPr="004C377A" w:rsidRDefault="00D9434E" w:rsidP="00F47EC7">
      <w:pPr>
        <w:pStyle w:val="CGCParaNumber"/>
      </w:pPr>
      <w:r w:rsidRPr="004C377A">
        <w:t>The Commission concludes that the direction of any adjustment for States other than Western Australia is not self-evident. The Commission acknowledges that interstate non-wage costs are likely to increase Western Australia’s costs in a way that is not assessed in other categories. However</w:t>
      </w:r>
      <w:r>
        <w:t>,</w:t>
      </w:r>
      <w:r w:rsidRPr="004C377A">
        <w:t xml:space="preserve"> it is not clear that such an adjustment would be material. In the 2019</w:t>
      </w:r>
      <w:r>
        <w:t> </w:t>
      </w:r>
      <w:r w:rsidRPr="004C377A">
        <w:t xml:space="preserve">Update, the adjustment made for Western Australia was only marginally material. The Commission has decided to cease the assessment of interstate non-wage costs on the grounds that it is unreliable.  </w:t>
      </w:r>
    </w:p>
    <w:p w14:paraId="6FB51924" w14:textId="1CF49CD3" w:rsidR="00D9434E" w:rsidRPr="004C377A" w:rsidRDefault="00D9434E" w:rsidP="00D9434E">
      <w:pPr>
        <w:pStyle w:val="Heading3"/>
      </w:pPr>
      <w:bookmarkStart w:id="592" w:name="_Toc7536884"/>
      <w:bookmarkStart w:id="593" w:name="_Toc20906132"/>
      <w:bookmarkStart w:id="594" w:name="_Toc20906151"/>
      <w:bookmarkStart w:id="595" w:name="_Toc23243224"/>
      <w:bookmarkStart w:id="596" w:name="_Toc27727771"/>
      <w:r w:rsidRPr="004C377A">
        <w:lastRenderedPageBreak/>
        <w:t>Other issues considered by the Commission</w:t>
      </w:r>
      <w:bookmarkEnd w:id="592"/>
      <w:bookmarkEnd w:id="593"/>
      <w:bookmarkEnd w:id="594"/>
      <w:bookmarkEnd w:id="595"/>
      <w:bookmarkEnd w:id="596"/>
    </w:p>
    <w:p w14:paraId="1192654E" w14:textId="77777777" w:rsidR="00D9434E" w:rsidRPr="004C377A" w:rsidRDefault="00D9434E" w:rsidP="00F47EC7">
      <w:pPr>
        <w:pStyle w:val="CGCParaNumber"/>
      </w:pPr>
      <w:r w:rsidRPr="004C377A">
        <w:t>There were a number of other issues considered by the Commission, largely in response to concerns raised by States. These issues related to the method for measuring existing disabilities or requests for new disabilities that were not included in the 2015 Review assessment. The main reasons for not assessing certain disabilities identified by States are:</w:t>
      </w:r>
    </w:p>
    <w:p w14:paraId="3845121D" w14:textId="77777777" w:rsidR="00D9434E" w:rsidRPr="004C377A" w:rsidRDefault="00D9434E" w:rsidP="00D9434E">
      <w:pPr>
        <w:pStyle w:val="CGCBullet1"/>
      </w:pPr>
      <w:r w:rsidRPr="004C377A">
        <w:t xml:space="preserve">the conceptual case for a disability has not been established </w:t>
      </w:r>
    </w:p>
    <w:p w14:paraId="4CD4C5E4" w14:textId="77777777" w:rsidR="00D9434E" w:rsidRPr="004C377A" w:rsidRDefault="00D9434E" w:rsidP="00D9434E">
      <w:pPr>
        <w:pStyle w:val="CGCBullet1"/>
      </w:pPr>
      <w:r w:rsidRPr="004C377A">
        <w:t>an assessment would not be material, that is, redistribute more than $35 per capita for any State</w:t>
      </w:r>
      <w:r w:rsidRPr="004C377A">
        <w:rPr>
          <w:rStyle w:val="FootnoteReference"/>
        </w:rPr>
        <w:footnoteReference w:id="130"/>
      </w:r>
    </w:p>
    <w:p w14:paraId="19B89020" w14:textId="77777777" w:rsidR="00D9434E" w:rsidRPr="004C377A" w:rsidRDefault="00D9434E" w:rsidP="00D9434E">
      <w:pPr>
        <w:pStyle w:val="CGCBullet1"/>
      </w:pPr>
      <w:r w:rsidRPr="004C377A">
        <w:t>data are not available to make a reliable assessment.</w:t>
      </w:r>
    </w:p>
    <w:p w14:paraId="587DDC5D" w14:textId="77777777" w:rsidR="00D9434E" w:rsidRPr="004C377A" w:rsidRDefault="00D9434E" w:rsidP="00D9434E">
      <w:pPr>
        <w:pStyle w:val="Heading4"/>
      </w:pPr>
      <w:bookmarkStart w:id="597" w:name="_Toc532376758"/>
      <w:bookmarkStart w:id="598" w:name="_Toc7536886"/>
      <w:bookmarkStart w:id="599" w:name="_Toc20906133"/>
      <w:bookmarkStart w:id="600" w:name="_Toc20906152"/>
      <w:bookmarkStart w:id="601" w:name="_Toc23243225"/>
      <w:bookmarkStart w:id="602" w:name="_Toc27727772"/>
      <w:r w:rsidRPr="004C377A">
        <w:t>Brownfields development</w:t>
      </w:r>
      <w:bookmarkEnd w:id="597"/>
      <w:bookmarkEnd w:id="598"/>
      <w:bookmarkEnd w:id="599"/>
      <w:bookmarkEnd w:id="600"/>
      <w:bookmarkEnd w:id="601"/>
      <w:bookmarkEnd w:id="602"/>
    </w:p>
    <w:p w14:paraId="6F7BB339" w14:textId="77777777" w:rsidR="00D9434E" w:rsidRPr="004C377A" w:rsidRDefault="00D9434E" w:rsidP="00F47EC7">
      <w:pPr>
        <w:pStyle w:val="CGCParaNumber"/>
      </w:pPr>
      <w:r w:rsidRPr="004C377A">
        <w:t xml:space="preserve">New South Wales and Victoria argued that much of their population growth is occurring within urban areas, as industrial land is converted to residential uses and low density residential land is converted to higher density. They argue that the cost of retrofitting infrastructure in these areas is significantly more expensive than installing infrastructure in greenfields developments. </w:t>
      </w:r>
    </w:p>
    <w:p w14:paraId="779790EF" w14:textId="77777777" w:rsidR="00D9434E" w:rsidRDefault="00D9434E" w:rsidP="00F47EC7">
      <w:pPr>
        <w:pStyle w:val="CGCParaNumber"/>
      </w:pPr>
      <w:bookmarkStart w:id="603" w:name="_Ref525640052"/>
      <w:r w:rsidRPr="004C377A">
        <w:t>Based on the evidence provided during the State visits, the case for higher cost infrastructure in brownfields developments appears strongest for schools. Victoria stated that it constructs about 12 schools per year, and that 80% of those</w:t>
      </w:r>
      <w:r>
        <w:t xml:space="preserve"> are greenfields schools and that an average greenfields primary school costs $15 million while a comparable brownfields school would cost about $60 million. On these numbers, Victoria spends $108 million per year ($16 per capita) on the additional brownfields costs that are not captured by the Commission’s current assessment. It seems unlikely that such spending would produce a material assessment. However, it is worth considering whether these assumptions are conservative or exaggerated. </w:t>
      </w:r>
    </w:p>
    <w:bookmarkEnd w:id="603"/>
    <w:p w14:paraId="0CA00B27" w14:textId="77777777" w:rsidR="00D9434E" w:rsidRDefault="00D9434E" w:rsidP="00F47EC7">
      <w:pPr>
        <w:pStyle w:val="CGCParaNumber"/>
      </w:pPr>
      <w:r>
        <w:t xml:space="preserve">Large population growth in brownfields areas is likely to require new schools to be constructed. There is also likely to be infrastructure required for some other services, although not many. There are likely to be some services (for example utilities) which would require new infrastructure in greenfields areas, but existing infrastructure can be used in brownfields areas, partially offsetting the effect of a brownfields assessment. </w:t>
      </w:r>
    </w:p>
    <w:p w14:paraId="72D8810D" w14:textId="77777777" w:rsidR="00D9434E" w:rsidRPr="004C377A" w:rsidRDefault="00D9434E" w:rsidP="00F47EC7">
      <w:pPr>
        <w:pStyle w:val="CGCParaNumber"/>
      </w:pPr>
      <w:r>
        <w:t xml:space="preserve">There are likely to be high </w:t>
      </w:r>
      <w:r w:rsidRPr="004C377A">
        <w:t xml:space="preserve">costs of brownfields development related to transport. Melbourne is currently building a new underground rail system. The proposed transport assessment recognises that cities with more densely settled areas have higher costs. </w:t>
      </w:r>
    </w:p>
    <w:p w14:paraId="76DBBE2A" w14:textId="77777777" w:rsidR="00D9434E" w:rsidRPr="004C377A" w:rsidRDefault="00D9434E" w:rsidP="00F47EC7">
      <w:pPr>
        <w:pStyle w:val="CGCParaNumber"/>
      </w:pPr>
      <w:r w:rsidRPr="004C377A">
        <w:t xml:space="preserve">Overall, the Commission considers that the conceptual case for a brownfields development assessment is strong. However, on the available evidence, an assessment of non-transport effects is unlikely to be material. Related, although different, disabilities relating to urban complexity are discussed in Chapter 21 Transport. </w:t>
      </w:r>
    </w:p>
    <w:p w14:paraId="671B4791" w14:textId="7AA7B593" w:rsidR="00D9434E" w:rsidRPr="004C377A" w:rsidRDefault="00D9434E" w:rsidP="00D9434E">
      <w:pPr>
        <w:pStyle w:val="Heading3"/>
      </w:pPr>
      <w:bookmarkStart w:id="604" w:name="_Toc7536888"/>
      <w:bookmarkStart w:id="605" w:name="_Toc20906134"/>
      <w:bookmarkStart w:id="606" w:name="_Toc20906153"/>
      <w:bookmarkStart w:id="607" w:name="_Toc23243226"/>
      <w:bookmarkStart w:id="608" w:name="_Toc27727773"/>
      <w:r>
        <w:lastRenderedPageBreak/>
        <w:t>E</w:t>
      </w:r>
      <w:r w:rsidRPr="004C377A">
        <w:t>ffect on the GST distribution</w:t>
      </w:r>
      <w:bookmarkEnd w:id="604"/>
      <w:bookmarkEnd w:id="605"/>
      <w:bookmarkEnd w:id="606"/>
      <w:bookmarkEnd w:id="607"/>
      <w:bookmarkEnd w:id="608"/>
    </w:p>
    <w:p w14:paraId="1C957EB0" w14:textId="537C814D" w:rsidR="00D9434E" w:rsidRPr="004C377A" w:rsidRDefault="00952095" w:rsidP="00F47EC7">
      <w:pPr>
        <w:pStyle w:val="CGCParaNumber"/>
      </w:pPr>
      <w:r>
        <w:fldChar w:fldCharType="begin"/>
      </w:r>
      <w:r>
        <w:instrText xml:space="preserve"> REF _Ref32846091 \h </w:instrText>
      </w:r>
      <w:r>
        <w:fldChar w:fldCharType="separate"/>
      </w:r>
      <w:r w:rsidR="007F721A" w:rsidRPr="004C377A">
        <w:t xml:space="preserve">Table </w:t>
      </w:r>
      <w:r w:rsidR="007F721A">
        <w:t>28-</w:t>
      </w:r>
      <w:r w:rsidR="007F721A">
        <w:rPr>
          <w:noProof/>
        </w:rPr>
        <w:t>7</w:t>
      </w:r>
      <w:r>
        <w:fldChar w:fldCharType="end"/>
      </w:r>
      <w:r w:rsidR="00D9434E" w:rsidRPr="004C377A">
        <w:t xml:space="preserve"> shows the extent to which </w:t>
      </w:r>
      <w:r w:rsidR="00D9434E" w:rsidRPr="00053CAF">
        <w:t xml:space="preserve">population dispersion, including </w:t>
      </w:r>
      <w:r w:rsidR="00D9434E" w:rsidRPr="004C377A">
        <w:t>the regional costs</w:t>
      </w:r>
      <w:r w:rsidR="00D9434E" w:rsidRPr="00053CAF">
        <w:t xml:space="preserve"> and </w:t>
      </w:r>
      <w:r w:rsidR="00D9434E">
        <w:t xml:space="preserve">SDS </w:t>
      </w:r>
      <w:r w:rsidR="00D9434E" w:rsidRPr="00053CAF">
        <w:t>assessments, and the use of remoteness as part of the socio</w:t>
      </w:r>
      <w:r w:rsidR="00D9434E" w:rsidRPr="00053CAF">
        <w:noBreakHyphen/>
        <w:t>demographic composition assessments</w:t>
      </w:r>
      <w:r w:rsidR="00D9434E">
        <w:t xml:space="preserve"> </w:t>
      </w:r>
      <w:r w:rsidR="00D9434E" w:rsidRPr="004C377A">
        <w:t>lead to a redistribution that differs from an equal per capital (EPC) assessment. States with a positive redistribution are assessed to have above average spending requirements and States with a negative redistribution are assessed to have below average spending requirements. In per capita terms, the largest redistributions affect the Northern</w:t>
      </w:r>
      <w:r w:rsidR="000A2DF9">
        <w:t> </w:t>
      </w:r>
      <w:r w:rsidR="00D9434E" w:rsidRPr="004C377A">
        <w:t>Territory</w:t>
      </w:r>
      <w:r w:rsidR="00D9434E">
        <w:t>, Tasmania</w:t>
      </w:r>
      <w:r w:rsidR="00D9434E" w:rsidRPr="004C377A">
        <w:t xml:space="preserve"> and Western Australia, with a larger share of their population in higher cost remote areas, and the ACT and Victoria, with a smaller share of their population in such areas.</w:t>
      </w:r>
    </w:p>
    <w:p w14:paraId="2E29E6D4" w14:textId="33B95202" w:rsidR="00D9434E" w:rsidRDefault="00D9434E" w:rsidP="00D9434E">
      <w:pPr>
        <w:pStyle w:val="Caption"/>
      </w:pPr>
      <w:bookmarkStart w:id="609" w:name="_Ref32846091"/>
      <w:r w:rsidRPr="004C377A">
        <w:t xml:space="preserve">Table </w:t>
      </w:r>
      <w:r>
        <w:t>28-</w:t>
      </w:r>
      <w:fldSimple w:instr=" SEQ Table \* ARABIC ">
        <w:r w:rsidR="007F721A">
          <w:rPr>
            <w:noProof/>
          </w:rPr>
          <w:t>7</w:t>
        </w:r>
      </w:fldSimple>
      <w:bookmarkEnd w:id="609"/>
      <w:r w:rsidRPr="004C377A">
        <w:tab/>
        <w:t>Redistribution from an EPC assessment, all regional influences, 20</w:t>
      </w:r>
      <w:r>
        <w:t>20-21</w:t>
      </w:r>
    </w:p>
    <w:tbl>
      <w:tblPr>
        <w:tblW w:w="8979" w:type="dxa"/>
        <w:tblBorders>
          <w:top w:val="single" w:sz="4" w:space="0" w:color="ADD5EA"/>
          <w:bottom w:val="single" w:sz="4" w:space="0" w:color="ADD5EA"/>
          <w:insideH w:val="single" w:sz="4" w:space="0" w:color="ADD5EA"/>
        </w:tblBorders>
        <w:tblCellMar>
          <w:left w:w="0" w:type="dxa"/>
          <w:right w:w="28" w:type="dxa"/>
        </w:tblCellMar>
        <w:tblLook w:val="04A0" w:firstRow="1" w:lastRow="0" w:firstColumn="1" w:lastColumn="0" w:noHBand="0" w:noVBand="1"/>
      </w:tblPr>
      <w:tblGrid>
        <w:gridCol w:w="2462"/>
        <w:gridCol w:w="825"/>
        <w:gridCol w:w="825"/>
        <w:gridCol w:w="667"/>
        <w:gridCol w:w="667"/>
        <w:gridCol w:w="568"/>
        <w:gridCol w:w="667"/>
        <w:gridCol w:w="727"/>
        <w:gridCol w:w="766"/>
        <w:gridCol w:w="805"/>
      </w:tblGrid>
      <w:tr w:rsidR="00D9434E" w:rsidRPr="00F83CC8" w14:paraId="7FB41975" w14:textId="77777777" w:rsidTr="00893837">
        <w:trPr>
          <w:trHeight w:val="375"/>
        </w:trPr>
        <w:tc>
          <w:tcPr>
            <w:tcW w:w="2477" w:type="dxa"/>
            <w:shd w:val="clear" w:color="000000" w:fill="006991"/>
            <w:vAlign w:val="center"/>
            <w:hideMark/>
          </w:tcPr>
          <w:p w14:paraId="18891208"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3CC8">
              <w:rPr>
                <w:rFonts w:ascii="Open Sans SemiBold" w:eastAsia="Times New Roman" w:hAnsi="Open Sans SemiBold" w:cs="Open Sans SemiBold"/>
                <w:color w:val="FFFFFF"/>
                <w:sz w:val="16"/>
                <w:szCs w:val="16"/>
                <w:lang w:eastAsia="en-AU"/>
              </w:rPr>
              <w:t> </w:t>
            </w:r>
          </w:p>
        </w:tc>
        <w:tc>
          <w:tcPr>
            <w:tcW w:w="824" w:type="dxa"/>
            <w:shd w:val="clear" w:color="000000" w:fill="006991"/>
            <w:vAlign w:val="center"/>
            <w:hideMark/>
          </w:tcPr>
          <w:p w14:paraId="5D858D87"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3CC8">
              <w:rPr>
                <w:rFonts w:ascii="Open Sans SemiBold" w:eastAsia="Times New Roman" w:hAnsi="Open Sans SemiBold" w:cs="Open Sans SemiBold"/>
                <w:color w:val="FFFFFF"/>
                <w:sz w:val="16"/>
                <w:szCs w:val="16"/>
                <w:lang w:eastAsia="en-AU"/>
              </w:rPr>
              <w:t>NSW</w:t>
            </w:r>
          </w:p>
        </w:tc>
        <w:tc>
          <w:tcPr>
            <w:tcW w:w="824" w:type="dxa"/>
            <w:shd w:val="clear" w:color="000000" w:fill="006991"/>
            <w:vAlign w:val="center"/>
            <w:hideMark/>
          </w:tcPr>
          <w:p w14:paraId="67935EF7"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3CC8">
              <w:rPr>
                <w:rFonts w:ascii="Open Sans SemiBold" w:eastAsia="Times New Roman" w:hAnsi="Open Sans SemiBold" w:cs="Open Sans SemiBold"/>
                <w:color w:val="FFFFFF"/>
                <w:sz w:val="16"/>
                <w:szCs w:val="16"/>
                <w:lang w:eastAsia="en-AU"/>
              </w:rPr>
              <w:t>Vic</w:t>
            </w:r>
          </w:p>
        </w:tc>
        <w:tc>
          <w:tcPr>
            <w:tcW w:w="665" w:type="dxa"/>
            <w:shd w:val="clear" w:color="000000" w:fill="006991"/>
            <w:vAlign w:val="center"/>
            <w:hideMark/>
          </w:tcPr>
          <w:p w14:paraId="1BAF0B4A"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3CC8">
              <w:rPr>
                <w:rFonts w:ascii="Open Sans SemiBold" w:eastAsia="Times New Roman" w:hAnsi="Open Sans SemiBold" w:cs="Open Sans SemiBold"/>
                <w:color w:val="FFFFFF"/>
                <w:sz w:val="16"/>
                <w:szCs w:val="16"/>
                <w:lang w:eastAsia="en-AU"/>
              </w:rPr>
              <w:t>Qld</w:t>
            </w:r>
          </w:p>
        </w:tc>
        <w:tc>
          <w:tcPr>
            <w:tcW w:w="665" w:type="dxa"/>
            <w:shd w:val="clear" w:color="000000" w:fill="006991"/>
            <w:vAlign w:val="center"/>
            <w:hideMark/>
          </w:tcPr>
          <w:p w14:paraId="2550DC64"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3CC8">
              <w:rPr>
                <w:rFonts w:ascii="Open Sans SemiBold" w:eastAsia="Times New Roman" w:hAnsi="Open Sans SemiBold" w:cs="Open Sans SemiBold"/>
                <w:color w:val="FFFFFF"/>
                <w:sz w:val="16"/>
                <w:szCs w:val="16"/>
                <w:lang w:eastAsia="en-AU"/>
              </w:rPr>
              <w:t>WA</w:t>
            </w:r>
          </w:p>
        </w:tc>
        <w:tc>
          <w:tcPr>
            <w:tcW w:w="565" w:type="dxa"/>
            <w:shd w:val="clear" w:color="000000" w:fill="006991"/>
            <w:vAlign w:val="center"/>
            <w:hideMark/>
          </w:tcPr>
          <w:p w14:paraId="2A23BF3F"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3CC8">
              <w:rPr>
                <w:rFonts w:ascii="Open Sans SemiBold" w:eastAsia="Times New Roman" w:hAnsi="Open Sans SemiBold" w:cs="Open Sans SemiBold"/>
                <w:color w:val="FFFFFF"/>
                <w:sz w:val="16"/>
                <w:szCs w:val="16"/>
                <w:lang w:eastAsia="en-AU"/>
              </w:rPr>
              <w:t>SA</w:t>
            </w:r>
          </w:p>
        </w:tc>
        <w:tc>
          <w:tcPr>
            <w:tcW w:w="665" w:type="dxa"/>
            <w:shd w:val="clear" w:color="000000" w:fill="006991"/>
            <w:vAlign w:val="center"/>
            <w:hideMark/>
          </w:tcPr>
          <w:p w14:paraId="386CA256"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3CC8">
              <w:rPr>
                <w:rFonts w:ascii="Open Sans SemiBold" w:eastAsia="Times New Roman" w:hAnsi="Open Sans SemiBold" w:cs="Open Sans SemiBold"/>
                <w:color w:val="FFFFFF"/>
                <w:sz w:val="16"/>
                <w:szCs w:val="16"/>
                <w:lang w:eastAsia="en-AU"/>
              </w:rPr>
              <w:t>Tas</w:t>
            </w:r>
          </w:p>
        </w:tc>
        <w:tc>
          <w:tcPr>
            <w:tcW w:w="725" w:type="dxa"/>
            <w:shd w:val="clear" w:color="000000" w:fill="006991"/>
            <w:vAlign w:val="center"/>
            <w:hideMark/>
          </w:tcPr>
          <w:p w14:paraId="3A9C9DE6"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3CC8">
              <w:rPr>
                <w:rFonts w:ascii="Open Sans SemiBold" w:eastAsia="Times New Roman" w:hAnsi="Open Sans SemiBold" w:cs="Open Sans SemiBold"/>
                <w:color w:val="FFFFFF"/>
                <w:sz w:val="16"/>
                <w:szCs w:val="16"/>
                <w:lang w:eastAsia="en-AU"/>
              </w:rPr>
              <w:t>ACT</w:t>
            </w:r>
          </w:p>
        </w:tc>
        <w:tc>
          <w:tcPr>
            <w:tcW w:w="765" w:type="dxa"/>
            <w:shd w:val="clear" w:color="000000" w:fill="006991"/>
            <w:vAlign w:val="center"/>
            <w:hideMark/>
          </w:tcPr>
          <w:p w14:paraId="25626689"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83CC8">
              <w:rPr>
                <w:rFonts w:ascii="Open Sans SemiBold" w:eastAsia="Times New Roman" w:hAnsi="Open Sans SemiBold" w:cs="Open Sans SemiBold"/>
                <w:color w:val="FFFFFF"/>
                <w:sz w:val="16"/>
                <w:szCs w:val="16"/>
                <w:lang w:eastAsia="en-AU"/>
              </w:rPr>
              <w:t>NT</w:t>
            </w:r>
          </w:p>
        </w:tc>
        <w:tc>
          <w:tcPr>
            <w:tcW w:w="804" w:type="dxa"/>
            <w:shd w:val="clear" w:color="000000" w:fill="006991"/>
            <w:tcMar>
              <w:right w:w="28" w:type="dxa"/>
            </w:tcMar>
            <w:vAlign w:val="center"/>
            <w:hideMark/>
          </w:tcPr>
          <w:p w14:paraId="4B045169" w14:textId="2674B8FF" w:rsidR="00D9434E" w:rsidRPr="00F83CC8" w:rsidRDefault="008B1F0E"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Pr>
                <w:rFonts w:ascii="Open Sans SemiBold" w:eastAsia="Times New Roman" w:hAnsi="Open Sans SemiBold" w:cs="Open Sans SemiBold"/>
                <w:color w:val="FFFFFF"/>
                <w:sz w:val="16"/>
                <w:szCs w:val="16"/>
                <w:lang w:eastAsia="en-AU"/>
              </w:rPr>
              <w:t>Redist</w:t>
            </w:r>
          </w:p>
        </w:tc>
      </w:tr>
      <w:tr w:rsidR="00D9434E" w:rsidRPr="00F83CC8" w14:paraId="271E19E8" w14:textId="77777777" w:rsidTr="00893837">
        <w:trPr>
          <w:trHeight w:val="255"/>
        </w:trPr>
        <w:tc>
          <w:tcPr>
            <w:tcW w:w="2477" w:type="dxa"/>
            <w:shd w:val="clear" w:color="000000" w:fill="B6D5E4"/>
            <w:noWrap/>
            <w:vAlign w:val="center"/>
            <w:hideMark/>
          </w:tcPr>
          <w:p w14:paraId="3B41A86C"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 </w:t>
            </w:r>
          </w:p>
        </w:tc>
        <w:tc>
          <w:tcPr>
            <w:tcW w:w="824" w:type="dxa"/>
            <w:shd w:val="clear" w:color="000000" w:fill="B6D5E4"/>
            <w:noWrap/>
            <w:vAlign w:val="bottom"/>
            <w:hideMark/>
          </w:tcPr>
          <w:p w14:paraId="60E70815" w14:textId="77777777" w:rsidR="00D9434E" w:rsidRPr="00F83CC8" w:rsidRDefault="00D9434E" w:rsidP="00B0561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$m</w:t>
            </w:r>
          </w:p>
        </w:tc>
        <w:tc>
          <w:tcPr>
            <w:tcW w:w="824" w:type="dxa"/>
            <w:shd w:val="clear" w:color="000000" w:fill="B6D5E4"/>
            <w:noWrap/>
            <w:vAlign w:val="bottom"/>
            <w:hideMark/>
          </w:tcPr>
          <w:p w14:paraId="1A2DE719" w14:textId="77777777" w:rsidR="00D9434E" w:rsidRPr="00F83CC8" w:rsidRDefault="00D9434E" w:rsidP="00B0561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$m</w:t>
            </w:r>
          </w:p>
        </w:tc>
        <w:tc>
          <w:tcPr>
            <w:tcW w:w="665" w:type="dxa"/>
            <w:shd w:val="clear" w:color="000000" w:fill="B6D5E4"/>
            <w:noWrap/>
            <w:vAlign w:val="bottom"/>
            <w:hideMark/>
          </w:tcPr>
          <w:p w14:paraId="6E0758E9" w14:textId="77777777" w:rsidR="00D9434E" w:rsidRPr="00F83CC8" w:rsidRDefault="00D9434E" w:rsidP="00B0561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$m</w:t>
            </w:r>
          </w:p>
        </w:tc>
        <w:tc>
          <w:tcPr>
            <w:tcW w:w="665" w:type="dxa"/>
            <w:shd w:val="clear" w:color="000000" w:fill="B6D5E4"/>
            <w:noWrap/>
            <w:vAlign w:val="bottom"/>
            <w:hideMark/>
          </w:tcPr>
          <w:p w14:paraId="2AEAD0A4" w14:textId="77777777" w:rsidR="00D9434E" w:rsidRPr="00F83CC8" w:rsidRDefault="00D9434E" w:rsidP="00B0561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$m</w:t>
            </w:r>
          </w:p>
        </w:tc>
        <w:tc>
          <w:tcPr>
            <w:tcW w:w="565" w:type="dxa"/>
            <w:shd w:val="clear" w:color="000000" w:fill="B6D5E4"/>
            <w:noWrap/>
            <w:vAlign w:val="bottom"/>
            <w:hideMark/>
          </w:tcPr>
          <w:p w14:paraId="0D52EFEF" w14:textId="77777777" w:rsidR="00D9434E" w:rsidRPr="00F83CC8" w:rsidRDefault="00D9434E" w:rsidP="00B0561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$m</w:t>
            </w:r>
          </w:p>
        </w:tc>
        <w:tc>
          <w:tcPr>
            <w:tcW w:w="665" w:type="dxa"/>
            <w:shd w:val="clear" w:color="000000" w:fill="B6D5E4"/>
            <w:noWrap/>
            <w:vAlign w:val="bottom"/>
            <w:hideMark/>
          </w:tcPr>
          <w:p w14:paraId="41CB5AD2" w14:textId="77777777" w:rsidR="00D9434E" w:rsidRPr="00F83CC8" w:rsidRDefault="00D9434E" w:rsidP="00B0561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$m</w:t>
            </w:r>
          </w:p>
        </w:tc>
        <w:tc>
          <w:tcPr>
            <w:tcW w:w="725" w:type="dxa"/>
            <w:shd w:val="clear" w:color="000000" w:fill="B6D5E4"/>
            <w:noWrap/>
            <w:vAlign w:val="bottom"/>
            <w:hideMark/>
          </w:tcPr>
          <w:p w14:paraId="31681091" w14:textId="77777777" w:rsidR="00D9434E" w:rsidRPr="00F83CC8" w:rsidRDefault="00D9434E" w:rsidP="00B0561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$m</w:t>
            </w:r>
          </w:p>
        </w:tc>
        <w:tc>
          <w:tcPr>
            <w:tcW w:w="765" w:type="dxa"/>
            <w:shd w:val="clear" w:color="000000" w:fill="B6D5E4"/>
            <w:noWrap/>
            <w:vAlign w:val="bottom"/>
            <w:hideMark/>
          </w:tcPr>
          <w:p w14:paraId="00506232" w14:textId="77777777" w:rsidR="00D9434E" w:rsidRPr="00F83CC8" w:rsidRDefault="00D9434E" w:rsidP="00B0561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$m</w:t>
            </w:r>
          </w:p>
        </w:tc>
        <w:tc>
          <w:tcPr>
            <w:tcW w:w="804" w:type="dxa"/>
            <w:shd w:val="clear" w:color="000000" w:fill="B6D5E4"/>
            <w:noWrap/>
            <w:tcMar>
              <w:right w:w="28" w:type="dxa"/>
            </w:tcMar>
            <w:vAlign w:val="bottom"/>
            <w:hideMark/>
          </w:tcPr>
          <w:p w14:paraId="26D3D1A3" w14:textId="77777777" w:rsidR="00D9434E" w:rsidRPr="00F83CC8" w:rsidRDefault="00D9434E" w:rsidP="00B0561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$m</w:t>
            </w:r>
          </w:p>
        </w:tc>
      </w:tr>
      <w:tr w:rsidR="00D9434E" w:rsidRPr="00F83CC8" w14:paraId="35619758" w14:textId="77777777" w:rsidTr="00893837">
        <w:trPr>
          <w:trHeight w:val="315"/>
        </w:trPr>
        <w:tc>
          <w:tcPr>
            <w:tcW w:w="2477" w:type="dxa"/>
            <w:shd w:val="clear" w:color="000000" w:fill="FFFFFF"/>
            <w:vAlign w:val="bottom"/>
            <w:hideMark/>
          </w:tcPr>
          <w:p w14:paraId="48D4AA47" w14:textId="77777777" w:rsidR="00D9434E" w:rsidRPr="00F83CC8" w:rsidRDefault="00D9434E" w:rsidP="004D65FE">
            <w:pPr>
              <w:tabs>
                <w:tab w:val="clear" w:pos="567"/>
              </w:tabs>
              <w:spacing w:before="0" w:line="240" w:lineRule="auto"/>
              <w:rPr>
                <w:rFonts w:eastAsia="Times New Roman" w:cs="Open Sans Light"/>
                <w:sz w:val="16"/>
                <w:szCs w:val="16"/>
                <w:lang w:eastAsia="en-AU"/>
              </w:rPr>
            </w:pPr>
            <w:r w:rsidRPr="00F83CC8">
              <w:rPr>
                <w:rFonts w:eastAsia="Times New Roman" w:cs="Open Sans Light"/>
                <w:sz w:val="16"/>
                <w:szCs w:val="16"/>
                <w:lang w:eastAsia="en-AU"/>
              </w:rPr>
              <w:t>Schools</w:t>
            </w:r>
          </w:p>
        </w:tc>
        <w:tc>
          <w:tcPr>
            <w:tcW w:w="824" w:type="dxa"/>
            <w:shd w:val="clear" w:color="000000" w:fill="FFFFFF"/>
            <w:vAlign w:val="bottom"/>
            <w:hideMark/>
          </w:tcPr>
          <w:p w14:paraId="21954D32"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-155</w:t>
            </w:r>
          </w:p>
        </w:tc>
        <w:tc>
          <w:tcPr>
            <w:tcW w:w="824" w:type="dxa"/>
            <w:shd w:val="clear" w:color="000000" w:fill="FFFFFF"/>
            <w:vAlign w:val="bottom"/>
            <w:hideMark/>
          </w:tcPr>
          <w:p w14:paraId="77BF441D"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-185</w:t>
            </w:r>
          </w:p>
        </w:tc>
        <w:tc>
          <w:tcPr>
            <w:tcW w:w="665" w:type="dxa"/>
            <w:shd w:val="clear" w:color="000000" w:fill="FFFFFF"/>
            <w:vAlign w:val="bottom"/>
            <w:hideMark/>
          </w:tcPr>
          <w:p w14:paraId="7FA4FB47"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111</w:t>
            </w:r>
          </w:p>
        </w:tc>
        <w:tc>
          <w:tcPr>
            <w:tcW w:w="665" w:type="dxa"/>
            <w:shd w:val="clear" w:color="000000" w:fill="FFFFFF"/>
            <w:vAlign w:val="bottom"/>
            <w:hideMark/>
          </w:tcPr>
          <w:p w14:paraId="7748BE9D"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75</w:t>
            </w:r>
          </w:p>
        </w:tc>
        <w:tc>
          <w:tcPr>
            <w:tcW w:w="565" w:type="dxa"/>
            <w:shd w:val="clear" w:color="000000" w:fill="FFFFFF"/>
            <w:vAlign w:val="bottom"/>
            <w:hideMark/>
          </w:tcPr>
          <w:p w14:paraId="3CC57590"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24</w:t>
            </w:r>
          </w:p>
        </w:tc>
        <w:tc>
          <w:tcPr>
            <w:tcW w:w="665" w:type="dxa"/>
            <w:shd w:val="clear" w:color="000000" w:fill="FFFFFF"/>
            <w:vAlign w:val="bottom"/>
            <w:hideMark/>
          </w:tcPr>
          <w:p w14:paraId="7E3BD7C5"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36</w:t>
            </w:r>
          </w:p>
        </w:tc>
        <w:tc>
          <w:tcPr>
            <w:tcW w:w="725" w:type="dxa"/>
            <w:shd w:val="clear" w:color="000000" w:fill="FFFFFF"/>
            <w:vAlign w:val="bottom"/>
            <w:hideMark/>
          </w:tcPr>
          <w:p w14:paraId="58D1A530"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-18</w:t>
            </w:r>
          </w:p>
        </w:tc>
        <w:tc>
          <w:tcPr>
            <w:tcW w:w="765" w:type="dxa"/>
            <w:shd w:val="clear" w:color="000000" w:fill="FFFFFF"/>
            <w:vAlign w:val="bottom"/>
            <w:hideMark/>
          </w:tcPr>
          <w:p w14:paraId="7DBB0FC1"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112</w:t>
            </w:r>
          </w:p>
        </w:tc>
        <w:tc>
          <w:tcPr>
            <w:tcW w:w="804" w:type="dxa"/>
            <w:shd w:val="clear" w:color="000000" w:fill="FFFFFF"/>
            <w:tcMar>
              <w:right w:w="28" w:type="dxa"/>
            </w:tcMar>
            <w:vAlign w:val="bottom"/>
            <w:hideMark/>
          </w:tcPr>
          <w:p w14:paraId="0C585FD8"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358</w:t>
            </w:r>
          </w:p>
        </w:tc>
      </w:tr>
      <w:tr w:rsidR="00D9434E" w:rsidRPr="00F83CC8" w14:paraId="44FD5717" w14:textId="77777777" w:rsidTr="00893837">
        <w:trPr>
          <w:trHeight w:val="315"/>
        </w:trPr>
        <w:tc>
          <w:tcPr>
            <w:tcW w:w="2477" w:type="dxa"/>
            <w:shd w:val="clear" w:color="000000" w:fill="FFFFFF"/>
            <w:vAlign w:val="bottom"/>
            <w:hideMark/>
          </w:tcPr>
          <w:p w14:paraId="7BF7D572" w14:textId="77777777" w:rsidR="00D9434E" w:rsidRPr="00F83CC8" w:rsidRDefault="00D9434E" w:rsidP="004D65FE">
            <w:pPr>
              <w:tabs>
                <w:tab w:val="clear" w:pos="567"/>
              </w:tabs>
              <w:spacing w:before="0" w:line="240" w:lineRule="auto"/>
              <w:rPr>
                <w:rFonts w:eastAsia="Times New Roman" w:cs="Open Sans Light"/>
                <w:sz w:val="16"/>
                <w:szCs w:val="16"/>
                <w:lang w:eastAsia="en-AU"/>
              </w:rPr>
            </w:pPr>
            <w:r w:rsidRPr="00F83CC8">
              <w:rPr>
                <w:rFonts w:eastAsia="Times New Roman" w:cs="Open Sans Light"/>
                <w:sz w:val="16"/>
                <w:szCs w:val="16"/>
                <w:lang w:eastAsia="en-AU"/>
              </w:rPr>
              <w:t>Post-secondary education</w:t>
            </w:r>
          </w:p>
        </w:tc>
        <w:tc>
          <w:tcPr>
            <w:tcW w:w="824" w:type="dxa"/>
            <w:shd w:val="clear" w:color="000000" w:fill="FFFFFF"/>
            <w:vAlign w:val="bottom"/>
            <w:hideMark/>
          </w:tcPr>
          <w:p w14:paraId="6DC46561"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-21</w:t>
            </w:r>
          </w:p>
        </w:tc>
        <w:tc>
          <w:tcPr>
            <w:tcW w:w="824" w:type="dxa"/>
            <w:shd w:val="clear" w:color="000000" w:fill="FFFFFF"/>
            <w:vAlign w:val="bottom"/>
            <w:hideMark/>
          </w:tcPr>
          <w:p w14:paraId="22723AE4"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-20</w:t>
            </w:r>
          </w:p>
        </w:tc>
        <w:tc>
          <w:tcPr>
            <w:tcW w:w="665" w:type="dxa"/>
            <w:shd w:val="clear" w:color="000000" w:fill="FFFFFF"/>
            <w:vAlign w:val="bottom"/>
            <w:hideMark/>
          </w:tcPr>
          <w:p w14:paraId="134A1206"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18</w:t>
            </w:r>
          </w:p>
        </w:tc>
        <w:tc>
          <w:tcPr>
            <w:tcW w:w="665" w:type="dxa"/>
            <w:shd w:val="clear" w:color="000000" w:fill="FFFFFF"/>
            <w:vAlign w:val="bottom"/>
            <w:hideMark/>
          </w:tcPr>
          <w:p w14:paraId="1BA237D0"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3</w:t>
            </w:r>
          </w:p>
        </w:tc>
        <w:tc>
          <w:tcPr>
            <w:tcW w:w="565" w:type="dxa"/>
            <w:shd w:val="clear" w:color="000000" w:fill="FFFFFF"/>
            <w:vAlign w:val="bottom"/>
            <w:hideMark/>
          </w:tcPr>
          <w:p w14:paraId="3943F2EA"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w:t>
            </w:r>
          </w:p>
        </w:tc>
        <w:tc>
          <w:tcPr>
            <w:tcW w:w="665" w:type="dxa"/>
            <w:shd w:val="clear" w:color="000000" w:fill="FFFFFF"/>
            <w:vAlign w:val="bottom"/>
            <w:hideMark/>
          </w:tcPr>
          <w:p w14:paraId="7ECAD85D"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11</w:t>
            </w:r>
          </w:p>
        </w:tc>
        <w:tc>
          <w:tcPr>
            <w:tcW w:w="725" w:type="dxa"/>
            <w:shd w:val="clear" w:color="000000" w:fill="FFFFFF"/>
            <w:vAlign w:val="bottom"/>
            <w:hideMark/>
          </w:tcPr>
          <w:p w14:paraId="46DB746D"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-4</w:t>
            </w:r>
          </w:p>
        </w:tc>
        <w:tc>
          <w:tcPr>
            <w:tcW w:w="765" w:type="dxa"/>
            <w:shd w:val="clear" w:color="000000" w:fill="FFFFFF"/>
            <w:vAlign w:val="bottom"/>
            <w:hideMark/>
          </w:tcPr>
          <w:p w14:paraId="6C0E5130"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12</w:t>
            </w:r>
          </w:p>
        </w:tc>
        <w:tc>
          <w:tcPr>
            <w:tcW w:w="804" w:type="dxa"/>
            <w:shd w:val="clear" w:color="000000" w:fill="FFFFFF"/>
            <w:tcMar>
              <w:right w:w="28" w:type="dxa"/>
            </w:tcMar>
            <w:vAlign w:val="bottom"/>
            <w:hideMark/>
          </w:tcPr>
          <w:p w14:paraId="7C4D853C"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45</w:t>
            </w:r>
          </w:p>
        </w:tc>
      </w:tr>
      <w:tr w:rsidR="00D9434E" w:rsidRPr="00F83CC8" w14:paraId="7DC0929E" w14:textId="77777777" w:rsidTr="00893837">
        <w:trPr>
          <w:trHeight w:val="315"/>
        </w:trPr>
        <w:tc>
          <w:tcPr>
            <w:tcW w:w="2477" w:type="dxa"/>
            <w:shd w:val="clear" w:color="000000" w:fill="FFFFFF"/>
            <w:vAlign w:val="bottom"/>
            <w:hideMark/>
          </w:tcPr>
          <w:p w14:paraId="4602F6C8" w14:textId="77777777" w:rsidR="00D9434E" w:rsidRPr="00F83CC8" w:rsidRDefault="00D9434E" w:rsidP="004D65FE">
            <w:pPr>
              <w:tabs>
                <w:tab w:val="clear" w:pos="567"/>
              </w:tabs>
              <w:spacing w:before="0" w:line="240" w:lineRule="auto"/>
              <w:rPr>
                <w:rFonts w:eastAsia="Times New Roman" w:cs="Open Sans Light"/>
                <w:sz w:val="16"/>
                <w:szCs w:val="16"/>
                <w:lang w:eastAsia="en-AU"/>
              </w:rPr>
            </w:pPr>
            <w:r w:rsidRPr="00F83CC8">
              <w:rPr>
                <w:rFonts w:eastAsia="Times New Roman" w:cs="Open Sans Light"/>
                <w:sz w:val="16"/>
                <w:szCs w:val="16"/>
                <w:lang w:eastAsia="en-AU"/>
              </w:rPr>
              <w:t>Health</w:t>
            </w:r>
          </w:p>
        </w:tc>
        <w:tc>
          <w:tcPr>
            <w:tcW w:w="824" w:type="dxa"/>
            <w:shd w:val="clear" w:color="000000" w:fill="FFFFFF"/>
            <w:vAlign w:val="bottom"/>
            <w:hideMark/>
          </w:tcPr>
          <w:p w14:paraId="7AC21FEF"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-746</w:t>
            </w:r>
          </w:p>
        </w:tc>
        <w:tc>
          <w:tcPr>
            <w:tcW w:w="824" w:type="dxa"/>
            <w:shd w:val="clear" w:color="000000" w:fill="FFFFFF"/>
            <w:vAlign w:val="bottom"/>
            <w:hideMark/>
          </w:tcPr>
          <w:p w14:paraId="04500665"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-611</w:t>
            </w:r>
          </w:p>
        </w:tc>
        <w:tc>
          <w:tcPr>
            <w:tcW w:w="665" w:type="dxa"/>
            <w:shd w:val="clear" w:color="000000" w:fill="FFFFFF"/>
            <w:vAlign w:val="bottom"/>
            <w:hideMark/>
          </w:tcPr>
          <w:p w14:paraId="0D11F9D5"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482</w:t>
            </w:r>
          </w:p>
        </w:tc>
        <w:tc>
          <w:tcPr>
            <w:tcW w:w="665" w:type="dxa"/>
            <w:shd w:val="clear" w:color="000000" w:fill="FFFFFF"/>
            <w:vAlign w:val="bottom"/>
            <w:hideMark/>
          </w:tcPr>
          <w:p w14:paraId="05AA0925"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112</w:t>
            </w:r>
          </w:p>
        </w:tc>
        <w:tc>
          <w:tcPr>
            <w:tcW w:w="565" w:type="dxa"/>
            <w:shd w:val="clear" w:color="000000" w:fill="FFFFFF"/>
            <w:vAlign w:val="bottom"/>
            <w:hideMark/>
          </w:tcPr>
          <w:p w14:paraId="672D7CB9"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18</w:t>
            </w:r>
          </w:p>
        </w:tc>
        <w:tc>
          <w:tcPr>
            <w:tcW w:w="665" w:type="dxa"/>
            <w:shd w:val="clear" w:color="000000" w:fill="FFFFFF"/>
            <w:vAlign w:val="bottom"/>
            <w:hideMark/>
          </w:tcPr>
          <w:p w14:paraId="5716AC75"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346</w:t>
            </w:r>
          </w:p>
        </w:tc>
        <w:tc>
          <w:tcPr>
            <w:tcW w:w="725" w:type="dxa"/>
            <w:shd w:val="clear" w:color="000000" w:fill="FFFFFF"/>
            <w:vAlign w:val="bottom"/>
            <w:hideMark/>
          </w:tcPr>
          <w:p w14:paraId="1BE2E9E2"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-135</w:t>
            </w:r>
          </w:p>
        </w:tc>
        <w:tc>
          <w:tcPr>
            <w:tcW w:w="765" w:type="dxa"/>
            <w:shd w:val="clear" w:color="000000" w:fill="FFFFFF"/>
            <w:vAlign w:val="bottom"/>
            <w:hideMark/>
          </w:tcPr>
          <w:p w14:paraId="6B3353B9"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534</w:t>
            </w:r>
          </w:p>
        </w:tc>
        <w:tc>
          <w:tcPr>
            <w:tcW w:w="804" w:type="dxa"/>
            <w:shd w:val="clear" w:color="000000" w:fill="FFFFFF"/>
            <w:tcMar>
              <w:right w:w="28" w:type="dxa"/>
            </w:tcMar>
            <w:vAlign w:val="bottom"/>
            <w:hideMark/>
          </w:tcPr>
          <w:p w14:paraId="2B1FCB22"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1,492</w:t>
            </w:r>
          </w:p>
        </w:tc>
      </w:tr>
      <w:tr w:rsidR="00D9434E" w:rsidRPr="00F83CC8" w14:paraId="70FE016E" w14:textId="77777777" w:rsidTr="00893837">
        <w:trPr>
          <w:trHeight w:val="315"/>
        </w:trPr>
        <w:tc>
          <w:tcPr>
            <w:tcW w:w="2477" w:type="dxa"/>
            <w:shd w:val="clear" w:color="000000" w:fill="FFFFFF"/>
            <w:vAlign w:val="bottom"/>
            <w:hideMark/>
          </w:tcPr>
          <w:p w14:paraId="5FC5AB3C" w14:textId="77777777" w:rsidR="00D9434E" w:rsidRPr="00F83CC8" w:rsidRDefault="00D9434E" w:rsidP="004D65FE">
            <w:pPr>
              <w:tabs>
                <w:tab w:val="clear" w:pos="567"/>
              </w:tabs>
              <w:spacing w:before="0" w:line="240" w:lineRule="auto"/>
              <w:rPr>
                <w:rFonts w:eastAsia="Times New Roman" w:cs="Open Sans Light"/>
                <w:sz w:val="16"/>
                <w:szCs w:val="16"/>
                <w:lang w:eastAsia="en-AU"/>
              </w:rPr>
            </w:pPr>
            <w:r w:rsidRPr="00F83CC8">
              <w:rPr>
                <w:rFonts w:eastAsia="Times New Roman" w:cs="Open Sans Light"/>
                <w:sz w:val="16"/>
                <w:szCs w:val="16"/>
                <w:lang w:eastAsia="en-AU"/>
              </w:rPr>
              <w:t>Housing</w:t>
            </w:r>
          </w:p>
        </w:tc>
        <w:tc>
          <w:tcPr>
            <w:tcW w:w="824" w:type="dxa"/>
            <w:shd w:val="clear" w:color="000000" w:fill="FFFFFF"/>
            <w:vAlign w:val="bottom"/>
            <w:hideMark/>
          </w:tcPr>
          <w:p w14:paraId="3D47161B"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-94</w:t>
            </w:r>
          </w:p>
        </w:tc>
        <w:tc>
          <w:tcPr>
            <w:tcW w:w="824" w:type="dxa"/>
            <w:shd w:val="clear" w:color="000000" w:fill="FFFFFF"/>
            <w:vAlign w:val="bottom"/>
            <w:hideMark/>
          </w:tcPr>
          <w:p w14:paraId="6B27E691"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-39</w:t>
            </w:r>
          </w:p>
        </w:tc>
        <w:tc>
          <w:tcPr>
            <w:tcW w:w="665" w:type="dxa"/>
            <w:shd w:val="clear" w:color="000000" w:fill="FFFFFF"/>
            <w:vAlign w:val="bottom"/>
            <w:hideMark/>
          </w:tcPr>
          <w:p w14:paraId="74C543EE"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11</w:t>
            </w:r>
          </w:p>
        </w:tc>
        <w:tc>
          <w:tcPr>
            <w:tcW w:w="665" w:type="dxa"/>
            <w:shd w:val="clear" w:color="000000" w:fill="FFFFFF"/>
            <w:vAlign w:val="bottom"/>
            <w:hideMark/>
          </w:tcPr>
          <w:p w14:paraId="4ECBFA05"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60</w:t>
            </w:r>
          </w:p>
        </w:tc>
        <w:tc>
          <w:tcPr>
            <w:tcW w:w="565" w:type="dxa"/>
            <w:shd w:val="clear" w:color="000000" w:fill="FFFFFF"/>
            <w:vAlign w:val="bottom"/>
            <w:hideMark/>
          </w:tcPr>
          <w:p w14:paraId="024375B3"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2</w:t>
            </w:r>
          </w:p>
        </w:tc>
        <w:tc>
          <w:tcPr>
            <w:tcW w:w="665" w:type="dxa"/>
            <w:shd w:val="clear" w:color="000000" w:fill="FFFFFF"/>
            <w:vAlign w:val="bottom"/>
            <w:hideMark/>
          </w:tcPr>
          <w:p w14:paraId="71070C5F"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-6</w:t>
            </w:r>
          </w:p>
        </w:tc>
        <w:tc>
          <w:tcPr>
            <w:tcW w:w="725" w:type="dxa"/>
            <w:shd w:val="clear" w:color="000000" w:fill="FFFFFF"/>
            <w:vAlign w:val="bottom"/>
            <w:hideMark/>
          </w:tcPr>
          <w:p w14:paraId="36728922"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-5</w:t>
            </w:r>
          </w:p>
        </w:tc>
        <w:tc>
          <w:tcPr>
            <w:tcW w:w="765" w:type="dxa"/>
            <w:shd w:val="clear" w:color="000000" w:fill="FFFFFF"/>
            <w:vAlign w:val="bottom"/>
            <w:hideMark/>
          </w:tcPr>
          <w:p w14:paraId="6303A80E"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70</w:t>
            </w:r>
          </w:p>
        </w:tc>
        <w:tc>
          <w:tcPr>
            <w:tcW w:w="804" w:type="dxa"/>
            <w:shd w:val="clear" w:color="000000" w:fill="FFFFFF"/>
            <w:tcMar>
              <w:right w:w="28" w:type="dxa"/>
            </w:tcMar>
            <w:vAlign w:val="bottom"/>
            <w:hideMark/>
          </w:tcPr>
          <w:p w14:paraId="1E52FE99"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144</w:t>
            </w:r>
          </w:p>
        </w:tc>
      </w:tr>
      <w:tr w:rsidR="00D9434E" w:rsidRPr="00F83CC8" w14:paraId="68AFCE25" w14:textId="77777777" w:rsidTr="00893837">
        <w:trPr>
          <w:trHeight w:val="315"/>
        </w:trPr>
        <w:tc>
          <w:tcPr>
            <w:tcW w:w="2477" w:type="dxa"/>
            <w:shd w:val="clear" w:color="000000" w:fill="FFFFFF"/>
            <w:vAlign w:val="bottom"/>
            <w:hideMark/>
          </w:tcPr>
          <w:p w14:paraId="5B89CE99" w14:textId="77777777" w:rsidR="00D9434E" w:rsidRPr="00F83CC8" w:rsidRDefault="00D9434E" w:rsidP="004D65FE">
            <w:pPr>
              <w:tabs>
                <w:tab w:val="clear" w:pos="567"/>
              </w:tabs>
              <w:spacing w:before="0" w:line="240" w:lineRule="auto"/>
              <w:rPr>
                <w:rFonts w:eastAsia="Times New Roman" w:cs="Open Sans Light"/>
                <w:sz w:val="16"/>
                <w:szCs w:val="16"/>
                <w:lang w:eastAsia="en-AU"/>
              </w:rPr>
            </w:pPr>
            <w:r w:rsidRPr="00F83CC8">
              <w:rPr>
                <w:rFonts w:eastAsia="Times New Roman" w:cs="Open Sans Light"/>
                <w:sz w:val="16"/>
                <w:szCs w:val="16"/>
                <w:lang w:eastAsia="en-AU"/>
              </w:rPr>
              <w:t>Welfare</w:t>
            </w:r>
          </w:p>
        </w:tc>
        <w:tc>
          <w:tcPr>
            <w:tcW w:w="824" w:type="dxa"/>
            <w:shd w:val="clear" w:color="000000" w:fill="FFFFFF"/>
            <w:vAlign w:val="bottom"/>
            <w:hideMark/>
          </w:tcPr>
          <w:p w14:paraId="50C7A450"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-66</w:t>
            </w:r>
          </w:p>
        </w:tc>
        <w:tc>
          <w:tcPr>
            <w:tcW w:w="824" w:type="dxa"/>
            <w:shd w:val="clear" w:color="000000" w:fill="FFFFFF"/>
            <w:vAlign w:val="bottom"/>
            <w:hideMark/>
          </w:tcPr>
          <w:p w14:paraId="15F77E03"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-42</w:t>
            </w:r>
          </w:p>
        </w:tc>
        <w:tc>
          <w:tcPr>
            <w:tcW w:w="665" w:type="dxa"/>
            <w:shd w:val="clear" w:color="000000" w:fill="FFFFFF"/>
            <w:vAlign w:val="bottom"/>
            <w:hideMark/>
          </w:tcPr>
          <w:p w14:paraId="52A9F09C"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10</w:t>
            </w:r>
          </w:p>
        </w:tc>
        <w:tc>
          <w:tcPr>
            <w:tcW w:w="665" w:type="dxa"/>
            <w:shd w:val="clear" w:color="000000" w:fill="FFFFFF"/>
            <w:vAlign w:val="bottom"/>
            <w:hideMark/>
          </w:tcPr>
          <w:p w14:paraId="5C80815D"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22</w:t>
            </w:r>
          </w:p>
        </w:tc>
        <w:tc>
          <w:tcPr>
            <w:tcW w:w="565" w:type="dxa"/>
            <w:shd w:val="clear" w:color="000000" w:fill="FFFFFF"/>
            <w:vAlign w:val="bottom"/>
            <w:hideMark/>
          </w:tcPr>
          <w:p w14:paraId="48EFADD1"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w:t>
            </w:r>
          </w:p>
        </w:tc>
        <w:tc>
          <w:tcPr>
            <w:tcW w:w="665" w:type="dxa"/>
            <w:shd w:val="clear" w:color="000000" w:fill="FFFFFF"/>
            <w:vAlign w:val="bottom"/>
            <w:hideMark/>
          </w:tcPr>
          <w:p w14:paraId="2DEC0D62"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2</w:t>
            </w:r>
          </w:p>
        </w:tc>
        <w:tc>
          <w:tcPr>
            <w:tcW w:w="725" w:type="dxa"/>
            <w:shd w:val="clear" w:color="000000" w:fill="FFFFFF"/>
            <w:vAlign w:val="bottom"/>
            <w:hideMark/>
          </w:tcPr>
          <w:p w14:paraId="53CA3600"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-3</w:t>
            </w:r>
          </w:p>
        </w:tc>
        <w:tc>
          <w:tcPr>
            <w:tcW w:w="765" w:type="dxa"/>
            <w:shd w:val="clear" w:color="000000" w:fill="FFFFFF"/>
            <w:vAlign w:val="bottom"/>
            <w:hideMark/>
          </w:tcPr>
          <w:p w14:paraId="0F869032"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78</w:t>
            </w:r>
          </w:p>
        </w:tc>
        <w:tc>
          <w:tcPr>
            <w:tcW w:w="804" w:type="dxa"/>
            <w:shd w:val="clear" w:color="000000" w:fill="FFFFFF"/>
            <w:tcMar>
              <w:right w:w="28" w:type="dxa"/>
            </w:tcMar>
            <w:vAlign w:val="bottom"/>
            <w:hideMark/>
          </w:tcPr>
          <w:p w14:paraId="38567ABF"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112</w:t>
            </w:r>
          </w:p>
        </w:tc>
      </w:tr>
      <w:tr w:rsidR="00D9434E" w:rsidRPr="00F83CC8" w14:paraId="36839B6B" w14:textId="77777777" w:rsidTr="00893837">
        <w:trPr>
          <w:trHeight w:val="315"/>
        </w:trPr>
        <w:tc>
          <w:tcPr>
            <w:tcW w:w="2477" w:type="dxa"/>
            <w:shd w:val="clear" w:color="000000" w:fill="FFFFFF"/>
            <w:vAlign w:val="bottom"/>
            <w:hideMark/>
          </w:tcPr>
          <w:p w14:paraId="3B845CB3" w14:textId="77777777" w:rsidR="00D9434E" w:rsidRPr="00F83CC8" w:rsidRDefault="00D9434E" w:rsidP="004D65FE">
            <w:pPr>
              <w:tabs>
                <w:tab w:val="clear" w:pos="567"/>
              </w:tabs>
              <w:spacing w:before="0" w:line="240" w:lineRule="auto"/>
              <w:rPr>
                <w:rFonts w:eastAsia="Times New Roman" w:cs="Open Sans Light"/>
                <w:sz w:val="16"/>
                <w:szCs w:val="16"/>
                <w:lang w:eastAsia="en-AU"/>
              </w:rPr>
            </w:pPr>
            <w:r w:rsidRPr="00F83CC8">
              <w:rPr>
                <w:rFonts w:eastAsia="Times New Roman" w:cs="Open Sans Light"/>
                <w:sz w:val="16"/>
                <w:szCs w:val="16"/>
                <w:lang w:eastAsia="en-AU"/>
              </w:rPr>
              <w:t>Services to communities</w:t>
            </w:r>
          </w:p>
        </w:tc>
        <w:tc>
          <w:tcPr>
            <w:tcW w:w="824" w:type="dxa"/>
            <w:shd w:val="clear" w:color="000000" w:fill="FFFFFF"/>
            <w:vAlign w:val="bottom"/>
            <w:hideMark/>
          </w:tcPr>
          <w:p w14:paraId="5FE51126"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-157</w:t>
            </w:r>
          </w:p>
        </w:tc>
        <w:tc>
          <w:tcPr>
            <w:tcW w:w="824" w:type="dxa"/>
            <w:shd w:val="clear" w:color="000000" w:fill="FFFFFF"/>
            <w:vAlign w:val="bottom"/>
            <w:hideMark/>
          </w:tcPr>
          <w:p w14:paraId="71CFBBA3"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-161</w:t>
            </w:r>
          </w:p>
        </w:tc>
        <w:tc>
          <w:tcPr>
            <w:tcW w:w="665" w:type="dxa"/>
            <w:shd w:val="clear" w:color="000000" w:fill="FFFFFF"/>
            <w:vAlign w:val="bottom"/>
            <w:hideMark/>
          </w:tcPr>
          <w:p w14:paraId="495E5E71"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61</w:t>
            </w:r>
          </w:p>
        </w:tc>
        <w:tc>
          <w:tcPr>
            <w:tcW w:w="665" w:type="dxa"/>
            <w:shd w:val="clear" w:color="000000" w:fill="FFFFFF"/>
            <w:vAlign w:val="bottom"/>
            <w:hideMark/>
          </w:tcPr>
          <w:p w14:paraId="4459E333"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111</w:t>
            </w:r>
          </w:p>
        </w:tc>
        <w:tc>
          <w:tcPr>
            <w:tcW w:w="565" w:type="dxa"/>
            <w:shd w:val="clear" w:color="000000" w:fill="FFFFFF"/>
            <w:vAlign w:val="bottom"/>
            <w:hideMark/>
          </w:tcPr>
          <w:p w14:paraId="476E06AD"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17</w:t>
            </w:r>
          </w:p>
        </w:tc>
        <w:tc>
          <w:tcPr>
            <w:tcW w:w="665" w:type="dxa"/>
            <w:shd w:val="clear" w:color="000000" w:fill="FFFFFF"/>
            <w:vAlign w:val="bottom"/>
            <w:hideMark/>
          </w:tcPr>
          <w:p w14:paraId="6302EAF2"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8</w:t>
            </w:r>
          </w:p>
        </w:tc>
        <w:tc>
          <w:tcPr>
            <w:tcW w:w="725" w:type="dxa"/>
            <w:shd w:val="clear" w:color="000000" w:fill="FFFFFF"/>
            <w:vAlign w:val="bottom"/>
            <w:hideMark/>
          </w:tcPr>
          <w:p w14:paraId="01FC266D"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-13</w:t>
            </w:r>
          </w:p>
        </w:tc>
        <w:tc>
          <w:tcPr>
            <w:tcW w:w="765" w:type="dxa"/>
            <w:shd w:val="clear" w:color="000000" w:fill="FFFFFF"/>
            <w:vAlign w:val="bottom"/>
            <w:hideMark/>
          </w:tcPr>
          <w:p w14:paraId="415AD546"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135</w:t>
            </w:r>
          </w:p>
        </w:tc>
        <w:tc>
          <w:tcPr>
            <w:tcW w:w="804" w:type="dxa"/>
            <w:shd w:val="clear" w:color="000000" w:fill="FFFFFF"/>
            <w:tcMar>
              <w:right w:w="28" w:type="dxa"/>
            </w:tcMar>
            <w:vAlign w:val="bottom"/>
            <w:hideMark/>
          </w:tcPr>
          <w:p w14:paraId="54B4C8AE"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331</w:t>
            </w:r>
          </w:p>
        </w:tc>
      </w:tr>
      <w:tr w:rsidR="00D9434E" w:rsidRPr="00F83CC8" w14:paraId="46060917" w14:textId="77777777" w:rsidTr="00893837">
        <w:trPr>
          <w:trHeight w:val="315"/>
        </w:trPr>
        <w:tc>
          <w:tcPr>
            <w:tcW w:w="2477" w:type="dxa"/>
            <w:shd w:val="clear" w:color="000000" w:fill="FFFFFF"/>
            <w:vAlign w:val="bottom"/>
            <w:hideMark/>
          </w:tcPr>
          <w:p w14:paraId="71EE3A66" w14:textId="77777777" w:rsidR="00D9434E" w:rsidRPr="00F83CC8" w:rsidRDefault="00D9434E" w:rsidP="004D65FE">
            <w:pPr>
              <w:tabs>
                <w:tab w:val="clear" w:pos="567"/>
              </w:tabs>
              <w:spacing w:before="0" w:line="240" w:lineRule="auto"/>
              <w:rPr>
                <w:rFonts w:eastAsia="Times New Roman" w:cs="Open Sans Light"/>
                <w:sz w:val="16"/>
                <w:szCs w:val="16"/>
                <w:lang w:eastAsia="en-AU"/>
              </w:rPr>
            </w:pPr>
            <w:r w:rsidRPr="00F83CC8">
              <w:rPr>
                <w:rFonts w:eastAsia="Times New Roman" w:cs="Open Sans Light"/>
                <w:sz w:val="16"/>
                <w:szCs w:val="16"/>
                <w:lang w:eastAsia="en-AU"/>
              </w:rPr>
              <w:t>Justice</w:t>
            </w:r>
          </w:p>
        </w:tc>
        <w:tc>
          <w:tcPr>
            <w:tcW w:w="824" w:type="dxa"/>
            <w:shd w:val="clear" w:color="000000" w:fill="FFFFFF"/>
            <w:vAlign w:val="bottom"/>
            <w:hideMark/>
          </w:tcPr>
          <w:p w14:paraId="5B4355C9"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-280</w:t>
            </w:r>
          </w:p>
        </w:tc>
        <w:tc>
          <w:tcPr>
            <w:tcW w:w="824" w:type="dxa"/>
            <w:shd w:val="clear" w:color="000000" w:fill="FFFFFF"/>
            <w:vAlign w:val="bottom"/>
            <w:hideMark/>
          </w:tcPr>
          <w:p w14:paraId="413EEE3D"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-238</w:t>
            </w:r>
          </w:p>
        </w:tc>
        <w:tc>
          <w:tcPr>
            <w:tcW w:w="665" w:type="dxa"/>
            <w:shd w:val="clear" w:color="000000" w:fill="FFFFFF"/>
            <w:vAlign w:val="bottom"/>
            <w:hideMark/>
          </w:tcPr>
          <w:p w14:paraId="26467B6B"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111</w:t>
            </w:r>
          </w:p>
        </w:tc>
        <w:tc>
          <w:tcPr>
            <w:tcW w:w="665" w:type="dxa"/>
            <w:shd w:val="clear" w:color="000000" w:fill="FFFFFF"/>
            <w:vAlign w:val="bottom"/>
            <w:hideMark/>
          </w:tcPr>
          <w:p w14:paraId="78F988DE"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137</w:t>
            </w:r>
          </w:p>
        </w:tc>
        <w:tc>
          <w:tcPr>
            <w:tcW w:w="565" w:type="dxa"/>
            <w:shd w:val="clear" w:color="000000" w:fill="FFFFFF"/>
            <w:vAlign w:val="bottom"/>
            <w:hideMark/>
          </w:tcPr>
          <w:p w14:paraId="1804940D"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20</w:t>
            </w:r>
          </w:p>
        </w:tc>
        <w:tc>
          <w:tcPr>
            <w:tcW w:w="665" w:type="dxa"/>
            <w:shd w:val="clear" w:color="000000" w:fill="FFFFFF"/>
            <w:vAlign w:val="bottom"/>
            <w:hideMark/>
          </w:tcPr>
          <w:p w14:paraId="02B083AE"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53</w:t>
            </w:r>
          </w:p>
        </w:tc>
        <w:tc>
          <w:tcPr>
            <w:tcW w:w="725" w:type="dxa"/>
            <w:shd w:val="clear" w:color="000000" w:fill="FFFFFF"/>
            <w:vAlign w:val="bottom"/>
            <w:hideMark/>
          </w:tcPr>
          <w:p w14:paraId="48B84C3A"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-32</w:t>
            </w:r>
          </w:p>
        </w:tc>
        <w:tc>
          <w:tcPr>
            <w:tcW w:w="765" w:type="dxa"/>
            <w:shd w:val="clear" w:color="000000" w:fill="FFFFFF"/>
            <w:vAlign w:val="bottom"/>
            <w:hideMark/>
          </w:tcPr>
          <w:p w14:paraId="615138BE"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229</w:t>
            </w:r>
          </w:p>
        </w:tc>
        <w:tc>
          <w:tcPr>
            <w:tcW w:w="804" w:type="dxa"/>
            <w:shd w:val="clear" w:color="000000" w:fill="FFFFFF"/>
            <w:tcMar>
              <w:right w:w="28" w:type="dxa"/>
            </w:tcMar>
            <w:vAlign w:val="bottom"/>
            <w:hideMark/>
          </w:tcPr>
          <w:p w14:paraId="03FAC28B"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551</w:t>
            </w:r>
          </w:p>
        </w:tc>
      </w:tr>
      <w:tr w:rsidR="00D9434E" w:rsidRPr="00F83CC8" w14:paraId="50B1240D" w14:textId="77777777" w:rsidTr="00893837">
        <w:trPr>
          <w:trHeight w:val="315"/>
        </w:trPr>
        <w:tc>
          <w:tcPr>
            <w:tcW w:w="2477" w:type="dxa"/>
            <w:shd w:val="clear" w:color="000000" w:fill="FFFFFF"/>
            <w:vAlign w:val="bottom"/>
            <w:hideMark/>
          </w:tcPr>
          <w:p w14:paraId="709792D7" w14:textId="77777777" w:rsidR="00D9434E" w:rsidRPr="00F83CC8" w:rsidRDefault="00D9434E" w:rsidP="004D65FE">
            <w:pPr>
              <w:tabs>
                <w:tab w:val="clear" w:pos="567"/>
              </w:tabs>
              <w:spacing w:before="0" w:line="240" w:lineRule="auto"/>
              <w:rPr>
                <w:rFonts w:eastAsia="Times New Roman" w:cs="Open Sans Light"/>
                <w:sz w:val="16"/>
                <w:szCs w:val="16"/>
                <w:lang w:eastAsia="en-AU"/>
              </w:rPr>
            </w:pPr>
            <w:r w:rsidRPr="00F83CC8">
              <w:rPr>
                <w:rFonts w:eastAsia="Times New Roman" w:cs="Open Sans Light"/>
                <w:sz w:val="16"/>
                <w:szCs w:val="16"/>
                <w:lang w:eastAsia="en-AU"/>
              </w:rPr>
              <w:t>Roads</w:t>
            </w:r>
          </w:p>
        </w:tc>
        <w:tc>
          <w:tcPr>
            <w:tcW w:w="824" w:type="dxa"/>
            <w:shd w:val="clear" w:color="000000" w:fill="FFFFFF"/>
            <w:vAlign w:val="bottom"/>
            <w:hideMark/>
          </w:tcPr>
          <w:p w14:paraId="01E939FF"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-12</w:t>
            </w:r>
          </w:p>
        </w:tc>
        <w:tc>
          <w:tcPr>
            <w:tcW w:w="824" w:type="dxa"/>
            <w:shd w:val="clear" w:color="000000" w:fill="FFFFFF"/>
            <w:vAlign w:val="bottom"/>
            <w:hideMark/>
          </w:tcPr>
          <w:p w14:paraId="6B6290B9"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-12</w:t>
            </w:r>
          </w:p>
        </w:tc>
        <w:tc>
          <w:tcPr>
            <w:tcW w:w="665" w:type="dxa"/>
            <w:shd w:val="clear" w:color="000000" w:fill="FFFFFF"/>
            <w:vAlign w:val="bottom"/>
            <w:hideMark/>
          </w:tcPr>
          <w:p w14:paraId="3F57060A"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8</w:t>
            </w:r>
          </w:p>
        </w:tc>
        <w:tc>
          <w:tcPr>
            <w:tcW w:w="665" w:type="dxa"/>
            <w:shd w:val="clear" w:color="000000" w:fill="FFFFFF"/>
            <w:vAlign w:val="bottom"/>
            <w:hideMark/>
          </w:tcPr>
          <w:p w14:paraId="088F8FB8"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9</w:t>
            </w:r>
          </w:p>
        </w:tc>
        <w:tc>
          <w:tcPr>
            <w:tcW w:w="565" w:type="dxa"/>
            <w:shd w:val="clear" w:color="000000" w:fill="FFFFFF"/>
            <w:vAlign w:val="bottom"/>
            <w:hideMark/>
          </w:tcPr>
          <w:p w14:paraId="06893068"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0</w:t>
            </w:r>
          </w:p>
        </w:tc>
        <w:tc>
          <w:tcPr>
            <w:tcW w:w="665" w:type="dxa"/>
            <w:shd w:val="clear" w:color="000000" w:fill="FFFFFF"/>
            <w:vAlign w:val="bottom"/>
            <w:hideMark/>
          </w:tcPr>
          <w:p w14:paraId="5812BFD9"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w:t>
            </w:r>
          </w:p>
        </w:tc>
        <w:tc>
          <w:tcPr>
            <w:tcW w:w="725" w:type="dxa"/>
            <w:shd w:val="clear" w:color="000000" w:fill="FFFFFF"/>
            <w:vAlign w:val="bottom"/>
            <w:hideMark/>
          </w:tcPr>
          <w:p w14:paraId="6256DF44"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0</w:t>
            </w:r>
          </w:p>
        </w:tc>
        <w:tc>
          <w:tcPr>
            <w:tcW w:w="765" w:type="dxa"/>
            <w:shd w:val="clear" w:color="000000" w:fill="FFFFFF"/>
            <w:vAlign w:val="bottom"/>
            <w:hideMark/>
          </w:tcPr>
          <w:p w14:paraId="39C02213"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9</w:t>
            </w:r>
          </w:p>
        </w:tc>
        <w:tc>
          <w:tcPr>
            <w:tcW w:w="804" w:type="dxa"/>
            <w:shd w:val="clear" w:color="000000" w:fill="FFFFFF"/>
            <w:tcMar>
              <w:right w:w="28" w:type="dxa"/>
            </w:tcMar>
            <w:vAlign w:val="bottom"/>
            <w:hideMark/>
          </w:tcPr>
          <w:p w14:paraId="1AE7FBBC"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26</w:t>
            </w:r>
          </w:p>
        </w:tc>
      </w:tr>
      <w:tr w:rsidR="00D9434E" w:rsidRPr="00F83CC8" w14:paraId="59FDE7F6" w14:textId="77777777" w:rsidTr="00893837">
        <w:trPr>
          <w:trHeight w:val="315"/>
        </w:trPr>
        <w:tc>
          <w:tcPr>
            <w:tcW w:w="2477" w:type="dxa"/>
            <w:shd w:val="clear" w:color="000000" w:fill="FFFFFF"/>
            <w:vAlign w:val="bottom"/>
            <w:hideMark/>
          </w:tcPr>
          <w:p w14:paraId="36C0EEE0" w14:textId="77777777" w:rsidR="00D9434E" w:rsidRPr="00F83CC8" w:rsidRDefault="00D9434E" w:rsidP="004D65FE">
            <w:pPr>
              <w:tabs>
                <w:tab w:val="clear" w:pos="567"/>
              </w:tabs>
              <w:spacing w:before="0" w:line="240" w:lineRule="auto"/>
              <w:rPr>
                <w:rFonts w:eastAsia="Times New Roman" w:cs="Open Sans Light"/>
                <w:sz w:val="16"/>
                <w:szCs w:val="16"/>
                <w:lang w:eastAsia="en-AU"/>
              </w:rPr>
            </w:pPr>
            <w:r w:rsidRPr="00F83CC8">
              <w:rPr>
                <w:rFonts w:eastAsia="Times New Roman" w:cs="Open Sans Light"/>
                <w:sz w:val="16"/>
                <w:szCs w:val="16"/>
                <w:lang w:eastAsia="en-AU"/>
              </w:rPr>
              <w:t>Transport</w:t>
            </w:r>
          </w:p>
        </w:tc>
        <w:tc>
          <w:tcPr>
            <w:tcW w:w="824" w:type="dxa"/>
            <w:shd w:val="clear" w:color="000000" w:fill="FFFFFF"/>
            <w:vAlign w:val="bottom"/>
            <w:hideMark/>
          </w:tcPr>
          <w:p w14:paraId="2298CD49"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w:t>
            </w:r>
          </w:p>
        </w:tc>
        <w:tc>
          <w:tcPr>
            <w:tcW w:w="824" w:type="dxa"/>
            <w:shd w:val="clear" w:color="000000" w:fill="FFFFFF"/>
            <w:vAlign w:val="bottom"/>
            <w:hideMark/>
          </w:tcPr>
          <w:p w14:paraId="5B082F0D"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w:t>
            </w:r>
          </w:p>
        </w:tc>
        <w:tc>
          <w:tcPr>
            <w:tcW w:w="665" w:type="dxa"/>
            <w:shd w:val="clear" w:color="000000" w:fill="FFFFFF"/>
            <w:vAlign w:val="bottom"/>
            <w:hideMark/>
          </w:tcPr>
          <w:p w14:paraId="6401F524"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w:t>
            </w:r>
          </w:p>
        </w:tc>
        <w:tc>
          <w:tcPr>
            <w:tcW w:w="665" w:type="dxa"/>
            <w:shd w:val="clear" w:color="000000" w:fill="FFFFFF"/>
            <w:vAlign w:val="bottom"/>
            <w:hideMark/>
          </w:tcPr>
          <w:p w14:paraId="3A2643BD"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w:t>
            </w:r>
          </w:p>
        </w:tc>
        <w:tc>
          <w:tcPr>
            <w:tcW w:w="565" w:type="dxa"/>
            <w:shd w:val="clear" w:color="000000" w:fill="FFFFFF"/>
            <w:vAlign w:val="bottom"/>
            <w:hideMark/>
          </w:tcPr>
          <w:p w14:paraId="69018572"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0</w:t>
            </w:r>
          </w:p>
        </w:tc>
        <w:tc>
          <w:tcPr>
            <w:tcW w:w="665" w:type="dxa"/>
            <w:shd w:val="clear" w:color="000000" w:fill="FFFFFF"/>
            <w:vAlign w:val="bottom"/>
            <w:hideMark/>
          </w:tcPr>
          <w:p w14:paraId="7A6953CE"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0</w:t>
            </w:r>
          </w:p>
        </w:tc>
        <w:tc>
          <w:tcPr>
            <w:tcW w:w="725" w:type="dxa"/>
            <w:shd w:val="clear" w:color="000000" w:fill="FFFFFF"/>
            <w:vAlign w:val="bottom"/>
            <w:hideMark/>
          </w:tcPr>
          <w:p w14:paraId="35C10D88"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0</w:t>
            </w:r>
          </w:p>
        </w:tc>
        <w:tc>
          <w:tcPr>
            <w:tcW w:w="765" w:type="dxa"/>
            <w:shd w:val="clear" w:color="000000" w:fill="FFFFFF"/>
            <w:vAlign w:val="bottom"/>
            <w:hideMark/>
          </w:tcPr>
          <w:p w14:paraId="4A30F272"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w:t>
            </w:r>
          </w:p>
        </w:tc>
        <w:tc>
          <w:tcPr>
            <w:tcW w:w="804" w:type="dxa"/>
            <w:shd w:val="clear" w:color="000000" w:fill="FFFFFF"/>
            <w:tcMar>
              <w:right w:w="28" w:type="dxa"/>
            </w:tcMar>
            <w:vAlign w:val="bottom"/>
            <w:hideMark/>
          </w:tcPr>
          <w:p w14:paraId="52D1E9A9"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3</w:t>
            </w:r>
          </w:p>
        </w:tc>
      </w:tr>
      <w:tr w:rsidR="00D9434E" w:rsidRPr="00F83CC8" w14:paraId="5BB74DC6" w14:textId="77777777" w:rsidTr="00893837">
        <w:trPr>
          <w:trHeight w:val="315"/>
        </w:trPr>
        <w:tc>
          <w:tcPr>
            <w:tcW w:w="2477" w:type="dxa"/>
            <w:shd w:val="clear" w:color="000000" w:fill="FFFFFF"/>
            <w:vAlign w:val="bottom"/>
            <w:hideMark/>
          </w:tcPr>
          <w:p w14:paraId="7CB8B3F6" w14:textId="77777777" w:rsidR="00D9434E" w:rsidRPr="00F83CC8" w:rsidRDefault="00D9434E" w:rsidP="004D65FE">
            <w:pPr>
              <w:tabs>
                <w:tab w:val="clear" w:pos="567"/>
              </w:tabs>
              <w:spacing w:before="0" w:line="240" w:lineRule="auto"/>
              <w:rPr>
                <w:rFonts w:eastAsia="Times New Roman" w:cs="Open Sans Light"/>
                <w:sz w:val="16"/>
                <w:szCs w:val="16"/>
                <w:lang w:eastAsia="en-AU"/>
              </w:rPr>
            </w:pPr>
            <w:r w:rsidRPr="00F83CC8">
              <w:rPr>
                <w:rFonts w:eastAsia="Times New Roman" w:cs="Open Sans Light"/>
                <w:sz w:val="16"/>
                <w:szCs w:val="16"/>
                <w:lang w:eastAsia="en-AU"/>
              </w:rPr>
              <w:t>Services to industry</w:t>
            </w:r>
          </w:p>
        </w:tc>
        <w:tc>
          <w:tcPr>
            <w:tcW w:w="824" w:type="dxa"/>
            <w:shd w:val="clear" w:color="000000" w:fill="FFFFFF"/>
            <w:vAlign w:val="bottom"/>
            <w:hideMark/>
          </w:tcPr>
          <w:p w14:paraId="54DCDE46"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-5</w:t>
            </w:r>
          </w:p>
        </w:tc>
        <w:tc>
          <w:tcPr>
            <w:tcW w:w="824" w:type="dxa"/>
            <w:shd w:val="clear" w:color="000000" w:fill="FFFFFF"/>
            <w:vAlign w:val="bottom"/>
            <w:hideMark/>
          </w:tcPr>
          <w:p w14:paraId="384811A6"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-4</w:t>
            </w:r>
          </w:p>
        </w:tc>
        <w:tc>
          <w:tcPr>
            <w:tcW w:w="665" w:type="dxa"/>
            <w:shd w:val="clear" w:color="000000" w:fill="FFFFFF"/>
            <w:vAlign w:val="bottom"/>
            <w:hideMark/>
          </w:tcPr>
          <w:p w14:paraId="3FD9EE90"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0</w:t>
            </w:r>
          </w:p>
        </w:tc>
        <w:tc>
          <w:tcPr>
            <w:tcW w:w="665" w:type="dxa"/>
            <w:shd w:val="clear" w:color="000000" w:fill="FFFFFF"/>
            <w:vAlign w:val="bottom"/>
            <w:hideMark/>
          </w:tcPr>
          <w:p w14:paraId="26A1DB50"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5</w:t>
            </w:r>
          </w:p>
        </w:tc>
        <w:tc>
          <w:tcPr>
            <w:tcW w:w="565" w:type="dxa"/>
            <w:shd w:val="clear" w:color="000000" w:fill="FFFFFF"/>
            <w:vAlign w:val="bottom"/>
            <w:hideMark/>
          </w:tcPr>
          <w:p w14:paraId="2A674D1A"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0</w:t>
            </w:r>
          </w:p>
        </w:tc>
        <w:tc>
          <w:tcPr>
            <w:tcW w:w="665" w:type="dxa"/>
            <w:shd w:val="clear" w:color="000000" w:fill="FFFFFF"/>
            <w:vAlign w:val="bottom"/>
            <w:hideMark/>
          </w:tcPr>
          <w:p w14:paraId="5805AB65"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0</w:t>
            </w:r>
          </w:p>
        </w:tc>
        <w:tc>
          <w:tcPr>
            <w:tcW w:w="725" w:type="dxa"/>
            <w:shd w:val="clear" w:color="000000" w:fill="FFFFFF"/>
            <w:vAlign w:val="bottom"/>
            <w:hideMark/>
          </w:tcPr>
          <w:p w14:paraId="6C8D306F"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0</w:t>
            </w:r>
          </w:p>
        </w:tc>
        <w:tc>
          <w:tcPr>
            <w:tcW w:w="765" w:type="dxa"/>
            <w:shd w:val="clear" w:color="000000" w:fill="FFFFFF"/>
            <w:vAlign w:val="bottom"/>
            <w:hideMark/>
          </w:tcPr>
          <w:p w14:paraId="7F87FDFE"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4</w:t>
            </w:r>
          </w:p>
        </w:tc>
        <w:tc>
          <w:tcPr>
            <w:tcW w:w="804" w:type="dxa"/>
            <w:shd w:val="clear" w:color="000000" w:fill="FFFFFF"/>
            <w:tcMar>
              <w:right w:w="28" w:type="dxa"/>
            </w:tcMar>
            <w:vAlign w:val="bottom"/>
            <w:hideMark/>
          </w:tcPr>
          <w:p w14:paraId="1F27FA3A"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10</w:t>
            </w:r>
          </w:p>
        </w:tc>
      </w:tr>
      <w:tr w:rsidR="00D9434E" w:rsidRPr="00F83CC8" w14:paraId="18912E7F" w14:textId="77777777" w:rsidTr="00893837">
        <w:trPr>
          <w:trHeight w:val="315"/>
        </w:trPr>
        <w:tc>
          <w:tcPr>
            <w:tcW w:w="2477" w:type="dxa"/>
            <w:shd w:val="clear" w:color="000000" w:fill="FFFFFF"/>
            <w:vAlign w:val="bottom"/>
            <w:hideMark/>
          </w:tcPr>
          <w:p w14:paraId="222F8271" w14:textId="312500DB" w:rsidR="00D9434E" w:rsidRPr="00F83CC8" w:rsidRDefault="00D9434E" w:rsidP="004D65FE">
            <w:pPr>
              <w:tabs>
                <w:tab w:val="clear" w:pos="567"/>
              </w:tabs>
              <w:spacing w:before="0" w:line="240" w:lineRule="auto"/>
              <w:rPr>
                <w:rFonts w:eastAsia="Times New Roman" w:cs="Open Sans Light"/>
                <w:sz w:val="16"/>
                <w:szCs w:val="16"/>
                <w:lang w:eastAsia="en-AU"/>
              </w:rPr>
            </w:pPr>
            <w:r w:rsidRPr="00F83CC8">
              <w:rPr>
                <w:rFonts w:eastAsia="Times New Roman" w:cs="Open Sans Light"/>
                <w:sz w:val="16"/>
                <w:szCs w:val="16"/>
                <w:lang w:eastAsia="en-AU"/>
              </w:rPr>
              <w:t xml:space="preserve">Other </w:t>
            </w:r>
            <w:r w:rsidR="00B05611" w:rsidRPr="00F83CC8">
              <w:rPr>
                <w:rFonts w:eastAsia="Times New Roman" w:cs="Open Sans Light"/>
                <w:sz w:val="16"/>
                <w:szCs w:val="16"/>
                <w:lang w:eastAsia="en-AU"/>
              </w:rPr>
              <w:t>expenses</w:t>
            </w:r>
          </w:p>
        </w:tc>
        <w:tc>
          <w:tcPr>
            <w:tcW w:w="824" w:type="dxa"/>
            <w:shd w:val="clear" w:color="000000" w:fill="FFFFFF"/>
            <w:vAlign w:val="bottom"/>
            <w:hideMark/>
          </w:tcPr>
          <w:p w14:paraId="13ABF6E8"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-20</w:t>
            </w:r>
          </w:p>
        </w:tc>
        <w:tc>
          <w:tcPr>
            <w:tcW w:w="824" w:type="dxa"/>
            <w:shd w:val="clear" w:color="000000" w:fill="FFFFFF"/>
            <w:vAlign w:val="bottom"/>
            <w:hideMark/>
          </w:tcPr>
          <w:p w14:paraId="472BCB31"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-23</w:t>
            </w:r>
          </w:p>
        </w:tc>
        <w:tc>
          <w:tcPr>
            <w:tcW w:w="665" w:type="dxa"/>
            <w:shd w:val="clear" w:color="000000" w:fill="FFFFFF"/>
            <w:vAlign w:val="bottom"/>
            <w:hideMark/>
          </w:tcPr>
          <w:p w14:paraId="761EF761"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11</w:t>
            </w:r>
          </w:p>
        </w:tc>
        <w:tc>
          <w:tcPr>
            <w:tcW w:w="665" w:type="dxa"/>
            <w:shd w:val="clear" w:color="000000" w:fill="FFFFFF"/>
            <w:vAlign w:val="bottom"/>
            <w:hideMark/>
          </w:tcPr>
          <w:p w14:paraId="1D05499D"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13</w:t>
            </w:r>
          </w:p>
        </w:tc>
        <w:tc>
          <w:tcPr>
            <w:tcW w:w="565" w:type="dxa"/>
            <w:shd w:val="clear" w:color="000000" w:fill="FFFFFF"/>
            <w:vAlign w:val="bottom"/>
            <w:hideMark/>
          </w:tcPr>
          <w:p w14:paraId="6EE5CBCC"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4</w:t>
            </w:r>
          </w:p>
        </w:tc>
        <w:tc>
          <w:tcPr>
            <w:tcW w:w="665" w:type="dxa"/>
            <w:shd w:val="clear" w:color="000000" w:fill="FFFFFF"/>
            <w:vAlign w:val="bottom"/>
            <w:hideMark/>
          </w:tcPr>
          <w:p w14:paraId="00C8410E"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3</w:t>
            </w:r>
          </w:p>
        </w:tc>
        <w:tc>
          <w:tcPr>
            <w:tcW w:w="725" w:type="dxa"/>
            <w:shd w:val="clear" w:color="000000" w:fill="FFFFFF"/>
            <w:vAlign w:val="bottom"/>
            <w:hideMark/>
          </w:tcPr>
          <w:p w14:paraId="1D7477F3"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-2</w:t>
            </w:r>
          </w:p>
        </w:tc>
        <w:tc>
          <w:tcPr>
            <w:tcW w:w="765" w:type="dxa"/>
            <w:shd w:val="clear" w:color="000000" w:fill="FFFFFF"/>
            <w:vAlign w:val="bottom"/>
            <w:hideMark/>
          </w:tcPr>
          <w:p w14:paraId="182A7228"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15</w:t>
            </w:r>
          </w:p>
        </w:tc>
        <w:tc>
          <w:tcPr>
            <w:tcW w:w="804" w:type="dxa"/>
            <w:shd w:val="clear" w:color="000000" w:fill="FFFFFF"/>
            <w:tcMar>
              <w:right w:w="28" w:type="dxa"/>
            </w:tcMar>
            <w:vAlign w:val="bottom"/>
            <w:hideMark/>
          </w:tcPr>
          <w:p w14:paraId="2F6A3572" w14:textId="77777777" w:rsidR="00D9434E" w:rsidRPr="00F83CC8" w:rsidRDefault="00D9434E" w:rsidP="004D65FE">
            <w:pPr>
              <w:tabs>
                <w:tab w:val="clear" w:pos="567"/>
              </w:tabs>
              <w:spacing w:before="0" w:line="240" w:lineRule="auto"/>
              <w:jc w:val="right"/>
              <w:rPr>
                <w:rFonts w:eastAsia="Times New Roman" w:cs="Open Sans Light"/>
                <w:sz w:val="16"/>
                <w:szCs w:val="16"/>
                <w:lang w:eastAsia="en-AU"/>
              </w:rPr>
            </w:pPr>
            <w:r w:rsidRPr="00F83CC8">
              <w:rPr>
                <w:rFonts w:eastAsia="Times New Roman" w:cs="Open Sans Light"/>
                <w:sz w:val="16"/>
                <w:szCs w:val="16"/>
                <w:lang w:eastAsia="en-AU"/>
              </w:rPr>
              <w:t>45</w:t>
            </w:r>
          </w:p>
        </w:tc>
      </w:tr>
      <w:tr w:rsidR="00D9434E" w:rsidRPr="00F83CC8" w14:paraId="701C7899" w14:textId="77777777" w:rsidTr="00893837">
        <w:trPr>
          <w:trHeight w:val="315"/>
        </w:trPr>
        <w:tc>
          <w:tcPr>
            <w:tcW w:w="2477" w:type="dxa"/>
            <w:shd w:val="clear" w:color="000000" w:fill="D6E7F0"/>
            <w:noWrap/>
            <w:vAlign w:val="bottom"/>
            <w:hideMark/>
          </w:tcPr>
          <w:p w14:paraId="14B17254" w14:textId="79E3BC44" w:rsidR="00D9434E" w:rsidRPr="00F83CC8" w:rsidRDefault="00D9434E"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Total</w:t>
            </w:r>
            <w:r w:rsidR="00DC1D7A">
              <w:rPr>
                <w:rFonts w:ascii="Open Sans SemiBold" w:eastAsia="Times New Roman" w:hAnsi="Open Sans SemiBold" w:cs="Open Sans SemiBold"/>
                <w:color w:val="000000"/>
                <w:sz w:val="16"/>
                <w:szCs w:val="16"/>
                <w:lang w:eastAsia="en-AU"/>
              </w:rPr>
              <w:t xml:space="preserve"> ($m)</w:t>
            </w:r>
          </w:p>
        </w:tc>
        <w:tc>
          <w:tcPr>
            <w:tcW w:w="824" w:type="dxa"/>
            <w:shd w:val="clear" w:color="000000" w:fill="D6E7F0"/>
            <w:noWrap/>
            <w:vAlign w:val="bottom"/>
            <w:hideMark/>
          </w:tcPr>
          <w:p w14:paraId="767BB47A"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-1,559</w:t>
            </w:r>
          </w:p>
        </w:tc>
        <w:tc>
          <w:tcPr>
            <w:tcW w:w="824" w:type="dxa"/>
            <w:shd w:val="clear" w:color="000000" w:fill="D6E7F0"/>
            <w:noWrap/>
            <w:vAlign w:val="bottom"/>
            <w:hideMark/>
          </w:tcPr>
          <w:p w14:paraId="02C7981C"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-1,339</w:t>
            </w:r>
          </w:p>
        </w:tc>
        <w:tc>
          <w:tcPr>
            <w:tcW w:w="665" w:type="dxa"/>
            <w:shd w:val="clear" w:color="000000" w:fill="D6E7F0"/>
            <w:noWrap/>
            <w:vAlign w:val="bottom"/>
            <w:hideMark/>
          </w:tcPr>
          <w:p w14:paraId="3E2315B5"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824</w:t>
            </w:r>
          </w:p>
        </w:tc>
        <w:tc>
          <w:tcPr>
            <w:tcW w:w="665" w:type="dxa"/>
            <w:shd w:val="clear" w:color="000000" w:fill="D6E7F0"/>
            <w:noWrap/>
            <w:vAlign w:val="bottom"/>
            <w:hideMark/>
          </w:tcPr>
          <w:p w14:paraId="630488B0"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547</w:t>
            </w:r>
          </w:p>
        </w:tc>
        <w:tc>
          <w:tcPr>
            <w:tcW w:w="565" w:type="dxa"/>
            <w:shd w:val="clear" w:color="000000" w:fill="D6E7F0"/>
            <w:noWrap/>
            <w:vAlign w:val="bottom"/>
            <w:hideMark/>
          </w:tcPr>
          <w:p w14:paraId="3FFCA0CE"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86</w:t>
            </w:r>
          </w:p>
        </w:tc>
        <w:tc>
          <w:tcPr>
            <w:tcW w:w="665" w:type="dxa"/>
            <w:shd w:val="clear" w:color="000000" w:fill="D6E7F0"/>
            <w:noWrap/>
            <w:vAlign w:val="bottom"/>
            <w:hideMark/>
          </w:tcPr>
          <w:p w14:paraId="59B1C2A5"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452</w:t>
            </w:r>
          </w:p>
        </w:tc>
        <w:tc>
          <w:tcPr>
            <w:tcW w:w="725" w:type="dxa"/>
            <w:shd w:val="clear" w:color="000000" w:fill="D6E7F0"/>
            <w:noWrap/>
            <w:vAlign w:val="bottom"/>
            <w:hideMark/>
          </w:tcPr>
          <w:p w14:paraId="13851C8B"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-211</w:t>
            </w:r>
          </w:p>
        </w:tc>
        <w:tc>
          <w:tcPr>
            <w:tcW w:w="765" w:type="dxa"/>
            <w:shd w:val="clear" w:color="000000" w:fill="D6E7F0"/>
            <w:noWrap/>
            <w:vAlign w:val="bottom"/>
            <w:hideMark/>
          </w:tcPr>
          <w:p w14:paraId="74A4C9D9"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1,199</w:t>
            </w:r>
          </w:p>
        </w:tc>
        <w:tc>
          <w:tcPr>
            <w:tcW w:w="804" w:type="dxa"/>
            <w:shd w:val="clear" w:color="000000" w:fill="D6E7F0"/>
            <w:noWrap/>
            <w:tcMar>
              <w:right w:w="28" w:type="dxa"/>
            </w:tcMar>
            <w:vAlign w:val="bottom"/>
            <w:hideMark/>
          </w:tcPr>
          <w:p w14:paraId="70E0835D" w14:textId="77777777" w:rsidR="00D9434E" w:rsidRPr="00F83CC8" w:rsidRDefault="00D9434E"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83CC8">
              <w:rPr>
                <w:rFonts w:ascii="Open Sans SemiBold" w:eastAsia="Times New Roman" w:hAnsi="Open Sans SemiBold" w:cs="Open Sans SemiBold"/>
                <w:color w:val="000000"/>
                <w:sz w:val="16"/>
                <w:szCs w:val="16"/>
                <w:lang w:eastAsia="en-AU"/>
              </w:rPr>
              <w:t>3,117</w:t>
            </w:r>
          </w:p>
        </w:tc>
      </w:tr>
      <w:tr w:rsidR="00D9434E" w:rsidRPr="0066097C" w14:paraId="4F62CAD5" w14:textId="77777777" w:rsidTr="00893837">
        <w:trPr>
          <w:trHeight w:val="315"/>
        </w:trPr>
        <w:tc>
          <w:tcPr>
            <w:tcW w:w="2477" w:type="dxa"/>
            <w:shd w:val="clear" w:color="000000" w:fill="D6E7F0"/>
            <w:vAlign w:val="bottom"/>
            <w:hideMark/>
          </w:tcPr>
          <w:p w14:paraId="64D6E372" w14:textId="66C33CFA" w:rsidR="00D9434E" w:rsidRPr="0066097C" w:rsidRDefault="00A5620C" w:rsidP="004D65FE">
            <w:pPr>
              <w:tabs>
                <w:tab w:val="clear" w:pos="567"/>
              </w:tabs>
              <w:spacing w:before="0" w:line="240" w:lineRule="auto"/>
              <w:rPr>
                <w:rFonts w:ascii="Open Sans SemiBold" w:eastAsia="Times New Roman" w:hAnsi="Open Sans SemiBold" w:cs="Open Sans SemiBold"/>
                <w:sz w:val="16"/>
                <w:szCs w:val="16"/>
                <w:lang w:eastAsia="en-AU"/>
              </w:rPr>
            </w:pPr>
            <w:r w:rsidRPr="0066097C">
              <w:rPr>
                <w:rFonts w:ascii="Open Sans SemiBold" w:eastAsia="Times New Roman" w:hAnsi="Open Sans SemiBold" w:cs="Open Sans SemiBold"/>
                <w:sz w:val="16"/>
                <w:szCs w:val="16"/>
                <w:lang w:eastAsia="en-AU"/>
              </w:rPr>
              <w:t>Total</w:t>
            </w:r>
            <w:r w:rsidR="00DC1D7A">
              <w:rPr>
                <w:rFonts w:ascii="Open Sans SemiBold" w:eastAsia="Times New Roman" w:hAnsi="Open Sans SemiBold" w:cs="Open Sans SemiBold"/>
                <w:sz w:val="16"/>
                <w:szCs w:val="16"/>
                <w:lang w:eastAsia="en-AU"/>
              </w:rPr>
              <w:t xml:space="preserve"> ($pc)</w:t>
            </w:r>
          </w:p>
        </w:tc>
        <w:tc>
          <w:tcPr>
            <w:tcW w:w="824" w:type="dxa"/>
            <w:shd w:val="clear" w:color="000000" w:fill="D6E7F0"/>
            <w:vAlign w:val="bottom"/>
            <w:hideMark/>
          </w:tcPr>
          <w:p w14:paraId="22E07E9B" w14:textId="77777777" w:rsidR="00D9434E" w:rsidRPr="0066097C" w:rsidRDefault="00D9434E"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6097C">
              <w:rPr>
                <w:rFonts w:ascii="Open Sans SemiBold" w:eastAsia="Times New Roman" w:hAnsi="Open Sans SemiBold" w:cs="Open Sans SemiBold"/>
                <w:sz w:val="16"/>
                <w:szCs w:val="16"/>
                <w:lang w:eastAsia="en-AU"/>
              </w:rPr>
              <w:t>-188</w:t>
            </w:r>
          </w:p>
        </w:tc>
        <w:tc>
          <w:tcPr>
            <w:tcW w:w="824" w:type="dxa"/>
            <w:shd w:val="clear" w:color="000000" w:fill="D6E7F0"/>
            <w:vAlign w:val="bottom"/>
            <w:hideMark/>
          </w:tcPr>
          <w:p w14:paraId="1965D342" w14:textId="77777777" w:rsidR="00D9434E" w:rsidRPr="0066097C" w:rsidRDefault="00D9434E"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6097C">
              <w:rPr>
                <w:rFonts w:ascii="Open Sans SemiBold" w:eastAsia="Times New Roman" w:hAnsi="Open Sans SemiBold" w:cs="Open Sans SemiBold"/>
                <w:sz w:val="16"/>
                <w:szCs w:val="16"/>
                <w:lang w:eastAsia="en-AU"/>
              </w:rPr>
              <w:t>-196</w:t>
            </w:r>
          </w:p>
        </w:tc>
        <w:tc>
          <w:tcPr>
            <w:tcW w:w="665" w:type="dxa"/>
            <w:shd w:val="clear" w:color="000000" w:fill="D6E7F0"/>
            <w:vAlign w:val="bottom"/>
            <w:hideMark/>
          </w:tcPr>
          <w:p w14:paraId="7266415F" w14:textId="77777777" w:rsidR="00D9434E" w:rsidRPr="0066097C" w:rsidRDefault="00D9434E"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6097C">
              <w:rPr>
                <w:rFonts w:ascii="Open Sans SemiBold" w:eastAsia="Times New Roman" w:hAnsi="Open Sans SemiBold" w:cs="Open Sans SemiBold"/>
                <w:sz w:val="16"/>
                <w:szCs w:val="16"/>
                <w:lang w:eastAsia="en-AU"/>
              </w:rPr>
              <w:t>157</w:t>
            </w:r>
          </w:p>
        </w:tc>
        <w:tc>
          <w:tcPr>
            <w:tcW w:w="665" w:type="dxa"/>
            <w:shd w:val="clear" w:color="000000" w:fill="D6E7F0"/>
            <w:vAlign w:val="bottom"/>
            <w:hideMark/>
          </w:tcPr>
          <w:p w14:paraId="57E6D4C5" w14:textId="77777777" w:rsidR="00D9434E" w:rsidRPr="0066097C" w:rsidRDefault="00D9434E"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6097C">
              <w:rPr>
                <w:rFonts w:ascii="Open Sans SemiBold" w:eastAsia="Times New Roman" w:hAnsi="Open Sans SemiBold" w:cs="Open Sans SemiBold"/>
                <w:sz w:val="16"/>
                <w:szCs w:val="16"/>
                <w:lang w:eastAsia="en-AU"/>
              </w:rPr>
              <w:t>206</w:t>
            </w:r>
          </w:p>
        </w:tc>
        <w:tc>
          <w:tcPr>
            <w:tcW w:w="565" w:type="dxa"/>
            <w:shd w:val="clear" w:color="000000" w:fill="D6E7F0"/>
            <w:vAlign w:val="bottom"/>
            <w:hideMark/>
          </w:tcPr>
          <w:p w14:paraId="4D7D5BC3" w14:textId="77777777" w:rsidR="00D9434E" w:rsidRPr="0066097C" w:rsidRDefault="00D9434E"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6097C">
              <w:rPr>
                <w:rFonts w:ascii="Open Sans SemiBold" w:eastAsia="Times New Roman" w:hAnsi="Open Sans SemiBold" w:cs="Open Sans SemiBold"/>
                <w:sz w:val="16"/>
                <w:szCs w:val="16"/>
                <w:lang w:eastAsia="en-AU"/>
              </w:rPr>
              <w:t>49</w:t>
            </w:r>
          </w:p>
        </w:tc>
        <w:tc>
          <w:tcPr>
            <w:tcW w:w="665" w:type="dxa"/>
            <w:shd w:val="clear" w:color="000000" w:fill="D6E7F0"/>
            <w:vAlign w:val="bottom"/>
            <w:hideMark/>
          </w:tcPr>
          <w:p w14:paraId="5D362BA5" w14:textId="77777777" w:rsidR="00D9434E" w:rsidRPr="0066097C" w:rsidRDefault="00D9434E"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6097C">
              <w:rPr>
                <w:rFonts w:ascii="Open Sans SemiBold" w:eastAsia="Times New Roman" w:hAnsi="Open Sans SemiBold" w:cs="Open Sans SemiBold"/>
                <w:sz w:val="16"/>
                <w:szCs w:val="16"/>
                <w:lang w:eastAsia="en-AU"/>
              </w:rPr>
              <w:t>830</w:t>
            </w:r>
          </w:p>
        </w:tc>
        <w:tc>
          <w:tcPr>
            <w:tcW w:w="725" w:type="dxa"/>
            <w:shd w:val="clear" w:color="000000" w:fill="D6E7F0"/>
            <w:vAlign w:val="bottom"/>
            <w:hideMark/>
          </w:tcPr>
          <w:p w14:paraId="023530B0" w14:textId="77777777" w:rsidR="00D9434E" w:rsidRPr="0066097C" w:rsidRDefault="00D9434E"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6097C">
              <w:rPr>
                <w:rFonts w:ascii="Open Sans SemiBold" w:eastAsia="Times New Roman" w:hAnsi="Open Sans SemiBold" w:cs="Open Sans SemiBold"/>
                <w:sz w:val="16"/>
                <w:szCs w:val="16"/>
                <w:lang w:eastAsia="en-AU"/>
              </w:rPr>
              <w:t>-479</w:t>
            </w:r>
          </w:p>
        </w:tc>
        <w:tc>
          <w:tcPr>
            <w:tcW w:w="765" w:type="dxa"/>
            <w:shd w:val="clear" w:color="000000" w:fill="D6E7F0"/>
            <w:vAlign w:val="bottom"/>
            <w:hideMark/>
          </w:tcPr>
          <w:p w14:paraId="4D9977F3" w14:textId="77777777" w:rsidR="00D9434E" w:rsidRPr="0066097C" w:rsidRDefault="00D9434E"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6097C">
              <w:rPr>
                <w:rFonts w:ascii="Open Sans SemiBold" w:eastAsia="Times New Roman" w:hAnsi="Open Sans SemiBold" w:cs="Open Sans SemiBold"/>
                <w:sz w:val="16"/>
                <w:szCs w:val="16"/>
                <w:lang w:eastAsia="en-AU"/>
              </w:rPr>
              <w:t>4,872</w:t>
            </w:r>
          </w:p>
        </w:tc>
        <w:tc>
          <w:tcPr>
            <w:tcW w:w="804" w:type="dxa"/>
            <w:shd w:val="clear" w:color="000000" w:fill="D6E7F0"/>
            <w:tcMar>
              <w:right w:w="28" w:type="dxa"/>
            </w:tcMar>
            <w:vAlign w:val="bottom"/>
            <w:hideMark/>
          </w:tcPr>
          <w:p w14:paraId="139B7EF9" w14:textId="77777777" w:rsidR="00D9434E" w:rsidRPr="0066097C" w:rsidRDefault="00D9434E" w:rsidP="004D65FE">
            <w:pPr>
              <w:tabs>
                <w:tab w:val="clear" w:pos="567"/>
              </w:tabs>
              <w:spacing w:before="0" w:line="240" w:lineRule="auto"/>
              <w:jc w:val="right"/>
              <w:rPr>
                <w:rFonts w:ascii="Open Sans SemiBold" w:eastAsia="Times New Roman" w:hAnsi="Open Sans SemiBold" w:cs="Open Sans SemiBold"/>
                <w:sz w:val="16"/>
                <w:szCs w:val="16"/>
                <w:lang w:eastAsia="en-AU"/>
              </w:rPr>
            </w:pPr>
            <w:r w:rsidRPr="0066097C">
              <w:rPr>
                <w:rFonts w:ascii="Open Sans SemiBold" w:eastAsia="Times New Roman" w:hAnsi="Open Sans SemiBold" w:cs="Open Sans SemiBold"/>
                <w:sz w:val="16"/>
                <w:szCs w:val="16"/>
                <w:lang w:eastAsia="en-AU"/>
              </w:rPr>
              <w:t>120</w:t>
            </w:r>
          </w:p>
        </w:tc>
      </w:tr>
    </w:tbl>
    <w:p w14:paraId="1C0C25F2" w14:textId="77777777" w:rsidR="00D9434E" w:rsidRPr="004C377A" w:rsidRDefault="00D9434E" w:rsidP="00D9434E">
      <w:pPr>
        <w:pStyle w:val="CGCTablenote"/>
        <w:keepNext/>
        <w:keepLines/>
      </w:pPr>
      <w:r w:rsidRPr="004C377A">
        <w:t>Note:</w:t>
      </w:r>
      <w:r>
        <w:tab/>
      </w:r>
      <w:r w:rsidRPr="004C377A">
        <w:t>The redistribution is the difference from an EPC assessment of category expenses.</w:t>
      </w:r>
    </w:p>
    <w:p w14:paraId="19188338" w14:textId="77777777" w:rsidR="00D9434E" w:rsidRPr="004C377A" w:rsidRDefault="00D9434E" w:rsidP="00D9434E">
      <w:pPr>
        <w:pStyle w:val="CGCTablenote"/>
        <w:keepNext/>
        <w:keepLines/>
      </w:pPr>
      <w:r w:rsidRPr="004C377A">
        <w:t xml:space="preserve">Note: </w:t>
      </w:r>
      <w:r>
        <w:tab/>
      </w:r>
      <w:r w:rsidRPr="004C377A">
        <w:t>This table currently shows just the regional costs influences. However, in the final report this will also include remoteness aspects of socio</w:t>
      </w:r>
      <w:r w:rsidRPr="004C377A">
        <w:noBreakHyphen/>
        <w:t xml:space="preserve">demographic composition influences. </w:t>
      </w:r>
    </w:p>
    <w:p w14:paraId="5C6EA7B3" w14:textId="77777777" w:rsidR="00D9434E" w:rsidRPr="004C377A" w:rsidRDefault="00D9434E" w:rsidP="00D9434E">
      <w:pPr>
        <w:pStyle w:val="CGCTablenote"/>
        <w:keepNext/>
        <w:keepLines/>
      </w:pPr>
      <w:r w:rsidRPr="004C377A">
        <w:t>Source:</w:t>
      </w:r>
      <w:r w:rsidRPr="004C377A">
        <w:tab/>
        <w:t>Commission calculation.</w:t>
      </w:r>
    </w:p>
    <w:p w14:paraId="1C246C40" w14:textId="77777777" w:rsidR="00D9434E" w:rsidRPr="004C377A" w:rsidRDefault="00D9434E" w:rsidP="00D9434E">
      <w:pPr>
        <w:pStyle w:val="Heading3"/>
      </w:pPr>
      <w:bookmarkStart w:id="610" w:name="_Toc27727774"/>
      <w:bookmarkStart w:id="611" w:name="_Toc7536890"/>
      <w:bookmarkStart w:id="612" w:name="_Toc20906135"/>
      <w:bookmarkStart w:id="613" w:name="_Toc20906154"/>
      <w:bookmarkStart w:id="614" w:name="_Toc23243227"/>
      <w:r w:rsidRPr="004C377A">
        <w:t>Changes since the 2019 Update</w:t>
      </w:r>
      <w:bookmarkEnd w:id="610"/>
    </w:p>
    <w:p w14:paraId="3C598E25" w14:textId="0B5FECD6" w:rsidR="00D9434E" w:rsidRPr="004C377A" w:rsidRDefault="00D9434E" w:rsidP="00F47EC7">
      <w:pPr>
        <w:pStyle w:val="CGCParaNumber"/>
      </w:pPr>
      <w:r w:rsidRPr="004C377A">
        <w:t>Regional costs have been assessed directly in a broader range of categories than in the 2015</w:t>
      </w:r>
      <w:r>
        <w:t> </w:t>
      </w:r>
      <w:r w:rsidRPr="004C377A">
        <w:t xml:space="preserve">Review. For categories where a direct assessment has not been possible, a general regional cost gradient continues to be applied. While the 2015 Review general gradient was based on the schools and police assessments, the redeveloped police assessment means this is no longer possible, and the general gradient is now based on the average of the regional cost gradients measured in Schools and admitted patients. </w:t>
      </w:r>
    </w:p>
    <w:p w14:paraId="52AEF270" w14:textId="4BB3B7B7" w:rsidR="00D9434E" w:rsidRPr="004C377A" w:rsidRDefault="00D9434E" w:rsidP="00F47EC7">
      <w:pPr>
        <w:pStyle w:val="CGCParaNumber"/>
      </w:pPr>
      <w:r w:rsidRPr="004C377A">
        <w:t xml:space="preserve">In this review, </w:t>
      </w:r>
      <w:r>
        <w:t xml:space="preserve">SDS </w:t>
      </w:r>
      <w:r w:rsidRPr="004C377A">
        <w:t xml:space="preserve">is measured using remoteness areas, rather than </w:t>
      </w:r>
      <w:r>
        <w:t>SDS</w:t>
      </w:r>
      <w:r w:rsidR="00C436F9">
        <w:t xml:space="preserve"> </w:t>
      </w:r>
      <w:r w:rsidRPr="004C377A">
        <w:t>specific geography.</w:t>
      </w:r>
    </w:p>
    <w:p w14:paraId="1C979A17" w14:textId="77777777" w:rsidR="00D9434E" w:rsidRPr="004C377A" w:rsidRDefault="00D9434E" w:rsidP="00F47EC7">
      <w:pPr>
        <w:pStyle w:val="CGCParaNumber"/>
      </w:pPr>
      <w:r w:rsidRPr="004C377A">
        <w:t>The interstate non-wage cost assessment has been discontinued.</w:t>
      </w:r>
    </w:p>
    <w:p w14:paraId="7EFF314E" w14:textId="670CFC16" w:rsidR="00D9434E" w:rsidRPr="004C377A" w:rsidRDefault="00D9434E" w:rsidP="00D9434E">
      <w:pPr>
        <w:pStyle w:val="Heading3"/>
      </w:pPr>
      <w:bookmarkStart w:id="615" w:name="_Toc27727775"/>
      <w:r w:rsidRPr="004C377A">
        <w:lastRenderedPageBreak/>
        <w:t>Updating the assessment</w:t>
      </w:r>
      <w:bookmarkEnd w:id="611"/>
      <w:bookmarkEnd w:id="612"/>
      <w:bookmarkEnd w:id="613"/>
      <w:bookmarkEnd w:id="614"/>
      <w:bookmarkEnd w:id="615"/>
    </w:p>
    <w:p w14:paraId="1F136C15" w14:textId="625EC7A5" w:rsidR="00D9434E" w:rsidRDefault="00D9434E" w:rsidP="00F47EC7">
      <w:pPr>
        <w:pStyle w:val="CGCParaNumber"/>
      </w:pPr>
      <w:r w:rsidRPr="004C377A">
        <w:t xml:space="preserve">As required by the </w:t>
      </w:r>
      <w:r w:rsidR="00504A56">
        <w:t>ToR</w:t>
      </w:r>
      <w:r w:rsidRPr="004C377A">
        <w:t>, the Commission will incorporate the latest available data in the assessment during the annual</w:t>
      </w:r>
      <w:r>
        <w:t xml:space="preserve"> updates. This will allow the assessment to reflect changes in State circumstances. The updating of category specific regional cost</w:t>
      </w:r>
      <w:r w:rsidR="001C19FF">
        <w:t>s</w:t>
      </w:r>
      <w:r>
        <w:t xml:space="preserve"> calculations is discussed in the relevant category specific attachments. </w:t>
      </w:r>
    </w:p>
    <w:p w14:paraId="47262716" w14:textId="77777777" w:rsidR="00D9434E" w:rsidRPr="00AA2B07" w:rsidRDefault="00D9434E" w:rsidP="00F47EC7">
      <w:pPr>
        <w:pStyle w:val="CGCParaNumber"/>
      </w:pPr>
      <w:r>
        <w:t xml:space="preserve">The general gradient, calculated from Schools and admitted patients data, is updated annually. Following the 2021 Census, the Commission expects to incorporate new ABS remoteness areas, IRSEO and NISEIFA throughout all assessments where these are used. </w:t>
      </w:r>
    </w:p>
    <w:p w14:paraId="14D361E4" w14:textId="34851FBC" w:rsidR="00DA379B" w:rsidRPr="00164EDB" w:rsidRDefault="00DA379B" w:rsidP="00DA379B"/>
    <w:p w14:paraId="2AB7A898" w14:textId="77777777" w:rsidR="00D9434E" w:rsidRDefault="00D9434E" w:rsidP="00161EFB">
      <w:pPr>
        <w:sectPr w:rsidR="00D9434E" w:rsidSect="00917501">
          <w:footerReference w:type="default" r:id="rId63"/>
          <w:footnotePr>
            <w:numRestart w:val="eachSect"/>
          </w:footnotePr>
          <w:pgSz w:w="11899" w:h="16838" w:code="9"/>
          <w:pgMar w:top="1418" w:right="1474" w:bottom="1418" w:left="1474" w:header="709" w:footer="567" w:gutter="0"/>
          <w:cols w:space="708"/>
          <w:titlePg/>
          <w:docGrid w:linePitch="299"/>
        </w:sectPr>
      </w:pPr>
    </w:p>
    <w:p w14:paraId="262B3730" w14:textId="77777777" w:rsidR="009E7F1B" w:rsidRDefault="009E7F1B" w:rsidP="009E7F1B">
      <w:pPr>
        <w:pStyle w:val="Heading1"/>
      </w:pPr>
      <w:bookmarkStart w:id="616" w:name="_Toc32922493"/>
      <w:r w:rsidRPr="007A391D">
        <w:lastRenderedPageBreak/>
        <w:t>29</w:t>
      </w:r>
      <w:bookmarkStart w:id="617" w:name="_Toc6998403"/>
      <w:r>
        <w:tab/>
      </w:r>
      <w:r w:rsidRPr="00713D39">
        <w:t>Other</w:t>
      </w:r>
      <w:r>
        <w:t xml:space="preserve"> </w:t>
      </w:r>
      <w:bookmarkEnd w:id="617"/>
      <w:r>
        <w:t>disabilities</w:t>
      </w:r>
      <w:bookmarkEnd w:id="61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BF3F5"/>
        <w:tblLook w:val="04A0" w:firstRow="1" w:lastRow="0" w:firstColumn="1" w:lastColumn="0" w:noHBand="0" w:noVBand="1"/>
      </w:tblPr>
      <w:tblGrid>
        <w:gridCol w:w="8951"/>
      </w:tblGrid>
      <w:tr w:rsidR="009E7F1B" w14:paraId="173A5F27" w14:textId="77777777" w:rsidTr="004D65FE">
        <w:trPr>
          <w:trHeight w:val="20"/>
        </w:trPr>
        <w:tc>
          <w:tcPr>
            <w:tcW w:w="8951" w:type="dxa"/>
            <w:shd w:val="clear" w:color="auto" w:fill="EBF3F5"/>
          </w:tcPr>
          <w:p w14:paraId="62F1017B" w14:textId="77777777" w:rsidR="009E7F1B" w:rsidRDefault="009E7F1B" w:rsidP="004D65FE">
            <w:pPr>
              <w:pStyle w:val="Heading4"/>
              <w:outlineLvl w:val="3"/>
            </w:pPr>
            <w:bookmarkStart w:id="618" w:name="_Toc6998404"/>
            <w:r>
              <w:t xml:space="preserve">Summary of </w:t>
            </w:r>
            <w:bookmarkEnd w:id="618"/>
            <w:r>
              <w:t>the assessment</w:t>
            </w:r>
          </w:p>
          <w:p w14:paraId="52D2ABBE" w14:textId="77777777" w:rsidR="009E7F1B" w:rsidRDefault="009E7F1B" w:rsidP="004D65FE">
            <w:r>
              <w:t>This chapter describes the assessments of national capital, and native title and land rights.</w:t>
            </w:r>
          </w:p>
          <w:p w14:paraId="77136C9D" w14:textId="77777777" w:rsidR="009E7F1B" w:rsidRDefault="009E7F1B" w:rsidP="009E7F1B">
            <w:pPr>
              <w:pStyle w:val="CGCBullet1"/>
            </w:pPr>
            <w:r w:rsidRPr="0028263E">
              <w:t xml:space="preserve">The national capital allowances recognise the unavoidable extra costs incurred by the ACT due to Canberra’s status as the national capital or because of legacies inherited from the Commonwealth at self-government. </w:t>
            </w:r>
          </w:p>
          <w:p w14:paraId="3F3AC603" w14:textId="77777777" w:rsidR="009E7F1B" w:rsidRDefault="009E7F1B" w:rsidP="009E7F1B">
            <w:pPr>
              <w:pStyle w:val="CGCBullet1"/>
            </w:pPr>
            <w:r>
              <w:t xml:space="preserve">The native title and land rights assessment recognises the additional costs incurred by the States due to the operation of the Commonwealth’s </w:t>
            </w:r>
            <w:r w:rsidRPr="00F147D0">
              <w:rPr>
                <w:i/>
              </w:rPr>
              <w:t>Native Title Act 1993</w:t>
            </w:r>
            <w:r>
              <w:t xml:space="preserve">, the Commonwealth’s </w:t>
            </w:r>
            <w:r w:rsidRPr="00F147D0">
              <w:rPr>
                <w:i/>
              </w:rPr>
              <w:t>Aboriginal Land Rights (Northern</w:t>
            </w:r>
            <w:r>
              <w:rPr>
                <w:i/>
              </w:rPr>
              <w:t> </w:t>
            </w:r>
            <w:r w:rsidRPr="00F147D0">
              <w:rPr>
                <w:i/>
              </w:rPr>
              <w:t>Territory) Act 1976</w:t>
            </w:r>
            <w:r>
              <w:t xml:space="preserve"> and comparable State legislation.</w:t>
            </w:r>
          </w:p>
          <w:p w14:paraId="4CCB280C" w14:textId="77777777" w:rsidR="009E7F1B" w:rsidRDefault="009E7F1B" w:rsidP="00985625">
            <w:pPr>
              <w:pStyle w:val="CGCBullet2"/>
              <w:numPr>
                <w:ilvl w:val="0"/>
                <w:numId w:val="3"/>
              </w:numPr>
              <w:ind w:left="1208" w:hanging="357"/>
            </w:pPr>
            <w:r>
              <w:t>The assessment of native title and land rights expenses is undertaken in a single component in the Other expenses category</w:t>
            </w:r>
            <w:r w:rsidRPr="00123282">
              <w:t>.</w:t>
            </w:r>
            <w:r>
              <w:t xml:space="preserve"> The expenses are sought from States annually. </w:t>
            </w:r>
          </w:p>
          <w:p w14:paraId="28CC2EBA" w14:textId="77777777" w:rsidR="009E7F1B" w:rsidRDefault="009E7F1B" w:rsidP="00985625">
            <w:pPr>
              <w:pStyle w:val="CGCBullet2"/>
              <w:numPr>
                <w:ilvl w:val="0"/>
                <w:numId w:val="3"/>
              </w:numPr>
              <w:ind w:left="1208" w:hanging="357"/>
            </w:pPr>
            <w:r>
              <w:t>The assessment of these costs is made on an actual per capita (APC) basis.</w:t>
            </w:r>
          </w:p>
          <w:p w14:paraId="3C294B4B" w14:textId="77777777" w:rsidR="009E7F1B" w:rsidRDefault="009E7F1B" w:rsidP="009E7F1B">
            <w:pPr>
              <w:pStyle w:val="CGCBullet1"/>
              <w:spacing w:after="120"/>
            </w:pPr>
            <w:r>
              <w:t xml:space="preserve">Cross-border assessments are considered in the relevant expense category chapters. </w:t>
            </w:r>
          </w:p>
        </w:tc>
      </w:tr>
    </w:tbl>
    <w:p w14:paraId="35612C04" w14:textId="77777777" w:rsidR="009E7F1B" w:rsidRDefault="009E7F1B" w:rsidP="00E93FFE">
      <w:pPr>
        <w:pStyle w:val="CGCParaNumber"/>
        <w:numPr>
          <w:ilvl w:val="0"/>
          <w:numId w:val="51"/>
        </w:numPr>
        <w:ind w:left="567" w:hanging="567"/>
      </w:pPr>
      <w:r>
        <w:t>This chapter details the Commission’s assessments for the Other disabilities following consultation with the Commonwealth and States. Other disabilities include the following:</w:t>
      </w:r>
    </w:p>
    <w:p w14:paraId="6BE26EEA" w14:textId="77777777" w:rsidR="009E7F1B" w:rsidRDefault="009E7F1B" w:rsidP="009E7F1B">
      <w:pPr>
        <w:pStyle w:val="CGCBullet1"/>
      </w:pPr>
      <w:r w:rsidRPr="001F2D31">
        <w:t>national</w:t>
      </w:r>
      <w:r>
        <w:t xml:space="preserve"> capital</w:t>
      </w:r>
    </w:p>
    <w:p w14:paraId="68C60290" w14:textId="77777777" w:rsidR="009E7F1B" w:rsidRDefault="009E7F1B" w:rsidP="009E7F1B">
      <w:pPr>
        <w:pStyle w:val="CGCBullet1"/>
      </w:pPr>
      <w:r>
        <w:t>cross-border</w:t>
      </w:r>
    </w:p>
    <w:p w14:paraId="0F5D3C63" w14:textId="77777777" w:rsidR="009E7F1B" w:rsidRDefault="009E7F1B" w:rsidP="009E7F1B">
      <w:pPr>
        <w:pStyle w:val="CGCBullet1"/>
      </w:pPr>
      <w:r>
        <w:t>native title and land rights.</w:t>
      </w:r>
    </w:p>
    <w:p w14:paraId="06E24EED" w14:textId="77777777" w:rsidR="009E7F1B" w:rsidRDefault="009E7F1B" w:rsidP="009E7F1B">
      <w:pPr>
        <w:pStyle w:val="Heading3"/>
      </w:pPr>
      <w:r>
        <w:t>National capital</w:t>
      </w:r>
    </w:p>
    <w:p w14:paraId="32FA8CFA" w14:textId="4811ECD2" w:rsidR="009E7F1B" w:rsidRDefault="009E7F1B" w:rsidP="00F47EC7">
      <w:pPr>
        <w:pStyle w:val="CGCParaNumber"/>
      </w:pPr>
      <w:r>
        <w:t xml:space="preserve">National capital allowances recognise </w:t>
      </w:r>
      <w:r w:rsidRPr="00F46B46">
        <w:t>the unavoidable extra costs incurred by the ACT</w:t>
      </w:r>
      <w:r>
        <w:t>,</w:t>
      </w:r>
      <w:r w:rsidRPr="00F46B46">
        <w:t xml:space="preserve"> because of Canberra’s status as the national capital or because of legacies inherited from the Commonwealth at self-government</w:t>
      </w:r>
      <w:r>
        <w:t>, that continue to affect its costs of service delivery. Costs above the unavoidable costs faced by the ACT are more properly a matter for the respective ACT and Commonwealth governments, than a matter for</w:t>
      </w:r>
      <w:r w:rsidR="00E752A8">
        <w:t xml:space="preserve"> horizontal fiscal equalisation (</w:t>
      </w:r>
      <w:r>
        <w:t>HFE</w:t>
      </w:r>
      <w:r w:rsidR="00E752A8">
        <w:t>)</w:t>
      </w:r>
      <w:r>
        <w:t>.</w:t>
      </w:r>
    </w:p>
    <w:p w14:paraId="50FF131C" w14:textId="77777777" w:rsidR="009E7F1B" w:rsidRDefault="009E7F1B" w:rsidP="009E7F1B">
      <w:pPr>
        <w:pStyle w:val="Heading3"/>
        <w:keepLines/>
      </w:pPr>
      <w:bookmarkStart w:id="619" w:name="_Toc7184319"/>
      <w:bookmarkStart w:id="620" w:name="_Toc7184318"/>
      <w:r>
        <w:t>Assessment structure</w:t>
      </w:r>
      <w:bookmarkEnd w:id="619"/>
    </w:p>
    <w:p w14:paraId="648CED2A" w14:textId="77777777" w:rsidR="009E7F1B" w:rsidRDefault="009E7F1B" w:rsidP="00F47EC7">
      <w:pPr>
        <w:pStyle w:val="CGCParaNumber"/>
      </w:pPr>
      <w:r>
        <w:t>The Commission assesses the following national capital allowances in the 2020 Review.</w:t>
      </w:r>
    </w:p>
    <w:p w14:paraId="0D7355DA" w14:textId="1AAEC398" w:rsidR="009E7F1B" w:rsidRDefault="009E7F1B" w:rsidP="009E7F1B">
      <w:pPr>
        <w:pStyle w:val="Caption"/>
      </w:pPr>
      <w:r>
        <w:t>Table 29-</w:t>
      </w:r>
      <w:r w:rsidR="00B91EF5">
        <w:fldChar w:fldCharType="begin"/>
      </w:r>
      <w:r w:rsidR="00B91EF5">
        <w:instrText xml:space="preserve"> SEQ Table </w:instrText>
      </w:r>
      <w:r w:rsidR="00863475">
        <w:instrText xml:space="preserve">\r1 </w:instrText>
      </w:r>
      <w:r w:rsidR="00B91EF5">
        <w:instrText xml:space="preserve">\* ARABIC </w:instrText>
      </w:r>
      <w:r w:rsidR="00B91EF5">
        <w:fldChar w:fldCharType="separate"/>
      </w:r>
      <w:r w:rsidR="007F721A">
        <w:rPr>
          <w:noProof/>
        </w:rPr>
        <w:t>1</w:t>
      </w:r>
      <w:r w:rsidR="00B91EF5">
        <w:fldChar w:fldCharType="end"/>
      </w:r>
      <w:r>
        <w:tab/>
        <w:t>National capital allowances, 2020 Review</w:t>
      </w:r>
    </w:p>
    <w:tbl>
      <w:tblPr>
        <w:tblW w:w="8960" w:type="dxa"/>
        <w:tblBorders>
          <w:top w:val="single" w:sz="4" w:space="0" w:color="ADD6EA"/>
          <w:bottom w:val="single" w:sz="4" w:space="0" w:color="ADD6EA"/>
          <w:insideH w:val="single" w:sz="4" w:space="0" w:color="ADD6EA"/>
        </w:tblBorders>
        <w:tblCellMar>
          <w:left w:w="28" w:type="dxa"/>
          <w:right w:w="57" w:type="dxa"/>
        </w:tblCellMar>
        <w:tblLook w:val="04A0" w:firstRow="1" w:lastRow="0" w:firstColumn="1" w:lastColumn="0" w:noHBand="0" w:noVBand="1"/>
      </w:tblPr>
      <w:tblGrid>
        <w:gridCol w:w="1600"/>
        <w:gridCol w:w="7360"/>
      </w:tblGrid>
      <w:tr w:rsidR="009E7F1B" w:rsidRPr="00050826" w14:paraId="120B4A5E" w14:textId="77777777" w:rsidTr="00E752A8">
        <w:trPr>
          <w:trHeight w:val="374"/>
        </w:trPr>
        <w:tc>
          <w:tcPr>
            <w:tcW w:w="1600" w:type="dxa"/>
            <w:shd w:val="clear" w:color="000000" w:fill="006991"/>
            <w:vAlign w:val="center"/>
            <w:hideMark/>
          </w:tcPr>
          <w:p w14:paraId="1CB14DC3" w14:textId="77777777" w:rsidR="009E7F1B" w:rsidRPr="00050826" w:rsidRDefault="009E7F1B"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050826">
              <w:rPr>
                <w:rFonts w:ascii="Open Sans SemiBold" w:eastAsia="Times New Roman" w:hAnsi="Open Sans SemiBold" w:cs="Open Sans SemiBold"/>
                <w:color w:val="FFFFFF"/>
                <w:sz w:val="16"/>
                <w:szCs w:val="16"/>
                <w:lang w:eastAsia="en-AU"/>
              </w:rPr>
              <w:t>Disability</w:t>
            </w:r>
          </w:p>
        </w:tc>
        <w:tc>
          <w:tcPr>
            <w:tcW w:w="7360" w:type="dxa"/>
            <w:shd w:val="clear" w:color="000000" w:fill="006991"/>
            <w:vAlign w:val="center"/>
            <w:hideMark/>
          </w:tcPr>
          <w:p w14:paraId="5900E2D7" w14:textId="77777777" w:rsidR="009E7F1B" w:rsidRPr="00050826" w:rsidRDefault="009E7F1B"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050826">
              <w:rPr>
                <w:rFonts w:ascii="Open Sans SemiBold" w:eastAsia="Times New Roman" w:hAnsi="Open Sans SemiBold" w:cs="Open Sans SemiBold"/>
                <w:color w:val="FFFFFF"/>
                <w:sz w:val="16"/>
                <w:szCs w:val="16"/>
                <w:lang w:eastAsia="en-AU"/>
              </w:rPr>
              <w:t>Influence measured by disability</w:t>
            </w:r>
          </w:p>
        </w:tc>
      </w:tr>
      <w:tr w:rsidR="009E7F1B" w:rsidRPr="00050826" w14:paraId="363759A7" w14:textId="77777777" w:rsidTr="00E752A8">
        <w:trPr>
          <w:trHeight w:val="765"/>
        </w:trPr>
        <w:tc>
          <w:tcPr>
            <w:tcW w:w="1600" w:type="dxa"/>
            <w:shd w:val="clear" w:color="auto" w:fill="auto"/>
            <w:hideMark/>
          </w:tcPr>
          <w:p w14:paraId="5630C014" w14:textId="77777777" w:rsidR="009E7F1B" w:rsidRPr="00050826" w:rsidRDefault="009E7F1B" w:rsidP="004D65FE">
            <w:pPr>
              <w:tabs>
                <w:tab w:val="clear" w:pos="567"/>
              </w:tabs>
              <w:spacing w:before="0" w:line="240" w:lineRule="auto"/>
              <w:rPr>
                <w:rFonts w:eastAsia="Times New Roman" w:cs="Open Sans Light"/>
                <w:sz w:val="16"/>
                <w:szCs w:val="16"/>
                <w:lang w:eastAsia="en-AU"/>
              </w:rPr>
            </w:pPr>
            <w:r w:rsidRPr="00050826">
              <w:rPr>
                <w:rFonts w:eastAsia="Times New Roman" w:cs="Open Sans Light"/>
                <w:sz w:val="16"/>
                <w:szCs w:val="16"/>
                <w:lang w:eastAsia="en-AU"/>
              </w:rPr>
              <w:t>Planning</w:t>
            </w:r>
          </w:p>
        </w:tc>
        <w:tc>
          <w:tcPr>
            <w:tcW w:w="7360" w:type="dxa"/>
            <w:shd w:val="clear" w:color="auto" w:fill="auto"/>
            <w:hideMark/>
          </w:tcPr>
          <w:p w14:paraId="2745A77E" w14:textId="77777777" w:rsidR="009E7F1B" w:rsidRPr="00050826" w:rsidRDefault="009E7F1B" w:rsidP="004D65FE">
            <w:pPr>
              <w:tabs>
                <w:tab w:val="clear" w:pos="567"/>
              </w:tabs>
              <w:spacing w:before="0" w:line="240" w:lineRule="auto"/>
              <w:rPr>
                <w:rFonts w:eastAsia="Times New Roman" w:cs="Open Sans Light"/>
                <w:sz w:val="16"/>
                <w:szCs w:val="16"/>
                <w:lang w:eastAsia="en-AU"/>
              </w:rPr>
            </w:pPr>
            <w:r w:rsidRPr="00050826">
              <w:rPr>
                <w:rFonts w:eastAsia="Times New Roman" w:cs="Open Sans Light"/>
                <w:sz w:val="16"/>
                <w:szCs w:val="16"/>
                <w:lang w:eastAsia="en-AU"/>
              </w:rPr>
              <w:t>Recognises the additional costs due to the impact of the National Capital Plan on planning and development activities, the administrative costs of capital works and maintenance of the leasehold system.</w:t>
            </w:r>
          </w:p>
        </w:tc>
      </w:tr>
      <w:tr w:rsidR="009E7F1B" w:rsidRPr="00050826" w14:paraId="6241B196" w14:textId="77777777" w:rsidTr="00E752A8">
        <w:trPr>
          <w:trHeight w:val="510"/>
        </w:trPr>
        <w:tc>
          <w:tcPr>
            <w:tcW w:w="1600" w:type="dxa"/>
            <w:shd w:val="clear" w:color="auto" w:fill="auto"/>
            <w:hideMark/>
          </w:tcPr>
          <w:p w14:paraId="04771D16" w14:textId="77777777" w:rsidR="009E7F1B" w:rsidRPr="00050826" w:rsidRDefault="009E7F1B" w:rsidP="004D65FE">
            <w:pPr>
              <w:tabs>
                <w:tab w:val="clear" w:pos="567"/>
              </w:tabs>
              <w:spacing w:before="0" w:line="240" w:lineRule="auto"/>
              <w:rPr>
                <w:rFonts w:eastAsia="Times New Roman" w:cs="Open Sans Light"/>
                <w:sz w:val="16"/>
                <w:szCs w:val="16"/>
                <w:lang w:eastAsia="en-AU"/>
              </w:rPr>
            </w:pPr>
            <w:r w:rsidRPr="00050826">
              <w:rPr>
                <w:rFonts w:eastAsia="Times New Roman" w:cs="Open Sans Light"/>
                <w:sz w:val="16"/>
                <w:szCs w:val="16"/>
                <w:lang w:eastAsia="en-AU"/>
              </w:rPr>
              <w:t>Police</w:t>
            </w:r>
          </w:p>
        </w:tc>
        <w:tc>
          <w:tcPr>
            <w:tcW w:w="7360" w:type="dxa"/>
            <w:shd w:val="clear" w:color="auto" w:fill="auto"/>
            <w:hideMark/>
          </w:tcPr>
          <w:p w14:paraId="68A3780E" w14:textId="77777777" w:rsidR="009E7F1B" w:rsidRPr="00050826" w:rsidRDefault="009E7F1B" w:rsidP="004D65FE">
            <w:pPr>
              <w:tabs>
                <w:tab w:val="clear" w:pos="567"/>
              </w:tabs>
              <w:spacing w:before="0" w:line="240" w:lineRule="auto"/>
              <w:rPr>
                <w:rFonts w:eastAsia="Times New Roman" w:cs="Open Sans Light"/>
                <w:sz w:val="16"/>
                <w:szCs w:val="16"/>
                <w:lang w:eastAsia="en-AU"/>
              </w:rPr>
            </w:pPr>
            <w:r w:rsidRPr="00050826">
              <w:rPr>
                <w:rFonts w:eastAsia="Times New Roman" w:cs="Open Sans Light"/>
                <w:sz w:val="16"/>
                <w:szCs w:val="16"/>
                <w:lang w:eastAsia="en-AU"/>
              </w:rPr>
              <w:t>Recognises the additional costs to the ACT from using the Australian Federal Police to provide police services.</w:t>
            </w:r>
          </w:p>
        </w:tc>
      </w:tr>
    </w:tbl>
    <w:p w14:paraId="0D46B50A" w14:textId="77777777" w:rsidR="009E7F1B" w:rsidRDefault="009E7F1B" w:rsidP="009E7F1B">
      <w:pPr>
        <w:pStyle w:val="CGCTablenote"/>
      </w:pPr>
      <w:r>
        <w:t>Source:</w:t>
      </w:r>
      <w:r>
        <w:tab/>
        <w:t>Commission decision.</w:t>
      </w:r>
    </w:p>
    <w:p w14:paraId="6C9C0989" w14:textId="34948804" w:rsidR="009E7F1B" w:rsidRDefault="009E7F1B" w:rsidP="009E7F1B">
      <w:pPr>
        <w:pStyle w:val="Heading3"/>
      </w:pPr>
      <w:r>
        <w:lastRenderedPageBreak/>
        <w:t>Assessment approach</w:t>
      </w:r>
      <w:bookmarkEnd w:id="620"/>
    </w:p>
    <w:p w14:paraId="3926C2DB" w14:textId="77777777" w:rsidR="009E7F1B" w:rsidRDefault="009E7F1B" w:rsidP="00F47EC7">
      <w:pPr>
        <w:pStyle w:val="CGCParaNumber"/>
      </w:pPr>
      <w:r>
        <w:t>The assessment includes two types of national capital allowances:</w:t>
      </w:r>
    </w:p>
    <w:p w14:paraId="1F0E2F97" w14:textId="77777777" w:rsidR="009E7F1B" w:rsidRDefault="009E7F1B" w:rsidP="009E7F1B">
      <w:pPr>
        <w:pStyle w:val="CGCBullet1"/>
      </w:pPr>
      <w:r>
        <w:t>planning allowances, which recognise the higher costs to the ACT in relation to planning and development activities due to the operation of the National Capital Plan (NCP) and the costs associated with maintaining the leasehold system</w:t>
      </w:r>
    </w:p>
    <w:p w14:paraId="7E447A22" w14:textId="77777777" w:rsidR="009E7F1B" w:rsidRDefault="009E7F1B" w:rsidP="009E7F1B">
      <w:pPr>
        <w:pStyle w:val="CGCBullet1"/>
      </w:pPr>
      <w:r>
        <w:t>a police allowance, which recognises that the ACT has no practical alternative but to use the Australian Federal Police (AFP) as the provider of its policing services and it has no control over the above average salaries paid to AFP employees.</w:t>
      </w:r>
    </w:p>
    <w:p w14:paraId="240E7918" w14:textId="77777777" w:rsidR="009E7F1B" w:rsidRPr="00E77C3A" w:rsidRDefault="009E7F1B" w:rsidP="009E7F1B">
      <w:pPr>
        <w:pStyle w:val="Heading5"/>
      </w:pPr>
      <w:r>
        <w:t>Planning allowances</w:t>
      </w:r>
      <w:r w:rsidRPr="00E77C3A">
        <w:t xml:space="preserve"> </w:t>
      </w:r>
    </w:p>
    <w:p w14:paraId="5A48423E" w14:textId="77777777" w:rsidR="009E7F1B" w:rsidRDefault="009E7F1B" w:rsidP="00F47EC7">
      <w:pPr>
        <w:pStyle w:val="CGCParaNumber"/>
      </w:pPr>
      <w:r w:rsidRPr="00F46B46">
        <w:t xml:space="preserve">In 1989, when the ACT was granted self-government, the Commonwealth established the </w:t>
      </w:r>
      <w:r>
        <w:t xml:space="preserve">National Capital Authority (NCA) </w:t>
      </w:r>
      <w:r w:rsidRPr="00F46B46">
        <w:t xml:space="preserve">to manage its continuing interest in the strategic planning and development of Canberra as the nation’s capital. </w:t>
      </w:r>
      <w:r>
        <w:t>The NCA</w:t>
      </w:r>
      <w:r w:rsidRPr="00F46B46">
        <w:t xml:space="preserve"> did so, in part, through the development and management of the </w:t>
      </w:r>
      <w:r>
        <w:t>NCP</w:t>
      </w:r>
      <w:r w:rsidRPr="00F46B46">
        <w:t xml:space="preserve">. </w:t>
      </w:r>
      <w:r>
        <w:t xml:space="preserve">Previous Commissions concluded that the NCP resulted in additional planning and development costs to the ACT, and that other States did not incur similar </w:t>
      </w:r>
      <w:r w:rsidRPr="00F46B46">
        <w:t>additional costs.</w:t>
      </w:r>
    </w:p>
    <w:p w14:paraId="21222B07" w14:textId="381C95B4" w:rsidR="009E7F1B" w:rsidRDefault="009E7F1B" w:rsidP="00F47EC7">
      <w:pPr>
        <w:pStyle w:val="CGCParaNumber"/>
      </w:pPr>
      <w:r>
        <w:t>The Commission decided that the conceptual case for this disability would have to be re</w:t>
      </w:r>
      <w:r w:rsidR="00774250">
        <w:noBreakHyphen/>
      </w:r>
      <w:r>
        <w:t>established in this review, taking into account any changes in the ACT’s circumstances and the NCA reform process to modernise the NCP.</w:t>
      </w:r>
    </w:p>
    <w:p w14:paraId="36D9719A" w14:textId="77777777" w:rsidR="009E7F1B" w:rsidRPr="00721AA9" w:rsidRDefault="009E7F1B" w:rsidP="00F47EC7">
      <w:pPr>
        <w:pStyle w:val="CGCParaNumber"/>
      </w:pPr>
      <w:r w:rsidRPr="00721AA9">
        <w:t>The ACT said there was a strong case for continuing to assess planning allowances. It argued that the additional costs imposed on it were a structural feature of the dual planning system in place since self-government and showed little prospect of change. The constraints of the NCP continued to impose additional direct staffing costs on the ACT, chiefly regarding individual project elements to ensure they conform (in the view of the NCA) with the NCP. Additional staff resources were also required to obtain NCA approval for amendments to the Territory Plan.</w:t>
      </w:r>
    </w:p>
    <w:p w14:paraId="4EE7F46A" w14:textId="77777777" w:rsidR="009E7F1B" w:rsidRPr="00721AA9" w:rsidRDefault="009E7F1B" w:rsidP="00F47EC7">
      <w:pPr>
        <w:pStyle w:val="CGCParaNumber"/>
      </w:pPr>
      <w:r w:rsidRPr="00721AA9">
        <w:t xml:space="preserve">The </w:t>
      </w:r>
      <w:r w:rsidRPr="007A391D">
        <w:t xml:space="preserve">ACT provided new data on the additional costs arising from the operation of the NCP. It said NCP related costs were growing as the ACT grows </w:t>
      </w:r>
      <w:r>
        <w:t>-</w:t>
      </w:r>
      <w:r w:rsidRPr="007A391D">
        <w:t xml:space="preserve"> both in terms of its population and its economy </w:t>
      </w:r>
      <w:r>
        <w:t>-</w:t>
      </w:r>
      <w:r w:rsidRPr="00721AA9">
        <w:t xml:space="preserve"> and sought the following allowances.</w:t>
      </w:r>
    </w:p>
    <w:p w14:paraId="33986DAF" w14:textId="77777777" w:rsidR="009E7F1B" w:rsidRPr="007A391D" w:rsidRDefault="009E7F1B" w:rsidP="009E7F1B">
      <w:pPr>
        <w:pStyle w:val="CGCBullet1"/>
      </w:pPr>
      <w:r>
        <w:t xml:space="preserve">$1.8 million for NCP related planning and development activities, </w:t>
      </w:r>
      <w:r w:rsidRPr="007A391D">
        <w:t>equivalent to an extra 10.3 full time equivalent staff over four agencies, plus some minor consultancy costs.</w:t>
      </w:r>
    </w:p>
    <w:p w14:paraId="79B4B0FB" w14:textId="77777777" w:rsidR="009E7F1B" w:rsidRDefault="009E7F1B" w:rsidP="009E7F1B">
      <w:pPr>
        <w:pStyle w:val="CGCBullet1"/>
      </w:pPr>
      <w:r w:rsidRPr="007A391D">
        <w:t>$10 million for the</w:t>
      </w:r>
      <w:r>
        <w:rPr>
          <w:rStyle w:val="Heading5Char"/>
        </w:rPr>
        <w:t xml:space="preserve"> </w:t>
      </w:r>
      <w:r>
        <w:t>higher design specifications, time delays and additional administrative requirements associated with capital works projects, net of the value of improved amenity and design outcomes.</w:t>
      </w:r>
    </w:p>
    <w:p w14:paraId="23F6884B" w14:textId="77777777" w:rsidR="009E7F1B" w:rsidRPr="00C26442" w:rsidRDefault="009E7F1B" w:rsidP="00C26442">
      <w:pPr>
        <w:pStyle w:val="CGCBullet1"/>
      </w:pPr>
      <w:r w:rsidRPr="00C26442">
        <w:t>The ACT sought a new allowance ($6 million) for extra costs associated with its light rail project, due to the NCA imposed requirement for higher quality landscaping and fixtures.</w:t>
      </w:r>
    </w:p>
    <w:p w14:paraId="43D76982" w14:textId="77777777" w:rsidR="009E7F1B" w:rsidRDefault="009E7F1B" w:rsidP="009E7F1B">
      <w:pPr>
        <w:pStyle w:val="CGCBullet1"/>
      </w:pPr>
      <w:r>
        <w:t>$2.5 million for 20 staff dedicated to the operation of the leasehold system, who performed functions that did not exist in freehold systems in other States.</w:t>
      </w:r>
      <w:r>
        <w:rPr>
          <w:rStyle w:val="FootnoteReference"/>
        </w:rPr>
        <w:footnoteReference w:id="131"/>
      </w:r>
    </w:p>
    <w:p w14:paraId="39F765E9" w14:textId="77777777" w:rsidR="009E7F1B" w:rsidRDefault="009E7F1B" w:rsidP="00F47EC7">
      <w:pPr>
        <w:pStyle w:val="CGCParaNumber"/>
      </w:pPr>
      <w:r>
        <w:lastRenderedPageBreak/>
        <w:t xml:space="preserve">While the Commission observes that other States incur costs in their planning, land management and capital works activities from having to interact with other levels of government, it </w:t>
      </w:r>
      <w:r w:rsidRPr="007A391D">
        <w:t>considers the ACT has made the conceptual case for planning allowances associated with the NCP. Specifically, the Commission has decided to recognise the extra costs associated with the dual planning system, the administrative component of capital works projects and the operation of the leasehold system.</w:t>
      </w:r>
    </w:p>
    <w:p w14:paraId="630D72A2" w14:textId="77777777" w:rsidR="009E7F1B" w:rsidRDefault="009E7F1B" w:rsidP="00F47EC7">
      <w:pPr>
        <w:pStyle w:val="CGCParaNumber"/>
      </w:pPr>
      <w:r>
        <w:t xml:space="preserve">The Commission has decided not to recognise the ACT’s other claims in relation to capital works and the </w:t>
      </w:r>
      <w:r w:rsidRPr="00E37E8F">
        <w:t>light rail project.</w:t>
      </w:r>
      <w:r>
        <w:rPr>
          <w:rStyle w:val="FootnoteReference"/>
        </w:rPr>
        <w:footnoteReference w:id="132"/>
      </w:r>
      <w:r>
        <w:t xml:space="preserve"> The majority of these costs are associated with the use of higher specification materials and assets, making it difficult to distinguish the unavoidable costs to the ACT. This is further complicated by the effect on these costs of policy choice, for example in relation to the choice of transport mode.</w:t>
      </w:r>
    </w:p>
    <w:p w14:paraId="15F3ACA3" w14:textId="404CA296" w:rsidR="009E7F1B" w:rsidRDefault="009E7F1B" w:rsidP="00F47EC7">
      <w:pPr>
        <w:pStyle w:val="CGCParaNumber"/>
      </w:pPr>
      <w:r>
        <w:t>The Commission has used the data provided by the ACT as the basis of its assessed planning allowances for 2017</w:t>
      </w:r>
      <w:r>
        <w:noBreakHyphen/>
        <w:t xml:space="preserve">18. </w:t>
      </w:r>
      <w:r>
        <w:fldChar w:fldCharType="begin"/>
      </w:r>
      <w:r>
        <w:instrText xml:space="preserve"> REF _Ref2682381 \h </w:instrText>
      </w:r>
      <w:r>
        <w:fldChar w:fldCharType="separate"/>
      </w:r>
      <w:r w:rsidR="007F721A">
        <w:t>Table 29-</w:t>
      </w:r>
      <w:r w:rsidR="007F721A">
        <w:rPr>
          <w:noProof/>
        </w:rPr>
        <w:t>2</w:t>
      </w:r>
      <w:r>
        <w:fldChar w:fldCharType="end"/>
      </w:r>
      <w:r>
        <w:t xml:space="preserve"> shows the assessed planning allowances for 2017</w:t>
      </w:r>
      <w:r>
        <w:noBreakHyphen/>
        <w:t>18.</w:t>
      </w:r>
    </w:p>
    <w:p w14:paraId="40329F63" w14:textId="17E3B407" w:rsidR="009E7F1B" w:rsidRDefault="009E7F1B" w:rsidP="009E7F1B">
      <w:pPr>
        <w:pStyle w:val="Caption"/>
      </w:pPr>
      <w:bookmarkStart w:id="621" w:name="_Ref2682381"/>
      <w:r>
        <w:t>Table 29-</w:t>
      </w:r>
      <w:fldSimple w:instr=" SEQ Table \* ARABIC ">
        <w:r w:rsidR="007F721A">
          <w:rPr>
            <w:noProof/>
          </w:rPr>
          <w:t>2</w:t>
        </w:r>
      </w:fldSimple>
      <w:bookmarkEnd w:id="621"/>
      <w:r>
        <w:tab/>
        <w:t>National capital, planning allowances, 2020 Review</w:t>
      </w:r>
    </w:p>
    <w:tbl>
      <w:tblPr>
        <w:tblW w:w="8940" w:type="dxa"/>
        <w:tblCellMar>
          <w:left w:w="0" w:type="dxa"/>
          <w:right w:w="28" w:type="dxa"/>
        </w:tblCellMar>
        <w:tblLook w:val="04A0" w:firstRow="1" w:lastRow="0" w:firstColumn="1" w:lastColumn="0" w:noHBand="0" w:noVBand="1"/>
      </w:tblPr>
      <w:tblGrid>
        <w:gridCol w:w="7508"/>
        <w:gridCol w:w="1448"/>
      </w:tblGrid>
      <w:tr w:rsidR="009E7F1B" w:rsidRPr="005F0AD2" w14:paraId="0A32DA6F" w14:textId="77777777" w:rsidTr="00106CBA">
        <w:trPr>
          <w:trHeight w:val="374"/>
        </w:trPr>
        <w:tc>
          <w:tcPr>
            <w:tcW w:w="7500" w:type="dxa"/>
            <w:tcBorders>
              <w:top w:val="single" w:sz="4" w:space="0" w:color="ADD6EA"/>
              <w:left w:val="nil"/>
              <w:bottom w:val="single" w:sz="4" w:space="0" w:color="ADD6EA"/>
              <w:right w:val="nil"/>
            </w:tcBorders>
            <w:shd w:val="clear" w:color="000000" w:fill="006991"/>
            <w:hideMark/>
          </w:tcPr>
          <w:p w14:paraId="71197F50" w14:textId="77777777" w:rsidR="009E7F1B" w:rsidRPr="005F0AD2" w:rsidRDefault="009E7F1B"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5F0AD2">
              <w:rPr>
                <w:rFonts w:ascii="Open Sans SemiBold" w:eastAsia="Times New Roman" w:hAnsi="Open Sans SemiBold" w:cs="Open Sans SemiBold"/>
                <w:color w:val="FFFFFF"/>
                <w:sz w:val="16"/>
                <w:szCs w:val="16"/>
                <w:lang w:eastAsia="en-AU"/>
              </w:rPr>
              <w:t> </w:t>
            </w:r>
          </w:p>
        </w:tc>
        <w:tc>
          <w:tcPr>
            <w:tcW w:w="1440" w:type="dxa"/>
            <w:tcBorders>
              <w:top w:val="single" w:sz="4" w:space="0" w:color="ADD6EA"/>
              <w:left w:val="nil"/>
              <w:bottom w:val="single" w:sz="4" w:space="0" w:color="ADD6EA"/>
              <w:right w:val="nil"/>
            </w:tcBorders>
            <w:shd w:val="clear" w:color="000000" w:fill="006991"/>
            <w:vAlign w:val="center"/>
            <w:hideMark/>
          </w:tcPr>
          <w:p w14:paraId="7A3624E8" w14:textId="77777777" w:rsidR="009E7F1B" w:rsidRPr="005F0AD2" w:rsidRDefault="009E7F1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5F0AD2">
              <w:rPr>
                <w:rFonts w:ascii="Open Sans SemiBold" w:eastAsia="Times New Roman" w:hAnsi="Open Sans SemiBold" w:cs="Open Sans SemiBold"/>
                <w:color w:val="FFFFFF"/>
                <w:sz w:val="16"/>
                <w:szCs w:val="16"/>
                <w:lang w:eastAsia="en-AU"/>
              </w:rPr>
              <w:t>2017-18</w:t>
            </w:r>
          </w:p>
        </w:tc>
      </w:tr>
      <w:tr w:rsidR="009E7F1B" w:rsidRPr="005F0AD2" w14:paraId="4486E52F" w14:textId="77777777" w:rsidTr="00106CBA">
        <w:trPr>
          <w:trHeight w:val="259"/>
        </w:trPr>
        <w:tc>
          <w:tcPr>
            <w:tcW w:w="7500" w:type="dxa"/>
            <w:tcBorders>
              <w:top w:val="nil"/>
              <w:left w:val="nil"/>
              <w:bottom w:val="single" w:sz="4" w:space="0" w:color="ADD6EA"/>
              <w:right w:val="nil"/>
            </w:tcBorders>
            <w:shd w:val="clear" w:color="000000" w:fill="B6D5E4"/>
            <w:noWrap/>
            <w:vAlign w:val="center"/>
            <w:hideMark/>
          </w:tcPr>
          <w:p w14:paraId="5BF29B6E" w14:textId="77777777" w:rsidR="009E7F1B" w:rsidRPr="005F0AD2" w:rsidRDefault="009E7F1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F0AD2">
              <w:rPr>
                <w:rFonts w:ascii="Open Sans SemiBold" w:eastAsia="Times New Roman" w:hAnsi="Open Sans SemiBold" w:cs="Open Sans SemiBold"/>
                <w:color w:val="000000"/>
                <w:sz w:val="16"/>
                <w:szCs w:val="16"/>
                <w:lang w:eastAsia="en-AU"/>
              </w:rPr>
              <w:t> </w:t>
            </w:r>
          </w:p>
        </w:tc>
        <w:tc>
          <w:tcPr>
            <w:tcW w:w="1440" w:type="dxa"/>
            <w:tcBorders>
              <w:top w:val="nil"/>
              <w:left w:val="nil"/>
              <w:bottom w:val="single" w:sz="4" w:space="0" w:color="ADD6EA"/>
              <w:right w:val="nil"/>
            </w:tcBorders>
            <w:shd w:val="clear" w:color="000000" w:fill="B6D5E4"/>
            <w:noWrap/>
            <w:vAlign w:val="bottom"/>
            <w:hideMark/>
          </w:tcPr>
          <w:p w14:paraId="0541B344" w14:textId="77777777" w:rsidR="009E7F1B" w:rsidRPr="005F0AD2" w:rsidRDefault="009E7F1B" w:rsidP="00C7202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5F0AD2">
              <w:rPr>
                <w:rFonts w:ascii="Open Sans SemiBold" w:eastAsia="Times New Roman" w:hAnsi="Open Sans SemiBold" w:cs="Open Sans SemiBold"/>
                <w:color w:val="000000"/>
                <w:sz w:val="16"/>
                <w:szCs w:val="16"/>
                <w:lang w:eastAsia="en-AU"/>
              </w:rPr>
              <w:t>$m</w:t>
            </w:r>
          </w:p>
        </w:tc>
      </w:tr>
      <w:tr w:rsidR="009E7F1B" w:rsidRPr="005F0AD2" w14:paraId="0B9CB348" w14:textId="77777777" w:rsidTr="00106CBA">
        <w:trPr>
          <w:trHeight w:val="315"/>
        </w:trPr>
        <w:tc>
          <w:tcPr>
            <w:tcW w:w="7500" w:type="dxa"/>
            <w:tcBorders>
              <w:top w:val="nil"/>
              <w:left w:val="nil"/>
              <w:bottom w:val="single" w:sz="4" w:space="0" w:color="ADD6EA"/>
              <w:right w:val="nil"/>
            </w:tcBorders>
            <w:shd w:val="clear" w:color="auto" w:fill="auto"/>
            <w:vAlign w:val="bottom"/>
            <w:hideMark/>
          </w:tcPr>
          <w:p w14:paraId="06131FBC" w14:textId="77777777" w:rsidR="009E7F1B" w:rsidRPr="005F0AD2" w:rsidRDefault="009E7F1B" w:rsidP="004D65FE">
            <w:pPr>
              <w:tabs>
                <w:tab w:val="clear" w:pos="567"/>
              </w:tabs>
              <w:spacing w:before="0" w:line="240" w:lineRule="auto"/>
              <w:rPr>
                <w:rFonts w:ascii="Open Sans SemiBold" w:eastAsia="Times New Roman" w:hAnsi="Open Sans SemiBold" w:cs="Open Sans SemiBold"/>
                <w:sz w:val="16"/>
                <w:szCs w:val="16"/>
                <w:lang w:eastAsia="en-AU"/>
              </w:rPr>
            </w:pPr>
            <w:r w:rsidRPr="005F0AD2">
              <w:rPr>
                <w:rFonts w:ascii="Open Sans SemiBold" w:eastAsia="Times New Roman" w:hAnsi="Open Sans SemiBold" w:cs="Open Sans SemiBold"/>
                <w:sz w:val="16"/>
                <w:szCs w:val="16"/>
                <w:lang w:eastAsia="en-AU"/>
              </w:rPr>
              <w:t>Planning</w:t>
            </w:r>
          </w:p>
        </w:tc>
        <w:tc>
          <w:tcPr>
            <w:tcW w:w="1440" w:type="dxa"/>
            <w:tcBorders>
              <w:top w:val="nil"/>
              <w:left w:val="nil"/>
              <w:bottom w:val="single" w:sz="4" w:space="0" w:color="ADD6EA"/>
              <w:right w:val="nil"/>
            </w:tcBorders>
            <w:shd w:val="clear" w:color="auto" w:fill="auto"/>
            <w:vAlign w:val="bottom"/>
            <w:hideMark/>
          </w:tcPr>
          <w:p w14:paraId="26B512BD" w14:textId="77777777" w:rsidR="009E7F1B" w:rsidRPr="005F0AD2" w:rsidRDefault="009E7F1B" w:rsidP="004D65FE">
            <w:pPr>
              <w:tabs>
                <w:tab w:val="clear" w:pos="567"/>
              </w:tabs>
              <w:spacing w:before="0" w:line="240" w:lineRule="auto"/>
              <w:rPr>
                <w:rFonts w:eastAsia="Times New Roman" w:cs="Open Sans Light"/>
                <w:sz w:val="16"/>
                <w:szCs w:val="16"/>
                <w:lang w:eastAsia="en-AU"/>
              </w:rPr>
            </w:pPr>
            <w:r w:rsidRPr="005F0AD2">
              <w:rPr>
                <w:rFonts w:eastAsia="Times New Roman" w:cs="Open Sans Light"/>
                <w:sz w:val="16"/>
                <w:szCs w:val="16"/>
                <w:lang w:eastAsia="en-AU"/>
              </w:rPr>
              <w:t> </w:t>
            </w:r>
          </w:p>
        </w:tc>
      </w:tr>
      <w:tr w:rsidR="009E7F1B" w:rsidRPr="005F0AD2" w14:paraId="5C7F5361" w14:textId="77777777" w:rsidTr="00106CBA">
        <w:trPr>
          <w:trHeight w:val="315"/>
        </w:trPr>
        <w:tc>
          <w:tcPr>
            <w:tcW w:w="7500" w:type="dxa"/>
            <w:tcBorders>
              <w:top w:val="nil"/>
              <w:left w:val="nil"/>
              <w:bottom w:val="single" w:sz="4" w:space="0" w:color="ADD6EA"/>
              <w:right w:val="nil"/>
            </w:tcBorders>
            <w:shd w:val="clear" w:color="auto" w:fill="auto"/>
            <w:vAlign w:val="bottom"/>
            <w:hideMark/>
          </w:tcPr>
          <w:p w14:paraId="159683BC" w14:textId="77777777" w:rsidR="009E7F1B" w:rsidRPr="005F0AD2" w:rsidRDefault="009E7F1B" w:rsidP="004D65FE">
            <w:pPr>
              <w:tabs>
                <w:tab w:val="clear" w:pos="567"/>
              </w:tabs>
              <w:spacing w:before="0" w:line="240" w:lineRule="auto"/>
              <w:rPr>
                <w:rFonts w:eastAsia="Times New Roman" w:cs="Open Sans Light"/>
                <w:sz w:val="16"/>
                <w:szCs w:val="16"/>
                <w:lang w:eastAsia="en-AU"/>
              </w:rPr>
            </w:pPr>
            <w:r w:rsidRPr="005F0AD2">
              <w:rPr>
                <w:rFonts w:eastAsia="Times New Roman" w:cs="Open Sans Light"/>
                <w:sz w:val="16"/>
                <w:szCs w:val="16"/>
                <w:lang w:eastAsia="en-AU"/>
              </w:rPr>
              <w:t>Additional costs imposed by the NCP in relation to planning and development activities</w:t>
            </w:r>
          </w:p>
        </w:tc>
        <w:tc>
          <w:tcPr>
            <w:tcW w:w="1440" w:type="dxa"/>
            <w:tcBorders>
              <w:top w:val="nil"/>
              <w:left w:val="nil"/>
              <w:bottom w:val="single" w:sz="4" w:space="0" w:color="ADD6EA"/>
              <w:right w:val="nil"/>
            </w:tcBorders>
            <w:shd w:val="clear" w:color="auto" w:fill="auto"/>
            <w:vAlign w:val="bottom"/>
            <w:hideMark/>
          </w:tcPr>
          <w:p w14:paraId="4A488E13" w14:textId="77777777" w:rsidR="009E7F1B" w:rsidRPr="005F0AD2" w:rsidRDefault="009E7F1B" w:rsidP="004D65FE">
            <w:pPr>
              <w:tabs>
                <w:tab w:val="clear" w:pos="567"/>
              </w:tabs>
              <w:spacing w:before="0" w:line="240" w:lineRule="auto"/>
              <w:jc w:val="right"/>
              <w:rPr>
                <w:rFonts w:eastAsia="Times New Roman" w:cs="Open Sans Light"/>
                <w:sz w:val="16"/>
                <w:szCs w:val="16"/>
                <w:lang w:eastAsia="en-AU"/>
              </w:rPr>
            </w:pPr>
            <w:r w:rsidRPr="005F0AD2">
              <w:rPr>
                <w:rFonts w:eastAsia="Times New Roman" w:cs="Open Sans Light"/>
                <w:sz w:val="16"/>
                <w:szCs w:val="16"/>
                <w:lang w:eastAsia="en-AU"/>
              </w:rPr>
              <w:t>1.8</w:t>
            </w:r>
          </w:p>
        </w:tc>
      </w:tr>
      <w:tr w:rsidR="009E7F1B" w:rsidRPr="005F0AD2" w14:paraId="466C941B" w14:textId="77777777" w:rsidTr="00106CBA">
        <w:trPr>
          <w:trHeight w:val="315"/>
        </w:trPr>
        <w:tc>
          <w:tcPr>
            <w:tcW w:w="7500" w:type="dxa"/>
            <w:tcBorders>
              <w:top w:val="nil"/>
              <w:left w:val="nil"/>
              <w:bottom w:val="single" w:sz="4" w:space="0" w:color="ADD6EA"/>
              <w:right w:val="nil"/>
            </w:tcBorders>
            <w:shd w:val="clear" w:color="auto" w:fill="auto"/>
            <w:vAlign w:val="bottom"/>
            <w:hideMark/>
          </w:tcPr>
          <w:p w14:paraId="1BAEA055" w14:textId="77777777" w:rsidR="009E7F1B" w:rsidRPr="005F0AD2" w:rsidRDefault="009E7F1B" w:rsidP="004D65FE">
            <w:pPr>
              <w:tabs>
                <w:tab w:val="clear" w:pos="567"/>
              </w:tabs>
              <w:spacing w:before="0" w:line="240" w:lineRule="auto"/>
              <w:rPr>
                <w:rFonts w:eastAsia="Times New Roman" w:cs="Open Sans Light"/>
                <w:sz w:val="16"/>
                <w:szCs w:val="16"/>
                <w:lang w:eastAsia="en-AU"/>
              </w:rPr>
            </w:pPr>
            <w:r w:rsidRPr="005F0AD2">
              <w:rPr>
                <w:rFonts w:eastAsia="Times New Roman" w:cs="Open Sans Light"/>
                <w:sz w:val="16"/>
                <w:szCs w:val="16"/>
                <w:lang w:eastAsia="en-AU"/>
              </w:rPr>
              <w:t>Additional costs imposed by the NCP in relation to capital works program administration</w:t>
            </w:r>
          </w:p>
        </w:tc>
        <w:tc>
          <w:tcPr>
            <w:tcW w:w="1440" w:type="dxa"/>
            <w:tcBorders>
              <w:top w:val="nil"/>
              <w:left w:val="nil"/>
              <w:bottom w:val="single" w:sz="4" w:space="0" w:color="ADD6EA"/>
              <w:right w:val="nil"/>
            </w:tcBorders>
            <w:shd w:val="clear" w:color="auto" w:fill="auto"/>
            <w:vAlign w:val="bottom"/>
            <w:hideMark/>
          </w:tcPr>
          <w:p w14:paraId="1549AC88" w14:textId="77777777" w:rsidR="009E7F1B" w:rsidRPr="005F0AD2" w:rsidRDefault="009E7F1B" w:rsidP="004D65FE">
            <w:pPr>
              <w:tabs>
                <w:tab w:val="clear" w:pos="567"/>
              </w:tabs>
              <w:spacing w:before="0" w:line="240" w:lineRule="auto"/>
              <w:jc w:val="right"/>
              <w:rPr>
                <w:rFonts w:eastAsia="Times New Roman" w:cs="Open Sans Light"/>
                <w:sz w:val="16"/>
                <w:szCs w:val="16"/>
                <w:lang w:eastAsia="en-AU"/>
              </w:rPr>
            </w:pPr>
            <w:r w:rsidRPr="005F0AD2">
              <w:rPr>
                <w:rFonts w:eastAsia="Times New Roman" w:cs="Open Sans Light"/>
                <w:sz w:val="16"/>
                <w:szCs w:val="16"/>
                <w:lang w:eastAsia="en-AU"/>
              </w:rPr>
              <w:t>2.2</w:t>
            </w:r>
          </w:p>
        </w:tc>
      </w:tr>
      <w:tr w:rsidR="009E7F1B" w:rsidRPr="005F0AD2" w14:paraId="179418BC" w14:textId="77777777" w:rsidTr="00106CBA">
        <w:trPr>
          <w:trHeight w:val="315"/>
        </w:trPr>
        <w:tc>
          <w:tcPr>
            <w:tcW w:w="7500" w:type="dxa"/>
            <w:tcBorders>
              <w:top w:val="nil"/>
              <w:left w:val="nil"/>
              <w:bottom w:val="single" w:sz="4" w:space="0" w:color="ADD6EA"/>
              <w:right w:val="nil"/>
            </w:tcBorders>
            <w:shd w:val="clear" w:color="auto" w:fill="auto"/>
            <w:vAlign w:val="bottom"/>
            <w:hideMark/>
          </w:tcPr>
          <w:p w14:paraId="4E7A9A36" w14:textId="77777777" w:rsidR="009E7F1B" w:rsidRPr="005F0AD2" w:rsidRDefault="009E7F1B" w:rsidP="004D65FE">
            <w:pPr>
              <w:tabs>
                <w:tab w:val="clear" w:pos="567"/>
              </w:tabs>
              <w:spacing w:before="0" w:line="240" w:lineRule="auto"/>
              <w:rPr>
                <w:rFonts w:eastAsia="Times New Roman" w:cs="Open Sans Light"/>
                <w:sz w:val="16"/>
                <w:szCs w:val="16"/>
                <w:lang w:eastAsia="en-AU"/>
              </w:rPr>
            </w:pPr>
            <w:r w:rsidRPr="005F0AD2">
              <w:rPr>
                <w:rFonts w:eastAsia="Times New Roman" w:cs="Open Sans Light"/>
                <w:sz w:val="16"/>
                <w:szCs w:val="16"/>
                <w:lang w:eastAsia="en-AU"/>
              </w:rPr>
              <w:t>Additional costs incurred by the ACT in operating a leasehold system</w:t>
            </w:r>
          </w:p>
        </w:tc>
        <w:tc>
          <w:tcPr>
            <w:tcW w:w="1440" w:type="dxa"/>
            <w:tcBorders>
              <w:top w:val="nil"/>
              <w:left w:val="nil"/>
              <w:bottom w:val="single" w:sz="4" w:space="0" w:color="ADD6EA"/>
              <w:right w:val="nil"/>
            </w:tcBorders>
            <w:shd w:val="clear" w:color="auto" w:fill="auto"/>
            <w:vAlign w:val="bottom"/>
            <w:hideMark/>
          </w:tcPr>
          <w:p w14:paraId="507AF19E" w14:textId="77777777" w:rsidR="009E7F1B" w:rsidRPr="005F0AD2" w:rsidRDefault="009E7F1B" w:rsidP="004D65FE">
            <w:pPr>
              <w:tabs>
                <w:tab w:val="clear" w:pos="567"/>
              </w:tabs>
              <w:spacing w:before="0" w:line="240" w:lineRule="auto"/>
              <w:jc w:val="right"/>
              <w:rPr>
                <w:rFonts w:eastAsia="Times New Roman" w:cs="Open Sans Light"/>
                <w:sz w:val="16"/>
                <w:szCs w:val="16"/>
                <w:lang w:eastAsia="en-AU"/>
              </w:rPr>
            </w:pPr>
            <w:r w:rsidRPr="005F0AD2">
              <w:rPr>
                <w:rFonts w:eastAsia="Times New Roman" w:cs="Open Sans Light"/>
                <w:sz w:val="16"/>
                <w:szCs w:val="16"/>
                <w:lang w:eastAsia="en-AU"/>
              </w:rPr>
              <w:t>2.5</w:t>
            </w:r>
          </w:p>
        </w:tc>
      </w:tr>
    </w:tbl>
    <w:p w14:paraId="2785B213" w14:textId="77777777" w:rsidR="009E7F1B" w:rsidRPr="00673C4E" w:rsidRDefault="009E7F1B" w:rsidP="009E7F1B">
      <w:pPr>
        <w:pStyle w:val="CGCTablenote"/>
      </w:pPr>
      <w:r>
        <w:t xml:space="preserve">Source: </w:t>
      </w:r>
      <w:r>
        <w:tab/>
        <w:t>Commission calculations and the ACT Rejoinder Submission.</w:t>
      </w:r>
    </w:p>
    <w:p w14:paraId="4F0D4B35" w14:textId="49E5FABE" w:rsidR="009E7F1B" w:rsidRDefault="009E7F1B" w:rsidP="00F47EC7">
      <w:pPr>
        <w:pStyle w:val="CGCParaNumber"/>
      </w:pPr>
      <w:r>
        <w:t xml:space="preserve">The ACT also sought several allowances relating to </w:t>
      </w:r>
      <w:r w:rsidRPr="005E66D8">
        <w:t>urban form</w:t>
      </w:r>
      <w:r>
        <w:t xml:space="preserve">, additional services provided to the Commonwealth </w:t>
      </w:r>
      <w:r w:rsidR="007E2E79">
        <w:t>government</w:t>
      </w:r>
      <w:r>
        <w:t xml:space="preserve"> and roads. The Commission has not assessed allowances in these areas. In relation to the ACT’s claim for management of an above average urban</w:t>
      </w:r>
      <w:r w:rsidR="00043B6E">
        <w:noBreakHyphen/>
      </w:r>
      <w:r>
        <w:t xml:space="preserve">bush interface and open space, the Commission observes that the ratio of open space in Canberra is comparable with Perth, Hobart and Darwin. In addition, the ACT has clear capacity to manage its level of open space, as evidenced by its urban infill policies. The Commission considers the ACT’s claim with regard to services provided to the Commonwealth </w:t>
      </w:r>
      <w:r w:rsidR="007E2E79">
        <w:t>government</w:t>
      </w:r>
      <w:r>
        <w:t xml:space="preserve"> relate to its level of funding via a multilateral memorandum of understanding (MoU) and is outside the scope of the national capital assessment. The wider roads allowance, assessed in previous reviews, has been discontinued consistent with the Commission’s decision when the allowance was introduced in the 2004 Review.</w:t>
      </w:r>
    </w:p>
    <w:p w14:paraId="4C0B14F5" w14:textId="77777777" w:rsidR="009E7F1B" w:rsidRDefault="009E7F1B" w:rsidP="009E7F1B">
      <w:pPr>
        <w:pStyle w:val="Heading5"/>
      </w:pPr>
      <w:r>
        <w:t>Police allowance</w:t>
      </w:r>
    </w:p>
    <w:p w14:paraId="602FD9A3" w14:textId="74F0A2CC" w:rsidR="009E7F1B" w:rsidRDefault="009E7F1B" w:rsidP="00F47EC7">
      <w:pPr>
        <w:pStyle w:val="CGCParaNumber"/>
      </w:pPr>
      <w:r>
        <w:t xml:space="preserve">The Commission accepts that the ACT has </w:t>
      </w:r>
      <w:r w:rsidRPr="00C65B42">
        <w:t>no practical alternative but to use the AFP as the provider of its policing services. This leads to higher costs because the AFP pays above average salaries to its employees.</w:t>
      </w:r>
      <w:r>
        <w:t xml:space="preserve"> Consequently, the Commission has decided to</w:t>
      </w:r>
      <w:r w:rsidRPr="008B5E9D">
        <w:t xml:space="preserve"> </w:t>
      </w:r>
      <w:r>
        <w:t xml:space="preserve">retain the police allowance. </w:t>
      </w:r>
      <w:r>
        <w:fldChar w:fldCharType="begin"/>
      </w:r>
      <w:r>
        <w:instrText xml:space="preserve"> REF _Ref2675301 \h </w:instrText>
      </w:r>
      <w:r>
        <w:fldChar w:fldCharType="separate"/>
      </w:r>
      <w:r w:rsidR="007F721A">
        <w:t>Table 29-</w:t>
      </w:r>
      <w:r w:rsidR="007F721A">
        <w:rPr>
          <w:noProof/>
        </w:rPr>
        <w:t>3</w:t>
      </w:r>
      <w:r>
        <w:fldChar w:fldCharType="end"/>
      </w:r>
      <w:r>
        <w:t xml:space="preserve"> shows that the police allowance is calculated by:</w:t>
      </w:r>
    </w:p>
    <w:p w14:paraId="26BD2BDE" w14:textId="77777777" w:rsidR="009E7F1B" w:rsidRDefault="009E7F1B" w:rsidP="009E7F1B">
      <w:pPr>
        <w:pStyle w:val="CGCBullet1"/>
      </w:pPr>
      <w:r w:rsidRPr="00F46B46">
        <w:t>deriv</w:t>
      </w:r>
      <w:r>
        <w:t>ing</w:t>
      </w:r>
      <w:r w:rsidRPr="00F46B46">
        <w:t xml:space="preserve"> a no</w:t>
      </w:r>
      <w:r>
        <w:t>tional</w:t>
      </w:r>
      <w:r w:rsidRPr="00F46B46">
        <w:t xml:space="preserve"> level of ACT police staffing by applying </w:t>
      </w:r>
      <w:r>
        <w:t>the</w:t>
      </w:r>
      <w:r w:rsidRPr="00F46B46">
        <w:t xml:space="preserve"> national average per capita </w:t>
      </w:r>
      <w:r>
        <w:t>number</w:t>
      </w:r>
      <w:r w:rsidRPr="00F46B46">
        <w:t xml:space="preserve"> of police staff (sworn and unsworn </w:t>
      </w:r>
      <w:r>
        <w:t>staff</w:t>
      </w:r>
      <w:r w:rsidRPr="00F46B46">
        <w:t xml:space="preserve"> combined) to the ACT</w:t>
      </w:r>
      <w:r>
        <w:t>’s</w:t>
      </w:r>
      <w:r w:rsidRPr="00F46B46">
        <w:t xml:space="preserve"> population</w:t>
      </w:r>
    </w:p>
    <w:p w14:paraId="42489B78" w14:textId="77777777" w:rsidR="009E7F1B" w:rsidRDefault="009E7F1B" w:rsidP="009E7F1B">
      <w:pPr>
        <w:pStyle w:val="CGCBullet1"/>
      </w:pPr>
      <w:r w:rsidRPr="00F46B46">
        <w:lastRenderedPageBreak/>
        <w:t>multiply</w:t>
      </w:r>
      <w:r>
        <w:t>ing that notional staffing</w:t>
      </w:r>
      <w:r w:rsidRPr="00F46B46">
        <w:t xml:space="preserve"> </w:t>
      </w:r>
      <w:r>
        <w:t xml:space="preserve">level </w:t>
      </w:r>
      <w:r w:rsidRPr="00F46B46">
        <w:t xml:space="preserve">by the difference between </w:t>
      </w:r>
      <w:r>
        <w:t xml:space="preserve">the </w:t>
      </w:r>
      <w:r w:rsidRPr="00F46B46">
        <w:t xml:space="preserve">average AFP and </w:t>
      </w:r>
      <w:r>
        <w:t xml:space="preserve">the </w:t>
      </w:r>
      <w:r w:rsidRPr="00F46B46">
        <w:t xml:space="preserve">average State police staff salaries (sworn and unsworn </w:t>
      </w:r>
      <w:r>
        <w:t xml:space="preserve">staff </w:t>
      </w:r>
      <w:r w:rsidRPr="00F46B46">
        <w:t>combined)</w:t>
      </w:r>
      <w:r>
        <w:t>,</w:t>
      </w:r>
      <w:r w:rsidRPr="00F46B46">
        <w:t xml:space="preserve"> discounted for the </w:t>
      </w:r>
      <w:r>
        <w:t xml:space="preserve">ACT’s </w:t>
      </w:r>
      <w:r w:rsidRPr="00F46B46">
        <w:t>wage costs factor to avoid double counting the higher underlying wage levels in the ACT.</w:t>
      </w:r>
    </w:p>
    <w:p w14:paraId="768130CB" w14:textId="0FA5CA10" w:rsidR="009E7F1B" w:rsidRPr="00F46B46" w:rsidRDefault="009E7F1B" w:rsidP="00F47EC7">
      <w:pPr>
        <w:pStyle w:val="CGCParaNumber"/>
      </w:pPr>
      <w:r>
        <w:t xml:space="preserve">The </w:t>
      </w:r>
      <w:r w:rsidRPr="00F46B46">
        <w:t xml:space="preserve">national average staffing </w:t>
      </w:r>
      <w:r w:rsidRPr="002077FA">
        <w:t>level</w:t>
      </w:r>
      <w:r w:rsidRPr="00F46B46">
        <w:t xml:space="preserve"> </w:t>
      </w:r>
      <w:r>
        <w:t xml:space="preserve">is adjusted </w:t>
      </w:r>
      <w:r w:rsidRPr="00F46B46">
        <w:t xml:space="preserve">because </w:t>
      </w:r>
      <w:r>
        <w:t xml:space="preserve">the </w:t>
      </w:r>
      <w:r w:rsidRPr="00F46B46">
        <w:t>ACT</w:t>
      </w:r>
      <w:r>
        <w:t>’s socio-demographic characteristics</w:t>
      </w:r>
      <w:r w:rsidR="002E7D60">
        <w:t xml:space="preserve"> </w:t>
      </w:r>
      <w:r w:rsidR="0084797E">
        <w:t xml:space="preserve">(SDC) </w:t>
      </w:r>
      <w:r>
        <w:t>examined</w:t>
      </w:r>
      <w:r w:rsidRPr="00540A1D">
        <w:t xml:space="preserve"> </w:t>
      </w:r>
      <w:r w:rsidRPr="00F46B46">
        <w:t>in the Justice assessment</w:t>
      </w:r>
      <w:r>
        <w:t xml:space="preserve"> indicate that it </w:t>
      </w:r>
      <w:r w:rsidRPr="00F46B46">
        <w:t>need</w:t>
      </w:r>
      <w:r>
        <w:t>s</w:t>
      </w:r>
      <w:r w:rsidRPr="00F46B46">
        <w:t xml:space="preserve"> less than the average police staff to population ratio. The ACT staffing level </w:t>
      </w:r>
      <w:r>
        <w:t>is</w:t>
      </w:r>
      <w:r w:rsidRPr="00F46B46">
        <w:t xml:space="preserve"> calculated by </w:t>
      </w:r>
      <w:r>
        <w:t>adjusting</w:t>
      </w:r>
      <w:r w:rsidRPr="00F46B46">
        <w:t xml:space="preserve"> the national average per capita level of police staff </w:t>
      </w:r>
      <w:r>
        <w:t>for</w:t>
      </w:r>
      <w:r w:rsidRPr="00F46B46">
        <w:t xml:space="preserve"> the ACT’s </w:t>
      </w:r>
      <w:r>
        <w:t>j</w:t>
      </w:r>
      <w:r w:rsidRPr="00F46B46">
        <w:t xml:space="preserve">ustice services </w:t>
      </w:r>
      <w:r w:rsidR="00181B5C">
        <w:t>SDC</w:t>
      </w:r>
      <w:r>
        <w:rPr>
          <w:rStyle w:val="FootnoteReference"/>
        </w:rPr>
        <w:footnoteReference w:id="133"/>
      </w:r>
      <w:r w:rsidRPr="00F46B46">
        <w:t xml:space="preserve"> and its population.</w:t>
      </w:r>
    </w:p>
    <w:p w14:paraId="5539D2A8" w14:textId="078DA269" w:rsidR="009E7F1B" w:rsidRPr="00F46B46" w:rsidRDefault="009E7F1B" w:rsidP="00F47EC7">
      <w:pPr>
        <w:pStyle w:val="CGCParaNumber"/>
      </w:pPr>
      <w:r>
        <w:t xml:space="preserve">The staffing and salaries data are sourced </w:t>
      </w:r>
      <w:r w:rsidRPr="00F46B46">
        <w:t xml:space="preserve">from the Productivity Commission’s </w:t>
      </w:r>
      <w:r w:rsidRPr="00EC175E">
        <w:rPr>
          <w:i/>
        </w:rPr>
        <w:t>Report on Government Services</w:t>
      </w:r>
      <w:r w:rsidRPr="00F46B46">
        <w:t xml:space="preserve">, which is a reliable and comparable </w:t>
      </w:r>
      <w:r>
        <w:t xml:space="preserve">data </w:t>
      </w:r>
      <w:r w:rsidRPr="00F46B46">
        <w:t>source. The assessment</w:t>
      </w:r>
      <w:r>
        <w:t xml:space="preserve"> is updated annually</w:t>
      </w:r>
      <w:r w:rsidRPr="00F46B46">
        <w:t xml:space="preserve">. However, due to the time lag in </w:t>
      </w:r>
      <w:r>
        <w:t xml:space="preserve">the </w:t>
      </w:r>
      <w:r w:rsidRPr="00F46B46">
        <w:t xml:space="preserve">production </w:t>
      </w:r>
      <w:r>
        <w:t>of the report</w:t>
      </w:r>
      <w:r w:rsidRPr="00F46B46">
        <w:t xml:space="preserve">, </w:t>
      </w:r>
      <w:r>
        <w:t>the Commission</w:t>
      </w:r>
      <w:r w:rsidRPr="00F46B46">
        <w:t xml:space="preserve"> indexe</w:t>
      </w:r>
      <w:r>
        <w:t>s</w:t>
      </w:r>
      <w:r w:rsidRPr="00F46B46">
        <w:t xml:space="preserve"> the most recently calculated allowance using </w:t>
      </w:r>
      <w:r w:rsidR="006345C5">
        <w:t xml:space="preserve">Australian Bureau of Statistics (ABS) </w:t>
      </w:r>
      <w:r w:rsidRPr="00F46B46">
        <w:t>national public sector wage price index.</w:t>
      </w:r>
    </w:p>
    <w:p w14:paraId="26535B10" w14:textId="345E9B28" w:rsidR="009E7F1B" w:rsidRDefault="009E7F1B" w:rsidP="009E7F1B">
      <w:pPr>
        <w:pStyle w:val="Caption"/>
      </w:pPr>
      <w:bookmarkStart w:id="622" w:name="_Ref2675301"/>
      <w:r>
        <w:t>Table 29-</w:t>
      </w:r>
      <w:fldSimple w:instr=" SEQ Table \* ARABIC ">
        <w:r w:rsidR="007F721A">
          <w:rPr>
            <w:noProof/>
          </w:rPr>
          <w:t>3</w:t>
        </w:r>
      </w:fldSimple>
      <w:bookmarkEnd w:id="622"/>
      <w:r>
        <w:tab/>
        <w:t>National capital allowance, police services</w:t>
      </w:r>
    </w:p>
    <w:tbl>
      <w:tblPr>
        <w:tblW w:w="8902" w:type="dxa"/>
        <w:tblCellMar>
          <w:left w:w="28" w:type="dxa"/>
          <w:right w:w="28" w:type="dxa"/>
        </w:tblCellMar>
        <w:tblLook w:val="04A0" w:firstRow="1" w:lastRow="0" w:firstColumn="1" w:lastColumn="0" w:noHBand="0" w:noVBand="1"/>
      </w:tblPr>
      <w:tblGrid>
        <w:gridCol w:w="4453"/>
        <w:gridCol w:w="1110"/>
        <w:gridCol w:w="1113"/>
        <w:gridCol w:w="1113"/>
        <w:gridCol w:w="1113"/>
      </w:tblGrid>
      <w:tr w:rsidR="00A83B3E" w:rsidRPr="00254EF1" w14:paraId="5DC41422" w14:textId="77777777" w:rsidTr="00D518AA">
        <w:trPr>
          <w:trHeight w:val="284"/>
        </w:trPr>
        <w:tc>
          <w:tcPr>
            <w:tcW w:w="4500" w:type="dxa"/>
            <w:tcBorders>
              <w:top w:val="single" w:sz="4" w:space="0" w:color="ADD6EA"/>
              <w:left w:val="nil"/>
              <w:bottom w:val="single" w:sz="4" w:space="0" w:color="ADD6EA"/>
              <w:right w:val="nil"/>
            </w:tcBorders>
            <w:shd w:val="clear" w:color="000000" w:fill="006991"/>
            <w:hideMark/>
          </w:tcPr>
          <w:p w14:paraId="57C44733" w14:textId="77777777" w:rsidR="00A83B3E" w:rsidRPr="00254EF1" w:rsidRDefault="00A83B3E" w:rsidP="00DA2092">
            <w:pPr>
              <w:tabs>
                <w:tab w:val="clear" w:pos="567"/>
              </w:tabs>
              <w:spacing w:before="0" w:line="240" w:lineRule="auto"/>
              <w:rPr>
                <w:rFonts w:ascii="Open Sans SemiBold" w:eastAsia="Times New Roman" w:hAnsi="Open Sans SemiBold" w:cs="Open Sans SemiBold"/>
                <w:color w:val="FFFFFF"/>
                <w:sz w:val="16"/>
                <w:szCs w:val="16"/>
                <w:lang w:eastAsia="en-AU"/>
              </w:rPr>
            </w:pPr>
            <w:r w:rsidRPr="00254EF1">
              <w:rPr>
                <w:rFonts w:ascii="Open Sans SemiBold" w:eastAsia="Times New Roman" w:hAnsi="Open Sans SemiBold" w:cs="Open Sans SemiBold"/>
                <w:color w:val="FFFFFF"/>
                <w:sz w:val="16"/>
                <w:szCs w:val="16"/>
                <w:lang w:eastAsia="en-AU"/>
              </w:rPr>
              <w:t> </w:t>
            </w:r>
          </w:p>
        </w:tc>
        <w:tc>
          <w:tcPr>
            <w:tcW w:w="1120" w:type="dxa"/>
            <w:tcBorders>
              <w:top w:val="single" w:sz="4" w:space="0" w:color="ADD6EA"/>
              <w:left w:val="nil"/>
              <w:bottom w:val="single" w:sz="4" w:space="0" w:color="ADD6EA"/>
              <w:right w:val="nil"/>
            </w:tcBorders>
            <w:shd w:val="clear" w:color="000000" w:fill="006991"/>
            <w:vAlign w:val="center"/>
            <w:hideMark/>
          </w:tcPr>
          <w:p w14:paraId="1FEC6624" w14:textId="77777777" w:rsidR="00A83B3E" w:rsidRPr="00254EF1" w:rsidRDefault="00A83B3E" w:rsidP="00CD03D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54EF1">
              <w:rPr>
                <w:rFonts w:ascii="Open Sans SemiBold" w:eastAsia="Times New Roman" w:hAnsi="Open Sans SemiBold" w:cs="Open Sans SemiBold"/>
                <w:color w:val="FFFFFF"/>
                <w:sz w:val="16"/>
                <w:szCs w:val="16"/>
                <w:lang w:eastAsia="en-AU"/>
              </w:rPr>
              <w:t>Unit</w:t>
            </w:r>
          </w:p>
        </w:tc>
        <w:tc>
          <w:tcPr>
            <w:tcW w:w="1120" w:type="dxa"/>
            <w:tcBorders>
              <w:top w:val="single" w:sz="4" w:space="0" w:color="ADD6EA"/>
              <w:left w:val="nil"/>
              <w:bottom w:val="single" w:sz="4" w:space="0" w:color="ADD6EA"/>
              <w:right w:val="nil"/>
            </w:tcBorders>
            <w:shd w:val="clear" w:color="000000" w:fill="006991"/>
            <w:vAlign w:val="center"/>
            <w:hideMark/>
          </w:tcPr>
          <w:p w14:paraId="4B173B29" w14:textId="77777777" w:rsidR="00A83B3E" w:rsidRPr="00254EF1" w:rsidRDefault="00A83B3E" w:rsidP="00DA209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54EF1">
              <w:rPr>
                <w:rFonts w:ascii="Open Sans SemiBold" w:eastAsia="Times New Roman" w:hAnsi="Open Sans SemiBold" w:cs="Open Sans SemiBold"/>
                <w:color w:val="FFFFFF"/>
                <w:sz w:val="16"/>
                <w:szCs w:val="16"/>
                <w:lang w:eastAsia="en-AU"/>
              </w:rPr>
              <w:t>2016-17</w:t>
            </w:r>
          </w:p>
        </w:tc>
        <w:tc>
          <w:tcPr>
            <w:tcW w:w="1120" w:type="dxa"/>
            <w:tcBorders>
              <w:top w:val="single" w:sz="4" w:space="0" w:color="ADD6EA"/>
              <w:left w:val="nil"/>
              <w:bottom w:val="single" w:sz="4" w:space="0" w:color="ADD6EA"/>
              <w:right w:val="nil"/>
            </w:tcBorders>
            <w:shd w:val="clear" w:color="000000" w:fill="006991"/>
            <w:vAlign w:val="center"/>
            <w:hideMark/>
          </w:tcPr>
          <w:p w14:paraId="554563B1" w14:textId="77777777" w:rsidR="00A83B3E" w:rsidRPr="00254EF1" w:rsidRDefault="00A83B3E" w:rsidP="00DA209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54EF1">
              <w:rPr>
                <w:rFonts w:ascii="Open Sans SemiBold" w:eastAsia="Times New Roman" w:hAnsi="Open Sans SemiBold" w:cs="Open Sans SemiBold"/>
                <w:color w:val="FFFFFF"/>
                <w:sz w:val="16"/>
                <w:szCs w:val="16"/>
                <w:lang w:eastAsia="en-AU"/>
              </w:rPr>
              <w:t>2017-18</w:t>
            </w:r>
          </w:p>
        </w:tc>
        <w:tc>
          <w:tcPr>
            <w:tcW w:w="1120" w:type="dxa"/>
            <w:tcBorders>
              <w:top w:val="single" w:sz="4" w:space="0" w:color="ADD6EA"/>
              <w:left w:val="nil"/>
              <w:bottom w:val="single" w:sz="4" w:space="0" w:color="ADD6EA"/>
              <w:right w:val="nil"/>
            </w:tcBorders>
            <w:shd w:val="clear" w:color="000000" w:fill="006991"/>
            <w:vAlign w:val="center"/>
            <w:hideMark/>
          </w:tcPr>
          <w:p w14:paraId="620E684C" w14:textId="77777777" w:rsidR="00A83B3E" w:rsidRPr="00254EF1" w:rsidRDefault="00A83B3E" w:rsidP="00DA209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254EF1">
              <w:rPr>
                <w:rFonts w:ascii="Open Sans SemiBold" w:eastAsia="Times New Roman" w:hAnsi="Open Sans SemiBold" w:cs="Open Sans SemiBold"/>
                <w:color w:val="FFFFFF"/>
                <w:sz w:val="16"/>
                <w:szCs w:val="16"/>
                <w:lang w:eastAsia="en-AU"/>
              </w:rPr>
              <w:t>2018-19</w:t>
            </w:r>
          </w:p>
        </w:tc>
      </w:tr>
      <w:tr w:rsidR="00A83B3E" w:rsidRPr="00254EF1" w14:paraId="4D071EC0"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4645451A" w14:textId="77777777" w:rsidR="00A83B3E" w:rsidRPr="00254EF1" w:rsidRDefault="00A83B3E" w:rsidP="00DA2092">
            <w:pPr>
              <w:tabs>
                <w:tab w:val="clear" w:pos="567"/>
              </w:tabs>
              <w:spacing w:before="0" w:line="240" w:lineRule="auto"/>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Calculate notional ACT staffing</w:t>
            </w:r>
          </w:p>
        </w:tc>
        <w:tc>
          <w:tcPr>
            <w:tcW w:w="1120" w:type="dxa"/>
            <w:tcBorders>
              <w:top w:val="nil"/>
              <w:left w:val="nil"/>
              <w:bottom w:val="single" w:sz="4" w:space="0" w:color="ADD6EA"/>
              <w:right w:val="nil"/>
            </w:tcBorders>
            <w:shd w:val="clear" w:color="auto" w:fill="auto"/>
            <w:vAlign w:val="bottom"/>
            <w:hideMark/>
          </w:tcPr>
          <w:p w14:paraId="6A78CDBC" w14:textId="77777777" w:rsidR="00A83B3E" w:rsidRPr="00254EF1" w:rsidRDefault="00A83B3E" w:rsidP="00CD03DF">
            <w:pPr>
              <w:tabs>
                <w:tab w:val="clear" w:pos="567"/>
              </w:tabs>
              <w:spacing w:before="0" w:line="240" w:lineRule="auto"/>
              <w:jc w:val="right"/>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37799697" w14:textId="77777777" w:rsidR="00A83B3E" w:rsidRPr="00254EF1" w:rsidRDefault="00A83B3E" w:rsidP="00DA2092">
            <w:pPr>
              <w:tabs>
                <w:tab w:val="clear" w:pos="567"/>
              </w:tabs>
              <w:spacing w:before="0" w:line="240" w:lineRule="auto"/>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4E92EAE8" w14:textId="77777777" w:rsidR="00A83B3E" w:rsidRPr="00254EF1" w:rsidRDefault="00A83B3E" w:rsidP="00DA2092">
            <w:pPr>
              <w:tabs>
                <w:tab w:val="clear" w:pos="567"/>
              </w:tabs>
              <w:spacing w:before="0" w:line="240" w:lineRule="auto"/>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754AAE21" w14:textId="77777777" w:rsidR="00A83B3E" w:rsidRPr="00254EF1" w:rsidRDefault="00A83B3E" w:rsidP="00DA2092">
            <w:pPr>
              <w:tabs>
                <w:tab w:val="clear" w:pos="567"/>
              </w:tabs>
              <w:spacing w:before="0" w:line="240" w:lineRule="auto"/>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 </w:t>
            </w:r>
          </w:p>
        </w:tc>
      </w:tr>
      <w:tr w:rsidR="00A83B3E" w:rsidRPr="00254EF1" w14:paraId="23D2747A"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253381D8" w14:textId="77777777"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Total staff [A]</w:t>
            </w:r>
          </w:p>
        </w:tc>
        <w:tc>
          <w:tcPr>
            <w:tcW w:w="1120" w:type="dxa"/>
            <w:tcBorders>
              <w:top w:val="nil"/>
              <w:left w:val="nil"/>
              <w:bottom w:val="single" w:sz="4" w:space="0" w:color="ADD6EA"/>
              <w:right w:val="nil"/>
            </w:tcBorders>
            <w:shd w:val="clear" w:color="auto" w:fill="auto"/>
            <w:vAlign w:val="bottom"/>
            <w:hideMark/>
          </w:tcPr>
          <w:p w14:paraId="440909FE"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no.</w:t>
            </w:r>
          </w:p>
        </w:tc>
        <w:tc>
          <w:tcPr>
            <w:tcW w:w="1120" w:type="dxa"/>
            <w:tcBorders>
              <w:top w:val="nil"/>
              <w:left w:val="nil"/>
              <w:bottom w:val="single" w:sz="4" w:space="0" w:color="ADD6EA"/>
              <w:right w:val="nil"/>
            </w:tcBorders>
            <w:shd w:val="clear" w:color="auto" w:fill="auto"/>
            <w:vAlign w:val="bottom"/>
            <w:hideMark/>
          </w:tcPr>
          <w:p w14:paraId="29D13CE7"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72,680</w:t>
            </w:r>
          </w:p>
        </w:tc>
        <w:tc>
          <w:tcPr>
            <w:tcW w:w="1120" w:type="dxa"/>
            <w:tcBorders>
              <w:top w:val="nil"/>
              <w:left w:val="nil"/>
              <w:bottom w:val="single" w:sz="4" w:space="0" w:color="ADD6EA"/>
              <w:right w:val="nil"/>
            </w:tcBorders>
            <w:shd w:val="clear" w:color="auto" w:fill="auto"/>
            <w:vAlign w:val="bottom"/>
            <w:hideMark/>
          </w:tcPr>
          <w:p w14:paraId="5B1A2569"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74,330</w:t>
            </w:r>
          </w:p>
        </w:tc>
        <w:tc>
          <w:tcPr>
            <w:tcW w:w="1120" w:type="dxa"/>
            <w:tcBorders>
              <w:top w:val="nil"/>
              <w:left w:val="nil"/>
              <w:bottom w:val="single" w:sz="4" w:space="0" w:color="ADD6EA"/>
              <w:right w:val="nil"/>
            </w:tcBorders>
            <w:shd w:val="clear" w:color="auto" w:fill="auto"/>
            <w:vAlign w:val="bottom"/>
            <w:hideMark/>
          </w:tcPr>
          <w:p w14:paraId="151A0F87"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74,330</w:t>
            </w:r>
          </w:p>
        </w:tc>
      </w:tr>
      <w:tr w:rsidR="00A83B3E" w:rsidRPr="00254EF1" w14:paraId="64358562"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5BCB3C44" w14:textId="77777777"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Total population [B]</w:t>
            </w:r>
          </w:p>
        </w:tc>
        <w:tc>
          <w:tcPr>
            <w:tcW w:w="1120" w:type="dxa"/>
            <w:tcBorders>
              <w:top w:val="nil"/>
              <w:left w:val="nil"/>
              <w:bottom w:val="single" w:sz="4" w:space="0" w:color="ADD6EA"/>
              <w:right w:val="nil"/>
            </w:tcBorders>
            <w:shd w:val="clear" w:color="auto" w:fill="auto"/>
            <w:vAlign w:val="bottom"/>
            <w:hideMark/>
          </w:tcPr>
          <w:p w14:paraId="1ED3F5A4"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‘000</w:t>
            </w:r>
          </w:p>
        </w:tc>
        <w:tc>
          <w:tcPr>
            <w:tcW w:w="1120" w:type="dxa"/>
            <w:tcBorders>
              <w:top w:val="nil"/>
              <w:left w:val="nil"/>
              <w:bottom w:val="single" w:sz="4" w:space="0" w:color="ADD6EA"/>
              <w:right w:val="nil"/>
            </w:tcBorders>
            <w:shd w:val="clear" w:color="auto" w:fill="auto"/>
            <w:vAlign w:val="bottom"/>
            <w:hideMark/>
          </w:tcPr>
          <w:p w14:paraId="44834E7F"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24,385</w:t>
            </w:r>
          </w:p>
        </w:tc>
        <w:tc>
          <w:tcPr>
            <w:tcW w:w="1120" w:type="dxa"/>
            <w:tcBorders>
              <w:top w:val="nil"/>
              <w:left w:val="nil"/>
              <w:bottom w:val="single" w:sz="4" w:space="0" w:color="ADD6EA"/>
              <w:right w:val="nil"/>
            </w:tcBorders>
            <w:shd w:val="clear" w:color="auto" w:fill="auto"/>
            <w:vAlign w:val="bottom"/>
            <w:hideMark/>
          </w:tcPr>
          <w:p w14:paraId="7C6747A2"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24,769</w:t>
            </w:r>
          </w:p>
        </w:tc>
        <w:tc>
          <w:tcPr>
            <w:tcW w:w="1120" w:type="dxa"/>
            <w:tcBorders>
              <w:top w:val="nil"/>
              <w:left w:val="nil"/>
              <w:bottom w:val="single" w:sz="4" w:space="0" w:color="ADD6EA"/>
              <w:right w:val="nil"/>
            </w:tcBorders>
            <w:shd w:val="clear" w:color="auto" w:fill="auto"/>
            <w:vAlign w:val="bottom"/>
            <w:hideMark/>
          </w:tcPr>
          <w:p w14:paraId="21340877"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25,166</w:t>
            </w:r>
          </w:p>
        </w:tc>
      </w:tr>
      <w:tr w:rsidR="00A83B3E" w:rsidRPr="00254EF1" w14:paraId="4E9BDE97"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744AFDBB" w14:textId="69405176"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Average staff [C = A / B]</w:t>
            </w:r>
          </w:p>
        </w:tc>
        <w:tc>
          <w:tcPr>
            <w:tcW w:w="1120" w:type="dxa"/>
            <w:tcBorders>
              <w:top w:val="nil"/>
              <w:left w:val="nil"/>
              <w:bottom w:val="single" w:sz="4" w:space="0" w:color="ADD6EA"/>
              <w:right w:val="nil"/>
            </w:tcBorders>
            <w:shd w:val="clear" w:color="auto" w:fill="auto"/>
            <w:vAlign w:val="bottom"/>
            <w:hideMark/>
          </w:tcPr>
          <w:p w14:paraId="7BF4D5CF"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no.</w:t>
            </w:r>
          </w:p>
        </w:tc>
        <w:tc>
          <w:tcPr>
            <w:tcW w:w="1120" w:type="dxa"/>
            <w:tcBorders>
              <w:top w:val="nil"/>
              <w:left w:val="nil"/>
              <w:bottom w:val="single" w:sz="4" w:space="0" w:color="ADD6EA"/>
              <w:right w:val="nil"/>
            </w:tcBorders>
            <w:shd w:val="clear" w:color="auto" w:fill="auto"/>
            <w:vAlign w:val="bottom"/>
            <w:hideMark/>
          </w:tcPr>
          <w:p w14:paraId="7ABB4F2C"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0.003</w:t>
            </w:r>
          </w:p>
        </w:tc>
        <w:tc>
          <w:tcPr>
            <w:tcW w:w="1120" w:type="dxa"/>
            <w:tcBorders>
              <w:top w:val="nil"/>
              <w:left w:val="nil"/>
              <w:bottom w:val="single" w:sz="4" w:space="0" w:color="ADD6EA"/>
              <w:right w:val="nil"/>
            </w:tcBorders>
            <w:shd w:val="clear" w:color="auto" w:fill="auto"/>
            <w:vAlign w:val="bottom"/>
            <w:hideMark/>
          </w:tcPr>
          <w:p w14:paraId="7ED93741"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0.003</w:t>
            </w:r>
          </w:p>
        </w:tc>
        <w:tc>
          <w:tcPr>
            <w:tcW w:w="1120" w:type="dxa"/>
            <w:tcBorders>
              <w:top w:val="nil"/>
              <w:left w:val="nil"/>
              <w:bottom w:val="single" w:sz="4" w:space="0" w:color="ADD6EA"/>
              <w:right w:val="nil"/>
            </w:tcBorders>
            <w:shd w:val="clear" w:color="auto" w:fill="auto"/>
            <w:vAlign w:val="bottom"/>
            <w:hideMark/>
          </w:tcPr>
          <w:p w14:paraId="6E29A495"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0.003</w:t>
            </w:r>
          </w:p>
        </w:tc>
      </w:tr>
      <w:tr w:rsidR="00A83B3E" w:rsidRPr="00254EF1" w14:paraId="3DD77760"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4CB72770" w14:textId="77777777"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ACT population [D]</w:t>
            </w:r>
          </w:p>
        </w:tc>
        <w:tc>
          <w:tcPr>
            <w:tcW w:w="1120" w:type="dxa"/>
            <w:tcBorders>
              <w:top w:val="nil"/>
              <w:left w:val="nil"/>
              <w:bottom w:val="single" w:sz="4" w:space="0" w:color="ADD6EA"/>
              <w:right w:val="nil"/>
            </w:tcBorders>
            <w:shd w:val="clear" w:color="auto" w:fill="auto"/>
            <w:vAlign w:val="bottom"/>
            <w:hideMark/>
          </w:tcPr>
          <w:p w14:paraId="2970D2B3"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‘000</w:t>
            </w:r>
          </w:p>
        </w:tc>
        <w:tc>
          <w:tcPr>
            <w:tcW w:w="1120" w:type="dxa"/>
            <w:tcBorders>
              <w:top w:val="nil"/>
              <w:left w:val="nil"/>
              <w:bottom w:val="single" w:sz="4" w:space="0" w:color="ADD6EA"/>
              <w:right w:val="nil"/>
            </w:tcBorders>
            <w:shd w:val="clear" w:color="auto" w:fill="auto"/>
            <w:vAlign w:val="bottom"/>
            <w:hideMark/>
          </w:tcPr>
          <w:p w14:paraId="684FDCCA"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407</w:t>
            </w:r>
          </w:p>
        </w:tc>
        <w:tc>
          <w:tcPr>
            <w:tcW w:w="1120" w:type="dxa"/>
            <w:tcBorders>
              <w:top w:val="nil"/>
              <w:left w:val="nil"/>
              <w:bottom w:val="single" w:sz="4" w:space="0" w:color="ADD6EA"/>
              <w:right w:val="nil"/>
            </w:tcBorders>
            <w:shd w:val="clear" w:color="auto" w:fill="auto"/>
            <w:vAlign w:val="bottom"/>
            <w:hideMark/>
          </w:tcPr>
          <w:p w14:paraId="5AD62153"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416</w:t>
            </w:r>
          </w:p>
        </w:tc>
        <w:tc>
          <w:tcPr>
            <w:tcW w:w="1120" w:type="dxa"/>
            <w:tcBorders>
              <w:top w:val="nil"/>
              <w:left w:val="nil"/>
              <w:bottom w:val="single" w:sz="4" w:space="0" w:color="ADD6EA"/>
              <w:right w:val="nil"/>
            </w:tcBorders>
            <w:shd w:val="clear" w:color="auto" w:fill="auto"/>
            <w:vAlign w:val="bottom"/>
            <w:hideMark/>
          </w:tcPr>
          <w:p w14:paraId="63C9553A"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423</w:t>
            </w:r>
          </w:p>
        </w:tc>
      </w:tr>
      <w:tr w:rsidR="00A83B3E" w:rsidRPr="00254EF1" w14:paraId="08FDB9A3"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0E0B6788" w14:textId="6382079D"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Assessed staff [E = C * D]</w:t>
            </w:r>
          </w:p>
        </w:tc>
        <w:tc>
          <w:tcPr>
            <w:tcW w:w="1120" w:type="dxa"/>
            <w:tcBorders>
              <w:top w:val="nil"/>
              <w:left w:val="nil"/>
              <w:bottom w:val="single" w:sz="4" w:space="0" w:color="ADD6EA"/>
              <w:right w:val="nil"/>
            </w:tcBorders>
            <w:shd w:val="clear" w:color="auto" w:fill="auto"/>
            <w:vAlign w:val="bottom"/>
            <w:hideMark/>
          </w:tcPr>
          <w:p w14:paraId="668F9516"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no.</w:t>
            </w:r>
          </w:p>
        </w:tc>
        <w:tc>
          <w:tcPr>
            <w:tcW w:w="1120" w:type="dxa"/>
            <w:tcBorders>
              <w:top w:val="nil"/>
              <w:left w:val="nil"/>
              <w:bottom w:val="single" w:sz="4" w:space="0" w:color="ADD6EA"/>
              <w:right w:val="nil"/>
            </w:tcBorders>
            <w:shd w:val="clear" w:color="auto" w:fill="auto"/>
            <w:vAlign w:val="bottom"/>
            <w:hideMark/>
          </w:tcPr>
          <w:p w14:paraId="2D574E2D"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1,215</w:t>
            </w:r>
          </w:p>
        </w:tc>
        <w:tc>
          <w:tcPr>
            <w:tcW w:w="1120" w:type="dxa"/>
            <w:tcBorders>
              <w:top w:val="nil"/>
              <w:left w:val="nil"/>
              <w:bottom w:val="single" w:sz="4" w:space="0" w:color="ADD6EA"/>
              <w:right w:val="nil"/>
            </w:tcBorders>
            <w:shd w:val="clear" w:color="auto" w:fill="auto"/>
            <w:vAlign w:val="bottom"/>
            <w:hideMark/>
          </w:tcPr>
          <w:p w14:paraId="095EDE61"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1,248</w:t>
            </w:r>
          </w:p>
        </w:tc>
        <w:tc>
          <w:tcPr>
            <w:tcW w:w="1120" w:type="dxa"/>
            <w:tcBorders>
              <w:top w:val="nil"/>
              <w:left w:val="nil"/>
              <w:bottom w:val="single" w:sz="4" w:space="0" w:color="ADD6EA"/>
              <w:right w:val="nil"/>
            </w:tcBorders>
            <w:shd w:val="clear" w:color="auto" w:fill="auto"/>
            <w:vAlign w:val="bottom"/>
            <w:hideMark/>
          </w:tcPr>
          <w:p w14:paraId="1785F466"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1,250</w:t>
            </w:r>
          </w:p>
        </w:tc>
      </w:tr>
      <w:tr w:rsidR="00A83B3E" w:rsidRPr="00254EF1" w14:paraId="75D5A944"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08C747C2" w14:textId="77777777"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ACT socio-demographic characteristics factor [F]</w:t>
            </w:r>
          </w:p>
        </w:tc>
        <w:tc>
          <w:tcPr>
            <w:tcW w:w="1120" w:type="dxa"/>
            <w:tcBorders>
              <w:top w:val="nil"/>
              <w:left w:val="nil"/>
              <w:bottom w:val="single" w:sz="4" w:space="0" w:color="ADD6EA"/>
              <w:right w:val="nil"/>
            </w:tcBorders>
            <w:shd w:val="clear" w:color="auto" w:fill="auto"/>
            <w:vAlign w:val="bottom"/>
            <w:hideMark/>
          </w:tcPr>
          <w:p w14:paraId="60189107"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2980922F"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0.756</w:t>
            </w:r>
          </w:p>
        </w:tc>
        <w:tc>
          <w:tcPr>
            <w:tcW w:w="1120" w:type="dxa"/>
            <w:tcBorders>
              <w:top w:val="nil"/>
              <w:left w:val="nil"/>
              <w:bottom w:val="single" w:sz="4" w:space="0" w:color="ADD6EA"/>
              <w:right w:val="nil"/>
            </w:tcBorders>
            <w:shd w:val="clear" w:color="auto" w:fill="auto"/>
            <w:vAlign w:val="bottom"/>
            <w:hideMark/>
          </w:tcPr>
          <w:p w14:paraId="4474EA58"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0.757</w:t>
            </w:r>
          </w:p>
        </w:tc>
        <w:tc>
          <w:tcPr>
            <w:tcW w:w="1120" w:type="dxa"/>
            <w:tcBorders>
              <w:top w:val="nil"/>
              <w:left w:val="nil"/>
              <w:bottom w:val="single" w:sz="4" w:space="0" w:color="ADD6EA"/>
              <w:right w:val="nil"/>
            </w:tcBorders>
            <w:shd w:val="clear" w:color="auto" w:fill="auto"/>
            <w:vAlign w:val="bottom"/>
            <w:hideMark/>
          </w:tcPr>
          <w:p w14:paraId="544F0091"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0.758</w:t>
            </w:r>
          </w:p>
        </w:tc>
      </w:tr>
      <w:tr w:rsidR="00A83B3E" w:rsidRPr="00254EF1" w14:paraId="43028B4A"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20CB99CE" w14:textId="77777777"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Adjusted assessed staff [G = E * F]</w:t>
            </w:r>
          </w:p>
        </w:tc>
        <w:tc>
          <w:tcPr>
            <w:tcW w:w="1120" w:type="dxa"/>
            <w:tcBorders>
              <w:top w:val="nil"/>
              <w:left w:val="nil"/>
              <w:bottom w:val="single" w:sz="4" w:space="0" w:color="ADD6EA"/>
              <w:right w:val="nil"/>
            </w:tcBorders>
            <w:shd w:val="clear" w:color="auto" w:fill="auto"/>
            <w:vAlign w:val="bottom"/>
            <w:hideMark/>
          </w:tcPr>
          <w:p w14:paraId="3DD8304E"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no.</w:t>
            </w:r>
          </w:p>
        </w:tc>
        <w:tc>
          <w:tcPr>
            <w:tcW w:w="1120" w:type="dxa"/>
            <w:tcBorders>
              <w:top w:val="nil"/>
              <w:left w:val="nil"/>
              <w:bottom w:val="single" w:sz="4" w:space="0" w:color="ADD6EA"/>
              <w:right w:val="nil"/>
            </w:tcBorders>
            <w:shd w:val="clear" w:color="auto" w:fill="auto"/>
            <w:vAlign w:val="bottom"/>
            <w:hideMark/>
          </w:tcPr>
          <w:p w14:paraId="29C1EA38"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918</w:t>
            </w:r>
          </w:p>
        </w:tc>
        <w:tc>
          <w:tcPr>
            <w:tcW w:w="1120" w:type="dxa"/>
            <w:tcBorders>
              <w:top w:val="nil"/>
              <w:left w:val="nil"/>
              <w:bottom w:val="single" w:sz="4" w:space="0" w:color="ADD6EA"/>
              <w:right w:val="nil"/>
            </w:tcBorders>
            <w:shd w:val="clear" w:color="auto" w:fill="auto"/>
            <w:vAlign w:val="bottom"/>
            <w:hideMark/>
          </w:tcPr>
          <w:p w14:paraId="0F431D92"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944</w:t>
            </w:r>
          </w:p>
        </w:tc>
        <w:tc>
          <w:tcPr>
            <w:tcW w:w="1120" w:type="dxa"/>
            <w:tcBorders>
              <w:top w:val="nil"/>
              <w:left w:val="nil"/>
              <w:bottom w:val="single" w:sz="4" w:space="0" w:color="ADD6EA"/>
              <w:right w:val="nil"/>
            </w:tcBorders>
            <w:shd w:val="clear" w:color="auto" w:fill="auto"/>
            <w:vAlign w:val="bottom"/>
            <w:hideMark/>
          </w:tcPr>
          <w:p w14:paraId="1CD2187F"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947</w:t>
            </w:r>
          </w:p>
        </w:tc>
      </w:tr>
      <w:tr w:rsidR="00A83B3E" w:rsidRPr="00254EF1" w14:paraId="4F2E1389"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53A676D7" w14:textId="77777777" w:rsidR="00A83B3E" w:rsidRPr="00254EF1" w:rsidRDefault="00A83B3E" w:rsidP="00DA2092">
            <w:pPr>
              <w:tabs>
                <w:tab w:val="clear" w:pos="567"/>
              </w:tabs>
              <w:spacing w:before="0" w:line="240" w:lineRule="auto"/>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Calculate difference in salaries</w:t>
            </w:r>
          </w:p>
        </w:tc>
        <w:tc>
          <w:tcPr>
            <w:tcW w:w="1120" w:type="dxa"/>
            <w:tcBorders>
              <w:top w:val="nil"/>
              <w:left w:val="nil"/>
              <w:bottom w:val="single" w:sz="4" w:space="0" w:color="ADD6EA"/>
              <w:right w:val="nil"/>
            </w:tcBorders>
            <w:shd w:val="clear" w:color="auto" w:fill="auto"/>
            <w:vAlign w:val="bottom"/>
            <w:hideMark/>
          </w:tcPr>
          <w:p w14:paraId="3429F198" w14:textId="77777777" w:rsidR="00A83B3E" w:rsidRPr="00254EF1" w:rsidRDefault="00A83B3E" w:rsidP="00CD03DF">
            <w:pPr>
              <w:tabs>
                <w:tab w:val="clear" w:pos="567"/>
              </w:tabs>
              <w:spacing w:before="0" w:line="240" w:lineRule="auto"/>
              <w:jc w:val="right"/>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482625BE" w14:textId="77777777" w:rsidR="00A83B3E" w:rsidRPr="00254EF1" w:rsidRDefault="00A83B3E" w:rsidP="00DA2092">
            <w:pPr>
              <w:tabs>
                <w:tab w:val="clear" w:pos="567"/>
              </w:tabs>
              <w:spacing w:before="0" w:line="240" w:lineRule="auto"/>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7A82B579" w14:textId="77777777" w:rsidR="00A83B3E" w:rsidRPr="00254EF1" w:rsidRDefault="00A83B3E" w:rsidP="00DA2092">
            <w:pPr>
              <w:tabs>
                <w:tab w:val="clear" w:pos="567"/>
              </w:tabs>
              <w:spacing w:before="0" w:line="240" w:lineRule="auto"/>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0378DFCB" w14:textId="77777777" w:rsidR="00A83B3E" w:rsidRPr="00254EF1" w:rsidRDefault="00A83B3E" w:rsidP="00DA2092">
            <w:pPr>
              <w:tabs>
                <w:tab w:val="clear" w:pos="567"/>
              </w:tabs>
              <w:spacing w:before="0" w:line="240" w:lineRule="auto"/>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 </w:t>
            </w:r>
          </w:p>
        </w:tc>
      </w:tr>
      <w:tr w:rsidR="00A83B3E" w:rsidRPr="00254EF1" w14:paraId="5ADC91B0"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35B04FBA" w14:textId="77777777"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 xml:space="preserve">Average State salary [H] (a) </w:t>
            </w:r>
          </w:p>
        </w:tc>
        <w:tc>
          <w:tcPr>
            <w:tcW w:w="1120" w:type="dxa"/>
            <w:tcBorders>
              <w:top w:val="nil"/>
              <w:left w:val="nil"/>
              <w:bottom w:val="single" w:sz="4" w:space="0" w:color="ADD6EA"/>
              <w:right w:val="nil"/>
            </w:tcBorders>
            <w:shd w:val="clear" w:color="auto" w:fill="auto"/>
            <w:vAlign w:val="bottom"/>
            <w:hideMark/>
          </w:tcPr>
          <w:p w14:paraId="47EF6E0F"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w:t>
            </w:r>
          </w:p>
        </w:tc>
        <w:tc>
          <w:tcPr>
            <w:tcW w:w="1120" w:type="dxa"/>
            <w:tcBorders>
              <w:top w:val="nil"/>
              <w:left w:val="nil"/>
              <w:bottom w:val="single" w:sz="4" w:space="0" w:color="ADD6EA"/>
              <w:right w:val="nil"/>
            </w:tcBorders>
            <w:shd w:val="clear" w:color="auto" w:fill="auto"/>
            <w:vAlign w:val="bottom"/>
            <w:hideMark/>
          </w:tcPr>
          <w:p w14:paraId="475E06F9"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118,505</w:t>
            </w:r>
          </w:p>
        </w:tc>
        <w:tc>
          <w:tcPr>
            <w:tcW w:w="1120" w:type="dxa"/>
            <w:tcBorders>
              <w:top w:val="nil"/>
              <w:left w:val="nil"/>
              <w:bottom w:val="single" w:sz="4" w:space="0" w:color="ADD6EA"/>
              <w:right w:val="nil"/>
            </w:tcBorders>
            <w:shd w:val="clear" w:color="auto" w:fill="auto"/>
            <w:vAlign w:val="bottom"/>
            <w:hideMark/>
          </w:tcPr>
          <w:p w14:paraId="7D3E49E8"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122,531</w:t>
            </w:r>
          </w:p>
        </w:tc>
        <w:tc>
          <w:tcPr>
            <w:tcW w:w="1120" w:type="dxa"/>
            <w:tcBorders>
              <w:top w:val="nil"/>
              <w:left w:val="nil"/>
              <w:bottom w:val="single" w:sz="4" w:space="0" w:color="ADD6EA"/>
              <w:right w:val="nil"/>
            </w:tcBorders>
            <w:shd w:val="clear" w:color="auto" w:fill="auto"/>
            <w:vAlign w:val="bottom"/>
            <w:hideMark/>
          </w:tcPr>
          <w:p w14:paraId="59A6461C"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122,531</w:t>
            </w:r>
          </w:p>
        </w:tc>
      </w:tr>
      <w:tr w:rsidR="00A83B3E" w:rsidRPr="00254EF1" w14:paraId="63A99358"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5ACDEDE5" w14:textId="77777777"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ACT wage costs factor [I]</w:t>
            </w:r>
          </w:p>
        </w:tc>
        <w:tc>
          <w:tcPr>
            <w:tcW w:w="1120" w:type="dxa"/>
            <w:tcBorders>
              <w:top w:val="nil"/>
              <w:left w:val="nil"/>
              <w:bottom w:val="single" w:sz="4" w:space="0" w:color="ADD6EA"/>
              <w:right w:val="nil"/>
            </w:tcBorders>
            <w:shd w:val="clear" w:color="auto" w:fill="auto"/>
            <w:vAlign w:val="bottom"/>
            <w:hideMark/>
          </w:tcPr>
          <w:p w14:paraId="292C45AE"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2279F5BC"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1.046</w:t>
            </w:r>
          </w:p>
        </w:tc>
        <w:tc>
          <w:tcPr>
            <w:tcW w:w="1120" w:type="dxa"/>
            <w:tcBorders>
              <w:top w:val="nil"/>
              <w:left w:val="nil"/>
              <w:bottom w:val="single" w:sz="4" w:space="0" w:color="ADD6EA"/>
              <w:right w:val="nil"/>
            </w:tcBorders>
            <w:shd w:val="clear" w:color="auto" w:fill="auto"/>
            <w:vAlign w:val="bottom"/>
            <w:hideMark/>
          </w:tcPr>
          <w:p w14:paraId="3BD4F8C0"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1.055</w:t>
            </w:r>
          </w:p>
        </w:tc>
        <w:tc>
          <w:tcPr>
            <w:tcW w:w="1120" w:type="dxa"/>
            <w:tcBorders>
              <w:top w:val="nil"/>
              <w:left w:val="nil"/>
              <w:bottom w:val="single" w:sz="4" w:space="0" w:color="ADD6EA"/>
              <w:right w:val="nil"/>
            </w:tcBorders>
            <w:shd w:val="clear" w:color="auto" w:fill="auto"/>
            <w:vAlign w:val="bottom"/>
            <w:hideMark/>
          </w:tcPr>
          <w:p w14:paraId="7457B437"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1.022</w:t>
            </w:r>
          </w:p>
        </w:tc>
      </w:tr>
      <w:tr w:rsidR="00A83B3E" w:rsidRPr="00254EF1" w14:paraId="76351D0C"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7B86906D" w14:textId="77777777"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 xml:space="preserve">Adjusted State salary [J = H * I] </w:t>
            </w:r>
          </w:p>
        </w:tc>
        <w:tc>
          <w:tcPr>
            <w:tcW w:w="1120" w:type="dxa"/>
            <w:tcBorders>
              <w:top w:val="nil"/>
              <w:left w:val="nil"/>
              <w:bottom w:val="single" w:sz="4" w:space="0" w:color="ADD6EA"/>
              <w:right w:val="nil"/>
            </w:tcBorders>
            <w:shd w:val="clear" w:color="auto" w:fill="auto"/>
            <w:vAlign w:val="bottom"/>
            <w:hideMark/>
          </w:tcPr>
          <w:p w14:paraId="745F904B"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w:t>
            </w:r>
          </w:p>
        </w:tc>
        <w:tc>
          <w:tcPr>
            <w:tcW w:w="1120" w:type="dxa"/>
            <w:tcBorders>
              <w:top w:val="nil"/>
              <w:left w:val="nil"/>
              <w:bottom w:val="single" w:sz="4" w:space="0" w:color="ADD6EA"/>
              <w:right w:val="nil"/>
            </w:tcBorders>
            <w:shd w:val="clear" w:color="auto" w:fill="auto"/>
            <w:vAlign w:val="bottom"/>
            <w:hideMark/>
          </w:tcPr>
          <w:p w14:paraId="112F8044"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123,942</w:t>
            </w:r>
          </w:p>
        </w:tc>
        <w:tc>
          <w:tcPr>
            <w:tcW w:w="1120" w:type="dxa"/>
            <w:tcBorders>
              <w:top w:val="nil"/>
              <w:left w:val="nil"/>
              <w:bottom w:val="single" w:sz="4" w:space="0" w:color="ADD6EA"/>
              <w:right w:val="nil"/>
            </w:tcBorders>
            <w:shd w:val="clear" w:color="auto" w:fill="auto"/>
            <w:vAlign w:val="bottom"/>
            <w:hideMark/>
          </w:tcPr>
          <w:p w14:paraId="66585D49"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129,234</w:t>
            </w:r>
          </w:p>
        </w:tc>
        <w:tc>
          <w:tcPr>
            <w:tcW w:w="1120" w:type="dxa"/>
            <w:tcBorders>
              <w:top w:val="nil"/>
              <w:left w:val="nil"/>
              <w:bottom w:val="single" w:sz="4" w:space="0" w:color="ADD6EA"/>
              <w:right w:val="nil"/>
            </w:tcBorders>
            <w:shd w:val="clear" w:color="auto" w:fill="auto"/>
            <w:vAlign w:val="bottom"/>
            <w:hideMark/>
          </w:tcPr>
          <w:p w14:paraId="66FF9647"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125,213</w:t>
            </w:r>
          </w:p>
        </w:tc>
      </w:tr>
      <w:tr w:rsidR="00A83B3E" w:rsidRPr="00254EF1" w14:paraId="0810503C"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6EA84DD7" w14:textId="77777777"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 xml:space="preserve">Average ACT salary [K] (a) </w:t>
            </w:r>
          </w:p>
        </w:tc>
        <w:tc>
          <w:tcPr>
            <w:tcW w:w="1120" w:type="dxa"/>
            <w:tcBorders>
              <w:top w:val="nil"/>
              <w:left w:val="nil"/>
              <w:bottom w:val="single" w:sz="4" w:space="0" w:color="ADD6EA"/>
              <w:right w:val="nil"/>
            </w:tcBorders>
            <w:shd w:val="clear" w:color="auto" w:fill="auto"/>
            <w:vAlign w:val="bottom"/>
            <w:hideMark/>
          </w:tcPr>
          <w:p w14:paraId="49BF344E"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w:t>
            </w:r>
          </w:p>
        </w:tc>
        <w:tc>
          <w:tcPr>
            <w:tcW w:w="1120" w:type="dxa"/>
            <w:tcBorders>
              <w:top w:val="nil"/>
              <w:left w:val="nil"/>
              <w:bottom w:val="single" w:sz="4" w:space="0" w:color="ADD6EA"/>
              <w:right w:val="nil"/>
            </w:tcBorders>
            <w:shd w:val="clear" w:color="auto" w:fill="auto"/>
            <w:vAlign w:val="bottom"/>
            <w:hideMark/>
          </w:tcPr>
          <w:p w14:paraId="47467046"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133,023</w:t>
            </w:r>
          </w:p>
        </w:tc>
        <w:tc>
          <w:tcPr>
            <w:tcW w:w="1120" w:type="dxa"/>
            <w:tcBorders>
              <w:top w:val="nil"/>
              <w:left w:val="nil"/>
              <w:bottom w:val="single" w:sz="4" w:space="0" w:color="ADD6EA"/>
              <w:right w:val="nil"/>
            </w:tcBorders>
            <w:shd w:val="clear" w:color="auto" w:fill="auto"/>
            <w:vAlign w:val="bottom"/>
            <w:hideMark/>
          </w:tcPr>
          <w:p w14:paraId="744E0265"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135,011</w:t>
            </w:r>
          </w:p>
        </w:tc>
        <w:tc>
          <w:tcPr>
            <w:tcW w:w="1120" w:type="dxa"/>
            <w:tcBorders>
              <w:top w:val="nil"/>
              <w:left w:val="nil"/>
              <w:bottom w:val="single" w:sz="4" w:space="0" w:color="ADD6EA"/>
              <w:right w:val="nil"/>
            </w:tcBorders>
            <w:shd w:val="clear" w:color="auto" w:fill="auto"/>
            <w:vAlign w:val="bottom"/>
            <w:hideMark/>
          </w:tcPr>
          <w:p w14:paraId="6FBEDC24"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135,011</w:t>
            </w:r>
          </w:p>
        </w:tc>
      </w:tr>
      <w:tr w:rsidR="00A83B3E" w:rsidRPr="00254EF1" w14:paraId="5F213918"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74E2CAB6" w14:textId="77777777"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 xml:space="preserve">Difference [L = K - J] </w:t>
            </w:r>
          </w:p>
        </w:tc>
        <w:tc>
          <w:tcPr>
            <w:tcW w:w="1120" w:type="dxa"/>
            <w:tcBorders>
              <w:top w:val="nil"/>
              <w:left w:val="nil"/>
              <w:bottom w:val="single" w:sz="4" w:space="0" w:color="ADD6EA"/>
              <w:right w:val="nil"/>
            </w:tcBorders>
            <w:shd w:val="clear" w:color="auto" w:fill="auto"/>
            <w:vAlign w:val="bottom"/>
            <w:hideMark/>
          </w:tcPr>
          <w:p w14:paraId="3B879BCF"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w:t>
            </w:r>
          </w:p>
        </w:tc>
        <w:tc>
          <w:tcPr>
            <w:tcW w:w="1120" w:type="dxa"/>
            <w:tcBorders>
              <w:top w:val="nil"/>
              <w:left w:val="nil"/>
              <w:bottom w:val="single" w:sz="4" w:space="0" w:color="ADD6EA"/>
              <w:right w:val="nil"/>
            </w:tcBorders>
            <w:shd w:val="clear" w:color="auto" w:fill="auto"/>
            <w:vAlign w:val="bottom"/>
            <w:hideMark/>
          </w:tcPr>
          <w:p w14:paraId="5C71190F"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9,081</w:t>
            </w:r>
          </w:p>
        </w:tc>
        <w:tc>
          <w:tcPr>
            <w:tcW w:w="1120" w:type="dxa"/>
            <w:tcBorders>
              <w:top w:val="nil"/>
              <w:left w:val="nil"/>
              <w:bottom w:val="single" w:sz="4" w:space="0" w:color="ADD6EA"/>
              <w:right w:val="nil"/>
            </w:tcBorders>
            <w:shd w:val="clear" w:color="auto" w:fill="auto"/>
            <w:vAlign w:val="bottom"/>
            <w:hideMark/>
          </w:tcPr>
          <w:p w14:paraId="79DB2B83"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5,777</w:t>
            </w:r>
          </w:p>
        </w:tc>
        <w:tc>
          <w:tcPr>
            <w:tcW w:w="1120" w:type="dxa"/>
            <w:tcBorders>
              <w:top w:val="nil"/>
              <w:left w:val="nil"/>
              <w:bottom w:val="single" w:sz="4" w:space="0" w:color="ADD6EA"/>
              <w:right w:val="nil"/>
            </w:tcBorders>
            <w:shd w:val="clear" w:color="auto" w:fill="auto"/>
            <w:vAlign w:val="bottom"/>
            <w:hideMark/>
          </w:tcPr>
          <w:p w14:paraId="68214356"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9,797</w:t>
            </w:r>
          </w:p>
        </w:tc>
      </w:tr>
      <w:tr w:rsidR="00A83B3E" w:rsidRPr="00254EF1" w14:paraId="0355BA79"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18983B6B" w14:textId="77777777"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Wage price index adjustment [M]</w:t>
            </w:r>
          </w:p>
        </w:tc>
        <w:tc>
          <w:tcPr>
            <w:tcW w:w="1120" w:type="dxa"/>
            <w:tcBorders>
              <w:top w:val="nil"/>
              <w:left w:val="nil"/>
              <w:bottom w:val="single" w:sz="4" w:space="0" w:color="ADD6EA"/>
              <w:right w:val="nil"/>
            </w:tcBorders>
            <w:shd w:val="clear" w:color="auto" w:fill="auto"/>
            <w:vAlign w:val="bottom"/>
            <w:hideMark/>
          </w:tcPr>
          <w:p w14:paraId="232C285A"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7014CC2D"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1.000</w:t>
            </w:r>
          </w:p>
        </w:tc>
        <w:tc>
          <w:tcPr>
            <w:tcW w:w="1120" w:type="dxa"/>
            <w:tcBorders>
              <w:top w:val="nil"/>
              <w:left w:val="nil"/>
              <w:bottom w:val="single" w:sz="4" w:space="0" w:color="ADD6EA"/>
              <w:right w:val="nil"/>
            </w:tcBorders>
            <w:shd w:val="clear" w:color="auto" w:fill="auto"/>
            <w:vAlign w:val="bottom"/>
            <w:hideMark/>
          </w:tcPr>
          <w:p w14:paraId="68E9BF20"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1.000</w:t>
            </w:r>
          </w:p>
        </w:tc>
        <w:tc>
          <w:tcPr>
            <w:tcW w:w="1120" w:type="dxa"/>
            <w:tcBorders>
              <w:top w:val="nil"/>
              <w:left w:val="nil"/>
              <w:bottom w:val="single" w:sz="4" w:space="0" w:color="ADD6EA"/>
              <w:right w:val="nil"/>
            </w:tcBorders>
            <w:shd w:val="clear" w:color="auto" w:fill="auto"/>
            <w:vAlign w:val="bottom"/>
            <w:hideMark/>
          </w:tcPr>
          <w:p w14:paraId="6A56144D"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1.025</w:t>
            </w:r>
          </w:p>
        </w:tc>
      </w:tr>
      <w:tr w:rsidR="00A83B3E" w:rsidRPr="00254EF1" w14:paraId="3DC85205"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0ADF6809" w14:textId="77777777"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Difference in salaries [N = L * M]</w:t>
            </w:r>
          </w:p>
        </w:tc>
        <w:tc>
          <w:tcPr>
            <w:tcW w:w="1120" w:type="dxa"/>
            <w:tcBorders>
              <w:top w:val="nil"/>
              <w:left w:val="nil"/>
              <w:bottom w:val="single" w:sz="4" w:space="0" w:color="ADD6EA"/>
              <w:right w:val="nil"/>
            </w:tcBorders>
            <w:shd w:val="clear" w:color="auto" w:fill="auto"/>
            <w:vAlign w:val="bottom"/>
            <w:hideMark/>
          </w:tcPr>
          <w:p w14:paraId="37A6DDF6"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w:t>
            </w:r>
          </w:p>
        </w:tc>
        <w:tc>
          <w:tcPr>
            <w:tcW w:w="1120" w:type="dxa"/>
            <w:tcBorders>
              <w:top w:val="nil"/>
              <w:left w:val="nil"/>
              <w:bottom w:val="single" w:sz="4" w:space="0" w:color="ADD6EA"/>
              <w:right w:val="nil"/>
            </w:tcBorders>
            <w:shd w:val="clear" w:color="auto" w:fill="auto"/>
            <w:vAlign w:val="bottom"/>
            <w:hideMark/>
          </w:tcPr>
          <w:p w14:paraId="179E0527"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9,081</w:t>
            </w:r>
          </w:p>
        </w:tc>
        <w:tc>
          <w:tcPr>
            <w:tcW w:w="1120" w:type="dxa"/>
            <w:tcBorders>
              <w:top w:val="nil"/>
              <w:left w:val="nil"/>
              <w:bottom w:val="single" w:sz="4" w:space="0" w:color="ADD6EA"/>
              <w:right w:val="nil"/>
            </w:tcBorders>
            <w:shd w:val="clear" w:color="auto" w:fill="auto"/>
            <w:vAlign w:val="bottom"/>
            <w:hideMark/>
          </w:tcPr>
          <w:p w14:paraId="24387A64"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5,777</w:t>
            </w:r>
          </w:p>
        </w:tc>
        <w:tc>
          <w:tcPr>
            <w:tcW w:w="1120" w:type="dxa"/>
            <w:tcBorders>
              <w:top w:val="nil"/>
              <w:left w:val="nil"/>
              <w:bottom w:val="single" w:sz="4" w:space="0" w:color="ADD6EA"/>
              <w:right w:val="nil"/>
            </w:tcBorders>
            <w:shd w:val="clear" w:color="auto" w:fill="auto"/>
            <w:vAlign w:val="bottom"/>
            <w:hideMark/>
          </w:tcPr>
          <w:p w14:paraId="25BC2446"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10,045</w:t>
            </w:r>
          </w:p>
        </w:tc>
      </w:tr>
      <w:tr w:rsidR="00A83B3E" w:rsidRPr="00254EF1" w14:paraId="3C1B5DC0"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48FF5352" w14:textId="77777777" w:rsidR="00A83B3E" w:rsidRPr="00254EF1" w:rsidRDefault="00A83B3E" w:rsidP="00DA2092">
            <w:pPr>
              <w:tabs>
                <w:tab w:val="clear" w:pos="567"/>
              </w:tabs>
              <w:spacing w:before="0" w:line="240" w:lineRule="auto"/>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Calculate police allowance</w:t>
            </w:r>
          </w:p>
        </w:tc>
        <w:tc>
          <w:tcPr>
            <w:tcW w:w="1120" w:type="dxa"/>
            <w:tcBorders>
              <w:top w:val="nil"/>
              <w:left w:val="nil"/>
              <w:bottom w:val="single" w:sz="4" w:space="0" w:color="ADD6EA"/>
              <w:right w:val="nil"/>
            </w:tcBorders>
            <w:shd w:val="clear" w:color="auto" w:fill="auto"/>
            <w:vAlign w:val="bottom"/>
            <w:hideMark/>
          </w:tcPr>
          <w:p w14:paraId="062C51E6" w14:textId="77777777" w:rsidR="00A83B3E" w:rsidRPr="00254EF1" w:rsidRDefault="00A83B3E" w:rsidP="00CD03DF">
            <w:pPr>
              <w:tabs>
                <w:tab w:val="clear" w:pos="567"/>
              </w:tabs>
              <w:spacing w:before="0" w:line="240" w:lineRule="auto"/>
              <w:jc w:val="right"/>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6D4EA79D" w14:textId="77777777" w:rsidR="00A83B3E" w:rsidRPr="00254EF1" w:rsidRDefault="00A83B3E" w:rsidP="00DA2092">
            <w:pPr>
              <w:tabs>
                <w:tab w:val="clear" w:pos="567"/>
              </w:tabs>
              <w:spacing w:before="0" w:line="240" w:lineRule="auto"/>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7D8121AD" w14:textId="77777777" w:rsidR="00A83B3E" w:rsidRPr="00254EF1" w:rsidRDefault="00A83B3E" w:rsidP="00DA2092">
            <w:pPr>
              <w:tabs>
                <w:tab w:val="clear" w:pos="567"/>
              </w:tabs>
              <w:spacing w:before="0" w:line="240" w:lineRule="auto"/>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 </w:t>
            </w:r>
          </w:p>
        </w:tc>
        <w:tc>
          <w:tcPr>
            <w:tcW w:w="1120" w:type="dxa"/>
            <w:tcBorders>
              <w:top w:val="nil"/>
              <w:left w:val="nil"/>
              <w:bottom w:val="single" w:sz="4" w:space="0" w:color="ADD6EA"/>
              <w:right w:val="nil"/>
            </w:tcBorders>
            <w:shd w:val="clear" w:color="auto" w:fill="auto"/>
            <w:vAlign w:val="bottom"/>
            <w:hideMark/>
          </w:tcPr>
          <w:p w14:paraId="5DF5DC90" w14:textId="77777777" w:rsidR="00A83B3E" w:rsidRPr="00254EF1" w:rsidRDefault="00A83B3E" w:rsidP="00DA2092">
            <w:pPr>
              <w:tabs>
                <w:tab w:val="clear" w:pos="567"/>
              </w:tabs>
              <w:spacing w:before="0" w:line="240" w:lineRule="auto"/>
              <w:rPr>
                <w:rFonts w:ascii="Open Sans SemiBold" w:eastAsia="Times New Roman" w:hAnsi="Open Sans SemiBold" w:cs="Open Sans SemiBold"/>
                <w:sz w:val="16"/>
                <w:szCs w:val="16"/>
                <w:lang w:eastAsia="en-AU"/>
              </w:rPr>
            </w:pPr>
            <w:r w:rsidRPr="00254EF1">
              <w:rPr>
                <w:rFonts w:ascii="Open Sans SemiBold" w:eastAsia="Times New Roman" w:hAnsi="Open Sans SemiBold" w:cs="Open Sans SemiBold"/>
                <w:sz w:val="16"/>
                <w:szCs w:val="16"/>
                <w:lang w:eastAsia="en-AU"/>
              </w:rPr>
              <w:t> </w:t>
            </w:r>
          </w:p>
        </w:tc>
      </w:tr>
      <w:tr w:rsidR="00A83B3E" w:rsidRPr="00254EF1" w14:paraId="184140A2" w14:textId="77777777" w:rsidTr="009D4247">
        <w:trPr>
          <w:trHeight w:val="270"/>
        </w:trPr>
        <w:tc>
          <w:tcPr>
            <w:tcW w:w="4500" w:type="dxa"/>
            <w:tcBorders>
              <w:top w:val="nil"/>
              <w:left w:val="nil"/>
              <w:bottom w:val="single" w:sz="4" w:space="0" w:color="ADD6EA"/>
              <w:right w:val="nil"/>
            </w:tcBorders>
            <w:shd w:val="clear" w:color="auto" w:fill="auto"/>
            <w:vAlign w:val="bottom"/>
            <w:hideMark/>
          </w:tcPr>
          <w:p w14:paraId="00E855A3" w14:textId="77777777" w:rsidR="00A83B3E" w:rsidRPr="00254EF1" w:rsidRDefault="00A83B3E" w:rsidP="00DA2092">
            <w:pPr>
              <w:tabs>
                <w:tab w:val="clear" w:pos="567"/>
              </w:tabs>
              <w:spacing w:before="0" w:line="240" w:lineRule="auto"/>
              <w:rPr>
                <w:rFonts w:eastAsia="Times New Roman" w:cs="Open Sans Light"/>
                <w:sz w:val="16"/>
                <w:szCs w:val="16"/>
                <w:lang w:eastAsia="en-AU"/>
              </w:rPr>
            </w:pPr>
            <w:r w:rsidRPr="00254EF1">
              <w:rPr>
                <w:rFonts w:eastAsia="Times New Roman" w:cs="Open Sans Light"/>
                <w:sz w:val="16"/>
                <w:szCs w:val="16"/>
                <w:lang w:eastAsia="en-AU"/>
              </w:rPr>
              <w:t xml:space="preserve">Assessed allowance [O = G * N] </w:t>
            </w:r>
          </w:p>
        </w:tc>
        <w:tc>
          <w:tcPr>
            <w:tcW w:w="1120" w:type="dxa"/>
            <w:tcBorders>
              <w:top w:val="nil"/>
              <w:left w:val="nil"/>
              <w:bottom w:val="single" w:sz="4" w:space="0" w:color="ADD6EA"/>
              <w:right w:val="nil"/>
            </w:tcBorders>
            <w:shd w:val="clear" w:color="auto" w:fill="auto"/>
            <w:vAlign w:val="bottom"/>
            <w:hideMark/>
          </w:tcPr>
          <w:p w14:paraId="6C29FB3F" w14:textId="77777777" w:rsidR="00A83B3E" w:rsidRPr="00254EF1" w:rsidRDefault="00A83B3E" w:rsidP="00CD03DF">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$m</w:t>
            </w:r>
          </w:p>
        </w:tc>
        <w:tc>
          <w:tcPr>
            <w:tcW w:w="1120" w:type="dxa"/>
            <w:tcBorders>
              <w:top w:val="nil"/>
              <w:left w:val="nil"/>
              <w:bottom w:val="single" w:sz="4" w:space="0" w:color="ADD6EA"/>
              <w:right w:val="nil"/>
            </w:tcBorders>
            <w:shd w:val="clear" w:color="auto" w:fill="auto"/>
            <w:vAlign w:val="bottom"/>
            <w:hideMark/>
          </w:tcPr>
          <w:p w14:paraId="21988019"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8.33</w:t>
            </w:r>
          </w:p>
        </w:tc>
        <w:tc>
          <w:tcPr>
            <w:tcW w:w="1120" w:type="dxa"/>
            <w:tcBorders>
              <w:top w:val="nil"/>
              <w:left w:val="nil"/>
              <w:bottom w:val="single" w:sz="4" w:space="0" w:color="ADD6EA"/>
              <w:right w:val="nil"/>
            </w:tcBorders>
            <w:shd w:val="clear" w:color="auto" w:fill="auto"/>
            <w:vAlign w:val="bottom"/>
            <w:hideMark/>
          </w:tcPr>
          <w:p w14:paraId="727706C9"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5.45</w:t>
            </w:r>
          </w:p>
        </w:tc>
        <w:tc>
          <w:tcPr>
            <w:tcW w:w="1120" w:type="dxa"/>
            <w:tcBorders>
              <w:top w:val="nil"/>
              <w:left w:val="nil"/>
              <w:bottom w:val="single" w:sz="4" w:space="0" w:color="ADD6EA"/>
              <w:right w:val="nil"/>
            </w:tcBorders>
            <w:shd w:val="clear" w:color="auto" w:fill="auto"/>
            <w:vAlign w:val="bottom"/>
            <w:hideMark/>
          </w:tcPr>
          <w:p w14:paraId="5B4C46B4" w14:textId="77777777" w:rsidR="00A83B3E" w:rsidRPr="00254EF1" w:rsidRDefault="00A83B3E" w:rsidP="00DA2092">
            <w:pPr>
              <w:tabs>
                <w:tab w:val="clear" w:pos="567"/>
              </w:tabs>
              <w:spacing w:before="0" w:line="240" w:lineRule="auto"/>
              <w:jc w:val="right"/>
              <w:rPr>
                <w:rFonts w:eastAsia="Times New Roman" w:cs="Open Sans Light"/>
                <w:sz w:val="16"/>
                <w:szCs w:val="16"/>
                <w:lang w:eastAsia="en-AU"/>
              </w:rPr>
            </w:pPr>
            <w:r w:rsidRPr="00254EF1">
              <w:rPr>
                <w:rFonts w:eastAsia="Times New Roman" w:cs="Open Sans Light"/>
                <w:sz w:val="16"/>
                <w:szCs w:val="16"/>
                <w:lang w:eastAsia="en-AU"/>
              </w:rPr>
              <w:t>9.52</w:t>
            </w:r>
          </w:p>
        </w:tc>
      </w:tr>
    </w:tbl>
    <w:p w14:paraId="797F8A90" w14:textId="4E917558" w:rsidR="009E7F1B" w:rsidRPr="00EC175E" w:rsidRDefault="009E7F1B" w:rsidP="009E7F1B">
      <w:pPr>
        <w:pStyle w:val="CGCTablenote"/>
        <w:keepNext/>
        <w:keepLines/>
      </w:pPr>
      <w:r w:rsidRPr="007A391D">
        <w:t>(a</w:t>
      </w:r>
      <w:r>
        <w:t>)</w:t>
      </w:r>
      <w:r>
        <w:tab/>
      </w:r>
      <w:r w:rsidRPr="00F46B46">
        <w:t xml:space="preserve">Excludes </w:t>
      </w:r>
      <w:r>
        <w:t>payroll tax</w:t>
      </w:r>
      <w:r w:rsidRPr="00EC175E">
        <w:t xml:space="preserve"> because the AFP is exempt from paying payroll tax.</w:t>
      </w:r>
    </w:p>
    <w:p w14:paraId="2CF3C102" w14:textId="05040B9E" w:rsidR="009E7F1B" w:rsidRDefault="009E7F1B" w:rsidP="009E7F1B">
      <w:pPr>
        <w:pStyle w:val="CGCTablenote"/>
        <w:keepNext/>
        <w:keepLines/>
      </w:pPr>
      <w:r w:rsidRPr="00EC175E">
        <w:t>Source:</w:t>
      </w:r>
      <w:r w:rsidRPr="00EC175E">
        <w:tab/>
      </w:r>
      <w:r w:rsidR="00AB6297">
        <w:t xml:space="preserve">Productivity Commission, </w:t>
      </w:r>
      <w:r w:rsidR="00AB6297">
        <w:rPr>
          <w:i/>
          <w:iCs/>
        </w:rPr>
        <w:t>Report on Government Services 2019</w:t>
      </w:r>
      <w:r w:rsidR="00AB6297">
        <w:t>, Table 6A.1 and Table 6A.3.</w:t>
      </w:r>
    </w:p>
    <w:p w14:paraId="1E402599" w14:textId="1A924F91" w:rsidR="009E7F1B" w:rsidRDefault="009E7F1B" w:rsidP="009E7F1B">
      <w:pPr>
        <w:pStyle w:val="CGCTablenote"/>
        <w:keepNext/>
        <w:keepLines/>
      </w:pPr>
      <w:r>
        <w:tab/>
      </w:r>
      <w:r w:rsidR="006345C5">
        <w:t>Australian Bureau of Statistics (ABS)</w:t>
      </w:r>
      <w:r w:rsidRPr="009C4E3B">
        <w:t xml:space="preserve">, </w:t>
      </w:r>
      <w:r w:rsidRPr="004D5662">
        <w:rPr>
          <w:i/>
        </w:rPr>
        <w:t>Wage Price Index</w:t>
      </w:r>
      <w:r w:rsidRPr="009C4E3B">
        <w:t xml:space="preserve">, </w:t>
      </w:r>
      <w:r>
        <w:t>c</w:t>
      </w:r>
      <w:r w:rsidRPr="009C4E3B">
        <w:t xml:space="preserve">at. </w:t>
      </w:r>
      <w:r>
        <w:t>n</w:t>
      </w:r>
      <w:r w:rsidRPr="009C4E3B">
        <w:t xml:space="preserve">o. 6345.0, </w:t>
      </w:r>
      <w:r>
        <w:t>ABS Canberra</w:t>
      </w:r>
      <w:r w:rsidRPr="009C4E3B">
        <w:t>, Table 4a.</w:t>
      </w:r>
    </w:p>
    <w:p w14:paraId="1DEF1715" w14:textId="77777777" w:rsidR="009E7F1B" w:rsidRPr="00E65A5C" w:rsidRDefault="009E7F1B" w:rsidP="009E7F1B">
      <w:pPr>
        <w:pStyle w:val="Heading5"/>
      </w:pPr>
      <w:bookmarkStart w:id="623" w:name="_Toc3862459"/>
      <w:bookmarkStart w:id="624" w:name="_Toc7184323"/>
      <w:r>
        <w:t>Indexing</w:t>
      </w:r>
      <w:bookmarkEnd w:id="623"/>
      <w:bookmarkEnd w:id="624"/>
    </w:p>
    <w:p w14:paraId="78553274" w14:textId="77777777" w:rsidR="009E7F1B" w:rsidRDefault="009E7F1B" w:rsidP="00F47EC7">
      <w:pPr>
        <w:pStyle w:val="CGCParaNumber"/>
      </w:pPr>
      <w:r>
        <w:t>The Commission has decided to index the national capital allowances for 2017</w:t>
      </w:r>
      <w:r>
        <w:noBreakHyphen/>
        <w:t>18 by the State and local general government final consumption expenditure (SLGFCE) chain price index to calculate allowances for the other assessment years. SLGFCE is a national accounts aggregate that reflects the expenditure of States.</w:t>
      </w:r>
    </w:p>
    <w:p w14:paraId="777D8453" w14:textId="77777777" w:rsidR="009E7F1B" w:rsidRDefault="009E7F1B" w:rsidP="009E7F1B">
      <w:pPr>
        <w:pStyle w:val="Heading3"/>
      </w:pPr>
      <w:r>
        <w:lastRenderedPageBreak/>
        <w:t>Effect on the GST distribution</w:t>
      </w:r>
    </w:p>
    <w:p w14:paraId="254A4B7B" w14:textId="4C4D5DDD" w:rsidR="009E7F1B" w:rsidRDefault="009E7F1B" w:rsidP="00F47EC7">
      <w:pPr>
        <w:pStyle w:val="CGCParaNumber"/>
      </w:pPr>
      <w:r>
        <w:fldChar w:fldCharType="begin"/>
      </w:r>
      <w:r>
        <w:instrText xml:space="preserve"> REF _Ref10627434 \h </w:instrText>
      </w:r>
      <w:r>
        <w:fldChar w:fldCharType="separate"/>
      </w:r>
      <w:r w:rsidR="007F721A">
        <w:t>Table 29-</w:t>
      </w:r>
      <w:r w:rsidR="007F721A">
        <w:rPr>
          <w:noProof/>
        </w:rPr>
        <w:t>4</w:t>
      </w:r>
      <w:r>
        <w:fldChar w:fldCharType="end"/>
      </w:r>
      <w:r>
        <w:t xml:space="preserve"> shows the extent to which the national capital assessment differs from an equal per capita (EPC) assessment. Recognising the higher spending requirements facing the ACT, this assessment redistributes GST revenue towards the ACT and away from the other States.</w:t>
      </w:r>
    </w:p>
    <w:p w14:paraId="2E3E73BE" w14:textId="66D69866" w:rsidR="009E7F1B" w:rsidRDefault="009E7F1B" w:rsidP="009E7F1B">
      <w:pPr>
        <w:pStyle w:val="Caption"/>
      </w:pPr>
      <w:bookmarkStart w:id="625" w:name="_Ref10627434"/>
      <w:r>
        <w:t>Table 29-</w:t>
      </w:r>
      <w:fldSimple w:instr=" SEQ Table \* ARABIC ">
        <w:r w:rsidR="007F721A">
          <w:rPr>
            <w:noProof/>
          </w:rPr>
          <w:t>4</w:t>
        </w:r>
      </w:fldSimple>
      <w:bookmarkEnd w:id="625"/>
      <w:r>
        <w:t xml:space="preserve"> </w:t>
      </w:r>
      <w:r>
        <w:tab/>
        <w:t>Redistribution from an EPC assessment, national capital, 2020</w:t>
      </w:r>
      <w:r>
        <w:noBreakHyphen/>
        <w:t>21</w:t>
      </w:r>
    </w:p>
    <w:tbl>
      <w:tblPr>
        <w:tblW w:w="9040" w:type="dxa"/>
        <w:tblCellMar>
          <w:left w:w="0" w:type="dxa"/>
          <w:right w:w="28" w:type="dxa"/>
        </w:tblCellMar>
        <w:tblLook w:val="04A0" w:firstRow="1" w:lastRow="0" w:firstColumn="1" w:lastColumn="0" w:noHBand="0" w:noVBand="1"/>
      </w:tblPr>
      <w:tblGrid>
        <w:gridCol w:w="2200"/>
        <w:gridCol w:w="760"/>
        <w:gridCol w:w="760"/>
        <w:gridCol w:w="760"/>
        <w:gridCol w:w="760"/>
        <w:gridCol w:w="760"/>
        <w:gridCol w:w="760"/>
        <w:gridCol w:w="760"/>
        <w:gridCol w:w="760"/>
        <w:gridCol w:w="760"/>
      </w:tblGrid>
      <w:tr w:rsidR="009E7F1B" w:rsidRPr="00656EDB" w14:paraId="5595A5C5" w14:textId="77777777" w:rsidTr="00CF284E">
        <w:trPr>
          <w:trHeight w:val="375"/>
        </w:trPr>
        <w:tc>
          <w:tcPr>
            <w:tcW w:w="2200" w:type="dxa"/>
            <w:tcBorders>
              <w:top w:val="single" w:sz="4" w:space="0" w:color="ADD6EA"/>
              <w:left w:val="nil"/>
              <w:bottom w:val="single" w:sz="4" w:space="0" w:color="ADD6EA"/>
              <w:right w:val="nil"/>
            </w:tcBorders>
            <w:shd w:val="clear" w:color="000000" w:fill="006991"/>
            <w:vAlign w:val="center"/>
            <w:hideMark/>
          </w:tcPr>
          <w:p w14:paraId="2CEB137F" w14:textId="77777777" w:rsidR="009E7F1B" w:rsidRPr="00656EDB" w:rsidRDefault="009E7F1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56EDB">
              <w:rPr>
                <w:rFonts w:ascii="Open Sans SemiBold" w:eastAsia="Times New Roman" w:hAnsi="Open Sans SemiBold" w:cs="Open Sans SemiBold"/>
                <w:color w:val="FFFFFF"/>
                <w:sz w:val="16"/>
                <w:szCs w:val="16"/>
                <w:lang w:eastAsia="en-AU"/>
              </w:rPr>
              <w:t> </w:t>
            </w:r>
          </w:p>
        </w:tc>
        <w:tc>
          <w:tcPr>
            <w:tcW w:w="760" w:type="dxa"/>
            <w:tcBorders>
              <w:top w:val="single" w:sz="4" w:space="0" w:color="ADD6EA"/>
              <w:left w:val="nil"/>
              <w:bottom w:val="single" w:sz="4" w:space="0" w:color="ADD6EA"/>
              <w:right w:val="nil"/>
            </w:tcBorders>
            <w:shd w:val="clear" w:color="000000" w:fill="006991"/>
            <w:vAlign w:val="center"/>
            <w:hideMark/>
          </w:tcPr>
          <w:p w14:paraId="5157AFF3" w14:textId="77777777" w:rsidR="009E7F1B" w:rsidRPr="00656EDB" w:rsidRDefault="009E7F1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56EDB">
              <w:rPr>
                <w:rFonts w:ascii="Open Sans SemiBold" w:eastAsia="Times New Roman" w:hAnsi="Open Sans SemiBold" w:cs="Open Sans SemiBold"/>
                <w:color w:val="FFFFFF"/>
                <w:sz w:val="16"/>
                <w:szCs w:val="16"/>
                <w:lang w:eastAsia="en-AU"/>
              </w:rPr>
              <w:t>NSW</w:t>
            </w:r>
          </w:p>
        </w:tc>
        <w:tc>
          <w:tcPr>
            <w:tcW w:w="760" w:type="dxa"/>
            <w:tcBorders>
              <w:top w:val="single" w:sz="4" w:space="0" w:color="ADD6EA"/>
              <w:left w:val="nil"/>
              <w:bottom w:val="single" w:sz="4" w:space="0" w:color="ADD6EA"/>
              <w:right w:val="nil"/>
            </w:tcBorders>
            <w:shd w:val="clear" w:color="000000" w:fill="006991"/>
            <w:vAlign w:val="center"/>
            <w:hideMark/>
          </w:tcPr>
          <w:p w14:paraId="2C05DBB0" w14:textId="77777777" w:rsidR="009E7F1B" w:rsidRPr="00656EDB" w:rsidRDefault="009E7F1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56EDB">
              <w:rPr>
                <w:rFonts w:ascii="Open Sans SemiBold" w:eastAsia="Times New Roman" w:hAnsi="Open Sans SemiBold" w:cs="Open Sans SemiBold"/>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vAlign w:val="center"/>
            <w:hideMark/>
          </w:tcPr>
          <w:p w14:paraId="77C9C3AE" w14:textId="77777777" w:rsidR="009E7F1B" w:rsidRPr="00656EDB" w:rsidRDefault="009E7F1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56EDB">
              <w:rPr>
                <w:rFonts w:ascii="Open Sans SemiBold" w:eastAsia="Times New Roman" w:hAnsi="Open Sans SemiBold" w:cs="Open Sans SemiBold"/>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vAlign w:val="center"/>
            <w:hideMark/>
          </w:tcPr>
          <w:p w14:paraId="1264D4C3" w14:textId="77777777" w:rsidR="009E7F1B" w:rsidRPr="00656EDB" w:rsidRDefault="009E7F1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56EDB">
              <w:rPr>
                <w:rFonts w:ascii="Open Sans SemiBold" w:eastAsia="Times New Roman" w:hAnsi="Open Sans SemiBold" w:cs="Open Sans SemiBold"/>
                <w:color w:val="FFFFFF"/>
                <w:sz w:val="16"/>
                <w:szCs w:val="16"/>
                <w:lang w:eastAsia="en-AU"/>
              </w:rPr>
              <w:t>WA</w:t>
            </w:r>
          </w:p>
        </w:tc>
        <w:tc>
          <w:tcPr>
            <w:tcW w:w="760" w:type="dxa"/>
            <w:tcBorders>
              <w:top w:val="single" w:sz="4" w:space="0" w:color="ADD6EA"/>
              <w:left w:val="nil"/>
              <w:bottom w:val="single" w:sz="4" w:space="0" w:color="ADD6EA"/>
              <w:right w:val="nil"/>
            </w:tcBorders>
            <w:shd w:val="clear" w:color="000000" w:fill="006991"/>
            <w:vAlign w:val="center"/>
            <w:hideMark/>
          </w:tcPr>
          <w:p w14:paraId="4142FBB4" w14:textId="77777777" w:rsidR="009E7F1B" w:rsidRPr="00656EDB" w:rsidRDefault="009E7F1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56EDB">
              <w:rPr>
                <w:rFonts w:ascii="Open Sans SemiBold" w:eastAsia="Times New Roman" w:hAnsi="Open Sans SemiBold" w:cs="Open Sans SemiBold"/>
                <w:color w:val="FFFFFF"/>
                <w:sz w:val="16"/>
                <w:szCs w:val="16"/>
                <w:lang w:eastAsia="en-AU"/>
              </w:rPr>
              <w:t>SA</w:t>
            </w:r>
          </w:p>
        </w:tc>
        <w:tc>
          <w:tcPr>
            <w:tcW w:w="760" w:type="dxa"/>
            <w:tcBorders>
              <w:top w:val="single" w:sz="4" w:space="0" w:color="ADD6EA"/>
              <w:left w:val="nil"/>
              <w:bottom w:val="single" w:sz="4" w:space="0" w:color="ADD6EA"/>
              <w:right w:val="nil"/>
            </w:tcBorders>
            <w:shd w:val="clear" w:color="000000" w:fill="006991"/>
            <w:vAlign w:val="center"/>
            <w:hideMark/>
          </w:tcPr>
          <w:p w14:paraId="41BF1171" w14:textId="77777777" w:rsidR="009E7F1B" w:rsidRPr="00656EDB" w:rsidRDefault="009E7F1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56EDB">
              <w:rPr>
                <w:rFonts w:ascii="Open Sans SemiBold" w:eastAsia="Times New Roman" w:hAnsi="Open Sans SemiBold" w:cs="Open Sans SemiBold"/>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vAlign w:val="center"/>
            <w:hideMark/>
          </w:tcPr>
          <w:p w14:paraId="5A0CE8DA" w14:textId="77777777" w:rsidR="009E7F1B" w:rsidRPr="00656EDB" w:rsidRDefault="009E7F1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56EDB">
              <w:rPr>
                <w:rFonts w:ascii="Open Sans SemiBold" w:eastAsia="Times New Roman" w:hAnsi="Open Sans SemiBold" w:cs="Open Sans SemiBold"/>
                <w:color w:val="FFFFFF"/>
                <w:sz w:val="16"/>
                <w:szCs w:val="16"/>
                <w:lang w:eastAsia="en-AU"/>
              </w:rPr>
              <w:t>ACT</w:t>
            </w:r>
          </w:p>
        </w:tc>
        <w:tc>
          <w:tcPr>
            <w:tcW w:w="760" w:type="dxa"/>
            <w:tcBorders>
              <w:top w:val="single" w:sz="4" w:space="0" w:color="ADD6EA"/>
              <w:left w:val="nil"/>
              <w:bottom w:val="single" w:sz="4" w:space="0" w:color="ADD6EA"/>
              <w:right w:val="nil"/>
            </w:tcBorders>
            <w:shd w:val="clear" w:color="000000" w:fill="006991"/>
            <w:vAlign w:val="center"/>
            <w:hideMark/>
          </w:tcPr>
          <w:p w14:paraId="3C4DD401" w14:textId="77777777" w:rsidR="009E7F1B" w:rsidRPr="00656EDB" w:rsidRDefault="009E7F1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56EDB">
              <w:rPr>
                <w:rFonts w:ascii="Open Sans SemiBold" w:eastAsia="Times New Roman" w:hAnsi="Open Sans SemiBold" w:cs="Open Sans SemiBold"/>
                <w:color w:val="FFFFFF"/>
                <w:sz w:val="16"/>
                <w:szCs w:val="16"/>
                <w:lang w:eastAsia="en-AU"/>
              </w:rPr>
              <w:t>NT</w:t>
            </w:r>
          </w:p>
        </w:tc>
        <w:tc>
          <w:tcPr>
            <w:tcW w:w="760" w:type="dxa"/>
            <w:tcBorders>
              <w:top w:val="single" w:sz="4" w:space="0" w:color="ADD6EA"/>
              <w:left w:val="nil"/>
              <w:bottom w:val="single" w:sz="4" w:space="0" w:color="ADD6EA"/>
              <w:right w:val="nil"/>
            </w:tcBorders>
            <w:shd w:val="clear" w:color="000000" w:fill="006991"/>
            <w:vAlign w:val="center"/>
            <w:hideMark/>
          </w:tcPr>
          <w:p w14:paraId="10CAF7EB" w14:textId="77777777" w:rsidR="009E7F1B" w:rsidRPr="00656EDB" w:rsidRDefault="009E7F1B"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56EDB">
              <w:rPr>
                <w:rFonts w:ascii="Open Sans SemiBold" w:eastAsia="Times New Roman" w:hAnsi="Open Sans SemiBold" w:cs="Open Sans SemiBold"/>
                <w:color w:val="FFFFFF"/>
                <w:sz w:val="16"/>
                <w:szCs w:val="16"/>
                <w:lang w:eastAsia="en-AU"/>
              </w:rPr>
              <w:t>Total</w:t>
            </w:r>
          </w:p>
        </w:tc>
      </w:tr>
      <w:tr w:rsidR="009E7F1B" w:rsidRPr="00656EDB" w14:paraId="659E992E" w14:textId="77777777" w:rsidTr="00CF284E">
        <w:trPr>
          <w:trHeight w:val="315"/>
        </w:trPr>
        <w:tc>
          <w:tcPr>
            <w:tcW w:w="2200" w:type="dxa"/>
            <w:tcBorders>
              <w:top w:val="nil"/>
              <w:left w:val="nil"/>
              <w:bottom w:val="single" w:sz="4" w:space="0" w:color="ADD6EA"/>
              <w:right w:val="nil"/>
            </w:tcBorders>
            <w:shd w:val="clear" w:color="auto" w:fill="auto"/>
            <w:vAlign w:val="bottom"/>
            <w:hideMark/>
          </w:tcPr>
          <w:p w14:paraId="690567A2" w14:textId="77777777" w:rsidR="009E7F1B" w:rsidRPr="00656EDB" w:rsidRDefault="009E7F1B" w:rsidP="004D65FE">
            <w:pPr>
              <w:tabs>
                <w:tab w:val="clear" w:pos="567"/>
              </w:tabs>
              <w:spacing w:before="0" w:line="240" w:lineRule="auto"/>
              <w:rPr>
                <w:rFonts w:eastAsia="Times New Roman" w:cs="Open Sans Light"/>
                <w:sz w:val="16"/>
                <w:szCs w:val="16"/>
                <w:lang w:eastAsia="en-AU"/>
              </w:rPr>
            </w:pPr>
            <w:r w:rsidRPr="00656EDB">
              <w:rPr>
                <w:rFonts w:eastAsia="Times New Roman" w:cs="Open Sans Light"/>
                <w:sz w:val="16"/>
                <w:szCs w:val="16"/>
                <w:lang w:eastAsia="en-AU"/>
              </w:rPr>
              <w:t>$ million</w:t>
            </w:r>
          </w:p>
        </w:tc>
        <w:tc>
          <w:tcPr>
            <w:tcW w:w="760" w:type="dxa"/>
            <w:tcBorders>
              <w:top w:val="nil"/>
              <w:left w:val="nil"/>
              <w:bottom w:val="single" w:sz="4" w:space="0" w:color="ADD6EA"/>
              <w:right w:val="nil"/>
            </w:tcBorders>
            <w:shd w:val="clear" w:color="auto" w:fill="auto"/>
            <w:vAlign w:val="bottom"/>
            <w:hideMark/>
          </w:tcPr>
          <w:p w14:paraId="0F658F5E"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-5</w:t>
            </w:r>
          </w:p>
        </w:tc>
        <w:tc>
          <w:tcPr>
            <w:tcW w:w="760" w:type="dxa"/>
            <w:tcBorders>
              <w:top w:val="nil"/>
              <w:left w:val="nil"/>
              <w:bottom w:val="single" w:sz="4" w:space="0" w:color="ADD6EA"/>
              <w:right w:val="nil"/>
            </w:tcBorders>
            <w:shd w:val="clear" w:color="auto" w:fill="auto"/>
            <w:vAlign w:val="bottom"/>
            <w:hideMark/>
          </w:tcPr>
          <w:p w14:paraId="4639B0A3"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vAlign w:val="bottom"/>
            <w:hideMark/>
          </w:tcPr>
          <w:p w14:paraId="2E3A2C7E"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vAlign w:val="bottom"/>
            <w:hideMark/>
          </w:tcPr>
          <w:p w14:paraId="08C997FF"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vAlign w:val="bottom"/>
            <w:hideMark/>
          </w:tcPr>
          <w:p w14:paraId="38D8CA49"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6FD51248"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5C2B4419"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15</w:t>
            </w:r>
          </w:p>
        </w:tc>
        <w:tc>
          <w:tcPr>
            <w:tcW w:w="760" w:type="dxa"/>
            <w:tcBorders>
              <w:top w:val="nil"/>
              <w:left w:val="nil"/>
              <w:bottom w:val="single" w:sz="4" w:space="0" w:color="ADD6EA"/>
              <w:right w:val="nil"/>
            </w:tcBorders>
            <w:shd w:val="clear" w:color="auto" w:fill="auto"/>
            <w:vAlign w:val="bottom"/>
            <w:hideMark/>
          </w:tcPr>
          <w:p w14:paraId="02E05B50"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vAlign w:val="bottom"/>
            <w:hideMark/>
          </w:tcPr>
          <w:p w14:paraId="741BB293"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15</w:t>
            </w:r>
          </w:p>
        </w:tc>
      </w:tr>
      <w:tr w:rsidR="009E7F1B" w:rsidRPr="00656EDB" w14:paraId="54184231" w14:textId="77777777" w:rsidTr="00CF284E">
        <w:trPr>
          <w:trHeight w:val="315"/>
        </w:trPr>
        <w:tc>
          <w:tcPr>
            <w:tcW w:w="2200" w:type="dxa"/>
            <w:tcBorders>
              <w:top w:val="nil"/>
              <w:left w:val="nil"/>
              <w:bottom w:val="single" w:sz="4" w:space="0" w:color="ADD6EA"/>
              <w:right w:val="nil"/>
            </w:tcBorders>
            <w:shd w:val="clear" w:color="auto" w:fill="auto"/>
            <w:vAlign w:val="bottom"/>
            <w:hideMark/>
          </w:tcPr>
          <w:p w14:paraId="10675A26" w14:textId="77777777" w:rsidR="009E7F1B" w:rsidRPr="00656EDB" w:rsidRDefault="009E7F1B" w:rsidP="004D65FE">
            <w:pPr>
              <w:tabs>
                <w:tab w:val="clear" w:pos="567"/>
              </w:tabs>
              <w:spacing w:before="0" w:line="240" w:lineRule="auto"/>
              <w:rPr>
                <w:rFonts w:eastAsia="Times New Roman" w:cs="Open Sans Light"/>
                <w:sz w:val="16"/>
                <w:szCs w:val="16"/>
                <w:lang w:eastAsia="en-AU"/>
              </w:rPr>
            </w:pPr>
            <w:r w:rsidRPr="00656EDB">
              <w:rPr>
                <w:rFonts w:eastAsia="Times New Roman" w:cs="Open Sans Light"/>
                <w:sz w:val="16"/>
                <w:szCs w:val="16"/>
                <w:lang w:eastAsia="en-AU"/>
              </w:rPr>
              <w:t>$ per capita</w:t>
            </w:r>
          </w:p>
        </w:tc>
        <w:tc>
          <w:tcPr>
            <w:tcW w:w="760" w:type="dxa"/>
            <w:tcBorders>
              <w:top w:val="nil"/>
              <w:left w:val="nil"/>
              <w:bottom w:val="single" w:sz="4" w:space="0" w:color="ADD6EA"/>
              <w:right w:val="nil"/>
            </w:tcBorders>
            <w:shd w:val="clear" w:color="auto" w:fill="auto"/>
            <w:vAlign w:val="bottom"/>
            <w:hideMark/>
          </w:tcPr>
          <w:p w14:paraId="67FA0E83"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7F0BA5F5"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7CEA9732"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4EB74848"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685CDA61"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4D32AE7A"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2C5C6619"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35</w:t>
            </w:r>
          </w:p>
        </w:tc>
        <w:tc>
          <w:tcPr>
            <w:tcW w:w="760" w:type="dxa"/>
            <w:tcBorders>
              <w:top w:val="nil"/>
              <w:left w:val="nil"/>
              <w:bottom w:val="single" w:sz="4" w:space="0" w:color="ADD6EA"/>
              <w:right w:val="nil"/>
            </w:tcBorders>
            <w:shd w:val="clear" w:color="auto" w:fill="auto"/>
            <w:vAlign w:val="bottom"/>
            <w:hideMark/>
          </w:tcPr>
          <w:p w14:paraId="6FC59682"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vAlign w:val="bottom"/>
            <w:hideMark/>
          </w:tcPr>
          <w:p w14:paraId="0A2BF9BB" w14:textId="77777777" w:rsidR="009E7F1B" w:rsidRPr="00656EDB" w:rsidRDefault="009E7F1B" w:rsidP="004D65FE">
            <w:pPr>
              <w:tabs>
                <w:tab w:val="clear" w:pos="567"/>
              </w:tabs>
              <w:spacing w:before="0" w:line="240" w:lineRule="auto"/>
              <w:jc w:val="right"/>
              <w:rPr>
                <w:rFonts w:eastAsia="Times New Roman" w:cs="Open Sans Light"/>
                <w:sz w:val="16"/>
                <w:szCs w:val="16"/>
                <w:lang w:eastAsia="en-AU"/>
              </w:rPr>
            </w:pPr>
            <w:r w:rsidRPr="00656EDB">
              <w:rPr>
                <w:rFonts w:eastAsia="Times New Roman" w:cs="Open Sans Light"/>
                <w:sz w:val="16"/>
                <w:szCs w:val="16"/>
                <w:lang w:eastAsia="en-AU"/>
              </w:rPr>
              <w:t>20</w:t>
            </w:r>
          </w:p>
        </w:tc>
      </w:tr>
    </w:tbl>
    <w:p w14:paraId="41B021AD" w14:textId="77777777" w:rsidR="009E7F1B" w:rsidRDefault="009E7F1B" w:rsidP="009E7F1B">
      <w:pPr>
        <w:pStyle w:val="CGCTablenote"/>
      </w:pPr>
      <w:r>
        <w:t>Note:</w:t>
      </w:r>
      <w:r>
        <w:tab/>
        <w:t>The redistribution is the difference from an EPC assessment of expenses.</w:t>
      </w:r>
    </w:p>
    <w:p w14:paraId="1D08B574" w14:textId="77777777" w:rsidR="009E7F1B" w:rsidRDefault="009E7F1B" w:rsidP="009E7F1B">
      <w:pPr>
        <w:pStyle w:val="CGCTablenote"/>
      </w:pPr>
      <w:r>
        <w:t>Source:</w:t>
      </w:r>
      <w:r>
        <w:tab/>
        <w:t>Commission calculation.</w:t>
      </w:r>
    </w:p>
    <w:p w14:paraId="7225E12E" w14:textId="77777777" w:rsidR="009E7F1B" w:rsidRDefault="009E7F1B" w:rsidP="009E7F1B">
      <w:pPr>
        <w:pStyle w:val="Heading3"/>
      </w:pPr>
      <w:r>
        <w:t>Changes since the 2019 Update</w:t>
      </w:r>
    </w:p>
    <w:p w14:paraId="323C8AD6" w14:textId="77777777" w:rsidR="009E7F1B" w:rsidRPr="000C4987" w:rsidRDefault="009E7F1B" w:rsidP="00F47EC7">
      <w:pPr>
        <w:pStyle w:val="CGCParaNumber"/>
      </w:pPr>
      <w:r w:rsidRPr="000C4987">
        <w:t xml:space="preserve">There are a number of </w:t>
      </w:r>
      <w:r>
        <w:t xml:space="preserve">data and </w:t>
      </w:r>
      <w:r w:rsidRPr="000C4987">
        <w:t xml:space="preserve">method changes since the </w:t>
      </w:r>
      <w:r>
        <w:t>2019 Update as well as changes in State circumstances.</w:t>
      </w:r>
    </w:p>
    <w:p w14:paraId="57A70796" w14:textId="77777777" w:rsidR="009E7F1B" w:rsidRDefault="009E7F1B" w:rsidP="009E7F1B">
      <w:pPr>
        <w:pStyle w:val="CGCBullet1"/>
      </w:pPr>
      <w:r>
        <w:t>Data changes</w:t>
      </w:r>
    </w:p>
    <w:p w14:paraId="3DDAE926" w14:textId="77777777" w:rsidR="009E7F1B" w:rsidRDefault="009E7F1B" w:rsidP="00985625">
      <w:pPr>
        <w:pStyle w:val="CGCBullet2"/>
        <w:numPr>
          <w:ilvl w:val="0"/>
          <w:numId w:val="3"/>
        </w:numPr>
        <w:ind w:left="1208" w:hanging="357"/>
      </w:pPr>
      <w:r>
        <w:t>National capital planning allowances have been revised.</w:t>
      </w:r>
    </w:p>
    <w:p w14:paraId="122F209D" w14:textId="77777777" w:rsidR="009E7F1B" w:rsidRPr="000C4987" w:rsidRDefault="009E7F1B" w:rsidP="009E7F1B">
      <w:pPr>
        <w:pStyle w:val="CGCBullet1"/>
      </w:pPr>
      <w:r w:rsidRPr="000C4987">
        <w:t>Method changes</w:t>
      </w:r>
    </w:p>
    <w:p w14:paraId="3502D74A" w14:textId="77777777" w:rsidR="009E7F1B" w:rsidRDefault="009E7F1B" w:rsidP="00985625">
      <w:pPr>
        <w:pStyle w:val="CGCBullet2"/>
        <w:numPr>
          <w:ilvl w:val="0"/>
          <w:numId w:val="3"/>
        </w:numPr>
        <w:ind w:left="1208" w:hanging="357"/>
      </w:pPr>
      <w:r>
        <w:t>National capital allowances for wider roads, above average urban space, above average urban/bush interface and bus subsidies are no longer being assessed.</w:t>
      </w:r>
    </w:p>
    <w:p w14:paraId="490A0AD3" w14:textId="77777777" w:rsidR="009E7F1B" w:rsidRDefault="009E7F1B" w:rsidP="009E7F1B">
      <w:pPr>
        <w:pStyle w:val="CGCBullet1"/>
      </w:pPr>
      <w:r w:rsidRPr="00831D57">
        <w:t>Changes in State circumstances</w:t>
      </w:r>
    </w:p>
    <w:p w14:paraId="214E0B6F" w14:textId="77777777" w:rsidR="009E7F1B" w:rsidRDefault="009E7F1B" w:rsidP="00985625">
      <w:pPr>
        <w:pStyle w:val="CGCBullet2"/>
        <w:numPr>
          <w:ilvl w:val="0"/>
          <w:numId w:val="3"/>
        </w:numPr>
        <w:ind w:left="1208" w:hanging="357"/>
      </w:pPr>
      <w:r>
        <w:t>The police allowance is recalculated each year as new data become available.</w:t>
      </w:r>
    </w:p>
    <w:p w14:paraId="4A195F71" w14:textId="77777777" w:rsidR="009E7F1B" w:rsidRDefault="009E7F1B" w:rsidP="009E7F1B">
      <w:pPr>
        <w:pStyle w:val="Heading3"/>
      </w:pPr>
      <w:bookmarkStart w:id="626" w:name="_Toc7184330"/>
      <w:r>
        <w:t>Updating the assessment</w:t>
      </w:r>
      <w:bookmarkEnd w:id="626"/>
    </w:p>
    <w:p w14:paraId="4A6F3BC8" w14:textId="77777777" w:rsidR="009E7F1B" w:rsidRDefault="009E7F1B" w:rsidP="00F47EC7">
      <w:pPr>
        <w:pStyle w:val="CGCParaNumber"/>
      </w:pPr>
      <w:r>
        <w:t xml:space="preserve">As required by the terms of reference, the Commission will incorporate the latest available data in the assessment during the annual updates. This will allow the assessment to reflect changes in State circumstances. </w:t>
      </w:r>
    </w:p>
    <w:p w14:paraId="2855374F" w14:textId="77777777" w:rsidR="009E7F1B" w:rsidRPr="00484121" w:rsidRDefault="009E7F1B" w:rsidP="009E7F1B">
      <w:pPr>
        <w:pStyle w:val="CGCBullet1"/>
      </w:pPr>
      <w:r w:rsidRPr="00484121">
        <w:t>The following dat</w:t>
      </w:r>
      <w:r>
        <w:t>a</w:t>
      </w:r>
      <w:r w:rsidRPr="00484121">
        <w:t xml:space="preserve"> will be updated annually:</w:t>
      </w:r>
    </w:p>
    <w:p w14:paraId="68378865" w14:textId="77777777" w:rsidR="009E7F1B" w:rsidRDefault="009E7F1B" w:rsidP="00985625">
      <w:pPr>
        <w:pStyle w:val="CGCBullet2"/>
        <w:numPr>
          <w:ilvl w:val="0"/>
          <w:numId w:val="3"/>
        </w:numPr>
        <w:ind w:left="1208" w:hanging="357"/>
      </w:pPr>
      <w:r>
        <w:t xml:space="preserve">the police staffing and salaries data, sourced </w:t>
      </w:r>
      <w:r w:rsidRPr="00F46B46">
        <w:t xml:space="preserve">from the Productivity Commission’s </w:t>
      </w:r>
      <w:r w:rsidRPr="00EC175E">
        <w:rPr>
          <w:i/>
        </w:rPr>
        <w:t>Report on Government Services</w:t>
      </w:r>
    </w:p>
    <w:p w14:paraId="35787B76" w14:textId="77777777" w:rsidR="009E7F1B" w:rsidRPr="00731DF9" w:rsidRDefault="009E7F1B" w:rsidP="00985625">
      <w:pPr>
        <w:pStyle w:val="CGCBullet2"/>
        <w:numPr>
          <w:ilvl w:val="0"/>
          <w:numId w:val="3"/>
        </w:numPr>
        <w:ind w:left="1208" w:hanging="357"/>
      </w:pPr>
      <w:r>
        <w:t xml:space="preserve">SLGFCE </w:t>
      </w:r>
      <w:r w:rsidRPr="00731DF9">
        <w:t>data.</w:t>
      </w:r>
    </w:p>
    <w:p w14:paraId="1D61504E" w14:textId="77777777" w:rsidR="009E7F1B" w:rsidRDefault="009E7F1B" w:rsidP="000F1291">
      <w:pPr>
        <w:pStyle w:val="Heading3"/>
        <w:keepLines/>
      </w:pPr>
      <w:r>
        <w:t>Cross</w:t>
      </w:r>
      <w:r>
        <w:noBreakHyphen/>
        <w:t>border</w:t>
      </w:r>
    </w:p>
    <w:p w14:paraId="395288A4" w14:textId="34D4AE9D" w:rsidR="009E7F1B" w:rsidRDefault="009E7F1B" w:rsidP="00F47EC7">
      <w:pPr>
        <w:pStyle w:val="CGCParaNumber"/>
      </w:pPr>
      <w:r w:rsidRPr="00F46B46">
        <w:t xml:space="preserve">Cross-border costs are incurred when residents of one State use services provided </w:t>
      </w:r>
      <w:r>
        <w:t>by</w:t>
      </w:r>
      <w:r w:rsidRPr="00F46B46">
        <w:t xml:space="preserve"> another. Cross-border flows can occur across a</w:t>
      </w:r>
      <w:r>
        <w:t>ny border (for example, the New South </w:t>
      </w:r>
      <w:r w:rsidRPr="00F46B46">
        <w:t>Wales</w:t>
      </w:r>
      <w:r w:rsidR="00FB00EF">
        <w:noBreakHyphen/>
      </w:r>
      <w:r w:rsidRPr="00F46B46">
        <w:t xml:space="preserve">Queensland border </w:t>
      </w:r>
      <w:r>
        <w:t>in</w:t>
      </w:r>
      <w:r w:rsidRPr="00F46B46">
        <w:t xml:space="preserve"> the region of Tweed Heads-Coolangatta, or the New</w:t>
      </w:r>
      <w:r w:rsidR="00377126">
        <w:t> </w:t>
      </w:r>
      <w:r w:rsidRPr="00F46B46">
        <w:t>South</w:t>
      </w:r>
      <w:r w:rsidR="00377126">
        <w:t> </w:t>
      </w:r>
      <w:r w:rsidRPr="00F46B46">
        <w:t>Wales</w:t>
      </w:r>
      <w:r w:rsidR="00FB00EF">
        <w:noBreakHyphen/>
      </w:r>
      <w:r w:rsidRPr="00F46B46">
        <w:t>Victoria border around Albury-Wodonga).</w:t>
      </w:r>
      <w:r>
        <w:t xml:space="preserve"> </w:t>
      </w:r>
      <w:r w:rsidRPr="00030B06">
        <w:t xml:space="preserve">This </w:t>
      </w:r>
      <w:r>
        <w:t>is</w:t>
      </w:r>
      <w:r w:rsidRPr="00030B06">
        <w:t xml:space="preserve"> because</w:t>
      </w:r>
      <w:r>
        <w:t>:</w:t>
      </w:r>
    </w:p>
    <w:p w14:paraId="2E50E048" w14:textId="77777777" w:rsidR="009E7F1B" w:rsidRDefault="009E7F1B" w:rsidP="000F1291">
      <w:pPr>
        <w:pStyle w:val="CGCBullet1"/>
        <w:keepNext/>
        <w:keepLines/>
      </w:pPr>
      <w:r w:rsidRPr="00030B06">
        <w:lastRenderedPageBreak/>
        <w:t xml:space="preserve">residents of one State </w:t>
      </w:r>
      <w:r>
        <w:t>use</w:t>
      </w:r>
      <w:r w:rsidRPr="00030B06">
        <w:t xml:space="preserve"> higher level regional or capital city services</w:t>
      </w:r>
      <w:r>
        <w:t xml:space="preserve"> in another State </w:t>
      </w:r>
    </w:p>
    <w:p w14:paraId="6FB908CA" w14:textId="77777777" w:rsidR="009E7F1B" w:rsidRDefault="009E7F1B" w:rsidP="000F1291">
      <w:pPr>
        <w:pStyle w:val="CGCBullet1"/>
        <w:keepNext/>
        <w:keepLines/>
      </w:pPr>
      <w:r>
        <w:t xml:space="preserve">some </w:t>
      </w:r>
      <w:r w:rsidRPr="00030B06">
        <w:t>service</w:t>
      </w:r>
      <w:r>
        <w:t>s</w:t>
      </w:r>
      <w:r w:rsidRPr="00030B06">
        <w:t xml:space="preserve"> </w:t>
      </w:r>
      <w:r>
        <w:t xml:space="preserve">are </w:t>
      </w:r>
      <w:r w:rsidRPr="00030B06">
        <w:t>unavailab</w:t>
      </w:r>
      <w:r>
        <w:t xml:space="preserve">le </w:t>
      </w:r>
      <w:r w:rsidRPr="00030B06">
        <w:t>in the local area</w:t>
      </w:r>
    </w:p>
    <w:p w14:paraId="28931709" w14:textId="77777777" w:rsidR="009E7F1B" w:rsidRDefault="009E7F1B" w:rsidP="000F1291">
      <w:pPr>
        <w:pStyle w:val="CGCBullet1"/>
        <w:keepNext/>
        <w:keepLines/>
      </w:pPr>
      <w:r w:rsidRPr="00030B06">
        <w:t xml:space="preserve">it </w:t>
      </w:r>
      <w:r>
        <w:t xml:space="preserve">is more </w:t>
      </w:r>
      <w:r w:rsidRPr="00030B06">
        <w:t xml:space="preserve">convenient to use the services of other States for reasons </w:t>
      </w:r>
      <w:r>
        <w:t>such as</w:t>
      </w:r>
      <w:r w:rsidRPr="00030B06">
        <w:t xml:space="preserve"> employment</w:t>
      </w:r>
      <w:r>
        <w:t xml:space="preserve"> and studies.</w:t>
      </w:r>
    </w:p>
    <w:p w14:paraId="2DE76C3E" w14:textId="77777777" w:rsidR="009E7F1B" w:rsidRDefault="009E7F1B" w:rsidP="00F47EC7">
      <w:pPr>
        <w:pStyle w:val="CGCParaNumber"/>
      </w:pPr>
      <w:r w:rsidRPr="00F46B46">
        <w:t xml:space="preserve">A cross-border disability is assessed when a net cross-border flow of services results in a State incurring a material level of extra costs and it is not reimbursed by other States. </w:t>
      </w:r>
    </w:p>
    <w:p w14:paraId="2230544D" w14:textId="77777777" w:rsidR="009E7F1B" w:rsidRDefault="009E7F1B" w:rsidP="00F47EC7">
      <w:pPr>
        <w:pStyle w:val="CGCParaNumber"/>
      </w:pPr>
      <w:r>
        <w:t xml:space="preserve">The Commission’s revenue assessments also recognise cross-border disabilities by taking into account that taxes can be </w:t>
      </w:r>
      <w:r w:rsidRPr="00DA1677">
        <w:t xml:space="preserve">exported to </w:t>
      </w:r>
      <w:r>
        <w:t xml:space="preserve">the residents of </w:t>
      </w:r>
      <w:r w:rsidRPr="00DA1677">
        <w:t>another State</w:t>
      </w:r>
      <w:r>
        <w:t>.</w:t>
      </w:r>
    </w:p>
    <w:p w14:paraId="331ED648" w14:textId="77777777" w:rsidR="009E7F1B" w:rsidRPr="0081609C" w:rsidRDefault="009E7F1B" w:rsidP="009E7F1B">
      <w:pPr>
        <w:pStyle w:val="Heading3"/>
      </w:pPr>
      <w:bookmarkStart w:id="627" w:name="_Toc7184335"/>
      <w:r>
        <w:t>Assessment approach</w:t>
      </w:r>
    </w:p>
    <w:bookmarkEnd w:id="627"/>
    <w:p w14:paraId="410F467F" w14:textId="77777777" w:rsidR="009E7F1B" w:rsidRDefault="009E7F1B" w:rsidP="00F47EC7">
      <w:pPr>
        <w:pStyle w:val="CGCParaNumber"/>
      </w:pPr>
      <w:r>
        <w:t xml:space="preserve">The Commission has decided not to make a general assessment of cross-border disabilities in the 2020 Review. The case for a cross-border assessment is considered in each of the expense assessments (refer to the relevant chapters). </w:t>
      </w:r>
    </w:p>
    <w:p w14:paraId="4790F337" w14:textId="4FE3354B" w:rsidR="009E7F1B" w:rsidRDefault="009E7F1B" w:rsidP="009E7F1B">
      <w:pPr>
        <w:pStyle w:val="Heading3"/>
      </w:pPr>
      <w:bookmarkStart w:id="628" w:name="_Toc6998405"/>
      <w:r>
        <w:t>Native title and land rights</w:t>
      </w:r>
      <w:bookmarkEnd w:id="628"/>
    </w:p>
    <w:p w14:paraId="1ECF632C" w14:textId="77777777" w:rsidR="009E7F1B" w:rsidRPr="00F46B46" w:rsidRDefault="009E7F1B" w:rsidP="00F47EC7">
      <w:pPr>
        <w:pStyle w:val="CGCParaNumber"/>
      </w:pPr>
      <w:r>
        <w:t>The native title and land rights assessment recognises</w:t>
      </w:r>
      <w:r w:rsidRPr="00F46B46">
        <w:t xml:space="preserve"> the additional costs incurred </w:t>
      </w:r>
      <w:r>
        <w:t>by</w:t>
      </w:r>
      <w:r w:rsidRPr="00F46B46">
        <w:t xml:space="preserve"> the States due to the operation of:</w:t>
      </w:r>
    </w:p>
    <w:p w14:paraId="151C3F77" w14:textId="77777777" w:rsidR="009E7F1B" w:rsidRPr="00F46B46" w:rsidRDefault="009E7F1B" w:rsidP="009E7F1B">
      <w:pPr>
        <w:pStyle w:val="CGCBullet1"/>
      </w:pPr>
      <w:r w:rsidRPr="00F46B46">
        <w:t xml:space="preserve">the Commonwealth’s </w:t>
      </w:r>
      <w:r w:rsidRPr="00930B10">
        <w:rPr>
          <w:i/>
        </w:rPr>
        <w:t>Native Title Act</w:t>
      </w:r>
      <w:r w:rsidRPr="00F46B46">
        <w:t xml:space="preserve"> </w:t>
      </w:r>
      <w:r w:rsidRPr="00656286">
        <w:rPr>
          <w:i/>
        </w:rPr>
        <w:t>1993</w:t>
      </w:r>
    </w:p>
    <w:p w14:paraId="77BB7FB6" w14:textId="77777777" w:rsidR="009E7F1B" w:rsidRDefault="009E7F1B" w:rsidP="009E7F1B">
      <w:pPr>
        <w:pStyle w:val="CGCBullet1"/>
      </w:pPr>
      <w:r w:rsidRPr="00F46B46">
        <w:t xml:space="preserve">the Commonwealth’s </w:t>
      </w:r>
      <w:r w:rsidRPr="00930B10">
        <w:rPr>
          <w:i/>
        </w:rPr>
        <w:t>Aboriginal Land Rights (Northern Territory) Act</w:t>
      </w:r>
      <w:r w:rsidRPr="00F46B46">
        <w:t xml:space="preserve"> </w:t>
      </w:r>
      <w:r w:rsidRPr="00656286">
        <w:rPr>
          <w:i/>
        </w:rPr>
        <w:t>1976</w:t>
      </w:r>
      <w:r>
        <w:rPr>
          <w:i/>
        </w:rPr>
        <w:t xml:space="preserve"> </w:t>
      </w:r>
      <w:r w:rsidRPr="00CA699D">
        <w:t>and comparable State legislation</w:t>
      </w:r>
      <w:r w:rsidRPr="00F46B46">
        <w:t>.</w:t>
      </w:r>
    </w:p>
    <w:p w14:paraId="6F1F4DE5" w14:textId="77777777" w:rsidR="009E7F1B" w:rsidRDefault="009E7F1B" w:rsidP="009E7F1B">
      <w:pPr>
        <w:pStyle w:val="Heading4"/>
      </w:pPr>
      <w:r>
        <w:t>Native title</w:t>
      </w:r>
    </w:p>
    <w:p w14:paraId="1EFC2FDF" w14:textId="77777777" w:rsidR="009E7F1B" w:rsidRPr="00F46B46" w:rsidRDefault="009E7F1B" w:rsidP="00F47EC7">
      <w:pPr>
        <w:pStyle w:val="CGCParaNumber"/>
      </w:pPr>
      <w:r w:rsidRPr="00F46B46">
        <w:t xml:space="preserve">The Native Title legislation </w:t>
      </w:r>
      <w:r>
        <w:t>followed from</w:t>
      </w:r>
      <w:r w:rsidRPr="00F46B46">
        <w:t xml:space="preserve"> a High Court decision </w:t>
      </w:r>
      <w:r>
        <w:t>that</w:t>
      </w:r>
      <w:r w:rsidRPr="00F46B46">
        <w:t xml:space="preserve"> recognise</w:t>
      </w:r>
      <w:r>
        <w:t>d</w:t>
      </w:r>
      <w:r w:rsidRPr="00F46B46">
        <w:t xml:space="preserve"> Indigenous people’s traditional rights on their land as common law.</w:t>
      </w:r>
    </w:p>
    <w:p w14:paraId="4BC54438" w14:textId="77777777" w:rsidR="009E7F1B" w:rsidRPr="00F46B46" w:rsidRDefault="009E7F1B" w:rsidP="00F47EC7">
      <w:pPr>
        <w:pStyle w:val="CGCParaNumber"/>
      </w:pPr>
      <w:r w:rsidRPr="00F46B46">
        <w:t>Native title expenses include the costs of administering the legislation, compensating holders of native titles</w:t>
      </w:r>
      <w:r>
        <w:t>, the cost of processing future acts and associated compensation</w:t>
      </w:r>
      <w:r w:rsidRPr="00F46B46">
        <w:t>, and any on</w:t>
      </w:r>
      <w:r>
        <w:noBreakHyphen/>
      </w:r>
      <w:r w:rsidRPr="00F46B46">
        <w:t>going costs associated with joint management of land.</w:t>
      </w:r>
    </w:p>
    <w:p w14:paraId="69D6F9C0" w14:textId="77777777" w:rsidR="009E7F1B" w:rsidRDefault="009E7F1B" w:rsidP="00F47EC7">
      <w:pPr>
        <w:pStyle w:val="CGCParaNumber"/>
      </w:pPr>
      <w:r w:rsidRPr="00F46B46">
        <w:t xml:space="preserve">The expenses incurred in each State due to native title matters vary, depending on the number and type of native title </w:t>
      </w:r>
      <w:r>
        <w:t xml:space="preserve">and compensation </w:t>
      </w:r>
      <w:r w:rsidRPr="00F46B46">
        <w:t xml:space="preserve">claims made in the State </w:t>
      </w:r>
      <w:r>
        <w:t>as well as the number and nature of future acts</w:t>
      </w:r>
      <w:r>
        <w:rPr>
          <w:rStyle w:val="FootnoteReference"/>
        </w:rPr>
        <w:footnoteReference w:id="134"/>
      </w:r>
      <w:r>
        <w:t xml:space="preserve"> processed.</w:t>
      </w:r>
    </w:p>
    <w:p w14:paraId="773819AE" w14:textId="77777777" w:rsidR="009E7F1B" w:rsidRPr="00F46B46" w:rsidRDefault="009E7F1B" w:rsidP="009E7F1B">
      <w:pPr>
        <w:pStyle w:val="Heading4"/>
      </w:pPr>
      <w:r w:rsidRPr="00F46B46">
        <w:t>Land rights</w:t>
      </w:r>
    </w:p>
    <w:p w14:paraId="3E3E2DBC" w14:textId="77777777" w:rsidR="009E7F1B" w:rsidRDefault="009E7F1B" w:rsidP="00F47EC7">
      <w:pPr>
        <w:pStyle w:val="CGCParaNumber"/>
      </w:pPr>
      <w:r>
        <w:t>Land rights claims seek a grant of title to land from the Commonwealth or State governments. Different types of land rights laws in Australia allow for the grant of land to Indigenous Australians. Land rights schemes are in place in New South Wales, Victoria, Queensland, South Australia and the Northern Territory.</w:t>
      </w:r>
      <w:r>
        <w:rPr>
          <w:rStyle w:val="FootnoteReference"/>
        </w:rPr>
        <w:footnoteReference w:id="135"/>
      </w:r>
      <w:r>
        <w:t xml:space="preserve"> The Northern Territory land rights </w:t>
      </w:r>
      <w:r>
        <w:lastRenderedPageBreak/>
        <w:t xml:space="preserve">scheme comes under a Commonwealth act, the </w:t>
      </w:r>
      <w:r w:rsidRPr="001C23AA">
        <w:rPr>
          <w:i/>
        </w:rPr>
        <w:t>Aboriginal Land Rights (Northern Territory) Act 1976</w:t>
      </w:r>
      <w:r>
        <w:t>,</w:t>
      </w:r>
      <w:r>
        <w:rPr>
          <w:i/>
        </w:rPr>
        <w:t xml:space="preserve"> </w:t>
      </w:r>
      <w:r>
        <w:t xml:space="preserve">while the other States’ land rights schemes come under State legislation. </w:t>
      </w:r>
    </w:p>
    <w:p w14:paraId="726D5325" w14:textId="77777777" w:rsidR="009E7F1B" w:rsidRDefault="009E7F1B" w:rsidP="00F47EC7">
      <w:pPr>
        <w:pStyle w:val="CGCParaNumber"/>
      </w:pPr>
      <w:r>
        <w:t xml:space="preserve">States incur costs in negotiating claims, preparing submissions and in challenging claims through the courts. There are also ongoing costs associated with securing interests in land under land rights acts, administering legislation and joint </w:t>
      </w:r>
      <w:r w:rsidRPr="00281B68">
        <w:t>management</w:t>
      </w:r>
      <w:r>
        <w:t xml:space="preserve"> of land.</w:t>
      </w:r>
    </w:p>
    <w:p w14:paraId="671BA814" w14:textId="77777777" w:rsidR="009E7F1B" w:rsidRDefault="009E7F1B" w:rsidP="009E7F1B">
      <w:pPr>
        <w:pStyle w:val="Heading4"/>
      </w:pPr>
      <w:bookmarkStart w:id="629" w:name="_Toc6998406"/>
      <w:r>
        <w:t>State expenses</w:t>
      </w:r>
    </w:p>
    <w:p w14:paraId="2B0BE800" w14:textId="5A275101" w:rsidR="009E7F1B" w:rsidRPr="00256B6A" w:rsidRDefault="009E7F1B" w:rsidP="00F47EC7">
      <w:pPr>
        <w:pStyle w:val="CGCParaNumber"/>
      </w:pPr>
      <w:r>
        <w:t xml:space="preserve">State expenses on native </w:t>
      </w:r>
      <w:r w:rsidRPr="00256B6A">
        <w:t>title and land rights were $1</w:t>
      </w:r>
      <w:r>
        <w:t>91</w:t>
      </w:r>
      <w:r w:rsidRPr="00256B6A">
        <w:t> million in 201</w:t>
      </w:r>
      <w:r>
        <w:t>8</w:t>
      </w:r>
      <w:r w:rsidRPr="00256B6A">
        <w:noBreakHyphen/>
        <w:t>1</w:t>
      </w:r>
      <w:r>
        <w:t>9</w:t>
      </w:r>
      <w:r w:rsidRPr="00256B6A">
        <w:t>, representing 0.1% of total State expenses (</w:t>
      </w:r>
      <w:r w:rsidR="00A4394A">
        <w:fldChar w:fldCharType="begin"/>
      </w:r>
      <w:r w:rsidR="00A4394A">
        <w:instrText xml:space="preserve"> REF _Ref32850472 \h </w:instrText>
      </w:r>
      <w:r w:rsidR="00A4394A">
        <w:fldChar w:fldCharType="separate"/>
      </w:r>
      <w:r w:rsidR="007F721A" w:rsidRPr="00256B6A">
        <w:t xml:space="preserve">Table </w:t>
      </w:r>
      <w:r w:rsidR="007F721A">
        <w:t>29-</w:t>
      </w:r>
      <w:r w:rsidR="007F721A">
        <w:rPr>
          <w:noProof/>
        </w:rPr>
        <w:t>5</w:t>
      </w:r>
      <w:r w:rsidR="00A4394A">
        <w:fldChar w:fldCharType="end"/>
      </w:r>
      <w:r w:rsidRPr="00256B6A">
        <w:t xml:space="preserve">). </w:t>
      </w:r>
    </w:p>
    <w:p w14:paraId="02D00E96" w14:textId="188A9333" w:rsidR="009E7F1B" w:rsidRDefault="009E7F1B" w:rsidP="009E7F1B">
      <w:pPr>
        <w:pStyle w:val="Caption"/>
      </w:pPr>
      <w:bookmarkStart w:id="630" w:name="_Ref32850472"/>
      <w:r w:rsidRPr="00256B6A">
        <w:t xml:space="preserve">Table </w:t>
      </w:r>
      <w:r>
        <w:t>29-</w:t>
      </w:r>
      <w:fldSimple w:instr=" SEQ Table \* ARABIC ">
        <w:r w:rsidR="007F721A">
          <w:rPr>
            <w:noProof/>
          </w:rPr>
          <w:t>5</w:t>
        </w:r>
      </w:fldSimple>
      <w:bookmarkEnd w:id="630"/>
      <w:r w:rsidRPr="00256B6A">
        <w:tab/>
        <w:t>State expenses on native title and land rights by State, 201</w:t>
      </w:r>
      <w:r>
        <w:t>8</w:t>
      </w:r>
      <w:r w:rsidRPr="00256B6A">
        <w:noBreakHyphen/>
        <w:t>1</w:t>
      </w:r>
      <w:r>
        <w:t>9</w:t>
      </w:r>
    </w:p>
    <w:tbl>
      <w:tblPr>
        <w:tblW w:w="8920" w:type="dxa"/>
        <w:tblCellMar>
          <w:left w:w="0" w:type="dxa"/>
          <w:right w:w="28" w:type="dxa"/>
        </w:tblCellMar>
        <w:tblLook w:val="04A0" w:firstRow="1" w:lastRow="0" w:firstColumn="1" w:lastColumn="0" w:noHBand="0" w:noVBand="1"/>
      </w:tblPr>
      <w:tblGrid>
        <w:gridCol w:w="2960"/>
        <w:gridCol w:w="705"/>
        <w:gridCol w:w="647"/>
        <w:gridCol w:w="647"/>
        <w:gridCol w:w="647"/>
        <w:gridCol w:w="647"/>
        <w:gridCol w:w="647"/>
        <w:gridCol w:w="647"/>
        <w:gridCol w:w="706"/>
        <w:gridCol w:w="726"/>
      </w:tblGrid>
      <w:tr w:rsidR="009E7F1B" w:rsidRPr="00D518AA" w14:paraId="1B936041" w14:textId="77777777" w:rsidTr="00D8247B">
        <w:trPr>
          <w:trHeight w:val="379"/>
        </w:trPr>
        <w:tc>
          <w:tcPr>
            <w:tcW w:w="2960" w:type="dxa"/>
            <w:tcBorders>
              <w:top w:val="single" w:sz="4" w:space="0" w:color="ADD6EA"/>
              <w:left w:val="nil"/>
              <w:bottom w:val="single" w:sz="4" w:space="0" w:color="ADD6EA"/>
              <w:right w:val="nil"/>
            </w:tcBorders>
            <w:shd w:val="clear" w:color="000000" w:fill="006991"/>
            <w:vAlign w:val="center"/>
            <w:hideMark/>
          </w:tcPr>
          <w:p w14:paraId="02CC4805"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 </w:t>
            </w:r>
          </w:p>
        </w:tc>
        <w:tc>
          <w:tcPr>
            <w:tcW w:w="700" w:type="dxa"/>
            <w:tcBorders>
              <w:top w:val="single" w:sz="4" w:space="0" w:color="ADD6EA"/>
              <w:left w:val="nil"/>
              <w:bottom w:val="single" w:sz="4" w:space="0" w:color="ADD6EA"/>
              <w:right w:val="nil"/>
            </w:tcBorders>
            <w:shd w:val="clear" w:color="000000" w:fill="006991"/>
            <w:vAlign w:val="center"/>
            <w:hideMark/>
          </w:tcPr>
          <w:p w14:paraId="71F38BC8"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NSW</w:t>
            </w:r>
          </w:p>
        </w:tc>
        <w:tc>
          <w:tcPr>
            <w:tcW w:w="640" w:type="dxa"/>
            <w:tcBorders>
              <w:top w:val="single" w:sz="4" w:space="0" w:color="ADD6EA"/>
              <w:left w:val="nil"/>
              <w:bottom w:val="single" w:sz="4" w:space="0" w:color="ADD6EA"/>
              <w:right w:val="nil"/>
            </w:tcBorders>
            <w:shd w:val="clear" w:color="000000" w:fill="006991"/>
            <w:vAlign w:val="center"/>
            <w:hideMark/>
          </w:tcPr>
          <w:p w14:paraId="27466FB0"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Vic</w:t>
            </w:r>
          </w:p>
        </w:tc>
        <w:tc>
          <w:tcPr>
            <w:tcW w:w="640" w:type="dxa"/>
            <w:tcBorders>
              <w:top w:val="single" w:sz="4" w:space="0" w:color="ADD6EA"/>
              <w:left w:val="nil"/>
              <w:bottom w:val="single" w:sz="4" w:space="0" w:color="ADD6EA"/>
              <w:right w:val="nil"/>
            </w:tcBorders>
            <w:shd w:val="clear" w:color="000000" w:fill="006991"/>
            <w:vAlign w:val="center"/>
            <w:hideMark/>
          </w:tcPr>
          <w:p w14:paraId="543784D5"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Qld</w:t>
            </w:r>
          </w:p>
        </w:tc>
        <w:tc>
          <w:tcPr>
            <w:tcW w:w="640" w:type="dxa"/>
            <w:tcBorders>
              <w:top w:val="single" w:sz="4" w:space="0" w:color="ADD6EA"/>
              <w:left w:val="nil"/>
              <w:bottom w:val="single" w:sz="4" w:space="0" w:color="ADD6EA"/>
              <w:right w:val="nil"/>
            </w:tcBorders>
            <w:shd w:val="clear" w:color="000000" w:fill="006991"/>
            <w:vAlign w:val="center"/>
            <w:hideMark/>
          </w:tcPr>
          <w:p w14:paraId="70EFCDAC"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WA</w:t>
            </w:r>
          </w:p>
        </w:tc>
        <w:tc>
          <w:tcPr>
            <w:tcW w:w="640" w:type="dxa"/>
            <w:tcBorders>
              <w:top w:val="single" w:sz="4" w:space="0" w:color="ADD6EA"/>
              <w:left w:val="nil"/>
              <w:bottom w:val="single" w:sz="4" w:space="0" w:color="ADD6EA"/>
              <w:right w:val="nil"/>
            </w:tcBorders>
            <w:shd w:val="clear" w:color="000000" w:fill="006991"/>
            <w:vAlign w:val="center"/>
            <w:hideMark/>
          </w:tcPr>
          <w:p w14:paraId="3AB227B6"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SA</w:t>
            </w:r>
          </w:p>
        </w:tc>
        <w:tc>
          <w:tcPr>
            <w:tcW w:w="640" w:type="dxa"/>
            <w:tcBorders>
              <w:top w:val="single" w:sz="4" w:space="0" w:color="ADD6EA"/>
              <w:left w:val="nil"/>
              <w:bottom w:val="single" w:sz="4" w:space="0" w:color="ADD6EA"/>
              <w:right w:val="nil"/>
            </w:tcBorders>
            <w:shd w:val="clear" w:color="000000" w:fill="006991"/>
            <w:vAlign w:val="center"/>
            <w:hideMark/>
          </w:tcPr>
          <w:p w14:paraId="5FAA3E11"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Tas</w:t>
            </w:r>
          </w:p>
        </w:tc>
        <w:tc>
          <w:tcPr>
            <w:tcW w:w="640" w:type="dxa"/>
            <w:tcBorders>
              <w:top w:val="single" w:sz="4" w:space="0" w:color="ADD6EA"/>
              <w:left w:val="nil"/>
              <w:bottom w:val="single" w:sz="4" w:space="0" w:color="ADD6EA"/>
              <w:right w:val="nil"/>
            </w:tcBorders>
            <w:shd w:val="clear" w:color="000000" w:fill="006991"/>
            <w:vAlign w:val="center"/>
            <w:hideMark/>
          </w:tcPr>
          <w:p w14:paraId="211C00EC"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ACT</w:t>
            </w:r>
          </w:p>
        </w:tc>
        <w:tc>
          <w:tcPr>
            <w:tcW w:w="700" w:type="dxa"/>
            <w:tcBorders>
              <w:top w:val="single" w:sz="4" w:space="0" w:color="ADD6EA"/>
              <w:left w:val="nil"/>
              <w:bottom w:val="single" w:sz="4" w:space="0" w:color="ADD6EA"/>
              <w:right w:val="nil"/>
            </w:tcBorders>
            <w:shd w:val="clear" w:color="000000" w:fill="006991"/>
            <w:vAlign w:val="center"/>
            <w:hideMark/>
          </w:tcPr>
          <w:p w14:paraId="4A5C230B"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NT</w:t>
            </w:r>
          </w:p>
        </w:tc>
        <w:tc>
          <w:tcPr>
            <w:tcW w:w="720" w:type="dxa"/>
            <w:tcBorders>
              <w:top w:val="single" w:sz="4" w:space="0" w:color="ADD6EA"/>
              <w:left w:val="nil"/>
              <w:bottom w:val="single" w:sz="4" w:space="0" w:color="ADD6EA"/>
              <w:right w:val="nil"/>
            </w:tcBorders>
            <w:shd w:val="clear" w:color="000000" w:fill="006991"/>
            <w:vAlign w:val="center"/>
            <w:hideMark/>
          </w:tcPr>
          <w:p w14:paraId="4BB93782"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Total</w:t>
            </w:r>
          </w:p>
        </w:tc>
      </w:tr>
      <w:tr w:rsidR="009E7F1B" w:rsidRPr="00632B30" w14:paraId="1AD71B23" w14:textId="77777777" w:rsidTr="00D8247B">
        <w:trPr>
          <w:trHeight w:val="315"/>
        </w:trPr>
        <w:tc>
          <w:tcPr>
            <w:tcW w:w="2960" w:type="dxa"/>
            <w:tcBorders>
              <w:top w:val="nil"/>
              <w:left w:val="nil"/>
              <w:bottom w:val="single" w:sz="4" w:space="0" w:color="ADD6EA"/>
              <w:right w:val="nil"/>
            </w:tcBorders>
            <w:shd w:val="clear" w:color="auto" w:fill="auto"/>
            <w:noWrap/>
            <w:vAlign w:val="bottom"/>
            <w:hideMark/>
          </w:tcPr>
          <w:p w14:paraId="7FE051E9" w14:textId="77777777" w:rsidR="009E7F1B" w:rsidRPr="00632B30" w:rsidRDefault="009E7F1B" w:rsidP="004D65FE">
            <w:pPr>
              <w:tabs>
                <w:tab w:val="clear" w:pos="567"/>
              </w:tabs>
              <w:spacing w:before="0" w:line="240" w:lineRule="auto"/>
              <w:rPr>
                <w:rFonts w:eastAsia="Times New Roman" w:cs="Open Sans Light"/>
                <w:sz w:val="16"/>
                <w:szCs w:val="16"/>
                <w:lang w:eastAsia="en-AU"/>
              </w:rPr>
            </w:pPr>
            <w:r w:rsidRPr="00632B30">
              <w:rPr>
                <w:rFonts w:eastAsia="Times New Roman" w:cs="Open Sans Light"/>
                <w:sz w:val="16"/>
                <w:szCs w:val="16"/>
                <w:lang w:eastAsia="en-AU"/>
              </w:rPr>
              <w:t>Total expenses ($m)</w:t>
            </w:r>
          </w:p>
        </w:tc>
        <w:tc>
          <w:tcPr>
            <w:tcW w:w="700" w:type="dxa"/>
            <w:tcBorders>
              <w:top w:val="nil"/>
              <w:left w:val="nil"/>
              <w:bottom w:val="single" w:sz="4" w:space="0" w:color="ADD6EA"/>
              <w:right w:val="nil"/>
            </w:tcBorders>
            <w:shd w:val="clear" w:color="auto" w:fill="auto"/>
            <w:noWrap/>
            <w:vAlign w:val="bottom"/>
            <w:hideMark/>
          </w:tcPr>
          <w:p w14:paraId="5BB34F9A"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12</w:t>
            </w:r>
          </w:p>
        </w:tc>
        <w:tc>
          <w:tcPr>
            <w:tcW w:w="640" w:type="dxa"/>
            <w:tcBorders>
              <w:top w:val="nil"/>
              <w:left w:val="nil"/>
              <w:bottom w:val="single" w:sz="4" w:space="0" w:color="ADD6EA"/>
              <w:right w:val="nil"/>
            </w:tcBorders>
            <w:shd w:val="clear" w:color="auto" w:fill="auto"/>
            <w:noWrap/>
            <w:vAlign w:val="bottom"/>
            <w:hideMark/>
          </w:tcPr>
          <w:p w14:paraId="0901BFCF"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14</w:t>
            </w:r>
          </w:p>
        </w:tc>
        <w:tc>
          <w:tcPr>
            <w:tcW w:w="640" w:type="dxa"/>
            <w:tcBorders>
              <w:top w:val="nil"/>
              <w:left w:val="nil"/>
              <w:bottom w:val="single" w:sz="4" w:space="0" w:color="ADD6EA"/>
              <w:right w:val="nil"/>
            </w:tcBorders>
            <w:shd w:val="clear" w:color="auto" w:fill="auto"/>
            <w:noWrap/>
            <w:vAlign w:val="bottom"/>
            <w:hideMark/>
          </w:tcPr>
          <w:p w14:paraId="23281B27"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51</w:t>
            </w:r>
          </w:p>
        </w:tc>
        <w:tc>
          <w:tcPr>
            <w:tcW w:w="640" w:type="dxa"/>
            <w:tcBorders>
              <w:top w:val="nil"/>
              <w:left w:val="nil"/>
              <w:bottom w:val="single" w:sz="4" w:space="0" w:color="ADD6EA"/>
              <w:right w:val="nil"/>
            </w:tcBorders>
            <w:shd w:val="clear" w:color="auto" w:fill="auto"/>
            <w:noWrap/>
            <w:vAlign w:val="bottom"/>
            <w:hideMark/>
          </w:tcPr>
          <w:p w14:paraId="54A66E6D"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61</w:t>
            </w:r>
          </w:p>
        </w:tc>
        <w:tc>
          <w:tcPr>
            <w:tcW w:w="640" w:type="dxa"/>
            <w:tcBorders>
              <w:top w:val="nil"/>
              <w:left w:val="nil"/>
              <w:bottom w:val="single" w:sz="4" w:space="0" w:color="ADD6EA"/>
              <w:right w:val="nil"/>
            </w:tcBorders>
            <w:shd w:val="clear" w:color="auto" w:fill="auto"/>
            <w:noWrap/>
            <w:vAlign w:val="bottom"/>
            <w:hideMark/>
          </w:tcPr>
          <w:p w14:paraId="0FE71B79"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11</w:t>
            </w:r>
          </w:p>
        </w:tc>
        <w:tc>
          <w:tcPr>
            <w:tcW w:w="640" w:type="dxa"/>
            <w:tcBorders>
              <w:top w:val="nil"/>
              <w:left w:val="nil"/>
              <w:bottom w:val="single" w:sz="4" w:space="0" w:color="ADD6EA"/>
              <w:right w:val="nil"/>
            </w:tcBorders>
            <w:shd w:val="clear" w:color="auto" w:fill="auto"/>
            <w:noWrap/>
            <w:vAlign w:val="bottom"/>
            <w:hideMark/>
          </w:tcPr>
          <w:p w14:paraId="3015BC90"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0</w:t>
            </w:r>
          </w:p>
        </w:tc>
        <w:tc>
          <w:tcPr>
            <w:tcW w:w="640" w:type="dxa"/>
            <w:tcBorders>
              <w:top w:val="nil"/>
              <w:left w:val="nil"/>
              <w:bottom w:val="single" w:sz="4" w:space="0" w:color="ADD6EA"/>
              <w:right w:val="nil"/>
            </w:tcBorders>
            <w:shd w:val="clear" w:color="auto" w:fill="auto"/>
            <w:noWrap/>
            <w:vAlign w:val="bottom"/>
            <w:hideMark/>
          </w:tcPr>
          <w:p w14:paraId="4CEF9E5A"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noWrap/>
            <w:vAlign w:val="bottom"/>
            <w:hideMark/>
          </w:tcPr>
          <w:p w14:paraId="1F9ACBD2"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41</w:t>
            </w:r>
          </w:p>
        </w:tc>
        <w:tc>
          <w:tcPr>
            <w:tcW w:w="720" w:type="dxa"/>
            <w:tcBorders>
              <w:top w:val="nil"/>
              <w:left w:val="nil"/>
              <w:bottom w:val="single" w:sz="4" w:space="0" w:color="ADD6EA"/>
              <w:right w:val="nil"/>
            </w:tcBorders>
            <w:shd w:val="clear" w:color="auto" w:fill="auto"/>
            <w:noWrap/>
            <w:vAlign w:val="bottom"/>
            <w:hideMark/>
          </w:tcPr>
          <w:p w14:paraId="108A0B10"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191</w:t>
            </w:r>
          </w:p>
        </w:tc>
      </w:tr>
      <w:tr w:rsidR="009E7F1B" w:rsidRPr="00632B30" w14:paraId="0E31C61B" w14:textId="77777777" w:rsidTr="00D8247B">
        <w:trPr>
          <w:trHeight w:val="315"/>
        </w:trPr>
        <w:tc>
          <w:tcPr>
            <w:tcW w:w="2960" w:type="dxa"/>
            <w:tcBorders>
              <w:top w:val="nil"/>
              <w:left w:val="nil"/>
              <w:bottom w:val="single" w:sz="4" w:space="0" w:color="ADD6EA"/>
              <w:right w:val="nil"/>
            </w:tcBorders>
            <w:shd w:val="clear" w:color="auto" w:fill="auto"/>
            <w:noWrap/>
            <w:vAlign w:val="bottom"/>
            <w:hideMark/>
          </w:tcPr>
          <w:p w14:paraId="4938DBA4" w14:textId="77777777" w:rsidR="009E7F1B" w:rsidRPr="00632B30" w:rsidRDefault="009E7F1B" w:rsidP="004D65FE">
            <w:pPr>
              <w:tabs>
                <w:tab w:val="clear" w:pos="567"/>
              </w:tabs>
              <w:spacing w:before="0" w:line="240" w:lineRule="auto"/>
              <w:rPr>
                <w:rFonts w:eastAsia="Times New Roman" w:cs="Open Sans Light"/>
                <w:sz w:val="16"/>
                <w:szCs w:val="16"/>
                <w:lang w:eastAsia="en-AU"/>
              </w:rPr>
            </w:pPr>
            <w:r w:rsidRPr="00632B30">
              <w:rPr>
                <w:rFonts w:eastAsia="Times New Roman" w:cs="Open Sans Light"/>
                <w:sz w:val="16"/>
                <w:szCs w:val="16"/>
                <w:lang w:eastAsia="en-AU"/>
              </w:rPr>
              <w:t>Total expenses ($pc)</w:t>
            </w:r>
          </w:p>
        </w:tc>
        <w:tc>
          <w:tcPr>
            <w:tcW w:w="700" w:type="dxa"/>
            <w:tcBorders>
              <w:top w:val="nil"/>
              <w:left w:val="nil"/>
              <w:bottom w:val="single" w:sz="4" w:space="0" w:color="ADD6EA"/>
              <w:right w:val="nil"/>
            </w:tcBorders>
            <w:shd w:val="clear" w:color="auto" w:fill="auto"/>
            <w:noWrap/>
            <w:vAlign w:val="bottom"/>
            <w:hideMark/>
          </w:tcPr>
          <w:p w14:paraId="254EF8D3"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2</w:t>
            </w:r>
          </w:p>
        </w:tc>
        <w:tc>
          <w:tcPr>
            <w:tcW w:w="640" w:type="dxa"/>
            <w:tcBorders>
              <w:top w:val="nil"/>
              <w:left w:val="nil"/>
              <w:bottom w:val="single" w:sz="4" w:space="0" w:color="ADD6EA"/>
              <w:right w:val="nil"/>
            </w:tcBorders>
            <w:shd w:val="clear" w:color="auto" w:fill="auto"/>
            <w:noWrap/>
            <w:vAlign w:val="bottom"/>
            <w:hideMark/>
          </w:tcPr>
          <w:p w14:paraId="61AC6CC0"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2</w:t>
            </w:r>
          </w:p>
        </w:tc>
        <w:tc>
          <w:tcPr>
            <w:tcW w:w="640" w:type="dxa"/>
            <w:tcBorders>
              <w:top w:val="nil"/>
              <w:left w:val="nil"/>
              <w:bottom w:val="single" w:sz="4" w:space="0" w:color="ADD6EA"/>
              <w:right w:val="nil"/>
            </w:tcBorders>
            <w:shd w:val="clear" w:color="auto" w:fill="auto"/>
            <w:noWrap/>
            <w:vAlign w:val="bottom"/>
            <w:hideMark/>
          </w:tcPr>
          <w:p w14:paraId="2ED4E123"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10</w:t>
            </w:r>
          </w:p>
        </w:tc>
        <w:tc>
          <w:tcPr>
            <w:tcW w:w="640" w:type="dxa"/>
            <w:tcBorders>
              <w:top w:val="nil"/>
              <w:left w:val="nil"/>
              <w:bottom w:val="single" w:sz="4" w:space="0" w:color="ADD6EA"/>
              <w:right w:val="nil"/>
            </w:tcBorders>
            <w:shd w:val="clear" w:color="auto" w:fill="auto"/>
            <w:noWrap/>
            <w:vAlign w:val="bottom"/>
            <w:hideMark/>
          </w:tcPr>
          <w:p w14:paraId="37CDB7F5"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23</w:t>
            </w:r>
          </w:p>
        </w:tc>
        <w:tc>
          <w:tcPr>
            <w:tcW w:w="640" w:type="dxa"/>
            <w:tcBorders>
              <w:top w:val="nil"/>
              <w:left w:val="nil"/>
              <w:bottom w:val="single" w:sz="4" w:space="0" w:color="ADD6EA"/>
              <w:right w:val="nil"/>
            </w:tcBorders>
            <w:shd w:val="clear" w:color="auto" w:fill="auto"/>
            <w:noWrap/>
            <w:vAlign w:val="bottom"/>
            <w:hideMark/>
          </w:tcPr>
          <w:p w14:paraId="6A170D57"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6</w:t>
            </w:r>
          </w:p>
        </w:tc>
        <w:tc>
          <w:tcPr>
            <w:tcW w:w="640" w:type="dxa"/>
            <w:tcBorders>
              <w:top w:val="nil"/>
              <w:left w:val="nil"/>
              <w:bottom w:val="single" w:sz="4" w:space="0" w:color="ADD6EA"/>
              <w:right w:val="nil"/>
            </w:tcBorders>
            <w:shd w:val="clear" w:color="auto" w:fill="auto"/>
            <w:noWrap/>
            <w:vAlign w:val="bottom"/>
            <w:hideMark/>
          </w:tcPr>
          <w:p w14:paraId="1167AC8F"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1</w:t>
            </w:r>
          </w:p>
        </w:tc>
        <w:tc>
          <w:tcPr>
            <w:tcW w:w="640" w:type="dxa"/>
            <w:tcBorders>
              <w:top w:val="nil"/>
              <w:left w:val="nil"/>
              <w:bottom w:val="single" w:sz="4" w:space="0" w:color="ADD6EA"/>
              <w:right w:val="nil"/>
            </w:tcBorders>
            <w:shd w:val="clear" w:color="auto" w:fill="auto"/>
            <w:noWrap/>
            <w:vAlign w:val="bottom"/>
            <w:hideMark/>
          </w:tcPr>
          <w:p w14:paraId="51539748"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0</w:t>
            </w:r>
          </w:p>
        </w:tc>
        <w:tc>
          <w:tcPr>
            <w:tcW w:w="700" w:type="dxa"/>
            <w:tcBorders>
              <w:top w:val="nil"/>
              <w:left w:val="nil"/>
              <w:bottom w:val="single" w:sz="4" w:space="0" w:color="ADD6EA"/>
              <w:right w:val="nil"/>
            </w:tcBorders>
            <w:shd w:val="clear" w:color="auto" w:fill="auto"/>
            <w:noWrap/>
            <w:vAlign w:val="bottom"/>
            <w:hideMark/>
          </w:tcPr>
          <w:p w14:paraId="0EDF7AE1"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167</w:t>
            </w:r>
          </w:p>
        </w:tc>
        <w:tc>
          <w:tcPr>
            <w:tcW w:w="720" w:type="dxa"/>
            <w:tcBorders>
              <w:top w:val="nil"/>
              <w:left w:val="nil"/>
              <w:bottom w:val="single" w:sz="4" w:space="0" w:color="ADD6EA"/>
              <w:right w:val="nil"/>
            </w:tcBorders>
            <w:shd w:val="clear" w:color="auto" w:fill="auto"/>
            <w:noWrap/>
            <w:vAlign w:val="bottom"/>
            <w:hideMark/>
          </w:tcPr>
          <w:p w14:paraId="2E79B56C"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8</w:t>
            </w:r>
          </w:p>
        </w:tc>
      </w:tr>
      <w:tr w:rsidR="009E7F1B" w:rsidRPr="00632B30" w14:paraId="320ED814" w14:textId="77777777" w:rsidTr="00D8247B">
        <w:trPr>
          <w:trHeight w:val="315"/>
        </w:trPr>
        <w:tc>
          <w:tcPr>
            <w:tcW w:w="2960" w:type="dxa"/>
            <w:tcBorders>
              <w:top w:val="nil"/>
              <w:left w:val="nil"/>
              <w:bottom w:val="single" w:sz="4" w:space="0" w:color="ADD6EA"/>
              <w:right w:val="nil"/>
            </w:tcBorders>
            <w:shd w:val="clear" w:color="auto" w:fill="auto"/>
            <w:noWrap/>
            <w:vAlign w:val="bottom"/>
            <w:hideMark/>
          </w:tcPr>
          <w:p w14:paraId="2689B36E" w14:textId="77777777" w:rsidR="009E7F1B" w:rsidRPr="00632B30" w:rsidRDefault="009E7F1B" w:rsidP="004D65FE">
            <w:pPr>
              <w:tabs>
                <w:tab w:val="clear" w:pos="567"/>
              </w:tabs>
              <w:spacing w:before="0" w:line="240" w:lineRule="auto"/>
              <w:rPr>
                <w:rFonts w:eastAsia="Times New Roman" w:cs="Open Sans Light"/>
                <w:sz w:val="16"/>
                <w:szCs w:val="16"/>
                <w:lang w:eastAsia="en-AU"/>
              </w:rPr>
            </w:pPr>
            <w:r w:rsidRPr="00632B30">
              <w:rPr>
                <w:rFonts w:eastAsia="Times New Roman" w:cs="Open Sans Light"/>
                <w:sz w:val="16"/>
                <w:szCs w:val="16"/>
                <w:lang w:eastAsia="en-AU"/>
              </w:rPr>
              <w:t>Proportion of operating expenses (%)</w:t>
            </w:r>
          </w:p>
        </w:tc>
        <w:tc>
          <w:tcPr>
            <w:tcW w:w="700" w:type="dxa"/>
            <w:tcBorders>
              <w:top w:val="nil"/>
              <w:left w:val="nil"/>
              <w:bottom w:val="single" w:sz="4" w:space="0" w:color="ADD6EA"/>
              <w:right w:val="nil"/>
            </w:tcBorders>
            <w:shd w:val="clear" w:color="auto" w:fill="auto"/>
            <w:noWrap/>
            <w:vAlign w:val="bottom"/>
            <w:hideMark/>
          </w:tcPr>
          <w:p w14:paraId="0BB55097"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0.0</w:t>
            </w:r>
          </w:p>
        </w:tc>
        <w:tc>
          <w:tcPr>
            <w:tcW w:w="640" w:type="dxa"/>
            <w:tcBorders>
              <w:top w:val="nil"/>
              <w:left w:val="nil"/>
              <w:bottom w:val="single" w:sz="4" w:space="0" w:color="ADD6EA"/>
              <w:right w:val="nil"/>
            </w:tcBorders>
            <w:shd w:val="clear" w:color="auto" w:fill="auto"/>
            <w:noWrap/>
            <w:vAlign w:val="bottom"/>
            <w:hideMark/>
          </w:tcPr>
          <w:p w14:paraId="45E16B39"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0.0</w:t>
            </w:r>
          </w:p>
        </w:tc>
        <w:tc>
          <w:tcPr>
            <w:tcW w:w="640" w:type="dxa"/>
            <w:tcBorders>
              <w:top w:val="nil"/>
              <w:left w:val="nil"/>
              <w:bottom w:val="single" w:sz="4" w:space="0" w:color="ADD6EA"/>
              <w:right w:val="nil"/>
            </w:tcBorders>
            <w:shd w:val="clear" w:color="auto" w:fill="auto"/>
            <w:noWrap/>
            <w:vAlign w:val="bottom"/>
            <w:hideMark/>
          </w:tcPr>
          <w:p w14:paraId="73DB56A6"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0.1</w:t>
            </w:r>
          </w:p>
        </w:tc>
        <w:tc>
          <w:tcPr>
            <w:tcW w:w="640" w:type="dxa"/>
            <w:tcBorders>
              <w:top w:val="nil"/>
              <w:left w:val="nil"/>
              <w:bottom w:val="single" w:sz="4" w:space="0" w:color="ADD6EA"/>
              <w:right w:val="nil"/>
            </w:tcBorders>
            <w:shd w:val="clear" w:color="auto" w:fill="auto"/>
            <w:noWrap/>
            <w:vAlign w:val="bottom"/>
            <w:hideMark/>
          </w:tcPr>
          <w:p w14:paraId="4098228E"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0.2</w:t>
            </w:r>
          </w:p>
        </w:tc>
        <w:tc>
          <w:tcPr>
            <w:tcW w:w="640" w:type="dxa"/>
            <w:tcBorders>
              <w:top w:val="nil"/>
              <w:left w:val="nil"/>
              <w:bottom w:val="single" w:sz="4" w:space="0" w:color="ADD6EA"/>
              <w:right w:val="nil"/>
            </w:tcBorders>
            <w:shd w:val="clear" w:color="auto" w:fill="auto"/>
            <w:noWrap/>
            <w:vAlign w:val="bottom"/>
            <w:hideMark/>
          </w:tcPr>
          <w:p w14:paraId="27726BFE"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0.1</w:t>
            </w:r>
          </w:p>
        </w:tc>
        <w:tc>
          <w:tcPr>
            <w:tcW w:w="640" w:type="dxa"/>
            <w:tcBorders>
              <w:top w:val="nil"/>
              <w:left w:val="nil"/>
              <w:bottom w:val="single" w:sz="4" w:space="0" w:color="ADD6EA"/>
              <w:right w:val="nil"/>
            </w:tcBorders>
            <w:shd w:val="clear" w:color="auto" w:fill="auto"/>
            <w:noWrap/>
            <w:vAlign w:val="bottom"/>
            <w:hideMark/>
          </w:tcPr>
          <w:p w14:paraId="6BA5B0E9"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0.0</w:t>
            </w:r>
          </w:p>
        </w:tc>
        <w:tc>
          <w:tcPr>
            <w:tcW w:w="640" w:type="dxa"/>
            <w:tcBorders>
              <w:top w:val="nil"/>
              <w:left w:val="nil"/>
              <w:bottom w:val="single" w:sz="4" w:space="0" w:color="ADD6EA"/>
              <w:right w:val="nil"/>
            </w:tcBorders>
            <w:shd w:val="clear" w:color="auto" w:fill="auto"/>
            <w:noWrap/>
            <w:vAlign w:val="bottom"/>
            <w:hideMark/>
          </w:tcPr>
          <w:p w14:paraId="4E80B8FB"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0.0</w:t>
            </w:r>
          </w:p>
        </w:tc>
        <w:tc>
          <w:tcPr>
            <w:tcW w:w="700" w:type="dxa"/>
            <w:tcBorders>
              <w:top w:val="nil"/>
              <w:left w:val="nil"/>
              <w:bottom w:val="single" w:sz="4" w:space="0" w:color="ADD6EA"/>
              <w:right w:val="nil"/>
            </w:tcBorders>
            <w:shd w:val="clear" w:color="auto" w:fill="auto"/>
            <w:noWrap/>
            <w:vAlign w:val="bottom"/>
            <w:hideMark/>
          </w:tcPr>
          <w:p w14:paraId="3B454309"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0.8</w:t>
            </w:r>
          </w:p>
        </w:tc>
        <w:tc>
          <w:tcPr>
            <w:tcW w:w="720" w:type="dxa"/>
            <w:tcBorders>
              <w:top w:val="nil"/>
              <w:left w:val="nil"/>
              <w:bottom w:val="single" w:sz="4" w:space="0" w:color="ADD6EA"/>
              <w:right w:val="nil"/>
            </w:tcBorders>
            <w:shd w:val="clear" w:color="auto" w:fill="auto"/>
            <w:noWrap/>
            <w:vAlign w:val="bottom"/>
            <w:hideMark/>
          </w:tcPr>
          <w:p w14:paraId="6B297F8B" w14:textId="77777777" w:rsidR="009E7F1B" w:rsidRPr="00632B30" w:rsidRDefault="009E7F1B" w:rsidP="004D65FE">
            <w:pPr>
              <w:tabs>
                <w:tab w:val="clear" w:pos="567"/>
              </w:tabs>
              <w:spacing w:before="0" w:line="240" w:lineRule="auto"/>
              <w:jc w:val="right"/>
              <w:rPr>
                <w:rFonts w:eastAsia="Times New Roman" w:cs="Open Sans Light"/>
                <w:sz w:val="16"/>
                <w:szCs w:val="16"/>
                <w:lang w:eastAsia="en-AU"/>
              </w:rPr>
            </w:pPr>
            <w:r w:rsidRPr="00632B30">
              <w:rPr>
                <w:rFonts w:eastAsia="Times New Roman" w:cs="Open Sans Light"/>
                <w:sz w:val="16"/>
                <w:szCs w:val="16"/>
                <w:lang w:eastAsia="en-AU"/>
              </w:rPr>
              <w:t>0.1</w:t>
            </w:r>
          </w:p>
        </w:tc>
      </w:tr>
    </w:tbl>
    <w:p w14:paraId="7E845659" w14:textId="77777777" w:rsidR="009E7F1B" w:rsidRPr="00256B6A" w:rsidRDefault="009E7F1B" w:rsidP="009E7F1B">
      <w:pPr>
        <w:pStyle w:val="CGCTablenote"/>
      </w:pPr>
      <w:r w:rsidRPr="00256B6A">
        <w:t>Source:</w:t>
      </w:r>
      <w:r w:rsidRPr="00256B6A">
        <w:tab/>
        <w:t xml:space="preserve">Commission calculation using State budget data. </w:t>
      </w:r>
    </w:p>
    <w:p w14:paraId="35F1816E" w14:textId="2C044D62" w:rsidR="009E7F1B" w:rsidRPr="00256B6A" w:rsidRDefault="00952095" w:rsidP="00F47EC7">
      <w:pPr>
        <w:pStyle w:val="CGCParaNumber"/>
      </w:pPr>
      <w:r>
        <w:fldChar w:fldCharType="begin"/>
      </w:r>
      <w:r>
        <w:instrText xml:space="preserve"> REF _Ref32846109 \h </w:instrText>
      </w:r>
      <w:r>
        <w:fldChar w:fldCharType="separate"/>
      </w:r>
      <w:r w:rsidR="007F721A" w:rsidRPr="00256B6A">
        <w:t xml:space="preserve">Table </w:t>
      </w:r>
      <w:r w:rsidR="007F721A">
        <w:t>29-</w:t>
      </w:r>
      <w:r w:rsidR="007F721A">
        <w:rPr>
          <w:noProof/>
        </w:rPr>
        <w:t>6</w:t>
      </w:r>
      <w:r>
        <w:fldChar w:fldCharType="end"/>
      </w:r>
      <w:r w:rsidR="009E7F1B" w:rsidRPr="00256B6A">
        <w:t xml:space="preserve"> shows the share of State expenses on native title and land rights from 2015</w:t>
      </w:r>
      <w:r w:rsidR="009E7F1B" w:rsidRPr="00256B6A">
        <w:noBreakHyphen/>
        <w:t>16 to 2018</w:t>
      </w:r>
      <w:r w:rsidR="009E7F1B" w:rsidRPr="00256B6A">
        <w:noBreakHyphen/>
        <w:t xml:space="preserve">19. </w:t>
      </w:r>
    </w:p>
    <w:p w14:paraId="0CFF1E6C" w14:textId="27963D99" w:rsidR="009E7F1B" w:rsidRDefault="009E7F1B" w:rsidP="009E7F1B">
      <w:pPr>
        <w:pStyle w:val="Caption"/>
      </w:pPr>
      <w:bookmarkStart w:id="631" w:name="_Ref32846109"/>
      <w:r w:rsidRPr="00256B6A">
        <w:t xml:space="preserve">Table </w:t>
      </w:r>
      <w:r>
        <w:t>29-</w:t>
      </w:r>
      <w:fldSimple w:instr=" SEQ Table \* ARABIC ">
        <w:r w:rsidR="007F721A">
          <w:rPr>
            <w:noProof/>
          </w:rPr>
          <w:t>6</w:t>
        </w:r>
      </w:fldSimple>
      <w:bookmarkEnd w:id="631"/>
      <w:r w:rsidRPr="00256B6A">
        <w:tab/>
        <w:t>State expenses on native title and land rights, 201</w:t>
      </w:r>
      <w:r>
        <w:t>5-16</w:t>
      </w:r>
      <w:r w:rsidRPr="00256B6A">
        <w:t xml:space="preserve"> to 201</w:t>
      </w:r>
      <w:r>
        <w:t>8</w:t>
      </w:r>
      <w:r w:rsidRPr="00256B6A">
        <w:noBreakHyphen/>
        <w:t>1</w:t>
      </w:r>
      <w:r>
        <w:t>9</w:t>
      </w:r>
    </w:p>
    <w:tbl>
      <w:tblPr>
        <w:tblW w:w="8940" w:type="dxa"/>
        <w:tblCellMar>
          <w:left w:w="0" w:type="dxa"/>
          <w:right w:w="28" w:type="dxa"/>
        </w:tblCellMar>
        <w:tblLook w:val="04A0" w:firstRow="1" w:lastRow="0" w:firstColumn="1" w:lastColumn="0" w:noHBand="0" w:noVBand="1"/>
      </w:tblPr>
      <w:tblGrid>
        <w:gridCol w:w="3907"/>
        <w:gridCol w:w="1268"/>
        <w:gridCol w:w="1268"/>
        <w:gridCol w:w="1268"/>
        <w:gridCol w:w="1268"/>
      </w:tblGrid>
      <w:tr w:rsidR="009E7F1B" w:rsidRPr="00D518AA" w14:paraId="447D4420" w14:textId="77777777" w:rsidTr="00D8247B">
        <w:trPr>
          <w:trHeight w:val="375"/>
        </w:trPr>
        <w:tc>
          <w:tcPr>
            <w:tcW w:w="3900" w:type="dxa"/>
            <w:tcBorders>
              <w:top w:val="single" w:sz="4" w:space="0" w:color="ADD6EA"/>
              <w:left w:val="nil"/>
              <w:bottom w:val="single" w:sz="4" w:space="0" w:color="ADD6EA"/>
              <w:right w:val="nil"/>
            </w:tcBorders>
            <w:shd w:val="clear" w:color="000000" w:fill="006991"/>
            <w:vAlign w:val="center"/>
            <w:hideMark/>
          </w:tcPr>
          <w:p w14:paraId="323ED753"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 </w:t>
            </w:r>
          </w:p>
        </w:tc>
        <w:tc>
          <w:tcPr>
            <w:tcW w:w="1260" w:type="dxa"/>
            <w:tcBorders>
              <w:top w:val="single" w:sz="4" w:space="0" w:color="ADD6EA"/>
              <w:left w:val="nil"/>
              <w:bottom w:val="single" w:sz="4" w:space="0" w:color="ADD6EA"/>
              <w:right w:val="nil"/>
            </w:tcBorders>
            <w:shd w:val="clear" w:color="000000" w:fill="006991"/>
            <w:vAlign w:val="center"/>
            <w:hideMark/>
          </w:tcPr>
          <w:p w14:paraId="2FD74692"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2015-16</w:t>
            </w:r>
          </w:p>
        </w:tc>
        <w:tc>
          <w:tcPr>
            <w:tcW w:w="1260" w:type="dxa"/>
            <w:tcBorders>
              <w:top w:val="single" w:sz="4" w:space="0" w:color="ADD6EA"/>
              <w:left w:val="nil"/>
              <w:bottom w:val="single" w:sz="4" w:space="0" w:color="ADD6EA"/>
              <w:right w:val="nil"/>
            </w:tcBorders>
            <w:shd w:val="clear" w:color="000000" w:fill="006991"/>
            <w:vAlign w:val="center"/>
            <w:hideMark/>
          </w:tcPr>
          <w:p w14:paraId="70BB2A73"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2016-17</w:t>
            </w:r>
          </w:p>
        </w:tc>
        <w:tc>
          <w:tcPr>
            <w:tcW w:w="1260" w:type="dxa"/>
            <w:tcBorders>
              <w:top w:val="single" w:sz="4" w:space="0" w:color="ADD6EA"/>
              <w:left w:val="nil"/>
              <w:bottom w:val="single" w:sz="4" w:space="0" w:color="ADD6EA"/>
              <w:right w:val="nil"/>
            </w:tcBorders>
            <w:shd w:val="clear" w:color="000000" w:fill="006991"/>
            <w:vAlign w:val="center"/>
            <w:hideMark/>
          </w:tcPr>
          <w:p w14:paraId="57586EB1"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2017-18</w:t>
            </w:r>
          </w:p>
        </w:tc>
        <w:tc>
          <w:tcPr>
            <w:tcW w:w="1260" w:type="dxa"/>
            <w:tcBorders>
              <w:top w:val="single" w:sz="4" w:space="0" w:color="ADD6EA"/>
              <w:left w:val="nil"/>
              <w:bottom w:val="single" w:sz="4" w:space="0" w:color="ADD6EA"/>
              <w:right w:val="nil"/>
            </w:tcBorders>
            <w:shd w:val="clear" w:color="000000" w:fill="006991"/>
            <w:vAlign w:val="center"/>
            <w:hideMark/>
          </w:tcPr>
          <w:p w14:paraId="769B724F"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2018-19</w:t>
            </w:r>
          </w:p>
        </w:tc>
      </w:tr>
      <w:tr w:rsidR="009E7F1B" w:rsidRPr="0059149F" w14:paraId="2A15DB43" w14:textId="77777777" w:rsidTr="00D8247B">
        <w:trPr>
          <w:trHeight w:val="315"/>
        </w:trPr>
        <w:tc>
          <w:tcPr>
            <w:tcW w:w="3900" w:type="dxa"/>
            <w:tcBorders>
              <w:top w:val="nil"/>
              <w:left w:val="nil"/>
              <w:bottom w:val="single" w:sz="4" w:space="0" w:color="ADD6EA"/>
              <w:right w:val="nil"/>
            </w:tcBorders>
            <w:shd w:val="clear" w:color="auto" w:fill="auto"/>
            <w:noWrap/>
            <w:vAlign w:val="bottom"/>
            <w:hideMark/>
          </w:tcPr>
          <w:p w14:paraId="14AB4A2E" w14:textId="77777777" w:rsidR="009E7F1B" w:rsidRPr="0059149F" w:rsidRDefault="009E7F1B" w:rsidP="004D65FE">
            <w:pPr>
              <w:tabs>
                <w:tab w:val="clear" w:pos="567"/>
              </w:tabs>
              <w:spacing w:before="0" w:line="240" w:lineRule="auto"/>
              <w:rPr>
                <w:rFonts w:eastAsia="Times New Roman" w:cs="Open Sans Light"/>
                <w:sz w:val="16"/>
                <w:szCs w:val="16"/>
                <w:lang w:eastAsia="en-AU"/>
              </w:rPr>
            </w:pPr>
            <w:r w:rsidRPr="0059149F">
              <w:rPr>
                <w:rFonts w:eastAsia="Times New Roman" w:cs="Open Sans Light"/>
                <w:sz w:val="16"/>
                <w:szCs w:val="16"/>
                <w:lang w:eastAsia="en-AU"/>
              </w:rPr>
              <w:t>Total expenses ($m)</w:t>
            </w:r>
          </w:p>
        </w:tc>
        <w:tc>
          <w:tcPr>
            <w:tcW w:w="1260" w:type="dxa"/>
            <w:tcBorders>
              <w:top w:val="nil"/>
              <w:left w:val="nil"/>
              <w:bottom w:val="single" w:sz="4" w:space="0" w:color="ADD6EA"/>
              <w:right w:val="nil"/>
            </w:tcBorders>
            <w:shd w:val="clear" w:color="auto" w:fill="auto"/>
            <w:noWrap/>
            <w:vAlign w:val="bottom"/>
            <w:hideMark/>
          </w:tcPr>
          <w:p w14:paraId="0A49964A" w14:textId="77777777" w:rsidR="009E7F1B" w:rsidRPr="0059149F" w:rsidRDefault="009E7F1B" w:rsidP="004D65FE">
            <w:pPr>
              <w:tabs>
                <w:tab w:val="clear" w:pos="567"/>
              </w:tabs>
              <w:spacing w:before="0" w:line="240" w:lineRule="auto"/>
              <w:jc w:val="right"/>
              <w:rPr>
                <w:rFonts w:eastAsia="Times New Roman" w:cs="Open Sans Light"/>
                <w:sz w:val="16"/>
                <w:szCs w:val="16"/>
                <w:lang w:eastAsia="en-AU"/>
              </w:rPr>
            </w:pPr>
            <w:r w:rsidRPr="0059149F">
              <w:rPr>
                <w:rFonts w:eastAsia="Times New Roman" w:cs="Open Sans Light"/>
                <w:sz w:val="16"/>
                <w:szCs w:val="16"/>
                <w:lang w:eastAsia="en-AU"/>
              </w:rPr>
              <w:t>195</w:t>
            </w:r>
          </w:p>
        </w:tc>
        <w:tc>
          <w:tcPr>
            <w:tcW w:w="1260" w:type="dxa"/>
            <w:tcBorders>
              <w:top w:val="nil"/>
              <w:left w:val="nil"/>
              <w:bottom w:val="single" w:sz="4" w:space="0" w:color="ADD6EA"/>
              <w:right w:val="nil"/>
            </w:tcBorders>
            <w:shd w:val="clear" w:color="auto" w:fill="auto"/>
            <w:noWrap/>
            <w:vAlign w:val="bottom"/>
            <w:hideMark/>
          </w:tcPr>
          <w:p w14:paraId="4417449D" w14:textId="77777777" w:rsidR="009E7F1B" w:rsidRPr="0059149F" w:rsidRDefault="009E7F1B" w:rsidP="004D65FE">
            <w:pPr>
              <w:tabs>
                <w:tab w:val="clear" w:pos="567"/>
              </w:tabs>
              <w:spacing w:before="0" w:line="240" w:lineRule="auto"/>
              <w:jc w:val="right"/>
              <w:rPr>
                <w:rFonts w:eastAsia="Times New Roman" w:cs="Open Sans Light"/>
                <w:sz w:val="16"/>
                <w:szCs w:val="16"/>
                <w:lang w:eastAsia="en-AU"/>
              </w:rPr>
            </w:pPr>
            <w:r w:rsidRPr="0059149F">
              <w:rPr>
                <w:rFonts w:eastAsia="Times New Roman" w:cs="Open Sans Light"/>
                <w:sz w:val="16"/>
                <w:szCs w:val="16"/>
                <w:lang w:eastAsia="en-AU"/>
              </w:rPr>
              <w:t>186</w:t>
            </w:r>
          </w:p>
        </w:tc>
        <w:tc>
          <w:tcPr>
            <w:tcW w:w="1260" w:type="dxa"/>
            <w:tcBorders>
              <w:top w:val="nil"/>
              <w:left w:val="nil"/>
              <w:bottom w:val="single" w:sz="4" w:space="0" w:color="ADD6EA"/>
              <w:right w:val="nil"/>
            </w:tcBorders>
            <w:shd w:val="clear" w:color="auto" w:fill="auto"/>
            <w:noWrap/>
            <w:vAlign w:val="bottom"/>
            <w:hideMark/>
          </w:tcPr>
          <w:p w14:paraId="4BB0098F" w14:textId="77777777" w:rsidR="009E7F1B" w:rsidRPr="0059149F" w:rsidRDefault="009E7F1B" w:rsidP="004D65FE">
            <w:pPr>
              <w:tabs>
                <w:tab w:val="clear" w:pos="567"/>
              </w:tabs>
              <w:spacing w:before="0" w:line="240" w:lineRule="auto"/>
              <w:jc w:val="right"/>
              <w:rPr>
                <w:rFonts w:eastAsia="Times New Roman" w:cs="Open Sans Light"/>
                <w:sz w:val="16"/>
                <w:szCs w:val="16"/>
                <w:lang w:eastAsia="en-AU"/>
              </w:rPr>
            </w:pPr>
            <w:r w:rsidRPr="0059149F">
              <w:rPr>
                <w:rFonts w:eastAsia="Times New Roman" w:cs="Open Sans Light"/>
                <w:sz w:val="16"/>
                <w:szCs w:val="16"/>
                <w:lang w:eastAsia="en-AU"/>
              </w:rPr>
              <w:t>191</w:t>
            </w:r>
          </w:p>
        </w:tc>
        <w:tc>
          <w:tcPr>
            <w:tcW w:w="1260" w:type="dxa"/>
            <w:tcBorders>
              <w:top w:val="nil"/>
              <w:left w:val="nil"/>
              <w:bottom w:val="single" w:sz="4" w:space="0" w:color="ADD6EA"/>
              <w:right w:val="nil"/>
            </w:tcBorders>
            <w:shd w:val="clear" w:color="auto" w:fill="auto"/>
            <w:noWrap/>
            <w:vAlign w:val="bottom"/>
            <w:hideMark/>
          </w:tcPr>
          <w:p w14:paraId="3B6B9A93" w14:textId="77777777" w:rsidR="009E7F1B" w:rsidRPr="0059149F" w:rsidRDefault="009E7F1B" w:rsidP="004D65FE">
            <w:pPr>
              <w:tabs>
                <w:tab w:val="clear" w:pos="567"/>
              </w:tabs>
              <w:spacing w:before="0" w:line="240" w:lineRule="auto"/>
              <w:jc w:val="right"/>
              <w:rPr>
                <w:rFonts w:eastAsia="Times New Roman" w:cs="Open Sans Light"/>
                <w:sz w:val="16"/>
                <w:szCs w:val="16"/>
                <w:lang w:eastAsia="en-AU"/>
              </w:rPr>
            </w:pPr>
            <w:r w:rsidRPr="0059149F">
              <w:rPr>
                <w:rFonts w:eastAsia="Times New Roman" w:cs="Open Sans Light"/>
                <w:sz w:val="16"/>
                <w:szCs w:val="16"/>
                <w:lang w:eastAsia="en-AU"/>
              </w:rPr>
              <w:t>191</w:t>
            </w:r>
          </w:p>
        </w:tc>
      </w:tr>
      <w:tr w:rsidR="009E7F1B" w:rsidRPr="0059149F" w14:paraId="1C7959D4" w14:textId="77777777" w:rsidTr="00D8247B">
        <w:trPr>
          <w:trHeight w:val="315"/>
        </w:trPr>
        <w:tc>
          <w:tcPr>
            <w:tcW w:w="3900" w:type="dxa"/>
            <w:tcBorders>
              <w:top w:val="nil"/>
              <w:left w:val="nil"/>
              <w:bottom w:val="single" w:sz="4" w:space="0" w:color="ADD6EA"/>
              <w:right w:val="nil"/>
            </w:tcBorders>
            <w:shd w:val="clear" w:color="auto" w:fill="auto"/>
            <w:noWrap/>
            <w:vAlign w:val="bottom"/>
            <w:hideMark/>
          </w:tcPr>
          <w:p w14:paraId="2389555C" w14:textId="77777777" w:rsidR="009E7F1B" w:rsidRPr="0059149F" w:rsidRDefault="009E7F1B" w:rsidP="004D65FE">
            <w:pPr>
              <w:tabs>
                <w:tab w:val="clear" w:pos="567"/>
              </w:tabs>
              <w:spacing w:before="0" w:line="240" w:lineRule="auto"/>
              <w:rPr>
                <w:rFonts w:eastAsia="Times New Roman" w:cs="Open Sans Light"/>
                <w:sz w:val="16"/>
                <w:szCs w:val="16"/>
                <w:lang w:eastAsia="en-AU"/>
              </w:rPr>
            </w:pPr>
            <w:r w:rsidRPr="0059149F">
              <w:rPr>
                <w:rFonts w:eastAsia="Times New Roman" w:cs="Open Sans Light"/>
                <w:sz w:val="16"/>
                <w:szCs w:val="16"/>
                <w:lang w:eastAsia="en-AU"/>
              </w:rPr>
              <w:t>Proportion of total operating expenses (%)</w:t>
            </w:r>
          </w:p>
        </w:tc>
        <w:tc>
          <w:tcPr>
            <w:tcW w:w="1260" w:type="dxa"/>
            <w:tcBorders>
              <w:top w:val="nil"/>
              <w:left w:val="nil"/>
              <w:bottom w:val="single" w:sz="4" w:space="0" w:color="ADD6EA"/>
              <w:right w:val="nil"/>
            </w:tcBorders>
            <w:shd w:val="clear" w:color="auto" w:fill="auto"/>
            <w:noWrap/>
            <w:vAlign w:val="bottom"/>
            <w:hideMark/>
          </w:tcPr>
          <w:p w14:paraId="669C70DA" w14:textId="77777777" w:rsidR="009E7F1B" w:rsidRPr="0059149F" w:rsidRDefault="009E7F1B" w:rsidP="004D65FE">
            <w:pPr>
              <w:tabs>
                <w:tab w:val="clear" w:pos="567"/>
              </w:tabs>
              <w:spacing w:before="0" w:line="240" w:lineRule="auto"/>
              <w:jc w:val="right"/>
              <w:rPr>
                <w:rFonts w:eastAsia="Times New Roman" w:cs="Open Sans Light"/>
                <w:sz w:val="16"/>
                <w:szCs w:val="16"/>
                <w:lang w:eastAsia="en-AU"/>
              </w:rPr>
            </w:pPr>
            <w:r w:rsidRPr="0059149F">
              <w:rPr>
                <w:rFonts w:eastAsia="Times New Roman" w:cs="Open Sans Light"/>
                <w:sz w:val="16"/>
                <w:szCs w:val="16"/>
                <w:lang w:eastAsia="en-AU"/>
              </w:rPr>
              <w:t>0.1</w:t>
            </w:r>
          </w:p>
        </w:tc>
        <w:tc>
          <w:tcPr>
            <w:tcW w:w="1260" w:type="dxa"/>
            <w:tcBorders>
              <w:top w:val="nil"/>
              <w:left w:val="nil"/>
              <w:bottom w:val="single" w:sz="4" w:space="0" w:color="ADD6EA"/>
              <w:right w:val="nil"/>
            </w:tcBorders>
            <w:shd w:val="clear" w:color="auto" w:fill="auto"/>
            <w:noWrap/>
            <w:vAlign w:val="bottom"/>
            <w:hideMark/>
          </w:tcPr>
          <w:p w14:paraId="1AA25182" w14:textId="77777777" w:rsidR="009E7F1B" w:rsidRPr="0059149F" w:rsidRDefault="009E7F1B" w:rsidP="004D65FE">
            <w:pPr>
              <w:tabs>
                <w:tab w:val="clear" w:pos="567"/>
              </w:tabs>
              <w:spacing w:before="0" w:line="240" w:lineRule="auto"/>
              <w:jc w:val="right"/>
              <w:rPr>
                <w:rFonts w:eastAsia="Times New Roman" w:cs="Open Sans Light"/>
                <w:sz w:val="16"/>
                <w:szCs w:val="16"/>
                <w:lang w:eastAsia="en-AU"/>
              </w:rPr>
            </w:pPr>
            <w:r w:rsidRPr="0059149F">
              <w:rPr>
                <w:rFonts w:eastAsia="Times New Roman" w:cs="Open Sans Light"/>
                <w:sz w:val="16"/>
                <w:szCs w:val="16"/>
                <w:lang w:eastAsia="en-AU"/>
              </w:rPr>
              <w:t>0.1</w:t>
            </w:r>
          </w:p>
        </w:tc>
        <w:tc>
          <w:tcPr>
            <w:tcW w:w="1260" w:type="dxa"/>
            <w:tcBorders>
              <w:top w:val="nil"/>
              <w:left w:val="nil"/>
              <w:bottom w:val="single" w:sz="4" w:space="0" w:color="ADD6EA"/>
              <w:right w:val="nil"/>
            </w:tcBorders>
            <w:shd w:val="clear" w:color="auto" w:fill="auto"/>
            <w:noWrap/>
            <w:vAlign w:val="bottom"/>
            <w:hideMark/>
          </w:tcPr>
          <w:p w14:paraId="601DBACC" w14:textId="77777777" w:rsidR="009E7F1B" w:rsidRPr="0059149F" w:rsidRDefault="009E7F1B" w:rsidP="004D65FE">
            <w:pPr>
              <w:tabs>
                <w:tab w:val="clear" w:pos="567"/>
              </w:tabs>
              <w:spacing w:before="0" w:line="240" w:lineRule="auto"/>
              <w:jc w:val="right"/>
              <w:rPr>
                <w:rFonts w:eastAsia="Times New Roman" w:cs="Open Sans Light"/>
                <w:sz w:val="16"/>
                <w:szCs w:val="16"/>
                <w:lang w:eastAsia="en-AU"/>
              </w:rPr>
            </w:pPr>
            <w:r w:rsidRPr="0059149F">
              <w:rPr>
                <w:rFonts w:eastAsia="Times New Roman" w:cs="Open Sans Light"/>
                <w:sz w:val="16"/>
                <w:szCs w:val="16"/>
                <w:lang w:eastAsia="en-AU"/>
              </w:rPr>
              <w:t>0.1</w:t>
            </w:r>
          </w:p>
        </w:tc>
        <w:tc>
          <w:tcPr>
            <w:tcW w:w="1260" w:type="dxa"/>
            <w:tcBorders>
              <w:top w:val="nil"/>
              <w:left w:val="nil"/>
              <w:bottom w:val="single" w:sz="4" w:space="0" w:color="ADD6EA"/>
              <w:right w:val="nil"/>
            </w:tcBorders>
            <w:shd w:val="clear" w:color="auto" w:fill="auto"/>
            <w:noWrap/>
            <w:vAlign w:val="bottom"/>
            <w:hideMark/>
          </w:tcPr>
          <w:p w14:paraId="6F940464" w14:textId="77777777" w:rsidR="009E7F1B" w:rsidRPr="0059149F" w:rsidRDefault="009E7F1B" w:rsidP="004D65FE">
            <w:pPr>
              <w:tabs>
                <w:tab w:val="clear" w:pos="567"/>
              </w:tabs>
              <w:spacing w:before="0" w:line="240" w:lineRule="auto"/>
              <w:jc w:val="right"/>
              <w:rPr>
                <w:rFonts w:eastAsia="Times New Roman" w:cs="Open Sans Light"/>
                <w:sz w:val="16"/>
                <w:szCs w:val="16"/>
                <w:lang w:eastAsia="en-AU"/>
              </w:rPr>
            </w:pPr>
            <w:r w:rsidRPr="0059149F">
              <w:rPr>
                <w:rFonts w:eastAsia="Times New Roman" w:cs="Open Sans Light"/>
                <w:sz w:val="16"/>
                <w:szCs w:val="16"/>
                <w:lang w:eastAsia="en-AU"/>
              </w:rPr>
              <w:t>0.1</w:t>
            </w:r>
          </w:p>
        </w:tc>
      </w:tr>
    </w:tbl>
    <w:p w14:paraId="7677EA43" w14:textId="77777777" w:rsidR="009E7F1B" w:rsidRPr="00256B6A" w:rsidRDefault="009E7F1B" w:rsidP="009E7F1B">
      <w:pPr>
        <w:pStyle w:val="CGCTablenote"/>
      </w:pPr>
      <w:r w:rsidRPr="00256B6A">
        <w:t>Source:</w:t>
      </w:r>
      <w:r w:rsidRPr="00256B6A">
        <w:tab/>
        <w:t>Commission calculation using State budget data.</w:t>
      </w:r>
    </w:p>
    <w:p w14:paraId="7162FAC8" w14:textId="25E7FCC5" w:rsidR="009E7F1B" w:rsidRPr="00256B6A" w:rsidRDefault="009E7F1B" w:rsidP="009E7F1B">
      <w:pPr>
        <w:pStyle w:val="Heading4"/>
      </w:pPr>
      <w:bookmarkStart w:id="632" w:name="_Toc6998408"/>
      <w:bookmarkEnd w:id="629"/>
      <w:r w:rsidRPr="00256B6A">
        <w:t>Assessment approach</w:t>
      </w:r>
      <w:bookmarkEnd w:id="632"/>
    </w:p>
    <w:p w14:paraId="7D3BC0F7" w14:textId="77777777" w:rsidR="009E7F1B" w:rsidRPr="00256B6A" w:rsidRDefault="009E7F1B" w:rsidP="00F47EC7">
      <w:pPr>
        <w:pStyle w:val="CGCParaNumber"/>
      </w:pPr>
      <w:r w:rsidRPr="00256B6A">
        <w:t xml:space="preserve">The assessment of native title and land rights expenses is undertaken in a single component in the Other expenses category. The expenses are </w:t>
      </w:r>
      <w:r>
        <w:t>collected</w:t>
      </w:r>
      <w:r w:rsidRPr="00256B6A">
        <w:t xml:space="preserve"> from States annually. </w:t>
      </w:r>
    </w:p>
    <w:p w14:paraId="7866BCBD" w14:textId="77777777" w:rsidR="009E7F1B" w:rsidRPr="00B40D61" w:rsidRDefault="009E7F1B" w:rsidP="00F47EC7">
      <w:pPr>
        <w:pStyle w:val="CGCParaNumber"/>
      </w:pPr>
      <w:r>
        <w:t>N</w:t>
      </w:r>
      <w:r w:rsidRPr="00B40D61">
        <w:t xml:space="preserve">ative title </w:t>
      </w:r>
      <w:r>
        <w:t xml:space="preserve">and land rights </w:t>
      </w:r>
      <w:r w:rsidRPr="00B40D61">
        <w:t xml:space="preserve">expenses </w:t>
      </w:r>
      <w:r>
        <w:t>are assessed on an</w:t>
      </w:r>
      <w:r w:rsidRPr="00B40D61">
        <w:t xml:space="preserve"> APC basis</w:t>
      </w:r>
      <w:r>
        <w:t xml:space="preserve">. The Commission considers that States are following the </w:t>
      </w:r>
      <w:r w:rsidRPr="007A391D">
        <w:t>general frameworks for the implementation of native title and land rights legislation, which are imposed by the Commonwealth. However, States have adapted them to fit their own circumstances.</w:t>
      </w:r>
      <w:r w:rsidRPr="007D3550">
        <w:t xml:space="preserve"> </w:t>
      </w:r>
      <w:r>
        <w:t>T</w:t>
      </w:r>
      <w:r w:rsidRPr="002A4B54">
        <w:t xml:space="preserve">he focus of States has been </w:t>
      </w:r>
      <w:r>
        <w:t>on implementing cost-effective processes</w:t>
      </w:r>
      <w:r w:rsidRPr="00B673B1">
        <w:t xml:space="preserve"> </w:t>
      </w:r>
      <w:r>
        <w:t>(such as m</w:t>
      </w:r>
      <w:r w:rsidRPr="00B673B1">
        <w:t>oving from litigation to negotiation</w:t>
      </w:r>
      <w:r>
        <w:t xml:space="preserve">). </w:t>
      </w:r>
    </w:p>
    <w:p w14:paraId="186385FD" w14:textId="77777777" w:rsidR="009E7F1B" w:rsidRDefault="009E7F1B" w:rsidP="00F47EC7">
      <w:pPr>
        <w:pStyle w:val="CGCParaNumber"/>
      </w:pPr>
      <w:r>
        <w:t xml:space="preserve">Most States supported the current APC assessment and were comfortable providing native title and land rights expenses annually. </w:t>
      </w:r>
    </w:p>
    <w:p w14:paraId="3D1800F8" w14:textId="77777777" w:rsidR="009E7F1B" w:rsidRDefault="009E7F1B" w:rsidP="00F47EC7">
      <w:pPr>
        <w:pStyle w:val="CGCParaNumber"/>
      </w:pPr>
      <w:r>
        <w:t xml:space="preserve">New South Wales and the ACT expressed concerns about possible State policy influence on native title and land rights spending. The Commission is satisfied that States are following the framework for the implementation of native title and land rights legislation and that the expenses are not unduly influenced by specific State policies. States have little incentive to spend more than necessary. Indeed, States are adopting cost minimisation strategies. The Commission is not convinced that the alternative measures proposed by States would capture the volatility of these expenses. </w:t>
      </w:r>
    </w:p>
    <w:p w14:paraId="5CE9FD90" w14:textId="77777777" w:rsidR="009E7F1B" w:rsidRDefault="009E7F1B" w:rsidP="009E7F1B">
      <w:pPr>
        <w:pStyle w:val="Heading5"/>
      </w:pPr>
      <w:r>
        <w:lastRenderedPageBreak/>
        <w:t>Land rights expenses</w:t>
      </w:r>
    </w:p>
    <w:p w14:paraId="17B1647E" w14:textId="07C1C06E" w:rsidR="009E7F1B" w:rsidRPr="00256B6A" w:rsidRDefault="009E7F1B" w:rsidP="00F47EC7">
      <w:pPr>
        <w:pStyle w:val="CGCParaNumber"/>
      </w:pPr>
      <w:r w:rsidRPr="00D054D6">
        <w:t>In previous reviews, the Commission recognised land rights expenses only for the Northern</w:t>
      </w:r>
      <w:r w:rsidR="00C2733C">
        <w:t> </w:t>
      </w:r>
      <w:r w:rsidRPr="00D054D6">
        <w:t>Territory</w:t>
      </w:r>
      <w:r w:rsidRPr="00256B6A">
        <w:t xml:space="preserve"> because its expenses were derived from Commonwealth legislation instead of State legislation. </w:t>
      </w:r>
    </w:p>
    <w:p w14:paraId="0B68EDD3" w14:textId="77777777" w:rsidR="009E7F1B" w:rsidRDefault="009E7F1B" w:rsidP="00F47EC7">
      <w:pPr>
        <w:pStyle w:val="CGCParaNumber"/>
      </w:pPr>
      <w:r>
        <w:t>However, State provided information shows that the average policy of States is to recognise land rights regardless of the presence of Commonwealth legislation. The Commission concludes that recognising land rights for all States better captures what States do. The State information and consideration of Commonwealth and State land rights legislation show that:</w:t>
      </w:r>
    </w:p>
    <w:p w14:paraId="53786608" w14:textId="77777777" w:rsidR="009E7F1B" w:rsidRDefault="009E7F1B" w:rsidP="009E7F1B">
      <w:pPr>
        <w:pStyle w:val="CGCBullet1"/>
      </w:pPr>
      <w:r>
        <w:t>all States other than the ACT incur land rights expenses</w:t>
      </w:r>
    </w:p>
    <w:p w14:paraId="4CEF2B74" w14:textId="18F9CB44" w:rsidR="009E7F1B" w:rsidRDefault="009E7F1B" w:rsidP="009E7F1B">
      <w:pPr>
        <w:pStyle w:val="CGCBullet1"/>
      </w:pPr>
      <w:r>
        <w:t>land rights expenses are small for all States other than Queensland ($19 million in 2018</w:t>
      </w:r>
      <w:r>
        <w:noBreakHyphen/>
        <w:t xml:space="preserve">19) and the Northern Territory ($34 million in 2018-19), as shown in </w:t>
      </w:r>
      <w:r>
        <w:fldChar w:fldCharType="begin"/>
      </w:r>
      <w:r>
        <w:instrText xml:space="preserve"> REF _Ref531959276 \h </w:instrText>
      </w:r>
      <w:r>
        <w:fldChar w:fldCharType="separate"/>
      </w:r>
      <w:r w:rsidR="007F721A" w:rsidRPr="00256B6A">
        <w:t xml:space="preserve">Table </w:t>
      </w:r>
      <w:r w:rsidR="007F721A">
        <w:t>29-</w:t>
      </w:r>
      <w:r w:rsidR="007F721A">
        <w:rPr>
          <w:noProof/>
        </w:rPr>
        <w:t>7</w:t>
      </w:r>
      <w:r>
        <w:fldChar w:fldCharType="end"/>
      </w:r>
    </w:p>
    <w:p w14:paraId="0E62E639" w14:textId="77777777" w:rsidR="009E7F1B" w:rsidRDefault="009E7F1B" w:rsidP="009E7F1B">
      <w:pPr>
        <w:pStyle w:val="CGCBullet1"/>
      </w:pPr>
      <w:r>
        <w:t xml:space="preserve">some States, such as Western Australia, have said it is difficult to untangle native title and land rights expenses </w:t>
      </w:r>
    </w:p>
    <w:p w14:paraId="0326CD76" w14:textId="77777777" w:rsidR="009E7F1B" w:rsidRDefault="009E7F1B" w:rsidP="009E7F1B">
      <w:pPr>
        <w:pStyle w:val="CGCBullet1"/>
      </w:pPr>
      <w:r>
        <w:t>land rights legislation differs across the States but the intent is the same, that is, to grant title to land from the Commonwealth or State governments</w:t>
      </w:r>
    </w:p>
    <w:p w14:paraId="02A4D68D" w14:textId="77777777" w:rsidR="009E7F1B" w:rsidRDefault="009E7F1B" w:rsidP="009E7F1B">
      <w:pPr>
        <w:pStyle w:val="CGCBullet1"/>
      </w:pPr>
      <w:r>
        <w:t xml:space="preserve">some States use land rights as a means through which to meet their obligations under the Commonwealth’s </w:t>
      </w:r>
      <w:r w:rsidRPr="006F6967">
        <w:rPr>
          <w:i/>
        </w:rPr>
        <w:t>Native Title Act 1993</w:t>
      </w:r>
      <w:r>
        <w:t xml:space="preserve">, such as through legislation like the </w:t>
      </w:r>
      <w:r w:rsidRPr="006F6967">
        <w:rPr>
          <w:i/>
        </w:rPr>
        <w:t>Traditional Owner Settlement Act 2010</w:t>
      </w:r>
      <w:r>
        <w:t xml:space="preserve"> (Vic) (TOS Act) and through a variety of Indigenous Land Use Agreements.</w:t>
      </w:r>
    </w:p>
    <w:p w14:paraId="08C798EC" w14:textId="1E3B6E94" w:rsidR="009E7F1B" w:rsidRDefault="009E7F1B" w:rsidP="009E7F1B">
      <w:pPr>
        <w:pStyle w:val="Caption"/>
      </w:pPr>
      <w:bookmarkStart w:id="633" w:name="_Ref531959276"/>
      <w:r w:rsidRPr="00256B6A">
        <w:t xml:space="preserve">Table </w:t>
      </w:r>
      <w:r>
        <w:t>29-</w:t>
      </w:r>
      <w:fldSimple w:instr=" SEQ Table \* ARABIC ">
        <w:r w:rsidR="007F721A">
          <w:rPr>
            <w:noProof/>
          </w:rPr>
          <w:t>7</w:t>
        </w:r>
      </w:fldSimple>
      <w:bookmarkEnd w:id="633"/>
      <w:r w:rsidRPr="00256B6A">
        <w:tab/>
        <w:t>State land rights expenses, 201</w:t>
      </w:r>
      <w:r>
        <w:t>8</w:t>
      </w:r>
      <w:r w:rsidRPr="00256B6A">
        <w:t>-1</w:t>
      </w:r>
      <w:r>
        <w:t>9</w:t>
      </w:r>
    </w:p>
    <w:tbl>
      <w:tblPr>
        <w:tblW w:w="8980" w:type="dxa"/>
        <w:tblCellMar>
          <w:left w:w="0" w:type="dxa"/>
          <w:right w:w="28" w:type="dxa"/>
        </w:tblCellMar>
        <w:tblLook w:val="04A0" w:firstRow="1" w:lastRow="0" w:firstColumn="1" w:lastColumn="0" w:noHBand="0" w:noVBand="1"/>
      </w:tblPr>
      <w:tblGrid>
        <w:gridCol w:w="1788"/>
        <w:gridCol w:w="848"/>
        <w:gridCol w:w="828"/>
        <w:gridCol w:w="768"/>
        <w:gridCol w:w="768"/>
        <w:gridCol w:w="708"/>
        <w:gridCol w:w="748"/>
        <w:gridCol w:w="768"/>
        <w:gridCol w:w="868"/>
        <w:gridCol w:w="968"/>
      </w:tblGrid>
      <w:tr w:rsidR="009E7F1B" w:rsidRPr="00D518AA" w14:paraId="5E5813CD" w14:textId="77777777" w:rsidTr="00D8247B">
        <w:trPr>
          <w:trHeight w:val="379"/>
        </w:trPr>
        <w:tc>
          <w:tcPr>
            <w:tcW w:w="1780" w:type="dxa"/>
            <w:tcBorders>
              <w:top w:val="single" w:sz="4" w:space="0" w:color="ADD6EA"/>
              <w:left w:val="nil"/>
              <w:bottom w:val="single" w:sz="4" w:space="0" w:color="ADD6EA"/>
              <w:right w:val="nil"/>
            </w:tcBorders>
            <w:shd w:val="clear" w:color="000000" w:fill="006991"/>
            <w:noWrap/>
            <w:vAlign w:val="center"/>
            <w:hideMark/>
          </w:tcPr>
          <w:p w14:paraId="6C425AF6"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 </w:t>
            </w:r>
          </w:p>
        </w:tc>
        <w:tc>
          <w:tcPr>
            <w:tcW w:w="840" w:type="dxa"/>
            <w:tcBorders>
              <w:top w:val="single" w:sz="4" w:space="0" w:color="ADD6EA"/>
              <w:left w:val="nil"/>
              <w:bottom w:val="single" w:sz="4" w:space="0" w:color="ADD6EA"/>
              <w:right w:val="nil"/>
            </w:tcBorders>
            <w:shd w:val="clear" w:color="000000" w:fill="006991"/>
            <w:noWrap/>
            <w:vAlign w:val="center"/>
            <w:hideMark/>
          </w:tcPr>
          <w:p w14:paraId="48A881A7"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 xml:space="preserve">NSW </w:t>
            </w:r>
          </w:p>
        </w:tc>
        <w:tc>
          <w:tcPr>
            <w:tcW w:w="820" w:type="dxa"/>
            <w:tcBorders>
              <w:top w:val="single" w:sz="4" w:space="0" w:color="ADD6EA"/>
              <w:left w:val="nil"/>
              <w:bottom w:val="single" w:sz="4" w:space="0" w:color="ADD6EA"/>
              <w:right w:val="nil"/>
            </w:tcBorders>
            <w:shd w:val="clear" w:color="000000" w:fill="006991"/>
            <w:noWrap/>
            <w:vAlign w:val="center"/>
            <w:hideMark/>
          </w:tcPr>
          <w:p w14:paraId="0382B5DE"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4887C317"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1B542119"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noWrap/>
            <w:vAlign w:val="center"/>
            <w:hideMark/>
          </w:tcPr>
          <w:p w14:paraId="05868A76"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SA</w:t>
            </w:r>
          </w:p>
        </w:tc>
        <w:tc>
          <w:tcPr>
            <w:tcW w:w="740" w:type="dxa"/>
            <w:tcBorders>
              <w:top w:val="single" w:sz="4" w:space="0" w:color="ADD6EA"/>
              <w:left w:val="nil"/>
              <w:bottom w:val="single" w:sz="4" w:space="0" w:color="ADD6EA"/>
              <w:right w:val="nil"/>
            </w:tcBorders>
            <w:shd w:val="clear" w:color="000000" w:fill="006991"/>
            <w:noWrap/>
            <w:vAlign w:val="center"/>
            <w:hideMark/>
          </w:tcPr>
          <w:p w14:paraId="157A8432"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noWrap/>
            <w:vAlign w:val="center"/>
            <w:hideMark/>
          </w:tcPr>
          <w:p w14:paraId="182E35E7"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ACT</w:t>
            </w:r>
          </w:p>
        </w:tc>
        <w:tc>
          <w:tcPr>
            <w:tcW w:w="860" w:type="dxa"/>
            <w:tcBorders>
              <w:top w:val="single" w:sz="4" w:space="0" w:color="ADD6EA"/>
              <w:left w:val="nil"/>
              <w:bottom w:val="single" w:sz="4" w:space="0" w:color="ADD6EA"/>
              <w:right w:val="nil"/>
            </w:tcBorders>
            <w:shd w:val="clear" w:color="000000" w:fill="006991"/>
            <w:noWrap/>
            <w:vAlign w:val="center"/>
            <w:hideMark/>
          </w:tcPr>
          <w:p w14:paraId="3FD69A30"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NT</w:t>
            </w:r>
          </w:p>
        </w:tc>
        <w:tc>
          <w:tcPr>
            <w:tcW w:w="960" w:type="dxa"/>
            <w:tcBorders>
              <w:top w:val="single" w:sz="4" w:space="0" w:color="ADD6EA"/>
              <w:left w:val="nil"/>
              <w:bottom w:val="single" w:sz="4" w:space="0" w:color="ADD6EA"/>
              <w:right w:val="nil"/>
            </w:tcBorders>
            <w:shd w:val="clear" w:color="000000" w:fill="006991"/>
            <w:noWrap/>
            <w:vAlign w:val="center"/>
            <w:hideMark/>
          </w:tcPr>
          <w:p w14:paraId="26E5F0EA" w14:textId="77777777" w:rsidR="009E7F1B" w:rsidRPr="00D518AA"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D518AA">
              <w:rPr>
                <w:rFonts w:ascii="Open Sans SemiBold" w:eastAsia="Times New Roman" w:hAnsi="Open Sans SemiBold" w:cs="Open Sans SemiBold"/>
                <w:bCs/>
                <w:color w:val="FFFFFF"/>
                <w:sz w:val="16"/>
                <w:szCs w:val="16"/>
                <w:lang w:eastAsia="en-AU"/>
              </w:rPr>
              <w:t>Total</w:t>
            </w:r>
          </w:p>
        </w:tc>
      </w:tr>
      <w:tr w:rsidR="009E7F1B" w:rsidRPr="00EC06AC" w14:paraId="26F79D9F" w14:textId="77777777" w:rsidTr="00D8247B">
        <w:trPr>
          <w:trHeight w:val="259"/>
        </w:trPr>
        <w:tc>
          <w:tcPr>
            <w:tcW w:w="1780" w:type="dxa"/>
            <w:tcBorders>
              <w:top w:val="nil"/>
              <w:left w:val="nil"/>
              <w:bottom w:val="single" w:sz="4" w:space="0" w:color="ADD6EA"/>
              <w:right w:val="nil"/>
            </w:tcBorders>
            <w:shd w:val="clear" w:color="000000" w:fill="B6D5E4"/>
            <w:noWrap/>
            <w:vAlign w:val="center"/>
            <w:hideMark/>
          </w:tcPr>
          <w:p w14:paraId="73FC94A8" w14:textId="77777777" w:rsidR="009E7F1B" w:rsidRPr="00EC06AC" w:rsidRDefault="009E7F1B"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C06AC">
              <w:rPr>
                <w:rFonts w:ascii="Open Sans SemiBold" w:eastAsia="Times New Roman" w:hAnsi="Open Sans SemiBold" w:cs="Open Sans SemiBold"/>
                <w:color w:val="000000"/>
                <w:sz w:val="16"/>
                <w:szCs w:val="16"/>
                <w:lang w:eastAsia="en-AU"/>
              </w:rPr>
              <w:t> </w:t>
            </w:r>
          </w:p>
        </w:tc>
        <w:tc>
          <w:tcPr>
            <w:tcW w:w="840" w:type="dxa"/>
            <w:tcBorders>
              <w:top w:val="nil"/>
              <w:left w:val="nil"/>
              <w:bottom w:val="single" w:sz="4" w:space="0" w:color="ADD6EA"/>
              <w:right w:val="nil"/>
            </w:tcBorders>
            <w:shd w:val="clear" w:color="000000" w:fill="B6D5E4"/>
            <w:noWrap/>
            <w:vAlign w:val="bottom"/>
            <w:hideMark/>
          </w:tcPr>
          <w:p w14:paraId="3BDFF488" w14:textId="77777777" w:rsidR="009E7F1B" w:rsidRPr="00EC06AC" w:rsidRDefault="009E7F1B"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C06AC">
              <w:rPr>
                <w:rFonts w:ascii="Open Sans SemiBold" w:eastAsia="Times New Roman" w:hAnsi="Open Sans SemiBold" w:cs="Open Sans SemiBold"/>
                <w:color w:val="000000"/>
                <w:sz w:val="16"/>
                <w:szCs w:val="16"/>
                <w:lang w:eastAsia="en-AU"/>
              </w:rPr>
              <w:t>$m</w:t>
            </w:r>
          </w:p>
        </w:tc>
        <w:tc>
          <w:tcPr>
            <w:tcW w:w="820" w:type="dxa"/>
            <w:tcBorders>
              <w:top w:val="nil"/>
              <w:left w:val="nil"/>
              <w:bottom w:val="single" w:sz="4" w:space="0" w:color="ADD6EA"/>
              <w:right w:val="nil"/>
            </w:tcBorders>
            <w:shd w:val="clear" w:color="000000" w:fill="B6D5E4"/>
            <w:noWrap/>
            <w:vAlign w:val="bottom"/>
            <w:hideMark/>
          </w:tcPr>
          <w:p w14:paraId="19B4D6DB" w14:textId="77777777" w:rsidR="009E7F1B" w:rsidRPr="00EC06AC" w:rsidRDefault="009E7F1B"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C06AC">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49A3540B" w14:textId="77777777" w:rsidR="009E7F1B" w:rsidRPr="00EC06AC" w:rsidRDefault="009E7F1B"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C06AC">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19DC0496" w14:textId="77777777" w:rsidR="009E7F1B" w:rsidRPr="00EC06AC" w:rsidRDefault="009E7F1B"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C06AC">
              <w:rPr>
                <w:rFonts w:ascii="Open Sans SemiBold" w:eastAsia="Times New Roman" w:hAnsi="Open Sans SemiBold" w:cs="Open Sans SemiBold"/>
                <w:color w:val="000000"/>
                <w:sz w:val="16"/>
                <w:szCs w:val="16"/>
                <w:lang w:eastAsia="en-AU"/>
              </w:rPr>
              <w:t>$m</w:t>
            </w:r>
          </w:p>
        </w:tc>
        <w:tc>
          <w:tcPr>
            <w:tcW w:w="700" w:type="dxa"/>
            <w:tcBorders>
              <w:top w:val="nil"/>
              <w:left w:val="nil"/>
              <w:bottom w:val="single" w:sz="4" w:space="0" w:color="ADD6EA"/>
              <w:right w:val="nil"/>
            </w:tcBorders>
            <w:shd w:val="clear" w:color="000000" w:fill="B6D5E4"/>
            <w:noWrap/>
            <w:vAlign w:val="bottom"/>
            <w:hideMark/>
          </w:tcPr>
          <w:p w14:paraId="28A8B91F" w14:textId="77777777" w:rsidR="009E7F1B" w:rsidRPr="00EC06AC" w:rsidRDefault="009E7F1B"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C06AC">
              <w:rPr>
                <w:rFonts w:ascii="Open Sans SemiBold" w:eastAsia="Times New Roman" w:hAnsi="Open Sans SemiBold" w:cs="Open Sans SemiBold"/>
                <w:color w:val="000000"/>
                <w:sz w:val="16"/>
                <w:szCs w:val="16"/>
                <w:lang w:eastAsia="en-AU"/>
              </w:rPr>
              <w:t>$m</w:t>
            </w:r>
          </w:p>
        </w:tc>
        <w:tc>
          <w:tcPr>
            <w:tcW w:w="740" w:type="dxa"/>
            <w:tcBorders>
              <w:top w:val="nil"/>
              <w:left w:val="nil"/>
              <w:bottom w:val="single" w:sz="4" w:space="0" w:color="ADD6EA"/>
              <w:right w:val="nil"/>
            </w:tcBorders>
            <w:shd w:val="clear" w:color="000000" w:fill="B6D5E4"/>
            <w:noWrap/>
            <w:vAlign w:val="bottom"/>
            <w:hideMark/>
          </w:tcPr>
          <w:p w14:paraId="6BD2B0CD" w14:textId="77777777" w:rsidR="009E7F1B" w:rsidRPr="00EC06AC" w:rsidRDefault="009E7F1B"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C06AC">
              <w:rPr>
                <w:rFonts w:ascii="Open Sans SemiBold" w:eastAsia="Times New Roman" w:hAnsi="Open Sans SemiBold" w:cs="Open Sans SemiBold"/>
                <w:color w:val="000000"/>
                <w:sz w:val="16"/>
                <w:szCs w:val="16"/>
                <w:lang w:eastAsia="en-AU"/>
              </w:rPr>
              <w:t>$m</w:t>
            </w:r>
          </w:p>
        </w:tc>
        <w:tc>
          <w:tcPr>
            <w:tcW w:w="760" w:type="dxa"/>
            <w:tcBorders>
              <w:top w:val="nil"/>
              <w:left w:val="nil"/>
              <w:bottom w:val="single" w:sz="4" w:space="0" w:color="ADD6EA"/>
              <w:right w:val="nil"/>
            </w:tcBorders>
            <w:shd w:val="clear" w:color="000000" w:fill="B6D5E4"/>
            <w:noWrap/>
            <w:vAlign w:val="bottom"/>
            <w:hideMark/>
          </w:tcPr>
          <w:p w14:paraId="0CD5A0D0" w14:textId="77777777" w:rsidR="009E7F1B" w:rsidRPr="00EC06AC" w:rsidRDefault="009E7F1B"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C06AC">
              <w:rPr>
                <w:rFonts w:ascii="Open Sans SemiBold" w:eastAsia="Times New Roman" w:hAnsi="Open Sans SemiBold" w:cs="Open Sans SemiBold"/>
                <w:color w:val="000000"/>
                <w:sz w:val="16"/>
                <w:szCs w:val="16"/>
                <w:lang w:eastAsia="en-AU"/>
              </w:rPr>
              <w:t>$m</w:t>
            </w:r>
          </w:p>
        </w:tc>
        <w:tc>
          <w:tcPr>
            <w:tcW w:w="860" w:type="dxa"/>
            <w:tcBorders>
              <w:top w:val="nil"/>
              <w:left w:val="nil"/>
              <w:bottom w:val="single" w:sz="4" w:space="0" w:color="ADD6EA"/>
              <w:right w:val="nil"/>
            </w:tcBorders>
            <w:shd w:val="clear" w:color="000000" w:fill="B6D5E4"/>
            <w:noWrap/>
            <w:vAlign w:val="bottom"/>
            <w:hideMark/>
          </w:tcPr>
          <w:p w14:paraId="7A86F43F" w14:textId="77777777" w:rsidR="009E7F1B" w:rsidRPr="00EC06AC" w:rsidRDefault="009E7F1B"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C06AC">
              <w:rPr>
                <w:rFonts w:ascii="Open Sans SemiBold" w:eastAsia="Times New Roman" w:hAnsi="Open Sans SemiBold" w:cs="Open Sans SemiBold"/>
                <w:color w:val="000000"/>
                <w:sz w:val="16"/>
                <w:szCs w:val="16"/>
                <w:lang w:eastAsia="en-AU"/>
              </w:rPr>
              <w:t>$m</w:t>
            </w:r>
          </w:p>
        </w:tc>
        <w:tc>
          <w:tcPr>
            <w:tcW w:w="960" w:type="dxa"/>
            <w:tcBorders>
              <w:top w:val="nil"/>
              <w:left w:val="nil"/>
              <w:bottom w:val="single" w:sz="4" w:space="0" w:color="ADD6EA"/>
              <w:right w:val="nil"/>
            </w:tcBorders>
            <w:shd w:val="clear" w:color="000000" w:fill="B6D5E4"/>
            <w:noWrap/>
            <w:vAlign w:val="bottom"/>
            <w:hideMark/>
          </w:tcPr>
          <w:p w14:paraId="265506EE" w14:textId="77777777" w:rsidR="009E7F1B" w:rsidRPr="00EC06AC" w:rsidRDefault="009E7F1B"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C06AC">
              <w:rPr>
                <w:rFonts w:ascii="Open Sans SemiBold" w:eastAsia="Times New Roman" w:hAnsi="Open Sans SemiBold" w:cs="Open Sans SemiBold"/>
                <w:color w:val="000000"/>
                <w:sz w:val="16"/>
                <w:szCs w:val="16"/>
                <w:lang w:eastAsia="en-AU"/>
              </w:rPr>
              <w:t>$m</w:t>
            </w:r>
          </w:p>
        </w:tc>
      </w:tr>
      <w:tr w:rsidR="009E7F1B" w:rsidRPr="00EC06AC" w14:paraId="110D93A8" w14:textId="77777777" w:rsidTr="00D8247B">
        <w:trPr>
          <w:trHeight w:val="315"/>
        </w:trPr>
        <w:tc>
          <w:tcPr>
            <w:tcW w:w="1780" w:type="dxa"/>
            <w:tcBorders>
              <w:top w:val="nil"/>
              <w:left w:val="nil"/>
              <w:bottom w:val="single" w:sz="4" w:space="0" w:color="ADD6EA"/>
              <w:right w:val="nil"/>
            </w:tcBorders>
            <w:shd w:val="clear" w:color="auto" w:fill="auto"/>
            <w:noWrap/>
            <w:vAlign w:val="bottom"/>
            <w:hideMark/>
          </w:tcPr>
          <w:p w14:paraId="0466A958" w14:textId="77777777" w:rsidR="009E7F1B" w:rsidRPr="00EC06AC" w:rsidRDefault="009E7F1B" w:rsidP="004D65FE">
            <w:pPr>
              <w:tabs>
                <w:tab w:val="clear" w:pos="567"/>
              </w:tabs>
              <w:spacing w:before="0" w:line="240" w:lineRule="auto"/>
              <w:rPr>
                <w:rFonts w:eastAsia="Times New Roman" w:cs="Open Sans Light"/>
                <w:sz w:val="16"/>
                <w:szCs w:val="16"/>
                <w:lang w:eastAsia="en-AU"/>
              </w:rPr>
            </w:pPr>
            <w:r w:rsidRPr="00EC06AC">
              <w:rPr>
                <w:rFonts w:eastAsia="Times New Roman" w:cs="Open Sans Light"/>
                <w:sz w:val="16"/>
                <w:szCs w:val="16"/>
                <w:lang w:eastAsia="en-AU"/>
              </w:rPr>
              <w:t>Land rights expenses</w:t>
            </w:r>
          </w:p>
        </w:tc>
        <w:tc>
          <w:tcPr>
            <w:tcW w:w="840" w:type="dxa"/>
            <w:tcBorders>
              <w:top w:val="nil"/>
              <w:left w:val="nil"/>
              <w:bottom w:val="single" w:sz="4" w:space="0" w:color="ADD6EA"/>
              <w:right w:val="nil"/>
            </w:tcBorders>
            <w:shd w:val="clear" w:color="auto" w:fill="auto"/>
            <w:noWrap/>
            <w:vAlign w:val="bottom"/>
            <w:hideMark/>
          </w:tcPr>
          <w:p w14:paraId="717B3A81" w14:textId="77777777" w:rsidR="009E7F1B" w:rsidRPr="00EC06AC" w:rsidRDefault="009E7F1B" w:rsidP="004D65FE">
            <w:pPr>
              <w:tabs>
                <w:tab w:val="clear" w:pos="567"/>
              </w:tabs>
              <w:spacing w:before="0" w:line="240" w:lineRule="auto"/>
              <w:jc w:val="right"/>
              <w:rPr>
                <w:rFonts w:eastAsia="Times New Roman" w:cs="Open Sans Light"/>
                <w:sz w:val="16"/>
                <w:szCs w:val="16"/>
                <w:lang w:eastAsia="en-AU"/>
              </w:rPr>
            </w:pPr>
            <w:r w:rsidRPr="00EC06AC">
              <w:rPr>
                <w:rFonts w:eastAsia="Times New Roman" w:cs="Open Sans Light"/>
                <w:sz w:val="16"/>
                <w:szCs w:val="16"/>
                <w:lang w:eastAsia="en-AU"/>
              </w:rPr>
              <w:t>2</w:t>
            </w:r>
          </w:p>
        </w:tc>
        <w:tc>
          <w:tcPr>
            <w:tcW w:w="820" w:type="dxa"/>
            <w:tcBorders>
              <w:top w:val="nil"/>
              <w:left w:val="nil"/>
              <w:bottom w:val="single" w:sz="4" w:space="0" w:color="ADD6EA"/>
              <w:right w:val="nil"/>
            </w:tcBorders>
            <w:shd w:val="clear" w:color="auto" w:fill="auto"/>
            <w:noWrap/>
            <w:vAlign w:val="bottom"/>
            <w:hideMark/>
          </w:tcPr>
          <w:p w14:paraId="1F806725" w14:textId="77777777" w:rsidR="009E7F1B" w:rsidRPr="00EC06AC" w:rsidRDefault="009E7F1B" w:rsidP="004D65FE">
            <w:pPr>
              <w:tabs>
                <w:tab w:val="clear" w:pos="567"/>
              </w:tabs>
              <w:spacing w:before="0" w:line="240" w:lineRule="auto"/>
              <w:jc w:val="right"/>
              <w:rPr>
                <w:rFonts w:eastAsia="Times New Roman" w:cs="Open Sans Light"/>
                <w:sz w:val="16"/>
                <w:szCs w:val="16"/>
                <w:lang w:eastAsia="en-AU"/>
              </w:rPr>
            </w:pPr>
            <w:r w:rsidRPr="00EC06AC">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noWrap/>
            <w:vAlign w:val="bottom"/>
            <w:hideMark/>
          </w:tcPr>
          <w:p w14:paraId="1C01A8B9" w14:textId="77777777" w:rsidR="009E7F1B" w:rsidRPr="00EC06AC" w:rsidRDefault="009E7F1B" w:rsidP="004D65FE">
            <w:pPr>
              <w:tabs>
                <w:tab w:val="clear" w:pos="567"/>
              </w:tabs>
              <w:spacing w:before="0" w:line="240" w:lineRule="auto"/>
              <w:jc w:val="right"/>
              <w:rPr>
                <w:rFonts w:eastAsia="Times New Roman" w:cs="Open Sans Light"/>
                <w:sz w:val="16"/>
                <w:szCs w:val="16"/>
                <w:lang w:eastAsia="en-AU"/>
              </w:rPr>
            </w:pPr>
            <w:r w:rsidRPr="00EC06AC">
              <w:rPr>
                <w:rFonts w:eastAsia="Times New Roman" w:cs="Open Sans Light"/>
                <w:sz w:val="16"/>
                <w:szCs w:val="16"/>
                <w:lang w:eastAsia="en-AU"/>
              </w:rPr>
              <w:t>19</w:t>
            </w:r>
          </w:p>
        </w:tc>
        <w:tc>
          <w:tcPr>
            <w:tcW w:w="760" w:type="dxa"/>
            <w:tcBorders>
              <w:top w:val="nil"/>
              <w:left w:val="nil"/>
              <w:bottom w:val="single" w:sz="4" w:space="0" w:color="ADD6EA"/>
              <w:right w:val="nil"/>
            </w:tcBorders>
            <w:shd w:val="clear" w:color="auto" w:fill="auto"/>
            <w:noWrap/>
            <w:vAlign w:val="bottom"/>
            <w:hideMark/>
          </w:tcPr>
          <w:p w14:paraId="06B2701E" w14:textId="77777777" w:rsidR="009E7F1B" w:rsidRPr="00EC06AC" w:rsidRDefault="009E7F1B" w:rsidP="004D65FE">
            <w:pPr>
              <w:tabs>
                <w:tab w:val="clear" w:pos="567"/>
              </w:tabs>
              <w:spacing w:before="0" w:line="240" w:lineRule="auto"/>
              <w:jc w:val="right"/>
              <w:rPr>
                <w:rFonts w:eastAsia="Times New Roman" w:cs="Open Sans Light"/>
                <w:sz w:val="16"/>
                <w:szCs w:val="16"/>
                <w:lang w:eastAsia="en-AU"/>
              </w:rPr>
            </w:pPr>
            <w:r w:rsidRPr="00EC06AC">
              <w:rPr>
                <w:rFonts w:eastAsia="Times New Roman" w:cs="Open Sans Light"/>
                <w:sz w:val="16"/>
                <w:szCs w:val="16"/>
                <w:lang w:eastAsia="en-AU"/>
              </w:rPr>
              <w:t>4</w:t>
            </w:r>
          </w:p>
        </w:tc>
        <w:tc>
          <w:tcPr>
            <w:tcW w:w="700" w:type="dxa"/>
            <w:tcBorders>
              <w:top w:val="nil"/>
              <w:left w:val="nil"/>
              <w:bottom w:val="single" w:sz="4" w:space="0" w:color="ADD6EA"/>
              <w:right w:val="nil"/>
            </w:tcBorders>
            <w:shd w:val="clear" w:color="auto" w:fill="auto"/>
            <w:noWrap/>
            <w:vAlign w:val="bottom"/>
            <w:hideMark/>
          </w:tcPr>
          <w:p w14:paraId="0683D724" w14:textId="77777777" w:rsidR="009E7F1B" w:rsidRPr="00EC06AC" w:rsidRDefault="009E7F1B" w:rsidP="004D65FE">
            <w:pPr>
              <w:tabs>
                <w:tab w:val="clear" w:pos="567"/>
              </w:tabs>
              <w:spacing w:before="0" w:line="240" w:lineRule="auto"/>
              <w:jc w:val="right"/>
              <w:rPr>
                <w:rFonts w:eastAsia="Times New Roman" w:cs="Open Sans Light"/>
                <w:sz w:val="16"/>
                <w:szCs w:val="16"/>
                <w:lang w:eastAsia="en-AU"/>
              </w:rPr>
            </w:pPr>
            <w:r w:rsidRPr="00EC06AC">
              <w:rPr>
                <w:rFonts w:eastAsia="Times New Roman" w:cs="Open Sans Light"/>
                <w:sz w:val="16"/>
                <w:szCs w:val="16"/>
                <w:lang w:eastAsia="en-AU"/>
              </w:rPr>
              <w:t>1</w:t>
            </w:r>
          </w:p>
        </w:tc>
        <w:tc>
          <w:tcPr>
            <w:tcW w:w="740" w:type="dxa"/>
            <w:tcBorders>
              <w:top w:val="nil"/>
              <w:left w:val="nil"/>
              <w:bottom w:val="single" w:sz="4" w:space="0" w:color="ADD6EA"/>
              <w:right w:val="nil"/>
            </w:tcBorders>
            <w:shd w:val="clear" w:color="auto" w:fill="auto"/>
            <w:noWrap/>
            <w:vAlign w:val="bottom"/>
            <w:hideMark/>
          </w:tcPr>
          <w:p w14:paraId="0AE121F3" w14:textId="77777777" w:rsidR="009E7F1B" w:rsidRPr="00EC06AC" w:rsidRDefault="009E7F1B" w:rsidP="004D65FE">
            <w:pPr>
              <w:tabs>
                <w:tab w:val="clear" w:pos="567"/>
              </w:tabs>
              <w:spacing w:before="0" w:line="240" w:lineRule="auto"/>
              <w:jc w:val="right"/>
              <w:rPr>
                <w:rFonts w:eastAsia="Times New Roman" w:cs="Open Sans Light"/>
                <w:sz w:val="16"/>
                <w:szCs w:val="16"/>
                <w:lang w:eastAsia="en-AU"/>
              </w:rPr>
            </w:pPr>
            <w:r w:rsidRPr="00EC06AC">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vAlign w:val="bottom"/>
            <w:hideMark/>
          </w:tcPr>
          <w:p w14:paraId="79E01EA5" w14:textId="77777777" w:rsidR="009E7F1B" w:rsidRPr="00EC06AC" w:rsidRDefault="009E7F1B" w:rsidP="004D65FE">
            <w:pPr>
              <w:tabs>
                <w:tab w:val="clear" w:pos="567"/>
              </w:tabs>
              <w:spacing w:before="0" w:line="240" w:lineRule="auto"/>
              <w:jc w:val="right"/>
              <w:rPr>
                <w:rFonts w:eastAsia="Times New Roman" w:cs="Open Sans Light"/>
                <w:sz w:val="16"/>
                <w:szCs w:val="16"/>
                <w:lang w:eastAsia="en-AU"/>
              </w:rPr>
            </w:pPr>
            <w:r w:rsidRPr="00EC06AC">
              <w:rPr>
                <w:rFonts w:eastAsia="Times New Roman" w:cs="Open Sans Light"/>
                <w:sz w:val="16"/>
                <w:szCs w:val="16"/>
                <w:lang w:eastAsia="en-AU"/>
              </w:rPr>
              <w:t>0</w:t>
            </w:r>
          </w:p>
        </w:tc>
        <w:tc>
          <w:tcPr>
            <w:tcW w:w="860" w:type="dxa"/>
            <w:tcBorders>
              <w:top w:val="nil"/>
              <w:left w:val="nil"/>
              <w:bottom w:val="single" w:sz="4" w:space="0" w:color="ADD6EA"/>
              <w:right w:val="nil"/>
            </w:tcBorders>
            <w:shd w:val="clear" w:color="auto" w:fill="auto"/>
            <w:noWrap/>
            <w:vAlign w:val="bottom"/>
            <w:hideMark/>
          </w:tcPr>
          <w:p w14:paraId="2604A910" w14:textId="77777777" w:rsidR="009E7F1B" w:rsidRPr="00EC06AC" w:rsidRDefault="009E7F1B" w:rsidP="004D65FE">
            <w:pPr>
              <w:tabs>
                <w:tab w:val="clear" w:pos="567"/>
              </w:tabs>
              <w:spacing w:before="0" w:line="240" w:lineRule="auto"/>
              <w:jc w:val="right"/>
              <w:rPr>
                <w:rFonts w:eastAsia="Times New Roman" w:cs="Open Sans Light"/>
                <w:sz w:val="16"/>
                <w:szCs w:val="16"/>
                <w:lang w:eastAsia="en-AU"/>
              </w:rPr>
            </w:pPr>
            <w:r w:rsidRPr="00EC06AC">
              <w:rPr>
                <w:rFonts w:eastAsia="Times New Roman" w:cs="Open Sans Light"/>
                <w:sz w:val="16"/>
                <w:szCs w:val="16"/>
                <w:lang w:eastAsia="en-AU"/>
              </w:rPr>
              <w:t>34</w:t>
            </w:r>
          </w:p>
        </w:tc>
        <w:tc>
          <w:tcPr>
            <w:tcW w:w="960" w:type="dxa"/>
            <w:tcBorders>
              <w:top w:val="nil"/>
              <w:left w:val="nil"/>
              <w:bottom w:val="single" w:sz="4" w:space="0" w:color="ADD6EA"/>
              <w:right w:val="nil"/>
            </w:tcBorders>
            <w:shd w:val="clear" w:color="auto" w:fill="auto"/>
            <w:noWrap/>
            <w:vAlign w:val="bottom"/>
            <w:hideMark/>
          </w:tcPr>
          <w:p w14:paraId="1BD68DE0" w14:textId="77777777" w:rsidR="009E7F1B" w:rsidRPr="00EC06AC" w:rsidRDefault="009E7F1B" w:rsidP="004D65FE">
            <w:pPr>
              <w:tabs>
                <w:tab w:val="clear" w:pos="567"/>
              </w:tabs>
              <w:spacing w:before="0" w:line="240" w:lineRule="auto"/>
              <w:jc w:val="right"/>
              <w:rPr>
                <w:rFonts w:eastAsia="Times New Roman" w:cs="Open Sans Light"/>
                <w:sz w:val="16"/>
                <w:szCs w:val="16"/>
                <w:lang w:eastAsia="en-AU"/>
              </w:rPr>
            </w:pPr>
            <w:r w:rsidRPr="00EC06AC">
              <w:rPr>
                <w:rFonts w:eastAsia="Times New Roman" w:cs="Open Sans Light"/>
                <w:sz w:val="16"/>
                <w:szCs w:val="16"/>
                <w:lang w:eastAsia="en-AU"/>
              </w:rPr>
              <w:t>63</w:t>
            </w:r>
          </w:p>
        </w:tc>
      </w:tr>
    </w:tbl>
    <w:p w14:paraId="50E6603C" w14:textId="77777777" w:rsidR="009E7F1B" w:rsidRDefault="009E7F1B" w:rsidP="009E7F1B">
      <w:pPr>
        <w:pStyle w:val="CGCTablenote"/>
      </w:pPr>
      <w:r w:rsidRPr="325271D5">
        <w:t>Note:</w:t>
      </w:r>
      <w:r w:rsidRPr="009D29EC">
        <w:tab/>
      </w:r>
      <w:r w:rsidRPr="325271D5">
        <w:t>Tasmania incurs land rights expenses of $0.3 million which is shown as zero due to rounding</w:t>
      </w:r>
      <w:r>
        <w:t>.</w:t>
      </w:r>
    </w:p>
    <w:p w14:paraId="3106AD39" w14:textId="77777777" w:rsidR="009E7F1B" w:rsidRDefault="009E7F1B" w:rsidP="009E7F1B">
      <w:pPr>
        <w:pStyle w:val="CGCTablenote"/>
      </w:pPr>
      <w:r>
        <w:t>Source:</w:t>
      </w:r>
      <w:r>
        <w:tab/>
        <w:t>State data.</w:t>
      </w:r>
    </w:p>
    <w:p w14:paraId="68302BDC" w14:textId="77777777" w:rsidR="009E7F1B" w:rsidRDefault="009E7F1B" w:rsidP="00F47EC7">
      <w:pPr>
        <w:pStyle w:val="CGCParaNumber"/>
      </w:pPr>
      <w:r w:rsidRPr="00DF0130">
        <w:rPr>
          <w:rStyle w:val="Heading6Char"/>
        </w:rPr>
        <w:t>Compens</w:t>
      </w:r>
      <w:r>
        <w:rPr>
          <w:rStyle w:val="Heading6Char"/>
        </w:rPr>
        <w:t>a</w:t>
      </w:r>
      <w:r w:rsidRPr="00DF0130">
        <w:rPr>
          <w:rStyle w:val="Heading6Char"/>
        </w:rPr>
        <w:t>tion expenses.</w:t>
      </w:r>
      <w:r>
        <w:t xml:space="preserve"> </w:t>
      </w:r>
      <w:r w:rsidRPr="00B40D61">
        <w:t>T</w:t>
      </w:r>
      <w:r>
        <w:t>he Commission notes the recent High C</w:t>
      </w:r>
      <w:r w:rsidRPr="00B40D61">
        <w:t>ourt ruling that the Northern Territory must pay $2.53 million in compensation to the Ngaliwurru and Nungali peoples</w:t>
      </w:r>
      <w:r>
        <w:t xml:space="preserve"> in compensation for acts of the Northern Territory government that impaired or extinguished native title rights and interests.</w:t>
      </w:r>
      <w:r>
        <w:rPr>
          <w:rStyle w:val="FootnoteReference"/>
        </w:rPr>
        <w:footnoteReference w:id="136"/>
      </w:r>
      <w:r>
        <w:t xml:space="preserve"> The Commission intends to continue to monitor such compensation cases and State responses to them to ensure an APC assessment remains appropriate. </w:t>
      </w:r>
    </w:p>
    <w:p w14:paraId="1B0F940E" w14:textId="77777777" w:rsidR="009E7F1B" w:rsidRPr="00A277B0" w:rsidRDefault="009E7F1B" w:rsidP="00F47EC7">
      <w:pPr>
        <w:pStyle w:val="CGCParaNumber"/>
      </w:pPr>
      <w:r w:rsidRPr="00DF0130">
        <w:rPr>
          <w:rStyle w:val="Heading6Char"/>
        </w:rPr>
        <w:t>Revenue.</w:t>
      </w:r>
      <w:r>
        <w:t xml:space="preserve"> The expenses will be offset by a</w:t>
      </w:r>
      <w:r w:rsidRPr="00A277B0">
        <w:t xml:space="preserve">ny revenue States receive in relation to native title </w:t>
      </w:r>
      <w:r>
        <w:t>and land rights.</w:t>
      </w:r>
      <w:r w:rsidRPr="00A277B0">
        <w:t xml:space="preserve"> </w:t>
      </w:r>
      <w:r>
        <w:t xml:space="preserve">Revenue may include, among other things, </w:t>
      </w:r>
      <w:r w:rsidRPr="00A277B0">
        <w:t>reimbursements from third parties in relation to native title compensation cases.</w:t>
      </w:r>
    </w:p>
    <w:p w14:paraId="3FAF9D99" w14:textId="58062D56" w:rsidR="009E7F1B" w:rsidRDefault="009E7F1B" w:rsidP="009E7F1B">
      <w:pPr>
        <w:pStyle w:val="Heading3"/>
      </w:pPr>
      <w:bookmarkStart w:id="634" w:name="_Toc6998412"/>
      <w:r>
        <w:t>Assessed expenses calculation</w:t>
      </w:r>
      <w:bookmarkEnd w:id="634"/>
    </w:p>
    <w:p w14:paraId="4F3DDF7B" w14:textId="26CB6ECE" w:rsidR="009E7F1B" w:rsidRPr="008725D3" w:rsidRDefault="009E7F1B" w:rsidP="00F47EC7">
      <w:pPr>
        <w:pStyle w:val="CGCParaNumber"/>
      </w:pPr>
      <w:r w:rsidRPr="008725D3">
        <w:fldChar w:fldCharType="begin"/>
      </w:r>
      <w:r w:rsidRPr="008725D3">
        <w:instrText xml:space="preserve"> REF _Ref7013659 \h </w:instrText>
      </w:r>
      <w:r>
        <w:instrText xml:space="preserve"> \* MERGEFORMAT </w:instrText>
      </w:r>
      <w:r w:rsidRPr="008725D3">
        <w:fldChar w:fldCharType="separate"/>
      </w:r>
      <w:r w:rsidR="007F721A">
        <w:t xml:space="preserve">Table </w:t>
      </w:r>
      <w:r w:rsidR="007F721A">
        <w:rPr>
          <w:noProof/>
        </w:rPr>
        <w:t>29-8</w:t>
      </w:r>
      <w:r w:rsidRPr="008725D3">
        <w:fldChar w:fldCharType="end"/>
      </w:r>
      <w:r w:rsidRPr="008725D3">
        <w:t xml:space="preserve"> shows the calculation of native title and land rights assessed expenses in 201</w:t>
      </w:r>
      <w:r>
        <w:t>8</w:t>
      </w:r>
      <w:r w:rsidRPr="008725D3">
        <w:noBreakHyphen/>
        <w:t>1</w:t>
      </w:r>
      <w:r>
        <w:t>9</w:t>
      </w:r>
      <w:r w:rsidRPr="008725D3">
        <w:t>.</w:t>
      </w:r>
    </w:p>
    <w:p w14:paraId="13B356EA" w14:textId="221F622B" w:rsidR="009E7F1B" w:rsidRDefault="009E7F1B" w:rsidP="009E7F1B">
      <w:pPr>
        <w:pStyle w:val="Caption"/>
      </w:pPr>
      <w:bookmarkStart w:id="635" w:name="_Ref7013659"/>
      <w:r>
        <w:lastRenderedPageBreak/>
        <w:t>Table 29-</w:t>
      </w:r>
      <w:fldSimple w:instr=" SEQ Table \* ARABIC ">
        <w:r w:rsidR="007F721A">
          <w:rPr>
            <w:noProof/>
          </w:rPr>
          <w:t>8</w:t>
        </w:r>
      </w:fldSimple>
      <w:bookmarkEnd w:id="635"/>
      <w:r>
        <w:tab/>
      </w:r>
      <w:r w:rsidR="003050D5">
        <w:t xml:space="preserve">Native </w:t>
      </w:r>
      <w:r w:rsidR="008845AE">
        <w:t>title and land rights component assessment</w:t>
      </w:r>
      <w:r>
        <w:t>, 2018</w:t>
      </w:r>
      <w:r>
        <w:noBreakHyphen/>
        <w:t>19</w:t>
      </w:r>
    </w:p>
    <w:tbl>
      <w:tblPr>
        <w:tblW w:w="8980" w:type="dxa"/>
        <w:tblCellMar>
          <w:left w:w="0" w:type="dxa"/>
          <w:right w:w="28" w:type="dxa"/>
        </w:tblCellMar>
        <w:tblLook w:val="04A0" w:firstRow="1" w:lastRow="0" w:firstColumn="1" w:lastColumn="0" w:noHBand="0" w:noVBand="1"/>
      </w:tblPr>
      <w:tblGrid>
        <w:gridCol w:w="1788"/>
        <w:gridCol w:w="848"/>
        <w:gridCol w:w="828"/>
        <w:gridCol w:w="768"/>
        <w:gridCol w:w="768"/>
        <w:gridCol w:w="708"/>
        <w:gridCol w:w="748"/>
        <w:gridCol w:w="768"/>
        <w:gridCol w:w="868"/>
        <w:gridCol w:w="968"/>
      </w:tblGrid>
      <w:tr w:rsidR="009E7F1B" w:rsidRPr="00AD6502" w14:paraId="7D0197F0" w14:textId="77777777" w:rsidTr="0043489C">
        <w:trPr>
          <w:trHeight w:val="379"/>
        </w:trPr>
        <w:tc>
          <w:tcPr>
            <w:tcW w:w="1780" w:type="dxa"/>
            <w:tcBorders>
              <w:top w:val="single" w:sz="4" w:space="0" w:color="ADD6EA"/>
              <w:left w:val="nil"/>
              <w:bottom w:val="single" w:sz="4" w:space="0" w:color="ADD6EA"/>
              <w:right w:val="nil"/>
            </w:tcBorders>
            <w:shd w:val="clear" w:color="000000" w:fill="006991"/>
            <w:noWrap/>
            <w:vAlign w:val="center"/>
            <w:hideMark/>
          </w:tcPr>
          <w:p w14:paraId="621A11B1" w14:textId="77777777" w:rsidR="009E7F1B" w:rsidRPr="00AD6502"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 </w:t>
            </w:r>
          </w:p>
        </w:tc>
        <w:tc>
          <w:tcPr>
            <w:tcW w:w="840" w:type="dxa"/>
            <w:tcBorders>
              <w:top w:val="single" w:sz="4" w:space="0" w:color="ADD6EA"/>
              <w:left w:val="nil"/>
              <w:bottom w:val="single" w:sz="4" w:space="0" w:color="ADD6EA"/>
              <w:right w:val="nil"/>
            </w:tcBorders>
            <w:shd w:val="clear" w:color="000000" w:fill="006991"/>
            <w:noWrap/>
            <w:vAlign w:val="center"/>
            <w:hideMark/>
          </w:tcPr>
          <w:p w14:paraId="1D25A678" w14:textId="77777777" w:rsidR="009E7F1B" w:rsidRPr="00AD6502"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NSW</w:t>
            </w:r>
          </w:p>
        </w:tc>
        <w:tc>
          <w:tcPr>
            <w:tcW w:w="820" w:type="dxa"/>
            <w:tcBorders>
              <w:top w:val="single" w:sz="4" w:space="0" w:color="ADD6EA"/>
              <w:left w:val="nil"/>
              <w:bottom w:val="single" w:sz="4" w:space="0" w:color="ADD6EA"/>
              <w:right w:val="nil"/>
            </w:tcBorders>
            <w:shd w:val="clear" w:color="000000" w:fill="006991"/>
            <w:noWrap/>
            <w:vAlign w:val="center"/>
            <w:hideMark/>
          </w:tcPr>
          <w:p w14:paraId="4870040A" w14:textId="77777777" w:rsidR="009E7F1B" w:rsidRPr="00AD6502"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0C57C130" w14:textId="77777777" w:rsidR="009E7F1B" w:rsidRPr="00AD6502"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1D9B01D7" w14:textId="77777777" w:rsidR="009E7F1B" w:rsidRPr="00AD6502"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noWrap/>
            <w:vAlign w:val="center"/>
            <w:hideMark/>
          </w:tcPr>
          <w:p w14:paraId="5EA25FCF" w14:textId="77777777" w:rsidR="009E7F1B" w:rsidRPr="00AD6502"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SA</w:t>
            </w:r>
          </w:p>
        </w:tc>
        <w:tc>
          <w:tcPr>
            <w:tcW w:w="740" w:type="dxa"/>
            <w:tcBorders>
              <w:top w:val="single" w:sz="4" w:space="0" w:color="ADD6EA"/>
              <w:left w:val="nil"/>
              <w:bottom w:val="single" w:sz="4" w:space="0" w:color="ADD6EA"/>
              <w:right w:val="nil"/>
            </w:tcBorders>
            <w:shd w:val="clear" w:color="000000" w:fill="006991"/>
            <w:noWrap/>
            <w:vAlign w:val="center"/>
            <w:hideMark/>
          </w:tcPr>
          <w:p w14:paraId="164265B6" w14:textId="77777777" w:rsidR="009E7F1B" w:rsidRPr="00AD6502"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noWrap/>
            <w:vAlign w:val="center"/>
            <w:hideMark/>
          </w:tcPr>
          <w:p w14:paraId="0C44C4F9" w14:textId="77777777" w:rsidR="009E7F1B" w:rsidRPr="00AD6502"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ACT</w:t>
            </w:r>
          </w:p>
        </w:tc>
        <w:tc>
          <w:tcPr>
            <w:tcW w:w="860" w:type="dxa"/>
            <w:tcBorders>
              <w:top w:val="single" w:sz="4" w:space="0" w:color="ADD6EA"/>
              <w:left w:val="nil"/>
              <w:bottom w:val="single" w:sz="4" w:space="0" w:color="ADD6EA"/>
              <w:right w:val="nil"/>
            </w:tcBorders>
            <w:shd w:val="clear" w:color="000000" w:fill="006991"/>
            <w:noWrap/>
            <w:vAlign w:val="center"/>
            <w:hideMark/>
          </w:tcPr>
          <w:p w14:paraId="45452D5E" w14:textId="77777777" w:rsidR="009E7F1B" w:rsidRPr="00AD6502"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NT</w:t>
            </w:r>
          </w:p>
        </w:tc>
        <w:tc>
          <w:tcPr>
            <w:tcW w:w="960" w:type="dxa"/>
            <w:tcBorders>
              <w:top w:val="single" w:sz="4" w:space="0" w:color="ADD6EA"/>
              <w:left w:val="nil"/>
              <w:bottom w:val="single" w:sz="4" w:space="0" w:color="ADD6EA"/>
              <w:right w:val="nil"/>
            </w:tcBorders>
            <w:shd w:val="clear" w:color="000000" w:fill="006991"/>
            <w:noWrap/>
            <w:vAlign w:val="center"/>
            <w:hideMark/>
          </w:tcPr>
          <w:p w14:paraId="09EA4FBC" w14:textId="77777777" w:rsidR="009E7F1B" w:rsidRPr="00AD6502" w:rsidRDefault="009E7F1B" w:rsidP="004D65FE">
            <w:pPr>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Total</w:t>
            </w:r>
          </w:p>
        </w:tc>
      </w:tr>
      <w:tr w:rsidR="009E7F1B" w:rsidRPr="0086664B" w14:paraId="32AD5356" w14:textId="77777777" w:rsidTr="0043489C">
        <w:trPr>
          <w:trHeight w:val="315"/>
        </w:trPr>
        <w:tc>
          <w:tcPr>
            <w:tcW w:w="1780" w:type="dxa"/>
            <w:tcBorders>
              <w:top w:val="nil"/>
              <w:left w:val="nil"/>
              <w:bottom w:val="single" w:sz="4" w:space="0" w:color="ADD6EA"/>
              <w:right w:val="nil"/>
            </w:tcBorders>
            <w:shd w:val="clear" w:color="auto" w:fill="auto"/>
            <w:noWrap/>
            <w:vAlign w:val="bottom"/>
            <w:hideMark/>
          </w:tcPr>
          <w:p w14:paraId="412EDEAE" w14:textId="77777777" w:rsidR="009E7F1B" w:rsidRPr="0086664B" w:rsidRDefault="009E7F1B" w:rsidP="004D65FE">
            <w:pPr>
              <w:tabs>
                <w:tab w:val="clear" w:pos="567"/>
              </w:tabs>
              <w:spacing w:before="0" w:line="240" w:lineRule="auto"/>
              <w:rPr>
                <w:rFonts w:eastAsia="Times New Roman" w:cs="Open Sans Light"/>
                <w:sz w:val="16"/>
                <w:szCs w:val="16"/>
                <w:lang w:eastAsia="en-AU"/>
              </w:rPr>
            </w:pPr>
            <w:r w:rsidRPr="0086664B">
              <w:rPr>
                <w:rFonts w:eastAsia="Times New Roman" w:cs="Open Sans Light"/>
                <w:sz w:val="16"/>
                <w:szCs w:val="16"/>
                <w:lang w:eastAsia="en-AU"/>
              </w:rPr>
              <w:t>$ million</w:t>
            </w:r>
          </w:p>
        </w:tc>
        <w:tc>
          <w:tcPr>
            <w:tcW w:w="840" w:type="dxa"/>
            <w:tcBorders>
              <w:top w:val="nil"/>
              <w:left w:val="nil"/>
              <w:bottom w:val="single" w:sz="4" w:space="0" w:color="ADD6EA"/>
              <w:right w:val="nil"/>
            </w:tcBorders>
            <w:shd w:val="clear" w:color="auto" w:fill="auto"/>
            <w:noWrap/>
            <w:vAlign w:val="bottom"/>
            <w:hideMark/>
          </w:tcPr>
          <w:p w14:paraId="3E2182DE"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12</w:t>
            </w:r>
          </w:p>
        </w:tc>
        <w:tc>
          <w:tcPr>
            <w:tcW w:w="820" w:type="dxa"/>
            <w:tcBorders>
              <w:top w:val="nil"/>
              <w:left w:val="nil"/>
              <w:bottom w:val="single" w:sz="4" w:space="0" w:color="ADD6EA"/>
              <w:right w:val="nil"/>
            </w:tcBorders>
            <w:shd w:val="clear" w:color="auto" w:fill="auto"/>
            <w:noWrap/>
            <w:vAlign w:val="bottom"/>
            <w:hideMark/>
          </w:tcPr>
          <w:p w14:paraId="26A64755"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auto" w:fill="auto"/>
            <w:noWrap/>
            <w:vAlign w:val="bottom"/>
            <w:hideMark/>
          </w:tcPr>
          <w:p w14:paraId="540B42B2"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51</w:t>
            </w:r>
          </w:p>
        </w:tc>
        <w:tc>
          <w:tcPr>
            <w:tcW w:w="760" w:type="dxa"/>
            <w:tcBorders>
              <w:top w:val="nil"/>
              <w:left w:val="nil"/>
              <w:bottom w:val="single" w:sz="4" w:space="0" w:color="ADD6EA"/>
              <w:right w:val="nil"/>
            </w:tcBorders>
            <w:shd w:val="clear" w:color="auto" w:fill="auto"/>
            <w:noWrap/>
            <w:vAlign w:val="bottom"/>
            <w:hideMark/>
          </w:tcPr>
          <w:p w14:paraId="4F0A970E"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61</w:t>
            </w:r>
          </w:p>
        </w:tc>
        <w:tc>
          <w:tcPr>
            <w:tcW w:w="700" w:type="dxa"/>
            <w:tcBorders>
              <w:top w:val="nil"/>
              <w:left w:val="nil"/>
              <w:bottom w:val="single" w:sz="4" w:space="0" w:color="ADD6EA"/>
              <w:right w:val="nil"/>
            </w:tcBorders>
            <w:shd w:val="clear" w:color="auto" w:fill="auto"/>
            <w:noWrap/>
            <w:vAlign w:val="bottom"/>
            <w:hideMark/>
          </w:tcPr>
          <w:p w14:paraId="6451DF9B"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11</w:t>
            </w:r>
          </w:p>
        </w:tc>
        <w:tc>
          <w:tcPr>
            <w:tcW w:w="740" w:type="dxa"/>
            <w:tcBorders>
              <w:top w:val="nil"/>
              <w:left w:val="nil"/>
              <w:bottom w:val="single" w:sz="4" w:space="0" w:color="ADD6EA"/>
              <w:right w:val="nil"/>
            </w:tcBorders>
            <w:shd w:val="clear" w:color="auto" w:fill="auto"/>
            <w:noWrap/>
            <w:vAlign w:val="bottom"/>
            <w:hideMark/>
          </w:tcPr>
          <w:p w14:paraId="33FC3040"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0</w:t>
            </w:r>
          </w:p>
        </w:tc>
        <w:tc>
          <w:tcPr>
            <w:tcW w:w="760" w:type="dxa"/>
            <w:tcBorders>
              <w:top w:val="nil"/>
              <w:left w:val="nil"/>
              <w:bottom w:val="single" w:sz="4" w:space="0" w:color="ADD6EA"/>
              <w:right w:val="nil"/>
            </w:tcBorders>
            <w:shd w:val="clear" w:color="auto" w:fill="auto"/>
            <w:noWrap/>
            <w:vAlign w:val="bottom"/>
            <w:hideMark/>
          </w:tcPr>
          <w:p w14:paraId="6CD3D326"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0</w:t>
            </w:r>
          </w:p>
        </w:tc>
        <w:tc>
          <w:tcPr>
            <w:tcW w:w="860" w:type="dxa"/>
            <w:tcBorders>
              <w:top w:val="nil"/>
              <w:left w:val="nil"/>
              <w:bottom w:val="single" w:sz="4" w:space="0" w:color="ADD6EA"/>
              <w:right w:val="nil"/>
            </w:tcBorders>
            <w:shd w:val="clear" w:color="auto" w:fill="auto"/>
            <w:noWrap/>
            <w:vAlign w:val="bottom"/>
            <w:hideMark/>
          </w:tcPr>
          <w:p w14:paraId="15585916"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41</w:t>
            </w:r>
          </w:p>
        </w:tc>
        <w:tc>
          <w:tcPr>
            <w:tcW w:w="960" w:type="dxa"/>
            <w:tcBorders>
              <w:top w:val="nil"/>
              <w:left w:val="nil"/>
              <w:bottom w:val="single" w:sz="4" w:space="0" w:color="ADD6EA"/>
              <w:right w:val="nil"/>
            </w:tcBorders>
            <w:shd w:val="clear" w:color="auto" w:fill="auto"/>
            <w:noWrap/>
            <w:vAlign w:val="bottom"/>
            <w:hideMark/>
          </w:tcPr>
          <w:p w14:paraId="795E5344"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191</w:t>
            </w:r>
          </w:p>
        </w:tc>
      </w:tr>
      <w:tr w:rsidR="009E7F1B" w:rsidRPr="0086664B" w14:paraId="628AFE76" w14:textId="77777777" w:rsidTr="0043489C">
        <w:trPr>
          <w:trHeight w:val="315"/>
        </w:trPr>
        <w:tc>
          <w:tcPr>
            <w:tcW w:w="1780" w:type="dxa"/>
            <w:tcBorders>
              <w:top w:val="nil"/>
              <w:left w:val="nil"/>
              <w:bottom w:val="single" w:sz="4" w:space="0" w:color="ADD6EA"/>
              <w:right w:val="nil"/>
            </w:tcBorders>
            <w:shd w:val="clear" w:color="auto" w:fill="auto"/>
            <w:noWrap/>
            <w:vAlign w:val="bottom"/>
            <w:hideMark/>
          </w:tcPr>
          <w:p w14:paraId="3E62D8FE" w14:textId="77777777" w:rsidR="009E7F1B" w:rsidRPr="0086664B" w:rsidRDefault="009E7F1B" w:rsidP="004D65FE">
            <w:pPr>
              <w:tabs>
                <w:tab w:val="clear" w:pos="567"/>
              </w:tabs>
              <w:spacing w:before="0" w:line="240" w:lineRule="auto"/>
              <w:rPr>
                <w:rFonts w:eastAsia="Times New Roman" w:cs="Open Sans Light"/>
                <w:sz w:val="16"/>
                <w:szCs w:val="16"/>
                <w:lang w:eastAsia="en-AU"/>
              </w:rPr>
            </w:pPr>
            <w:r w:rsidRPr="0086664B">
              <w:rPr>
                <w:rFonts w:eastAsia="Times New Roman" w:cs="Open Sans Light"/>
                <w:sz w:val="16"/>
                <w:szCs w:val="16"/>
                <w:lang w:eastAsia="en-AU"/>
              </w:rPr>
              <w:t>$ per capita</w:t>
            </w:r>
          </w:p>
        </w:tc>
        <w:tc>
          <w:tcPr>
            <w:tcW w:w="840" w:type="dxa"/>
            <w:tcBorders>
              <w:top w:val="nil"/>
              <w:left w:val="nil"/>
              <w:bottom w:val="single" w:sz="4" w:space="0" w:color="ADD6EA"/>
              <w:right w:val="nil"/>
            </w:tcBorders>
            <w:shd w:val="clear" w:color="auto" w:fill="auto"/>
            <w:noWrap/>
            <w:vAlign w:val="bottom"/>
            <w:hideMark/>
          </w:tcPr>
          <w:p w14:paraId="712B5E70"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2</w:t>
            </w:r>
          </w:p>
        </w:tc>
        <w:tc>
          <w:tcPr>
            <w:tcW w:w="820" w:type="dxa"/>
            <w:tcBorders>
              <w:top w:val="nil"/>
              <w:left w:val="nil"/>
              <w:bottom w:val="single" w:sz="4" w:space="0" w:color="ADD6EA"/>
              <w:right w:val="nil"/>
            </w:tcBorders>
            <w:shd w:val="clear" w:color="auto" w:fill="auto"/>
            <w:noWrap/>
            <w:vAlign w:val="bottom"/>
            <w:hideMark/>
          </w:tcPr>
          <w:p w14:paraId="27D2EA8C"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2</w:t>
            </w:r>
          </w:p>
        </w:tc>
        <w:tc>
          <w:tcPr>
            <w:tcW w:w="760" w:type="dxa"/>
            <w:tcBorders>
              <w:top w:val="nil"/>
              <w:left w:val="nil"/>
              <w:bottom w:val="single" w:sz="4" w:space="0" w:color="ADD6EA"/>
              <w:right w:val="nil"/>
            </w:tcBorders>
            <w:shd w:val="clear" w:color="auto" w:fill="auto"/>
            <w:noWrap/>
            <w:vAlign w:val="bottom"/>
            <w:hideMark/>
          </w:tcPr>
          <w:p w14:paraId="617CBA13"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10</w:t>
            </w:r>
          </w:p>
        </w:tc>
        <w:tc>
          <w:tcPr>
            <w:tcW w:w="760" w:type="dxa"/>
            <w:tcBorders>
              <w:top w:val="nil"/>
              <w:left w:val="nil"/>
              <w:bottom w:val="single" w:sz="4" w:space="0" w:color="ADD6EA"/>
              <w:right w:val="nil"/>
            </w:tcBorders>
            <w:shd w:val="clear" w:color="auto" w:fill="auto"/>
            <w:noWrap/>
            <w:vAlign w:val="bottom"/>
            <w:hideMark/>
          </w:tcPr>
          <w:p w14:paraId="08FB541B"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23</w:t>
            </w:r>
          </w:p>
        </w:tc>
        <w:tc>
          <w:tcPr>
            <w:tcW w:w="700" w:type="dxa"/>
            <w:tcBorders>
              <w:top w:val="nil"/>
              <w:left w:val="nil"/>
              <w:bottom w:val="single" w:sz="4" w:space="0" w:color="ADD6EA"/>
              <w:right w:val="nil"/>
            </w:tcBorders>
            <w:shd w:val="clear" w:color="auto" w:fill="auto"/>
            <w:noWrap/>
            <w:vAlign w:val="bottom"/>
            <w:hideMark/>
          </w:tcPr>
          <w:p w14:paraId="2CD6442F"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6</w:t>
            </w:r>
          </w:p>
        </w:tc>
        <w:tc>
          <w:tcPr>
            <w:tcW w:w="740" w:type="dxa"/>
            <w:tcBorders>
              <w:top w:val="nil"/>
              <w:left w:val="nil"/>
              <w:bottom w:val="single" w:sz="4" w:space="0" w:color="ADD6EA"/>
              <w:right w:val="nil"/>
            </w:tcBorders>
            <w:shd w:val="clear" w:color="auto" w:fill="auto"/>
            <w:noWrap/>
            <w:vAlign w:val="bottom"/>
            <w:hideMark/>
          </w:tcPr>
          <w:p w14:paraId="330297A4"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1</w:t>
            </w:r>
          </w:p>
        </w:tc>
        <w:tc>
          <w:tcPr>
            <w:tcW w:w="760" w:type="dxa"/>
            <w:tcBorders>
              <w:top w:val="nil"/>
              <w:left w:val="nil"/>
              <w:bottom w:val="single" w:sz="4" w:space="0" w:color="ADD6EA"/>
              <w:right w:val="nil"/>
            </w:tcBorders>
            <w:shd w:val="clear" w:color="auto" w:fill="auto"/>
            <w:noWrap/>
            <w:vAlign w:val="bottom"/>
            <w:hideMark/>
          </w:tcPr>
          <w:p w14:paraId="05803CE2"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0</w:t>
            </w:r>
          </w:p>
        </w:tc>
        <w:tc>
          <w:tcPr>
            <w:tcW w:w="860" w:type="dxa"/>
            <w:tcBorders>
              <w:top w:val="nil"/>
              <w:left w:val="nil"/>
              <w:bottom w:val="single" w:sz="4" w:space="0" w:color="ADD6EA"/>
              <w:right w:val="nil"/>
            </w:tcBorders>
            <w:shd w:val="clear" w:color="auto" w:fill="auto"/>
            <w:noWrap/>
            <w:vAlign w:val="bottom"/>
            <w:hideMark/>
          </w:tcPr>
          <w:p w14:paraId="23AC5676"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167</w:t>
            </w:r>
          </w:p>
        </w:tc>
        <w:tc>
          <w:tcPr>
            <w:tcW w:w="960" w:type="dxa"/>
            <w:tcBorders>
              <w:top w:val="nil"/>
              <w:left w:val="nil"/>
              <w:bottom w:val="single" w:sz="4" w:space="0" w:color="ADD6EA"/>
              <w:right w:val="nil"/>
            </w:tcBorders>
            <w:shd w:val="clear" w:color="auto" w:fill="auto"/>
            <w:noWrap/>
            <w:vAlign w:val="bottom"/>
            <w:hideMark/>
          </w:tcPr>
          <w:p w14:paraId="257DB4BA" w14:textId="77777777" w:rsidR="009E7F1B" w:rsidRPr="0086664B" w:rsidRDefault="009E7F1B" w:rsidP="004D65FE">
            <w:pPr>
              <w:tabs>
                <w:tab w:val="clear" w:pos="567"/>
              </w:tabs>
              <w:spacing w:before="0" w:line="240" w:lineRule="auto"/>
              <w:jc w:val="right"/>
              <w:rPr>
                <w:rFonts w:eastAsia="Times New Roman" w:cs="Open Sans Light"/>
                <w:sz w:val="16"/>
                <w:szCs w:val="16"/>
                <w:lang w:eastAsia="en-AU"/>
              </w:rPr>
            </w:pPr>
            <w:r w:rsidRPr="0086664B">
              <w:rPr>
                <w:rFonts w:eastAsia="Times New Roman" w:cs="Open Sans Light"/>
                <w:sz w:val="16"/>
                <w:szCs w:val="16"/>
                <w:lang w:eastAsia="en-AU"/>
              </w:rPr>
              <w:t>8</w:t>
            </w:r>
          </w:p>
        </w:tc>
      </w:tr>
    </w:tbl>
    <w:p w14:paraId="0950EC3B" w14:textId="77777777" w:rsidR="009E7F1B" w:rsidRDefault="009E7F1B" w:rsidP="009E7F1B">
      <w:pPr>
        <w:pStyle w:val="CGCTablenote"/>
      </w:pPr>
      <w:r>
        <w:t>Source:</w:t>
      </w:r>
      <w:r>
        <w:tab/>
        <w:t>Commission calculation.</w:t>
      </w:r>
    </w:p>
    <w:p w14:paraId="0083547A" w14:textId="77777777" w:rsidR="009E7F1B" w:rsidRDefault="009E7F1B" w:rsidP="009E7F1B">
      <w:pPr>
        <w:pStyle w:val="Heading3"/>
      </w:pPr>
      <w:bookmarkStart w:id="636" w:name="_Toc6998413"/>
      <w:r>
        <w:t>Effect on the GST redist</w:t>
      </w:r>
      <w:bookmarkEnd w:id="636"/>
      <w:r>
        <w:t>ribution</w:t>
      </w:r>
    </w:p>
    <w:p w14:paraId="494C72E8" w14:textId="496791DF" w:rsidR="009E7F1B" w:rsidRDefault="00952095" w:rsidP="00F47EC7">
      <w:pPr>
        <w:pStyle w:val="CGCParaNumber"/>
      </w:pPr>
      <w:r>
        <w:fldChar w:fldCharType="begin"/>
      </w:r>
      <w:r>
        <w:instrText xml:space="preserve"> REF _Ref32846124 \h </w:instrText>
      </w:r>
      <w:r>
        <w:fldChar w:fldCharType="separate"/>
      </w:r>
      <w:r w:rsidR="007F721A">
        <w:t>Table 29-</w:t>
      </w:r>
      <w:r w:rsidR="007F721A">
        <w:rPr>
          <w:noProof/>
        </w:rPr>
        <w:t>9</w:t>
      </w:r>
      <w:r>
        <w:fldChar w:fldCharType="end"/>
      </w:r>
      <w:r w:rsidR="009E7F1B">
        <w:t xml:space="preserve"> shows the extent to which the assessment of native title and land rights expenses moves the distribution of GST away from an EPC distribution. States with a positive redistribution are assessed to have above average spending requirements and States with a negative redistribution are assessed to have below average spending requirements. In per</w:t>
      </w:r>
      <w:r w:rsidR="00996184">
        <w:t> </w:t>
      </w:r>
      <w:r w:rsidR="009E7F1B">
        <w:t>capita terms, the Northern Territory experiences the largest redistribution. The assessment is not material for any other State.</w:t>
      </w:r>
    </w:p>
    <w:p w14:paraId="14E11D08" w14:textId="78DA6859" w:rsidR="009E7F1B" w:rsidRDefault="009E7F1B" w:rsidP="009E7F1B">
      <w:pPr>
        <w:pStyle w:val="Caption"/>
      </w:pPr>
      <w:bookmarkStart w:id="637" w:name="_Ref32846124"/>
      <w:r>
        <w:t>Table 29-</w:t>
      </w:r>
      <w:fldSimple w:instr=" SEQ Table \* ARABIC ">
        <w:r w:rsidR="007F721A">
          <w:rPr>
            <w:noProof/>
          </w:rPr>
          <w:t>9</w:t>
        </w:r>
      </w:fldSimple>
      <w:bookmarkEnd w:id="637"/>
      <w:r>
        <w:tab/>
        <w:t>Illustrative r</w:t>
      </w:r>
      <w:r w:rsidRPr="00256B6A">
        <w:t xml:space="preserve">edistribution from an EPC </w:t>
      </w:r>
      <w:r>
        <w:t>distribution of GST</w:t>
      </w:r>
      <w:r w:rsidRPr="00256B6A">
        <w:t>, native title and land rights, 20</w:t>
      </w:r>
      <w:r>
        <w:t>20</w:t>
      </w:r>
      <w:r w:rsidRPr="00256B6A">
        <w:noBreakHyphen/>
      </w:r>
      <w:r>
        <w:t>21</w:t>
      </w:r>
    </w:p>
    <w:tbl>
      <w:tblPr>
        <w:tblW w:w="8980" w:type="dxa"/>
        <w:tblCellMar>
          <w:left w:w="0" w:type="dxa"/>
          <w:right w:w="28" w:type="dxa"/>
        </w:tblCellMar>
        <w:tblLook w:val="04A0" w:firstRow="1" w:lastRow="0" w:firstColumn="1" w:lastColumn="0" w:noHBand="0" w:noVBand="1"/>
      </w:tblPr>
      <w:tblGrid>
        <w:gridCol w:w="1788"/>
        <w:gridCol w:w="848"/>
        <w:gridCol w:w="828"/>
        <w:gridCol w:w="768"/>
        <w:gridCol w:w="768"/>
        <w:gridCol w:w="708"/>
        <w:gridCol w:w="748"/>
        <w:gridCol w:w="768"/>
        <w:gridCol w:w="868"/>
        <w:gridCol w:w="968"/>
      </w:tblGrid>
      <w:tr w:rsidR="009E7F1B" w:rsidRPr="00AD6502" w14:paraId="49D6AE1B" w14:textId="77777777" w:rsidTr="0043489C">
        <w:trPr>
          <w:trHeight w:val="379"/>
        </w:trPr>
        <w:tc>
          <w:tcPr>
            <w:tcW w:w="1780" w:type="dxa"/>
            <w:tcBorders>
              <w:top w:val="single" w:sz="4" w:space="0" w:color="ADD6EA"/>
              <w:left w:val="nil"/>
              <w:bottom w:val="single" w:sz="4" w:space="0" w:color="ADD6EA"/>
              <w:right w:val="nil"/>
            </w:tcBorders>
            <w:shd w:val="clear" w:color="000000" w:fill="006991"/>
            <w:noWrap/>
            <w:vAlign w:val="center"/>
            <w:hideMark/>
          </w:tcPr>
          <w:p w14:paraId="1B236651" w14:textId="77777777" w:rsidR="009E7F1B" w:rsidRPr="00AD6502" w:rsidRDefault="009E7F1B" w:rsidP="004D65FE">
            <w:pPr>
              <w:keepNext/>
              <w:keepLines/>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 </w:t>
            </w:r>
          </w:p>
        </w:tc>
        <w:tc>
          <w:tcPr>
            <w:tcW w:w="840" w:type="dxa"/>
            <w:tcBorders>
              <w:top w:val="single" w:sz="4" w:space="0" w:color="ADD6EA"/>
              <w:left w:val="nil"/>
              <w:bottom w:val="single" w:sz="4" w:space="0" w:color="ADD6EA"/>
              <w:right w:val="nil"/>
            </w:tcBorders>
            <w:shd w:val="clear" w:color="000000" w:fill="006991"/>
            <w:noWrap/>
            <w:vAlign w:val="center"/>
            <w:hideMark/>
          </w:tcPr>
          <w:p w14:paraId="381903EC" w14:textId="77777777" w:rsidR="009E7F1B" w:rsidRPr="00AD6502" w:rsidRDefault="009E7F1B" w:rsidP="004D65FE">
            <w:pPr>
              <w:keepNext/>
              <w:keepLines/>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NSW</w:t>
            </w:r>
          </w:p>
        </w:tc>
        <w:tc>
          <w:tcPr>
            <w:tcW w:w="820" w:type="dxa"/>
            <w:tcBorders>
              <w:top w:val="single" w:sz="4" w:space="0" w:color="ADD6EA"/>
              <w:left w:val="nil"/>
              <w:bottom w:val="single" w:sz="4" w:space="0" w:color="ADD6EA"/>
              <w:right w:val="nil"/>
            </w:tcBorders>
            <w:shd w:val="clear" w:color="000000" w:fill="006991"/>
            <w:noWrap/>
            <w:vAlign w:val="center"/>
            <w:hideMark/>
          </w:tcPr>
          <w:p w14:paraId="32B84E0D" w14:textId="77777777" w:rsidR="009E7F1B" w:rsidRPr="00AD6502" w:rsidRDefault="009E7F1B" w:rsidP="004D65FE">
            <w:pPr>
              <w:keepNext/>
              <w:keepLines/>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Vic</w:t>
            </w:r>
          </w:p>
        </w:tc>
        <w:tc>
          <w:tcPr>
            <w:tcW w:w="760" w:type="dxa"/>
            <w:tcBorders>
              <w:top w:val="single" w:sz="4" w:space="0" w:color="ADD6EA"/>
              <w:left w:val="nil"/>
              <w:bottom w:val="single" w:sz="4" w:space="0" w:color="ADD6EA"/>
              <w:right w:val="nil"/>
            </w:tcBorders>
            <w:shd w:val="clear" w:color="000000" w:fill="006991"/>
            <w:noWrap/>
            <w:vAlign w:val="center"/>
            <w:hideMark/>
          </w:tcPr>
          <w:p w14:paraId="63970FFA" w14:textId="77777777" w:rsidR="009E7F1B" w:rsidRPr="00AD6502" w:rsidRDefault="009E7F1B" w:rsidP="004D65FE">
            <w:pPr>
              <w:keepNext/>
              <w:keepLines/>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Qld</w:t>
            </w:r>
          </w:p>
        </w:tc>
        <w:tc>
          <w:tcPr>
            <w:tcW w:w="760" w:type="dxa"/>
            <w:tcBorders>
              <w:top w:val="single" w:sz="4" w:space="0" w:color="ADD6EA"/>
              <w:left w:val="nil"/>
              <w:bottom w:val="single" w:sz="4" w:space="0" w:color="ADD6EA"/>
              <w:right w:val="nil"/>
            </w:tcBorders>
            <w:shd w:val="clear" w:color="000000" w:fill="006991"/>
            <w:noWrap/>
            <w:vAlign w:val="center"/>
            <w:hideMark/>
          </w:tcPr>
          <w:p w14:paraId="354CE00F" w14:textId="77777777" w:rsidR="009E7F1B" w:rsidRPr="00AD6502" w:rsidRDefault="009E7F1B" w:rsidP="004D65FE">
            <w:pPr>
              <w:keepNext/>
              <w:keepLines/>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WA</w:t>
            </w:r>
          </w:p>
        </w:tc>
        <w:tc>
          <w:tcPr>
            <w:tcW w:w="700" w:type="dxa"/>
            <w:tcBorders>
              <w:top w:val="single" w:sz="4" w:space="0" w:color="ADD6EA"/>
              <w:left w:val="nil"/>
              <w:bottom w:val="single" w:sz="4" w:space="0" w:color="ADD6EA"/>
              <w:right w:val="nil"/>
            </w:tcBorders>
            <w:shd w:val="clear" w:color="000000" w:fill="006991"/>
            <w:noWrap/>
            <w:vAlign w:val="center"/>
            <w:hideMark/>
          </w:tcPr>
          <w:p w14:paraId="613C6B0D" w14:textId="77777777" w:rsidR="009E7F1B" w:rsidRPr="00AD6502" w:rsidRDefault="009E7F1B" w:rsidP="004D65FE">
            <w:pPr>
              <w:keepNext/>
              <w:keepLines/>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SA</w:t>
            </w:r>
          </w:p>
        </w:tc>
        <w:tc>
          <w:tcPr>
            <w:tcW w:w="740" w:type="dxa"/>
            <w:tcBorders>
              <w:top w:val="single" w:sz="4" w:space="0" w:color="ADD6EA"/>
              <w:left w:val="nil"/>
              <w:bottom w:val="single" w:sz="4" w:space="0" w:color="ADD6EA"/>
              <w:right w:val="nil"/>
            </w:tcBorders>
            <w:shd w:val="clear" w:color="000000" w:fill="006991"/>
            <w:noWrap/>
            <w:vAlign w:val="center"/>
            <w:hideMark/>
          </w:tcPr>
          <w:p w14:paraId="65E3B620" w14:textId="77777777" w:rsidR="009E7F1B" w:rsidRPr="00AD6502" w:rsidRDefault="009E7F1B" w:rsidP="004D65FE">
            <w:pPr>
              <w:keepNext/>
              <w:keepLines/>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Tas</w:t>
            </w:r>
          </w:p>
        </w:tc>
        <w:tc>
          <w:tcPr>
            <w:tcW w:w="760" w:type="dxa"/>
            <w:tcBorders>
              <w:top w:val="single" w:sz="4" w:space="0" w:color="ADD6EA"/>
              <w:left w:val="nil"/>
              <w:bottom w:val="single" w:sz="4" w:space="0" w:color="ADD6EA"/>
              <w:right w:val="nil"/>
            </w:tcBorders>
            <w:shd w:val="clear" w:color="000000" w:fill="006991"/>
            <w:noWrap/>
            <w:vAlign w:val="center"/>
            <w:hideMark/>
          </w:tcPr>
          <w:p w14:paraId="6BCED2BF" w14:textId="77777777" w:rsidR="009E7F1B" w:rsidRPr="00AD6502" w:rsidRDefault="009E7F1B" w:rsidP="004D65FE">
            <w:pPr>
              <w:keepNext/>
              <w:keepLines/>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ACT</w:t>
            </w:r>
          </w:p>
        </w:tc>
        <w:tc>
          <w:tcPr>
            <w:tcW w:w="860" w:type="dxa"/>
            <w:tcBorders>
              <w:top w:val="single" w:sz="4" w:space="0" w:color="ADD6EA"/>
              <w:left w:val="nil"/>
              <w:bottom w:val="single" w:sz="4" w:space="0" w:color="ADD6EA"/>
              <w:right w:val="nil"/>
            </w:tcBorders>
            <w:shd w:val="clear" w:color="000000" w:fill="006991"/>
            <w:noWrap/>
            <w:vAlign w:val="center"/>
            <w:hideMark/>
          </w:tcPr>
          <w:p w14:paraId="7877E384" w14:textId="77777777" w:rsidR="009E7F1B" w:rsidRPr="00AD6502" w:rsidRDefault="009E7F1B" w:rsidP="004D65FE">
            <w:pPr>
              <w:keepNext/>
              <w:keepLines/>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NT</w:t>
            </w:r>
          </w:p>
        </w:tc>
        <w:tc>
          <w:tcPr>
            <w:tcW w:w="960" w:type="dxa"/>
            <w:tcBorders>
              <w:top w:val="single" w:sz="4" w:space="0" w:color="ADD6EA"/>
              <w:left w:val="nil"/>
              <w:bottom w:val="single" w:sz="4" w:space="0" w:color="ADD6EA"/>
              <w:right w:val="nil"/>
            </w:tcBorders>
            <w:shd w:val="clear" w:color="000000" w:fill="006991"/>
            <w:noWrap/>
            <w:vAlign w:val="center"/>
            <w:hideMark/>
          </w:tcPr>
          <w:p w14:paraId="2A604227" w14:textId="77777777" w:rsidR="009E7F1B" w:rsidRPr="00AD6502" w:rsidRDefault="009E7F1B" w:rsidP="004D65FE">
            <w:pPr>
              <w:keepNext/>
              <w:keepLines/>
              <w:tabs>
                <w:tab w:val="clear" w:pos="567"/>
              </w:tabs>
              <w:spacing w:before="0" w:line="240" w:lineRule="auto"/>
              <w:jc w:val="right"/>
              <w:rPr>
                <w:rFonts w:ascii="Open Sans SemiBold" w:eastAsia="Times New Roman" w:hAnsi="Open Sans SemiBold" w:cs="Open Sans SemiBold"/>
                <w:bCs/>
                <w:color w:val="FFFFFF"/>
                <w:sz w:val="16"/>
                <w:szCs w:val="16"/>
                <w:lang w:eastAsia="en-AU"/>
              </w:rPr>
            </w:pPr>
            <w:r w:rsidRPr="00AD6502">
              <w:rPr>
                <w:rFonts w:ascii="Open Sans SemiBold" w:eastAsia="Times New Roman" w:hAnsi="Open Sans SemiBold" w:cs="Open Sans SemiBold"/>
                <w:bCs/>
                <w:color w:val="FFFFFF"/>
                <w:sz w:val="16"/>
                <w:szCs w:val="16"/>
                <w:lang w:eastAsia="en-AU"/>
              </w:rPr>
              <w:t>Redist</w:t>
            </w:r>
          </w:p>
        </w:tc>
      </w:tr>
      <w:tr w:rsidR="009E7F1B" w:rsidRPr="005A0B95" w14:paraId="3D259A99" w14:textId="77777777" w:rsidTr="0043489C">
        <w:trPr>
          <w:trHeight w:val="315"/>
        </w:trPr>
        <w:tc>
          <w:tcPr>
            <w:tcW w:w="1780" w:type="dxa"/>
            <w:tcBorders>
              <w:top w:val="nil"/>
              <w:left w:val="nil"/>
              <w:bottom w:val="single" w:sz="4" w:space="0" w:color="ADD6EA"/>
              <w:right w:val="nil"/>
            </w:tcBorders>
            <w:shd w:val="clear" w:color="auto" w:fill="auto"/>
            <w:noWrap/>
            <w:vAlign w:val="bottom"/>
            <w:hideMark/>
          </w:tcPr>
          <w:p w14:paraId="4BE216C7" w14:textId="77777777" w:rsidR="009E7F1B" w:rsidRPr="005A0B95" w:rsidRDefault="009E7F1B" w:rsidP="004D65FE">
            <w:pPr>
              <w:keepNext/>
              <w:keepLines/>
              <w:tabs>
                <w:tab w:val="clear" w:pos="567"/>
              </w:tabs>
              <w:spacing w:before="0" w:line="240" w:lineRule="auto"/>
              <w:rPr>
                <w:rFonts w:eastAsia="Times New Roman" w:cs="Open Sans Light"/>
                <w:sz w:val="16"/>
                <w:szCs w:val="16"/>
                <w:lang w:eastAsia="en-AU"/>
              </w:rPr>
            </w:pPr>
            <w:r w:rsidRPr="005A0B95">
              <w:rPr>
                <w:rFonts w:eastAsia="Times New Roman" w:cs="Open Sans Light"/>
                <w:sz w:val="16"/>
                <w:szCs w:val="16"/>
                <w:lang w:eastAsia="en-AU"/>
              </w:rPr>
              <w:t>$ million</w:t>
            </w:r>
          </w:p>
        </w:tc>
        <w:tc>
          <w:tcPr>
            <w:tcW w:w="840" w:type="dxa"/>
            <w:tcBorders>
              <w:top w:val="nil"/>
              <w:left w:val="nil"/>
              <w:bottom w:val="single" w:sz="4" w:space="0" w:color="ADD6EA"/>
              <w:right w:val="nil"/>
            </w:tcBorders>
            <w:shd w:val="clear" w:color="auto" w:fill="auto"/>
            <w:noWrap/>
            <w:vAlign w:val="bottom"/>
            <w:hideMark/>
          </w:tcPr>
          <w:p w14:paraId="3B90A962"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-51</w:t>
            </w:r>
          </w:p>
        </w:tc>
        <w:tc>
          <w:tcPr>
            <w:tcW w:w="820" w:type="dxa"/>
            <w:tcBorders>
              <w:top w:val="nil"/>
              <w:left w:val="nil"/>
              <w:bottom w:val="single" w:sz="4" w:space="0" w:color="ADD6EA"/>
              <w:right w:val="nil"/>
            </w:tcBorders>
            <w:shd w:val="clear" w:color="auto" w:fill="auto"/>
            <w:noWrap/>
            <w:vAlign w:val="bottom"/>
            <w:hideMark/>
          </w:tcPr>
          <w:p w14:paraId="37BEED51"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-40</w:t>
            </w:r>
          </w:p>
        </w:tc>
        <w:tc>
          <w:tcPr>
            <w:tcW w:w="760" w:type="dxa"/>
            <w:tcBorders>
              <w:top w:val="nil"/>
              <w:left w:val="nil"/>
              <w:bottom w:val="single" w:sz="4" w:space="0" w:color="ADD6EA"/>
              <w:right w:val="nil"/>
            </w:tcBorders>
            <w:shd w:val="clear" w:color="auto" w:fill="auto"/>
            <w:noWrap/>
            <w:vAlign w:val="bottom"/>
            <w:hideMark/>
          </w:tcPr>
          <w:p w14:paraId="32A318AA"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14</w:t>
            </w:r>
          </w:p>
        </w:tc>
        <w:tc>
          <w:tcPr>
            <w:tcW w:w="760" w:type="dxa"/>
            <w:tcBorders>
              <w:top w:val="nil"/>
              <w:left w:val="nil"/>
              <w:bottom w:val="single" w:sz="4" w:space="0" w:color="ADD6EA"/>
              <w:right w:val="nil"/>
            </w:tcBorders>
            <w:shd w:val="clear" w:color="auto" w:fill="auto"/>
            <w:noWrap/>
            <w:vAlign w:val="bottom"/>
            <w:hideMark/>
          </w:tcPr>
          <w:p w14:paraId="35F5FC3D"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51</w:t>
            </w:r>
          </w:p>
        </w:tc>
        <w:tc>
          <w:tcPr>
            <w:tcW w:w="700" w:type="dxa"/>
            <w:tcBorders>
              <w:top w:val="nil"/>
              <w:left w:val="nil"/>
              <w:bottom w:val="single" w:sz="4" w:space="0" w:color="ADD6EA"/>
              <w:right w:val="nil"/>
            </w:tcBorders>
            <w:shd w:val="clear" w:color="auto" w:fill="auto"/>
            <w:noWrap/>
            <w:vAlign w:val="bottom"/>
            <w:hideMark/>
          </w:tcPr>
          <w:p w14:paraId="38DA78C4"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-2</w:t>
            </w:r>
          </w:p>
        </w:tc>
        <w:tc>
          <w:tcPr>
            <w:tcW w:w="740" w:type="dxa"/>
            <w:tcBorders>
              <w:top w:val="nil"/>
              <w:left w:val="nil"/>
              <w:bottom w:val="single" w:sz="4" w:space="0" w:color="ADD6EA"/>
              <w:right w:val="nil"/>
            </w:tcBorders>
            <w:shd w:val="clear" w:color="auto" w:fill="auto"/>
            <w:noWrap/>
            <w:vAlign w:val="bottom"/>
            <w:hideMark/>
          </w:tcPr>
          <w:p w14:paraId="3057D16B"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-4</w:t>
            </w:r>
          </w:p>
        </w:tc>
        <w:tc>
          <w:tcPr>
            <w:tcW w:w="760" w:type="dxa"/>
            <w:tcBorders>
              <w:top w:val="nil"/>
              <w:left w:val="nil"/>
              <w:bottom w:val="single" w:sz="4" w:space="0" w:color="ADD6EA"/>
              <w:right w:val="nil"/>
            </w:tcBorders>
            <w:shd w:val="clear" w:color="auto" w:fill="auto"/>
            <w:noWrap/>
            <w:vAlign w:val="bottom"/>
            <w:hideMark/>
          </w:tcPr>
          <w:p w14:paraId="3409C406"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-3</w:t>
            </w:r>
          </w:p>
        </w:tc>
        <w:tc>
          <w:tcPr>
            <w:tcW w:w="860" w:type="dxa"/>
            <w:tcBorders>
              <w:top w:val="nil"/>
              <w:left w:val="nil"/>
              <w:bottom w:val="single" w:sz="4" w:space="0" w:color="ADD6EA"/>
              <w:right w:val="nil"/>
            </w:tcBorders>
            <w:shd w:val="clear" w:color="auto" w:fill="auto"/>
            <w:noWrap/>
            <w:vAlign w:val="bottom"/>
            <w:hideMark/>
          </w:tcPr>
          <w:p w14:paraId="75B1DEF6"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35</w:t>
            </w:r>
          </w:p>
        </w:tc>
        <w:tc>
          <w:tcPr>
            <w:tcW w:w="960" w:type="dxa"/>
            <w:tcBorders>
              <w:top w:val="nil"/>
              <w:left w:val="nil"/>
              <w:bottom w:val="single" w:sz="4" w:space="0" w:color="ADD6EA"/>
              <w:right w:val="nil"/>
            </w:tcBorders>
            <w:shd w:val="clear" w:color="auto" w:fill="auto"/>
            <w:noWrap/>
            <w:vAlign w:val="bottom"/>
            <w:hideMark/>
          </w:tcPr>
          <w:p w14:paraId="43C379D4"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100</w:t>
            </w:r>
          </w:p>
        </w:tc>
      </w:tr>
      <w:tr w:rsidR="009E7F1B" w:rsidRPr="005A0B95" w14:paraId="23BBB938" w14:textId="77777777" w:rsidTr="0043489C">
        <w:trPr>
          <w:trHeight w:val="315"/>
        </w:trPr>
        <w:tc>
          <w:tcPr>
            <w:tcW w:w="1780" w:type="dxa"/>
            <w:tcBorders>
              <w:top w:val="nil"/>
              <w:left w:val="nil"/>
              <w:bottom w:val="single" w:sz="4" w:space="0" w:color="ADD6EA"/>
              <w:right w:val="nil"/>
            </w:tcBorders>
            <w:shd w:val="clear" w:color="auto" w:fill="auto"/>
            <w:noWrap/>
            <w:vAlign w:val="bottom"/>
            <w:hideMark/>
          </w:tcPr>
          <w:p w14:paraId="66A8BE97" w14:textId="77777777" w:rsidR="009E7F1B" w:rsidRPr="005A0B95" w:rsidRDefault="009E7F1B" w:rsidP="004D65FE">
            <w:pPr>
              <w:keepNext/>
              <w:keepLines/>
              <w:tabs>
                <w:tab w:val="clear" w:pos="567"/>
              </w:tabs>
              <w:spacing w:before="0" w:line="240" w:lineRule="auto"/>
              <w:rPr>
                <w:rFonts w:eastAsia="Times New Roman" w:cs="Open Sans Light"/>
                <w:sz w:val="16"/>
                <w:szCs w:val="16"/>
                <w:lang w:eastAsia="en-AU"/>
              </w:rPr>
            </w:pPr>
            <w:r w:rsidRPr="005A0B95">
              <w:rPr>
                <w:rFonts w:eastAsia="Times New Roman" w:cs="Open Sans Light"/>
                <w:sz w:val="16"/>
                <w:szCs w:val="16"/>
                <w:lang w:eastAsia="en-AU"/>
              </w:rPr>
              <w:t>$ per capita</w:t>
            </w:r>
          </w:p>
        </w:tc>
        <w:tc>
          <w:tcPr>
            <w:tcW w:w="840" w:type="dxa"/>
            <w:tcBorders>
              <w:top w:val="nil"/>
              <w:left w:val="nil"/>
              <w:bottom w:val="single" w:sz="4" w:space="0" w:color="ADD6EA"/>
              <w:right w:val="nil"/>
            </w:tcBorders>
            <w:shd w:val="clear" w:color="auto" w:fill="auto"/>
            <w:noWrap/>
            <w:vAlign w:val="bottom"/>
            <w:hideMark/>
          </w:tcPr>
          <w:p w14:paraId="72A48CFB"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-6</w:t>
            </w:r>
          </w:p>
        </w:tc>
        <w:tc>
          <w:tcPr>
            <w:tcW w:w="820" w:type="dxa"/>
            <w:tcBorders>
              <w:top w:val="nil"/>
              <w:left w:val="nil"/>
              <w:bottom w:val="single" w:sz="4" w:space="0" w:color="ADD6EA"/>
              <w:right w:val="nil"/>
            </w:tcBorders>
            <w:shd w:val="clear" w:color="auto" w:fill="auto"/>
            <w:noWrap/>
            <w:vAlign w:val="bottom"/>
            <w:hideMark/>
          </w:tcPr>
          <w:p w14:paraId="2DC16921"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-6</w:t>
            </w:r>
          </w:p>
        </w:tc>
        <w:tc>
          <w:tcPr>
            <w:tcW w:w="760" w:type="dxa"/>
            <w:tcBorders>
              <w:top w:val="nil"/>
              <w:left w:val="nil"/>
              <w:bottom w:val="single" w:sz="4" w:space="0" w:color="ADD6EA"/>
              <w:right w:val="nil"/>
            </w:tcBorders>
            <w:shd w:val="clear" w:color="auto" w:fill="auto"/>
            <w:noWrap/>
            <w:vAlign w:val="bottom"/>
            <w:hideMark/>
          </w:tcPr>
          <w:p w14:paraId="6FEAD8D9"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3</w:t>
            </w:r>
          </w:p>
        </w:tc>
        <w:tc>
          <w:tcPr>
            <w:tcW w:w="760" w:type="dxa"/>
            <w:tcBorders>
              <w:top w:val="nil"/>
              <w:left w:val="nil"/>
              <w:bottom w:val="single" w:sz="4" w:space="0" w:color="ADD6EA"/>
              <w:right w:val="nil"/>
            </w:tcBorders>
            <w:shd w:val="clear" w:color="auto" w:fill="auto"/>
            <w:noWrap/>
            <w:vAlign w:val="bottom"/>
            <w:hideMark/>
          </w:tcPr>
          <w:p w14:paraId="1F8DF013"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19</w:t>
            </w:r>
          </w:p>
        </w:tc>
        <w:tc>
          <w:tcPr>
            <w:tcW w:w="700" w:type="dxa"/>
            <w:tcBorders>
              <w:top w:val="nil"/>
              <w:left w:val="nil"/>
              <w:bottom w:val="single" w:sz="4" w:space="0" w:color="ADD6EA"/>
              <w:right w:val="nil"/>
            </w:tcBorders>
            <w:shd w:val="clear" w:color="auto" w:fill="auto"/>
            <w:noWrap/>
            <w:vAlign w:val="bottom"/>
            <w:hideMark/>
          </w:tcPr>
          <w:p w14:paraId="233FCA77"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-1</w:t>
            </w:r>
          </w:p>
        </w:tc>
        <w:tc>
          <w:tcPr>
            <w:tcW w:w="740" w:type="dxa"/>
            <w:tcBorders>
              <w:top w:val="nil"/>
              <w:left w:val="nil"/>
              <w:bottom w:val="single" w:sz="4" w:space="0" w:color="ADD6EA"/>
              <w:right w:val="nil"/>
            </w:tcBorders>
            <w:shd w:val="clear" w:color="auto" w:fill="auto"/>
            <w:noWrap/>
            <w:vAlign w:val="bottom"/>
            <w:hideMark/>
          </w:tcPr>
          <w:p w14:paraId="61470E98"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-7</w:t>
            </w:r>
          </w:p>
        </w:tc>
        <w:tc>
          <w:tcPr>
            <w:tcW w:w="760" w:type="dxa"/>
            <w:tcBorders>
              <w:top w:val="nil"/>
              <w:left w:val="nil"/>
              <w:bottom w:val="single" w:sz="4" w:space="0" w:color="ADD6EA"/>
              <w:right w:val="nil"/>
            </w:tcBorders>
            <w:shd w:val="clear" w:color="auto" w:fill="auto"/>
            <w:noWrap/>
            <w:vAlign w:val="bottom"/>
            <w:hideMark/>
          </w:tcPr>
          <w:p w14:paraId="7E07D57A"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-8</w:t>
            </w:r>
          </w:p>
        </w:tc>
        <w:tc>
          <w:tcPr>
            <w:tcW w:w="860" w:type="dxa"/>
            <w:tcBorders>
              <w:top w:val="nil"/>
              <w:left w:val="nil"/>
              <w:bottom w:val="single" w:sz="4" w:space="0" w:color="ADD6EA"/>
              <w:right w:val="nil"/>
            </w:tcBorders>
            <w:shd w:val="clear" w:color="auto" w:fill="auto"/>
            <w:noWrap/>
            <w:vAlign w:val="bottom"/>
            <w:hideMark/>
          </w:tcPr>
          <w:p w14:paraId="0D95979E"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142</w:t>
            </w:r>
          </w:p>
        </w:tc>
        <w:tc>
          <w:tcPr>
            <w:tcW w:w="960" w:type="dxa"/>
            <w:tcBorders>
              <w:top w:val="nil"/>
              <w:left w:val="nil"/>
              <w:bottom w:val="single" w:sz="4" w:space="0" w:color="ADD6EA"/>
              <w:right w:val="nil"/>
            </w:tcBorders>
            <w:shd w:val="clear" w:color="auto" w:fill="auto"/>
            <w:noWrap/>
            <w:vAlign w:val="bottom"/>
            <w:hideMark/>
          </w:tcPr>
          <w:p w14:paraId="3EE64A43" w14:textId="77777777" w:rsidR="009E7F1B" w:rsidRPr="005A0B95" w:rsidRDefault="009E7F1B" w:rsidP="004D65FE">
            <w:pPr>
              <w:keepNext/>
              <w:keepLines/>
              <w:tabs>
                <w:tab w:val="clear" w:pos="567"/>
              </w:tabs>
              <w:spacing w:before="0" w:line="240" w:lineRule="auto"/>
              <w:jc w:val="right"/>
              <w:rPr>
                <w:rFonts w:eastAsia="Times New Roman" w:cs="Open Sans Light"/>
                <w:sz w:val="16"/>
                <w:szCs w:val="16"/>
                <w:lang w:eastAsia="en-AU"/>
              </w:rPr>
            </w:pPr>
            <w:r w:rsidRPr="005A0B95">
              <w:rPr>
                <w:rFonts w:eastAsia="Times New Roman" w:cs="Open Sans Light"/>
                <w:sz w:val="16"/>
                <w:szCs w:val="16"/>
                <w:lang w:eastAsia="en-AU"/>
              </w:rPr>
              <w:t>4</w:t>
            </w:r>
          </w:p>
        </w:tc>
      </w:tr>
    </w:tbl>
    <w:p w14:paraId="73BD5AC1" w14:textId="77777777" w:rsidR="009E7F1B" w:rsidRPr="00256B6A" w:rsidRDefault="009E7F1B" w:rsidP="009E7F1B">
      <w:pPr>
        <w:pStyle w:val="CGCTablenote"/>
        <w:keepNext/>
        <w:keepLines/>
      </w:pPr>
      <w:r w:rsidRPr="00256B6A">
        <w:t>Note:</w:t>
      </w:r>
      <w:r>
        <w:tab/>
      </w:r>
      <w:r w:rsidRPr="00C172B0">
        <w:t xml:space="preserve">The redistribution is the difference from an EPC assessment </w:t>
      </w:r>
      <w:r>
        <w:t>derived using 2016-17 to 2018-19 assessed expenses and 2020-21 GST revenue.</w:t>
      </w:r>
    </w:p>
    <w:p w14:paraId="424F8DE8" w14:textId="77777777" w:rsidR="009E7F1B" w:rsidRPr="00256B6A" w:rsidRDefault="009E7F1B" w:rsidP="009E7F1B">
      <w:pPr>
        <w:pStyle w:val="CGCTablenote"/>
        <w:keepNext/>
        <w:keepLines/>
      </w:pPr>
      <w:r w:rsidRPr="00256B6A">
        <w:t>Source:</w:t>
      </w:r>
      <w:r w:rsidRPr="00256B6A">
        <w:tab/>
        <w:t>Commission calculation.</w:t>
      </w:r>
    </w:p>
    <w:p w14:paraId="0103D76D" w14:textId="77777777" w:rsidR="009E7F1B" w:rsidRDefault="009E7F1B" w:rsidP="00F47EC7">
      <w:pPr>
        <w:pStyle w:val="CGCParaNumber"/>
      </w:pPr>
      <w:r w:rsidRPr="00256B6A">
        <w:t>The main reasons for differences in native</w:t>
      </w:r>
      <w:r>
        <w:t xml:space="preserve"> title and land rights expenses, and therefore, differences in these redistributions are the differences between States in: </w:t>
      </w:r>
    </w:p>
    <w:p w14:paraId="0B6C116B" w14:textId="77777777" w:rsidR="009E7F1B" w:rsidRPr="00D5682E" w:rsidRDefault="009E7F1B" w:rsidP="009E7F1B">
      <w:pPr>
        <w:pStyle w:val="CGCBullet1"/>
      </w:pPr>
      <w:r w:rsidRPr="00F46B46">
        <w:t xml:space="preserve">the size </w:t>
      </w:r>
      <w:r w:rsidRPr="00D5682E">
        <w:t>of their remote Indigenous populations</w:t>
      </w:r>
    </w:p>
    <w:p w14:paraId="4BE4FEC7" w14:textId="77777777" w:rsidR="009E7F1B" w:rsidRPr="00D5682E" w:rsidRDefault="009E7F1B" w:rsidP="009E7F1B">
      <w:pPr>
        <w:pStyle w:val="CGCBullet1"/>
      </w:pPr>
      <w:r w:rsidRPr="00D5682E">
        <w:t>the number of Indigenous groups who have retained a continuing connection to the land</w:t>
      </w:r>
    </w:p>
    <w:p w14:paraId="2B0EF385" w14:textId="77777777" w:rsidR="009E7F1B" w:rsidRPr="00D5682E" w:rsidRDefault="009E7F1B" w:rsidP="009E7F1B">
      <w:pPr>
        <w:pStyle w:val="CGCBullet1"/>
      </w:pPr>
      <w:r w:rsidRPr="00D5682E">
        <w:t>the history of land development and economic activity in a State</w:t>
      </w:r>
    </w:p>
    <w:p w14:paraId="77A10197" w14:textId="77777777" w:rsidR="009E7F1B" w:rsidRDefault="009E7F1B" w:rsidP="009E7F1B">
      <w:pPr>
        <w:pStyle w:val="CGCBullet1"/>
      </w:pPr>
      <w:r w:rsidRPr="00D5682E">
        <w:t>the location of</w:t>
      </w:r>
      <w:r w:rsidRPr="00F46B46">
        <w:t xml:space="preserve"> claims and competing interests in the areas claimed.</w:t>
      </w:r>
    </w:p>
    <w:p w14:paraId="76C6FA9C" w14:textId="77777777" w:rsidR="009E7F1B" w:rsidRPr="00C172B0" w:rsidRDefault="009E7F1B" w:rsidP="009E7F1B">
      <w:pPr>
        <w:pStyle w:val="Heading3"/>
      </w:pPr>
      <w:bookmarkStart w:id="638" w:name="_Toc6998415"/>
      <w:r>
        <w:t>Changes since the 2019 Update</w:t>
      </w:r>
    </w:p>
    <w:p w14:paraId="4A891D25" w14:textId="77777777" w:rsidR="009E7F1B" w:rsidRPr="000C4987" w:rsidRDefault="009E7F1B" w:rsidP="00F47EC7">
      <w:pPr>
        <w:pStyle w:val="CGCParaNumber"/>
      </w:pPr>
      <w:r w:rsidRPr="000C4987">
        <w:t>There are a number of method changes since the 201</w:t>
      </w:r>
      <w:r>
        <w:t>9 Update.</w:t>
      </w:r>
    </w:p>
    <w:p w14:paraId="092FF2A1" w14:textId="77777777" w:rsidR="009E7F1B" w:rsidRPr="000C4987" w:rsidRDefault="009E7F1B" w:rsidP="009E7F1B">
      <w:pPr>
        <w:pStyle w:val="CGCBullet1"/>
      </w:pPr>
      <w:r>
        <w:t>Method changes</w:t>
      </w:r>
    </w:p>
    <w:p w14:paraId="0F7BCA55" w14:textId="77777777" w:rsidR="009E7F1B" w:rsidRDefault="009E7F1B" w:rsidP="00985625">
      <w:pPr>
        <w:pStyle w:val="CGCBullet2"/>
        <w:numPr>
          <w:ilvl w:val="0"/>
          <w:numId w:val="3"/>
        </w:numPr>
        <w:ind w:left="1208" w:hanging="357"/>
      </w:pPr>
      <w:r>
        <w:t>Land rights expenses are assessed for all States (not just the Northern Territory). They are assessed on an actual per capita basis.</w:t>
      </w:r>
    </w:p>
    <w:p w14:paraId="1B0DC911" w14:textId="77777777" w:rsidR="009E7F1B" w:rsidRDefault="009E7F1B" w:rsidP="00985625">
      <w:pPr>
        <w:pStyle w:val="CGCBullet2"/>
        <w:numPr>
          <w:ilvl w:val="0"/>
          <w:numId w:val="3"/>
        </w:numPr>
        <w:ind w:left="1208" w:hanging="357"/>
      </w:pPr>
      <w:r>
        <w:t>The native title and land rights expenses are assessed together as some States indicated they could not be reliably separated.</w:t>
      </w:r>
    </w:p>
    <w:bookmarkEnd w:id="638"/>
    <w:p w14:paraId="7AE74EC3" w14:textId="77777777" w:rsidR="009E7F1B" w:rsidRDefault="009E7F1B" w:rsidP="009E7F1B">
      <w:pPr>
        <w:pStyle w:val="Heading3"/>
      </w:pPr>
      <w:r>
        <w:t>Updating the assessments</w:t>
      </w:r>
    </w:p>
    <w:p w14:paraId="16C59AE2" w14:textId="77777777" w:rsidR="009E7F1B" w:rsidRPr="005239F2" w:rsidRDefault="009E7F1B" w:rsidP="00F47EC7">
      <w:pPr>
        <w:pStyle w:val="CGCParaNumber"/>
      </w:pPr>
      <w:r>
        <w:t xml:space="preserve">As required by the terms of reference, the Commission will incorporate the latest available data in the assessment during the annual updates. This will allow the assessment to reflect </w:t>
      </w:r>
      <w:r w:rsidRPr="00AF7542">
        <w:t>changes in State circumstances. State data on expenses relating to native title and land rights</w:t>
      </w:r>
      <w:r>
        <w:t xml:space="preserve"> will be updated annually through a State data request</w:t>
      </w:r>
      <w:r w:rsidRPr="00AF7542">
        <w:t>.</w:t>
      </w:r>
    </w:p>
    <w:p w14:paraId="332F8B22" w14:textId="77777777" w:rsidR="006B2F27" w:rsidRDefault="006B2F27" w:rsidP="00161EFB">
      <w:pPr>
        <w:sectPr w:rsidR="006B2F27" w:rsidSect="00917501">
          <w:footerReference w:type="default" r:id="rId64"/>
          <w:footnotePr>
            <w:numRestart w:val="eachSect"/>
          </w:footnotePr>
          <w:pgSz w:w="11899" w:h="16838" w:code="9"/>
          <w:pgMar w:top="1418" w:right="1474" w:bottom="1418" w:left="1474" w:header="709" w:footer="567" w:gutter="0"/>
          <w:cols w:space="708"/>
          <w:titlePg/>
          <w:docGrid w:linePitch="299"/>
        </w:sectPr>
      </w:pPr>
    </w:p>
    <w:p w14:paraId="50A70673" w14:textId="77777777" w:rsidR="003A22B8" w:rsidRDefault="003A22B8" w:rsidP="003A22B8">
      <w:pPr>
        <w:pStyle w:val="Heading1"/>
      </w:pPr>
      <w:bookmarkStart w:id="639" w:name="_Toc32922494"/>
      <w:r>
        <w:lastRenderedPageBreak/>
        <w:t>30</w:t>
      </w:r>
      <w:r>
        <w:tab/>
        <w:t>Calculating relativities</w:t>
      </w:r>
      <w:bookmarkEnd w:id="639"/>
    </w:p>
    <w:p w14:paraId="32AF42CB" w14:textId="77777777" w:rsidR="003A22B8" w:rsidRDefault="003A22B8" w:rsidP="007C04CE">
      <w:pPr>
        <w:pStyle w:val="CGCParaNumber"/>
        <w:numPr>
          <w:ilvl w:val="0"/>
          <w:numId w:val="52"/>
        </w:numPr>
        <w:ind w:left="567" w:hanging="567"/>
      </w:pPr>
      <w:r>
        <w:t xml:space="preserve">This chapter </w:t>
      </w:r>
      <w:r w:rsidRPr="00DB2928">
        <w:t>shows the calculation of the recommended per capita GST relativities</w:t>
      </w:r>
      <w:r>
        <w:t xml:space="preserve"> using the standard presentation and an alternative presentation.</w:t>
      </w:r>
    </w:p>
    <w:p w14:paraId="08A2377F" w14:textId="77777777" w:rsidR="003A22B8" w:rsidRPr="00EA39FE" w:rsidRDefault="003A22B8" w:rsidP="003A22B8">
      <w:pPr>
        <w:pStyle w:val="Heading3"/>
      </w:pPr>
      <w:r w:rsidRPr="00EA39FE">
        <w:t>Standard presentation</w:t>
      </w:r>
    </w:p>
    <w:p w14:paraId="5237BD21" w14:textId="77777777" w:rsidR="003A22B8" w:rsidRDefault="003A22B8" w:rsidP="00F47EC7">
      <w:pPr>
        <w:pStyle w:val="CGCParaNumber"/>
      </w:pPr>
      <w:r w:rsidRPr="00310FDF">
        <w:t>A per capita relativity is derived for each State by expressing its per capita GST requirement as a ratio of the national average per capita GST distributed in the year.</w:t>
      </w:r>
      <w:r>
        <w:t xml:space="preserve"> </w:t>
      </w:r>
      <w:r w:rsidRPr="00310FDF">
        <w:t xml:space="preserve">This calculation is undertaken for each of the three years in an inquiry (the assessment or reference years). </w:t>
      </w:r>
    </w:p>
    <w:p w14:paraId="3F5F8B75" w14:textId="03C6CC44" w:rsidR="003A22B8" w:rsidRDefault="00D61CF1" w:rsidP="00F47EC7">
      <w:pPr>
        <w:pStyle w:val="CGCParaNumber"/>
      </w:pPr>
      <w:fldSimple w:instr=" REF _Ref30429927 ">
        <w:r w:rsidR="007F721A">
          <w:t>Table 30-</w:t>
        </w:r>
        <w:r w:rsidR="007F721A">
          <w:rPr>
            <w:noProof/>
          </w:rPr>
          <w:t>1</w:t>
        </w:r>
      </w:fldSimple>
      <w:r w:rsidR="003A22B8">
        <w:t xml:space="preserve">, </w:t>
      </w:r>
      <w:fldSimple w:instr=" REF _Ref30429944 ">
        <w:r w:rsidR="007F721A">
          <w:t>Table 30-</w:t>
        </w:r>
        <w:r w:rsidR="007F721A">
          <w:rPr>
            <w:noProof/>
          </w:rPr>
          <w:t>4</w:t>
        </w:r>
      </w:fldSimple>
      <w:r w:rsidR="003A22B8">
        <w:t xml:space="preserve"> and </w:t>
      </w:r>
      <w:fldSimple w:instr=" REF _Ref30429956 ">
        <w:r w:rsidR="007F721A">
          <w:t>Table 30-</w:t>
        </w:r>
        <w:r w:rsidR="007F721A">
          <w:rPr>
            <w:noProof/>
          </w:rPr>
          <w:t>7</w:t>
        </w:r>
      </w:fldSimple>
      <w:r w:rsidR="003A22B8">
        <w:t xml:space="preserve"> show the derivation of total assessed expenses for each State and each assessment year. </w:t>
      </w:r>
    </w:p>
    <w:p w14:paraId="4F75D3A1" w14:textId="5E4689B9" w:rsidR="003A22B8" w:rsidRDefault="00D61CF1" w:rsidP="00F47EC7">
      <w:pPr>
        <w:pStyle w:val="CGCParaNumber"/>
      </w:pPr>
      <w:fldSimple w:instr=" REF _Ref30430032 ">
        <w:r w:rsidR="007F721A">
          <w:t>Table 30-</w:t>
        </w:r>
        <w:r w:rsidR="007F721A">
          <w:rPr>
            <w:noProof/>
          </w:rPr>
          <w:t>2</w:t>
        </w:r>
      </w:fldSimple>
      <w:r w:rsidR="003A22B8">
        <w:t xml:space="preserve">, </w:t>
      </w:r>
      <w:fldSimple w:instr=" REF _Ref30430043 ">
        <w:r w:rsidR="007F721A">
          <w:t>Table 30-</w:t>
        </w:r>
        <w:r w:rsidR="007F721A">
          <w:rPr>
            <w:noProof/>
          </w:rPr>
          <w:t>5</w:t>
        </w:r>
      </w:fldSimple>
      <w:r w:rsidR="003A22B8">
        <w:t xml:space="preserve"> and </w:t>
      </w:r>
      <w:fldSimple w:instr=" REF _Ref30430060 ">
        <w:r w:rsidR="007F721A">
          <w:t>Table 30-</w:t>
        </w:r>
        <w:r w:rsidR="007F721A">
          <w:rPr>
            <w:noProof/>
          </w:rPr>
          <w:t>8</w:t>
        </w:r>
      </w:fldSimple>
      <w:r w:rsidR="003A22B8">
        <w:t xml:space="preserve"> show the derivation of total assessed revenue for each State and each assessment year.</w:t>
      </w:r>
    </w:p>
    <w:p w14:paraId="7644B64E" w14:textId="25422EC1" w:rsidR="003A22B8" w:rsidRDefault="00D61CF1" w:rsidP="00F47EC7">
      <w:pPr>
        <w:pStyle w:val="CGCParaNumber"/>
      </w:pPr>
      <w:fldSimple w:instr=" REF _Ref30430117 ">
        <w:r w:rsidR="007F721A">
          <w:t>Table 30-</w:t>
        </w:r>
        <w:r w:rsidR="007F721A">
          <w:rPr>
            <w:noProof/>
          </w:rPr>
          <w:t>3</w:t>
        </w:r>
      </w:fldSimple>
      <w:r w:rsidR="003A22B8">
        <w:t xml:space="preserve">, </w:t>
      </w:r>
      <w:fldSimple w:instr=" REF _Ref30430126 ">
        <w:r w:rsidR="007F721A">
          <w:t>Table 30-</w:t>
        </w:r>
        <w:r w:rsidR="007F721A">
          <w:rPr>
            <w:noProof/>
          </w:rPr>
          <w:t>6</w:t>
        </w:r>
      </w:fldSimple>
      <w:r w:rsidR="003A22B8">
        <w:t xml:space="preserve"> and </w:t>
      </w:r>
      <w:fldSimple w:instr=" REF _Ref30430134 ">
        <w:r w:rsidR="007F721A">
          <w:t>Table 30-</w:t>
        </w:r>
        <w:r w:rsidR="007F721A">
          <w:rPr>
            <w:noProof/>
          </w:rPr>
          <w:t>9</w:t>
        </w:r>
      </w:fldSimple>
      <w:r w:rsidR="003A22B8" w:rsidRPr="00381DAE">
        <w:t xml:space="preserve"> show the derivation of the per capita </w:t>
      </w:r>
      <w:r w:rsidR="003A22B8">
        <w:t>GST requirement</w:t>
      </w:r>
      <w:r w:rsidR="003A22B8" w:rsidRPr="00381DAE">
        <w:t xml:space="preserve"> for each State and each assessment year, calculated as:</w:t>
      </w:r>
    </w:p>
    <w:p w14:paraId="4512C0FA" w14:textId="77777777" w:rsidR="003A22B8" w:rsidRDefault="003A22B8" w:rsidP="003A22B8">
      <w:pPr>
        <w:pStyle w:val="CGCBullet1"/>
      </w:pPr>
      <w:r w:rsidRPr="00381DAE">
        <w:t xml:space="preserve">the expenses it would incur to provide the average services (its assessed expenses) </w:t>
      </w:r>
      <w:r w:rsidRPr="001C59B8">
        <w:rPr>
          <w:i/>
          <w:iCs/>
        </w:rPr>
        <w:t>plus</w:t>
      </w:r>
    </w:p>
    <w:p w14:paraId="7B820D5C" w14:textId="77777777" w:rsidR="003A22B8" w:rsidRDefault="003A22B8" w:rsidP="003A22B8">
      <w:pPr>
        <w:pStyle w:val="CGCBullet1"/>
      </w:pPr>
      <w:r w:rsidRPr="00381DAE">
        <w:t xml:space="preserve">the investment it would make to have the infrastructure required to provide the average services (its assessed investment) </w:t>
      </w:r>
      <w:r w:rsidRPr="001C59B8">
        <w:rPr>
          <w:i/>
          <w:iCs/>
        </w:rPr>
        <w:t>less</w:t>
      </w:r>
    </w:p>
    <w:p w14:paraId="47477AC2" w14:textId="77777777" w:rsidR="003A22B8" w:rsidRDefault="003A22B8" w:rsidP="003A22B8">
      <w:pPr>
        <w:pStyle w:val="CGCBullet1"/>
      </w:pPr>
      <w:r w:rsidRPr="00381DAE">
        <w:t xml:space="preserve">the net borrowing it would make to finish the year with the average per capita net financial worth (its assessed net borrowing) </w:t>
      </w:r>
      <w:r w:rsidRPr="001C59B8">
        <w:rPr>
          <w:i/>
          <w:iCs/>
        </w:rPr>
        <w:t>less</w:t>
      </w:r>
    </w:p>
    <w:p w14:paraId="1C3D3387" w14:textId="77777777" w:rsidR="003A22B8" w:rsidRDefault="003A22B8" w:rsidP="003A22B8">
      <w:pPr>
        <w:pStyle w:val="CGCBullet1"/>
      </w:pPr>
      <w:r w:rsidRPr="00381DAE">
        <w:t xml:space="preserve">the revenue it would raise if it made the average revenue raising effort (its assessed revenue) </w:t>
      </w:r>
      <w:r w:rsidRPr="001C59B8">
        <w:rPr>
          <w:i/>
          <w:iCs/>
        </w:rPr>
        <w:t>less</w:t>
      </w:r>
    </w:p>
    <w:p w14:paraId="72EE8DB8" w14:textId="77777777" w:rsidR="003A22B8" w:rsidRDefault="003A22B8" w:rsidP="003A22B8">
      <w:pPr>
        <w:pStyle w:val="CGCBullet1"/>
      </w:pPr>
      <w:r w:rsidRPr="00381DAE">
        <w:t>the revenue from Commonwealth payments which are available to fund its spending requirements.</w:t>
      </w:r>
    </w:p>
    <w:p w14:paraId="44BFB737" w14:textId="77777777" w:rsidR="003A22B8" w:rsidRDefault="003A22B8" w:rsidP="00F47EC7">
      <w:pPr>
        <w:pStyle w:val="CGCParaNumber"/>
      </w:pPr>
      <w:r>
        <w:t>The per capita relativities are equal to each State’s GST requirement divided by the average GST requirement in an assessment year.</w:t>
      </w:r>
    </w:p>
    <w:p w14:paraId="09E49E10" w14:textId="094A082C" w:rsidR="003A22B8" w:rsidRDefault="003A22B8" w:rsidP="003A22B8">
      <w:pPr>
        <w:pStyle w:val="Caption"/>
      </w:pPr>
      <w:bookmarkStart w:id="640" w:name="_Ref30429927"/>
      <w:r>
        <w:lastRenderedPageBreak/>
        <w:t>Table 30-</w:t>
      </w:r>
      <w:r w:rsidR="00B91EF5">
        <w:fldChar w:fldCharType="begin"/>
      </w:r>
      <w:r w:rsidR="00B91EF5">
        <w:instrText xml:space="preserve"> SEQ Table </w:instrText>
      </w:r>
      <w:r w:rsidR="009E4659">
        <w:instrText xml:space="preserve">\r1 </w:instrText>
      </w:r>
      <w:r w:rsidR="00B91EF5">
        <w:instrText xml:space="preserve">\* ARABIC </w:instrText>
      </w:r>
      <w:r w:rsidR="00B91EF5">
        <w:fldChar w:fldCharType="separate"/>
      </w:r>
      <w:r w:rsidR="007F721A">
        <w:rPr>
          <w:noProof/>
        </w:rPr>
        <w:t>1</w:t>
      </w:r>
      <w:r w:rsidR="00B91EF5">
        <w:fldChar w:fldCharType="end"/>
      </w:r>
      <w:bookmarkEnd w:id="640"/>
      <w:r>
        <w:tab/>
        <w:t>Per capita assessed expenses, 2016-17</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3D345EC0" w14:textId="77777777" w:rsidTr="004D65FE">
        <w:trPr>
          <w:trHeight w:val="374"/>
        </w:trPr>
        <w:tc>
          <w:tcPr>
            <w:tcW w:w="2500" w:type="dxa"/>
            <w:tcBorders>
              <w:top w:val="single" w:sz="4" w:space="0" w:color="D6E7F0"/>
              <w:left w:val="nil"/>
              <w:bottom w:val="single" w:sz="4" w:space="0" w:color="ADD6EA"/>
              <w:right w:val="nil"/>
            </w:tcBorders>
            <w:shd w:val="clear" w:color="000000" w:fill="006991"/>
            <w:noWrap/>
            <w:tcMar>
              <w:top w:w="15" w:type="dxa"/>
              <w:left w:w="15" w:type="dxa"/>
              <w:bottom w:w="0" w:type="dxa"/>
              <w:right w:w="15" w:type="dxa"/>
            </w:tcMar>
            <w:vAlign w:val="center"/>
            <w:hideMark/>
          </w:tcPr>
          <w:p w14:paraId="22908090" w14:textId="77777777" w:rsidR="003A22B8" w:rsidRDefault="003A22B8" w:rsidP="004D65FE">
            <w:pPr>
              <w:keepNext/>
              <w:keepLines/>
              <w:tabs>
                <w:tab w:val="clear" w:pos="567"/>
              </w:tabs>
              <w:spacing w:before="0" w:line="240" w:lineRule="auto"/>
              <w:ind w:left="193" w:hanging="142"/>
              <w:jc w:val="right"/>
              <w:rPr>
                <w:rFonts w:ascii="Open Sans SemiBold" w:hAnsi="Open Sans SemiBold" w:cs="Open Sans SemiBold"/>
                <w:sz w:val="16"/>
                <w:szCs w:val="16"/>
              </w:rPr>
            </w:pPr>
            <w:bookmarkStart w:id="641" w:name="RANGE!A2:J15"/>
            <w:r>
              <w:rPr>
                <w:rFonts w:ascii="Open Sans SemiBold" w:hAnsi="Open Sans SemiBold" w:cs="Open Sans SemiBold"/>
                <w:sz w:val="16"/>
                <w:szCs w:val="16"/>
              </w:rPr>
              <w:t> </w:t>
            </w:r>
            <w:bookmarkEnd w:id="641"/>
          </w:p>
        </w:tc>
        <w:tc>
          <w:tcPr>
            <w:tcW w:w="700" w:type="dxa"/>
            <w:tcBorders>
              <w:top w:val="single" w:sz="4" w:space="0" w:color="D6E7F0"/>
              <w:left w:val="nil"/>
              <w:bottom w:val="single" w:sz="4" w:space="0" w:color="ADD6EA"/>
              <w:right w:val="nil"/>
            </w:tcBorders>
            <w:shd w:val="clear" w:color="000000" w:fill="006991"/>
            <w:noWrap/>
            <w:tcMar>
              <w:top w:w="15" w:type="dxa"/>
              <w:left w:w="15" w:type="dxa"/>
              <w:bottom w:w="0" w:type="dxa"/>
              <w:right w:w="15" w:type="dxa"/>
            </w:tcMar>
            <w:vAlign w:val="center"/>
            <w:hideMark/>
          </w:tcPr>
          <w:p w14:paraId="1CA0E95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D6E7F0"/>
              <w:left w:val="nil"/>
              <w:bottom w:val="single" w:sz="4" w:space="0" w:color="ADD6EA"/>
              <w:right w:val="nil"/>
            </w:tcBorders>
            <w:shd w:val="clear" w:color="000000" w:fill="006991"/>
            <w:noWrap/>
            <w:tcMar>
              <w:top w:w="15" w:type="dxa"/>
              <w:left w:w="15" w:type="dxa"/>
              <w:bottom w:w="0" w:type="dxa"/>
              <w:right w:w="15" w:type="dxa"/>
            </w:tcMar>
            <w:vAlign w:val="center"/>
            <w:hideMark/>
          </w:tcPr>
          <w:p w14:paraId="6425281D"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D6E7F0"/>
              <w:left w:val="nil"/>
              <w:bottom w:val="single" w:sz="4" w:space="0" w:color="ADD6EA"/>
              <w:right w:val="nil"/>
            </w:tcBorders>
            <w:shd w:val="clear" w:color="000000" w:fill="006991"/>
            <w:noWrap/>
            <w:tcMar>
              <w:top w:w="15" w:type="dxa"/>
              <w:left w:w="15" w:type="dxa"/>
              <w:bottom w:w="0" w:type="dxa"/>
              <w:right w:w="15" w:type="dxa"/>
            </w:tcMar>
            <w:vAlign w:val="center"/>
            <w:hideMark/>
          </w:tcPr>
          <w:p w14:paraId="0080DB7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D6E7F0"/>
              <w:left w:val="nil"/>
              <w:bottom w:val="single" w:sz="4" w:space="0" w:color="ADD6EA"/>
              <w:right w:val="nil"/>
            </w:tcBorders>
            <w:shd w:val="clear" w:color="000000" w:fill="006991"/>
            <w:noWrap/>
            <w:tcMar>
              <w:top w:w="15" w:type="dxa"/>
              <w:left w:w="15" w:type="dxa"/>
              <w:bottom w:w="0" w:type="dxa"/>
              <w:right w:w="15" w:type="dxa"/>
            </w:tcMar>
            <w:vAlign w:val="center"/>
            <w:hideMark/>
          </w:tcPr>
          <w:p w14:paraId="6A714D62"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D6E7F0"/>
              <w:left w:val="nil"/>
              <w:bottom w:val="single" w:sz="4" w:space="0" w:color="ADD6EA"/>
              <w:right w:val="nil"/>
            </w:tcBorders>
            <w:shd w:val="clear" w:color="000000" w:fill="006991"/>
            <w:noWrap/>
            <w:tcMar>
              <w:top w:w="15" w:type="dxa"/>
              <w:left w:w="15" w:type="dxa"/>
              <w:bottom w:w="0" w:type="dxa"/>
              <w:right w:w="15" w:type="dxa"/>
            </w:tcMar>
            <w:vAlign w:val="center"/>
            <w:hideMark/>
          </w:tcPr>
          <w:p w14:paraId="17B295ED"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D6E7F0"/>
              <w:left w:val="nil"/>
              <w:bottom w:val="single" w:sz="4" w:space="0" w:color="ADD6EA"/>
              <w:right w:val="nil"/>
            </w:tcBorders>
            <w:shd w:val="clear" w:color="000000" w:fill="006991"/>
            <w:noWrap/>
            <w:tcMar>
              <w:top w:w="15" w:type="dxa"/>
              <w:left w:w="15" w:type="dxa"/>
              <w:bottom w:w="0" w:type="dxa"/>
              <w:right w:w="15" w:type="dxa"/>
            </w:tcMar>
            <w:vAlign w:val="center"/>
            <w:hideMark/>
          </w:tcPr>
          <w:p w14:paraId="392E6490"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D6E7F0"/>
              <w:left w:val="nil"/>
              <w:bottom w:val="single" w:sz="4" w:space="0" w:color="ADD6EA"/>
              <w:right w:val="nil"/>
            </w:tcBorders>
            <w:shd w:val="clear" w:color="000000" w:fill="006991"/>
            <w:noWrap/>
            <w:tcMar>
              <w:top w:w="15" w:type="dxa"/>
              <w:left w:w="15" w:type="dxa"/>
              <w:bottom w:w="0" w:type="dxa"/>
              <w:right w:w="15" w:type="dxa"/>
            </w:tcMar>
            <w:vAlign w:val="center"/>
            <w:hideMark/>
          </w:tcPr>
          <w:p w14:paraId="43D4BC62"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D6E7F0"/>
              <w:left w:val="nil"/>
              <w:bottom w:val="single" w:sz="4" w:space="0" w:color="ADD6EA"/>
              <w:right w:val="nil"/>
            </w:tcBorders>
            <w:shd w:val="clear" w:color="000000" w:fill="006991"/>
            <w:noWrap/>
            <w:tcMar>
              <w:top w:w="15" w:type="dxa"/>
              <w:left w:w="15" w:type="dxa"/>
              <w:bottom w:w="0" w:type="dxa"/>
              <w:right w:w="15" w:type="dxa"/>
            </w:tcMar>
            <w:vAlign w:val="center"/>
            <w:hideMark/>
          </w:tcPr>
          <w:p w14:paraId="534BCDC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D6E7F0"/>
              <w:left w:val="nil"/>
              <w:bottom w:val="single" w:sz="4" w:space="0" w:color="ADD6EA"/>
              <w:right w:val="nil"/>
            </w:tcBorders>
            <w:shd w:val="clear" w:color="000000" w:fill="006991"/>
            <w:noWrap/>
            <w:tcMar>
              <w:top w:w="15" w:type="dxa"/>
              <w:left w:w="15" w:type="dxa"/>
              <w:bottom w:w="0" w:type="dxa"/>
              <w:right w:w="15" w:type="dxa"/>
            </w:tcMar>
            <w:vAlign w:val="center"/>
            <w:hideMark/>
          </w:tcPr>
          <w:p w14:paraId="1E22EEEB"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257A6C9E" w14:textId="77777777" w:rsidTr="005C340D">
        <w:trPr>
          <w:trHeight w:val="259"/>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D23BA21" w14:textId="77777777" w:rsidR="003A22B8" w:rsidRDefault="003A22B8" w:rsidP="004D65FE">
            <w:pPr>
              <w:keepNext/>
              <w:keepLines/>
              <w:spacing w:before="0"/>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EA8375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65EE22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117208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F47A88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B18C91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0E82C7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5FD828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984631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6DA083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0C6E174B"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4A5B141" w14:textId="77777777" w:rsidR="003A22B8" w:rsidRDefault="003A22B8" w:rsidP="004D65FE">
            <w:pPr>
              <w:keepNext/>
              <w:keepLines/>
              <w:spacing w:before="0"/>
              <w:ind w:left="142" w:hanging="142"/>
              <w:rPr>
                <w:rFonts w:cs="Open Sans Light"/>
                <w:sz w:val="16"/>
                <w:szCs w:val="16"/>
              </w:rPr>
            </w:pPr>
            <w:r>
              <w:rPr>
                <w:rFonts w:cs="Open Sans Light"/>
                <w:sz w:val="16"/>
                <w:szCs w:val="16"/>
              </w:rPr>
              <w:t>Schools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38DEBDF" w14:textId="77777777" w:rsidR="003A22B8" w:rsidRDefault="003A22B8" w:rsidP="004D65FE">
            <w:pPr>
              <w:keepNext/>
              <w:keepLines/>
              <w:spacing w:before="0"/>
              <w:jc w:val="right"/>
              <w:rPr>
                <w:rFonts w:cs="Open Sans Light"/>
                <w:sz w:val="16"/>
                <w:szCs w:val="16"/>
              </w:rPr>
            </w:pPr>
            <w:r>
              <w:rPr>
                <w:rFonts w:cs="Open Sans Light"/>
                <w:sz w:val="16"/>
                <w:szCs w:val="16"/>
              </w:rPr>
              <w:t>1,533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69E9B03" w14:textId="77777777" w:rsidR="003A22B8" w:rsidRDefault="003A22B8" w:rsidP="004D65FE">
            <w:pPr>
              <w:keepNext/>
              <w:keepLines/>
              <w:spacing w:before="0"/>
              <w:jc w:val="right"/>
              <w:rPr>
                <w:rFonts w:cs="Open Sans Light"/>
                <w:sz w:val="16"/>
                <w:szCs w:val="16"/>
              </w:rPr>
            </w:pPr>
            <w:r>
              <w:rPr>
                <w:rFonts w:cs="Open Sans Light"/>
                <w:sz w:val="16"/>
                <w:szCs w:val="16"/>
              </w:rPr>
              <w:t>1,393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AD8320" w14:textId="77777777" w:rsidR="003A22B8" w:rsidRDefault="003A22B8" w:rsidP="004D65FE">
            <w:pPr>
              <w:keepNext/>
              <w:keepLines/>
              <w:spacing w:before="0"/>
              <w:jc w:val="right"/>
              <w:rPr>
                <w:rFonts w:cs="Open Sans Light"/>
                <w:sz w:val="16"/>
                <w:szCs w:val="16"/>
              </w:rPr>
            </w:pPr>
            <w:r>
              <w:rPr>
                <w:rFonts w:cs="Open Sans Light"/>
                <w:sz w:val="16"/>
                <w:szCs w:val="16"/>
              </w:rPr>
              <w:t>1,689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48C55F2" w14:textId="77777777" w:rsidR="003A22B8" w:rsidRDefault="003A22B8" w:rsidP="004D65FE">
            <w:pPr>
              <w:keepNext/>
              <w:keepLines/>
              <w:spacing w:before="0"/>
              <w:jc w:val="right"/>
              <w:rPr>
                <w:rFonts w:cs="Open Sans Light"/>
                <w:sz w:val="16"/>
                <w:szCs w:val="16"/>
              </w:rPr>
            </w:pPr>
            <w:r>
              <w:rPr>
                <w:rFonts w:cs="Open Sans Light"/>
                <w:sz w:val="16"/>
                <w:szCs w:val="16"/>
              </w:rPr>
              <w:t>1,717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C9C702" w14:textId="77777777" w:rsidR="003A22B8" w:rsidRDefault="003A22B8" w:rsidP="004D65FE">
            <w:pPr>
              <w:keepNext/>
              <w:keepLines/>
              <w:spacing w:before="0"/>
              <w:jc w:val="right"/>
              <w:rPr>
                <w:rFonts w:cs="Open Sans Light"/>
                <w:sz w:val="16"/>
                <w:szCs w:val="16"/>
              </w:rPr>
            </w:pPr>
            <w:r>
              <w:rPr>
                <w:rFonts w:cs="Open Sans Light"/>
                <w:sz w:val="16"/>
                <w:szCs w:val="16"/>
              </w:rPr>
              <w:t>1,543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E46401" w14:textId="77777777" w:rsidR="003A22B8" w:rsidRDefault="003A22B8" w:rsidP="004D65FE">
            <w:pPr>
              <w:keepNext/>
              <w:keepLines/>
              <w:spacing w:before="0"/>
              <w:jc w:val="right"/>
              <w:rPr>
                <w:rFonts w:cs="Open Sans Light"/>
                <w:sz w:val="16"/>
                <w:szCs w:val="16"/>
              </w:rPr>
            </w:pPr>
            <w:r>
              <w:rPr>
                <w:rFonts w:cs="Open Sans Light"/>
                <w:sz w:val="16"/>
                <w:szCs w:val="16"/>
              </w:rPr>
              <w:t>1,718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DD50C2" w14:textId="77777777" w:rsidR="003A22B8" w:rsidRDefault="003A22B8" w:rsidP="004D65FE">
            <w:pPr>
              <w:keepNext/>
              <w:keepLines/>
              <w:spacing w:before="0"/>
              <w:jc w:val="right"/>
              <w:rPr>
                <w:rFonts w:cs="Open Sans Light"/>
                <w:sz w:val="16"/>
                <w:szCs w:val="16"/>
              </w:rPr>
            </w:pPr>
            <w:r>
              <w:rPr>
                <w:rFonts w:cs="Open Sans Light"/>
                <w:sz w:val="16"/>
                <w:szCs w:val="16"/>
              </w:rPr>
              <w:t>1,430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6FE684" w14:textId="77777777" w:rsidR="003A22B8" w:rsidRDefault="003A22B8" w:rsidP="004D65FE">
            <w:pPr>
              <w:keepNext/>
              <w:keepLines/>
              <w:spacing w:before="0"/>
              <w:jc w:val="right"/>
              <w:rPr>
                <w:rFonts w:cs="Open Sans Light"/>
                <w:sz w:val="16"/>
                <w:szCs w:val="16"/>
              </w:rPr>
            </w:pPr>
            <w:r>
              <w:rPr>
                <w:rFonts w:cs="Open Sans Light"/>
                <w:sz w:val="16"/>
                <w:szCs w:val="16"/>
              </w:rPr>
              <w:t>2,933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EB06BC" w14:textId="77777777" w:rsidR="003A22B8" w:rsidRDefault="003A22B8" w:rsidP="004D65FE">
            <w:pPr>
              <w:keepNext/>
              <w:keepLines/>
              <w:spacing w:before="0"/>
              <w:jc w:val="right"/>
              <w:rPr>
                <w:rFonts w:cs="Open Sans Light"/>
                <w:sz w:val="16"/>
                <w:szCs w:val="16"/>
              </w:rPr>
            </w:pPr>
            <w:r>
              <w:rPr>
                <w:rFonts w:cs="Open Sans Light"/>
                <w:sz w:val="16"/>
                <w:szCs w:val="16"/>
              </w:rPr>
              <w:t>1,565</w:t>
            </w:r>
          </w:p>
        </w:tc>
      </w:tr>
      <w:tr w:rsidR="003A22B8" w14:paraId="1205808C"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680462D" w14:textId="77777777" w:rsidR="003A22B8" w:rsidRDefault="003A22B8" w:rsidP="004D65FE">
            <w:pPr>
              <w:keepNext/>
              <w:keepLines/>
              <w:spacing w:before="0"/>
              <w:ind w:left="142" w:hanging="142"/>
              <w:rPr>
                <w:rFonts w:cs="Open Sans Light"/>
                <w:sz w:val="16"/>
                <w:szCs w:val="16"/>
              </w:rPr>
            </w:pPr>
            <w:r>
              <w:rPr>
                <w:rFonts w:cs="Open Sans Light"/>
                <w:sz w:val="16"/>
                <w:szCs w:val="16"/>
              </w:rPr>
              <w:t>Post-secondary education</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2111373" w14:textId="77777777" w:rsidR="003A22B8" w:rsidRDefault="003A22B8" w:rsidP="004D65FE">
            <w:pPr>
              <w:keepNext/>
              <w:keepLines/>
              <w:spacing w:before="0"/>
              <w:jc w:val="right"/>
              <w:rPr>
                <w:rFonts w:cs="Open Sans Light"/>
                <w:sz w:val="16"/>
                <w:szCs w:val="16"/>
              </w:rPr>
            </w:pPr>
            <w:r>
              <w:rPr>
                <w:rFonts w:cs="Open Sans Light"/>
                <w:sz w:val="16"/>
                <w:szCs w:val="16"/>
              </w:rPr>
              <w:t>219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423FA38" w14:textId="77777777" w:rsidR="003A22B8" w:rsidRDefault="003A22B8" w:rsidP="004D65FE">
            <w:pPr>
              <w:keepNext/>
              <w:keepLines/>
              <w:spacing w:before="0"/>
              <w:jc w:val="right"/>
              <w:rPr>
                <w:rFonts w:cs="Open Sans Light"/>
                <w:sz w:val="16"/>
                <w:szCs w:val="16"/>
              </w:rPr>
            </w:pPr>
            <w:r>
              <w:rPr>
                <w:rFonts w:cs="Open Sans Light"/>
                <w:sz w:val="16"/>
                <w:szCs w:val="16"/>
              </w:rPr>
              <w:t>214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3430F36" w14:textId="77777777" w:rsidR="003A22B8" w:rsidRDefault="003A22B8" w:rsidP="004D65FE">
            <w:pPr>
              <w:keepNext/>
              <w:keepLines/>
              <w:spacing w:before="0"/>
              <w:jc w:val="right"/>
              <w:rPr>
                <w:rFonts w:cs="Open Sans Light"/>
                <w:sz w:val="16"/>
                <w:szCs w:val="16"/>
              </w:rPr>
            </w:pPr>
            <w:r>
              <w:rPr>
                <w:rFonts w:cs="Open Sans Light"/>
                <w:sz w:val="16"/>
                <w:szCs w:val="16"/>
              </w:rPr>
              <w:t>232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EAB4E6D" w14:textId="77777777" w:rsidR="003A22B8" w:rsidRDefault="003A22B8" w:rsidP="004D65FE">
            <w:pPr>
              <w:keepNext/>
              <w:keepLines/>
              <w:spacing w:before="0"/>
              <w:jc w:val="right"/>
              <w:rPr>
                <w:rFonts w:cs="Open Sans Light"/>
                <w:sz w:val="16"/>
                <w:szCs w:val="16"/>
              </w:rPr>
            </w:pPr>
            <w:r>
              <w:rPr>
                <w:rFonts w:cs="Open Sans Light"/>
                <w:sz w:val="16"/>
                <w:szCs w:val="16"/>
              </w:rPr>
              <w:t>233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CEC9433" w14:textId="77777777" w:rsidR="003A22B8" w:rsidRDefault="003A22B8" w:rsidP="004D65FE">
            <w:pPr>
              <w:keepNext/>
              <w:keepLines/>
              <w:spacing w:before="0"/>
              <w:jc w:val="right"/>
              <w:rPr>
                <w:rFonts w:cs="Open Sans Light"/>
                <w:sz w:val="16"/>
                <w:szCs w:val="16"/>
              </w:rPr>
            </w:pPr>
            <w:r>
              <w:rPr>
                <w:rFonts w:cs="Open Sans Light"/>
                <w:sz w:val="16"/>
                <w:szCs w:val="16"/>
              </w:rPr>
              <w:t>227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AFE48E3" w14:textId="77777777" w:rsidR="003A22B8" w:rsidRDefault="003A22B8" w:rsidP="004D65FE">
            <w:pPr>
              <w:keepNext/>
              <w:keepLines/>
              <w:spacing w:before="0"/>
              <w:jc w:val="right"/>
              <w:rPr>
                <w:rFonts w:cs="Open Sans Light"/>
                <w:sz w:val="16"/>
                <w:szCs w:val="16"/>
              </w:rPr>
            </w:pPr>
            <w:r>
              <w:rPr>
                <w:rFonts w:cs="Open Sans Light"/>
                <w:sz w:val="16"/>
                <w:szCs w:val="16"/>
              </w:rPr>
              <w:t>248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83EF691" w14:textId="77777777" w:rsidR="003A22B8" w:rsidRDefault="003A22B8" w:rsidP="004D65FE">
            <w:pPr>
              <w:keepNext/>
              <w:keepLines/>
              <w:spacing w:before="0"/>
              <w:jc w:val="right"/>
              <w:rPr>
                <w:rFonts w:cs="Open Sans Light"/>
                <w:sz w:val="16"/>
                <w:szCs w:val="16"/>
              </w:rPr>
            </w:pPr>
            <w:r>
              <w:rPr>
                <w:rFonts w:cs="Open Sans Light"/>
                <w:sz w:val="16"/>
                <w:szCs w:val="16"/>
              </w:rPr>
              <w:t>216</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2860B2B" w14:textId="77777777" w:rsidR="003A22B8" w:rsidRDefault="003A22B8" w:rsidP="004D65FE">
            <w:pPr>
              <w:keepNext/>
              <w:keepLines/>
              <w:spacing w:before="0"/>
              <w:jc w:val="right"/>
              <w:rPr>
                <w:rFonts w:cs="Open Sans Light"/>
                <w:sz w:val="16"/>
                <w:szCs w:val="16"/>
              </w:rPr>
            </w:pPr>
            <w:r>
              <w:rPr>
                <w:rFonts w:cs="Open Sans Light"/>
                <w:sz w:val="16"/>
                <w:szCs w:val="16"/>
              </w:rPr>
              <w:t>383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B673915" w14:textId="77777777" w:rsidR="003A22B8" w:rsidRDefault="003A22B8" w:rsidP="004D65FE">
            <w:pPr>
              <w:keepNext/>
              <w:keepLines/>
              <w:spacing w:before="0"/>
              <w:jc w:val="right"/>
              <w:rPr>
                <w:rFonts w:cs="Open Sans Light"/>
                <w:sz w:val="16"/>
                <w:szCs w:val="16"/>
              </w:rPr>
            </w:pPr>
            <w:r>
              <w:rPr>
                <w:rFonts w:cs="Open Sans Light"/>
                <w:sz w:val="16"/>
                <w:szCs w:val="16"/>
              </w:rPr>
              <w:t>224</w:t>
            </w:r>
          </w:p>
        </w:tc>
      </w:tr>
      <w:tr w:rsidR="003A22B8" w14:paraId="1310EFD5"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212AE3" w14:textId="77777777" w:rsidR="003A22B8" w:rsidRDefault="003A22B8" w:rsidP="004D65FE">
            <w:pPr>
              <w:keepNext/>
              <w:keepLines/>
              <w:spacing w:before="0"/>
              <w:ind w:left="142" w:hanging="142"/>
              <w:rPr>
                <w:rFonts w:cs="Open Sans Light"/>
                <w:sz w:val="16"/>
                <w:szCs w:val="16"/>
              </w:rPr>
            </w:pPr>
            <w:r>
              <w:rPr>
                <w:rFonts w:cs="Open Sans Light"/>
                <w:sz w:val="16"/>
                <w:szCs w:val="16"/>
              </w:rPr>
              <w:t>Health</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B7730DD" w14:textId="77777777" w:rsidR="003A22B8" w:rsidRDefault="003A22B8" w:rsidP="004D65FE">
            <w:pPr>
              <w:keepNext/>
              <w:keepLines/>
              <w:spacing w:before="0"/>
              <w:jc w:val="right"/>
              <w:rPr>
                <w:rFonts w:cs="Open Sans Light"/>
                <w:sz w:val="16"/>
                <w:szCs w:val="16"/>
              </w:rPr>
            </w:pPr>
            <w:r>
              <w:rPr>
                <w:rFonts w:cs="Open Sans Light"/>
                <w:sz w:val="16"/>
                <w:szCs w:val="16"/>
              </w:rPr>
              <w:t>2,404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9A656E" w14:textId="77777777" w:rsidR="003A22B8" w:rsidRDefault="003A22B8" w:rsidP="004D65FE">
            <w:pPr>
              <w:keepNext/>
              <w:keepLines/>
              <w:spacing w:before="0"/>
              <w:jc w:val="right"/>
              <w:rPr>
                <w:rFonts w:cs="Open Sans Light"/>
                <w:sz w:val="16"/>
                <w:szCs w:val="16"/>
              </w:rPr>
            </w:pPr>
            <w:r>
              <w:rPr>
                <w:rFonts w:cs="Open Sans Light"/>
                <w:sz w:val="16"/>
                <w:szCs w:val="16"/>
              </w:rPr>
              <w:t>2,322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C31E9F4" w14:textId="77777777" w:rsidR="003A22B8" w:rsidRDefault="003A22B8" w:rsidP="004D65FE">
            <w:pPr>
              <w:keepNext/>
              <w:keepLines/>
              <w:spacing w:before="0"/>
              <w:jc w:val="right"/>
              <w:rPr>
                <w:rFonts w:cs="Open Sans Light"/>
                <w:sz w:val="16"/>
                <w:szCs w:val="16"/>
              </w:rPr>
            </w:pPr>
            <w:r>
              <w:rPr>
                <w:rFonts w:cs="Open Sans Light"/>
                <w:sz w:val="16"/>
                <w:szCs w:val="16"/>
              </w:rPr>
              <w:t>2,506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1E909EF" w14:textId="77777777" w:rsidR="003A22B8" w:rsidRDefault="003A22B8" w:rsidP="004D65FE">
            <w:pPr>
              <w:keepNext/>
              <w:keepLines/>
              <w:spacing w:before="0"/>
              <w:jc w:val="right"/>
              <w:rPr>
                <w:rFonts w:cs="Open Sans Light"/>
                <w:sz w:val="16"/>
                <w:szCs w:val="16"/>
              </w:rPr>
            </w:pPr>
            <w:r>
              <w:rPr>
                <w:rFonts w:cs="Open Sans Light"/>
                <w:sz w:val="16"/>
                <w:szCs w:val="16"/>
              </w:rPr>
              <w:t>2,606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2EFCED" w14:textId="77777777" w:rsidR="003A22B8" w:rsidRDefault="003A22B8" w:rsidP="004D65FE">
            <w:pPr>
              <w:keepNext/>
              <w:keepLines/>
              <w:spacing w:before="0"/>
              <w:jc w:val="right"/>
              <w:rPr>
                <w:rFonts w:cs="Open Sans Light"/>
                <w:sz w:val="16"/>
                <w:szCs w:val="16"/>
              </w:rPr>
            </w:pPr>
            <w:r>
              <w:rPr>
                <w:rFonts w:cs="Open Sans Light"/>
                <w:sz w:val="16"/>
                <w:szCs w:val="16"/>
              </w:rPr>
              <w:t>2,638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A9E78A" w14:textId="77777777" w:rsidR="003A22B8" w:rsidRDefault="003A22B8" w:rsidP="004D65FE">
            <w:pPr>
              <w:keepNext/>
              <w:keepLines/>
              <w:spacing w:before="0"/>
              <w:jc w:val="right"/>
              <w:rPr>
                <w:rFonts w:cs="Open Sans Light"/>
                <w:sz w:val="16"/>
                <w:szCs w:val="16"/>
              </w:rPr>
            </w:pPr>
            <w:r>
              <w:rPr>
                <w:rFonts w:cs="Open Sans Light"/>
                <w:sz w:val="16"/>
                <w:szCs w:val="16"/>
              </w:rPr>
              <w:t>3,002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2471FF" w14:textId="77777777" w:rsidR="003A22B8" w:rsidRDefault="003A22B8" w:rsidP="004D65FE">
            <w:pPr>
              <w:keepNext/>
              <w:keepLines/>
              <w:spacing w:before="0"/>
              <w:jc w:val="right"/>
              <w:rPr>
                <w:rFonts w:cs="Open Sans Light"/>
                <w:sz w:val="16"/>
                <w:szCs w:val="16"/>
              </w:rPr>
            </w:pPr>
            <w:r>
              <w:rPr>
                <w:rFonts w:cs="Open Sans Light"/>
                <w:sz w:val="16"/>
                <w:szCs w:val="16"/>
              </w:rPr>
              <w:t>2,182</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F362DD0" w14:textId="77777777" w:rsidR="003A22B8" w:rsidRDefault="003A22B8" w:rsidP="004D65FE">
            <w:pPr>
              <w:keepNext/>
              <w:keepLines/>
              <w:spacing w:before="0"/>
              <w:jc w:val="right"/>
              <w:rPr>
                <w:rFonts w:cs="Open Sans Light"/>
                <w:sz w:val="16"/>
                <w:szCs w:val="16"/>
              </w:rPr>
            </w:pPr>
            <w:r>
              <w:rPr>
                <w:rFonts w:cs="Open Sans Light"/>
                <w:sz w:val="16"/>
                <w:szCs w:val="16"/>
              </w:rPr>
              <w:t>4,416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8846CC" w14:textId="77777777" w:rsidR="003A22B8" w:rsidRDefault="003A22B8" w:rsidP="004D65FE">
            <w:pPr>
              <w:keepNext/>
              <w:keepLines/>
              <w:spacing w:before="0"/>
              <w:jc w:val="right"/>
              <w:rPr>
                <w:rFonts w:cs="Open Sans Light"/>
                <w:sz w:val="16"/>
                <w:szCs w:val="16"/>
              </w:rPr>
            </w:pPr>
            <w:r>
              <w:rPr>
                <w:rFonts w:cs="Open Sans Light"/>
                <w:sz w:val="16"/>
                <w:szCs w:val="16"/>
              </w:rPr>
              <w:t>2,470</w:t>
            </w:r>
          </w:p>
        </w:tc>
      </w:tr>
      <w:tr w:rsidR="003A22B8" w14:paraId="645E2610"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BCD6B44" w14:textId="77777777" w:rsidR="003A22B8" w:rsidRDefault="003A22B8" w:rsidP="004D65FE">
            <w:pPr>
              <w:keepNext/>
              <w:keepLines/>
              <w:spacing w:before="0"/>
              <w:ind w:left="142" w:hanging="142"/>
              <w:rPr>
                <w:rFonts w:cs="Open Sans Light"/>
                <w:sz w:val="16"/>
                <w:szCs w:val="16"/>
              </w:rPr>
            </w:pPr>
            <w:r>
              <w:rPr>
                <w:rFonts w:cs="Open Sans Light"/>
                <w:sz w:val="16"/>
                <w:szCs w:val="16"/>
              </w:rPr>
              <w:t>Housing</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298BB9C" w14:textId="77777777" w:rsidR="003A22B8" w:rsidRDefault="003A22B8" w:rsidP="004D65FE">
            <w:pPr>
              <w:keepNext/>
              <w:keepLines/>
              <w:spacing w:before="0"/>
              <w:jc w:val="right"/>
              <w:rPr>
                <w:rFonts w:cs="Open Sans Light"/>
                <w:sz w:val="16"/>
                <w:szCs w:val="16"/>
              </w:rPr>
            </w:pPr>
            <w:r>
              <w:rPr>
                <w:rFonts w:cs="Open Sans Light"/>
                <w:sz w:val="16"/>
                <w:szCs w:val="16"/>
              </w:rPr>
              <w:t>108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8623A73" w14:textId="77777777" w:rsidR="003A22B8" w:rsidRDefault="003A22B8" w:rsidP="004D65FE">
            <w:pPr>
              <w:keepNext/>
              <w:keepLines/>
              <w:spacing w:before="0"/>
              <w:jc w:val="right"/>
              <w:rPr>
                <w:rFonts w:cs="Open Sans Light"/>
                <w:sz w:val="16"/>
                <w:szCs w:val="16"/>
              </w:rPr>
            </w:pPr>
            <w:r>
              <w:rPr>
                <w:rFonts w:cs="Open Sans Light"/>
                <w:sz w:val="16"/>
                <w:szCs w:val="16"/>
              </w:rPr>
              <w:t>94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B68FB0A" w14:textId="77777777" w:rsidR="003A22B8" w:rsidRDefault="003A22B8" w:rsidP="004D65FE">
            <w:pPr>
              <w:keepNext/>
              <w:keepLines/>
              <w:spacing w:before="0"/>
              <w:jc w:val="right"/>
              <w:rPr>
                <w:rFonts w:cs="Open Sans Light"/>
                <w:sz w:val="16"/>
                <w:szCs w:val="16"/>
              </w:rPr>
            </w:pPr>
            <w:r>
              <w:rPr>
                <w:rFonts w:cs="Open Sans Light"/>
                <w:sz w:val="16"/>
                <w:szCs w:val="16"/>
              </w:rPr>
              <w:t>128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735705" w14:textId="77777777" w:rsidR="003A22B8" w:rsidRDefault="003A22B8" w:rsidP="004D65FE">
            <w:pPr>
              <w:keepNext/>
              <w:keepLines/>
              <w:spacing w:before="0"/>
              <w:jc w:val="right"/>
              <w:rPr>
                <w:rFonts w:cs="Open Sans Light"/>
                <w:sz w:val="16"/>
                <w:szCs w:val="16"/>
              </w:rPr>
            </w:pPr>
            <w:r>
              <w:rPr>
                <w:rFonts w:cs="Open Sans Light"/>
                <w:sz w:val="16"/>
                <w:szCs w:val="16"/>
              </w:rPr>
              <w:t>146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DE30FC" w14:textId="77777777" w:rsidR="003A22B8" w:rsidRDefault="003A22B8" w:rsidP="004D65FE">
            <w:pPr>
              <w:keepNext/>
              <w:keepLines/>
              <w:spacing w:before="0"/>
              <w:jc w:val="right"/>
              <w:rPr>
                <w:rFonts w:cs="Open Sans Light"/>
                <w:sz w:val="16"/>
                <w:szCs w:val="16"/>
              </w:rPr>
            </w:pPr>
            <w:r>
              <w:rPr>
                <w:rFonts w:cs="Open Sans Light"/>
                <w:sz w:val="16"/>
                <w:szCs w:val="16"/>
              </w:rPr>
              <w:t>131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B0A090B" w14:textId="77777777" w:rsidR="003A22B8" w:rsidRDefault="003A22B8" w:rsidP="004D65FE">
            <w:pPr>
              <w:keepNext/>
              <w:keepLines/>
              <w:spacing w:before="0"/>
              <w:jc w:val="right"/>
              <w:rPr>
                <w:rFonts w:cs="Open Sans Light"/>
                <w:sz w:val="16"/>
                <w:szCs w:val="16"/>
              </w:rPr>
            </w:pPr>
            <w:r>
              <w:rPr>
                <w:rFonts w:cs="Open Sans Light"/>
                <w:sz w:val="16"/>
                <w:szCs w:val="16"/>
              </w:rPr>
              <w:t>132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B09A823" w14:textId="77777777" w:rsidR="003A22B8" w:rsidRDefault="003A22B8" w:rsidP="004D65FE">
            <w:pPr>
              <w:keepNext/>
              <w:keepLines/>
              <w:spacing w:before="0"/>
              <w:jc w:val="right"/>
              <w:rPr>
                <w:rFonts w:cs="Open Sans Light"/>
                <w:sz w:val="16"/>
                <w:szCs w:val="16"/>
              </w:rPr>
            </w:pPr>
            <w:r>
              <w:rPr>
                <w:rFonts w:cs="Open Sans Light"/>
                <w:sz w:val="16"/>
                <w:szCs w:val="16"/>
              </w:rPr>
              <w:t>76</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C8428F2" w14:textId="77777777" w:rsidR="003A22B8" w:rsidRDefault="003A22B8" w:rsidP="004D65FE">
            <w:pPr>
              <w:keepNext/>
              <w:keepLines/>
              <w:spacing w:before="0"/>
              <w:jc w:val="right"/>
              <w:rPr>
                <w:rFonts w:cs="Open Sans Light"/>
                <w:sz w:val="16"/>
                <w:szCs w:val="16"/>
              </w:rPr>
            </w:pPr>
            <w:r>
              <w:rPr>
                <w:rFonts w:cs="Open Sans Light"/>
                <w:sz w:val="16"/>
                <w:szCs w:val="16"/>
              </w:rPr>
              <w:t>550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523AADA" w14:textId="77777777" w:rsidR="003A22B8" w:rsidRDefault="003A22B8" w:rsidP="004D65FE">
            <w:pPr>
              <w:keepNext/>
              <w:keepLines/>
              <w:spacing w:before="0"/>
              <w:jc w:val="right"/>
              <w:rPr>
                <w:rFonts w:cs="Open Sans Light"/>
                <w:sz w:val="16"/>
                <w:szCs w:val="16"/>
              </w:rPr>
            </w:pPr>
            <w:r>
              <w:rPr>
                <w:rFonts w:cs="Open Sans Light"/>
                <w:sz w:val="16"/>
                <w:szCs w:val="16"/>
              </w:rPr>
              <w:t>119</w:t>
            </w:r>
          </w:p>
        </w:tc>
      </w:tr>
      <w:tr w:rsidR="003A22B8" w14:paraId="7960860E"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AE72ED9" w14:textId="77777777" w:rsidR="003A22B8" w:rsidRDefault="003A22B8" w:rsidP="004D65FE">
            <w:pPr>
              <w:keepNext/>
              <w:keepLines/>
              <w:spacing w:before="0"/>
              <w:ind w:left="142" w:hanging="142"/>
              <w:rPr>
                <w:rFonts w:cs="Open Sans Light"/>
                <w:sz w:val="16"/>
                <w:szCs w:val="16"/>
              </w:rPr>
            </w:pPr>
            <w:r>
              <w:rPr>
                <w:rFonts w:cs="Open Sans Light"/>
                <w:sz w:val="16"/>
                <w:szCs w:val="16"/>
              </w:rPr>
              <w:t>Welfare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1FCF80C" w14:textId="77777777" w:rsidR="003A22B8" w:rsidRDefault="003A22B8" w:rsidP="004D65FE">
            <w:pPr>
              <w:keepNext/>
              <w:keepLines/>
              <w:spacing w:before="0"/>
              <w:jc w:val="right"/>
              <w:rPr>
                <w:rFonts w:cs="Open Sans Light"/>
                <w:sz w:val="16"/>
                <w:szCs w:val="16"/>
              </w:rPr>
            </w:pPr>
            <w:r>
              <w:rPr>
                <w:rFonts w:cs="Open Sans Light"/>
                <w:sz w:val="16"/>
                <w:szCs w:val="16"/>
              </w:rPr>
              <w:t>742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0C4CD8F" w14:textId="77777777" w:rsidR="003A22B8" w:rsidRDefault="003A22B8" w:rsidP="004D65FE">
            <w:pPr>
              <w:keepNext/>
              <w:keepLines/>
              <w:spacing w:before="0"/>
              <w:jc w:val="right"/>
              <w:rPr>
                <w:rFonts w:cs="Open Sans Light"/>
                <w:sz w:val="16"/>
                <w:szCs w:val="16"/>
              </w:rPr>
            </w:pPr>
            <w:r>
              <w:rPr>
                <w:rFonts w:cs="Open Sans Light"/>
                <w:sz w:val="16"/>
                <w:szCs w:val="16"/>
              </w:rPr>
              <w:t>667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0EC1B0" w14:textId="77777777" w:rsidR="003A22B8" w:rsidRDefault="003A22B8" w:rsidP="004D65FE">
            <w:pPr>
              <w:keepNext/>
              <w:keepLines/>
              <w:spacing w:before="0"/>
              <w:jc w:val="right"/>
              <w:rPr>
                <w:rFonts w:cs="Open Sans Light"/>
                <w:sz w:val="16"/>
                <w:szCs w:val="16"/>
              </w:rPr>
            </w:pPr>
            <w:r>
              <w:rPr>
                <w:rFonts w:cs="Open Sans Light"/>
                <w:sz w:val="16"/>
                <w:szCs w:val="16"/>
              </w:rPr>
              <w:t>791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295581" w14:textId="77777777" w:rsidR="003A22B8" w:rsidRDefault="003A22B8" w:rsidP="004D65FE">
            <w:pPr>
              <w:keepNext/>
              <w:keepLines/>
              <w:spacing w:before="0"/>
              <w:jc w:val="right"/>
              <w:rPr>
                <w:rFonts w:cs="Open Sans Light"/>
                <w:sz w:val="16"/>
                <w:szCs w:val="16"/>
              </w:rPr>
            </w:pPr>
            <w:r>
              <w:rPr>
                <w:rFonts w:cs="Open Sans Light"/>
                <w:sz w:val="16"/>
                <w:szCs w:val="16"/>
              </w:rPr>
              <w:t>757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AC2042A" w14:textId="77777777" w:rsidR="003A22B8" w:rsidRDefault="003A22B8" w:rsidP="004D65FE">
            <w:pPr>
              <w:keepNext/>
              <w:keepLines/>
              <w:spacing w:before="0"/>
              <w:jc w:val="right"/>
              <w:rPr>
                <w:rFonts w:cs="Open Sans Light"/>
                <w:sz w:val="16"/>
                <w:szCs w:val="16"/>
              </w:rPr>
            </w:pPr>
            <w:r>
              <w:rPr>
                <w:rFonts w:cs="Open Sans Light"/>
                <w:sz w:val="16"/>
                <w:szCs w:val="16"/>
              </w:rPr>
              <w:t>762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02691FB" w14:textId="77777777" w:rsidR="003A22B8" w:rsidRDefault="003A22B8" w:rsidP="004D65FE">
            <w:pPr>
              <w:keepNext/>
              <w:keepLines/>
              <w:spacing w:before="0"/>
              <w:jc w:val="right"/>
              <w:rPr>
                <w:rFonts w:cs="Open Sans Light"/>
                <w:sz w:val="16"/>
                <w:szCs w:val="16"/>
              </w:rPr>
            </w:pPr>
            <w:r>
              <w:rPr>
                <w:rFonts w:cs="Open Sans Light"/>
                <w:sz w:val="16"/>
                <w:szCs w:val="16"/>
              </w:rPr>
              <w:t>855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2BB120B" w14:textId="77777777" w:rsidR="003A22B8" w:rsidRDefault="003A22B8" w:rsidP="004D65FE">
            <w:pPr>
              <w:keepNext/>
              <w:keepLines/>
              <w:spacing w:before="0"/>
              <w:jc w:val="right"/>
              <w:rPr>
                <w:rFonts w:cs="Open Sans Light"/>
                <w:sz w:val="16"/>
                <w:szCs w:val="16"/>
              </w:rPr>
            </w:pPr>
            <w:r>
              <w:rPr>
                <w:rFonts w:cs="Open Sans Light"/>
                <w:sz w:val="16"/>
                <w:szCs w:val="16"/>
              </w:rPr>
              <w:t>619</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DAFEAE3" w14:textId="77777777" w:rsidR="003A22B8" w:rsidRDefault="003A22B8" w:rsidP="004D65FE">
            <w:pPr>
              <w:keepNext/>
              <w:keepLines/>
              <w:spacing w:before="0"/>
              <w:jc w:val="right"/>
              <w:rPr>
                <w:rFonts w:cs="Open Sans Light"/>
                <w:sz w:val="16"/>
                <w:szCs w:val="16"/>
              </w:rPr>
            </w:pPr>
            <w:r>
              <w:rPr>
                <w:rFonts w:cs="Open Sans Light"/>
                <w:sz w:val="16"/>
                <w:szCs w:val="16"/>
              </w:rPr>
              <w:t>1,644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0D2FDD4" w14:textId="77777777" w:rsidR="003A22B8" w:rsidRDefault="003A22B8" w:rsidP="004D65FE">
            <w:pPr>
              <w:keepNext/>
              <w:keepLines/>
              <w:spacing w:before="0"/>
              <w:jc w:val="right"/>
              <w:rPr>
                <w:rFonts w:cs="Open Sans Light"/>
                <w:sz w:val="16"/>
                <w:szCs w:val="16"/>
              </w:rPr>
            </w:pPr>
            <w:r>
              <w:rPr>
                <w:rFonts w:cs="Open Sans Light"/>
                <w:sz w:val="16"/>
                <w:szCs w:val="16"/>
              </w:rPr>
              <w:t>745</w:t>
            </w:r>
          </w:p>
        </w:tc>
      </w:tr>
      <w:tr w:rsidR="003A22B8" w14:paraId="773E0069"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703B157" w14:textId="77777777" w:rsidR="003A22B8" w:rsidRDefault="003A22B8" w:rsidP="004D65FE">
            <w:pPr>
              <w:keepNext/>
              <w:keepLines/>
              <w:spacing w:before="0"/>
              <w:ind w:left="142" w:hanging="142"/>
              <w:rPr>
                <w:rFonts w:cs="Open Sans Light"/>
                <w:sz w:val="16"/>
                <w:szCs w:val="16"/>
              </w:rPr>
            </w:pPr>
            <w:r>
              <w:rPr>
                <w:rFonts w:cs="Open Sans Light"/>
                <w:sz w:val="16"/>
                <w:szCs w:val="16"/>
              </w:rPr>
              <w:t>Services to communities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3B6F999" w14:textId="77777777" w:rsidR="003A22B8" w:rsidRDefault="003A22B8" w:rsidP="004D65FE">
            <w:pPr>
              <w:keepNext/>
              <w:keepLines/>
              <w:spacing w:before="0"/>
              <w:jc w:val="right"/>
              <w:rPr>
                <w:rFonts w:cs="Open Sans Light"/>
                <w:sz w:val="16"/>
                <w:szCs w:val="16"/>
              </w:rPr>
            </w:pPr>
            <w:r>
              <w:rPr>
                <w:rFonts w:cs="Open Sans Light"/>
                <w:sz w:val="16"/>
                <w:szCs w:val="16"/>
              </w:rPr>
              <w:t>292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D9235C1" w14:textId="77777777" w:rsidR="003A22B8" w:rsidRDefault="003A22B8" w:rsidP="004D65FE">
            <w:pPr>
              <w:keepNext/>
              <w:keepLines/>
              <w:spacing w:before="0"/>
              <w:jc w:val="right"/>
              <w:rPr>
                <w:rFonts w:cs="Open Sans Light"/>
                <w:sz w:val="16"/>
                <w:szCs w:val="16"/>
              </w:rPr>
            </w:pPr>
            <w:r>
              <w:rPr>
                <w:rFonts w:cs="Open Sans Light"/>
                <w:sz w:val="16"/>
                <w:szCs w:val="16"/>
              </w:rPr>
              <w:t>284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D24F86B" w14:textId="77777777" w:rsidR="003A22B8" w:rsidRDefault="003A22B8" w:rsidP="004D65FE">
            <w:pPr>
              <w:keepNext/>
              <w:keepLines/>
              <w:spacing w:before="0"/>
              <w:jc w:val="right"/>
              <w:rPr>
                <w:rFonts w:cs="Open Sans Light"/>
                <w:sz w:val="16"/>
                <w:szCs w:val="16"/>
              </w:rPr>
            </w:pPr>
            <w:r>
              <w:rPr>
                <w:rFonts w:cs="Open Sans Light"/>
                <w:sz w:val="16"/>
                <w:szCs w:val="16"/>
              </w:rPr>
              <w:t>330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E5AE967" w14:textId="77777777" w:rsidR="003A22B8" w:rsidRDefault="003A22B8" w:rsidP="004D65FE">
            <w:pPr>
              <w:keepNext/>
              <w:keepLines/>
              <w:spacing w:before="0"/>
              <w:jc w:val="right"/>
              <w:rPr>
                <w:rFonts w:cs="Open Sans Light"/>
                <w:sz w:val="16"/>
                <w:szCs w:val="16"/>
              </w:rPr>
            </w:pPr>
            <w:r>
              <w:rPr>
                <w:rFonts w:cs="Open Sans Light"/>
                <w:sz w:val="16"/>
                <w:szCs w:val="16"/>
              </w:rPr>
              <w:t>371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0B8E7AB" w14:textId="77777777" w:rsidR="003A22B8" w:rsidRDefault="003A22B8" w:rsidP="004D65FE">
            <w:pPr>
              <w:keepNext/>
              <w:keepLines/>
              <w:spacing w:before="0"/>
              <w:jc w:val="right"/>
              <w:rPr>
                <w:rFonts w:cs="Open Sans Light"/>
                <w:sz w:val="16"/>
                <w:szCs w:val="16"/>
              </w:rPr>
            </w:pPr>
            <w:r>
              <w:rPr>
                <w:rFonts w:cs="Open Sans Light"/>
                <w:sz w:val="16"/>
                <w:szCs w:val="16"/>
              </w:rPr>
              <w:t>318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09C3708" w14:textId="77777777" w:rsidR="003A22B8" w:rsidRDefault="003A22B8" w:rsidP="004D65FE">
            <w:pPr>
              <w:keepNext/>
              <w:keepLines/>
              <w:spacing w:before="0"/>
              <w:jc w:val="right"/>
              <w:rPr>
                <w:rFonts w:cs="Open Sans Light"/>
                <w:sz w:val="16"/>
                <w:szCs w:val="16"/>
              </w:rPr>
            </w:pPr>
            <w:r>
              <w:rPr>
                <w:rFonts w:cs="Open Sans Light"/>
                <w:sz w:val="16"/>
                <w:szCs w:val="16"/>
              </w:rPr>
              <w:t>312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3F7F251" w14:textId="77777777" w:rsidR="003A22B8" w:rsidRDefault="003A22B8" w:rsidP="004D65FE">
            <w:pPr>
              <w:keepNext/>
              <w:keepLines/>
              <w:spacing w:before="0"/>
              <w:jc w:val="right"/>
              <w:rPr>
                <w:rFonts w:cs="Open Sans Light"/>
                <w:sz w:val="16"/>
                <w:szCs w:val="16"/>
              </w:rPr>
            </w:pPr>
            <w:r>
              <w:rPr>
                <w:rFonts w:cs="Open Sans Light"/>
                <w:sz w:val="16"/>
                <w:szCs w:val="16"/>
              </w:rPr>
              <w:t>287</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A17E10B" w14:textId="77777777" w:rsidR="003A22B8" w:rsidRDefault="003A22B8" w:rsidP="004D65FE">
            <w:pPr>
              <w:keepNext/>
              <w:keepLines/>
              <w:spacing w:before="0"/>
              <w:jc w:val="right"/>
              <w:rPr>
                <w:rFonts w:cs="Open Sans Light"/>
                <w:sz w:val="16"/>
                <w:szCs w:val="16"/>
              </w:rPr>
            </w:pPr>
            <w:r>
              <w:rPr>
                <w:rFonts w:cs="Open Sans Light"/>
                <w:sz w:val="16"/>
                <w:szCs w:val="16"/>
              </w:rPr>
              <w:t>1,254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121581D" w14:textId="77777777" w:rsidR="003A22B8" w:rsidRDefault="003A22B8" w:rsidP="004D65FE">
            <w:pPr>
              <w:keepNext/>
              <w:keepLines/>
              <w:spacing w:before="0"/>
              <w:jc w:val="right"/>
              <w:rPr>
                <w:rFonts w:cs="Open Sans Light"/>
                <w:sz w:val="16"/>
                <w:szCs w:val="16"/>
              </w:rPr>
            </w:pPr>
            <w:r>
              <w:rPr>
                <w:rFonts w:cs="Open Sans Light"/>
                <w:sz w:val="16"/>
                <w:szCs w:val="16"/>
              </w:rPr>
              <w:t>318</w:t>
            </w:r>
          </w:p>
        </w:tc>
      </w:tr>
      <w:tr w:rsidR="003A22B8" w14:paraId="1558D2CC"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0A2BEF9" w14:textId="77777777" w:rsidR="003A22B8" w:rsidRDefault="003A22B8" w:rsidP="004D65FE">
            <w:pPr>
              <w:keepNext/>
              <w:keepLines/>
              <w:spacing w:before="0"/>
              <w:ind w:left="142" w:hanging="142"/>
              <w:rPr>
                <w:rFonts w:cs="Open Sans Light"/>
                <w:sz w:val="16"/>
                <w:szCs w:val="16"/>
              </w:rPr>
            </w:pPr>
            <w:r>
              <w:rPr>
                <w:rFonts w:cs="Open Sans Light"/>
                <w:sz w:val="16"/>
                <w:szCs w:val="16"/>
              </w:rPr>
              <w:t>Justice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E851B05" w14:textId="77777777" w:rsidR="003A22B8" w:rsidRDefault="003A22B8" w:rsidP="004D65FE">
            <w:pPr>
              <w:keepNext/>
              <w:keepLines/>
              <w:spacing w:before="0"/>
              <w:jc w:val="right"/>
              <w:rPr>
                <w:rFonts w:cs="Open Sans Light"/>
                <w:sz w:val="16"/>
                <w:szCs w:val="16"/>
              </w:rPr>
            </w:pPr>
            <w:r>
              <w:rPr>
                <w:rFonts w:cs="Open Sans Light"/>
                <w:sz w:val="16"/>
                <w:szCs w:val="16"/>
              </w:rPr>
              <w:t>756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6A4A02" w14:textId="77777777" w:rsidR="003A22B8" w:rsidRDefault="003A22B8" w:rsidP="004D65FE">
            <w:pPr>
              <w:keepNext/>
              <w:keepLines/>
              <w:spacing w:before="0"/>
              <w:jc w:val="right"/>
              <w:rPr>
                <w:rFonts w:cs="Open Sans Light"/>
                <w:sz w:val="16"/>
                <w:szCs w:val="16"/>
              </w:rPr>
            </w:pPr>
            <w:r>
              <w:rPr>
                <w:rFonts w:cs="Open Sans Light"/>
                <w:sz w:val="16"/>
                <w:szCs w:val="16"/>
              </w:rPr>
              <w:t>681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FA61B99" w14:textId="77777777" w:rsidR="003A22B8" w:rsidRDefault="003A22B8" w:rsidP="004D65FE">
            <w:pPr>
              <w:keepNext/>
              <w:keepLines/>
              <w:spacing w:before="0"/>
              <w:jc w:val="right"/>
              <w:rPr>
                <w:rFonts w:cs="Open Sans Light"/>
                <w:sz w:val="16"/>
                <w:szCs w:val="16"/>
              </w:rPr>
            </w:pPr>
            <w:r>
              <w:rPr>
                <w:rFonts w:cs="Open Sans Light"/>
                <w:sz w:val="16"/>
                <w:szCs w:val="16"/>
              </w:rPr>
              <w:t>832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27D9393" w14:textId="77777777" w:rsidR="003A22B8" w:rsidRDefault="003A22B8" w:rsidP="004D65FE">
            <w:pPr>
              <w:keepNext/>
              <w:keepLines/>
              <w:spacing w:before="0"/>
              <w:jc w:val="right"/>
              <w:rPr>
                <w:rFonts w:cs="Open Sans Light"/>
                <w:sz w:val="16"/>
                <w:szCs w:val="16"/>
              </w:rPr>
            </w:pPr>
            <w:r>
              <w:rPr>
                <w:rFonts w:cs="Open Sans Light"/>
                <w:sz w:val="16"/>
                <w:szCs w:val="16"/>
              </w:rPr>
              <w:t>872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9343D3" w14:textId="77777777" w:rsidR="003A22B8" w:rsidRDefault="003A22B8" w:rsidP="004D65FE">
            <w:pPr>
              <w:keepNext/>
              <w:keepLines/>
              <w:spacing w:before="0"/>
              <w:jc w:val="right"/>
              <w:rPr>
                <w:rFonts w:cs="Open Sans Light"/>
                <w:sz w:val="16"/>
                <w:szCs w:val="16"/>
              </w:rPr>
            </w:pPr>
            <w:r>
              <w:rPr>
                <w:rFonts w:cs="Open Sans Light"/>
                <w:sz w:val="16"/>
                <w:szCs w:val="16"/>
              </w:rPr>
              <w:t>792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A9DABD4" w14:textId="77777777" w:rsidR="003A22B8" w:rsidRDefault="003A22B8" w:rsidP="004D65FE">
            <w:pPr>
              <w:keepNext/>
              <w:keepLines/>
              <w:spacing w:before="0"/>
              <w:jc w:val="right"/>
              <w:rPr>
                <w:rFonts w:cs="Open Sans Light"/>
                <w:sz w:val="16"/>
                <w:szCs w:val="16"/>
              </w:rPr>
            </w:pPr>
            <w:r>
              <w:rPr>
                <w:rFonts w:cs="Open Sans Light"/>
                <w:sz w:val="16"/>
                <w:szCs w:val="16"/>
              </w:rPr>
              <w:t>872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D5A400" w14:textId="77777777" w:rsidR="003A22B8" w:rsidRDefault="003A22B8" w:rsidP="004D65FE">
            <w:pPr>
              <w:keepNext/>
              <w:keepLines/>
              <w:spacing w:before="0"/>
              <w:jc w:val="right"/>
              <w:rPr>
                <w:rFonts w:cs="Open Sans Light"/>
                <w:sz w:val="16"/>
                <w:szCs w:val="16"/>
              </w:rPr>
            </w:pPr>
            <w:r>
              <w:rPr>
                <w:rFonts w:cs="Open Sans Light"/>
                <w:sz w:val="16"/>
                <w:szCs w:val="16"/>
              </w:rPr>
              <w:t>638</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0198DA" w14:textId="77777777" w:rsidR="003A22B8" w:rsidRDefault="003A22B8" w:rsidP="004D65FE">
            <w:pPr>
              <w:keepNext/>
              <w:keepLines/>
              <w:spacing w:before="0"/>
              <w:jc w:val="right"/>
              <w:rPr>
                <w:rFonts w:cs="Open Sans Light"/>
                <w:sz w:val="16"/>
                <w:szCs w:val="16"/>
              </w:rPr>
            </w:pPr>
            <w:r>
              <w:rPr>
                <w:rFonts w:cs="Open Sans Light"/>
                <w:sz w:val="16"/>
                <w:szCs w:val="16"/>
              </w:rPr>
              <w:t>2,514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051989F" w14:textId="77777777" w:rsidR="003A22B8" w:rsidRDefault="003A22B8" w:rsidP="004D65FE">
            <w:pPr>
              <w:keepNext/>
              <w:keepLines/>
              <w:spacing w:before="0"/>
              <w:jc w:val="right"/>
              <w:rPr>
                <w:rFonts w:cs="Open Sans Light"/>
                <w:sz w:val="16"/>
                <w:szCs w:val="16"/>
              </w:rPr>
            </w:pPr>
            <w:r>
              <w:rPr>
                <w:rFonts w:cs="Open Sans Light"/>
                <w:sz w:val="16"/>
                <w:szCs w:val="16"/>
              </w:rPr>
              <w:t>785</w:t>
            </w:r>
          </w:p>
        </w:tc>
      </w:tr>
      <w:tr w:rsidR="003A22B8" w14:paraId="5A02A2EC"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B9B9715" w14:textId="77777777" w:rsidR="003A22B8" w:rsidRDefault="003A22B8" w:rsidP="004D65FE">
            <w:pPr>
              <w:keepNext/>
              <w:keepLines/>
              <w:spacing w:before="0"/>
              <w:ind w:left="142" w:hanging="142"/>
              <w:rPr>
                <w:rFonts w:cs="Open Sans Light"/>
                <w:sz w:val="16"/>
                <w:szCs w:val="16"/>
              </w:rPr>
            </w:pPr>
            <w:r>
              <w:rPr>
                <w:rFonts w:cs="Open Sans Light"/>
                <w:sz w:val="16"/>
                <w:szCs w:val="16"/>
              </w:rPr>
              <w:t>Roads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AFFB23B" w14:textId="77777777" w:rsidR="003A22B8" w:rsidRDefault="003A22B8" w:rsidP="004D65FE">
            <w:pPr>
              <w:keepNext/>
              <w:keepLines/>
              <w:spacing w:before="0"/>
              <w:jc w:val="right"/>
              <w:rPr>
                <w:rFonts w:cs="Open Sans Light"/>
                <w:sz w:val="16"/>
                <w:szCs w:val="16"/>
              </w:rPr>
            </w:pPr>
            <w:r>
              <w:rPr>
                <w:rFonts w:cs="Open Sans Light"/>
                <w:sz w:val="16"/>
                <w:szCs w:val="16"/>
              </w:rPr>
              <w:t>257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E6564B6" w14:textId="77777777" w:rsidR="003A22B8" w:rsidRDefault="003A22B8" w:rsidP="004D65FE">
            <w:pPr>
              <w:keepNext/>
              <w:keepLines/>
              <w:spacing w:before="0"/>
              <w:jc w:val="right"/>
              <w:rPr>
                <w:rFonts w:cs="Open Sans Light"/>
                <w:sz w:val="16"/>
                <w:szCs w:val="16"/>
              </w:rPr>
            </w:pPr>
            <w:r>
              <w:rPr>
                <w:rFonts w:cs="Open Sans Light"/>
                <w:sz w:val="16"/>
                <w:szCs w:val="16"/>
              </w:rPr>
              <w:t>240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D58DE2" w14:textId="77777777" w:rsidR="003A22B8" w:rsidRDefault="003A22B8" w:rsidP="004D65FE">
            <w:pPr>
              <w:keepNext/>
              <w:keepLines/>
              <w:spacing w:before="0"/>
              <w:jc w:val="right"/>
              <w:rPr>
                <w:rFonts w:cs="Open Sans Light"/>
                <w:sz w:val="16"/>
                <w:szCs w:val="16"/>
              </w:rPr>
            </w:pPr>
            <w:r>
              <w:rPr>
                <w:rFonts w:cs="Open Sans Light"/>
                <w:sz w:val="16"/>
                <w:szCs w:val="16"/>
              </w:rPr>
              <w:t>315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5B0E302" w14:textId="77777777" w:rsidR="003A22B8" w:rsidRDefault="003A22B8" w:rsidP="004D65FE">
            <w:pPr>
              <w:keepNext/>
              <w:keepLines/>
              <w:spacing w:before="0"/>
              <w:jc w:val="right"/>
              <w:rPr>
                <w:rFonts w:cs="Open Sans Light"/>
                <w:sz w:val="16"/>
                <w:szCs w:val="16"/>
              </w:rPr>
            </w:pPr>
            <w:r>
              <w:rPr>
                <w:rFonts w:cs="Open Sans Light"/>
                <w:sz w:val="16"/>
                <w:szCs w:val="16"/>
              </w:rPr>
              <w:t>342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017747" w14:textId="77777777" w:rsidR="003A22B8" w:rsidRDefault="003A22B8" w:rsidP="004D65FE">
            <w:pPr>
              <w:keepNext/>
              <w:keepLines/>
              <w:spacing w:before="0"/>
              <w:jc w:val="right"/>
              <w:rPr>
                <w:rFonts w:cs="Open Sans Light"/>
                <w:sz w:val="16"/>
                <w:szCs w:val="16"/>
              </w:rPr>
            </w:pPr>
            <w:r>
              <w:rPr>
                <w:rFonts w:cs="Open Sans Light"/>
                <w:sz w:val="16"/>
                <w:szCs w:val="16"/>
              </w:rPr>
              <w:t>323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49B76F" w14:textId="77777777" w:rsidR="003A22B8" w:rsidRDefault="003A22B8" w:rsidP="004D65FE">
            <w:pPr>
              <w:keepNext/>
              <w:keepLines/>
              <w:spacing w:before="0"/>
              <w:jc w:val="right"/>
              <w:rPr>
                <w:rFonts w:cs="Open Sans Light"/>
                <w:sz w:val="16"/>
                <w:szCs w:val="16"/>
              </w:rPr>
            </w:pPr>
            <w:r>
              <w:rPr>
                <w:rFonts w:cs="Open Sans Light"/>
                <w:sz w:val="16"/>
                <w:szCs w:val="16"/>
              </w:rPr>
              <w:t>290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0EF297" w14:textId="77777777" w:rsidR="003A22B8" w:rsidRDefault="003A22B8" w:rsidP="004D65FE">
            <w:pPr>
              <w:keepNext/>
              <w:keepLines/>
              <w:spacing w:before="0"/>
              <w:jc w:val="right"/>
              <w:rPr>
                <w:rFonts w:cs="Open Sans Light"/>
                <w:sz w:val="16"/>
                <w:szCs w:val="16"/>
              </w:rPr>
            </w:pPr>
            <w:r>
              <w:rPr>
                <w:rFonts w:cs="Open Sans Light"/>
                <w:sz w:val="16"/>
                <w:szCs w:val="16"/>
              </w:rPr>
              <w:t>144</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47D7FD1" w14:textId="77777777" w:rsidR="003A22B8" w:rsidRDefault="003A22B8" w:rsidP="004D65FE">
            <w:pPr>
              <w:keepNext/>
              <w:keepLines/>
              <w:spacing w:before="0"/>
              <w:jc w:val="right"/>
              <w:rPr>
                <w:rFonts w:cs="Open Sans Light"/>
                <w:sz w:val="16"/>
                <w:szCs w:val="16"/>
              </w:rPr>
            </w:pPr>
            <w:r>
              <w:rPr>
                <w:rFonts w:cs="Open Sans Light"/>
                <w:sz w:val="16"/>
                <w:szCs w:val="16"/>
              </w:rPr>
              <w:t>647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9D6398" w14:textId="77777777" w:rsidR="003A22B8" w:rsidRDefault="003A22B8" w:rsidP="004D65FE">
            <w:pPr>
              <w:keepNext/>
              <w:keepLines/>
              <w:spacing w:before="0"/>
              <w:jc w:val="right"/>
              <w:rPr>
                <w:rFonts w:cs="Open Sans Light"/>
                <w:sz w:val="16"/>
                <w:szCs w:val="16"/>
              </w:rPr>
            </w:pPr>
            <w:r>
              <w:rPr>
                <w:rFonts w:cs="Open Sans Light"/>
                <w:sz w:val="16"/>
                <w:szCs w:val="16"/>
              </w:rPr>
              <w:t>281</w:t>
            </w:r>
          </w:p>
        </w:tc>
      </w:tr>
      <w:tr w:rsidR="003A22B8" w14:paraId="57904985"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231165F" w14:textId="77777777" w:rsidR="003A22B8" w:rsidRDefault="003A22B8" w:rsidP="004D65FE">
            <w:pPr>
              <w:keepNext/>
              <w:keepLines/>
              <w:spacing w:before="0"/>
              <w:ind w:left="142" w:hanging="142"/>
              <w:rPr>
                <w:rFonts w:cs="Open Sans Light"/>
                <w:sz w:val="16"/>
                <w:szCs w:val="16"/>
              </w:rPr>
            </w:pPr>
            <w:r>
              <w:rPr>
                <w:rFonts w:cs="Open Sans Light"/>
                <w:sz w:val="16"/>
                <w:szCs w:val="16"/>
              </w:rPr>
              <w:t>Transport</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033FDCD" w14:textId="77777777" w:rsidR="003A22B8" w:rsidRDefault="003A22B8" w:rsidP="004D65FE">
            <w:pPr>
              <w:keepNext/>
              <w:keepLines/>
              <w:spacing w:before="0"/>
              <w:jc w:val="right"/>
              <w:rPr>
                <w:rFonts w:cs="Open Sans Light"/>
                <w:sz w:val="16"/>
                <w:szCs w:val="16"/>
              </w:rPr>
            </w:pPr>
            <w:r>
              <w:rPr>
                <w:rFonts w:cs="Open Sans Light"/>
                <w:sz w:val="16"/>
                <w:szCs w:val="16"/>
              </w:rPr>
              <w:t>681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59C594C" w14:textId="77777777" w:rsidR="003A22B8" w:rsidRDefault="003A22B8" w:rsidP="004D65FE">
            <w:pPr>
              <w:keepNext/>
              <w:keepLines/>
              <w:spacing w:before="0"/>
              <w:jc w:val="right"/>
              <w:rPr>
                <w:rFonts w:cs="Open Sans Light"/>
                <w:sz w:val="16"/>
                <w:szCs w:val="16"/>
              </w:rPr>
            </w:pPr>
            <w:r>
              <w:rPr>
                <w:rFonts w:cs="Open Sans Light"/>
                <w:sz w:val="16"/>
                <w:szCs w:val="16"/>
              </w:rPr>
              <w:t>592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1A7872" w14:textId="77777777" w:rsidR="003A22B8" w:rsidRDefault="003A22B8" w:rsidP="004D65FE">
            <w:pPr>
              <w:keepNext/>
              <w:keepLines/>
              <w:spacing w:before="0"/>
              <w:jc w:val="right"/>
              <w:rPr>
                <w:rFonts w:cs="Open Sans Light"/>
                <w:sz w:val="16"/>
                <w:szCs w:val="16"/>
              </w:rPr>
            </w:pPr>
            <w:r>
              <w:rPr>
                <w:rFonts w:cs="Open Sans Light"/>
                <w:sz w:val="16"/>
                <w:szCs w:val="16"/>
              </w:rPr>
              <w:t>412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8BA453" w14:textId="77777777" w:rsidR="003A22B8" w:rsidRDefault="003A22B8" w:rsidP="004D65FE">
            <w:pPr>
              <w:keepNext/>
              <w:keepLines/>
              <w:spacing w:before="0"/>
              <w:jc w:val="right"/>
              <w:rPr>
                <w:rFonts w:cs="Open Sans Light"/>
                <w:sz w:val="16"/>
                <w:szCs w:val="16"/>
              </w:rPr>
            </w:pPr>
            <w:r>
              <w:rPr>
                <w:rFonts w:cs="Open Sans Light"/>
                <w:sz w:val="16"/>
                <w:szCs w:val="16"/>
              </w:rPr>
              <w:t>469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C2BE81B" w14:textId="77777777" w:rsidR="003A22B8" w:rsidRDefault="003A22B8" w:rsidP="004D65FE">
            <w:pPr>
              <w:keepNext/>
              <w:keepLines/>
              <w:spacing w:before="0"/>
              <w:jc w:val="right"/>
              <w:rPr>
                <w:rFonts w:cs="Open Sans Light"/>
                <w:sz w:val="16"/>
                <w:szCs w:val="16"/>
              </w:rPr>
            </w:pPr>
            <w:r>
              <w:rPr>
                <w:rFonts w:cs="Open Sans Light"/>
                <w:sz w:val="16"/>
                <w:szCs w:val="16"/>
              </w:rPr>
              <w:t>409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74397C" w14:textId="77777777" w:rsidR="003A22B8" w:rsidRDefault="003A22B8" w:rsidP="004D65FE">
            <w:pPr>
              <w:keepNext/>
              <w:keepLines/>
              <w:spacing w:before="0"/>
              <w:jc w:val="right"/>
              <w:rPr>
                <w:rFonts w:cs="Open Sans Light"/>
                <w:sz w:val="16"/>
                <w:szCs w:val="16"/>
              </w:rPr>
            </w:pPr>
            <w:r>
              <w:rPr>
                <w:rFonts w:cs="Open Sans Light"/>
                <w:sz w:val="16"/>
                <w:szCs w:val="16"/>
              </w:rPr>
              <w:t>203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4CE368B" w14:textId="77777777" w:rsidR="003A22B8" w:rsidRDefault="003A22B8" w:rsidP="004D65FE">
            <w:pPr>
              <w:keepNext/>
              <w:keepLines/>
              <w:spacing w:before="0"/>
              <w:jc w:val="right"/>
              <w:rPr>
                <w:rFonts w:cs="Open Sans Light"/>
                <w:sz w:val="16"/>
                <w:szCs w:val="16"/>
              </w:rPr>
            </w:pPr>
            <w:r>
              <w:rPr>
                <w:rFonts w:cs="Open Sans Light"/>
                <w:sz w:val="16"/>
                <w:szCs w:val="16"/>
              </w:rPr>
              <w:t>426</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0F4CEF" w14:textId="77777777" w:rsidR="003A22B8" w:rsidRDefault="003A22B8" w:rsidP="004D65FE">
            <w:pPr>
              <w:keepNext/>
              <w:keepLines/>
              <w:spacing w:before="0"/>
              <w:jc w:val="right"/>
              <w:rPr>
                <w:rFonts w:cs="Open Sans Light"/>
                <w:sz w:val="16"/>
                <w:szCs w:val="16"/>
              </w:rPr>
            </w:pPr>
            <w:r>
              <w:rPr>
                <w:rFonts w:cs="Open Sans Light"/>
                <w:sz w:val="16"/>
                <w:szCs w:val="16"/>
              </w:rPr>
              <w:t>250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4074FE0" w14:textId="77777777" w:rsidR="003A22B8" w:rsidRDefault="003A22B8" w:rsidP="004D65FE">
            <w:pPr>
              <w:keepNext/>
              <w:keepLines/>
              <w:spacing w:before="0"/>
              <w:jc w:val="right"/>
              <w:rPr>
                <w:rFonts w:cs="Open Sans Light"/>
                <w:sz w:val="16"/>
                <w:szCs w:val="16"/>
              </w:rPr>
            </w:pPr>
            <w:r>
              <w:rPr>
                <w:rFonts w:cs="Open Sans Light"/>
                <w:sz w:val="16"/>
                <w:szCs w:val="16"/>
              </w:rPr>
              <w:t>544</w:t>
            </w:r>
          </w:p>
        </w:tc>
      </w:tr>
      <w:tr w:rsidR="003A22B8" w14:paraId="0D86C900"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616AFA" w14:textId="77777777" w:rsidR="003A22B8" w:rsidRDefault="003A22B8" w:rsidP="004D65FE">
            <w:pPr>
              <w:keepNext/>
              <w:keepLines/>
              <w:spacing w:before="0"/>
              <w:ind w:left="142" w:hanging="142"/>
              <w:rPr>
                <w:rFonts w:cs="Open Sans Light"/>
                <w:sz w:val="16"/>
                <w:szCs w:val="16"/>
              </w:rPr>
            </w:pPr>
            <w:r>
              <w:rPr>
                <w:rFonts w:cs="Open Sans Light"/>
                <w:sz w:val="16"/>
                <w:szCs w:val="16"/>
              </w:rPr>
              <w:t>Services to industry</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551D5BC" w14:textId="77777777" w:rsidR="003A22B8" w:rsidRDefault="003A22B8" w:rsidP="004D65FE">
            <w:pPr>
              <w:keepNext/>
              <w:keepLines/>
              <w:spacing w:before="0"/>
              <w:jc w:val="right"/>
              <w:rPr>
                <w:rFonts w:cs="Open Sans Light"/>
                <w:sz w:val="16"/>
                <w:szCs w:val="16"/>
              </w:rPr>
            </w:pPr>
            <w:r>
              <w:rPr>
                <w:rFonts w:cs="Open Sans Light"/>
                <w:sz w:val="16"/>
                <w:szCs w:val="16"/>
              </w:rPr>
              <w:t>191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F8149C3" w14:textId="77777777" w:rsidR="003A22B8" w:rsidRDefault="003A22B8" w:rsidP="004D65FE">
            <w:pPr>
              <w:keepNext/>
              <w:keepLines/>
              <w:spacing w:before="0"/>
              <w:jc w:val="right"/>
              <w:rPr>
                <w:rFonts w:cs="Open Sans Light"/>
                <w:sz w:val="16"/>
                <w:szCs w:val="16"/>
              </w:rPr>
            </w:pPr>
            <w:r>
              <w:rPr>
                <w:rFonts w:cs="Open Sans Light"/>
                <w:sz w:val="16"/>
                <w:szCs w:val="16"/>
              </w:rPr>
              <w:t>182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DF7AE16" w14:textId="77777777" w:rsidR="003A22B8" w:rsidRDefault="003A22B8" w:rsidP="004D65FE">
            <w:pPr>
              <w:keepNext/>
              <w:keepLines/>
              <w:spacing w:before="0"/>
              <w:jc w:val="right"/>
              <w:rPr>
                <w:rFonts w:cs="Open Sans Light"/>
                <w:sz w:val="16"/>
                <w:szCs w:val="16"/>
              </w:rPr>
            </w:pPr>
            <w:r>
              <w:rPr>
                <w:rFonts w:cs="Open Sans Light"/>
                <w:sz w:val="16"/>
                <w:szCs w:val="16"/>
              </w:rPr>
              <w:t>205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DE395D" w14:textId="77777777" w:rsidR="003A22B8" w:rsidRDefault="003A22B8" w:rsidP="004D65FE">
            <w:pPr>
              <w:keepNext/>
              <w:keepLines/>
              <w:spacing w:before="0"/>
              <w:jc w:val="right"/>
              <w:rPr>
                <w:rFonts w:cs="Open Sans Light"/>
                <w:sz w:val="16"/>
                <w:szCs w:val="16"/>
              </w:rPr>
            </w:pPr>
            <w:r>
              <w:rPr>
                <w:rFonts w:cs="Open Sans Light"/>
                <w:sz w:val="16"/>
                <w:szCs w:val="16"/>
              </w:rPr>
              <w:t>288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54B878B" w14:textId="77777777" w:rsidR="003A22B8" w:rsidRDefault="003A22B8" w:rsidP="004D65FE">
            <w:pPr>
              <w:keepNext/>
              <w:keepLines/>
              <w:spacing w:before="0"/>
              <w:jc w:val="right"/>
              <w:rPr>
                <w:rFonts w:cs="Open Sans Light"/>
                <w:sz w:val="16"/>
                <w:szCs w:val="16"/>
              </w:rPr>
            </w:pPr>
            <w:r>
              <w:rPr>
                <w:rFonts w:cs="Open Sans Light"/>
                <w:sz w:val="16"/>
                <w:szCs w:val="16"/>
              </w:rPr>
              <w:t>201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9BA268" w14:textId="77777777" w:rsidR="003A22B8" w:rsidRDefault="003A22B8" w:rsidP="004D65FE">
            <w:pPr>
              <w:keepNext/>
              <w:keepLines/>
              <w:spacing w:before="0"/>
              <w:jc w:val="right"/>
              <w:rPr>
                <w:rFonts w:cs="Open Sans Light"/>
                <w:sz w:val="16"/>
                <w:szCs w:val="16"/>
              </w:rPr>
            </w:pPr>
            <w:r>
              <w:rPr>
                <w:rFonts w:cs="Open Sans Light"/>
                <w:sz w:val="16"/>
                <w:szCs w:val="16"/>
              </w:rPr>
              <w:t>217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B2517E" w14:textId="77777777" w:rsidR="003A22B8" w:rsidRDefault="003A22B8" w:rsidP="004D65FE">
            <w:pPr>
              <w:keepNext/>
              <w:keepLines/>
              <w:spacing w:before="0"/>
              <w:jc w:val="right"/>
              <w:rPr>
                <w:rFonts w:cs="Open Sans Light"/>
                <w:sz w:val="16"/>
                <w:szCs w:val="16"/>
              </w:rPr>
            </w:pPr>
            <w:r>
              <w:rPr>
                <w:rFonts w:cs="Open Sans Light"/>
                <w:sz w:val="16"/>
                <w:szCs w:val="16"/>
              </w:rPr>
              <w:t>176</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1ECFCDB" w14:textId="77777777" w:rsidR="003A22B8" w:rsidRDefault="003A22B8" w:rsidP="004D65FE">
            <w:pPr>
              <w:keepNext/>
              <w:keepLines/>
              <w:spacing w:before="0"/>
              <w:jc w:val="right"/>
              <w:rPr>
                <w:rFonts w:cs="Open Sans Light"/>
                <w:sz w:val="16"/>
                <w:szCs w:val="16"/>
              </w:rPr>
            </w:pPr>
            <w:r>
              <w:rPr>
                <w:rFonts w:cs="Open Sans Light"/>
                <w:sz w:val="16"/>
                <w:szCs w:val="16"/>
              </w:rPr>
              <w:t>287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BAD2C3D" w14:textId="77777777" w:rsidR="003A22B8" w:rsidRDefault="003A22B8" w:rsidP="004D65FE">
            <w:pPr>
              <w:keepNext/>
              <w:keepLines/>
              <w:spacing w:before="0"/>
              <w:jc w:val="right"/>
              <w:rPr>
                <w:rFonts w:cs="Open Sans Light"/>
                <w:sz w:val="16"/>
                <w:szCs w:val="16"/>
              </w:rPr>
            </w:pPr>
            <w:r>
              <w:rPr>
                <w:rFonts w:cs="Open Sans Light"/>
                <w:sz w:val="16"/>
                <w:szCs w:val="16"/>
              </w:rPr>
              <w:t>204</w:t>
            </w:r>
          </w:p>
        </w:tc>
      </w:tr>
      <w:tr w:rsidR="003A22B8" w14:paraId="25856F2C"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D9B841" w14:textId="77777777" w:rsidR="003A22B8" w:rsidRDefault="003A22B8" w:rsidP="004D65FE">
            <w:pPr>
              <w:keepNext/>
              <w:keepLines/>
              <w:spacing w:before="0"/>
              <w:ind w:left="142" w:hanging="142"/>
              <w:rPr>
                <w:rFonts w:cs="Open Sans Light"/>
                <w:sz w:val="16"/>
                <w:szCs w:val="16"/>
              </w:rPr>
            </w:pPr>
            <w:r>
              <w:rPr>
                <w:rFonts w:cs="Open Sans Light"/>
                <w:sz w:val="16"/>
                <w:szCs w:val="16"/>
              </w:rPr>
              <w:t>Other expenses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97E5261" w14:textId="77777777" w:rsidR="003A22B8" w:rsidRDefault="003A22B8" w:rsidP="004D65FE">
            <w:pPr>
              <w:keepNext/>
              <w:keepLines/>
              <w:spacing w:before="0"/>
              <w:jc w:val="right"/>
              <w:rPr>
                <w:rFonts w:cs="Open Sans Light"/>
                <w:sz w:val="16"/>
                <w:szCs w:val="16"/>
              </w:rPr>
            </w:pPr>
            <w:r>
              <w:rPr>
                <w:rFonts w:cs="Open Sans Light"/>
                <w:sz w:val="16"/>
                <w:szCs w:val="16"/>
              </w:rPr>
              <w:t>934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E2B38FE" w14:textId="77777777" w:rsidR="003A22B8" w:rsidRDefault="003A22B8" w:rsidP="004D65FE">
            <w:pPr>
              <w:keepNext/>
              <w:keepLines/>
              <w:spacing w:before="0"/>
              <w:jc w:val="right"/>
              <w:rPr>
                <w:rFonts w:cs="Open Sans Light"/>
                <w:sz w:val="16"/>
                <w:szCs w:val="16"/>
              </w:rPr>
            </w:pPr>
            <w:r>
              <w:rPr>
                <w:rFonts w:cs="Open Sans Light"/>
                <w:sz w:val="16"/>
                <w:szCs w:val="16"/>
              </w:rPr>
              <w:t>927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B363560" w14:textId="77777777" w:rsidR="003A22B8" w:rsidRDefault="003A22B8" w:rsidP="004D65FE">
            <w:pPr>
              <w:keepNext/>
              <w:keepLines/>
              <w:spacing w:before="0"/>
              <w:jc w:val="right"/>
              <w:rPr>
                <w:rFonts w:cs="Open Sans Light"/>
                <w:sz w:val="16"/>
                <w:szCs w:val="16"/>
              </w:rPr>
            </w:pPr>
            <w:r>
              <w:rPr>
                <w:rFonts w:cs="Open Sans Light"/>
                <w:sz w:val="16"/>
                <w:szCs w:val="16"/>
              </w:rPr>
              <w:t>993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9AA7A30" w14:textId="77777777" w:rsidR="003A22B8" w:rsidRDefault="003A22B8" w:rsidP="004D65FE">
            <w:pPr>
              <w:keepNext/>
              <w:keepLines/>
              <w:spacing w:before="0"/>
              <w:jc w:val="right"/>
              <w:rPr>
                <w:rFonts w:cs="Open Sans Light"/>
                <w:sz w:val="16"/>
                <w:szCs w:val="16"/>
              </w:rPr>
            </w:pPr>
            <w:r>
              <w:rPr>
                <w:rFonts w:cs="Open Sans Light"/>
                <w:sz w:val="16"/>
                <w:szCs w:val="16"/>
              </w:rPr>
              <w:t>1,073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1E8D3C" w14:textId="77777777" w:rsidR="003A22B8" w:rsidRDefault="003A22B8" w:rsidP="004D65FE">
            <w:pPr>
              <w:keepNext/>
              <w:keepLines/>
              <w:spacing w:before="0"/>
              <w:jc w:val="right"/>
              <w:rPr>
                <w:rFonts w:cs="Open Sans Light"/>
                <w:sz w:val="16"/>
                <w:szCs w:val="16"/>
              </w:rPr>
            </w:pPr>
            <w:r>
              <w:rPr>
                <w:rFonts w:cs="Open Sans Light"/>
                <w:sz w:val="16"/>
                <w:szCs w:val="16"/>
              </w:rPr>
              <w:t>1,073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B1CEBC5" w14:textId="77777777" w:rsidR="003A22B8" w:rsidRDefault="003A22B8" w:rsidP="004D65FE">
            <w:pPr>
              <w:keepNext/>
              <w:keepLines/>
              <w:spacing w:before="0"/>
              <w:jc w:val="right"/>
              <w:rPr>
                <w:rFonts w:cs="Open Sans Light"/>
                <w:sz w:val="16"/>
                <w:szCs w:val="16"/>
              </w:rPr>
            </w:pPr>
            <w:r>
              <w:rPr>
                <w:rFonts w:cs="Open Sans Light"/>
                <w:sz w:val="16"/>
                <w:szCs w:val="16"/>
              </w:rPr>
              <w:t>1,514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F8DCE83" w14:textId="77777777" w:rsidR="003A22B8" w:rsidRDefault="003A22B8" w:rsidP="004D65FE">
            <w:pPr>
              <w:keepNext/>
              <w:keepLines/>
              <w:spacing w:before="0"/>
              <w:jc w:val="right"/>
              <w:rPr>
                <w:rFonts w:cs="Open Sans Light"/>
                <w:sz w:val="16"/>
                <w:szCs w:val="16"/>
              </w:rPr>
            </w:pPr>
            <w:r>
              <w:rPr>
                <w:rFonts w:cs="Open Sans Light"/>
                <w:sz w:val="16"/>
                <w:szCs w:val="16"/>
              </w:rPr>
              <w:t>1,731</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3871A5" w14:textId="77777777" w:rsidR="003A22B8" w:rsidRDefault="003A22B8" w:rsidP="004D65FE">
            <w:pPr>
              <w:keepNext/>
              <w:keepLines/>
              <w:spacing w:before="0"/>
              <w:jc w:val="right"/>
              <w:rPr>
                <w:rFonts w:cs="Open Sans Light"/>
                <w:sz w:val="16"/>
                <w:szCs w:val="16"/>
              </w:rPr>
            </w:pPr>
            <w:r>
              <w:rPr>
                <w:rFonts w:cs="Open Sans Light"/>
                <w:sz w:val="16"/>
                <w:szCs w:val="16"/>
              </w:rPr>
              <w:t>2,561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66CC319" w14:textId="77777777" w:rsidR="003A22B8" w:rsidRDefault="003A22B8" w:rsidP="004D65FE">
            <w:pPr>
              <w:keepNext/>
              <w:keepLines/>
              <w:spacing w:before="0"/>
              <w:jc w:val="right"/>
              <w:rPr>
                <w:rFonts w:cs="Open Sans Light"/>
                <w:sz w:val="16"/>
                <w:szCs w:val="16"/>
              </w:rPr>
            </w:pPr>
            <w:r>
              <w:rPr>
                <w:rFonts w:cs="Open Sans Light"/>
                <w:sz w:val="16"/>
                <w:szCs w:val="16"/>
              </w:rPr>
              <w:t>1,011</w:t>
            </w:r>
          </w:p>
        </w:tc>
      </w:tr>
      <w:tr w:rsidR="003A22B8" w14:paraId="3098D771"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B06C3B4"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Assessed expenses</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D8E864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8,117</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FC1A92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7,595</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38438A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8,434</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27F458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8,874</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79A149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8,417</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D15D86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9,365</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A1C9E1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7,925</w:t>
            </w:r>
          </w:p>
        </w:tc>
        <w:tc>
          <w:tcPr>
            <w:tcW w:w="82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6E8F58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17,440</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21FFF7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8,265</w:t>
            </w:r>
          </w:p>
        </w:tc>
      </w:tr>
    </w:tbl>
    <w:p w14:paraId="728DE802" w14:textId="77777777" w:rsidR="003A22B8" w:rsidRDefault="003A22B8" w:rsidP="003A22B8">
      <w:pPr>
        <w:pStyle w:val="CGCTablenote"/>
      </w:pPr>
      <w:r>
        <w:t>Source:</w:t>
      </w:r>
      <w:r>
        <w:tab/>
        <w:t>CGC calculation.</w:t>
      </w:r>
    </w:p>
    <w:p w14:paraId="490A8C63" w14:textId="68F85A65" w:rsidR="003A22B8" w:rsidRDefault="003A22B8" w:rsidP="003A22B8">
      <w:pPr>
        <w:pStyle w:val="Caption"/>
      </w:pPr>
      <w:bookmarkStart w:id="642" w:name="_Ref30430032"/>
      <w:r>
        <w:t>Table 30-</w:t>
      </w:r>
      <w:fldSimple w:instr=" SEQ Table \* ARABIC ">
        <w:r w:rsidR="007F721A">
          <w:rPr>
            <w:noProof/>
          </w:rPr>
          <w:t>2</w:t>
        </w:r>
      </w:fldSimple>
      <w:bookmarkEnd w:id="642"/>
      <w:r>
        <w:tab/>
        <w:t>Per capita assessed revenue, 2016-17</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242C097F" w14:textId="77777777" w:rsidTr="004D65FE">
        <w:trPr>
          <w:trHeight w:val="379"/>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4B88EF4" w14:textId="77777777" w:rsidR="003A22B8" w:rsidRDefault="003A22B8" w:rsidP="004D65FE">
            <w:pPr>
              <w:keepNext/>
              <w:keepLines/>
              <w:tabs>
                <w:tab w:val="clear" w:pos="567"/>
              </w:tabs>
              <w:spacing w:before="0" w:line="240" w:lineRule="auto"/>
              <w:ind w:left="193" w:hanging="142"/>
              <w:jc w:val="right"/>
              <w:rPr>
                <w:rFonts w:ascii="Open Sans SemiBold" w:hAnsi="Open Sans SemiBold" w:cs="Open Sans SemiBold"/>
                <w:sz w:val="16"/>
                <w:szCs w:val="16"/>
              </w:rPr>
            </w:pPr>
            <w:bookmarkStart w:id="643" w:name="RANGE!A18:J27"/>
            <w:r>
              <w:rPr>
                <w:rFonts w:ascii="Open Sans SemiBold" w:hAnsi="Open Sans SemiBold" w:cs="Open Sans SemiBold"/>
                <w:sz w:val="16"/>
                <w:szCs w:val="16"/>
              </w:rPr>
              <w:t> </w:t>
            </w:r>
            <w:bookmarkEnd w:id="643"/>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750EA14"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630C706"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8500F23"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261A960"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7ABA4D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EE075B9"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410FFF7"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B3884B0"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2474B9A"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1C7F4AF8" w14:textId="77777777" w:rsidTr="005C340D">
        <w:trPr>
          <w:trHeight w:val="259"/>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875099B" w14:textId="77777777" w:rsidR="003A22B8" w:rsidRDefault="003A22B8" w:rsidP="004D65FE">
            <w:pPr>
              <w:keepNext/>
              <w:keepLines/>
              <w:spacing w:before="0"/>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CFE493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24A940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21D7F0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09DEE2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5C62F2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F0ABA1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992BC1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D4556E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823B26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7EF5AC55"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6BDF1D" w14:textId="77777777" w:rsidR="003A22B8" w:rsidRDefault="003A22B8" w:rsidP="004D65FE">
            <w:pPr>
              <w:keepNext/>
              <w:keepLines/>
              <w:spacing w:before="0"/>
              <w:ind w:left="142" w:hanging="142"/>
              <w:rPr>
                <w:rFonts w:cs="Open Sans Light"/>
                <w:sz w:val="16"/>
                <w:szCs w:val="16"/>
              </w:rPr>
            </w:pPr>
            <w:r>
              <w:rPr>
                <w:rFonts w:cs="Open Sans Light"/>
                <w:sz w:val="16"/>
                <w:szCs w:val="16"/>
              </w:rPr>
              <w:t>Payroll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75B3F43" w14:textId="77777777" w:rsidR="003A22B8" w:rsidRDefault="003A22B8" w:rsidP="004D65FE">
            <w:pPr>
              <w:keepNext/>
              <w:keepLines/>
              <w:spacing w:before="0"/>
              <w:jc w:val="right"/>
              <w:rPr>
                <w:rFonts w:cs="Open Sans Light"/>
                <w:sz w:val="16"/>
                <w:szCs w:val="16"/>
              </w:rPr>
            </w:pPr>
            <w:r>
              <w:rPr>
                <w:rFonts w:cs="Open Sans Light"/>
                <w:sz w:val="16"/>
                <w:szCs w:val="16"/>
              </w:rPr>
              <w:t>1,031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296E47B" w14:textId="77777777" w:rsidR="003A22B8" w:rsidRDefault="003A22B8" w:rsidP="004D65FE">
            <w:pPr>
              <w:keepNext/>
              <w:keepLines/>
              <w:spacing w:before="0"/>
              <w:jc w:val="right"/>
              <w:rPr>
                <w:rFonts w:cs="Open Sans Light"/>
                <w:sz w:val="16"/>
                <w:szCs w:val="16"/>
              </w:rPr>
            </w:pPr>
            <w:r>
              <w:rPr>
                <w:rFonts w:cs="Open Sans Light"/>
                <w:sz w:val="16"/>
                <w:szCs w:val="16"/>
              </w:rPr>
              <w:t>894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1C7EEF7" w14:textId="77777777" w:rsidR="003A22B8" w:rsidRDefault="003A22B8" w:rsidP="004D65FE">
            <w:pPr>
              <w:keepNext/>
              <w:keepLines/>
              <w:spacing w:before="0"/>
              <w:jc w:val="right"/>
              <w:rPr>
                <w:rFonts w:cs="Open Sans Light"/>
                <w:sz w:val="16"/>
                <w:szCs w:val="16"/>
              </w:rPr>
            </w:pPr>
            <w:r>
              <w:rPr>
                <w:rFonts w:cs="Open Sans Light"/>
                <w:sz w:val="16"/>
                <w:szCs w:val="16"/>
              </w:rPr>
              <w:t>850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E2760FD" w14:textId="77777777" w:rsidR="003A22B8" w:rsidRDefault="003A22B8" w:rsidP="004D65FE">
            <w:pPr>
              <w:keepNext/>
              <w:keepLines/>
              <w:spacing w:before="0"/>
              <w:jc w:val="right"/>
              <w:rPr>
                <w:rFonts w:cs="Open Sans Light"/>
                <w:sz w:val="16"/>
                <w:szCs w:val="16"/>
              </w:rPr>
            </w:pPr>
            <w:r>
              <w:rPr>
                <w:rFonts w:cs="Open Sans Light"/>
                <w:sz w:val="16"/>
                <w:szCs w:val="16"/>
              </w:rPr>
              <w:t>1,209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7C079A3" w14:textId="77777777" w:rsidR="003A22B8" w:rsidRDefault="003A22B8" w:rsidP="004D65FE">
            <w:pPr>
              <w:keepNext/>
              <w:keepLines/>
              <w:spacing w:before="0"/>
              <w:jc w:val="right"/>
              <w:rPr>
                <w:rFonts w:cs="Open Sans Light"/>
                <w:sz w:val="16"/>
                <w:szCs w:val="16"/>
              </w:rPr>
            </w:pPr>
            <w:r>
              <w:rPr>
                <w:rFonts w:cs="Open Sans Light"/>
                <w:sz w:val="16"/>
                <w:szCs w:val="16"/>
              </w:rPr>
              <w:t>699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E07571A" w14:textId="77777777" w:rsidR="003A22B8" w:rsidRDefault="003A22B8" w:rsidP="004D65FE">
            <w:pPr>
              <w:keepNext/>
              <w:keepLines/>
              <w:spacing w:before="0"/>
              <w:jc w:val="right"/>
              <w:rPr>
                <w:rFonts w:cs="Open Sans Light"/>
                <w:sz w:val="16"/>
                <w:szCs w:val="16"/>
              </w:rPr>
            </w:pPr>
            <w:r>
              <w:rPr>
                <w:rFonts w:cs="Open Sans Light"/>
                <w:sz w:val="16"/>
                <w:szCs w:val="16"/>
              </w:rPr>
              <w:t>596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A56812" w14:textId="77777777" w:rsidR="003A22B8" w:rsidRDefault="003A22B8" w:rsidP="004D65FE">
            <w:pPr>
              <w:keepNext/>
              <w:keepLines/>
              <w:spacing w:before="0"/>
              <w:jc w:val="right"/>
              <w:rPr>
                <w:rFonts w:cs="Open Sans Light"/>
                <w:sz w:val="16"/>
                <w:szCs w:val="16"/>
              </w:rPr>
            </w:pPr>
            <w:r>
              <w:rPr>
                <w:rFonts w:cs="Open Sans Light"/>
                <w:sz w:val="16"/>
                <w:szCs w:val="16"/>
              </w:rPr>
              <w:t>949</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965C66" w14:textId="77777777" w:rsidR="003A22B8" w:rsidRDefault="003A22B8" w:rsidP="004D65FE">
            <w:pPr>
              <w:keepNext/>
              <w:keepLines/>
              <w:spacing w:before="0"/>
              <w:jc w:val="right"/>
              <w:rPr>
                <w:rFonts w:cs="Open Sans Light"/>
                <w:sz w:val="16"/>
                <w:szCs w:val="16"/>
              </w:rPr>
            </w:pPr>
            <w:r>
              <w:rPr>
                <w:rFonts w:cs="Open Sans Light"/>
                <w:sz w:val="16"/>
                <w:szCs w:val="16"/>
              </w:rPr>
              <w:t>1,156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1637113" w14:textId="77777777" w:rsidR="003A22B8" w:rsidRDefault="003A22B8" w:rsidP="004D65FE">
            <w:pPr>
              <w:keepNext/>
              <w:keepLines/>
              <w:spacing w:before="0"/>
              <w:jc w:val="right"/>
              <w:rPr>
                <w:rFonts w:cs="Open Sans Light"/>
                <w:sz w:val="16"/>
                <w:szCs w:val="16"/>
              </w:rPr>
            </w:pPr>
            <w:r>
              <w:rPr>
                <w:rFonts w:cs="Open Sans Light"/>
                <w:sz w:val="16"/>
                <w:szCs w:val="16"/>
              </w:rPr>
              <w:t>946</w:t>
            </w:r>
          </w:p>
        </w:tc>
      </w:tr>
      <w:tr w:rsidR="003A22B8" w14:paraId="700C8B30"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E12F31" w14:textId="77777777" w:rsidR="003A22B8" w:rsidRDefault="003A22B8" w:rsidP="004D65FE">
            <w:pPr>
              <w:keepNext/>
              <w:keepLines/>
              <w:spacing w:before="0"/>
              <w:ind w:left="142" w:hanging="142"/>
              <w:rPr>
                <w:rFonts w:cs="Open Sans Light"/>
                <w:sz w:val="16"/>
                <w:szCs w:val="16"/>
              </w:rPr>
            </w:pPr>
            <w:r>
              <w:rPr>
                <w:rFonts w:cs="Open Sans Light"/>
                <w:sz w:val="16"/>
                <w:szCs w:val="16"/>
              </w:rPr>
              <w:t>Land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DC3D73" w14:textId="77777777" w:rsidR="003A22B8" w:rsidRDefault="003A22B8" w:rsidP="004D65FE">
            <w:pPr>
              <w:keepNext/>
              <w:keepLines/>
              <w:spacing w:before="0"/>
              <w:jc w:val="right"/>
              <w:rPr>
                <w:rFonts w:cs="Open Sans Light"/>
                <w:sz w:val="16"/>
                <w:szCs w:val="16"/>
              </w:rPr>
            </w:pPr>
            <w:r>
              <w:rPr>
                <w:rFonts w:cs="Open Sans Light"/>
                <w:sz w:val="16"/>
                <w:szCs w:val="16"/>
              </w:rPr>
              <w:t>410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A2E25AA" w14:textId="77777777" w:rsidR="003A22B8" w:rsidRDefault="003A22B8" w:rsidP="004D65FE">
            <w:pPr>
              <w:keepNext/>
              <w:keepLines/>
              <w:spacing w:before="0"/>
              <w:jc w:val="right"/>
              <w:rPr>
                <w:rFonts w:cs="Open Sans Light"/>
                <w:sz w:val="16"/>
                <w:szCs w:val="16"/>
              </w:rPr>
            </w:pPr>
            <w:r>
              <w:rPr>
                <w:rFonts w:cs="Open Sans Light"/>
                <w:sz w:val="16"/>
                <w:szCs w:val="16"/>
              </w:rPr>
              <w:t>400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767D024" w14:textId="77777777" w:rsidR="003A22B8" w:rsidRDefault="003A22B8" w:rsidP="004D65FE">
            <w:pPr>
              <w:keepNext/>
              <w:keepLines/>
              <w:spacing w:before="0"/>
              <w:jc w:val="right"/>
              <w:rPr>
                <w:rFonts w:cs="Open Sans Light"/>
                <w:sz w:val="16"/>
                <w:szCs w:val="16"/>
              </w:rPr>
            </w:pPr>
            <w:r>
              <w:rPr>
                <w:rFonts w:cs="Open Sans Light"/>
                <w:sz w:val="16"/>
                <w:szCs w:val="16"/>
              </w:rPr>
              <w:t>231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4A89F57" w14:textId="77777777" w:rsidR="003A22B8" w:rsidRDefault="003A22B8" w:rsidP="004D65FE">
            <w:pPr>
              <w:keepNext/>
              <w:keepLines/>
              <w:spacing w:before="0"/>
              <w:jc w:val="right"/>
              <w:rPr>
                <w:rFonts w:cs="Open Sans Light"/>
                <w:sz w:val="16"/>
                <w:szCs w:val="16"/>
              </w:rPr>
            </w:pPr>
            <w:r>
              <w:rPr>
                <w:rFonts w:cs="Open Sans Light"/>
                <w:sz w:val="16"/>
                <w:szCs w:val="16"/>
              </w:rPr>
              <w:t>357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3F5912A" w14:textId="77777777" w:rsidR="003A22B8" w:rsidRDefault="003A22B8" w:rsidP="004D65FE">
            <w:pPr>
              <w:keepNext/>
              <w:keepLines/>
              <w:spacing w:before="0"/>
              <w:jc w:val="right"/>
              <w:rPr>
                <w:rFonts w:cs="Open Sans Light"/>
                <w:sz w:val="16"/>
                <w:szCs w:val="16"/>
              </w:rPr>
            </w:pPr>
            <w:r>
              <w:rPr>
                <w:rFonts w:cs="Open Sans Light"/>
                <w:sz w:val="16"/>
                <w:szCs w:val="16"/>
              </w:rPr>
              <w:t>154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CED9D1" w14:textId="77777777" w:rsidR="003A22B8" w:rsidRDefault="003A22B8" w:rsidP="004D65FE">
            <w:pPr>
              <w:keepNext/>
              <w:keepLines/>
              <w:spacing w:before="0"/>
              <w:jc w:val="right"/>
              <w:rPr>
                <w:rFonts w:cs="Open Sans Light"/>
                <w:sz w:val="16"/>
                <w:szCs w:val="16"/>
              </w:rPr>
            </w:pPr>
            <w:r>
              <w:rPr>
                <w:rFonts w:cs="Open Sans Light"/>
                <w:sz w:val="16"/>
                <w:szCs w:val="16"/>
              </w:rPr>
              <w:t>115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086ED70" w14:textId="77777777" w:rsidR="003A22B8" w:rsidRDefault="003A22B8" w:rsidP="004D65FE">
            <w:pPr>
              <w:keepNext/>
              <w:keepLines/>
              <w:spacing w:before="0"/>
              <w:jc w:val="right"/>
              <w:rPr>
                <w:rFonts w:cs="Open Sans Light"/>
                <w:sz w:val="16"/>
                <w:szCs w:val="16"/>
              </w:rPr>
            </w:pPr>
            <w:r>
              <w:rPr>
                <w:rFonts w:cs="Open Sans Light"/>
                <w:sz w:val="16"/>
                <w:szCs w:val="16"/>
              </w:rPr>
              <w:t>147</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4F923D" w14:textId="77777777" w:rsidR="003A22B8" w:rsidRDefault="003A22B8" w:rsidP="004D65FE">
            <w:pPr>
              <w:keepNext/>
              <w:keepLines/>
              <w:spacing w:before="0"/>
              <w:jc w:val="right"/>
              <w:rPr>
                <w:rFonts w:cs="Open Sans Light"/>
                <w:sz w:val="16"/>
                <w:szCs w:val="16"/>
              </w:rPr>
            </w:pPr>
            <w:r>
              <w:rPr>
                <w:rFonts w:cs="Open Sans Light"/>
                <w:sz w:val="16"/>
                <w:szCs w:val="16"/>
              </w:rPr>
              <w:t>276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AA22F9" w14:textId="77777777" w:rsidR="003A22B8" w:rsidRDefault="003A22B8" w:rsidP="004D65FE">
            <w:pPr>
              <w:keepNext/>
              <w:keepLines/>
              <w:spacing w:before="0"/>
              <w:jc w:val="right"/>
              <w:rPr>
                <w:rFonts w:cs="Open Sans Light"/>
                <w:sz w:val="16"/>
                <w:szCs w:val="16"/>
              </w:rPr>
            </w:pPr>
            <w:r>
              <w:rPr>
                <w:rFonts w:cs="Open Sans Light"/>
                <w:sz w:val="16"/>
                <w:szCs w:val="16"/>
              </w:rPr>
              <w:t>336</w:t>
            </w:r>
          </w:p>
        </w:tc>
      </w:tr>
      <w:tr w:rsidR="003A22B8" w14:paraId="4306A87A"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C449D63" w14:textId="77777777" w:rsidR="003A22B8" w:rsidRDefault="003A22B8" w:rsidP="004D65FE">
            <w:pPr>
              <w:keepNext/>
              <w:keepLines/>
              <w:spacing w:before="0"/>
              <w:ind w:left="142" w:hanging="142"/>
              <w:rPr>
                <w:rFonts w:cs="Open Sans Light"/>
                <w:sz w:val="16"/>
                <w:szCs w:val="16"/>
              </w:rPr>
            </w:pPr>
            <w:r>
              <w:rPr>
                <w:rFonts w:cs="Open Sans Light"/>
                <w:sz w:val="16"/>
                <w:szCs w:val="16"/>
              </w:rPr>
              <w:t>Stamp duty on conveyances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F5696A3" w14:textId="77777777" w:rsidR="003A22B8" w:rsidRDefault="003A22B8" w:rsidP="004D65FE">
            <w:pPr>
              <w:keepNext/>
              <w:keepLines/>
              <w:spacing w:before="0"/>
              <w:jc w:val="right"/>
              <w:rPr>
                <w:rFonts w:cs="Open Sans Light"/>
                <w:sz w:val="16"/>
                <w:szCs w:val="16"/>
              </w:rPr>
            </w:pPr>
            <w:r>
              <w:rPr>
                <w:rFonts w:cs="Open Sans Light"/>
                <w:sz w:val="16"/>
                <w:szCs w:val="16"/>
              </w:rPr>
              <w:t>1,105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7DDC37C" w14:textId="77777777" w:rsidR="003A22B8" w:rsidRDefault="003A22B8" w:rsidP="004D65FE">
            <w:pPr>
              <w:keepNext/>
              <w:keepLines/>
              <w:spacing w:before="0"/>
              <w:jc w:val="right"/>
              <w:rPr>
                <w:rFonts w:cs="Open Sans Light"/>
                <w:sz w:val="16"/>
                <w:szCs w:val="16"/>
              </w:rPr>
            </w:pPr>
            <w:r>
              <w:rPr>
                <w:rFonts w:cs="Open Sans Light"/>
                <w:sz w:val="16"/>
                <w:szCs w:val="16"/>
              </w:rPr>
              <w:t>877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1A11E7A" w14:textId="77777777" w:rsidR="003A22B8" w:rsidRDefault="003A22B8" w:rsidP="004D65FE">
            <w:pPr>
              <w:keepNext/>
              <w:keepLines/>
              <w:spacing w:before="0"/>
              <w:jc w:val="right"/>
              <w:rPr>
                <w:rFonts w:cs="Open Sans Light"/>
                <w:sz w:val="16"/>
                <w:szCs w:val="16"/>
              </w:rPr>
            </w:pPr>
            <w:r>
              <w:rPr>
                <w:rFonts w:cs="Open Sans Light"/>
                <w:sz w:val="16"/>
                <w:szCs w:val="16"/>
              </w:rPr>
              <w:t>749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D1AEB2A" w14:textId="77777777" w:rsidR="003A22B8" w:rsidRDefault="003A22B8" w:rsidP="004D65FE">
            <w:pPr>
              <w:keepNext/>
              <w:keepLines/>
              <w:spacing w:before="0"/>
              <w:jc w:val="right"/>
              <w:rPr>
                <w:rFonts w:cs="Open Sans Light"/>
                <w:sz w:val="16"/>
                <w:szCs w:val="16"/>
              </w:rPr>
            </w:pPr>
            <w:r>
              <w:rPr>
                <w:rFonts w:cs="Open Sans Light"/>
                <w:sz w:val="16"/>
                <w:szCs w:val="16"/>
              </w:rPr>
              <w:t>466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CBC709D" w14:textId="77777777" w:rsidR="003A22B8" w:rsidRDefault="003A22B8" w:rsidP="004D65FE">
            <w:pPr>
              <w:keepNext/>
              <w:keepLines/>
              <w:spacing w:before="0"/>
              <w:jc w:val="right"/>
              <w:rPr>
                <w:rFonts w:cs="Open Sans Light"/>
                <w:sz w:val="16"/>
                <w:szCs w:val="16"/>
              </w:rPr>
            </w:pPr>
            <w:r>
              <w:rPr>
                <w:rFonts w:cs="Open Sans Light"/>
                <w:sz w:val="16"/>
                <w:szCs w:val="16"/>
              </w:rPr>
              <w:t>427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4392661" w14:textId="77777777" w:rsidR="003A22B8" w:rsidRDefault="003A22B8" w:rsidP="004D65FE">
            <w:pPr>
              <w:keepNext/>
              <w:keepLines/>
              <w:spacing w:before="0"/>
              <w:jc w:val="right"/>
              <w:rPr>
                <w:rFonts w:cs="Open Sans Light"/>
                <w:sz w:val="16"/>
                <w:szCs w:val="16"/>
              </w:rPr>
            </w:pPr>
            <w:r>
              <w:rPr>
                <w:rFonts w:cs="Open Sans Light"/>
                <w:sz w:val="16"/>
                <w:szCs w:val="16"/>
              </w:rPr>
              <w:t>427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F822DEE" w14:textId="77777777" w:rsidR="003A22B8" w:rsidRDefault="003A22B8" w:rsidP="004D65FE">
            <w:pPr>
              <w:keepNext/>
              <w:keepLines/>
              <w:spacing w:before="0"/>
              <w:jc w:val="right"/>
              <w:rPr>
                <w:rFonts w:cs="Open Sans Light"/>
                <w:sz w:val="16"/>
                <w:szCs w:val="16"/>
              </w:rPr>
            </w:pPr>
            <w:r>
              <w:rPr>
                <w:rFonts w:cs="Open Sans Light"/>
                <w:sz w:val="16"/>
                <w:szCs w:val="16"/>
              </w:rPr>
              <w:t>859</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028E35F" w14:textId="77777777" w:rsidR="003A22B8" w:rsidRDefault="003A22B8" w:rsidP="004D65FE">
            <w:pPr>
              <w:keepNext/>
              <w:keepLines/>
              <w:spacing w:before="0"/>
              <w:jc w:val="right"/>
              <w:rPr>
                <w:rFonts w:cs="Open Sans Light"/>
                <w:sz w:val="16"/>
                <w:szCs w:val="16"/>
              </w:rPr>
            </w:pPr>
            <w:r>
              <w:rPr>
                <w:rFonts w:cs="Open Sans Light"/>
                <w:sz w:val="16"/>
                <w:szCs w:val="16"/>
              </w:rPr>
              <w:t>371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BA77A2B" w14:textId="77777777" w:rsidR="003A22B8" w:rsidRDefault="003A22B8" w:rsidP="004D65FE">
            <w:pPr>
              <w:keepNext/>
              <w:keepLines/>
              <w:spacing w:before="0"/>
              <w:jc w:val="right"/>
              <w:rPr>
                <w:rFonts w:cs="Open Sans Light"/>
                <w:sz w:val="16"/>
                <w:szCs w:val="16"/>
              </w:rPr>
            </w:pPr>
            <w:r>
              <w:rPr>
                <w:rFonts w:cs="Open Sans Light"/>
                <w:sz w:val="16"/>
                <w:szCs w:val="16"/>
              </w:rPr>
              <w:t>834</w:t>
            </w:r>
          </w:p>
        </w:tc>
      </w:tr>
      <w:tr w:rsidR="003A22B8" w14:paraId="619E15F7"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17A1687" w14:textId="77777777" w:rsidR="003A22B8" w:rsidRDefault="003A22B8" w:rsidP="004D65FE">
            <w:pPr>
              <w:keepNext/>
              <w:keepLines/>
              <w:spacing w:before="0"/>
              <w:ind w:left="142" w:hanging="142"/>
              <w:rPr>
                <w:rFonts w:cs="Open Sans Light"/>
                <w:sz w:val="16"/>
                <w:szCs w:val="16"/>
              </w:rPr>
            </w:pPr>
            <w:r>
              <w:rPr>
                <w:rFonts w:cs="Open Sans Light"/>
                <w:sz w:val="16"/>
                <w:szCs w:val="16"/>
              </w:rPr>
              <w:t>Insurance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BF1A72" w14:textId="77777777" w:rsidR="003A22B8" w:rsidRDefault="003A22B8" w:rsidP="004D65FE">
            <w:pPr>
              <w:keepNext/>
              <w:keepLines/>
              <w:spacing w:before="0"/>
              <w:jc w:val="right"/>
              <w:rPr>
                <w:rFonts w:cs="Open Sans Light"/>
                <w:sz w:val="16"/>
                <w:szCs w:val="16"/>
              </w:rPr>
            </w:pPr>
            <w:r>
              <w:rPr>
                <w:rFonts w:cs="Open Sans Light"/>
                <w:sz w:val="16"/>
                <w:szCs w:val="16"/>
              </w:rPr>
              <w:t>224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5668CB7" w14:textId="77777777" w:rsidR="003A22B8" w:rsidRDefault="003A22B8" w:rsidP="004D65FE">
            <w:pPr>
              <w:keepNext/>
              <w:keepLines/>
              <w:spacing w:before="0"/>
              <w:jc w:val="right"/>
              <w:rPr>
                <w:rFonts w:cs="Open Sans Light"/>
                <w:sz w:val="16"/>
                <w:szCs w:val="16"/>
              </w:rPr>
            </w:pPr>
            <w:r>
              <w:rPr>
                <w:rFonts w:cs="Open Sans Light"/>
                <w:sz w:val="16"/>
                <w:szCs w:val="16"/>
              </w:rPr>
              <w:t>192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A31015A" w14:textId="77777777" w:rsidR="003A22B8" w:rsidRDefault="003A22B8" w:rsidP="004D65FE">
            <w:pPr>
              <w:keepNext/>
              <w:keepLines/>
              <w:spacing w:before="0"/>
              <w:jc w:val="right"/>
              <w:rPr>
                <w:rFonts w:cs="Open Sans Light"/>
                <w:sz w:val="16"/>
                <w:szCs w:val="16"/>
              </w:rPr>
            </w:pPr>
            <w:r>
              <w:rPr>
                <w:rFonts w:cs="Open Sans Light"/>
                <w:sz w:val="16"/>
                <w:szCs w:val="16"/>
              </w:rPr>
              <w:t>208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0DAE5D" w14:textId="77777777" w:rsidR="003A22B8" w:rsidRDefault="003A22B8" w:rsidP="004D65FE">
            <w:pPr>
              <w:keepNext/>
              <w:keepLines/>
              <w:spacing w:before="0"/>
              <w:jc w:val="right"/>
              <w:rPr>
                <w:rFonts w:cs="Open Sans Light"/>
                <w:sz w:val="16"/>
                <w:szCs w:val="16"/>
              </w:rPr>
            </w:pPr>
            <w:r>
              <w:rPr>
                <w:rFonts w:cs="Open Sans Light"/>
                <w:sz w:val="16"/>
                <w:szCs w:val="16"/>
              </w:rPr>
              <w:t>208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E7095E" w14:textId="77777777" w:rsidR="003A22B8" w:rsidRDefault="003A22B8" w:rsidP="004D65FE">
            <w:pPr>
              <w:keepNext/>
              <w:keepLines/>
              <w:spacing w:before="0"/>
              <w:jc w:val="right"/>
              <w:rPr>
                <w:rFonts w:cs="Open Sans Light"/>
                <w:sz w:val="16"/>
                <w:szCs w:val="16"/>
              </w:rPr>
            </w:pPr>
            <w:r>
              <w:rPr>
                <w:rFonts w:cs="Open Sans Light"/>
                <w:sz w:val="16"/>
                <w:szCs w:val="16"/>
              </w:rPr>
              <w:t>245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25F1DFD" w14:textId="77777777" w:rsidR="003A22B8" w:rsidRDefault="003A22B8" w:rsidP="004D65FE">
            <w:pPr>
              <w:keepNext/>
              <w:keepLines/>
              <w:spacing w:before="0"/>
              <w:jc w:val="right"/>
              <w:rPr>
                <w:rFonts w:cs="Open Sans Light"/>
                <w:sz w:val="16"/>
                <w:szCs w:val="16"/>
              </w:rPr>
            </w:pPr>
            <w:r>
              <w:rPr>
                <w:rFonts w:cs="Open Sans Light"/>
                <w:sz w:val="16"/>
                <w:szCs w:val="16"/>
              </w:rPr>
              <w:t>169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60E2749" w14:textId="77777777" w:rsidR="003A22B8" w:rsidRDefault="003A22B8" w:rsidP="004D65FE">
            <w:pPr>
              <w:keepNext/>
              <w:keepLines/>
              <w:spacing w:before="0"/>
              <w:jc w:val="right"/>
              <w:rPr>
                <w:rFonts w:cs="Open Sans Light"/>
                <w:sz w:val="16"/>
                <w:szCs w:val="16"/>
              </w:rPr>
            </w:pPr>
            <w:r>
              <w:rPr>
                <w:rFonts w:cs="Open Sans Light"/>
                <w:sz w:val="16"/>
                <w:szCs w:val="16"/>
              </w:rPr>
              <w:t>186</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05F415" w14:textId="77777777" w:rsidR="003A22B8" w:rsidRDefault="003A22B8" w:rsidP="004D65FE">
            <w:pPr>
              <w:keepNext/>
              <w:keepLines/>
              <w:spacing w:before="0"/>
              <w:jc w:val="right"/>
              <w:rPr>
                <w:rFonts w:cs="Open Sans Light"/>
                <w:sz w:val="16"/>
                <w:szCs w:val="16"/>
              </w:rPr>
            </w:pPr>
            <w:r>
              <w:rPr>
                <w:rFonts w:cs="Open Sans Light"/>
                <w:sz w:val="16"/>
                <w:szCs w:val="16"/>
              </w:rPr>
              <w:t>231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771BE4A" w14:textId="77777777" w:rsidR="003A22B8" w:rsidRDefault="003A22B8" w:rsidP="004D65FE">
            <w:pPr>
              <w:keepNext/>
              <w:keepLines/>
              <w:spacing w:before="0"/>
              <w:jc w:val="right"/>
              <w:rPr>
                <w:rFonts w:cs="Open Sans Light"/>
                <w:sz w:val="16"/>
                <w:szCs w:val="16"/>
              </w:rPr>
            </w:pPr>
            <w:r>
              <w:rPr>
                <w:rFonts w:cs="Open Sans Light"/>
                <w:sz w:val="16"/>
                <w:szCs w:val="16"/>
              </w:rPr>
              <w:t>211</w:t>
            </w:r>
          </w:p>
        </w:tc>
      </w:tr>
      <w:tr w:rsidR="003A22B8" w14:paraId="47CF0950"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BD92F4" w14:textId="77777777" w:rsidR="003A22B8" w:rsidRDefault="003A22B8" w:rsidP="004D65FE">
            <w:pPr>
              <w:keepNext/>
              <w:keepLines/>
              <w:spacing w:before="0"/>
              <w:ind w:left="142" w:hanging="142"/>
              <w:rPr>
                <w:rFonts w:cs="Open Sans Light"/>
                <w:sz w:val="16"/>
                <w:szCs w:val="16"/>
              </w:rPr>
            </w:pPr>
            <w:r>
              <w:rPr>
                <w:rFonts w:cs="Open Sans Light"/>
                <w:sz w:val="16"/>
                <w:szCs w:val="16"/>
              </w:rPr>
              <w:t>Motor taxes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BBB5588" w14:textId="77777777" w:rsidR="003A22B8" w:rsidRDefault="003A22B8" w:rsidP="004D65FE">
            <w:pPr>
              <w:keepNext/>
              <w:keepLines/>
              <w:spacing w:before="0"/>
              <w:jc w:val="right"/>
              <w:rPr>
                <w:rFonts w:cs="Open Sans Light"/>
                <w:sz w:val="16"/>
                <w:szCs w:val="16"/>
              </w:rPr>
            </w:pPr>
            <w:r>
              <w:rPr>
                <w:rFonts w:cs="Open Sans Light"/>
                <w:sz w:val="16"/>
                <w:szCs w:val="16"/>
              </w:rPr>
              <w:t>281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CCD39C5" w14:textId="77777777" w:rsidR="003A22B8" w:rsidRDefault="003A22B8" w:rsidP="004D65FE">
            <w:pPr>
              <w:keepNext/>
              <w:keepLines/>
              <w:spacing w:before="0"/>
              <w:jc w:val="right"/>
              <w:rPr>
                <w:rFonts w:cs="Open Sans Light"/>
                <w:sz w:val="16"/>
                <w:szCs w:val="16"/>
              </w:rPr>
            </w:pPr>
            <w:r>
              <w:rPr>
                <w:rFonts w:cs="Open Sans Light"/>
                <w:sz w:val="16"/>
                <w:szCs w:val="16"/>
              </w:rPr>
              <w:t>310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82DFBAE" w14:textId="77777777" w:rsidR="003A22B8" w:rsidRDefault="003A22B8" w:rsidP="004D65FE">
            <w:pPr>
              <w:keepNext/>
              <w:keepLines/>
              <w:spacing w:before="0"/>
              <w:jc w:val="right"/>
              <w:rPr>
                <w:rFonts w:cs="Open Sans Light"/>
                <w:sz w:val="16"/>
                <w:szCs w:val="16"/>
              </w:rPr>
            </w:pPr>
            <w:r>
              <w:rPr>
                <w:rFonts w:cs="Open Sans Light"/>
                <w:sz w:val="16"/>
                <w:szCs w:val="16"/>
              </w:rPr>
              <w:t>324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71D1621" w14:textId="77777777" w:rsidR="003A22B8" w:rsidRDefault="003A22B8" w:rsidP="004D65FE">
            <w:pPr>
              <w:keepNext/>
              <w:keepLines/>
              <w:spacing w:before="0"/>
              <w:jc w:val="right"/>
              <w:rPr>
                <w:rFonts w:cs="Open Sans Light"/>
                <w:sz w:val="16"/>
                <w:szCs w:val="16"/>
              </w:rPr>
            </w:pPr>
            <w:r>
              <w:rPr>
                <w:rFonts w:cs="Open Sans Light"/>
                <w:sz w:val="16"/>
                <w:szCs w:val="16"/>
              </w:rPr>
              <w:t>363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1E6DA9D" w14:textId="77777777" w:rsidR="003A22B8" w:rsidRDefault="003A22B8" w:rsidP="004D65FE">
            <w:pPr>
              <w:keepNext/>
              <w:keepLines/>
              <w:spacing w:before="0"/>
              <w:jc w:val="right"/>
              <w:rPr>
                <w:rFonts w:cs="Open Sans Light"/>
                <w:sz w:val="16"/>
                <w:szCs w:val="16"/>
              </w:rPr>
            </w:pPr>
            <w:r>
              <w:rPr>
                <w:rFonts w:cs="Open Sans Light"/>
                <w:sz w:val="16"/>
                <w:szCs w:val="16"/>
              </w:rPr>
              <w:t>327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05D7EB8" w14:textId="77777777" w:rsidR="003A22B8" w:rsidRDefault="003A22B8" w:rsidP="004D65FE">
            <w:pPr>
              <w:keepNext/>
              <w:keepLines/>
              <w:spacing w:before="0"/>
              <w:jc w:val="right"/>
              <w:rPr>
                <w:rFonts w:cs="Open Sans Light"/>
                <w:sz w:val="16"/>
                <w:szCs w:val="16"/>
              </w:rPr>
            </w:pPr>
            <w:r>
              <w:rPr>
                <w:rFonts w:cs="Open Sans Light"/>
                <w:sz w:val="16"/>
                <w:szCs w:val="16"/>
              </w:rPr>
              <w:t>361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D32FD5" w14:textId="77777777" w:rsidR="003A22B8" w:rsidRDefault="003A22B8" w:rsidP="004D65FE">
            <w:pPr>
              <w:keepNext/>
              <w:keepLines/>
              <w:spacing w:before="0"/>
              <w:jc w:val="right"/>
              <w:rPr>
                <w:rFonts w:cs="Open Sans Light"/>
                <w:sz w:val="16"/>
                <w:szCs w:val="16"/>
              </w:rPr>
            </w:pPr>
            <w:r>
              <w:rPr>
                <w:rFonts w:cs="Open Sans Light"/>
                <w:sz w:val="16"/>
                <w:szCs w:val="16"/>
              </w:rPr>
              <w:t>260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9DEFA2A" w14:textId="77777777" w:rsidR="003A22B8" w:rsidRDefault="003A22B8" w:rsidP="004D65FE">
            <w:pPr>
              <w:keepNext/>
              <w:keepLines/>
              <w:spacing w:before="0"/>
              <w:jc w:val="right"/>
              <w:rPr>
                <w:rFonts w:cs="Open Sans Light"/>
                <w:sz w:val="16"/>
                <w:szCs w:val="16"/>
              </w:rPr>
            </w:pPr>
            <w:r>
              <w:rPr>
                <w:rFonts w:cs="Open Sans Light"/>
                <w:sz w:val="16"/>
                <w:szCs w:val="16"/>
              </w:rPr>
              <w:t>276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A2FD36E" w14:textId="77777777" w:rsidR="003A22B8" w:rsidRDefault="003A22B8" w:rsidP="004D65FE">
            <w:pPr>
              <w:keepNext/>
              <w:keepLines/>
              <w:spacing w:before="0"/>
              <w:jc w:val="right"/>
              <w:rPr>
                <w:rFonts w:cs="Open Sans Light"/>
                <w:sz w:val="16"/>
                <w:szCs w:val="16"/>
              </w:rPr>
            </w:pPr>
            <w:r>
              <w:rPr>
                <w:rFonts w:cs="Open Sans Light"/>
                <w:sz w:val="16"/>
                <w:szCs w:val="16"/>
              </w:rPr>
              <w:t>310</w:t>
            </w:r>
          </w:p>
        </w:tc>
      </w:tr>
      <w:tr w:rsidR="003A22B8" w14:paraId="566F8FF6"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CA5208B" w14:textId="77777777" w:rsidR="003A22B8" w:rsidRDefault="003A22B8" w:rsidP="004D65FE">
            <w:pPr>
              <w:keepNext/>
              <w:keepLines/>
              <w:spacing w:before="0"/>
              <w:ind w:left="142" w:hanging="142"/>
              <w:rPr>
                <w:rFonts w:cs="Open Sans Light"/>
                <w:sz w:val="16"/>
                <w:szCs w:val="16"/>
              </w:rPr>
            </w:pPr>
            <w:r>
              <w:rPr>
                <w:rFonts w:cs="Open Sans Light"/>
                <w:sz w:val="16"/>
                <w:szCs w:val="16"/>
              </w:rPr>
              <w:t>Mining revenue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5DE7693" w14:textId="77777777" w:rsidR="003A22B8" w:rsidRDefault="003A22B8" w:rsidP="004D65FE">
            <w:pPr>
              <w:keepNext/>
              <w:keepLines/>
              <w:spacing w:before="0"/>
              <w:jc w:val="right"/>
              <w:rPr>
                <w:rFonts w:cs="Open Sans Light"/>
                <w:sz w:val="16"/>
                <w:szCs w:val="16"/>
              </w:rPr>
            </w:pPr>
            <w:r>
              <w:rPr>
                <w:rFonts w:cs="Open Sans Light"/>
                <w:sz w:val="16"/>
                <w:szCs w:val="16"/>
              </w:rPr>
              <w:t>231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277A578" w14:textId="77777777" w:rsidR="003A22B8" w:rsidRDefault="003A22B8" w:rsidP="004D65FE">
            <w:pPr>
              <w:keepNext/>
              <w:keepLines/>
              <w:spacing w:before="0"/>
              <w:jc w:val="right"/>
              <w:rPr>
                <w:rFonts w:cs="Open Sans Light"/>
                <w:sz w:val="16"/>
                <w:szCs w:val="16"/>
              </w:rPr>
            </w:pPr>
            <w:r>
              <w:rPr>
                <w:rFonts w:cs="Open Sans Light"/>
                <w:sz w:val="16"/>
                <w:szCs w:val="16"/>
              </w:rPr>
              <w:t>26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313ABB0" w14:textId="77777777" w:rsidR="003A22B8" w:rsidRDefault="003A22B8" w:rsidP="004D65FE">
            <w:pPr>
              <w:keepNext/>
              <w:keepLines/>
              <w:spacing w:before="0"/>
              <w:jc w:val="right"/>
              <w:rPr>
                <w:rFonts w:cs="Open Sans Light"/>
                <w:sz w:val="16"/>
                <w:szCs w:val="16"/>
              </w:rPr>
            </w:pPr>
            <w:r>
              <w:rPr>
                <w:rFonts w:cs="Open Sans Light"/>
                <w:sz w:val="16"/>
                <w:szCs w:val="16"/>
              </w:rPr>
              <w:t>728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4AE302A" w14:textId="77777777" w:rsidR="003A22B8" w:rsidRDefault="003A22B8" w:rsidP="004D65FE">
            <w:pPr>
              <w:keepNext/>
              <w:keepLines/>
              <w:spacing w:before="0"/>
              <w:jc w:val="right"/>
              <w:rPr>
                <w:rFonts w:cs="Open Sans Light"/>
                <w:sz w:val="16"/>
                <w:szCs w:val="16"/>
              </w:rPr>
            </w:pPr>
            <w:r>
              <w:rPr>
                <w:rFonts w:cs="Open Sans Light"/>
                <w:sz w:val="16"/>
                <w:szCs w:val="16"/>
              </w:rPr>
              <w:t>2,311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7AA20F" w14:textId="77777777" w:rsidR="003A22B8" w:rsidRDefault="003A22B8" w:rsidP="004D65FE">
            <w:pPr>
              <w:keepNext/>
              <w:keepLines/>
              <w:spacing w:before="0"/>
              <w:jc w:val="right"/>
              <w:rPr>
                <w:rFonts w:cs="Open Sans Light"/>
                <w:sz w:val="16"/>
                <w:szCs w:val="16"/>
              </w:rPr>
            </w:pPr>
            <w:r>
              <w:rPr>
                <w:rFonts w:cs="Open Sans Light"/>
                <w:sz w:val="16"/>
                <w:szCs w:val="16"/>
              </w:rPr>
              <w:t>136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A7FB61" w14:textId="77777777" w:rsidR="003A22B8" w:rsidRDefault="003A22B8" w:rsidP="004D65FE">
            <w:pPr>
              <w:keepNext/>
              <w:keepLines/>
              <w:spacing w:before="0"/>
              <w:jc w:val="right"/>
              <w:rPr>
                <w:rFonts w:cs="Open Sans Light"/>
                <w:sz w:val="16"/>
                <w:szCs w:val="16"/>
              </w:rPr>
            </w:pPr>
            <w:r>
              <w:rPr>
                <w:rFonts w:cs="Open Sans Light"/>
                <w:sz w:val="16"/>
                <w:szCs w:val="16"/>
              </w:rPr>
              <w:t>131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763A196"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43AE02B" w14:textId="77777777" w:rsidR="003A22B8" w:rsidRDefault="003A22B8" w:rsidP="004D65FE">
            <w:pPr>
              <w:keepNext/>
              <w:keepLines/>
              <w:spacing w:before="0"/>
              <w:jc w:val="right"/>
              <w:rPr>
                <w:rFonts w:cs="Open Sans Light"/>
                <w:sz w:val="16"/>
                <w:szCs w:val="16"/>
              </w:rPr>
            </w:pPr>
            <w:r>
              <w:rPr>
                <w:rFonts w:cs="Open Sans Light"/>
                <w:sz w:val="16"/>
                <w:szCs w:val="16"/>
              </w:rPr>
              <w:t>622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1B6A1F3" w14:textId="77777777" w:rsidR="003A22B8" w:rsidRDefault="003A22B8" w:rsidP="004D65FE">
            <w:pPr>
              <w:keepNext/>
              <w:keepLines/>
              <w:spacing w:before="0"/>
              <w:jc w:val="right"/>
              <w:rPr>
                <w:rFonts w:cs="Open Sans Light"/>
                <w:sz w:val="16"/>
                <w:szCs w:val="16"/>
              </w:rPr>
            </w:pPr>
            <w:r>
              <w:rPr>
                <w:rFonts w:cs="Open Sans Light"/>
                <w:sz w:val="16"/>
                <w:szCs w:val="16"/>
              </w:rPr>
              <w:t>488</w:t>
            </w:r>
          </w:p>
        </w:tc>
      </w:tr>
      <w:tr w:rsidR="003A22B8" w14:paraId="4F22AFB9"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F2C26A" w14:textId="77777777" w:rsidR="003A22B8" w:rsidRDefault="003A22B8" w:rsidP="004D65FE">
            <w:pPr>
              <w:keepNext/>
              <w:keepLines/>
              <w:spacing w:before="0"/>
              <w:ind w:left="142" w:hanging="142"/>
              <w:rPr>
                <w:rFonts w:cs="Open Sans Light"/>
                <w:sz w:val="16"/>
                <w:szCs w:val="16"/>
              </w:rPr>
            </w:pPr>
            <w:r>
              <w:rPr>
                <w:rFonts w:cs="Open Sans Light"/>
                <w:sz w:val="16"/>
                <w:szCs w:val="16"/>
              </w:rPr>
              <w:t>Other revenue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C191228" w14:textId="77777777" w:rsidR="003A22B8" w:rsidRDefault="003A22B8" w:rsidP="004D65FE">
            <w:pPr>
              <w:keepNext/>
              <w:keepLines/>
              <w:spacing w:before="0"/>
              <w:jc w:val="right"/>
              <w:rPr>
                <w:rFonts w:cs="Open Sans Light"/>
                <w:sz w:val="16"/>
                <w:szCs w:val="16"/>
              </w:rPr>
            </w:pPr>
            <w:r>
              <w:rPr>
                <w:rFonts w:cs="Open Sans Light"/>
                <w:sz w:val="16"/>
                <w:szCs w:val="16"/>
              </w:rPr>
              <w:t>1,792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DA6477" w14:textId="77777777" w:rsidR="003A22B8" w:rsidRDefault="003A22B8" w:rsidP="004D65FE">
            <w:pPr>
              <w:keepNext/>
              <w:keepLines/>
              <w:spacing w:before="0"/>
              <w:jc w:val="right"/>
              <w:rPr>
                <w:rFonts w:cs="Open Sans Light"/>
                <w:sz w:val="16"/>
                <w:szCs w:val="16"/>
              </w:rPr>
            </w:pPr>
            <w:r>
              <w:rPr>
                <w:rFonts w:cs="Open Sans Light"/>
                <w:sz w:val="16"/>
                <w:szCs w:val="16"/>
              </w:rPr>
              <w:t>1,792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4D248F" w14:textId="77777777" w:rsidR="003A22B8" w:rsidRDefault="003A22B8" w:rsidP="004D65FE">
            <w:pPr>
              <w:keepNext/>
              <w:keepLines/>
              <w:spacing w:before="0"/>
              <w:jc w:val="right"/>
              <w:rPr>
                <w:rFonts w:cs="Open Sans Light"/>
                <w:sz w:val="16"/>
                <w:szCs w:val="16"/>
              </w:rPr>
            </w:pPr>
            <w:r>
              <w:rPr>
                <w:rFonts w:cs="Open Sans Light"/>
                <w:sz w:val="16"/>
                <w:szCs w:val="16"/>
              </w:rPr>
              <w:t>1,792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380818D" w14:textId="77777777" w:rsidR="003A22B8" w:rsidRDefault="003A22B8" w:rsidP="004D65FE">
            <w:pPr>
              <w:keepNext/>
              <w:keepLines/>
              <w:spacing w:before="0"/>
              <w:jc w:val="right"/>
              <w:rPr>
                <w:rFonts w:cs="Open Sans Light"/>
                <w:sz w:val="16"/>
                <w:szCs w:val="16"/>
              </w:rPr>
            </w:pPr>
            <w:r>
              <w:rPr>
                <w:rFonts w:cs="Open Sans Light"/>
                <w:sz w:val="16"/>
                <w:szCs w:val="16"/>
              </w:rPr>
              <w:t>1,792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F6E4F3" w14:textId="77777777" w:rsidR="003A22B8" w:rsidRDefault="003A22B8" w:rsidP="004D65FE">
            <w:pPr>
              <w:keepNext/>
              <w:keepLines/>
              <w:spacing w:before="0"/>
              <w:jc w:val="right"/>
              <w:rPr>
                <w:rFonts w:cs="Open Sans Light"/>
                <w:sz w:val="16"/>
                <w:szCs w:val="16"/>
              </w:rPr>
            </w:pPr>
            <w:r>
              <w:rPr>
                <w:rFonts w:cs="Open Sans Light"/>
                <w:sz w:val="16"/>
                <w:szCs w:val="16"/>
              </w:rPr>
              <w:t>1,792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1BA193E" w14:textId="77777777" w:rsidR="003A22B8" w:rsidRDefault="003A22B8" w:rsidP="004D65FE">
            <w:pPr>
              <w:keepNext/>
              <w:keepLines/>
              <w:spacing w:before="0"/>
              <w:jc w:val="right"/>
              <w:rPr>
                <w:rFonts w:cs="Open Sans Light"/>
                <w:sz w:val="16"/>
                <w:szCs w:val="16"/>
              </w:rPr>
            </w:pPr>
            <w:r>
              <w:rPr>
                <w:rFonts w:cs="Open Sans Light"/>
                <w:sz w:val="16"/>
                <w:szCs w:val="16"/>
              </w:rPr>
              <w:t>1,792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6726A1" w14:textId="77777777" w:rsidR="003A22B8" w:rsidRDefault="003A22B8" w:rsidP="004D65FE">
            <w:pPr>
              <w:keepNext/>
              <w:keepLines/>
              <w:spacing w:before="0"/>
              <w:jc w:val="right"/>
              <w:rPr>
                <w:rFonts w:cs="Open Sans Light"/>
                <w:sz w:val="16"/>
                <w:szCs w:val="16"/>
              </w:rPr>
            </w:pPr>
            <w:r>
              <w:rPr>
                <w:rFonts w:cs="Open Sans Light"/>
                <w:sz w:val="16"/>
                <w:szCs w:val="16"/>
              </w:rPr>
              <w:t>1,792</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F41D6CA" w14:textId="77777777" w:rsidR="003A22B8" w:rsidRDefault="003A22B8" w:rsidP="004D65FE">
            <w:pPr>
              <w:keepNext/>
              <w:keepLines/>
              <w:spacing w:before="0"/>
              <w:jc w:val="right"/>
              <w:rPr>
                <w:rFonts w:cs="Open Sans Light"/>
                <w:sz w:val="16"/>
                <w:szCs w:val="16"/>
              </w:rPr>
            </w:pPr>
            <w:r>
              <w:rPr>
                <w:rFonts w:cs="Open Sans Light"/>
                <w:sz w:val="16"/>
                <w:szCs w:val="16"/>
              </w:rPr>
              <w:t>1,792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BD9D73A" w14:textId="77777777" w:rsidR="003A22B8" w:rsidRDefault="003A22B8" w:rsidP="004D65FE">
            <w:pPr>
              <w:keepNext/>
              <w:keepLines/>
              <w:spacing w:before="0"/>
              <w:jc w:val="right"/>
              <w:rPr>
                <w:rFonts w:cs="Open Sans Light"/>
                <w:sz w:val="16"/>
                <w:szCs w:val="16"/>
              </w:rPr>
            </w:pPr>
            <w:r>
              <w:rPr>
                <w:rFonts w:cs="Open Sans Light"/>
                <w:sz w:val="16"/>
                <w:szCs w:val="16"/>
              </w:rPr>
              <w:t>1,792</w:t>
            </w:r>
          </w:p>
        </w:tc>
      </w:tr>
      <w:tr w:rsidR="003A22B8" w14:paraId="6B303EE5"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0BC3C61"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Assessed revenue</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065057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5,075</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E908BB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4,492</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A4CC1B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4,882</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DB0B2A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6,706</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EC3298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3,781</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01C1C7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3,592</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17D02E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4,193</w:t>
            </w:r>
          </w:p>
        </w:tc>
        <w:tc>
          <w:tcPr>
            <w:tcW w:w="82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3E64E6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4,725</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55AE5D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4,917</w:t>
            </w:r>
          </w:p>
        </w:tc>
      </w:tr>
    </w:tbl>
    <w:p w14:paraId="34E9D692" w14:textId="77777777" w:rsidR="003A22B8" w:rsidRDefault="003A22B8" w:rsidP="003A22B8">
      <w:pPr>
        <w:pStyle w:val="CGCTablenote"/>
      </w:pPr>
      <w:r>
        <w:t>Source:</w:t>
      </w:r>
      <w:r>
        <w:tab/>
        <w:t>CGC calculation.</w:t>
      </w:r>
    </w:p>
    <w:p w14:paraId="09D970CA" w14:textId="01375715" w:rsidR="003A22B8" w:rsidRDefault="003A22B8" w:rsidP="003A22B8">
      <w:pPr>
        <w:pStyle w:val="Caption"/>
      </w:pPr>
      <w:bookmarkStart w:id="644" w:name="_Ref30430117"/>
      <w:r>
        <w:lastRenderedPageBreak/>
        <w:t>Table 30-</w:t>
      </w:r>
      <w:fldSimple w:instr=" SEQ Table \* ARABIC ">
        <w:r w:rsidR="007F721A">
          <w:rPr>
            <w:noProof/>
          </w:rPr>
          <w:t>3</w:t>
        </w:r>
      </w:fldSimple>
      <w:bookmarkEnd w:id="644"/>
      <w:r>
        <w:tab/>
        <w:t>Per capita relativities, 2016-17</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088BCCB0" w14:textId="77777777" w:rsidTr="004D65FE">
        <w:trPr>
          <w:trHeight w:val="375"/>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5C8AF60" w14:textId="77777777" w:rsidR="003A22B8" w:rsidRDefault="003A22B8" w:rsidP="004D65FE">
            <w:pPr>
              <w:keepNext/>
              <w:keepLines/>
              <w:tabs>
                <w:tab w:val="clear" w:pos="567"/>
              </w:tabs>
              <w:spacing w:before="0" w:line="240" w:lineRule="auto"/>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EFCE658"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71D8A2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34A896A"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D86494D"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3B6E5B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A98818B"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7AE6AF7"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94A6BC9"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715C0A2"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32F6ECD8" w14:textId="77777777" w:rsidTr="005C340D">
        <w:trPr>
          <w:trHeight w:val="255"/>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6383A80" w14:textId="77777777" w:rsidR="003A22B8" w:rsidRDefault="003A22B8" w:rsidP="004D65FE">
            <w:pPr>
              <w:keepNext/>
              <w:keepLines/>
              <w:spacing w:before="0"/>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629340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5BE411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ED3166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31000A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7F500C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D2B6F1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650C66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3D928F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D05CF8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0A9F2C8A"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5E8F7E7" w14:textId="77777777" w:rsidR="003A22B8" w:rsidRDefault="003A22B8" w:rsidP="004D65FE">
            <w:pPr>
              <w:keepNext/>
              <w:keepLines/>
              <w:spacing w:before="0"/>
              <w:ind w:left="142" w:hanging="142"/>
              <w:rPr>
                <w:rFonts w:cs="Open Sans Light"/>
                <w:sz w:val="16"/>
                <w:szCs w:val="16"/>
              </w:rPr>
            </w:pPr>
            <w:r>
              <w:rPr>
                <w:rFonts w:cs="Open Sans Light"/>
                <w:sz w:val="16"/>
                <w:szCs w:val="16"/>
              </w:rPr>
              <w:t>Assessed expenses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57B462B" w14:textId="77777777" w:rsidR="003A22B8" w:rsidRDefault="003A22B8" w:rsidP="004D65FE">
            <w:pPr>
              <w:keepNext/>
              <w:keepLines/>
              <w:spacing w:before="0"/>
              <w:jc w:val="right"/>
              <w:rPr>
                <w:rFonts w:cs="Open Sans Light"/>
                <w:sz w:val="16"/>
                <w:szCs w:val="16"/>
              </w:rPr>
            </w:pPr>
            <w:r>
              <w:rPr>
                <w:rFonts w:cs="Open Sans Light"/>
                <w:sz w:val="16"/>
                <w:szCs w:val="16"/>
              </w:rPr>
              <w:t>8,117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53F8CA7" w14:textId="77777777" w:rsidR="003A22B8" w:rsidRDefault="003A22B8" w:rsidP="004D65FE">
            <w:pPr>
              <w:keepNext/>
              <w:keepLines/>
              <w:spacing w:before="0"/>
              <w:jc w:val="right"/>
              <w:rPr>
                <w:rFonts w:cs="Open Sans Light"/>
                <w:sz w:val="16"/>
                <w:szCs w:val="16"/>
              </w:rPr>
            </w:pPr>
            <w:r>
              <w:rPr>
                <w:rFonts w:cs="Open Sans Light"/>
                <w:sz w:val="16"/>
                <w:szCs w:val="16"/>
              </w:rPr>
              <w:t>7,595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203C2E0" w14:textId="77777777" w:rsidR="003A22B8" w:rsidRDefault="003A22B8" w:rsidP="004D65FE">
            <w:pPr>
              <w:keepNext/>
              <w:keepLines/>
              <w:spacing w:before="0"/>
              <w:jc w:val="right"/>
              <w:rPr>
                <w:rFonts w:cs="Open Sans Light"/>
                <w:sz w:val="16"/>
                <w:szCs w:val="16"/>
              </w:rPr>
            </w:pPr>
            <w:r>
              <w:rPr>
                <w:rFonts w:cs="Open Sans Light"/>
                <w:sz w:val="16"/>
                <w:szCs w:val="16"/>
              </w:rPr>
              <w:t>8,434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557EDE8" w14:textId="77777777" w:rsidR="003A22B8" w:rsidRDefault="003A22B8" w:rsidP="004D65FE">
            <w:pPr>
              <w:keepNext/>
              <w:keepLines/>
              <w:spacing w:before="0"/>
              <w:jc w:val="right"/>
              <w:rPr>
                <w:rFonts w:cs="Open Sans Light"/>
                <w:sz w:val="16"/>
                <w:szCs w:val="16"/>
              </w:rPr>
            </w:pPr>
            <w:r>
              <w:rPr>
                <w:rFonts w:cs="Open Sans Light"/>
                <w:sz w:val="16"/>
                <w:szCs w:val="16"/>
              </w:rPr>
              <w:t>8,874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94EB1A6" w14:textId="77777777" w:rsidR="003A22B8" w:rsidRDefault="003A22B8" w:rsidP="004D65FE">
            <w:pPr>
              <w:keepNext/>
              <w:keepLines/>
              <w:spacing w:before="0"/>
              <w:jc w:val="right"/>
              <w:rPr>
                <w:rFonts w:cs="Open Sans Light"/>
                <w:sz w:val="16"/>
                <w:szCs w:val="16"/>
              </w:rPr>
            </w:pPr>
            <w:r>
              <w:rPr>
                <w:rFonts w:cs="Open Sans Light"/>
                <w:sz w:val="16"/>
                <w:szCs w:val="16"/>
              </w:rPr>
              <w:t>8,417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B021B60" w14:textId="77777777" w:rsidR="003A22B8" w:rsidRDefault="003A22B8" w:rsidP="004D65FE">
            <w:pPr>
              <w:keepNext/>
              <w:keepLines/>
              <w:spacing w:before="0"/>
              <w:jc w:val="right"/>
              <w:rPr>
                <w:rFonts w:cs="Open Sans Light"/>
                <w:sz w:val="16"/>
                <w:szCs w:val="16"/>
              </w:rPr>
            </w:pPr>
            <w:r>
              <w:rPr>
                <w:rFonts w:cs="Open Sans Light"/>
                <w:sz w:val="16"/>
                <w:szCs w:val="16"/>
              </w:rPr>
              <w:t>9,365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AE10532" w14:textId="77777777" w:rsidR="003A22B8" w:rsidRDefault="003A22B8" w:rsidP="004D65FE">
            <w:pPr>
              <w:keepNext/>
              <w:keepLines/>
              <w:spacing w:before="0"/>
              <w:jc w:val="right"/>
              <w:rPr>
                <w:rFonts w:cs="Open Sans Light"/>
                <w:sz w:val="16"/>
                <w:szCs w:val="16"/>
              </w:rPr>
            </w:pPr>
            <w:r>
              <w:rPr>
                <w:rFonts w:cs="Open Sans Light"/>
                <w:sz w:val="16"/>
                <w:szCs w:val="16"/>
              </w:rPr>
              <w:t>7,925</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5912868" w14:textId="77777777" w:rsidR="003A22B8" w:rsidRDefault="003A22B8" w:rsidP="004D65FE">
            <w:pPr>
              <w:keepNext/>
              <w:keepLines/>
              <w:spacing w:before="0"/>
              <w:jc w:val="right"/>
              <w:rPr>
                <w:rFonts w:cs="Open Sans Light"/>
                <w:sz w:val="16"/>
                <w:szCs w:val="16"/>
              </w:rPr>
            </w:pPr>
            <w:r>
              <w:rPr>
                <w:rFonts w:cs="Open Sans Light"/>
                <w:sz w:val="16"/>
                <w:szCs w:val="16"/>
              </w:rPr>
              <w:t>17,440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CC7DE12" w14:textId="77777777" w:rsidR="003A22B8" w:rsidRDefault="003A22B8" w:rsidP="004D65FE">
            <w:pPr>
              <w:keepNext/>
              <w:keepLines/>
              <w:spacing w:before="0"/>
              <w:jc w:val="right"/>
              <w:rPr>
                <w:rFonts w:cs="Open Sans Light"/>
                <w:sz w:val="16"/>
                <w:szCs w:val="16"/>
              </w:rPr>
            </w:pPr>
            <w:r>
              <w:rPr>
                <w:rFonts w:cs="Open Sans Light"/>
                <w:sz w:val="16"/>
                <w:szCs w:val="16"/>
              </w:rPr>
              <w:t>8,265</w:t>
            </w:r>
          </w:p>
        </w:tc>
      </w:tr>
      <w:tr w:rsidR="003A22B8" w14:paraId="4318B7C7"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7C4F00" w14:textId="77777777" w:rsidR="003A22B8" w:rsidRDefault="003A22B8" w:rsidP="004D65FE">
            <w:pPr>
              <w:keepNext/>
              <w:keepLines/>
              <w:spacing w:before="0"/>
              <w:ind w:left="142" w:hanging="142"/>
              <w:rPr>
                <w:rFonts w:cs="Open Sans Light"/>
                <w:sz w:val="16"/>
                <w:szCs w:val="16"/>
              </w:rPr>
            </w:pPr>
            <w:r>
              <w:rPr>
                <w:rFonts w:cs="Open Sans Light"/>
                <w:sz w:val="16"/>
                <w:szCs w:val="16"/>
              </w:rPr>
              <w:t>Investment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6EF7491" w14:textId="77777777" w:rsidR="003A22B8" w:rsidRDefault="003A22B8" w:rsidP="004D65FE">
            <w:pPr>
              <w:keepNext/>
              <w:keepLines/>
              <w:spacing w:before="0"/>
              <w:jc w:val="right"/>
              <w:rPr>
                <w:rFonts w:cs="Open Sans Light"/>
                <w:sz w:val="16"/>
                <w:szCs w:val="16"/>
              </w:rPr>
            </w:pPr>
            <w:r>
              <w:rPr>
                <w:rFonts w:cs="Open Sans Light"/>
                <w:sz w:val="16"/>
                <w:szCs w:val="16"/>
              </w:rPr>
              <w:t>1,155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B578FAD" w14:textId="77777777" w:rsidR="003A22B8" w:rsidRDefault="003A22B8" w:rsidP="004D65FE">
            <w:pPr>
              <w:keepNext/>
              <w:keepLines/>
              <w:spacing w:before="0"/>
              <w:jc w:val="right"/>
              <w:rPr>
                <w:rFonts w:cs="Open Sans Light"/>
                <w:sz w:val="16"/>
                <w:szCs w:val="16"/>
              </w:rPr>
            </w:pPr>
            <w:r>
              <w:rPr>
                <w:rFonts w:cs="Open Sans Light"/>
                <w:sz w:val="16"/>
                <w:szCs w:val="16"/>
              </w:rPr>
              <w:t>1,151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92FD81B" w14:textId="77777777" w:rsidR="003A22B8" w:rsidRDefault="003A22B8" w:rsidP="004D65FE">
            <w:pPr>
              <w:keepNext/>
              <w:keepLines/>
              <w:spacing w:before="0"/>
              <w:jc w:val="right"/>
              <w:rPr>
                <w:rFonts w:cs="Open Sans Light"/>
                <w:sz w:val="16"/>
                <w:szCs w:val="16"/>
              </w:rPr>
            </w:pPr>
            <w:r>
              <w:rPr>
                <w:rFonts w:cs="Open Sans Light"/>
                <w:sz w:val="16"/>
                <w:szCs w:val="16"/>
              </w:rPr>
              <w:t>1,107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B82722D" w14:textId="77777777" w:rsidR="003A22B8" w:rsidRDefault="003A22B8" w:rsidP="004D65FE">
            <w:pPr>
              <w:keepNext/>
              <w:keepLines/>
              <w:spacing w:before="0"/>
              <w:jc w:val="right"/>
              <w:rPr>
                <w:rFonts w:cs="Open Sans Light"/>
                <w:sz w:val="16"/>
                <w:szCs w:val="16"/>
              </w:rPr>
            </w:pPr>
            <w:r>
              <w:rPr>
                <w:rFonts w:cs="Open Sans Light"/>
                <w:sz w:val="16"/>
                <w:szCs w:val="16"/>
              </w:rPr>
              <w:t>1,033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663178C" w14:textId="77777777" w:rsidR="003A22B8" w:rsidRDefault="003A22B8" w:rsidP="004D65FE">
            <w:pPr>
              <w:keepNext/>
              <w:keepLines/>
              <w:spacing w:before="0"/>
              <w:jc w:val="right"/>
              <w:rPr>
                <w:rFonts w:cs="Open Sans Light"/>
                <w:sz w:val="16"/>
                <w:szCs w:val="16"/>
              </w:rPr>
            </w:pPr>
            <w:r>
              <w:rPr>
                <w:rFonts w:cs="Open Sans Light"/>
                <w:sz w:val="16"/>
                <w:szCs w:val="16"/>
              </w:rPr>
              <w:t>914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28AF841" w14:textId="77777777" w:rsidR="003A22B8" w:rsidRDefault="003A22B8" w:rsidP="004D65FE">
            <w:pPr>
              <w:keepNext/>
              <w:keepLines/>
              <w:spacing w:before="0"/>
              <w:jc w:val="right"/>
              <w:rPr>
                <w:rFonts w:cs="Open Sans Light"/>
                <w:sz w:val="16"/>
                <w:szCs w:val="16"/>
              </w:rPr>
            </w:pPr>
            <w:r>
              <w:rPr>
                <w:rFonts w:cs="Open Sans Light"/>
                <w:sz w:val="16"/>
                <w:szCs w:val="16"/>
              </w:rPr>
              <w:t>855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8629766" w14:textId="77777777" w:rsidR="003A22B8" w:rsidRDefault="003A22B8" w:rsidP="004D65FE">
            <w:pPr>
              <w:keepNext/>
              <w:keepLines/>
              <w:spacing w:before="0"/>
              <w:jc w:val="right"/>
              <w:rPr>
                <w:rFonts w:cs="Open Sans Light"/>
                <w:sz w:val="16"/>
                <w:szCs w:val="16"/>
              </w:rPr>
            </w:pPr>
            <w:r>
              <w:rPr>
                <w:rFonts w:cs="Open Sans Light"/>
                <w:sz w:val="16"/>
                <w:szCs w:val="16"/>
              </w:rPr>
              <w:t>976</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9571054" w14:textId="77777777" w:rsidR="003A22B8" w:rsidRDefault="003A22B8" w:rsidP="004D65FE">
            <w:pPr>
              <w:keepNext/>
              <w:keepLines/>
              <w:spacing w:before="0"/>
              <w:jc w:val="right"/>
              <w:rPr>
                <w:rFonts w:cs="Open Sans Light"/>
                <w:sz w:val="16"/>
                <w:szCs w:val="16"/>
              </w:rPr>
            </w:pPr>
            <w:r>
              <w:rPr>
                <w:rFonts w:cs="Open Sans Light"/>
                <w:sz w:val="16"/>
                <w:szCs w:val="16"/>
              </w:rPr>
              <w:t>2,816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C1A2C0C" w14:textId="77777777" w:rsidR="003A22B8" w:rsidRDefault="003A22B8" w:rsidP="004D65FE">
            <w:pPr>
              <w:keepNext/>
              <w:keepLines/>
              <w:spacing w:before="0"/>
              <w:jc w:val="right"/>
              <w:rPr>
                <w:rFonts w:cs="Open Sans Light"/>
                <w:sz w:val="16"/>
                <w:szCs w:val="16"/>
              </w:rPr>
            </w:pPr>
            <w:r>
              <w:rPr>
                <w:rFonts w:cs="Open Sans Light"/>
                <w:sz w:val="16"/>
                <w:szCs w:val="16"/>
              </w:rPr>
              <w:t>1,122</w:t>
            </w:r>
          </w:p>
        </w:tc>
      </w:tr>
      <w:tr w:rsidR="003A22B8" w14:paraId="7E43F514"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4F2B08" w14:textId="77777777" w:rsidR="003A22B8" w:rsidRDefault="003A22B8" w:rsidP="004D65FE">
            <w:pPr>
              <w:keepNext/>
              <w:keepLines/>
              <w:spacing w:before="0"/>
              <w:ind w:left="142" w:hanging="142"/>
              <w:rPr>
                <w:rFonts w:cs="Open Sans Light"/>
                <w:sz w:val="16"/>
                <w:szCs w:val="16"/>
              </w:rPr>
            </w:pPr>
            <w:r>
              <w:rPr>
                <w:rFonts w:cs="Open Sans Light"/>
                <w:sz w:val="16"/>
                <w:szCs w:val="16"/>
              </w:rPr>
              <w:t>Assessed expenditure</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6328E4C" w14:textId="77777777" w:rsidR="003A22B8" w:rsidRDefault="003A22B8" w:rsidP="004D65FE">
            <w:pPr>
              <w:keepNext/>
              <w:keepLines/>
              <w:spacing w:before="0"/>
              <w:jc w:val="right"/>
              <w:rPr>
                <w:rFonts w:cs="Open Sans Light"/>
                <w:sz w:val="16"/>
                <w:szCs w:val="16"/>
              </w:rPr>
            </w:pPr>
            <w:r>
              <w:rPr>
                <w:rFonts w:cs="Open Sans Light"/>
                <w:sz w:val="16"/>
                <w:szCs w:val="16"/>
              </w:rPr>
              <w:t>9,273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C89E2E3" w14:textId="77777777" w:rsidR="003A22B8" w:rsidRDefault="003A22B8" w:rsidP="004D65FE">
            <w:pPr>
              <w:keepNext/>
              <w:keepLines/>
              <w:spacing w:before="0"/>
              <w:jc w:val="right"/>
              <w:rPr>
                <w:rFonts w:cs="Open Sans Light"/>
                <w:sz w:val="16"/>
                <w:szCs w:val="16"/>
              </w:rPr>
            </w:pPr>
            <w:r>
              <w:rPr>
                <w:rFonts w:cs="Open Sans Light"/>
                <w:sz w:val="16"/>
                <w:szCs w:val="16"/>
              </w:rPr>
              <w:t>8,746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0D1D9CE" w14:textId="77777777" w:rsidR="003A22B8" w:rsidRDefault="003A22B8" w:rsidP="004D65FE">
            <w:pPr>
              <w:keepNext/>
              <w:keepLines/>
              <w:spacing w:before="0"/>
              <w:jc w:val="right"/>
              <w:rPr>
                <w:rFonts w:cs="Open Sans Light"/>
                <w:sz w:val="16"/>
                <w:szCs w:val="16"/>
              </w:rPr>
            </w:pPr>
            <w:r>
              <w:rPr>
                <w:rFonts w:cs="Open Sans Light"/>
                <w:sz w:val="16"/>
                <w:szCs w:val="16"/>
              </w:rPr>
              <w:t>9,541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D9DAEA5" w14:textId="77777777" w:rsidR="003A22B8" w:rsidRDefault="003A22B8" w:rsidP="004D65FE">
            <w:pPr>
              <w:keepNext/>
              <w:keepLines/>
              <w:spacing w:before="0"/>
              <w:jc w:val="right"/>
              <w:rPr>
                <w:rFonts w:cs="Open Sans Light"/>
                <w:sz w:val="16"/>
                <w:szCs w:val="16"/>
              </w:rPr>
            </w:pPr>
            <w:r>
              <w:rPr>
                <w:rFonts w:cs="Open Sans Light"/>
                <w:sz w:val="16"/>
                <w:szCs w:val="16"/>
              </w:rPr>
              <w:t>9,907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541BEB0" w14:textId="77777777" w:rsidR="003A22B8" w:rsidRDefault="003A22B8" w:rsidP="004D65FE">
            <w:pPr>
              <w:keepNext/>
              <w:keepLines/>
              <w:spacing w:before="0"/>
              <w:jc w:val="right"/>
              <w:rPr>
                <w:rFonts w:cs="Open Sans Light"/>
                <w:sz w:val="16"/>
                <w:szCs w:val="16"/>
              </w:rPr>
            </w:pPr>
            <w:r>
              <w:rPr>
                <w:rFonts w:cs="Open Sans Light"/>
                <w:sz w:val="16"/>
                <w:szCs w:val="16"/>
              </w:rPr>
              <w:t>9,332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63D6278" w14:textId="77777777" w:rsidR="003A22B8" w:rsidRDefault="003A22B8" w:rsidP="004D65FE">
            <w:pPr>
              <w:keepNext/>
              <w:keepLines/>
              <w:spacing w:before="0"/>
              <w:jc w:val="right"/>
              <w:rPr>
                <w:rFonts w:cs="Open Sans Light"/>
                <w:sz w:val="16"/>
                <w:szCs w:val="16"/>
              </w:rPr>
            </w:pPr>
            <w:r>
              <w:rPr>
                <w:rFonts w:cs="Open Sans Light"/>
                <w:sz w:val="16"/>
                <w:szCs w:val="16"/>
              </w:rPr>
              <w:t>10,220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BF76B17" w14:textId="77777777" w:rsidR="003A22B8" w:rsidRDefault="003A22B8" w:rsidP="004D65FE">
            <w:pPr>
              <w:keepNext/>
              <w:keepLines/>
              <w:spacing w:before="0"/>
              <w:jc w:val="right"/>
              <w:rPr>
                <w:rFonts w:cs="Open Sans Light"/>
                <w:sz w:val="16"/>
                <w:szCs w:val="16"/>
              </w:rPr>
            </w:pPr>
            <w:r>
              <w:rPr>
                <w:rFonts w:cs="Open Sans Light"/>
                <w:sz w:val="16"/>
                <w:szCs w:val="16"/>
              </w:rPr>
              <w:t>8,901</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DD40E7E" w14:textId="77777777" w:rsidR="003A22B8" w:rsidRDefault="003A22B8" w:rsidP="004D65FE">
            <w:pPr>
              <w:keepNext/>
              <w:keepLines/>
              <w:spacing w:before="0"/>
              <w:jc w:val="right"/>
              <w:rPr>
                <w:rFonts w:cs="Open Sans Light"/>
                <w:sz w:val="16"/>
                <w:szCs w:val="16"/>
              </w:rPr>
            </w:pPr>
            <w:r>
              <w:rPr>
                <w:rFonts w:cs="Open Sans Light"/>
                <w:sz w:val="16"/>
                <w:szCs w:val="16"/>
              </w:rPr>
              <w:t>20,256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B3D005E" w14:textId="77777777" w:rsidR="003A22B8" w:rsidRDefault="003A22B8" w:rsidP="004D65FE">
            <w:pPr>
              <w:keepNext/>
              <w:keepLines/>
              <w:spacing w:before="0"/>
              <w:jc w:val="right"/>
              <w:rPr>
                <w:rFonts w:cs="Open Sans Light"/>
                <w:sz w:val="16"/>
                <w:szCs w:val="16"/>
              </w:rPr>
            </w:pPr>
            <w:r>
              <w:rPr>
                <w:rFonts w:cs="Open Sans Light"/>
                <w:sz w:val="16"/>
                <w:szCs w:val="16"/>
              </w:rPr>
              <w:t>9,387</w:t>
            </w:r>
          </w:p>
        </w:tc>
      </w:tr>
      <w:tr w:rsidR="003A22B8" w14:paraId="3ACCC672" w14:textId="77777777" w:rsidTr="004D65FE">
        <w:trPr>
          <w:trHeight w:val="255"/>
        </w:trPr>
        <w:tc>
          <w:tcPr>
            <w:tcW w:w="2500" w:type="dxa"/>
            <w:tcBorders>
              <w:top w:val="nil"/>
              <w:left w:val="nil"/>
              <w:bottom w:val="nil"/>
              <w:right w:val="nil"/>
            </w:tcBorders>
            <w:shd w:val="clear" w:color="auto" w:fill="auto"/>
            <w:noWrap/>
            <w:tcMar>
              <w:top w:w="15" w:type="dxa"/>
              <w:left w:w="15" w:type="dxa"/>
              <w:bottom w:w="0" w:type="dxa"/>
              <w:right w:w="15" w:type="dxa"/>
            </w:tcMar>
            <w:vAlign w:val="bottom"/>
            <w:hideMark/>
          </w:tcPr>
          <w:p w14:paraId="101E05CB" w14:textId="77777777" w:rsidR="003A22B8" w:rsidRDefault="003A22B8" w:rsidP="004D65FE">
            <w:pPr>
              <w:keepNext/>
              <w:keepLines/>
              <w:spacing w:before="0"/>
              <w:ind w:left="142" w:hanging="142"/>
              <w:rPr>
                <w:rFonts w:cs="Open Sans Light"/>
                <w:i/>
                <w:iCs/>
                <w:sz w:val="16"/>
                <w:szCs w:val="16"/>
              </w:rPr>
            </w:pPr>
            <w:r>
              <w:rPr>
                <w:rFonts w:cs="Open Sans Light"/>
                <w:i/>
                <w:iCs/>
                <w:sz w:val="16"/>
                <w:szCs w:val="16"/>
              </w:rPr>
              <w:t>met through</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6AD0E43B" w14:textId="77777777" w:rsidR="003A22B8" w:rsidRDefault="003A22B8" w:rsidP="004D65FE">
            <w:pPr>
              <w:keepNext/>
              <w:keepLines/>
              <w:spacing w:before="0"/>
              <w:rPr>
                <w:rFonts w:cs="Open Sans Light"/>
                <w:i/>
                <w:iCs/>
                <w:sz w:val="16"/>
                <w:szCs w:val="16"/>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6AD0A112"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60C01045"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433D1416"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193874D9"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25E76F0B"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3A9BB40A" w14:textId="77777777" w:rsidR="003A22B8" w:rsidRDefault="003A22B8" w:rsidP="004D65FE">
            <w:pPr>
              <w:keepNext/>
              <w:keepLines/>
              <w:spacing w:before="0"/>
              <w:jc w:val="right"/>
              <w:rPr>
                <w:szCs w:val="20"/>
              </w:rPr>
            </w:pPr>
          </w:p>
        </w:tc>
        <w:tc>
          <w:tcPr>
            <w:tcW w:w="820" w:type="dxa"/>
            <w:tcBorders>
              <w:top w:val="nil"/>
              <w:left w:val="nil"/>
              <w:bottom w:val="nil"/>
              <w:right w:val="nil"/>
            </w:tcBorders>
            <w:shd w:val="clear" w:color="auto" w:fill="auto"/>
            <w:tcMar>
              <w:top w:w="15" w:type="dxa"/>
              <w:left w:w="15" w:type="dxa"/>
              <w:bottom w:w="0" w:type="dxa"/>
              <w:right w:w="15" w:type="dxa"/>
            </w:tcMar>
            <w:vAlign w:val="bottom"/>
            <w:hideMark/>
          </w:tcPr>
          <w:p w14:paraId="0256C292"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557313D5" w14:textId="77777777" w:rsidR="003A22B8" w:rsidRDefault="003A22B8" w:rsidP="004D65FE">
            <w:pPr>
              <w:keepNext/>
              <w:keepLines/>
              <w:spacing w:before="0"/>
              <w:jc w:val="right"/>
              <w:rPr>
                <w:szCs w:val="20"/>
              </w:rPr>
            </w:pPr>
          </w:p>
        </w:tc>
      </w:tr>
      <w:tr w:rsidR="003A22B8" w14:paraId="3894765F"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CE5DBC1" w14:textId="77777777" w:rsidR="003A22B8" w:rsidRDefault="003A22B8" w:rsidP="004D65FE">
            <w:pPr>
              <w:keepNext/>
              <w:keepLines/>
              <w:spacing w:before="0"/>
              <w:ind w:left="142" w:hanging="142"/>
              <w:rPr>
                <w:rFonts w:cs="Open Sans Light"/>
                <w:sz w:val="16"/>
                <w:szCs w:val="16"/>
              </w:rPr>
            </w:pPr>
            <w:r>
              <w:rPr>
                <w:rFonts w:cs="Open Sans Light"/>
                <w:sz w:val="16"/>
                <w:szCs w:val="16"/>
              </w:rPr>
              <w:t>Net borrowing</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92C5ADE" w14:textId="77777777" w:rsidR="003A22B8" w:rsidRDefault="003A22B8" w:rsidP="004D65FE">
            <w:pPr>
              <w:keepNext/>
              <w:keepLines/>
              <w:spacing w:before="0"/>
              <w:jc w:val="right"/>
              <w:rPr>
                <w:rFonts w:cs="Open Sans Light"/>
                <w:sz w:val="16"/>
                <w:szCs w:val="16"/>
              </w:rPr>
            </w:pPr>
            <w:r>
              <w:rPr>
                <w:rFonts w:cs="Open Sans Light"/>
                <w:sz w:val="16"/>
                <w:szCs w:val="16"/>
              </w:rPr>
              <w:t>446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5A6FC19" w14:textId="77777777" w:rsidR="003A22B8" w:rsidRDefault="003A22B8" w:rsidP="004D65FE">
            <w:pPr>
              <w:keepNext/>
              <w:keepLines/>
              <w:spacing w:before="0"/>
              <w:jc w:val="right"/>
              <w:rPr>
                <w:rFonts w:cs="Open Sans Light"/>
                <w:sz w:val="16"/>
                <w:szCs w:val="16"/>
              </w:rPr>
            </w:pPr>
            <w:r>
              <w:rPr>
                <w:rFonts w:cs="Open Sans Light"/>
                <w:sz w:val="16"/>
                <w:szCs w:val="16"/>
              </w:rPr>
              <w:t>469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22211E3" w14:textId="77777777" w:rsidR="003A22B8" w:rsidRDefault="003A22B8" w:rsidP="004D65FE">
            <w:pPr>
              <w:keepNext/>
              <w:keepLines/>
              <w:spacing w:before="0"/>
              <w:jc w:val="right"/>
              <w:rPr>
                <w:rFonts w:cs="Open Sans Light"/>
                <w:sz w:val="16"/>
                <w:szCs w:val="16"/>
              </w:rPr>
            </w:pPr>
            <w:r>
              <w:rPr>
                <w:rFonts w:cs="Open Sans Light"/>
                <w:sz w:val="16"/>
                <w:szCs w:val="16"/>
              </w:rPr>
              <w:t>445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0152441" w14:textId="77777777" w:rsidR="003A22B8" w:rsidRDefault="003A22B8" w:rsidP="004D65FE">
            <w:pPr>
              <w:keepNext/>
              <w:keepLines/>
              <w:spacing w:before="0"/>
              <w:jc w:val="right"/>
              <w:rPr>
                <w:rFonts w:cs="Open Sans Light"/>
                <w:sz w:val="16"/>
                <w:szCs w:val="16"/>
              </w:rPr>
            </w:pPr>
            <w:r>
              <w:rPr>
                <w:rFonts w:cs="Open Sans Light"/>
                <w:sz w:val="16"/>
                <w:szCs w:val="16"/>
              </w:rPr>
              <w:t>415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61CB5F1" w14:textId="77777777" w:rsidR="003A22B8" w:rsidRDefault="003A22B8" w:rsidP="004D65FE">
            <w:pPr>
              <w:keepNext/>
              <w:keepLines/>
              <w:spacing w:before="0"/>
              <w:jc w:val="right"/>
              <w:rPr>
                <w:rFonts w:cs="Open Sans Light"/>
                <w:sz w:val="16"/>
                <w:szCs w:val="16"/>
              </w:rPr>
            </w:pPr>
            <w:r>
              <w:rPr>
                <w:rFonts w:cs="Open Sans Light"/>
                <w:sz w:val="16"/>
                <w:szCs w:val="16"/>
              </w:rPr>
              <w:t>417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67CC0B5" w14:textId="77777777" w:rsidR="003A22B8" w:rsidRDefault="003A22B8" w:rsidP="004D65FE">
            <w:pPr>
              <w:keepNext/>
              <w:keepLines/>
              <w:spacing w:before="0"/>
              <w:jc w:val="right"/>
              <w:rPr>
                <w:rFonts w:cs="Open Sans Light"/>
                <w:sz w:val="16"/>
                <w:szCs w:val="16"/>
              </w:rPr>
            </w:pPr>
            <w:r>
              <w:rPr>
                <w:rFonts w:cs="Open Sans Light"/>
                <w:sz w:val="16"/>
                <w:szCs w:val="16"/>
              </w:rPr>
              <w:t>420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AF9B7A6" w14:textId="77777777" w:rsidR="003A22B8" w:rsidRDefault="003A22B8" w:rsidP="004D65FE">
            <w:pPr>
              <w:keepNext/>
              <w:keepLines/>
              <w:spacing w:before="0"/>
              <w:jc w:val="right"/>
              <w:rPr>
                <w:rFonts w:cs="Open Sans Light"/>
                <w:sz w:val="16"/>
                <w:szCs w:val="16"/>
              </w:rPr>
            </w:pPr>
            <w:r>
              <w:rPr>
                <w:rFonts w:cs="Open Sans Light"/>
                <w:sz w:val="16"/>
                <w:szCs w:val="16"/>
              </w:rPr>
              <w:t>459</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9071140" w14:textId="77777777" w:rsidR="003A22B8" w:rsidRDefault="003A22B8" w:rsidP="004D65FE">
            <w:pPr>
              <w:keepNext/>
              <w:keepLines/>
              <w:spacing w:before="0"/>
              <w:jc w:val="right"/>
              <w:rPr>
                <w:rFonts w:cs="Open Sans Light"/>
                <w:sz w:val="16"/>
                <w:szCs w:val="16"/>
              </w:rPr>
            </w:pPr>
            <w:r>
              <w:rPr>
                <w:rFonts w:cs="Open Sans Light"/>
                <w:sz w:val="16"/>
                <w:szCs w:val="16"/>
              </w:rPr>
              <w:t>422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F2DBC10" w14:textId="77777777" w:rsidR="003A22B8" w:rsidRDefault="003A22B8" w:rsidP="004D65FE">
            <w:pPr>
              <w:keepNext/>
              <w:keepLines/>
              <w:spacing w:before="0"/>
              <w:jc w:val="right"/>
              <w:rPr>
                <w:rFonts w:cs="Open Sans Light"/>
                <w:sz w:val="16"/>
                <w:szCs w:val="16"/>
              </w:rPr>
            </w:pPr>
            <w:r>
              <w:rPr>
                <w:rFonts w:cs="Open Sans Light"/>
                <w:sz w:val="16"/>
                <w:szCs w:val="16"/>
              </w:rPr>
              <w:t>446</w:t>
            </w:r>
          </w:p>
        </w:tc>
      </w:tr>
      <w:tr w:rsidR="003A22B8" w14:paraId="08E6C163"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28DFC12" w14:textId="77777777" w:rsidR="003A22B8" w:rsidRDefault="003A22B8" w:rsidP="004D65FE">
            <w:pPr>
              <w:keepNext/>
              <w:keepLines/>
              <w:spacing w:before="0"/>
              <w:ind w:left="142" w:hanging="142"/>
              <w:rPr>
                <w:rFonts w:cs="Open Sans Light"/>
                <w:sz w:val="16"/>
                <w:szCs w:val="16"/>
              </w:rPr>
            </w:pPr>
            <w:r>
              <w:rPr>
                <w:rFonts w:cs="Open Sans Light"/>
                <w:sz w:val="16"/>
                <w:szCs w:val="16"/>
              </w:rPr>
              <w:t>Assessed revenue</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C0C050D" w14:textId="77777777" w:rsidR="003A22B8" w:rsidRDefault="003A22B8" w:rsidP="004D65FE">
            <w:pPr>
              <w:keepNext/>
              <w:keepLines/>
              <w:spacing w:before="0"/>
              <w:jc w:val="right"/>
              <w:rPr>
                <w:rFonts w:cs="Open Sans Light"/>
                <w:sz w:val="16"/>
                <w:szCs w:val="16"/>
              </w:rPr>
            </w:pPr>
            <w:r>
              <w:rPr>
                <w:rFonts w:cs="Open Sans Light"/>
                <w:sz w:val="16"/>
                <w:szCs w:val="16"/>
              </w:rPr>
              <w:t>5,075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42A7447" w14:textId="77777777" w:rsidR="003A22B8" w:rsidRDefault="003A22B8" w:rsidP="004D65FE">
            <w:pPr>
              <w:keepNext/>
              <w:keepLines/>
              <w:spacing w:before="0"/>
              <w:jc w:val="right"/>
              <w:rPr>
                <w:rFonts w:cs="Open Sans Light"/>
                <w:sz w:val="16"/>
                <w:szCs w:val="16"/>
              </w:rPr>
            </w:pPr>
            <w:r>
              <w:rPr>
                <w:rFonts w:cs="Open Sans Light"/>
                <w:sz w:val="16"/>
                <w:szCs w:val="16"/>
              </w:rPr>
              <w:t>4,492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BBB963F" w14:textId="77777777" w:rsidR="003A22B8" w:rsidRDefault="003A22B8" w:rsidP="004D65FE">
            <w:pPr>
              <w:keepNext/>
              <w:keepLines/>
              <w:spacing w:before="0"/>
              <w:jc w:val="right"/>
              <w:rPr>
                <w:rFonts w:cs="Open Sans Light"/>
                <w:sz w:val="16"/>
                <w:szCs w:val="16"/>
              </w:rPr>
            </w:pPr>
            <w:r>
              <w:rPr>
                <w:rFonts w:cs="Open Sans Light"/>
                <w:sz w:val="16"/>
                <w:szCs w:val="16"/>
              </w:rPr>
              <w:t>4,882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67FA92E" w14:textId="77777777" w:rsidR="003A22B8" w:rsidRDefault="003A22B8" w:rsidP="004D65FE">
            <w:pPr>
              <w:keepNext/>
              <w:keepLines/>
              <w:spacing w:before="0"/>
              <w:jc w:val="right"/>
              <w:rPr>
                <w:rFonts w:cs="Open Sans Light"/>
                <w:sz w:val="16"/>
                <w:szCs w:val="16"/>
              </w:rPr>
            </w:pPr>
            <w:r>
              <w:rPr>
                <w:rFonts w:cs="Open Sans Light"/>
                <w:sz w:val="16"/>
                <w:szCs w:val="16"/>
              </w:rPr>
              <w:t>6,706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A8A2FAF" w14:textId="77777777" w:rsidR="003A22B8" w:rsidRDefault="003A22B8" w:rsidP="004D65FE">
            <w:pPr>
              <w:keepNext/>
              <w:keepLines/>
              <w:spacing w:before="0"/>
              <w:jc w:val="right"/>
              <w:rPr>
                <w:rFonts w:cs="Open Sans Light"/>
                <w:sz w:val="16"/>
                <w:szCs w:val="16"/>
              </w:rPr>
            </w:pPr>
            <w:r>
              <w:rPr>
                <w:rFonts w:cs="Open Sans Light"/>
                <w:sz w:val="16"/>
                <w:szCs w:val="16"/>
              </w:rPr>
              <w:t>3,781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25454F2" w14:textId="77777777" w:rsidR="003A22B8" w:rsidRDefault="003A22B8" w:rsidP="004D65FE">
            <w:pPr>
              <w:keepNext/>
              <w:keepLines/>
              <w:spacing w:before="0"/>
              <w:jc w:val="right"/>
              <w:rPr>
                <w:rFonts w:cs="Open Sans Light"/>
                <w:sz w:val="16"/>
                <w:szCs w:val="16"/>
              </w:rPr>
            </w:pPr>
            <w:r>
              <w:rPr>
                <w:rFonts w:cs="Open Sans Light"/>
                <w:sz w:val="16"/>
                <w:szCs w:val="16"/>
              </w:rPr>
              <w:t>3,592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84B91DF" w14:textId="77777777" w:rsidR="003A22B8" w:rsidRDefault="003A22B8" w:rsidP="004D65FE">
            <w:pPr>
              <w:keepNext/>
              <w:keepLines/>
              <w:spacing w:before="0"/>
              <w:jc w:val="right"/>
              <w:rPr>
                <w:rFonts w:cs="Open Sans Light"/>
                <w:sz w:val="16"/>
                <w:szCs w:val="16"/>
              </w:rPr>
            </w:pPr>
            <w:r>
              <w:rPr>
                <w:rFonts w:cs="Open Sans Light"/>
                <w:sz w:val="16"/>
                <w:szCs w:val="16"/>
              </w:rPr>
              <w:t>4,193</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627D634" w14:textId="77777777" w:rsidR="003A22B8" w:rsidRDefault="003A22B8" w:rsidP="004D65FE">
            <w:pPr>
              <w:keepNext/>
              <w:keepLines/>
              <w:spacing w:before="0"/>
              <w:jc w:val="right"/>
              <w:rPr>
                <w:rFonts w:cs="Open Sans Light"/>
                <w:sz w:val="16"/>
                <w:szCs w:val="16"/>
              </w:rPr>
            </w:pPr>
            <w:r>
              <w:rPr>
                <w:rFonts w:cs="Open Sans Light"/>
                <w:sz w:val="16"/>
                <w:szCs w:val="16"/>
              </w:rPr>
              <w:t>4,725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1515996" w14:textId="77777777" w:rsidR="003A22B8" w:rsidRDefault="003A22B8" w:rsidP="004D65FE">
            <w:pPr>
              <w:keepNext/>
              <w:keepLines/>
              <w:spacing w:before="0"/>
              <w:jc w:val="right"/>
              <w:rPr>
                <w:rFonts w:cs="Open Sans Light"/>
                <w:sz w:val="16"/>
                <w:szCs w:val="16"/>
              </w:rPr>
            </w:pPr>
            <w:r>
              <w:rPr>
                <w:rFonts w:cs="Open Sans Light"/>
                <w:sz w:val="16"/>
                <w:szCs w:val="16"/>
              </w:rPr>
              <w:t>4,917</w:t>
            </w:r>
          </w:p>
        </w:tc>
      </w:tr>
      <w:tr w:rsidR="003A22B8" w14:paraId="1A48816D"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95AA0A" w14:textId="77777777" w:rsidR="003A22B8" w:rsidRDefault="003A22B8" w:rsidP="004D65FE">
            <w:pPr>
              <w:keepNext/>
              <w:keepLines/>
              <w:spacing w:before="0"/>
              <w:ind w:left="142" w:hanging="142"/>
              <w:rPr>
                <w:rFonts w:cs="Open Sans Light"/>
                <w:sz w:val="16"/>
                <w:szCs w:val="16"/>
              </w:rPr>
            </w:pPr>
            <w:r>
              <w:rPr>
                <w:rFonts w:cs="Open Sans Light"/>
                <w:sz w:val="16"/>
                <w:szCs w:val="16"/>
              </w:rPr>
              <w:t>Requirement for assistance</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3A90883" w14:textId="77777777" w:rsidR="003A22B8" w:rsidRDefault="003A22B8" w:rsidP="004D65FE">
            <w:pPr>
              <w:keepNext/>
              <w:keepLines/>
              <w:spacing w:before="0"/>
              <w:jc w:val="right"/>
              <w:rPr>
                <w:rFonts w:cs="Open Sans Light"/>
                <w:sz w:val="16"/>
                <w:szCs w:val="16"/>
              </w:rPr>
            </w:pPr>
            <w:r>
              <w:rPr>
                <w:rFonts w:cs="Open Sans Light"/>
                <w:sz w:val="16"/>
                <w:szCs w:val="16"/>
              </w:rPr>
              <w:t>3,752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6B88359" w14:textId="77777777" w:rsidR="003A22B8" w:rsidRDefault="003A22B8" w:rsidP="004D65FE">
            <w:pPr>
              <w:keepNext/>
              <w:keepLines/>
              <w:spacing w:before="0"/>
              <w:jc w:val="right"/>
              <w:rPr>
                <w:rFonts w:cs="Open Sans Light"/>
                <w:sz w:val="16"/>
                <w:szCs w:val="16"/>
              </w:rPr>
            </w:pPr>
            <w:r>
              <w:rPr>
                <w:rFonts w:cs="Open Sans Light"/>
                <w:sz w:val="16"/>
                <w:szCs w:val="16"/>
              </w:rPr>
              <w:t>3,785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F93CD8A" w14:textId="77777777" w:rsidR="003A22B8" w:rsidRDefault="003A22B8" w:rsidP="004D65FE">
            <w:pPr>
              <w:keepNext/>
              <w:keepLines/>
              <w:spacing w:before="0"/>
              <w:jc w:val="right"/>
              <w:rPr>
                <w:rFonts w:cs="Open Sans Light"/>
                <w:sz w:val="16"/>
                <w:szCs w:val="16"/>
              </w:rPr>
            </w:pPr>
            <w:r>
              <w:rPr>
                <w:rFonts w:cs="Open Sans Light"/>
                <w:sz w:val="16"/>
                <w:szCs w:val="16"/>
              </w:rPr>
              <w:t>4,215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44109A9" w14:textId="77777777" w:rsidR="003A22B8" w:rsidRDefault="003A22B8" w:rsidP="004D65FE">
            <w:pPr>
              <w:keepNext/>
              <w:keepLines/>
              <w:spacing w:before="0"/>
              <w:jc w:val="right"/>
              <w:rPr>
                <w:rFonts w:cs="Open Sans Light"/>
                <w:sz w:val="16"/>
                <w:szCs w:val="16"/>
              </w:rPr>
            </w:pPr>
            <w:r>
              <w:rPr>
                <w:rFonts w:cs="Open Sans Light"/>
                <w:sz w:val="16"/>
                <w:szCs w:val="16"/>
              </w:rPr>
              <w:t>2,786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E1C9320" w14:textId="77777777" w:rsidR="003A22B8" w:rsidRDefault="003A22B8" w:rsidP="004D65FE">
            <w:pPr>
              <w:keepNext/>
              <w:keepLines/>
              <w:spacing w:before="0"/>
              <w:jc w:val="right"/>
              <w:rPr>
                <w:rFonts w:cs="Open Sans Light"/>
                <w:sz w:val="16"/>
                <w:szCs w:val="16"/>
              </w:rPr>
            </w:pPr>
            <w:r>
              <w:rPr>
                <w:rFonts w:cs="Open Sans Light"/>
                <w:sz w:val="16"/>
                <w:szCs w:val="16"/>
              </w:rPr>
              <w:t>5,134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94520D9" w14:textId="77777777" w:rsidR="003A22B8" w:rsidRDefault="003A22B8" w:rsidP="004D65FE">
            <w:pPr>
              <w:keepNext/>
              <w:keepLines/>
              <w:spacing w:before="0"/>
              <w:jc w:val="right"/>
              <w:rPr>
                <w:rFonts w:cs="Open Sans Light"/>
                <w:sz w:val="16"/>
                <w:szCs w:val="16"/>
              </w:rPr>
            </w:pPr>
            <w:r>
              <w:rPr>
                <w:rFonts w:cs="Open Sans Light"/>
                <w:sz w:val="16"/>
                <w:szCs w:val="16"/>
              </w:rPr>
              <w:t>6,208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C09DFCD" w14:textId="77777777" w:rsidR="003A22B8" w:rsidRDefault="003A22B8" w:rsidP="004D65FE">
            <w:pPr>
              <w:keepNext/>
              <w:keepLines/>
              <w:spacing w:before="0"/>
              <w:jc w:val="right"/>
              <w:rPr>
                <w:rFonts w:cs="Open Sans Light"/>
                <w:sz w:val="16"/>
                <w:szCs w:val="16"/>
              </w:rPr>
            </w:pPr>
            <w:r>
              <w:rPr>
                <w:rFonts w:cs="Open Sans Light"/>
                <w:sz w:val="16"/>
                <w:szCs w:val="16"/>
              </w:rPr>
              <w:t>4,249</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1DB9371" w14:textId="77777777" w:rsidR="003A22B8" w:rsidRDefault="003A22B8" w:rsidP="004D65FE">
            <w:pPr>
              <w:keepNext/>
              <w:keepLines/>
              <w:spacing w:before="0"/>
              <w:jc w:val="right"/>
              <w:rPr>
                <w:rFonts w:cs="Open Sans Light"/>
                <w:sz w:val="16"/>
                <w:szCs w:val="16"/>
              </w:rPr>
            </w:pPr>
            <w:r>
              <w:rPr>
                <w:rFonts w:cs="Open Sans Light"/>
                <w:sz w:val="16"/>
                <w:szCs w:val="16"/>
              </w:rPr>
              <w:t>15,110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FB412F7" w14:textId="77777777" w:rsidR="003A22B8" w:rsidRDefault="003A22B8" w:rsidP="004D65FE">
            <w:pPr>
              <w:keepNext/>
              <w:keepLines/>
              <w:spacing w:before="0"/>
              <w:jc w:val="right"/>
              <w:rPr>
                <w:rFonts w:cs="Open Sans Light"/>
                <w:sz w:val="16"/>
                <w:szCs w:val="16"/>
              </w:rPr>
            </w:pPr>
            <w:r>
              <w:rPr>
                <w:rFonts w:cs="Open Sans Light"/>
                <w:sz w:val="16"/>
                <w:szCs w:val="16"/>
              </w:rPr>
              <w:t>4,024</w:t>
            </w:r>
          </w:p>
        </w:tc>
      </w:tr>
      <w:tr w:rsidR="003A22B8" w14:paraId="7DD914CB" w14:textId="77777777" w:rsidTr="004D65FE">
        <w:trPr>
          <w:trHeight w:val="255"/>
        </w:trPr>
        <w:tc>
          <w:tcPr>
            <w:tcW w:w="2500" w:type="dxa"/>
            <w:tcBorders>
              <w:top w:val="nil"/>
              <w:left w:val="nil"/>
              <w:bottom w:val="nil"/>
              <w:right w:val="nil"/>
            </w:tcBorders>
            <w:shd w:val="clear" w:color="auto" w:fill="auto"/>
            <w:noWrap/>
            <w:tcMar>
              <w:top w:w="15" w:type="dxa"/>
              <w:left w:w="15" w:type="dxa"/>
              <w:bottom w:w="0" w:type="dxa"/>
              <w:right w:w="15" w:type="dxa"/>
            </w:tcMar>
            <w:vAlign w:val="bottom"/>
            <w:hideMark/>
          </w:tcPr>
          <w:p w14:paraId="6A99E818" w14:textId="77777777" w:rsidR="003A22B8" w:rsidRDefault="003A22B8" w:rsidP="004D65FE">
            <w:pPr>
              <w:keepNext/>
              <w:keepLines/>
              <w:spacing w:before="0"/>
              <w:ind w:left="142" w:hanging="142"/>
              <w:rPr>
                <w:rFonts w:cs="Open Sans Light"/>
                <w:i/>
                <w:iCs/>
                <w:sz w:val="16"/>
                <w:szCs w:val="16"/>
              </w:rPr>
            </w:pPr>
            <w:r>
              <w:rPr>
                <w:rFonts w:cs="Open Sans Light"/>
                <w:i/>
                <w:iCs/>
                <w:sz w:val="16"/>
                <w:szCs w:val="16"/>
              </w:rPr>
              <w:t>met through</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2D69D515" w14:textId="77777777" w:rsidR="003A22B8" w:rsidRDefault="003A22B8" w:rsidP="004D65FE">
            <w:pPr>
              <w:keepNext/>
              <w:keepLines/>
              <w:spacing w:before="0"/>
              <w:rPr>
                <w:rFonts w:cs="Open Sans Light"/>
                <w:i/>
                <w:iCs/>
                <w:sz w:val="16"/>
                <w:szCs w:val="16"/>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502063D7"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05A30773"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5A61802C"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697EF711"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46D93445"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15B726E4" w14:textId="77777777" w:rsidR="003A22B8" w:rsidRDefault="003A22B8" w:rsidP="004D65FE">
            <w:pPr>
              <w:keepNext/>
              <w:keepLines/>
              <w:spacing w:before="0"/>
              <w:jc w:val="right"/>
              <w:rPr>
                <w:szCs w:val="20"/>
              </w:rPr>
            </w:pPr>
          </w:p>
        </w:tc>
        <w:tc>
          <w:tcPr>
            <w:tcW w:w="820" w:type="dxa"/>
            <w:tcBorders>
              <w:top w:val="nil"/>
              <w:left w:val="nil"/>
              <w:bottom w:val="nil"/>
              <w:right w:val="nil"/>
            </w:tcBorders>
            <w:shd w:val="clear" w:color="auto" w:fill="auto"/>
            <w:tcMar>
              <w:top w:w="15" w:type="dxa"/>
              <w:left w:w="15" w:type="dxa"/>
              <w:bottom w:w="0" w:type="dxa"/>
              <w:right w:w="15" w:type="dxa"/>
            </w:tcMar>
            <w:vAlign w:val="bottom"/>
            <w:hideMark/>
          </w:tcPr>
          <w:p w14:paraId="2E5BBAEB"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101E84CB" w14:textId="77777777" w:rsidR="003A22B8" w:rsidRDefault="003A22B8" w:rsidP="004D65FE">
            <w:pPr>
              <w:keepNext/>
              <w:keepLines/>
              <w:spacing w:before="0"/>
              <w:jc w:val="right"/>
              <w:rPr>
                <w:szCs w:val="20"/>
              </w:rPr>
            </w:pPr>
          </w:p>
        </w:tc>
      </w:tr>
      <w:tr w:rsidR="003A22B8" w14:paraId="10BEFDBB"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BFFA0AB" w14:textId="77777777" w:rsidR="003A22B8" w:rsidRDefault="003A22B8" w:rsidP="004D65FE">
            <w:pPr>
              <w:keepNext/>
              <w:keepLines/>
              <w:spacing w:before="0"/>
              <w:ind w:left="142" w:hanging="142"/>
              <w:rPr>
                <w:rFonts w:cs="Open Sans Light"/>
                <w:sz w:val="16"/>
                <w:szCs w:val="16"/>
              </w:rPr>
            </w:pPr>
            <w:r>
              <w:rPr>
                <w:rFonts w:cs="Open Sans Light"/>
                <w:sz w:val="16"/>
                <w:szCs w:val="16"/>
              </w:rPr>
              <w:t>Commonwealth payments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8C36968" w14:textId="77777777" w:rsidR="003A22B8" w:rsidRDefault="003A22B8" w:rsidP="004D65FE">
            <w:pPr>
              <w:keepNext/>
              <w:keepLines/>
              <w:spacing w:before="0"/>
              <w:jc w:val="right"/>
              <w:rPr>
                <w:rFonts w:cs="Open Sans Light"/>
                <w:sz w:val="16"/>
                <w:szCs w:val="16"/>
              </w:rPr>
            </w:pPr>
            <w:r>
              <w:rPr>
                <w:rFonts w:cs="Open Sans Light"/>
                <w:sz w:val="16"/>
                <w:szCs w:val="16"/>
              </w:rPr>
              <w:t>1,554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BAF97D8" w14:textId="77777777" w:rsidR="003A22B8" w:rsidRDefault="003A22B8" w:rsidP="004D65FE">
            <w:pPr>
              <w:keepNext/>
              <w:keepLines/>
              <w:spacing w:before="0"/>
              <w:jc w:val="right"/>
              <w:rPr>
                <w:rFonts w:cs="Open Sans Light"/>
                <w:sz w:val="16"/>
                <w:szCs w:val="16"/>
              </w:rPr>
            </w:pPr>
            <w:r>
              <w:rPr>
                <w:rFonts w:cs="Open Sans Light"/>
                <w:sz w:val="16"/>
                <w:szCs w:val="16"/>
              </w:rPr>
              <w:t>1,460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A6103E0" w14:textId="77777777" w:rsidR="003A22B8" w:rsidRDefault="003A22B8" w:rsidP="004D65FE">
            <w:pPr>
              <w:keepNext/>
              <w:keepLines/>
              <w:spacing w:before="0"/>
              <w:jc w:val="right"/>
              <w:rPr>
                <w:rFonts w:cs="Open Sans Light"/>
                <w:sz w:val="16"/>
                <w:szCs w:val="16"/>
              </w:rPr>
            </w:pPr>
            <w:r>
              <w:rPr>
                <w:rFonts w:cs="Open Sans Light"/>
                <w:sz w:val="16"/>
                <w:szCs w:val="16"/>
              </w:rPr>
              <w:t>1,684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6DE6A03" w14:textId="77777777" w:rsidR="003A22B8" w:rsidRDefault="003A22B8" w:rsidP="004D65FE">
            <w:pPr>
              <w:keepNext/>
              <w:keepLines/>
              <w:spacing w:before="0"/>
              <w:jc w:val="right"/>
              <w:rPr>
                <w:rFonts w:cs="Open Sans Light"/>
                <w:sz w:val="16"/>
                <w:szCs w:val="16"/>
              </w:rPr>
            </w:pPr>
            <w:r>
              <w:rPr>
                <w:rFonts w:cs="Open Sans Light"/>
                <w:sz w:val="16"/>
                <w:szCs w:val="16"/>
              </w:rPr>
              <w:t>1,519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D95D36C" w14:textId="77777777" w:rsidR="003A22B8" w:rsidRDefault="003A22B8" w:rsidP="004D65FE">
            <w:pPr>
              <w:keepNext/>
              <w:keepLines/>
              <w:spacing w:before="0"/>
              <w:jc w:val="right"/>
              <w:rPr>
                <w:rFonts w:cs="Open Sans Light"/>
                <w:sz w:val="16"/>
                <w:szCs w:val="16"/>
              </w:rPr>
            </w:pPr>
            <w:r>
              <w:rPr>
                <w:rFonts w:cs="Open Sans Light"/>
                <w:sz w:val="16"/>
                <w:szCs w:val="16"/>
              </w:rPr>
              <w:t>1,557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7DCCA5F" w14:textId="77777777" w:rsidR="003A22B8" w:rsidRDefault="003A22B8" w:rsidP="004D65FE">
            <w:pPr>
              <w:keepNext/>
              <w:keepLines/>
              <w:spacing w:before="0"/>
              <w:jc w:val="right"/>
              <w:rPr>
                <w:rFonts w:cs="Open Sans Light"/>
                <w:sz w:val="16"/>
                <w:szCs w:val="16"/>
              </w:rPr>
            </w:pPr>
            <w:r>
              <w:rPr>
                <w:rFonts w:cs="Open Sans Light"/>
                <w:sz w:val="16"/>
                <w:szCs w:val="16"/>
              </w:rPr>
              <w:t>1,694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C4C8D2E" w14:textId="77777777" w:rsidR="003A22B8" w:rsidRDefault="003A22B8" w:rsidP="004D65FE">
            <w:pPr>
              <w:keepNext/>
              <w:keepLines/>
              <w:spacing w:before="0"/>
              <w:jc w:val="right"/>
              <w:rPr>
                <w:rFonts w:cs="Open Sans Light"/>
                <w:sz w:val="16"/>
                <w:szCs w:val="16"/>
              </w:rPr>
            </w:pPr>
            <w:r>
              <w:rPr>
                <w:rFonts w:cs="Open Sans Light"/>
                <w:sz w:val="16"/>
                <w:szCs w:val="16"/>
              </w:rPr>
              <w:t>1,335</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FD1026A" w14:textId="77777777" w:rsidR="003A22B8" w:rsidRDefault="003A22B8" w:rsidP="004D65FE">
            <w:pPr>
              <w:keepNext/>
              <w:keepLines/>
              <w:spacing w:before="0"/>
              <w:jc w:val="right"/>
              <w:rPr>
                <w:rFonts w:cs="Open Sans Light"/>
                <w:sz w:val="16"/>
                <w:szCs w:val="16"/>
              </w:rPr>
            </w:pPr>
            <w:r>
              <w:rPr>
                <w:rFonts w:cs="Open Sans Light"/>
                <w:sz w:val="16"/>
                <w:szCs w:val="16"/>
              </w:rPr>
              <w:t>3,371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0567B25" w14:textId="77777777" w:rsidR="003A22B8" w:rsidRDefault="003A22B8" w:rsidP="004D65FE">
            <w:pPr>
              <w:keepNext/>
              <w:keepLines/>
              <w:spacing w:before="0"/>
              <w:jc w:val="right"/>
              <w:rPr>
                <w:rFonts w:cs="Open Sans Light"/>
                <w:sz w:val="16"/>
                <w:szCs w:val="16"/>
              </w:rPr>
            </w:pPr>
            <w:r>
              <w:rPr>
                <w:rFonts w:cs="Open Sans Light"/>
                <w:sz w:val="16"/>
                <w:szCs w:val="16"/>
              </w:rPr>
              <w:t>1,570</w:t>
            </w:r>
          </w:p>
        </w:tc>
      </w:tr>
      <w:tr w:rsidR="003A22B8" w14:paraId="40A99160"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A18A6C3" w14:textId="77777777" w:rsidR="003A22B8" w:rsidRDefault="003A22B8" w:rsidP="004D65FE">
            <w:pPr>
              <w:keepNext/>
              <w:keepLines/>
              <w:spacing w:before="0"/>
              <w:ind w:left="142" w:hanging="142"/>
              <w:rPr>
                <w:rFonts w:cs="Open Sans Light"/>
                <w:sz w:val="16"/>
                <w:szCs w:val="16"/>
              </w:rPr>
            </w:pPr>
            <w:r>
              <w:rPr>
                <w:rFonts w:cs="Open Sans Light"/>
                <w:sz w:val="16"/>
                <w:szCs w:val="16"/>
              </w:rPr>
              <w:t>GST requirement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EC22EAE" w14:textId="77777777" w:rsidR="003A22B8" w:rsidRDefault="003A22B8" w:rsidP="004D65FE">
            <w:pPr>
              <w:keepNext/>
              <w:keepLines/>
              <w:spacing w:before="0"/>
              <w:jc w:val="right"/>
              <w:rPr>
                <w:rFonts w:cs="Open Sans Light"/>
                <w:sz w:val="16"/>
                <w:szCs w:val="16"/>
              </w:rPr>
            </w:pPr>
            <w:r>
              <w:rPr>
                <w:rFonts w:cs="Open Sans Light"/>
                <w:sz w:val="16"/>
                <w:szCs w:val="16"/>
              </w:rPr>
              <w:t>2,198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A85C32D" w14:textId="77777777" w:rsidR="003A22B8" w:rsidRDefault="003A22B8" w:rsidP="004D65FE">
            <w:pPr>
              <w:keepNext/>
              <w:keepLines/>
              <w:spacing w:before="0"/>
              <w:jc w:val="right"/>
              <w:rPr>
                <w:rFonts w:cs="Open Sans Light"/>
                <w:sz w:val="16"/>
                <w:szCs w:val="16"/>
              </w:rPr>
            </w:pPr>
            <w:r>
              <w:rPr>
                <w:rFonts w:cs="Open Sans Light"/>
                <w:sz w:val="16"/>
                <w:szCs w:val="16"/>
              </w:rPr>
              <w:t>2,325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89D6C0A" w14:textId="77777777" w:rsidR="003A22B8" w:rsidRDefault="003A22B8" w:rsidP="004D65FE">
            <w:pPr>
              <w:keepNext/>
              <w:keepLines/>
              <w:spacing w:before="0"/>
              <w:jc w:val="right"/>
              <w:rPr>
                <w:rFonts w:cs="Open Sans Light"/>
                <w:sz w:val="16"/>
                <w:szCs w:val="16"/>
              </w:rPr>
            </w:pPr>
            <w:r>
              <w:rPr>
                <w:rFonts w:cs="Open Sans Light"/>
                <w:sz w:val="16"/>
                <w:szCs w:val="16"/>
              </w:rPr>
              <w:t>2,531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A469B8A" w14:textId="77777777" w:rsidR="003A22B8" w:rsidRDefault="003A22B8" w:rsidP="004D65FE">
            <w:pPr>
              <w:keepNext/>
              <w:keepLines/>
              <w:spacing w:before="0"/>
              <w:jc w:val="right"/>
              <w:rPr>
                <w:rFonts w:cs="Open Sans Light"/>
                <w:sz w:val="16"/>
                <w:szCs w:val="16"/>
              </w:rPr>
            </w:pPr>
            <w:r>
              <w:rPr>
                <w:rFonts w:cs="Open Sans Light"/>
                <w:sz w:val="16"/>
                <w:szCs w:val="16"/>
              </w:rPr>
              <w:t>1,267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1C9EA28" w14:textId="77777777" w:rsidR="003A22B8" w:rsidRDefault="003A22B8" w:rsidP="004D65FE">
            <w:pPr>
              <w:keepNext/>
              <w:keepLines/>
              <w:spacing w:before="0"/>
              <w:jc w:val="right"/>
              <w:rPr>
                <w:rFonts w:cs="Open Sans Light"/>
                <w:sz w:val="16"/>
                <w:szCs w:val="16"/>
              </w:rPr>
            </w:pPr>
            <w:r>
              <w:rPr>
                <w:rFonts w:cs="Open Sans Light"/>
                <w:sz w:val="16"/>
                <w:szCs w:val="16"/>
              </w:rPr>
              <w:t>3,577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A28BF19" w14:textId="77777777" w:rsidR="003A22B8" w:rsidRDefault="003A22B8" w:rsidP="004D65FE">
            <w:pPr>
              <w:keepNext/>
              <w:keepLines/>
              <w:spacing w:before="0"/>
              <w:jc w:val="right"/>
              <w:rPr>
                <w:rFonts w:cs="Open Sans Light"/>
                <w:sz w:val="16"/>
                <w:szCs w:val="16"/>
              </w:rPr>
            </w:pPr>
            <w:r>
              <w:rPr>
                <w:rFonts w:cs="Open Sans Light"/>
                <w:sz w:val="16"/>
                <w:szCs w:val="16"/>
              </w:rPr>
              <w:t>4,514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837EF43" w14:textId="77777777" w:rsidR="003A22B8" w:rsidRDefault="003A22B8" w:rsidP="004D65FE">
            <w:pPr>
              <w:keepNext/>
              <w:keepLines/>
              <w:spacing w:before="0"/>
              <w:jc w:val="right"/>
              <w:rPr>
                <w:rFonts w:cs="Open Sans Light"/>
                <w:sz w:val="16"/>
                <w:szCs w:val="16"/>
              </w:rPr>
            </w:pPr>
            <w:r>
              <w:rPr>
                <w:rFonts w:cs="Open Sans Light"/>
                <w:sz w:val="16"/>
                <w:szCs w:val="16"/>
              </w:rPr>
              <w:t>2,914</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4E2AB44" w14:textId="77777777" w:rsidR="003A22B8" w:rsidRDefault="003A22B8" w:rsidP="004D65FE">
            <w:pPr>
              <w:keepNext/>
              <w:keepLines/>
              <w:spacing w:before="0"/>
              <w:jc w:val="right"/>
              <w:rPr>
                <w:rFonts w:cs="Open Sans Light"/>
                <w:sz w:val="16"/>
                <w:szCs w:val="16"/>
              </w:rPr>
            </w:pPr>
            <w:r>
              <w:rPr>
                <w:rFonts w:cs="Open Sans Light"/>
                <w:sz w:val="16"/>
                <w:szCs w:val="16"/>
              </w:rPr>
              <w:t>11,739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6D125F3" w14:textId="77777777" w:rsidR="003A22B8" w:rsidRDefault="003A22B8" w:rsidP="004D65FE">
            <w:pPr>
              <w:keepNext/>
              <w:keepLines/>
              <w:spacing w:before="0"/>
              <w:jc w:val="right"/>
              <w:rPr>
                <w:rFonts w:cs="Open Sans Light"/>
                <w:sz w:val="16"/>
                <w:szCs w:val="16"/>
              </w:rPr>
            </w:pPr>
            <w:r>
              <w:rPr>
                <w:rFonts w:cs="Open Sans Light"/>
                <w:sz w:val="16"/>
                <w:szCs w:val="16"/>
              </w:rPr>
              <w:t>2,454</w:t>
            </w:r>
          </w:p>
        </w:tc>
      </w:tr>
      <w:tr w:rsidR="003A22B8" w14:paraId="2F287639"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43AEF42"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Per capita relativity</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23F9999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0.896</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3985C47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0.947</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5BCEF32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1.031</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2D53FF6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0.516</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0A7A0E8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1.458</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078B168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1.839</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7DECCEB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1.188</w:t>
            </w:r>
          </w:p>
        </w:tc>
        <w:tc>
          <w:tcPr>
            <w:tcW w:w="82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00C3958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4.783</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6A4D364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1.000</w:t>
            </w:r>
          </w:p>
        </w:tc>
      </w:tr>
    </w:tbl>
    <w:p w14:paraId="3E4C36A2" w14:textId="6561C2B9" w:rsidR="003A22B8" w:rsidRDefault="003A22B8" w:rsidP="003A22B8">
      <w:pPr>
        <w:pStyle w:val="CGCTablenote"/>
      </w:pPr>
      <w:r>
        <w:t>Notes:</w:t>
      </w:r>
      <w:r>
        <w:tab/>
        <w:t>Net borrowing considered to be an alternative source of funds to meet a State’s expenditure requirement</w:t>
      </w:r>
      <w:r w:rsidR="006A0D6E">
        <w:t>.</w:t>
      </w:r>
    </w:p>
    <w:p w14:paraId="0CD8BB19" w14:textId="77777777" w:rsidR="003A22B8" w:rsidRDefault="003A22B8" w:rsidP="003A22B8">
      <w:pPr>
        <w:pStyle w:val="CGCTablenote"/>
      </w:pPr>
      <w:r>
        <w:tab/>
        <w:t>Per capita relativities are equal to each State’s GST requirement divided by the average GST requirement.</w:t>
      </w:r>
    </w:p>
    <w:p w14:paraId="718E642D" w14:textId="77777777" w:rsidR="003A22B8" w:rsidRPr="00B068A3" w:rsidRDefault="003A22B8" w:rsidP="003A22B8">
      <w:pPr>
        <w:pStyle w:val="CGCTablenote"/>
      </w:pPr>
      <w:r>
        <w:t>Source:</w:t>
      </w:r>
      <w:r>
        <w:tab/>
        <w:t>CGC calculation.</w:t>
      </w:r>
    </w:p>
    <w:p w14:paraId="7EA61817" w14:textId="0099E690" w:rsidR="003A22B8" w:rsidRDefault="003A22B8" w:rsidP="003A22B8">
      <w:pPr>
        <w:pStyle w:val="Caption"/>
      </w:pPr>
      <w:bookmarkStart w:id="645" w:name="_Ref30429944"/>
      <w:r>
        <w:t>Table 30-</w:t>
      </w:r>
      <w:fldSimple w:instr=" SEQ Table \* ARABIC ">
        <w:r w:rsidR="007F721A">
          <w:rPr>
            <w:noProof/>
          </w:rPr>
          <w:t>4</w:t>
        </w:r>
      </w:fldSimple>
      <w:bookmarkEnd w:id="645"/>
      <w:r>
        <w:tab/>
        <w:t>Per capita assessed expenses, 2017-18</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7D79270E" w14:textId="77777777" w:rsidTr="004D65FE">
        <w:trPr>
          <w:trHeight w:val="375"/>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4F73366" w14:textId="77777777" w:rsidR="003A22B8" w:rsidRDefault="003A22B8" w:rsidP="004D65FE">
            <w:pPr>
              <w:keepNext/>
              <w:keepLines/>
              <w:tabs>
                <w:tab w:val="clear" w:pos="567"/>
              </w:tabs>
              <w:spacing w:before="0" w:line="240" w:lineRule="auto"/>
              <w:ind w:left="142"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A7BB26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679391E"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3912A37"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30D2C2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B650DB8"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ECC356B"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B2A2117"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A443350"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5717A99"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3AC759FC" w14:textId="77777777" w:rsidTr="005C340D">
        <w:trPr>
          <w:trHeight w:val="255"/>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BDC3E5F" w14:textId="77777777" w:rsidR="003A22B8" w:rsidRDefault="003A22B8" w:rsidP="004D65FE">
            <w:pPr>
              <w:keepNext/>
              <w:keepLines/>
              <w:spacing w:before="0"/>
              <w:ind w:left="142"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B5186C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1AC1F9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345A10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13F5EF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72ADFE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2DC9E4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4B0B8D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AB0395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595B18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4D861FC0"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CD3F443" w14:textId="77777777" w:rsidR="003A22B8" w:rsidRDefault="003A22B8" w:rsidP="004D65FE">
            <w:pPr>
              <w:keepNext/>
              <w:keepLines/>
              <w:spacing w:before="0"/>
              <w:ind w:left="142" w:hanging="142"/>
              <w:rPr>
                <w:rFonts w:cs="Open Sans Light"/>
                <w:sz w:val="16"/>
                <w:szCs w:val="16"/>
              </w:rPr>
            </w:pPr>
            <w:r>
              <w:rPr>
                <w:rFonts w:cs="Open Sans Light"/>
                <w:sz w:val="16"/>
                <w:szCs w:val="16"/>
              </w:rPr>
              <w:t>Schools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A4E6E67" w14:textId="77777777" w:rsidR="003A22B8" w:rsidRDefault="003A22B8" w:rsidP="004D65FE">
            <w:pPr>
              <w:keepNext/>
              <w:keepLines/>
              <w:spacing w:before="0"/>
              <w:jc w:val="right"/>
              <w:rPr>
                <w:rFonts w:cs="Open Sans Light"/>
                <w:sz w:val="16"/>
                <w:szCs w:val="16"/>
              </w:rPr>
            </w:pPr>
            <w:r>
              <w:rPr>
                <w:rFonts w:cs="Open Sans Light"/>
                <w:sz w:val="16"/>
                <w:szCs w:val="16"/>
              </w:rPr>
              <w:t>1,599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EE4ADE" w14:textId="77777777" w:rsidR="003A22B8" w:rsidRDefault="003A22B8" w:rsidP="004D65FE">
            <w:pPr>
              <w:keepNext/>
              <w:keepLines/>
              <w:spacing w:before="0"/>
              <w:jc w:val="right"/>
              <w:rPr>
                <w:rFonts w:cs="Open Sans Light"/>
                <w:sz w:val="16"/>
                <w:szCs w:val="16"/>
              </w:rPr>
            </w:pPr>
            <w:r>
              <w:rPr>
                <w:rFonts w:cs="Open Sans Light"/>
                <w:sz w:val="16"/>
                <w:szCs w:val="16"/>
              </w:rPr>
              <w:t>1,476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9BB249A" w14:textId="77777777" w:rsidR="003A22B8" w:rsidRDefault="003A22B8" w:rsidP="004D65FE">
            <w:pPr>
              <w:keepNext/>
              <w:keepLines/>
              <w:spacing w:before="0"/>
              <w:jc w:val="right"/>
              <w:rPr>
                <w:rFonts w:cs="Open Sans Light"/>
                <w:sz w:val="16"/>
                <w:szCs w:val="16"/>
              </w:rPr>
            </w:pPr>
            <w:r>
              <w:rPr>
                <w:rFonts w:cs="Open Sans Light"/>
                <w:sz w:val="16"/>
                <w:szCs w:val="16"/>
              </w:rPr>
              <w:t>1,757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B780ED2" w14:textId="77777777" w:rsidR="003A22B8" w:rsidRDefault="003A22B8" w:rsidP="004D65FE">
            <w:pPr>
              <w:keepNext/>
              <w:keepLines/>
              <w:spacing w:before="0"/>
              <w:jc w:val="right"/>
              <w:rPr>
                <w:rFonts w:cs="Open Sans Light"/>
                <w:sz w:val="16"/>
                <w:szCs w:val="16"/>
              </w:rPr>
            </w:pPr>
            <w:r>
              <w:rPr>
                <w:rFonts w:cs="Open Sans Light"/>
                <w:sz w:val="16"/>
                <w:szCs w:val="16"/>
              </w:rPr>
              <w:t>1,693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7DD7730" w14:textId="77777777" w:rsidR="003A22B8" w:rsidRDefault="003A22B8" w:rsidP="004D65FE">
            <w:pPr>
              <w:keepNext/>
              <w:keepLines/>
              <w:spacing w:before="0"/>
              <w:jc w:val="right"/>
              <w:rPr>
                <w:rFonts w:cs="Open Sans Light"/>
                <w:sz w:val="16"/>
                <w:szCs w:val="16"/>
              </w:rPr>
            </w:pPr>
            <w:r>
              <w:rPr>
                <w:rFonts w:cs="Open Sans Light"/>
                <w:sz w:val="16"/>
                <w:szCs w:val="16"/>
              </w:rPr>
              <w:t>1,579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3251AA" w14:textId="77777777" w:rsidR="003A22B8" w:rsidRDefault="003A22B8" w:rsidP="004D65FE">
            <w:pPr>
              <w:keepNext/>
              <w:keepLines/>
              <w:spacing w:before="0"/>
              <w:jc w:val="right"/>
              <w:rPr>
                <w:rFonts w:cs="Open Sans Light"/>
                <w:sz w:val="16"/>
                <w:szCs w:val="16"/>
              </w:rPr>
            </w:pPr>
            <w:r>
              <w:rPr>
                <w:rFonts w:cs="Open Sans Light"/>
                <w:sz w:val="16"/>
                <w:szCs w:val="16"/>
              </w:rPr>
              <w:t>1,801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73CFCF" w14:textId="77777777" w:rsidR="003A22B8" w:rsidRDefault="003A22B8" w:rsidP="004D65FE">
            <w:pPr>
              <w:keepNext/>
              <w:keepLines/>
              <w:spacing w:before="0"/>
              <w:jc w:val="right"/>
              <w:rPr>
                <w:rFonts w:cs="Open Sans Light"/>
                <w:sz w:val="16"/>
                <w:szCs w:val="16"/>
              </w:rPr>
            </w:pPr>
            <w:r>
              <w:rPr>
                <w:rFonts w:cs="Open Sans Light"/>
                <w:sz w:val="16"/>
                <w:szCs w:val="16"/>
              </w:rPr>
              <w:t>1,519</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F804FF" w14:textId="77777777" w:rsidR="003A22B8" w:rsidRDefault="003A22B8" w:rsidP="004D65FE">
            <w:pPr>
              <w:keepNext/>
              <w:keepLines/>
              <w:spacing w:before="0"/>
              <w:jc w:val="right"/>
              <w:rPr>
                <w:rFonts w:cs="Open Sans Light"/>
                <w:sz w:val="16"/>
                <w:szCs w:val="16"/>
              </w:rPr>
            </w:pPr>
            <w:r>
              <w:rPr>
                <w:rFonts w:cs="Open Sans Light"/>
                <w:sz w:val="16"/>
                <w:szCs w:val="16"/>
              </w:rPr>
              <w:t>2,991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1E4B1CE" w14:textId="77777777" w:rsidR="003A22B8" w:rsidRDefault="003A22B8" w:rsidP="004D65FE">
            <w:pPr>
              <w:keepNext/>
              <w:keepLines/>
              <w:spacing w:before="0"/>
              <w:jc w:val="right"/>
              <w:rPr>
                <w:rFonts w:cs="Open Sans Light"/>
                <w:sz w:val="16"/>
                <w:szCs w:val="16"/>
              </w:rPr>
            </w:pPr>
            <w:r>
              <w:rPr>
                <w:rFonts w:cs="Open Sans Light"/>
                <w:sz w:val="16"/>
                <w:szCs w:val="16"/>
              </w:rPr>
              <w:t>1,624</w:t>
            </w:r>
          </w:p>
        </w:tc>
      </w:tr>
      <w:tr w:rsidR="003A22B8" w14:paraId="636636C3"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D7CE284" w14:textId="77777777" w:rsidR="003A22B8" w:rsidRDefault="003A22B8" w:rsidP="004D65FE">
            <w:pPr>
              <w:keepNext/>
              <w:keepLines/>
              <w:spacing w:before="0"/>
              <w:ind w:left="142" w:hanging="142"/>
              <w:rPr>
                <w:rFonts w:cs="Open Sans Light"/>
                <w:sz w:val="16"/>
                <w:szCs w:val="16"/>
              </w:rPr>
            </w:pPr>
            <w:r>
              <w:rPr>
                <w:rFonts w:cs="Open Sans Light"/>
                <w:sz w:val="16"/>
                <w:szCs w:val="16"/>
              </w:rPr>
              <w:t>Post-secondary education</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B0AACA9" w14:textId="77777777" w:rsidR="003A22B8" w:rsidRDefault="003A22B8" w:rsidP="004D65FE">
            <w:pPr>
              <w:keepNext/>
              <w:keepLines/>
              <w:spacing w:before="0"/>
              <w:jc w:val="right"/>
              <w:rPr>
                <w:rFonts w:cs="Open Sans Light"/>
                <w:sz w:val="16"/>
                <w:szCs w:val="16"/>
              </w:rPr>
            </w:pPr>
            <w:r>
              <w:rPr>
                <w:rFonts w:cs="Open Sans Light"/>
                <w:sz w:val="16"/>
                <w:szCs w:val="16"/>
              </w:rPr>
              <w:t>219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38E868A" w14:textId="77777777" w:rsidR="003A22B8" w:rsidRDefault="003A22B8" w:rsidP="004D65FE">
            <w:pPr>
              <w:keepNext/>
              <w:keepLines/>
              <w:spacing w:before="0"/>
              <w:jc w:val="right"/>
              <w:rPr>
                <w:rFonts w:cs="Open Sans Light"/>
                <w:sz w:val="16"/>
                <w:szCs w:val="16"/>
              </w:rPr>
            </w:pPr>
            <w:r>
              <w:rPr>
                <w:rFonts w:cs="Open Sans Light"/>
                <w:sz w:val="16"/>
                <w:szCs w:val="16"/>
              </w:rPr>
              <w:t>214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DCC5059" w14:textId="77777777" w:rsidR="003A22B8" w:rsidRDefault="003A22B8" w:rsidP="004D65FE">
            <w:pPr>
              <w:keepNext/>
              <w:keepLines/>
              <w:spacing w:before="0"/>
              <w:jc w:val="right"/>
              <w:rPr>
                <w:rFonts w:cs="Open Sans Light"/>
                <w:sz w:val="16"/>
                <w:szCs w:val="16"/>
              </w:rPr>
            </w:pPr>
            <w:r>
              <w:rPr>
                <w:rFonts w:cs="Open Sans Light"/>
                <w:sz w:val="16"/>
                <w:szCs w:val="16"/>
              </w:rPr>
              <w:t>231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233359B" w14:textId="77777777" w:rsidR="003A22B8" w:rsidRDefault="003A22B8" w:rsidP="004D65FE">
            <w:pPr>
              <w:keepNext/>
              <w:keepLines/>
              <w:spacing w:before="0"/>
              <w:jc w:val="right"/>
              <w:rPr>
                <w:rFonts w:cs="Open Sans Light"/>
                <w:sz w:val="16"/>
                <w:szCs w:val="16"/>
              </w:rPr>
            </w:pPr>
            <w:r>
              <w:rPr>
                <w:rFonts w:cs="Open Sans Light"/>
                <w:sz w:val="16"/>
                <w:szCs w:val="16"/>
              </w:rPr>
              <w:t>225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19C5BE4" w14:textId="77777777" w:rsidR="003A22B8" w:rsidRDefault="003A22B8" w:rsidP="004D65FE">
            <w:pPr>
              <w:keepNext/>
              <w:keepLines/>
              <w:spacing w:before="0"/>
              <w:jc w:val="right"/>
              <w:rPr>
                <w:rFonts w:cs="Open Sans Light"/>
                <w:sz w:val="16"/>
                <w:szCs w:val="16"/>
              </w:rPr>
            </w:pPr>
            <w:r>
              <w:rPr>
                <w:rFonts w:cs="Open Sans Light"/>
                <w:sz w:val="16"/>
                <w:szCs w:val="16"/>
              </w:rPr>
              <w:t>223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67E18D7" w14:textId="77777777" w:rsidR="003A22B8" w:rsidRDefault="003A22B8" w:rsidP="004D65FE">
            <w:pPr>
              <w:keepNext/>
              <w:keepLines/>
              <w:spacing w:before="0"/>
              <w:jc w:val="right"/>
              <w:rPr>
                <w:rFonts w:cs="Open Sans Light"/>
                <w:sz w:val="16"/>
                <w:szCs w:val="16"/>
              </w:rPr>
            </w:pPr>
            <w:r>
              <w:rPr>
                <w:rFonts w:cs="Open Sans Light"/>
                <w:sz w:val="16"/>
                <w:szCs w:val="16"/>
              </w:rPr>
              <w:t>251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E8BAFDE" w14:textId="77777777" w:rsidR="003A22B8" w:rsidRDefault="003A22B8" w:rsidP="004D65FE">
            <w:pPr>
              <w:keepNext/>
              <w:keepLines/>
              <w:spacing w:before="0"/>
              <w:jc w:val="right"/>
              <w:rPr>
                <w:rFonts w:cs="Open Sans Light"/>
                <w:sz w:val="16"/>
                <w:szCs w:val="16"/>
              </w:rPr>
            </w:pPr>
            <w:r>
              <w:rPr>
                <w:rFonts w:cs="Open Sans Light"/>
                <w:sz w:val="16"/>
                <w:szCs w:val="16"/>
              </w:rPr>
              <w:t>216</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FE6C797" w14:textId="77777777" w:rsidR="003A22B8" w:rsidRDefault="003A22B8" w:rsidP="004D65FE">
            <w:pPr>
              <w:keepNext/>
              <w:keepLines/>
              <w:spacing w:before="0"/>
              <w:jc w:val="right"/>
              <w:rPr>
                <w:rFonts w:cs="Open Sans Light"/>
                <w:sz w:val="16"/>
                <w:szCs w:val="16"/>
              </w:rPr>
            </w:pPr>
            <w:r>
              <w:rPr>
                <w:rFonts w:cs="Open Sans Light"/>
                <w:sz w:val="16"/>
                <w:szCs w:val="16"/>
              </w:rPr>
              <w:t>390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383D3EF" w14:textId="77777777" w:rsidR="003A22B8" w:rsidRDefault="003A22B8" w:rsidP="004D65FE">
            <w:pPr>
              <w:keepNext/>
              <w:keepLines/>
              <w:spacing w:before="0"/>
              <w:jc w:val="right"/>
              <w:rPr>
                <w:rFonts w:cs="Open Sans Light"/>
                <w:sz w:val="16"/>
                <w:szCs w:val="16"/>
              </w:rPr>
            </w:pPr>
            <w:r>
              <w:rPr>
                <w:rFonts w:cs="Open Sans Light"/>
                <w:sz w:val="16"/>
                <w:szCs w:val="16"/>
              </w:rPr>
              <w:t>223</w:t>
            </w:r>
          </w:p>
        </w:tc>
      </w:tr>
      <w:tr w:rsidR="003A22B8" w14:paraId="59B6D605"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34FC6DB" w14:textId="77777777" w:rsidR="003A22B8" w:rsidRDefault="003A22B8" w:rsidP="004D65FE">
            <w:pPr>
              <w:keepNext/>
              <w:keepLines/>
              <w:spacing w:before="0"/>
              <w:ind w:left="142" w:hanging="142"/>
              <w:rPr>
                <w:rFonts w:cs="Open Sans Light"/>
                <w:sz w:val="16"/>
                <w:szCs w:val="16"/>
              </w:rPr>
            </w:pPr>
            <w:r>
              <w:rPr>
                <w:rFonts w:cs="Open Sans Light"/>
                <w:sz w:val="16"/>
                <w:szCs w:val="16"/>
              </w:rPr>
              <w:t>Health</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8CAE9B" w14:textId="77777777" w:rsidR="003A22B8" w:rsidRDefault="003A22B8" w:rsidP="004D65FE">
            <w:pPr>
              <w:keepNext/>
              <w:keepLines/>
              <w:spacing w:before="0"/>
              <w:jc w:val="right"/>
              <w:rPr>
                <w:rFonts w:cs="Open Sans Light"/>
                <w:sz w:val="16"/>
                <w:szCs w:val="16"/>
              </w:rPr>
            </w:pPr>
            <w:r>
              <w:rPr>
                <w:rFonts w:cs="Open Sans Light"/>
                <w:sz w:val="16"/>
                <w:szCs w:val="16"/>
              </w:rPr>
              <w:t>2,528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E132B20" w14:textId="77777777" w:rsidR="003A22B8" w:rsidRDefault="003A22B8" w:rsidP="004D65FE">
            <w:pPr>
              <w:keepNext/>
              <w:keepLines/>
              <w:spacing w:before="0"/>
              <w:jc w:val="right"/>
              <w:rPr>
                <w:rFonts w:cs="Open Sans Light"/>
                <w:sz w:val="16"/>
                <w:szCs w:val="16"/>
              </w:rPr>
            </w:pPr>
            <w:r>
              <w:rPr>
                <w:rFonts w:cs="Open Sans Light"/>
                <w:sz w:val="16"/>
                <w:szCs w:val="16"/>
              </w:rPr>
              <w:t>2,452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06A5B05" w14:textId="77777777" w:rsidR="003A22B8" w:rsidRDefault="003A22B8" w:rsidP="004D65FE">
            <w:pPr>
              <w:keepNext/>
              <w:keepLines/>
              <w:spacing w:before="0"/>
              <w:jc w:val="right"/>
              <w:rPr>
                <w:rFonts w:cs="Open Sans Light"/>
                <w:sz w:val="16"/>
                <w:szCs w:val="16"/>
              </w:rPr>
            </w:pPr>
            <w:r>
              <w:rPr>
                <w:rFonts w:cs="Open Sans Light"/>
                <w:sz w:val="16"/>
                <w:szCs w:val="16"/>
              </w:rPr>
              <w:t>2,654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B3293FA" w14:textId="77777777" w:rsidR="003A22B8" w:rsidRDefault="003A22B8" w:rsidP="004D65FE">
            <w:pPr>
              <w:keepNext/>
              <w:keepLines/>
              <w:spacing w:before="0"/>
              <w:jc w:val="right"/>
              <w:rPr>
                <w:rFonts w:cs="Open Sans Light"/>
                <w:sz w:val="16"/>
                <w:szCs w:val="16"/>
              </w:rPr>
            </w:pPr>
            <w:r>
              <w:rPr>
                <w:rFonts w:cs="Open Sans Light"/>
                <w:sz w:val="16"/>
                <w:szCs w:val="16"/>
              </w:rPr>
              <w:t>2,643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63AA65" w14:textId="77777777" w:rsidR="003A22B8" w:rsidRDefault="003A22B8" w:rsidP="004D65FE">
            <w:pPr>
              <w:keepNext/>
              <w:keepLines/>
              <w:spacing w:before="0"/>
              <w:jc w:val="right"/>
              <w:rPr>
                <w:rFonts w:cs="Open Sans Light"/>
                <w:sz w:val="16"/>
                <w:szCs w:val="16"/>
              </w:rPr>
            </w:pPr>
            <w:r>
              <w:rPr>
                <w:rFonts w:cs="Open Sans Light"/>
                <w:sz w:val="16"/>
                <w:szCs w:val="16"/>
              </w:rPr>
              <w:t>2,746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08CD6F5" w14:textId="77777777" w:rsidR="003A22B8" w:rsidRDefault="003A22B8" w:rsidP="004D65FE">
            <w:pPr>
              <w:keepNext/>
              <w:keepLines/>
              <w:spacing w:before="0"/>
              <w:jc w:val="right"/>
              <w:rPr>
                <w:rFonts w:cs="Open Sans Light"/>
                <w:sz w:val="16"/>
                <w:szCs w:val="16"/>
              </w:rPr>
            </w:pPr>
            <w:r>
              <w:rPr>
                <w:rFonts w:cs="Open Sans Light"/>
                <w:sz w:val="16"/>
                <w:szCs w:val="16"/>
              </w:rPr>
              <w:t>3,269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1F4EEC" w14:textId="77777777" w:rsidR="003A22B8" w:rsidRDefault="003A22B8" w:rsidP="004D65FE">
            <w:pPr>
              <w:keepNext/>
              <w:keepLines/>
              <w:spacing w:before="0"/>
              <w:jc w:val="right"/>
              <w:rPr>
                <w:rFonts w:cs="Open Sans Light"/>
                <w:sz w:val="16"/>
                <w:szCs w:val="16"/>
              </w:rPr>
            </w:pPr>
            <w:r>
              <w:rPr>
                <w:rFonts w:cs="Open Sans Light"/>
                <w:sz w:val="16"/>
                <w:szCs w:val="16"/>
              </w:rPr>
              <w:t>2,273</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A236603" w14:textId="77777777" w:rsidR="003A22B8" w:rsidRDefault="003A22B8" w:rsidP="004D65FE">
            <w:pPr>
              <w:keepNext/>
              <w:keepLines/>
              <w:spacing w:before="0"/>
              <w:jc w:val="right"/>
              <w:rPr>
                <w:rFonts w:cs="Open Sans Light"/>
                <w:sz w:val="16"/>
                <w:szCs w:val="16"/>
              </w:rPr>
            </w:pPr>
            <w:r>
              <w:rPr>
                <w:rFonts w:cs="Open Sans Light"/>
                <w:sz w:val="16"/>
                <w:szCs w:val="16"/>
              </w:rPr>
              <w:t>4,701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B0D565C" w14:textId="77777777" w:rsidR="003A22B8" w:rsidRDefault="003A22B8" w:rsidP="004D65FE">
            <w:pPr>
              <w:keepNext/>
              <w:keepLines/>
              <w:spacing w:before="0"/>
              <w:jc w:val="right"/>
              <w:rPr>
                <w:rFonts w:cs="Open Sans Light"/>
                <w:sz w:val="16"/>
                <w:szCs w:val="16"/>
              </w:rPr>
            </w:pPr>
            <w:r>
              <w:rPr>
                <w:rFonts w:cs="Open Sans Light"/>
                <w:sz w:val="16"/>
                <w:szCs w:val="16"/>
              </w:rPr>
              <w:t>2,594</w:t>
            </w:r>
          </w:p>
        </w:tc>
      </w:tr>
      <w:tr w:rsidR="003A22B8" w:rsidRPr="004E46DA" w14:paraId="0AF0DCD1"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63D6C69" w14:textId="77777777" w:rsidR="003A22B8" w:rsidRPr="004E46DA" w:rsidRDefault="003A22B8" w:rsidP="00B80AFA">
            <w:pPr>
              <w:keepNext/>
              <w:keepLines/>
              <w:spacing w:before="0"/>
              <w:ind w:left="142" w:hanging="142"/>
              <w:rPr>
                <w:rFonts w:cs="Open Sans Light"/>
                <w:sz w:val="16"/>
                <w:szCs w:val="16"/>
              </w:rPr>
            </w:pPr>
            <w:r w:rsidRPr="004E46DA">
              <w:rPr>
                <w:rFonts w:cs="Open Sans Light"/>
                <w:sz w:val="16"/>
                <w:szCs w:val="16"/>
              </w:rPr>
              <w:t>Housing</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74D5E2" w14:textId="77777777" w:rsidR="003A22B8" w:rsidRPr="004E46DA" w:rsidRDefault="003A22B8" w:rsidP="00B80AFA">
            <w:pPr>
              <w:keepNext/>
              <w:keepLines/>
              <w:spacing w:before="0"/>
              <w:ind w:left="142" w:hanging="142"/>
              <w:jc w:val="right"/>
              <w:rPr>
                <w:rFonts w:cs="Open Sans Light"/>
                <w:sz w:val="16"/>
                <w:szCs w:val="16"/>
              </w:rPr>
            </w:pPr>
            <w:r w:rsidRPr="004E46DA">
              <w:rPr>
                <w:rFonts w:cs="Open Sans Light"/>
                <w:sz w:val="16"/>
                <w:szCs w:val="16"/>
              </w:rPr>
              <w:t>105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63DFB7E" w14:textId="77777777" w:rsidR="003A22B8" w:rsidRPr="004E46DA" w:rsidRDefault="003A22B8" w:rsidP="00B80AFA">
            <w:pPr>
              <w:keepNext/>
              <w:keepLines/>
              <w:spacing w:before="0"/>
              <w:ind w:left="142" w:hanging="142"/>
              <w:jc w:val="right"/>
              <w:rPr>
                <w:rFonts w:cs="Open Sans Light"/>
                <w:sz w:val="16"/>
                <w:szCs w:val="16"/>
              </w:rPr>
            </w:pPr>
            <w:r w:rsidRPr="004E46DA">
              <w:rPr>
                <w:rFonts w:cs="Open Sans Light"/>
                <w:sz w:val="16"/>
                <w:szCs w:val="16"/>
              </w:rPr>
              <w:t>92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2E5FA0D" w14:textId="77777777" w:rsidR="003A22B8" w:rsidRPr="004E46DA" w:rsidRDefault="003A22B8" w:rsidP="00B80AFA">
            <w:pPr>
              <w:keepNext/>
              <w:keepLines/>
              <w:spacing w:before="0"/>
              <w:ind w:left="142" w:hanging="142"/>
              <w:jc w:val="right"/>
              <w:rPr>
                <w:rFonts w:cs="Open Sans Light"/>
                <w:sz w:val="16"/>
                <w:szCs w:val="16"/>
              </w:rPr>
            </w:pPr>
            <w:r w:rsidRPr="004E46DA">
              <w:rPr>
                <w:rFonts w:cs="Open Sans Light"/>
                <w:sz w:val="16"/>
                <w:szCs w:val="16"/>
              </w:rPr>
              <w:t>123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BB68010" w14:textId="77777777" w:rsidR="003A22B8" w:rsidRPr="004E46DA" w:rsidRDefault="003A22B8" w:rsidP="00B80AFA">
            <w:pPr>
              <w:keepNext/>
              <w:keepLines/>
              <w:spacing w:before="0"/>
              <w:ind w:left="142" w:hanging="142"/>
              <w:jc w:val="right"/>
              <w:rPr>
                <w:rFonts w:cs="Open Sans Light"/>
                <w:sz w:val="16"/>
                <w:szCs w:val="16"/>
              </w:rPr>
            </w:pPr>
            <w:r w:rsidRPr="004E46DA">
              <w:rPr>
                <w:rFonts w:cs="Open Sans Light"/>
                <w:sz w:val="16"/>
                <w:szCs w:val="16"/>
              </w:rPr>
              <w:t>132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35BE09E" w14:textId="77777777" w:rsidR="003A22B8" w:rsidRPr="004E46DA" w:rsidRDefault="003A22B8" w:rsidP="00B80AFA">
            <w:pPr>
              <w:keepNext/>
              <w:keepLines/>
              <w:spacing w:before="0"/>
              <w:ind w:left="142" w:hanging="142"/>
              <w:jc w:val="right"/>
              <w:rPr>
                <w:rFonts w:cs="Open Sans Light"/>
                <w:sz w:val="16"/>
                <w:szCs w:val="16"/>
              </w:rPr>
            </w:pPr>
            <w:r w:rsidRPr="004E46DA">
              <w:rPr>
                <w:rFonts w:cs="Open Sans Light"/>
                <w:sz w:val="16"/>
                <w:szCs w:val="16"/>
              </w:rPr>
              <w:t>122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C50284" w14:textId="77777777" w:rsidR="003A22B8" w:rsidRPr="004E46DA" w:rsidRDefault="003A22B8" w:rsidP="00B80AFA">
            <w:pPr>
              <w:keepNext/>
              <w:keepLines/>
              <w:spacing w:before="0"/>
              <w:ind w:left="142" w:hanging="142"/>
              <w:jc w:val="right"/>
              <w:rPr>
                <w:rFonts w:cs="Open Sans Light"/>
                <w:sz w:val="16"/>
                <w:szCs w:val="16"/>
              </w:rPr>
            </w:pPr>
            <w:r w:rsidRPr="004E46DA">
              <w:rPr>
                <w:rFonts w:cs="Open Sans Light"/>
                <w:sz w:val="16"/>
                <w:szCs w:val="16"/>
              </w:rPr>
              <w:t>130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FE31C2" w14:textId="77777777" w:rsidR="003A22B8" w:rsidRPr="004E46DA" w:rsidRDefault="003A22B8" w:rsidP="00B80AFA">
            <w:pPr>
              <w:keepNext/>
              <w:keepLines/>
              <w:spacing w:before="0"/>
              <w:ind w:left="142" w:hanging="142"/>
              <w:jc w:val="right"/>
              <w:rPr>
                <w:rFonts w:cs="Open Sans Light"/>
                <w:sz w:val="16"/>
                <w:szCs w:val="16"/>
              </w:rPr>
            </w:pPr>
            <w:r w:rsidRPr="004E46DA">
              <w:rPr>
                <w:rFonts w:cs="Open Sans Light"/>
                <w:sz w:val="16"/>
                <w:szCs w:val="16"/>
              </w:rPr>
              <w:t>75</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C7B4F9" w14:textId="77777777" w:rsidR="003A22B8" w:rsidRPr="004E46DA" w:rsidRDefault="003A22B8" w:rsidP="00B80AFA">
            <w:pPr>
              <w:keepNext/>
              <w:keepLines/>
              <w:spacing w:before="0"/>
              <w:ind w:left="142" w:hanging="142"/>
              <w:jc w:val="right"/>
              <w:rPr>
                <w:rFonts w:cs="Open Sans Light"/>
                <w:sz w:val="16"/>
                <w:szCs w:val="16"/>
              </w:rPr>
            </w:pPr>
            <w:r w:rsidRPr="004E46DA">
              <w:rPr>
                <w:rFonts w:cs="Open Sans Light"/>
                <w:sz w:val="16"/>
                <w:szCs w:val="16"/>
              </w:rPr>
              <w:t>510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0767199" w14:textId="77777777" w:rsidR="003A22B8" w:rsidRPr="004E46DA" w:rsidRDefault="003A22B8" w:rsidP="00B80AFA">
            <w:pPr>
              <w:keepNext/>
              <w:keepLines/>
              <w:spacing w:before="0"/>
              <w:ind w:left="142" w:hanging="142"/>
              <w:jc w:val="right"/>
              <w:rPr>
                <w:rFonts w:cs="Open Sans Light"/>
                <w:sz w:val="16"/>
                <w:szCs w:val="16"/>
              </w:rPr>
            </w:pPr>
            <w:r w:rsidRPr="004E46DA">
              <w:rPr>
                <w:rFonts w:cs="Open Sans Light"/>
                <w:sz w:val="16"/>
                <w:szCs w:val="16"/>
              </w:rPr>
              <w:t>113</w:t>
            </w:r>
          </w:p>
        </w:tc>
      </w:tr>
      <w:tr w:rsidR="003A22B8" w14:paraId="6D4E07B3"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53F67F" w14:textId="77777777" w:rsidR="003A22B8" w:rsidRDefault="003A22B8" w:rsidP="004D65FE">
            <w:pPr>
              <w:keepNext/>
              <w:keepLines/>
              <w:spacing w:before="0"/>
              <w:ind w:left="142" w:hanging="142"/>
              <w:rPr>
                <w:rFonts w:cs="Open Sans Light"/>
                <w:sz w:val="16"/>
                <w:szCs w:val="16"/>
              </w:rPr>
            </w:pPr>
            <w:r>
              <w:rPr>
                <w:rFonts w:cs="Open Sans Light"/>
                <w:sz w:val="16"/>
                <w:szCs w:val="16"/>
              </w:rPr>
              <w:t>Welfare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124454D" w14:textId="77777777" w:rsidR="003A22B8" w:rsidRDefault="003A22B8" w:rsidP="004D65FE">
            <w:pPr>
              <w:keepNext/>
              <w:keepLines/>
              <w:spacing w:before="0"/>
              <w:jc w:val="right"/>
              <w:rPr>
                <w:rFonts w:cs="Open Sans Light"/>
                <w:sz w:val="16"/>
                <w:szCs w:val="16"/>
              </w:rPr>
            </w:pPr>
            <w:r>
              <w:rPr>
                <w:rFonts w:cs="Open Sans Light"/>
                <w:sz w:val="16"/>
                <w:szCs w:val="16"/>
              </w:rPr>
              <w:t>803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7834250" w14:textId="77777777" w:rsidR="003A22B8" w:rsidRDefault="003A22B8" w:rsidP="004D65FE">
            <w:pPr>
              <w:keepNext/>
              <w:keepLines/>
              <w:spacing w:before="0"/>
              <w:jc w:val="right"/>
              <w:rPr>
                <w:rFonts w:cs="Open Sans Light"/>
                <w:sz w:val="16"/>
                <w:szCs w:val="16"/>
              </w:rPr>
            </w:pPr>
            <w:r>
              <w:rPr>
                <w:rFonts w:cs="Open Sans Light"/>
                <w:sz w:val="16"/>
                <w:szCs w:val="16"/>
              </w:rPr>
              <w:t>719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93B866" w14:textId="77777777" w:rsidR="003A22B8" w:rsidRDefault="003A22B8" w:rsidP="004D65FE">
            <w:pPr>
              <w:keepNext/>
              <w:keepLines/>
              <w:spacing w:before="0"/>
              <w:jc w:val="right"/>
              <w:rPr>
                <w:rFonts w:cs="Open Sans Light"/>
                <w:sz w:val="16"/>
                <w:szCs w:val="16"/>
              </w:rPr>
            </w:pPr>
            <w:r>
              <w:rPr>
                <w:rFonts w:cs="Open Sans Light"/>
                <w:sz w:val="16"/>
                <w:szCs w:val="16"/>
              </w:rPr>
              <w:t>855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B1609E1" w14:textId="77777777" w:rsidR="003A22B8" w:rsidRDefault="003A22B8" w:rsidP="004D65FE">
            <w:pPr>
              <w:keepNext/>
              <w:keepLines/>
              <w:spacing w:before="0"/>
              <w:jc w:val="right"/>
              <w:rPr>
                <w:rFonts w:cs="Open Sans Light"/>
                <w:sz w:val="16"/>
                <w:szCs w:val="16"/>
              </w:rPr>
            </w:pPr>
            <w:r>
              <w:rPr>
                <w:rFonts w:cs="Open Sans Light"/>
                <w:sz w:val="16"/>
                <w:szCs w:val="16"/>
              </w:rPr>
              <w:t>819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785DAFF" w14:textId="77777777" w:rsidR="003A22B8" w:rsidRDefault="003A22B8" w:rsidP="004D65FE">
            <w:pPr>
              <w:keepNext/>
              <w:keepLines/>
              <w:spacing w:before="0"/>
              <w:jc w:val="right"/>
              <w:rPr>
                <w:rFonts w:cs="Open Sans Light"/>
                <w:sz w:val="16"/>
                <w:szCs w:val="16"/>
              </w:rPr>
            </w:pPr>
            <w:r>
              <w:rPr>
                <w:rFonts w:cs="Open Sans Light"/>
                <w:sz w:val="16"/>
                <w:szCs w:val="16"/>
              </w:rPr>
              <w:t>826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52F55CE" w14:textId="77777777" w:rsidR="003A22B8" w:rsidRDefault="003A22B8" w:rsidP="004D65FE">
            <w:pPr>
              <w:keepNext/>
              <w:keepLines/>
              <w:spacing w:before="0"/>
              <w:jc w:val="right"/>
              <w:rPr>
                <w:rFonts w:cs="Open Sans Light"/>
                <w:sz w:val="16"/>
                <w:szCs w:val="16"/>
              </w:rPr>
            </w:pPr>
            <w:r>
              <w:rPr>
                <w:rFonts w:cs="Open Sans Light"/>
                <w:sz w:val="16"/>
                <w:szCs w:val="16"/>
              </w:rPr>
              <w:t>929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3FBB2B3" w14:textId="77777777" w:rsidR="003A22B8" w:rsidRDefault="003A22B8" w:rsidP="004D65FE">
            <w:pPr>
              <w:keepNext/>
              <w:keepLines/>
              <w:spacing w:before="0"/>
              <w:jc w:val="right"/>
              <w:rPr>
                <w:rFonts w:cs="Open Sans Light"/>
                <w:sz w:val="16"/>
                <w:szCs w:val="16"/>
              </w:rPr>
            </w:pPr>
            <w:r>
              <w:rPr>
                <w:rFonts w:cs="Open Sans Light"/>
                <w:sz w:val="16"/>
                <w:szCs w:val="16"/>
              </w:rPr>
              <w:t>675</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A036853" w14:textId="77777777" w:rsidR="003A22B8" w:rsidRDefault="003A22B8" w:rsidP="004D65FE">
            <w:pPr>
              <w:keepNext/>
              <w:keepLines/>
              <w:spacing w:before="0"/>
              <w:jc w:val="right"/>
              <w:rPr>
                <w:rFonts w:cs="Open Sans Light"/>
                <w:sz w:val="16"/>
                <w:szCs w:val="16"/>
              </w:rPr>
            </w:pPr>
            <w:r>
              <w:rPr>
                <w:rFonts w:cs="Open Sans Light"/>
                <w:sz w:val="16"/>
                <w:szCs w:val="16"/>
              </w:rPr>
              <w:t>1,751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FC6162F" w14:textId="77777777" w:rsidR="003A22B8" w:rsidRDefault="003A22B8" w:rsidP="004D65FE">
            <w:pPr>
              <w:keepNext/>
              <w:keepLines/>
              <w:spacing w:before="0"/>
              <w:jc w:val="right"/>
              <w:rPr>
                <w:rFonts w:cs="Open Sans Light"/>
                <w:sz w:val="16"/>
                <w:szCs w:val="16"/>
              </w:rPr>
            </w:pPr>
            <w:r>
              <w:rPr>
                <w:rFonts w:cs="Open Sans Light"/>
                <w:sz w:val="16"/>
                <w:szCs w:val="16"/>
              </w:rPr>
              <w:t>805</w:t>
            </w:r>
          </w:p>
        </w:tc>
      </w:tr>
      <w:tr w:rsidR="003A22B8" w14:paraId="35AC5869"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58A5D54" w14:textId="77777777" w:rsidR="003A22B8" w:rsidRDefault="003A22B8" w:rsidP="004D65FE">
            <w:pPr>
              <w:keepNext/>
              <w:keepLines/>
              <w:spacing w:before="0"/>
              <w:ind w:left="142" w:hanging="142"/>
              <w:rPr>
                <w:rFonts w:cs="Open Sans Light"/>
                <w:sz w:val="16"/>
                <w:szCs w:val="16"/>
              </w:rPr>
            </w:pPr>
            <w:r>
              <w:rPr>
                <w:rFonts w:cs="Open Sans Light"/>
                <w:sz w:val="16"/>
                <w:szCs w:val="16"/>
              </w:rPr>
              <w:t>Services to communities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82B50BC" w14:textId="77777777" w:rsidR="003A22B8" w:rsidRDefault="003A22B8" w:rsidP="004D65FE">
            <w:pPr>
              <w:keepNext/>
              <w:keepLines/>
              <w:spacing w:before="0"/>
              <w:jc w:val="right"/>
              <w:rPr>
                <w:rFonts w:cs="Open Sans Light"/>
                <w:sz w:val="16"/>
                <w:szCs w:val="16"/>
              </w:rPr>
            </w:pPr>
            <w:r>
              <w:rPr>
                <w:rFonts w:cs="Open Sans Light"/>
                <w:sz w:val="16"/>
                <w:szCs w:val="16"/>
              </w:rPr>
              <w:t>318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0C50163" w14:textId="77777777" w:rsidR="003A22B8" w:rsidRDefault="003A22B8" w:rsidP="004D65FE">
            <w:pPr>
              <w:keepNext/>
              <w:keepLines/>
              <w:spacing w:before="0"/>
              <w:jc w:val="right"/>
              <w:rPr>
                <w:rFonts w:cs="Open Sans Light"/>
                <w:sz w:val="16"/>
                <w:szCs w:val="16"/>
              </w:rPr>
            </w:pPr>
            <w:r>
              <w:rPr>
                <w:rFonts w:cs="Open Sans Light"/>
                <w:sz w:val="16"/>
                <w:szCs w:val="16"/>
              </w:rPr>
              <w:t>311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0D2D236" w14:textId="77777777" w:rsidR="003A22B8" w:rsidRDefault="003A22B8" w:rsidP="004D65FE">
            <w:pPr>
              <w:keepNext/>
              <w:keepLines/>
              <w:spacing w:before="0"/>
              <w:jc w:val="right"/>
              <w:rPr>
                <w:rFonts w:cs="Open Sans Light"/>
                <w:sz w:val="16"/>
                <w:szCs w:val="16"/>
              </w:rPr>
            </w:pPr>
            <w:r>
              <w:rPr>
                <w:rFonts w:cs="Open Sans Light"/>
                <w:sz w:val="16"/>
                <w:szCs w:val="16"/>
              </w:rPr>
              <w:t>354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2D731A4" w14:textId="77777777" w:rsidR="003A22B8" w:rsidRDefault="003A22B8" w:rsidP="004D65FE">
            <w:pPr>
              <w:keepNext/>
              <w:keepLines/>
              <w:spacing w:before="0"/>
              <w:jc w:val="right"/>
              <w:rPr>
                <w:rFonts w:cs="Open Sans Light"/>
                <w:sz w:val="16"/>
                <w:szCs w:val="16"/>
              </w:rPr>
            </w:pPr>
            <w:r>
              <w:rPr>
                <w:rFonts w:cs="Open Sans Light"/>
                <w:sz w:val="16"/>
                <w:szCs w:val="16"/>
              </w:rPr>
              <w:t>385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498459F" w14:textId="77777777" w:rsidR="003A22B8" w:rsidRDefault="003A22B8" w:rsidP="004D65FE">
            <w:pPr>
              <w:keepNext/>
              <w:keepLines/>
              <w:spacing w:before="0"/>
              <w:jc w:val="right"/>
              <w:rPr>
                <w:rFonts w:cs="Open Sans Light"/>
                <w:sz w:val="16"/>
                <w:szCs w:val="16"/>
              </w:rPr>
            </w:pPr>
            <w:r>
              <w:rPr>
                <w:rFonts w:cs="Open Sans Light"/>
                <w:sz w:val="16"/>
                <w:szCs w:val="16"/>
              </w:rPr>
              <w:t>340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0B3A940" w14:textId="77777777" w:rsidR="003A22B8" w:rsidRDefault="003A22B8" w:rsidP="004D65FE">
            <w:pPr>
              <w:keepNext/>
              <w:keepLines/>
              <w:spacing w:before="0"/>
              <w:jc w:val="right"/>
              <w:rPr>
                <w:rFonts w:cs="Open Sans Light"/>
                <w:sz w:val="16"/>
                <w:szCs w:val="16"/>
              </w:rPr>
            </w:pPr>
            <w:r>
              <w:rPr>
                <w:rFonts w:cs="Open Sans Light"/>
                <w:sz w:val="16"/>
                <w:szCs w:val="16"/>
              </w:rPr>
              <w:t>341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770B07B" w14:textId="77777777" w:rsidR="003A22B8" w:rsidRDefault="003A22B8" w:rsidP="004D65FE">
            <w:pPr>
              <w:keepNext/>
              <w:keepLines/>
              <w:spacing w:before="0"/>
              <w:jc w:val="right"/>
              <w:rPr>
                <w:rFonts w:cs="Open Sans Light"/>
                <w:sz w:val="16"/>
                <w:szCs w:val="16"/>
              </w:rPr>
            </w:pPr>
            <w:r>
              <w:rPr>
                <w:rFonts w:cs="Open Sans Light"/>
                <w:sz w:val="16"/>
                <w:szCs w:val="16"/>
              </w:rPr>
              <w:t>315</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92F02F4" w14:textId="77777777" w:rsidR="003A22B8" w:rsidRDefault="003A22B8" w:rsidP="004D65FE">
            <w:pPr>
              <w:keepNext/>
              <w:keepLines/>
              <w:spacing w:before="0"/>
              <w:jc w:val="right"/>
              <w:rPr>
                <w:rFonts w:cs="Open Sans Light"/>
                <w:sz w:val="16"/>
                <w:szCs w:val="16"/>
              </w:rPr>
            </w:pPr>
            <w:r>
              <w:rPr>
                <w:rFonts w:cs="Open Sans Light"/>
                <w:sz w:val="16"/>
                <w:szCs w:val="16"/>
              </w:rPr>
              <w:t>1,241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B910652" w14:textId="77777777" w:rsidR="003A22B8" w:rsidRDefault="003A22B8" w:rsidP="004D65FE">
            <w:pPr>
              <w:keepNext/>
              <w:keepLines/>
              <w:spacing w:before="0"/>
              <w:jc w:val="right"/>
              <w:rPr>
                <w:rFonts w:cs="Open Sans Light"/>
                <w:sz w:val="16"/>
                <w:szCs w:val="16"/>
              </w:rPr>
            </w:pPr>
            <w:r>
              <w:rPr>
                <w:rFonts w:cs="Open Sans Light"/>
                <w:sz w:val="16"/>
                <w:szCs w:val="16"/>
              </w:rPr>
              <w:t>342</w:t>
            </w:r>
          </w:p>
        </w:tc>
      </w:tr>
      <w:tr w:rsidR="003A22B8" w14:paraId="1E9D513F"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FC8837F" w14:textId="77777777" w:rsidR="003A22B8" w:rsidRDefault="003A22B8" w:rsidP="004D65FE">
            <w:pPr>
              <w:keepNext/>
              <w:keepLines/>
              <w:spacing w:before="0"/>
              <w:ind w:left="142" w:hanging="142"/>
              <w:rPr>
                <w:rFonts w:cs="Open Sans Light"/>
                <w:sz w:val="16"/>
                <w:szCs w:val="16"/>
              </w:rPr>
            </w:pPr>
            <w:r>
              <w:rPr>
                <w:rFonts w:cs="Open Sans Light"/>
                <w:sz w:val="16"/>
                <w:szCs w:val="16"/>
              </w:rPr>
              <w:t>Justice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A696053" w14:textId="77777777" w:rsidR="003A22B8" w:rsidRDefault="003A22B8" w:rsidP="004D65FE">
            <w:pPr>
              <w:keepNext/>
              <w:keepLines/>
              <w:spacing w:before="0"/>
              <w:jc w:val="right"/>
              <w:rPr>
                <w:rFonts w:cs="Open Sans Light"/>
                <w:sz w:val="16"/>
                <w:szCs w:val="16"/>
              </w:rPr>
            </w:pPr>
            <w:r>
              <w:rPr>
                <w:rFonts w:cs="Open Sans Light"/>
                <w:sz w:val="16"/>
                <w:szCs w:val="16"/>
              </w:rPr>
              <w:t>800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7A12B0A" w14:textId="77777777" w:rsidR="003A22B8" w:rsidRDefault="003A22B8" w:rsidP="004D65FE">
            <w:pPr>
              <w:keepNext/>
              <w:keepLines/>
              <w:spacing w:before="0"/>
              <w:jc w:val="right"/>
              <w:rPr>
                <w:rFonts w:cs="Open Sans Light"/>
                <w:sz w:val="16"/>
                <w:szCs w:val="16"/>
              </w:rPr>
            </w:pPr>
            <w:r>
              <w:rPr>
                <w:rFonts w:cs="Open Sans Light"/>
                <w:sz w:val="16"/>
                <w:szCs w:val="16"/>
              </w:rPr>
              <w:t>726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FD0522" w14:textId="77777777" w:rsidR="003A22B8" w:rsidRDefault="003A22B8" w:rsidP="004D65FE">
            <w:pPr>
              <w:keepNext/>
              <w:keepLines/>
              <w:spacing w:before="0"/>
              <w:jc w:val="right"/>
              <w:rPr>
                <w:rFonts w:cs="Open Sans Light"/>
                <w:sz w:val="16"/>
                <w:szCs w:val="16"/>
              </w:rPr>
            </w:pPr>
            <w:r>
              <w:rPr>
                <w:rFonts w:cs="Open Sans Light"/>
                <w:sz w:val="16"/>
                <w:szCs w:val="16"/>
              </w:rPr>
              <w:t>875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1BAD5C7" w14:textId="77777777" w:rsidR="003A22B8" w:rsidRDefault="003A22B8" w:rsidP="004D65FE">
            <w:pPr>
              <w:keepNext/>
              <w:keepLines/>
              <w:spacing w:before="0"/>
              <w:jc w:val="right"/>
              <w:rPr>
                <w:rFonts w:cs="Open Sans Light"/>
                <w:sz w:val="16"/>
                <w:szCs w:val="16"/>
              </w:rPr>
            </w:pPr>
            <w:r>
              <w:rPr>
                <w:rFonts w:cs="Open Sans Light"/>
                <w:sz w:val="16"/>
                <w:szCs w:val="16"/>
              </w:rPr>
              <w:t>878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7A7E079" w14:textId="77777777" w:rsidR="003A22B8" w:rsidRDefault="003A22B8" w:rsidP="004D65FE">
            <w:pPr>
              <w:keepNext/>
              <w:keepLines/>
              <w:spacing w:before="0"/>
              <w:jc w:val="right"/>
              <w:rPr>
                <w:rFonts w:cs="Open Sans Light"/>
                <w:sz w:val="16"/>
                <w:szCs w:val="16"/>
              </w:rPr>
            </w:pPr>
            <w:r>
              <w:rPr>
                <w:rFonts w:cs="Open Sans Light"/>
                <w:sz w:val="16"/>
                <w:szCs w:val="16"/>
              </w:rPr>
              <w:t>819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E5B701B" w14:textId="77777777" w:rsidR="003A22B8" w:rsidRDefault="003A22B8" w:rsidP="004D65FE">
            <w:pPr>
              <w:keepNext/>
              <w:keepLines/>
              <w:spacing w:before="0"/>
              <w:jc w:val="right"/>
              <w:rPr>
                <w:rFonts w:cs="Open Sans Light"/>
                <w:sz w:val="16"/>
                <w:szCs w:val="16"/>
              </w:rPr>
            </w:pPr>
            <w:r>
              <w:rPr>
                <w:rFonts w:cs="Open Sans Light"/>
                <w:sz w:val="16"/>
                <w:szCs w:val="16"/>
              </w:rPr>
              <w:t>933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4E86FBB" w14:textId="77777777" w:rsidR="003A22B8" w:rsidRDefault="003A22B8" w:rsidP="004D65FE">
            <w:pPr>
              <w:keepNext/>
              <w:keepLines/>
              <w:spacing w:before="0"/>
              <w:jc w:val="right"/>
              <w:rPr>
                <w:rFonts w:cs="Open Sans Light"/>
                <w:sz w:val="16"/>
                <w:szCs w:val="16"/>
              </w:rPr>
            </w:pPr>
            <w:r>
              <w:rPr>
                <w:rFonts w:cs="Open Sans Light"/>
                <w:sz w:val="16"/>
                <w:szCs w:val="16"/>
              </w:rPr>
              <w:t>668</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13546A" w14:textId="77777777" w:rsidR="003A22B8" w:rsidRDefault="003A22B8" w:rsidP="004D65FE">
            <w:pPr>
              <w:keepNext/>
              <w:keepLines/>
              <w:spacing w:before="0"/>
              <w:jc w:val="right"/>
              <w:rPr>
                <w:rFonts w:cs="Open Sans Light"/>
                <w:sz w:val="16"/>
                <w:szCs w:val="16"/>
              </w:rPr>
            </w:pPr>
            <w:r>
              <w:rPr>
                <w:rFonts w:cs="Open Sans Light"/>
                <w:sz w:val="16"/>
                <w:szCs w:val="16"/>
              </w:rPr>
              <w:t>2,622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49A4D89" w14:textId="77777777" w:rsidR="003A22B8" w:rsidRDefault="003A22B8" w:rsidP="004D65FE">
            <w:pPr>
              <w:keepNext/>
              <w:keepLines/>
              <w:spacing w:before="0"/>
              <w:jc w:val="right"/>
              <w:rPr>
                <w:rFonts w:cs="Open Sans Light"/>
                <w:sz w:val="16"/>
                <w:szCs w:val="16"/>
              </w:rPr>
            </w:pPr>
            <w:r>
              <w:rPr>
                <w:rFonts w:cs="Open Sans Light"/>
                <w:sz w:val="16"/>
                <w:szCs w:val="16"/>
              </w:rPr>
              <w:t>824</w:t>
            </w:r>
          </w:p>
        </w:tc>
      </w:tr>
      <w:tr w:rsidR="003A22B8" w14:paraId="5CF70E25"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4429483" w14:textId="77777777" w:rsidR="003A22B8" w:rsidRDefault="003A22B8" w:rsidP="004D65FE">
            <w:pPr>
              <w:keepNext/>
              <w:keepLines/>
              <w:spacing w:before="0"/>
              <w:ind w:left="142" w:hanging="142"/>
              <w:rPr>
                <w:rFonts w:cs="Open Sans Light"/>
                <w:sz w:val="16"/>
                <w:szCs w:val="16"/>
              </w:rPr>
            </w:pPr>
            <w:r>
              <w:rPr>
                <w:rFonts w:cs="Open Sans Light"/>
                <w:sz w:val="16"/>
                <w:szCs w:val="16"/>
              </w:rPr>
              <w:t>Roads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482906" w14:textId="77777777" w:rsidR="003A22B8" w:rsidRDefault="003A22B8" w:rsidP="004D65FE">
            <w:pPr>
              <w:keepNext/>
              <w:keepLines/>
              <w:spacing w:before="0"/>
              <w:jc w:val="right"/>
              <w:rPr>
                <w:rFonts w:cs="Open Sans Light"/>
                <w:sz w:val="16"/>
                <w:szCs w:val="16"/>
              </w:rPr>
            </w:pPr>
            <w:r>
              <w:rPr>
                <w:rFonts w:cs="Open Sans Light"/>
                <w:sz w:val="16"/>
                <w:szCs w:val="16"/>
              </w:rPr>
              <w:t>267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05AB74D" w14:textId="77777777" w:rsidR="003A22B8" w:rsidRDefault="003A22B8" w:rsidP="004D65FE">
            <w:pPr>
              <w:keepNext/>
              <w:keepLines/>
              <w:spacing w:before="0"/>
              <w:jc w:val="right"/>
              <w:rPr>
                <w:rFonts w:cs="Open Sans Light"/>
                <w:sz w:val="16"/>
                <w:szCs w:val="16"/>
              </w:rPr>
            </w:pPr>
            <w:r>
              <w:rPr>
                <w:rFonts w:cs="Open Sans Light"/>
                <w:sz w:val="16"/>
                <w:szCs w:val="16"/>
              </w:rPr>
              <w:t>249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36E2EE" w14:textId="77777777" w:rsidR="003A22B8" w:rsidRDefault="003A22B8" w:rsidP="004D65FE">
            <w:pPr>
              <w:keepNext/>
              <w:keepLines/>
              <w:spacing w:before="0"/>
              <w:jc w:val="right"/>
              <w:rPr>
                <w:rFonts w:cs="Open Sans Light"/>
                <w:sz w:val="16"/>
                <w:szCs w:val="16"/>
              </w:rPr>
            </w:pPr>
            <w:r>
              <w:rPr>
                <w:rFonts w:cs="Open Sans Light"/>
                <w:sz w:val="16"/>
                <w:szCs w:val="16"/>
              </w:rPr>
              <w:t>329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BACBC20" w14:textId="77777777" w:rsidR="003A22B8" w:rsidRDefault="003A22B8" w:rsidP="004D65FE">
            <w:pPr>
              <w:keepNext/>
              <w:keepLines/>
              <w:spacing w:before="0"/>
              <w:jc w:val="right"/>
              <w:rPr>
                <w:rFonts w:cs="Open Sans Light"/>
                <w:sz w:val="16"/>
                <w:szCs w:val="16"/>
              </w:rPr>
            </w:pPr>
            <w:r>
              <w:rPr>
                <w:rFonts w:cs="Open Sans Light"/>
                <w:sz w:val="16"/>
                <w:szCs w:val="16"/>
              </w:rPr>
              <w:t>348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CB9CE3F" w14:textId="77777777" w:rsidR="003A22B8" w:rsidRDefault="003A22B8" w:rsidP="004D65FE">
            <w:pPr>
              <w:keepNext/>
              <w:keepLines/>
              <w:spacing w:before="0"/>
              <w:jc w:val="right"/>
              <w:rPr>
                <w:rFonts w:cs="Open Sans Light"/>
                <w:sz w:val="16"/>
                <w:szCs w:val="16"/>
              </w:rPr>
            </w:pPr>
            <w:r>
              <w:rPr>
                <w:rFonts w:cs="Open Sans Light"/>
                <w:sz w:val="16"/>
                <w:szCs w:val="16"/>
              </w:rPr>
              <w:t>341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2A30B0" w14:textId="77777777" w:rsidR="003A22B8" w:rsidRDefault="003A22B8" w:rsidP="004D65FE">
            <w:pPr>
              <w:keepNext/>
              <w:keepLines/>
              <w:spacing w:before="0"/>
              <w:jc w:val="right"/>
              <w:rPr>
                <w:rFonts w:cs="Open Sans Light"/>
                <w:sz w:val="16"/>
                <w:szCs w:val="16"/>
              </w:rPr>
            </w:pPr>
            <w:r>
              <w:rPr>
                <w:rFonts w:cs="Open Sans Light"/>
                <w:sz w:val="16"/>
                <w:szCs w:val="16"/>
              </w:rPr>
              <w:t>316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09A95B2" w14:textId="77777777" w:rsidR="003A22B8" w:rsidRDefault="003A22B8" w:rsidP="004D65FE">
            <w:pPr>
              <w:keepNext/>
              <w:keepLines/>
              <w:spacing w:before="0"/>
              <w:jc w:val="right"/>
              <w:rPr>
                <w:rFonts w:cs="Open Sans Light"/>
                <w:sz w:val="16"/>
                <w:szCs w:val="16"/>
              </w:rPr>
            </w:pPr>
            <w:r>
              <w:rPr>
                <w:rFonts w:cs="Open Sans Light"/>
                <w:sz w:val="16"/>
                <w:szCs w:val="16"/>
              </w:rPr>
              <w:t>140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56DABA0" w14:textId="77777777" w:rsidR="003A22B8" w:rsidRDefault="003A22B8" w:rsidP="004D65FE">
            <w:pPr>
              <w:keepNext/>
              <w:keepLines/>
              <w:spacing w:before="0"/>
              <w:jc w:val="right"/>
              <w:rPr>
                <w:rFonts w:cs="Open Sans Light"/>
                <w:sz w:val="16"/>
                <w:szCs w:val="16"/>
              </w:rPr>
            </w:pPr>
            <w:r>
              <w:rPr>
                <w:rFonts w:cs="Open Sans Light"/>
                <w:sz w:val="16"/>
                <w:szCs w:val="16"/>
              </w:rPr>
              <w:t>696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5DEA6B" w14:textId="77777777" w:rsidR="003A22B8" w:rsidRDefault="003A22B8" w:rsidP="004D65FE">
            <w:pPr>
              <w:keepNext/>
              <w:keepLines/>
              <w:spacing w:before="0"/>
              <w:jc w:val="right"/>
              <w:rPr>
                <w:rFonts w:cs="Open Sans Light"/>
                <w:sz w:val="16"/>
                <w:szCs w:val="16"/>
              </w:rPr>
            </w:pPr>
            <w:r>
              <w:rPr>
                <w:rFonts w:cs="Open Sans Light"/>
                <w:sz w:val="16"/>
                <w:szCs w:val="16"/>
              </w:rPr>
              <w:t>292</w:t>
            </w:r>
          </w:p>
        </w:tc>
      </w:tr>
      <w:tr w:rsidR="003A22B8" w14:paraId="12E55B9A"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CE68446" w14:textId="77777777" w:rsidR="003A22B8" w:rsidRDefault="003A22B8" w:rsidP="004D65FE">
            <w:pPr>
              <w:keepNext/>
              <w:keepLines/>
              <w:spacing w:before="0"/>
              <w:ind w:left="142" w:hanging="142"/>
              <w:rPr>
                <w:rFonts w:cs="Open Sans Light"/>
                <w:sz w:val="16"/>
                <w:szCs w:val="16"/>
              </w:rPr>
            </w:pPr>
            <w:r>
              <w:rPr>
                <w:rFonts w:cs="Open Sans Light"/>
                <w:sz w:val="16"/>
                <w:szCs w:val="16"/>
              </w:rPr>
              <w:t>Transport</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26D3B50" w14:textId="77777777" w:rsidR="003A22B8" w:rsidRDefault="003A22B8" w:rsidP="004D65FE">
            <w:pPr>
              <w:keepNext/>
              <w:keepLines/>
              <w:spacing w:before="0"/>
              <w:jc w:val="right"/>
              <w:rPr>
                <w:rFonts w:cs="Open Sans Light"/>
                <w:sz w:val="16"/>
                <w:szCs w:val="16"/>
              </w:rPr>
            </w:pPr>
            <w:r>
              <w:rPr>
                <w:rFonts w:cs="Open Sans Light"/>
                <w:sz w:val="16"/>
                <w:szCs w:val="16"/>
              </w:rPr>
              <w:t>725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892349" w14:textId="77777777" w:rsidR="003A22B8" w:rsidRDefault="003A22B8" w:rsidP="004D65FE">
            <w:pPr>
              <w:keepNext/>
              <w:keepLines/>
              <w:spacing w:before="0"/>
              <w:jc w:val="right"/>
              <w:rPr>
                <w:rFonts w:cs="Open Sans Light"/>
                <w:sz w:val="16"/>
                <w:szCs w:val="16"/>
              </w:rPr>
            </w:pPr>
            <w:r>
              <w:rPr>
                <w:rFonts w:cs="Open Sans Light"/>
                <w:sz w:val="16"/>
                <w:szCs w:val="16"/>
              </w:rPr>
              <w:t>639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F1B7C58" w14:textId="77777777" w:rsidR="003A22B8" w:rsidRDefault="003A22B8" w:rsidP="004D65FE">
            <w:pPr>
              <w:keepNext/>
              <w:keepLines/>
              <w:spacing w:before="0"/>
              <w:jc w:val="right"/>
              <w:rPr>
                <w:rFonts w:cs="Open Sans Light"/>
                <w:sz w:val="16"/>
                <w:szCs w:val="16"/>
              </w:rPr>
            </w:pPr>
            <w:r>
              <w:rPr>
                <w:rFonts w:cs="Open Sans Light"/>
                <w:sz w:val="16"/>
                <w:szCs w:val="16"/>
              </w:rPr>
              <w:t>437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C7DF7C3" w14:textId="77777777" w:rsidR="003A22B8" w:rsidRDefault="003A22B8" w:rsidP="004D65FE">
            <w:pPr>
              <w:keepNext/>
              <w:keepLines/>
              <w:spacing w:before="0"/>
              <w:jc w:val="right"/>
              <w:rPr>
                <w:rFonts w:cs="Open Sans Light"/>
                <w:sz w:val="16"/>
                <w:szCs w:val="16"/>
              </w:rPr>
            </w:pPr>
            <w:r>
              <w:rPr>
                <w:rFonts w:cs="Open Sans Light"/>
                <w:sz w:val="16"/>
                <w:szCs w:val="16"/>
              </w:rPr>
              <w:t>473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96CBBC" w14:textId="77777777" w:rsidR="003A22B8" w:rsidRDefault="003A22B8" w:rsidP="004D65FE">
            <w:pPr>
              <w:keepNext/>
              <w:keepLines/>
              <w:spacing w:before="0"/>
              <w:jc w:val="right"/>
              <w:rPr>
                <w:rFonts w:cs="Open Sans Light"/>
                <w:sz w:val="16"/>
                <w:szCs w:val="16"/>
              </w:rPr>
            </w:pPr>
            <w:r>
              <w:rPr>
                <w:rFonts w:cs="Open Sans Light"/>
                <w:sz w:val="16"/>
                <w:szCs w:val="16"/>
              </w:rPr>
              <w:t>423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12A140" w14:textId="77777777" w:rsidR="003A22B8" w:rsidRDefault="003A22B8" w:rsidP="004D65FE">
            <w:pPr>
              <w:keepNext/>
              <w:keepLines/>
              <w:spacing w:before="0"/>
              <w:jc w:val="right"/>
              <w:rPr>
                <w:rFonts w:cs="Open Sans Light"/>
                <w:sz w:val="16"/>
                <w:szCs w:val="16"/>
              </w:rPr>
            </w:pPr>
            <w:r>
              <w:rPr>
                <w:rFonts w:cs="Open Sans Light"/>
                <w:sz w:val="16"/>
                <w:szCs w:val="16"/>
              </w:rPr>
              <w:t>219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C0BF55" w14:textId="77777777" w:rsidR="003A22B8" w:rsidRDefault="003A22B8" w:rsidP="004D65FE">
            <w:pPr>
              <w:keepNext/>
              <w:keepLines/>
              <w:spacing w:before="0"/>
              <w:jc w:val="right"/>
              <w:rPr>
                <w:rFonts w:cs="Open Sans Light"/>
                <w:sz w:val="16"/>
                <w:szCs w:val="16"/>
              </w:rPr>
            </w:pPr>
            <w:r>
              <w:rPr>
                <w:rFonts w:cs="Open Sans Light"/>
                <w:sz w:val="16"/>
                <w:szCs w:val="16"/>
              </w:rPr>
              <w:t>459</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5790AB9" w14:textId="77777777" w:rsidR="003A22B8" w:rsidRDefault="003A22B8" w:rsidP="004D65FE">
            <w:pPr>
              <w:keepNext/>
              <w:keepLines/>
              <w:spacing w:before="0"/>
              <w:jc w:val="right"/>
              <w:rPr>
                <w:rFonts w:cs="Open Sans Light"/>
                <w:sz w:val="16"/>
                <w:szCs w:val="16"/>
              </w:rPr>
            </w:pPr>
            <w:r>
              <w:rPr>
                <w:rFonts w:cs="Open Sans Light"/>
                <w:sz w:val="16"/>
                <w:szCs w:val="16"/>
              </w:rPr>
              <w:t>262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F9D5C29" w14:textId="77777777" w:rsidR="003A22B8" w:rsidRDefault="003A22B8" w:rsidP="004D65FE">
            <w:pPr>
              <w:keepNext/>
              <w:keepLines/>
              <w:spacing w:before="0"/>
              <w:jc w:val="right"/>
              <w:rPr>
                <w:rFonts w:cs="Open Sans Light"/>
                <w:sz w:val="16"/>
                <w:szCs w:val="16"/>
              </w:rPr>
            </w:pPr>
            <w:r>
              <w:rPr>
                <w:rFonts w:cs="Open Sans Light"/>
                <w:sz w:val="16"/>
                <w:szCs w:val="16"/>
              </w:rPr>
              <w:t>578</w:t>
            </w:r>
          </w:p>
        </w:tc>
      </w:tr>
      <w:tr w:rsidR="003A22B8" w14:paraId="25F47596"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3F7DA19" w14:textId="77777777" w:rsidR="003A22B8" w:rsidRDefault="003A22B8" w:rsidP="004D65FE">
            <w:pPr>
              <w:keepNext/>
              <w:keepLines/>
              <w:spacing w:before="0"/>
              <w:ind w:left="142" w:hanging="142"/>
              <w:rPr>
                <w:rFonts w:cs="Open Sans Light"/>
                <w:sz w:val="16"/>
                <w:szCs w:val="16"/>
              </w:rPr>
            </w:pPr>
            <w:r>
              <w:rPr>
                <w:rFonts w:cs="Open Sans Light"/>
                <w:sz w:val="16"/>
                <w:szCs w:val="16"/>
              </w:rPr>
              <w:t>Services to industry</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6769891" w14:textId="77777777" w:rsidR="003A22B8" w:rsidRDefault="003A22B8" w:rsidP="004D65FE">
            <w:pPr>
              <w:keepNext/>
              <w:keepLines/>
              <w:spacing w:before="0"/>
              <w:jc w:val="right"/>
              <w:rPr>
                <w:rFonts w:cs="Open Sans Light"/>
                <w:sz w:val="16"/>
                <w:szCs w:val="16"/>
              </w:rPr>
            </w:pPr>
            <w:r>
              <w:rPr>
                <w:rFonts w:cs="Open Sans Light"/>
                <w:sz w:val="16"/>
                <w:szCs w:val="16"/>
              </w:rPr>
              <w:t>193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EC7E851" w14:textId="77777777" w:rsidR="003A22B8" w:rsidRDefault="003A22B8" w:rsidP="004D65FE">
            <w:pPr>
              <w:keepNext/>
              <w:keepLines/>
              <w:spacing w:before="0"/>
              <w:jc w:val="right"/>
              <w:rPr>
                <w:rFonts w:cs="Open Sans Light"/>
                <w:sz w:val="16"/>
                <w:szCs w:val="16"/>
              </w:rPr>
            </w:pPr>
            <w:r>
              <w:rPr>
                <w:rFonts w:cs="Open Sans Light"/>
                <w:sz w:val="16"/>
                <w:szCs w:val="16"/>
              </w:rPr>
              <w:t>187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62825A4" w14:textId="77777777" w:rsidR="003A22B8" w:rsidRDefault="003A22B8" w:rsidP="004D65FE">
            <w:pPr>
              <w:keepNext/>
              <w:keepLines/>
              <w:spacing w:before="0"/>
              <w:jc w:val="right"/>
              <w:rPr>
                <w:rFonts w:cs="Open Sans Light"/>
                <w:sz w:val="16"/>
                <w:szCs w:val="16"/>
              </w:rPr>
            </w:pPr>
            <w:r>
              <w:rPr>
                <w:rFonts w:cs="Open Sans Light"/>
                <w:sz w:val="16"/>
                <w:szCs w:val="16"/>
              </w:rPr>
              <w:t>206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3909F2" w14:textId="77777777" w:rsidR="003A22B8" w:rsidRDefault="003A22B8" w:rsidP="004D65FE">
            <w:pPr>
              <w:keepNext/>
              <w:keepLines/>
              <w:spacing w:before="0"/>
              <w:jc w:val="right"/>
              <w:rPr>
                <w:rFonts w:cs="Open Sans Light"/>
                <w:sz w:val="16"/>
                <w:szCs w:val="16"/>
              </w:rPr>
            </w:pPr>
            <w:r>
              <w:rPr>
                <w:rFonts w:cs="Open Sans Light"/>
                <w:sz w:val="16"/>
                <w:szCs w:val="16"/>
              </w:rPr>
              <w:t>266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3F9568" w14:textId="77777777" w:rsidR="003A22B8" w:rsidRDefault="003A22B8" w:rsidP="004D65FE">
            <w:pPr>
              <w:keepNext/>
              <w:keepLines/>
              <w:spacing w:before="0"/>
              <w:jc w:val="right"/>
              <w:rPr>
                <w:rFonts w:cs="Open Sans Light"/>
                <w:sz w:val="16"/>
                <w:szCs w:val="16"/>
              </w:rPr>
            </w:pPr>
            <w:r>
              <w:rPr>
                <w:rFonts w:cs="Open Sans Light"/>
                <w:sz w:val="16"/>
                <w:szCs w:val="16"/>
              </w:rPr>
              <w:t>199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253806F" w14:textId="77777777" w:rsidR="003A22B8" w:rsidRDefault="003A22B8" w:rsidP="004D65FE">
            <w:pPr>
              <w:keepNext/>
              <w:keepLines/>
              <w:spacing w:before="0"/>
              <w:jc w:val="right"/>
              <w:rPr>
                <w:rFonts w:cs="Open Sans Light"/>
                <w:sz w:val="16"/>
                <w:szCs w:val="16"/>
              </w:rPr>
            </w:pPr>
            <w:r>
              <w:rPr>
                <w:rFonts w:cs="Open Sans Light"/>
                <w:sz w:val="16"/>
                <w:szCs w:val="16"/>
              </w:rPr>
              <w:t>231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73115F" w14:textId="77777777" w:rsidR="003A22B8" w:rsidRDefault="003A22B8" w:rsidP="004D65FE">
            <w:pPr>
              <w:keepNext/>
              <w:keepLines/>
              <w:spacing w:before="0"/>
              <w:jc w:val="right"/>
              <w:rPr>
                <w:rFonts w:cs="Open Sans Light"/>
                <w:sz w:val="16"/>
                <w:szCs w:val="16"/>
              </w:rPr>
            </w:pPr>
            <w:r>
              <w:rPr>
                <w:rFonts w:cs="Open Sans Light"/>
                <w:sz w:val="16"/>
                <w:szCs w:val="16"/>
              </w:rPr>
              <w:t>180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6E247B" w14:textId="77777777" w:rsidR="003A22B8" w:rsidRDefault="003A22B8" w:rsidP="004D65FE">
            <w:pPr>
              <w:keepNext/>
              <w:keepLines/>
              <w:spacing w:before="0"/>
              <w:jc w:val="right"/>
              <w:rPr>
                <w:rFonts w:cs="Open Sans Light"/>
                <w:sz w:val="16"/>
                <w:szCs w:val="16"/>
              </w:rPr>
            </w:pPr>
            <w:r>
              <w:rPr>
                <w:rFonts w:cs="Open Sans Light"/>
                <w:sz w:val="16"/>
                <w:szCs w:val="16"/>
              </w:rPr>
              <w:t>280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7A5AA6" w14:textId="77777777" w:rsidR="003A22B8" w:rsidRDefault="003A22B8" w:rsidP="004D65FE">
            <w:pPr>
              <w:keepNext/>
              <w:keepLines/>
              <w:spacing w:before="0"/>
              <w:jc w:val="right"/>
              <w:rPr>
                <w:rFonts w:cs="Open Sans Light"/>
                <w:sz w:val="16"/>
                <w:szCs w:val="16"/>
              </w:rPr>
            </w:pPr>
            <w:r>
              <w:rPr>
                <w:rFonts w:cs="Open Sans Light"/>
                <w:sz w:val="16"/>
                <w:szCs w:val="16"/>
              </w:rPr>
              <w:t>203</w:t>
            </w:r>
          </w:p>
        </w:tc>
      </w:tr>
      <w:tr w:rsidR="003A22B8" w14:paraId="7DDA69BF"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E4FC8D2" w14:textId="77777777" w:rsidR="003A22B8" w:rsidRDefault="003A22B8" w:rsidP="004D65FE">
            <w:pPr>
              <w:keepNext/>
              <w:keepLines/>
              <w:spacing w:before="0"/>
              <w:ind w:left="142" w:hanging="142"/>
              <w:rPr>
                <w:rFonts w:cs="Open Sans Light"/>
                <w:sz w:val="16"/>
                <w:szCs w:val="16"/>
              </w:rPr>
            </w:pPr>
            <w:r>
              <w:rPr>
                <w:rFonts w:cs="Open Sans Light"/>
                <w:sz w:val="16"/>
                <w:szCs w:val="16"/>
              </w:rPr>
              <w:t>Other expenses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5D7E526" w14:textId="77777777" w:rsidR="003A22B8" w:rsidRDefault="003A22B8" w:rsidP="004D65FE">
            <w:pPr>
              <w:keepNext/>
              <w:keepLines/>
              <w:spacing w:before="0"/>
              <w:jc w:val="right"/>
              <w:rPr>
                <w:rFonts w:cs="Open Sans Light"/>
                <w:sz w:val="16"/>
                <w:szCs w:val="16"/>
              </w:rPr>
            </w:pPr>
            <w:r>
              <w:rPr>
                <w:rFonts w:cs="Open Sans Light"/>
                <w:sz w:val="16"/>
                <w:szCs w:val="16"/>
              </w:rPr>
              <w:t>974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7EB9E0" w14:textId="77777777" w:rsidR="003A22B8" w:rsidRDefault="003A22B8" w:rsidP="004D65FE">
            <w:pPr>
              <w:keepNext/>
              <w:keepLines/>
              <w:spacing w:before="0"/>
              <w:jc w:val="right"/>
              <w:rPr>
                <w:rFonts w:cs="Open Sans Light"/>
                <w:sz w:val="16"/>
                <w:szCs w:val="16"/>
              </w:rPr>
            </w:pPr>
            <w:r>
              <w:rPr>
                <w:rFonts w:cs="Open Sans Light"/>
                <w:sz w:val="16"/>
                <w:szCs w:val="16"/>
              </w:rPr>
              <w:t>962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6AD7C66" w14:textId="77777777" w:rsidR="003A22B8" w:rsidRDefault="003A22B8" w:rsidP="004D65FE">
            <w:pPr>
              <w:keepNext/>
              <w:keepLines/>
              <w:spacing w:before="0"/>
              <w:jc w:val="right"/>
              <w:rPr>
                <w:rFonts w:cs="Open Sans Light"/>
                <w:sz w:val="16"/>
                <w:szCs w:val="16"/>
              </w:rPr>
            </w:pPr>
            <w:r>
              <w:rPr>
                <w:rFonts w:cs="Open Sans Light"/>
                <w:sz w:val="16"/>
                <w:szCs w:val="16"/>
              </w:rPr>
              <w:t>1,148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8A2D79" w14:textId="77777777" w:rsidR="003A22B8" w:rsidRDefault="003A22B8" w:rsidP="004D65FE">
            <w:pPr>
              <w:keepNext/>
              <w:keepLines/>
              <w:spacing w:before="0"/>
              <w:jc w:val="right"/>
              <w:rPr>
                <w:rFonts w:cs="Open Sans Light"/>
                <w:sz w:val="16"/>
                <w:szCs w:val="16"/>
              </w:rPr>
            </w:pPr>
            <w:r>
              <w:rPr>
                <w:rFonts w:cs="Open Sans Light"/>
                <w:sz w:val="16"/>
                <w:szCs w:val="16"/>
              </w:rPr>
              <w:t>1,190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7FF3B52" w14:textId="77777777" w:rsidR="003A22B8" w:rsidRDefault="003A22B8" w:rsidP="004D65FE">
            <w:pPr>
              <w:keepNext/>
              <w:keepLines/>
              <w:spacing w:before="0"/>
              <w:jc w:val="right"/>
              <w:rPr>
                <w:rFonts w:cs="Open Sans Light"/>
                <w:sz w:val="16"/>
                <w:szCs w:val="16"/>
              </w:rPr>
            </w:pPr>
            <w:r>
              <w:rPr>
                <w:rFonts w:cs="Open Sans Light"/>
                <w:sz w:val="16"/>
                <w:szCs w:val="16"/>
              </w:rPr>
              <w:t>1,077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9393C0" w14:textId="77777777" w:rsidR="003A22B8" w:rsidRDefault="003A22B8" w:rsidP="004D65FE">
            <w:pPr>
              <w:keepNext/>
              <w:keepLines/>
              <w:spacing w:before="0"/>
              <w:jc w:val="right"/>
              <w:rPr>
                <w:rFonts w:cs="Open Sans Light"/>
                <w:sz w:val="16"/>
                <w:szCs w:val="16"/>
              </w:rPr>
            </w:pPr>
            <w:r>
              <w:rPr>
                <w:rFonts w:cs="Open Sans Light"/>
                <w:sz w:val="16"/>
                <w:szCs w:val="16"/>
              </w:rPr>
              <w:t>1,585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981A39" w14:textId="77777777" w:rsidR="003A22B8" w:rsidRDefault="003A22B8" w:rsidP="004D65FE">
            <w:pPr>
              <w:keepNext/>
              <w:keepLines/>
              <w:spacing w:before="0"/>
              <w:jc w:val="right"/>
              <w:rPr>
                <w:rFonts w:cs="Open Sans Light"/>
                <w:sz w:val="16"/>
                <w:szCs w:val="16"/>
              </w:rPr>
            </w:pPr>
            <w:r>
              <w:rPr>
                <w:rFonts w:cs="Open Sans Light"/>
                <w:sz w:val="16"/>
                <w:szCs w:val="16"/>
              </w:rPr>
              <w:t>1,741</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32BEA4" w14:textId="77777777" w:rsidR="003A22B8" w:rsidRDefault="003A22B8" w:rsidP="004D65FE">
            <w:pPr>
              <w:keepNext/>
              <w:keepLines/>
              <w:spacing w:before="0"/>
              <w:jc w:val="right"/>
              <w:rPr>
                <w:rFonts w:cs="Open Sans Light"/>
                <w:sz w:val="16"/>
                <w:szCs w:val="16"/>
              </w:rPr>
            </w:pPr>
            <w:r>
              <w:rPr>
                <w:rFonts w:cs="Open Sans Light"/>
                <w:sz w:val="16"/>
                <w:szCs w:val="16"/>
              </w:rPr>
              <w:t>2,795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4C893C9" w14:textId="77777777" w:rsidR="003A22B8" w:rsidRDefault="003A22B8" w:rsidP="004D65FE">
            <w:pPr>
              <w:keepNext/>
              <w:keepLines/>
              <w:spacing w:before="0"/>
              <w:jc w:val="right"/>
              <w:rPr>
                <w:rFonts w:cs="Open Sans Light"/>
                <w:sz w:val="16"/>
                <w:szCs w:val="16"/>
              </w:rPr>
            </w:pPr>
            <w:r>
              <w:rPr>
                <w:rFonts w:cs="Open Sans Light"/>
                <w:sz w:val="16"/>
                <w:szCs w:val="16"/>
              </w:rPr>
              <w:t>1,080</w:t>
            </w:r>
          </w:p>
        </w:tc>
      </w:tr>
      <w:tr w:rsidR="003A22B8" w14:paraId="0FBA5CEB"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F17BB86"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Assessed expenses</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C81D65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8,531</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C08156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8,028</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D29F5C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8,970</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DC763C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9,052</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54CC7B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8,696</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D97080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10,007</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61AFB9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8,261</w:t>
            </w:r>
          </w:p>
        </w:tc>
        <w:tc>
          <w:tcPr>
            <w:tcW w:w="82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433633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18,238</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272232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8,679</w:t>
            </w:r>
          </w:p>
        </w:tc>
      </w:tr>
    </w:tbl>
    <w:p w14:paraId="7B8B521F" w14:textId="77777777" w:rsidR="003A22B8" w:rsidRDefault="003A22B8" w:rsidP="003A22B8">
      <w:pPr>
        <w:pStyle w:val="CGCTablenote"/>
      </w:pPr>
      <w:r>
        <w:t xml:space="preserve">Source: </w:t>
      </w:r>
      <w:r>
        <w:tab/>
        <w:t>CGC calculation.</w:t>
      </w:r>
    </w:p>
    <w:p w14:paraId="2ADA7CA7" w14:textId="5FF13C34" w:rsidR="003A22B8" w:rsidRDefault="003A22B8" w:rsidP="003A22B8">
      <w:pPr>
        <w:pStyle w:val="Caption"/>
      </w:pPr>
      <w:bookmarkStart w:id="646" w:name="_Ref30430043"/>
      <w:r>
        <w:lastRenderedPageBreak/>
        <w:t>Table 30-</w:t>
      </w:r>
      <w:fldSimple w:instr=" SEQ Table \* ARABIC ">
        <w:r w:rsidR="007F721A">
          <w:rPr>
            <w:noProof/>
          </w:rPr>
          <w:t>5</w:t>
        </w:r>
      </w:fldSimple>
      <w:bookmarkEnd w:id="646"/>
      <w:r>
        <w:tab/>
        <w:t>Per capita assessed revenue, 2017-18</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2DECE5AD" w14:textId="77777777" w:rsidTr="004D65FE">
        <w:trPr>
          <w:trHeight w:val="375"/>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AECE338" w14:textId="77777777" w:rsidR="003A22B8" w:rsidRDefault="003A22B8" w:rsidP="004D65FE">
            <w:pPr>
              <w:keepNext/>
              <w:keepLines/>
              <w:tabs>
                <w:tab w:val="clear" w:pos="567"/>
              </w:tabs>
              <w:spacing w:before="0" w:line="240" w:lineRule="auto"/>
              <w:ind w:left="142"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CD598F0"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958EE80"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3C290F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A416113"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935F8F4"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69CADCA"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3C3EFAE"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ECEC31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D205F18"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51E98C8E" w14:textId="77777777" w:rsidTr="005C340D">
        <w:trPr>
          <w:trHeight w:val="255"/>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433DC09" w14:textId="77777777" w:rsidR="003A22B8" w:rsidRDefault="003A22B8" w:rsidP="004D65FE">
            <w:pPr>
              <w:keepNext/>
              <w:keepLines/>
              <w:spacing w:before="0"/>
              <w:ind w:left="142"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48D3C5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950547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9C5D71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5D9501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CE362A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A4D16C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A70D12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5138ED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A5CB71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2425BA45"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7C20645" w14:textId="77777777" w:rsidR="003A22B8" w:rsidRDefault="003A22B8" w:rsidP="004D65FE">
            <w:pPr>
              <w:keepNext/>
              <w:keepLines/>
              <w:spacing w:before="0"/>
              <w:ind w:left="142" w:hanging="142"/>
              <w:rPr>
                <w:rFonts w:cs="Open Sans Light"/>
                <w:sz w:val="16"/>
                <w:szCs w:val="16"/>
              </w:rPr>
            </w:pPr>
            <w:r>
              <w:rPr>
                <w:rFonts w:cs="Open Sans Light"/>
                <w:sz w:val="16"/>
                <w:szCs w:val="16"/>
              </w:rPr>
              <w:t>Payroll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774103" w14:textId="77777777" w:rsidR="003A22B8" w:rsidRDefault="003A22B8" w:rsidP="004D65FE">
            <w:pPr>
              <w:keepNext/>
              <w:keepLines/>
              <w:spacing w:before="0"/>
              <w:jc w:val="right"/>
              <w:rPr>
                <w:rFonts w:cs="Open Sans Light"/>
                <w:sz w:val="16"/>
                <w:szCs w:val="16"/>
              </w:rPr>
            </w:pPr>
            <w:r>
              <w:rPr>
                <w:rFonts w:cs="Open Sans Light"/>
                <w:sz w:val="16"/>
                <w:szCs w:val="16"/>
              </w:rPr>
              <w:t>1,064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F05CF8E" w14:textId="77777777" w:rsidR="003A22B8" w:rsidRDefault="003A22B8" w:rsidP="004D65FE">
            <w:pPr>
              <w:keepNext/>
              <w:keepLines/>
              <w:spacing w:before="0"/>
              <w:jc w:val="right"/>
              <w:rPr>
                <w:rFonts w:cs="Open Sans Light"/>
                <w:sz w:val="16"/>
                <w:szCs w:val="16"/>
              </w:rPr>
            </w:pPr>
            <w:r>
              <w:rPr>
                <w:rFonts w:cs="Open Sans Light"/>
                <w:sz w:val="16"/>
                <w:szCs w:val="16"/>
              </w:rPr>
              <w:t>930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CF84EA9" w14:textId="77777777" w:rsidR="003A22B8" w:rsidRDefault="003A22B8" w:rsidP="004D65FE">
            <w:pPr>
              <w:keepNext/>
              <w:keepLines/>
              <w:spacing w:before="0"/>
              <w:jc w:val="right"/>
              <w:rPr>
                <w:rFonts w:cs="Open Sans Light"/>
                <w:sz w:val="16"/>
                <w:szCs w:val="16"/>
              </w:rPr>
            </w:pPr>
            <w:r>
              <w:rPr>
                <w:rFonts w:cs="Open Sans Light"/>
                <w:sz w:val="16"/>
                <w:szCs w:val="16"/>
              </w:rPr>
              <w:t>889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CEE553B" w14:textId="77777777" w:rsidR="003A22B8" w:rsidRDefault="003A22B8" w:rsidP="004D65FE">
            <w:pPr>
              <w:keepNext/>
              <w:keepLines/>
              <w:spacing w:before="0"/>
              <w:jc w:val="right"/>
              <w:rPr>
                <w:rFonts w:cs="Open Sans Light"/>
                <w:sz w:val="16"/>
                <w:szCs w:val="16"/>
              </w:rPr>
            </w:pPr>
            <w:r>
              <w:rPr>
                <w:rFonts w:cs="Open Sans Light"/>
                <w:sz w:val="16"/>
                <w:szCs w:val="16"/>
              </w:rPr>
              <w:t>1,236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4875E0" w14:textId="77777777" w:rsidR="003A22B8" w:rsidRDefault="003A22B8" w:rsidP="004D65FE">
            <w:pPr>
              <w:keepNext/>
              <w:keepLines/>
              <w:spacing w:before="0"/>
              <w:jc w:val="right"/>
              <w:rPr>
                <w:rFonts w:cs="Open Sans Light"/>
                <w:sz w:val="16"/>
                <w:szCs w:val="16"/>
              </w:rPr>
            </w:pPr>
            <w:r>
              <w:rPr>
                <w:rFonts w:cs="Open Sans Light"/>
                <w:sz w:val="16"/>
                <w:szCs w:val="16"/>
              </w:rPr>
              <w:t>728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CDEEA1E" w14:textId="77777777" w:rsidR="003A22B8" w:rsidRDefault="003A22B8" w:rsidP="004D65FE">
            <w:pPr>
              <w:keepNext/>
              <w:keepLines/>
              <w:spacing w:before="0"/>
              <w:jc w:val="right"/>
              <w:rPr>
                <w:rFonts w:cs="Open Sans Light"/>
                <w:sz w:val="16"/>
                <w:szCs w:val="16"/>
              </w:rPr>
            </w:pPr>
            <w:r>
              <w:rPr>
                <w:rFonts w:cs="Open Sans Light"/>
                <w:sz w:val="16"/>
                <w:szCs w:val="16"/>
              </w:rPr>
              <w:t>648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EC84F47" w14:textId="77777777" w:rsidR="003A22B8" w:rsidRDefault="003A22B8" w:rsidP="004D65FE">
            <w:pPr>
              <w:keepNext/>
              <w:keepLines/>
              <w:spacing w:before="0"/>
              <w:jc w:val="right"/>
              <w:rPr>
                <w:rFonts w:cs="Open Sans Light"/>
                <w:sz w:val="16"/>
                <w:szCs w:val="16"/>
              </w:rPr>
            </w:pPr>
            <w:r>
              <w:rPr>
                <w:rFonts w:cs="Open Sans Light"/>
                <w:sz w:val="16"/>
                <w:szCs w:val="16"/>
              </w:rPr>
              <w:t>995</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5960A1F" w14:textId="77777777" w:rsidR="003A22B8" w:rsidRDefault="003A22B8" w:rsidP="004D65FE">
            <w:pPr>
              <w:keepNext/>
              <w:keepLines/>
              <w:spacing w:before="0"/>
              <w:jc w:val="right"/>
              <w:rPr>
                <w:rFonts w:cs="Open Sans Light"/>
                <w:sz w:val="16"/>
                <w:szCs w:val="16"/>
              </w:rPr>
            </w:pPr>
            <w:r>
              <w:rPr>
                <w:rFonts w:cs="Open Sans Light"/>
                <w:sz w:val="16"/>
                <w:szCs w:val="16"/>
              </w:rPr>
              <w:t>1,213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80F0AFF" w14:textId="77777777" w:rsidR="003A22B8" w:rsidRDefault="003A22B8" w:rsidP="004D65FE">
            <w:pPr>
              <w:keepNext/>
              <w:keepLines/>
              <w:spacing w:before="0"/>
              <w:jc w:val="right"/>
              <w:rPr>
                <w:rFonts w:cs="Open Sans Light"/>
                <w:sz w:val="16"/>
                <w:szCs w:val="16"/>
              </w:rPr>
            </w:pPr>
            <w:r>
              <w:rPr>
                <w:rFonts w:cs="Open Sans Light"/>
                <w:sz w:val="16"/>
                <w:szCs w:val="16"/>
              </w:rPr>
              <w:t>980</w:t>
            </w:r>
          </w:p>
        </w:tc>
      </w:tr>
      <w:tr w:rsidR="003A22B8" w14:paraId="29A89BDE"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667B68B" w14:textId="77777777" w:rsidR="003A22B8" w:rsidRDefault="003A22B8" w:rsidP="004D65FE">
            <w:pPr>
              <w:keepNext/>
              <w:keepLines/>
              <w:spacing w:before="0"/>
              <w:ind w:left="142" w:hanging="142"/>
              <w:rPr>
                <w:rFonts w:cs="Open Sans Light"/>
                <w:sz w:val="16"/>
                <w:szCs w:val="16"/>
              </w:rPr>
            </w:pPr>
            <w:r>
              <w:rPr>
                <w:rFonts w:cs="Open Sans Light"/>
                <w:sz w:val="16"/>
                <w:szCs w:val="16"/>
              </w:rPr>
              <w:t>Land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3D2C54A" w14:textId="77777777" w:rsidR="003A22B8" w:rsidRDefault="003A22B8" w:rsidP="004D65FE">
            <w:pPr>
              <w:keepNext/>
              <w:keepLines/>
              <w:spacing w:before="0"/>
              <w:jc w:val="right"/>
              <w:rPr>
                <w:rFonts w:cs="Open Sans Light"/>
                <w:sz w:val="16"/>
                <w:szCs w:val="16"/>
              </w:rPr>
            </w:pPr>
            <w:r>
              <w:rPr>
                <w:rFonts w:cs="Open Sans Light"/>
                <w:sz w:val="16"/>
                <w:szCs w:val="16"/>
              </w:rPr>
              <w:t>478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7E79D13" w14:textId="77777777" w:rsidR="003A22B8" w:rsidRDefault="003A22B8" w:rsidP="004D65FE">
            <w:pPr>
              <w:keepNext/>
              <w:keepLines/>
              <w:spacing w:before="0"/>
              <w:jc w:val="right"/>
              <w:rPr>
                <w:rFonts w:cs="Open Sans Light"/>
                <w:sz w:val="16"/>
                <w:szCs w:val="16"/>
              </w:rPr>
            </w:pPr>
            <w:r>
              <w:rPr>
                <w:rFonts w:cs="Open Sans Light"/>
                <w:sz w:val="16"/>
                <w:szCs w:val="16"/>
              </w:rPr>
              <w:t>411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8198AC" w14:textId="77777777" w:rsidR="003A22B8" w:rsidRDefault="003A22B8" w:rsidP="004D65FE">
            <w:pPr>
              <w:keepNext/>
              <w:keepLines/>
              <w:spacing w:before="0"/>
              <w:jc w:val="right"/>
              <w:rPr>
                <w:rFonts w:cs="Open Sans Light"/>
                <w:sz w:val="16"/>
                <w:szCs w:val="16"/>
              </w:rPr>
            </w:pPr>
            <w:r>
              <w:rPr>
                <w:rFonts w:cs="Open Sans Light"/>
                <w:sz w:val="16"/>
                <w:szCs w:val="16"/>
              </w:rPr>
              <w:t>236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CAF639" w14:textId="77777777" w:rsidR="003A22B8" w:rsidRDefault="003A22B8" w:rsidP="004D65FE">
            <w:pPr>
              <w:keepNext/>
              <w:keepLines/>
              <w:spacing w:before="0"/>
              <w:jc w:val="right"/>
              <w:rPr>
                <w:rFonts w:cs="Open Sans Light"/>
                <w:sz w:val="16"/>
                <w:szCs w:val="16"/>
              </w:rPr>
            </w:pPr>
            <w:r>
              <w:rPr>
                <w:rFonts w:cs="Open Sans Light"/>
                <w:sz w:val="16"/>
                <w:szCs w:val="16"/>
              </w:rPr>
              <w:t>343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654A65F" w14:textId="77777777" w:rsidR="003A22B8" w:rsidRDefault="003A22B8" w:rsidP="004D65FE">
            <w:pPr>
              <w:keepNext/>
              <w:keepLines/>
              <w:spacing w:before="0"/>
              <w:jc w:val="right"/>
              <w:rPr>
                <w:rFonts w:cs="Open Sans Light"/>
                <w:sz w:val="16"/>
                <w:szCs w:val="16"/>
              </w:rPr>
            </w:pPr>
            <w:r>
              <w:rPr>
                <w:rFonts w:cs="Open Sans Light"/>
                <w:sz w:val="16"/>
                <w:szCs w:val="16"/>
              </w:rPr>
              <w:t>160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87F7729" w14:textId="77777777" w:rsidR="003A22B8" w:rsidRDefault="003A22B8" w:rsidP="004D65FE">
            <w:pPr>
              <w:keepNext/>
              <w:keepLines/>
              <w:spacing w:before="0"/>
              <w:jc w:val="right"/>
              <w:rPr>
                <w:rFonts w:cs="Open Sans Light"/>
                <w:sz w:val="16"/>
                <w:szCs w:val="16"/>
              </w:rPr>
            </w:pPr>
            <w:r>
              <w:rPr>
                <w:rFonts w:cs="Open Sans Light"/>
                <w:sz w:val="16"/>
                <w:szCs w:val="16"/>
              </w:rPr>
              <w:t>120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0B21E9" w14:textId="77777777" w:rsidR="003A22B8" w:rsidRDefault="003A22B8" w:rsidP="004D65FE">
            <w:pPr>
              <w:keepNext/>
              <w:keepLines/>
              <w:spacing w:before="0"/>
              <w:jc w:val="right"/>
              <w:rPr>
                <w:rFonts w:cs="Open Sans Light"/>
                <w:sz w:val="16"/>
                <w:szCs w:val="16"/>
              </w:rPr>
            </w:pPr>
            <w:r>
              <w:rPr>
                <w:rFonts w:cs="Open Sans Light"/>
                <w:sz w:val="16"/>
                <w:szCs w:val="16"/>
              </w:rPr>
              <w:t>162</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F209C17" w14:textId="77777777" w:rsidR="003A22B8" w:rsidRDefault="003A22B8" w:rsidP="004D65FE">
            <w:pPr>
              <w:keepNext/>
              <w:keepLines/>
              <w:spacing w:before="0"/>
              <w:jc w:val="right"/>
              <w:rPr>
                <w:rFonts w:cs="Open Sans Light"/>
                <w:sz w:val="16"/>
                <w:szCs w:val="16"/>
              </w:rPr>
            </w:pPr>
            <w:r>
              <w:rPr>
                <w:rFonts w:cs="Open Sans Light"/>
                <w:sz w:val="16"/>
                <w:szCs w:val="16"/>
              </w:rPr>
              <w:t>296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1112441" w14:textId="77777777" w:rsidR="003A22B8" w:rsidRDefault="003A22B8" w:rsidP="004D65FE">
            <w:pPr>
              <w:keepNext/>
              <w:keepLines/>
              <w:spacing w:before="0"/>
              <w:jc w:val="right"/>
              <w:rPr>
                <w:rFonts w:cs="Open Sans Light"/>
                <w:sz w:val="16"/>
                <w:szCs w:val="16"/>
              </w:rPr>
            </w:pPr>
            <w:r>
              <w:rPr>
                <w:rFonts w:cs="Open Sans Light"/>
                <w:sz w:val="16"/>
                <w:szCs w:val="16"/>
              </w:rPr>
              <w:t>361</w:t>
            </w:r>
          </w:p>
        </w:tc>
      </w:tr>
      <w:tr w:rsidR="003A22B8" w14:paraId="01D65405"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4706DB6" w14:textId="77777777" w:rsidR="003A22B8" w:rsidRDefault="003A22B8" w:rsidP="004D65FE">
            <w:pPr>
              <w:keepNext/>
              <w:keepLines/>
              <w:spacing w:before="0"/>
              <w:ind w:left="142" w:hanging="142"/>
              <w:rPr>
                <w:rFonts w:cs="Open Sans Light"/>
                <w:sz w:val="16"/>
                <w:szCs w:val="16"/>
              </w:rPr>
            </w:pPr>
            <w:r>
              <w:rPr>
                <w:rFonts w:cs="Open Sans Light"/>
                <w:sz w:val="16"/>
                <w:szCs w:val="16"/>
              </w:rPr>
              <w:t>Stamp duty on conveyances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82DC5B2" w14:textId="77777777" w:rsidR="003A22B8" w:rsidRDefault="003A22B8" w:rsidP="004D65FE">
            <w:pPr>
              <w:keepNext/>
              <w:keepLines/>
              <w:spacing w:before="0"/>
              <w:jc w:val="right"/>
              <w:rPr>
                <w:rFonts w:cs="Open Sans Light"/>
                <w:sz w:val="16"/>
                <w:szCs w:val="16"/>
              </w:rPr>
            </w:pPr>
            <w:r>
              <w:rPr>
                <w:rFonts w:cs="Open Sans Light"/>
                <w:sz w:val="16"/>
                <w:szCs w:val="16"/>
              </w:rPr>
              <w:t>1,116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F060AB0" w14:textId="77777777" w:rsidR="003A22B8" w:rsidRDefault="003A22B8" w:rsidP="004D65FE">
            <w:pPr>
              <w:keepNext/>
              <w:keepLines/>
              <w:spacing w:before="0"/>
              <w:jc w:val="right"/>
              <w:rPr>
                <w:rFonts w:cs="Open Sans Light"/>
                <w:sz w:val="16"/>
                <w:szCs w:val="16"/>
              </w:rPr>
            </w:pPr>
            <w:r>
              <w:rPr>
                <w:rFonts w:cs="Open Sans Light"/>
                <w:sz w:val="16"/>
                <w:szCs w:val="16"/>
              </w:rPr>
              <w:t>1,016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5D4F7A7" w14:textId="77777777" w:rsidR="003A22B8" w:rsidRDefault="003A22B8" w:rsidP="004D65FE">
            <w:pPr>
              <w:keepNext/>
              <w:keepLines/>
              <w:spacing w:before="0"/>
              <w:jc w:val="right"/>
              <w:rPr>
                <w:rFonts w:cs="Open Sans Light"/>
                <w:sz w:val="16"/>
                <w:szCs w:val="16"/>
              </w:rPr>
            </w:pPr>
            <w:r>
              <w:rPr>
                <w:rFonts w:cs="Open Sans Light"/>
                <w:sz w:val="16"/>
                <w:szCs w:val="16"/>
              </w:rPr>
              <w:t>660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62D82ED" w14:textId="77777777" w:rsidR="003A22B8" w:rsidRDefault="003A22B8" w:rsidP="004D65FE">
            <w:pPr>
              <w:keepNext/>
              <w:keepLines/>
              <w:spacing w:before="0"/>
              <w:jc w:val="right"/>
              <w:rPr>
                <w:rFonts w:cs="Open Sans Light"/>
                <w:sz w:val="16"/>
                <w:szCs w:val="16"/>
              </w:rPr>
            </w:pPr>
            <w:r>
              <w:rPr>
                <w:rFonts w:cs="Open Sans Light"/>
                <w:sz w:val="16"/>
                <w:szCs w:val="16"/>
              </w:rPr>
              <w:t>454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B04C651" w14:textId="77777777" w:rsidR="003A22B8" w:rsidRDefault="003A22B8" w:rsidP="004D65FE">
            <w:pPr>
              <w:keepNext/>
              <w:keepLines/>
              <w:spacing w:before="0"/>
              <w:jc w:val="right"/>
              <w:rPr>
                <w:rFonts w:cs="Open Sans Light"/>
                <w:sz w:val="16"/>
                <w:szCs w:val="16"/>
              </w:rPr>
            </w:pPr>
            <w:r>
              <w:rPr>
                <w:rFonts w:cs="Open Sans Light"/>
                <w:sz w:val="16"/>
                <w:szCs w:val="16"/>
              </w:rPr>
              <w:t>439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138F3F6" w14:textId="77777777" w:rsidR="003A22B8" w:rsidRDefault="003A22B8" w:rsidP="004D65FE">
            <w:pPr>
              <w:keepNext/>
              <w:keepLines/>
              <w:spacing w:before="0"/>
              <w:jc w:val="right"/>
              <w:rPr>
                <w:rFonts w:cs="Open Sans Light"/>
                <w:sz w:val="16"/>
                <w:szCs w:val="16"/>
              </w:rPr>
            </w:pPr>
            <w:r>
              <w:rPr>
                <w:rFonts w:cs="Open Sans Light"/>
                <w:sz w:val="16"/>
                <w:szCs w:val="16"/>
              </w:rPr>
              <w:t>456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0F3D25F" w14:textId="77777777" w:rsidR="003A22B8" w:rsidRDefault="003A22B8" w:rsidP="004D65FE">
            <w:pPr>
              <w:keepNext/>
              <w:keepLines/>
              <w:spacing w:before="0"/>
              <w:jc w:val="right"/>
              <w:rPr>
                <w:rFonts w:cs="Open Sans Light"/>
                <w:sz w:val="16"/>
                <w:szCs w:val="16"/>
              </w:rPr>
            </w:pPr>
            <w:r>
              <w:rPr>
                <w:rFonts w:cs="Open Sans Light"/>
                <w:sz w:val="16"/>
                <w:szCs w:val="16"/>
              </w:rPr>
              <w:t>771</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4DA7495" w14:textId="77777777" w:rsidR="003A22B8" w:rsidRDefault="003A22B8" w:rsidP="004D65FE">
            <w:pPr>
              <w:keepNext/>
              <w:keepLines/>
              <w:spacing w:before="0"/>
              <w:jc w:val="right"/>
              <w:rPr>
                <w:rFonts w:cs="Open Sans Light"/>
                <w:sz w:val="16"/>
                <w:szCs w:val="16"/>
              </w:rPr>
            </w:pPr>
            <w:r>
              <w:rPr>
                <w:rFonts w:cs="Open Sans Light"/>
                <w:sz w:val="16"/>
                <w:szCs w:val="16"/>
              </w:rPr>
              <w:t>278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BB74B73" w14:textId="77777777" w:rsidR="003A22B8" w:rsidRDefault="003A22B8" w:rsidP="004D65FE">
            <w:pPr>
              <w:keepNext/>
              <w:keepLines/>
              <w:spacing w:before="0"/>
              <w:jc w:val="right"/>
              <w:rPr>
                <w:rFonts w:cs="Open Sans Light"/>
                <w:sz w:val="16"/>
                <w:szCs w:val="16"/>
              </w:rPr>
            </w:pPr>
            <w:r>
              <w:rPr>
                <w:rFonts w:cs="Open Sans Light"/>
                <w:sz w:val="16"/>
                <w:szCs w:val="16"/>
              </w:rPr>
              <w:t>854</w:t>
            </w:r>
          </w:p>
        </w:tc>
      </w:tr>
      <w:tr w:rsidR="003A22B8" w14:paraId="641641C8"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62041C" w14:textId="77777777" w:rsidR="003A22B8" w:rsidRDefault="003A22B8" w:rsidP="004D65FE">
            <w:pPr>
              <w:keepNext/>
              <w:keepLines/>
              <w:spacing w:before="0"/>
              <w:ind w:left="142" w:hanging="142"/>
              <w:rPr>
                <w:rFonts w:cs="Open Sans Light"/>
                <w:sz w:val="16"/>
                <w:szCs w:val="16"/>
              </w:rPr>
            </w:pPr>
            <w:r>
              <w:rPr>
                <w:rFonts w:cs="Open Sans Light"/>
                <w:sz w:val="16"/>
                <w:szCs w:val="16"/>
              </w:rPr>
              <w:t>Insurance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4453CE" w14:textId="77777777" w:rsidR="003A22B8" w:rsidRDefault="003A22B8" w:rsidP="004D65FE">
            <w:pPr>
              <w:keepNext/>
              <w:keepLines/>
              <w:spacing w:before="0"/>
              <w:jc w:val="right"/>
              <w:rPr>
                <w:rFonts w:cs="Open Sans Light"/>
                <w:sz w:val="16"/>
                <w:szCs w:val="16"/>
              </w:rPr>
            </w:pPr>
            <w:r>
              <w:rPr>
                <w:rFonts w:cs="Open Sans Light"/>
                <w:sz w:val="16"/>
                <w:szCs w:val="16"/>
              </w:rPr>
              <w:t>227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D4FE811" w14:textId="77777777" w:rsidR="003A22B8" w:rsidRDefault="003A22B8" w:rsidP="004D65FE">
            <w:pPr>
              <w:keepNext/>
              <w:keepLines/>
              <w:spacing w:before="0"/>
              <w:jc w:val="right"/>
              <w:rPr>
                <w:rFonts w:cs="Open Sans Light"/>
                <w:sz w:val="16"/>
                <w:szCs w:val="16"/>
              </w:rPr>
            </w:pPr>
            <w:r>
              <w:rPr>
                <w:rFonts w:cs="Open Sans Light"/>
                <w:sz w:val="16"/>
                <w:szCs w:val="16"/>
              </w:rPr>
              <w:t>194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D86B309" w14:textId="77777777" w:rsidR="003A22B8" w:rsidRDefault="003A22B8" w:rsidP="004D65FE">
            <w:pPr>
              <w:keepNext/>
              <w:keepLines/>
              <w:spacing w:before="0"/>
              <w:jc w:val="right"/>
              <w:rPr>
                <w:rFonts w:cs="Open Sans Light"/>
                <w:sz w:val="16"/>
                <w:szCs w:val="16"/>
              </w:rPr>
            </w:pPr>
            <w:r>
              <w:rPr>
                <w:rFonts w:cs="Open Sans Light"/>
                <w:sz w:val="16"/>
                <w:szCs w:val="16"/>
              </w:rPr>
              <w:t>209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38F3877" w14:textId="77777777" w:rsidR="003A22B8" w:rsidRDefault="003A22B8" w:rsidP="004D65FE">
            <w:pPr>
              <w:keepNext/>
              <w:keepLines/>
              <w:spacing w:before="0"/>
              <w:jc w:val="right"/>
              <w:rPr>
                <w:rFonts w:cs="Open Sans Light"/>
                <w:sz w:val="16"/>
                <w:szCs w:val="16"/>
              </w:rPr>
            </w:pPr>
            <w:r>
              <w:rPr>
                <w:rFonts w:cs="Open Sans Light"/>
                <w:sz w:val="16"/>
                <w:szCs w:val="16"/>
              </w:rPr>
              <w:t>203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75D8B0" w14:textId="77777777" w:rsidR="003A22B8" w:rsidRDefault="003A22B8" w:rsidP="004D65FE">
            <w:pPr>
              <w:keepNext/>
              <w:keepLines/>
              <w:spacing w:before="0"/>
              <w:jc w:val="right"/>
              <w:rPr>
                <w:rFonts w:cs="Open Sans Light"/>
                <w:sz w:val="16"/>
                <w:szCs w:val="16"/>
              </w:rPr>
            </w:pPr>
            <w:r>
              <w:rPr>
                <w:rFonts w:cs="Open Sans Light"/>
                <w:sz w:val="16"/>
                <w:szCs w:val="16"/>
              </w:rPr>
              <w:t>245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C06BF43" w14:textId="77777777" w:rsidR="003A22B8" w:rsidRDefault="003A22B8" w:rsidP="004D65FE">
            <w:pPr>
              <w:keepNext/>
              <w:keepLines/>
              <w:spacing w:before="0"/>
              <w:jc w:val="right"/>
              <w:rPr>
                <w:rFonts w:cs="Open Sans Light"/>
                <w:sz w:val="16"/>
                <w:szCs w:val="16"/>
              </w:rPr>
            </w:pPr>
            <w:r>
              <w:rPr>
                <w:rFonts w:cs="Open Sans Light"/>
                <w:sz w:val="16"/>
                <w:szCs w:val="16"/>
              </w:rPr>
              <w:t>169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9E459C4" w14:textId="77777777" w:rsidR="003A22B8" w:rsidRDefault="003A22B8" w:rsidP="004D65FE">
            <w:pPr>
              <w:keepNext/>
              <w:keepLines/>
              <w:spacing w:before="0"/>
              <w:jc w:val="right"/>
              <w:rPr>
                <w:rFonts w:cs="Open Sans Light"/>
                <w:sz w:val="16"/>
                <w:szCs w:val="16"/>
              </w:rPr>
            </w:pPr>
            <w:r>
              <w:rPr>
                <w:rFonts w:cs="Open Sans Light"/>
                <w:sz w:val="16"/>
                <w:szCs w:val="16"/>
              </w:rPr>
              <w:t>185</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8546150" w14:textId="77777777" w:rsidR="003A22B8" w:rsidRDefault="003A22B8" w:rsidP="004D65FE">
            <w:pPr>
              <w:keepNext/>
              <w:keepLines/>
              <w:spacing w:before="0"/>
              <w:jc w:val="right"/>
              <w:rPr>
                <w:rFonts w:cs="Open Sans Light"/>
                <w:sz w:val="16"/>
                <w:szCs w:val="16"/>
              </w:rPr>
            </w:pPr>
            <w:r>
              <w:rPr>
                <w:rFonts w:cs="Open Sans Light"/>
                <w:sz w:val="16"/>
                <w:szCs w:val="16"/>
              </w:rPr>
              <w:t>224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25FADF" w14:textId="77777777" w:rsidR="003A22B8" w:rsidRDefault="003A22B8" w:rsidP="004D65FE">
            <w:pPr>
              <w:keepNext/>
              <w:keepLines/>
              <w:spacing w:before="0"/>
              <w:jc w:val="right"/>
              <w:rPr>
                <w:rFonts w:cs="Open Sans Light"/>
                <w:sz w:val="16"/>
                <w:szCs w:val="16"/>
              </w:rPr>
            </w:pPr>
            <w:r>
              <w:rPr>
                <w:rFonts w:cs="Open Sans Light"/>
                <w:sz w:val="16"/>
                <w:szCs w:val="16"/>
              </w:rPr>
              <w:t>212</w:t>
            </w:r>
          </w:p>
        </w:tc>
      </w:tr>
      <w:tr w:rsidR="003A22B8" w14:paraId="57BF41DB"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E690C3" w14:textId="77777777" w:rsidR="003A22B8" w:rsidRDefault="003A22B8" w:rsidP="004D65FE">
            <w:pPr>
              <w:keepNext/>
              <w:keepLines/>
              <w:spacing w:before="0"/>
              <w:ind w:left="142" w:hanging="142"/>
              <w:rPr>
                <w:rFonts w:cs="Open Sans Light"/>
                <w:sz w:val="16"/>
                <w:szCs w:val="16"/>
              </w:rPr>
            </w:pPr>
            <w:r>
              <w:rPr>
                <w:rFonts w:cs="Open Sans Light"/>
                <w:sz w:val="16"/>
                <w:szCs w:val="16"/>
              </w:rPr>
              <w:t>Motor taxes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C4C7363" w14:textId="77777777" w:rsidR="003A22B8" w:rsidRDefault="003A22B8" w:rsidP="004D65FE">
            <w:pPr>
              <w:keepNext/>
              <w:keepLines/>
              <w:spacing w:before="0"/>
              <w:jc w:val="right"/>
              <w:rPr>
                <w:rFonts w:cs="Open Sans Light"/>
                <w:sz w:val="16"/>
                <w:szCs w:val="16"/>
              </w:rPr>
            </w:pPr>
            <w:r>
              <w:rPr>
                <w:rFonts w:cs="Open Sans Light"/>
                <w:sz w:val="16"/>
                <w:szCs w:val="16"/>
              </w:rPr>
              <w:t>289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F3820A" w14:textId="77777777" w:rsidR="003A22B8" w:rsidRDefault="003A22B8" w:rsidP="004D65FE">
            <w:pPr>
              <w:keepNext/>
              <w:keepLines/>
              <w:spacing w:before="0"/>
              <w:jc w:val="right"/>
              <w:rPr>
                <w:rFonts w:cs="Open Sans Light"/>
                <w:sz w:val="16"/>
                <w:szCs w:val="16"/>
              </w:rPr>
            </w:pPr>
            <w:r>
              <w:rPr>
                <w:rFonts w:cs="Open Sans Light"/>
                <w:sz w:val="16"/>
                <w:szCs w:val="16"/>
              </w:rPr>
              <w:t>319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7D0BB1C" w14:textId="77777777" w:rsidR="003A22B8" w:rsidRDefault="003A22B8" w:rsidP="004D65FE">
            <w:pPr>
              <w:keepNext/>
              <w:keepLines/>
              <w:spacing w:before="0"/>
              <w:jc w:val="right"/>
              <w:rPr>
                <w:rFonts w:cs="Open Sans Light"/>
                <w:sz w:val="16"/>
                <w:szCs w:val="16"/>
              </w:rPr>
            </w:pPr>
            <w:r>
              <w:rPr>
                <w:rFonts w:cs="Open Sans Light"/>
                <w:sz w:val="16"/>
                <w:szCs w:val="16"/>
              </w:rPr>
              <w:t>335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A6F638" w14:textId="77777777" w:rsidR="003A22B8" w:rsidRDefault="003A22B8" w:rsidP="004D65FE">
            <w:pPr>
              <w:keepNext/>
              <w:keepLines/>
              <w:spacing w:before="0"/>
              <w:jc w:val="right"/>
              <w:rPr>
                <w:rFonts w:cs="Open Sans Light"/>
                <w:sz w:val="16"/>
                <w:szCs w:val="16"/>
              </w:rPr>
            </w:pPr>
            <w:r>
              <w:rPr>
                <w:rFonts w:cs="Open Sans Light"/>
                <w:sz w:val="16"/>
                <w:szCs w:val="16"/>
              </w:rPr>
              <w:t>370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9407C09" w14:textId="77777777" w:rsidR="003A22B8" w:rsidRDefault="003A22B8" w:rsidP="004D65FE">
            <w:pPr>
              <w:keepNext/>
              <w:keepLines/>
              <w:spacing w:before="0"/>
              <w:jc w:val="right"/>
              <w:rPr>
                <w:rFonts w:cs="Open Sans Light"/>
                <w:sz w:val="16"/>
                <w:szCs w:val="16"/>
              </w:rPr>
            </w:pPr>
            <w:r>
              <w:rPr>
                <w:rFonts w:cs="Open Sans Light"/>
                <w:sz w:val="16"/>
                <w:szCs w:val="16"/>
              </w:rPr>
              <w:t>338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E3603A" w14:textId="77777777" w:rsidR="003A22B8" w:rsidRDefault="003A22B8" w:rsidP="004D65FE">
            <w:pPr>
              <w:keepNext/>
              <w:keepLines/>
              <w:spacing w:before="0"/>
              <w:jc w:val="right"/>
              <w:rPr>
                <w:rFonts w:cs="Open Sans Light"/>
                <w:sz w:val="16"/>
                <w:szCs w:val="16"/>
              </w:rPr>
            </w:pPr>
            <w:r>
              <w:rPr>
                <w:rFonts w:cs="Open Sans Light"/>
                <w:sz w:val="16"/>
                <w:szCs w:val="16"/>
              </w:rPr>
              <w:t>376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2EF6DC1" w14:textId="77777777" w:rsidR="003A22B8" w:rsidRDefault="003A22B8" w:rsidP="004D65FE">
            <w:pPr>
              <w:keepNext/>
              <w:keepLines/>
              <w:spacing w:before="0"/>
              <w:jc w:val="right"/>
              <w:rPr>
                <w:rFonts w:cs="Open Sans Light"/>
                <w:sz w:val="16"/>
                <w:szCs w:val="16"/>
              </w:rPr>
            </w:pPr>
            <w:r>
              <w:rPr>
                <w:rFonts w:cs="Open Sans Light"/>
                <w:sz w:val="16"/>
                <w:szCs w:val="16"/>
              </w:rPr>
              <w:t>267</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527968" w14:textId="77777777" w:rsidR="003A22B8" w:rsidRDefault="003A22B8" w:rsidP="004D65FE">
            <w:pPr>
              <w:keepNext/>
              <w:keepLines/>
              <w:spacing w:before="0"/>
              <w:jc w:val="right"/>
              <w:rPr>
                <w:rFonts w:cs="Open Sans Light"/>
                <w:sz w:val="16"/>
                <w:szCs w:val="16"/>
              </w:rPr>
            </w:pPr>
            <w:r>
              <w:rPr>
                <w:rFonts w:cs="Open Sans Light"/>
                <w:sz w:val="16"/>
                <w:szCs w:val="16"/>
              </w:rPr>
              <w:t>293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5083AA8" w14:textId="77777777" w:rsidR="003A22B8" w:rsidRDefault="003A22B8" w:rsidP="004D65FE">
            <w:pPr>
              <w:keepNext/>
              <w:keepLines/>
              <w:spacing w:before="0"/>
              <w:jc w:val="right"/>
              <w:rPr>
                <w:rFonts w:cs="Open Sans Light"/>
                <w:sz w:val="16"/>
                <w:szCs w:val="16"/>
              </w:rPr>
            </w:pPr>
            <w:r>
              <w:rPr>
                <w:rFonts w:cs="Open Sans Light"/>
                <w:sz w:val="16"/>
                <w:szCs w:val="16"/>
              </w:rPr>
              <w:t>319</w:t>
            </w:r>
          </w:p>
        </w:tc>
      </w:tr>
      <w:tr w:rsidR="003A22B8" w14:paraId="4C463B24"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F4E4E17" w14:textId="77777777" w:rsidR="003A22B8" w:rsidRDefault="003A22B8" w:rsidP="004D65FE">
            <w:pPr>
              <w:keepNext/>
              <w:keepLines/>
              <w:spacing w:before="0"/>
              <w:ind w:left="142" w:hanging="142"/>
              <w:rPr>
                <w:rFonts w:cs="Open Sans Light"/>
                <w:sz w:val="16"/>
                <w:szCs w:val="16"/>
              </w:rPr>
            </w:pPr>
            <w:r>
              <w:rPr>
                <w:rFonts w:cs="Open Sans Light"/>
                <w:sz w:val="16"/>
                <w:szCs w:val="16"/>
              </w:rPr>
              <w:t>Mining revenue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16B8E6" w14:textId="77777777" w:rsidR="003A22B8" w:rsidRDefault="003A22B8" w:rsidP="004D65FE">
            <w:pPr>
              <w:keepNext/>
              <w:keepLines/>
              <w:spacing w:before="0"/>
              <w:jc w:val="right"/>
              <w:rPr>
                <w:rFonts w:cs="Open Sans Light"/>
                <w:sz w:val="16"/>
                <w:szCs w:val="16"/>
              </w:rPr>
            </w:pPr>
            <w:r>
              <w:rPr>
                <w:rFonts w:cs="Open Sans Light"/>
                <w:sz w:val="16"/>
                <w:szCs w:val="16"/>
              </w:rPr>
              <w:t>251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4C022A7" w14:textId="77777777" w:rsidR="003A22B8" w:rsidRDefault="003A22B8" w:rsidP="004D65FE">
            <w:pPr>
              <w:keepNext/>
              <w:keepLines/>
              <w:spacing w:before="0"/>
              <w:jc w:val="right"/>
              <w:rPr>
                <w:rFonts w:cs="Open Sans Light"/>
                <w:sz w:val="16"/>
                <w:szCs w:val="16"/>
              </w:rPr>
            </w:pPr>
            <w:r>
              <w:rPr>
                <w:rFonts w:cs="Open Sans Light"/>
                <w:sz w:val="16"/>
                <w:szCs w:val="16"/>
              </w:rPr>
              <w:t>31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FE2501" w14:textId="77777777" w:rsidR="003A22B8" w:rsidRDefault="003A22B8" w:rsidP="004D65FE">
            <w:pPr>
              <w:keepNext/>
              <w:keepLines/>
              <w:spacing w:before="0"/>
              <w:jc w:val="right"/>
              <w:rPr>
                <w:rFonts w:cs="Open Sans Light"/>
                <w:sz w:val="16"/>
                <w:szCs w:val="16"/>
              </w:rPr>
            </w:pPr>
            <w:r>
              <w:rPr>
                <w:rFonts w:cs="Open Sans Light"/>
                <w:sz w:val="16"/>
                <w:szCs w:val="16"/>
              </w:rPr>
              <w:t>812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DE6404" w14:textId="77777777" w:rsidR="003A22B8" w:rsidRDefault="003A22B8" w:rsidP="004D65FE">
            <w:pPr>
              <w:keepNext/>
              <w:keepLines/>
              <w:spacing w:before="0"/>
              <w:jc w:val="right"/>
              <w:rPr>
                <w:rFonts w:cs="Open Sans Light"/>
                <w:sz w:val="16"/>
                <w:szCs w:val="16"/>
              </w:rPr>
            </w:pPr>
            <w:r>
              <w:rPr>
                <w:rFonts w:cs="Open Sans Light"/>
                <w:sz w:val="16"/>
                <w:szCs w:val="16"/>
              </w:rPr>
              <w:t>2,301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FAFC053" w14:textId="77777777" w:rsidR="003A22B8" w:rsidRDefault="003A22B8" w:rsidP="004D65FE">
            <w:pPr>
              <w:keepNext/>
              <w:keepLines/>
              <w:spacing w:before="0"/>
              <w:jc w:val="right"/>
              <w:rPr>
                <w:rFonts w:cs="Open Sans Light"/>
                <w:sz w:val="16"/>
                <w:szCs w:val="16"/>
              </w:rPr>
            </w:pPr>
            <w:r>
              <w:rPr>
                <w:rFonts w:cs="Open Sans Light"/>
                <w:sz w:val="16"/>
                <w:szCs w:val="16"/>
              </w:rPr>
              <w:t>155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47205F3" w14:textId="77777777" w:rsidR="003A22B8" w:rsidRDefault="003A22B8" w:rsidP="004D65FE">
            <w:pPr>
              <w:keepNext/>
              <w:keepLines/>
              <w:spacing w:before="0"/>
              <w:jc w:val="right"/>
              <w:rPr>
                <w:rFonts w:cs="Open Sans Light"/>
                <w:sz w:val="16"/>
                <w:szCs w:val="16"/>
              </w:rPr>
            </w:pPr>
            <w:r>
              <w:rPr>
                <w:rFonts w:cs="Open Sans Light"/>
                <w:sz w:val="16"/>
                <w:szCs w:val="16"/>
              </w:rPr>
              <w:t>132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55AEDEE"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C669536" w14:textId="77777777" w:rsidR="003A22B8" w:rsidRDefault="003A22B8" w:rsidP="004D65FE">
            <w:pPr>
              <w:keepNext/>
              <w:keepLines/>
              <w:spacing w:before="0"/>
              <w:jc w:val="right"/>
              <w:rPr>
                <w:rFonts w:cs="Open Sans Light"/>
                <w:sz w:val="16"/>
                <w:szCs w:val="16"/>
              </w:rPr>
            </w:pPr>
            <w:r>
              <w:rPr>
                <w:rFonts w:cs="Open Sans Light"/>
                <w:sz w:val="16"/>
                <w:szCs w:val="16"/>
              </w:rPr>
              <w:t>832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676F29C" w14:textId="77777777" w:rsidR="003A22B8" w:rsidRDefault="003A22B8" w:rsidP="004D65FE">
            <w:pPr>
              <w:keepNext/>
              <w:keepLines/>
              <w:spacing w:before="0"/>
              <w:jc w:val="right"/>
              <w:rPr>
                <w:rFonts w:cs="Open Sans Light"/>
                <w:sz w:val="16"/>
                <w:szCs w:val="16"/>
              </w:rPr>
            </w:pPr>
            <w:r>
              <w:rPr>
                <w:rFonts w:cs="Open Sans Light"/>
                <w:sz w:val="16"/>
                <w:szCs w:val="16"/>
              </w:rPr>
              <w:t>513</w:t>
            </w:r>
          </w:p>
        </w:tc>
      </w:tr>
      <w:tr w:rsidR="003A22B8" w14:paraId="1E3EE13E"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57A048" w14:textId="77777777" w:rsidR="003A22B8" w:rsidRDefault="003A22B8" w:rsidP="004D65FE">
            <w:pPr>
              <w:keepNext/>
              <w:keepLines/>
              <w:spacing w:before="0"/>
              <w:ind w:left="142" w:hanging="142"/>
              <w:rPr>
                <w:rFonts w:cs="Open Sans Light"/>
                <w:sz w:val="16"/>
                <w:szCs w:val="16"/>
              </w:rPr>
            </w:pPr>
            <w:r>
              <w:rPr>
                <w:rFonts w:cs="Open Sans Light"/>
                <w:sz w:val="16"/>
                <w:szCs w:val="16"/>
              </w:rPr>
              <w:t>Other revenue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5ACB994" w14:textId="77777777" w:rsidR="003A22B8" w:rsidRDefault="003A22B8" w:rsidP="004D65FE">
            <w:pPr>
              <w:keepNext/>
              <w:keepLines/>
              <w:spacing w:before="0"/>
              <w:jc w:val="right"/>
              <w:rPr>
                <w:rFonts w:cs="Open Sans Light"/>
                <w:sz w:val="16"/>
                <w:szCs w:val="16"/>
              </w:rPr>
            </w:pPr>
            <w:r>
              <w:rPr>
                <w:rFonts w:cs="Open Sans Light"/>
                <w:sz w:val="16"/>
                <w:szCs w:val="16"/>
              </w:rPr>
              <w:t>1,851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E585149" w14:textId="77777777" w:rsidR="003A22B8" w:rsidRDefault="003A22B8" w:rsidP="004D65FE">
            <w:pPr>
              <w:keepNext/>
              <w:keepLines/>
              <w:spacing w:before="0"/>
              <w:jc w:val="right"/>
              <w:rPr>
                <w:rFonts w:cs="Open Sans Light"/>
                <w:sz w:val="16"/>
                <w:szCs w:val="16"/>
              </w:rPr>
            </w:pPr>
            <w:r>
              <w:rPr>
                <w:rFonts w:cs="Open Sans Light"/>
                <w:sz w:val="16"/>
                <w:szCs w:val="16"/>
              </w:rPr>
              <w:t>1,851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33344A" w14:textId="77777777" w:rsidR="003A22B8" w:rsidRDefault="003A22B8" w:rsidP="004D65FE">
            <w:pPr>
              <w:keepNext/>
              <w:keepLines/>
              <w:spacing w:before="0"/>
              <w:jc w:val="right"/>
              <w:rPr>
                <w:rFonts w:cs="Open Sans Light"/>
                <w:sz w:val="16"/>
                <w:szCs w:val="16"/>
              </w:rPr>
            </w:pPr>
            <w:r>
              <w:rPr>
                <w:rFonts w:cs="Open Sans Light"/>
                <w:sz w:val="16"/>
                <w:szCs w:val="16"/>
              </w:rPr>
              <w:t>1,851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069BB66" w14:textId="77777777" w:rsidR="003A22B8" w:rsidRDefault="003A22B8" w:rsidP="004D65FE">
            <w:pPr>
              <w:keepNext/>
              <w:keepLines/>
              <w:spacing w:before="0"/>
              <w:jc w:val="right"/>
              <w:rPr>
                <w:rFonts w:cs="Open Sans Light"/>
                <w:sz w:val="16"/>
                <w:szCs w:val="16"/>
              </w:rPr>
            </w:pPr>
            <w:r>
              <w:rPr>
                <w:rFonts w:cs="Open Sans Light"/>
                <w:sz w:val="16"/>
                <w:szCs w:val="16"/>
              </w:rPr>
              <w:t>1,851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46FA97" w14:textId="77777777" w:rsidR="003A22B8" w:rsidRDefault="003A22B8" w:rsidP="004D65FE">
            <w:pPr>
              <w:keepNext/>
              <w:keepLines/>
              <w:spacing w:before="0"/>
              <w:jc w:val="right"/>
              <w:rPr>
                <w:rFonts w:cs="Open Sans Light"/>
                <w:sz w:val="16"/>
                <w:szCs w:val="16"/>
              </w:rPr>
            </w:pPr>
            <w:r>
              <w:rPr>
                <w:rFonts w:cs="Open Sans Light"/>
                <w:sz w:val="16"/>
                <w:szCs w:val="16"/>
              </w:rPr>
              <w:t>1,851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5085817" w14:textId="77777777" w:rsidR="003A22B8" w:rsidRDefault="003A22B8" w:rsidP="004D65FE">
            <w:pPr>
              <w:keepNext/>
              <w:keepLines/>
              <w:spacing w:before="0"/>
              <w:jc w:val="right"/>
              <w:rPr>
                <w:rFonts w:cs="Open Sans Light"/>
                <w:sz w:val="16"/>
                <w:szCs w:val="16"/>
              </w:rPr>
            </w:pPr>
            <w:r>
              <w:rPr>
                <w:rFonts w:cs="Open Sans Light"/>
                <w:sz w:val="16"/>
                <w:szCs w:val="16"/>
              </w:rPr>
              <w:t>1,851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C281524" w14:textId="77777777" w:rsidR="003A22B8" w:rsidRDefault="003A22B8" w:rsidP="004D65FE">
            <w:pPr>
              <w:keepNext/>
              <w:keepLines/>
              <w:spacing w:before="0"/>
              <w:jc w:val="right"/>
              <w:rPr>
                <w:rFonts w:cs="Open Sans Light"/>
                <w:sz w:val="16"/>
                <w:szCs w:val="16"/>
              </w:rPr>
            </w:pPr>
            <w:r>
              <w:rPr>
                <w:rFonts w:cs="Open Sans Light"/>
                <w:sz w:val="16"/>
                <w:szCs w:val="16"/>
              </w:rPr>
              <w:t>1,851</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8BFD50E" w14:textId="77777777" w:rsidR="003A22B8" w:rsidRDefault="003A22B8" w:rsidP="004D65FE">
            <w:pPr>
              <w:keepNext/>
              <w:keepLines/>
              <w:spacing w:before="0"/>
              <w:jc w:val="right"/>
              <w:rPr>
                <w:rFonts w:cs="Open Sans Light"/>
                <w:sz w:val="16"/>
                <w:szCs w:val="16"/>
              </w:rPr>
            </w:pPr>
            <w:r>
              <w:rPr>
                <w:rFonts w:cs="Open Sans Light"/>
                <w:sz w:val="16"/>
                <w:szCs w:val="16"/>
              </w:rPr>
              <w:t>1,851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25D3ECC" w14:textId="77777777" w:rsidR="003A22B8" w:rsidRDefault="003A22B8" w:rsidP="004D65FE">
            <w:pPr>
              <w:keepNext/>
              <w:keepLines/>
              <w:spacing w:before="0"/>
              <w:jc w:val="right"/>
              <w:rPr>
                <w:rFonts w:cs="Open Sans Light"/>
                <w:sz w:val="16"/>
                <w:szCs w:val="16"/>
              </w:rPr>
            </w:pPr>
            <w:r>
              <w:rPr>
                <w:rFonts w:cs="Open Sans Light"/>
                <w:sz w:val="16"/>
                <w:szCs w:val="16"/>
              </w:rPr>
              <w:t>1,851</w:t>
            </w:r>
          </w:p>
        </w:tc>
      </w:tr>
      <w:tr w:rsidR="003A22B8" w14:paraId="7769EA43"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D53C5C9"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Assessed revenue</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1D7AE0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5,276</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A3CF04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4,752</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EDABF8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4,991</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8F2F29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6,758</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B5256E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3,914</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0DE103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3,752</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2214F3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4,230</w:t>
            </w:r>
          </w:p>
        </w:tc>
        <w:tc>
          <w:tcPr>
            <w:tcW w:w="82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2E9027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4,986</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0116C0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5,091</w:t>
            </w:r>
          </w:p>
        </w:tc>
      </w:tr>
    </w:tbl>
    <w:p w14:paraId="354CF324" w14:textId="77777777" w:rsidR="003A22B8" w:rsidRDefault="003A22B8" w:rsidP="003A22B8">
      <w:pPr>
        <w:pStyle w:val="CGCTablenote"/>
      </w:pPr>
      <w:r>
        <w:t xml:space="preserve">Source: </w:t>
      </w:r>
      <w:r>
        <w:tab/>
        <w:t>CGC calculation.</w:t>
      </w:r>
    </w:p>
    <w:p w14:paraId="64188E02" w14:textId="7FA10BC5" w:rsidR="003A22B8" w:rsidRDefault="003A22B8" w:rsidP="003A22B8">
      <w:pPr>
        <w:pStyle w:val="Caption"/>
      </w:pPr>
      <w:bookmarkStart w:id="647" w:name="_Ref30430126"/>
      <w:r>
        <w:t>Table 30-</w:t>
      </w:r>
      <w:fldSimple w:instr=" SEQ Table \* ARABIC ">
        <w:r w:rsidR="007F721A">
          <w:rPr>
            <w:noProof/>
          </w:rPr>
          <w:t>6</w:t>
        </w:r>
      </w:fldSimple>
      <w:bookmarkEnd w:id="647"/>
      <w:r>
        <w:tab/>
        <w:t>Per capita relativities, 2017-18</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2D773D95" w14:textId="77777777" w:rsidTr="004D65FE">
        <w:trPr>
          <w:trHeight w:val="375"/>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D0CCC14" w14:textId="77777777" w:rsidR="003A22B8" w:rsidRDefault="003A22B8" w:rsidP="004D65FE">
            <w:pPr>
              <w:keepNext/>
              <w:keepLines/>
              <w:tabs>
                <w:tab w:val="clear" w:pos="567"/>
              </w:tabs>
              <w:spacing w:before="0" w:line="240" w:lineRule="auto"/>
              <w:ind w:left="142"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EFDDD95"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C2A4717"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CF60C68"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646BD75"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2DF1CE1"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463A260"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D593762"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2AE83C4"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C01D5E3"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7413B999" w14:textId="77777777" w:rsidTr="005C340D">
        <w:trPr>
          <w:trHeight w:val="255"/>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28247FB" w14:textId="77777777" w:rsidR="003A22B8" w:rsidRDefault="003A22B8" w:rsidP="004D65FE">
            <w:pPr>
              <w:keepNext/>
              <w:keepLines/>
              <w:spacing w:before="0"/>
              <w:ind w:left="142"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B1053A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C65337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17405F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B15B55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AD99D1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96BAD2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2DDB2E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E25926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26D3EE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48D56969"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C428EE" w14:textId="77777777" w:rsidR="003A22B8" w:rsidRDefault="003A22B8" w:rsidP="004D65FE">
            <w:pPr>
              <w:keepNext/>
              <w:keepLines/>
              <w:spacing w:before="0"/>
              <w:ind w:left="142" w:hanging="142"/>
              <w:rPr>
                <w:rFonts w:cs="Open Sans Light"/>
                <w:sz w:val="16"/>
                <w:szCs w:val="16"/>
              </w:rPr>
            </w:pPr>
            <w:r>
              <w:rPr>
                <w:rFonts w:cs="Open Sans Light"/>
                <w:sz w:val="16"/>
                <w:szCs w:val="16"/>
              </w:rPr>
              <w:t>Assessed expenses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763002A" w14:textId="77777777" w:rsidR="003A22B8" w:rsidRDefault="003A22B8" w:rsidP="004D65FE">
            <w:pPr>
              <w:keepNext/>
              <w:keepLines/>
              <w:spacing w:before="0"/>
              <w:jc w:val="right"/>
              <w:rPr>
                <w:rFonts w:cs="Open Sans Light"/>
                <w:sz w:val="16"/>
                <w:szCs w:val="16"/>
              </w:rPr>
            </w:pPr>
            <w:r>
              <w:rPr>
                <w:rFonts w:cs="Open Sans Light"/>
                <w:sz w:val="16"/>
                <w:szCs w:val="16"/>
              </w:rPr>
              <w:t>8,531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C0A0C98" w14:textId="77777777" w:rsidR="003A22B8" w:rsidRDefault="003A22B8" w:rsidP="004D65FE">
            <w:pPr>
              <w:keepNext/>
              <w:keepLines/>
              <w:spacing w:before="0"/>
              <w:jc w:val="right"/>
              <w:rPr>
                <w:rFonts w:cs="Open Sans Light"/>
                <w:sz w:val="16"/>
                <w:szCs w:val="16"/>
              </w:rPr>
            </w:pPr>
            <w:r>
              <w:rPr>
                <w:rFonts w:cs="Open Sans Light"/>
                <w:sz w:val="16"/>
                <w:szCs w:val="16"/>
              </w:rPr>
              <w:t>8,028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8920C0C" w14:textId="77777777" w:rsidR="003A22B8" w:rsidRDefault="003A22B8" w:rsidP="004D65FE">
            <w:pPr>
              <w:keepNext/>
              <w:keepLines/>
              <w:spacing w:before="0"/>
              <w:jc w:val="right"/>
              <w:rPr>
                <w:rFonts w:cs="Open Sans Light"/>
                <w:sz w:val="16"/>
                <w:szCs w:val="16"/>
              </w:rPr>
            </w:pPr>
            <w:r>
              <w:rPr>
                <w:rFonts w:cs="Open Sans Light"/>
                <w:sz w:val="16"/>
                <w:szCs w:val="16"/>
              </w:rPr>
              <w:t>8,970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5E4E056" w14:textId="77777777" w:rsidR="003A22B8" w:rsidRDefault="003A22B8" w:rsidP="004D65FE">
            <w:pPr>
              <w:keepNext/>
              <w:keepLines/>
              <w:spacing w:before="0"/>
              <w:jc w:val="right"/>
              <w:rPr>
                <w:rFonts w:cs="Open Sans Light"/>
                <w:sz w:val="16"/>
                <w:szCs w:val="16"/>
              </w:rPr>
            </w:pPr>
            <w:r>
              <w:rPr>
                <w:rFonts w:cs="Open Sans Light"/>
                <w:sz w:val="16"/>
                <w:szCs w:val="16"/>
              </w:rPr>
              <w:t>9,052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87EEAA8" w14:textId="77777777" w:rsidR="003A22B8" w:rsidRDefault="003A22B8" w:rsidP="004D65FE">
            <w:pPr>
              <w:keepNext/>
              <w:keepLines/>
              <w:spacing w:before="0"/>
              <w:jc w:val="right"/>
              <w:rPr>
                <w:rFonts w:cs="Open Sans Light"/>
                <w:sz w:val="16"/>
                <w:szCs w:val="16"/>
              </w:rPr>
            </w:pPr>
            <w:r>
              <w:rPr>
                <w:rFonts w:cs="Open Sans Light"/>
                <w:sz w:val="16"/>
                <w:szCs w:val="16"/>
              </w:rPr>
              <w:t>8,696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7FCF755" w14:textId="77777777" w:rsidR="003A22B8" w:rsidRDefault="003A22B8" w:rsidP="004D65FE">
            <w:pPr>
              <w:keepNext/>
              <w:keepLines/>
              <w:spacing w:before="0"/>
              <w:jc w:val="right"/>
              <w:rPr>
                <w:rFonts w:cs="Open Sans Light"/>
                <w:sz w:val="16"/>
                <w:szCs w:val="16"/>
              </w:rPr>
            </w:pPr>
            <w:r>
              <w:rPr>
                <w:rFonts w:cs="Open Sans Light"/>
                <w:sz w:val="16"/>
                <w:szCs w:val="16"/>
              </w:rPr>
              <w:t>10,007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EA982F2" w14:textId="77777777" w:rsidR="003A22B8" w:rsidRDefault="003A22B8" w:rsidP="004D65FE">
            <w:pPr>
              <w:keepNext/>
              <w:keepLines/>
              <w:spacing w:before="0"/>
              <w:jc w:val="right"/>
              <w:rPr>
                <w:rFonts w:cs="Open Sans Light"/>
                <w:sz w:val="16"/>
                <w:szCs w:val="16"/>
              </w:rPr>
            </w:pPr>
            <w:r>
              <w:rPr>
                <w:rFonts w:cs="Open Sans Light"/>
                <w:sz w:val="16"/>
                <w:szCs w:val="16"/>
              </w:rPr>
              <w:t>8,261</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8115C8D" w14:textId="77777777" w:rsidR="003A22B8" w:rsidRDefault="003A22B8" w:rsidP="004D65FE">
            <w:pPr>
              <w:keepNext/>
              <w:keepLines/>
              <w:spacing w:before="0"/>
              <w:jc w:val="right"/>
              <w:rPr>
                <w:rFonts w:cs="Open Sans Light"/>
                <w:sz w:val="16"/>
                <w:szCs w:val="16"/>
              </w:rPr>
            </w:pPr>
            <w:r>
              <w:rPr>
                <w:rFonts w:cs="Open Sans Light"/>
                <w:sz w:val="16"/>
                <w:szCs w:val="16"/>
              </w:rPr>
              <w:t>18,238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D185083" w14:textId="77777777" w:rsidR="003A22B8" w:rsidRDefault="003A22B8" w:rsidP="004D65FE">
            <w:pPr>
              <w:keepNext/>
              <w:keepLines/>
              <w:spacing w:before="0"/>
              <w:jc w:val="right"/>
              <w:rPr>
                <w:rFonts w:cs="Open Sans Light"/>
                <w:sz w:val="16"/>
                <w:szCs w:val="16"/>
              </w:rPr>
            </w:pPr>
            <w:r>
              <w:rPr>
                <w:rFonts w:cs="Open Sans Light"/>
                <w:sz w:val="16"/>
                <w:szCs w:val="16"/>
              </w:rPr>
              <w:t>8,679</w:t>
            </w:r>
          </w:p>
        </w:tc>
      </w:tr>
      <w:tr w:rsidR="003A22B8" w14:paraId="7FB444E5"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39C759" w14:textId="77777777" w:rsidR="003A22B8" w:rsidRDefault="003A22B8" w:rsidP="004D65FE">
            <w:pPr>
              <w:keepNext/>
              <w:keepLines/>
              <w:spacing w:before="0"/>
              <w:ind w:left="142" w:hanging="142"/>
              <w:rPr>
                <w:rFonts w:cs="Open Sans Light"/>
                <w:sz w:val="16"/>
                <w:szCs w:val="16"/>
              </w:rPr>
            </w:pPr>
            <w:r>
              <w:rPr>
                <w:rFonts w:cs="Open Sans Light"/>
                <w:sz w:val="16"/>
                <w:szCs w:val="16"/>
              </w:rPr>
              <w:t>Investment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9A171E1" w14:textId="77777777" w:rsidR="003A22B8" w:rsidRDefault="003A22B8" w:rsidP="004D65FE">
            <w:pPr>
              <w:keepNext/>
              <w:keepLines/>
              <w:spacing w:before="0"/>
              <w:jc w:val="right"/>
              <w:rPr>
                <w:rFonts w:cs="Open Sans Light"/>
                <w:sz w:val="16"/>
                <w:szCs w:val="16"/>
              </w:rPr>
            </w:pPr>
            <w:r>
              <w:rPr>
                <w:rFonts w:cs="Open Sans Light"/>
                <w:sz w:val="16"/>
                <w:szCs w:val="16"/>
              </w:rPr>
              <w:t>1,220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19AA8B1" w14:textId="77777777" w:rsidR="003A22B8" w:rsidRDefault="003A22B8" w:rsidP="004D65FE">
            <w:pPr>
              <w:keepNext/>
              <w:keepLines/>
              <w:spacing w:before="0"/>
              <w:jc w:val="right"/>
              <w:rPr>
                <w:rFonts w:cs="Open Sans Light"/>
                <w:sz w:val="16"/>
                <w:szCs w:val="16"/>
              </w:rPr>
            </w:pPr>
            <w:r>
              <w:rPr>
                <w:rFonts w:cs="Open Sans Light"/>
                <w:sz w:val="16"/>
                <w:szCs w:val="16"/>
              </w:rPr>
              <w:t>1,255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54673FB" w14:textId="77777777" w:rsidR="003A22B8" w:rsidRDefault="003A22B8" w:rsidP="004D65FE">
            <w:pPr>
              <w:keepNext/>
              <w:keepLines/>
              <w:spacing w:before="0"/>
              <w:jc w:val="right"/>
              <w:rPr>
                <w:rFonts w:cs="Open Sans Light"/>
                <w:sz w:val="16"/>
                <w:szCs w:val="16"/>
              </w:rPr>
            </w:pPr>
            <w:r>
              <w:rPr>
                <w:rFonts w:cs="Open Sans Light"/>
                <w:sz w:val="16"/>
                <w:szCs w:val="16"/>
              </w:rPr>
              <w:t>1,219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ADC2A50" w14:textId="77777777" w:rsidR="003A22B8" w:rsidRDefault="003A22B8" w:rsidP="004D65FE">
            <w:pPr>
              <w:keepNext/>
              <w:keepLines/>
              <w:spacing w:before="0"/>
              <w:jc w:val="right"/>
              <w:rPr>
                <w:rFonts w:cs="Open Sans Light"/>
                <w:sz w:val="16"/>
                <w:szCs w:val="16"/>
              </w:rPr>
            </w:pPr>
            <w:r>
              <w:rPr>
                <w:rFonts w:cs="Open Sans Light"/>
                <w:sz w:val="16"/>
                <w:szCs w:val="16"/>
              </w:rPr>
              <w:t>1,175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B503FDE" w14:textId="77777777" w:rsidR="003A22B8" w:rsidRDefault="003A22B8" w:rsidP="004D65FE">
            <w:pPr>
              <w:keepNext/>
              <w:keepLines/>
              <w:spacing w:before="0"/>
              <w:jc w:val="right"/>
              <w:rPr>
                <w:rFonts w:cs="Open Sans Light"/>
                <w:sz w:val="16"/>
                <w:szCs w:val="16"/>
              </w:rPr>
            </w:pPr>
            <w:r>
              <w:rPr>
                <w:rFonts w:cs="Open Sans Light"/>
                <w:sz w:val="16"/>
                <w:szCs w:val="16"/>
              </w:rPr>
              <w:t>977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0AEE46A" w14:textId="77777777" w:rsidR="003A22B8" w:rsidRDefault="003A22B8" w:rsidP="004D65FE">
            <w:pPr>
              <w:keepNext/>
              <w:keepLines/>
              <w:spacing w:before="0"/>
              <w:jc w:val="right"/>
              <w:rPr>
                <w:rFonts w:cs="Open Sans Light"/>
                <w:sz w:val="16"/>
                <w:szCs w:val="16"/>
              </w:rPr>
            </w:pPr>
            <w:r>
              <w:rPr>
                <w:rFonts w:cs="Open Sans Light"/>
                <w:sz w:val="16"/>
                <w:szCs w:val="16"/>
              </w:rPr>
              <w:t>1,001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07D9C44" w14:textId="77777777" w:rsidR="003A22B8" w:rsidRDefault="003A22B8" w:rsidP="004D65FE">
            <w:pPr>
              <w:keepNext/>
              <w:keepLines/>
              <w:spacing w:before="0"/>
              <w:jc w:val="right"/>
              <w:rPr>
                <w:rFonts w:cs="Open Sans Light"/>
                <w:sz w:val="16"/>
                <w:szCs w:val="16"/>
              </w:rPr>
            </w:pPr>
            <w:r>
              <w:rPr>
                <w:rFonts w:cs="Open Sans Light"/>
                <w:sz w:val="16"/>
                <w:szCs w:val="16"/>
              </w:rPr>
              <w:t>1,006</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DE08397" w14:textId="77777777" w:rsidR="003A22B8" w:rsidRDefault="003A22B8" w:rsidP="004D65FE">
            <w:pPr>
              <w:keepNext/>
              <w:keepLines/>
              <w:spacing w:before="0"/>
              <w:jc w:val="right"/>
              <w:rPr>
                <w:rFonts w:cs="Open Sans Light"/>
                <w:sz w:val="16"/>
                <w:szCs w:val="16"/>
              </w:rPr>
            </w:pPr>
            <w:r>
              <w:rPr>
                <w:rFonts w:cs="Open Sans Light"/>
                <w:sz w:val="16"/>
                <w:szCs w:val="16"/>
              </w:rPr>
              <w:t>2,955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9251C1C" w14:textId="77777777" w:rsidR="003A22B8" w:rsidRDefault="003A22B8" w:rsidP="004D65FE">
            <w:pPr>
              <w:keepNext/>
              <w:keepLines/>
              <w:spacing w:before="0"/>
              <w:jc w:val="right"/>
              <w:rPr>
                <w:rFonts w:cs="Open Sans Light"/>
                <w:sz w:val="16"/>
                <w:szCs w:val="16"/>
              </w:rPr>
            </w:pPr>
            <w:r>
              <w:rPr>
                <w:rFonts w:cs="Open Sans Light"/>
                <w:sz w:val="16"/>
                <w:szCs w:val="16"/>
              </w:rPr>
              <w:t>1,216</w:t>
            </w:r>
          </w:p>
        </w:tc>
      </w:tr>
      <w:tr w:rsidR="003A22B8" w14:paraId="450ABB54"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C40685" w14:textId="77777777" w:rsidR="003A22B8" w:rsidRDefault="003A22B8" w:rsidP="004D65FE">
            <w:pPr>
              <w:keepNext/>
              <w:keepLines/>
              <w:spacing w:before="0"/>
              <w:ind w:left="142" w:hanging="142"/>
              <w:rPr>
                <w:rFonts w:cs="Open Sans Light"/>
                <w:sz w:val="16"/>
                <w:szCs w:val="16"/>
              </w:rPr>
            </w:pPr>
            <w:r>
              <w:rPr>
                <w:rFonts w:cs="Open Sans Light"/>
                <w:sz w:val="16"/>
                <w:szCs w:val="16"/>
              </w:rPr>
              <w:t>Assessed expenditure</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83AE393" w14:textId="77777777" w:rsidR="003A22B8" w:rsidRDefault="003A22B8" w:rsidP="004D65FE">
            <w:pPr>
              <w:keepNext/>
              <w:keepLines/>
              <w:spacing w:before="0"/>
              <w:jc w:val="right"/>
              <w:rPr>
                <w:rFonts w:cs="Open Sans Light"/>
                <w:sz w:val="16"/>
                <w:szCs w:val="16"/>
              </w:rPr>
            </w:pPr>
            <w:r>
              <w:rPr>
                <w:rFonts w:cs="Open Sans Light"/>
                <w:sz w:val="16"/>
                <w:szCs w:val="16"/>
              </w:rPr>
              <w:t>9,752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6394E47" w14:textId="77777777" w:rsidR="003A22B8" w:rsidRDefault="003A22B8" w:rsidP="004D65FE">
            <w:pPr>
              <w:keepNext/>
              <w:keepLines/>
              <w:spacing w:before="0"/>
              <w:jc w:val="right"/>
              <w:rPr>
                <w:rFonts w:cs="Open Sans Light"/>
                <w:sz w:val="16"/>
                <w:szCs w:val="16"/>
              </w:rPr>
            </w:pPr>
            <w:r>
              <w:rPr>
                <w:rFonts w:cs="Open Sans Light"/>
                <w:sz w:val="16"/>
                <w:szCs w:val="16"/>
              </w:rPr>
              <w:t>9,283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F7CC564" w14:textId="77777777" w:rsidR="003A22B8" w:rsidRDefault="003A22B8" w:rsidP="004D65FE">
            <w:pPr>
              <w:keepNext/>
              <w:keepLines/>
              <w:spacing w:before="0"/>
              <w:jc w:val="right"/>
              <w:rPr>
                <w:rFonts w:cs="Open Sans Light"/>
                <w:sz w:val="16"/>
                <w:szCs w:val="16"/>
              </w:rPr>
            </w:pPr>
            <w:r>
              <w:rPr>
                <w:rFonts w:cs="Open Sans Light"/>
                <w:sz w:val="16"/>
                <w:szCs w:val="16"/>
              </w:rPr>
              <w:t>10,189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0AD9818" w14:textId="77777777" w:rsidR="003A22B8" w:rsidRDefault="003A22B8" w:rsidP="004D65FE">
            <w:pPr>
              <w:keepNext/>
              <w:keepLines/>
              <w:spacing w:before="0"/>
              <w:jc w:val="right"/>
              <w:rPr>
                <w:rFonts w:cs="Open Sans Light"/>
                <w:sz w:val="16"/>
                <w:szCs w:val="16"/>
              </w:rPr>
            </w:pPr>
            <w:r>
              <w:rPr>
                <w:rFonts w:cs="Open Sans Light"/>
                <w:sz w:val="16"/>
                <w:szCs w:val="16"/>
              </w:rPr>
              <w:t>10,227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EB0B9D8" w14:textId="77777777" w:rsidR="003A22B8" w:rsidRDefault="003A22B8" w:rsidP="004D65FE">
            <w:pPr>
              <w:keepNext/>
              <w:keepLines/>
              <w:spacing w:before="0"/>
              <w:jc w:val="right"/>
              <w:rPr>
                <w:rFonts w:cs="Open Sans Light"/>
                <w:sz w:val="16"/>
                <w:szCs w:val="16"/>
              </w:rPr>
            </w:pPr>
            <w:r>
              <w:rPr>
                <w:rFonts w:cs="Open Sans Light"/>
                <w:sz w:val="16"/>
                <w:szCs w:val="16"/>
              </w:rPr>
              <w:t>9,674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CD66750" w14:textId="77777777" w:rsidR="003A22B8" w:rsidRDefault="003A22B8" w:rsidP="004D65FE">
            <w:pPr>
              <w:keepNext/>
              <w:keepLines/>
              <w:spacing w:before="0"/>
              <w:jc w:val="right"/>
              <w:rPr>
                <w:rFonts w:cs="Open Sans Light"/>
                <w:sz w:val="16"/>
                <w:szCs w:val="16"/>
              </w:rPr>
            </w:pPr>
            <w:r>
              <w:rPr>
                <w:rFonts w:cs="Open Sans Light"/>
                <w:sz w:val="16"/>
                <w:szCs w:val="16"/>
              </w:rPr>
              <w:t>11,008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8464BB7" w14:textId="77777777" w:rsidR="003A22B8" w:rsidRDefault="003A22B8" w:rsidP="004D65FE">
            <w:pPr>
              <w:keepNext/>
              <w:keepLines/>
              <w:spacing w:before="0"/>
              <w:jc w:val="right"/>
              <w:rPr>
                <w:rFonts w:cs="Open Sans Light"/>
                <w:sz w:val="16"/>
                <w:szCs w:val="16"/>
              </w:rPr>
            </w:pPr>
            <w:r>
              <w:rPr>
                <w:rFonts w:cs="Open Sans Light"/>
                <w:sz w:val="16"/>
                <w:szCs w:val="16"/>
              </w:rPr>
              <w:t>9,267</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BD39BCC" w14:textId="77777777" w:rsidR="003A22B8" w:rsidRDefault="003A22B8" w:rsidP="004D65FE">
            <w:pPr>
              <w:keepNext/>
              <w:keepLines/>
              <w:spacing w:before="0"/>
              <w:jc w:val="right"/>
              <w:rPr>
                <w:rFonts w:cs="Open Sans Light"/>
                <w:sz w:val="16"/>
                <w:szCs w:val="16"/>
              </w:rPr>
            </w:pPr>
            <w:r>
              <w:rPr>
                <w:rFonts w:cs="Open Sans Light"/>
                <w:sz w:val="16"/>
                <w:szCs w:val="16"/>
              </w:rPr>
              <w:t>21,193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00CC5BD" w14:textId="77777777" w:rsidR="003A22B8" w:rsidRDefault="003A22B8" w:rsidP="004D65FE">
            <w:pPr>
              <w:keepNext/>
              <w:keepLines/>
              <w:spacing w:before="0"/>
              <w:jc w:val="right"/>
              <w:rPr>
                <w:rFonts w:cs="Open Sans Light"/>
                <w:sz w:val="16"/>
                <w:szCs w:val="16"/>
              </w:rPr>
            </w:pPr>
            <w:r>
              <w:rPr>
                <w:rFonts w:cs="Open Sans Light"/>
                <w:sz w:val="16"/>
                <w:szCs w:val="16"/>
              </w:rPr>
              <w:t>9,895</w:t>
            </w:r>
          </w:p>
        </w:tc>
      </w:tr>
      <w:tr w:rsidR="003A22B8" w14:paraId="50C8C77F" w14:textId="77777777" w:rsidTr="004D65FE">
        <w:trPr>
          <w:trHeight w:val="255"/>
        </w:trPr>
        <w:tc>
          <w:tcPr>
            <w:tcW w:w="2500" w:type="dxa"/>
            <w:tcBorders>
              <w:top w:val="nil"/>
              <w:left w:val="nil"/>
              <w:bottom w:val="nil"/>
              <w:right w:val="nil"/>
            </w:tcBorders>
            <w:shd w:val="clear" w:color="auto" w:fill="auto"/>
            <w:noWrap/>
            <w:tcMar>
              <w:top w:w="15" w:type="dxa"/>
              <w:left w:w="15" w:type="dxa"/>
              <w:bottom w:w="0" w:type="dxa"/>
              <w:right w:w="15" w:type="dxa"/>
            </w:tcMar>
            <w:vAlign w:val="bottom"/>
            <w:hideMark/>
          </w:tcPr>
          <w:p w14:paraId="47C14CEC" w14:textId="77777777" w:rsidR="003A22B8" w:rsidRDefault="003A22B8" w:rsidP="004D65FE">
            <w:pPr>
              <w:keepNext/>
              <w:keepLines/>
              <w:spacing w:before="0"/>
              <w:ind w:left="142" w:hanging="142"/>
              <w:rPr>
                <w:rFonts w:cs="Open Sans Light"/>
                <w:i/>
                <w:iCs/>
                <w:sz w:val="16"/>
                <w:szCs w:val="16"/>
              </w:rPr>
            </w:pPr>
            <w:r>
              <w:rPr>
                <w:rFonts w:cs="Open Sans Light"/>
                <w:i/>
                <w:iCs/>
                <w:sz w:val="16"/>
                <w:szCs w:val="16"/>
              </w:rPr>
              <w:t>met through</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5DB0D78B" w14:textId="77777777" w:rsidR="003A22B8" w:rsidRDefault="003A22B8" w:rsidP="004D65FE">
            <w:pPr>
              <w:keepNext/>
              <w:keepLines/>
              <w:spacing w:before="0"/>
              <w:rPr>
                <w:rFonts w:cs="Open Sans Light"/>
                <w:i/>
                <w:iCs/>
                <w:sz w:val="16"/>
                <w:szCs w:val="16"/>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6449D938"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001F1E80"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44E1D038"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25FDC545"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1385B086"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0AD1D0F6" w14:textId="77777777" w:rsidR="003A22B8" w:rsidRDefault="003A22B8" w:rsidP="004D65FE">
            <w:pPr>
              <w:keepNext/>
              <w:keepLines/>
              <w:spacing w:before="0"/>
              <w:jc w:val="right"/>
              <w:rPr>
                <w:szCs w:val="20"/>
              </w:rPr>
            </w:pPr>
          </w:p>
        </w:tc>
        <w:tc>
          <w:tcPr>
            <w:tcW w:w="820" w:type="dxa"/>
            <w:tcBorders>
              <w:top w:val="nil"/>
              <w:left w:val="nil"/>
              <w:bottom w:val="nil"/>
              <w:right w:val="nil"/>
            </w:tcBorders>
            <w:shd w:val="clear" w:color="auto" w:fill="auto"/>
            <w:tcMar>
              <w:top w:w="15" w:type="dxa"/>
              <w:left w:w="15" w:type="dxa"/>
              <w:bottom w:w="0" w:type="dxa"/>
              <w:right w:w="15" w:type="dxa"/>
            </w:tcMar>
            <w:vAlign w:val="bottom"/>
            <w:hideMark/>
          </w:tcPr>
          <w:p w14:paraId="2E4A1D66"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6C569616" w14:textId="77777777" w:rsidR="003A22B8" w:rsidRDefault="003A22B8" w:rsidP="004D65FE">
            <w:pPr>
              <w:keepNext/>
              <w:keepLines/>
              <w:spacing w:before="0"/>
              <w:jc w:val="right"/>
              <w:rPr>
                <w:szCs w:val="20"/>
              </w:rPr>
            </w:pPr>
          </w:p>
        </w:tc>
      </w:tr>
      <w:tr w:rsidR="003A22B8" w14:paraId="5241E43F"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9A3691" w14:textId="77777777" w:rsidR="003A22B8" w:rsidRDefault="003A22B8" w:rsidP="004D65FE">
            <w:pPr>
              <w:keepNext/>
              <w:keepLines/>
              <w:spacing w:before="0"/>
              <w:ind w:left="142" w:hanging="142"/>
              <w:rPr>
                <w:rFonts w:cs="Open Sans Light"/>
                <w:sz w:val="16"/>
                <w:szCs w:val="16"/>
              </w:rPr>
            </w:pPr>
            <w:r>
              <w:rPr>
                <w:rFonts w:cs="Open Sans Light"/>
                <w:sz w:val="16"/>
                <w:szCs w:val="16"/>
              </w:rPr>
              <w:t>Net borrowing</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42C33F0" w14:textId="77777777" w:rsidR="003A22B8" w:rsidRDefault="003A22B8" w:rsidP="004D65FE">
            <w:pPr>
              <w:keepNext/>
              <w:keepLines/>
              <w:spacing w:before="0"/>
              <w:jc w:val="right"/>
              <w:rPr>
                <w:rFonts w:cs="Open Sans Light"/>
                <w:sz w:val="16"/>
                <w:szCs w:val="16"/>
              </w:rPr>
            </w:pPr>
            <w:r>
              <w:rPr>
                <w:rFonts w:cs="Open Sans Light"/>
                <w:sz w:val="16"/>
                <w:szCs w:val="16"/>
              </w:rPr>
              <w:t>643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ED1612B" w14:textId="77777777" w:rsidR="003A22B8" w:rsidRDefault="003A22B8" w:rsidP="004D65FE">
            <w:pPr>
              <w:keepNext/>
              <w:keepLines/>
              <w:spacing w:before="0"/>
              <w:jc w:val="right"/>
              <w:rPr>
                <w:rFonts w:cs="Open Sans Light"/>
                <w:sz w:val="16"/>
                <w:szCs w:val="16"/>
              </w:rPr>
            </w:pPr>
            <w:r>
              <w:rPr>
                <w:rFonts w:cs="Open Sans Light"/>
                <w:sz w:val="16"/>
                <w:szCs w:val="16"/>
              </w:rPr>
              <w:t>666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1898671" w14:textId="77777777" w:rsidR="003A22B8" w:rsidRDefault="003A22B8" w:rsidP="004D65FE">
            <w:pPr>
              <w:keepNext/>
              <w:keepLines/>
              <w:spacing w:before="0"/>
              <w:jc w:val="right"/>
              <w:rPr>
                <w:rFonts w:cs="Open Sans Light"/>
                <w:sz w:val="16"/>
                <w:szCs w:val="16"/>
              </w:rPr>
            </w:pPr>
            <w:r>
              <w:rPr>
                <w:rFonts w:cs="Open Sans Light"/>
                <w:sz w:val="16"/>
                <w:szCs w:val="16"/>
              </w:rPr>
              <w:t>647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3F74C09" w14:textId="77777777" w:rsidR="003A22B8" w:rsidRDefault="003A22B8" w:rsidP="004D65FE">
            <w:pPr>
              <w:keepNext/>
              <w:keepLines/>
              <w:spacing w:before="0"/>
              <w:jc w:val="right"/>
              <w:rPr>
                <w:rFonts w:cs="Open Sans Light"/>
                <w:sz w:val="16"/>
                <w:szCs w:val="16"/>
              </w:rPr>
            </w:pPr>
            <w:r>
              <w:rPr>
                <w:rFonts w:cs="Open Sans Light"/>
                <w:sz w:val="16"/>
                <w:szCs w:val="16"/>
              </w:rPr>
              <w:t>620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12CA47B" w14:textId="77777777" w:rsidR="003A22B8" w:rsidRDefault="003A22B8" w:rsidP="004D65FE">
            <w:pPr>
              <w:keepNext/>
              <w:keepLines/>
              <w:spacing w:before="0"/>
              <w:jc w:val="right"/>
              <w:rPr>
                <w:rFonts w:cs="Open Sans Light"/>
                <w:sz w:val="16"/>
                <w:szCs w:val="16"/>
              </w:rPr>
            </w:pPr>
            <w:r>
              <w:rPr>
                <w:rFonts w:cs="Open Sans Light"/>
                <w:sz w:val="16"/>
                <w:szCs w:val="16"/>
              </w:rPr>
              <w:t>618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8AEABEE" w14:textId="77777777" w:rsidR="003A22B8" w:rsidRDefault="003A22B8" w:rsidP="004D65FE">
            <w:pPr>
              <w:keepNext/>
              <w:keepLines/>
              <w:spacing w:before="0"/>
              <w:jc w:val="right"/>
              <w:rPr>
                <w:rFonts w:cs="Open Sans Light"/>
                <w:sz w:val="16"/>
                <w:szCs w:val="16"/>
              </w:rPr>
            </w:pPr>
            <w:r>
              <w:rPr>
                <w:rFonts w:cs="Open Sans Light"/>
                <w:sz w:val="16"/>
                <w:szCs w:val="16"/>
              </w:rPr>
              <w:t>628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006B638" w14:textId="77777777" w:rsidR="003A22B8" w:rsidRDefault="003A22B8" w:rsidP="004D65FE">
            <w:pPr>
              <w:keepNext/>
              <w:keepLines/>
              <w:spacing w:before="0"/>
              <w:jc w:val="right"/>
              <w:rPr>
                <w:rFonts w:cs="Open Sans Light"/>
                <w:sz w:val="16"/>
                <w:szCs w:val="16"/>
              </w:rPr>
            </w:pPr>
            <w:r>
              <w:rPr>
                <w:rFonts w:cs="Open Sans Light"/>
                <w:sz w:val="16"/>
                <w:szCs w:val="16"/>
              </w:rPr>
              <w:t>659</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C896206" w14:textId="77777777" w:rsidR="003A22B8" w:rsidRDefault="003A22B8" w:rsidP="004D65FE">
            <w:pPr>
              <w:keepNext/>
              <w:keepLines/>
              <w:spacing w:before="0"/>
              <w:jc w:val="right"/>
              <w:rPr>
                <w:rFonts w:cs="Open Sans Light"/>
                <w:sz w:val="16"/>
                <w:szCs w:val="16"/>
              </w:rPr>
            </w:pPr>
            <w:r>
              <w:rPr>
                <w:rFonts w:cs="Open Sans Light"/>
                <w:sz w:val="16"/>
                <w:szCs w:val="16"/>
              </w:rPr>
              <w:t>606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D827EA9" w14:textId="77777777" w:rsidR="003A22B8" w:rsidRDefault="003A22B8" w:rsidP="004D65FE">
            <w:pPr>
              <w:keepNext/>
              <w:keepLines/>
              <w:spacing w:before="0"/>
              <w:jc w:val="right"/>
              <w:rPr>
                <w:rFonts w:cs="Open Sans Light"/>
                <w:sz w:val="16"/>
                <w:szCs w:val="16"/>
              </w:rPr>
            </w:pPr>
            <w:r>
              <w:rPr>
                <w:rFonts w:cs="Open Sans Light"/>
                <w:sz w:val="16"/>
                <w:szCs w:val="16"/>
              </w:rPr>
              <w:t>645</w:t>
            </w:r>
          </w:p>
        </w:tc>
      </w:tr>
      <w:tr w:rsidR="003A22B8" w14:paraId="2A1BFEF1"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DE3055" w14:textId="77777777" w:rsidR="003A22B8" w:rsidRDefault="003A22B8" w:rsidP="004D65FE">
            <w:pPr>
              <w:keepNext/>
              <w:keepLines/>
              <w:spacing w:before="0"/>
              <w:ind w:left="142" w:hanging="142"/>
              <w:rPr>
                <w:rFonts w:cs="Open Sans Light"/>
                <w:sz w:val="16"/>
                <w:szCs w:val="16"/>
              </w:rPr>
            </w:pPr>
            <w:r>
              <w:rPr>
                <w:rFonts w:cs="Open Sans Light"/>
                <w:sz w:val="16"/>
                <w:szCs w:val="16"/>
              </w:rPr>
              <w:t>Assessed revenue</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AF118DA" w14:textId="77777777" w:rsidR="003A22B8" w:rsidRDefault="003A22B8" w:rsidP="004D65FE">
            <w:pPr>
              <w:keepNext/>
              <w:keepLines/>
              <w:spacing w:before="0"/>
              <w:jc w:val="right"/>
              <w:rPr>
                <w:rFonts w:cs="Open Sans Light"/>
                <w:sz w:val="16"/>
                <w:szCs w:val="16"/>
              </w:rPr>
            </w:pPr>
            <w:r>
              <w:rPr>
                <w:rFonts w:cs="Open Sans Light"/>
                <w:sz w:val="16"/>
                <w:szCs w:val="16"/>
              </w:rPr>
              <w:t>5,276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E533338" w14:textId="77777777" w:rsidR="003A22B8" w:rsidRDefault="003A22B8" w:rsidP="004D65FE">
            <w:pPr>
              <w:keepNext/>
              <w:keepLines/>
              <w:spacing w:before="0"/>
              <w:jc w:val="right"/>
              <w:rPr>
                <w:rFonts w:cs="Open Sans Light"/>
                <w:sz w:val="16"/>
                <w:szCs w:val="16"/>
              </w:rPr>
            </w:pPr>
            <w:r>
              <w:rPr>
                <w:rFonts w:cs="Open Sans Light"/>
                <w:sz w:val="16"/>
                <w:szCs w:val="16"/>
              </w:rPr>
              <w:t>4,752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8E0C4E2" w14:textId="77777777" w:rsidR="003A22B8" w:rsidRDefault="003A22B8" w:rsidP="004D65FE">
            <w:pPr>
              <w:keepNext/>
              <w:keepLines/>
              <w:spacing w:before="0"/>
              <w:jc w:val="right"/>
              <w:rPr>
                <w:rFonts w:cs="Open Sans Light"/>
                <w:sz w:val="16"/>
                <w:szCs w:val="16"/>
              </w:rPr>
            </w:pPr>
            <w:r>
              <w:rPr>
                <w:rFonts w:cs="Open Sans Light"/>
                <w:sz w:val="16"/>
                <w:szCs w:val="16"/>
              </w:rPr>
              <w:t>4,991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1EDEE43" w14:textId="77777777" w:rsidR="003A22B8" w:rsidRDefault="003A22B8" w:rsidP="004D65FE">
            <w:pPr>
              <w:keepNext/>
              <w:keepLines/>
              <w:spacing w:before="0"/>
              <w:jc w:val="right"/>
              <w:rPr>
                <w:rFonts w:cs="Open Sans Light"/>
                <w:sz w:val="16"/>
                <w:szCs w:val="16"/>
              </w:rPr>
            </w:pPr>
            <w:r>
              <w:rPr>
                <w:rFonts w:cs="Open Sans Light"/>
                <w:sz w:val="16"/>
                <w:szCs w:val="16"/>
              </w:rPr>
              <w:t>6,758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FDA6A36" w14:textId="77777777" w:rsidR="003A22B8" w:rsidRDefault="003A22B8" w:rsidP="004D65FE">
            <w:pPr>
              <w:keepNext/>
              <w:keepLines/>
              <w:spacing w:before="0"/>
              <w:jc w:val="right"/>
              <w:rPr>
                <w:rFonts w:cs="Open Sans Light"/>
                <w:sz w:val="16"/>
                <w:szCs w:val="16"/>
              </w:rPr>
            </w:pPr>
            <w:r>
              <w:rPr>
                <w:rFonts w:cs="Open Sans Light"/>
                <w:sz w:val="16"/>
                <w:szCs w:val="16"/>
              </w:rPr>
              <w:t>3,914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9298CC9" w14:textId="77777777" w:rsidR="003A22B8" w:rsidRDefault="003A22B8" w:rsidP="004D65FE">
            <w:pPr>
              <w:keepNext/>
              <w:keepLines/>
              <w:spacing w:before="0"/>
              <w:jc w:val="right"/>
              <w:rPr>
                <w:rFonts w:cs="Open Sans Light"/>
                <w:sz w:val="16"/>
                <w:szCs w:val="16"/>
              </w:rPr>
            </w:pPr>
            <w:r>
              <w:rPr>
                <w:rFonts w:cs="Open Sans Light"/>
                <w:sz w:val="16"/>
                <w:szCs w:val="16"/>
              </w:rPr>
              <w:t>3,752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A0AB577" w14:textId="77777777" w:rsidR="003A22B8" w:rsidRDefault="003A22B8" w:rsidP="004D65FE">
            <w:pPr>
              <w:keepNext/>
              <w:keepLines/>
              <w:spacing w:before="0"/>
              <w:jc w:val="right"/>
              <w:rPr>
                <w:rFonts w:cs="Open Sans Light"/>
                <w:sz w:val="16"/>
                <w:szCs w:val="16"/>
              </w:rPr>
            </w:pPr>
            <w:r>
              <w:rPr>
                <w:rFonts w:cs="Open Sans Light"/>
                <w:sz w:val="16"/>
                <w:szCs w:val="16"/>
              </w:rPr>
              <w:t>4,230</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7E063C8" w14:textId="77777777" w:rsidR="003A22B8" w:rsidRDefault="003A22B8" w:rsidP="004D65FE">
            <w:pPr>
              <w:keepNext/>
              <w:keepLines/>
              <w:spacing w:before="0"/>
              <w:jc w:val="right"/>
              <w:rPr>
                <w:rFonts w:cs="Open Sans Light"/>
                <w:sz w:val="16"/>
                <w:szCs w:val="16"/>
              </w:rPr>
            </w:pPr>
            <w:r>
              <w:rPr>
                <w:rFonts w:cs="Open Sans Light"/>
                <w:sz w:val="16"/>
                <w:szCs w:val="16"/>
              </w:rPr>
              <w:t>4,986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660C96B" w14:textId="77777777" w:rsidR="003A22B8" w:rsidRDefault="003A22B8" w:rsidP="004D65FE">
            <w:pPr>
              <w:keepNext/>
              <w:keepLines/>
              <w:spacing w:before="0"/>
              <w:jc w:val="right"/>
              <w:rPr>
                <w:rFonts w:cs="Open Sans Light"/>
                <w:sz w:val="16"/>
                <w:szCs w:val="16"/>
              </w:rPr>
            </w:pPr>
            <w:r>
              <w:rPr>
                <w:rFonts w:cs="Open Sans Light"/>
                <w:sz w:val="16"/>
                <w:szCs w:val="16"/>
              </w:rPr>
              <w:t>5,091</w:t>
            </w:r>
          </w:p>
        </w:tc>
      </w:tr>
      <w:tr w:rsidR="003A22B8" w14:paraId="0F488503"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101AB4" w14:textId="77777777" w:rsidR="003A22B8" w:rsidRDefault="003A22B8" w:rsidP="004D65FE">
            <w:pPr>
              <w:keepNext/>
              <w:keepLines/>
              <w:spacing w:before="0"/>
              <w:ind w:left="142" w:hanging="142"/>
              <w:rPr>
                <w:rFonts w:cs="Open Sans Light"/>
                <w:sz w:val="16"/>
                <w:szCs w:val="16"/>
              </w:rPr>
            </w:pPr>
            <w:r>
              <w:rPr>
                <w:rFonts w:cs="Open Sans Light"/>
                <w:sz w:val="16"/>
                <w:szCs w:val="16"/>
              </w:rPr>
              <w:t>Requirement for assistance</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7DD12E0" w14:textId="77777777" w:rsidR="003A22B8" w:rsidRDefault="003A22B8" w:rsidP="004D65FE">
            <w:pPr>
              <w:keepNext/>
              <w:keepLines/>
              <w:spacing w:before="0"/>
              <w:jc w:val="right"/>
              <w:rPr>
                <w:rFonts w:cs="Open Sans Light"/>
                <w:sz w:val="16"/>
                <w:szCs w:val="16"/>
              </w:rPr>
            </w:pPr>
            <w:r>
              <w:rPr>
                <w:rFonts w:cs="Open Sans Light"/>
                <w:sz w:val="16"/>
                <w:szCs w:val="16"/>
              </w:rPr>
              <w:t>3,832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72A1102" w14:textId="77777777" w:rsidR="003A22B8" w:rsidRDefault="003A22B8" w:rsidP="004D65FE">
            <w:pPr>
              <w:keepNext/>
              <w:keepLines/>
              <w:spacing w:before="0"/>
              <w:jc w:val="right"/>
              <w:rPr>
                <w:rFonts w:cs="Open Sans Light"/>
                <w:sz w:val="16"/>
                <w:szCs w:val="16"/>
              </w:rPr>
            </w:pPr>
            <w:r>
              <w:rPr>
                <w:rFonts w:cs="Open Sans Light"/>
                <w:sz w:val="16"/>
                <w:szCs w:val="16"/>
              </w:rPr>
              <w:t>3,866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3DB80D3" w14:textId="77777777" w:rsidR="003A22B8" w:rsidRDefault="003A22B8" w:rsidP="004D65FE">
            <w:pPr>
              <w:keepNext/>
              <w:keepLines/>
              <w:spacing w:before="0"/>
              <w:jc w:val="right"/>
              <w:rPr>
                <w:rFonts w:cs="Open Sans Light"/>
                <w:sz w:val="16"/>
                <w:szCs w:val="16"/>
              </w:rPr>
            </w:pPr>
            <w:r>
              <w:rPr>
                <w:rFonts w:cs="Open Sans Light"/>
                <w:sz w:val="16"/>
                <w:szCs w:val="16"/>
              </w:rPr>
              <w:t>4,551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6E9E550" w14:textId="77777777" w:rsidR="003A22B8" w:rsidRDefault="003A22B8" w:rsidP="004D65FE">
            <w:pPr>
              <w:keepNext/>
              <w:keepLines/>
              <w:spacing w:before="0"/>
              <w:jc w:val="right"/>
              <w:rPr>
                <w:rFonts w:cs="Open Sans Light"/>
                <w:sz w:val="16"/>
                <w:szCs w:val="16"/>
              </w:rPr>
            </w:pPr>
            <w:r>
              <w:rPr>
                <w:rFonts w:cs="Open Sans Light"/>
                <w:sz w:val="16"/>
                <w:szCs w:val="16"/>
              </w:rPr>
              <w:t>2,848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60EEC8D" w14:textId="77777777" w:rsidR="003A22B8" w:rsidRDefault="003A22B8" w:rsidP="004D65FE">
            <w:pPr>
              <w:keepNext/>
              <w:keepLines/>
              <w:spacing w:before="0"/>
              <w:jc w:val="right"/>
              <w:rPr>
                <w:rFonts w:cs="Open Sans Light"/>
                <w:sz w:val="16"/>
                <w:szCs w:val="16"/>
              </w:rPr>
            </w:pPr>
            <w:r>
              <w:rPr>
                <w:rFonts w:cs="Open Sans Light"/>
                <w:sz w:val="16"/>
                <w:szCs w:val="16"/>
              </w:rPr>
              <w:t>5,142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595C9CB" w14:textId="77777777" w:rsidR="003A22B8" w:rsidRDefault="003A22B8" w:rsidP="004D65FE">
            <w:pPr>
              <w:keepNext/>
              <w:keepLines/>
              <w:spacing w:before="0"/>
              <w:jc w:val="right"/>
              <w:rPr>
                <w:rFonts w:cs="Open Sans Light"/>
                <w:sz w:val="16"/>
                <w:szCs w:val="16"/>
              </w:rPr>
            </w:pPr>
            <w:r>
              <w:rPr>
                <w:rFonts w:cs="Open Sans Light"/>
                <w:sz w:val="16"/>
                <w:szCs w:val="16"/>
              </w:rPr>
              <w:t>6,628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E6B5228" w14:textId="77777777" w:rsidR="003A22B8" w:rsidRDefault="003A22B8" w:rsidP="004D65FE">
            <w:pPr>
              <w:keepNext/>
              <w:keepLines/>
              <w:spacing w:before="0"/>
              <w:jc w:val="right"/>
              <w:rPr>
                <w:rFonts w:cs="Open Sans Light"/>
                <w:sz w:val="16"/>
                <w:szCs w:val="16"/>
              </w:rPr>
            </w:pPr>
            <w:r>
              <w:rPr>
                <w:rFonts w:cs="Open Sans Light"/>
                <w:sz w:val="16"/>
                <w:szCs w:val="16"/>
              </w:rPr>
              <w:t>4,377</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63B811B" w14:textId="77777777" w:rsidR="003A22B8" w:rsidRDefault="003A22B8" w:rsidP="004D65FE">
            <w:pPr>
              <w:keepNext/>
              <w:keepLines/>
              <w:spacing w:before="0"/>
              <w:jc w:val="right"/>
              <w:rPr>
                <w:rFonts w:cs="Open Sans Light"/>
                <w:sz w:val="16"/>
                <w:szCs w:val="16"/>
              </w:rPr>
            </w:pPr>
            <w:r>
              <w:rPr>
                <w:rFonts w:cs="Open Sans Light"/>
                <w:sz w:val="16"/>
                <w:szCs w:val="16"/>
              </w:rPr>
              <w:t>15,601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3D4A19C" w14:textId="77777777" w:rsidR="003A22B8" w:rsidRDefault="003A22B8" w:rsidP="004D65FE">
            <w:pPr>
              <w:keepNext/>
              <w:keepLines/>
              <w:spacing w:before="0"/>
              <w:jc w:val="right"/>
              <w:rPr>
                <w:rFonts w:cs="Open Sans Light"/>
                <w:sz w:val="16"/>
                <w:szCs w:val="16"/>
              </w:rPr>
            </w:pPr>
            <w:r>
              <w:rPr>
                <w:rFonts w:cs="Open Sans Light"/>
                <w:sz w:val="16"/>
                <w:szCs w:val="16"/>
              </w:rPr>
              <w:t>4,159</w:t>
            </w:r>
          </w:p>
        </w:tc>
      </w:tr>
      <w:tr w:rsidR="003A22B8" w14:paraId="768A8071" w14:textId="77777777" w:rsidTr="004D65FE">
        <w:trPr>
          <w:trHeight w:val="255"/>
        </w:trPr>
        <w:tc>
          <w:tcPr>
            <w:tcW w:w="2500" w:type="dxa"/>
            <w:tcBorders>
              <w:top w:val="nil"/>
              <w:left w:val="nil"/>
              <w:bottom w:val="nil"/>
              <w:right w:val="nil"/>
            </w:tcBorders>
            <w:shd w:val="clear" w:color="auto" w:fill="auto"/>
            <w:noWrap/>
            <w:tcMar>
              <w:top w:w="15" w:type="dxa"/>
              <w:left w:w="15" w:type="dxa"/>
              <w:bottom w:w="0" w:type="dxa"/>
              <w:right w:w="15" w:type="dxa"/>
            </w:tcMar>
            <w:vAlign w:val="bottom"/>
            <w:hideMark/>
          </w:tcPr>
          <w:p w14:paraId="6C23856D" w14:textId="77777777" w:rsidR="003A22B8" w:rsidRDefault="003A22B8" w:rsidP="004D65FE">
            <w:pPr>
              <w:keepNext/>
              <w:keepLines/>
              <w:spacing w:before="0"/>
              <w:ind w:left="142" w:hanging="142"/>
              <w:rPr>
                <w:rFonts w:cs="Open Sans Light"/>
                <w:i/>
                <w:iCs/>
                <w:sz w:val="16"/>
                <w:szCs w:val="16"/>
              </w:rPr>
            </w:pPr>
            <w:r>
              <w:rPr>
                <w:rFonts w:cs="Open Sans Light"/>
                <w:i/>
                <w:iCs/>
                <w:sz w:val="16"/>
                <w:szCs w:val="16"/>
              </w:rPr>
              <w:t>met through</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29C28F6D" w14:textId="77777777" w:rsidR="003A22B8" w:rsidRDefault="003A22B8" w:rsidP="004D65FE">
            <w:pPr>
              <w:keepNext/>
              <w:keepLines/>
              <w:spacing w:before="0"/>
              <w:rPr>
                <w:rFonts w:cs="Open Sans Light"/>
                <w:i/>
                <w:iCs/>
                <w:sz w:val="16"/>
                <w:szCs w:val="16"/>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28050092"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62F3AED0"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3986503B"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70C0CC22"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2F64395A"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32F8F50F" w14:textId="77777777" w:rsidR="003A22B8" w:rsidRDefault="003A22B8" w:rsidP="004D65FE">
            <w:pPr>
              <w:keepNext/>
              <w:keepLines/>
              <w:spacing w:before="0"/>
              <w:jc w:val="right"/>
              <w:rPr>
                <w:szCs w:val="20"/>
              </w:rPr>
            </w:pPr>
          </w:p>
        </w:tc>
        <w:tc>
          <w:tcPr>
            <w:tcW w:w="820" w:type="dxa"/>
            <w:tcBorders>
              <w:top w:val="nil"/>
              <w:left w:val="nil"/>
              <w:bottom w:val="nil"/>
              <w:right w:val="nil"/>
            </w:tcBorders>
            <w:shd w:val="clear" w:color="auto" w:fill="auto"/>
            <w:tcMar>
              <w:top w:w="15" w:type="dxa"/>
              <w:left w:w="15" w:type="dxa"/>
              <w:bottom w:w="0" w:type="dxa"/>
              <w:right w:w="15" w:type="dxa"/>
            </w:tcMar>
            <w:vAlign w:val="bottom"/>
            <w:hideMark/>
          </w:tcPr>
          <w:p w14:paraId="13DDFF3E"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4695A93E" w14:textId="77777777" w:rsidR="003A22B8" w:rsidRDefault="003A22B8" w:rsidP="004D65FE">
            <w:pPr>
              <w:keepNext/>
              <w:keepLines/>
              <w:spacing w:before="0"/>
              <w:jc w:val="right"/>
              <w:rPr>
                <w:szCs w:val="20"/>
              </w:rPr>
            </w:pPr>
          </w:p>
        </w:tc>
      </w:tr>
      <w:tr w:rsidR="003A22B8" w14:paraId="45B8C4AB"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A6E75D9" w14:textId="77777777" w:rsidR="003A22B8" w:rsidRDefault="003A22B8" w:rsidP="004D65FE">
            <w:pPr>
              <w:keepNext/>
              <w:keepLines/>
              <w:spacing w:before="0"/>
              <w:ind w:left="142" w:hanging="142"/>
              <w:rPr>
                <w:rFonts w:cs="Open Sans Light"/>
                <w:sz w:val="16"/>
                <w:szCs w:val="16"/>
              </w:rPr>
            </w:pPr>
            <w:r>
              <w:rPr>
                <w:rFonts w:cs="Open Sans Light"/>
                <w:sz w:val="16"/>
                <w:szCs w:val="16"/>
              </w:rPr>
              <w:t>Commonwealth payments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AABD6FB" w14:textId="77777777" w:rsidR="003A22B8" w:rsidRDefault="003A22B8" w:rsidP="004D65FE">
            <w:pPr>
              <w:keepNext/>
              <w:keepLines/>
              <w:spacing w:before="0"/>
              <w:jc w:val="right"/>
              <w:rPr>
                <w:rFonts w:cs="Open Sans Light"/>
                <w:sz w:val="16"/>
                <w:szCs w:val="16"/>
              </w:rPr>
            </w:pPr>
            <w:r>
              <w:rPr>
                <w:rFonts w:cs="Open Sans Light"/>
                <w:sz w:val="16"/>
                <w:szCs w:val="16"/>
              </w:rPr>
              <w:t>1,537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D632A28" w14:textId="77777777" w:rsidR="003A22B8" w:rsidRDefault="003A22B8" w:rsidP="004D65FE">
            <w:pPr>
              <w:keepNext/>
              <w:keepLines/>
              <w:spacing w:before="0"/>
              <w:jc w:val="right"/>
              <w:rPr>
                <w:rFonts w:cs="Open Sans Light"/>
                <w:sz w:val="16"/>
                <w:szCs w:val="16"/>
              </w:rPr>
            </w:pPr>
            <w:r>
              <w:rPr>
                <w:rFonts w:cs="Open Sans Light"/>
                <w:sz w:val="16"/>
                <w:szCs w:val="16"/>
              </w:rPr>
              <w:t>1,456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0552B9B" w14:textId="77777777" w:rsidR="003A22B8" w:rsidRDefault="003A22B8" w:rsidP="004D65FE">
            <w:pPr>
              <w:keepNext/>
              <w:keepLines/>
              <w:spacing w:before="0"/>
              <w:jc w:val="right"/>
              <w:rPr>
                <w:rFonts w:cs="Open Sans Light"/>
                <w:sz w:val="16"/>
                <w:szCs w:val="16"/>
              </w:rPr>
            </w:pPr>
            <w:r>
              <w:rPr>
                <w:rFonts w:cs="Open Sans Light"/>
                <w:sz w:val="16"/>
                <w:szCs w:val="16"/>
              </w:rPr>
              <w:t>1,767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E76A284" w14:textId="77777777" w:rsidR="003A22B8" w:rsidRDefault="003A22B8" w:rsidP="004D65FE">
            <w:pPr>
              <w:keepNext/>
              <w:keepLines/>
              <w:spacing w:before="0"/>
              <w:jc w:val="right"/>
              <w:rPr>
                <w:rFonts w:cs="Open Sans Light"/>
                <w:sz w:val="16"/>
                <w:szCs w:val="16"/>
              </w:rPr>
            </w:pPr>
            <w:r>
              <w:rPr>
                <w:rFonts w:cs="Open Sans Light"/>
                <w:sz w:val="16"/>
                <w:szCs w:val="16"/>
              </w:rPr>
              <w:t>1,660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8456731" w14:textId="77777777" w:rsidR="003A22B8" w:rsidRDefault="003A22B8" w:rsidP="004D65FE">
            <w:pPr>
              <w:keepNext/>
              <w:keepLines/>
              <w:spacing w:before="0"/>
              <w:jc w:val="right"/>
              <w:rPr>
                <w:rFonts w:cs="Open Sans Light"/>
                <w:sz w:val="16"/>
                <w:szCs w:val="16"/>
              </w:rPr>
            </w:pPr>
            <w:r>
              <w:rPr>
                <w:rFonts w:cs="Open Sans Light"/>
                <w:sz w:val="16"/>
                <w:szCs w:val="16"/>
              </w:rPr>
              <w:t>1,746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9946FFC" w14:textId="77777777" w:rsidR="003A22B8" w:rsidRDefault="003A22B8" w:rsidP="004D65FE">
            <w:pPr>
              <w:keepNext/>
              <w:keepLines/>
              <w:spacing w:before="0"/>
              <w:jc w:val="right"/>
              <w:rPr>
                <w:rFonts w:cs="Open Sans Light"/>
                <w:sz w:val="16"/>
                <w:szCs w:val="16"/>
              </w:rPr>
            </w:pPr>
            <w:r>
              <w:rPr>
                <w:rFonts w:cs="Open Sans Light"/>
                <w:sz w:val="16"/>
                <w:szCs w:val="16"/>
              </w:rPr>
              <w:t>1,798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E98DE55" w14:textId="77777777" w:rsidR="003A22B8" w:rsidRDefault="003A22B8" w:rsidP="004D65FE">
            <w:pPr>
              <w:keepNext/>
              <w:keepLines/>
              <w:spacing w:before="0"/>
              <w:jc w:val="right"/>
              <w:rPr>
                <w:rFonts w:cs="Open Sans Light"/>
                <w:sz w:val="16"/>
                <w:szCs w:val="16"/>
              </w:rPr>
            </w:pPr>
            <w:r>
              <w:rPr>
                <w:rFonts w:cs="Open Sans Light"/>
                <w:sz w:val="16"/>
                <w:szCs w:val="16"/>
              </w:rPr>
              <w:t>1,451</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99616CF" w14:textId="77777777" w:rsidR="003A22B8" w:rsidRDefault="003A22B8" w:rsidP="004D65FE">
            <w:pPr>
              <w:keepNext/>
              <w:keepLines/>
              <w:spacing w:before="0"/>
              <w:jc w:val="right"/>
              <w:rPr>
                <w:rFonts w:cs="Open Sans Light"/>
                <w:sz w:val="16"/>
                <w:szCs w:val="16"/>
              </w:rPr>
            </w:pPr>
            <w:r>
              <w:rPr>
                <w:rFonts w:cs="Open Sans Light"/>
                <w:sz w:val="16"/>
                <w:szCs w:val="16"/>
              </w:rPr>
              <w:t>3,269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DF5B1F5" w14:textId="77777777" w:rsidR="003A22B8" w:rsidRDefault="003A22B8" w:rsidP="004D65FE">
            <w:pPr>
              <w:keepNext/>
              <w:keepLines/>
              <w:spacing w:before="0"/>
              <w:jc w:val="right"/>
              <w:rPr>
                <w:rFonts w:cs="Open Sans Light"/>
                <w:sz w:val="16"/>
                <w:szCs w:val="16"/>
              </w:rPr>
            </w:pPr>
            <w:r>
              <w:rPr>
                <w:rFonts w:cs="Open Sans Light"/>
                <w:sz w:val="16"/>
                <w:szCs w:val="16"/>
              </w:rPr>
              <w:t>1,611</w:t>
            </w:r>
          </w:p>
        </w:tc>
      </w:tr>
      <w:tr w:rsidR="003A22B8" w14:paraId="2B2DB10B"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C5DA498" w14:textId="77777777" w:rsidR="003A22B8" w:rsidRDefault="003A22B8" w:rsidP="004D65FE">
            <w:pPr>
              <w:keepNext/>
              <w:keepLines/>
              <w:spacing w:before="0"/>
              <w:ind w:left="142" w:hanging="142"/>
              <w:rPr>
                <w:rFonts w:cs="Open Sans Light"/>
                <w:sz w:val="16"/>
                <w:szCs w:val="16"/>
              </w:rPr>
            </w:pPr>
            <w:r>
              <w:rPr>
                <w:rFonts w:cs="Open Sans Light"/>
                <w:sz w:val="16"/>
                <w:szCs w:val="16"/>
              </w:rPr>
              <w:t>GST requirement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F803835" w14:textId="77777777" w:rsidR="003A22B8" w:rsidRDefault="003A22B8" w:rsidP="004D65FE">
            <w:pPr>
              <w:keepNext/>
              <w:keepLines/>
              <w:spacing w:before="0"/>
              <w:jc w:val="right"/>
              <w:rPr>
                <w:rFonts w:cs="Open Sans Light"/>
                <w:sz w:val="16"/>
                <w:szCs w:val="16"/>
              </w:rPr>
            </w:pPr>
            <w:r>
              <w:rPr>
                <w:rFonts w:cs="Open Sans Light"/>
                <w:sz w:val="16"/>
                <w:szCs w:val="16"/>
              </w:rPr>
              <w:t>2,295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4F90CB0" w14:textId="77777777" w:rsidR="003A22B8" w:rsidRDefault="003A22B8" w:rsidP="004D65FE">
            <w:pPr>
              <w:keepNext/>
              <w:keepLines/>
              <w:spacing w:before="0"/>
              <w:jc w:val="right"/>
              <w:rPr>
                <w:rFonts w:cs="Open Sans Light"/>
                <w:sz w:val="16"/>
                <w:szCs w:val="16"/>
              </w:rPr>
            </w:pPr>
            <w:r>
              <w:rPr>
                <w:rFonts w:cs="Open Sans Light"/>
                <w:sz w:val="16"/>
                <w:szCs w:val="16"/>
              </w:rPr>
              <w:t>2,410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168A810" w14:textId="77777777" w:rsidR="003A22B8" w:rsidRDefault="003A22B8" w:rsidP="004D65FE">
            <w:pPr>
              <w:keepNext/>
              <w:keepLines/>
              <w:spacing w:before="0"/>
              <w:jc w:val="right"/>
              <w:rPr>
                <w:rFonts w:cs="Open Sans Light"/>
                <w:sz w:val="16"/>
                <w:szCs w:val="16"/>
              </w:rPr>
            </w:pPr>
            <w:r>
              <w:rPr>
                <w:rFonts w:cs="Open Sans Light"/>
                <w:sz w:val="16"/>
                <w:szCs w:val="16"/>
              </w:rPr>
              <w:t>2,784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7042569" w14:textId="77777777" w:rsidR="003A22B8" w:rsidRDefault="003A22B8" w:rsidP="004D65FE">
            <w:pPr>
              <w:keepNext/>
              <w:keepLines/>
              <w:spacing w:before="0"/>
              <w:jc w:val="right"/>
              <w:rPr>
                <w:rFonts w:cs="Open Sans Light"/>
                <w:sz w:val="16"/>
                <w:szCs w:val="16"/>
              </w:rPr>
            </w:pPr>
            <w:r>
              <w:rPr>
                <w:rFonts w:cs="Open Sans Light"/>
                <w:sz w:val="16"/>
                <w:szCs w:val="16"/>
              </w:rPr>
              <w:t>1,188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51BFE72" w14:textId="77777777" w:rsidR="003A22B8" w:rsidRDefault="003A22B8" w:rsidP="004D65FE">
            <w:pPr>
              <w:keepNext/>
              <w:keepLines/>
              <w:spacing w:before="0"/>
              <w:jc w:val="right"/>
              <w:rPr>
                <w:rFonts w:cs="Open Sans Light"/>
                <w:sz w:val="16"/>
                <w:szCs w:val="16"/>
              </w:rPr>
            </w:pPr>
            <w:r>
              <w:rPr>
                <w:rFonts w:cs="Open Sans Light"/>
                <w:sz w:val="16"/>
                <w:szCs w:val="16"/>
              </w:rPr>
              <w:t>3,396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DFD11F7" w14:textId="77777777" w:rsidR="003A22B8" w:rsidRDefault="003A22B8" w:rsidP="004D65FE">
            <w:pPr>
              <w:keepNext/>
              <w:keepLines/>
              <w:spacing w:before="0"/>
              <w:jc w:val="right"/>
              <w:rPr>
                <w:rFonts w:cs="Open Sans Light"/>
                <w:sz w:val="16"/>
                <w:szCs w:val="16"/>
              </w:rPr>
            </w:pPr>
            <w:r>
              <w:rPr>
                <w:rFonts w:cs="Open Sans Light"/>
                <w:sz w:val="16"/>
                <w:szCs w:val="16"/>
              </w:rPr>
              <w:t>4,830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0A6ED33" w14:textId="77777777" w:rsidR="003A22B8" w:rsidRDefault="003A22B8" w:rsidP="004D65FE">
            <w:pPr>
              <w:keepNext/>
              <w:keepLines/>
              <w:spacing w:before="0"/>
              <w:jc w:val="right"/>
              <w:rPr>
                <w:rFonts w:cs="Open Sans Light"/>
                <w:sz w:val="16"/>
                <w:szCs w:val="16"/>
              </w:rPr>
            </w:pPr>
            <w:r>
              <w:rPr>
                <w:rFonts w:cs="Open Sans Light"/>
                <w:sz w:val="16"/>
                <w:szCs w:val="16"/>
              </w:rPr>
              <w:t>2,926</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EE68767" w14:textId="77777777" w:rsidR="003A22B8" w:rsidRDefault="003A22B8" w:rsidP="004D65FE">
            <w:pPr>
              <w:keepNext/>
              <w:keepLines/>
              <w:spacing w:before="0"/>
              <w:jc w:val="right"/>
              <w:rPr>
                <w:rFonts w:cs="Open Sans Light"/>
                <w:sz w:val="16"/>
                <w:szCs w:val="16"/>
              </w:rPr>
            </w:pPr>
            <w:r>
              <w:rPr>
                <w:rFonts w:cs="Open Sans Light"/>
                <w:sz w:val="16"/>
                <w:szCs w:val="16"/>
              </w:rPr>
              <w:t>12,332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CE57E5F" w14:textId="77777777" w:rsidR="003A22B8" w:rsidRDefault="003A22B8" w:rsidP="004D65FE">
            <w:pPr>
              <w:keepNext/>
              <w:keepLines/>
              <w:spacing w:before="0"/>
              <w:jc w:val="right"/>
              <w:rPr>
                <w:rFonts w:cs="Open Sans Light"/>
                <w:sz w:val="16"/>
                <w:szCs w:val="16"/>
              </w:rPr>
            </w:pPr>
            <w:r>
              <w:rPr>
                <w:rFonts w:cs="Open Sans Light"/>
                <w:sz w:val="16"/>
                <w:szCs w:val="16"/>
              </w:rPr>
              <w:t>2,549</w:t>
            </w:r>
          </w:p>
        </w:tc>
      </w:tr>
      <w:tr w:rsidR="003A22B8" w14:paraId="339B4162"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2EDC51F"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Per capita relativity</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46AFECB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0.901</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6619C42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0.946</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058726E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1.092</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2CEBFC6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0.466</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743ED3C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1.332</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294E993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1.895</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4759720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1.148</w:t>
            </w:r>
          </w:p>
        </w:tc>
        <w:tc>
          <w:tcPr>
            <w:tcW w:w="82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4D78719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4.839</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20A9F7F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1.000</w:t>
            </w:r>
          </w:p>
        </w:tc>
      </w:tr>
    </w:tbl>
    <w:p w14:paraId="66282756" w14:textId="72781B0E" w:rsidR="003A22B8" w:rsidRDefault="003A22B8" w:rsidP="003A22B8">
      <w:pPr>
        <w:pStyle w:val="CGCTablenote"/>
      </w:pPr>
      <w:r>
        <w:t>Notes:</w:t>
      </w:r>
      <w:r>
        <w:tab/>
        <w:t>Net borrowing considered to be an alternative source of funds to meet a State’s expenditure requirement</w:t>
      </w:r>
      <w:r w:rsidR="006A0D6E">
        <w:t>.</w:t>
      </w:r>
    </w:p>
    <w:p w14:paraId="2D7A0D2C" w14:textId="77777777" w:rsidR="003A22B8" w:rsidRDefault="003A22B8" w:rsidP="003A22B8">
      <w:pPr>
        <w:pStyle w:val="CGCTablenote"/>
      </w:pPr>
      <w:r>
        <w:tab/>
        <w:t>Per capita relativities are equal to each State’s GST requirement divided by the average GST requirement.</w:t>
      </w:r>
    </w:p>
    <w:p w14:paraId="3E581F49" w14:textId="77777777" w:rsidR="003A22B8" w:rsidRPr="00B068A3" w:rsidRDefault="003A22B8" w:rsidP="003A22B8">
      <w:pPr>
        <w:pStyle w:val="CGCTablenote"/>
      </w:pPr>
      <w:r>
        <w:t>Source:</w:t>
      </w:r>
      <w:r>
        <w:tab/>
        <w:t>CGC calculation.</w:t>
      </w:r>
    </w:p>
    <w:p w14:paraId="55B5063D" w14:textId="60F66822" w:rsidR="003A22B8" w:rsidRDefault="003A22B8" w:rsidP="003A22B8">
      <w:pPr>
        <w:pStyle w:val="Caption"/>
      </w:pPr>
      <w:bookmarkStart w:id="648" w:name="_Ref30429956"/>
      <w:r>
        <w:lastRenderedPageBreak/>
        <w:t>Table 30-</w:t>
      </w:r>
      <w:fldSimple w:instr=" SEQ Table \* ARABIC ">
        <w:r w:rsidR="007F721A">
          <w:rPr>
            <w:noProof/>
          </w:rPr>
          <w:t>7</w:t>
        </w:r>
      </w:fldSimple>
      <w:bookmarkEnd w:id="648"/>
      <w:r>
        <w:tab/>
        <w:t>Per capita assessed expenses, 2018-19</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45F32B6A" w14:textId="77777777" w:rsidTr="004D65FE">
        <w:trPr>
          <w:trHeight w:val="375"/>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CBD4062" w14:textId="77777777" w:rsidR="003A22B8" w:rsidRDefault="003A22B8" w:rsidP="004D65FE">
            <w:pPr>
              <w:keepNext/>
              <w:keepLines/>
              <w:tabs>
                <w:tab w:val="clear" w:pos="567"/>
              </w:tabs>
              <w:spacing w:before="0" w:line="240" w:lineRule="auto"/>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35BAA7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EA89B23"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5544EC0"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E5E0F11"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974C7A2"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01B5E21"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4F6EE61"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023E9A3"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CC6E95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16165F92" w14:textId="77777777" w:rsidTr="005C340D">
        <w:trPr>
          <w:trHeight w:val="255"/>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CD555CE" w14:textId="77777777" w:rsidR="003A22B8" w:rsidRDefault="003A22B8" w:rsidP="004D65FE">
            <w:pPr>
              <w:keepNext/>
              <w:keepLines/>
              <w:spacing w:before="0"/>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F49809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1D65ED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8015D5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766700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FE5A25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79130C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80A22F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7ECD05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301C60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54D5615C"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5D2EE4" w14:textId="77777777" w:rsidR="003A22B8" w:rsidRDefault="003A22B8" w:rsidP="004D65FE">
            <w:pPr>
              <w:keepNext/>
              <w:keepLines/>
              <w:spacing w:before="0"/>
              <w:ind w:left="142" w:hanging="142"/>
              <w:rPr>
                <w:rFonts w:cs="Open Sans Light"/>
                <w:sz w:val="16"/>
                <w:szCs w:val="16"/>
              </w:rPr>
            </w:pPr>
            <w:r>
              <w:rPr>
                <w:rFonts w:cs="Open Sans Light"/>
                <w:sz w:val="16"/>
                <w:szCs w:val="16"/>
              </w:rPr>
              <w:t>Schools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DCCC46" w14:textId="77777777" w:rsidR="003A22B8" w:rsidRDefault="003A22B8" w:rsidP="004D65FE">
            <w:pPr>
              <w:keepNext/>
              <w:keepLines/>
              <w:spacing w:before="0"/>
              <w:jc w:val="right"/>
              <w:rPr>
                <w:rFonts w:cs="Open Sans Light"/>
                <w:sz w:val="16"/>
                <w:szCs w:val="16"/>
              </w:rPr>
            </w:pPr>
            <w:r>
              <w:rPr>
                <w:rFonts w:cs="Open Sans Light"/>
                <w:sz w:val="16"/>
                <w:szCs w:val="16"/>
              </w:rPr>
              <w:t>1,682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995858E" w14:textId="77777777" w:rsidR="003A22B8" w:rsidRDefault="003A22B8" w:rsidP="004D65FE">
            <w:pPr>
              <w:keepNext/>
              <w:keepLines/>
              <w:spacing w:before="0"/>
              <w:jc w:val="right"/>
              <w:rPr>
                <w:rFonts w:cs="Open Sans Light"/>
                <w:sz w:val="16"/>
                <w:szCs w:val="16"/>
              </w:rPr>
            </w:pPr>
            <w:r>
              <w:rPr>
                <w:rFonts w:cs="Open Sans Light"/>
                <w:sz w:val="16"/>
                <w:szCs w:val="16"/>
              </w:rPr>
              <w:t>1,544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831502E" w14:textId="77777777" w:rsidR="003A22B8" w:rsidRDefault="003A22B8" w:rsidP="004D65FE">
            <w:pPr>
              <w:keepNext/>
              <w:keepLines/>
              <w:spacing w:before="0"/>
              <w:jc w:val="right"/>
              <w:rPr>
                <w:rFonts w:cs="Open Sans Light"/>
                <w:sz w:val="16"/>
                <w:szCs w:val="16"/>
              </w:rPr>
            </w:pPr>
            <w:r>
              <w:rPr>
                <w:rFonts w:cs="Open Sans Light"/>
                <w:sz w:val="16"/>
                <w:szCs w:val="16"/>
              </w:rPr>
              <w:t>1,852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6DDEC5F" w14:textId="77777777" w:rsidR="003A22B8" w:rsidRDefault="003A22B8" w:rsidP="004D65FE">
            <w:pPr>
              <w:keepNext/>
              <w:keepLines/>
              <w:spacing w:before="0"/>
              <w:jc w:val="right"/>
              <w:rPr>
                <w:rFonts w:cs="Open Sans Light"/>
                <w:sz w:val="16"/>
                <w:szCs w:val="16"/>
              </w:rPr>
            </w:pPr>
            <w:r>
              <w:rPr>
                <w:rFonts w:cs="Open Sans Light"/>
                <w:sz w:val="16"/>
                <w:szCs w:val="16"/>
              </w:rPr>
              <w:t>1,854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AC1D56C" w14:textId="77777777" w:rsidR="003A22B8" w:rsidRDefault="003A22B8" w:rsidP="004D65FE">
            <w:pPr>
              <w:keepNext/>
              <w:keepLines/>
              <w:spacing w:before="0"/>
              <w:jc w:val="right"/>
              <w:rPr>
                <w:rFonts w:cs="Open Sans Light"/>
                <w:sz w:val="16"/>
                <w:szCs w:val="16"/>
              </w:rPr>
            </w:pPr>
            <w:r>
              <w:rPr>
                <w:rFonts w:cs="Open Sans Light"/>
                <w:sz w:val="16"/>
                <w:szCs w:val="16"/>
              </w:rPr>
              <w:t>1,681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9257312" w14:textId="77777777" w:rsidR="003A22B8" w:rsidRDefault="003A22B8" w:rsidP="004D65FE">
            <w:pPr>
              <w:keepNext/>
              <w:keepLines/>
              <w:spacing w:before="0"/>
              <w:jc w:val="right"/>
              <w:rPr>
                <w:rFonts w:cs="Open Sans Light"/>
                <w:sz w:val="16"/>
                <w:szCs w:val="16"/>
              </w:rPr>
            </w:pPr>
            <w:r>
              <w:rPr>
                <w:rFonts w:cs="Open Sans Light"/>
                <w:sz w:val="16"/>
                <w:szCs w:val="16"/>
              </w:rPr>
              <w:t>1,891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BC1D0D" w14:textId="77777777" w:rsidR="003A22B8" w:rsidRDefault="003A22B8" w:rsidP="004D65FE">
            <w:pPr>
              <w:keepNext/>
              <w:keepLines/>
              <w:spacing w:before="0"/>
              <w:jc w:val="right"/>
              <w:rPr>
                <w:rFonts w:cs="Open Sans Light"/>
                <w:sz w:val="16"/>
                <w:szCs w:val="16"/>
              </w:rPr>
            </w:pPr>
            <w:r>
              <w:rPr>
                <w:rFonts w:cs="Open Sans Light"/>
                <w:sz w:val="16"/>
                <w:szCs w:val="16"/>
              </w:rPr>
              <w:t>1,568</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7B37FAC" w14:textId="77777777" w:rsidR="003A22B8" w:rsidRDefault="003A22B8" w:rsidP="004D65FE">
            <w:pPr>
              <w:keepNext/>
              <w:keepLines/>
              <w:spacing w:before="0"/>
              <w:jc w:val="right"/>
              <w:rPr>
                <w:rFonts w:cs="Open Sans Light"/>
                <w:sz w:val="16"/>
                <w:szCs w:val="16"/>
              </w:rPr>
            </w:pPr>
            <w:r>
              <w:rPr>
                <w:rFonts w:cs="Open Sans Light"/>
                <w:sz w:val="16"/>
                <w:szCs w:val="16"/>
              </w:rPr>
              <w:t>3,095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35BE61" w14:textId="77777777" w:rsidR="003A22B8" w:rsidRDefault="003A22B8" w:rsidP="004D65FE">
            <w:pPr>
              <w:keepNext/>
              <w:keepLines/>
              <w:spacing w:before="0"/>
              <w:jc w:val="right"/>
              <w:rPr>
                <w:rFonts w:cs="Open Sans Light"/>
                <w:sz w:val="16"/>
                <w:szCs w:val="16"/>
              </w:rPr>
            </w:pPr>
            <w:r>
              <w:rPr>
                <w:rFonts w:cs="Open Sans Light"/>
                <w:sz w:val="16"/>
                <w:szCs w:val="16"/>
              </w:rPr>
              <w:t>1,714</w:t>
            </w:r>
          </w:p>
        </w:tc>
      </w:tr>
      <w:tr w:rsidR="003A22B8" w14:paraId="337534A4"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904E343" w14:textId="77777777" w:rsidR="003A22B8" w:rsidRDefault="003A22B8" w:rsidP="004D65FE">
            <w:pPr>
              <w:keepNext/>
              <w:keepLines/>
              <w:spacing w:before="0"/>
              <w:ind w:left="142" w:hanging="142"/>
              <w:rPr>
                <w:rFonts w:cs="Open Sans Light"/>
                <w:sz w:val="16"/>
                <w:szCs w:val="16"/>
              </w:rPr>
            </w:pPr>
            <w:r>
              <w:rPr>
                <w:rFonts w:cs="Open Sans Light"/>
                <w:sz w:val="16"/>
                <w:szCs w:val="16"/>
              </w:rPr>
              <w:t>Post-secondary education</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B8F36D6" w14:textId="77777777" w:rsidR="003A22B8" w:rsidRDefault="003A22B8" w:rsidP="004D65FE">
            <w:pPr>
              <w:keepNext/>
              <w:keepLines/>
              <w:spacing w:before="0"/>
              <w:jc w:val="right"/>
              <w:rPr>
                <w:rFonts w:cs="Open Sans Light"/>
                <w:sz w:val="16"/>
                <w:szCs w:val="16"/>
              </w:rPr>
            </w:pPr>
            <w:r>
              <w:rPr>
                <w:rFonts w:cs="Open Sans Light"/>
                <w:sz w:val="16"/>
                <w:szCs w:val="16"/>
              </w:rPr>
              <w:t>229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037A41A" w14:textId="77777777" w:rsidR="003A22B8" w:rsidRDefault="003A22B8" w:rsidP="004D65FE">
            <w:pPr>
              <w:keepNext/>
              <w:keepLines/>
              <w:spacing w:before="0"/>
              <w:jc w:val="right"/>
              <w:rPr>
                <w:rFonts w:cs="Open Sans Light"/>
                <w:sz w:val="16"/>
                <w:szCs w:val="16"/>
              </w:rPr>
            </w:pPr>
            <w:r>
              <w:rPr>
                <w:rFonts w:cs="Open Sans Light"/>
                <w:sz w:val="16"/>
                <w:szCs w:val="16"/>
              </w:rPr>
              <w:t>222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19F7D19" w14:textId="77777777" w:rsidR="003A22B8" w:rsidRDefault="003A22B8" w:rsidP="004D65FE">
            <w:pPr>
              <w:keepNext/>
              <w:keepLines/>
              <w:spacing w:before="0"/>
              <w:jc w:val="right"/>
              <w:rPr>
                <w:rFonts w:cs="Open Sans Light"/>
                <w:sz w:val="16"/>
                <w:szCs w:val="16"/>
              </w:rPr>
            </w:pPr>
            <w:r>
              <w:rPr>
                <w:rFonts w:cs="Open Sans Light"/>
                <w:sz w:val="16"/>
                <w:szCs w:val="16"/>
              </w:rPr>
              <w:t>241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E8EE119" w14:textId="77777777" w:rsidR="003A22B8" w:rsidRDefault="003A22B8" w:rsidP="004D65FE">
            <w:pPr>
              <w:keepNext/>
              <w:keepLines/>
              <w:spacing w:before="0"/>
              <w:jc w:val="right"/>
              <w:rPr>
                <w:rFonts w:cs="Open Sans Light"/>
                <w:sz w:val="16"/>
                <w:szCs w:val="16"/>
              </w:rPr>
            </w:pPr>
            <w:r>
              <w:rPr>
                <w:rFonts w:cs="Open Sans Light"/>
                <w:sz w:val="16"/>
                <w:szCs w:val="16"/>
              </w:rPr>
              <w:t>238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A5E850D" w14:textId="77777777" w:rsidR="003A22B8" w:rsidRDefault="003A22B8" w:rsidP="004D65FE">
            <w:pPr>
              <w:keepNext/>
              <w:keepLines/>
              <w:spacing w:before="0"/>
              <w:jc w:val="right"/>
              <w:rPr>
                <w:rFonts w:cs="Open Sans Light"/>
                <w:sz w:val="16"/>
                <w:szCs w:val="16"/>
              </w:rPr>
            </w:pPr>
            <w:r>
              <w:rPr>
                <w:rFonts w:cs="Open Sans Light"/>
                <w:sz w:val="16"/>
                <w:szCs w:val="16"/>
              </w:rPr>
              <w:t>233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7231F10" w14:textId="77777777" w:rsidR="003A22B8" w:rsidRDefault="003A22B8" w:rsidP="004D65FE">
            <w:pPr>
              <w:keepNext/>
              <w:keepLines/>
              <w:spacing w:before="0"/>
              <w:jc w:val="right"/>
              <w:rPr>
                <w:rFonts w:cs="Open Sans Light"/>
                <w:sz w:val="16"/>
                <w:szCs w:val="16"/>
              </w:rPr>
            </w:pPr>
            <w:r>
              <w:rPr>
                <w:rFonts w:cs="Open Sans Light"/>
                <w:sz w:val="16"/>
                <w:szCs w:val="16"/>
              </w:rPr>
              <w:t>262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96B6C67" w14:textId="77777777" w:rsidR="003A22B8" w:rsidRDefault="003A22B8" w:rsidP="004D65FE">
            <w:pPr>
              <w:keepNext/>
              <w:keepLines/>
              <w:spacing w:before="0"/>
              <w:jc w:val="right"/>
              <w:rPr>
                <w:rFonts w:cs="Open Sans Light"/>
                <w:sz w:val="16"/>
                <w:szCs w:val="16"/>
              </w:rPr>
            </w:pPr>
            <w:r>
              <w:rPr>
                <w:rFonts w:cs="Open Sans Light"/>
                <w:sz w:val="16"/>
                <w:szCs w:val="16"/>
              </w:rPr>
              <w:t>229</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92A58BF" w14:textId="77777777" w:rsidR="003A22B8" w:rsidRDefault="003A22B8" w:rsidP="004D65FE">
            <w:pPr>
              <w:keepNext/>
              <w:keepLines/>
              <w:spacing w:before="0"/>
              <w:jc w:val="right"/>
              <w:rPr>
                <w:rFonts w:cs="Open Sans Light"/>
                <w:sz w:val="16"/>
                <w:szCs w:val="16"/>
              </w:rPr>
            </w:pPr>
            <w:r>
              <w:rPr>
                <w:rFonts w:cs="Open Sans Light"/>
                <w:sz w:val="16"/>
                <w:szCs w:val="16"/>
              </w:rPr>
              <w:t>399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89B9377" w14:textId="77777777" w:rsidR="003A22B8" w:rsidRDefault="003A22B8" w:rsidP="004D65FE">
            <w:pPr>
              <w:keepNext/>
              <w:keepLines/>
              <w:spacing w:before="0"/>
              <w:jc w:val="right"/>
              <w:rPr>
                <w:rFonts w:cs="Open Sans Light"/>
                <w:sz w:val="16"/>
                <w:szCs w:val="16"/>
              </w:rPr>
            </w:pPr>
            <w:r>
              <w:rPr>
                <w:rFonts w:cs="Open Sans Light"/>
                <w:sz w:val="16"/>
                <w:szCs w:val="16"/>
              </w:rPr>
              <w:t>233</w:t>
            </w:r>
          </w:p>
        </w:tc>
      </w:tr>
      <w:tr w:rsidR="003A22B8" w14:paraId="5AEDAAC4"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2714D72" w14:textId="77777777" w:rsidR="003A22B8" w:rsidRDefault="003A22B8" w:rsidP="004D65FE">
            <w:pPr>
              <w:keepNext/>
              <w:keepLines/>
              <w:spacing w:before="0"/>
              <w:ind w:left="142" w:hanging="142"/>
              <w:rPr>
                <w:rFonts w:cs="Open Sans Light"/>
                <w:sz w:val="16"/>
                <w:szCs w:val="16"/>
              </w:rPr>
            </w:pPr>
            <w:r>
              <w:rPr>
                <w:rFonts w:cs="Open Sans Light"/>
                <w:sz w:val="16"/>
                <w:szCs w:val="16"/>
              </w:rPr>
              <w:t>Health</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FB4EE66" w14:textId="77777777" w:rsidR="003A22B8" w:rsidRDefault="003A22B8" w:rsidP="004D65FE">
            <w:pPr>
              <w:keepNext/>
              <w:keepLines/>
              <w:spacing w:before="0"/>
              <w:jc w:val="right"/>
              <w:rPr>
                <w:rFonts w:cs="Open Sans Light"/>
                <w:sz w:val="16"/>
                <w:szCs w:val="16"/>
              </w:rPr>
            </w:pPr>
            <w:r>
              <w:rPr>
                <w:rFonts w:cs="Open Sans Light"/>
                <w:sz w:val="16"/>
                <w:szCs w:val="16"/>
              </w:rPr>
              <w:t>2,645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B2A8CAF" w14:textId="77777777" w:rsidR="003A22B8" w:rsidRDefault="003A22B8" w:rsidP="004D65FE">
            <w:pPr>
              <w:keepNext/>
              <w:keepLines/>
              <w:spacing w:before="0"/>
              <w:jc w:val="right"/>
              <w:rPr>
                <w:rFonts w:cs="Open Sans Light"/>
                <w:sz w:val="16"/>
                <w:szCs w:val="16"/>
              </w:rPr>
            </w:pPr>
            <w:r>
              <w:rPr>
                <w:rFonts w:cs="Open Sans Light"/>
                <w:sz w:val="16"/>
                <w:szCs w:val="16"/>
              </w:rPr>
              <w:t>2,536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A63CFF1" w14:textId="77777777" w:rsidR="003A22B8" w:rsidRDefault="003A22B8" w:rsidP="004D65FE">
            <w:pPr>
              <w:keepNext/>
              <w:keepLines/>
              <w:spacing w:before="0"/>
              <w:jc w:val="right"/>
              <w:rPr>
                <w:rFonts w:cs="Open Sans Light"/>
                <w:sz w:val="16"/>
                <w:szCs w:val="16"/>
              </w:rPr>
            </w:pPr>
            <w:r>
              <w:rPr>
                <w:rFonts w:cs="Open Sans Light"/>
                <w:sz w:val="16"/>
                <w:szCs w:val="16"/>
              </w:rPr>
              <w:t>2,793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22D3D7E" w14:textId="77777777" w:rsidR="003A22B8" w:rsidRDefault="003A22B8" w:rsidP="004D65FE">
            <w:pPr>
              <w:keepNext/>
              <w:keepLines/>
              <w:spacing w:before="0"/>
              <w:jc w:val="right"/>
              <w:rPr>
                <w:rFonts w:cs="Open Sans Light"/>
                <w:sz w:val="16"/>
                <w:szCs w:val="16"/>
              </w:rPr>
            </w:pPr>
            <w:r>
              <w:rPr>
                <w:rFonts w:cs="Open Sans Light"/>
                <w:sz w:val="16"/>
                <w:szCs w:val="16"/>
              </w:rPr>
              <w:t>2,840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C9D0F05" w14:textId="77777777" w:rsidR="003A22B8" w:rsidRDefault="003A22B8" w:rsidP="004D65FE">
            <w:pPr>
              <w:keepNext/>
              <w:keepLines/>
              <w:spacing w:before="0"/>
              <w:jc w:val="right"/>
              <w:rPr>
                <w:rFonts w:cs="Open Sans Light"/>
                <w:sz w:val="16"/>
                <w:szCs w:val="16"/>
              </w:rPr>
            </w:pPr>
            <w:r>
              <w:rPr>
                <w:rFonts w:cs="Open Sans Light"/>
                <w:sz w:val="16"/>
                <w:szCs w:val="16"/>
              </w:rPr>
              <w:t>2,895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0562395" w14:textId="77777777" w:rsidR="003A22B8" w:rsidRDefault="003A22B8" w:rsidP="004D65FE">
            <w:pPr>
              <w:keepNext/>
              <w:keepLines/>
              <w:spacing w:before="0"/>
              <w:jc w:val="right"/>
              <w:rPr>
                <w:rFonts w:cs="Open Sans Light"/>
                <w:sz w:val="16"/>
                <w:szCs w:val="16"/>
              </w:rPr>
            </w:pPr>
            <w:r>
              <w:rPr>
                <w:rFonts w:cs="Open Sans Light"/>
                <w:sz w:val="16"/>
                <w:szCs w:val="16"/>
              </w:rPr>
              <w:t>3,453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39FF321" w14:textId="77777777" w:rsidR="003A22B8" w:rsidRDefault="003A22B8" w:rsidP="004D65FE">
            <w:pPr>
              <w:keepNext/>
              <w:keepLines/>
              <w:spacing w:before="0"/>
              <w:jc w:val="right"/>
              <w:rPr>
                <w:rFonts w:cs="Open Sans Light"/>
                <w:sz w:val="16"/>
                <w:szCs w:val="16"/>
              </w:rPr>
            </w:pPr>
            <w:r>
              <w:rPr>
                <w:rFonts w:cs="Open Sans Light"/>
                <w:sz w:val="16"/>
                <w:szCs w:val="16"/>
              </w:rPr>
              <w:t>2,300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A3F1752" w14:textId="77777777" w:rsidR="003A22B8" w:rsidRDefault="003A22B8" w:rsidP="004D65FE">
            <w:pPr>
              <w:keepNext/>
              <w:keepLines/>
              <w:spacing w:before="0"/>
              <w:jc w:val="right"/>
              <w:rPr>
                <w:rFonts w:cs="Open Sans Light"/>
                <w:sz w:val="16"/>
                <w:szCs w:val="16"/>
              </w:rPr>
            </w:pPr>
            <w:r>
              <w:rPr>
                <w:rFonts w:cs="Open Sans Light"/>
                <w:sz w:val="16"/>
                <w:szCs w:val="16"/>
              </w:rPr>
              <w:t>4,970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16E98EE" w14:textId="77777777" w:rsidR="003A22B8" w:rsidRDefault="003A22B8" w:rsidP="004D65FE">
            <w:pPr>
              <w:keepNext/>
              <w:keepLines/>
              <w:spacing w:before="0"/>
              <w:jc w:val="right"/>
              <w:rPr>
                <w:rFonts w:cs="Open Sans Light"/>
                <w:sz w:val="16"/>
                <w:szCs w:val="16"/>
              </w:rPr>
            </w:pPr>
            <w:r>
              <w:rPr>
                <w:rFonts w:cs="Open Sans Light"/>
                <w:sz w:val="16"/>
                <w:szCs w:val="16"/>
              </w:rPr>
              <w:t>2,718</w:t>
            </w:r>
          </w:p>
        </w:tc>
      </w:tr>
      <w:tr w:rsidR="006A0D6E" w:rsidRPr="004E46DA" w14:paraId="67995663" w14:textId="77777777" w:rsidTr="006A0D6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8742C22" w14:textId="77777777" w:rsidR="006A0D6E" w:rsidRPr="004E46DA" w:rsidRDefault="006A0D6E" w:rsidP="0053479F">
            <w:pPr>
              <w:keepNext/>
              <w:keepLines/>
              <w:spacing w:before="0"/>
              <w:ind w:left="142" w:hanging="142"/>
              <w:rPr>
                <w:rFonts w:cs="Open Sans Light"/>
                <w:sz w:val="16"/>
                <w:szCs w:val="16"/>
              </w:rPr>
            </w:pPr>
            <w:r w:rsidRPr="004E46DA">
              <w:rPr>
                <w:rFonts w:cs="Open Sans Light"/>
                <w:sz w:val="16"/>
                <w:szCs w:val="16"/>
              </w:rPr>
              <w:t>Housing</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BCDF981" w14:textId="77777777" w:rsidR="006A0D6E" w:rsidRPr="004E46DA" w:rsidRDefault="006A0D6E" w:rsidP="006A0D6E">
            <w:pPr>
              <w:keepNext/>
              <w:keepLines/>
              <w:spacing w:before="0"/>
              <w:jc w:val="right"/>
              <w:rPr>
                <w:rFonts w:cs="Open Sans Light"/>
                <w:sz w:val="16"/>
                <w:szCs w:val="16"/>
              </w:rPr>
            </w:pPr>
            <w:r w:rsidRPr="004E46DA">
              <w:rPr>
                <w:rFonts w:cs="Open Sans Light"/>
                <w:sz w:val="16"/>
                <w:szCs w:val="16"/>
              </w:rPr>
              <w:t>120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7E9ABF2" w14:textId="77777777" w:rsidR="006A0D6E" w:rsidRPr="004E46DA" w:rsidRDefault="006A0D6E" w:rsidP="006A0D6E">
            <w:pPr>
              <w:keepNext/>
              <w:keepLines/>
              <w:spacing w:before="0"/>
              <w:jc w:val="right"/>
              <w:rPr>
                <w:rFonts w:cs="Open Sans Light"/>
                <w:sz w:val="16"/>
                <w:szCs w:val="16"/>
              </w:rPr>
            </w:pPr>
            <w:r w:rsidRPr="004E46DA">
              <w:rPr>
                <w:rFonts w:cs="Open Sans Light"/>
                <w:sz w:val="16"/>
                <w:szCs w:val="16"/>
              </w:rPr>
              <w:t>104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A7633D7" w14:textId="77777777" w:rsidR="006A0D6E" w:rsidRPr="004E46DA" w:rsidRDefault="006A0D6E" w:rsidP="006A0D6E">
            <w:pPr>
              <w:keepNext/>
              <w:keepLines/>
              <w:spacing w:before="0"/>
              <w:jc w:val="right"/>
              <w:rPr>
                <w:rFonts w:cs="Open Sans Light"/>
                <w:sz w:val="16"/>
                <w:szCs w:val="16"/>
              </w:rPr>
            </w:pPr>
            <w:r w:rsidRPr="004E46DA">
              <w:rPr>
                <w:rFonts w:cs="Open Sans Light"/>
                <w:sz w:val="16"/>
                <w:szCs w:val="16"/>
              </w:rPr>
              <w:t>140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3AF792D" w14:textId="77777777" w:rsidR="006A0D6E" w:rsidRPr="004E46DA" w:rsidRDefault="006A0D6E" w:rsidP="006A0D6E">
            <w:pPr>
              <w:keepNext/>
              <w:keepLines/>
              <w:spacing w:before="0"/>
              <w:jc w:val="right"/>
              <w:rPr>
                <w:rFonts w:cs="Open Sans Light"/>
                <w:sz w:val="16"/>
                <w:szCs w:val="16"/>
              </w:rPr>
            </w:pPr>
            <w:r w:rsidRPr="004E46DA">
              <w:rPr>
                <w:rFonts w:cs="Open Sans Light"/>
                <w:sz w:val="16"/>
                <w:szCs w:val="16"/>
              </w:rPr>
              <w:t>156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C8846C" w14:textId="77777777" w:rsidR="006A0D6E" w:rsidRPr="004E46DA" w:rsidRDefault="006A0D6E" w:rsidP="006A0D6E">
            <w:pPr>
              <w:keepNext/>
              <w:keepLines/>
              <w:spacing w:before="0"/>
              <w:jc w:val="right"/>
              <w:rPr>
                <w:rFonts w:cs="Open Sans Light"/>
                <w:sz w:val="16"/>
                <w:szCs w:val="16"/>
              </w:rPr>
            </w:pPr>
            <w:r w:rsidRPr="004E46DA">
              <w:rPr>
                <w:rFonts w:cs="Open Sans Light"/>
                <w:sz w:val="16"/>
                <w:szCs w:val="16"/>
              </w:rPr>
              <w:t>142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8CEB3D" w14:textId="77777777" w:rsidR="006A0D6E" w:rsidRPr="004E46DA" w:rsidRDefault="006A0D6E" w:rsidP="006A0D6E">
            <w:pPr>
              <w:keepNext/>
              <w:keepLines/>
              <w:spacing w:before="0"/>
              <w:jc w:val="right"/>
              <w:rPr>
                <w:rFonts w:cs="Open Sans Light"/>
                <w:sz w:val="16"/>
                <w:szCs w:val="16"/>
              </w:rPr>
            </w:pPr>
            <w:r w:rsidRPr="004E46DA">
              <w:rPr>
                <w:rFonts w:cs="Open Sans Light"/>
                <w:sz w:val="16"/>
                <w:szCs w:val="16"/>
              </w:rPr>
              <w:t>148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29725A" w14:textId="77777777" w:rsidR="006A0D6E" w:rsidRPr="004E46DA" w:rsidRDefault="006A0D6E" w:rsidP="006A0D6E">
            <w:pPr>
              <w:keepNext/>
              <w:keepLines/>
              <w:spacing w:before="0"/>
              <w:jc w:val="right"/>
              <w:rPr>
                <w:rFonts w:cs="Open Sans Light"/>
                <w:sz w:val="16"/>
                <w:szCs w:val="16"/>
              </w:rPr>
            </w:pPr>
            <w:r w:rsidRPr="004E46DA">
              <w:rPr>
                <w:rFonts w:cs="Open Sans Light"/>
                <w:sz w:val="16"/>
                <w:szCs w:val="16"/>
              </w:rPr>
              <w:t>81</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614D5D0" w14:textId="77777777" w:rsidR="006A0D6E" w:rsidRPr="004E46DA" w:rsidRDefault="006A0D6E" w:rsidP="006A0D6E">
            <w:pPr>
              <w:keepNext/>
              <w:keepLines/>
              <w:spacing w:before="0"/>
              <w:jc w:val="right"/>
              <w:rPr>
                <w:rFonts w:cs="Open Sans Light"/>
                <w:sz w:val="16"/>
                <w:szCs w:val="16"/>
              </w:rPr>
            </w:pPr>
            <w:r w:rsidRPr="004E46DA">
              <w:rPr>
                <w:rFonts w:cs="Open Sans Light"/>
                <w:sz w:val="16"/>
                <w:szCs w:val="16"/>
              </w:rPr>
              <w:t>561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5B74B6" w14:textId="77777777" w:rsidR="006A0D6E" w:rsidRPr="004E46DA" w:rsidRDefault="006A0D6E" w:rsidP="006A0D6E">
            <w:pPr>
              <w:keepNext/>
              <w:keepLines/>
              <w:spacing w:before="0"/>
              <w:jc w:val="right"/>
              <w:rPr>
                <w:rFonts w:cs="Open Sans Light"/>
                <w:sz w:val="16"/>
                <w:szCs w:val="16"/>
              </w:rPr>
            </w:pPr>
            <w:r w:rsidRPr="004E46DA">
              <w:rPr>
                <w:rFonts w:cs="Open Sans Light"/>
                <w:sz w:val="16"/>
                <w:szCs w:val="16"/>
              </w:rPr>
              <w:t>130</w:t>
            </w:r>
          </w:p>
        </w:tc>
      </w:tr>
      <w:tr w:rsidR="003A22B8" w14:paraId="5F2C8CD9"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019A73" w14:textId="77777777" w:rsidR="003A22B8" w:rsidRDefault="003A22B8" w:rsidP="004D65FE">
            <w:pPr>
              <w:keepNext/>
              <w:keepLines/>
              <w:spacing w:before="0"/>
              <w:ind w:left="142" w:hanging="142"/>
              <w:rPr>
                <w:rFonts w:cs="Open Sans Light"/>
                <w:sz w:val="16"/>
                <w:szCs w:val="16"/>
              </w:rPr>
            </w:pPr>
            <w:r>
              <w:rPr>
                <w:rFonts w:cs="Open Sans Light"/>
                <w:sz w:val="16"/>
                <w:szCs w:val="16"/>
              </w:rPr>
              <w:t>Welfare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8EED3E" w14:textId="77777777" w:rsidR="003A22B8" w:rsidRDefault="003A22B8" w:rsidP="004D65FE">
            <w:pPr>
              <w:keepNext/>
              <w:keepLines/>
              <w:spacing w:before="0"/>
              <w:jc w:val="right"/>
              <w:rPr>
                <w:rFonts w:cs="Open Sans Light"/>
                <w:sz w:val="16"/>
                <w:szCs w:val="16"/>
              </w:rPr>
            </w:pPr>
            <w:r>
              <w:rPr>
                <w:rFonts w:cs="Open Sans Light"/>
                <w:sz w:val="16"/>
                <w:szCs w:val="16"/>
              </w:rPr>
              <w:t>774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4303798" w14:textId="77777777" w:rsidR="003A22B8" w:rsidRDefault="003A22B8" w:rsidP="004D65FE">
            <w:pPr>
              <w:keepNext/>
              <w:keepLines/>
              <w:spacing w:before="0"/>
              <w:jc w:val="right"/>
              <w:rPr>
                <w:rFonts w:cs="Open Sans Light"/>
                <w:sz w:val="16"/>
                <w:szCs w:val="16"/>
              </w:rPr>
            </w:pPr>
            <w:r>
              <w:rPr>
                <w:rFonts w:cs="Open Sans Light"/>
                <w:sz w:val="16"/>
                <w:szCs w:val="16"/>
              </w:rPr>
              <w:t>684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D1946A" w14:textId="77777777" w:rsidR="003A22B8" w:rsidRDefault="003A22B8" w:rsidP="004D65FE">
            <w:pPr>
              <w:keepNext/>
              <w:keepLines/>
              <w:spacing w:before="0"/>
              <w:jc w:val="right"/>
              <w:rPr>
                <w:rFonts w:cs="Open Sans Light"/>
                <w:sz w:val="16"/>
                <w:szCs w:val="16"/>
              </w:rPr>
            </w:pPr>
            <w:r>
              <w:rPr>
                <w:rFonts w:cs="Open Sans Light"/>
                <w:sz w:val="16"/>
                <w:szCs w:val="16"/>
              </w:rPr>
              <w:t>829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378A4F" w14:textId="77777777" w:rsidR="003A22B8" w:rsidRDefault="003A22B8" w:rsidP="004D65FE">
            <w:pPr>
              <w:keepNext/>
              <w:keepLines/>
              <w:spacing w:before="0"/>
              <w:jc w:val="right"/>
              <w:rPr>
                <w:rFonts w:cs="Open Sans Light"/>
                <w:sz w:val="16"/>
                <w:szCs w:val="16"/>
              </w:rPr>
            </w:pPr>
            <w:r>
              <w:rPr>
                <w:rFonts w:cs="Open Sans Light"/>
                <w:sz w:val="16"/>
                <w:szCs w:val="16"/>
              </w:rPr>
              <w:t>800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C1F6CE" w14:textId="77777777" w:rsidR="003A22B8" w:rsidRDefault="003A22B8" w:rsidP="004D65FE">
            <w:pPr>
              <w:keepNext/>
              <w:keepLines/>
              <w:spacing w:before="0"/>
              <w:jc w:val="right"/>
              <w:rPr>
                <w:rFonts w:cs="Open Sans Light"/>
                <w:sz w:val="16"/>
                <w:szCs w:val="16"/>
              </w:rPr>
            </w:pPr>
            <w:r>
              <w:rPr>
                <w:rFonts w:cs="Open Sans Light"/>
                <w:sz w:val="16"/>
                <w:szCs w:val="16"/>
              </w:rPr>
              <w:t>797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260B49" w14:textId="77777777" w:rsidR="003A22B8" w:rsidRDefault="003A22B8" w:rsidP="004D65FE">
            <w:pPr>
              <w:keepNext/>
              <w:keepLines/>
              <w:spacing w:before="0"/>
              <w:jc w:val="right"/>
              <w:rPr>
                <w:rFonts w:cs="Open Sans Light"/>
                <w:sz w:val="16"/>
                <w:szCs w:val="16"/>
              </w:rPr>
            </w:pPr>
            <w:r>
              <w:rPr>
                <w:rFonts w:cs="Open Sans Light"/>
                <w:sz w:val="16"/>
                <w:szCs w:val="16"/>
              </w:rPr>
              <w:t>899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68BD02D" w14:textId="77777777" w:rsidR="003A22B8" w:rsidRDefault="003A22B8" w:rsidP="004D65FE">
            <w:pPr>
              <w:keepNext/>
              <w:keepLines/>
              <w:spacing w:before="0"/>
              <w:jc w:val="right"/>
              <w:rPr>
                <w:rFonts w:cs="Open Sans Light"/>
                <w:sz w:val="16"/>
                <w:szCs w:val="16"/>
              </w:rPr>
            </w:pPr>
            <w:r>
              <w:rPr>
                <w:rFonts w:cs="Open Sans Light"/>
                <w:sz w:val="16"/>
                <w:szCs w:val="16"/>
              </w:rPr>
              <w:t>640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BE3452" w14:textId="77777777" w:rsidR="003A22B8" w:rsidRDefault="003A22B8" w:rsidP="004D65FE">
            <w:pPr>
              <w:keepNext/>
              <w:keepLines/>
              <w:spacing w:before="0"/>
              <w:jc w:val="right"/>
              <w:rPr>
                <w:rFonts w:cs="Open Sans Light"/>
                <w:sz w:val="16"/>
                <w:szCs w:val="16"/>
              </w:rPr>
            </w:pPr>
            <w:r>
              <w:rPr>
                <w:rFonts w:cs="Open Sans Light"/>
                <w:sz w:val="16"/>
                <w:szCs w:val="16"/>
              </w:rPr>
              <w:t>1,802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7EA3629" w14:textId="77777777" w:rsidR="003A22B8" w:rsidRDefault="003A22B8" w:rsidP="004D65FE">
            <w:pPr>
              <w:keepNext/>
              <w:keepLines/>
              <w:spacing w:before="0"/>
              <w:jc w:val="right"/>
              <w:rPr>
                <w:rFonts w:cs="Open Sans Light"/>
                <w:sz w:val="16"/>
                <w:szCs w:val="16"/>
              </w:rPr>
            </w:pPr>
            <w:r>
              <w:rPr>
                <w:rFonts w:cs="Open Sans Light"/>
                <w:sz w:val="16"/>
                <w:szCs w:val="16"/>
              </w:rPr>
              <w:t>776</w:t>
            </w:r>
          </w:p>
        </w:tc>
      </w:tr>
      <w:tr w:rsidR="003A22B8" w14:paraId="41FF6E44"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B244563" w14:textId="77777777" w:rsidR="003A22B8" w:rsidRDefault="003A22B8" w:rsidP="004D65FE">
            <w:pPr>
              <w:keepNext/>
              <w:keepLines/>
              <w:spacing w:before="0"/>
              <w:ind w:left="142" w:hanging="142"/>
              <w:rPr>
                <w:rFonts w:cs="Open Sans Light"/>
                <w:sz w:val="16"/>
                <w:szCs w:val="16"/>
              </w:rPr>
            </w:pPr>
            <w:r>
              <w:rPr>
                <w:rFonts w:cs="Open Sans Light"/>
                <w:sz w:val="16"/>
                <w:szCs w:val="16"/>
              </w:rPr>
              <w:t>Services to communities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986B7AA" w14:textId="77777777" w:rsidR="003A22B8" w:rsidRDefault="003A22B8" w:rsidP="004D65FE">
            <w:pPr>
              <w:keepNext/>
              <w:keepLines/>
              <w:spacing w:before="0"/>
              <w:jc w:val="right"/>
              <w:rPr>
                <w:rFonts w:cs="Open Sans Light"/>
                <w:sz w:val="16"/>
                <w:szCs w:val="16"/>
              </w:rPr>
            </w:pPr>
            <w:r>
              <w:rPr>
                <w:rFonts w:cs="Open Sans Light"/>
                <w:sz w:val="16"/>
                <w:szCs w:val="16"/>
              </w:rPr>
              <w:t>328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040C049" w14:textId="77777777" w:rsidR="003A22B8" w:rsidRDefault="003A22B8" w:rsidP="004D65FE">
            <w:pPr>
              <w:keepNext/>
              <w:keepLines/>
              <w:spacing w:before="0"/>
              <w:jc w:val="right"/>
              <w:rPr>
                <w:rFonts w:cs="Open Sans Light"/>
                <w:sz w:val="16"/>
                <w:szCs w:val="16"/>
              </w:rPr>
            </w:pPr>
            <w:r>
              <w:rPr>
                <w:rFonts w:cs="Open Sans Light"/>
                <w:sz w:val="16"/>
                <w:szCs w:val="16"/>
              </w:rPr>
              <w:t>319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F1D8DF4" w14:textId="77777777" w:rsidR="003A22B8" w:rsidRDefault="003A22B8" w:rsidP="004D65FE">
            <w:pPr>
              <w:keepNext/>
              <w:keepLines/>
              <w:spacing w:before="0"/>
              <w:jc w:val="right"/>
              <w:rPr>
                <w:rFonts w:cs="Open Sans Light"/>
                <w:sz w:val="16"/>
                <w:szCs w:val="16"/>
              </w:rPr>
            </w:pPr>
            <w:r>
              <w:rPr>
                <w:rFonts w:cs="Open Sans Light"/>
                <w:sz w:val="16"/>
                <w:szCs w:val="16"/>
              </w:rPr>
              <w:t>364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BDBB6E4" w14:textId="77777777" w:rsidR="003A22B8" w:rsidRDefault="003A22B8" w:rsidP="004D65FE">
            <w:pPr>
              <w:keepNext/>
              <w:keepLines/>
              <w:spacing w:before="0"/>
              <w:jc w:val="right"/>
              <w:rPr>
                <w:rFonts w:cs="Open Sans Light"/>
                <w:sz w:val="16"/>
                <w:szCs w:val="16"/>
              </w:rPr>
            </w:pPr>
            <w:r>
              <w:rPr>
                <w:rFonts w:cs="Open Sans Light"/>
                <w:sz w:val="16"/>
                <w:szCs w:val="16"/>
              </w:rPr>
              <w:t>399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703F5DD" w14:textId="77777777" w:rsidR="003A22B8" w:rsidRDefault="003A22B8" w:rsidP="004D65FE">
            <w:pPr>
              <w:keepNext/>
              <w:keepLines/>
              <w:spacing w:before="0"/>
              <w:jc w:val="right"/>
              <w:rPr>
                <w:rFonts w:cs="Open Sans Light"/>
                <w:sz w:val="16"/>
                <w:szCs w:val="16"/>
              </w:rPr>
            </w:pPr>
            <w:r>
              <w:rPr>
                <w:rFonts w:cs="Open Sans Light"/>
                <w:sz w:val="16"/>
                <w:szCs w:val="16"/>
              </w:rPr>
              <w:t>350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DFBD921" w14:textId="77777777" w:rsidR="003A22B8" w:rsidRDefault="003A22B8" w:rsidP="004D65FE">
            <w:pPr>
              <w:keepNext/>
              <w:keepLines/>
              <w:spacing w:before="0"/>
              <w:jc w:val="right"/>
              <w:rPr>
                <w:rFonts w:cs="Open Sans Light"/>
                <w:sz w:val="16"/>
                <w:szCs w:val="16"/>
              </w:rPr>
            </w:pPr>
            <w:r>
              <w:rPr>
                <w:rFonts w:cs="Open Sans Light"/>
                <w:sz w:val="16"/>
                <w:szCs w:val="16"/>
              </w:rPr>
              <w:t>352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1C5A986" w14:textId="77777777" w:rsidR="003A22B8" w:rsidRDefault="003A22B8" w:rsidP="004D65FE">
            <w:pPr>
              <w:keepNext/>
              <w:keepLines/>
              <w:spacing w:before="0"/>
              <w:jc w:val="right"/>
              <w:rPr>
                <w:rFonts w:cs="Open Sans Light"/>
                <w:sz w:val="16"/>
                <w:szCs w:val="16"/>
              </w:rPr>
            </w:pPr>
            <w:r>
              <w:rPr>
                <w:rFonts w:cs="Open Sans Light"/>
                <w:sz w:val="16"/>
                <w:szCs w:val="16"/>
              </w:rPr>
              <w:t>319</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70527B0" w14:textId="77777777" w:rsidR="003A22B8" w:rsidRDefault="003A22B8" w:rsidP="004D65FE">
            <w:pPr>
              <w:keepNext/>
              <w:keepLines/>
              <w:spacing w:before="0"/>
              <w:jc w:val="right"/>
              <w:rPr>
                <w:rFonts w:cs="Open Sans Light"/>
                <w:sz w:val="16"/>
                <w:szCs w:val="16"/>
              </w:rPr>
            </w:pPr>
            <w:r>
              <w:rPr>
                <w:rFonts w:cs="Open Sans Light"/>
                <w:sz w:val="16"/>
                <w:szCs w:val="16"/>
              </w:rPr>
              <w:t>1,284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BD052A6" w14:textId="77777777" w:rsidR="003A22B8" w:rsidRDefault="003A22B8" w:rsidP="004D65FE">
            <w:pPr>
              <w:keepNext/>
              <w:keepLines/>
              <w:spacing w:before="0"/>
              <w:jc w:val="right"/>
              <w:rPr>
                <w:rFonts w:cs="Open Sans Light"/>
                <w:sz w:val="16"/>
                <w:szCs w:val="16"/>
              </w:rPr>
            </w:pPr>
            <w:r>
              <w:rPr>
                <w:rFonts w:cs="Open Sans Light"/>
                <w:sz w:val="16"/>
                <w:szCs w:val="16"/>
              </w:rPr>
              <w:t>352</w:t>
            </w:r>
          </w:p>
        </w:tc>
      </w:tr>
      <w:tr w:rsidR="003A22B8" w14:paraId="569ED10E"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F35F6DF" w14:textId="77777777" w:rsidR="003A22B8" w:rsidRDefault="003A22B8" w:rsidP="004D65FE">
            <w:pPr>
              <w:keepNext/>
              <w:keepLines/>
              <w:spacing w:before="0"/>
              <w:ind w:left="142" w:hanging="142"/>
              <w:rPr>
                <w:rFonts w:cs="Open Sans Light"/>
                <w:sz w:val="16"/>
                <w:szCs w:val="16"/>
              </w:rPr>
            </w:pPr>
            <w:r>
              <w:rPr>
                <w:rFonts w:cs="Open Sans Light"/>
                <w:sz w:val="16"/>
                <w:szCs w:val="16"/>
              </w:rPr>
              <w:t>Justice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44CD6DA" w14:textId="77777777" w:rsidR="003A22B8" w:rsidRDefault="003A22B8" w:rsidP="004D65FE">
            <w:pPr>
              <w:keepNext/>
              <w:keepLines/>
              <w:spacing w:before="0"/>
              <w:jc w:val="right"/>
              <w:rPr>
                <w:rFonts w:cs="Open Sans Light"/>
                <w:sz w:val="16"/>
                <w:szCs w:val="16"/>
              </w:rPr>
            </w:pPr>
            <w:r>
              <w:rPr>
                <w:rFonts w:cs="Open Sans Light"/>
                <w:sz w:val="16"/>
                <w:szCs w:val="16"/>
              </w:rPr>
              <w:t>853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2DB3D31" w14:textId="77777777" w:rsidR="003A22B8" w:rsidRDefault="003A22B8" w:rsidP="004D65FE">
            <w:pPr>
              <w:keepNext/>
              <w:keepLines/>
              <w:spacing w:before="0"/>
              <w:jc w:val="right"/>
              <w:rPr>
                <w:rFonts w:cs="Open Sans Light"/>
                <w:sz w:val="16"/>
                <w:szCs w:val="16"/>
              </w:rPr>
            </w:pPr>
            <w:r>
              <w:rPr>
                <w:rFonts w:cs="Open Sans Light"/>
                <w:sz w:val="16"/>
                <w:szCs w:val="16"/>
              </w:rPr>
              <w:t>765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FC74C07" w14:textId="77777777" w:rsidR="003A22B8" w:rsidRDefault="003A22B8" w:rsidP="004D65FE">
            <w:pPr>
              <w:keepNext/>
              <w:keepLines/>
              <w:spacing w:before="0"/>
              <w:jc w:val="right"/>
              <w:rPr>
                <w:rFonts w:cs="Open Sans Light"/>
                <w:sz w:val="16"/>
                <w:szCs w:val="16"/>
              </w:rPr>
            </w:pPr>
            <w:r>
              <w:rPr>
                <w:rFonts w:cs="Open Sans Light"/>
                <w:sz w:val="16"/>
                <w:szCs w:val="16"/>
              </w:rPr>
              <w:t>930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BBC9078" w14:textId="77777777" w:rsidR="003A22B8" w:rsidRDefault="003A22B8" w:rsidP="004D65FE">
            <w:pPr>
              <w:keepNext/>
              <w:keepLines/>
              <w:spacing w:before="0"/>
              <w:jc w:val="right"/>
              <w:rPr>
                <w:rFonts w:cs="Open Sans Light"/>
                <w:sz w:val="16"/>
                <w:szCs w:val="16"/>
              </w:rPr>
            </w:pPr>
            <w:r>
              <w:rPr>
                <w:rFonts w:cs="Open Sans Light"/>
                <w:sz w:val="16"/>
                <w:szCs w:val="16"/>
              </w:rPr>
              <w:t>959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FF22F5" w14:textId="77777777" w:rsidR="003A22B8" w:rsidRDefault="003A22B8" w:rsidP="004D65FE">
            <w:pPr>
              <w:keepNext/>
              <w:keepLines/>
              <w:spacing w:before="0"/>
              <w:jc w:val="right"/>
              <w:rPr>
                <w:rFonts w:cs="Open Sans Light"/>
                <w:sz w:val="16"/>
                <w:szCs w:val="16"/>
              </w:rPr>
            </w:pPr>
            <w:r>
              <w:rPr>
                <w:rFonts w:cs="Open Sans Light"/>
                <w:sz w:val="16"/>
                <w:szCs w:val="16"/>
              </w:rPr>
              <w:t>877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5ED0945" w14:textId="77777777" w:rsidR="003A22B8" w:rsidRDefault="003A22B8" w:rsidP="004D65FE">
            <w:pPr>
              <w:keepNext/>
              <w:keepLines/>
              <w:spacing w:before="0"/>
              <w:jc w:val="right"/>
              <w:rPr>
                <w:rFonts w:cs="Open Sans Light"/>
                <w:sz w:val="16"/>
                <w:szCs w:val="16"/>
              </w:rPr>
            </w:pPr>
            <w:r>
              <w:rPr>
                <w:rFonts w:cs="Open Sans Light"/>
                <w:sz w:val="16"/>
                <w:szCs w:val="16"/>
              </w:rPr>
              <w:t>996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1893DB5" w14:textId="77777777" w:rsidR="003A22B8" w:rsidRDefault="003A22B8" w:rsidP="004D65FE">
            <w:pPr>
              <w:keepNext/>
              <w:keepLines/>
              <w:spacing w:before="0"/>
              <w:jc w:val="right"/>
              <w:rPr>
                <w:rFonts w:cs="Open Sans Light"/>
                <w:sz w:val="16"/>
                <w:szCs w:val="16"/>
              </w:rPr>
            </w:pPr>
            <w:r>
              <w:rPr>
                <w:rFonts w:cs="Open Sans Light"/>
                <w:sz w:val="16"/>
                <w:szCs w:val="16"/>
              </w:rPr>
              <w:t>698</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1137F3" w14:textId="77777777" w:rsidR="003A22B8" w:rsidRDefault="003A22B8" w:rsidP="004D65FE">
            <w:pPr>
              <w:keepNext/>
              <w:keepLines/>
              <w:spacing w:before="0"/>
              <w:jc w:val="right"/>
              <w:rPr>
                <w:rFonts w:cs="Open Sans Light"/>
                <w:sz w:val="16"/>
                <w:szCs w:val="16"/>
              </w:rPr>
            </w:pPr>
            <w:r>
              <w:rPr>
                <w:rFonts w:cs="Open Sans Light"/>
                <w:sz w:val="16"/>
                <w:szCs w:val="16"/>
              </w:rPr>
              <w:t>2,811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49C2E08" w14:textId="77777777" w:rsidR="003A22B8" w:rsidRDefault="003A22B8" w:rsidP="004D65FE">
            <w:pPr>
              <w:keepNext/>
              <w:keepLines/>
              <w:spacing w:before="0"/>
              <w:jc w:val="right"/>
              <w:rPr>
                <w:rFonts w:cs="Open Sans Light"/>
                <w:sz w:val="16"/>
                <w:szCs w:val="16"/>
              </w:rPr>
            </w:pPr>
            <w:r>
              <w:rPr>
                <w:rFonts w:cs="Open Sans Light"/>
                <w:sz w:val="16"/>
                <w:szCs w:val="16"/>
              </w:rPr>
              <w:t>878</w:t>
            </w:r>
          </w:p>
        </w:tc>
      </w:tr>
      <w:tr w:rsidR="003A22B8" w14:paraId="22FC2204"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5C6F25C" w14:textId="77777777" w:rsidR="003A22B8" w:rsidRDefault="003A22B8" w:rsidP="004D65FE">
            <w:pPr>
              <w:keepNext/>
              <w:keepLines/>
              <w:spacing w:before="0"/>
              <w:ind w:left="142" w:hanging="142"/>
              <w:rPr>
                <w:rFonts w:cs="Open Sans Light"/>
                <w:sz w:val="16"/>
                <w:szCs w:val="16"/>
              </w:rPr>
            </w:pPr>
            <w:r>
              <w:rPr>
                <w:rFonts w:cs="Open Sans Light"/>
                <w:sz w:val="16"/>
                <w:szCs w:val="16"/>
              </w:rPr>
              <w:t>Roads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C4C78F4" w14:textId="77777777" w:rsidR="003A22B8" w:rsidRDefault="003A22B8" w:rsidP="004D65FE">
            <w:pPr>
              <w:keepNext/>
              <w:keepLines/>
              <w:spacing w:before="0"/>
              <w:jc w:val="right"/>
              <w:rPr>
                <w:rFonts w:cs="Open Sans Light"/>
                <w:sz w:val="16"/>
                <w:szCs w:val="16"/>
              </w:rPr>
            </w:pPr>
            <w:r>
              <w:rPr>
                <w:rFonts w:cs="Open Sans Light"/>
                <w:sz w:val="16"/>
                <w:szCs w:val="16"/>
              </w:rPr>
              <w:t>282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C9180E" w14:textId="77777777" w:rsidR="003A22B8" w:rsidRDefault="003A22B8" w:rsidP="004D65FE">
            <w:pPr>
              <w:keepNext/>
              <w:keepLines/>
              <w:spacing w:before="0"/>
              <w:jc w:val="right"/>
              <w:rPr>
                <w:rFonts w:cs="Open Sans Light"/>
                <w:sz w:val="16"/>
                <w:szCs w:val="16"/>
              </w:rPr>
            </w:pPr>
            <w:r>
              <w:rPr>
                <w:rFonts w:cs="Open Sans Light"/>
                <w:sz w:val="16"/>
                <w:szCs w:val="16"/>
              </w:rPr>
              <w:t>265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ACD51C" w14:textId="77777777" w:rsidR="003A22B8" w:rsidRDefault="003A22B8" w:rsidP="004D65FE">
            <w:pPr>
              <w:keepNext/>
              <w:keepLines/>
              <w:spacing w:before="0"/>
              <w:jc w:val="right"/>
              <w:rPr>
                <w:rFonts w:cs="Open Sans Light"/>
                <w:sz w:val="16"/>
                <w:szCs w:val="16"/>
              </w:rPr>
            </w:pPr>
            <w:r>
              <w:rPr>
                <w:rFonts w:cs="Open Sans Light"/>
                <w:sz w:val="16"/>
                <w:szCs w:val="16"/>
              </w:rPr>
              <w:t>338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786F1D" w14:textId="77777777" w:rsidR="003A22B8" w:rsidRDefault="003A22B8" w:rsidP="004D65FE">
            <w:pPr>
              <w:keepNext/>
              <w:keepLines/>
              <w:spacing w:before="0"/>
              <w:jc w:val="right"/>
              <w:rPr>
                <w:rFonts w:cs="Open Sans Light"/>
                <w:sz w:val="16"/>
                <w:szCs w:val="16"/>
              </w:rPr>
            </w:pPr>
            <w:r>
              <w:rPr>
                <w:rFonts w:cs="Open Sans Light"/>
                <w:sz w:val="16"/>
                <w:szCs w:val="16"/>
              </w:rPr>
              <w:t>361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4B5A24" w14:textId="77777777" w:rsidR="003A22B8" w:rsidRDefault="003A22B8" w:rsidP="004D65FE">
            <w:pPr>
              <w:keepNext/>
              <w:keepLines/>
              <w:spacing w:before="0"/>
              <w:jc w:val="right"/>
              <w:rPr>
                <w:rFonts w:cs="Open Sans Light"/>
                <w:sz w:val="16"/>
                <w:szCs w:val="16"/>
              </w:rPr>
            </w:pPr>
            <w:r>
              <w:rPr>
                <w:rFonts w:cs="Open Sans Light"/>
                <w:sz w:val="16"/>
                <w:szCs w:val="16"/>
              </w:rPr>
              <w:t>341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6CDF02B" w14:textId="77777777" w:rsidR="003A22B8" w:rsidRDefault="003A22B8" w:rsidP="004D65FE">
            <w:pPr>
              <w:keepNext/>
              <w:keepLines/>
              <w:spacing w:before="0"/>
              <w:jc w:val="right"/>
              <w:rPr>
                <w:rFonts w:cs="Open Sans Light"/>
                <w:sz w:val="16"/>
                <w:szCs w:val="16"/>
              </w:rPr>
            </w:pPr>
            <w:r>
              <w:rPr>
                <w:rFonts w:cs="Open Sans Light"/>
                <w:sz w:val="16"/>
                <w:szCs w:val="16"/>
              </w:rPr>
              <w:t>324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5837A56" w14:textId="77777777" w:rsidR="003A22B8" w:rsidRDefault="003A22B8" w:rsidP="004D65FE">
            <w:pPr>
              <w:keepNext/>
              <w:keepLines/>
              <w:spacing w:before="0"/>
              <w:jc w:val="right"/>
              <w:rPr>
                <w:rFonts w:cs="Open Sans Light"/>
                <w:sz w:val="16"/>
                <w:szCs w:val="16"/>
              </w:rPr>
            </w:pPr>
            <w:r>
              <w:rPr>
                <w:rFonts w:cs="Open Sans Light"/>
                <w:sz w:val="16"/>
                <w:szCs w:val="16"/>
              </w:rPr>
              <w:t>171</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FF9117A" w14:textId="77777777" w:rsidR="003A22B8" w:rsidRDefault="003A22B8" w:rsidP="004D65FE">
            <w:pPr>
              <w:keepNext/>
              <w:keepLines/>
              <w:spacing w:before="0"/>
              <w:jc w:val="right"/>
              <w:rPr>
                <w:rFonts w:cs="Open Sans Light"/>
                <w:sz w:val="16"/>
                <w:szCs w:val="16"/>
              </w:rPr>
            </w:pPr>
            <w:r>
              <w:rPr>
                <w:rFonts w:cs="Open Sans Light"/>
                <w:sz w:val="16"/>
                <w:szCs w:val="16"/>
              </w:rPr>
              <w:t>656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120662A" w14:textId="77777777" w:rsidR="003A22B8" w:rsidRDefault="003A22B8" w:rsidP="004D65FE">
            <w:pPr>
              <w:keepNext/>
              <w:keepLines/>
              <w:spacing w:before="0"/>
              <w:jc w:val="right"/>
              <w:rPr>
                <w:rFonts w:cs="Open Sans Light"/>
                <w:sz w:val="16"/>
                <w:szCs w:val="16"/>
              </w:rPr>
            </w:pPr>
            <w:r>
              <w:rPr>
                <w:rFonts w:cs="Open Sans Light"/>
                <w:sz w:val="16"/>
                <w:szCs w:val="16"/>
              </w:rPr>
              <w:t>304</w:t>
            </w:r>
          </w:p>
        </w:tc>
      </w:tr>
      <w:tr w:rsidR="003A22B8" w14:paraId="4A9414A0"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B1B53E" w14:textId="77777777" w:rsidR="003A22B8" w:rsidRDefault="003A22B8" w:rsidP="004D65FE">
            <w:pPr>
              <w:keepNext/>
              <w:keepLines/>
              <w:spacing w:before="0"/>
              <w:ind w:left="142" w:hanging="142"/>
              <w:rPr>
                <w:rFonts w:cs="Open Sans Light"/>
                <w:sz w:val="16"/>
                <w:szCs w:val="16"/>
              </w:rPr>
            </w:pPr>
            <w:r>
              <w:rPr>
                <w:rFonts w:cs="Open Sans Light"/>
                <w:sz w:val="16"/>
                <w:szCs w:val="16"/>
              </w:rPr>
              <w:t>Transport</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582D16E" w14:textId="77777777" w:rsidR="003A22B8" w:rsidRDefault="003A22B8" w:rsidP="004D65FE">
            <w:pPr>
              <w:keepNext/>
              <w:keepLines/>
              <w:spacing w:before="0"/>
              <w:jc w:val="right"/>
              <w:rPr>
                <w:rFonts w:cs="Open Sans Light"/>
                <w:sz w:val="16"/>
                <w:szCs w:val="16"/>
              </w:rPr>
            </w:pPr>
            <w:r>
              <w:rPr>
                <w:rFonts w:cs="Open Sans Light"/>
                <w:sz w:val="16"/>
                <w:szCs w:val="16"/>
              </w:rPr>
              <w:t>764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A954DB" w14:textId="77777777" w:rsidR="003A22B8" w:rsidRDefault="003A22B8" w:rsidP="004D65FE">
            <w:pPr>
              <w:keepNext/>
              <w:keepLines/>
              <w:spacing w:before="0"/>
              <w:jc w:val="right"/>
              <w:rPr>
                <w:rFonts w:cs="Open Sans Light"/>
                <w:sz w:val="16"/>
                <w:szCs w:val="16"/>
              </w:rPr>
            </w:pPr>
            <w:r>
              <w:rPr>
                <w:rFonts w:cs="Open Sans Light"/>
                <w:sz w:val="16"/>
                <w:szCs w:val="16"/>
              </w:rPr>
              <w:t>673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92944FB" w14:textId="77777777" w:rsidR="003A22B8" w:rsidRDefault="003A22B8" w:rsidP="004D65FE">
            <w:pPr>
              <w:keepNext/>
              <w:keepLines/>
              <w:spacing w:before="0"/>
              <w:jc w:val="right"/>
              <w:rPr>
                <w:rFonts w:cs="Open Sans Light"/>
                <w:sz w:val="16"/>
                <w:szCs w:val="16"/>
              </w:rPr>
            </w:pPr>
            <w:r>
              <w:rPr>
                <w:rFonts w:cs="Open Sans Light"/>
                <w:sz w:val="16"/>
                <w:szCs w:val="16"/>
              </w:rPr>
              <w:t>460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48087C" w14:textId="77777777" w:rsidR="003A22B8" w:rsidRDefault="003A22B8" w:rsidP="004D65FE">
            <w:pPr>
              <w:keepNext/>
              <w:keepLines/>
              <w:spacing w:before="0"/>
              <w:jc w:val="right"/>
              <w:rPr>
                <w:rFonts w:cs="Open Sans Light"/>
                <w:sz w:val="16"/>
                <w:szCs w:val="16"/>
              </w:rPr>
            </w:pPr>
            <w:r>
              <w:rPr>
                <w:rFonts w:cs="Open Sans Light"/>
                <w:sz w:val="16"/>
                <w:szCs w:val="16"/>
              </w:rPr>
              <w:t>507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7A3278" w14:textId="77777777" w:rsidR="003A22B8" w:rsidRDefault="003A22B8" w:rsidP="004D65FE">
            <w:pPr>
              <w:keepNext/>
              <w:keepLines/>
              <w:spacing w:before="0"/>
              <w:jc w:val="right"/>
              <w:rPr>
                <w:rFonts w:cs="Open Sans Light"/>
                <w:sz w:val="16"/>
                <w:szCs w:val="16"/>
              </w:rPr>
            </w:pPr>
            <w:r>
              <w:rPr>
                <w:rFonts w:cs="Open Sans Light"/>
                <w:sz w:val="16"/>
                <w:szCs w:val="16"/>
              </w:rPr>
              <w:t>445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FEF12FD" w14:textId="77777777" w:rsidR="003A22B8" w:rsidRDefault="003A22B8" w:rsidP="004D65FE">
            <w:pPr>
              <w:keepNext/>
              <w:keepLines/>
              <w:spacing w:before="0"/>
              <w:jc w:val="right"/>
              <w:rPr>
                <w:rFonts w:cs="Open Sans Light"/>
                <w:sz w:val="16"/>
                <w:szCs w:val="16"/>
              </w:rPr>
            </w:pPr>
            <w:r>
              <w:rPr>
                <w:rFonts w:cs="Open Sans Light"/>
                <w:sz w:val="16"/>
                <w:szCs w:val="16"/>
              </w:rPr>
              <w:t>231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1B8553E" w14:textId="77777777" w:rsidR="003A22B8" w:rsidRDefault="003A22B8" w:rsidP="004D65FE">
            <w:pPr>
              <w:keepNext/>
              <w:keepLines/>
              <w:spacing w:before="0"/>
              <w:jc w:val="right"/>
              <w:rPr>
                <w:rFonts w:cs="Open Sans Light"/>
                <w:sz w:val="16"/>
                <w:szCs w:val="16"/>
              </w:rPr>
            </w:pPr>
            <w:r>
              <w:rPr>
                <w:rFonts w:cs="Open Sans Light"/>
                <w:sz w:val="16"/>
                <w:szCs w:val="16"/>
              </w:rPr>
              <w:t>471</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7AB037E" w14:textId="77777777" w:rsidR="003A22B8" w:rsidRDefault="003A22B8" w:rsidP="004D65FE">
            <w:pPr>
              <w:keepNext/>
              <w:keepLines/>
              <w:spacing w:before="0"/>
              <w:jc w:val="right"/>
              <w:rPr>
                <w:rFonts w:cs="Open Sans Light"/>
                <w:sz w:val="16"/>
                <w:szCs w:val="16"/>
              </w:rPr>
            </w:pPr>
            <w:r>
              <w:rPr>
                <w:rFonts w:cs="Open Sans Light"/>
                <w:sz w:val="16"/>
                <w:szCs w:val="16"/>
              </w:rPr>
              <w:t>269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B1B5B0" w14:textId="77777777" w:rsidR="003A22B8" w:rsidRDefault="003A22B8" w:rsidP="004D65FE">
            <w:pPr>
              <w:keepNext/>
              <w:keepLines/>
              <w:spacing w:before="0"/>
              <w:jc w:val="right"/>
              <w:rPr>
                <w:rFonts w:cs="Open Sans Light"/>
                <w:sz w:val="16"/>
                <w:szCs w:val="16"/>
              </w:rPr>
            </w:pPr>
            <w:r>
              <w:rPr>
                <w:rFonts w:cs="Open Sans Light"/>
                <w:sz w:val="16"/>
                <w:szCs w:val="16"/>
              </w:rPr>
              <w:t>610</w:t>
            </w:r>
          </w:p>
        </w:tc>
      </w:tr>
      <w:tr w:rsidR="003A22B8" w14:paraId="55118DD9"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E82959" w14:textId="77777777" w:rsidR="003A22B8" w:rsidRDefault="003A22B8" w:rsidP="004D65FE">
            <w:pPr>
              <w:keepNext/>
              <w:keepLines/>
              <w:spacing w:before="0"/>
              <w:ind w:left="142" w:hanging="142"/>
              <w:rPr>
                <w:rFonts w:cs="Open Sans Light"/>
                <w:sz w:val="16"/>
                <w:szCs w:val="16"/>
              </w:rPr>
            </w:pPr>
            <w:r>
              <w:rPr>
                <w:rFonts w:cs="Open Sans Light"/>
                <w:sz w:val="16"/>
                <w:szCs w:val="16"/>
              </w:rPr>
              <w:t>Services to industry</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871266" w14:textId="77777777" w:rsidR="003A22B8" w:rsidRDefault="003A22B8" w:rsidP="004D65FE">
            <w:pPr>
              <w:keepNext/>
              <w:keepLines/>
              <w:spacing w:before="0"/>
              <w:jc w:val="right"/>
              <w:rPr>
                <w:rFonts w:cs="Open Sans Light"/>
                <w:sz w:val="16"/>
                <w:szCs w:val="16"/>
              </w:rPr>
            </w:pPr>
            <w:r>
              <w:rPr>
                <w:rFonts w:cs="Open Sans Light"/>
                <w:sz w:val="16"/>
                <w:szCs w:val="16"/>
              </w:rPr>
              <w:t>195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ED9AF71" w14:textId="77777777" w:rsidR="003A22B8" w:rsidRDefault="003A22B8" w:rsidP="004D65FE">
            <w:pPr>
              <w:keepNext/>
              <w:keepLines/>
              <w:spacing w:before="0"/>
              <w:jc w:val="right"/>
              <w:rPr>
                <w:rFonts w:cs="Open Sans Light"/>
                <w:sz w:val="16"/>
                <w:szCs w:val="16"/>
              </w:rPr>
            </w:pPr>
            <w:r>
              <w:rPr>
                <w:rFonts w:cs="Open Sans Light"/>
                <w:sz w:val="16"/>
                <w:szCs w:val="16"/>
              </w:rPr>
              <w:t>188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02C5A77" w14:textId="77777777" w:rsidR="003A22B8" w:rsidRDefault="003A22B8" w:rsidP="004D65FE">
            <w:pPr>
              <w:keepNext/>
              <w:keepLines/>
              <w:spacing w:before="0"/>
              <w:jc w:val="right"/>
              <w:rPr>
                <w:rFonts w:cs="Open Sans Light"/>
                <w:sz w:val="16"/>
                <w:szCs w:val="16"/>
              </w:rPr>
            </w:pPr>
            <w:r>
              <w:rPr>
                <w:rFonts w:cs="Open Sans Light"/>
                <w:sz w:val="16"/>
                <w:szCs w:val="16"/>
              </w:rPr>
              <w:t>207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0976DF6" w14:textId="77777777" w:rsidR="003A22B8" w:rsidRDefault="003A22B8" w:rsidP="004D65FE">
            <w:pPr>
              <w:keepNext/>
              <w:keepLines/>
              <w:spacing w:before="0"/>
              <w:jc w:val="right"/>
              <w:rPr>
                <w:rFonts w:cs="Open Sans Light"/>
                <w:sz w:val="16"/>
                <w:szCs w:val="16"/>
              </w:rPr>
            </w:pPr>
            <w:r>
              <w:rPr>
                <w:rFonts w:cs="Open Sans Light"/>
                <w:sz w:val="16"/>
                <w:szCs w:val="16"/>
              </w:rPr>
              <w:t>285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C622AF7" w14:textId="77777777" w:rsidR="003A22B8" w:rsidRDefault="003A22B8" w:rsidP="004D65FE">
            <w:pPr>
              <w:keepNext/>
              <w:keepLines/>
              <w:spacing w:before="0"/>
              <w:jc w:val="right"/>
              <w:rPr>
                <w:rFonts w:cs="Open Sans Light"/>
                <w:sz w:val="16"/>
                <w:szCs w:val="16"/>
              </w:rPr>
            </w:pPr>
            <w:r>
              <w:rPr>
                <w:rFonts w:cs="Open Sans Light"/>
                <w:sz w:val="16"/>
                <w:szCs w:val="16"/>
              </w:rPr>
              <w:t>207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173334" w14:textId="77777777" w:rsidR="003A22B8" w:rsidRDefault="003A22B8" w:rsidP="004D65FE">
            <w:pPr>
              <w:keepNext/>
              <w:keepLines/>
              <w:spacing w:before="0"/>
              <w:jc w:val="right"/>
              <w:rPr>
                <w:rFonts w:cs="Open Sans Light"/>
                <w:sz w:val="16"/>
                <w:szCs w:val="16"/>
              </w:rPr>
            </w:pPr>
            <w:r>
              <w:rPr>
                <w:rFonts w:cs="Open Sans Light"/>
                <w:sz w:val="16"/>
                <w:szCs w:val="16"/>
              </w:rPr>
              <w:t>248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1413E7" w14:textId="77777777" w:rsidR="003A22B8" w:rsidRDefault="003A22B8" w:rsidP="004D65FE">
            <w:pPr>
              <w:keepNext/>
              <w:keepLines/>
              <w:spacing w:before="0"/>
              <w:jc w:val="right"/>
              <w:rPr>
                <w:rFonts w:cs="Open Sans Light"/>
                <w:sz w:val="16"/>
                <w:szCs w:val="16"/>
              </w:rPr>
            </w:pPr>
            <w:r>
              <w:rPr>
                <w:rFonts w:cs="Open Sans Light"/>
                <w:sz w:val="16"/>
                <w:szCs w:val="16"/>
              </w:rPr>
              <w:t>180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4C5FBA" w14:textId="77777777" w:rsidR="003A22B8" w:rsidRDefault="003A22B8" w:rsidP="004D65FE">
            <w:pPr>
              <w:keepNext/>
              <w:keepLines/>
              <w:spacing w:before="0"/>
              <w:jc w:val="right"/>
              <w:rPr>
                <w:rFonts w:cs="Open Sans Light"/>
                <w:sz w:val="16"/>
                <w:szCs w:val="16"/>
              </w:rPr>
            </w:pPr>
            <w:r>
              <w:rPr>
                <w:rFonts w:cs="Open Sans Light"/>
                <w:sz w:val="16"/>
                <w:szCs w:val="16"/>
              </w:rPr>
              <w:t>299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4016877" w14:textId="77777777" w:rsidR="003A22B8" w:rsidRDefault="003A22B8" w:rsidP="004D65FE">
            <w:pPr>
              <w:keepNext/>
              <w:keepLines/>
              <w:spacing w:before="0"/>
              <w:jc w:val="right"/>
              <w:rPr>
                <w:rFonts w:cs="Open Sans Light"/>
                <w:sz w:val="16"/>
                <w:szCs w:val="16"/>
              </w:rPr>
            </w:pPr>
            <w:r>
              <w:rPr>
                <w:rFonts w:cs="Open Sans Light"/>
                <w:sz w:val="16"/>
                <w:szCs w:val="16"/>
              </w:rPr>
              <w:t>208</w:t>
            </w:r>
          </w:p>
        </w:tc>
      </w:tr>
      <w:tr w:rsidR="003A22B8" w14:paraId="43A7A6C5"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D7B97E6" w14:textId="77777777" w:rsidR="003A22B8" w:rsidRDefault="003A22B8" w:rsidP="004D65FE">
            <w:pPr>
              <w:keepNext/>
              <w:keepLines/>
              <w:spacing w:before="0"/>
              <w:ind w:left="142" w:hanging="142"/>
              <w:rPr>
                <w:rFonts w:cs="Open Sans Light"/>
                <w:sz w:val="16"/>
                <w:szCs w:val="16"/>
              </w:rPr>
            </w:pPr>
            <w:r>
              <w:rPr>
                <w:rFonts w:cs="Open Sans Light"/>
                <w:sz w:val="16"/>
                <w:szCs w:val="16"/>
              </w:rPr>
              <w:t>Other expenses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97F12C5" w14:textId="77777777" w:rsidR="003A22B8" w:rsidRDefault="003A22B8" w:rsidP="004D65FE">
            <w:pPr>
              <w:keepNext/>
              <w:keepLines/>
              <w:spacing w:before="0"/>
              <w:jc w:val="right"/>
              <w:rPr>
                <w:rFonts w:cs="Open Sans Light"/>
                <w:sz w:val="16"/>
                <w:szCs w:val="16"/>
              </w:rPr>
            </w:pPr>
            <w:r>
              <w:rPr>
                <w:rFonts w:cs="Open Sans Light"/>
                <w:sz w:val="16"/>
                <w:szCs w:val="16"/>
              </w:rPr>
              <w:t>969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AFFDC99" w14:textId="77777777" w:rsidR="003A22B8" w:rsidRDefault="003A22B8" w:rsidP="004D65FE">
            <w:pPr>
              <w:keepNext/>
              <w:keepLines/>
              <w:spacing w:before="0"/>
              <w:jc w:val="right"/>
              <w:rPr>
                <w:rFonts w:cs="Open Sans Light"/>
                <w:sz w:val="16"/>
                <w:szCs w:val="16"/>
              </w:rPr>
            </w:pPr>
            <w:r>
              <w:rPr>
                <w:rFonts w:cs="Open Sans Light"/>
                <w:sz w:val="16"/>
                <w:szCs w:val="16"/>
              </w:rPr>
              <w:t>966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4BE8292" w14:textId="77777777" w:rsidR="003A22B8" w:rsidRDefault="003A22B8" w:rsidP="004D65FE">
            <w:pPr>
              <w:keepNext/>
              <w:keepLines/>
              <w:spacing w:before="0"/>
              <w:jc w:val="right"/>
              <w:rPr>
                <w:rFonts w:cs="Open Sans Light"/>
                <w:sz w:val="16"/>
                <w:szCs w:val="16"/>
              </w:rPr>
            </w:pPr>
            <w:r>
              <w:rPr>
                <w:rFonts w:cs="Open Sans Light"/>
                <w:sz w:val="16"/>
                <w:szCs w:val="16"/>
              </w:rPr>
              <w:t>1,057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BA3DC39" w14:textId="77777777" w:rsidR="003A22B8" w:rsidRDefault="003A22B8" w:rsidP="004D65FE">
            <w:pPr>
              <w:keepNext/>
              <w:keepLines/>
              <w:spacing w:before="0"/>
              <w:jc w:val="right"/>
              <w:rPr>
                <w:rFonts w:cs="Open Sans Light"/>
                <w:sz w:val="16"/>
                <w:szCs w:val="16"/>
              </w:rPr>
            </w:pPr>
            <w:r>
              <w:rPr>
                <w:rFonts w:cs="Open Sans Light"/>
                <w:sz w:val="16"/>
                <w:szCs w:val="16"/>
              </w:rPr>
              <w:t>1,115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4477F6" w14:textId="77777777" w:rsidR="003A22B8" w:rsidRDefault="003A22B8" w:rsidP="004D65FE">
            <w:pPr>
              <w:keepNext/>
              <w:keepLines/>
              <w:spacing w:before="0"/>
              <w:jc w:val="right"/>
              <w:rPr>
                <w:rFonts w:cs="Open Sans Light"/>
                <w:sz w:val="16"/>
                <w:szCs w:val="16"/>
              </w:rPr>
            </w:pPr>
            <w:r>
              <w:rPr>
                <w:rFonts w:cs="Open Sans Light"/>
                <w:sz w:val="16"/>
                <w:szCs w:val="16"/>
              </w:rPr>
              <w:t>1,106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5BAD895" w14:textId="77777777" w:rsidR="003A22B8" w:rsidRDefault="003A22B8" w:rsidP="004D65FE">
            <w:pPr>
              <w:keepNext/>
              <w:keepLines/>
              <w:spacing w:before="0"/>
              <w:jc w:val="right"/>
              <w:rPr>
                <w:rFonts w:cs="Open Sans Light"/>
                <w:sz w:val="16"/>
                <w:szCs w:val="16"/>
              </w:rPr>
            </w:pPr>
            <w:r>
              <w:rPr>
                <w:rFonts w:cs="Open Sans Light"/>
                <w:sz w:val="16"/>
                <w:szCs w:val="16"/>
              </w:rPr>
              <w:t>1,610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C139928" w14:textId="77777777" w:rsidR="003A22B8" w:rsidRDefault="003A22B8" w:rsidP="004D65FE">
            <w:pPr>
              <w:keepNext/>
              <w:keepLines/>
              <w:spacing w:before="0"/>
              <w:jc w:val="right"/>
              <w:rPr>
                <w:rFonts w:cs="Open Sans Light"/>
                <w:sz w:val="16"/>
                <w:szCs w:val="16"/>
              </w:rPr>
            </w:pPr>
            <w:r>
              <w:rPr>
                <w:rFonts w:cs="Open Sans Light"/>
                <w:sz w:val="16"/>
                <w:szCs w:val="16"/>
              </w:rPr>
              <w:t>1,753</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E762E2" w14:textId="77777777" w:rsidR="003A22B8" w:rsidRDefault="003A22B8" w:rsidP="004D65FE">
            <w:pPr>
              <w:keepNext/>
              <w:keepLines/>
              <w:spacing w:before="0"/>
              <w:jc w:val="right"/>
              <w:rPr>
                <w:rFonts w:cs="Open Sans Light"/>
                <w:sz w:val="16"/>
                <w:szCs w:val="16"/>
              </w:rPr>
            </w:pPr>
            <w:r>
              <w:rPr>
                <w:rFonts w:cs="Open Sans Light"/>
                <w:sz w:val="16"/>
                <w:szCs w:val="16"/>
              </w:rPr>
              <w:t>2,714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5C93949" w14:textId="77777777" w:rsidR="003A22B8" w:rsidRDefault="003A22B8" w:rsidP="004D65FE">
            <w:pPr>
              <w:keepNext/>
              <w:keepLines/>
              <w:spacing w:before="0"/>
              <w:jc w:val="right"/>
              <w:rPr>
                <w:rFonts w:cs="Open Sans Light"/>
                <w:sz w:val="16"/>
                <w:szCs w:val="16"/>
              </w:rPr>
            </w:pPr>
            <w:r>
              <w:rPr>
                <w:rFonts w:cs="Open Sans Light"/>
                <w:sz w:val="16"/>
                <w:szCs w:val="16"/>
              </w:rPr>
              <w:t>1,054</w:t>
            </w:r>
          </w:p>
        </w:tc>
      </w:tr>
      <w:tr w:rsidR="003A22B8" w14:paraId="3C3C79D1"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1B5BA25"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Assessed expenses</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3B2EA7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8,841</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1D9CCF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8,265</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B98211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9,211</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63ABD5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9,514</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67E636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9,073</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9B789F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10,413</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134504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8,410</w:t>
            </w:r>
          </w:p>
        </w:tc>
        <w:tc>
          <w:tcPr>
            <w:tcW w:w="82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EF95AB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18,860</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F19CF9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8,975</w:t>
            </w:r>
          </w:p>
        </w:tc>
      </w:tr>
    </w:tbl>
    <w:p w14:paraId="771A0ABC" w14:textId="77777777" w:rsidR="003A22B8" w:rsidRDefault="003A22B8" w:rsidP="003A22B8">
      <w:pPr>
        <w:pStyle w:val="CGCTablenote"/>
      </w:pPr>
      <w:r>
        <w:t xml:space="preserve">Source: </w:t>
      </w:r>
      <w:r>
        <w:tab/>
        <w:t>CGC calculation.</w:t>
      </w:r>
    </w:p>
    <w:p w14:paraId="3D1AB6E6" w14:textId="75AC2485" w:rsidR="003A22B8" w:rsidRDefault="003A22B8" w:rsidP="003A22B8">
      <w:pPr>
        <w:pStyle w:val="Caption"/>
      </w:pPr>
      <w:bookmarkStart w:id="649" w:name="_Ref30430060"/>
      <w:r>
        <w:t>Table 30-</w:t>
      </w:r>
      <w:fldSimple w:instr=" SEQ Table \* ARABIC ">
        <w:r w:rsidR="007F721A">
          <w:rPr>
            <w:noProof/>
          </w:rPr>
          <w:t>8</w:t>
        </w:r>
      </w:fldSimple>
      <w:bookmarkEnd w:id="649"/>
      <w:r>
        <w:tab/>
        <w:t>Per capita assessed revenue, 2018-19</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403409D6" w14:textId="77777777" w:rsidTr="004D65FE">
        <w:trPr>
          <w:trHeight w:val="375"/>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4E75EE9" w14:textId="77777777" w:rsidR="003A22B8" w:rsidRDefault="003A22B8" w:rsidP="004D65FE">
            <w:pPr>
              <w:keepNext/>
              <w:keepLines/>
              <w:tabs>
                <w:tab w:val="clear" w:pos="567"/>
              </w:tabs>
              <w:spacing w:before="0" w:line="240" w:lineRule="auto"/>
              <w:ind w:left="142"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B30E3D0"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DA0943B"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463640A"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401ADD8"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F772BF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9DF2756"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0F4B7FA"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742D254"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98BB88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303F7796" w14:textId="77777777" w:rsidTr="005C340D">
        <w:trPr>
          <w:trHeight w:val="255"/>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76A1FF3" w14:textId="77777777" w:rsidR="003A22B8" w:rsidRDefault="003A22B8" w:rsidP="004D65FE">
            <w:pPr>
              <w:keepNext/>
              <w:keepLines/>
              <w:spacing w:before="0"/>
              <w:ind w:left="142"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D58728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52DDF2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BD6097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D37276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7F055B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A15348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A8C2FB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F0EC30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45C33E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55A42042"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DB9375" w14:textId="77777777" w:rsidR="003A22B8" w:rsidRDefault="003A22B8" w:rsidP="004D65FE">
            <w:pPr>
              <w:keepNext/>
              <w:keepLines/>
              <w:spacing w:before="0"/>
              <w:ind w:left="142" w:hanging="142"/>
              <w:rPr>
                <w:rFonts w:cs="Open Sans Light"/>
                <w:sz w:val="16"/>
                <w:szCs w:val="16"/>
              </w:rPr>
            </w:pPr>
            <w:r>
              <w:rPr>
                <w:rFonts w:cs="Open Sans Light"/>
                <w:sz w:val="16"/>
                <w:szCs w:val="16"/>
              </w:rPr>
              <w:t>Payroll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BB49A70" w14:textId="77777777" w:rsidR="003A22B8" w:rsidRDefault="003A22B8" w:rsidP="004D65FE">
            <w:pPr>
              <w:keepNext/>
              <w:keepLines/>
              <w:spacing w:before="0"/>
              <w:jc w:val="right"/>
              <w:rPr>
                <w:rFonts w:cs="Open Sans Light"/>
                <w:sz w:val="16"/>
                <w:szCs w:val="16"/>
              </w:rPr>
            </w:pPr>
            <w:r>
              <w:rPr>
                <w:rFonts w:cs="Open Sans Light"/>
                <w:sz w:val="16"/>
                <w:szCs w:val="16"/>
              </w:rPr>
              <w:t>1,097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A95979A" w14:textId="77777777" w:rsidR="003A22B8" w:rsidRDefault="003A22B8" w:rsidP="004D65FE">
            <w:pPr>
              <w:keepNext/>
              <w:keepLines/>
              <w:spacing w:before="0"/>
              <w:jc w:val="right"/>
              <w:rPr>
                <w:rFonts w:cs="Open Sans Light"/>
                <w:sz w:val="16"/>
                <w:szCs w:val="16"/>
              </w:rPr>
            </w:pPr>
            <w:r>
              <w:rPr>
                <w:rFonts w:cs="Open Sans Light"/>
                <w:sz w:val="16"/>
                <w:szCs w:val="16"/>
              </w:rPr>
              <w:t>979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7E5AB69" w14:textId="77777777" w:rsidR="003A22B8" w:rsidRDefault="003A22B8" w:rsidP="004D65FE">
            <w:pPr>
              <w:keepNext/>
              <w:keepLines/>
              <w:spacing w:before="0"/>
              <w:jc w:val="right"/>
              <w:rPr>
                <w:rFonts w:cs="Open Sans Light"/>
                <w:sz w:val="16"/>
                <w:szCs w:val="16"/>
              </w:rPr>
            </w:pPr>
            <w:r>
              <w:rPr>
                <w:rFonts w:cs="Open Sans Light"/>
                <w:sz w:val="16"/>
                <w:szCs w:val="16"/>
              </w:rPr>
              <w:t>927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0EDCB63" w14:textId="77777777" w:rsidR="003A22B8" w:rsidRDefault="003A22B8" w:rsidP="004D65FE">
            <w:pPr>
              <w:keepNext/>
              <w:keepLines/>
              <w:spacing w:before="0"/>
              <w:jc w:val="right"/>
              <w:rPr>
                <w:rFonts w:cs="Open Sans Light"/>
                <w:sz w:val="16"/>
                <w:szCs w:val="16"/>
              </w:rPr>
            </w:pPr>
            <w:r>
              <w:rPr>
                <w:rFonts w:cs="Open Sans Light"/>
                <w:sz w:val="16"/>
                <w:szCs w:val="16"/>
              </w:rPr>
              <w:t>1,280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A072B2" w14:textId="77777777" w:rsidR="003A22B8" w:rsidRDefault="003A22B8" w:rsidP="004D65FE">
            <w:pPr>
              <w:keepNext/>
              <w:keepLines/>
              <w:spacing w:before="0"/>
              <w:jc w:val="right"/>
              <w:rPr>
                <w:rFonts w:cs="Open Sans Light"/>
                <w:sz w:val="16"/>
                <w:szCs w:val="16"/>
              </w:rPr>
            </w:pPr>
            <w:r>
              <w:rPr>
                <w:rFonts w:cs="Open Sans Light"/>
                <w:sz w:val="16"/>
                <w:szCs w:val="16"/>
              </w:rPr>
              <w:t>805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5D1FC9" w14:textId="77777777" w:rsidR="003A22B8" w:rsidRDefault="003A22B8" w:rsidP="004D65FE">
            <w:pPr>
              <w:keepNext/>
              <w:keepLines/>
              <w:spacing w:before="0"/>
              <w:jc w:val="right"/>
              <w:rPr>
                <w:rFonts w:cs="Open Sans Light"/>
                <w:sz w:val="16"/>
                <w:szCs w:val="16"/>
              </w:rPr>
            </w:pPr>
            <w:r>
              <w:rPr>
                <w:rFonts w:cs="Open Sans Light"/>
                <w:sz w:val="16"/>
                <w:szCs w:val="16"/>
              </w:rPr>
              <w:t>668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2992516" w14:textId="77777777" w:rsidR="003A22B8" w:rsidRDefault="003A22B8" w:rsidP="004D65FE">
            <w:pPr>
              <w:keepNext/>
              <w:keepLines/>
              <w:spacing w:before="0"/>
              <w:jc w:val="right"/>
              <w:rPr>
                <w:rFonts w:cs="Open Sans Light"/>
                <w:sz w:val="16"/>
                <w:szCs w:val="16"/>
              </w:rPr>
            </w:pPr>
            <w:r>
              <w:rPr>
                <w:rFonts w:cs="Open Sans Light"/>
                <w:sz w:val="16"/>
                <w:szCs w:val="16"/>
              </w:rPr>
              <w:t>984</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8305FE9" w14:textId="77777777" w:rsidR="003A22B8" w:rsidRDefault="003A22B8" w:rsidP="004D65FE">
            <w:pPr>
              <w:keepNext/>
              <w:keepLines/>
              <w:spacing w:before="0"/>
              <w:jc w:val="right"/>
              <w:rPr>
                <w:rFonts w:cs="Open Sans Light"/>
                <w:sz w:val="16"/>
                <w:szCs w:val="16"/>
              </w:rPr>
            </w:pPr>
            <w:r>
              <w:rPr>
                <w:rFonts w:cs="Open Sans Light"/>
                <w:sz w:val="16"/>
                <w:szCs w:val="16"/>
              </w:rPr>
              <w:t>1,158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2DC39DA" w14:textId="77777777" w:rsidR="003A22B8" w:rsidRDefault="003A22B8" w:rsidP="004D65FE">
            <w:pPr>
              <w:keepNext/>
              <w:keepLines/>
              <w:spacing w:before="0"/>
              <w:jc w:val="right"/>
              <w:rPr>
                <w:rFonts w:cs="Open Sans Light"/>
                <w:sz w:val="16"/>
                <w:szCs w:val="16"/>
              </w:rPr>
            </w:pPr>
            <w:r>
              <w:rPr>
                <w:rFonts w:cs="Open Sans Light"/>
                <w:sz w:val="16"/>
                <w:szCs w:val="16"/>
              </w:rPr>
              <w:t>1,021</w:t>
            </w:r>
          </w:p>
        </w:tc>
      </w:tr>
      <w:tr w:rsidR="003A22B8" w14:paraId="5091F61D"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476696F" w14:textId="77777777" w:rsidR="003A22B8" w:rsidRDefault="003A22B8" w:rsidP="004D65FE">
            <w:pPr>
              <w:keepNext/>
              <w:keepLines/>
              <w:spacing w:before="0"/>
              <w:ind w:left="142" w:hanging="142"/>
              <w:rPr>
                <w:rFonts w:cs="Open Sans Light"/>
                <w:sz w:val="16"/>
                <w:szCs w:val="16"/>
              </w:rPr>
            </w:pPr>
            <w:r>
              <w:rPr>
                <w:rFonts w:cs="Open Sans Light"/>
                <w:sz w:val="16"/>
                <w:szCs w:val="16"/>
              </w:rPr>
              <w:t>Land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DB78F8F" w14:textId="77777777" w:rsidR="003A22B8" w:rsidRDefault="003A22B8" w:rsidP="004D65FE">
            <w:pPr>
              <w:keepNext/>
              <w:keepLines/>
              <w:spacing w:before="0"/>
              <w:jc w:val="right"/>
              <w:rPr>
                <w:rFonts w:cs="Open Sans Light"/>
                <w:sz w:val="16"/>
                <w:szCs w:val="16"/>
              </w:rPr>
            </w:pPr>
            <w:r>
              <w:rPr>
                <w:rFonts w:cs="Open Sans Light"/>
                <w:sz w:val="16"/>
                <w:szCs w:val="16"/>
              </w:rPr>
              <w:t>553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0B1853" w14:textId="77777777" w:rsidR="003A22B8" w:rsidRDefault="003A22B8" w:rsidP="004D65FE">
            <w:pPr>
              <w:keepNext/>
              <w:keepLines/>
              <w:spacing w:before="0"/>
              <w:jc w:val="right"/>
              <w:rPr>
                <w:rFonts w:cs="Open Sans Light"/>
                <w:sz w:val="16"/>
                <w:szCs w:val="16"/>
              </w:rPr>
            </w:pPr>
            <w:r>
              <w:rPr>
                <w:rFonts w:cs="Open Sans Light"/>
                <w:sz w:val="16"/>
                <w:szCs w:val="16"/>
              </w:rPr>
              <w:t>516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2B0E48C" w14:textId="77777777" w:rsidR="003A22B8" w:rsidRDefault="003A22B8" w:rsidP="004D65FE">
            <w:pPr>
              <w:keepNext/>
              <w:keepLines/>
              <w:spacing w:before="0"/>
              <w:jc w:val="right"/>
              <w:rPr>
                <w:rFonts w:cs="Open Sans Light"/>
                <w:sz w:val="16"/>
                <w:szCs w:val="16"/>
              </w:rPr>
            </w:pPr>
            <w:r>
              <w:rPr>
                <w:rFonts w:cs="Open Sans Light"/>
                <w:sz w:val="16"/>
                <w:szCs w:val="16"/>
              </w:rPr>
              <w:t>248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73C91C6" w14:textId="77777777" w:rsidR="003A22B8" w:rsidRDefault="003A22B8" w:rsidP="004D65FE">
            <w:pPr>
              <w:keepNext/>
              <w:keepLines/>
              <w:spacing w:before="0"/>
              <w:jc w:val="right"/>
              <w:rPr>
                <w:rFonts w:cs="Open Sans Light"/>
                <w:sz w:val="16"/>
                <w:szCs w:val="16"/>
              </w:rPr>
            </w:pPr>
            <w:r>
              <w:rPr>
                <w:rFonts w:cs="Open Sans Light"/>
                <w:sz w:val="16"/>
                <w:szCs w:val="16"/>
              </w:rPr>
              <w:t>342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B11446" w14:textId="77777777" w:rsidR="003A22B8" w:rsidRDefault="003A22B8" w:rsidP="004D65FE">
            <w:pPr>
              <w:keepNext/>
              <w:keepLines/>
              <w:spacing w:before="0"/>
              <w:jc w:val="right"/>
              <w:rPr>
                <w:rFonts w:cs="Open Sans Light"/>
                <w:sz w:val="16"/>
                <w:szCs w:val="16"/>
              </w:rPr>
            </w:pPr>
            <w:r>
              <w:rPr>
                <w:rFonts w:cs="Open Sans Light"/>
                <w:sz w:val="16"/>
                <w:szCs w:val="16"/>
              </w:rPr>
              <w:t>178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96395DF" w14:textId="77777777" w:rsidR="003A22B8" w:rsidRDefault="003A22B8" w:rsidP="004D65FE">
            <w:pPr>
              <w:keepNext/>
              <w:keepLines/>
              <w:spacing w:before="0"/>
              <w:jc w:val="right"/>
              <w:rPr>
                <w:rFonts w:cs="Open Sans Light"/>
                <w:sz w:val="16"/>
                <w:szCs w:val="16"/>
              </w:rPr>
            </w:pPr>
            <w:r>
              <w:rPr>
                <w:rFonts w:cs="Open Sans Light"/>
                <w:sz w:val="16"/>
                <w:szCs w:val="16"/>
              </w:rPr>
              <w:t>131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79810C" w14:textId="77777777" w:rsidR="003A22B8" w:rsidRDefault="003A22B8" w:rsidP="004D65FE">
            <w:pPr>
              <w:keepNext/>
              <w:keepLines/>
              <w:spacing w:before="0"/>
              <w:jc w:val="right"/>
              <w:rPr>
                <w:rFonts w:cs="Open Sans Light"/>
                <w:sz w:val="16"/>
                <w:szCs w:val="16"/>
              </w:rPr>
            </w:pPr>
            <w:r>
              <w:rPr>
                <w:rFonts w:cs="Open Sans Light"/>
                <w:sz w:val="16"/>
                <w:szCs w:val="16"/>
              </w:rPr>
              <w:t>184</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C589F12" w14:textId="77777777" w:rsidR="003A22B8" w:rsidRDefault="003A22B8" w:rsidP="004D65FE">
            <w:pPr>
              <w:keepNext/>
              <w:keepLines/>
              <w:spacing w:before="0"/>
              <w:jc w:val="right"/>
              <w:rPr>
                <w:rFonts w:cs="Open Sans Light"/>
                <w:sz w:val="16"/>
                <w:szCs w:val="16"/>
              </w:rPr>
            </w:pPr>
            <w:r>
              <w:rPr>
                <w:rFonts w:cs="Open Sans Light"/>
                <w:sz w:val="16"/>
                <w:szCs w:val="16"/>
              </w:rPr>
              <w:t>353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DB5D2A" w14:textId="77777777" w:rsidR="003A22B8" w:rsidRDefault="003A22B8" w:rsidP="004D65FE">
            <w:pPr>
              <w:keepNext/>
              <w:keepLines/>
              <w:spacing w:before="0"/>
              <w:jc w:val="right"/>
              <w:rPr>
                <w:rFonts w:cs="Open Sans Light"/>
                <w:sz w:val="16"/>
                <w:szCs w:val="16"/>
              </w:rPr>
            </w:pPr>
            <w:r>
              <w:rPr>
                <w:rFonts w:cs="Open Sans Light"/>
                <w:sz w:val="16"/>
                <w:szCs w:val="16"/>
              </w:rPr>
              <w:t>417</w:t>
            </w:r>
          </w:p>
        </w:tc>
      </w:tr>
      <w:tr w:rsidR="003A22B8" w14:paraId="0AE718B2"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A9B98EB" w14:textId="77777777" w:rsidR="003A22B8" w:rsidRDefault="003A22B8" w:rsidP="004D65FE">
            <w:pPr>
              <w:keepNext/>
              <w:keepLines/>
              <w:spacing w:before="0"/>
              <w:ind w:left="142" w:hanging="142"/>
              <w:rPr>
                <w:rFonts w:cs="Open Sans Light"/>
                <w:sz w:val="16"/>
                <w:szCs w:val="16"/>
              </w:rPr>
            </w:pPr>
            <w:r>
              <w:rPr>
                <w:rFonts w:cs="Open Sans Light"/>
                <w:sz w:val="16"/>
                <w:szCs w:val="16"/>
              </w:rPr>
              <w:t>Stamp duty on conveyances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E4635CF" w14:textId="77777777" w:rsidR="003A22B8" w:rsidRDefault="003A22B8" w:rsidP="004D65FE">
            <w:pPr>
              <w:keepNext/>
              <w:keepLines/>
              <w:spacing w:before="0"/>
              <w:jc w:val="right"/>
              <w:rPr>
                <w:rFonts w:cs="Open Sans Light"/>
                <w:sz w:val="16"/>
                <w:szCs w:val="16"/>
              </w:rPr>
            </w:pPr>
            <w:r>
              <w:rPr>
                <w:rFonts w:cs="Open Sans Light"/>
                <w:sz w:val="16"/>
                <w:szCs w:val="16"/>
              </w:rPr>
              <w:t>860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68AEFC9" w14:textId="77777777" w:rsidR="003A22B8" w:rsidRDefault="003A22B8" w:rsidP="004D65FE">
            <w:pPr>
              <w:keepNext/>
              <w:keepLines/>
              <w:spacing w:before="0"/>
              <w:jc w:val="right"/>
              <w:rPr>
                <w:rFonts w:cs="Open Sans Light"/>
                <w:sz w:val="16"/>
                <w:szCs w:val="16"/>
              </w:rPr>
            </w:pPr>
            <w:r>
              <w:rPr>
                <w:rFonts w:cs="Open Sans Light"/>
                <w:sz w:val="16"/>
                <w:szCs w:val="16"/>
              </w:rPr>
              <w:t>829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B1DC498" w14:textId="77777777" w:rsidR="003A22B8" w:rsidRDefault="003A22B8" w:rsidP="004D65FE">
            <w:pPr>
              <w:keepNext/>
              <w:keepLines/>
              <w:spacing w:before="0"/>
              <w:jc w:val="right"/>
              <w:rPr>
                <w:rFonts w:cs="Open Sans Light"/>
                <w:sz w:val="16"/>
                <w:szCs w:val="16"/>
              </w:rPr>
            </w:pPr>
            <w:r>
              <w:rPr>
                <w:rFonts w:cs="Open Sans Light"/>
                <w:sz w:val="16"/>
                <w:szCs w:val="16"/>
              </w:rPr>
              <w:t>580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00BB524" w14:textId="77777777" w:rsidR="003A22B8" w:rsidRDefault="003A22B8" w:rsidP="004D65FE">
            <w:pPr>
              <w:keepNext/>
              <w:keepLines/>
              <w:spacing w:before="0"/>
              <w:jc w:val="right"/>
              <w:rPr>
                <w:rFonts w:cs="Open Sans Light"/>
                <w:sz w:val="16"/>
                <w:szCs w:val="16"/>
              </w:rPr>
            </w:pPr>
            <w:r>
              <w:rPr>
                <w:rFonts w:cs="Open Sans Light"/>
                <w:sz w:val="16"/>
                <w:szCs w:val="16"/>
              </w:rPr>
              <w:t>463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C30E937" w14:textId="77777777" w:rsidR="003A22B8" w:rsidRDefault="003A22B8" w:rsidP="004D65FE">
            <w:pPr>
              <w:keepNext/>
              <w:keepLines/>
              <w:spacing w:before="0"/>
              <w:jc w:val="right"/>
              <w:rPr>
                <w:rFonts w:cs="Open Sans Light"/>
                <w:sz w:val="16"/>
                <w:szCs w:val="16"/>
              </w:rPr>
            </w:pPr>
            <w:r>
              <w:rPr>
                <w:rFonts w:cs="Open Sans Light"/>
                <w:sz w:val="16"/>
                <w:szCs w:val="16"/>
              </w:rPr>
              <w:t>449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B6FB33A" w14:textId="77777777" w:rsidR="003A22B8" w:rsidRDefault="003A22B8" w:rsidP="004D65FE">
            <w:pPr>
              <w:keepNext/>
              <w:keepLines/>
              <w:spacing w:before="0"/>
              <w:jc w:val="right"/>
              <w:rPr>
                <w:rFonts w:cs="Open Sans Light"/>
                <w:sz w:val="16"/>
                <w:szCs w:val="16"/>
              </w:rPr>
            </w:pPr>
            <w:r>
              <w:rPr>
                <w:rFonts w:cs="Open Sans Light"/>
                <w:sz w:val="16"/>
                <w:szCs w:val="16"/>
              </w:rPr>
              <w:t>423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73BA684" w14:textId="77777777" w:rsidR="003A22B8" w:rsidRDefault="003A22B8" w:rsidP="004D65FE">
            <w:pPr>
              <w:keepNext/>
              <w:keepLines/>
              <w:spacing w:before="0"/>
              <w:jc w:val="right"/>
              <w:rPr>
                <w:rFonts w:cs="Open Sans Light"/>
                <w:sz w:val="16"/>
                <w:szCs w:val="16"/>
              </w:rPr>
            </w:pPr>
            <w:r>
              <w:rPr>
                <w:rFonts w:cs="Open Sans Light"/>
                <w:sz w:val="16"/>
                <w:szCs w:val="16"/>
              </w:rPr>
              <w:t>756</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66FE5E8" w14:textId="77777777" w:rsidR="003A22B8" w:rsidRDefault="003A22B8" w:rsidP="004D65FE">
            <w:pPr>
              <w:keepNext/>
              <w:keepLines/>
              <w:spacing w:before="0"/>
              <w:jc w:val="right"/>
              <w:rPr>
                <w:rFonts w:cs="Open Sans Light"/>
                <w:sz w:val="16"/>
                <w:szCs w:val="16"/>
              </w:rPr>
            </w:pPr>
            <w:r>
              <w:rPr>
                <w:rFonts w:cs="Open Sans Light"/>
                <w:sz w:val="16"/>
                <w:szCs w:val="16"/>
              </w:rPr>
              <w:t>600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DD3A17E" w14:textId="77777777" w:rsidR="003A22B8" w:rsidRDefault="003A22B8" w:rsidP="004D65FE">
            <w:pPr>
              <w:keepNext/>
              <w:keepLines/>
              <w:spacing w:before="0"/>
              <w:jc w:val="right"/>
              <w:rPr>
                <w:rFonts w:cs="Open Sans Light"/>
                <w:sz w:val="16"/>
                <w:szCs w:val="16"/>
              </w:rPr>
            </w:pPr>
            <w:r>
              <w:rPr>
                <w:rFonts w:cs="Open Sans Light"/>
                <w:sz w:val="16"/>
                <w:szCs w:val="16"/>
              </w:rPr>
              <w:t>713</w:t>
            </w:r>
          </w:p>
        </w:tc>
      </w:tr>
      <w:tr w:rsidR="003A22B8" w14:paraId="2B0607F6"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EAB27CC" w14:textId="77777777" w:rsidR="003A22B8" w:rsidRDefault="003A22B8" w:rsidP="004D65FE">
            <w:pPr>
              <w:keepNext/>
              <w:keepLines/>
              <w:spacing w:before="0"/>
              <w:ind w:left="142" w:hanging="142"/>
              <w:rPr>
                <w:rFonts w:cs="Open Sans Light"/>
                <w:sz w:val="16"/>
                <w:szCs w:val="16"/>
              </w:rPr>
            </w:pPr>
            <w:r>
              <w:rPr>
                <w:rFonts w:cs="Open Sans Light"/>
                <w:sz w:val="16"/>
                <w:szCs w:val="16"/>
              </w:rPr>
              <w:t>Insurance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722B3B8" w14:textId="77777777" w:rsidR="003A22B8" w:rsidRDefault="003A22B8" w:rsidP="004D65FE">
            <w:pPr>
              <w:keepNext/>
              <w:keepLines/>
              <w:spacing w:before="0"/>
              <w:jc w:val="right"/>
              <w:rPr>
                <w:rFonts w:cs="Open Sans Light"/>
                <w:sz w:val="16"/>
                <w:szCs w:val="16"/>
              </w:rPr>
            </w:pPr>
            <w:r>
              <w:rPr>
                <w:rFonts w:cs="Open Sans Light"/>
                <w:sz w:val="16"/>
                <w:szCs w:val="16"/>
              </w:rPr>
              <w:t>237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55884A" w14:textId="77777777" w:rsidR="003A22B8" w:rsidRDefault="003A22B8" w:rsidP="004D65FE">
            <w:pPr>
              <w:keepNext/>
              <w:keepLines/>
              <w:spacing w:before="0"/>
              <w:jc w:val="right"/>
              <w:rPr>
                <w:rFonts w:cs="Open Sans Light"/>
                <w:sz w:val="16"/>
                <w:szCs w:val="16"/>
              </w:rPr>
            </w:pPr>
            <w:r>
              <w:rPr>
                <w:rFonts w:cs="Open Sans Light"/>
                <w:sz w:val="16"/>
                <w:szCs w:val="16"/>
              </w:rPr>
              <w:t>206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15A4EAF" w14:textId="77777777" w:rsidR="003A22B8" w:rsidRDefault="003A22B8" w:rsidP="004D65FE">
            <w:pPr>
              <w:keepNext/>
              <w:keepLines/>
              <w:spacing w:before="0"/>
              <w:jc w:val="right"/>
              <w:rPr>
                <w:rFonts w:cs="Open Sans Light"/>
                <w:sz w:val="16"/>
                <w:szCs w:val="16"/>
              </w:rPr>
            </w:pPr>
            <w:r>
              <w:rPr>
                <w:rFonts w:cs="Open Sans Light"/>
                <w:sz w:val="16"/>
                <w:szCs w:val="16"/>
              </w:rPr>
              <w:t>216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0895436" w14:textId="77777777" w:rsidR="003A22B8" w:rsidRDefault="003A22B8" w:rsidP="004D65FE">
            <w:pPr>
              <w:keepNext/>
              <w:keepLines/>
              <w:spacing w:before="0"/>
              <w:jc w:val="right"/>
              <w:rPr>
                <w:rFonts w:cs="Open Sans Light"/>
                <w:sz w:val="16"/>
                <w:szCs w:val="16"/>
              </w:rPr>
            </w:pPr>
            <w:r>
              <w:rPr>
                <w:rFonts w:cs="Open Sans Light"/>
                <w:sz w:val="16"/>
                <w:szCs w:val="16"/>
              </w:rPr>
              <w:t>211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F705DC7" w14:textId="77777777" w:rsidR="003A22B8" w:rsidRDefault="003A22B8" w:rsidP="004D65FE">
            <w:pPr>
              <w:keepNext/>
              <w:keepLines/>
              <w:spacing w:before="0"/>
              <w:jc w:val="right"/>
              <w:rPr>
                <w:rFonts w:cs="Open Sans Light"/>
                <w:sz w:val="16"/>
                <w:szCs w:val="16"/>
              </w:rPr>
            </w:pPr>
            <w:r>
              <w:rPr>
                <w:rFonts w:cs="Open Sans Light"/>
                <w:sz w:val="16"/>
                <w:szCs w:val="16"/>
              </w:rPr>
              <w:t>258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4CA840B" w14:textId="77777777" w:rsidR="003A22B8" w:rsidRDefault="003A22B8" w:rsidP="004D65FE">
            <w:pPr>
              <w:keepNext/>
              <w:keepLines/>
              <w:spacing w:before="0"/>
              <w:jc w:val="right"/>
              <w:rPr>
                <w:rFonts w:cs="Open Sans Light"/>
                <w:sz w:val="16"/>
                <w:szCs w:val="16"/>
              </w:rPr>
            </w:pPr>
            <w:r>
              <w:rPr>
                <w:rFonts w:cs="Open Sans Light"/>
                <w:sz w:val="16"/>
                <w:szCs w:val="16"/>
              </w:rPr>
              <w:t>177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38714B" w14:textId="77777777" w:rsidR="003A22B8" w:rsidRDefault="003A22B8" w:rsidP="004D65FE">
            <w:pPr>
              <w:keepNext/>
              <w:keepLines/>
              <w:spacing w:before="0"/>
              <w:jc w:val="right"/>
              <w:rPr>
                <w:rFonts w:cs="Open Sans Light"/>
                <w:sz w:val="16"/>
                <w:szCs w:val="16"/>
              </w:rPr>
            </w:pPr>
            <w:r>
              <w:rPr>
                <w:rFonts w:cs="Open Sans Light"/>
                <w:sz w:val="16"/>
                <w:szCs w:val="16"/>
              </w:rPr>
              <w:t>191</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5EEECF" w14:textId="77777777" w:rsidR="003A22B8" w:rsidRDefault="003A22B8" w:rsidP="004D65FE">
            <w:pPr>
              <w:keepNext/>
              <w:keepLines/>
              <w:spacing w:before="0"/>
              <w:jc w:val="right"/>
              <w:rPr>
                <w:rFonts w:cs="Open Sans Light"/>
                <w:sz w:val="16"/>
                <w:szCs w:val="16"/>
              </w:rPr>
            </w:pPr>
            <w:r>
              <w:rPr>
                <w:rFonts w:cs="Open Sans Light"/>
                <w:sz w:val="16"/>
                <w:szCs w:val="16"/>
              </w:rPr>
              <w:t>214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CFC6D9D" w14:textId="77777777" w:rsidR="003A22B8" w:rsidRDefault="003A22B8" w:rsidP="004D65FE">
            <w:pPr>
              <w:keepNext/>
              <w:keepLines/>
              <w:spacing w:before="0"/>
              <w:jc w:val="right"/>
              <w:rPr>
                <w:rFonts w:cs="Open Sans Light"/>
                <w:sz w:val="16"/>
                <w:szCs w:val="16"/>
              </w:rPr>
            </w:pPr>
            <w:r>
              <w:rPr>
                <w:rFonts w:cs="Open Sans Light"/>
                <w:sz w:val="16"/>
                <w:szCs w:val="16"/>
              </w:rPr>
              <w:t>221</w:t>
            </w:r>
          </w:p>
        </w:tc>
      </w:tr>
      <w:tr w:rsidR="003A22B8" w14:paraId="2E31501E"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16C3FD0" w14:textId="77777777" w:rsidR="003A22B8" w:rsidRDefault="003A22B8" w:rsidP="004D65FE">
            <w:pPr>
              <w:keepNext/>
              <w:keepLines/>
              <w:spacing w:before="0"/>
              <w:ind w:left="142" w:hanging="142"/>
              <w:rPr>
                <w:rFonts w:cs="Open Sans Light"/>
                <w:sz w:val="16"/>
                <w:szCs w:val="16"/>
              </w:rPr>
            </w:pPr>
            <w:r>
              <w:rPr>
                <w:rFonts w:cs="Open Sans Light"/>
                <w:sz w:val="16"/>
                <w:szCs w:val="16"/>
              </w:rPr>
              <w:t>Motor taxes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D8C110" w14:textId="77777777" w:rsidR="003A22B8" w:rsidRDefault="003A22B8" w:rsidP="004D65FE">
            <w:pPr>
              <w:keepNext/>
              <w:keepLines/>
              <w:spacing w:before="0"/>
              <w:jc w:val="right"/>
              <w:rPr>
                <w:rFonts w:cs="Open Sans Light"/>
                <w:sz w:val="16"/>
                <w:szCs w:val="16"/>
              </w:rPr>
            </w:pPr>
            <w:r>
              <w:rPr>
                <w:rFonts w:cs="Open Sans Light"/>
                <w:sz w:val="16"/>
                <w:szCs w:val="16"/>
              </w:rPr>
              <w:t>290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736CFD" w14:textId="77777777" w:rsidR="003A22B8" w:rsidRDefault="003A22B8" w:rsidP="004D65FE">
            <w:pPr>
              <w:keepNext/>
              <w:keepLines/>
              <w:spacing w:before="0"/>
              <w:jc w:val="right"/>
              <w:rPr>
                <w:rFonts w:cs="Open Sans Light"/>
                <w:sz w:val="16"/>
                <w:szCs w:val="16"/>
              </w:rPr>
            </w:pPr>
            <w:r>
              <w:rPr>
                <w:rFonts w:cs="Open Sans Light"/>
                <w:sz w:val="16"/>
                <w:szCs w:val="16"/>
              </w:rPr>
              <w:t>319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28E826" w14:textId="77777777" w:rsidR="003A22B8" w:rsidRDefault="003A22B8" w:rsidP="004D65FE">
            <w:pPr>
              <w:keepNext/>
              <w:keepLines/>
              <w:spacing w:before="0"/>
              <w:jc w:val="right"/>
              <w:rPr>
                <w:rFonts w:cs="Open Sans Light"/>
                <w:sz w:val="16"/>
                <w:szCs w:val="16"/>
              </w:rPr>
            </w:pPr>
            <w:r>
              <w:rPr>
                <w:rFonts w:cs="Open Sans Light"/>
                <w:sz w:val="16"/>
                <w:szCs w:val="16"/>
              </w:rPr>
              <w:t>336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5EC328" w14:textId="77777777" w:rsidR="003A22B8" w:rsidRDefault="003A22B8" w:rsidP="004D65FE">
            <w:pPr>
              <w:keepNext/>
              <w:keepLines/>
              <w:spacing w:before="0"/>
              <w:jc w:val="right"/>
              <w:rPr>
                <w:rFonts w:cs="Open Sans Light"/>
                <w:sz w:val="16"/>
                <w:szCs w:val="16"/>
              </w:rPr>
            </w:pPr>
            <w:r>
              <w:rPr>
                <w:rFonts w:cs="Open Sans Light"/>
                <w:sz w:val="16"/>
                <w:szCs w:val="16"/>
              </w:rPr>
              <w:t>368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771CF11" w14:textId="77777777" w:rsidR="003A22B8" w:rsidRDefault="003A22B8" w:rsidP="004D65FE">
            <w:pPr>
              <w:keepNext/>
              <w:keepLines/>
              <w:spacing w:before="0"/>
              <w:jc w:val="right"/>
              <w:rPr>
                <w:rFonts w:cs="Open Sans Light"/>
                <w:sz w:val="16"/>
                <w:szCs w:val="16"/>
              </w:rPr>
            </w:pPr>
            <w:r>
              <w:rPr>
                <w:rFonts w:cs="Open Sans Light"/>
                <w:sz w:val="16"/>
                <w:szCs w:val="16"/>
              </w:rPr>
              <w:t>339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4218AA1" w14:textId="77777777" w:rsidR="003A22B8" w:rsidRDefault="003A22B8" w:rsidP="004D65FE">
            <w:pPr>
              <w:keepNext/>
              <w:keepLines/>
              <w:spacing w:before="0"/>
              <w:jc w:val="right"/>
              <w:rPr>
                <w:rFonts w:cs="Open Sans Light"/>
                <w:sz w:val="16"/>
                <w:szCs w:val="16"/>
              </w:rPr>
            </w:pPr>
            <w:r>
              <w:rPr>
                <w:rFonts w:cs="Open Sans Light"/>
                <w:sz w:val="16"/>
                <w:szCs w:val="16"/>
              </w:rPr>
              <w:t>381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D018F5" w14:textId="77777777" w:rsidR="003A22B8" w:rsidRDefault="003A22B8" w:rsidP="004D65FE">
            <w:pPr>
              <w:keepNext/>
              <w:keepLines/>
              <w:spacing w:before="0"/>
              <w:jc w:val="right"/>
              <w:rPr>
                <w:rFonts w:cs="Open Sans Light"/>
                <w:sz w:val="16"/>
                <w:szCs w:val="16"/>
              </w:rPr>
            </w:pPr>
            <w:r>
              <w:rPr>
                <w:rFonts w:cs="Open Sans Light"/>
                <w:sz w:val="16"/>
                <w:szCs w:val="16"/>
              </w:rPr>
              <w:t>270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B5A3A03" w14:textId="77777777" w:rsidR="003A22B8" w:rsidRDefault="003A22B8" w:rsidP="004D65FE">
            <w:pPr>
              <w:keepNext/>
              <w:keepLines/>
              <w:spacing w:before="0"/>
              <w:jc w:val="right"/>
              <w:rPr>
                <w:rFonts w:cs="Open Sans Light"/>
                <w:sz w:val="16"/>
                <w:szCs w:val="16"/>
              </w:rPr>
            </w:pPr>
            <w:r>
              <w:rPr>
                <w:rFonts w:cs="Open Sans Light"/>
                <w:sz w:val="16"/>
                <w:szCs w:val="16"/>
              </w:rPr>
              <w:t>292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F7031C0" w14:textId="77777777" w:rsidR="003A22B8" w:rsidRDefault="003A22B8" w:rsidP="004D65FE">
            <w:pPr>
              <w:keepNext/>
              <w:keepLines/>
              <w:spacing w:before="0"/>
              <w:jc w:val="right"/>
              <w:rPr>
                <w:rFonts w:cs="Open Sans Light"/>
                <w:sz w:val="16"/>
                <w:szCs w:val="16"/>
              </w:rPr>
            </w:pPr>
            <w:r>
              <w:rPr>
                <w:rFonts w:cs="Open Sans Light"/>
                <w:sz w:val="16"/>
                <w:szCs w:val="16"/>
              </w:rPr>
              <w:t>320</w:t>
            </w:r>
          </w:p>
        </w:tc>
      </w:tr>
      <w:tr w:rsidR="003A22B8" w14:paraId="0145FF82"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4DB5FAC" w14:textId="77777777" w:rsidR="003A22B8" w:rsidRDefault="003A22B8" w:rsidP="004D65FE">
            <w:pPr>
              <w:keepNext/>
              <w:keepLines/>
              <w:spacing w:before="0"/>
              <w:ind w:left="142" w:hanging="142"/>
              <w:rPr>
                <w:rFonts w:cs="Open Sans Light"/>
                <w:sz w:val="16"/>
                <w:szCs w:val="16"/>
              </w:rPr>
            </w:pPr>
            <w:r>
              <w:rPr>
                <w:rFonts w:cs="Open Sans Light"/>
                <w:sz w:val="16"/>
                <w:szCs w:val="16"/>
              </w:rPr>
              <w:t>Mining revenue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EF21BFB" w14:textId="77777777" w:rsidR="003A22B8" w:rsidRDefault="003A22B8" w:rsidP="004D65FE">
            <w:pPr>
              <w:keepNext/>
              <w:keepLines/>
              <w:spacing w:before="0"/>
              <w:jc w:val="right"/>
              <w:rPr>
                <w:rFonts w:cs="Open Sans Light"/>
                <w:sz w:val="16"/>
                <w:szCs w:val="16"/>
              </w:rPr>
            </w:pPr>
            <w:r>
              <w:rPr>
                <w:rFonts w:cs="Open Sans Light"/>
                <w:sz w:val="16"/>
                <w:szCs w:val="16"/>
              </w:rPr>
              <w:t>291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9284580" w14:textId="77777777" w:rsidR="003A22B8" w:rsidRDefault="003A22B8" w:rsidP="004D65FE">
            <w:pPr>
              <w:keepNext/>
              <w:keepLines/>
              <w:spacing w:before="0"/>
              <w:jc w:val="right"/>
              <w:rPr>
                <w:rFonts w:cs="Open Sans Light"/>
                <w:sz w:val="16"/>
                <w:szCs w:val="16"/>
              </w:rPr>
            </w:pPr>
            <w:r>
              <w:rPr>
                <w:rFonts w:cs="Open Sans Light"/>
                <w:sz w:val="16"/>
                <w:szCs w:val="16"/>
              </w:rPr>
              <w:t>32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8FF06C1" w14:textId="77777777" w:rsidR="003A22B8" w:rsidRDefault="003A22B8" w:rsidP="004D65FE">
            <w:pPr>
              <w:keepNext/>
              <w:keepLines/>
              <w:spacing w:before="0"/>
              <w:jc w:val="right"/>
              <w:rPr>
                <w:rFonts w:cs="Open Sans Light"/>
                <w:sz w:val="16"/>
                <w:szCs w:val="16"/>
              </w:rPr>
            </w:pPr>
            <w:r>
              <w:rPr>
                <w:rFonts w:cs="Open Sans Light"/>
                <w:sz w:val="16"/>
                <w:szCs w:val="16"/>
              </w:rPr>
              <w:t>970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AB3105A" w14:textId="77777777" w:rsidR="003A22B8" w:rsidRDefault="003A22B8" w:rsidP="004D65FE">
            <w:pPr>
              <w:keepNext/>
              <w:keepLines/>
              <w:spacing w:before="0"/>
              <w:jc w:val="right"/>
              <w:rPr>
                <w:rFonts w:cs="Open Sans Light"/>
                <w:sz w:val="16"/>
                <w:szCs w:val="16"/>
              </w:rPr>
            </w:pPr>
            <w:r>
              <w:rPr>
                <w:rFonts w:cs="Open Sans Light"/>
                <w:sz w:val="16"/>
                <w:szCs w:val="16"/>
              </w:rPr>
              <w:t>2,843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287184C" w14:textId="77777777" w:rsidR="003A22B8" w:rsidRDefault="003A22B8" w:rsidP="004D65FE">
            <w:pPr>
              <w:keepNext/>
              <w:keepLines/>
              <w:spacing w:before="0"/>
              <w:jc w:val="right"/>
              <w:rPr>
                <w:rFonts w:cs="Open Sans Light"/>
                <w:sz w:val="16"/>
                <w:szCs w:val="16"/>
              </w:rPr>
            </w:pPr>
            <w:r>
              <w:rPr>
                <w:rFonts w:cs="Open Sans Light"/>
                <w:sz w:val="16"/>
                <w:szCs w:val="16"/>
              </w:rPr>
              <w:t>195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BC0003" w14:textId="77777777" w:rsidR="003A22B8" w:rsidRDefault="003A22B8" w:rsidP="004D65FE">
            <w:pPr>
              <w:keepNext/>
              <w:keepLines/>
              <w:spacing w:before="0"/>
              <w:jc w:val="right"/>
              <w:rPr>
                <w:rFonts w:cs="Open Sans Light"/>
                <w:sz w:val="16"/>
                <w:szCs w:val="16"/>
              </w:rPr>
            </w:pPr>
            <w:r>
              <w:rPr>
                <w:rFonts w:cs="Open Sans Light"/>
                <w:sz w:val="16"/>
                <w:szCs w:val="16"/>
              </w:rPr>
              <w:t>135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E595C38"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5337DD4" w14:textId="77777777" w:rsidR="003A22B8" w:rsidRDefault="003A22B8" w:rsidP="004D65FE">
            <w:pPr>
              <w:keepNext/>
              <w:keepLines/>
              <w:spacing w:before="0"/>
              <w:jc w:val="right"/>
              <w:rPr>
                <w:rFonts w:cs="Open Sans Light"/>
                <w:sz w:val="16"/>
                <w:szCs w:val="16"/>
              </w:rPr>
            </w:pPr>
            <w:r>
              <w:rPr>
                <w:rFonts w:cs="Open Sans Light"/>
                <w:sz w:val="16"/>
                <w:szCs w:val="16"/>
              </w:rPr>
              <w:t>970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6EEB4E" w14:textId="77777777" w:rsidR="003A22B8" w:rsidRDefault="003A22B8" w:rsidP="004D65FE">
            <w:pPr>
              <w:keepNext/>
              <w:keepLines/>
              <w:spacing w:before="0"/>
              <w:jc w:val="right"/>
              <w:rPr>
                <w:rFonts w:cs="Open Sans Light"/>
                <w:sz w:val="16"/>
                <w:szCs w:val="16"/>
              </w:rPr>
            </w:pPr>
            <w:r>
              <w:rPr>
                <w:rFonts w:cs="Open Sans Light"/>
                <w:sz w:val="16"/>
                <w:szCs w:val="16"/>
              </w:rPr>
              <w:t>616</w:t>
            </w:r>
          </w:p>
        </w:tc>
      </w:tr>
      <w:tr w:rsidR="003A22B8" w14:paraId="47A2E68C"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567CE8D" w14:textId="77777777" w:rsidR="003A22B8" w:rsidRDefault="003A22B8" w:rsidP="004D65FE">
            <w:pPr>
              <w:keepNext/>
              <w:keepLines/>
              <w:spacing w:before="0"/>
              <w:ind w:left="142" w:hanging="142"/>
              <w:rPr>
                <w:rFonts w:cs="Open Sans Light"/>
                <w:sz w:val="16"/>
                <w:szCs w:val="16"/>
              </w:rPr>
            </w:pPr>
            <w:r>
              <w:rPr>
                <w:rFonts w:cs="Open Sans Light"/>
                <w:sz w:val="16"/>
                <w:szCs w:val="16"/>
              </w:rPr>
              <w:t>Other revenue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A6BFD7F" w14:textId="77777777" w:rsidR="003A22B8" w:rsidRDefault="003A22B8" w:rsidP="004D65FE">
            <w:pPr>
              <w:keepNext/>
              <w:keepLines/>
              <w:spacing w:before="0"/>
              <w:jc w:val="right"/>
              <w:rPr>
                <w:rFonts w:cs="Open Sans Light"/>
                <w:sz w:val="16"/>
                <w:szCs w:val="16"/>
              </w:rPr>
            </w:pPr>
            <w:r>
              <w:rPr>
                <w:rFonts w:cs="Open Sans Light"/>
                <w:sz w:val="16"/>
                <w:szCs w:val="16"/>
              </w:rPr>
              <w:t>1,985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BE8C356" w14:textId="77777777" w:rsidR="003A22B8" w:rsidRDefault="003A22B8" w:rsidP="004D65FE">
            <w:pPr>
              <w:keepNext/>
              <w:keepLines/>
              <w:spacing w:before="0"/>
              <w:jc w:val="right"/>
              <w:rPr>
                <w:rFonts w:cs="Open Sans Light"/>
                <w:sz w:val="16"/>
                <w:szCs w:val="16"/>
              </w:rPr>
            </w:pPr>
            <w:r>
              <w:rPr>
                <w:rFonts w:cs="Open Sans Light"/>
                <w:sz w:val="16"/>
                <w:szCs w:val="16"/>
              </w:rPr>
              <w:t>1,985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9A77AE" w14:textId="77777777" w:rsidR="003A22B8" w:rsidRDefault="003A22B8" w:rsidP="004D65FE">
            <w:pPr>
              <w:keepNext/>
              <w:keepLines/>
              <w:spacing w:before="0"/>
              <w:jc w:val="right"/>
              <w:rPr>
                <w:rFonts w:cs="Open Sans Light"/>
                <w:sz w:val="16"/>
                <w:szCs w:val="16"/>
              </w:rPr>
            </w:pPr>
            <w:r>
              <w:rPr>
                <w:rFonts w:cs="Open Sans Light"/>
                <w:sz w:val="16"/>
                <w:szCs w:val="16"/>
              </w:rPr>
              <w:t>1,985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FEE4C50" w14:textId="77777777" w:rsidR="003A22B8" w:rsidRDefault="003A22B8" w:rsidP="004D65FE">
            <w:pPr>
              <w:keepNext/>
              <w:keepLines/>
              <w:spacing w:before="0"/>
              <w:jc w:val="right"/>
              <w:rPr>
                <w:rFonts w:cs="Open Sans Light"/>
                <w:sz w:val="16"/>
                <w:szCs w:val="16"/>
              </w:rPr>
            </w:pPr>
            <w:r>
              <w:rPr>
                <w:rFonts w:cs="Open Sans Light"/>
                <w:sz w:val="16"/>
                <w:szCs w:val="16"/>
              </w:rPr>
              <w:t>1,985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F28DE1" w14:textId="77777777" w:rsidR="003A22B8" w:rsidRDefault="003A22B8" w:rsidP="004D65FE">
            <w:pPr>
              <w:keepNext/>
              <w:keepLines/>
              <w:spacing w:before="0"/>
              <w:jc w:val="right"/>
              <w:rPr>
                <w:rFonts w:cs="Open Sans Light"/>
                <w:sz w:val="16"/>
                <w:szCs w:val="16"/>
              </w:rPr>
            </w:pPr>
            <w:r>
              <w:rPr>
                <w:rFonts w:cs="Open Sans Light"/>
                <w:sz w:val="16"/>
                <w:szCs w:val="16"/>
              </w:rPr>
              <w:t>1,985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B39AB1C" w14:textId="77777777" w:rsidR="003A22B8" w:rsidRDefault="003A22B8" w:rsidP="004D65FE">
            <w:pPr>
              <w:keepNext/>
              <w:keepLines/>
              <w:spacing w:before="0"/>
              <w:jc w:val="right"/>
              <w:rPr>
                <w:rFonts w:cs="Open Sans Light"/>
                <w:sz w:val="16"/>
                <w:szCs w:val="16"/>
              </w:rPr>
            </w:pPr>
            <w:r>
              <w:rPr>
                <w:rFonts w:cs="Open Sans Light"/>
                <w:sz w:val="16"/>
                <w:szCs w:val="16"/>
              </w:rPr>
              <w:t>1,985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E6617C1" w14:textId="77777777" w:rsidR="003A22B8" w:rsidRDefault="003A22B8" w:rsidP="004D65FE">
            <w:pPr>
              <w:keepNext/>
              <w:keepLines/>
              <w:spacing w:before="0"/>
              <w:jc w:val="right"/>
              <w:rPr>
                <w:rFonts w:cs="Open Sans Light"/>
                <w:sz w:val="16"/>
                <w:szCs w:val="16"/>
              </w:rPr>
            </w:pPr>
            <w:r>
              <w:rPr>
                <w:rFonts w:cs="Open Sans Light"/>
                <w:sz w:val="16"/>
                <w:szCs w:val="16"/>
              </w:rPr>
              <w:t>1,985</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AA2500" w14:textId="77777777" w:rsidR="003A22B8" w:rsidRDefault="003A22B8" w:rsidP="004D65FE">
            <w:pPr>
              <w:keepNext/>
              <w:keepLines/>
              <w:spacing w:before="0"/>
              <w:jc w:val="right"/>
              <w:rPr>
                <w:rFonts w:cs="Open Sans Light"/>
                <w:sz w:val="16"/>
                <w:szCs w:val="16"/>
              </w:rPr>
            </w:pPr>
            <w:r>
              <w:rPr>
                <w:rFonts w:cs="Open Sans Light"/>
                <w:sz w:val="16"/>
                <w:szCs w:val="16"/>
              </w:rPr>
              <w:t>1,985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35A3B54" w14:textId="77777777" w:rsidR="003A22B8" w:rsidRDefault="003A22B8" w:rsidP="004D65FE">
            <w:pPr>
              <w:keepNext/>
              <w:keepLines/>
              <w:spacing w:before="0"/>
              <w:jc w:val="right"/>
              <w:rPr>
                <w:rFonts w:cs="Open Sans Light"/>
                <w:sz w:val="16"/>
                <w:szCs w:val="16"/>
              </w:rPr>
            </w:pPr>
            <w:r>
              <w:rPr>
                <w:rFonts w:cs="Open Sans Light"/>
                <w:sz w:val="16"/>
                <w:szCs w:val="16"/>
              </w:rPr>
              <w:t>1,985</w:t>
            </w:r>
          </w:p>
        </w:tc>
      </w:tr>
      <w:tr w:rsidR="003A22B8" w14:paraId="24FFAAF6"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F736B51"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Assessed revenue</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9E8CFD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5,314</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379C3D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4,866</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15B086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5,261</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C5EA74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7,493</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643D6F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4,209</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39A6D7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3,900</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667313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4,370</w:t>
            </w:r>
          </w:p>
        </w:tc>
        <w:tc>
          <w:tcPr>
            <w:tcW w:w="82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FD919C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5,573</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6BDA8C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5,293</w:t>
            </w:r>
          </w:p>
        </w:tc>
      </w:tr>
    </w:tbl>
    <w:p w14:paraId="7F4E77B4" w14:textId="77777777" w:rsidR="003A22B8" w:rsidRDefault="003A22B8" w:rsidP="003A22B8">
      <w:pPr>
        <w:pStyle w:val="CGCTablenote"/>
      </w:pPr>
      <w:r>
        <w:t xml:space="preserve">Source: </w:t>
      </w:r>
      <w:r>
        <w:tab/>
        <w:t>CGC calculation.</w:t>
      </w:r>
    </w:p>
    <w:p w14:paraId="00533A84" w14:textId="5349F153" w:rsidR="003A22B8" w:rsidRDefault="003A22B8" w:rsidP="003A22B8">
      <w:pPr>
        <w:pStyle w:val="Caption"/>
      </w:pPr>
      <w:bookmarkStart w:id="650" w:name="_Ref30430134"/>
      <w:r>
        <w:lastRenderedPageBreak/>
        <w:t>Table 30-</w:t>
      </w:r>
      <w:fldSimple w:instr=" SEQ Table \* ARABIC ">
        <w:r w:rsidR="007F721A">
          <w:rPr>
            <w:noProof/>
          </w:rPr>
          <w:t>9</w:t>
        </w:r>
      </w:fldSimple>
      <w:bookmarkEnd w:id="650"/>
      <w:r>
        <w:tab/>
        <w:t>Per capita relativities, 2018-19</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0FEECA5D" w14:textId="77777777" w:rsidTr="004D65FE">
        <w:trPr>
          <w:trHeight w:val="375"/>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3F892D4" w14:textId="77777777" w:rsidR="003A22B8" w:rsidRDefault="003A22B8" w:rsidP="004D65FE">
            <w:pPr>
              <w:keepNext/>
              <w:keepLines/>
              <w:tabs>
                <w:tab w:val="clear" w:pos="567"/>
              </w:tabs>
              <w:spacing w:before="0" w:line="240" w:lineRule="auto"/>
              <w:ind w:left="142"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2257D53"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345A4BD"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1CDAC92"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A622293"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1D52A75"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9CAA82A"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EA22F0B"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EF3A665"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4432BA9"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43285F62" w14:textId="77777777" w:rsidTr="005C340D">
        <w:trPr>
          <w:trHeight w:val="255"/>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6D60EB3" w14:textId="77777777" w:rsidR="003A22B8" w:rsidRDefault="003A22B8" w:rsidP="004D65FE">
            <w:pPr>
              <w:keepNext/>
              <w:keepLines/>
              <w:spacing w:before="0"/>
              <w:ind w:left="142"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CFEDCB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86643B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640278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6396FC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481602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251DF8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9F91C7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4C562E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36F62A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3A453B03"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E00DB6" w14:textId="77777777" w:rsidR="003A22B8" w:rsidRDefault="003A22B8" w:rsidP="004D65FE">
            <w:pPr>
              <w:keepNext/>
              <w:keepLines/>
              <w:spacing w:before="0"/>
              <w:ind w:left="142" w:hanging="142"/>
              <w:rPr>
                <w:rFonts w:cs="Open Sans Light"/>
                <w:sz w:val="16"/>
                <w:szCs w:val="16"/>
              </w:rPr>
            </w:pPr>
            <w:r>
              <w:rPr>
                <w:rFonts w:cs="Open Sans Light"/>
                <w:sz w:val="16"/>
                <w:szCs w:val="16"/>
              </w:rPr>
              <w:t>Assessed expenses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47AFA85" w14:textId="77777777" w:rsidR="003A22B8" w:rsidRDefault="003A22B8" w:rsidP="004D65FE">
            <w:pPr>
              <w:keepNext/>
              <w:keepLines/>
              <w:spacing w:before="0"/>
              <w:jc w:val="right"/>
              <w:rPr>
                <w:rFonts w:cs="Open Sans Light"/>
                <w:sz w:val="16"/>
                <w:szCs w:val="16"/>
              </w:rPr>
            </w:pPr>
            <w:r>
              <w:rPr>
                <w:rFonts w:cs="Open Sans Light"/>
                <w:sz w:val="16"/>
                <w:szCs w:val="16"/>
              </w:rPr>
              <w:t>8,841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CE9C6D0" w14:textId="77777777" w:rsidR="003A22B8" w:rsidRDefault="003A22B8" w:rsidP="004D65FE">
            <w:pPr>
              <w:keepNext/>
              <w:keepLines/>
              <w:spacing w:before="0"/>
              <w:jc w:val="right"/>
              <w:rPr>
                <w:rFonts w:cs="Open Sans Light"/>
                <w:sz w:val="16"/>
                <w:szCs w:val="16"/>
              </w:rPr>
            </w:pPr>
            <w:r>
              <w:rPr>
                <w:rFonts w:cs="Open Sans Light"/>
                <w:sz w:val="16"/>
                <w:szCs w:val="16"/>
              </w:rPr>
              <w:t>8,265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F7CF534" w14:textId="77777777" w:rsidR="003A22B8" w:rsidRDefault="003A22B8" w:rsidP="004D65FE">
            <w:pPr>
              <w:keepNext/>
              <w:keepLines/>
              <w:spacing w:before="0"/>
              <w:jc w:val="right"/>
              <w:rPr>
                <w:rFonts w:cs="Open Sans Light"/>
                <w:sz w:val="16"/>
                <w:szCs w:val="16"/>
              </w:rPr>
            </w:pPr>
            <w:r>
              <w:rPr>
                <w:rFonts w:cs="Open Sans Light"/>
                <w:sz w:val="16"/>
                <w:szCs w:val="16"/>
              </w:rPr>
              <w:t>9,211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7D784FD" w14:textId="77777777" w:rsidR="003A22B8" w:rsidRDefault="003A22B8" w:rsidP="004D65FE">
            <w:pPr>
              <w:keepNext/>
              <w:keepLines/>
              <w:spacing w:before="0"/>
              <w:jc w:val="right"/>
              <w:rPr>
                <w:rFonts w:cs="Open Sans Light"/>
                <w:sz w:val="16"/>
                <w:szCs w:val="16"/>
              </w:rPr>
            </w:pPr>
            <w:r>
              <w:rPr>
                <w:rFonts w:cs="Open Sans Light"/>
                <w:sz w:val="16"/>
                <w:szCs w:val="16"/>
              </w:rPr>
              <w:t>9,514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215A11F" w14:textId="77777777" w:rsidR="003A22B8" w:rsidRDefault="003A22B8" w:rsidP="004D65FE">
            <w:pPr>
              <w:keepNext/>
              <w:keepLines/>
              <w:spacing w:before="0"/>
              <w:jc w:val="right"/>
              <w:rPr>
                <w:rFonts w:cs="Open Sans Light"/>
                <w:sz w:val="16"/>
                <w:szCs w:val="16"/>
              </w:rPr>
            </w:pPr>
            <w:r>
              <w:rPr>
                <w:rFonts w:cs="Open Sans Light"/>
                <w:sz w:val="16"/>
                <w:szCs w:val="16"/>
              </w:rPr>
              <w:t>9,073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2D2F97A" w14:textId="77777777" w:rsidR="003A22B8" w:rsidRDefault="003A22B8" w:rsidP="004D65FE">
            <w:pPr>
              <w:keepNext/>
              <w:keepLines/>
              <w:spacing w:before="0"/>
              <w:jc w:val="right"/>
              <w:rPr>
                <w:rFonts w:cs="Open Sans Light"/>
                <w:sz w:val="16"/>
                <w:szCs w:val="16"/>
              </w:rPr>
            </w:pPr>
            <w:r>
              <w:rPr>
                <w:rFonts w:cs="Open Sans Light"/>
                <w:sz w:val="16"/>
                <w:szCs w:val="16"/>
              </w:rPr>
              <w:t>10,413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2B9A7A6" w14:textId="77777777" w:rsidR="003A22B8" w:rsidRDefault="003A22B8" w:rsidP="004D65FE">
            <w:pPr>
              <w:keepNext/>
              <w:keepLines/>
              <w:spacing w:before="0"/>
              <w:jc w:val="right"/>
              <w:rPr>
                <w:rFonts w:cs="Open Sans Light"/>
                <w:sz w:val="16"/>
                <w:szCs w:val="16"/>
              </w:rPr>
            </w:pPr>
            <w:r>
              <w:rPr>
                <w:rFonts w:cs="Open Sans Light"/>
                <w:sz w:val="16"/>
                <w:szCs w:val="16"/>
              </w:rPr>
              <w:t>8,410</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761351E" w14:textId="77777777" w:rsidR="003A22B8" w:rsidRDefault="003A22B8" w:rsidP="004D65FE">
            <w:pPr>
              <w:keepNext/>
              <w:keepLines/>
              <w:spacing w:before="0"/>
              <w:jc w:val="right"/>
              <w:rPr>
                <w:rFonts w:cs="Open Sans Light"/>
                <w:sz w:val="16"/>
                <w:szCs w:val="16"/>
              </w:rPr>
            </w:pPr>
            <w:r>
              <w:rPr>
                <w:rFonts w:cs="Open Sans Light"/>
                <w:sz w:val="16"/>
                <w:szCs w:val="16"/>
              </w:rPr>
              <w:t>18,860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73F8103" w14:textId="77777777" w:rsidR="003A22B8" w:rsidRDefault="003A22B8" w:rsidP="004D65FE">
            <w:pPr>
              <w:keepNext/>
              <w:keepLines/>
              <w:spacing w:before="0"/>
              <w:jc w:val="right"/>
              <w:rPr>
                <w:rFonts w:cs="Open Sans Light"/>
                <w:sz w:val="16"/>
                <w:szCs w:val="16"/>
              </w:rPr>
            </w:pPr>
            <w:r>
              <w:rPr>
                <w:rFonts w:cs="Open Sans Light"/>
                <w:sz w:val="16"/>
                <w:szCs w:val="16"/>
              </w:rPr>
              <w:t>8,975</w:t>
            </w:r>
          </w:p>
        </w:tc>
      </w:tr>
      <w:tr w:rsidR="003A22B8" w14:paraId="7119CD25"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CF5C3A6" w14:textId="77777777" w:rsidR="003A22B8" w:rsidRDefault="003A22B8" w:rsidP="004D65FE">
            <w:pPr>
              <w:keepNext/>
              <w:keepLines/>
              <w:spacing w:before="0"/>
              <w:ind w:left="142" w:hanging="142"/>
              <w:rPr>
                <w:rFonts w:cs="Open Sans Light"/>
                <w:sz w:val="16"/>
                <w:szCs w:val="16"/>
              </w:rPr>
            </w:pPr>
            <w:r>
              <w:rPr>
                <w:rFonts w:cs="Open Sans Light"/>
                <w:sz w:val="16"/>
                <w:szCs w:val="16"/>
              </w:rPr>
              <w:t>Investment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B5F7DD0" w14:textId="77777777" w:rsidR="003A22B8" w:rsidRDefault="003A22B8" w:rsidP="004D65FE">
            <w:pPr>
              <w:keepNext/>
              <w:keepLines/>
              <w:spacing w:before="0"/>
              <w:jc w:val="right"/>
              <w:rPr>
                <w:rFonts w:cs="Open Sans Light"/>
                <w:sz w:val="16"/>
                <w:szCs w:val="16"/>
              </w:rPr>
            </w:pPr>
            <w:r>
              <w:rPr>
                <w:rFonts w:cs="Open Sans Light"/>
                <w:sz w:val="16"/>
                <w:szCs w:val="16"/>
              </w:rPr>
              <w:t>1,274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96A6B7B" w14:textId="77777777" w:rsidR="003A22B8" w:rsidRDefault="003A22B8" w:rsidP="004D65FE">
            <w:pPr>
              <w:keepNext/>
              <w:keepLines/>
              <w:spacing w:before="0"/>
              <w:jc w:val="right"/>
              <w:rPr>
                <w:rFonts w:cs="Open Sans Light"/>
                <w:sz w:val="16"/>
                <w:szCs w:val="16"/>
              </w:rPr>
            </w:pPr>
            <w:r>
              <w:rPr>
                <w:rFonts w:cs="Open Sans Light"/>
                <w:sz w:val="16"/>
                <w:szCs w:val="16"/>
              </w:rPr>
              <w:t>1,327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2AA1C21" w14:textId="77777777" w:rsidR="003A22B8" w:rsidRDefault="003A22B8" w:rsidP="004D65FE">
            <w:pPr>
              <w:keepNext/>
              <w:keepLines/>
              <w:spacing w:before="0"/>
              <w:jc w:val="right"/>
              <w:rPr>
                <w:rFonts w:cs="Open Sans Light"/>
                <w:sz w:val="16"/>
                <w:szCs w:val="16"/>
              </w:rPr>
            </w:pPr>
            <w:r>
              <w:rPr>
                <w:rFonts w:cs="Open Sans Light"/>
                <w:sz w:val="16"/>
                <w:szCs w:val="16"/>
              </w:rPr>
              <w:t>1,303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3062503" w14:textId="77777777" w:rsidR="003A22B8" w:rsidRDefault="003A22B8" w:rsidP="004D65FE">
            <w:pPr>
              <w:keepNext/>
              <w:keepLines/>
              <w:spacing w:before="0"/>
              <w:jc w:val="right"/>
              <w:rPr>
                <w:rFonts w:cs="Open Sans Light"/>
                <w:sz w:val="16"/>
                <w:szCs w:val="16"/>
              </w:rPr>
            </w:pPr>
            <w:r>
              <w:rPr>
                <w:rFonts w:cs="Open Sans Light"/>
                <w:sz w:val="16"/>
                <w:szCs w:val="16"/>
              </w:rPr>
              <w:t>1,264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DC6A3DB" w14:textId="77777777" w:rsidR="003A22B8" w:rsidRDefault="003A22B8" w:rsidP="004D65FE">
            <w:pPr>
              <w:keepNext/>
              <w:keepLines/>
              <w:spacing w:before="0"/>
              <w:jc w:val="right"/>
              <w:rPr>
                <w:rFonts w:cs="Open Sans Light"/>
                <w:sz w:val="16"/>
                <w:szCs w:val="16"/>
              </w:rPr>
            </w:pPr>
            <w:r>
              <w:rPr>
                <w:rFonts w:cs="Open Sans Light"/>
                <w:sz w:val="16"/>
                <w:szCs w:val="16"/>
              </w:rPr>
              <w:t>1,061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888D223" w14:textId="77777777" w:rsidR="003A22B8" w:rsidRDefault="003A22B8" w:rsidP="004D65FE">
            <w:pPr>
              <w:keepNext/>
              <w:keepLines/>
              <w:spacing w:before="0"/>
              <w:jc w:val="right"/>
              <w:rPr>
                <w:rFonts w:cs="Open Sans Light"/>
                <w:sz w:val="16"/>
                <w:szCs w:val="16"/>
              </w:rPr>
            </w:pPr>
            <w:r>
              <w:rPr>
                <w:rFonts w:cs="Open Sans Light"/>
                <w:sz w:val="16"/>
                <w:szCs w:val="16"/>
              </w:rPr>
              <w:t>1,074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3F287CB" w14:textId="77777777" w:rsidR="003A22B8" w:rsidRDefault="003A22B8" w:rsidP="004D65FE">
            <w:pPr>
              <w:keepNext/>
              <w:keepLines/>
              <w:spacing w:before="0"/>
              <w:jc w:val="right"/>
              <w:rPr>
                <w:rFonts w:cs="Open Sans Light"/>
                <w:sz w:val="16"/>
                <w:szCs w:val="16"/>
              </w:rPr>
            </w:pPr>
            <w:r>
              <w:rPr>
                <w:rFonts w:cs="Open Sans Light"/>
                <w:sz w:val="16"/>
                <w:szCs w:val="16"/>
              </w:rPr>
              <w:t>1,029</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A5052FB" w14:textId="77777777" w:rsidR="003A22B8" w:rsidRDefault="003A22B8" w:rsidP="004D65FE">
            <w:pPr>
              <w:keepNext/>
              <w:keepLines/>
              <w:spacing w:before="0"/>
              <w:jc w:val="right"/>
              <w:rPr>
                <w:rFonts w:cs="Open Sans Light"/>
                <w:sz w:val="16"/>
                <w:szCs w:val="16"/>
              </w:rPr>
            </w:pPr>
            <w:r>
              <w:rPr>
                <w:rFonts w:cs="Open Sans Light"/>
                <w:sz w:val="16"/>
                <w:szCs w:val="16"/>
              </w:rPr>
              <w:t>2,511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68C5807" w14:textId="77777777" w:rsidR="003A22B8" w:rsidRDefault="003A22B8" w:rsidP="004D65FE">
            <w:pPr>
              <w:keepNext/>
              <w:keepLines/>
              <w:spacing w:before="0"/>
              <w:jc w:val="right"/>
              <w:rPr>
                <w:rFonts w:cs="Open Sans Light"/>
                <w:sz w:val="16"/>
                <w:szCs w:val="16"/>
              </w:rPr>
            </w:pPr>
            <w:r>
              <w:rPr>
                <w:rFonts w:cs="Open Sans Light"/>
                <w:sz w:val="16"/>
                <w:szCs w:val="16"/>
              </w:rPr>
              <w:t>1,282</w:t>
            </w:r>
          </w:p>
        </w:tc>
      </w:tr>
      <w:tr w:rsidR="003A22B8" w14:paraId="7905E863"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5E00506" w14:textId="77777777" w:rsidR="003A22B8" w:rsidRDefault="003A22B8" w:rsidP="004D65FE">
            <w:pPr>
              <w:keepNext/>
              <w:keepLines/>
              <w:spacing w:before="0"/>
              <w:ind w:left="142" w:hanging="142"/>
              <w:rPr>
                <w:rFonts w:cs="Open Sans Light"/>
                <w:sz w:val="16"/>
                <w:szCs w:val="16"/>
              </w:rPr>
            </w:pPr>
            <w:r>
              <w:rPr>
                <w:rFonts w:cs="Open Sans Light"/>
                <w:sz w:val="16"/>
                <w:szCs w:val="16"/>
              </w:rPr>
              <w:t>Assessed expenditure</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E2D5EF7" w14:textId="77777777" w:rsidR="003A22B8" w:rsidRDefault="003A22B8" w:rsidP="004D65FE">
            <w:pPr>
              <w:keepNext/>
              <w:keepLines/>
              <w:spacing w:before="0"/>
              <w:jc w:val="right"/>
              <w:rPr>
                <w:rFonts w:cs="Open Sans Light"/>
                <w:sz w:val="16"/>
                <w:szCs w:val="16"/>
              </w:rPr>
            </w:pPr>
            <w:r>
              <w:rPr>
                <w:rFonts w:cs="Open Sans Light"/>
                <w:sz w:val="16"/>
                <w:szCs w:val="16"/>
              </w:rPr>
              <w:t>10,115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DA114E1" w14:textId="77777777" w:rsidR="003A22B8" w:rsidRDefault="003A22B8" w:rsidP="004D65FE">
            <w:pPr>
              <w:keepNext/>
              <w:keepLines/>
              <w:spacing w:before="0"/>
              <w:jc w:val="right"/>
              <w:rPr>
                <w:rFonts w:cs="Open Sans Light"/>
                <w:sz w:val="16"/>
                <w:szCs w:val="16"/>
              </w:rPr>
            </w:pPr>
            <w:r>
              <w:rPr>
                <w:rFonts w:cs="Open Sans Light"/>
                <w:sz w:val="16"/>
                <w:szCs w:val="16"/>
              </w:rPr>
              <w:t>9,592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7AACBFD" w14:textId="77777777" w:rsidR="003A22B8" w:rsidRDefault="003A22B8" w:rsidP="004D65FE">
            <w:pPr>
              <w:keepNext/>
              <w:keepLines/>
              <w:spacing w:before="0"/>
              <w:jc w:val="right"/>
              <w:rPr>
                <w:rFonts w:cs="Open Sans Light"/>
                <w:sz w:val="16"/>
                <w:szCs w:val="16"/>
              </w:rPr>
            </w:pPr>
            <w:r>
              <w:rPr>
                <w:rFonts w:cs="Open Sans Light"/>
                <w:sz w:val="16"/>
                <w:szCs w:val="16"/>
              </w:rPr>
              <w:t>10,515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E6070FF" w14:textId="77777777" w:rsidR="003A22B8" w:rsidRDefault="003A22B8" w:rsidP="004D65FE">
            <w:pPr>
              <w:keepNext/>
              <w:keepLines/>
              <w:spacing w:before="0"/>
              <w:jc w:val="right"/>
              <w:rPr>
                <w:rFonts w:cs="Open Sans Light"/>
                <w:sz w:val="16"/>
                <w:szCs w:val="16"/>
              </w:rPr>
            </w:pPr>
            <w:r>
              <w:rPr>
                <w:rFonts w:cs="Open Sans Light"/>
                <w:sz w:val="16"/>
                <w:szCs w:val="16"/>
              </w:rPr>
              <w:t>10,778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4DB9013" w14:textId="77777777" w:rsidR="003A22B8" w:rsidRDefault="003A22B8" w:rsidP="004D65FE">
            <w:pPr>
              <w:keepNext/>
              <w:keepLines/>
              <w:spacing w:before="0"/>
              <w:jc w:val="right"/>
              <w:rPr>
                <w:rFonts w:cs="Open Sans Light"/>
                <w:sz w:val="16"/>
                <w:szCs w:val="16"/>
              </w:rPr>
            </w:pPr>
            <w:r>
              <w:rPr>
                <w:rFonts w:cs="Open Sans Light"/>
                <w:sz w:val="16"/>
                <w:szCs w:val="16"/>
              </w:rPr>
              <w:t>10,134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632ED8A" w14:textId="77777777" w:rsidR="003A22B8" w:rsidRDefault="003A22B8" w:rsidP="004D65FE">
            <w:pPr>
              <w:keepNext/>
              <w:keepLines/>
              <w:spacing w:before="0"/>
              <w:jc w:val="right"/>
              <w:rPr>
                <w:rFonts w:cs="Open Sans Light"/>
                <w:sz w:val="16"/>
                <w:szCs w:val="16"/>
              </w:rPr>
            </w:pPr>
            <w:r>
              <w:rPr>
                <w:rFonts w:cs="Open Sans Light"/>
                <w:sz w:val="16"/>
                <w:szCs w:val="16"/>
              </w:rPr>
              <w:t>11,488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ACF894C" w14:textId="77777777" w:rsidR="003A22B8" w:rsidRDefault="003A22B8" w:rsidP="004D65FE">
            <w:pPr>
              <w:keepNext/>
              <w:keepLines/>
              <w:spacing w:before="0"/>
              <w:jc w:val="right"/>
              <w:rPr>
                <w:rFonts w:cs="Open Sans Light"/>
                <w:sz w:val="16"/>
                <w:szCs w:val="16"/>
              </w:rPr>
            </w:pPr>
            <w:r>
              <w:rPr>
                <w:rFonts w:cs="Open Sans Light"/>
                <w:sz w:val="16"/>
                <w:szCs w:val="16"/>
              </w:rPr>
              <w:t>9,440</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6D2EAFF" w14:textId="77777777" w:rsidR="003A22B8" w:rsidRDefault="003A22B8" w:rsidP="004D65FE">
            <w:pPr>
              <w:keepNext/>
              <w:keepLines/>
              <w:spacing w:before="0"/>
              <w:jc w:val="right"/>
              <w:rPr>
                <w:rFonts w:cs="Open Sans Light"/>
                <w:sz w:val="16"/>
                <w:szCs w:val="16"/>
              </w:rPr>
            </w:pPr>
            <w:r>
              <w:rPr>
                <w:rFonts w:cs="Open Sans Light"/>
                <w:sz w:val="16"/>
                <w:szCs w:val="16"/>
              </w:rPr>
              <w:t>21,370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48E0FEE" w14:textId="77777777" w:rsidR="003A22B8" w:rsidRDefault="003A22B8" w:rsidP="004D65FE">
            <w:pPr>
              <w:keepNext/>
              <w:keepLines/>
              <w:spacing w:before="0"/>
              <w:jc w:val="right"/>
              <w:rPr>
                <w:rFonts w:cs="Open Sans Light"/>
                <w:sz w:val="16"/>
                <w:szCs w:val="16"/>
              </w:rPr>
            </w:pPr>
            <w:r>
              <w:rPr>
                <w:rFonts w:cs="Open Sans Light"/>
                <w:sz w:val="16"/>
                <w:szCs w:val="16"/>
              </w:rPr>
              <w:t>10,257</w:t>
            </w:r>
          </w:p>
        </w:tc>
      </w:tr>
      <w:tr w:rsidR="003A22B8" w14:paraId="3CC4349E" w14:textId="77777777" w:rsidTr="004D65FE">
        <w:trPr>
          <w:trHeight w:val="255"/>
        </w:trPr>
        <w:tc>
          <w:tcPr>
            <w:tcW w:w="2500" w:type="dxa"/>
            <w:tcBorders>
              <w:top w:val="nil"/>
              <w:left w:val="nil"/>
              <w:bottom w:val="nil"/>
              <w:right w:val="nil"/>
            </w:tcBorders>
            <w:shd w:val="clear" w:color="auto" w:fill="auto"/>
            <w:noWrap/>
            <w:tcMar>
              <w:top w:w="15" w:type="dxa"/>
              <w:left w:w="15" w:type="dxa"/>
              <w:bottom w:w="0" w:type="dxa"/>
              <w:right w:w="15" w:type="dxa"/>
            </w:tcMar>
            <w:vAlign w:val="bottom"/>
            <w:hideMark/>
          </w:tcPr>
          <w:p w14:paraId="72B11061" w14:textId="77777777" w:rsidR="003A22B8" w:rsidRDefault="003A22B8" w:rsidP="004D65FE">
            <w:pPr>
              <w:keepNext/>
              <w:keepLines/>
              <w:spacing w:before="0"/>
              <w:ind w:left="142" w:hanging="142"/>
              <w:rPr>
                <w:rFonts w:cs="Open Sans Light"/>
                <w:i/>
                <w:iCs/>
                <w:sz w:val="16"/>
                <w:szCs w:val="16"/>
              </w:rPr>
            </w:pPr>
            <w:r>
              <w:rPr>
                <w:rFonts w:cs="Open Sans Light"/>
                <w:i/>
                <w:iCs/>
                <w:sz w:val="16"/>
                <w:szCs w:val="16"/>
              </w:rPr>
              <w:t>met through</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0DCE412B" w14:textId="77777777" w:rsidR="003A22B8" w:rsidRDefault="003A22B8" w:rsidP="004D65FE">
            <w:pPr>
              <w:keepNext/>
              <w:keepLines/>
              <w:spacing w:before="0"/>
              <w:rPr>
                <w:rFonts w:cs="Open Sans Light"/>
                <w:i/>
                <w:iCs/>
                <w:sz w:val="16"/>
                <w:szCs w:val="16"/>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3CA6BFB3"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64150EE4"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16E92B01"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0A23879A"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1015E84E"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337DA525" w14:textId="77777777" w:rsidR="003A22B8" w:rsidRDefault="003A22B8" w:rsidP="004D65FE">
            <w:pPr>
              <w:keepNext/>
              <w:keepLines/>
              <w:spacing w:before="0"/>
              <w:jc w:val="right"/>
              <w:rPr>
                <w:szCs w:val="20"/>
              </w:rPr>
            </w:pPr>
          </w:p>
        </w:tc>
        <w:tc>
          <w:tcPr>
            <w:tcW w:w="820" w:type="dxa"/>
            <w:tcBorders>
              <w:top w:val="nil"/>
              <w:left w:val="nil"/>
              <w:bottom w:val="nil"/>
              <w:right w:val="nil"/>
            </w:tcBorders>
            <w:shd w:val="clear" w:color="auto" w:fill="auto"/>
            <w:tcMar>
              <w:top w:w="15" w:type="dxa"/>
              <w:left w:w="15" w:type="dxa"/>
              <w:bottom w:w="0" w:type="dxa"/>
              <w:right w:w="15" w:type="dxa"/>
            </w:tcMar>
            <w:vAlign w:val="bottom"/>
            <w:hideMark/>
          </w:tcPr>
          <w:p w14:paraId="763547BE"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750E32EA" w14:textId="77777777" w:rsidR="003A22B8" w:rsidRDefault="003A22B8" w:rsidP="004D65FE">
            <w:pPr>
              <w:keepNext/>
              <w:keepLines/>
              <w:spacing w:before="0"/>
              <w:jc w:val="right"/>
              <w:rPr>
                <w:szCs w:val="20"/>
              </w:rPr>
            </w:pPr>
          </w:p>
        </w:tc>
      </w:tr>
      <w:tr w:rsidR="003A22B8" w14:paraId="4784AC26"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2363BE" w14:textId="77777777" w:rsidR="003A22B8" w:rsidRDefault="003A22B8" w:rsidP="004D65FE">
            <w:pPr>
              <w:keepNext/>
              <w:keepLines/>
              <w:spacing w:before="0"/>
              <w:ind w:left="142" w:hanging="142"/>
              <w:rPr>
                <w:rFonts w:cs="Open Sans Light"/>
                <w:sz w:val="16"/>
                <w:szCs w:val="16"/>
              </w:rPr>
            </w:pPr>
            <w:r>
              <w:rPr>
                <w:rFonts w:cs="Open Sans Light"/>
                <w:sz w:val="16"/>
                <w:szCs w:val="16"/>
              </w:rPr>
              <w:t>Net borrowing</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EB661C4" w14:textId="77777777" w:rsidR="003A22B8" w:rsidRDefault="003A22B8" w:rsidP="004D65FE">
            <w:pPr>
              <w:keepNext/>
              <w:keepLines/>
              <w:spacing w:before="0"/>
              <w:jc w:val="right"/>
              <w:rPr>
                <w:rFonts w:cs="Open Sans Light"/>
                <w:sz w:val="16"/>
                <w:szCs w:val="16"/>
              </w:rPr>
            </w:pPr>
            <w:r>
              <w:rPr>
                <w:rFonts w:cs="Open Sans Light"/>
                <w:sz w:val="16"/>
                <w:szCs w:val="16"/>
              </w:rPr>
              <w:t>762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5D16BB3" w14:textId="77777777" w:rsidR="003A22B8" w:rsidRDefault="003A22B8" w:rsidP="004D65FE">
            <w:pPr>
              <w:keepNext/>
              <w:keepLines/>
              <w:spacing w:before="0"/>
              <w:jc w:val="right"/>
              <w:rPr>
                <w:rFonts w:cs="Open Sans Light"/>
                <w:sz w:val="16"/>
                <w:szCs w:val="16"/>
              </w:rPr>
            </w:pPr>
            <w:r>
              <w:rPr>
                <w:rFonts w:cs="Open Sans Light"/>
                <w:sz w:val="16"/>
                <w:szCs w:val="16"/>
              </w:rPr>
              <w:t>799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E1DA783" w14:textId="77777777" w:rsidR="003A22B8" w:rsidRDefault="003A22B8" w:rsidP="004D65FE">
            <w:pPr>
              <w:keepNext/>
              <w:keepLines/>
              <w:spacing w:before="0"/>
              <w:jc w:val="right"/>
              <w:rPr>
                <w:rFonts w:cs="Open Sans Light"/>
                <w:sz w:val="16"/>
                <w:szCs w:val="16"/>
              </w:rPr>
            </w:pPr>
            <w:r>
              <w:rPr>
                <w:rFonts w:cs="Open Sans Light"/>
                <w:sz w:val="16"/>
                <w:szCs w:val="16"/>
              </w:rPr>
              <w:t>776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2B04599" w14:textId="77777777" w:rsidR="003A22B8" w:rsidRDefault="003A22B8" w:rsidP="004D65FE">
            <w:pPr>
              <w:keepNext/>
              <w:keepLines/>
              <w:spacing w:before="0"/>
              <w:jc w:val="right"/>
              <w:rPr>
                <w:rFonts w:cs="Open Sans Light"/>
                <w:sz w:val="16"/>
                <w:szCs w:val="16"/>
              </w:rPr>
            </w:pPr>
            <w:r>
              <w:rPr>
                <w:rFonts w:cs="Open Sans Light"/>
                <w:sz w:val="16"/>
                <w:szCs w:val="16"/>
              </w:rPr>
              <w:t>730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F6AE5E8" w14:textId="77777777" w:rsidR="003A22B8" w:rsidRDefault="003A22B8" w:rsidP="004D65FE">
            <w:pPr>
              <w:keepNext/>
              <w:keepLines/>
              <w:spacing w:before="0"/>
              <w:jc w:val="right"/>
              <w:rPr>
                <w:rFonts w:cs="Open Sans Light"/>
                <w:sz w:val="16"/>
                <w:szCs w:val="16"/>
              </w:rPr>
            </w:pPr>
            <w:r>
              <w:rPr>
                <w:rFonts w:cs="Open Sans Light"/>
                <w:sz w:val="16"/>
                <w:szCs w:val="16"/>
              </w:rPr>
              <w:t>726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302E1A0" w14:textId="77777777" w:rsidR="003A22B8" w:rsidRDefault="003A22B8" w:rsidP="004D65FE">
            <w:pPr>
              <w:keepNext/>
              <w:keepLines/>
              <w:spacing w:before="0"/>
              <w:jc w:val="right"/>
              <w:rPr>
                <w:rFonts w:cs="Open Sans Light"/>
                <w:sz w:val="16"/>
                <w:szCs w:val="16"/>
              </w:rPr>
            </w:pPr>
            <w:r>
              <w:rPr>
                <w:rFonts w:cs="Open Sans Light"/>
                <w:sz w:val="16"/>
                <w:szCs w:val="16"/>
              </w:rPr>
              <w:t>750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096A9FE" w14:textId="77777777" w:rsidR="003A22B8" w:rsidRDefault="003A22B8" w:rsidP="004D65FE">
            <w:pPr>
              <w:keepNext/>
              <w:keepLines/>
              <w:spacing w:before="0"/>
              <w:jc w:val="right"/>
              <w:rPr>
                <w:rFonts w:cs="Open Sans Light"/>
                <w:sz w:val="16"/>
                <w:szCs w:val="16"/>
              </w:rPr>
            </w:pPr>
            <w:r>
              <w:rPr>
                <w:rFonts w:cs="Open Sans Light"/>
                <w:sz w:val="16"/>
                <w:szCs w:val="16"/>
              </w:rPr>
              <w:t>778</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F043A36" w14:textId="77777777" w:rsidR="003A22B8" w:rsidRDefault="003A22B8" w:rsidP="004D65FE">
            <w:pPr>
              <w:keepNext/>
              <w:keepLines/>
              <w:spacing w:before="0"/>
              <w:jc w:val="right"/>
              <w:rPr>
                <w:rFonts w:cs="Open Sans Light"/>
                <w:sz w:val="16"/>
                <w:szCs w:val="16"/>
              </w:rPr>
            </w:pPr>
            <w:r>
              <w:rPr>
                <w:rFonts w:cs="Open Sans Light"/>
                <w:sz w:val="16"/>
                <w:szCs w:val="16"/>
              </w:rPr>
              <w:t>650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039E14B" w14:textId="77777777" w:rsidR="003A22B8" w:rsidRDefault="003A22B8" w:rsidP="004D65FE">
            <w:pPr>
              <w:keepNext/>
              <w:keepLines/>
              <w:spacing w:before="0"/>
              <w:jc w:val="right"/>
              <w:rPr>
                <w:rFonts w:cs="Open Sans Light"/>
                <w:sz w:val="16"/>
                <w:szCs w:val="16"/>
              </w:rPr>
            </w:pPr>
            <w:r>
              <w:rPr>
                <w:rFonts w:cs="Open Sans Light"/>
                <w:sz w:val="16"/>
                <w:szCs w:val="16"/>
              </w:rPr>
              <w:t>767</w:t>
            </w:r>
          </w:p>
        </w:tc>
      </w:tr>
      <w:tr w:rsidR="003A22B8" w14:paraId="2803293A"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7CD0699" w14:textId="77777777" w:rsidR="003A22B8" w:rsidRDefault="003A22B8" w:rsidP="004D65FE">
            <w:pPr>
              <w:keepNext/>
              <w:keepLines/>
              <w:spacing w:before="0"/>
              <w:ind w:left="142" w:hanging="142"/>
              <w:rPr>
                <w:rFonts w:cs="Open Sans Light"/>
                <w:sz w:val="16"/>
                <w:szCs w:val="16"/>
              </w:rPr>
            </w:pPr>
            <w:r>
              <w:rPr>
                <w:rFonts w:cs="Open Sans Light"/>
                <w:sz w:val="16"/>
                <w:szCs w:val="16"/>
              </w:rPr>
              <w:t>Assessed revenue</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F82E6D0" w14:textId="77777777" w:rsidR="003A22B8" w:rsidRDefault="003A22B8" w:rsidP="004D65FE">
            <w:pPr>
              <w:keepNext/>
              <w:keepLines/>
              <w:spacing w:before="0"/>
              <w:jc w:val="right"/>
              <w:rPr>
                <w:rFonts w:cs="Open Sans Light"/>
                <w:sz w:val="16"/>
                <w:szCs w:val="16"/>
              </w:rPr>
            </w:pPr>
            <w:r>
              <w:rPr>
                <w:rFonts w:cs="Open Sans Light"/>
                <w:sz w:val="16"/>
                <w:szCs w:val="16"/>
              </w:rPr>
              <w:t>5,314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BDD7B1F" w14:textId="77777777" w:rsidR="003A22B8" w:rsidRDefault="003A22B8" w:rsidP="004D65FE">
            <w:pPr>
              <w:keepNext/>
              <w:keepLines/>
              <w:spacing w:before="0"/>
              <w:jc w:val="right"/>
              <w:rPr>
                <w:rFonts w:cs="Open Sans Light"/>
                <w:sz w:val="16"/>
                <w:szCs w:val="16"/>
              </w:rPr>
            </w:pPr>
            <w:r>
              <w:rPr>
                <w:rFonts w:cs="Open Sans Light"/>
                <w:sz w:val="16"/>
                <w:szCs w:val="16"/>
              </w:rPr>
              <w:t>4,866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AC951FD" w14:textId="77777777" w:rsidR="003A22B8" w:rsidRDefault="003A22B8" w:rsidP="004D65FE">
            <w:pPr>
              <w:keepNext/>
              <w:keepLines/>
              <w:spacing w:before="0"/>
              <w:jc w:val="right"/>
              <w:rPr>
                <w:rFonts w:cs="Open Sans Light"/>
                <w:sz w:val="16"/>
                <w:szCs w:val="16"/>
              </w:rPr>
            </w:pPr>
            <w:r>
              <w:rPr>
                <w:rFonts w:cs="Open Sans Light"/>
                <w:sz w:val="16"/>
                <w:szCs w:val="16"/>
              </w:rPr>
              <w:t>5,261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85B4F53" w14:textId="77777777" w:rsidR="003A22B8" w:rsidRDefault="003A22B8" w:rsidP="004D65FE">
            <w:pPr>
              <w:keepNext/>
              <w:keepLines/>
              <w:spacing w:before="0"/>
              <w:jc w:val="right"/>
              <w:rPr>
                <w:rFonts w:cs="Open Sans Light"/>
                <w:sz w:val="16"/>
                <w:szCs w:val="16"/>
              </w:rPr>
            </w:pPr>
            <w:r>
              <w:rPr>
                <w:rFonts w:cs="Open Sans Light"/>
                <w:sz w:val="16"/>
                <w:szCs w:val="16"/>
              </w:rPr>
              <w:t>7,493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1FED2BC" w14:textId="77777777" w:rsidR="003A22B8" w:rsidRDefault="003A22B8" w:rsidP="004D65FE">
            <w:pPr>
              <w:keepNext/>
              <w:keepLines/>
              <w:spacing w:before="0"/>
              <w:jc w:val="right"/>
              <w:rPr>
                <w:rFonts w:cs="Open Sans Light"/>
                <w:sz w:val="16"/>
                <w:szCs w:val="16"/>
              </w:rPr>
            </w:pPr>
            <w:r>
              <w:rPr>
                <w:rFonts w:cs="Open Sans Light"/>
                <w:sz w:val="16"/>
                <w:szCs w:val="16"/>
              </w:rPr>
              <w:t>4,209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7E736E3" w14:textId="77777777" w:rsidR="003A22B8" w:rsidRDefault="003A22B8" w:rsidP="004D65FE">
            <w:pPr>
              <w:keepNext/>
              <w:keepLines/>
              <w:spacing w:before="0"/>
              <w:jc w:val="right"/>
              <w:rPr>
                <w:rFonts w:cs="Open Sans Light"/>
                <w:sz w:val="16"/>
                <w:szCs w:val="16"/>
              </w:rPr>
            </w:pPr>
            <w:r>
              <w:rPr>
                <w:rFonts w:cs="Open Sans Light"/>
                <w:sz w:val="16"/>
                <w:szCs w:val="16"/>
              </w:rPr>
              <w:t>3,900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C316BF8" w14:textId="77777777" w:rsidR="003A22B8" w:rsidRDefault="003A22B8" w:rsidP="004D65FE">
            <w:pPr>
              <w:keepNext/>
              <w:keepLines/>
              <w:spacing w:before="0"/>
              <w:jc w:val="right"/>
              <w:rPr>
                <w:rFonts w:cs="Open Sans Light"/>
                <w:sz w:val="16"/>
                <w:szCs w:val="16"/>
              </w:rPr>
            </w:pPr>
            <w:r>
              <w:rPr>
                <w:rFonts w:cs="Open Sans Light"/>
                <w:sz w:val="16"/>
                <w:szCs w:val="16"/>
              </w:rPr>
              <w:t>4,370</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F080134" w14:textId="77777777" w:rsidR="003A22B8" w:rsidRDefault="003A22B8" w:rsidP="004D65FE">
            <w:pPr>
              <w:keepNext/>
              <w:keepLines/>
              <w:spacing w:before="0"/>
              <w:jc w:val="right"/>
              <w:rPr>
                <w:rFonts w:cs="Open Sans Light"/>
                <w:sz w:val="16"/>
                <w:szCs w:val="16"/>
              </w:rPr>
            </w:pPr>
            <w:r>
              <w:rPr>
                <w:rFonts w:cs="Open Sans Light"/>
                <w:sz w:val="16"/>
                <w:szCs w:val="16"/>
              </w:rPr>
              <w:t>5,573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1230853" w14:textId="77777777" w:rsidR="003A22B8" w:rsidRDefault="003A22B8" w:rsidP="004D65FE">
            <w:pPr>
              <w:keepNext/>
              <w:keepLines/>
              <w:spacing w:before="0"/>
              <w:jc w:val="right"/>
              <w:rPr>
                <w:rFonts w:cs="Open Sans Light"/>
                <w:sz w:val="16"/>
                <w:szCs w:val="16"/>
              </w:rPr>
            </w:pPr>
            <w:r>
              <w:rPr>
                <w:rFonts w:cs="Open Sans Light"/>
                <w:sz w:val="16"/>
                <w:szCs w:val="16"/>
              </w:rPr>
              <w:t>5,293</w:t>
            </w:r>
          </w:p>
        </w:tc>
      </w:tr>
      <w:tr w:rsidR="003A22B8" w14:paraId="23A71614"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515E14" w14:textId="77777777" w:rsidR="003A22B8" w:rsidRDefault="003A22B8" w:rsidP="004D65FE">
            <w:pPr>
              <w:keepNext/>
              <w:keepLines/>
              <w:spacing w:before="0"/>
              <w:ind w:left="142" w:hanging="142"/>
              <w:rPr>
                <w:rFonts w:cs="Open Sans Light"/>
                <w:sz w:val="16"/>
                <w:szCs w:val="16"/>
              </w:rPr>
            </w:pPr>
            <w:r>
              <w:rPr>
                <w:rFonts w:cs="Open Sans Light"/>
                <w:sz w:val="16"/>
                <w:szCs w:val="16"/>
              </w:rPr>
              <w:t>Requirement for assistance</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892EE18" w14:textId="77777777" w:rsidR="003A22B8" w:rsidRDefault="003A22B8" w:rsidP="004D65FE">
            <w:pPr>
              <w:keepNext/>
              <w:keepLines/>
              <w:spacing w:before="0"/>
              <w:jc w:val="right"/>
              <w:rPr>
                <w:rFonts w:cs="Open Sans Light"/>
                <w:sz w:val="16"/>
                <w:szCs w:val="16"/>
              </w:rPr>
            </w:pPr>
            <w:r>
              <w:rPr>
                <w:rFonts w:cs="Open Sans Light"/>
                <w:sz w:val="16"/>
                <w:szCs w:val="16"/>
              </w:rPr>
              <w:t>4,039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7C4FDD7" w14:textId="77777777" w:rsidR="003A22B8" w:rsidRDefault="003A22B8" w:rsidP="004D65FE">
            <w:pPr>
              <w:keepNext/>
              <w:keepLines/>
              <w:spacing w:before="0"/>
              <w:jc w:val="right"/>
              <w:rPr>
                <w:rFonts w:cs="Open Sans Light"/>
                <w:sz w:val="16"/>
                <w:szCs w:val="16"/>
              </w:rPr>
            </w:pPr>
            <w:r>
              <w:rPr>
                <w:rFonts w:cs="Open Sans Light"/>
                <w:sz w:val="16"/>
                <w:szCs w:val="16"/>
              </w:rPr>
              <w:t>3,927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B4AE2F8" w14:textId="77777777" w:rsidR="003A22B8" w:rsidRDefault="003A22B8" w:rsidP="004D65FE">
            <w:pPr>
              <w:keepNext/>
              <w:keepLines/>
              <w:spacing w:before="0"/>
              <w:jc w:val="right"/>
              <w:rPr>
                <w:rFonts w:cs="Open Sans Light"/>
                <w:sz w:val="16"/>
                <w:szCs w:val="16"/>
              </w:rPr>
            </w:pPr>
            <w:r>
              <w:rPr>
                <w:rFonts w:cs="Open Sans Light"/>
                <w:sz w:val="16"/>
                <w:szCs w:val="16"/>
              </w:rPr>
              <w:t>4,477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2F210F9" w14:textId="77777777" w:rsidR="003A22B8" w:rsidRDefault="003A22B8" w:rsidP="004D65FE">
            <w:pPr>
              <w:keepNext/>
              <w:keepLines/>
              <w:spacing w:before="0"/>
              <w:jc w:val="right"/>
              <w:rPr>
                <w:rFonts w:cs="Open Sans Light"/>
                <w:sz w:val="16"/>
                <w:szCs w:val="16"/>
              </w:rPr>
            </w:pPr>
            <w:r>
              <w:rPr>
                <w:rFonts w:cs="Open Sans Light"/>
                <w:sz w:val="16"/>
                <w:szCs w:val="16"/>
              </w:rPr>
              <w:t>2,556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B81E1DF" w14:textId="77777777" w:rsidR="003A22B8" w:rsidRDefault="003A22B8" w:rsidP="004D65FE">
            <w:pPr>
              <w:keepNext/>
              <w:keepLines/>
              <w:spacing w:before="0"/>
              <w:jc w:val="right"/>
              <w:rPr>
                <w:rFonts w:cs="Open Sans Light"/>
                <w:sz w:val="16"/>
                <w:szCs w:val="16"/>
              </w:rPr>
            </w:pPr>
            <w:r>
              <w:rPr>
                <w:rFonts w:cs="Open Sans Light"/>
                <w:sz w:val="16"/>
                <w:szCs w:val="16"/>
              </w:rPr>
              <w:t>5,198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0C2F172" w14:textId="77777777" w:rsidR="003A22B8" w:rsidRDefault="003A22B8" w:rsidP="004D65FE">
            <w:pPr>
              <w:keepNext/>
              <w:keepLines/>
              <w:spacing w:before="0"/>
              <w:jc w:val="right"/>
              <w:rPr>
                <w:rFonts w:cs="Open Sans Light"/>
                <w:sz w:val="16"/>
                <w:szCs w:val="16"/>
              </w:rPr>
            </w:pPr>
            <w:r>
              <w:rPr>
                <w:rFonts w:cs="Open Sans Light"/>
                <w:sz w:val="16"/>
                <w:szCs w:val="16"/>
              </w:rPr>
              <w:t>6,838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1B55630" w14:textId="77777777" w:rsidR="003A22B8" w:rsidRDefault="003A22B8" w:rsidP="004D65FE">
            <w:pPr>
              <w:keepNext/>
              <w:keepLines/>
              <w:spacing w:before="0"/>
              <w:jc w:val="right"/>
              <w:rPr>
                <w:rFonts w:cs="Open Sans Light"/>
                <w:sz w:val="16"/>
                <w:szCs w:val="16"/>
              </w:rPr>
            </w:pPr>
            <w:r>
              <w:rPr>
                <w:rFonts w:cs="Open Sans Light"/>
                <w:sz w:val="16"/>
                <w:szCs w:val="16"/>
              </w:rPr>
              <w:t>4,292</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4B85CFC" w14:textId="77777777" w:rsidR="003A22B8" w:rsidRDefault="003A22B8" w:rsidP="004D65FE">
            <w:pPr>
              <w:keepNext/>
              <w:keepLines/>
              <w:spacing w:before="0"/>
              <w:jc w:val="right"/>
              <w:rPr>
                <w:rFonts w:cs="Open Sans Light"/>
                <w:sz w:val="16"/>
                <w:szCs w:val="16"/>
              </w:rPr>
            </w:pPr>
            <w:r>
              <w:rPr>
                <w:rFonts w:cs="Open Sans Light"/>
                <w:sz w:val="16"/>
                <w:szCs w:val="16"/>
              </w:rPr>
              <w:t>15,148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FD403EB" w14:textId="77777777" w:rsidR="003A22B8" w:rsidRDefault="003A22B8" w:rsidP="004D65FE">
            <w:pPr>
              <w:keepNext/>
              <w:keepLines/>
              <w:spacing w:before="0"/>
              <w:jc w:val="right"/>
              <w:rPr>
                <w:rFonts w:cs="Open Sans Light"/>
                <w:sz w:val="16"/>
                <w:szCs w:val="16"/>
              </w:rPr>
            </w:pPr>
            <w:r>
              <w:rPr>
                <w:rFonts w:cs="Open Sans Light"/>
                <w:sz w:val="16"/>
                <w:szCs w:val="16"/>
              </w:rPr>
              <w:t>4,196</w:t>
            </w:r>
          </w:p>
        </w:tc>
      </w:tr>
      <w:tr w:rsidR="003A22B8" w14:paraId="4C34E660" w14:textId="77777777" w:rsidTr="004D65FE">
        <w:trPr>
          <w:trHeight w:val="255"/>
        </w:trPr>
        <w:tc>
          <w:tcPr>
            <w:tcW w:w="2500" w:type="dxa"/>
            <w:tcBorders>
              <w:top w:val="nil"/>
              <w:left w:val="nil"/>
              <w:bottom w:val="nil"/>
              <w:right w:val="nil"/>
            </w:tcBorders>
            <w:shd w:val="clear" w:color="auto" w:fill="auto"/>
            <w:noWrap/>
            <w:tcMar>
              <w:top w:w="15" w:type="dxa"/>
              <w:left w:w="15" w:type="dxa"/>
              <w:bottom w:w="0" w:type="dxa"/>
              <w:right w:w="15" w:type="dxa"/>
            </w:tcMar>
            <w:vAlign w:val="bottom"/>
            <w:hideMark/>
          </w:tcPr>
          <w:p w14:paraId="5C06D096" w14:textId="77777777" w:rsidR="003A22B8" w:rsidRDefault="003A22B8" w:rsidP="004D65FE">
            <w:pPr>
              <w:keepNext/>
              <w:keepLines/>
              <w:spacing w:before="0"/>
              <w:ind w:left="142" w:hanging="142"/>
              <w:rPr>
                <w:rFonts w:cs="Open Sans Light"/>
                <w:i/>
                <w:iCs/>
                <w:sz w:val="16"/>
                <w:szCs w:val="16"/>
              </w:rPr>
            </w:pPr>
            <w:r>
              <w:rPr>
                <w:rFonts w:cs="Open Sans Light"/>
                <w:i/>
                <w:iCs/>
                <w:sz w:val="16"/>
                <w:szCs w:val="16"/>
              </w:rPr>
              <w:t>met through</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0C7CE3BC" w14:textId="77777777" w:rsidR="003A22B8" w:rsidRDefault="003A22B8" w:rsidP="004D65FE">
            <w:pPr>
              <w:keepNext/>
              <w:keepLines/>
              <w:spacing w:before="0"/>
              <w:rPr>
                <w:rFonts w:cs="Open Sans Light"/>
                <w:i/>
                <w:iCs/>
                <w:sz w:val="16"/>
                <w:szCs w:val="16"/>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2E396396"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6AAE457C"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3AAC97A4"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0A423025"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283DAC72"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610D634F" w14:textId="77777777" w:rsidR="003A22B8" w:rsidRDefault="003A22B8" w:rsidP="004D65FE">
            <w:pPr>
              <w:keepNext/>
              <w:keepLines/>
              <w:spacing w:before="0"/>
              <w:jc w:val="right"/>
              <w:rPr>
                <w:szCs w:val="20"/>
              </w:rPr>
            </w:pPr>
          </w:p>
        </w:tc>
        <w:tc>
          <w:tcPr>
            <w:tcW w:w="820" w:type="dxa"/>
            <w:tcBorders>
              <w:top w:val="nil"/>
              <w:left w:val="nil"/>
              <w:bottom w:val="nil"/>
              <w:right w:val="nil"/>
            </w:tcBorders>
            <w:shd w:val="clear" w:color="auto" w:fill="auto"/>
            <w:tcMar>
              <w:top w:w="15" w:type="dxa"/>
              <w:left w:w="15" w:type="dxa"/>
              <w:bottom w:w="0" w:type="dxa"/>
              <w:right w:w="15" w:type="dxa"/>
            </w:tcMar>
            <w:vAlign w:val="bottom"/>
            <w:hideMark/>
          </w:tcPr>
          <w:p w14:paraId="59A7BBFE"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12E3E780" w14:textId="77777777" w:rsidR="003A22B8" w:rsidRDefault="003A22B8" w:rsidP="004D65FE">
            <w:pPr>
              <w:keepNext/>
              <w:keepLines/>
              <w:spacing w:before="0"/>
              <w:jc w:val="right"/>
              <w:rPr>
                <w:szCs w:val="20"/>
              </w:rPr>
            </w:pPr>
          </w:p>
        </w:tc>
      </w:tr>
      <w:tr w:rsidR="003A22B8" w14:paraId="07CE7CF7"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476D8A7" w14:textId="77777777" w:rsidR="003A22B8" w:rsidRDefault="003A22B8" w:rsidP="004D65FE">
            <w:pPr>
              <w:keepNext/>
              <w:keepLines/>
              <w:spacing w:before="0"/>
              <w:ind w:left="142" w:hanging="142"/>
              <w:rPr>
                <w:rFonts w:cs="Open Sans Light"/>
                <w:sz w:val="16"/>
                <w:szCs w:val="16"/>
              </w:rPr>
            </w:pPr>
            <w:r>
              <w:rPr>
                <w:rFonts w:cs="Open Sans Light"/>
                <w:sz w:val="16"/>
                <w:szCs w:val="16"/>
              </w:rPr>
              <w:t>Commonwealth payments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E624818" w14:textId="77777777" w:rsidR="003A22B8" w:rsidRDefault="003A22B8" w:rsidP="004D65FE">
            <w:pPr>
              <w:keepNext/>
              <w:keepLines/>
              <w:spacing w:before="0"/>
              <w:jc w:val="right"/>
              <w:rPr>
                <w:rFonts w:cs="Open Sans Light"/>
                <w:sz w:val="16"/>
                <w:szCs w:val="16"/>
              </w:rPr>
            </w:pPr>
            <w:r>
              <w:rPr>
                <w:rFonts w:cs="Open Sans Light"/>
                <w:sz w:val="16"/>
                <w:szCs w:val="16"/>
              </w:rPr>
              <w:t>1,559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B74C139" w14:textId="77777777" w:rsidR="003A22B8" w:rsidRDefault="003A22B8" w:rsidP="004D65FE">
            <w:pPr>
              <w:keepNext/>
              <w:keepLines/>
              <w:spacing w:before="0"/>
              <w:jc w:val="right"/>
              <w:rPr>
                <w:rFonts w:cs="Open Sans Light"/>
                <w:sz w:val="16"/>
                <w:szCs w:val="16"/>
              </w:rPr>
            </w:pPr>
            <w:r>
              <w:rPr>
                <w:rFonts w:cs="Open Sans Light"/>
                <w:sz w:val="16"/>
                <w:szCs w:val="16"/>
              </w:rPr>
              <w:t>1,373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9256EF6" w14:textId="77777777" w:rsidR="003A22B8" w:rsidRDefault="003A22B8" w:rsidP="004D65FE">
            <w:pPr>
              <w:keepNext/>
              <w:keepLines/>
              <w:spacing w:before="0"/>
              <w:jc w:val="right"/>
              <w:rPr>
                <w:rFonts w:cs="Open Sans Light"/>
                <w:sz w:val="16"/>
                <w:szCs w:val="16"/>
              </w:rPr>
            </w:pPr>
            <w:r>
              <w:rPr>
                <w:rFonts w:cs="Open Sans Light"/>
                <w:sz w:val="16"/>
                <w:szCs w:val="16"/>
              </w:rPr>
              <w:t>1,826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C1EC99A" w14:textId="77777777" w:rsidR="003A22B8" w:rsidRDefault="003A22B8" w:rsidP="004D65FE">
            <w:pPr>
              <w:keepNext/>
              <w:keepLines/>
              <w:spacing w:before="0"/>
              <w:jc w:val="right"/>
              <w:rPr>
                <w:rFonts w:cs="Open Sans Light"/>
                <w:sz w:val="16"/>
                <w:szCs w:val="16"/>
              </w:rPr>
            </w:pPr>
            <w:r>
              <w:rPr>
                <w:rFonts w:cs="Open Sans Light"/>
                <w:sz w:val="16"/>
                <w:szCs w:val="16"/>
              </w:rPr>
              <w:t>1,606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4290AEA" w14:textId="77777777" w:rsidR="003A22B8" w:rsidRDefault="003A22B8" w:rsidP="004D65FE">
            <w:pPr>
              <w:keepNext/>
              <w:keepLines/>
              <w:spacing w:before="0"/>
              <w:jc w:val="right"/>
              <w:rPr>
                <w:rFonts w:cs="Open Sans Light"/>
                <w:sz w:val="16"/>
                <w:szCs w:val="16"/>
              </w:rPr>
            </w:pPr>
            <w:r>
              <w:rPr>
                <w:rFonts w:cs="Open Sans Light"/>
                <w:sz w:val="16"/>
                <w:szCs w:val="16"/>
              </w:rPr>
              <w:t>1,876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594710C" w14:textId="77777777" w:rsidR="003A22B8" w:rsidRDefault="003A22B8" w:rsidP="004D65FE">
            <w:pPr>
              <w:keepNext/>
              <w:keepLines/>
              <w:spacing w:before="0"/>
              <w:jc w:val="right"/>
              <w:rPr>
                <w:rFonts w:cs="Open Sans Light"/>
                <w:sz w:val="16"/>
                <w:szCs w:val="16"/>
              </w:rPr>
            </w:pPr>
            <w:r>
              <w:rPr>
                <w:rFonts w:cs="Open Sans Light"/>
                <w:sz w:val="16"/>
                <w:szCs w:val="16"/>
              </w:rPr>
              <w:t>1,770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AC1C27C" w14:textId="77777777" w:rsidR="003A22B8" w:rsidRDefault="003A22B8" w:rsidP="004D65FE">
            <w:pPr>
              <w:keepNext/>
              <w:keepLines/>
              <w:spacing w:before="0"/>
              <w:jc w:val="right"/>
              <w:rPr>
                <w:rFonts w:cs="Open Sans Light"/>
                <w:sz w:val="16"/>
                <w:szCs w:val="16"/>
              </w:rPr>
            </w:pPr>
            <w:r>
              <w:rPr>
                <w:rFonts w:cs="Open Sans Light"/>
                <w:sz w:val="16"/>
                <w:szCs w:val="16"/>
              </w:rPr>
              <w:t>1,398</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64EE2D1" w14:textId="77777777" w:rsidR="003A22B8" w:rsidRDefault="003A22B8" w:rsidP="004D65FE">
            <w:pPr>
              <w:keepNext/>
              <w:keepLines/>
              <w:spacing w:before="0"/>
              <w:jc w:val="right"/>
              <w:rPr>
                <w:rFonts w:cs="Open Sans Light"/>
                <w:sz w:val="16"/>
                <w:szCs w:val="16"/>
              </w:rPr>
            </w:pPr>
            <w:r>
              <w:rPr>
                <w:rFonts w:cs="Open Sans Light"/>
                <w:sz w:val="16"/>
                <w:szCs w:val="16"/>
              </w:rPr>
              <w:t>3,018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B60489E" w14:textId="77777777" w:rsidR="003A22B8" w:rsidRDefault="003A22B8" w:rsidP="004D65FE">
            <w:pPr>
              <w:keepNext/>
              <w:keepLines/>
              <w:spacing w:before="0"/>
              <w:jc w:val="right"/>
              <w:rPr>
                <w:rFonts w:cs="Open Sans Light"/>
                <w:sz w:val="16"/>
                <w:szCs w:val="16"/>
              </w:rPr>
            </w:pPr>
            <w:r>
              <w:rPr>
                <w:rFonts w:cs="Open Sans Light"/>
                <w:sz w:val="16"/>
                <w:szCs w:val="16"/>
              </w:rPr>
              <w:t>1,607</w:t>
            </w:r>
          </w:p>
        </w:tc>
      </w:tr>
      <w:tr w:rsidR="003A22B8" w14:paraId="03681119"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9CBF9D" w14:textId="77777777" w:rsidR="003A22B8" w:rsidRDefault="003A22B8" w:rsidP="004D65FE">
            <w:pPr>
              <w:keepNext/>
              <w:keepLines/>
              <w:spacing w:before="0"/>
              <w:ind w:left="142" w:hanging="142"/>
              <w:rPr>
                <w:rFonts w:cs="Open Sans Light"/>
                <w:sz w:val="16"/>
                <w:szCs w:val="16"/>
              </w:rPr>
            </w:pPr>
            <w:r>
              <w:rPr>
                <w:rFonts w:cs="Open Sans Light"/>
                <w:sz w:val="16"/>
                <w:szCs w:val="16"/>
              </w:rPr>
              <w:t>GST requirement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36FA021" w14:textId="77777777" w:rsidR="003A22B8" w:rsidRDefault="003A22B8" w:rsidP="004D65FE">
            <w:pPr>
              <w:keepNext/>
              <w:keepLines/>
              <w:spacing w:before="0"/>
              <w:jc w:val="right"/>
              <w:rPr>
                <w:rFonts w:cs="Open Sans Light"/>
                <w:sz w:val="16"/>
                <w:szCs w:val="16"/>
              </w:rPr>
            </w:pPr>
            <w:r>
              <w:rPr>
                <w:rFonts w:cs="Open Sans Light"/>
                <w:sz w:val="16"/>
                <w:szCs w:val="16"/>
              </w:rPr>
              <w:t>2,480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C5F17BD" w14:textId="77777777" w:rsidR="003A22B8" w:rsidRDefault="003A22B8" w:rsidP="004D65FE">
            <w:pPr>
              <w:keepNext/>
              <w:keepLines/>
              <w:spacing w:before="0"/>
              <w:jc w:val="right"/>
              <w:rPr>
                <w:rFonts w:cs="Open Sans Light"/>
                <w:sz w:val="16"/>
                <w:szCs w:val="16"/>
              </w:rPr>
            </w:pPr>
            <w:r>
              <w:rPr>
                <w:rFonts w:cs="Open Sans Light"/>
                <w:sz w:val="16"/>
                <w:szCs w:val="16"/>
              </w:rPr>
              <w:t>2,554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71E69FB" w14:textId="77777777" w:rsidR="003A22B8" w:rsidRDefault="003A22B8" w:rsidP="004D65FE">
            <w:pPr>
              <w:keepNext/>
              <w:keepLines/>
              <w:spacing w:before="0"/>
              <w:jc w:val="right"/>
              <w:rPr>
                <w:rFonts w:cs="Open Sans Light"/>
                <w:sz w:val="16"/>
                <w:szCs w:val="16"/>
              </w:rPr>
            </w:pPr>
            <w:r>
              <w:rPr>
                <w:rFonts w:cs="Open Sans Light"/>
                <w:sz w:val="16"/>
                <w:szCs w:val="16"/>
              </w:rPr>
              <w:t>2,651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4D47E21" w14:textId="77777777" w:rsidR="003A22B8" w:rsidRDefault="003A22B8" w:rsidP="004D65FE">
            <w:pPr>
              <w:keepNext/>
              <w:keepLines/>
              <w:spacing w:before="0"/>
              <w:jc w:val="right"/>
              <w:rPr>
                <w:rFonts w:cs="Open Sans Light"/>
                <w:sz w:val="16"/>
                <w:szCs w:val="16"/>
              </w:rPr>
            </w:pPr>
            <w:r>
              <w:rPr>
                <w:rFonts w:cs="Open Sans Light"/>
                <w:sz w:val="16"/>
                <w:szCs w:val="16"/>
              </w:rPr>
              <w:t>950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6F77774" w14:textId="77777777" w:rsidR="003A22B8" w:rsidRDefault="003A22B8" w:rsidP="004D65FE">
            <w:pPr>
              <w:keepNext/>
              <w:keepLines/>
              <w:spacing w:before="0"/>
              <w:jc w:val="right"/>
              <w:rPr>
                <w:rFonts w:cs="Open Sans Light"/>
                <w:sz w:val="16"/>
                <w:szCs w:val="16"/>
              </w:rPr>
            </w:pPr>
            <w:r>
              <w:rPr>
                <w:rFonts w:cs="Open Sans Light"/>
                <w:sz w:val="16"/>
                <w:szCs w:val="16"/>
              </w:rPr>
              <w:t>3,322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EAE7135" w14:textId="77777777" w:rsidR="003A22B8" w:rsidRDefault="003A22B8" w:rsidP="004D65FE">
            <w:pPr>
              <w:keepNext/>
              <w:keepLines/>
              <w:spacing w:before="0"/>
              <w:jc w:val="right"/>
              <w:rPr>
                <w:rFonts w:cs="Open Sans Light"/>
                <w:sz w:val="16"/>
                <w:szCs w:val="16"/>
              </w:rPr>
            </w:pPr>
            <w:r>
              <w:rPr>
                <w:rFonts w:cs="Open Sans Light"/>
                <w:sz w:val="16"/>
                <w:szCs w:val="16"/>
              </w:rPr>
              <w:t>5,069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539F6D1" w14:textId="77777777" w:rsidR="003A22B8" w:rsidRDefault="003A22B8" w:rsidP="004D65FE">
            <w:pPr>
              <w:keepNext/>
              <w:keepLines/>
              <w:spacing w:before="0"/>
              <w:jc w:val="right"/>
              <w:rPr>
                <w:rFonts w:cs="Open Sans Light"/>
                <w:sz w:val="16"/>
                <w:szCs w:val="16"/>
              </w:rPr>
            </w:pPr>
            <w:r>
              <w:rPr>
                <w:rFonts w:cs="Open Sans Light"/>
                <w:sz w:val="16"/>
                <w:szCs w:val="16"/>
              </w:rPr>
              <w:t>2,894</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BBE6D72" w14:textId="77777777" w:rsidR="003A22B8" w:rsidRDefault="003A22B8" w:rsidP="004D65FE">
            <w:pPr>
              <w:keepNext/>
              <w:keepLines/>
              <w:spacing w:before="0"/>
              <w:jc w:val="right"/>
              <w:rPr>
                <w:rFonts w:cs="Open Sans Light"/>
                <w:sz w:val="16"/>
                <w:szCs w:val="16"/>
              </w:rPr>
            </w:pPr>
            <w:r>
              <w:rPr>
                <w:rFonts w:cs="Open Sans Light"/>
                <w:sz w:val="16"/>
                <w:szCs w:val="16"/>
              </w:rPr>
              <w:t>12,130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37966C3" w14:textId="77777777" w:rsidR="003A22B8" w:rsidRDefault="003A22B8" w:rsidP="004D65FE">
            <w:pPr>
              <w:keepNext/>
              <w:keepLines/>
              <w:spacing w:before="0"/>
              <w:jc w:val="right"/>
              <w:rPr>
                <w:rFonts w:cs="Open Sans Light"/>
                <w:sz w:val="16"/>
                <w:szCs w:val="16"/>
              </w:rPr>
            </w:pPr>
            <w:r>
              <w:rPr>
                <w:rFonts w:cs="Open Sans Light"/>
                <w:sz w:val="16"/>
                <w:szCs w:val="16"/>
              </w:rPr>
              <w:t>2,589</w:t>
            </w:r>
          </w:p>
        </w:tc>
      </w:tr>
      <w:tr w:rsidR="003A22B8" w14:paraId="3D25EE66"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A649FC8"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Per capita relativity</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1152A23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0.958</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2A26A4D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0.986</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278E020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1.024</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0DEFA18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0.367</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3D15791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1.283</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7BD40DA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1.958</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111D6BE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1.118</w:t>
            </w:r>
          </w:p>
        </w:tc>
        <w:tc>
          <w:tcPr>
            <w:tcW w:w="82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30C176D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4.685</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08F86AC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1.000</w:t>
            </w:r>
          </w:p>
        </w:tc>
      </w:tr>
    </w:tbl>
    <w:p w14:paraId="7337942C" w14:textId="31CD7329" w:rsidR="003A22B8" w:rsidRDefault="003A22B8" w:rsidP="003A22B8">
      <w:pPr>
        <w:pStyle w:val="CGCTablenote"/>
      </w:pPr>
      <w:r>
        <w:t>Notes:</w:t>
      </w:r>
      <w:r>
        <w:tab/>
        <w:t>Net borrowing considered to be an alternative source of funds to meet a State’s expenditure requirement</w:t>
      </w:r>
      <w:r w:rsidR="006A0D6E">
        <w:t>.</w:t>
      </w:r>
    </w:p>
    <w:p w14:paraId="363C4303" w14:textId="77777777" w:rsidR="003A22B8" w:rsidRDefault="003A22B8" w:rsidP="003A22B8">
      <w:pPr>
        <w:pStyle w:val="CGCTablenote"/>
      </w:pPr>
      <w:r>
        <w:tab/>
        <w:t>Per capita relativities are equal to each State’s GST requirement divided by the average GST requirement.</w:t>
      </w:r>
    </w:p>
    <w:p w14:paraId="40E39AA3" w14:textId="77777777" w:rsidR="003A22B8" w:rsidRPr="00B068A3" w:rsidRDefault="003A22B8" w:rsidP="003A22B8">
      <w:pPr>
        <w:pStyle w:val="CGCTablenote"/>
      </w:pPr>
      <w:r>
        <w:t>Source:</w:t>
      </w:r>
      <w:r>
        <w:tab/>
        <w:t>CGC calculation.</w:t>
      </w:r>
    </w:p>
    <w:p w14:paraId="76B0432B" w14:textId="77777777" w:rsidR="003A22B8" w:rsidRDefault="003A22B8" w:rsidP="003A22B8">
      <w:pPr>
        <w:pStyle w:val="Heading3"/>
      </w:pPr>
      <w:r>
        <w:t>Alternative presentation</w:t>
      </w:r>
    </w:p>
    <w:p w14:paraId="630DAE4C" w14:textId="15B46E4F" w:rsidR="003A22B8" w:rsidRDefault="00D61CF1" w:rsidP="00F47EC7">
      <w:pPr>
        <w:pStyle w:val="CGCParaNumber"/>
      </w:pPr>
      <w:fldSimple w:instr=" REF _Ref30434049 ">
        <w:r w:rsidR="007F721A">
          <w:t>Table 30-</w:t>
        </w:r>
        <w:r w:rsidR="007F721A">
          <w:rPr>
            <w:noProof/>
          </w:rPr>
          <w:t>10</w:t>
        </w:r>
      </w:fldSimple>
      <w:r w:rsidR="003A22B8">
        <w:t xml:space="preserve">, </w:t>
      </w:r>
      <w:fldSimple w:instr=" REF _Ref30434065 ">
        <w:r w:rsidR="007F721A">
          <w:t>Table 30-</w:t>
        </w:r>
        <w:r w:rsidR="007F721A">
          <w:rPr>
            <w:noProof/>
          </w:rPr>
          <w:t>13</w:t>
        </w:r>
      </w:fldSimple>
      <w:r w:rsidR="003A22B8">
        <w:t xml:space="preserve"> and </w:t>
      </w:r>
      <w:fldSimple w:instr=" REF _Ref30434086 ">
        <w:r w:rsidR="007F721A">
          <w:t>Table 30-</w:t>
        </w:r>
        <w:r w:rsidR="007F721A">
          <w:rPr>
            <w:noProof/>
          </w:rPr>
          <w:t>16</w:t>
        </w:r>
      </w:fldSimple>
      <w:r w:rsidR="003A22B8">
        <w:t xml:space="preserve"> show the derivation of the assessed expense differences from EPC for each State and each assessment year.</w:t>
      </w:r>
    </w:p>
    <w:p w14:paraId="1EE4862F" w14:textId="261B423E" w:rsidR="003A22B8" w:rsidRDefault="00D61CF1" w:rsidP="00F47EC7">
      <w:pPr>
        <w:pStyle w:val="CGCParaNumber"/>
      </w:pPr>
      <w:fldSimple w:instr=" REF _Ref30434167 ">
        <w:r w:rsidR="007F721A">
          <w:t>Table 30-</w:t>
        </w:r>
        <w:r w:rsidR="007F721A">
          <w:rPr>
            <w:noProof/>
          </w:rPr>
          <w:t>11</w:t>
        </w:r>
      </w:fldSimple>
      <w:r w:rsidR="003A22B8">
        <w:t xml:space="preserve">, </w:t>
      </w:r>
      <w:fldSimple w:instr=" REF _Ref30434177 ">
        <w:r w:rsidR="007F721A">
          <w:t>Table 30-</w:t>
        </w:r>
        <w:r w:rsidR="007F721A">
          <w:rPr>
            <w:noProof/>
          </w:rPr>
          <w:t>14</w:t>
        </w:r>
      </w:fldSimple>
      <w:r w:rsidR="003A22B8">
        <w:t xml:space="preserve"> and </w:t>
      </w:r>
      <w:fldSimple w:instr=" REF _Ref30434189 ">
        <w:r w:rsidR="007F721A">
          <w:t>Table 30-</w:t>
        </w:r>
        <w:r w:rsidR="007F721A">
          <w:rPr>
            <w:noProof/>
          </w:rPr>
          <w:t>17</w:t>
        </w:r>
      </w:fldSimple>
      <w:r w:rsidR="003A22B8">
        <w:t xml:space="preserve"> show the derivation of total assessed revenue differences from EPC for each State and each assessment year.</w:t>
      </w:r>
    </w:p>
    <w:p w14:paraId="3FFC741E" w14:textId="394589C3" w:rsidR="003A22B8" w:rsidRDefault="00D61CF1" w:rsidP="00F47EC7">
      <w:pPr>
        <w:pStyle w:val="CGCParaNumber"/>
      </w:pPr>
      <w:fldSimple w:instr=" REF _Ref30434243 ">
        <w:r w:rsidR="007F721A">
          <w:t>Table 30-</w:t>
        </w:r>
        <w:r w:rsidR="007F721A">
          <w:rPr>
            <w:noProof/>
          </w:rPr>
          <w:t>12</w:t>
        </w:r>
      </w:fldSimple>
      <w:r w:rsidR="003A22B8">
        <w:t xml:space="preserve">, </w:t>
      </w:r>
      <w:fldSimple w:instr=" REF _Ref30434264 ">
        <w:r w:rsidR="007F721A">
          <w:t>Table 30-</w:t>
        </w:r>
        <w:r w:rsidR="007F721A">
          <w:rPr>
            <w:noProof/>
          </w:rPr>
          <w:t>15</w:t>
        </w:r>
      </w:fldSimple>
      <w:r w:rsidR="003A22B8">
        <w:t xml:space="preserve"> and </w:t>
      </w:r>
      <w:fldSimple w:instr=" REF _Ref30434280 ">
        <w:r w:rsidR="007F721A">
          <w:t>Table 30-</w:t>
        </w:r>
        <w:r w:rsidR="007F721A">
          <w:rPr>
            <w:noProof/>
          </w:rPr>
          <w:t>18</w:t>
        </w:r>
      </w:fldSimple>
      <w:r w:rsidR="003A22B8" w:rsidRPr="00717AC6">
        <w:t xml:space="preserve"> show an alternative presentation of the derivation of per</w:t>
      </w:r>
      <w:r w:rsidR="003A22B8">
        <w:t> </w:t>
      </w:r>
      <w:r w:rsidR="003A22B8" w:rsidRPr="00717AC6">
        <w:t>capita relativities. In these tables, the per capita relativities are calculated as the average per</w:t>
      </w:r>
      <w:r w:rsidR="003A22B8">
        <w:t> </w:t>
      </w:r>
      <w:r w:rsidR="003A22B8" w:rsidRPr="00717AC6">
        <w:t>capita GST paid during each year plus the State’s:</w:t>
      </w:r>
    </w:p>
    <w:p w14:paraId="52FF81D5" w14:textId="77777777" w:rsidR="003A22B8" w:rsidRDefault="003A22B8" w:rsidP="003A22B8">
      <w:pPr>
        <w:pStyle w:val="CGCBullet1"/>
      </w:pPr>
      <w:r w:rsidRPr="00717AC6">
        <w:t>per capita expense assessed difference (the State’s per capita assessed expenses less the average State per capita expenses)</w:t>
      </w:r>
    </w:p>
    <w:p w14:paraId="2F24A78A" w14:textId="77777777" w:rsidR="003A22B8" w:rsidRDefault="003A22B8" w:rsidP="003A22B8">
      <w:pPr>
        <w:pStyle w:val="CGCBullet1"/>
      </w:pPr>
      <w:r w:rsidRPr="00717AC6">
        <w:t>per capita investment assessed difference (the State’s per capita assessed investment less the average State per capita investment)</w:t>
      </w:r>
    </w:p>
    <w:p w14:paraId="2C3C26D6" w14:textId="198207D6" w:rsidR="003A22B8" w:rsidRDefault="003A22B8" w:rsidP="003A22B8">
      <w:pPr>
        <w:pStyle w:val="CGCBullet1"/>
      </w:pPr>
      <w:r w:rsidRPr="00C766CC">
        <w:t xml:space="preserve">per capita net borrowing assessed difference (the </w:t>
      </w:r>
      <w:r w:rsidR="00A11469">
        <w:t xml:space="preserve">average State per capita net borrowing less the </w:t>
      </w:r>
      <w:r w:rsidRPr="00C766CC">
        <w:t>State’s per capita assessed net borrowing)</w:t>
      </w:r>
    </w:p>
    <w:p w14:paraId="1AAAA115" w14:textId="77777777" w:rsidR="003A22B8" w:rsidRDefault="003A22B8" w:rsidP="003A22B8">
      <w:pPr>
        <w:pStyle w:val="CGCBullet1"/>
      </w:pPr>
      <w:r w:rsidRPr="00C766CC">
        <w:t>per capita revenue assessed difference (the average State per capita revenue less the State’s per capita assessed revenue)</w:t>
      </w:r>
    </w:p>
    <w:p w14:paraId="1EF26518" w14:textId="77777777" w:rsidR="003A22B8" w:rsidRDefault="003A22B8" w:rsidP="003A22B8">
      <w:pPr>
        <w:pStyle w:val="CGCBullet1"/>
      </w:pPr>
      <w:r w:rsidRPr="00C766CC">
        <w:t>per capita assessed difference for Commonwealth payments (the average State per capita Commonwealth payments less the State’s per capita Commonwealth payments).</w:t>
      </w:r>
    </w:p>
    <w:p w14:paraId="541D019D" w14:textId="6D1B25B2" w:rsidR="003A22B8" w:rsidRDefault="003A22B8" w:rsidP="003A22B8">
      <w:pPr>
        <w:pStyle w:val="Caption"/>
      </w:pPr>
      <w:bookmarkStart w:id="651" w:name="_Ref30434049"/>
      <w:r>
        <w:lastRenderedPageBreak/>
        <w:t>Table 30-</w:t>
      </w:r>
      <w:fldSimple w:instr=" SEQ Table \* ARABIC ">
        <w:r w:rsidR="007F721A">
          <w:rPr>
            <w:noProof/>
          </w:rPr>
          <w:t>10</w:t>
        </w:r>
      </w:fldSimple>
      <w:bookmarkEnd w:id="651"/>
      <w:r>
        <w:tab/>
        <w:t>Per capita assessed expense differences from EPC, 2016-17</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0037CD89" w14:textId="77777777" w:rsidTr="004D65FE">
        <w:trPr>
          <w:trHeight w:val="379"/>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7D3D134" w14:textId="77777777" w:rsidR="003A22B8" w:rsidRDefault="003A22B8" w:rsidP="004D65FE">
            <w:pPr>
              <w:keepNext/>
              <w:keepLines/>
              <w:tabs>
                <w:tab w:val="clear" w:pos="567"/>
              </w:tabs>
              <w:spacing w:before="0" w:line="240" w:lineRule="auto"/>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40DAAA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B59B98A"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C2FC549"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FB07FE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1286B0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69FEEB2"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095111B"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1BE2F1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8228AE9"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180EE692" w14:textId="77777777" w:rsidTr="005C340D">
        <w:trPr>
          <w:trHeight w:val="227"/>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7D4BFC8" w14:textId="77777777" w:rsidR="003A22B8" w:rsidRDefault="003A22B8" w:rsidP="004D65FE">
            <w:pPr>
              <w:keepNext/>
              <w:keepLines/>
              <w:spacing w:before="0"/>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7CE52A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14556E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C231F3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A71C8F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A37895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F9BBD3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4B7E50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DDA919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510295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4529535F"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EB01B1A" w14:textId="77777777" w:rsidR="003A22B8" w:rsidRDefault="003A22B8" w:rsidP="004D65FE">
            <w:pPr>
              <w:keepNext/>
              <w:keepLines/>
              <w:spacing w:before="0"/>
              <w:ind w:left="142" w:hanging="142"/>
              <w:rPr>
                <w:rFonts w:cs="Open Sans Light"/>
                <w:sz w:val="16"/>
                <w:szCs w:val="16"/>
              </w:rPr>
            </w:pPr>
            <w:r>
              <w:rPr>
                <w:rFonts w:cs="Open Sans Light"/>
                <w:sz w:val="16"/>
                <w:szCs w:val="16"/>
              </w:rPr>
              <w:t>Schools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50C606E" w14:textId="77777777" w:rsidR="003A22B8" w:rsidRDefault="003A22B8" w:rsidP="004D65FE">
            <w:pPr>
              <w:keepNext/>
              <w:keepLines/>
              <w:spacing w:before="0"/>
              <w:jc w:val="right"/>
              <w:rPr>
                <w:rFonts w:cs="Open Sans Light"/>
                <w:sz w:val="16"/>
                <w:szCs w:val="16"/>
              </w:rPr>
            </w:pPr>
            <w:r>
              <w:rPr>
                <w:rFonts w:cs="Open Sans Light"/>
                <w:sz w:val="16"/>
                <w:szCs w:val="16"/>
              </w:rPr>
              <w:t>-32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DC2757" w14:textId="77777777" w:rsidR="003A22B8" w:rsidRDefault="003A22B8" w:rsidP="004D65FE">
            <w:pPr>
              <w:keepNext/>
              <w:keepLines/>
              <w:spacing w:before="0"/>
              <w:jc w:val="right"/>
              <w:rPr>
                <w:rFonts w:cs="Open Sans Light"/>
                <w:sz w:val="16"/>
                <w:szCs w:val="16"/>
              </w:rPr>
            </w:pPr>
            <w:r>
              <w:rPr>
                <w:rFonts w:cs="Open Sans Light"/>
                <w:sz w:val="16"/>
                <w:szCs w:val="16"/>
              </w:rPr>
              <w:t>-172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DE041B" w14:textId="77777777" w:rsidR="003A22B8" w:rsidRDefault="003A22B8" w:rsidP="004D65FE">
            <w:pPr>
              <w:keepNext/>
              <w:keepLines/>
              <w:spacing w:before="0"/>
              <w:jc w:val="right"/>
              <w:rPr>
                <w:rFonts w:cs="Open Sans Light"/>
                <w:sz w:val="16"/>
                <w:szCs w:val="16"/>
              </w:rPr>
            </w:pPr>
            <w:r>
              <w:rPr>
                <w:rFonts w:cs="Open Sans Light"/>
                <w:sz w:val="16"/>
                <w:szCs w:val="16"/>
              </w:rPr>
              <w:t>124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E504EEE" w14:textId="77777777" w:rsidR="003A22B8" w:rsidRDefault="003A22B8" w:rsidP="004D65FE">
            <w:pPr>
              <w:keepNext/>
              <w:keepLines/>
              <w:spacing w:before="0"/>
              <w:jc w:val="right"/>
              <w:rPr>
                <w:rFonts w:cs="Open Sans Light"/>
                <w:sz w:val="16"/>
                <w:szCs w:val="16"/>
              </w:rPr>
            </w:pPr>
            <w:r>
              <w:rPr>
                <w:rFonts w:cs="Open Sans Light"/>
                <w:sz w:val="16"/>
                <w:szCs w:val="16"/>
              </w:rPr>
              <w:t>153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F0F978" w14:textId="77777777" w:rsidR="003A22B8" w:rsidRDefault="003A22B8" w:rsidP="004D65FE">
            <w:pPr>
              <w:keepNext/>
              <w:keepLines/>
              <w:spacing w:before="0"/>
              <w:jc w:val="right"/>
              <w:rPr>
                <w:rFonts w:cs="Open Sans Light"/>
                <w:sz w:val="16"/>
                <w:szCs w:val="16"/>
              </w:rPr>
            </w:pPr>
            <w:r>
              <w:rPr>
                <w:rFonts w:cs="Open Sans Light"/>
                <w:sz w:val="16"/>
                <w:szCs w:val="16"/>
              </w:rPr>
              <w:t>-22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C9F57D8" w14:textId="77777777" w:rsidR="003A22B8" w:rsidRDefault="003A22B8" w:rsidP="004D65FE">
            <w:pPr>
              <w:keepNext/>
              <w:keepLines/>
              <w:spacing w:before="0"/>
              <w:jc w:val="right"/>
              <w:rPr>
                <w:rFonts w:cs="Open Sans Light"/>
                <w:sz w:val="16"/>
                <w:szCs w:val="16"/>
              </w:rPr>
            </w:pPr>
            <w:r>
              <w:rPr>
                <w:rFonts w:cs="Open Sans Light"/>
                <w:sz w:val="16"/>
                <w:szCs w:val="16"/>
              </w:rPr>
              <w:t>154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7F9DED9" w14:textId="77777777" w:rsidR="003A22B8" w:rsidRDefault="003A22B8" w:rsidP="004D65FE">
            <w:pPr>
              <w:keepNext/>
              <w:keepLines/>
              <w:spacing w:before="0"/>
              <w:jc w:val="right"/>
              <w:rPr>
                <w:rFonts w:cs="Open Sans Light"/>
                <w:sz w:val="16"/>
                <w:szCs w:val="16"/>
              </w:rPr>
            </w:pPr>
            <w:r>
              <w:rPr>
                <w:rFonts w:cs="Open Sans Light"/>
                <w:sz w:val="16"/>
                <w:szCs w:val="16"/>
              </w:rPr>
              <w:t>-135</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7E6FB74" w14:textId="77777777" w:rsidR="003A22B8" w:rsidRDefault="003A22B8" w:rsidP="004D65FE">
            <w:pPr>
              <w:keepNext/>
              <w:keepLines/>
              <w:spacing w:before="0"/>
              <w:jc w:val="right"/>
              <w:rPr>
                <w:rFonts w:cs="Open Sans Light"/>
                <w:sz w:val="16"/>
                <w:szCs w:val="16"/>
              </w:rPr>
            </w:pPr>
            <w:r>
              <w:rPr>
                <w:rFonts w:cs="Open Sans Light"/>
                <w:sz w:val="16"/>
                <w:szCs w:val="16"/>
              </w:rPr>
              <w:t>1,369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3497C10"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71C2AF79"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D702A05" w14:textId="77777777" w:rsidR="003A22B8" w:rsidRDefault="003A22B8" w:rsidP="004D65FE">
            <w:pPr>
              <w:keepNext/>
              <w:keepLines/>
              <w:spacing w:before="0"/>
              <w:ind w:left="142" w:hanging="142"/>
              <w:rPr>
                <w:rFonts w:cs="Open Sans Light"/>
                <w:sz w:val="16"/>
                <w:szCs w:val="16"/>
              </w:rPr>
            </w:pPr>
            <w:r>
              <w:rPr>
                <w:rFonts w:cs="Open Sans Light"/>
                <w:sz w:val="16"/>
                <w:szCs w:val="16"/>
              </w:rPr>
              <w:t>Post-secondary education</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308D8BC" w14:textId="77777777" w:rsidR="003A22B8" w:rsidRDefault="003A22B8" w:rsidP="004D65FE">
            <w:pPr>
              <w:keepNext/>
              <w:keepLines/>
              <w:spacing w:before="0"/>
              <w:jc w:val="right"/>
              <w:rPr>
                <w:rFonts w:cs="Open Sans Light"/>
                <w:sz w:val="16"/>
                <w:szCs w:val="16"/>
              </w:rPr>
            </w:pPr>
            <w:r>
              <w:rPr>
                <w:rFonts w:cs="Open Sans Light"/>
                <w:sz w:val="16"/>
                <w:szCs w:val="16"/>
              </w:rPr>
              <w:t>-6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56F72BE" w14:textId="77777777" w:rsidR="003A22B8" w:rsidRDefault="003A22B8" w:rsidP="004D65FE">
            <w:pPr>
              <w:keepNext/>
              <w:keepLines/>
              <w:spacing w:before="0"/>
              <w:jc w:val="right"/>
              <w:rPr>
                <w:rFonts w:cs="Open Sans Light"/>
                <w:sz w:val="16"/>
                <w:szCs w:val="16"/>
              </w:rPr>
            </w:pPr>
            <w:r>
              <w:rPr>
                <w:rFonts w:cs="Open Sans Light"/>
                <w:sz w:val="16"/>
                <w:szCs w:val="16"/>
              </w:rPr>
              <w:t>-11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F91EA0B" w14:textId="77777777" w:rsidR="003A22B8" w:rsidRDefault="003A22B8" w:rsidP="004D65FE">
            <w:pPr>
              <w:keepNext/>
              <w:keepLines/>
              <w:spacing w:before="0"/>
              <w:jc w:val="right"/>
              <w:rPr>
                <w:rFonts w:cs="Open Sans Light"/>
                <w:sz w:val="16"/>
                <w:szCs w:val="16"/>
              </w:rPr>
            </w:pPr>
            <w:r>
              <w:rPr>
                <w:rFonts w:cs="Open Sans Light"/>
                <w:sz w:val="16"/>
                <w:szCs w:val="16"/>
              </w:rPr>
              <w:t>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BCC8E20" w14:textId="77777777" w:rsidR="003A22B8" w:rsidRDefault="003A22B8" w:rsidP="004D65FE">
            <w:pPr>
              <w:keepNext/>
              <w:keepLines/>
              <w:spacing w:before="0"/>
              <w:jc w:val="right"/>
              <w:rPr>
                <w:rFonts w:cs="Open Sans Light"/>
                <w:sz w:val="16"/>
                <w:szCs w:val="16"/>
              </w:rPr>
            </w:pPr>
            <w:r>
              <w:rPr>
                <w:rFonts w:cs="Open Sans Light"/>
                <w:sz w:val="16"/>
                <w:szCs w:val="16"/>
              </w:rPr>
              <w:t>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1752B34" w14:textId="77777777" w:rsidR="003A22B8" w:rsidRDefault="003A22B8" w:rsidP="004D65FE">
            <w:pPr>
              <w:keepNext/>
              <w:keepLines/>
              <w:spacing w:before="0"/>
              <w:jc w:val="right"/>
              <w:rPr>
                <w:rFonts w:cs="Open Sans Light"/>
                <w:sz w:val="16"/>
                <w:szCs w:val="16"/>
              </w:rPr>
            </w:pPr>
            <w:r>
              <w:rPr>
                <w:rFonts w:cs="Open Sans Light"/>
                <w:sz w:val="16"/>
                <w:szCs w:val="16"/>
              </w:rPr>
              <w:t>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70751F7" w14:textId="77777777" w:rsidR="003A22B8" w:rsidRDefault="003A22B8" w:rsidP="004D65FE">
            <w:pPr>
              <w:keepNext/>
              <w:keepLines/>
              <w:spacing w:before="0"/>
              <w:jc w:val="right"/>
              <w:rPr>
                <w:rFonts w:cs="Open Sans Light"/>
                <w:sz w:val="16"/>
                <w:szCs w:val="16"/>
              </w:rPr>
            </w:pPr>
            <w:r>
              <w:rPr>
                <w:rFonts w:cs="Open Sans Light"/>
                <w:sz w:val="16"/>
                <w:szCs w:val="16"/>
              </w:rPr>
              <w:t>24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EE05609" w14:textId="77777777" w:rsidR="003A22B8" w:rsidRDefault="003A22B8" w:rsidP="004D65FE">
            <w:pPr>
              <w:keepNext/>
              <w:keepLines/>
              <w:spacing w:before="0"/>
              <w:jc w:val="right"/>
              <w:rPr>
                <w:rFonts w:cs="Open Sans Light"/>
                <w:sz w:val="16"/>
                <w:szCs w:val="16"/>
              </w:rPr>
            </w:pPr>
            <w:r>
              <w:rPr>
                <w:rFonts w:cs="Open Sans Light"/>
                <w:sz w:val="16"/>
                <w:szCs w:val="16"/>
              </w:rPr>
              <w:t>-8</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F5160ED" w14:textId="77777777" w:rsidR="003A22B8" w:rsidRDefault="003A22B8" w:rsidP="004D65FE">
            <w:pPr>
              <w:keepNext/>
              <w:keepLines/>
              <w:spacing w:before="0"/>
              <w:jc w:val="right"/>
              <w:rPr>
                <w:rFonts w:cs="Open Sans Light"/>
                <w:sz w:val="16"/>
                <w:szCs w:val="16"/>
              </w:rPr>
            </w:pPr>
            <w:r>
              <w:rPr>
                <w:rFonts w:cs="Open Sans Light"/>
                <w:sz w:val="16"/>
                <w:szCs w:val="16"/>
              </w:rPr>
              <w:t>159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0002CC8"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0D60D980"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4D2A559" w14:textId="77777777" w:rsidR="003A22B8" w:rsidRDefault="003A22B8" w:rsidP="004D65FE">
            <w:pPr>
              <w:keepNext/>
              <w:keepLines/>
              <w:spacing w:before="0"/>
              <w:ind w:left="142" w:hanging="142"/>
              <w:rPr>
                <w:rFonts w:cs="Open Sans Light"/>
                <w:sz w:val="16"/>
                <w:szCs w:val="16"/>
              </w:rPr>
            </w:pPr>
            <w:r>
              <w:rPr>
                <w:rFonts w:cs="Open Sans Light"/>
                <w:sz w:val="16"/>
                <w:szCs w:val="16"/>
              </w:rPr>
              <w:t>Health</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01E32DB" w14:textId="77777777" w:rsidR="003A22B8" w:rsidRDefault="003A22B8" w:rsidP="004D65FE">
            <w:pPr>
              <w:keepNext/>
              <w:keepLines/>
              <w:spacing w:before="0"/>
              <w:jc w:val="right"/>
              <w:rPr>
                <w:rFonts w:cs="Open Sans Light"/>
                <w:sz w:val="16"/>
                <w:szCs w:val="16"/>
              </w:rPr>
            </w:pPr>
            <w:r>
              <w:rPr>
                <w:rFonts w:cs="Open Sans Light"/>
                <w:sz w:val="16"/>
                <w:szCs w:val="16"/>
              </w:rPr>
              <w:t>-66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191C823" w14:textId="77777777" w:rsidR="003A22B8" w:rsidRDefault="003A22B8" w:rsidP="004D65FE">
            <w:pPr>
              <w:keepNext/>
              <w:keepLines/>
              <w:spacing w:before="0"/>
              <w:jc w:val="right"/>
              <w:rPr>
                <w:rFonts w:cs="Open Sans Light"/>
                <w:sz w:val="16"/>
                <w:szCs w:val="16"/>
              </w:rPr>
            </w:pPr>
            <w:r>
              <w:rPr>
                <w:rFonts w:cs="Open Sans Light"/>
                <w:sz w:val="16"/>
                <w:szCs w:val="16"/>
              </w:rPr>
              <w:t>-149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0B7B29F" w14:textId="77777777" w:rsidR="003A22B8" w:rsidRDefault="003A22B8" w:rsidP="004D65FE">
            <w:pPr>
              <w:keepNext/>
              <w:keepLines/>
              <w:spacing w:before="0"/>
              <w:jc w:val="right"/>
              <w:rPr>
                <w:rFonts w:cs="Open Sans Light"/>
                <w:sz w:val="16"/>
                <w:szCs w:val="16"/>
              </w:rPr>
            </w:pPr>
            <w:r>
              <w:rPr>
                <w:rFonts w:cs="Open Sans Light"/>
                <w:sz w:val="16"/>
                <w:szCs w:val="16"/>
              </w:rPr>
              <w:t>35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4C3150" w14:textId="77777777" w:rsidR="003A22B8" w:rsidRDefault="003A22B8" w:rsidP="004D65FE">
            <w:pPr>
              <w:keepNext/>
              <w:keepLines/>
              <w:spacing w:before="0"/>
              <w:jc w:val="right"/>
              <w:rPr>
                <w:rFonts w:cs="Open Sans Light"/>
                <w:sz w:val="16"/>
                <w:szCs w:val="16"/>
              </w:rPr>
            </w:pPr>
            <w:r>
              <w:rPr>
                <w:rFonts w:cs="Open Sans Light"/>
                <w:sz w:val="16"/>
                <w:szCs w:val="16"/>
              </w:rPr>
              <w:t>135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00CA2B5" w14:textId="77777777" w:rsidR="003A22B8" w:rsidRDefault="003A22B8" w:rsidP="004D65FE">
            <w:pPr>
              <w:keepNext/>
              <w:keepLines/>
              <w:spacing w:before="0"/>
              <w:jc w:val="right"/>
              <w:rPr>
                <w:rFonts w:cs="Open Sans Light"/>
                <w:sz w:val="16"/>
                <w:szCs w:val="16"/>
              </w:rPr>
            </w:pPr>
            <w:r>
              <w:rPr>
                <w:rFonts w:cs="Open Sans Light"/>
                <w:sz w:val="16"/>
                <w:szCs w:val="16"/>
              </w:rPr>
              <w:t>167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FCAA8A8" w14:textId="77777777" w:rsidR="003A22B8" w:rsidRDefault="003A22B8" w:rsidP="004D65FE">
            <w:pPr>
              <w:keepNext/>
              <w:keepLines/>
              <w:spacing w:before="0"/>
              <w:jc w:val="right"/>
              <w:rPr>
                <w:rFonts w:cs="Open Sans Light"/>
                <w:sz w:val="16"/>
                <w:szCs w:val="16"/>
              </w:rPr>
            </w:pPr>
            <w:r>
              <w:rPr>
                <w:rFonts w:cs="Open Sans Light"/>
                <w:sz w:val="16"/>
                <w:szCs w:val="16"/>
              </w:rPr>
              <w:t>531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B52A00" w14:textId="77777777" w:rsidR="003A22B8" w:rsidRDefault="003A22B8" w:rsidP="004D65FE">
            <w:pPr>
              <w:keepNext/>
              <w:keepLines/>
              <w:spacing w:before="0"/>
              <w:jc w:val="right"/>
              <w:rPr>
                <w:rFonts w:cs="Open Sans Light"/>
                <w:sz w:val="16"/>
                <w:szCs w:val="16"/>
              </w:rPr>
            </w:pPr>
            <w:r>
              <w:rPr>
                <w:rFonts w:cs="Open Sans Light"/>
                <w:sz w:val="16"/>
                <w:szCs w:val="16"/>
              </w:rPr>
              <w:t>-288</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18F194" w14:textId="77777777" w:rsidR="003A22B8" w:rsidRDefault="003A22B8" w:rsidP="004D65FE">
            <w:pPr>
              <w:keepNext/>
              <w:keepLines/>
              <w:spacing w:before="0"/>
              <w:jc w:val="right"/>
              <w:rPr>
                <w:rFonts w:cs="Open Sans Light"/>
                <w:sz w:val="16"/>
                <w:szCs w:val="16"/>
              </w:rPr>
            </w:pPr>
            <w:r>
              <w:rPr>
                <w:rFonts w:cs="Open Sans Light"/>
                <w:sz w:val="16"/>
                <w:szCs w:val="16"/>
              </w:rPr>
              <w:t>1,946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0F8A1B7"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19FFA276"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784CC41" w14:textId="77777777" w:rsidR="003A22B8" w:rsidRDefault="003A22B8" w:rsidP="004D65FE">
            <w:pPr>
              <w:keepNext/>
              <w:keepLines/>
              <w:spacing w:before="0"/>
              <w:ind w:left="142" w:hanging="142"/>
              <w:rPr>
                <w:rFonts w:cs="Open Sans Light"/>
                <w:sz w:val="16"/>
                <w:szCs w:val="16"/>
              </w:rPr>
            </w:pPr>
            <w:r>
              <w:rPr>
                <w:rFonts w:cs="Open Sans Light"/>
                <w:sz w:val="16"/>
                <w:szCs w:val="16"/>
              </w:rPr>
              <w:t>Housing</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9CC1C4" w14:textId="77777777" w:rsidR="003A22B8" w:rsidRDefault="003A22B8" w:rsidP="004D65FE">
            <w:pPr>
              <w:keepNext/>
              <w:keepLines/>
              <w:spacing w:before="0"/>
              <w:jc w:val="right"/>
              <w:rPr>
                <w:rFonts w:cs="Open Sans Light"/>
                <w:sz w:val="16"/>
                <w:szCs w:val="16"/>
              </w:rPr>
            </w:pPr>
            <w:r>
              <w:rPr>
                <w:rFonts w:cs="Open Sans Light"/>
                <w:sz w:val="16"/>
                <w:szCs w:val="16"/>
              </w:rPr>
              <w:t>-10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C2421C" w14:textId="77777777" w:rsidR="003A22B8" w:rsidRDefault="003A22B8" w:rsidP="004D65FE">
            <w:pPr>
              <w:keepNext/>
              <w:keepLines/>
              <w:spacing w:before="0"/>
              <w:jc w:val="right"/>
              <w:rPr>
                <w:rFonts w:cs="Open Sans Light"/>
                <w:sz w:val="16"/>
                <w:szCs w:val="16"/>
              </w:rPr>
            </w:pPr>
            <w:r>
              <w:rPr>
                <w:rFonts w:cs="Open Sans Light"/>
                <w:sz w:val="16"/>
                <w:szCs w:val="16"/>
              </w:rPr>
              <w:t>-24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B6F1811" w14:textId="77777777" w:rsidR="003A22B8" w:rsidRDefault="003A22B8" w:rsidP="004D65FE">
            <w:pPr>
              <w:keepNext/>
              <w:keepLines/>
              <w:spacing w:before="0"/>
              <w:jc w:val="right"/>
              <w:rPr>
                <w:rFonts w:cs="Open Sans Light"/>
                <w:sz w:val="16"/>
                <w:szCs w:val="16"/>
              </w:rPr>
            </w:pPr>
            <w:r>
              <w:rPr>
                <w:rFonts w:cs="Open Sans Light"/>
                <w:sz w:val="16"/>
                <w:szCs w:val="16"/>
              </w:rPr>
              <w:t>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FFB3399" w14:textId="77777777" w:rsidR="003A22B8" w:rsidRDefault="003A22B8" w:rsidP="004D65FE">
            <w:pPr>
              <w:keepNext/>
              <w:keepLines/>
              <w:spacing w:before="0"/>
              <w:jc w:val="right"/>
              <w:rPr>
                <w:rFonts w:cs="Open Sans Light"/>
                <w:sz w:val="16"/>
                <w:szCs w:val="16"/>
              </w:rPr>
            </w:pPr>
            <w:r>
              <w:rPr>
                <w:rFonts w:cs="Open Sans Light"/>
                <w:sz w:val="16"/>
                <w:szCs w:val="16"/>
              </w:rPr>
              <w:t>28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2F72BF5" w14:textId="77777777" w:rsidR="003A22B8" w:rsidRDefault="003A22B8" w:rsidP="004D65FE">
            <w:pPr>
              <w:keepNext/>
              <w:keepLines/>
              <w:spacing w:before="0"/>
              <w:jc w:val="right"/>
              <w:rPr>
                <w:rFonts w:cs="Open Sans Light"/>
                <w:sz w:val="16"/>
                <w:szCs w:val="16"/>
              </w:rPr>
            </w:pPr>
            <w:r>
              <w:rPr>
                <w:rFonts w:cs="Open Sans Light"/>
                <w:sz w:val="16"/>
                <w:szCs w:val="16"/>
              </w:rPr>
              <w:t>12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F5E1265" w14:textId="77777777" w:rsidR="003A22B8" w:rsidRDefault="003A22B8" w:rsidP="004D65FE">
            <w:pPr>
              <w:keepNext/>
              <w:keepLines/>
              <w:spacing w:before="0"/>
              <w:jc w:val="right"/>
              <w:rPr>
                <w:rFonts w:cs="Open Sans Light"/>
                <w:sz w:val="16"/>
                <w:szCs w:val="16"/>
              </w:rPr>
            </w:pPr>
            <w:r>
              <w:rPr>
                <w:rFonts w:cs="Open Sans Light"/>
                <w:sz w:val="16"/>
                <w:szCs w:val="16"/>
              </w:rPr>
              <w:t>13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6F495F8" w14:textId="77777777" w:rsidR="003A22B8" w:rsidRDefault="003A22B8" w:rsidP="004D65FE">
            <w:pPr>
              <w:keepNext/>
              <w:keepLines/>
              <w:spacing w:before="0"/>
              <w:jc w:val="right"/>
              <w:rPr>
                <w:rFonts w:cs="Open Sans Light"/>
                <w:sz w:val="16"/>
                <w:szCs w:val="16"/>
              </w:rPr>
            </w:pPr>
            <w:r>
              <w:rPr>
                <w:rFonts w:cs="Open Sans Light"/>
                <w:sz w:val="16"/>
                <w:szCs w:val="16"/>
              </w:rPr>
              <w:t>-42</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02A1D70" w14:textId="77777777" w:rsidR="003A22B8" w:rsidRDefault="003A22B8" w:rsidP="004D65FE">
            <w:pPr>
              <w:keepNext/>
              <w:keepLines/>
              <w:spacing w:before="0"/>
              <w:jc w:val="right"/>
              <w:rPr>
                <w:rFonts w:cs="Open Sans Light"/>
                <w:sz w:val="16"/>
                <w:szCs w:val="16"/>
              </w:rPr>
            </w:pPr>
            <w:r>
              <w:rPr>
                <w:rFonts w:cs="Open Sans Light"/>
                <w:sz w:val="16"/>
                <w:szCs w:val="16"/>
              </w:rPr>
              <w:t>432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AB8436E"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68FB70EA"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F0857FD" w14:textId="77777777" w:rsidR="003A22B8" w:rsidRDefault="003A22B8" w:rsidP="004D65FE">
            <w:pPr>
              <w:keepNext/>
              <w:keepLines/>
              <w:spacing w:before="0"/>
              <w:ind w:left="142" w:hanging="142"/>
              <w:rPr>
                <w:rFonts w:cs="Open Sans Light"/>
                <w:sz w:val="16"/>
                <w:szCs w:val="16"/>
              </w:rPr>
            </w:pPr>
            <w:r>
              <w:rPr>
                <w:rFonts w:cs="Open Sans Light"/>
                <w:sz w:val="16"/>
                <w:szCs w:val="16"/>
              </w:rPr>
              <w:t>Welfare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247DEA" w14:textId="77777777" w:rsidR="003A22B8" w:rsidRDefault="003A22B8" w:rsidP="004D65FE">
            <w:pPr>
              <w:keepNext/>
              <w:keepLines/>
              <w:spacing w:before="0"/>
              <w:jc w:val="right"/>
              <w:rPr>
                <w:rFonts w:cs="Open Sans Light"/>
                <w:sz w:val="16"/>
                <w:szCs w:val="16"/>
              </w:rPr>
            </w:pPr>
            <w:r>
              <w:rPr>
                <w:rFonts w:cs="Open Sans Light"/>
                <w:sz w:val="16"/>
                <w:szCs w:val="16"/>
              </w:rPr>
              <w:t>-3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FF87B2" w14:textId="77777777" w:rsidR="003A22B8" w:rsidRDefault="003A22B8" w:rsidP="004D65FE">
            <w:pPr>
              <w:keepNext/>
              <w:keepLines/>
              <w:spacing w:before="0"/>
              <w:jc w:val="right"/>
              <w:rPr>
                <w:rFonts w:cs="Open Sans Light"/>
                <w:sz w:val="16"/>
                <w:szCs w:val="16"/>
              </w:rPr>
            </w:pPr>
            <w:r>
              <w:rPr>
                <w:rFonts w:cs="Open Sans Light"/>
                <w:sz w:val="16"/>
                <w:szCs w:val="16"/>
              </w:rPr>
              <w:t>-78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E05A415" w14:textId="77777777" w:rsidR="003A22B8" w:rsidRDefault="003A22B8" w:rsidP="004D65FE">
            <w:pPr>
              <w:keepNext/>
              <w:keepLines/>
              <w:spacing w:before="0"/>
              <w:jc w:val="right"/>
              <w:rPr>
                <w:rFonts w:cs="Open Sans Light"/>
                <w:sz w:val="16"/>
                <w:szCs w:val="16"/>
              </w:rPr>
            </w:pPr>
            <w:r>
              <w:rPr>
                <w:rFonts w:cs="Open Sans Light"/>
                <w:sz w:val="16"/>
                <w:szCs w:val="16"/>
              </w:rPr>
              <w:t>46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74B377" w14:textId="77777777" w:rsidR="003A22B8" w:rsidRDefault="003A22B8" w:rsidP="004D65FE">
            <w:pPr>
              <w:keepNext/>
              <w:keepLines/>
              <w:spacing w:before="0"/>
              <w:jc w:val="right"/>
              <w:rPr>
                <w:rFonts w:cs="Open Sans Light"/>
                <w:sz w:val="16"/>
                <w:szCs w:val="16"/>
              </w:rPr>
            </w:pPr>
            <w:r>
              <w:rPr>
                <w:rFonts w:cs="Open Sans Light"/>
                <w:sz w:val="16"/>
                <w:szCs w:val="16"/>
              </w:rPr>
              <w:t>12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159D0C" w14:textId="77777777" w:rsidR="003A22B8" w:rsidRDefault="003A22B8" w:rsidP="004D65FE">
            <w:pPr>
              <w:keepNext/>
              <w:keepLines/>
              <w:spacing w:before="0"/>
              <w:jc w:val="right"/>
              <w:rPr>
                <w:rFonts w:cs="Open Sans Light"/>
                <w:sz w:val="16"/>
                <w:szCs w:val="16"/>
              </w:rPr>
            </w:pPr>
            <w:r>
              <w:rPr>
                <w:rFonts w:cs="Open Sans Light"/>
                <w:sz w:val="16"/>
                <w:szCs w:val="16"/>
              </w:rPr>
              <w:t>17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368D68" w14:textId="77777777" w:rsidR="003A22B8" w:rsidRDefault="003A22B8" w:rsidP="004D65FE">
            <w:pPr>
              <w:keepNext/>
              <w:keepLines/>
              <w:spacing w:before="0"/>
              <w:jc w:val="right"/>
              <w:rPr>
                <w:rFonts w:cs="Open Sans Light"/>
                <w:sz w:val="16"/>
                <w:szCs w:val="16"/>
              </w:rPr>
            </w:pPr>
            <w:r>
              <w:rPr>
                <w:rFonts w:cs="Open Sans Light"/>
                <w:sz w:val="16"/>
                <w:szCs w:val="16"/>
              </w:rPr>
              <w:t>110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4DBA387" w14:textId="77777777" w:rsidR="003A22B8" w:rsidRDefault="003A22B8" w:rsidP="004D65FE">
            <w:pPr>
              <w:keepNext/>
              <w:keepLines/>
              <w:spacing w:before="0"/>
              <w:jc w:val="right"/>
              <w:rPr>
                <w:rFonts w:cs="Open Sans Light"/>
                <w:sz w:val="16"/>
                <w:szCs w:val="16"/>
              </w:rPr>
            </w:pPr>
            <w:r>
              <w:rPr>
                <w:rFonts w:cs="Open Sans Light"/>
                <w:sz w:val="16"/>
                <w:szCs w:val="16"/>
              </w:rPr>
              <w:t>-126</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1D363A" w14:textId="77777777" w:rsidR="003A22B8" w:rsidRDefault="003A22B8" w:rsidP="004D65FE">
            <w:pPr>
              <w:keepNext/>
              <w:keepLines/>
              <w:spacing w:before="0"/>
              <w:jc w:val="right"/>
              <w:rPr>
                <w:rFonts w:cs="Open Sans Light"/>
                <w:sz w:val="16"/>
                <w:szCs w:val="16"/>
              </w:rPr>
            </w:pPr>
            <w:r>
              <w:rPr>
                <w:rFonts w:cs="Open Sans Light"/>
                <w:sz w:val="16"/>
                <w:szCs w:val="16"/>
              </w:rPr>
              <w:t>899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0B63427"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15EEC055"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127BC6B" w14:textId="77777777" w:rsidR="003A22B8" w:rsidRDefault="003A22B8" w:rsidP="004D65FE">
            <w:pPr>
              <w:keepNext/>
              <w:keepLines/>
              <w:spacing w:before="0"/>
              <w:ind w:left="142" w:hanging="142"/>
              <w:rPr>
                <w:rFonts w:cs="Open Sans Light"/>
                <w:sz w:val="16"/>
                <w:szCs w:val="16"/>
              </w:rPr>
            </w:pPr>
            <w:r>
              <w:rPr>
                <w:rFonts w:cs="Open Sans Light"/>
                <w:sz w:val="16"/>
                <w:szCs w:val="16"/>
              </w:rPr>
              <w:t>Services to communities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C741A08" w14:textId="77777777" w:rsidR="003A22B8" w:rsidRDefault="003A22B8" w:rsidP="004D65FE">
            <w:pPr>
              <w:keepNext/>
              <w:keepLines/>
              <w:spacing w:before="0"/>
              <w:jc w:val="right"/>
              <w:rPr>
                <w:rFonts w:cs="Open Sans Light"/>
                <w:sz w:val="16"/>
                <w:szCs w:val="16"/>
              </w:rPr>
            </w:pPr>
            <w:r>
              <w:rPr>
                <w:rFonts w:cs="Open Sans Light"/>
                <w:sz w:val="16"/>
                <w:szCs w:val="16"/>
              </w:rPr>
              <w:t>-26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D17717C" w14:textId="77777777" w:rsidR="003A22B8" w:rsidRDefault="003A22B8" w:rsidP="004D65FE">
            <w:pPr>
              <w:keepNext/>
              <w:keepLines/>
              <w:spacing w:before="0"/>
              <w:jc w:val="right"/>
              <w:rPr>
                <w:rFonts w:cs="Open Sans Light"/>
                <w:sz w:val="16"/>
                <w:szCs w:val="16"/>
              </w:rPr>
            </w:pPr>
            <w:r>
              <w:rPr>
                <w:rFonts w:cs="Open Sans Light"/>
                <w:sz w:val="16"/>
                <w:szCs w:val="16"/>
              </w:rPr>
              <w:t>-34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7696DF4" w14:textId="77777777" w:rsidR="003A22B8" w:rsidRDefault="003A22B8" w:rsidP="004D65FE">
            <w:pPr>
              <w:keepNext/>
              <w:keepLines/>
              <w:spacing w:before="0"/>
              <w:jc w:val="right"/>
              <w:rPr>
                <w:rFonts w:cs="Open Sans Light"/>
                <w:sz w:val="16"/>
                <w:szCs w:val="16"/>
              </w:rPr>
            </w:pPr>
            <w:r>
              <w:rPr>
                <w:rFonts w:cs="Open Sans Light"/>
                <w:sz w:val="16"/>
                <w:szCs w:val="16"/>
              </w:rPr>
              <w:t>13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2ABDD31" w14:textId="77777777" w:rsidR="003A22B8" w:rsidRDefault="003A22B8" w:rsidP="004D65FE">
            <w:pPr>
              <w:keepNext/>
              <w:keepLines/>
              <w:spacing w:before="0"/>
              <w:jc w:val="right"/>
              <w:rPr>
                <w:rFonts w:cs="Open Sans Light"/>
                <w:sz w:val="16"/>
                <w:szCs w:val="16"/>
              </w:rPr>
            </w:pPr>
            <w:r>
              <w:rPr>
                <w:rFonts w:cs="Open Sans Light"/>
                <w:sz w:val="16"/>
                <w:szCs w:val="16"/>
              </w:rPr>
              <w:t>53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6517971" w14:textId="77777777" w:rsidR="003A22B8" w:rsidRDefault="003A22B8" w:rsidP="004D65FE">
            <w:pPr>
              <w:keepNext/>
              <w:keepLines/>
              <w:spacing w:before="0"/>
              <w:jc w:val="right"/>
              <w:rPr>
                <w:rFonts w:cs="Open Sans Light"/>
                <w:sz w:val="16"/>
                <w:szCs w:val="16"/>
              </w:rPr>
            </w:pPr>
            <w:r>
              <w:rPr>
                <w:rFonts w:cs="Open Sans Light"/>
                <w:sz w:val="16"/>
                <w:szCs w:val="16"/>
              </w:rPr>
              <w:t>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EACB953" w14:textId="77777777" w:rsidR="003A22B8" w:rsidRDefault="003A22B8" w:rsidP="004D65FE">
            <w:pPr>
              <w:keepNext/>
              <w:keepLines/>
              <w:spacing w:before="0"/>
              <w:jc w:val="right"/>
              <w:rPr>
                <w:rFonts w:cs="Open Sans Light"/>
                <w:sz w:val="16"/>
                <w:szCs w:val="16"/>
              </w:rPr>
            </w:pPr>
            <w:r>
              <w:rPr>
                <w:rFonts w:cs="Open Sans Light"/>
                <w:sz w:val="16"/>
                <w:szCs w:val="16"/>
              </w:rPr>
              <w:t>-5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34E4D64" w14:textId="77777777" w:rsidR="003A22B8" w:rsidRDefault="003A22B8" w:rsidP="004D65FE">
            <w:pPr>
              <w:keepNext/>
              <w:keepLines/>
              <w:spacing w:before="0"/>
              <w:jc w:val="right"/>
              <w:rPr>
                <w:rFonts w:cs="Open Sans Light"/>
                <w:sz w:val="16"/>
                <w:szCs w:val="16"/>
              </w:rPr>
            </w:pPr>
            <w:r>
              <w:rPr>
                <w:rFonts w:cs="Open Sans Light"/>
                <w:sz w:val="16"/>
                <w:szCs w:val="16"/>
              </w:rPr>
              <w:t>-31</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DFBBD8F" w14:textId="77777777" w:rsidR="003A22B8" w:rsidRDefault="003A22B8" w:rsidP="004D65FE">
            <w:pPr>
              <w:keepNext/>
              <w:keepLines/>
              <w:spacing w:before="0"/>
              <w:jc w:val="right"/>
              <w:rPr>
                <w:rFonts w:cs="Open Sans Light"/>
                <w:sz w:val="16"/>
                <w:szCs w:val="16"/>
              </w:rPr>
            </w:pPr>
            <w:r>
              <w:rPr>
                <w:rFonts w:cs="Open Sans Light"/>
                <w:sz w:val="16"/>
                <w:szCs w:val="16"/>
              </w:rPr>
              <w:t>936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DA3F4AE"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380731D5"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3553FF2" w14:textId="77777777" w:rsidR="003A22B8" w:rsidRDefault="003A22B8" w:rsidP="004D65FE">
            <w:pPr>
              <w:keepNext/>
              <w:keepLines/>
              <w:spacing w:before="0"/>
              <w:ind w:left="142" w:hanging="142"/>
              <w:rPr>
                <w:rFonts w:cs="Open Sans Light"/>
                <w:sz w:val="16"/>
                <w:szCs w:val="16"/>
              </w:rPr>
            </w:pPr>
            <w:r>
              <w:rPr>
                <w:rFonts w:cs="Open Sans Light"/>
                <w:sz w:val="16"/>
                <w:szCs w:val="16"/>
              </w:rPr>
              <w:t>Justice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82C9D4" w14:textId="77777777" w:rsidR="003A22B8" w:rsidRDefault="003A22B8" w:rsidP="004D65FE">
            <w:pPr>
              <w:keepNext/>
              <w:keepLines/>
              <w:spacing w:before="0"/>
              <w:jc w:val="right"/>
              <w:rPr>
                <w:rFonts w:cs="Open Sans Light"/>
                <w:sz w:val="16"/>
                <w:szCs w:val="16"/>
              </w:rPr>
            </w:pPr>
            <w:r>
              <w:rPr>
                <w:rFonts w:cs="Open Sans Light"/>
                <w:sz w:val="16"/>
                <w:szCs w:val="16"/>
              </w:rPr>
              <w:t>-29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C85BC95" w14:textId="77777777" w:rsidR="003A22B8" w:rsidRDefault="003A22B8" w:rsidP="004D65FE">
            <w:pPr>
              <w:keepNext/>
              <w:keepLines/>
              <w:spacing w:before="0"/>
              <w:jc w:val="right"/>
              <w:rPr>
                <w:rFonts w:cs="Open Sans Light"/>
                <w:sz w:val="16"/>
                <w:szCs w:val="16"/>
              </w:rPr>
            </w:pPr>
            <w:r>
              <w:rPr>
                <w:rFonts w:cs="Open Sans Light"/>
                <w:sz w:val="16"/>
                <w:szCs w:val="16"/>
              </w:rPr>
              <w:t>-104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A0868E" w14:textId="77777777" w:rsidR="003A22B8" w:rsidRDefault="003A22B8" w:rsidP="004D65FE">
            <w:pPr>
              <w:keepNext/>
              <w:keepLines/>
              <w:spacing w:before="0"/>
              <w:jc w:val="right"/>
              <w:rPr>
                <w:rFonts w:cs="Open Sans Light"/>
                <w:sz w:val="16"/>
                <w:szCs w:val="16"/>
              </w:rPr>
            </w:pPr>
            <w:r>
              <w:rPr>
                <w:rFonts w:cs="Open Sans Light"/>
                <w:sz w:val="16"/>
                <w:szCs w:val="16"/>
              </w:rPr>
              <w:t>47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656DB0A" w14:textId="77777777" w:rsidR="003A22B8" w:rsidRDefault="003A22B8" w:rsidP="004D65FE">
            <w:pPr>
              <w:keepNext/>
              <w:keepLines/>
              <w:spacing w:before="0"/>
              <w:jc w:val="right"/>
              <w:rPr>
                <w:rFonts w:cs="Open Sans Light"/>
                <w:sz w:val="16"/>
                <w:szCs w:val="16"/>
              </w:rPr>
            </w:pPr>
            <w:r>
              <w:rPr>
                <w:rFonts w:cs="Open Sans Light"/>
                <w:sz w:val="16"/>
                <w:szCs w:val="16"/>
              </w:rPr>
              <w:t>87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1DE63A" w14:textId="77777777" w:rsidR="003A22B8" w:rsidRDefault="003A22B8" w:rsidP="004D65FE">
            <w:pPr>
              <w:keepNext/>
              <w:keepLines/>
              <w:spacing w:before="0"/>
              <w:jc w:val="right"/>
              <w:rPr>
                <w:rFonts w:cs="Open Sans Light"/>
                <w:sz w:val="16"/>
                <w:szCs w:val="16"/>
              </w:rPr>
            </w:pPr>
            <w:r>
              <w:rPr>
                <w:rFonts w:cs="Open Sans Light"/>
                <w:sz w:val="16"/>
                <w:szCs w:val="16"/>
              </w:rPr>
              <w:t>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F15FF82" w14:textId="77777777" w:rsidR="003A22B8" w:rsidRDefault="003A22B8" w:rsidP="004D65FE">
            <w:pPr>
              <w:keepNext/>
              <w:keepLines/>
              <w:spacing w:before="0"/>
              <w:jc w:val="right"/>
              <w:rPr>
                <w:rFonts w:cs="Open Sans Light"/>
                <w:sz w:val="16"/>
                <w:szCs w:val="16"/>
              </w:rPr>
            </w:pPr>
            <w:r>
              <w:rPr>
                <w:rFonts w:cs="Open Sans Light"/>
                <w:sz w:val="16"/>
                <w:szCs w:val="16"/>
              </w:rPr>
              <w:t>87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F80029" w14:textId="77777777" w:rsidR="003A22B8" w:rsidRDefault="003A22B8" w:rsidP="004D65FE">
            <w:pPr>
              <w:keepNext/>
              <w:keepLines/>
              <w:spacing w:before="0"/>
              <w:jc w:val="right"/>
              <w:rPr>
                <w:rFonts w:cs="Open Sans Light"/>
                <w:sz w:val="16"/>
                <w:szCs w:val="16"/>
              </w:rPr>
            </w:pPr>
            <w:r>
              <w:rPr>
                <w:rFonts w:cs="Open Sans Light"/>
                <w:sz w:val="16"/>
                <w:szCs w:val="16"/>
              </w:rPr>
              <w:t>-147</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2AE7E1" w14:textId="77777777" w:rsidR="003A22B8" w:rsidRDefault="003A22B8" w:rsidP="004D65FE">
            <w:pPr>
              <w:keepNext/>
              <w:keepLines/>
              <w:spacing w:before="0"/>
              <w:jc w:val="right"/>
              <w:rPr>
                <w:rFonts w:cs="Open Sans Light"/>
                <w:sz w:val="16"/>
                <w:szCs w:val="16"/>
              </w:rPr>
            </w:pPr>
            <w:r>
              <w:rPr>
                <w:rFonts w:cs="Open Sans Light"/>
                <w:sz w:val="16"/>
                <w:szCs w:val="16"/>
              </w:rPr>
              <w:t>1,729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B0E8B6A"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213F07D9"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70F876F" w14:textId="77777777" w:rsidR="003A22B8" w:rsidRDefault="003A22B8" w:rsidP="004D65FE">
            <w:pPr>
              <w:keepNext/>
              <w:keepLines/>
              <w:spacing w:before="0"/>
              <w:ind w:left="142" w:hanging="142"/>
              <w:rPr>
                <w:rFonts w:cs="Open Sans Light"/>
                <w:sz w:val="16"/>
                <w:szCs w:val="16"/>
              </w:rPr>
            </w:pPr>
            <w:r>
              <w:rPr>
                <w:rFonts w:cs="Open Sans Light"/>
                <w:sz w:val="16"/>
                <w:szCs w:val="16"/>
              </w:rPr>
              <w:t>Roads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9CB52A3" w14:textId="77777777" w:rsidR="003A22B8" w:rsidRDefault="003A22B8" w:rsidP="004D65FE">
            <w:pPr>
              <w:keepNext/>
              <w:keepLines/>
              <w:spacing w:before="0"/>
              <w:jc w:val="right"/>
              <w:rPr>
                <w:rFonts w:cs="Open Sans Light"/>
                <w:sz w:val="16"/>
                <w:szCs w:val="16"/>
              </w:rPr>
            </w:pPr>
            <w:r>
              <w:rPr>
                <w:rFonts w:cs="Open Sans Light"/>
                <w:sz w:val="16"/>
                <w:szCs w:val="16"/>
              </w:rPr>
              <w:t>-23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2E2297" w14:textId="77777777" w:rsidR="003A22B8" w:rsidRDefault="003A22B8" w:rsidP="004D65FE">
            <w:pPr>
              <w:keepNext/>
              <w:keepLines/>
              <w:spacing w:before="0"/>
              <w:jc w:val="right"/>
              <w:rPr>
                <w:rFonts w:cs="Open Sans Light"/>
                <w:sz w:val="16"/>
                <w:szCs w:val="16"/>
              </w:rPr>
            </w:pPr>
            <w:r>
              <w:rPr>
                <w:rFonts w:cs="Open Sans Light"/>
                <w:sz w:val="16"/>
                <w:szCs w:val="16"/>
              </w:rPr>
              <w:t>-41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CF1B991" w14:textId="77777777" w:rsidR="003A22B8" w:rsidRDefault="003A22B8" w:rsidP="004D65FE">
            <w:pPr>
              <w:keepNext/>
              <w:keepLines/>
              <w:spacing w:before="0"/>
              <w:jc w:val="right"/>
              <w:rPr>
                <w:rFonts w:cs="Open Sans Light"/>
                <w:sz w:val="16"/>
                <w:szCs w:val="16"/>
              </w:rPr>
            </w:pPr>
            <w:r>
              <w:rPr>
                <w:rFonts w:cs="Open Sans Light"/>
                <w:sz w:val="16"/>
                <w:szCs w:val="16"/>
              </w:rPr>
              <w:t>34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68F128" w14:textId="77777777" w:rsidR="003A22B8" w:rsidRDefault="003A22B8" w:rsidP="004D65FE">
            <w:pPr>
              <w:keepNext/>
              <w:keepLines/>
              <w:spacing w:before="0"/>
              <w:jc w:val="right"/>
              <w:rPr>
                <w:rFonts w:cs="Open Sans Light"/>
                <w:sz w:val="16"/>
                <w:szCs w:val="16"/>
              </w:rPr>
            </w:pPr>
            <w:r>
              <w:rPr>
                <w:rFonts w:cs="Open Sans Light"/>
                <w:sz w:val="16"/>
                <w:szCs w:val="16"/>
              </w:rPr>
              <w:t>61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4F83A37" w14:textId="77777777" w:rsidR="003A22B8" w:rsidRDefault="003A22B8" w:rsidP="004D65FE">
            <w:pPr>
              <w:keepNext/>
              <w:keepLines/>
              <w:spacing w:before="0"/>
              <w:jc w:val="right"/>
              <w:rPr>
                <w:rFonts w:cs="Open Sans Light"/>
                <w:sz w:val="16"/>
                <w:szCs w:val="16"/>
              </w:rPr>
            </w:pPr>
            <w:r>
              <w:rPr>
                <w:rFonts w:cs="Open Sans Light"/>
                <w:sz w:val="16"/>
                <w:szCs w:val="16"/>
              </w:rPr>
              <w:t>42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1DE09AC" w14:textId="77777777" w:rsidR="003A22B8" w:rsidRDefault="003A22B8" w:rsidP="004D65FE">
            <w:pPr>
              <w:keepNext/>
              <w:keepLines/>
              <w:spacing w:before="0"/>
              <w:jc w:val="right"/>
              <w:rPr>
                <w:rFonts w:cs="Open Sans Light"/>
                <w:sz w:val="16"/>
                <w:szCs w:val="16"/>
              </w:rPr>
            </w:pPr>
            <w:r>
              <w:rPr>
                <w:rFonts w:cs="Open Sans Light"/>
                <w:sz w:val="16"/>
                <w:szCs w:val="16"/>
              </w:rPr>
              <w:t>10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E260672" w14:textId="77777777" w:rsidR="003A22B8" w:rsidRDefault="003A22B8" w:rsidP="004D65FE">
            <w:pPr>
              <w:keepNext/>
              <w:keepLines/>
              <w:spacing w:before="0"/>
              <w:jc w:val="right"/>
              <w:rPr>
                <w:rFonts w:cs="Open Sans Light"/>
                <w:sz w:val="16"/>
                <w:szCs w:val="16"/>
              </w:rPr>
            </w:pPr>
            <w:r>
              <w:rPr>
                <w:rFonts w:cs="Open Sans Light"/>
                <w:sz w:val="16"/>
                <w:szCs w:val="16"/>
              </w:rPr>
              <w:t>-136</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D1F9AA" w14:textId="77777777" w:rsidR="003A22B8" w:rsidRDefault="003A22B8" w:rsidP="004D65FE">
            <w:pPr>
              <w:keepNext/>
              <w:keepLines/>
              <w:spacing w:before="0"/>
              <w:jc w:val="right"/>
              <w:rPr>
                <w:rFonts w:cs="Open Sans Light"/>
                <w:sz w:val="16"/>
                <w:szCs w:val="16"/>
              </w:rPr>
            </w:pPr>
            <w:r>
              <w:rPr>
                <w:rFonts w:cs="Open Sans Light"/>
                <w:sz w:val="16"/>
                <w:szCs w:val="16"/>
              </w:rPr>
              <w:t>367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63B5B8"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57BFD16C"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A1CC58F" w14:textId="77777777" w:rsidR="003A22B8" w:rsidRDefault="003A22B8" w:rsidP="004D65FE">
            <w:pPr>
              <w:keepNext/>
              <w:keepLines/>
              <w:spacing w:before="0"/>
              <w:ind w:left="142" w:hanging="142"/>
              <w:rPr>
                <w:rFonts w:cs="Open Sans Light"/>
                <w:sz w:val="16"/>
                <w:szCs w:val="16"/>
              </w:rPr>
            </w:pPr>
            <w:r>
              <w:rPr>
                <w:rFonts w:cs="Open Sans Light"/>
                <w:sz w:val="16"/>
                <w:szCs w:val="16"/>
              </w:rPr>
              <w:t>Transport</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CD3BB7F" w14:textId="77777777" w:rsidR="003A22B8" w:rsidRDefault="003A22B8" w:rsidP="004D65FE">
            <w:pPr>
              <w:keepNext/>
              <w:keepLines/>
              <w:spacing w:before="0"/>
              <w:jc w:val="right"/>
              <w:rPr>
                <w:rFonts w:cs="Open Sans Light"/>
                <w:sz w:val="16"/>
                <w:szCs w:val="16"/>
              </w:rPr>
            </w:pPr>
            <w:r>
              <w:rPr>
                <w:rFonts w:cs="Open Sans Light"/>
                <w:sz w:val="16"/>
                <w:szCs w:val="16"/>
              </w:rPr>
              <w:t>137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CCA19F" w14:textId="77777777" w:rsidR="003A22B8" w:rsidRDefault="003A22B8" w:rsidP="004D65FE">
            <w:pPr>
              <w:keepNext/>
              <w:keepLines/>
              <w:spacing w:before="0"/>
              <w:jc w:val="right"/>
              <w:rPr>
                <w:rFonts w:cs="Open Sans Light"/>
                <w:sz w:val="16"/>
                <w:szCs w:val="16"/>
              </w:rPr>
            </w:pPr>
            <w:r>
              <w:rPr>
                <w:rFonts w:cs="Open Sans Light"/>
                <w:sz w:val="16"/>
                <w:szCs w:val="16"/>
              </w:rPr>
              <w:t>48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2612A3B" w14:textId="77777777" w:rsidR="003A22B8" w:rsidRDefault="003A22B8" w:rsidP="004D65FE">
            <w:pPr>
              <w:keepNext/>
              <w:keepLines/>
              <w:spacing w:before="0"/>
              <w:jc w:val="right"/>
              <w:rPr>
                <w:rFonts w:cs="Open Sans Light"/>
                <w:sz w:val="16"/>
                <w:szCs w:val="16"/>
              </w:rPr>
            </w:pPr>
            <w:r>
              <w:rPr>
                <w:rFonts w:cs="Open Sans Light"/>
                <w:sz w:val="16"/>
                <w:szCs w:val="16"/>
              </w:rPr>
              <w:t>-132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49DC844" w14:textId="77777777" w:rsidR="003A22B8" w:rsidRDefault="003A22B8" w:rsidP="004D65FE">
            <w:pPr>
              <w:keepNext/>
              <w:keepLines/>
              <w:spacing w:before="0"/>
              <w:jc w:val="right"/>
              <w:rPr>
                <w:rFonts w:cs="Open Sans Light"/>
                <w:sz w:val="16"/>
                <w:szCs w:val="16"/>
              </w:rPr>
            </w:pPr>
            <w:r>
              <w:rPr>
                <w:rFonts w:cs="Open Sans Light"/>
                <w:sz w:val="16"/>
                <w:szCs w:val="16"/>
              </w:rPr>
              <w:t>-76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418A056" w14:textId="77777777" w:rsidR="003A22B8" w:rsidRDefault="003A22B8" w:rsidP="004D65FE">
            <w:pPr>
              <w:keepNext/>
              <w:keepLines/>
              <w:spacing w:before="0"/>
              <w:jc w:val="right"/>
              <w:rPr>
                <w:rFonts w:cs="Open Sans Light"/>
                <w:sz w:val="16"/>
                <w:szCs w:val="16"/>
              </w:rPr>
            </w:pPr>
            <w:r>
              <w:rPr>
                <w:rFonts w:cs="Open Sans Light"/>
                <w:sz w:val="16"/>
                <w:szCs w:val="16"/>
              </w:rPr>
              <w:t>-135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FCBCF98" w14:textId="77777777" w:rsidR="003A22B8" w:rsidRDefault="003A22B8" w:rsidP="004D65FE">
            <w:pPr>
              <w:keepNext/>
              <w:keepLines/>
              <w:spacing w:before="0"/>
              <w:jc w:val="right"/>
              <w:rPr>
                <w:rFonts w:cs="Open Sans Light"/>
                <w:sz w:val="16"/>
                <w:szCs w:val="16"/>
              </w:rPr>
            </w:pPr>
            <w:r>
              <w:rPr>
                <w:rFonts w:cs="Open Sans Light"/>
                <w:sz w:val="16"/>
                <w:szCs w:val="16"/>
              </w:rPr>
              <w:t>-341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8E7D795" w14:textId="77777777" w:rsidR="003A22B8" w:rsidRDefault="003A22B8" w:rsidP="004D65FE">
            <w:pPr>
              <w:keepNext/>
              <w:keepLines/>
              <w:spacing w:before="0"/>
              <w:jc w:val="right"/>
              <w:rPr>
                <w:rFonts w:cs="Open Sans Light"/>
                <w:sz w:val="16"/>
                <w:szCs w:val="16"/>
              </w:rPr>
            </w:pPr>
            <w:r>
              <w:rPr>
                <w:rFonts w:cs="Open Sans Light"/>
                <w:sz w:val="16"/>
                <w:szCs w:val="16"/>
              </w:rPr>
              <w:t>-119</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1462F0B" w14:textId="77777777" w:rsidR="003A22B8" w:rsidRDefault="003A22B8" w:rsidP="004D65FE">
            <w:pPr>
              <w:keepNext/>
              <w:keepLines/>
              <w:spacing w:before="0"/>
              <w:jc w:val="right"/>
              <w:rPr>
                <w:rFonts w:cs="Open Sans Light"/>
                <w:sz w:val="16"/>
                <w:szCs w:val="16"/>
              </w:rPr>
            </w:pPr>
            <w:r>
              <w:rPr>
                <w:rFonts w:cs="Open Sans Light"/>
                <w:sz w:val="16"/>
                <w:szCs w:val="16"/>
              </w:rPr>
              <w:t>-294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C879083"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1A121656"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4D20249" w14:textId="77777777" w:rsidR="003A22B8" w:rsidRDefault="003A22B8" w:rsidP="004D65FE">
            <w:pPr>
              <w:keepNext/>
              <w:keepLines/>
              <w:spacing w:before="0"/>
              <w:ind w:left="142" w:hanging="142"/>
              <w:rPr>
                <w:rFonts w:cs="Open Sans Light"/>
                <w:sz w:val="16"/>
                <w:szCs w:val="16"/>
              </w:rPr>
            </w:pPr>
            <w:r>
              <w:rPr>
                <w:rFonts w:cs="Open Sans Light"/>
                <w:sz w:val="16"/>
                <w:szCs w:val="16"/>
              </w:rPr>
              <w:t>Services to industry</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7AE937F" w14:textId="77777777" w:rsidR="003A22B8" w:rsidRDefault="003A22B8" w:rsidP="004D65FE">
            <w:pPr>
              <w:keepNext/>
              <w:keepLines/>
              <w:spacing w:before="0"/>
              <w:jc w:val="right"/>
              <w:rPr>
                <w:rFonts w:cs="Open Sans Light"/>
                <w:sz w:val="16"/>
                <w:szCs w:val="16"/>
              </w:rPr>
            </w:pPr>
            <w:r>
              <w:rPr>
                <w:rFonts w:cs="Open Sans Light"/>
                <w:sz w:val="16"/>
                <w:szCs w:val="16"/>
              </w:rPr>
              <w:t>-13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F5D350C" w14:textId="77777777" w:rsidR="003A22B8" w:rsidRDefault="003A22B8" w:rsidP="004D65FE">
            <w:pPr>
              <w:keepNext/>
              <w:keepLines/>
              <w:spacing w:before="0"/>
              <w:jc w:val="right"/>
              <w:rPr>
                <w:rFonts w:cs="Open Sans Light"/>
                <w:sz w:val="16"/>
                <w:szCs w:val="16"/>
              </w:rPr>
            </w:pPr>
            <w:r>
              <w:rPr>
                <w:rFonts w:cs="Open Sans Light"/>
                <w:sz w:val="16"/>
                <w:szCs w:val="16"/>
              </w:rPr>
              <w:t>-22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5C8D2E4" w14:textId="77777777" w:rsidR="003A22B8" w:rsidRDefault="003A22B8" w:rsidP="004D65FE">
            <w:pPr>
              <w:keepNext/>
              <w:keepLines/>
              <w:spacing w:before="0"/>
              <w:jc w:val="right"/>
              <w:rPr>
                <w:rFonts w:cs="Open Sans Light"/>
                <w:sz w:val="16"/>
                <w:szCs w:val="16"/>
              </w:rPr>
            </w:pPr>
            <w:r>
              <w:rPr>
                <w:rFonts w:cs="Open Sans Light"/>
                <w:sz w:val="16"/>
                <w:szCs w:val="16"/>
              </w:rPr>
              <w:t>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44F643F" w14:textId="77777777" w:rsidR="003A22B8" w:rsidRDefault="003A22B8" w:rsidP="004D65FE">
            <w:pPr>
              <w:keepNext/>
              <w:keepLines/>
              <w:spacing w:before="0"/>
              <w:jc w:val="right"/>
              <w:rPr>
                <w:rFonts w:cs="Open Sans Light"/>
                <w:sz w:val="16"/>
                <w:szCs w:val="16"/>
              </w:rPr>
            </w:pPr>
            <w:r>
              <w:rPr>
                <w:rFonts w:cs="Open Sans Light"/>
                <w:sz w:val="16"/>
                <w:szCs w:val="16"/>
              </w:rPr>
              <w:t>84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4C5A29F" w14:textId="77777777" w:rsidR="003A22B8" w:rsidRDefault="003A22B8" w:rsidP="004D65FE">
            <w:pPr>
              <w:keepNext/>
              <w:keepLines/>
              <w:spacing w:before="0"/>
              <w:jc w:val="right"/>
              <w:rPr>
                <w:rFonts w:cs="Open Sans Light"/>
                <w:sz w:val="16"/>
                <w:szCs w:val="16"/>
              </w:rPr>
            </w:pPr>
            <w:r>
              <w:rPr>
                <w:rFonts w:cs="Open Sans Light"/>
                <w:sz w:val="16"/>
                <w:szCs w:val="16"/>
              </w:rPr>
              <w:t>-2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CFC9085" w14:textId="77777777" w:rsidR="003A22B8" w:rsidRDefault="003A22B8" w:rsidP="004D65FE">
            <w:pPr>
              <w:keepNext/>
              <w:keepLines/>
              <w:spacing w:before="0"/>
              <w:jc w:val="right"/>
              <w:rPr>
                <w:rFonts w:cs="Open Sans Light"/>
                <w:sz w:val="16"/>
                <w:szCs w:val="16"/>
              </w:rPr>
            </w:pPr>
            <w:r>
              <w:rPr>
                <w:rFonts w:cs="Open Sans Light"/>
                <w:sz w:val="16"/>
                <w:szCs w:val="16"/>
              </w:rPr>
              <w:t>13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41013A" w14:textId="77777777" w:rsidR="003A22B8" w:rsidRDefault="003A22B8" w:rsidP="004D65FE">
            <w:pPr>
              <w:keepNext/>
              <w:keepLines/>
              <w:spacing w:before="0"/>
              <w:jc w:val="right"/>
              <w:rPr>
                <w:rFonts w:cs="Open Sans Light"/>
                <w:sz w:val="16"/>
                <w:szCs w:val="16"/>
              </w:rPr>
            </w:pPr>
            <w:r>
              <w:rPr>
                <w:rFonts w:cs="Open Sans Light"/>
                <w:sz w:val="16"/>
                <w:szCs w:val="16"/>
              </w:rPr>
              <w:t>-28</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8D8EFC6" w14:textId="77777777" w:rsidR="003A22B8" w:rsidRDefault="003A22B8" w:rsidP="004D65FE">
            <w:pPr>
              <w:keepNext/>
              <w:keepLines/>
              <w:spacing w:before="0"/>
              <w:jc w:val="right"/>
              <w:rPr>
                <w:rFonts w:cs="Open Sans Light"/>
                <w:sz w:val="16"/>
                <w:szCs w:val="16"/>
              </w:rPr>
            </w:pPr>
            <w:r>
              <w:rPr>
                <w:rFonts w:cs="Open Sans Light"/>
                <w:sz w:val="16"/>
                <w:szCs w:val="16"/>
              </w:rPr>
              <w:t>83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57379BC"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0818B43D"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EFB071" w14:textId="77777777" w:rsidR="003A22B8" w:rsidRDefault="003A22B8" w:rsidP="004D65FE">
            <w:pPr>
              <w:keepNext/>
              <w:keepLines/>
              <w:spacing w:before="0"/>
              <w:ind w:left="142" w:hanging="142"/>
              <w:rPr>
                <w:rFonts w:cs="Open Sans Light"/>
                <w:sz w:val="16"/>
                <w:szCs w:val="16"/>
              </w:rPr>
            </w:pPr>
            <w:r>
              <w:rPr>
                <w:rFonts w:cs="Open Sans Light"/>
                <w:sz w:val="16"/>
                <w:szCs w:val="16"/>
              </w:rPr>
              <w:t>Other expenses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050B8AB" w14:textId="77777777" w:rsidR="003A22B8" w:rsidRDefault="003A22B8" w:rsidP="004D65FE">
            <w:pPr>
              <w:keepNext/>
              <w:keepLines/>
              <w:spacing w:before="0"/>
              <w:jc w:val="right"/>
              <w:rPr>
                <w:rFonts w:cs="Open Sans Light"/>
                <w:sz w:val="16"/>
                <w:szCs w:val="16"/>
              </w:rPr>
            </w:pPr>
            <w:r>
              <w:rPr>
                <w:rFonts w:cs="Open Sans Light"/>
                <w:sz w:val="16"/>
                <w:szCs w:val="16"/>
              </w:rPr>
              <w:t>-76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C934E4" w14:textId="77777777" w:rsidR="003A22B8" w:rsidRDefault="003A22B8" w:rsidP="004D65FE">
            <w:pPr>
              <w:keepNext/>
              <w:keepLines/>
              <w:spacing w:before="0"/>
              <w:jc w:val="right"/>
              <w:rPr>
                <w:rFonts w:cs="Open Sans Light"/>
                <w:sz w:val="16"/>
                <w:szCs w:val="16"/>
              </w:rPr>
            </w:pPr>
            <w:r>
              <w:rPr>
                <w:rFonts w:cs="Open Sans Light"/>
                <w:sz w:val="16"/>
                <w:szCs w:val="16"/>
              </w:rPr>
              <w:t>-84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8FECE38" w14:textId="77777777" w:rsidR="003A22B8" w:rsidRDefault="003A22B8" w:rsidP="004D65FE">
            <w:pPr>
              <w:keepNext/>
              <w:keepLines/>
              <w:spacing w:before="0"/>
              <w:jc w:val="right"/>
              <w:rPr>
                <w:rFonts w:cs="Open Sans Light"/>
                <w:sz w:val="16"/>
                <w:szCs w:val="16"/>
              </w:rPr>
            </w:pPr>
            <w:r>
              <w:rPr>
                <w:rFonts w:cs="Open Sans Light"/>
                <w:sz w:val="16"/>
                <w:szCs w:val="16"/>
              </w:rPr>
              <w:t>-17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23A15D4" w14:textId="77777777" w:rsidR="003A22B8" w:rsidRDefault="003A22B8" w:rsidP="004D65FE">
            <w:pPr>
              <w:keepNext/>
              <w:keepLines/>
              <w:spacing w:before="0"/>
              <w:jc w:val="right"/>
              <w:rPr>
                <w:rFonts w:cs="Open Sans Light"/>
                <w:sz w:val="16"/>
                <w:szCs w:val="16"/>
              </w:rPr>
            </w:pPr>
            <w:r>
              <w:rPr>
                <w:rFonts w:cs="Open Sans Light"/>
                <w:sz w:val="16"/>
                <w:szCs w:val="16"/>
              </w:rPr>
              <w:t>62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645DE7" w14:textId="77777777" w:rsidR="003A22B8" w:rsidRDefault="003A22B8" w:rsidP="004D65FE">
            <w:pPr>
              <w:keepNext/>
              <w:keepLines/>
              <w:spacing w:before="0"/>
              <w:jc w:val="right"/>
              <w:rPr>
                <w:rFonts w:cs="Open Sans Light"/>
                <w:sz w:val="16"/>
                <w:szCs w:val="16"/>
              </w:rPr>
            </w:pPr>
            <w:r>
              <w:rPr>
                <w:rFonts w:cs="Open Sans Light"/>
                <w:sz w:val="16"/>
                <w:szCs w:val="16"/>
              </w:rPr>
              <w:t>63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A73325F" w14:textId="77777777" w:rsidR="003A22B8" w:rsidRDefault="003A22B8" w:rsidP="004D65FE">
            <w:pPr>
              <w:keepNext/>
              <w:keepLines/>
              <w:spacing w:before="0"/>
              <w:jc w:val="right"/>
              <w:rPr>
                <w:rFonts w:cs="Open Sans Light"/>
                <w:sz w:val="16"/>
                <w:szCs w:val="16"/>
              </w:rPr>
            </w:pPr>
            <w:r>
              <w:rPr>
                <w:rFonts w:cs="Open Sans Light"/>
                <w:sz w:val="16"/>
                <w:szCs w:val="16"/>
              </w:rPr>
              <w:t>504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603CFB" w14:textId="77777777" w:rsidR="003A22B8" w:rsidRDefault="003A22B8" w:rsidP="004D65FE">
            <w:pPr>
              <w:keepNext/>
              <w:keepLines/>
              <w:spacing w:before="0"/>
              <w:jc w:val="right"/>
              <w:rPr>
                <w:rFonts w:cs="Open Sans Light"/>
                <w:sz w:val="16"/>
                <w:szCs w:val="16"/>
              </w:rPr>
            </w:pPr>
            <w:r>
              <w:rPr>
                <w:rFonts w:cs="Open Sans Light"/>
                <w:sz w:val="16"/>
                <w:szCs w:val="16"/>
              </w:rPr>
              <w:t>720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7103430" w14:textId="77777777" w:rsidR="003A22B8" w:rsidRDefault="003A22B8" w:rsidP="004D65FE">
            <w:pPr>
              <w:keepNext/>
              <w:keepLines/>
              <w:spacing w:before="0"/>
              <w:jc w:val="right"/>
              <w:rPr>
                <w:rFonts w:cs="Open Sans Light"/>
                <w:sz w:val="16"/>
                <w:szCs w:val="16"/>
              </w:rPr>
            </w:pPr>
            <w:r>
              <w:rPr>
                <w:rFonts w:cs="Open Sans Light"/>
                <w:sz w:val="16"/>
                <w:szCs w:val="16"/>
              </w:rPr>
              <w:t>1,551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AEE876"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60CFD6D7"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6C73292" w14:textId="77777777" w:rsidR="003A22B8" w:rsidRDefault="003A22B8" w:rsidP="004D65FE">
            <w:pPr>
              <w:keepNext/>
              <w:keepLines/>
              <w:spacing w:before="0"/>
              <w:ind w:left="193" w:hanging="142"/>
              <w:rPr>
                <w:rFonts w:ascii="Open Sans SemiBold" w:hAnsi="Open Sans SemiBold" w:cs="Open Sans SemiBold"/>
                <w:sz w:val="16"/>
                <w:szCs w:val="16"/>
              </w:rPr>
            </w:pPr>
            <w:r>
              <w:rPr>
                <w:rFonts w:ascii="Open Sans SemiBold" w:hAnsi="Open Sans SemiBold" w:cs="Open Sans SemiBold"/>
                <w:sz w:val="16"/>
                <w:szCs w:val="16"/>
              </w:rPr>
              <w:t>Assessed expenses</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2EBDD8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-148</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D9EAA1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-670</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AEFD54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169</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DD4C83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608</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7111F1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152</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6E2E28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1,100</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918B30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-340</w:t>
            </w:r>
          </w:p>
        </w:tc>
        <w:tc>
          <w:tcPr>
            <w:tcW w:w="82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398DB8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9,175</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A2B790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w:t>
            </w:r>
          </w:p>
        </w:tc>
      </w:tr>
    </w:tbl>
    <w:p w14:paraId="2071DE42" w14:textId="77777777" w:rsidR="003A22B8" w:rsidRDefault="003A22B8" w:rsidP="003A22B8">
      <w:pPr>
        <w:pStyle w:val="CGCTablenote"/>
      </w:pPr>
      <w:r>
        <w:t xml:space="preserve">Source: </w:t>
      </w:r>
      <w:r>
        <w:tab/>
        <w:t>CGC calculation.</w:t>
      </w:r>
    </w:p>
    <w:p w14:paraId="4B684FE2" w14:textId="78BBC1B1" w:rsidR="003A22B8" w:rsidRDefault="003A22B8" w:rsidP="003A22B8">
      <w:pPr>
        <w:pStyle w:val="Caption"/>
      </w:pPr>
      <w:bookmarkStart w:id="652" w:name="_Ref30434167"/>
      <w:r>
        <w:t>Table 30-</w:t>
      </w:r>
      <w:fldSimple w:instr=" SEQ Table \* ARABIC ">
        <w:r w:rsidR="007F721A">
          <w:rPr>
            <w:noProof/>
          </w:rPr>
          <w:t>11</w:t>
        </w:r>
      </w:fldSimple>
      <w:bookmarkEnd w:id="652"/>
      <w:r>
        <w:tab/>
        <w:t>Per capita assessed revenue differences from EPC, 2016-17</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31F16F05" w14:textId="77777777" w:rsidTr="004D65FE">
        <w:trPr>
          <w:trHeight w:val="379"/>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BCD7CFF" w14:textId="77777777" w:rsidR="003A22B8" w:rsidRDefault="003A22B8" w:rsidP="004D65FE">
            <w:pPr>
              <w:keepNext/>
              <w:keepLines/>
              <w:tabs>
                <w:tab w:val="clear" w:pos="567"/>
              </w:tabs>
              <w:spacing w:before="0" w:line="240" w:lineRule="auto"/>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541320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12A20D3"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839FB0B"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360BE45"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1704A3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BDCD2AA"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18A88B1"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AAACC56"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56DD783"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24790686" w14:textId="77777777" w:rsidTr="005C340D">
        <w:trPr>
          <w:trHeight w:val="227"/>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63CCFA9" w14:textId="77777777" w:rsidR="003A22B8" w:rsidRDefault="003A22B8" w:rsidP="004D65FE">
            <w:pPr>
              <w:keepNext/>
              <w:keepLines/>
              <w:spacing w:before="0"/>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5F74CC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B48511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05BDC6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F23882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12A279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93E92C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091562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2A2CDB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AB9C9A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54853721"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1FBFEC5" w14:textId="77777777" w:rsidR="003A22B8" w:rsidRDefault="003A22B8" w:rsidP="004D65FE">
            <w:pPr>
              <w:keepNext/>
              <w:keepLines/>
              <w:spacing w:before="0"/>
              <w:ind w:left="142" w:hanging="142"/>
              <w:rPr>
                <w:rFonts w:cs="Open Sans Light"/>
                <w:sz w:val="16"/>
                <w:szCs w:val="16"/>
              </w:rPr>
            </w:pPr>
            <w:r>
              <w:rPr>
                <w:rFonts w:cs="Open Sans Light"/>
                <w:sz w:val="16"/>
                <w:szCs w:val="16"/>
              </w:rPr>
              <w:t>Payroll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B69BF55" w14:textId="77777777" w:rsidR="003A22B8" w:rsidRDefault="003A22B8" w:rsidP="004D65FE">
            <w:pPr>
              <w:keepNext/>
              <w:keepLines/>
              <w:spacing w:before="0"/>
              <w:jc w:val="right"/>
              <w:rPr>
                <w:rFonts w:cs="Open Sans Light"/>
                <w:sz w:val="16"/>
                <w:szCs w:val="16"/>
              </w:rPr>
            </w:pPr>
            <w:r>
              <w:rPr>
                <w:rFonts w:cs="Open Sans Light"/>
                <w:sz w:val="16"/>
                <w:szCs w:val="16"/>
              </w:rPr>
              <w:t>-86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2DDEBB5" w14:textId="77777777" w:rsidR="003A22B8" w:rsidRDefault="003A22B8" w:rsidP="004D65FE">
            <w:pPr>
              <w:keepNext/>
              <w:keepLines/>
              <w:spacing w:before="0"/>
              <w:jc w:val="right"/>
              <w:rPr>
                <w:rFonts w:cs="Open Sans Light"/>
                <w:sz w:val="16"/>
                <w:szCs w:val="16"/>
              </w:rPr>
            </w:pPr>
            <w:r>
              <w:rPr>
                <w:rFonts w:cs="Open Sans Light"/>
                <w:sz w:val="16"/>
                <w:szCs w:val="16"/>
              </w:rPr>
              <w:t>52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A851B4" w14:textId="77777777" w:rsidR="003A22B8" w:rsidRDefault="003A22B8" w:rsidP="004D65FE">
            <w:pPr>
              <w:keepNext/>
              <w:keepLines/>
              <w:spacing w:before="0"/>
              <w:jc w:val="right"/>
              <w:rPr>
                <w:rFonts w:cs="Open Sans Light"/>
                <w:sz w:val="16"/>
                <w:szCs w:val="16"/>
              </w:rPr>
            </w:pPr>
            <w:r>
              <w:rPr>
                <w:rFonts w:cs="Open Sans Light"/>
                <w:sz w:val="16"/>
                <w:szCs w:val="16"/>
              </w:rPr>
              <w:t>96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2531CCB" w14:textId="77777777" w:rsidR="003A22B8" w:rsidRDefault="003A22B8" w:rsidP="004D65FE">
            <w:pPr>
              <w:keepNext/>
              <w:keepLines/>
              <w:spacing w:before="0"/>
              <w:jc w:val="right"/>
              <w:rPr>
                <w:rFonts w:cs="Open Sans Light"/>
                <w:sz w:val="16"/>
                <w:szCs w:val="16"/>
              </w:rPr>
            </w:pPr>
            <w:r>
              <w:rPr>
                <w:rFonts w:cs="Open Sans Light"/>
                <w:sz w:val="16"/>
                <w:szCs w:val="16"/>
              </w:rPr>
              <w:t>-263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844647" w14:textId="77777777" w:rsidR="003A22B8" w:rsidRDefault="003A22B8" w:rsidP="004D65FE">
            <w:pPr>
              <w:keepNext/>
              <w:keepLines/>
              <w:spacing w:before="0"/>
              <w:jc w:val="right"/>
              <w:rPr>
                <w:rFonts w:cs="Open Sans Light"/>
                <w:sz w:val="16"/>
                <w:szCs w:val="16"/>
              </w:rPr>
            </w:pPr>
            <w:r>
              <w:rPr>
                <w:rFonts w:cs="Open Sans Light"/>
                <w:sz w:val="16"/>
                <w:szCs w:val="16"/>
              </w:rPr>
              <w:t>247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288E3EA" w14:textId="77777777" w:rsidR="003A22B8" w:rsidRDefault="003A22B8" w:rsidP="004D65FE">
            <w:pPr>
              <w:keepNext/>
              <w:keepLines/>
              <w:spacing w:before="0"/>
              <w:jc w:val="right"/>
              <w:rPr>
                <w:rFonts w:cs="Open Sans Light"/>
                <w:sz w:val="16"/>
                <w:szCs w:val="16"/>
              </w:rPr>
            </w:pPr>
            <w:r>
              <w:rPr>
                <w:rFonts w:cs="Open Sans Light"/>
                <w:sz w:val="16"/>
                <w:szCs w:val="16"/>
              </w:rPr>
              <w:t>350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9C7BDA" w14:textId="77777777" w:rsidR="003A22B8" w:rsidRDefault="003A22B8" w:rsidP="004D65FE">
            <w:pPr>
              <w:keepNext/>
              <w:keepLines/>
              <w:spacing w:before="0"/>
              <w:jc w:val="right"/>
              <w:rPr>
                <w:rFonts w:cs="Open Sans Light"/>
                <w:sz w:val="16"/>
                <w:szCs w:val="16"/>
              </w:rPr>
            </w:pPr>
            <w:r>
              <w:rPr>
                <w:rFonts w:cs="Open Sans Light"/>
                <w:sz w:val="16"/>
                <w:szCs w:val="16"/>
              </w:rPr>
              <w:t>-3</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64806C6" w14:textId="77777777" w:rsidR="003A22B8" w:rsidRDefault="003A22B8" w:rsidP="004D65FE">
            <w:pPr>
              <w:keepNext/>
              <w:keepLines/>
              <w:spacing w:before="0"/>
              <w:jc w:val="right"/>
              <w:rPr>
                <w:rFonts w:cs="Open Sans Light"/>
                <w:sz w:val="16"/>
                <w:szCs w:val="16"/>
              </w:rPr>
            </w:pPr>
            <w:r>
              <w:rPr>
                <w:rFonts w:cs="Open Sans Light"/>
                <w:sz w:val="16"/>
                <w:szCs w:val="16"/>
              </w:rPr>
              <w:t>-211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38DD0E"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27DBAF0B"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5A0CD0D" w14:textId="77777777" w:rsidR="003A22B8" w:rsidRDefault="003A22B8" w:rsidP="004D65FE">
            <w:pPr>
              <w:keepNext/>
              <w:keepLines/>
              <w:spacing w:before="0"/>
              <w:ind w:left="142" w:hanging="142"/>
              <w:rPr>
                <w:rFonts w:cs="Open Sans Light"/>
                <w:sz w:val="16"/>
                <w:szCs w:val="16"/>
              </w:rPr>
            </w:pPr>
            <w:r>
              <w:rPr>
                <w:rFonts w:cs="Open Sans Light"/>
                <w:sz w:val="16"/>
                <w:szCs w:val="16"/>
              </w:rPr>
              <w:t>Land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4E719F4" w14:textId="77777777" w:rsidR="003A22B8" w:rsidRDefault="003A22B8" w:rsidP="004D65FE">
            <w:pPr>
              <w:keepNext/>
              <w:keepLines/>
              <w:spacing w:before="0"/>
              <w:jc w:val="right"/>
              <w:rPr>
                <w:rFonts w:cs="Open Sans Light"/>
                <w:sz w:val="16"/>
                <w:szCs w:val="16"/>
              </w:rPr>
            </w:pPr>
            <w:r>
              <w:rPr>
                <w:rFonts w:cs="Open Sans Light"/>
                <w:sz w:val="16"/>
                <w:szCs w:val="16"/>
              </w:rPr>
              <w:t>-74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0DB8241" w14:textId="77777777" w:rsidR="003A22B8" w:rsidRDefault="003A22B8" w:rsidP="004D65FE">
            <w:pPr>
              <w:keepNext/>
              <w:keepLines/>
              <w:spacing w:before="0"/>
              <w:jc w:val="right"/>
              <w:rPr>
                <w:rFonts w:cs="Open Sans Light"/>
                <w:sz w:val="16"/>
                <w:szCs w:val="16"/>
              </w:rPr>
            </w:pPr>
            <w:r>
              <w:rPr>
                <w:rFonts w:cs="Open Sans Light"/>
                <w:sz w:val="16"/>
                <w:szCs w:val="16"/>
              </w:rPr>
              <w:t>-64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020BE92" w14:textId="77777777" w:rsidR="003A22B8" w:rsidRDefault="003A22B8" w:rsidP="004D65FE">
            <w:pPr>
              <w:keepNext/>
              <w:keepLines/>
              <w:spacing w:before="0"/>
              <w:jc w:val="right"/>
              <w:rPr>
                <w:rFonts w:cs="Open Sans Light"/>
                <w:sz w:val="16"/>
                <w:szCs w:val="16"/>
              </w:rPr>
            </w:pPr>
            <w:r>
              <w:rPr>
                <w:rFonts w:cs="Open Sans Light"/>
                <w:sz w:val="16"/>
                <w:szCs w:val="16"/>
              </w:rPr>
              <w:t>105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33BC167" w14:textId="77777777" w:rsidR="003A22B8" w:rsidRDefault="003A22B8" w:rsidP="004D65FE">
            <w:pPr>
              <w:keepNext/>
              <w:keepLines/>
              <w:spacing w:before="0"/>
              <w:jc w:val="right"/>
              <w:rPr>
                <w:rFonts w:cs="Open Sans Light"/>
                <w:sz w:val="16"/>
                <w:szCs w:val="16"/>
              </w:rPr>
            </w:pPr>
            <w:r>
              <w:rPr>
                <w:rFonts w:cs="Open Sans Light"/>
                <w:sz w:val="16"/>
                <w:szCs w:val="16"/>
              </w:rPr>
              <w:t>-21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776881" w14:textId="77777777" w:rsidR="003A22B8" w:rsidRDefault="003A22B8" w:rsidP="004D65FE">
            <w:pPr>
              <w:keepNext/>
              <w:keepLines/>
              <w:spacing w:before="0"/>
              <w:jc w:val="right"/>
              <w:rPr>
                <w:rFonts w:cs="Open Sans Light"/>
                <w:sz w:val="16"/>
                <w:szCs w:val="16"/>
              </w:rPr>
            </w:pPr>
            <w:r>
              <w:rPr>
                <w:rFonts w:cs="Open Sans Light"/>
                <w:sz w:val="16"/>
                <w:szCs w:val="16"/>
              </w:rPr>
              <w:t>182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F0FFC6" w14:textId="77777777" w:rsidR="003A22B8" w:rsidRDefault="003A22B8" w:rsidP="004D65FE">
            <w:pPr>
              <w:keepNext/>
              <w:keepLines/>
              <w:spacing w:before="0"/>
              <w:jc w:val="right"/>
              <w:rPr>
                <w:rFonts w:cs="Open Sans Light"/>
                <w:sz w:val="16"/>
                <w:szCs w:val="16"/>
              </w:rPr>
            </w:pPr>
            <w:r>
              <w:rPr>
                <w:rFonts w:cs="Open Sans Light"/>
                <w:sz w:val="16"/>
                <w:szCs w:val="16"/>
              </w:rPr>
              <w:t>221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190F969" w14:textId="77777777" w:rsidR="003A22B8" w:rsidRDefault="003A22B8" w:rsidP="004D65FE">
            <w:pPr>
              <w:keepNext/>
              <w:keepLines/>
              <w:spacing w:before="0"/>
              <w:jc w:val="right"/>
              <w:rPr>
                <w:rFonts w:cs="Open Sans Light"/>
                <w:sz w:val="16"/>
                <w:szCs w:val="16"/>
              </w:rPr>
            </w:pPr>
            <w:r>
              <w:rPr>
                <w:rFonts w:cs="Open Sans Light"/>
                <w:sz w:val="16"/>
                <w:szCs w:val="16"/>
              </w:rPr>
              <w:t>189</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1BD30F8" w14:textId="77777777" w:rsidR="003A22B8" w:rsidRDefault="003A22B8" w:rsidP="004D65FE">
            <w:pPr>
              <w:keepNext/>
              <w:keepLines/>
              <w:spacing w:before="0"/>
              <w:jc w:val="right"/>
              <w:rPr>
                <w:rFonts w:cs="Open Sans Light"/>
                <w:sz w:val="16"/>
                <w:szCs w:val="16"/>
              </w:rPr>
            </w:pPr>
            <w:r>
              <w:rPr>
                <w:rFonts w:cs="Open Sans Light"/>
                <w:sz w:val="16"/>
                <w:szCs w:val="16"/>
              </w:rPr>
              <w:t>60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20C95CD"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35A332B3"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1D6FD1B" w14:textId="77777777" w:rsidR="003A22B8" w:rsidRDefault="003A22B8" w:rsidP="004D65FE">
            <w:pPr>
              <w:keepNext/>
              <w:keepLines/>
              <w:spacing w:before="0"/>
              <w:ind w:left="142" w:hanging="142"/>
              <w:rPr>
                <w:rFonts w:cs="Open Sans Light"/>
                <w:sz w:val="16"/>
                <w:szCs w:val="16"/>
              </w:rPr>
            </w:pPr>
            <w:r>
              <w:rPr>
                <w:rFonts w:cs="Open Sans Light"/>
                <w:sz w:val="16"/>
                <w:szCs w:val="16"/>
              </w:rPr>
              <w:t>Stamp duty on conveyances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FB8D2EC" w14:textId="77777777" w:rsidR="003A22B8" w:rsidRDefault="003A22B8" w:rsidP="004D65FE">
            <w:pPr>
              <w:keepNext/>
              <w:keepLines/>
              <w:spacing w:before="0"/>
              <w:jc w:val="right"/>
              <w:rPr>
                <w:rFonts w:cs="Open Sans Light"/>
                <w:sz w:val="16"/>
                <w:szCs w:val="16"/>
              </w:rPr>
            </w:pPr>
            <w:r>
              <w:rPr>
                <w:rFonts w:cs="Open Sans Light"/>
                <w:sz w:val="16"/>
                <w:szCs w:val="16"/>
              </w:rPr>
              <w:t>-271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080609C" w14:textId="77777777" w:rsidR="003A22B8" w:rsidRDefault="003A22B8" w:rsidP="004D65FE">
            <w:pPr>
              <w:keepNext/>
              <w:keepLines/>
              <w:spacing w:before="0"/>
              <w:jc w:val="right"/>
              <w:rPr>
                <w:rFonts w:cs="Open Sans Light"/>
                <w:sz w:val="16"/>
                <w:szCs w:val="16"/>
              </w:rPr>
            </w:pPr>
            <w:r>
              <w:rPr>
                <w:rFonts w:cs="Open Sans Light"/>
                <w:sz w:val="16"/>
                <w:szCs w:val="16"/>
              </w:rPr>
              <w:t>-43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806EEFB" w14:textId="77777777" w:rsidR="003A22B8" w:rsidRDefault="003A22B8" w:rsidP="004D65FE">
            <w:pPr>
              <w:keepNext/>
              <w:keepLines/>
              <w:spacing w:before="0"/>
              <w:jc w:val="right"/>
              <w:rPr>
                <w:rFonts w:cs="Open Sans Light"/>
                <w:sz w:val="16"/>
                <w:szCs w:val="16"/>
              </w:rPr>
            </w:pPr>
            <w:r>
              <w:rPr>
                <w:rFonts w:cs="Open Sans Light"/>
                <w:sz w:val="16"/>
                <w:szCs w:val="16"/>
              </w:rPr>
              <w:t>86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D0AD067" w14:textId="77777777" w:rsidR="003A22B8" w:rsidRDefault="003A22B8" w:rsidP="004D65FE">
            <w:pPr>
              <w:keepNext/>
              <w:keepLines/>
              <w:spacing w:before="0"/>
              <w:jc w:val="right"/>
              <w:rPr>
                <w:rFonts w:cs="Open Sans Light"/>
                <w:sz w:val="16"/>
                <w:szCs w:val="16"/>
              </w:rPr>
            </w:pPr>
            <w:r>
              <w:rPr>
                <w:rFonts w:cs="Open Sans Light"/>
                <w:sz w:val="16"/>
                <w:szCs w:val="16"/>
              </w:rPr>
              <w:t>368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2E9C242" w14:textId="77777777" w:rsidR="003A22B8" w:rsidRDefault="003A22B8" w:rsidP="004D65FE">
            <w:pPr>
              <w:keepNext/>
              <w:keepLines/>
              <w:spacing w:before="0"/>
              <w:jc w:val="right"/>
              <w:rPr>
                <w:rFonts w:cs="Open Sans Light"/>
                <w:sz w:val="16"/>
                <w:szCs w:val="16"/>
              </w:rPr>
            </w:pPr>
            <w:r>
              <w:rPr>
                <w:rFonts w:cs="Open Sans Light"/>
                <w:sz w:val="16"/>
                <w:szCs w:val="16"/>
              </w:rPr>
              <w:t>407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CCE125A" w14:textId="77777777" w:rsidR="003A22B8" w:rsidRDefault="003A22B8" w:rsidP="004D65FE">
            <w:pPr>
              <w:keepNext/>
              <w:keepLines/>
              <w:spacing w:before="0"/>
              <w:jc w:val="right"/>
              <w:rPr>
                <w:rFonts w:cs="Open Sans Light"/>
                <w:sz w:val="16"/>
                <w:szCs w:val="16"/>
              </w:rPr>
            </w:pPr>
            <w:r>
              <w:rPr>
                <w:rFonts w:cs="Open Sans Light"/>
                <w:sz w:val="16"/>
                <w:szCs w:val="16"/>
              </w:rPr>
              <w:t>407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8A2DF42" w14:textId="77777777" w:rsidR="003A22B8" w:rsidRDefault="003A22B8" w:rsidP="004D65FE">
            <w:pPr>
              <w:keepNext/>
              <w:keepLines/>
              <w:spacing w:before="0"/>
              <w:jc w:val="right"/>
              <w:rPr>
                <w:rFonts w:cs="Open Sans Light"/>
                <w:sz w:val="16"/>
                <w:szCs w:val="16"/>
              </w:rPr>
            </w:pPr>
            <w:r>
              <w:rPr>
                <w:rFonts w:cs="Open Sans Light"/>
                <w:sz w:val="16"/>
                <w:szCs w:val="16"/>
              </w:rPr>
              <w:t>-25</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B5BDBA4" w14:textId="77777777" w:rsidR="003A22B8" w:rsidRDefault="003A22B8" w:rsidP="004D65FE">
            <w:pPr>
              <w:keepNext/>
              <w:keepLines/>
              <w:spacing w:before="0"/>
              <w:jc w:val="right"/>
              <w:rPr>
                <w:rFonts w:cs="Open Sans Light"/>
                <w:sz w:val="16"/>
                <w:szCs w:val="16"/>
              </w:rPr>
            </w:pPr>
            <w:r>
              <w:rPr>
                <w:rFonts w:cs="Open Sans Light"/>
                <w:sz w:val="16"/>
                <w:szCs w:val="16"/>
              </w:rPr>
              <w:t>463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E05F560"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29CF722A"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DCDA2A" w14:textId="77777777" w:rsidR="003A22B8" w:rsidRDefault="003A22B8" w:rsidP="004D65FE">
            <w:pPr>
              <w:keepNext/>
              <w:keepLines/>
              <w:spacing w:before="0"/>
              <w:ind w:left="142" w:hanging="142"/>
              <w:rPr>
                <w:rFonts w:cs="Open Sans Light"/>
                <w:sz w:val="16"/>
                <w:szCs w:val="16"/>
              </w:rPr>
            </w:pPr>
            <w:r>
              <w:rPr>
                <w:rFonts w:cs="Open Sans Light"/>
                <w:sz w:val="16"/>
                <w:szCs w:val="16"/>
              </w:rPr>
              <w:t>Insurance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3AA4EA1" w14:textId="77777777" w:rsidR="003A22B8" w:rsidRDefault="003A22B8" w:rsidP="004D65FE">
            <w:pPr>
              <w:keepNext/>
              <w:keepLines/>
              <w:spacing w:before="0"/>
              <w:jc w:val="right"/>
              <w:rPr>
                <w:rFonts w:cs="Open Sans Light"/>
                <w:sz w:val="16"/>
                <w:szCs w:val="16"/>
              </w:rPr>
            </w:pPr>
            <w:r>
              <w:rPr>
                <w:rFonts w:cs="Open Sans Light"/>
                <w:sz w:val="16"/>
                <w:szCs w:val="16"/>
              </w:rPr>
              <w:t>-13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7975A5D" w14:textId="77777777" w:rsidR="003A22B8" w:rsidRDefault="003A22B8" w:rsidP="004D65FE">
            <w:pPr>
              <w:keepNext/>
              <w:keepLines/>
              <w:spacing w:before="0"/>
              <w:jc w:val="right"/>
              <w:rPr>
                <w:rFonts w:cs="Open Sans Light"/>
                <w:sz w:val="16"/>
                <w:szCs w:val="16"/>
              </w:rPr>
            </w:pPr>
            <w:r>
              <w:rPr>
                <w:rFonts w:cs="Open Sans Light"/>
                <w:sz w:val="16"/>
                <w:szCs w:val="16"/>
              </w:rPr>
              <w:t>19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472A6DD" w14:textId="77777777" w:rsidR="003A22B8" w:rsidRDefault="003A22B8" w:rsidP="004D65FE">
            <w:pPr>
              <w:keepNext/>
              <w:keepLines/>
              <w:spacing w:before="0"/>
              <w:jc w:val="right"/>
              <w:rPr>
                <w:rFonts w:cs="Open Sans Light"/>
                <w:sz w:val="16"/>
                <w:szCs w:val="16"/>
              </w:rPr>
            </w:pPr>
            <w:r>
              <w:rPr>
                <w:rFonts w:cs="Open Sans Light"/>
                <w:sz w:val="16"/>
                <w:szCs w:val="16"/>
              </w:rPr>
              <w:t>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78102D" w14:textId="77777777" w:rsidR="003A22B8" w:rsidRDefault="003A22B8" w:rsidP="004D65FE">
            <w:pPr>
              <w:keepNext/>
              <w:keepLines/>
              <w:spacing w:before="0"/>
              <w:jc w:val="right"/>
              <w:rPr>
                <w:rFonts w:cs="Open Sans Light"/>
                <w:sz w:val="16"/>
                <w:szCs w:val="16"/>
              </w:rPr>
            </w:pPr>
            <w:r>
              <w:rPr>
                <w:rFonts w:cs="Open Sans Light"/>
                <w:sz w:val="16"/>
                <w:szCs w:val="16"/>
              </w:rPr>
              <w:t>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116869" w14:textId="77777777" w:rsidR="003A22B8" w:rsidRDefault="003A22B8" w:rsidP="004D65FE">
            <w:pPr>
              <w:keepNext/>
              <w:keepLines/>
              <w:spacing w:before="0"/>
              <w:jc w:val="right"/>
              <w:rPr>
                <w:rFonts w:cs="Open Sans Light"/>
                <w:sz w:val="16"/>
                <w:szCs w:val="16"/>
              </w:rPr>
            </w:pPr>
            <w:r>
              <w:rPr>
                <w:rFonts w:cs="Open Sans Light"/>
                <w:sz w:val="16"/>
                <w:szCs w:val="16"/>
              </w:rPr>
              <w:t>-34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0DF6AB9" w14:textId="77777777" w:rsidR="003A22B8" w:rsidRDefault="003A22B8" w:rsidP="004D65FE">
            <w:pPr>
              <w:keepNext/>
              <w:keepLines/>
              <w:spacing w:before="0"/>
              <w:jc w:val="right"/>
              <w:rPr>
                <w:rFonts w:cs="Open Sans Light"/>
                <w:sz w:val="16"/>
                <w:szCs w:val="16"/>
              </w:rPr>
            </w:pPr>
            <w:r>
              <w:rPr>
                <w:rFonts w:cs="Open Sans Light"/>
                <w:sz w:val="16"/>
                <w:szCs w:val="16"/>
              </w:rPr>
              <w:t>42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0E083D" w14:textId="77777777" w:rsidR="003A22B8" w:rsidRDefault="003A22B8" w:rsidP="004D65FE">
            <w:pPr>
              <w:keepNext/>
              <w:keepLines/>
              <w:spacing w:before="0"/>
              <w:jc w:val="right"/>
              <w:rPr>
                <w:rFonts w:cs="Open Sans Light"/>
                <w:sz w:val="16"/>
                <w:szCs w:val="16"/>
              </w:rPr>
            </w:pPr>
            <w:r>
              <w:rPr>
                <w:rFonts w:cs="Open Sans Light"/>
                <w:sz w:val="16"/>
                <w:szCs w:val="16"/>
              </w:rPr>
              <w:t>25</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35EB525" w14:textId="77777777" w:rsidR="003A22B8" w:rsidRDefault="003A22B8" w:rsidP="004D65FE">
            <w:pPr>
              <w:keepNext/>
              <w:keepLines/>
              <w:spacing w:before="0"/>
              <w:jc w:val="right"/>
              <w:rPr>
                <w:rFonts w:cs="Open Sans Light"/>
                <w:sz w:val="16"/>
                <w:szCs w:val="16"/>
              </w:rPr>
            </w:pPr>
            <w:r>
              <w:rPr>
                <w:rFonts w:cs="Open Sans Light"/>
                <w:sz w:val="16"/>
                <w:szCs w:val="16"/>
              </w:rPr>
              <w:t>-20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35833FE"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34CA9CDB"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5B7566" w14:textId="77777777" w:rsidR="003A22B8" w:rsidRDefault="003A22B8" w:rsidP="004D65FE">
            <w:pPr>
              <w:keepNext/>
              <w:keepLines/>
              <w:spacing w:before="0"/>
              <w:ind w:left="142" w:hanging="142"/>
              <w:rPr>
                <w:rFonts w:cs="Open Sans Light"/>
                <w:sz w:val="16"/>
                <w:szCs w:val="16"/>
              </w:rPr>
            </w:pPr>
            <w:r>
              <w:rPr>
                <w:rFonts w:cs="Open Sans Light"/>
                <w:sz w:val="16"/>
                <w:szCs w:val="16"/>
              </w:rPr>
              <w:t>Motor taxes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DB3901D" w14:textId="77777777" w:rsidR="003A22B8" w:rsidRDefault="003A22B8" w:rsidP="004D65FE">
            <w:pPr>
              <w:keepNext/>
              <w:keepLines/>
              <w:spacing w:before="0"/>
              <w:jc w:val="right"/>
              <w:rPr>
                <w:rFonts w:cs="Open Sans Light"/>
                <w:sz w:val="16"/>
                <w:szCs w:val="16"/>
              </w:rPr>
            </w:pPr>
            <w:r>
              <w:rPr>
                <w:rFonts w:cs="Open Sans Light"/>
                <w:sz w:val="16"/>
                <w:szCs w:val="16"/>
              </w:rPr>
              <w:t>29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AC7C00"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01E198B" w14:textId="77777777" w:rsidR="003A22B8" w:rsidRDefault="003A22B8" w:rsidP="004D65FE">
            <w:pPr>
              <w:keepNext/>
              <w:keepLines/>
              <w:spacing w:before="0"/>
              <w:jc w:val="right"/>
              <w:rPr>
                <w:rFonts w:cs="Open Sans Light"/>
                <w:sz w:val="16"/>
                <w:szCs w:val="16"/>
              </w:rPr>
            </w:pPr>
            <w:r>
              <w:rPr>
                <w:rFonts w:cs="Open Sans Light"/>
                <w:sz w:val="16"/>
                <w:szCs w:val="16"/>
              </w:rPr>
              <w:t>-14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DC6A19F" w14:textId="77777777" w:rsidR="003A22B8" w:rsidRDefault="003A22B8" w:rsidP="004D65FE">
            <w:pPr>
              <w:keepNext/>
              <w:keepLines/>
              <w:spacing w:before="0"/>
              <w:jc w:val="right"/>
              <w:rPr>
                <w:rFonts w:cs="Open Sans Light"/>
                <w:sz w:val="16"/>
                <w:szCs w:val="16"/>
              </w:rPr>
            </w:pPr>
            <w:r>
              <w:rPr>
                <w:rFonts w:cs="Open Sans Light"/>
                <w:sz w:val="16"/>
                <w:szCs w:val="16"/>
              </w:rPr>
              <w:t>-52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833061C" w14:textId="77777777" w:rsidR="003A22B8" w:rsidRDefault="003A22B8" w:rsidP="004D65FE">
            <w:pPr>
              <w:keepNext/>
              <w:keepLines/>
              <w:spacing w:before="0"/>
              <w:jc w:val="right"/>
              <w:rPr>
                <w:rFonts w:cs="Open Sans Light"/>
                <w:sz w:val="16"/>
                <w:szCs w:val="16"/>
              </w:rPr>
            </w:pPr>
            <w:r>
              <w:rPr>
                <w:rFonts w:cs="Open Sans Light"/>
                <w:sz w:val="16"/>
                <w:szCs w:val="16"/>
              </w:rPr>
              <w:t>-17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7E54FD" w14:textId="77777777" w:rsidR="003A22B8" w:rsidRDefault="003A22B8" w:rsidP="004D65FE">
            <w:pPr>
              <w:keepNext/>
              <w:keepLines/>
              <w:spacing w:before="0"/>
              <w:jc w:val="right"/>
              <w:rPr>
                <w:rFonts w:cs="Open Sans Light"/>
                <w:sz w:val="16"/>
                <w:szCs w:val="16"/>
              </w:rPr>
            </w:pPr>
            <w:r>
              <w:rPr>
                <w:rFonts w:cs="Open Sans Light"/>
                <w:sz w:val="16"/>
                <w:szCs w:val="16"/>
              </w:rPr>
              <w:t>-51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18F2834" w14:textId="77777777" w:rsidR="003A22B8" w:rsidRDefault="003A22B8" w:rsidP="004D65FE">
            <w:pPr>
              <w:keepNext/>
              <w:keepLines/>
              <w:spacing w:before="0"/>
              <w:jc w:val="right"/>
              <w:rPr>
                <w:rFonts w:cs="Open Sans Light"/>
                <w:sz w:val="16"/>
                <w:szCs w:val="16"/>
              </w:rPr>
            </w:pPr>
            <w:r>
              <w:rPr>
                <w:rFonts w:cs="Open Sans Light"/>
                <w:sz w:val="16"/>
                <w:szCs w:val="16"/>
              </w:rPr>
              <w:t>50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0638DF" w14:textId="77777777" w:rsidR="003A22B8" w:rsidRDefault="003A22B8" w:rsidP="004D65FE">
            <w:pPr>
              <w:keepNext/>
              <w:keepLines/>
              <w:spacing w:before="0"/>
              <w:jc w:val="right"/>
              <w:rPr>
                <w:rFonts w:cs="Open Sans Light"/>
                <w:sz w:val="16"/>
                <w:szCs w:val="16"/>
              </w:rPr>
            </w:pPr>
            <w:r>
              <w:rPr>
                <w:rFonts w:cs="Open Sans Light"/>
                <w:sz w:val="16"/>
                <w:szCs w:val="16"/>
              </w:rPr>
              <w:t>35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C07EBB"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7D638E36"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BF05DFD" w14:textId="77777777" w:rsidR="003A22B8" w:rsidRDefault="003A22B8" w:rsidP="004D65FE">
            <w:pPr>
              <w:keepNext/>
              <w:keepLines/>
              <w:spacing w:before="0"/>
              <w:ind w:left="142" w:hanging="142"/>
              <w:rPr>
                <w:rFonts w:cs="Open Sans Light"/>
                <w:sz w:val="16"/>
                <w:szCs w:val="16"/>
              </w:rPr>
            </w:pPr>
            <w:r>
              <w:rPr>
                <w:rFonts w:cs="Open Sans Light"/>
                <w:sz w:val="16"/>
                <w:szCs w:val="16"/>
              </w:rPr>
              <w:t>Mining revenue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F52AA59" w14:textId="77777777" w:rsidR="003A22B8" w:rsidRDefault="003A22B8" w:rsidP="004D65FE">
            <w:pPr>
              <w:keepNext/>
              <w:keepLines/>
              <w:spacing w:before="0"/>
              <w:jc w:val="right"/>
              <w:rPr>
                <w:rFonts w:cs="Open Sans Light"/>
                <w:sz w:val="16"/>
                <w:szCs w:val="16"/>
              </w:rPr>
            </w:pPr>
            <w:r>
              <w:rPr>
                <w:rFonts w:cs="Open Sans Light"/>
                <w:sz w:val="16"/>
                <w:szCs w:val="16"/>
              </w:rPr>
              <w:t>257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15DE057" w14:textId="77777777" w:rsidR="003A22B8" w:rsidRDefault="003A22B8" w:rsidP="004D65FE">
            <w:pPr>
              <w:keepNext/>
              <w:keepLines/>
              <w:spacing w:before="0"/>
              <w:jc w:val="right"/>
              <w:rPr>
                <w:rFonts w:cs="Open Sans Light"/>
                <w:sz w:val="16"/>
                <w:szCs w:val="16"/>
              </w:rPr>
            </w:pPr>
            <w:r>
              <w:rPr>
                <w:rFonts w:cs="Open Sans Light"/>
                <w:sz w:val="16"/>
                <w:szCs w:val="16"/>
              </w:rPr>
              <w:t>462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74326F" w14:textId="77777777" w:rsidR="003A22B8" w:rsidRDefault="003A22B8" w:rsidP="004D65FE">
            <w:pPr>
              <w:keepNext/>
              <w:keepLines/>
              <w:spacing w:before="0"/>
              <w:jc w:val="right"/>
              <w:rPr>
                <w:rFonts w:cs="Open Sans Light"/>
                <w:sz w:val="16"/>
                <w:szCs w:val="16"/>
              </w:rPr>
            </w:pPr>
            <w:r>
              <w:rPr>
                <w:rFonts w:cs="Open Sans Light"/>
                <w:sz w:val="16"/>
                <w:szCs w:val="16"/>
              </w:rPr>
              <w:t>-240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BFBB71" w14:textId="77777777" w:rsidR="003A22B8" w:rsidRDefault="003A22B8" w:rsidP="004D65FE">
            <w:pPr>
              <w:keepNext/>
              <w:keepLines/>
              <w:spacing w:before="0"/>
              <w:jc w:val="right"/>
              <w:rPr>
                <w:rFonts w:cs="Open Sans Light"/>
                <w:sz w:val="16"/>
                <w:szCs w:val="16"/>
              </w:rPr>
            </w:pPr>
            <w:r>
              <w:rPr>
                <w:rFonts w:cs="Open Sans Light"/>
                <w:sz w:val="16"/>
                <w:szCs w:val="16"/>
              </w:rPr>
              <w:t>-1,823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B86C634" w14:textId="77777777" w:rsidR="003A22B8" w:rsidRDefault="003A22B8" w:rsidP="004D65FE">
            <w:pPr>
              <w:keepNext/>
              <w:keepLines/>
              <w:spacing w:before="0"/>
              <w:jc w:val="right"/>
              <w:rPr>
                <w:rFonts w:cs="Open Sans Light"/>
                <w:sz w:val="16"/>
                <w:szCs w:val="16"/>
              </w:rPr>
            </w:pPr>
            <w:r>
              <w:rPr>
                <w:rFonts w:cs="Open Sans Light"/>
                <w:sz w:val="16"/>
                <w:szCs w:val="16"/>
              </w:rPr>
              <w:t>352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C6E7ECC" w14:textId="77777777" w:rsidR="003A22B8" w:rsidRDefault="003A22B8" w:rsidP="004D65FE">
            <w:pPr>
              <w:keepNext/>
              <w:keepLines/>
              <w:spacing w:before="0"/>
              <w:jc w:val="right"/>
              <w:rPr>
                <w:rFonts w:cs="Open Sans Light"/>
                <w:sz w:val="16"/>
                <w:szCs w:val="16"/>
              </w:rPr>
            </w:pPr>
            <w:r>
              <w:rPr>
                <w:rFonts w:cs="Open Sans Light"/>
                <w:sz w:val="16"/>
                <w:szCs w:val="16"/>
              </w:rPr>
              <w:t>357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034401" w14:textId="77777777" w:rsidR="003A22B8" w:rsidRDefault="003A22B8" w:rsidP="004D65FE">
            <w:pPr>
              <w:keepNext/>
              <w:keepLines/>
              <w:spacing w:before="0"/>
              <w:jc w:val="right"/>
              <w:rPr>
                <w:rFonts w:cs="Open Sans Light"/>
                <w:sz w:val="16"/>
                <w:szCs w:val="16"/>
              </w:rPr>
            </w:pPr>
            <w:r>
              <w:rPr>
                <w:rFonts w:cs="Open Sans Light"/>
                <w:sz w:val="16"/>
                <w:szCs w:val="16"/>
              </w:rPr>
              <w:t>488</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54C9C9" w14:textId="77777777" w:rsidR="003A22B8" w:rsidRDefault="003A22B8" w:rsidP="004D65FE">
            <w:pPr>
              <w:keepNext/>
              <w:keepLines/>
              <w:spacing w:before="0"/>
              <w:jc w:val="right"/>
              <w:rPr>
                <w:rFonts w:cs="Open Sans Light"/>
                <w:sz w:val="16"/>
                <w:szCs w:val="16"/>
              </w:rPr>
            </w:pPr>
            <w:r>
              <w:rPr>
                <w:rFonts w:cs="Open Sans Light"/>
                <w:sz w:val="16"/>
                <w:szCs w:val="16"/>
              </w:rPr>
              <w:t>-134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DCDDB52"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41591185"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F539B03" w14:textId="77777777" w:rsidR="003A22B8" w:rsidRDefault="003A22B8" w:rsidP="004D65FE">
            <w:pPr>
              <w:keepNext/>
              <w:keepLines/>
              <w:spacing w:before="0"/>
              <w:ind w:left="142" w:hanging="142"/>
              <w:rPr>
                <w:rFonts w:cs="Open Sans Light"/>
                <w:sz w:val="16"/>
                <w:szCs w:val="16"/>
              </w:rPr>
            </w:pPr>
            <w:r>
              <w:rPr>
                <w:rFonts w:cs="Open Sans Light"/>
                <w:sz w:val="16"/>
                <w:szCs w:val="16"/>
              </w:rPr>
              <w:t>Other revenue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56EA36B"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0803E47"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E1EDC1"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06AD549"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D8538FF"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AE862A3"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1CAC15"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7026331"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1A4262A"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682910C7"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101E353"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Assessed revenue</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07AAFF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-157</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DBE1F4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425</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1C3B52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35</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C08528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-1,789</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653174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1,137</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CB1D46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1,326</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D2DDDF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725</w:t>
            </w:r>
          </w:p>
        </w:tc>
        <w:tc>
          <w:tcPr>
            <w:tcW w:w="82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3AA0EB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193</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E02B01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w:t>
            </w:r>
          </w:p>
        </w:tc>
      </w:tr>
    </w:tbl>
    <w:p w14:paraId="0A75A0A0" w14:textId="77777777" w:rsidR="003A22B8" w:rsidRDefault="003A22B8" w:rsidP="003A22B8">
      <w:pPr>
        <w:pStyle w:val="CGCTablenote"/>
      </w:pPr>
      <w:r>
        <w:t xml:space="preserve">Source: </w:t>
      </w:r>
      <w:r>
        <w:tab/>
        <w:t>CGC calculation.</w:t>
      </w:r>
    </w:p>
    <w:p w14:paraId="5D9FD70A" w14:textId="699472B6" w:rsidR="003A22B8" w:rsidRDefault="003A22B8" w:rsidP="003A22B8">
      <w:pPr>
        <w:pStyle w:val="Caption"/>
      </w:pPr>
      <w:bookmarkStart w:id="653" w:name="_Ref30434243"/>
      <w:r>
        <w:t>Table 30-</w:t>
      </w:r>
      <w:fldSimple w:instr=" SEQ Table \* ARABIC ">
        <w:r w:rsidR="007F721A">
          <w:rPr>
            <w:noProof/>
          </w:rPr>
          <w:t>12</w:t>
        </w:r>
      </w:fldSimple>
      <w:bookmarkEnd w:id="653"/>
      <w:r>
        <w:rPr>
          <w:noProof/>
        </w:rPr>
        <w:tab/>
      </w:r>
      <w:r>
        <w:t>Per capita relativities, alternative presentation, 2016-17</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7C84B636" w14:textId="77777777" w:rsidTr="004D65FE">
        <w:trPr>
          <w:trHeight w:val="340"/>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8098E52" w14:textId="77777777" w:rsidR="003A22B8" w:rsidRDefault="003A22B8" w:rsidP="004D65FE">
            <w:pPr>
              <w:keepNext/>
              <w:keepLines/>
              <w:tabs>
                <w:tab w:val="clear" w:pos="567"/>
              </w:tabs>
              <w:spacing w:before="0" w:line="240" w:lineRule="auto"/>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1A5CB04"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06A0928"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EEE1FE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04B5E40"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66B9BF6"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94AF69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BE40BD3"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6A6843B"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D2B9876"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1B039C4D" w14:textId="77777777" w:rsidTr="005C340D">
        <w:trPr>
          <w:trHeight w:val="227"/>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A4F4389" w14:textId="77777777" w:rsidR="003A22B8" w:rsidRDefault="003A22B8" w:rsidP="004D65FE">
            <w:pPr>
              <w:keepNext/>
              <w:keepLines/>
              <w:spacing w:before="0"/>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DDE937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ECB4A7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7F5819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079522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95162E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24C35B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0B5DE8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C270FE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19ACEF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4A63CEF7"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48FE806" w14:textId="77777777" w:rsidR="003A22B8" w:rsidRDefault="003A22B8" w:rsidP="004D65FE">
            <w:pPr>
              <w:keepNext/>
              <w:keepLines/>
              <w:spacing w:before="0"/>
              <w:ind w:left="142" w:hanging="142"/>
              <w:rPr>
                <w:rFonts w:cs="Open Sans Light"/>
                <w:sz w:val="16"/>
                <w:szCs w:val="16"/>
              </w:rPr>
            </w:pPr>
            <w:r>
              <w:rPr>
                <w:rFonts w:cs="Open Sans Light"/>
                <w:sz w:val="16"/>
                <w:szCs w:val="16"/>
              </w:rPr>
              <w:t>Average GST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FC514E8" w14:textId="77777777" w:rsidR="003A22B8" w:rsidRDefault="003A22B8" w:rsidP="004D65FE">
            <w:pPr>
              <w:keepNext/>
              <w:keepLines/>
              <w:spacing w:before="0"/>
              <w:jc w:val="right"/>
              <w:rPr>
                <w:rFonts w:cs="Open Sans Light"/>
                <w:sz w:val="16"/>
                <w:szCs w:val="16"/>
              </w:rPr>
            </w:pPr>
            <w:r>
              <w:rPr>
                <w:rFonts w:cs="Open Sans Light"/>
                <w:sz w:val="16"/>
                <w:szCs w:val="16"/>
              </w:rPr>
              <w:t>2,454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6BFE351" w14:textId="77777777" w:rsidR="003A22B8" w:rsidRDefault="003A22B8" w:rsidP="004D65FE">
            <w:pPr>
              <w:keepNext/>
              <w:keepLines/>
              <w:spacing w:before="0"/>
              <w:jc w:val="right"/>
              <w:rPr>
                <w:rFonts w:cs="Open Sans Light"/>
                <w:sz w:val="16"/>
                <w:szCs w:val="16"/>
              </w:rPr>
            </w:pPr>
            <w:r>
              <w:rPr>
                <w:rFonts w:cs="Open Sans Light"/>
                <w:sz w:val="16"/>
                <w:szCs w:val="16"/>
              </w:rPr>
              <w:t>2,454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A808EDE" w14:textId="77777777" w:rsidR="003A22B8" w:rsidRDefault="003A22B8" w:rsidP="004D65FE">
            <w:pPr>
              <w:keepNext/>
              <w:keepLines/>
              <w:spacing w:before="0"/>
              <w:jc w:val="right"/>
              <w:rPr>
                <w:rFonts w:cs="Open Sans Light"/>
                <w:sz w:val="16"/>
                <w:szCs w:val="16"/>
              </w:rPr>
            </w:pPr>
            <w:r>
              <w:rPr>
                <w:rFonts w:cs="Open Sans Light"/>
                <w:sz w:val="16"/>
                <w:szCs w:val="16"/>
              </w:rPr>
              <w:t>2,454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0F59877" w14:textId="77777777" w:rsidR="003A22B8" w:rsidRDefault="003A22B8" w:rsidP="004D65FE">
            <w:pPr>
              <w:keepNext/>
              <w:keepLines/>
              <w:spacing w:before="0"/>
              <w:jc w:val="right"/>
              <w:rPr>
                <w:rFonts w:cs="Open Sans Light"/>
                <w:sz w:val="16"/>
                <w:szCs w:val="16"/>
              </w:rPr>
            </w:pPr>
            <w:r>
              <w:rPr>
                <w:rFonts w:cs="Open Sans Light"/>
                <w:sz w:val="16"/>
                <w:szCs w:val="16"/>
              </w:rPr>
              <w:t>2,454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8E6E172" w14:textId="77777777" w:rsidR="003A22B8" w:rsidRDefault="003A22B8" w:rsidP="004D65FE">
            <w:pPr>
              <w:keepNext/>
              <w:keepLines/>
              <w:spacing w:before="0"/>
              <w:jc w:val="right"/>
              <w:rPr>
                <w:rFonts w:cs="Open Sans Light"/>
                <w:sz w:val="16"/>
                <w:szCs w:val="16"/>
              </w:rPr>
            </w:pPr>
            <w:r>
              <w:rPr>
                <w:rFonts w:cs="Open Sans Light"/>
                <w:sz w:val="16"/>
                <w:szCs w:val="16"/>
              </w:rPr>
              <w:t>2,454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C63D8E9" w14:textId="77777777" w:rsidR="003A22B8" w:rsidRDefault="003A22B8" w:rsidP="004D65FE">
            <w:pPr>
              <w:keepNext/>
              <w:keepLines/>
              <w:spacing w:before="0"/>
              <w:jc w:val="right"/>
              <w:rPr>
                <w:rFonts w:cs="Open Sans Light"/>
                <w:sz w:val="16"/>
                <w:szCs w:val="16"/>
              </w:rPr>
            </w:pPr>
            <w:r>
              <w:rPr>
                <w:rFonts w:cs="Open Sans Light"/>
                <w:sz w:val="16"/>
                <w:szCs w:val="16"/>
              </w:rPr>
              <w:t>2,454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D853E49" w14:textId="77777777" w:rsidR="003A22B8" w:rsidRDefault="003A22B8" w:rsidP="004D65FE">
            <w:pPr>
              <w:keepNext/>
              <w:keepLines/>
              <w:spacing w:before="0"/>
              <w:jc w:val="right"/>
              <w:rPr>
                <w:rFonts w:cs="Open Sans Light"/>
                <w:sz w:val="16"/>
                <w:szCs w:val="16"/>
              </w:rPr>
            </w:pPr>
            <w:r>
              <w:rPr>
                <w:rFonts w:cs="Open Sans Light"/>
                <w:sz w:val="16"/>
                <w:szCs w:val="16"/>
              </w:rPr>
              <w:t>2,454</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BB32F9D" w14:textId="77777777" w:rsidR="003A22B8" w:rsidRDefault="003A22B8" w:rsidP="004D65FE">
            <w:pPr>
              <w:keepNext/>
              <w:keepLines/>
              <w:spacing w:before="0"/>
              <w:jc w:val="right"/>
              <w:rPr>
                <w:rFonts w:cs="Open Sans Light"/>
                <w:sz w:val="16"/>
                <w:szCs w:val="16"/>
              </w:rPr>
            </w:pPr>
            <w:r>
              <w:rPr>
                <w:rFonts w:cs="Open Sans Light"/>
                <w:sz w:val="16"/>
                <w:szCs w:val="16"/>
              </w:rPr>
              <w:t>2,454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436839C" w14:textId="77777777" w:rsidR="003A22B8" w:rsidRDefault="003A22B8" w:rsidP="004D65FE">
            <w:pPr>
              <w:keepNext/>
              <w:keepLines/>
              <w:spacing w:before="0"/>
              <w:jc w:val="right"/>
              <w:rPr>
                <w:rFonts w:cs="Open Sans Light"/>
                <w:sz w:val="16"/>
                <w:szCs w:val="16"/>
              </w:rPr>
            </w:pPr>
            <w:r>
              <w:rPr>
                <w:rFonts w:cs="Open Sans Light"/>
                <w:sz w:val="16"/>
                <w:szCs w:val="16"/>
              </w:rPr>
              <w:t>2,454</w:t>
            </w:r>
          </w:p>
        </w:tc>
      </w:tr>
      <w:tr w:rsidR="003A22B8" w14:paraId="10AE8D80" w14:textId="77777777" w:rsidTr="004D65FE">
        <w:trPr>
          <w:trHeight w:val="255"/>
        </w:trPr>
        <w:tc>
          <w:tcPr>
            <w:tcW w:w="2500" w:type="dxa"/>
            <w:tcBorders>
              <w:top w:val="nil"/>
              <w:left w:val="nil"/>
              <w:bottom w:val="nil"/>
              <w:right w:val="nil"/>
            </w:tcBorders>
            <w:shd w:val="clear" w:color="auto" w:fill="auto"/>
            <w:noWrap/>
            <w:tcMar>
              <w:top w:w="15" w:type="dxa"/>
              <w:left w:w="15" w:type="dxa"/>
              <w:bottom w:w="0" w:type="dxa"/>
              <w:right w:w="15" w:type="dxa"/>
            </w:tcMar>
            <w:vAlign w:val="bottom"/>
            <w:hideMark/>
          </w:tcPr>
          <w:p w14:paraId="7207A4A8" w14:textId="77777777" w:rsidR="003A22B8" w:rsidRDefault="003A22B8" w:rsidP="004D65FE">
            <w:pPr>
              <w:keepNext/>
              <w:keepLines/>
              <w:spacing w:before="0"/>
              <w:ind w:left="142" w:hanging="142"/>
              <w:rPr>
                <w:rFonts w:cs="Open Sans Light"/>
                <w:i/>
                <w:iCs/>
                <w:sz w:val="16"/>
                <w:szCs w:val="16"/>
              </w:rPr>
            </w:pPr>
            <w:r>
              <w:rPr>
                <w:rFonts w:cs="Open Sans Light"/>
                <w:i/>
                <w:iCs/>
                <w:sz w:val="16"/>
                <w:szCs w:val="16"/>
              </w:rPr>
              <w:t>plus assessed differences in</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2A44B373" w14:textId="77777777" w:rsidR="003A22B8" w:rsidRDefault="003A22B8" w:rsidP="004D65FE">
            <w:pPr>
              <w:keepNext/>
              <w:keepLines/>
              <w:spacing w:before="0"/>
              <w:rPr>
                <w:rFonts w:cs="Open Sans Light"/>
                <w:i/>
                <w:iCs/>
                <w:sz w:val="16"/>
                <w:szCs w:val="16"/>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28A50457"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5DA454F8"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045CA65C"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7166B8FD"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0CD3AA24"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2F32CDAB" w14:textId="77777777" w:rsidR="003A22B8" w:rsidRDefault="003A22B8" w:rsidP="004D65FE">
            <w:pPr>
              <w:keepNext/>
              <w:keepLines/>
              <w:spacing w:before="0"/>
              <w:jc w:val="right"/>
              <w:rPr>
                <w:szCs w:val="20"/>
              </w:rPr>
            </w:pPr>
          </w:p>
        </w:tc>
        <w:tc>
          <w:tcPr>
            <w:tcW w:w="820" w:type="dxa"/>
            <w:tcBorders>
              <w:top w:val="nil"/>
              <w:left w:val="nil"/>
              <w:bottom w:val="nil"/>
              <w:right w:val="nil"/>
            </w:tcBorders>
            <w:shd w:val="clear" w:color="auto" w:fill="auto"/>
            <w:tcMar>
              <w:top w:w="15" w:type="dxa"/>
              <w:left w:w="15" w:type="dxa"/>
              <w:bottom w:w="0" w:type="dxa"/>
              <w:right w:w="15" w:type="dxa"/>
            </w:tcMar>
            <w:vAlign w:val="bottom"/>
            <w:hideMark/>
          </w:tcPr>
          <w:p w14:paraId="4B08E180"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2EBFD72C" w14:textId="77777777" w:rsidR="003A22B8" w:rsidRDefault="003A22B8" w:rsidP="004D65FE">
            <w:pPr>
              <w:keepNext/>
              <w:keepLines/>
              <w:spacing w:before="0"/>
              <w:jc w:val="right"/>
              <w:rPr>
                <w:szCs w:val="20"/>
              </w:rPr>
            </w:pPr>
          </w:p>
        </w:tc>
      </w:tr>
      <w:tr w:rsidR="003A22B8" w14:paraId="1942E40D"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3772B2A" w14:textId="77777777" w:rsidR="003A22B8" w:rsidRDefault="003A22B8" w:rsidP="004D65FE">
            <w:pPr>
              <w:keepNext/>
              <w:keepLines/>
              <w:spacing w:before="0"/>
              <w:ind w:left="142" w:hanging="142"/>
              <w:rPr>
                <w:rFonts w:cs="Open Sans Light"/>
                <w:sz w:val="16"/>
                <w:szCs w:val="16"/>
              </w:rPr>
            </w:pPr>
            <w:r>
              <w:rPr>
                <w:rFonts w:cs="Open Sans Light"/>
                <w:sz w:val="16"/>
                <w:szCs w:val="16"/>
              </w:rPr>
              <w:t>Expenses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DBF9E8E" w14:textId="77777777" w:rsidR="003A22B8" w:rsidRDefault="003A22B8" w:rsidP="004D65FE">
            <w:pPr>
              <w:keepNext/>
              <w:keepLines/>
              <w:spacing w:before="0"/>
              <w:jc w:val="right"/>
              <w:rPr>
                <w:rFonts w:cs="Open Sans Light"/>
                <w:sz w:val="16"/>
                <w:szCs w:val="16"/>
              </w:rPr>
            </w:pPr>
            <w:r>
              <w:rPr>
                <w:rFonts w:cs="Open Sans Light"/>
                <w:sz w:val="16"/>
                <w:szCs w:val="16"/>
              </w:rPr>
              <w:t>-148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B32A58C" w14:textId="77777777" w:rsidR="003A22B8" w:rsidRDefault="003A22B8" w:rsidP="004D65FE">
            <w:pPr>
              <w:keepNext/>
              <w:keepLines/>
              <w:spacing w:before="0"/>
              <w:jc w:val="right"/>
              <w:rPr>
                <w:rFonts w:cs="Open Sans Light"/>
                <w:sz w:val="16"/>
                <w:szCs w:val="16"/>
              </w:rPr>
            </w:pPr>
            <w:r>
              <w:rPr>
                <w:rFonts w:cs="Open Sans Light"/>
                <w:sz w:val="16"/>
                <w:szCs w:val="16"/>
              </w:rPr>
              <w:t>-670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105BE49" w14:textId="77777777" w:rsidR="003A22B8" w:rsidRDefault="003A22B8" w:rsidP="004D65FE">
            <w:pPr>
              <w:keepNext/>
              <w:keepLines/>
              <w:spacing w:before="0"/>
              <w:jc w:val="right"/>
              <w:rPr>
                <w:rFonts w:cs="Open Sans Light"/>
                <w:sz w:val="16"/>
                <w:szCs w:val="16"/>
              </w:rPr>
            </w:pPr>
            <w:r>
              <w:rPr>
                <w:rFonts w:cs="Open Sans Light"/>
                <w:sz w:val="16"/>
                <w:szCs w:val="16"/>
              </w:rPr>
              <w:t>169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461A280" w14:textId="77777777" w:rsidR="003A22B8" w:rsidRDefault="003A22B8" w:rsidP="004D65FE">
            <w:pPr>
              <w:keepNext/>
              <w:keepLines/>
              <w:spacing w:before="0"/>
              <w:jc w:val="right"/>
              <w:rPr>
                <w:rFonts w:cs="Open Sans Light"/>
                <w:sz w:val="16"/>
                <w:szCs w:val="16"/>
              </w:rPr>
            </w:pPr>
            <w:r>
              <w:rPr>
                <w:rFonts w:cs="Open Sans Light"/>
                <w:sz w:val="16"/>
                <w:szCs w:val="16"/>
              </w:rPr>
              <w:t>608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0A3FA3E" w14:textId="77777777" w:rsidR="003A22B8" w:rsidRDefault="003A22B8" w:rsidP="004D65FE">
            <w:pPr>
              <w:keepNext/>
              <w:keepLines/>
              <w:spacing w:before="0"/>
              <w:jc w:val="right"/>
              <w:rPr>
                <w:rFonts w:cs="Open Sans Light"/>
                <w:sz w:val="16"/>
                <w:szCs w:val="16"/>
              </w:rPr>
            </w:pPr>
            <w:r>
              <w:rPr>
                <w:rFonts w:cs="Open Sans Light"/>
                <w:sz w:val="16"/>
                <w:szCs w:val="16"/>
              </w:rPr>
              <w:t>152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DC3F77C" w14:textId="77777777" w:rsidR="003A22B8" w:rsidRDefault="003A22B8" w:rsidP="004D65FE">
            <w:pPr>
              <w:keepNext/>
              <w:keepLines/>
              <w:spacing w:before="0"/>
              <w:jc w:val="right"/>
              <w:rPr>
                <w:rFonts w:cs="Open Sans Light"/>
                <w:sz w:val="16"/>
                <w:szCs w:val="16"/>
              </w:rPr>
            </w:pPr>
            <w:r>
              <w:rPr>
                <w:rFonts w:cs="Open Sans Light"/>
                <w:sz w:val="16"/>
                <w:szCs w:val="16"/>
              </w:rPr>
              <w:t>1,100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1FA3D85" w14:textId="77777777" w:rsidR="003A22B8" w:rsidRDefault="003A22B8" w:rsidP="004D65FE">
            <w:pPr>
              <w:keepNext/>
              <w:keepLines/>
              <w:spacing w:before="0"/>
              <w:jc w:val="right"/>
              <w:rPr>
                <w:rFonts w:cs="Open Sans Light"/>
                <w:sz w:val="16"/>
                <w:szCs w:val="16"/>
              </w:rPr>
            </w:pPr>
            <w:r>
              <w:rPr>
                <w:rFonts w:cs="Open Sans Light"/>
                <w:sz w:val="16"/>
                <w:szCs w:val="16"/>
              </w:rPr>
              <w:t>-340</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816D954" w14:textId="77777777" w:rsidR="003A22B8" w:rsidRDefault="003A22B8" w:rsidP="004D65FE">
            <w:pPr>
              <w:keepNext/>
              <w:keepLines/>
              <w:spacing w:before="0"/>
              <w:jc w:val="right"/>
              <w:rPr>
                <w:rFonts w:cs="Open Sans Light"/>
                <w:sz w:val="16"/>
                <w:szCs w:val="16"/>
              </w:rPr>
            </w:pPr>
            <w:r>
              <w:rPr>
                <w:rFonts w:cs="Open Sans Light"/>
                <w:sz w:val="16"/>
                <w:szCs w:val="16"/>
              </w:rPr>
              <w:t>9,175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F9C4654"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5DCD2BB0"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63390E7" w14:textId="77777777" w:rsidR="003A22B8" w:rsidRDefault="003A22B8" w:rsidP="004D65FE">
            <w:pPr>
              <w:keepNext/>
              <w:keepLines/>
              <w:spacing w:before="0"/>
              <w:ind w:left="142" w:hanging="142"/>
              <w:rPr>
                <w:rFonts w:cs="Open Sans Light"/>
                <w:sz w:val="16"/>
                <w:szCs w:val="16"/>
              </w:rPr>
            </w:pPr>
            <w:r>
              <w:rPr>
                <w:rFonts w:cs="Open Sans Light"/>
                <w:sz w:val="16"/>
                <w:szCs w:val="16"/>
              </w:rPr>
              <w:t>Investment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34AC103" w14:textId="77777777" w:rsidR="003A22B8" w:rsidRDefault="003A22B8" w:rsidP="004D65FE">
            <w:pPr>
              <w:keepNext/>
              <w:keepLines/>
              <w:spacing w:before="0"/>
              <w:jc w:val="right"/>
              <w:rPr>
                <w:rFonts w:cs="Open Sans Light"/>
                <w:sz w:val="16"/>
                <w:szCs w:val="16"/>
              </w:rPr>
            </w:pPr>
            <w:r>
              <w:rPr>
                <w:rFonts w:cs="Open Sans Light"/>
                <w:sz w:val="16"/>
                <w:szCs w:val="16"/>
              </w:rPr>
              <w:t>33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5DB7ACA" w14:textId="77777777" w:rsidR="003A22B8" w:rsidRDefault="003A22B8" w:rsidP="004D65FE">
            <w:pPr>
              <w:keepNext/>
              <w:keepLines/>
              <w:spacing w:before="0"/>
              <w:jc w:val="right"/>
              <w:rPr>
                <w:rFonts w:cs="Open Sans Light"/>
                <w:sz w:val="16"/>
                <w:szCs w:val="16"/>
              </w:rPr>
            </w:pPr>
            <w:r>
              <w:rPr>
                <w:rFonts w:cs="Open Sans Light"/>
                <w:sz w:val="16"/>
                <w:szCs w:val="16"/>
              </w:rPr>
              <w:t>29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0026409" w14:textId="77777777" w:rsidR="003A22B8" w:rsidRDefault="003A22B8" w:rsidP="004D65FE">
            <w:pPr>
              <w:keepNext/>
              <w:keepLines/>
              <w:spacing w:before="0"/>
              <w:jc w:val="right"/>
              <w:rPr>
                <w:rFonts w:cs="Open Sans Light"/>
                <w:sz w:val="16"/>
                <w:szCs w:val="16"/>
              </w:rPr>
            </w:pPr>
            <w:r>
              <w:rPr>
                <w:rFonts w:cs="Open Sans Light"/>
                <w:sz w:val="16"/>
                <w:szCs w:val="16"/>
              </w:rPr>
              <w:t>-15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6C48025" w14:textId="77777777" w:rsidR="003A22B8" w:rsidRDefault="003A22B8" w:rsidP="004D65FE">
            <w:pPr>
              <w:keepNext/>
              <w:keepLines/>
              <w:spacing w:before="0"/>
              <w:jc w:val="right"/>
              <w:rPr>
                <w:rFonts w:cs="Open Sans Light"/>
                <w:sz w:val="16"/>
                <w:szCs w:val="16"/>
              </w:rPr>
            </w:pPr>
            <w:r>
              <w:rPr>
                <w:rFonts w:cs="Open Sans Light"/>
                <w:sz w:val="16"/>
                <w:szCs w:val="16"/>
              </w:rPr>
              <w:t>-89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B74BAE0" w14:textId="77777777" w:rsidR="003A22B8" w:rsidRDefault="003A22B8" w:rsidP="004D65FE">
            <w:pPr>
              <w:keepNext/>
              <w:keepLines/>
              <w:spacing w:before="0"/>
              <w:jc w:val="right"/>
              <w:rPr>
                <w:rFonts w:cs="Open Sans Light"/>
                <w:sz w:val="16"/>
                <w:szCs w:val="16"/>
              </w:rPr>
            </w:pPr>
            <w:r>
              <w:rPr>
                <w:rFonts w:cs="Open Sans Light"/>
                <w:sz w:val="16"/>
                <w:szCs w:val="16"/>
              </w:rPr>
              <w:t>-208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831D607" w14:textId="77777777" w:rsidR="003A22B8" w:rsidRDefault="003A22B8" w:rsidP="004D65FE">
            <w:pPr>
              <w:keepNext/>
              <w:keepLines/>
              <w:spacing w:before="0"/>
              <w:jc w:val="right"/>
              <w:rPr>
                <w:rFonts w:cs="Open Sans Light"/>
                <w:sz w:val="16"/>
                <w:szCs w:val="16"/>
              </w:rPr>
            </w:pPr>
            <w:r>
              <w:rPr>
                <w:rFonts w:cs="Open Sans Light"/>
                <w:sz w:val="16"/>
                <w:szCs w:val="16"/>
              </w:rPr>
              <w:t>-267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AEC9C4A" w14:textId="77777777" w:rsidR="003A22B8" w:rsidRDefault="003A22B8" w:rsidP="004D65FE">
            <w:pPr>
              <w:keepNext/>
              <w:keepLines/>
              <w:spacing w:before="0"/>
              <w:jc w:val="right"/>
              <w:rPr>
                <w:rFonts w:cs="Open Sans Light"/>
                <w:sz w:val="16"/>
                <w:szCs w:val="16"/>
              </w:rPr>
            </w:pPr>
            <w:r>
              <w:rPr>
                <w:rFonts w:cs="Open Sans Light"/>
                <w:sz w:val="16"/>
                <w:szCs w:val="16"/>
              </w:rPr>
              <w:t>-146</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234A33D" w14:textId="77777777" w:rsidR="003A22B8" w:rsidRDefault="003A22B8" w:rsidP="004D65FE">
            <w:pPr>
              <w:keepNext/>
              <w:keepLines/>
              <w:spacing w:before="0"/>
              <w:jc w:val="right"/>
              <w:rPr>
                <w:rFonts w:cs="Open Sans Light"/>
                <w:sz w:val="16"/>
                <w:szCs w:val="16"/>
              </w:rPr>
            </w:pPr>
            <w:r>
              <w:rPr>
                <w:rFonts w:cs="Open Sans Light"/>
                <w:sz w:val="16"/>
                <w:szCs w:val="16"/>
              </w:rPr>
              <w:t>1,694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8674BA0"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5E953851"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11F4BA" w14:textId="77777777" w:rsidR="003A22B8" w:rsidRDefault="003A22B8" w:rsidP="004D65FE">
            <w:pPr>
              <w:keepNext/>
              <w:keepLines/>
              <w:spacing w:before="0"/>
              <w:ind w:left="142" w:hanging="142"/>
              <w:rPr>
                <w:rFonts w:cs="Open Sans Light"/>
                <w:sz w:val="16"/>
                <w:szCs w:val="16"/>
              </w:rPr>
            </w:pPr>
            <w:r>
              <w:rPr>
                <w:rFonts w:cs="Open Sans Light"/>
                <w:sz w:val="16"/>
                <w:szCs w:val="16"/>
              </w:rPr>
              <w:t>Net borrowing</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2E64BBB" w14:textId="77777777" w:rsidR="003A22B8" w:rsidRDefault="003A22B8" w:rsidP="004D65FE">
            <w:pPr>
              <w:keepNext/>
              <w:keepLines/>
              <w:spacing w:before="0"/>
              <w:jc w:val="right"/>
              <w:rPr>
                <w:rFonts w:cs="Open Sans Light"/>
                <w:sz w:val="16"/>
                <w:szCs w:val="16"/>
              </w:rPr>
            </w:pPr>
            <w:r>
              <w:rPr>
                <w:rFonts w:cs="Open Sans Light"/>
                <w:sz w:val="16"/>
                <w:szCs w:val="16"/>
              </w:rPr>
              <w:t>-1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7F3F556" w14:textId="77777777" w:rsidR="003A22B8" w:rsidRDefault="003A22B8" w:rsidP="004D65FE">
            <w:pPr>
              <w:keepNext/>
              <w:keepLines/>
              <w:spacing w:before="0"/>
              <w:jc w:val="right"/>
              <w:rPr>
                <w:rFonts w:cs="Open Sans Light"/>
                <w:sz w:val="16"/>
                <w:szCs w:val="16"/>
              </w:rPr>
            </w:pPr>
            <w:r>
              <w:rPr>
                <w:rFonts w:cs="Open Sans Light"/>
                <w:sz w:val="16"/>
                <w:szCs w:val="16"/>
              </w:rPr>
              <w:t>-23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517CB1F" w14:textId="77777777" w:rsidR="003A22B8" w:rsidRDefault="003A22B8" w:rsidP="004D65FE">
            <w:pPr>
              <w:keepNext/>
              <w:keepLines/>
              <w:spacing w:before="0"/>
              <w:jc w:val="right"/>
              <w:rPr>
                <w:rFonts w:cs="Open Sans Light"/>
                <w:sz w:val="16"/>
                <w:szCs w:val="16"/>
              </w:rPr>
            </w:pPr>
            <w:r>
              <w:rPr>
                <w:rFonts w:cs="Open Sans Light"/>
                <w:sz w:val="16"/>
                <w:szCs w:val="16"/>
              </w:rPr>
              <w:t>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CD83DCD" w14:textId="77777777" w:rsidR="003A22B8" w:rsidRDefault="003A22B8" w:rsidP="004D65FE">
            <w:pPr>
              <w:keepNext/>
              <w:keepLines/>
              <w:spacing w:before="0"/>
              <w:jc w:val="right"/>
              <w:rPr>
                <w:rFonts w:cs="Open Sans Light"/>
                <w:sz w:val="16"/>
                <w:szCs w:val="16"/>
              </w:rPr>
            </w:pPr>
            <w:r>
              <w:rPr>
                <w:rFonts w:cs="Open Sans Light"/>
                <w:sz w:val="16"/>
                <w:szCs w:val="16"/>
              </w:rPr>
              <w:t>31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EC7BDA2" w14:textId="77777777" w:rsidR="003A22B8" w:rsidRDefault="003A22B8" w:rsidP="004D65FE">
            <w:pPr>
              <w:keepNext/>
              <w:keepLines/>
              <w:spacing w:before="0"/>
              <w:jc w:val="right"/>
              <w:rPr>
                <w:rFonts w:cs="Open Sans Light"/>
                <w:sz w:val="16"/>
                <w:szCs w:val="16"/>
              </w:rPr>
            </w:pPr>
            <w:r>
              <w:rPr>
                <w:rFonts w:cs="Open Sans Light"/>
                <w:sz w:val="16"/>
                <w:szCs w:val="16"/>
              </w:rPr>
              <w:t>29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FC2D9B9" w14:textId="77777777" w:rsidR="003A22B8" w:rsidRDefault="003A22B8" w:rsidP="004D65FE">
            <w:pPr>
              <w:keepNext/>
              <w:keepLines/>
              <w:spacing w:before="0"/>
              <w:jc w:val="right"/>
              <w:rPr>
                <w:rFonts w:cs="Open Sans Light"/>
                <w:sz w:val="16"/>
                <w:szCs w:val="16"/>
              </w:rPr>
            </w:pPr>
            <w:r>
              <w:rPr>
                <w:rFonts w:cs="Open Sans Light"/>
                <w:sz w:val="16"/>
                <w:szCs w:val="16"/>
              </w:rPr>
              <w:t>26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127814C" w14:textId="77777777" w:rsidR="003A22B8" w:rsidRDefault="003A22B8" w:rsidP="004D65FE">
            <w:pPr>
              <w:keepNext/>
              <w:keepLines/>
              <w:spacing w:before="0"/>
              <w:jc w:val="right"/>
              <w:rPr>
                <w:rFonts w:cs="Open Sans Light"/>
                <w:sz w:val="16"/>
                <w:szCs w:val="16"/>
              </w:rPr>
            </w:pPr>
            <w:r>
              <w:rPr>
                <w:rFonts w:cs="Open Sans Light"/>
                <w:sz w:val="16"/>
                <w:szCs w:val="16"/>
              </w:rPr>
              <w:t>-14</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3981A72" w14:textId="77777777" w:rsidR="003A22B8" w:rsidRDefault="003A22B8" w:rsidP="004D65FE">
            <w:pPr>
              <w:keepNext/>
              <w:keepLines/>
              <w:spacing w:before="0"/>
              <w:jc w:val="right"/>
              <w:rPr>
                <w:rFonts w:cs="Open Sans Light"/>
                <w:sz w:val="16"/>
                <w:szCs w:val="16"/>
              </w:rPr>
            </w:pPr>
            <w:r>
              <w:rPr>
                <w:rFonts w:cs="Open Sans Light"/>
                <w:sz w:val="16"/>
                <w:szCs w:val="16"/>
              </w:rPr>
              <w:t>24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D3B7F73"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6088F419"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D9E5797" w14:textId="77777777" w:rsidR="003A22B8" w:rsidRDefault="003A22B8" w:rsidP="004D65FE">
            <w:pPr>
              <w:keepNext/>
              <w:keepLines/>
              <w:spacing w:before="0"/>
              <w:ind w:left="142" w:hanging="142"/>
              <w:rPr>
                <w:rFonts w:cs="Open Sans Light"/>
                <w:sz w:val="16"/>
                <w:szCs w:val="16"/>
              </w:rPr>
            </w:pPr>
            <w:r>
              <w:rPr>
                <w:rFonts w:cs="Open Sans Light"/>
                <w:sz w:val="16"/>
                <w:szCs w:val="16"/>
              </w:rPr>
              <w:t>Assessed revenue</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E92FF5D" w14:textId="77777777" w:rsidR="003A22B8" w:rsidRDefault="003A22B8" w:rsidP="004D65FE">
            <w:pPr>
              <w:keepNext/>
              <w:keepLines/>
              <w:spacing w:before="0"/>
              <w:jc w:val="right"/>
              <w:rPr>
                <w:rFonts w:cs="Open Sans Light"/>
                <w:sz w:val="16"/>
                <w:szCs w:val="16"/>
              </w:rPr>
            </w:pPr>
            <w:r>
              <w:rPr>
                <w:rFonts w:cs="Open Sans Light"/>
                <w:sz w:val="16"/>
                <w:szCs w:val="16"/>
              </w:rPr>
              <w:t>-157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85B85E0" w14:textId="77777777" w:rsidR="003A22B8" w:rsidRDefault="003A22B8" w:rsidP="004D65FE">
            <w:pPr>
              <w:keepNext/>
              <w:keepLines/>
              <w:spacing w:before="0"/>
              <w:jc w:val="right"/>
              <w:rPr>
                <w:rFonts w:cs="Open Sans Light"/>
                <w:sz w:val="16"/>
                <w:szCs w:val="16"/>
              </w:rPr>
            </w:pPr>
            <w:r>
              <w:rPr>
                <w:rFonts w:cs="Open Sans Light"/>
                <w:sz w:val="16"/>
                <w:szCs w:val="16"/>
              </w:rPr>
              <w:t>425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A2BBC36" w14:textId="77777777" w:rsidR="003A22B8" w:rsidRDefault="003A22B8" w:rsidP="004D65FE">
            <w:pPr>
              <w:keepNext/>
              <w:keepLines/>
              <w:spacing w:before="0"/>
              <w:jc w:val="right"/>
              <w:rPr>
                <w:rFonts w:cs="Open Sans Light"/>
                <w:sz w:val="16"/>
                <w:szCs w:val="16"/>
              </w:rPr>
            </w:pPr>
            <w:r>
              <w:rPr>
                <w:rFonts w:cs="Open Sans Light"/>
                <w:sz w:val="16"/>
                <w:szCs w:val="16"/>
              </w:rPr>
              <w:t>35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AE05BA6" w14:textId="77777777" w:rsidR="003A22B8" w:rsidRDefault="003A22B8" w:rsidP="004D65FE">
            <w:pPr>
              <w:keepNext/>
              <w:keepLines/>
              <w:spacing w:before="0"/>
              <w:jc w:val="right"/>
              <w:rPr>
                <w:rFonts w:cs="Open Sans Light"/>
                <w:sz w:val="16"/>
                <w:szCs w:val="16"/>
              </w:rPr>
            </w:pPr>
            <w:r>
              <w:rPr>
                <w:rFonts w:cs="Open Sans Light"/>
                <w:sz w:val="16"/>
                <w:szCs w:val="16"/>
              </w:rPr>
              <w:t>-1,789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C28EF36" w14:textId="77777777" w:rsidR="003A22B8" w:rsidRDefault="003A22B8" w:rsidP="004D65FE">
            <w:pPr>
              <w:keepNext/>
              <w:keepLines/>
              <w:spacing w:before="0"/>
              <w:jc w:val="right"/>
              <w:rPr>
                <w:rFonts w:cs="Open Sans Light"/>
                <w:sz w:val="16"/>
                <w:szCs w:val="16"/>
              </w:rPr>
            </w:pPr>
            <w:r>
              <w:rPr>
                <w:rFonts w:cs="Open Sans Light"/>
                <w:sz w:val="16"/>
                <w:szCs w:val="16"/>
              </w:rPr>
              <w:t>1,137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96DA07E" w14:textId="77777777" w:rsidR="003A22B8" w:rsidRDefault="003A22B8" w:rsidP="004D65FE">
            <w:pPr>
              <w:keepNext/>
              <w:keepLines/>
              <w:spacing w:before="0"/>
              <w:jc w:val="right"/>
              <w:rPr>
                <w:rFonts w:cs="Open Sans Light"/>
                <w:sz w:val="16"/>
                <w:szCs w:val="16"/>
              </w:rPr>
            </w:pPr>
            <w:r>
              <w:rPr>
                <w:rFonts w:cs="Open Sans Light"/>
                <w:sz w:val="16"/>
                <w:szCs w:val="16"/>
              </w:rPr>
              <w:t>1,326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DB2CC41" w14:textId="77777777" w:rsidR="003A22B8" w:rsidRDefault="003A22B8" w:rsidP="004D65FE">
            <w:pPr>
              <w:keepNext/>
              <w:keepLines/>
              <w:spacing w:before="0"/>
              <w:jc w:val="right"/>
              <w:rPr>
                <w:rFonts w:cs="Open Sans Light"/>
                <w:sz w:val="16"/>
                <w:szCs w:val="16"/>
              </w:rPr>
            </w:pPr>
            <w:r>
              <w:rPr>
                <w:rFonts w:cs="Open Sans Light"/>
                <w:sz w:val="16"/>
                <w:szCs w:val="16"/>
              </w:rPr>
              <w:t>725</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F52A237" w14:textId="77777777" w:rsidR="003A22B8" w:rsidRDefault="003A22B8" w:rsidP="004D65FE">
            <w:pPr>
              <w:keepNext/>
              <w:keepLines/>
              <w:spacing w:before="0"/>
              <w:jc w:val="right"/>
              <w:rPr>
                <w:rFonts w:cs="Open Sans Light"/>
                <w:sz w:val="16"/>
                <w:szCs w:val="16"/>
              </w:rPr>
            </w:pPr>
            <w:r>
              <w:rPr>
                <w:rFonts w:cs="Open Sans Light"/>
                <w:sz w:val="16"/>
                <w:szCs w:val="16"/>
              </w:rPr>
              <w:t>193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026188F"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2A14F54A"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1094E3C" w14:textId="77777777" w:rsidR="003A22B8" w:rsidRDefault="003A22B8" w:rsidP="004D65FE">
            <w:pPr>
              <w:keepNext/>
              <w:keepLines/>
              <w:spacing w:before="0"/>
              <w:ind w:left="142" w:hanging="142"/>
              <w:rPr>
                <w:rFonts w:cs="Open Sans Light"/>
                <w:sz w:val="16"/>
                <w:szCs w:val="16"/>
              </w:rPr>
            </w:pPr>
            <w:r>
              <w:rPr>
                <w:rFonts w:cs="Open Sans Light"/>
                <w:sz w:val="16"/>
                <w:szCs w:val="16"/>
              </w:rPr>
              <w:t>Commonwealth payments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D0AFD88" w14:textId="77777777" w:rsidR="003A22B8" w:rsidRDefault="003A22B8" w:rsidP="004D65FE">
            <w:pPr>
              <w:keepNext/>
              <w:keepLines/>
              <w:spacing w:before="0"/>
              <w:jc w:val="right"/>
              <w:rPr>
                <w:rFonts w:cs="Open Sans Light"/>
                <w:sz w:val="16"/>
                <w:szCs w:val="16"/>
              </w:rPr>
            </w:pPr>
            <w:r>
              <w:rPr>
                <w:rFonts w:cs="Open Sans Light"/>
                <w:sz w:val="16"/>
                <w:szCs w:val="16"/>
              </w:rPr>
              <w:t>16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9AD2AEB" w14:textId="77777777" w:rsidR="003A22B8" w:rsidRDefault="003A22B8" w:rsidP="004D65FE">
            <w:pPr>
              <w:keepNext/>
              <w:keepLines/>
              <w:spacing w:before="0"/>
              <w:jc w:val="right"/>
              <w:rPr>
                <w:rFonts w:cs="Open Sans Light"/>
                <w:sz w:val="16"/>
                <w:szCs w:val="16"/>
              </w:rPr>
            </w:pPr>
            <w:r>
              <w:rPr>
                <w:rFonts w:cs="Open Sans Light"/>
                <w:sz w:val="16"/>
                <w:szCs w:val="16"/>
              </w:rPr>
              <w:t>110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3543683" w14:textId="77777777" w:rsidR="003A22B8" w:rsidRDefault="003A22B8" w:rsidP="004D65FE">
            <w:pPr>
              <w:keepNext/>
              <w:keepLines/>
              <w:spacing w:before="0"/>
              <w:jc w:val="right"/>
              <w:rPr>
                <w:rFonts w:cs="Open Sans Light"/>
                <w:sz w:val="16"/>
                <w:szCs w:val="16"/>
              </w:rPr>
            </w:pPr>
            <w:r>
              <w:rPr>
                <w:rFonts w:cs="Open Sans Light"/>
                <w:sz w:val="16"/>
                <w:szCs w:val="16"/>
              </w:rPr>
              <w:t>-114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0BC21D2" w14:textId="77777777" w:rsidR="003A22B8" w:rsidRDefault="003A22B8" w:rsidP="004D65FE">
            <w:pPr>
              <w:keepNext/>
              <w:keepLines/>
              <w:spacing w:before="0"/>
              <w:jc w:val="right"/>
              <w:rPr>
                <w:rFonts w:cs="Open Sans Light"/>
                <w:sz w:val="16"/>
                <w:szCs w:val="16"/>
              </w:rPr>
            </w:pPr>
            <w:r>
              <w:rPr>
                <w:rFonts w:cs="Open Sans Light"/>
                <w:sz w:val="16"/>
                <w:szCs w:val="16"/>
              </w:rPr>
              <w:t>51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C6A5426" w14:textId="77777777" w:rsidR="003A22B8" w:rsidRDefault="003A22B8" w:rsidP="004D65FE">
            <w:pPr>
              <w:keepNext/>
              <w:keepLines/>
              <w:spacing w:before="0"/>
              <w:jc w:val="right"/>
              <w:rPr>
                <w:rFonts w:cs="Open Sans Light"/>
                <w:sz w:val="16"/>
                <w:szCs w:val="16"/>
              </w:rPr>
            </w:pPr>
            <w:r>
              <w:rPr>
                <w:rFonts w:cs="Open Sans Light"/>
                <w:sz w:val="16"/>
                <w:szCs w:val="16"/>
              </w:rPr>
              <w:t>13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62B0E00" w14:textId="77777777" w:rsidR="003A22B8" w:rsidRDefault="003A22B8" w:rsidP="004D65FE">
            <w:pPr>
              <w:keepNext/>
              <w:keepLines/>
              <w:spacing w:before="0"/>
              <w:jc w:val="right"/>
              <w:rPr>
                <w:rFonts w:cs="Open Sans Light"/>
                <w:sz w:val="16"/>
                <w:szCs w:val="16"/>
              </w:rPr>
            </w:pPr>
            <w:r>
              <w:rPr>
                <w:rFonts w:cs="Open Sans Light"/>
                <w:sz w:val="16"/>
                <w:szCs w:val="16"/>
              </w:rPr>
              <w:t>-124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CC4C175" w14:textId="77777777" w:rsidR="003A22B8" w:rsidRDefault="003A22B8" w:rsidP="004D65FE">
            <w:pPr>
              <w:keepNext/>
              <w:keepLines/>
              <w:spacing w:before="0"/>
              <w:jc w:val="right"/>
              <w:rPr>
                <w:rFonts w:cs="Open Sans Light"/>
                <w:sz w:val="16"/>
                <w:szCs w:val="16"/>
              </w:rPr>
            </w:pPr>
            <w:r>
              <w:rPr>
                <w:rFonts w:cs="Open Sans Light"/>
                <w:sz w:val="16"/>
                <w:szCs w:val="16"/>
              </w:rPr>
              <w:t>235</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33E8CD4" w14:textId="77777777" w:rsidR="003A22B8" w:rsidRDefault="003A22B8" w:rsidP="004D65FE">
            <w:pPr>
              <w:keepNext/>
              <w:keepLines/>
              <w:spacing w:before="0"/>
              <w:jc w:val="right"/>
              <w:rPr>
                <w:rFonts w:cs="Open Sans Light"/>
                <w:sz w:val="16"/>
                <w:szCs w:val="16"/>
              </w:rPr>
            </w:pPr>
            <w:r>
              <w:rPr>
                <w:rFonts w:cs="Open Sans Light"/>
                <w:sz w:val="16"/>
                <w:szCs w:val="16"/>
              </w:rPr>
              <w:t>-1,801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1AD8D5C"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5761ABF2"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112DCE5" w14:textId="77777777" w:rsidR="003A22B8" w:rsidRDefault="003A22B8" w:rsidP="004D65FE">
            <w:pPr>
              <w:keepNext/>
              <w:keepLines/>
              <w:spacing w:before="0"/>
              <w:ind w:left="142" w:hanging="142"/>
              <w:rPr>
                <w:rFonts w:cs="Open Sans Light"/>
                <w:sz w:val="16"/>
                <w:szCs w:val="16"/>
              </w:rPr>
            </w:pPr>
            <w:r>
              <w:rPr>
                <w:rFonts w:cs="Open Sans Light"/>
                <w:sz w:val="16"/>
                <w:szCs w:val="16"/>
              </w:rPr>
              <w:t>GST requirement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BB0FBD5" w14:textId="77777777" w:rsidR="003A22B8" w:rsidRDefault="003A22B8" w:rsidP="004D65FE">
            <w:pPr>
              <w:keepNext/>
              <w:keepLines/>
              <w:spacing w:before="0"/>
              <w:jc w:val="right"/>
              <w:rPr>
                <w:rFonts w:cs="Open Sans Light"/>
                <w:sz w:val="16"/>
                <w:szCs w:val="16"/>
              </w:rPr>
            </w:pPr>
            <w:r>
              <w:rPr>
                <w:rFonts w:cs="Open Sans Light"/>
                <w:sz w:val="16"/>
                <w:szCs w:val="16"/>
              </w:rPr>
              <w:t>2,198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FB9EE86" w14:textId="77777777" w:rsidR="003A22B8" w:rsidRDefault="003A22B8" w:rsidP="004D65FE">
            <w:pPr>
              <w:keepNext/>
              <w:keepLines/>
              <w:spacing w:before="0"/>
              <w:jc w:val="right"/>
              <w:rPr>
                <w:rFonts w:cs="Open Sans Light"/>
                <w:sz w:val="16"/>
                <w:szCs w:val="16"/>
              </w:rPr>
            </w:pPr>
            <w:r>
              <w:rPr>
                <w:rFonts w:cs="Open Sans Light"/>
                <w:sz w:val="16"/>
                <w:szCs w:val="16"/>
              </w:rPr>
              <w:t>2,325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B006F4E" w14:textId="77777777" w:rsidR="003A22B8" w:rsidRDefault="003A22B8" w:rsidP="004D65FE">
            <w:pPr>
              <w:keepNext/>
              <w:keepLines/>
              <w:spacing w:before="0"/>
              <w:jc w:val="right"/>
              <w:rPr>
                <w:rFonts w:cs="Open Sans Light"/>
                <w:sz w:val="16"/>
                <w:szCs w:val="16"/>
              </w:rPr>
            </w:pPr>
            <w:r>
              <w:rPr>
                <w:rFonts w:cs="Open Sans Light"/>
                <w:sz w:val="16"/>
                <w:szCs w:val="16"/>
              </w:rPr>
              <w:t>2,531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ABB015D" w14:textId="77777777" w:rsidR="003A22B8" w:rsidRDefault="003A22B8" w:rsidP="004D65FE">
            <w:pPr>
              <w:keepNext/>
              <w:keepLines/>
              <w:spacing w:before="0"/>
              <w:jc w:val="right"/>
              <w:rPr>
                <w:rFonts w:cs="Open Sans Light"/>
                <w:sz w:val="16"/>
                <w:szCs w:val="16"/>
              </w:rPr>
            </w:pPr>
            <w:r>
              <w:rPr>
                <w:rFonts w:cs="Open Sans Light"/>
                <w:sz w:val="16"/>
                <w:szCs w:val="16"/>
              </w:rPr>
              <w:t>1,267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3303AB4" w14:textId="77777777" w:rsidR="003A22B8" w:rsidRDefault="003A22B8" w:rsidP="004D65FE">
            <w:pPr>
              <w:keepNext/>
              <w:keepLines/>
              <w:spacing w:before="0"/>
              <w:jc w:val="right"/>
              <w:rPr>
                <w:rFonts w:cs="Open Sans Light"/>
                <w:sz w:val="16"/>
                <w:szCs w:val="16"/>
              </w:rPr>
            </w:pPr>
            <w:r>
              <w:rPr>
                <w:rFonts w:cs="Open Sans Light"/>
                <w:sz w:val="16"/>
                <w:szCs w:val="16"/>
              </w:rPr>
              <w:t>3,577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C48F722" w14:textId="77777777" w:rsidR="003A22B8" w:rsidRDefault="003A22B8" w:rsidP="004D65FE">
            <w:pPr>
              <w:keepNext/>
              <w:keepLines/>
              <w:spacing w:before="0"/>
              <w:jc w:val="right"/>
              <w:rPr>
                <w:rFonts w:cs="Open Sans Light"/>
                <w:sz w:val="16"/>
                <w:szCs w:val="16"/>
              </w:rPr>
            </w:pPr>
            <w:r>
              <w:rPr>
                <w:rFonts w:cs="Open Sans Light"/>
                <w:sz w:val="16"/>
                <w:szCs w:val="16"/>
              </w:rPr>
              <w:t>4,514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63DDB33" w14:textId="77777777" w:rsidR="003A22B8" w:rsidRDefault="003A22B8" w:rsidP="004D65FE">
            <w:pPr>
              <w:keepNext/>
              <w:keepLines/>
              <w:spacing w:before="0"/>
              <w:jc w:val="right"/>
              <w:rPr>
                <w:rFonts w:cs="Open Sans Light"/>
                <w:sz w:val="16"/>
                <w:szCs w:val="16"/>
              </w:rPr>
            </w:pPr>
            <w:r>
              <w:rPr>
                <w:rFonts w:cs="Open Sans Light"/>
                <w:sz w:val="16"/>
                <w:szCs w:val="16"/>
              </w:rPr>
              <w:t>2,914</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E0EF324" w14:textId="77777777" w:rsidR="003A22B8" w:rsidRDefault="003A22B8" w:rsidP="004D65FE">
            <w:pPr>
              <w:keepNext/>
              <w:keepLines/>
              <w:spacing w:before="0"/>
              <w:jc w:val="right"/>
              <w:rPr>
                <w:rFonts w:cs="Open Sans Light"/>
                <w:sz w:val="16"/>
                <w:szCs w:val="16"/>
              </w:rPr>
            </w:pPr>
            <w:r>
              <w:rPr>
                <w:rFonts w:cs="Open Sans Light"/>
                <w:sz w:val="16"/>
                <w:szCs w:val="16"/>
              </w:rPr>
              <w:t>11,739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E928E15" w14:textId="77777777" w:rsidR="003A22B8" w:rsidRDefault="003A22B8" w:rsidP="004D65FE">
            <w:pPr>
              <w:keepNext/>
              <w:keepLines/>
              <w:spacing w:before="0"/>
              <w:jc w:val="right"/>
              <w:rPr>
                <w:rFonts w:cs="Open Sans Light"/>
                <w:sz w:val="16"/>
                <w:szCs w:val="16"/>
              </w:rPr>
            </w:pPr>
            <w:r>
              <w:rPr>
                <w:rFonts w:cs="Open Sans Light"/>
                <w:sz w:val="16"/>
                <w:szCs w:val="16"/>
              </w:rPr>
              <w:t>2,454</w:t>
            </w:r>
          </w:p>
        </w:tc>
      </w:tr>
      <w:tr w:rsidR="003A22B8" w14:paraId="7D9F79E1"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90E478B"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Per capita relativity</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13DB772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0.896</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65774DA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0.947</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2CEB509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1.031</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5A7EB46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0.516</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49DB923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1.458</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0784DD5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1.839</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0F2BFD2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1.188</w:t>
            </w:r>
          </w:p>
        </w:tc>
        <w:tc>
          <w:tcPr>
            <w:tcW w:w="82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259C14B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4.783</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6FD29B5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1.000</w:t>
            </w:r>
          </w:p>
        </w:tc>
      </w:tr>
    </w:tbl>
    <w:p w14:paraId="6A139C01" w14:textId="77777777" w:rsidR="003A22B8" w:rsidRDefault="003A22B8" w:rsidP="003A22B8">
      <w:pPr>
        <w:pStyle w:val="CGCTablenote"/>
      </w:pPr>
      <w:r>
        <w:t>Note:</w:t>
      </w:r>
      <w:r>
        <w:tab/>
        <w:t>Per capita relativities are equal to each State’s GST requirement divided by the average GST requirement.</w:t>
      </w:r>
    </w:p>
    <w:p w14:paraId="0D54C887" w14:textId="77777777" w:rsidR="003A22B8" w:rsidRDefault="003A22B8" w:rsidP="003A22B8">
      <w:pPr>
        <w:pStyle w:val="CGCTablenote"/>
      </w:pPr>
      <w:r>
        <w:t xml:space="preserve">Source: </w:t>
      </w:r>
      <w:r>
        <w:tab/>
        <w:t>CGC calculation.</w:t>
      </w:r>
    </w:p>
    <w:p w14:paraId="089DA7AE" w14:textId="62E79924" w:rsidR="003A22B8" w:rsidRDefault="003A22B8" w:rsidP="003A22B8">
      <w:pPr>
        <w:pStyle w:val="Caption"/>
      </w:pPr>
      <w:bookmarkStart w:id="654" w:name="_Ref30434065"/>
      <w:r>
        <w:lastRenderedPageBreak/>
        <w:t>Table 30-</w:t>
      </w:r>
      <w:fldSimple w:instr=" SEQ Table \* ARABIC ">
        <w:r w:rsidR="007F721A">
          <w:rPr>
            <w:noProof/>
          </w:rPr>
          <w:t>13</w:t>
        </w:r>
      </w:fldSimple>
      <w:bookmarkEnd w:id="654"/>
      <w:r>
        <w:tab/>
        <w:t>Per capita assessed expense differences from EPC, 2017-18</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1AC1CE27" w14:textId="77777777" w:rsidTr="004D65FE">
        <w:trPr>
          <w:trHeight w:val="340"/>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3368060" w14:textId="77777777" w:rsidR="003A22B8" w:rsidRDefault="003A22B8" w:rsidP="004D65FE">
            <w:pPr>
              <w:keepNext/>
              <w:keepLines/>
              <w:tabs>
                <w:tab w:val="clear" w:pos="567"/>
              </w:tabs>
              <w:spacing w:before="0" w:line="240" w:lineRule="auto"/>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CE7A542"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5DBBD2A1"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98C5BD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8ACB394"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472187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82290E8"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11E0D25"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8EAF764"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921A4F2"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005C03BB" w14:textId="77777777" w:rsidTr="005C340D">
        <w:trPr>
          <w:trHeight w:val="255"/>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80E79EC" w14:textId="77777777" w:rsidR="003A22B8" w:rsidRDefault="003A22B8" w:rsidP="004D65FE">
            <w:pPr>
              <w:keepNext/>
              <w:keepLines/>
              <w:spacing w:before="0"/>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E681EB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B6F0CF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E528D9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00EDCE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53D7E4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3226D7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ACD675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503100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18BEEF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5E7EB245"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507C9AA" w14:textId="77777777" w:rsidR="003A22B8" w:rsidRDefault="003A22B8" w:rsidP="004D65FE">
            <w:pPr>
              <w:keepNext/>
              <w:keepLines/>
              <w:spacing w:before="0"/>
              <w:ind w:left="142" w:hanging="142"/>
              <w:rPr>
                <w:rFonts w:cs="Open Sans Light"/>
                <w:sz w:val="16"/>
                <w:szCs w:val="16"/>
              </w:rPr>
            </w:pPr>
            <w:r>
              <w:rPr>
                <w:rFonts w:cs="Open Sans Light"/>
                <w:sz w:val="16"/>
                <w:szCs w:val="16"/>
              </w:rPr>
              <w:t>Schools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6D06974" w14:textId="77777777" w:rsidR="003A22B8" w:rsidRDefault="003A22B8" w:rsidP="004D65FE">
            <w:pPr>
              <w:keepNext/>
              <w:keepLines/>
              <w:spacing w:before="0"/>
              <w:jc w:val="right"/>
              <w:rPr>
                <w:rFonts w:cs="Open Sans Light"/>
                <w:sz w:val="16"/>
                <w:szCs w:val="16"/>
              </w:rPr>
            </w:pPr>
            <w:r>
              <w:rPr>
                <w:rFonts w:cs="Open Sans Light"/>
                <w:sz w:val="16"/>
                <w:szCs w:val="16"/>
              </w:rPr>
              <w:t>-25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46A888B" w14:textId="77777777" w:rsidR="003A22B8" w:rsidRDefault="003A22B8" w:rsidP="004D65FE">
            <w:pPr>
              <w:keepNext/>
              <w:keepLines/>
              <w:spacing w:before="0"/>
              <w:jc w:val="right"/>
              <w:rPr>
                <w:rFonts w:cs="Open Sans Light"/>
                <w:sz w:val="16"/>
                <w:szCs w:val="16"/>
              </w:rPr>
            </w:pPr>
            <w:r>
              <w:rPr>
                <w:rFonts w:cs="Open Sans Light"/>
                <w:sz w:val="16"/>
                <w:szCs w:val="16"/>
              </w:rPr>
              <w:t>-148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6050AA5" w14:textId="77777777" w:rsidR="003A22B8" w:rsidRDefault="003A22B8" w:rsidP="004D65FE">
            <w:pPr>
              <w:keepNext/>
              <w:keepLines/>
              <w:spacing w:before="0"/>
              <w:jc w:val="right"/>
              <w:rPr>
                <w:rFonts w:cs="Open Sans Light"/>
                <w:sz w:val="16"/>
                <w:szCs w:val="16"/>
              </w:rPr>
            </w:pPr>
            <w:r>
              <w:rPr>
                <w:rFonts w:cs="Open Sans Light"/>
                <w:sz w:val="16"/>
                <w:szCs w:val="16"/>
              </w:rPr>
              <w:t>133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A764717" w14:textId="77777777" w:rsidR="003A22B8" w:rsidRDefault="003A22B8" w:rsidP="004D65FE">
            <w:pPr>
              <w:keepNext/>
              <w:keepLines/>
              <w:spacing w:before="0"/>
              <w:jc w:val="right"/>
              <w:rPr>
                <w:rFonts w:cs="Open Sans Light"/>
                <w:sz w:val="16"/>
                <w:szCs w:val="16"/>
              </w:rPr>
            </w:pPr>
            <w:r>
              <w:rPr>
                <w:rFonts w:cs="Open Sans Light"/>
                <w:sz w:val="16"/>
                <w:szCs w:val="16"/>
              </w:rPr>
              <w:t>68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920D9A" w14:textId="77777777" w:rsidR="003A22B8" w:rsidRDefault="003A22B8" w:rsidP="004D65FE">
            <w:pPr>
              <w:keepNext/>
              <w:keepLines/>
              <w:spacing w:before="0"/>
              <w:jc w:val="right"/>
              <w:rPr>
                <w:rFonts w:cs="Open Sans Light"/>
                <w:sz w:val="16"/>
                <w:szCs w:val="16"/>
              </w:rPr>
            </w:pPr>
            <w:r>
              <w:rPr>
                <w:rFonts w:cs="Open Sans Light"/>
                <w:sz w:val="16"/>
                <w:szCs w:val="16"/>
              </w:rPr>
              <w:t>-45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C20BB65" w14:textId="77777777" w:rsidR="003A22B8" w:rsidRDefault="003A22B8" w:rsidP="004D65FE">
            <w:pPr>
              <w:keepNext/>
              <w:keepLines/>
              <w:spacing w:before="0"/>
              <w:jc w:val="right"/>
              <w:rPr>
                <w:rFonts w:cs="Open Sans Light"/>
                <w:sz w:val="16"/>
                <w:szCs w:val="16"/>
              </w:rPr>
            </w:pPr>
            <w:r>
              <w:rPr>
                <w:rFonts w:cs="Open Sans Light"/>
                <w:sz w:val="16"/>
                <w:szCs w:val="16"/>
              </w:rPr>
              <w:t>177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EC1BB20" w14:textId="77777777" w:rsidR="003A22B8" w:rsidRDefault="003A22B8" w:rsidP="004D65FE">
            <w:pPr>
              <w:keepNext/>
              <w:keepLines/>
              <w:spacing w:before="0"/>
              <w:jc w:val="right"/>
              <w:rPr>
                <w:rFonts w:cs="Open Sans Light"/>
                <w:sz w:val="16"/>
                <w:szCs w:val="16"/>
              </w:rPr>
            </w:pPr>
            <w:r>
              <w:rPr>
                <w:rFonts w:cs="Open Sans Light"/>
                <w:sz w:val="16"/>
                <w:szCs w:val="16"/>
              </w:rPr>
              <w:t>-106</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34A59F" w14:textId="77777777" w:rsidR="003A22B8" w:rsidRDefault="003A22B8" w:rsidP="004D65FE">
            <w:pPr>
              <w:keepNext/>
              <w:keepLines/>
              <w:spacing w:before="0"/>
              <w:jc w:val="right"/>
              <w:rPr>
                <w:rFonts w:cs="Open Sans Light"/>
                <w:sz w:val="16"/>
                <w:szCs w:val="16"/>
              </w:rPr>
            </w:pPr>
            <w:r>
              <w:rPr>
                <w:rFonts w:cs="Open Sans Light"/>
                <w:sz w:val="16"/>
                <w:szCs w:val="16"/>
              </w:rPr>
              <w:t>1,366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3C2AD4A"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4B3C9099"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D89D85C" w14:textId="77777777" w:rsidR="003A22B8" w:rsidRDefault="003A22B8" w:rsidP="004D65FE">
            <w:pPr>
              <w:keepNext/>
              <w:keepLines/>
              <w:spacing w:before="0"/>
              <w:ind w:left="142" w:hanging="142"/>
              <w:rPr>
                <w:rFonts w:cs="Open Sans Light"/>
                <w:sz w:val="16"/>
                <w:szCs w:val="16"/>
              </w:rPr>
            </w:pPr>
            <w:r>
              <w:rPr>
                <w:rFonts w:cs="Open Sans Light"/>
                <w:sz w:val="16"/>
                <w:szCs w:val="16"/>
              </w:rPr>
              <w:t>Post-secondary education</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C3E0C59" w14:textId="77777777" w:rsidR="003A22B8" w:rsidRDefault="003A22B8" w:rsidP="004D65FE">
            <w:pPr>
              <w:keepNext/>
              <w:keepLines/>
              <w:spacing w:before="0"/>
              <w:jc w:val="right"/>
              <w:rPr>
                <w:rFonts w:cs="Open Sans Light"/>
                <w:sz w:val="16"/>
                <w:szCs w:val="16"/>
              </w:rPr>
            </w:pPr>
            <w:r>
              <w:rPr>
                <w:rFonts w:cs="Open Sans Light"/>
                <w:sz w:val="16"/>
                <w:szCs w:val="16"/>
              </w:rPr>
              <w:t>-4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36CA4C0" w14:textId="77777777" w:rsidR="003A22B8" w:rsidRDefault="003A22B8" w:rsidP="004D65FE">
            <w:pPr>
              <w:keepNext/>
              <w:keepLines/>
              <w:spacing w:before="0"/>
              <w:jc w:val="right"/>
              <w:rPr>
                <w:rFonts w:cs="Open Sans Light"/>
                <w:sz w:val="16"/>
                <w:szCs w:val="16"/>
              </w:rPr>
            </w:pPr>
            <w:r>
              <w:rPr>
                <w:rFonts w:cs="Open Sans Light"/>
                <w:sz w:val="16"/>
                <w:szCs w:val="16"/>
              </w:rPr>
              <w:t>-9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9F91B51" w14:textId="77777777" w:rsidR="003A22B8" w:rsidRDefault="003A22B8" w:rsidP="004D65FE">
            <w:pPr>
              <w:keepNext/>
              <w:keepLines/>
              <w:spacing w:before="0"/>
              <w:jc w:val="right"/>
              <w:rPr>
                <w:rFonts w:cs="Open Sans Light"/>
                <w:sz w:val="16"/>
                <w:szCs w:val="16"/>
              </w:rPr>
            </w:pPr>
            <w:r>
              <w:rPr>
                <w:rFonts w:cs="Open Sans Light"/>
                <w:sz w:val="16"/>
                <w:szCs w:val="16"/>
              </w:rPr>
              <w:t>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499A36F" w14:textId="77777777" w:rsidR="003A22B8" w:rsidRDefault="003A22B8" w:rsidP="004D65FE">
            <w:pPr>
              <w:keepNext/>
              <w:keepLines/>
              <w:spacing w:before="0"/>
              <w:jc w:val="right"/>
              <w:rPr>
                <w:rFonts w:cs="Open Sans Light"/>
                <w:sz w:val="16"/>
                <w:szCs w:val="16"/>
              </w:rPr>
            </w:pPr>
            <w:r>
              <w:rPr>
                <w:rFonts w:cs="Open Sans Light"/>
                <w:sz w:val="16"/>
                <w:szCs w:val="16"/>
              </w:rPr>
              <w:t>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51F84DC"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538B3DA" w14:textId="77777777" w:rsidR="003A22B8" w:rsidRDefault="003A22B8" w:rsidP="004D65FE">
            <w:pPr>
              <w:keepNext/>
              <w:keepLines/>
              <w:spacing w:before="0"/>
              <w:jc w:val="right"/>
              <w:rPr>
                <w:rFonts w:cs="Open Sans Light"/>
                <w:sz w:val="16"/>
                <w:szCs w:val="16"/>
              </w:rPr>
            </w:pPr>
            <w:r>
              <w:rPr>
                <w:rFonts w:cs="Open Sans Light"/>
                <w:sz w:val="16"/>
                <w:szCs w:val="16"/>
              </w:rPr>
              <w:t>27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B589A6C" w14:textId="77777777" w:rsidR="003A22B8" w:rsidRDefault="003A22B8" w:rsidP="004D65FE">
            <w:pPr>
              <w:keepNext/>
              <w:keepLines/>
              <w:spacing w:before="0"/>
              <w:jc w:val="right"/>
              <w:rPr>
                <w:rFonts w:cs="Open Sans Light"/>
                <w:sz w:val="16"/>
                <w:szCs w:val="16"/>
              </w:rPr>
            </w:pPr>
            <w:r>
              <w:rPr>
                <w:rFonts w:cs="Open Sans Light"/>
                <w:sz w:val="16"/>
                <w:szCs w:val="16"/>
              </w:rPr>
              <w:t>-7</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128EE30" w14:textId="77777777" w:rsidR="003A22B8" w:rsidRDefault="003A22B8" w:rsidP="004D65FE">
            <w:pPr>
              <w:keepNext/>
              <w:keepLines/>
              <w:spacing w:before="0"/>
              <w:jc w:val="right"/>
              <w:rPr>
                <w:rFonts w:cs="Open Sans Light"/>
                <w:sz w:val="16"/>
                <w:szCs w:val="16"/>
              </w:rPr>
            </w:pPr>
            <w:r>
              <w:rPr>
                <w:rFonts w:cs="Open Sans Light"/>
                <w:sz w:val="16"/>
                <w:szCs w:val="16"/>
              </w:rPr>
              <w:t>166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A466FD2"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0A671DEA"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841818" w14:textId="77777777" w:rsidR="003A22B8" w:rsidRDefault="003A22B8" w:rsidP="004D65FE">
            <w:pPr>
              <w:keepNext/>
              <w:keepLines/>
              <w:spacing w:before="0"/>
              <w:ind w:left="142" w:hanging="142"/>
              <w:rPr>
                <w:rFonts w:cs="Open Sans Light"/>
                <w:sz w:val="16"/>
                <w:szCs w:val="16"/>
              </w:rPr>
            </w:pPr>
            <w:r>
              <w:rPr>
                <w:rFonts w:cs="Open Sans Light"/>
                <w:sz w:val="16"/>
                <w:szCs w:val="16"/>
              </w:rPr>
              <w:t>Health</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F9D3ABD" w14:textId="77777777" w:rsidR="003A22B8" w:rsidRDefault="003A22B8" w:rsidP="004D65FE">
            <w:pPr>
              <w:keepNext/>
              <w:keepLines/>
              <w:spacing w:before="0"/>
              <w:jc w:val="right"/>
              <w:rPr>
                <w:rFonts w:cs="Open Sans Light"/>
                <w:sz w:val="16"/>
                <w:szCs w:val="16"/>
              </w:rPr>
            </w:pPr>
            <w:r>
              <w:rPr>
                <w:rFonts w:cs="Open Sans Light"/>
                <w:sz w:val="16"/>
                <w:szCs w:val="16"/>
              </w:rPr>
              <w:t>-66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DE365C3" w14:textId="77777777" w:rsidR="003A22B8" w:rsidRDefault="003A22B8" w:rsidP="004D65FE">
            <w:pPr>
              <w:keepNext/>
              <w:keepLines/>
              <w:spacing w:before="0"/>
              <w:jc w:val="right"/>
              <w:rPr>
                <w:rFonts w:cs="Open Sans Light"/>
                <w:sz w:val="16"/>
                <w:szCs w:val="16"/>
              </w:rPr>
            </w:pPr>
            <w:r>
              <w:rPr>
                <w:rFonts w:cs="Open Sans Light"/>
                <w:sz w:val="16"/>
                <w:szCs w:val="16"/>
              </w:rPr>
              <w:t>-142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7C3C27B" w14:textId="77777777" w:rsidR="003A22B8" w:rsidRDefault="003A22B8" w:rsidP="004D65FE">
            <w:pPr>
              <w:keepNext/>
              <w:keepLines/>
              <w:spacing w:before="0"/>
              <w:jc w:val="right"/>
              <w:rPr>
                <w:rFonts w:cs="Open Sans Light"/>
                <w:sz w:val="16"/>
                <w:szCs w:val="16"/>
              </w:rPr>
            </w:pPr>
            <w:r>
              <w:rPr>
                <w:rFonts w:cs="Open Sans Light"/>
                <w:sz w:val="16"/>
                <w:szCs w:val="16"/>
              </w:rPr>
              <w:t>60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08BDF4" w14:textId="77777777" w:rsidR="003A22B8" w:rsidRDefault="003A22B8" w:rsidP="004D65FE">
            <w:pPr>
              <w:keepNext/>
              <w:keepLines/>
              <w:spacing w:before="0"/>
              <w:jc w:val="right"/>
              <w:rPr>
                <w:rFonts w:cs="Open Sans Light"/>
                <w:sz w:val="16"/>
                <w:szCs w:val="16"/>
              </w:rPr>
            </w:pPr>
            <w:r>
              <w:rPr>
                <w:rFonts w:cs="Open Sans Light"/>
                <w:sz w:val="16"/>
                <w:szCs w:val="16"/>
              </w:rPr>
              <w:t>49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6C083E" w14:textId="77777777" w:rsidR="003A22B8" w:rsidRDefault="003A22B8" w:rsidP="004D65FE">
            <w:pPr>
              <w:keepNext/>
              <w:keepLines/>
              <w:spacing w:before="0"/>
              <w:jc w:val="right"/>
              <w:rPr>
                <w:rFonts w:cs="Open Sans Light"/>
                <w:sz w:val="16"/>
                <w:szCs w:val="16"/>
              </w:rPr>
            </w:pPr>
            <w:r>
              <w:rPr>
                <w:rFonts w:cs="Open Sans Light"/>
                <w:sz w:val="16"/>
                <w:szCs w:val="16"/>
              </w:rPr>
              <w:t>152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84FAC1" w14:textId="77777777" w:rsidR="003A22B8" w:rsidRDefault="003A22B8" w:rsidP="004D65FE">
            <w:pPr>
              <w:keepNext/>
              <w:keepLines/>
              <w:spacing w:before="0"/>
              <w:jc w:val="right"/>
              <w:rPr>
                <w:rFonts w:cs="Open Sans Light"/>
                <w:sz w:val="16"/>
                <w:szCs w:val="16"/>
              </w:rPr>
            </w:pPr>
            <w:r>
              <w:rPr>
                <w:rFonts w:cs="Open Sans Light"/>
                <w:sz w:val="16"/>
                <w:szCs w:val="16"/>
              </w:rPr>
              <w:t>675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949BDA" w14:textId="77777777" w:rsidR="003A22B8" w:rsidRDefault="003A22B8" w:rsidP="004D65FE">
            <w:pPr>
              <w:keepNext/>
              <w:keepLines/>
              <w:spacing w:before="0"/>
              <w:jc w:val="right"/>
              <w:rPr>
                <w:rFonts w:cs="Open Sans Light"/>
                <w:sz w:val="16"/>
                <w:szCs w:val="16"/>
              </w:rPr>
            </w:pPr>
            <w:r>
              <w:rPr>
                <w:rFonts w:cs="Open Sans Light"/>
                <w:sz w:val="16"/>
                <w:szCs w:val="16"/>
              </w:rPr>
              <w:t>-321</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2BB697" w14:textId="77777777" w:rsidR="003A22B8" w:rsidRDefault="003A22B8" w:rsidP="004D65FE">
            <w:pPr>
              <w:keepNext/>
              <w:keepLines/>
              <w:spacing w:before="0"/>
              <w:jc w:val="right"/>
              <w:rPr>
                <w:rFonts w:cs="Open Sans Light"/>
                <w:sz w:val="16"/>
                <w:szCs w:val="16"/>
              </w:rPr>
            </w:pPr>
            <w:r>
              <w:rPr>
                <w:rFonts w:cs="Open Sans Light"/>
                <w:sz w:val="16"/>
                <w:szCs w:val="16"/>
              </w:rPr>
              <w:t>2,107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0881C4"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51B9DBE9"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0F34817" w14:textId="77777777" w:rsidR="003A22B8" w:rsidRDefault="003A22B8" w:rsidP="004D65FE">
            <w:pPr>
              <w:keepNext/>
              <w:keepLines/>
              <w:spacing w:before="0"/>
              <w:ind w:left="142" w:hanging="142"/>
              <w:rPr>
                <w:rFonts w:cs="Open Sans Light"/>
                <w:sz w:val="16"/>
                <w:szCs w:val="16"/>
              </w:rPr>
            </w:pPr>
            <w:r>
              <w:rPr>
                <w:rFonts w:cs="Open Sans Light"/>
                <w:sz w:val="16"/>
                <w:szCs w:val="16"/>
              </w:rPr>
              <w:t>Housing</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0216909" w14:textId="77777777" w:rsidR="003A22B8" w:rsidRDefault="003A22B8" w:rsidP="004D65FE">
            <w:pPr>
              <w:keepNext/>
              <w:keepLines/>
              <w:spacing w:before="0"/>
              <w:jc w:val="right"/>
              <w:rPr>
                <w:rFonts w:cs="Open Sans Light"/>
                <w:sz w:val="16"/>
                <w:szCs w:val="16"/>
              </w:rPr>
            </w:pPr>
            <w:r>
              <w:rPr>
                <w:rFonts w:cs="Open Sans Light"/>
                <w:sz w:val="16"/>
                <w:szCs w:val="16"/>
              </w:rPr>
              <w:t>-9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C7271C" w14:textId="77777777" w:rsidR="003A22B8" w:rsidRDefault="003A22B8" w:rsidP="004D65FE">
            <w:pPr>
              <w:keepNext/>
              <w:keepLines/>
              <w:spacing w:before="0"/>
              <w:jc w:val="right"/>
              <w:rPr>
                <w:rFonts w:cs="Open Sans Light"/>
                <w:sz w:val="16"/>
                <w:szCs w:val="16"/>
              </w:rPr>
            </w:pPr>
            <w:r>
              <w:rPr>
                <w:rFonts w:cs="Open Sans Light"/>
                <w:sz w:val="16"/>
                <w:szCs w:val="16"/>
              </w:rPr>
              <w:t>-21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F34106D" w14:textId="77777777" w:rsidR="003A22B8" w:rsidRDefault="003A22B8" w:rsidP="004D65FE">
            <w:pPr>
              <w:keepNext/>
              <w:keepLines/>
              <w:spacing w:before="0"/>
              <w:jc w:val="right"/>
              <w:rPr>
                <w:rFonts w:cs="Open Sans Light"/>
                <w:sz w:val="16"/>
                <w:szCs w:val="16"/>
              </w:rPr>
            </w:pPr>
            <w:r>
              <w:rPr>
                <w:rFonts w:cs="Open Sans Light"/>
                <w:sz w:val="16"/>
                <w:szCs w:val="16"/>
              </w:rPr>
              <w:t>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B66F0C1" w14:textId="77777777" w:rsidR="003A22B8" w:rsidRDefault="003A22B8" w:rsidP="004D65FE">
            <w:pPr>
              <w:keepNext/>
              <w:keepLines/>
              <w:spacing w:before="0"/>
              <w:jc w:val="right"/>
              <w:rPr>
                <w:rFonts w:cs="Open Sans Light"/>
                <w:sz w:val="16"/>
                <w:szCs w:val="16"/>
              </w:rPr>
            </w:pPr>
            <w:r>
              <w:rPr>
                <w:rFonts w:cs="Open Sans Light"/>
                <w:sz w:val="16"/>
                <w:szCs w:val="16"/>
              </w:rPr>
              <w:t>19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72ED6B6" w14:textId="77777777" w:rsidR="003A22B8" w:rsidRDefault="003A22B8" w:rsidP="004D65FE">
            <w:pPr>
              <w:keepNext/>
              <w:keepLines/>
              <w:spacing w:before="0"/>
              <w:jc w:val="right"/>
              <w:rPr>
                <w:rFonts w:cs="Open Sans Light"/>
                <w:sz w:val="16"/>
                <w:szCs w:val="16"/>
              </w:rPr>
            </w:pPr>
            <w:r>
              <w:rPr>
                <w:rFonts w:cs="Open Sans Light"/>
                <w:sz w:val="16"/>
                <w:szCs w:val="16"/>
              </w:rPr>
              <w:t>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AEFB93E" w14:textId="77777777" w:rsidR="003A22B8" w:rsidRDefault="003A22B8" w:rsidP="004D65FE">
            <w:pPr>
              <w:keepNext/>
              <w:keepLines/>
              <w:spacing w:before="0"/>
              <w:jc w:val="right"/>
              <w:rPr>
                <w:rFonts w:cs="Open Sans Light"/>
                <w:sz w:val="16"/>
                <w:szCs w:val="16"/>
              </w:rPr>
            </w:pPr>
            <w:r>
              <w:rPr>
                <w:rFonts w:cs="Open Sans Light"/>
                <w:sz w:val="16"/>
                <w:szCs w:val="16"/>
              </w:rPr>
              <w:t>17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9A2510B" w14:textId="77777777" w:rsidR="003A22B8" w:rsidRDefault="003A22B8" w:rsidP="004D65FE">
            <w:pPr>
              <w:keepNext/>
              <w:keepLines/>
              <w:spacing w:before="0"/>
              <w:jc w:val="right"/>
              <w:rPr>
                <w:rFonts w:cs="Open Sans Light"/>
                <w:sz w:val="16"/>
                <w:szCs w:val="16"/>
              </w:rPr>
            </w:pPr>
            <w:r>
              <w:rPr>
                <w:rFonts w:cs="Open Sans Light"/>
                <w:sz w:val="16"/>
                <w:szCs w:val="16"/>
              </w:rPr>
              <w:t>-38</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30C04D1" w14:textId="77777777" w:rsidR="003A22B8" w:rsidRDefault="003A22B8" w:rsidP="004D65FE">
            <w:pPr>
              <w:keepNext/>
              <w:keepLines/>
              <w:spacing w:before="0"/>
              <w:jc w:val="right"/>
              <w:rPr>
                <w:rFonts w:cs="Open Sans Light"/>
                <w:sz w:val="16"/>
                <w:szCs w:val="16"/>
              </w:rPr>
            </w:pPr>
            <w:r>
              <w:rPr>
                <w:rFonts w:cs="Open Sans Light"/>
                <w:sz w:val="16"/>
                <w:szCs w:val="16"/>
              </w:rPr>
              <w:t>397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F217607"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7C899922"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2364CAA" w14:textId="77777777" w:rsidR="003A22B8" w:rsidRDefault="003A22B8" w:rsidP="004D65FE">
            <w:pPr>
              <w:keepNext/>
              <w:keepLines/>
              <w:spacing w:before="0"/>
              <w:ind w:left="142" w:hanging="142"/>
              <w:rPr>
                <w:rFonts w:cs="Open Sans Light"/>
                <w:sz w:val="16"/>
                <w:szCs w:val="16"/>
              </w:rPr>
            </w:pPr>
            <w:r>
              <w:rPr>
                <w:rFonts w:cs="Open Sans Light"/>
                <w:sz w:val="16"/>
                <w:szCs w:val="16"/>
              </w:rPr>
              <w:t>Welfare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27F97C" w14:textId="77777777" w:rsidR="003A22B8" w:rsidRDefault="003A22B8" w:rsidP="004D65FE">
            <w:pPr>
              <w:keepNext/>
              <w:keepLines/>
              <w:spacing w:before="0"/>
              <w:jc w:val="right"/>
              <w:rPr>
                <w:rFonts w:cs="Open Sans Light"/>
                <w:sz w:val="16"/>
                <w:szCs w:val="16"/>
              </w:rPr>
            </w:pPr>
            <w:r>
              <w:rPr>
                <w:rFonts w:cs="Open Sans Light"/>
                <w:sz w:val="16"/>
                <w:szCs w:val="16"/>
              </w:rPr>
              <w:t>-2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9B0130" w14:textId="77777777" w:rsidR="003A22B8" w:rsidRDefault="003A22B8" w:rsidP="004D65FE">
            <w:pPr>
              <w:keepNext/>
              <w:keepLines/>
              <w:spacing w:before="0"/>
              <w:jc w:val="right"/>
              <w:rPr>
                <w:rFonts w:cs="Open Sans Light"/>
                <w:sz w:val="16"/>
                <w:szCs w:val="16"/>
              </w:rPr>
            </w:pPr>
            <w:r>
              <w:rPr>
                <w:rFonts w:cs="Open Sans Light"/>
                <w:sz w:val="16"/>
                <w:szCs w:val="16"/>
              </w:rPr>
              <w:t>-86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5893A92" w14:textId="77777777" w:rsidR="003A22B8" w:rsidRDefault="003A22B8" w:rsidP="004D65FE">
            <w:pPr>
              <w:keepNext/>
              <w:keepLines/>
              <w:spacing w:before="0"/>
              <w:jc w:val="right"/>
              <w:rPr>
                <w:rFonts w:cs="Open Sans Light"/>
                <w:sz w:val="16"/>
                <w:szCs w:val="16"/>
              </w:rPr>
            </w:pPr>
            <w:r>
              <w:rPr>
                <w:rFonts w:cs="Open Sans Light"/>
                <w:sz w:val="16"/>
                <w:szCs w:val="16"/>
              </w:rPr>
              <w:t>50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98CC5B" w14:textId="77777777" w:rsidR="003A22B8" w:rsidRDefault="003A22B8" w:rsidP="004D65FE">
            <w:pPr>
              <w:keepNext/>
              <w:keepLines/>
              <w:spacing w:before="0"/>
              <w:jc w:val="right"/>
              <w:rPr>
                <w:rFonts w:cs="Open Sans Light"/>
                <w:sz w:val="16"/>
                <w:szCs w:val="16"/>
              </w:rPr>
            </w:pPr>
            <w:r>
              <w:rPr>
                <w:rFonts w:cs="Open Sans Light"/>
                <w:sz w:val="16"/>
                <w:szCs w:val="16"/>
              </w:rPr>
              <w:t>14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CE48651" w14:textId="77777777" w:rsidR="003A22B8" w:rsidRDefault="003A22B8" w:rsidP="004D65FE">
            <w:pPr>
              <w:keepNext/>
              <w:keepLines/>
              <w:spacing w:before="0"/>
              <w:jc w:val="right"/>
              <w:rPr>
                <w:rFonts w:cs="Open Sans Light"/>
                <w:sz w:val="16"/>
                <w:szCs w:val="16"/>
              </w:rPr>
            </w:pPr>
            <w:r>
              <w:rPr>
                <w:rFonts w:cs="Open Sans Light"/>
                <w:sz w:val="16"/>
                <w:szCs w:val="16"/>
              </w:rPr>
              <w:t>21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601A14C" w14:textId="77777777" w:rsidR="003A22B8" w:rsidRDefault="003A22B8" w:rsidP="004D65FE">
            <w:pPr>
              <w:keepNext/>
              <w:keepLines/>
              <w:spacing w:before="0"/>
              <w:jc w:val="right"/>
              <w:rPr>
                <w:rFonts w:cs="Open Sans Light"/>
                <w:sz w:val="16"/>
                <w:szCs w:val="16"/>
              </w:rPr>
            </w:pPr>
            <w:r>
              <w:rPr>
                <w:rFonts w:cs="Open Sans Light"/>
                <w:sz w:val="16"/>
                <w:szCs w:val="16"/>
              </w:rPr>
              <w:t>124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95D294" w14:textId="77777777" w:rsidR="003A22B8" w:rsidRDefault="003A22B8" w:rsidP="004D65FE">
            <w:pPr>
              <w:keepNext/>
              <w:keepLines/>
              <w:spacing w:before="0"/>
              <w:jc w:val="right"/>
              <w:rPr>
                <w:rFonts w:cs="Open Sans Light"/>
                <w:sz w:val="16"/>
                <w:szCs w:val="16"/>
              </w:rPr>
            </w:pPr>
            <w:r>
              <w:rPr>
                <w:rFonts w:cs="Open Sans Light"/>
                <w:sz w:val="16"/>
                <w:szCs w:val="16"/>
              </w:rPr>
              <w:t>-130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9BC35CE" w14:textId="77777777" w:rsidR="003A22B8" w:rsidRDefault="003A22B8" w:rsidP="004D65FE">
            <w:pPr>
              <w:keepNext/>
              <w:keepLines/>
              <w:spacing w:before="0"/>
              <w:jc w:val="right"/>
              <w:rPr>
                <w:rFonts w:cs="Open Sans Light"/>
                <w:sz w:val="16"/>
                <w:szCs w:val="16"/>
              </w:rPr>
            </w:pPr>
            <w:r>
              <w:rPr>
                <w:rFonts w:cs="Open Sans Light"/>
                <w:sz w:val="16"/>
                <w:szCs w:val="16"/>
              </w:rPr>
              <w:t>946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46908F5"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3508FF57"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5C4B08D" w14:textId="77777777" w:rsidR="003A22B8" w:rsidRDefault="003A22B8" w:rsidP="004D65FE">
            <w:pPr>
              <w:keepNext/>
              <w:keepLines/>
              <w:spacing w:before="0"/>
              <w:ind w:left="142" w:hanging="142"/>
              <w:rPr>
                <w:rFonts w:cs="Open Sans Light"/>
                <w:sz w:val="16"/>
                <w:szCs w:val="16"/>
              </w:rPr>
            </w:pPr>
            <w:r>
              <w:rPr>
                <w:rFonts w:cs="Open Sans Light"/>
                <w:sz w:val="16"/>
                <w:szCs w:val="16"/>
              </w:rPr>
              <w:t>Services to communities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5B5ED29" w14:textId="77777777" w:rsidR="003A22B8" w:rsidRDefault="003A22B8" w:rsidP="004D65FE">
            <w:pPr>
              <w:keepNext/>
              <w:keepLines/>
              <w:spacing w:before="0"/>
              <w:jc w:val="right"/>
              <w:rPr>
                <w:rFonts w:cs="Open Sans Light"/>
                <w:sz w:val="16"/>
                <w:szCs w:val="16"/>
              </w:rPr>
            </w:pPr>
            <w:r>
              <w:rPr>
                <w:rFonts w:cs="Open Sans Light"/>
                <w:sz w:val="16"/>
                <w:szCs w:val="16"/>
              </w:rPr>
              <w:t>-24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F5812DD" w14:textId="77777777" w:rsidR="003A22B8" w:rsidRDefault="003A22B8" w:rsidP="004D65FE">
            <w:pPr>
              <w:keepNext/>
              <w:keepLines/>
              <w:spacing w:before="0"/>
              <w:jc w:val="right"/>
              <w:rPr>
                <w:rFonts w:cs="Open Sans Light"/>
                <w:sz w:val="16"/>
                <w:szCs w:val="16"/>
              </w:rPr>
            </w:pPr>
            <w:r>
              <w:rPr>
                <w:rFonts w:cs="Open Sans Light"/>
                <w:sz w:val="16"/>
                <w:szCs w:val="16"/>
              </w:rPr>
              <w:t>-31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0D88161" w14:textId="77777777" w:rsidR="003A22B8" w:rsidRDefault="003A22B8" w:rsidP="004D65FE">
            <w:pPr>
              <w:keepNext/>
              <w:keepLines/>
              <w:spacing w:before="0"/>
              <w:jc w:val="right"/>
              <w:rPr>
                <w:rFonts w:cs="Open Sans Light"/>
                <w:sz w:val="16"/>
                <w:szCs w:val="16"/>
              </w:rPr>
            </w:pPr>
            <w:r>
              <w:rPr>
                <w:rFonts w:cs="Open Sans Light"/>
                <w:sz w:val="16"/>
                <w:szCs w:val="16"/>
              </w:rPr>
              <w:t>13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CE81898" w14:textId="77777777" w:rsidR="003A22B8" w:rsidRDefault="003A22B8" w:rsidP="004D65FE">
            <w:pPr>
              <w:keepNext/>
              <w:keepLines/>
              <w:spacing w:before="0"/>
              <w:jc w:val="right"/>
              <w:rPr>
                <w:rFonts w:cs="Open Sans Light"/>
                <w:sz w:val="16"/>
                <w:szCs w:val="16"/>
              </w:rPr>
            </w:pPr>
            <w:r>
              <w:rPr>
                <w:rFonts w:cs="Open Sans Light"/>
                <w:sz w:val="16"/>
                <w:szCs w:val="16"/>
              </w:rPr>
              <w:t>44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F043518" w14:textId="77777777" w:rsidR="003A22B8" w:rsidRDefault="003A22B8" w:rsidP="004D65FE">
            <w:pPr>
              <w:keepNext/>
              <w:keepLines/>
              <w:spacing w:before="0"/>
              <w:jc w:val="right"/>
              <w:rPr>
                <w:rFonts w:cs="Open Sans Light"/>
                <w:sz w:val="16"/>
                <w:szCs w:val="16"/>
              </w:rPr>
            </w:pPr>
            <w:r>
              <w:rPr>
                <w:rFonts w:cs="Open Sans Light"/>
                <w:sz w:val="16"/>
                <w:szCs w:val="16"/>
              </w:rPr>
              <w:t>-2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F75AFB4" w14:textId="77777777" w:rsidR="003A22B8" w:rsidRDefault="003A22B8" w:rsidP="004D65FE">
            <w:pPr>
              <w:keepNext/>
              <w:keepLines/>
              <w:spacing w:before="0"/>
              <w:jc w:val="right"/>
              <w:rPr>
                <w:rFonts w:cs="Open Sans Light"/>
                <w:sz w:val="16"/>
                <w:szCs w:val="16"/>
              </w:rPr>
            </w:pPr>
            <w:r>
              <w:rPr>
                <w:rFonts w:cs="Open Sans Light"/>
                <w:sz w:val="16"/>
                <w:szCs w:val="16"/>
              </w:rPr>
              <w:t>-1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0E23D40" w14:textId="77777777" w:rsidR="003A22B8" w:rsidRDefault="003A22B8" w:rsidP="004D65FE">
            <w:pPr>
              <w:keepNext/>
              <w:keepLines/>
              <w:spacing w:before="0"/>
              <w:jc w:val="right"/>
              <w:rPr>
                <w:rFonts w:cs="Open Sans Light"/>
                <w:sz w:val="16"/>
                <w:szCs w:val="16"/>
              </w:rPr>
            </w:pPr>
            <w:r>
              <w:rPr>
                <w:rFonts w:cs="Open Sans Light"/>
                <w:sz w:val="16"/>
                <w:szCs w:val="16"/>
              </w:rPr>
              <w:t>-27</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2545DDA" w14:textId="77777777" w:rsidR="003A22B8" w:rsidRDefault="003A22B8" w:rsidP="004D65FE">
            <w:pPr>
              <w:keepNext/>
              <w:keepLines/>
              <w:spacing w:before="0"/>
              <w:jc w:val="right"/>
              <w:rPr>
                <w:rFonts w:cs="Open Sans Light"/>
                <w:sz w:val="16"/>
                <w:szCs w:val="16"/>
              </w:rPr>
            </w:pPr>
            <w:r>
              <w:rPr>
                <w:rFonts w:cs="Open Sans Light"/>
                <w:sz w:val="16"/>
                <w:szCs w:val="16"/>
              </w:rPr>
              <w:t>900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9A11E01"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1207764D"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387836" w14:textId="77777777" w:rsidR="003A22B8" w:rsidRDefault="003A22B8" w:rsidP="004D65FE">
            <w:pPr>
              <w:keepNext/>
              <w:keepLines/>
              <w:spacing w:before="0"/>
              <w:ind w:left="142" w:hanging="142"/>
              <w:rPr>
                <w:rFonts w:cs="Open Sans Light"/>
                <w:sz w:val="16"/>
                <w:szCs w:val="16"/>
              </w:rPr>
            </w:pPr>
            <w:r>
              <w:rPr>
                <w:rFonts w:cs="Open Sans Light"/>
                <w:sz w:val="16"/>
                <w:szCs w:val="16"/>
              </w:rPr>
              <w:t>Justice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2686DA8" w14:textId="77777777" w:rsidR="003A22B8" w:rsidRDefault="003A22B8" w:rsidP="004D65FE">
            <w:pPr>
              <w:keepNext/>
              <w:keepLines/>
              <w:spacing w:before="0"/>
              <w:jc w:val="right"/>
              <w:rPr>
                <w:rFonts w:cs="Open Sans Light"/>
                <w:sz w:val="16"/>
                <w:szCs w:val="16"/>
              </w:rPr>
            </w:pPr>
            <w:r>
              <w:rPr>
                <w:rFonts w:cs="Open Sans Light"/>
                <w:sz w:val="16"/>
                <w:szCs w:val="16"/>
              </w:rPr>
              <w:t>-24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B43AF29" w14:textId="77777777" w:rsidR="003A22B8" w:rsidRDefault="003A22B8" w:rsidP="004D65FE">
            <w:pPr>
              <w:keepNext/>
              <w:keepLines/>
              <w:spacing w:before="0"/>
              <w:jc w:val="right"/>
              <w:rPr>
                <w:rFonts w:cs="Open Sans Light"/>
                <w:sz w:val="16"/>
                <w:szCs w:val="16"/>
              </w:rPr>
            </w:pPr>
            <w:r>
              <w:rPr>
                <w:rFonts w:cs="Open Sans Light"/>
                <w:sz w:val="16"/>
                <w:szCs w:val="16"/>
              </w:rPr>
              <w:t>-98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A3654D" w14:textId="77777777" w:rsidR="003A22B8" w:rsidRDefault="003A22B8" w:rsidP="004D65FE">
            <w:pPr>
              <w:keepNext/>
              <w:keepLines/>
              <w:spacing w:before="0"/>
              <w:jc w:val="right"/>
              <w:rPr>
                <w:rFonts w:cs="Open Sans Light"/>
                <w:sz w:val="16"/>
                <w:szCs w:val="16"/>
              </w:rPr>
            </w:pPr>
            <w:r>
              <w:rPr>
                <w:rFonts w:cs="Open Sans Light"/>
                <w:sz w:val="16"/>
                <w:szCs w:val="16"/>
              </w:rPr>
              <w:t>51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D7217A9" w14:textId="77777777" w:rsidR="003A22B8" w:rsidRDefault="003A22B8" w:rsidP="004D65FE">
            <w:pPr>
              <w:keepNext/>
              <w:keepLines/>
              <w:spacing w:before="0"/>
              <w:jc w:val="right"/>
              <w:rPr>
                <w:rFonts w:cs="Open Sans Light"/>
                <w:sz w:val="16"/>
                <w:szCs w:val="16"/>
              </w:rPr>
            </w:pPr>
            <w:r>
              <w:rPr>
                <w:rFonts w:cs="Open Sans Light"/>
                <w:sz w:val="16"/>
                <w:szCs w:val="16"/>
              </w:rPr>
              <w:t>54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027C52" w14:textId="77777777" w:rsidR="003A22B8" w:rsidRDefault="003A22B8" w:rsidP="004D65FE">
            <w:pPr>
              <w:keepNext/>
              <w:keepLines/>
              <w:spacing w:before="0"/>
              <w:jc w:val="right"/>
              <w:rPr>
                <w:rFonts w:cs="Open Sans Light"/>
                <w:sz w:val="16"/>
                <w:szCs w:val="16"/>
              </w:rPr>
            </w:pPr>
            <w:r>
              <w:rPr>
                <w:rFonts w:cs="Open Sans Light"/>
                <w:sz w:val="16"/>
                <w:szCs w:val="16"/>
              </w:rPr>
              <w:t>-5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682C09" w14:textId="77777777" w:rsidR="003A22B8" w:rsidRDefault="003A22B8" w:rsidP="004D65FE">
            <w:pPr>
              <w:keepNext/>
              <w:keepLines/>
              <w:spacing w:before="0"/>
              <w:jc w:val="right"/>
              <w:rPr>
                <w:rFonts w:cs="Open Sans Light"/>
                <w:sz w:val="16"/>
                <w:szCs w:val="16"/>
              </w:rPr>
            </w:pPr>
            <w:r>
              <w:rPr>
                <w:rFonts w:cs="Open Sans Light"/>
                <w:sz w:val="16"/>
                <w:szCs w:val="16"/>
              </w:rPr>
              <w:t>109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E6E0B5E" w14:textId="77777777" w:rsidR="003A22B8" w:rsidRDefault="003A22B8" w:rsidP="004D65FE">
            <w:pPr>
              <w:keepNext/>
              <w:keepLines/>
              <w:spacing w:before="0"/>
              <w:jc w:val="right"/>
              <w:rPr>
                <w:rFonts w:cs="Open Sans Light"/>
                <w:sz w:val="16"/>
                <w:szCs w:val="16"/>
              </w:rPr>
            </w:pPr>
            <w:r>
              <w:rPr>
                <w:rFonts w:cs="Open Sans Light"/>
                <w:sz w:val="16"/>
                <w:szCs w:val="16"/>
              </w:rPr>
              <w:t>-156</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EB6F489" w14:textId="77777777" w:rsidR="003A22B8" w:rsidRDefault="003A22B8" w:rsidP="004D65FE">
            <w:pPr>
              <w:keepNext/>
              <w:keepLines/>
              <w:spacing w:before="0"/>
              <w:jc w:val="right"/>
              <w:rPr>
                <w:rFonts w:cs="Open Sans Light"/>
                <w:sz w:val="16"/>
                <w:szCs w:val="16"/>
              </w:rPr>
            </w:pPr>
            <w:r>
              <w:rPr>
                <w:rFonts w:cs="Open Sans Light"/>
                <w:sz w:val="16"/>
                <w:szCs w:val="16"/>
              </w:rPr>
              <w:t>1,798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BCFE817"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6ABE56FC"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3522770" w14:textId="77777777" w:rsidR="003A22B8" w:rsidRDefault="003A22B8" w:rsidP="004D65FE">
            <w:pPr>
              <w:keepNext/>
              <w:keepLines/>
              <w:spacing w:before="0"/>
              <w:ind w:left="142" w:hanging="142"/>
              <w:rPr>
                <w:rFonts w:cs="Open Sans Light"/>
                <w:sz w:val="16"/>
                <w:szCs w:val="16"/>
              </w:rPr>
            </w:pPr>
            <w:r>
              <w:rPr>
                <w:rFonts w:cs="Open Sans Light"/>
                <w:sz w:val="16"/>
                <w:szCs w:val="16"/>
              </w:rPr>
              <w:t>Roads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1BFC7C2" w14:textId="77777777" w:rsidR="003A22B8" w:rsidRDefault="003A22B8" w:rsidP="004D65FE">
            <w:pPr>
              <w:keepNext/>
              <w:keepLines/>
              <w:spacing w:before="0"/>
              <w:jc w:val="right"/>
              <w:rPr>
                <w:rFonts w:cs="Open Sans Light"/>
                <w:sz w:val="16"/>
                <w:szCs w:val="16"/>
              </w:rPr>
            </w:pPr>
            <w:r>
              <w:rPr>
                <w:rFonts w:cs="Open Sans Light"/>
                <w:sz w:val="16"/>
                <w:szCs w:val="16"/>
              </w:rPr>
              <w:t>-24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55F2FAC" w14:textId="77777777" w:rsidR="003A22B8" w:rsidRDefault="003A22B8" w:rsidP="004D65FE">
            <w:pPr>
              <w:keepNext/>
              <w:keepLines/>
              <w:spacing w:before="0"/>
              <w:jc w:val="right"/>
              <w:rPr>
                <w:rFonts w:cs="Open Sans Light"/>
                <w:sz w:val="16"/>
                <w:szCs w:val="16"/>
              </w:rPr>
            </w:pPr>
            <w:r>
              <w:rPr>
                <w:rFonts w:cs="Open Sans Light"/>
                <w:sz w:val="16"/>
                <w:szCs w:val="16"/>
              </w:rPr>
              <w:t>-42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FB4BD4A" w14:textId="77777777" w:rsidR="003A22B8" w:rsidRDefault="003A22B8" w:rsidP="004D65FE">
            <w:pPr>
              <w:keepNext/>
              <w:keepLines/>
              <w:spacing w:before="0"/>
              <w:jc w:val="right"/>
              <w:rPr>
                <w:rFonts w:cs="Open Sans Light"/>
                <w:sz w:val="16"/>
                <w:szCs w:val="16"/>
              </w:rPr>
            </w:pPr>
            <w:r>
              <w:rPr>
                <w:rFonts w:cs="Open Sans Light"/>
                <w:sz w:val="16"/>
                <w:szCs w:val="16"/>
              </w:rPr>
              <w:t>37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CE97A0" w14:textId="77777777" w:rsidR="003A22B8" w:rsidRDefault="003A22B8" w:rsidP="004D65FE">
            <w:pPr>
              <w:keepNext/>
              <w:keepLines/>
              <w:spacing w:before="0"/>
              <w:jc w:val="right"/>
              <w:rPr>
                <w:rFonts w:cs="Open Sans Light"/>
                <w:sz w:val="16"/>
                <w:szCs w:val="16"/>
              </w:rPr>
            </w:pPr>
            <w:r>
              <w:rPr>
                <w:rFonts w:cs="Open Sans Light"/>
                <w:sz w:val="16"/>
                <w:szCs w:val="16"/>
              </w:rPr>
              <w:t>57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9BA381" w14:textId="77777777" w:rsidR="003A22B8" w:rsidRDefault="003A22B8" w:rsidP="004D65FE">
            <w:pPr>
              <w:keepNext/>
              <w:keepLines/>
              <w:spacing w:before="0"/>
              <w:jc w:val="right"/>
              <w:rPr>
                <w:rFonts w:cs="Open Sans Light"/>
                <w:sz w:val="16"/>
                <w:szCs w:val="16"/>
              </w:rPr>
            </w:pPr>
            <w:r>
              <w:rPr>
                <w:rFonts w:cs="Open Sans Light"/>
                <w:sz w:val="16"/>
                <w:szCs w:val="16"/>
              </w:rPr>
              <w:t>49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8DC3F30" w14:textId="77777777" w:rsidR="003A22B8" w:rsidRDefault="003A22B8" w:rsidP="004D65FE">
            <w:pPr>
              <w:keepNext/>
              <w:keepLines/>
              <w:spacing w:before="0"/>
              <w:jc w:val="right"/>
              <w:rPr>
                <w:rFonts w:cs="Open Sans Light"/>
                <w:sz w:val="16"/>
                <w:szCs w:val="16"/>
              </w:rPr>
            </w:pPr>
            <w:r>
              <w:rPr>
                <w:rFonts w:cs="Open Sans Light"/>
                <w:sz w:val="16"/>
                <w:szCs w:val="16"/>
              </w:rPr>
              <w:t>24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70FE89" w14:textId="77777777" w:rsidR="003A22B8" w:rsidRDefault="003A22B8" w:rsidP="004D65FE">
            <w:pPr>
              <w:keepNext/>
              <w:keepLines/>
              <w:spacing w:before="0"/>
              <w:jc w:val="right"/>
              <w:rPr>
                <w:rFonts w:cs="Open Sans Light"/>
                <w:sz w:val="16"/>
                <w:szCs w:val="16"/>
              </w:rPr>
            </w:pPr>
            <w:r>
              <w:rPr>
                <w:rFonts w:cs="Open Sans Light"/>
                <w:sz w:val="16"/>
                <w:szCs w:val="16"/>
              </w:rPr>
              <w:t>-151</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E1AF67" w14:textId="77777777" w:rsidR="003A22B8" w:rsidRDefault="003A22B8" w:rsidP="004D65FE">
            <w:pPr>
              <w:keepNext/>
              <w:keepLines/>
              <w:spacing w:before="0"/>
              <w:jc w:val="right"/>
              <w:rPr>
                <w:rFonts w:cs="Open Sans Light"/>
                <w:sz w:val="16"/>
                <w:szCs w:val="16"/>
              </w:rPr>
            </w:pPr>
            <w:r>
              <w:rPr>
                <w:rFonts w:cs="Open Sans Light"/>
                <w:sz w:val="16"/>
                <w:szCs w:val="16"/>
              </w:rPr>
              <w:t>405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12CFE6"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0295D916"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1BF6BD" w14:textId="77777777" w:rsidR="003A22B8" w:rsidRDefault="003A22B8" w:rsidP="004D65FE">
            <w:pPr>
              <w:keepNext/>
              <w:keepLines/>
              <w:spacing w:before="0"/>
              <w:ind w:left="142" w:hanging="142"/>
              <w:rPr>
                <w:rFonts w:cs="Open Sans Light"/>
                <w:sz w:val="16"/>
                <w:szCs w:val="16"/>
              </w:rPr>
            </w:pPr>
            <w:r>
              <w:rPr>
                <w:rFonts w:cs="Open Sans Light"/>
                <w:sz w:val="16"/>
                <w:szCs w:val="16"/>
              </w:rPr>
              <w:t>Transport</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2D56770" w14:textId="77777777" w:rsidR="003A22B8" w:rsidRDefault="003A22B8" w:rsidP="004D65FE">
            <w:pPr>
              <w:keepNext/>
              <w:keepLines/>
              <w:spacing w:before="0"/>
              <w:jc w:val="right"/>
              <w:rPr>
                <w:rFonts w:cs="Open Sans Light"/>
                <w:sz w:val="16"/>
                <w:szCs w:val="16"/>
              </w:rPr>
            </w:pPr>
            <w:r>
              <w:rPr>
                <w:rFonts w:cs="Open Sans Light"/>
                <w:sz w:val="16"/>
                <w:szCs w:val="16"/>
              </w:rPr>
              <w:t>147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FEDDEB2" w14:textId="77777777" w:rsidR="003A22B8" w:rsidRDefault="003A22B8" w:rsidP="004D65FE">
            <w:pPr>
              <w:keepNext/>
              <w:keepLines/>
              <w:spacing w:before="0"/>
              <w:jc w:val="right"/>
              <w:rPr>
                <w:rFonts w:cs="Open Sans Light"/>
                <w:sz w:val="16"/>
                <w:szCs w:val="16"/>
              </w:rPr>
            </w:pPr>
            <w:r>
              <w:rPr>
                <w:rFonts w:cs="Open Sans Light"/>
                <w:sz w:val="16"/>
                <w:szCs w:val="16"/>
              </w:rPr>
              <w:t>61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85368B" w14:textId="77777777" w:rsidR="003A22B8" w:rsidRDefault="003A22B8" w:rsidP="004D65FE">
            <w:pPr>
              <w:keepNext/>
              <w:keepLines/>
              <w:spacing w:before="0"/>
              <w:jc w:val="right"/>
              <w:rPr>
                <w:rFonts w:cs="Open Sans Light"/>
                <w:sz w:val="16"/>
                <w:szCs w:val="16"/>
              </w:rPr>
            </w:pPr>
            <w:r>
              <w:rPr>
                <w:rFonts w:cs="Open Sans Light"/>
                <w:sz w:val="16"/>
                <w:szCs w:val="16"/>
              </w:rPr>
              <w:t>-141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8A6835" w14:textId="77777777" w:rsidR="003A22B8" w:rsidRDefault="003A22B8" w:rsidP="004D65FE">
            <w:pPr>
              <w:keepNext/>
              <w:keepLines/>
              <w:spacing w:before="0"/>
              <w:jc w:val="right"/>
              <w:rPr>
                <w:rFonts w:cs="Open Sans Light"/>
                <w:sz w:val="16"/>
                <w:szCs w:val="16"/>
              </w:rPr>
            </w:pPr>
            <w:r>
              <w:rPr>
                <w:rFonts w:cs="Open Sans Light"/>
                <w:sz w:val="16"/>
                <w:szCs w:val="16"/>
              </w:rPr>
              <w:t>-105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CCA0E1" w14:textId="77777777" w:rsidR="003A22B8" w:rsidRDefault="003A22B8" w:rsidP="004D65FE">
            <w:pPr>
              <w:keepNext/>
              <w:keepLines/>
              <w:spacing w:before="0"/>
              <w:jc w:val="right"/>
              <w:rPr>
                <w:rFonts w:cs="Open Sans Light"/>
                <w:sz w:val="16"/>
                <w:szCs w:val="16"/>
              </w:rPr>
            </w:pPr>
            <w:r>
              <w:rPr>
                <w:rFonts w:cs="Open Sans Light"/>
                <w:sz w:val="16"/>
                <w:szCs w:val="16"/>
              </w:rPr>
              <w:t>-155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44B998" w14:textId="77777777" w:rsidR="003A22B8" w:rsidRDefault="003A22B8" w:rsidP="004D65FE">
            <w:pPr>
              <w:keepNext/>
              <w:keepLines/>
              <w:spacing w:before="0"/>
              <w:jc w:val="right"/>
              <w:rPr>
                <w:rFonts w:cs="Open Sans Light"/>
                <w:sz w:val="16"/>
                <w:szCs w:val="16"/>
              </w:rPr>
            </w:pPr>
            <w:r>
              <w:rPr>
                <w:rFonts w:cs="Open Sans Light"/>
                <w:sz w:val="16"/>
                <w:szCs w:val="16"/>
              </w:rPr>
              <w:t>-359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890DE99" w14:textId="77777777" w:rsidR="003A22B8" w:rsidRDefault="003A22B8" w:rsidP="004D65FE">
            <w:pPr>
              <w:keepNext/>
              <w:keepLines/>
              <w:spacing w:before="0"/>
              <w:jc w:val="right"/>
              <w:rPr>
                <w:rFonts w:cs="Open Sans Light"/>
                <w:sz w:val="16"/>
                <w:szCs w:val="16"/>
              </w:rPr>
            </w:pPr>
            <w:r>
              <w:rPr>
                <w:rFonts w:cs="Open Sans Light"/>
                <w:sz w:val="16"/>
                <w:szCs w:val="16"/>
              </w:rPr>
              <w:t>-119</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B88060" w14:textId="77777777" w:rsidR="003A22B8" w:rsidRDefault="003A22B8" w:rsidP="004D65FE">
            <w:pPr>
              <w:keepNext/>
              <w:keepLines/>
              <w:spacing w:before="0"/>
              <w:jc w:val="right"/>
              <w:rPr>
                <w:rFonts w:cs="Open Sans Light"/>
                <w:sz w:val="16"/>
                <w:szCs w:val="16"/>
              </w:rPr>
            </w:pPr>
            <w:r>
              <w:rPr>
                <w:rFonts w:cs="Open Sans Light"/>
                <w:sz w:val="16"/>
                <w:szCs w:val="16"/>
              </w:rPr>
              <w:t>-316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21D930"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369DA866"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B5E1E1" w14:textId="77777777" w:rsidR="003A22B8" w:rsidRDefault="003A22B8" w:rsidP="004D65FE">
            <w:pPr>
              <w:keepNext/>
              <w:keepLines/>
              <w:spacing w:before="0"/>
              <w:ind w:left="142" w:hanging="142"/>
              <w:rPr>
                <w:rFonts w:cs="Open Sans Light"/>
                <w:sz w:val="16"/>
                <w:szCs w:val="16"/>
              </w:rPr>
            </w:pPr>
            <w:r>
              <w:rPr>
                <w:rFonts w:cs="Open Sans Light"/>
                <w:sz w:val="16"/>
                <w:szCs w:val="16"/>
              </w:rPr>
              <w:t>Services to industry</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1A75A1E" w14:textId="77777777" w:rsidR="003A22B8" w:rsidRDefault="003A22B8" w:rsidP="004D65FE">
            <w:pPr>
              <w:keepNext/>
              <w:keepLines/>
              <w:spacing w:before="0"/>
              <w:jc w:val="right"/>
              <w:rPr>
                <w:rFonts w:cs="Open Sans Light"/>
                <w:sz w:val="16"/>
                <w:szCs w:val="16"/>
              </w:rPr>
            </w:pPr>
            <w:r>
              <w:rPr>
                <w:rFonts w:cs="Open Sans Light"/>
                <w:sz w:val="16"/>
                <w:szCs w:val="16"/>
              </w:rPr>
              <w:t>-11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C391886" w14:textId="77777777" w:rsidR="003A22B8" w:rsidRDefault="003A22B8" w:rsidP="004D65FE">
            <w:pPr>
              <w:keepNext/>
              <w:keepLines/>
              <w:spacing w:before="0"/>
              <w:jc w:val="right"/>
              <w:rPr>
                <w:rFonts w:cs="Open Sans Light"/>
                <w:sz w:val="16"/>
                <w:szCs w:val="16"/>
              </w:rPr>
            </w:pPr>
            <w:r>
              <w:rPr>
                <w:rFonts w:cs="Open Sans Light"/>
                <w:sz w:val="16"/>
                <w:szCs w:val="16"/>
              </w:rPr>
              <w:t>-16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56EAE89" w14:textId="77777777" w:rsidR="003A22B8" w:rsidRDefault="003A22B8" w:rsidP="004D65FE">
            <w:pPr>
              <w:keepNext/>
              <w:keepLines/>
              <w:spacing w:before="0"/>
              <w:jc w:val="right"/>
              <w:rPr>
                <w:rFonts w:cs="Open Sans Light"/>
                <w:sz w:val="16"/>
                <w:szCs w:val="16"/>
              </w:rPr>
            </w:pPr>
            <w:r>
              <w:rPr>
                <w:rFonts w:cs="Open Sans Light"/>
                <w:sz w:val="16"/>
                <w:szCs w:val="16"/>
              </w:rPr>
              <w:t>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22AA04C" w14:textId="77777777" w:rsidR="003A22B8" w:rsidRDefault="003A22B8" w:rsidP="004D65FE">
            <w:pPr>
              <w:keepNext/>
              <w:keepLines/>
              <w:spacing w:before="0"/>
              <w:jc w:val="right"/>
              <w:rPr>
                <w:rFonts w:cs="Open Sans Light"/>
                <w:sz w:val="16"/>
                <w:szCs w:val="16"/>
              </w:rPr>
            </w:pPr>
            <w:r>
              <w:rPr>
                <w:rFonts w:cs="Open Sans Light"/>
                <w:sz w:val="16"/>
                <w:szCs w:val="16"/>
              </w:rPr>
              <w:t>62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8547E58" w14:textId="77777777" w:rsidR="003A22B8" w:rsidRDefault="003A22B8" w:rsidP="004D65FE">
            <w:pPr>
              <w:keepNext/>
              <w:keepLines/>
              <w:spacing w:before="0"/>
              <w:jc w:val="right"/>
              <w:rPr>
                <w:rFonts w:cs="Open Sans Light"/>
                <w:sz w:val="16"/>
                <w:szCs w:val="16"/>
              </w:rPr>
            </w:pPr>
            <w:r>
              <w:rPr>
                <w:rFonts w:cs="Open Sans Light"/>
                <w:sz w:val="16"/>
                <w:szCs w:val="16"/>
              </w:rPr>
              <w:t>-4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7FBDAC" w14:textId="77777777" w:rsidR="003A22B8" w:rsidRDefault="003A22B8" w:rsidP="004D65FE">
            <w:pPr>
              <w:keepNext/>
              <w:keepLines/>
              <w:spacing w:before="0"/>
              <w:jc w:val="right"/>
              <w:rPr>
                <w:rFonts w:cs="Open Sans Light"/>
                <w:sz w:val="16"/>
                <w:szCs w:val="16"/>
              </w:rPr>
            </w:pPr>
            <w:r>
              <w:rPr>
                <w:rFonts w:cs="Open Sans Light"/>
                <w:sz w:val="16"/>
                <w:szCs w:val="16"/>
              </w:rPr>
              <w:t>28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B9C692B" w14:textId="77777777" w:rsidR="003A22B8" w:rsidRDefault="003A22B8" w:rsidP="004D65FE">
            <w:pPr>
              <w:keepNext/>
              <w:keepLines/>
              <w:spacing w:before="0"/>
              <w:jc w:val="right"/>
              <w:rPr>
                <w:rFonts w:cs="Open Sans Light"/>
                <w:sz w:val="16"/>
                <w:szCs w:val="16"/>
              </w:rPr>
            </w:pPr>
            <w:r>
              <w:rPr>
                <w:rFonts w:cs="Open Sans Light"/>
                <w:sz w:val="16"/>
                <w:szCs w:val="16"/>
              </w:rPr>
              <w:t>-23</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A7B6FDC" w14:textId="77777777" w:rsidR="003A22B8" w:rsidRDefault="003A22B8" w:rsidP="004D65FE">
            <w:pPr>
              <w:keepNext/>
              <w:keepLines/>
              <w:spacing w:before="0"/>
              <w:jc w:val="right"/>
              <w:rPr>
                <w:rFonts w:cs="Open Sans Light"/>
                <w:sz w:val="16"/>
                <w:szCs w:val="16"/>
              </w:rPr>
            </w:pPr>
            <w:r>
              <w:rPr>
                <w:rFonts w:cs="Open Sans Light"/>
                <w:sz w:val="16"/>
                <w:szCs w:val="16"/>
              </w:rPr>
              <w:t>77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7F3192"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741CCE91"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521C5B" w14:textId="77777777" w:rsidR="003A22B8" w:rsidRDefault="003A22B8" w:rsidP="004D65FE">
            <w:pPr>
              <w:keepNext/>
              <w:keepLines/>
              <w:spacing w:before="0"/>
              <w:ind w:left="142" w:hanging="142"/>
              <w:rPr>
                <w:rFonts w:cs="Open Sans Light"/>
                <w:sz w:val="16"/>
                <w:szCs w:val="16"/>
              </w:rPr>
            </w:pPr>
            <w:r>
              <w:rPr>
                <w:rFonts w:cs="Open Sans Light"/>
                <w:sz w:val="16"/>
                <w:szCs w:val="16"/>
              </w:rPr>
              <w:t>Other expenses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16BDF4" w14:textId="77777777" w:rsidR="003A22B8" w:rsidRDefault="003A22B8" w:rsidP="004D65FE">
            <w:pPr>
              <w:keepNext/>
              <w:keepLines/>
              <w:spacing w:before="0"/>
              <w:jc w:val="right"/>
              <w:rPr>
                <w:rFonts w:cs="Open Sans Light"/>
                <w:sz w:val="16"/>
                <w:szCs w:val="16"/>
              </w:rPr>
            </w:pPr>
            <w:r>
              <w:rPr>
                <w:rFonts w:cs="Open Sans Light"/>
                <w:sz w:val="16"/>
                <w:szCs w:val="16"/>
              </w:rPr>
              <w:t>-105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9820CE4" w14:textId="77777777" w:rsidR="003A22B8" w:rsidRDefault="003A22B8" w:rsidP="004D65FE">
            <w:pPr>
              <w:keepNext/>
              <w:keepLines/>
              <w:spacing w:before="0"/>
              <w:jc w:val="right"/>
              <w:rPr>
                <w:rFonts w:cs="Open Sans Light"/>
                <w:sz w:val="16"/>
                <w:szCs w:val="16"/>
              </w:rPr>
            </w:pPr>
            <w:r>
              <w:rPr>
                <w:rFonts w:cs="Open Sans Light"/>
                <w:sz w:val="16"/>
                <w:szCs w:val="16"/>
              </w:rPr>
              <w:t>-117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D3532BC" w14:textId="77777777" w:rsidR="003A22B8" w:rsidRDefault="003A22B8" w:rsidP="004D65FE">
            <w:pPr>
              <w:keepNext/>
              <w:keepLines/>
              <w:spacing w:before="0"/>
              <w:jc w:val="right"/>
              <w:rPr>
                <w:rFonts w:cs="Open Sans Light"/>
                <w:sz w:val="16"/>
                <w:szCs w:val="16"/>
              </w:rPr>
            </w:pPr>
            <w:r>
              <w:rPr>
                <w:rFonts w:cs="Open Sans Light"/>
                <w:sz w:val="16"/>
                <w:szCs w:val="16"/>
              </w:rPr>
              <w:t>68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CE84111" w14:textId="77777777" w:rsidR="003A22B8" w:rsidRDefault="003A22B8" w:rsidP="004D65FE">
            <w:pPr>
              <w:keepNext/>
              <w:keepLines/>
              <w:spacing w:before="0"/>
              <w:jc w:val="right"/>
              <w:rPr>
                <w:rFonts w:cs="Open Sans Light"/>
                <w:sz w:val="16"/>
                <w:szCs w:val="16"/>
              </w:rPr>
            </w:pPr>
            <w:r>
              <w:rPr>
                <w:rFonts w:cs="Open Sans Light"/>
                <w:sz w:val="16"/>
                <w:szCs w:val="16"/>
              </w:rPr>
              <w:t>110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152328" w14:textId="77777777" w:rsidR="003A22B8" w:rsidRDefault="003A22B8" w:rsidP="004D65FE">
            <w:pPr>
              <w:keepNext/>
              <w:keepLines/>
              <w:spacing w:before="0"/>
              <w:jc w:val="right"/>
              <w:rPr>
                <w:rFonts w:cs="Open Sans Light"/>
                <w:sz w:val="16"/>
                <w:szCs w:val="16"/>
              </w:rPr>
            </w:pPr>
            <w:r>
              <w:rPr>
                <w:rFonts w:cs="Open Sans Light"/>
                <w:sz w:val="16"/>
                <w:szCs w:val="16"/>
              </w:rPr>
              <w:t>-2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F2AAA5" w14:textId="77777777" w:rsidR="003A22B8" w:rsidRDefault="003A22B8" w:rsidP="004D65FE">
            <w:pPr>
              <w:keepNext/>
              <w:keepLines/>
              <w:spacing w:before="0"/>
              <w:jc w:val="right"/>
              <w:rPr>
                <w:rFonts w:cs="Open Sans Light"/>
                <w:sz w:val="16"/>
                <w:szCs w:val="16"/>
              </w:rPr>
            </w:pPr>
            <w:r>
              <w:rPr>
                <w:rFonts w:cs="Open Sans Light"/>
                <w:sz w:val="16"/>
                <w:szCs w:val="16"/>
              </w:rPr>
              <w:t>506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689521C" w14:textId="77777777" w:rsidR="003A22B8" w:rsidRDefault="003A22B8" w:rsidP="004D65FE">
            <w:pPr>
              <w:keepNext/>
              <w:keepLines/>
              <w:spacing w:before="0"/>
              <w:jc w:val="right"/>
              <w:rPr>
                <w:rFonts w:cs="Open Sans Light"/>
                <w:sz w:val="16"/>
                <w:szCs w:val="16"/>
              </w:rPr>
            </w:pPr>
            <w:r>
              <w:rPr>
                <w:rFonts w:cs="Open Sans Light"/>
                <w:sz w:val="16"/>
                <w:szCs w:val="16"/>
              </w:rPr>
              <w:t>661</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D1FD1AB" w14:textId="77777777" w:rsidR="003A22B8" w:rsidRDefault="003A22B8" w:rsidP="004D65FE">
            <w:pPr>
              <w:keepNext/>
              <w:keepLines/>
              <w:spacing w:before="0"/>
              <w:jc w:val="right"/>
              <w:rPr>
                <w:rFonts w:cs="Open Sans Light"/>
                <w:sz w:val="16"/>
                <w:szCs w:val="16"/>
              </w:rPr>
            </w:pPr>
            <w:r>
              <w:rPr>
                <w:rFonts w:cs="Open Sans Light"/>
                <w:sz w:val="16"/>
                <w:szCs w:val="16"/>
              </w:rPr>
              <w:t>1,715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8BB4A43"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26992E7C"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02D95E7"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Assessed expenses</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FDC70E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-147</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6E3E0F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-650</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F39A95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291</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2231B8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373</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7E382C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18</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E1CCE6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1,328</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226410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-418</w:t>
            </w:r>
          </w:p>
        </w:tc>
        <w:tc>
          <w:tcPr>
            <w:tcW w:w="82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099383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9,559</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10EF9F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w:t>
            </w:r>
          </w:p>
        </w:tc>
      </w:tr>
    </w:tbl>
    <w:p w14:paraId="5D992123" w14:textId="77777777" w:rsidR="003A22B8" w:rsidRDefault="003A22B8" w:rsidP="003A22B8">
      <w:pPr>
        <w:pStyle w:val="CGCTablenote"/>
      </w:pPr>
      <w:r>
        <w:t xml:space="preserve">Source: </w:t>
      </w:r>
      <w:r>
        <w:tab/>
        <w:t>CGC calculation.</w:t>
      </w:r>
    </w:p>
    <w:p w14:paraId="5699309A" w14:textId="6FC7B9A9" w:rsidR="003A22B8" w:rsidRDefault="003A22B8" w:rsidP="003A22B8">
      <w:pPr>
        <w:pStyle w:val="Caption"/>
      </w:pPr>
      <w:bookmarkStart w:id="655" w:name="_Ref30434177"/>
      <w:r>
        <w:t>Table 30-</w:t>
      </w:r>
      <w:fldSimple w:instr=" SEQ Table \* ARABIC ">
        <w:r w:rsidR="007F721A">
          <w:rPr>
            <w:noProof/>
          </w:rPr>
          <w:t>14</w:t>
        </w:r>
      </w:fldSimple>
      <w:bookmarkEnd w:id="655"/>
      <w:r>
        <w:tab/>
        <w:t>Per capita assessed revenue differences from EPC, 2017-18</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5755D69C" w14:textId="77777777" w:rsidTr="004D65FE">
        <w:trPr>
          <w:trHeight w:val="340"/>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DEA6B92" w14:textId="77777777" w:rsidR="003A22B8" w:rsidRDefault="003A22B8" w:rsidP="004D65FE">
            <w:pPr>
              <w:keepNext/>
              <w:keepLines/>
              <w:tabs>
                <w:tab w:val="clear" w:pos="567"/>
              </w:tabs>
              <w:spacing w:before="0" w:line="240" w:lineRule="auto"/>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52DA1E5"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2A8B093"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C8ABDD7"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1A18AB1"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D527AD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0409D4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9DF2FD3"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23A6282"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4E1D930"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72B76B91" w14:textId="77777777" w:rsidTr="005C340D">
        <w:trPr>
          <w:trHeight w:val="255"/>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3170627" w14:textId="77777777" w:rsidR="003A22B8" w:rsidRDefault="003A22B8" w:rsidP="004D65FE">
            <w:pPr>
              <w:keepNext/>
              <w:keepLines/>
              <w:spacing w:before="0"/>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553B3B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722AAD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800732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44DE3A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B24354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71D691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E55987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4C6991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1EB15F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03FD8780"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1A67FA8" w14:textId="77777777" w:rsidR="003A22B8" w:rsidRDefault="003A22B8" w:rsidP="004D65FE">
            <w:pPr>
              <w:keepNext/>
              <w:keepLines/>
              <w:spacing w:before="0"/>
              <w:ind w:left="142" w:hanging="142"/>
              <w:rPr>
                <w:rFonts w:cs="Open Sans Light"/>
                <w:sz w:val="16"/>
                <w:szCs w:val="16"/>
              </w:rPr>
            </w:pPr>
            <w:r>
              <w:rPr>
                <w:rFonts w:cs="Open Sans Light"/>
                <w:sz w:val="16"/>
                <w:szCs w:val="16"/>
              </w:rPr>
              <w:t>Payroll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B7C0BBF" w14:textId="77777777" w:rsidR="003A22B8" w:rsidRDefault="003A22B8" w:rsidP="004D65FE">
            <w:pPr>
              <w:keepNext/>
              <w:keepLines/>
              <w:spacing w:before="0"/>
              <w:jc w:val="right"/>
              <w:rPr>
                <w:rFonts w:cs="Open Sans Light"/>
                <w:sz w:val="16"/>
                <w:szCs w:val="16"/>
              </w:rPr>
            </w:pPr>
            <w:r>
              <w:rPr>
                <w:rFonts w:cs="Open Sans Light"/>
                <w:sz w:val="16"/>
                <w:szCs w:val="16"/>
              </w:rPr>
              <w:t>-83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DB95AD" w14:textId="77777777" w:rsidR="003A22B8" w:rsidRDefault="003A22B8" w:rsidP="004D65FE">
            <w:pPr>
              <w:keepNext/>
              <w:keepLines/>
              <w:spacing w:before="0"/>
              <w:jc w:val="right"/>
              <w:rPr>
                <w:rFonts w:cs="Open Sans Light"/>
                <w:sz w:val="16"/>
                <w:szCs w:val="16"/>
              </w:rPr>
            </w:pPr>
            <w:r>
              <w:rPr>
                <w:rFonts w:cs="Open Sans Light"/>
                <w:sz w:val="16"/>
                <w:szCs w:val="16"/>
              </w:rPr>
              <w:t>50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309D375" w14:textId="77777777" w:rsidR="003A22B8" w:rsidRDefault="003A22B8" w:rsidP="004D65FE">
            <w:pPr>
              <w:keepNext/>
              <w:keepLines/>
              <w:spacing w:before="0"/>
              <w:jc w:val="right"/>
              <w:rPr>
                <w:rFonts w:cs="Open Sans Light"/>
                <w:sz w:val="16"/>
                <w:szCs w:val="16"/>
              </w:rPr>
            </w:pPr>
            <w:r>
              <w:rPr>
                <w:rFonts w:cs="Open Sans Light"/>
                <w:sz w:val="16"/>
                <w:szCs w:val="16"/>
              </w:rPr>
              <w:t>91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B01FF87" w14:textId="77777777" w:rsidR="003A22B8" w:rsidRDefault="003A22B8" w:rsidP="004D65FE">
            <w:pPr>
              <w:keepNext/>
              <w:keepLines/>
              <w:spacing w:before="0"/>
              <w:jc w:val="right"/>
              <w:rPr>
                <w:rFonts w:cs="Open Sans Light"/>
                <w:sz w:val="16"/>
                <w:szCs w:val="16"/>
              </w:rPr>
            </w:pPr>
            <w:r>
              <w:rPr>
                <w:rFonts w:cs="Open Sans Light"/>
                <w:sz w:val="16"/>
                <w:szCs w:val="16"/>
              </w:rPr>
              <w:t>-256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6B4B795" w14:textId="77777777" w:rsidR="003A22B8" w:rsidRDefault="003A22B8" w:rsidP="004D65FE">
            <w:pPr>
              <w:keepNext/>
              <w:keepLines/>
              <w:spacing w:before="0"/>
              <w:jc w:val="right"/>
              <w:rPr>
                <w:rFonts w:cs="Open Sans Light"/>
                <w:sz w:val="16"/>
                <w:szCs w:val="16"/>
              </w:rPr>
            </w:pPr>
            <w:r>
              <w:rPr>
                <w:rFonts w:cs="Open Sans Light"/>
                <w:sz w:val="16"/>
                <w:szCs w:val="16"/>
              </w:rPr>
              <w:t>253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F3AB4A" w14:textId="77777777" w:rsidR="003A22B8" w:rsidRDefault="003A22B8" w:rsidP="004D65FE">
            <w:pPr>
              <w:keepNext/>
              <w:keepLines/>
              <w:spacing w:before="0"/>
              <w:jc w:val="right"/>
              <w:rPr>
                <w:rFonts w:cs="Open Sans Light"/>
                <w:sz w:val="16"/>
                <w:szCs w:val="16"/>
              </w:rPr>
            </w:pPr>
            <w:r>
              <w:rPr>
                <w:rFonts w:cs="Open Sans Light"/>
                <w:sz w:val="16"/>
                <w:szCs w:val="16"/>
              </w:rPr>
              <w:t>332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7FF1FC2" w14:textId="77777777" w:rsidR="003A22B8" w:rsidRDefault="003A22B8" w:rsidP="004D65FE">
            <w:pPr>
              <w:keepNext/>
              <w:keepLines/>
              <w:spacing w:before="0"/>
              <w:jc w:val="right"/>
              <w:rPr>
                <w:rFonts w:cs="Open Sans Light"/>
                <w:sz w:val="16"/>
                <w:szCs w:val="16"/>
              </w:rPr>
            </w:pPr>
            <w:r>
              <w:rPr>
                <w:rFonts w:cs="Open Sans Light"/>
                <w:sz w:val="16"/>
                <w:szCs w:val="16"/>
              </w:rPr>
              <w:t>-15</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1722247" w14:textId="77777777" w:rsidR="003A22B8" w:rsidRDefault="003A22B8" w:rsidP="004D65FE">
            <w:pPr>
              <w:keepNext/>
              <w:keepLines/>
              <w:spacing w:before="0"/>
              <w:jc w:val="right"/>
              <w:rPr>
                <w:rFonts w:cs="Open Sans Light"/>
                <w:sz w:val="16"/>
                <w:szCs w:val="16"/>
              </w:rPr>
            </w:pPr>
            <w:r>
              <w:rPr>
                <w:rFonts w:cs="Open Sans Light"/>
                <w:sz w:val="16"/>
                <w:szCs w:val="16"/>
              </w:rPr>
              <w:t>-232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299DE9A"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53F3E7C3"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043ECE7" w14:textId="77777777" w:rsidR="003A22B8" w:rsidRDefault="003A22B8" w:rsidP="004D65FE">
            <w:pPr>
              <w:keepNext/>
              <w:keepLines/>
              <w:spacing w:before="0"/>
              <w:ind w:left="142" w:hanging="142"/>
              <w:rPr>
                <w:rFonts w:cs="Open Sans Light"/>
                <w:sz w:val="16"/>
                <w:szCs w:val="16"/>
              </w:rPr>
            </w:pPr>
            <w:r>
              <w:rPr>
                <w:rFonts w:cs="Open Sans Light"/>
                <w:sz w:val="16"/>
                <w:szCs w:val="16"/>
              </w:rPr>
              <w:t>Land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8E4249F" w14:textId="77777777" w:rsidR="003A22B8" w:rsidRDefault="003A22B8" w:rsidP="004D65FE">
            <w:pPr>
              <w:keepNext/>
              <w:keepLines/>
              <w:spacing w:before="0"/>
              <w:jc w:val="right"/>
              <w:rPr>
                <w:rFonts w:cs="Open Sans Light"/>
                <w:sz w:val="16"/>
                <w:szCs w:val="16"/>
              </w:rPr>
            </w:pPr>
            <w:r>
              <w:rPr>
                <w:rFonts w:cs="Open Sans Light"/>
                <w:sz w:val="16"/>
                <w:szCs w:val="16"/>
              </w:rPr>
              <w:t>-116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5DC546" w14:textId="77777777" w:rsidR="003A22B8" w:rsidRDefault="003A22B8" w:rsidP="004D65FE">
            <w:pPr>
              <w:keepNext/>
              <w:keepLines/>
              <w:spacing w:before="0"/>
              <w:jc w:val="right"/>
              <w:rPr>
                <w:rFonts w:cs="Open Sans Light"/>
                <w:sz w:val="16"/>
                <w:szCs w:val="16"/>
              </w:rPr>
            </w:pPr>
            <w:r>
              <w:rPr>
                <w:rFonts w:cs="Open Sans Light"/>
                <w:sz w:val="16"/>
                <w:szCs w:val="16"/>
              </w:rPr>
              <w:t>-50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F65DC47" w14:textId="77777777" w:rsidR="003A22B8" w:rsidRDefault="003A22B8" w:rsidP="004D65FE">
            <w:pPr>
              <w:keepNext/>
              <w:keepLines/>
              <w:spacing w:before="0"/>
              <w:jc w:val="right"/>
              <w:rPr>
                <w:rFonts w:cs="Open Sans Light"/>
                <w:sz w:val="16"/>
                <w:szCs w:val="16"/>
              </w:rPr>
            </w:pPr>
            <w:r>
              <w:rPr>
                <w:rFonts w:cs="Open Sans Light"/>
                <w:sz w:val="16"/>
                <w:szCs w:val="16"/>
              </w:rPr>
              <w:t>125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1C0856E" w14:textId="77777777" w:rsidR="003A22B8" w:rsidRDefault="003A22B8" w:rsidP="004D65FE">
            <w:pPr>
              <w:keepNext/>
              <w:keepLines/>
              <w:spacing w:before="0"/>
              <w:jc w:val="right"/>
              <w:rPr>
                <w:rFonts w:cs="Open Sans Light"/>
                <w:sz w:val="16"/>
                <w:szCs w:val="16"/>
              </w:rPr>
            </w:pPr>
            <w:r>
              <w:rPr>
                <w:rFonts w:cs="Open Sans Light"/>
                <w:sz w:val="16"/>
                <w:szCs w:val="16"/>
              </w:rPr>
              <w:t>18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CBAD8B" w14:textId="77777777" w:rsidR="003A22B8" w:rsidRDefault="003A22B8" w:rsidP="004D65FE">
            <w:pPr>
              <w:keepNext/>
              <w:keepLines/>
              <w:spacing w:before="0"/>
              <w:jc w:val="right"/>
              <w:rPr>
                <w:rFonts w:cs="Open Sans Light"/>
                <w:sz w:val="16"/>
                <w:szCs w:val="16"/>
              </w:rPr>
            </w:pPr>
            <w:r>
              <w:rPr>
                <w:rFonts w:cs="Open Sans Light"/>
                <w:sz w:val="16"/>
                <w:szCs w:val="16"/>
              </w:rPr>
              <w:t>201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CD8C81" w14:textId="77777777" w:rsidR="003A22B8" w:rsidRDefault="003A22B8" w:rsidP="004D65FE">
            <w:pPr>
              <w:keepNext/>
              <w:keepLines/>
              <w:spacing w:before="0"/>
              <w:jc w:val="right"/>
              <w:rPr>
                <w:rFonts w:cs="Open Sans Light"/>
                <w:sz w:val="16"/>
                <w:szCs w:val="16"/>
              </w:rPr>
            </w:pPr>
            <w:r>
              <w:rPr>
                <w:rFonts w:cs="Open Sans Light"/>
                <w:sz w:val="16"/>
                <w:szCs w:val="16"/>
              </w:rPr>
              <w:t>241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19416FF" w14:textId="77777777" w:rsidR="003A22B8" w:rsidRDefault="003A22B8" w:rsidP="004D65FE">
            <w:pPr>
              <w:keepNext/>
              <w:keepLines/>
              <w:spacing w:before="0"/>
              <w:jc w:val="right"/>
              <w:rPr>
                <w:rFonts w:cs="Open Sans Light"/>
                <w:sz w:val="16"/>
                <w:szCs w:val="16"/>
              </w:rPr>
            </w:pPr>
            <w:r>
              <w:rPr>
                <w:rFonts w:cs="Open Sans Light"/>
                <w:sz w:val="16"/>
                <w:szCs w:val="16"/>
              </w:rPr>
              <w:t>199</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942D7EE" w14:textId="77777777" w:rsidR="003A22B8" w:rsidRDefault="003A22B8" w:rsidP="004D65FE">
            <w:pPr>
              <w:keepNext/>
              <w:keepLines/>
              <w:spacing w:before="0"/>
              <w:jc w:val="right"/>
              <w:rPr>
                <w:rFonts w:cs="Open Sans Light"/>
                <w:sz w:val="16"/>
                <w:szCs w:val="16"/>
              </w:rPr>
            </w:pPr>
            <w:r>
              <w:rPr>
                <w:rFonts w:cs="Open Sans Light"/>
                <w:sz w:val="16"/>
                <w:szCs w:val="16"/>
              </w:rPr>
              <w:t>65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4628E26"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4A8537AE"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F0EFC84" w14:textId="77777777" w:rsidR="003A22B8" w:rsidRDefault="003A22B8" w:rsidP="004D65FE">
            <w:pPr>
              <w:keepNext/>
              <w:keepLines/>
              <w:spacing w:before="0"/>
              <w:ind w:left="142" w:hanging="142"/>
              <w:rPr>
                <w:rFonts w:cs="Open Sans Light"/>
                <w:sz w:val="16"/>
                <w:szCs w:val="16"/>
              </w:rPr>
            </w:pPr>
            <w:r>
              <w:rPr>
                <w:rFonts w:cs="Open Sans Light"/>
                <w:sz w:val="16"/>
                <w:szCs w:val="16"/>
              </w:rPr>
              <w:t>Stamp duty on conveyances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CFA3FDA" w14:textId="77777777" w:rsidR="003A22B8" w:rsidRDefault="003A22B8" w:rsidP="004D65FE">
            <w:pPr>
              <w:keepNext/>
              <w:keepLines/>
              <w:spacing w:before="0"/>
              <w:jc w:val="right"/>
              <w:rPr>
                <w:rFonts w:cs="Open Sans Light"/>
                <w:sz w:val="16"/>
                <w:szCs w:val="16"/>
              </w:rPr>
            </w:pPr>
            <w:r>
              <w:rPr>
                <w:rFonts w:cs="Open Sans Light"/>
                <w:sz w:val="16"/>
                <w:szCs w:val="16"/>
              </w:rPr>
              <w:t>-262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770573F" w14:textId="77777777" w:rsidR="003A22B8" w:rsidRDefault="003A22B8" w:rsidP="004D65FE">
            <w:pPr>
              <w:keepNext/>
              <w:keepLines/>
              <w:spacing w:before="0"/>
              <w:jc w:val="right"/>
              <w:rPr>
                <w:rFonts w:cs="Open Sans Light"/>
                <w:sz w:val="16"/>
                <w:szCs w:val="16"/>
              </w:rPr>
            </w:pPr>
            <w:r>
              <w:rPr>
                <w:rFonts w:cs="Open Sans Light"/>
                <w:sz w:val="16"/>
                <w:szCs w:val="16"/>
              </w:rPr>
              <w:t>-161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BD00FE9" w14:textId="77777777" w:rsidR="003A22B8" w:rsidRDefault="003A22B8" w:rsidP="004D65FE">
            <w:pPr>
              <w:keepNext/>
              <w:keepLines/>
              <w:spacing w:before="0"/>
              <w:jc w:val="right"/>
              <w:rPr>
                <w:rFonts w:cs="Open Sans Light"/>
                <w:sz w:val="16"/>
                <w:szCs w:val="16"/>
              </w:rPr>
            </w:pPr>
            <w:r>
              <w:rPr>
                <w:rFonts w:cs="Open Sans Light"/>
                <w:sz w:val="16"/>
                <w:szCs w:val="16"/>
              </w:rPr>
              <w:t>195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7FF3994" w14:textId="77777777" w:rsidR="003A22B8" w:rsidRDefault="003A22B8" w:rsidP="004D65FE">
            <w:pPr>
              <w:keepNext/>
              <w:keepLines/>
              <w:spacing w:before="0"/>
              <w:jc w:val="right"/>
              <w:rPr>
                <w:rFonts w:cs="Open Sans Light"/>
                <w:sz w:val="16"/>
                <w:szCs w:val="16"/>
              </w:rPr>
            </w:pPr>
            <w:r>
              <w:rPr>
                <w:rFonts w:cs="Open Sans Light"/>
                <w:sz w:val="16"/>
                <w:szCs w:val="16"/>
              </w:rPr>
              <w:t>400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550DE19" w14:textId="77777777" w:rsidR="003A22B8" w:rsidRDefault="003A22B8" w:rsidP="004D65FE">
            <w:pPr>
              <w:keepNext/>
              <w:keepLines/>
              <w:spacing w:before="0"/>
              <w:jc w:val="right"/>
              <w:rPr>
                <w:rFonts w:cs="Open Sans Light"/>
                <w:sz w:val="16"/>
                <w:szCs w:val="16"/>
              </w:rPr>
            </w:pPr>
            <w:r>
              <w:rPr>
                <w:rFonts w:cs="Open Sans Light"/>
                <w:sz w:val="16"/>
                <w:szCs w:val="16"/>
              </w:rPr>
              <w:t>415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A653E2C" w14:textId="77777777" w:rsidR="003A22B8" w:rsidRDefault="003A22B8" w:rsidP="004D65FE">
            <w:pPr>
              <w:keepNext/>
              <w:keepLines/>
              <w:spacing w:before="0"/>
              <w:jc w:val="right"/>
              <w:rPr>
                <w:rFonts w:cs="Open Sans Light"/>
                <w:sz w:val="16"/>
                <w:szCs w:val="16"/>
              </w:rPr>
            </w:pPr>
            <w:r>
              <w:rPr>
                <w:rFonts w:cs="Open Sans Light"/>
                <w:sz w:val="16"/>
                <w:szCs w:val="16"/>
              </w:rPr>
              <w:t>398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90EF6B4" w14:textId="77777777" w:rsidR="003A22B8" w:rsidRDefault="003A22B8" w:rsidP="004D65FE">
            <w:pPr>
              <w:keepNext/>
              <w:keepLines/>
              <w:spacing w:before="0"/>
              <w:jc w:val="right"/>
              <w:rPr>
                <w:rFonts w:cs="Open Sans Light"/>
                <w:sz w:val="16"/>
                <w:szCs w:val="16"/>
              </w:rPr>
            </w:pPr>
            <w:r>
              <w:rPr>
                <w:rFonts w:cs="Open Sans Light"/>
                <w:sz w:val="16"/>
                <w:szCs w:val="16"/>
              </w:rPr>
              <w:t>83</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E1B0D44" w14:textId="77777777" w:rsidR="003A22B8" w:rsidRDefault="003A22B8" w:rsidP="004D65FE">
            <w:pPr>
              <w:keepNext/>
              <w:keepLines/>
              <w:spacing w:before="0"/>
              <w:jc w:val="right"/>
              <w:rPr>
                <w:rFonts w:cs="Open Sans Light"/>
                <w:sz w:val="16"/>
                <w:szCs w:val="16"/>
              </w:rPr>
            </w:pPr>
            <w:r>
              <w:rPr>
                <w:rFonts w:cs="Open Sans Light"/>
                <w:sz w:val="16"/>
                <w:szCs w:val="16"/>
              </w:rPr>
              <w:t>576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ED8B42F"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6C9971FF"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B5E86C" w14:textId="77777777" w:rsidR="003A22B8" w:rsidRDefault="003A22B8" w:rsidP="004D65FE">
            <w:pPr>
              <w:keepNext/>
              <w:keepLines/>
              <w:spacing w:before="0"/>
              <w:ind w:left="142" w:hanging="142"/>
              <w:rPr>
                <w:rFonts w:cs="Open Sans Light"/>
                <w:sz w:val="16"/>
                <w:szCs w:val="16"/>
              </w:rPr>
            </w:pPr>
            <w:r>
              <w:rPr>
                <w:rFonts w:cs="Open Sans Light"/>
                <w:sz w:val="16"/>
                <w:szCs w:val="16"/>
              </w:rPr>
              <w:t>Insurance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4A26BC0" w14:textId="77777777" w:rsidR="003A22B8" w:rsidRDefault="003A22B8" w:rsidP="004D65FE">
            <w:pPr>
              <w:keepNext/>
              <w:keepLines/>
              <w:spacing w:before="0"/>
              <w:jc w:val="right"/>
              <w:rPr>
                <w:rFonts w:cs="Open Sans Light"/>
                <w:sz w:val="16"/>
                <w:szCs w:val="16"/>
              </w:rPr>
            </w:pPr>
            <w:r>
              <w:rPr>
                <w:rFonts w:cs="Open Sans Light"/>
                <w:sz w:val="16"/>
                <w:szCs w:val="16"/>
              </w:rPr>
              <w:t>-16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0C699D" w14:textId="77777777" w:rsidR="003A22B8" w:rsidRDefault="003A22B8" w:rsidP="004D65FE">
            <w:pPr>
              <w:keepNext/>
              <w:keepLines/>
              <w:spacing w:before="0"/>
              <w:jc w:val="right"/>
              <w:rPr>
                <w:rFonts w:cs="Open Sans Light"/>
                <w:sz w:val="16"/>
                <w:szCs w:val="16"/>
              </w:rPr>
            </w:pPr>
            <w:r>
              <w:rPr>
                <w:rFonts w:cs="Open Sans Light"/>
                <w:sz w:val="16"/>
                <w:szCs w:val="16"/>
              </w:rPr>
              <w:t>17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53C5CBE" w14:textId="77777777" w:rsidR="003A22B8" w:rsidRDefault="003A22B8" w:rsidP="004D65FE">
            <w:pPr>
              <w:keepNext/>
              <w:keepLines/>
              <w:spacing w:before="0"/>
              <w:jc w:val="right"/>
              <w:rPr>
                <w:rFonts w:cs="Open Sans Light"/>
                <w:sz w:val="16"/>
                <w:szCs w:val="16"/>
              </w:rPr>
            </w:pPr>
            <w:r>
              <w:rPr>
                <w:rFonts w:cs="Open Sans Light"/>
                <w:sz w:val="16"/>
                <w:szCs w:val="16"/>
              </w:rPr>
              <w:t>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BE9B0D" w14:textId="77777777" w:rsidR="003A22B8" w:rsidRDefault="003A22B8" w:rsidP="004D65FE">
            <w:pPr>
              <w:keepNext/>
              <w:keepLines/>
              <w:spacing w:before="0"/>
              <w:jc w:val="right"/>
              <w:rPr>
                <w:rFonts w:cs="Open Sans Light"/>
                <w:sz w:val="16"/>
                <w:szCs w:val="16"/>
              </w:rPr>
            </w:pPr>
            <w:r>
              <w:rPr>
                <w:rFonts w:cs="Open Sans Light"/>
                <w:sz w:val="16"/>
                <w:szCs w:val="16"/>
              </w:rPr>
              <w:t>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64EF3C7" w14:textId="77777777" w:rsidR="003A22B8" w:rsidRDefault="003A22B8" w:rsidP="004D65FE">
            <w:pPr>
              <w:keepNext/>
              <w:keepLines/>
              <w:spacing w:before="0"/>
              <w:jc w:val="right"/>
              <w:rPr>
                <w:rFonts w:cs="Open Sans Light"/>
                <w:sz w:val="16"/>
                <w:szCs w:val="16"/>
              </w:rPr>
            </w:pPr>
            <w:r>
              <w:rPr>
                <w:rFonts w:cs="Open Sans Light"/>
                <w:sz w:val="16"/>
                <w:szCs w:val="16"/>
              </w:rPr>
              <w:t>-33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DEAD9A9" w14:textId="77777777" w:rsidR="003A22B8" w:rsidRDefault="003A22B8" w:rsidP="004D65FE">
            <w:pPr>
              <w:keepNext/>
              <w:keepLines/>
              <w:spacing w:before="0"/>
              <w:jc w:val="right"/>
              <w:rPr>
                <w:rFonts w:cs="Open Sans Light"/>
                <w:sz w:val="16"/>
                <w:szCs w:val="16"/>
              </w:rPr>
            </w:pPr>
            <w:r>
              <w:rPr>
                <w:rFonts w:cs="Open Sans Light"/>
                <w:sz w:val="16"/>
                <w:szCs w:val="16"/>
              </w:rPr>
              <w:t>43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ACDCFE" w14:textId="77777777" w:rsidR="003A22B8" w:rsidRDefault="003A22B8" w:rsidP="004D65FE">
            <w:pPr>
              <w:keepNext/>
              <w:keepLines/>
              <w:spacing w:before="0"/>
              <w:jc w:val="right"/>
              <w:rPr>
                <w:rFonts w:cs="Open Sans Light"/>
                <w:sz w:val="16"/>
                <w:szCs w:val="16"/>
              </w:rPr>
            </w:pPr>
            <w:r>
              <w:rPr>
                <w:rFonts w:cs="Open Sans Light"/>
                <w:sz w:val="16"/>
                <w:szCs w:val="16"/>
              </w:rPr>
              <w:t>27</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3A6E9BE" w14:textId="77777777" w:rsidR="003A22B8" w:rsidRDefault="003A22B8" w:rsidP="004D65FE">
            <w:pPr>
              <w:keepNext/>
              <w:keepLines/>
              <w:spacing w:before="0"/>
              <w:jc w:val="right"/>
              <w:rPr>
                <w:rFonts w:cs="Open Sans Light"/>
                <w:sz w:val="16"/>
                <w:szCs w:val="16"/>
              </w:rPr>
            </w:pPr>
            <w:r>
              <w:rPr>
                <w:rFonts w:cs="Open Sans Light"/>
                <w:sz w:val="16"/>
                <w:szCs w:val="16"/>
              </w:rPr>
              <w:t>-12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5620654"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678D1884"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5B7274A" w14:textId="77777777" w:rsidR="003A22B8" w:rsidRDefault="003A22B8" w:rsidP="004D65FE">
            <w:pPr>
              <w:keepNext/>
              <w:keepLines/>
              <w:spacing w:before="0"/>
              <w:ind w:left="142" w:hanging="142"/>
              <w:rPr>
                <w:rFonts w:cs="Open Sans Light"/>
                <w:sz w:val="16"/>
                <w:szCs w:val="16"/>
              </w:rPr>
            </w:pPr>
            <w:r>
              <w:rPr>
                <w:rFonts w:cs="Open Sans Light"/>
                <w:sz w:val="16"/>
                <w:szCs w:val="16"/>
              </w:rPr>
              <w:t>Motor taxes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E6B3233" w14:textId="77777777" w:rsidR="003A22B8" w:rsidRDefault="003A22B8" w:rsidP="004D65FE">
            <w:pPr>
              <w:keepNext/>
              <w:keepLines/>
              <w:spacing w:before="0"/>
              <w:jc w:val="right"/>
              <w:rPr>
                <w:rFonts w:cs="Open Sans Light"/>
                <w:sz w:val="16"/>
                <w:szCs w:val="16"/>
              </w:rPr>
            </w:pPr>
            <w:r>
              <w:rPr>
                <w:rFonts w:cs="Open Sans Light"/>
                <w:sz w:val="16"/>
                <w:szCs w:val="16"/>
              </w:rPr>
              <w:t>30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171B315"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1EFFD7B" w14:textId="77777777" w:rsidR="003A22B8" w:rsidRDefault="003A22B8" w:rsidP="004D65FE">
            <w:pPr>
              <w:keepNext/>
              <w:keepLines/>
              <w:spacing w:before="0"/>
              <w:jc w:val="right"/>
              <w:rPr>
                <w:rFonts w:cs="Open Sans Light"/>
                <w:sz w:val="16"/>
                <w:szCs w:val="16"/>
              </w:rPr>
            </w:pPr>
            <w:r>
              <w:rPr>
                <w:rFonts w:cs="Open Sans Light"/>
                <w:sz w:val="16"/>
                <w:szCs w:val="16"/>
              </w:rPr>
              <w:t>-15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EDC0ACA" w14:textId="77777777" w:rsidR="003A22B8" w:rsidRDefault="003A22B8" w:rsidP="004D65FE">
            <w:pPr>
              <w:keepNext/>
              <w:keepLines/>
              <w:spacing w:before="0"/>
              <w:jc w:val="right"/>
              <w:rPr>
                <w:rFonts w:cs="Open Sans Light"/>
                <w:sz w:val="16"/>
                <w:szCs w:val="16"/>
              </w:rPr>
            </w:pPr>
            <w:r>
              <w:rPr>
                <w:rFonts w:cs="Open Sans Light"/>
                <w:sz w:val="16"/>
                <w:szCs w:val="16"/>
              </w:rPr>
              <w:t>-51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A969637" w14:textId="77777777" w:rsidR="003A22B8" w:rsidRDefault="003A22B8" w:rsidP="004D65FE">
            <w:pPr>
              <w:keepNext/>
              <w:keepLines/>
              <w:spacing w:before="0"/>
              <w:jc w:val="right"/>
              <w:rPr>
                <w:rFonts w:cs="Open Sans Light"/>
                <w:sz w:val="16"/>
                <w:szCs w:val="16"/>
              </w:rPr>
            </w:pPr>
            <w:r>
              <w:rPr>
                <w:rFonts w:cs="Open Sans Light"/>
                <w:sz w:val="16"/>
                <w:szCs w:val="16"/>
              </w:rPr>
              <w:t>-18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E0D839C" w14:textId="77777777" w:rsidR="003A22B8" w:rsidRDefault="003A22B8" w:rsidP="004D65FE">
            <w:pPr>
              <w:keepNext/>
              <w:keepLines/>
              <w:spacing w:before="0"/>
              <w:jc w:val="right"/>
              <w:rPr>
                <w:rFonts w:cs="Open Sans Light"/>
                <w:sz w:val="16"/>
                <w:szCs w:val="16"/>
              </w:rPr>
            </w:pPr>
            <w:r>
              <w:rPr>
                <w:rFonts w:cs="Open Sans Light"/>
                <w:sz w:val="16"/>
                <w:szCs w:val="16"/>
              </w:rPr>
              <w:t>-57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7EEA64" w14:textId="77777777" w:rsidR="003A22B8" w:rsidRDefault="003A22B8" w:rsidP="004D65FE">
            <w:pPr>
              <w:keepNext/>
              <w:keepLines/>
              <w:spacing w:before="0"/>
              <w:jc w:val="right"/>
              <w:rPr>
                <w:rFonts w:cs="Open Sans Light"/>
                <w:sz w:val="16"/>
                <w:szCs w:val="16"/>
              </w:rPr>
            </w:pPr>
            <w:r>
              <w:rPr>
                <w:rFonts w:cs="Open Sans Light"/>
                <w:sz w:val="16"/>
                <w:szCs w:val="16"/>
              </w:rPr>
              <w:t>53</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AF2B566" w14:textId="77777777" w:rsidR="003A22B8" w:rsidRDefault="003A22B8" w:rsidP="004D65FE">
            <w:pPr>
              <w:keepNext/>
              <w:keepLines/>
              <w:spacing w:before="0"/>
              <w:jc w:val="right"/>
              <w:rPr>
                <w:rFonts w:cs="Open Sans Light"/>
                <w:sz w:val="16"/>
                <w:szCs w:val="16"/>
              </w:rPr>
            </w:pPr>
            <w:r>
              <w:rPr>
                <w:rFonts w:cs="Open Sans Light"/>
                <w:sz w:val="16"/>
                <w:szCs w:val="16"/>
              </w:rPr>
              <w:t>26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C25F74D"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606F72A7"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AF26E19" w14:textId="77777777" w:rsidR="003A22B8" w:rsidRDefault="003A22B8" w:rsidP="004D65FE">
            <w:pPr>
              <w:keepNext/>
              <w:keepLines/>
              <w:spacing w:before="0"/>
              <w:ind w:left="142" w:hanging="142"/>
              <w:rPr>
                <w:rFonts w:cs="Open Sans Light"/>
                <w:sz w:val="16"/>
                <w:szCs w:val="16"/>
              </w:rPr>
            </w:pPr>
            <w:r>
              <w:rPr>
                <w:rFonts w:cs="Open Sans Light"/>
                <w:sz w:val="16"/>
                <w:szCs w:val="16"/>
              </w:rPr>
              <w:t>Mining revenue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768F5F" w14:textId="77777777" w:rsidR="003A22B8" w:rsidRDefault="003A22B8" w:rsidP="004D65FE">
            <w:pPr>
              <w:keepNext/>
              <w:keepLines/>
              <w:spacing w:before="0"/>
              <w:jc w:val="right"/>
              <w:rPr>
                <w:rFonts w:cs="Open Sans Light"/>
                <w:sz w:val="16"/>
                <w:szCs w:val="16"/>
              </w:rPr>
            </w:pPr>
            <w:r>
              <w:rPr>
                <w:rFonts w:cs="Open Sans Light"/>
                <w:sz w:val="16"/>
                <w:szCs w:val="16"/>
              </w:rPr>
              <w:t>262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C6704A2" w14:textId="77777777" w:rsidR="003A22B8" w:rsidRDefault="003A22B8" w:rsidP="004D65FE">
            <w:pPr>
              <w:keepNext/>
              <w:keepLines/>
              <w:spacing w:before="0"/>
              <w:jc w:val="right"/>
              <w:rPr>
                <w:rFonts w:cs="Open Sans Light"/>
                <w:sz w:val="16"/>
                <w:szCs w:val="16"/>
              </w:rPr>
            </w:pPr>
            <w:r>
              <w:rPr>
                <w:rFonts w:cs="Open Sans Light"/>
                <w:sz w:val="16"/>
                <w:szCs w:val="16"/>
              </w:rPr>
              <w:t>482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7297B85" w14:textId="77777777" w:rsidR="003A22B8" w:rsidRDefault="003A22B8" w:rsidP="004D65FE">
            <w:pPr>
              <w:keepNext/>
              <w:keepLines/>
              <w:spacing w:before="0"/>
              <w:jc w:val="right"/>
              <w:rPr>
                <w:rFonts w:cs="Open Sans Light"/>
                <w:sz w:val="16"/>
                <w:szCs w:val="16"/>
              </w:rPr>
            </w:pPr>
            <w:r>
              <w:rPr>
                <w:rFonts w:cs="Open Sans Light"/>
                <w:sz w:val="16"/>
                <w:szCs w:val="16"/>
              </w:rPr>
              <w:t>-299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D74476D" w14:textId="77777777" w:rsidR="003A22B8" w:rsidRDefault="003A22B8" w:rsidP="004D65FE">
            <w:pPr>
              <w:keepNext/>
              <w:keepLines/>
              <w:spacing w:before="0"/>
              <w:jc w:val="right"/>
              <w:rPr>
                <w:rFonts w:cs="Open Sans Light"/>
                <w:sz w:val="16"/>
                <w:szCs w:val="16"/>
              </w:rPr>
            </w:pPr>
            <w:r>
              <w:rPr>
                <w:rFonts w:cs="Open Sans Light"/>
                <w:sz w:val="16"/>
                <w:szCs w:val="16"/>
              </w:rPr>
              <w:t>-1,788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E4FD95" w14:textId="77777777" w:rsidR="003A22B8" w:rsidRDefault="003A22B8" w:rsidP="004D65FE">
            <w:pPr>
              <w:keepNext/>
              <w:keepLines/>
              <w:spacing w:before="0"/>
              <w:jc w:val="right"/>
              <w:rPr>
                <w:rFonts w:cs="Open Sans Light"/>
                <w:sz w:val="16"/>
                <w:szCs w:val="16"/>
              </w:rPr>
            </w:pPr>
            <w:r>
              <w:rPr>
                <w:rFonts w:cs="Open Sans Light"/>
                <w:sz w:val="16"/>
                <w:szCs w:val="16"/>
              </w:rPr>
              <w:t>358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E126ED" w14:textId="77777777" w:rsidR="003A22B8" w:rsidRDefault="003A22B8" w:rsidP="004D65FE">
            <w:pPr>
              <w:keepNext/>
              <w:keepLines/>
              <w:spacing w:before="0"/>
              <w:jc w:val="right"/>
              <w:rPr>
                <w:rFonts w:cs="Open Sans Light"/>
                <w:sz w:val="16"/>
                <w:szCs w:val="16"/>
              </w:rPr>
            </w:pPr>
            <w:r>
              <w:rPr>
                <w:rFonts w:cs="Open Sans Light"/>
                <w:sz w:val="16"/>
                <w:szCs w:val="16"/>
              </w:rPr>
              <w:t>381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79F3E39" w14:textId="77777777" w:rsidR="003A22B8" w:rsidRDefault="003A22B8" w:rsidP="004D65FE">
            <w:pPr>
              <w:keepNext/>
              <w:keepLines/>
              <w:spacing w:before="0"/>
              <w:jc w:val="right"/>
              <w:rPr>
                <w:rFonts w:cs="Open Sans Light"/>
                <w:sz w:val="16"/>
                <w:szCs w:val="16"/>
              </w:rPr>
            </w:pPr>
            <w:r>
              <w:rPr>
                <w:rFonts w:cs="Open Sans Light"/>
                <w:sz w:val="16"/>
                <w:szCs w:val="16"/>
              </w:rPr>
              <w:t>513</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322C862" w14:textId="77777777" w:rsidR="003A22B8" w:rsidRDefault="003A22B8" w:rsidP="004D65FE">
            <w:pPr>
              <w:keepNext/>
              <w:keepLines/>
              <w:spacing w:before="0"/>
              <w:jc w:val="right"/>
              <w:rPr>
                <w:rFonts w:cs="Open Sans Light"/>
                <w:sz w:val="16"/>
                <w:szCs w:val="16"/>
              </w:rPr>
            </w:pPr>
            <w:r>
              <w:rPr>
                <w:rFonts w:cs="Open Sans Light"/>
                <w:sz w:val="16"/>
                <w:szCs w:val="16"/>
              </w:rPr>
              <w:t>-319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86E0980"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1FF5B5B8"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E8E6AE1" w14:textId="77777777" w:rsidR="003A22B8" w:rsidRDefault="003A22B8" w:rsidP="004D65FE">
            <w:pPr>
              <w:keepNext/>
              <w:keepLines/>
              <w:spacing w:before="0"/>
              <w:ind w:left="142" w:hanging="142"/>
              <w:rPr>
                <w:rFonts w:cs="Open Sans Light"/>
                <w:sz w:val="16"/>
                <w:szCs w:val="16"/>
              </w:rPr>
            </w:pPr>
            <w:r>
              <w:rPr>
                <w:rFonts w:cs="Open Sans Light"/>
                <w:sz w:val="16"/>
                <w:szCs w:val="16"/>
              </w:rPr>
              <w:t>Other revenue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8A6F708"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85FB7B6"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1797BB"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324E03C"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8BB4F03"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4D31189"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054A0BE"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9A7690D"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675CAE5"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100DF1CB"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0491781"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Assessed revenue</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F178A8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-186</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52A2EA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339</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E4C1C1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99</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8DDDE3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-1,668</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2A2D19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1,176</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B4FD0D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1,338</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00AD3E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860</w:t>
            </w:r>
          </w:p>
        </w:tc>
        <w:tc>
          <w:tcPr>
            <w:tcW w:w="82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A6FCD3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104</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E2156D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w:t>
            </w:r>
          </w:p>
        </w:tc>
      </w:tr>
    </w:tbl>
    <w:p w14:paraId="0201B152" w14:textId="77777777" w:rsidR="003A22B8" w:rsidRDefault="003A22B8" w:rsidP="003A22B8">
      <w:pPr>
        <w:pStyle w:val="CGCTablenote"/>
      </w:pPr>
      <w:r>
        <w:t xml:space="preserve">Source: </w:t>
      </w:r>
      <w:r>
        <w:tab/>
        <w:t>CGC calculation.</w:t>
      </w:r>
    </w:p>
    <w:p w14:paraId="15FC4F96" w14:textId="70263D1F" w:rsidR="003A22B8" w:rsidRDefault="003A22B8" w:rsidP="003A22B8">
      <w:pPr>
        <w:pStyle w:val="Caption"/>
      </w:pPr>
      <w:bookmarkStart w:id="656" w:name="_Ref30434264"/>
      <w:r>
        <w:t>Table 30-</w:t>
      </w:r>
      <w:fldSimple w:instr=" SEQ Table \* ARABIC ">
        <w:r w:rsidR="007F721A">
          <w:rPr>
            <w:noProof/>
          </w:rPr>
          <w:t>15</w:t>
        </w:r>
      </w:fldSimple>
      <w:bookmarkEnd w:id="656"/>
      <w:r>
        <w:tab/>
        <w:t>Per capita relativities, alternative presentation, 2017-18</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1F21DEA9" w14:textId="77777777" w:rsidTr="004D65FE">
        <w:trPr>
          <w:trHeight w:val="340"/>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B85FB33" w14:textId="77777777" w:rsidR="003A22B8" w:rsidRDefault="003A22B8" w:rsidP="004D65FE">
            <w:pPr>
              <w:keepNext/>
              <w:keepLines/>
              <w:tabs>
                <w:tab w:val="clear" w:pos="567"/>
              </w:tabs>
              <w:spacing w:before="0" w:line="240" w:lineRule="auto"/>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E028582"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1C8859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4BB03D8"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58F6290"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8C51A23"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C8872CE"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9A90442"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4150D07"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6A19019"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20343717" w14:textId="77777777" w:rsidTr="005C340D">
        <w:trPr>
          <w:trHeight w:val="255"/>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167A91F" w14:textId="77777777" w:rsidR="003A22B8" w:rsidRDefault="003A22B8" w:rsidP="004D65FE">
            <w:pPr>
              <w:keepNext/>
              <w:keepLines/>
              <w:spacing w:before="0"/>
              <w:ind w:left="193"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0CFFF2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67C3C6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72729D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47C194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7E3B22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535924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33A669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27FA2B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5927F8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3390F3A2"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E32324B" w14:textId="77777777" w:rsidR="003A22B8" w:rsidRDefault="003A22B8" w:rsidP="004D65FE">
            <w:pPr>
              <w:keepNext/>
              <w:keepLines/>
              <w:spacing w:before="0"/>
              <w:ind w:left="142" w:hanging="142"/>
              <w:rPr>
                <w:rFonts w:cs="Open Sans Light"/>
                <w:sz w:val="16"/>
                <w:szCs w:val="16"/>
              </w:rPr>
            </w:pPr>
            <w:r>
              <w:rPr>
                <w:rFonts w:cs="Open Sans Light"/>
                <w:sz w:val="16"/>
                <w:szCs w:val="16"/>
              </w:rPr>
              <w:t>Average GST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6C01EEB" w14:textId="77777777" w:rsidR="003A22B8" w:rsidRDefault="003A22B8" w:rsidP="004D65FE">
            <w:pPr>
              <w:keepNext/>
              <w:keepLines/>
              <w:spacing w:before="0"/>
              <w:jc w:val="right"/>
              <w:rPr>
                <w:rFonts w:cs="Open Sans Light"/>
                <w:sz w:val="16"/>
                <w:szCs w:val="16"/>
              </w:rPr>
            </w:pPr>
            <w:r>
              <w:rPr>
                <w:rFonts w:cs="Open Sans Light"/>
                <w:sz w:val="16"/>
                <w:szCs w:val="16"/>
              </w:rPr>
              <w:t>2,549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36EF5A4" w14:textId="77777777" w:rsidR="003A22B8" w:rsidRDefault="003A22B8" w:rsidP="004D65FE">
            <w:pPr>
              <w:keepNext/>
              <w:keepLines/>
              <w:spacing w:before="0"/>
              <w:jc w:val="right"/>
              <w:rPr>
                <w:rFonts w:cs="Open Sans Light"/>
                <w:sz w:val="16"/>
                <w:szCs w:val="16"/>
              </w:rPr>
            </w:pPr>
            <w:r>
              <w:rPr>
                <w:rFonts w:cs="Open Sans Light"/>
                <w:sz w:val="16"/>
                <w:szCs w:val="16"/>
              </w:rPr>
              <w:t>2,549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2D24701" w14:textId="77777777" w:rsidR="003A22B8" w:rsidRDefault="003A22B8" w:rsidP="004D65FE">
            <w:pPr>
              <w:keepNext/>
              <w:keepLines/>
              <w:spacing w:before="0"/>
              <w:jc w:val="right"/>
              <w:rPr>
                <w:rFonts w:cs="Open Sans Light"/>
                <w:sz w:val="16"/>
                <w:szCs w:val="16"/>
              </w:rPr>
            </w:pPr>
            <w:r>
              <w:rPr>
                <w:rFonts w:cs="Open Sans Light"/>
                <w:sz w:val="16"/>
                <w:szCs w:val="16"/>
              </w:rPr>
              <w:t>2,549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7FAD491" w14:textId="77777777" w:rsidR="003A22B8" w:rsidRDefault="003A22B8" w:rsidP="004D65FE">
            <w:pPr>
              <w:keepNext/>
              <w:keepLines/>
              <w:spacing w:before="0"/>
              <w:jc w:val="right"/>
              <w:rPr>
                <w:rFonts w:cs="Open Sans Light"/>
                <w:sz w:val="16"/>
                <w:szCs w:val="16"/>
              </w:rPr>
            </w:pPr>
            <w:r>
              <w:rPr>
                <w:rFonts w:cs="Open Sans Light"/>
                <w:sz w:val="16"/>
                <w:szCs w:val="16"/>
              </w:rPr>
              <w:t>2,549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CB9AB66" w14:textId="77777777" w:rsidR="003A22B8" w:rsidRDefault="003A22B8" w:rsidP="004D65FE">
            <w:pPr>
              <w:keepNext/>
              <w:keepLines/>
              <w:spacing w:before="0"/>
              <w:jc w:val="right"/>
              <w:rPr>
                <w:rFonts w:cs="Open Sans Light"/>
                <w:sz w:val="16"/>
                <w:szCs w:val="16"/>
              </w:rPr>
            </w:pPr>
            <w:r>
              <w:rPr>
                <w:rFonts w:cs="Open Sans Light"/>
                <w:sz w:val="16"/>
                <w:szCs w:val="16"/>
              </w:rPr>
              <w:t>2,549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9F1310A" w14:textId="77777777" w:rsidR="003A22B8" w:rsidRDefault="003A22B8" w:rsidP="004D65FE">
            <w:pPr>
              <w:keepNext/>
              <w:keepLines/>
              <w:spacing w:before="0"/>
              <w:jc w:val="right"/>
              <w:rPr>
                <w:rFonts w:cs="Open Sans Light"/>
                <w:sz w:val="16"/>
                <w:szCs w:val="16"/>
              </w:rPr>
            </w:pPr>
            <w:r>
              <w:rPr>
                <w:rFonts w:cs="Open Sans Light"/>
                <w:sz w:val="16"/>
                <w:szCs w:val="16"/>
              </w:rPr>
              <w:t>2,549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4F2FCF6" w14:textId="77777777" w:rsidR="003A22B8" w:rsidRDefault="003A22B8" w:rsidP="004D65FE">
            <w:pPr>
              <w:keepNext/>
              <w:keepLines/>
              <w:spacing w:before="0"/>
              <w:jc w:val="right"/>
              <w:rPr>
                <w:rFonts w:cs="Open Sans Light"/>
                <w:sz w:val="16"/>
                <w:szCs w:val="16"/>
              </w:rPr>
            </w:pPr>
            <w:r>
              <w:rPr>
                <w:rFonts w:cs="Open Sans Light"/>
                <w:sz w:val="16"/>
                <w:szCs w:val="16"/>
              </w:rPr>
              <w:t>2,549</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8DF4947" w14:textId="77777777" w:rsidR="003A22B8" w:rsidRDefault="003A22B8" w:rsidP="004D65FE">
            <w:pPr>
              <w:keepNext/>
              <w:keepLines/>
              <w:spacing w:before="0"/>
              <w:jc w:val="right"/>
              <w:rPr>
                <w:rFonts w:cs="Open Sans Light"/>
                <w:sz w:val="16"/>
                <w:szCs w:val="16"/>
              </w:rPr>
            </w:pPr>
            <w:r>
              <w:rPr>
                <w:rFonts w:cs="Open Sans Light"/>
                <w:sz w:val="16"/>
                <w:szCs w:val="16"/>
              </w:rPr>
              <w:t>2,549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90AEF72" w14:textId="77777777" w:rsidR="003A22B8" w:rsidRDefault="003A22B8" w:rsidP="004D65FE">
            <w:pPr>
              <w:keepNext/>
              <w:keepLines/>
              <w:spacing w:before="0"/>
              <w:jc w:val="right"/>
              <w:rPr>
                <w:rFonts w:cs="Open Sans Light"/>
                <w:sz w:val="16"/>
                <w:szCs w:val="16"/>
              </w:rPr>
            </w:pPr>
            <w:r>
              <w:rPr>
                <w:rFonts w:cs="Open Sans Light"/>
                <w:sz w:val="16"/>
                <w:szCs w:val="16"/>
              </w:rPr>
              <w:t>2,549</w:t>
            </w:r>
          </w:p>
        </w:tc>
      </w:tr>
      <w:tr w:rsidR="003A22B8" w14:paraId="6B3629EE" w14:textId="77777777" w:rsidTr="004D65FE">
        <w:trPr>
          <w:trHeight w:val="255"/>
        </w:trPr>
        <w:tc>
          <w:tcPr>
            <w:tcW w:w="2500" w:type="dxa"/>
            <w:tcBorders>
              <w:top w:val="nil"/>
              <w:left w:val="nil"/>
              <w:bottom w:val="nil"/>
              <w:right w:val="nil"/>
            </w:tcBorders>
            <w:shd w:val="clear" w:color="auto" w:fill="auto"/>
            <w:noWrap/>
            <w:tcMar>
              <w:top w:w="15" w:type="dxa"/>
              <w:left w:w="15" w:type="dxa"/>
              <w:bottom w:w="0" w:type="dxa"/>
              <w:right w:w="15" w:type="dxa"/>
            </w:tcMar>
            <w:vAlign w:val="bottom"/>
            <w:hideMark/>
          </w:tcPr>
          <w:p w14:paraId="5ADF5435" w14:textId="77777777" w:rsidR="003A22B8" w:rsidRDefault="003A22B8" w:rsidP="004D65FE">
            <w:pPr>
              <w:keepNext/>
              <w:keepLines/>
              <w:spacing w:before="0"/>
              <w:ind w:left="142" w:hanging="142"/>
              <w:rPr>
                <w:rFonts w:cs="Open Sans Light"/>
                <w:i/>
                <w:iCs/>
                <w:sz w:val="16"/>
                <w:szCs w:val="16"/>
              </w:rPr>
            </w:pPr>
            <w:r>
              <w:rPr>
                <w:rFonts w:cs="Open Sans Light"/>
                <w:i/>
                <w:iCs/>
                <w:sz w:val="16"/>
                <w:szCs w:val="16"/>
              </w:rPr>
              <w:t>plus assessed differences in</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44AE6499" w14:textId="77777777" w:rsidR="003A22B8" w:rsidRDefault="003A22B8" w:rsidP="004D65FE">
            <w:pPr>
              <w:keepNext/>
              <w:keepLines/>
              <w:spacing w:before="0"/>
              <w:rPr>
                <w:rFonts w:cs="Open Sans Light"/>
                <w:i/>
                <w:iCs/>
                <w:sz w:val="16"/>
                <w:szCs w:val="16"/>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71561845"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0EEE1557"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5EB57143"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71C6FC31"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79C5D05E"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34D7ADFF" w14:textId="77777777" w:rsidR="003A22B8" w:rsidRDefault="003A22B8" w:rsidP="004D65FE">
            <w:pPr>
              <w:keepNext/>
              <w:keepLines/>
              <w:spacing w:before="0"/>
              <w:jc w:val="right"/>
              <w:rPr>
                <w:szCs w:val="20"/>
              </w:rPr>
            </w:pPr>
          </w:p>
        </w:tc>
        <w:tc>
          <w:tcPr>
            <w:tcW w:w="820" w:type="dxa"/>
            <w:tcBorders>
              <w:top w:val="nil"/>
              <w:left w:val="nil"/>
              <w:bottom w:val="nil"/>
              <w:right w:val="nil"/>
            </w:tcBorders>
            <w:shd w:val="clear" w:color="auto" w:fill="auto"/>
            <w:tcMar>
              <w:top w:w="15" w:type="dxa"/>
              <w:left w:w="15" w:type="dxa"/>
              <w:bottom w:w="0" w:type="dxa"/>
              <w:right w:w="15" w:type="dxa"/>
            </w:tcMar>
            <w:vAlign w:val="bottom"/>
            <w:hideMark/>
          </w:tcPr>
          <w:p w14:paraId="513ACF40"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582DAC41" w14:textId="77777777" w:rsidR="003A22B8" w:rsidRDefault="003A22B8" w:rsidP="004D65FE">
            <w:pPr>
              <w:keepNext/>
              <w:keepLines/>
              <w:spacing w:before="0"/>
              <w:jc w:val="right"/>
              <w:rPr>
                <w:szCs w:val="20"/>
              </w:rPr>
            </w:pPr>
          </w:p>
        </w:tc>
      </w:tr>
      <w:tr w:rsidR="003A22B8" w14:paraId="10AB3D19"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F37404" w14:textId="77777777" w:rsidR="003A22B8" w:rsidRDefault="003A22B8" w:rsidP="004D65FE">
            <w:pPr>
              <w:keepNext/>
              <w:keepLines/>
              <w:spacing w:before="0"/>
              <w:ind w:left="142" w:hanging="142"/>
              <w:rPr>
                <w:rFonts w:cs="Open Sans Light"/>
                <w:sz w:val="16"/>
                <w:szCs w:val="16"/>
              </w:rPr>
            </w:pPr>
            <w:r>
              <w:rPr>
                <w:rFonts w:cs="Open Sans Light"/>
                <w:sz w:val="16"/>
                <w:szCs w:val="16"/>
              </w:rPr>
              <w:t>Assessed expenses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1B68E4C" w14:textId="77777777" w:rsidR="003A22B8" w:rsidRDefault="003A22B8" w:rsidP="004D65FE">
            <w:pPr>
              <w:keepNext/>
              <w:keepLines/>
              <w:spacing w:before="0"/>
              <w:jc w:val="right"/>
              <w:rPr>
                <w:rFonts w:cs="Open Sans Light"/>
                <w:sz w:val="16"/>
                <w:szCs w:val="16"/>
              </w:rPr>
            </w:pPr>
            <w:r>
              <w:rPr>
                <w:rFonts w:cs="Open Sans Light"/>
                <w:sz w:val="16"/>
                <w:szCs w:val="16"/>
              </w:rPr>
              <w:t>-147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37DF971" w14:textId="77777777" w:rsidR="003A22B8" w:rsidRDefault="003A22B8" w:rsidP="004D65FE">
            <w:pPr>
              <w:keepNext/>
              <w:keepLines/>
              <w:spacing w:before="0"/>
              <w:jc w:val="right"/>
              <w:rPr>
                <w:rFonts w:cs="Open Sans Light"/>
                <w:sz w:val="16"/>
                <w:szCs w:val="16"/>
              </w:rPr>
            </w:pPr>
            <w:r>
              <w:rPr>
                <w:rFonts w:cs="Open Sans Light"/>
                <w:sz w:val="16"/>
                <w:szCs w:val="16"/>
              </w:rPr>
              <w:t>-650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2D71309" w14:textId="77777777" w:rsidR="003A22B8" w:rsidRDefault="003A22B8" w:rsidP="004D65FE">
            <w:pPr>
              <w:keepNext/>
              <w:keepLines/>
              <w:spacing w:before="0"/>
              <w:jc w:val="right"/>
              <w:rPr>
                <w:rFonts w:cs="Open Sans Light"/>
                <w:sz w:val="16"/>
                <w:szCs w:val="16"/>
              </w:rPr>
            </w:pPr>
            <w:r>
              <w:rPr>
                <w:rFonts w:cs="Open Sans Light"/>
                <w:sz w:val="16"/>
                <w:szCs w:val="16"/>
              </w:rPr>
              <w:t>291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001EF79" w14:textId="77777777" w:rsidR="003A22B8" w:rsidRDefault="003A22B8" w:rsidP="004D65FE">
            <w:pPr>
              <w:keepNext/>
              <w:keepLines/>
              <w:spacing w:before="0"/>
              <w:jc w:val="right"/>
              <w:rPr>
                <w:rFonts w:cs="Open Sans Light"/>
                <w:sz w:val="16"/>
                <w:szCs w:val="16"/>
              </w:rPr>
            </w:pPr>
            <w:r>
              <w:rPr>
                <w:rFonts w:cs="Open Sans Light"/>
                <w:sz w:val="16"/>
                <w:szCs w:val="16"/>
              </w:rPr>
              <w:t>373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54CDF6E" w14:textId="77777777" w:rsidR="003A22B8" w:rsidRDefault="003A22B8" w:rsidP="004D65FE">
            <w:pPr>
              <w:keepNext/>
              <w:keepLines/>
              <w:spacing w:before="0"/>
              <w:jc w:val="right"/>
              <w:rPr>
                <w:rFonts w:cs="Open Sans Light"/>
                <w:sz w:val="16"/>
                <w:szCs w:val="16"/>
              </w:rPr>
            </w:pPr>
            <w:r>
              <w:rPr>
                <w:rFonts w:cs="Open Sans Light"/>
                <w:sz w:val="16"/>
                <w:szCs w:val="16"/>
              </w:rPr>
              <w:t>18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1245D12" w14:textId="77777777" w:rsidR="003A22B8" w:rsidRDefault="003A22B8" w:rsidP="004D65FE">
            <w:pPr>
              <w:keepNext/>
              <w:keepLines/>
              <w:spacing w:before="0"/>
              <w:jc w:val="right"/>
              <w:rPr>
                <w:rFonts w:cs="Open Sans Light"/>
                <w:sz w:val="16"/>
                <w:szCs w:val="16"/>
              </w:rPr>
            </w:pPr>
            <w:r>
              <w:rPr>
                <w:rFonts w:cs="Open Sans Light"/>
                <w:sz w:val="16"/>
                <w:szCs w:val="16"/>
              </w:rPr>
              <w:t>1,328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B135AC6" w14:textId="77777777" w:rsidR="003A22B8" w:rsidRDefault="003A22B8" w:rsidP="004D65FE">
            <w:pPr>
              <w:keepNext/>
              <w:keepLines/>
              <w:spacing w:before="0"/>
              <w:jc w:val="right"/>
              <w:rPr>
                <w:rFonts w:cs="Open Sans Light"/>
                <w:sz w:val="16"/>
                <w:szCs w:val="16"/>
              </w:rPr>
            </w:pPr>
            <w:r>
              <w:rPr>
                <w:rFonts w:cs="Open Sans Light"/>
                <w:sz w:val="16"/>
                <w:szCs w:val="16"/>
              </w:rPr>
              <w:t>-418</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08E329A" w14:textId="77777777" w:rsidR="003A22B8" w:rsidRDefault="003A22B8" w:rsidP="004D65FE">
            <w:pPr>
              <w:keepNext/>
              <w:keepLines/>
              <w:spacing w:before="0"/>
              <w:jc w:val="right"/>
              <w:rPr>
                <w:rFonts w:cs="Open Sans Light"/>
                <w:sz w:val="16"/>
                <w:szCs w:val="16"/>
              </w:rPr>
            </w:pPr>
            <w:r>
              <w:rPr>
                <w:rFonts w:cs="Open Sans Light"/>
                <w:sz w:val="16"/>
                <w:szCs w:val="16"/>
              </w:rPr>
              <w:t>9,559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A37FB2A"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7BE7018F"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4539C76" w14:textId="77777777" w:rsidR="003A22B8" w:rsidRDefault="003A22B8" w:rsidP="004D65FE">
            <w:pPr>
              <w:keepNext/>
              <w:keepLines/>
              <w:spacing w:before="0"/>
              <w:ind w:left="142" w:hanging="142"/>
              <w:rPr>
                <w:rFonts w:cs="Open Sans Light"/>
                <w:sz w:val="16"/>
                <w:szCs w:val="16"/>
              </w:rPr>
            </w:pPr>
            <w:r>
              <w:rPr>
                <w:rFonts w:cs="Open Sans Light"/>
                <w:sz w:val="16"/>
                <w:szCs w:val="16"/>
              </w:rPr>
              <w:t>Investment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6A60D11" w14:textId="77777777" w:rsidR="003A22B8" w:rsidRDefault="003A22B8" w:rsidP="004D65FE">
            <w:pPr>
              <w:keepNext/>
              <w:keepLines/>
              <w:spacing w:before="0"/>
              <w:jc w:val="right"/>
              <w:rPr>
                <w:rFonts w:cs="Open Sans Light"/>
                <w:sz w:val="16"/>
                <w:szCs w:val="16"/>
              </w:rPr>
            </w:pPr>
            <w:r>
              <w:rPr>
                <w:rFonts w:cs="Open Sans Light"/>
                <w:sz w:val="16"/>
                <w:szCs w:val="16"/>
              </w:rPr>
              <w:t>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B5039D8" w14:textId="77777777" w:rsidR="003A22B8" w:rsidRDefault="003A22B8" w:rsidP="004D65FE">
            <w:pPr>
              <w:keepNext/>
              <w:keepLines/>
              <w:spacing w:before="0"/>
              <w:jc w:val="right"/>
              <w:rPr>
                <w:rFonts w:cs="Open Sans Light"/>
                <w:sz w:val="16"/>
                <w:szCs w:val="16"/>
              </w:rPr>
            </w:pPr>
            <w:r>
              <w:rPr>
                <w:rFonts w:cs="Open Sans Light"/>
                <w:sz w:val="16"/>
                <w:szCs w:val="16"/>
              </w:rPr>
              <w:t>39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FC7BFD4" w14:textId="77777777" w:rsidR="003A22B8" w:rsidRDefault="003A22B8" w:rsidP="004D65FE">
            <w:pPr>
              <w:keepNext/>
              <w:keepLines/>
              <w:spacing w:before="0"/>
              <w:jc w:val="right"/>
              <w:rPr>
                <w:rFonts w:cs="Open Sans Light"/>
                <w:sz w:val="16"/>
                <w:szCs w:val="16"/>
              </w:rPr>
            </w:pPr>
            <w:r>
              <w:rPr>
                <w:rFonts w:cs="Open Sans Light"/>
                <w:sz w:val="16"/>
                <w:szCs w:val="16"/>
              </w:rPr>
              <w:t>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D16EFDF" w14:textId="77777777" w:rsidR="003A22B8" w:rsidRDefault="003A22B8" w:rsidP="004D65FE">
            <w:pPr>
              <w:keepNext/>
              <w:keepLines/>
              <w:spacing w:before="0"/>
              <w:jc w:val="right"/>
              <w:rPr>
                <w:rFonts w:cs="Open Sans Light"/>
                <w:sz w:val="16"/>
                <w:szCs w:val="16"/>
              </w:rPr>
            </w:pPr>
            <w:r>
              <w:rPr>
                <w:rFonts w:cs="Open Sans Light"/>
                <w:sz w:val="16"/>
                <w:szCs w:val="16"/>
              </w:rPr>
              <w:t>-41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3FD1F46" w14:textId="77777777" w:rsidR="003A22B8" w:rsidRDefault="003A22B8" w:rsidP="004D65FE">
            <w:pPr>
              <w:keepNext/>
              <w:keepLines/>
              <w:spacing w:before="0"/>
              <w:jc w:val="right"/>
              <w:rPr>
                <w:rFonts w:cs="Open Sans Light"/>
                <w:sz w:val="16"/>
                <w:szCs w:val="16"/>
              </w:rPr>
            </w:pPr>
            <w:r>
              <w:rPr>
                <w:rFonts w:cs="Open Sans Light"/>
                <w:sz w:val="16"/>
                <w:szCs w:val="16"/>
              </w:rPr>
              <w:t>-239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0A56B11" w14:textId="77777777" w:rsidR="003A22B8" w:rsidRDefault="003A22B8" w:rsidP="004D65FE">
            <w:pPr>
              <w:keepNext/>
              <w:keepLines/>
              <w:spacing w:before="0"/>
              <w:jc w:val="right"/>
              <w:rPr>
                <w:rFonts w:cs="Open Sans Light"/>
                <w:sz w:val="16"/>
                <w:szCs w:val="16"/>
              </w:rPr>
            </w:pPr>
            <w:r>
              <w:rPr>
                <w:rFonts w:cs="Open Sans Light"/>
                <w:sz w:val="16"/>
                <w:szCs w:val="16"/>
              </w:rPr>
              <w:t>-215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5092C38" w14:textId="77777777" w:rsidR="003A22B8" w:rsidRDefault="003A22B8" w:rsidP="004D65FE">
            <w:pPr>
              <w:keepNext/>
              <w:keepLines/>
              <w:spacing w:before="0"/>
              <w:jc w:val="right"/>
              <w:rPr>
                <w:rFonts w:cs="Open Sans Light"/>
                <w:sz w:val="16"/>
                <w:szCs w:val="16"/>
              </w:rPr>
            </w:pPr>
            <w:r>
              <w:rPr>
                <w:rFonts w:cs="Open Sans Light"/>
                <w:sz w:val="16"/>
                <w:szCs w:val="16"/>
              </w:rPr>
              <w:t>-211</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BF206EE" w14:textId="77777777" w:rsidR="003A22B8" w:rsidRDefault="003A22B8" w:rsidP="004D65FE">
            <w:pPr>
              <w:keepNext/>
              <w:keepLines/>
              <w:spacing w:before="0"/>
              <w:jc w:val="right"/>
              <w:rPr>
                <w:rFonts w:cs="Open Sans Light"/>
                <w:sz w:val="16"/>
                <w:szCs w:val="16"/>
              </w:rPr>
            </w:pPr>
            <w:r>
              <w:rPr>
                <w:rFonts w:cs="Open Sans Light"/>
                <w:sz w:val="16"/>
                <w:szCs w:val="16"/>
              </w:rPr>
              <w:t>1,739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F00C735"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24ADC3E4"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833CBD3" w14:textId="77777777" w:rsidR="003A22B8" w:rsidRDefault="003A22B8" w:rsidP="004D65FE">
            <w:pPr>
              <w:keepNext/>
              <w:keepLines/>
              <w:spacing w:before="0"/>
              <w:ind w:left="142" w:hanging="142"/>
              <w:rPr>
                <w:rFonts w:cs="Open Sans Light"/>
                <w:sz w:val="16"/>
                <w:szCs w:val="16"/>
              </w:rPr>
            </w:pPr>
            <w:r>
              <w:rPr>
                <w:rFonts w:cs="Open Sans Light"/>
                <w:sz w:val="16"/>
                <w:szCs w:val="16"/>
              </w:rPr>
              <w:t>Net borrowing</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61F47AE" w14:textId="77777777" w:rsidR="003A22B8" w:rsidRDefault="003A22B8" w:rsidP="004D65FE">
            <w:pPr>
              <w:keepNext/>
              <w:keepLines/>
              <w:spacing w:before="0"/>
              <w:jc w:val="right"/>
              <w:rPr>
                <w:rFonts w:cs="Open Sans Light"/>
                <w:sz w:val="16"/>
                <w:szCs w:val="16"/>
              </w:rPr>
            </w:pPr>
            <w:r>
              <w:rPr>
                <w:rFonts w:cs="Open Sans Light"/>
                <w:sz w:val="16"/>
                <w:szCs w:val="16"/>
              </w:rPr>
              <w:t>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90D9283" w14:textId="77777777" w:rsidR="003A22B8" w:rsidRDefault="003A22B8" w:rsidP="004D65FE">
            <w:pPr>
              <w:keepNext/>
              <w:keepLines/>
              <w:spacing w:before="0"/>
              <w:jc w:val="right"/>
              <w:rPr>
                <w:rFonts w:cs="Open Sans Light"/>
                <w:sz w:val="16"/>
                <w:szCs w:val="16"/>
              </w:rPr>
            </w:pPr>
            <w:r>
              <w:rPr>
                <w:rFonts w:cs="Open Sans Light"/>
                <w:sz w:val="16"/>
                <w:szCs w:val="16"/>
              </w:rPr>
              <w:t>-21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8BA7D30" w14:textId="77777777" w:rsidR="003A22B8" w:rsidRDefault="003A22B8" w:rsidP="004D65FE">
            <w:pPr>
              <w:keepNext/>
              <w:keepLines/>
              <w:spacing w:before="0"/>
              <w:jc w:val="right"/>
              <w:rPr>
                <w:rFonts w:cs="Open Sans Light"/>
                <w:sz w:val="16"/>
                <w:szCs w:val="16"/>
              </w:rPr>
            </w:pPr>
            <w:r>
              <w:rPr>
                <w:rFonts w:cs="Open Sans Light"/>
                <w:sz w:val="16"/>
                <w:szCs w:val="16"/>
              </w:rPr>
              <w:t>-1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5616CDB" w14:textId="77777777" w:rsidR="003A22B8" w:rsidRDefault="003A22B8" w:rsidP="004D65FE">
            <w:pPr>
              <w:keepNext/>
              <w:keepLines/>
              <w:spacing w:before="0"/>
              <w:jc w:val="right"/>
              <w:rPr>
                <w:rFonts w:cs="Open Sans Light"/>
                <w:sz w:val="16"/>
                <w:szCs w:val="16"/>
              </w:rPr>
            </w:pPr>
            <w:r>
              <w:rPr>
                <w:rFonts w:cs="Open Sans Light"/>
                <w:sz w:val="16"/>
                <w:szCs w:val="16"/>
              </w:rPr>
              <w:t>25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59A0644" w14:textId="77777777" w:rsidR="003A22B8" w:rsidRDefault="003A22B8" w:rsidP="004D65FE">
            <w:pPr>
              <w:keepNext/>
              <w:keepLines/>
              <w:spacing w:before="0"/>
              <w:jc w:val="right"/>
              <w:rPr>
                <w:rFonts w:cs="Open Sans Light"/>
                <w:sz w:val="16"/>
                <w:szCs w:val="16"/>
              </w:rPr>
            </w:pPr>
            <w:r>
              <w:rPr>
                <w:rFonts w:cs="Open Sans Light"/>
                <w:sz w:val="16"/>
                <w:szCs w:val="16"/>
              </w:rPr>
              <w:t>28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0EF5071" w14:textId="77777777" w:rsidR="003A22B8" w:rsidRDefault="003A22B8" w:rsidP="004D65FE">
            <w:pPr>
              <w:keepNext/>
              <w:keepLines/>
              <w:spacing w:before="0"/>
              <w:jc w:val="right"/>
              <w:rPr>
                <w:rFonts w:cs="Open Sans Light"/>
                <w:sz w:val="16"/>
                <w:szCs w:val="16"/>
              </w:rPr>
            </w:pPr>
            <w:r>
              <w:rPr>
                <w:rFonts w:cs="Open Sans Light"/>
                <w:sz w:val="16"/>
                <w:szCs w:val="16"/>
              </w:rPr>
              <w:t>17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7EDF4E9" w14:textId="77777777" w:rsidR="003A22B8" w:rsidRDefault="003A22B8" w:rsidP="004D65FE">
            <w:pPr>
              <w:keepNext/>
              <w:keepLines/>
              <w:spacing w:before="0"/>
              <w:jc w:val="right"/>
              <w:rPr>
                <w:rFonts w:cs="Open Sans Light"/>
                <w:sz w:val="16"/>
                <w:szCs w:val="16"/>
              </w:rPr>
            </w:pPr>
            <w:r>
              <w:rPr>
                <w:rFonts w:cs="Open Sans Light"/>
                <w:sz w:val="16"/>
                <w:szCs w:val="16"/>
              </w:rPr>
              <w:t>-14</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ED98421" w14:textId="77777777" w:rsidR="003A22B8" w:rsidRDefault="003A22B8" w:rsidP="004D65FE">
            <w:pPr>
              <w:keepNext/>
              <w:keepLines/>
              <w:spacing w:before="0"/>
              <w:jc w:val="right"/>
              <w:rPr>
                <w:rFonts w:cs="Open Sans Light"/>
                <w:sz w:val="16"/>
                <w:szCs w:val="16"/>
              </w:rPr>
            </w:pPr>
            <w:r>
              <w:rPr>
                <w:rFonts w:cs="Open Sans Light"/>
                <w:sz w:val="16"/>
                <w:szCs w:val="16"/>
              </w:rPr>
              <w:t>39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9AEDEFF"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44C68CFA"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40C0D8" w14:textId="77777777" w:rsidR="003A22B8" w:rsidRDefault="003A22B8" w:rsidP="004D65FE">
            <w:pPr>
              <w:keepNext/>
              <w:keepLines/>
              <w:spacing w:before="0"/>
              <w:ind w:left="142" w:hanging="142"/>
              <w:rPr>
                <w:rFonts w:cs="Open Sans Light"/>
                <w:sz w:val="16"/>
                <w:szCs w:val="16"/>
              </w:rPr>
            </w:pPr>
            <w:r>
              <w:rPr>
                <w:rFonts w:cs="Open Sans Light"/>
                <w:sz w:val="16"/>
                <w:szCs w:val="16"/>
              </w:rPr>
              <w:t>Assessed revenue</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432EF18" w14:textId="77777777" w:rsidR="003A22B8" w:rsidRDefault="003A22B8" w:rsidP="004D65FE">
            <w:pPr>
              <w:keepNext/>
              <w:keepLines/>
              <w:spacing w:before="0"/>
              <w:jc w:val="right"/>
              <w:rPr>
                <w:rFonts w:cs="Open Sans Light"/>
                <w:sz w:val="16"/>
                <w:szCs w:val="16"/>
              </w:rPr>
            </w:pPr>
            <w:r>
              <w:rPr>
                <w:rFonts w:cs="Open Sans Light"/>
                <w:sz w:val="16"/>
                <w:szCs w:val="16"/>
              </w:rPr>
              <w:t>-186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10B3048" w14:textId="77777777" w:rsidR="003A22B8" w:rsidRDefault="003A22B8" w:rsidP="004D65FE">
            <w:pPr>
              <w:keepNext/>
              <w:keepLines/>
              <w:spacing w:before="0"/>
              <w:jc w:val="right"/>
              <w:rPr>
                <w:rFonts w:cs="Open Sans Light"/>
                <w:sz w:val="16"/>
                <w:szCs w:val="16"/>
              </w:rPr>
            </w:pPr>
            <w:r>
              <w:rPr>
                <w:rFonts w:cs="Open Sans Light"/>
                <w:sz w:val="16"/>
                <w:szCs w:val="16"/>
              </w:rPr>
              <w:t>339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547F55A" w14:textId="77777777" w:rsidR="003A22B8" w:rsidRDefault="003A22B8" w:rsidP="004D65FE">
            <w:pPr>
              <w:keepNext/>
              <w:keepLines/>
              <w:spacing w:before="0"/>
              <w:jc w:val="right"/>
              <w:rPr>
                <w:rFonts w:cs="Open Sans Light"/>
                <w:sz w:val="16"/>
                <w:szCs w:val="16"/>
              </w:rPr>
            </w:pPr>
            <w:r>
              <w:rPr>
                <w:rFonts w:cs="Open Sans Light"/>
                <w:sz w:val="16"/>
                <w:szCs w:val="16"/>
              </w:rPr>
              <w:t>99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49C4435" w14:textId="77777777" w:rsidR="003A22B8" w:rsidRDefault="003A22B8" w:rsidP="004D65FE">
            <w:pPr>
              <w:keepNext/>
              <w:keepLines/>
              <w:spacing w:before="0"/>
              <w:jc w:val="right"/>
              <w:rPr>
                <w:rFonts w:cs="Open Sans Light"/>
                <w:sz w:val="16"/>
                <w:szCs w:val="16"/>
              </w:rPr>
            </w:pPr>
            <w:r>
              <w:rPr>
                <w:rFonts w:cs="Open Sans Light"/>
                <w:sz w:val="16"/>
                <w:szCs w:val="16"/>
              </w:rPr>
              <w:t>-1,668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9F155CE" w14:textId="77777777" w:rsidR="003A22B8" w:rsidRDefault="003A22B8" w:rsidP="004D65FE">
            <w:pPr>
              <w:keepNext/>
              <w:keepLines/>
              <w:spacing w:before="0"/>
              <w:jc w:val="right"/>
              <w:rPr>
                <w:rFonts w:cs="Open Sans Light"/>
                <w:sz w:val="16"/>
                <w:szCs w:val="16"/>
              </w:rPr>
            </w:pPr>
            <w:r>
              <w:rPr>
                <w:rFonts w:cs="Open Sans Light"/>
                <w:sz w:val="16"/>
                <w:szCs w:val="16"/>
              </w:rPr>
              <w:t>1,176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A75B4A6" w14:textId="77777777" w:rsidR="003A22B8" w:rsidRDefault="003A22B8" w:rsidP="004D65FE">
            <w:pPr>
              <w:keepNext/>
              <w:keepLines/>
              <w:spacing w:before="0"/>
              <w:jc w:val="right"/>
              <w:rPr>
                <w:rFonts w:cs="Open Sans Light"/>
                <w:sz w:val="16"/>
                <w:szCs w:val="16"/>
              </w:rPr>
            </w:pPr>
            <w:r>
              <w:rPr>
                <w:rFonts w:cs="Open Sans Light"/>
                <w:sz w:val="16"/>
                <w:szCs w:val="16"/>
              </w:rPr>
              <w:t>1,338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0A02509" w14:textId="77777777" w:rsidR="003A22B8" w:rsidRDefault="003A22B8" w:rsidP="004D65FE">
            <w:pPr>
              <w:keepNext/>
              <w:keepLines/>
              <w:spacing w:before="0"/>
              <w:jc w:val="right"/>
              <w:rPr>
                <w:rFonts w:cs="Open Sans Light"/>
                <w:sz w:val="16"/>
                <w:szCs w:val="16"/>
              </w:rPr>
            </w:pPr>
            <w:r>
              <w:rPr>
                <w:rFonts w:cs="Open Sans Light"/>
                <w:sz w:val="16"/>
                <w:szCs w:val="16"/>
              </w:rPr>
              <w:t>860</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AB9B738" w14:textId="77777777" w:rsidR="003A22B8" w:rsidRDefault="003A22B8" w:rsidP="004D65FE">
            <w:pPr>
              <w:keepNext/>
              <w:keepLines/>
              <w:spacing w:before="0"/>
              <w:jc w:val="right"/>
              <w:rPr>
                <w:rFonts w:cs="Open Sans Light"/>
                <w:sz w:val="16"/>
                <w:szCs w:val="16"/>
              </w:rPr>
            </w:pPr>
            <w:r>
              <w:rPr>
                <w:rFonts w:cs="Open Sans Light"/>
                <w:sz w:val="16"/>
                <w:szCs w:val="16"/>
              </w:rPr>
              <w:t>104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1B696DE"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1B76EC0A"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1B33DB" w14:textId="77777777" w:rsidR="003A22B8" w:rsidRDefault="003A22B8" w:rsidP="004D65FE">
            <w:pPr>
              <w:keepNext/>
              <w:keepLines/>
              <w:spacing w:before="0"/>
              <w:ind w:left="142" w:hanging="142"/>
              <w:rPr>
                <w:rFonts w:cs="Open Sans Light"/>
                <w:sz w:val="16"/>
                <w:szCs w:val="16"/>
              </w:rPr>
            </w:pPr>
            <w:r>
              <w:rPr>
                <w:rFonts w:cs="Open Sans Light"/>
                <w:sz w:val="16"/>
                <w:szCs w:val="16"/>
              </w:rPr>
              <w:t>Commonwealth payments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EA114A6" w14:textId="77777777" w:rsidR="003A22B8" w:rsidRDefault="003A22B8" w:rsidP="004D65FE">
            <w:pPr>
              <w:keepNext/>
              <w:keepLines/>
              <w:spacing w:before="0"/>
              <w:jc w:val="right"/>
              <w:rPr>
                <w:rFonts w:cs="Open Sans Light"/>
                <w:sz w:val="16"/>
                <w:szCs w:val="16"/>
              </w:rPr>
            </w:pPr>
            <w:r>
              <w:rPr>
                <w:rFonts w:cs="Open Sans Light"/>
                <w:sz w:val="16"/>
                <w:szCs w:val="16"/>
              </w:rPr>
              <w:t>74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4A21813" w14:textId="77777777" w:rsidR="003A22B8" w:rsidRDefault="003A22B8" w:rsidP="004D65FE">
            <w:pPr>
              <w:keepNext/>
              <w:keepLines/>
              <w:spacing w:before="0"/>
              <w:jc w:val="right"/>
              <w:rPr>
                <w:rFonts w:cs="Open Sans Light"/>
                <w:sz w:val="16"/>
                <w:szCs w:val="16"/>
              </w:rPr>
            </w:pPr>
            <w:r>
              <w:rPr>
                <w:rFonts w:cs="Open Sans Light"/>
                <w:sz w:val="16"/>
                <w:szCs w:val="16"/>
              </w:rPr>
              <w:t>155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9823671" w14:textId="77777777" w:rsidR="003A22B8" w:rsidRDefault="003A22B8" w:rsidP="004D65FE">
            <w:pPr>
              <w:keepNext/>
              <w:keepLines/>
              <w:spacing w:before="0"/>
              <w:jc w:val="right"/>
              <w:rPr>
                <w:rFonts w:cs="Open Sans Light"/>
                <w:sz w:val="16"/>
                <w:szCs w:val="16"/>
              </w:rPr>
            </w:pPr>
            <w:r>
              <w:rPr>
                <w:rFonts w:cs="Open Sans Light"/>
                <w:sz w:val="16"/>
                <w:szCs w:val="16"/>
              </w:rPr>
              <w:t>-157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36F66F6" w14:textId="77777777" w:rsidR="003A22B8" w:rsidRDefault="003A22B8" w:rsidP="004D65FE">
            <w:pPr>
              <w:keepNext/>
              <w:keepLines/>
              <w:spacing w:before="0"/>
              <w:jc w:val="right"/>
              <w:rPr>
                <w:rFonts w:cs="Open Sans Light"/>
                <w:sz w:val="16"/>
                <w:szCs w:val="16"/>
              </w:rPr>
            </w:pPr>
            <w:r>
              <w:rPr>
                <w:rFonts w:cs="Open Sans Light"/>
                <w:sz w:val="16"/>
                <w:szCs w:val="16"/>
              </w:rPr>
              <w:t>-50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3CDEA60" w14:textId="77777777" w:rsidR="003A22B8" w:rsidRDefault="003A22B8" w:rsidP="004D65FE">
            <w:pPr>
              <w:keepNext/>
              <w:keepLines/>
              <w:spacing w:before="0"/>
              <w:jc w:val="right"/>
              <w:rPr>
                <w:rFonts w:cs="Open Sans Light"/>
                <w:sz w:val="16"/>
                <w:szCs w:val="16"/>
              </w:rPr>
            </w:pPr>
            <w:r>
              <w:rPr>
                <w:rFonts w:cs="Open Sans Light"/>
                <w:sz w:val="16"/>
                <w:szCs w:val="16"/>
              </w:rPr>
              <w:t>-135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DA513DB" w14:textId="77777777" w:rsidR="003A22B8" w:rsidRDefault="003A22B8" w:rsidP="004D65FE">
            <w:pPr>
              <w:keepNext/>
              <w:keepLines/>
              <w:spacing w:before="0"/>
              <w:jc w:val="right"/>
              <w:rPr>
                <w:rFonts w:cs="Open Sans Light"/>
                <w:sz w:val="16"/>
                <w:szCs w:val="16"/>
              </w:rPr>
            </w:pPr>
            <w:r>
              <w:rPr>
                <w:rFonts w:cs="Open Sans Light"/>
                <w:sz w:val="16"/>
                <w:szCs w:val="16"/>
              </w:rPr>
              <w:t>-187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0F78E21" w14:textId="77777777" w:rsidR="003A22B8" w:rsidRDefault="003A22B8" w:rsidP="004D65FE">
            <w:pPr>
              <w:keepNext/>
              <w:keepLines/>
              <w:spacing w:before="0"/>
              <w:jc w:val="right"/>
              <w:rPr>
                <w:rFonts w:cs="Open Sans Light"/>
                <w:sz w:val="16"/>
                <w:szCs w:val="16"/>
              </w:rPr>
            </w:pPr>
            <w:r>
              <w:rPr>
                <w:rFonts w:cs="Open Sans Light"/>
                <w:sz w:val="16"/>
                <w:szCs w:val="16"/>
              </w:rPr>
              <w:t>160</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4144C19" w14:textId="77777777" w:rsidR="003A22B8" w:rsidRDefault="003A22B8" w:rsidP="004D65FE">
            <w:pPr>
              <w:keepNext/>
              <w:keepLines/>
              <w:spacing w:before="0"/>
              <w:jc w:val="right"/>
              <w:rPr>
                <w:rFonts w:cs="Open Sans Light"/>
                <w:sz w:val="16"/>
                <w:szCs w:val="16"/>
              </w:rPr>
            </w:pPr>
            <w:r>
              <w:rPr>
                <w:rFonts w:cs="Open Sans Light"/>
                <w:sz w:val="16"/>
                <w:szCs w:val="16"/>
              </w:rPr>
              <w:t>-1,658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9B83932"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2BCE93ED"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C49E9F0" w14:textId="77777777" w:rsidR="003A22B8" w:rsidRDefault="003A22B8" w:rsidP="004D65FE">
            <w:pPr>
              <w:keepNext/>
              <w:keepLines/>
              <w:spacing w:before="0"/>
              <w:ind w:left="142" w:hanging="142"/>
              <w:rPr>
                <w:rFonts w:cs="Open Sans Light"/>
                <w:sz w:val="16"/>
                <w:szCs w:val="16"/>
              </w:rPr>
            </w:pPr>
            <w:r>
              <w:rPr>
                <w:rFonts w:cs="Open Sans Light"/>
                <w:sz w:val="16"/>
                <w:szCs w:val="16"/>
              </w:rPr>
              <w:t>GST requirement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AA07FC4" w14:textId="77777777" w:rsidR="003A22B8" w:rsidRDefault="003A22B8" w:rsidP="004D65FE">
            <w:pPr>
              <w:keepNext/>
              <w:keepLines/>
              <w:spacing w:before="0"/>
              <w:jc w:val="right"/>
              <w:rPr>
                <w:rFonts w:cs="Open Sans Light"/>
                <w:sz w:val="16"/>
                <w:szCs w:val="16"/>
              </w:rPr>
            </w:pPr>
            <w:r>
              <w:rPr>
                <w:rFonts w:cs="Open Sans Light"/>
                <w:sz w:val="16"/>
                <w:szCs w:val="16"/>
              </w:rPr>
              <w:t>2,295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A526B66" w14:textId="77777777" w:rsidR="003A22B8" w:rsidRDefault="003A22B8" w:rsidP="004D65FE">
            <w:pPr>
              <w:keepNext/>
              <w:keepLines/>
              <w:spacing w:before="0"/>
              <w:jc w:val="right"/>
              <w:rPr>
                <w:rFonts w:cs="Open Sans Light"/>
                <w:sz w:val="16"/>
                <w:szCs w:val="16"/>
              </w:rPr>
            </w:pPr>
            <w:r>
              <w:rPr>
                <w:rFonts w:cs="Open Sans Light"/>
                <w:sz w:val="16"/>
                <w:szCs w:val="16"/>
              </w:rPr>
              <w:t>2,410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6EF2928" w14:textId="77777777" w:rsidR="003A22B8" w:rsidRDefault="003A22B8" w:rsidP="004D65FE">
            <w:pPr>
              <w:keepNext/>
              <w:keepLines/>
              <w:spacing w:before="0"/>
              <w:jc w:val="right"/>
              <w:rPr>
                <w:rFonts w:cs="Open Sans Light"/>
                <w:sz w:val="16"/>
                <w:szCs w:val="16"/>
              </w:rPr>
            </w:pPr>
            <w:r>
              <w:rPr>
                <w:rFonts w:cs="Open Sans Light"/>
                <w:sz w:val="16"/>
                <w:szCs w:val="16"/>
              </w:rPr>
              <w:t>2,784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00ABC2B" w14:textId="77777777" w:rsidR="003A22B8" w:rsidRDefault="003A22B8" w:rsidP="004D65FE">
            <w:pPr>
              <w:keepNext/>
              <w:keepLines/>
              <w:spacing w:before="0"/>
              <w:jc w:val="right"/>
              <w:rPr>
                <w:rFonts w:cs="Open Sans Light"/>
                <w:sz w:val="16"/>
                <w:szCs w:val="16"/>
              </w:rPr>
            </w:pPr>
            <w:r>
              <w:rPr>
                <w:rFonts w:cs="Open Sans Light"/>
                <w:sz w:val="16"/>
                <w:szCs w:val="16"/>
              </w:rPr>
              <w:t>1,188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6E1B941" w14:textId="77777777" w:rsidR="003A22B8" w:rsidRDefault="003A22B8" w:rsidP="004D65FE">
            <w:pPr>
              <w:keepNext/>
              <w:keepLines/>
              <w:spacing w:before="0"/>
              <w:jc w:val="right"/>
              <w:rPr>
                <w:rFonts w:cs="Open Sans Light"/>
                <w:sz w:val="16"/>
                <w:szCs w:val="16"/>
              </w:rPr>
            </w:pPr>
            <w:r>
              <w:rPr>
                <w:rFonts w:cs="Open Sans Light"/>
                <w:sz w:val="16"/>
                <w:szCs w:val="16"/>
              </w:rPr>
              <w:t>3,396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C8CC136" w14:textId="77777777" w:rsidR="003A22B8" w:rsidRDefault="003A22B8" w:rsidP="004D65FE">
            <w:pPr>
              <w:keepNext/>
              <w:keepLines/>
              <w:spacing w:before="0"/>
              <w:jc w:val="right"/>
              <w:rPr>
                <w:rFonts w:cs="Open Sans Light"/>
                <w:sz w:val="16"/>
                <w:szCs w:val="16"/>
              </w:rPr>
            </w:pPr>
            <w:r>
              <w:rPr>
                <w:rFonts w:cs="Open Sans Light"/>
                <w:sz w:val="16"/>
                <w:szCs w:val="16"/>
              </w:rPr>
              <w:t>4,830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EDD2335" w14:textId="77777777" w:rsidR="003A22B8" w:rsidRDefault="003A22B8" w:rsidP="004D65FE">
            <w:pPr>
              <w:keepNext/>
              <w:keepLines/>
              <w:spacing w:before="0"/>
              <w:jc w:val="right"/>
              <w:rPr>
                <w:rFonts w:cs="Open Sans Light"/>
                <w:sz w:val="16"/>
                <w:szCs w:val="16"/>
              </w:rPr>
            </w:pPr>
            <w:r>
              <w:rPr>
                <w:rFonts w:cs="Open Sans Light"/>
                <w:sz w:val="16"/>
                <w:szCs w:val="16"/>
              </w:rPr>
              <w:t>2,926</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49CAC5A" w14:textId="77777777" w:rsidR="003A22B8" w:rsidRDefault="003A22B8" w:rsidP="004D65FE">
            <w:pPr>
              <w:keepNext/>
              <w:keepLines/>
              <w:spacing w:before="0"/>
              <w:jc w:val="right"/>
              <w:rPr>
                <w:rFonts w:cs="Open Sans Light"/>
                <w:sz w:val="16"/>
                <w:szCs w:val="16"/>
              </w:rPr>
            </w:pPr>
            <w:r>
              <w:rPr>
                <w:rFonts w:cs="Open Sans Light"/>
                <w:sz w:val="16"/>
                <w:szCs w:val="16"/>
              </w:rPr>
              <w:t>12,332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98CDB86" w14:textId="77777777" w:rsidR="003A22B8" w:rsidRDefault="003A22B8" w:rsidP="004D65FE">
            <w:pPr>
              <w:keepNext/>
              <w:keepLines/>
              <w:spacing w:before="0"/>
              <w:jc w:val="right"/>
              <w:rPr>
                <w:rFonts w:cs="Open Sans Light"/>
                <w:sz w:val="16"/>
                <w:szCs w:val="16"/>
              </w:rPr>
            </w:pPr>
            <w:r>
              <w:rPr>
                <w:rFonts w:cs="Open Sans Light"/>
                <w:sz w:val="16"/>
                <w:szCs w:val="16"/>
              </w:rPr>
              <w:t>2,549</w:t>
            </w:r>
          </w:p>
        </w:tc>
      </w:tr>
      <w:tr w:rsidR="003A22B8" w14:paraId="4977D252"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F0DA279"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Per capita relativity</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391EB85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0.901</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6A93179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0.946</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27FD770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1.092</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41CBA8E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0.466</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3D1B4E3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1.332</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5B94FCA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1.895</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7DACAC7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1.148</w:t>
            </w:r>
          </w:p>
        </w:tc>
        <w:tc>
          <w:tcPr>
            <w:tcW w:w="82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6461345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4.839</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0022934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1.000</w:t>
            </w:r>
          </w:p>
        </w:tc>
      </w:tr>
    </w:tbl>
    <w:p w14:paraId="14CC65FD" w14:textId="77777777" w:rsidR="003A22B8" w:rsidRDefault="003A22B8" w:rsidP="003A22B8">
      <w:pPr>
        <w:pStyle w:val="CGCTablenote"/>
      </w:pPr>
      <w:r>
        <w:t>Note:</w:t>
      </w:r>
      <w:r>
        <w:tab/>
        <w:t>Per capita relativities are equal to each State’s GST requirement divided by the average GST requirement.</w:t>
      </w:r>
    </w:p>
    <w:p w14:paraId="007166BE" w14:textId="77777777" w:rsidR="003A22B8" w:rsidRDefault="003A22B8" w:rsidP="003A22B8">
      <w:pPr>
        <w:pStyle w:val="CGCTablenote"/>
      </w:pPr>
      <w:r>
        <w:t xml:space="preserve">Source: </w:t>
      </w:r>
      <w:r>
        <w:tab/>
        <w:t>CGC calculation.</w:t>
      </w:r>
    </w:p>
    <w:p w14:paraId="197F339C" w14:textId="0F54EC9B" w:rsidR="003A22B8" w:rsidRDefault="003A22B8" w:rsidP="003A22B8">
      <w:pPr>
        <w:pStyle w:val="Caption"/>
      </w:pPr>
      <w:bookmarkStart w:id="657" w:name="_Ref30434086"/>
      <w:r>
        <w:lastRenderedPageBreak/>
        <w:t>Table 30-</w:t>
      </w:r>
      <w:fldSimple w:instr=" SEQ Table \* ARABIC ">
        <w:r w:rsidR="007F721A">
          <w:rPr>
            <w:noProof/>
          </w:rPr>
          <w:t>16</w:t>
        </w:r>
      </w:fldSimple>
      <w:bookmarkEnd w:id="657"/>
      <w:r>
        <w:tab/>
        <w:t>Per capita assessed expense differences from EPC, 2018-19</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5DCC42C1" w14:textId="77777777" w:rsidTr="004D65FE">
        <w:trPr>
          <w:trHeight w:val="340"/>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FEB9E12" w14:textId="77777777" w:rsidR="003A22B8" w:rsidRDefault="003A22B8" w:rsidP="004D65FE">
            <w:pPr>
              <w:keepNext/>
              <w:keepLines/>
              <w:tabs>
                <w:tab w:val="clear" w:pos="567"/>
              </w:tab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D1BF8E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529C9A2"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F291966"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6C05E2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CE9FBED"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7729E8B"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339269E"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28B595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6EFEFB9"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1FADEBC3" w14:textId="77777777" w:rsidTr="002943B4">
        <w:trPr>
          <w:trHeight w:val="255"/>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029C8F3"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E0EB5C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5610A5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6D6421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4B20C5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D90A1A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097408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593CE0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25442A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58DE59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6EEB7430"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E3A4EC3" w14:textId="77777777" w:rsidR="003A22B8" w:rsidRDefault="003A22B8" w:rsidP="004D65FE">
            <w:pPr>
              <w:keepNext/>
              <w:keepLines/>
              <w:spacing w:before="0"/>
              <w:ind w:left="142" w:hanging="142"/>
              <w:rPr>
                <w:rFonts w:cs="Open Sans Light"/>
                <w:sz w:val="16"/>
                <w:szCs w:val="16"/>
              </w:rPr>
            </w:pPr>
            <w:r>
              <w:rPr>
                <w:rFonts w:cs="Open Sans Light"/>
                <w:sz w:val="16"/>
                <w:szCs w:val="16"/>
              </w:rPr>
              <w:t>Schools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DEC6E26" w14:textId="77777777" w:rsidR="003A22B8" w:rsidRDefault="003A22B8" w:rsidP="004D65FE">
            <w:pPr>
              <w:keepNext/>
              <w:keepLines/>
              <w:spacing w:before="0"/>
              <w:jc w:val="right"/>
              <w:rPr>
                <w:rFonts w:cs="Open Sans Light"/>
                <w:sz w:val="16"/>
                <w:szCs w:val="16"/>
              </w:rPr>
            </w:pPr>
            <w:r>
              <w:rPr>
                <w:rFonts w:cs="Open Sans Light"/>
                <w:sz w:val="16"/>
                <w:szCs w:val="16"/>
              </w:rPr>
              <w:t>-32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24A8372" w14:textId="77777777" w:rsidR="003A22B8" w:rsidRDefault="003A22B8" w:rsidP="004D65FE">
            <w:pPr>
              <w:keepNext/>
              <w:keepLines/>
              <w:spacing w:before="0"/>
              <w:jc w:val="right"/>
              <w:rPr>
                <w:rFonts w:cs="Open Sans Light"/>
                <w:sz w:val="16"/>
                <w:szCs w:val="16"/>
              </w:rPr>
            </w:pPr>
            <w:r>
              <w:rPr>
                <w:rFonts w:cs="Open Sans Light"/>
                <w:sz w:val="16"/>
                <w:szCs w:val="16"/>
              </w:rPr>
              <w:t>-171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FA16582" w14:textId="77777777" w:rsidR="003A22B8" w:rsidRDefault="003A22B8" w:rsidP="004D65FE">
            <w:pPr>
              <w:keepNext/>
              <w:keepLines/>
              <w:spacing w:before="0"/>
              <w:jc w:val="right"/>
              <w:rPr>
                <w:rFonts w:cs="Open Sans Light"/>
                <w:sz w:val="16"/>
                <w:szCs w:val="16"/>
              </w:rPr>
            </w:pPr>
            <w:r>
              <w:rPr>
                <w:rFonts w:cs="Open Sans Light"/>
                <w:sz w:val="16"/>
                <w:szCs w:val="16"/>
              </w:rPr>
              <w:t>138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C015CD" w14:textId="77777777" w:rsidR="003A22B8" w:rsidRDefault="003A22B8" w:rsidP="004D65FE">
            <w:pPr>
              <w:keepNext/>
              <w:keepLines/>
              <w:spacing w:before="0"/>
              <w:jc w:val="right"/>
              <w:rPr>
                <w:rFonts w:cs="Open Sans Light"/>
                <w:sz w:val="16"/>
                <w:szCs w:val="16"/>
              </w:rPr>
            </w:pPr>
            <w:r>
              <w:rPr>
                <w:rFonts w:cs="Open Sans Light"/>
                <w:sz w:val="16"/>
                <w:szCs w:val="16"/>
              </w:rPr>
              <w:t>140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1147B0" w14:textId="77777777" w:rsidR="003A22B8" w:rsidRDefault="003A22B8" w:rsidP="004D65FE">
            <w:pPr>
              <w:keepNext/>
              <w:keepLines/>
              <w:spacing w:before="0"/>
              <w:jc w:val="right"/>
              <w:rPr>
                <w:rFonts w:cs="Open Sans Light"/>
                <w:sz w:val="16"/>
                <w:szCs w:val="16"/>
              </w:rPr>
            </w:pPr>
            <w:r>
              <w:rPr>
                <w:rFonts w:cs="Open Sans Light"/>
                <w:sz w:val="16"/>
                <w:szCs w:val="16"/>
              </w:rPr>
              <w:t>-33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AF832A3" w14:textId="77777777" w:rsidR="003A22B8" w:rsidRDefault="003A22B8" w:rsidP="004D65FE">
            <w:pPr>
              <w:keepNext/>
              <w:keepLines/>
              <w:spacing w:before="0"/>
              <w:jc w:val="right"/>
              <w:rPr>
                <w:rFonts w:cs="Open Sans Light"/>
                <w:sz w:val="16"/>
                <w:szCs w:val="16"/>
              </w:rPr>
            </w:pPr>
            <w:r>
              <w:rPr>
                <w:rFonts w:cs="Open Sans Light"/>
                <w:sz w:val="16"/>
                <w:szCs w:val="16"/>
              </w:rPr>
              <w:t>177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BB48E5" w14:textId="77777777" w:rsidR="003A22B8" w:rsidRDefault="003A22B8" w:rsidP="004D65FE">
            <w:pPr>
              <w:keepNext/>
              <w:keepLines/>
              <w:spacing w:before="0"/>
              <w:jc w:val="right"/>
              <w:rPr>
                <w:rFonts w:cs="Open Sans Light"/>
                <w:sz w:val="16"/>
                <w:szCs w:val="16"/>
              </w:rPr>
            </w:pPr>
            <w:r>
              <w:rPr>
                <w:rFonts w:cs="Open Sans Light"/>
                <w:sz w:val="16"/>
                <w:szCs w:val="16"/>
              </w:rPr>
              <w:t>-146</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E83D14" w14:textId="77777777" w:rsidR="003A22B8" w:rsidRDefault="003A22B8" w:rsidP="004D65FE">
            <w:pPr>
              <w:keepNext/>
              <w:keepLines/>
              <w:spacing w:before="0"/>
              <w:jc w:val="right"/>
              <w:rPr>
                <w:rFonts w:cs="Open Sans Light"/>
                <w:sz w:val="16"/>
                <w:szCs w:val="16"/>
              </w:rPr>
            </w:pPr>
            <w:r>
              <w:rPr>
                <w:rFonts w:cs="Open Sans Light"/>
                <w:sz w:val="16"/>
                <w:szCs w:val="16"/>
              </w:rPr>
              <w:t>1,381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7BF179"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11D0AF11"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9D54F58" w14:textId="77777777" w:rsidR="003A22B8" w:rsidRDefault="003A22B8" w:rsidP="004D65FE">
            <w:pPr>
              <w:keepNext/>
              <w:keepLines/>
              <w:spacing w:before="0"/>
              <w:ind w:left="142" w:hanging="142"/>
              <w:rPr>
                <w:rFonts w:cs="Open Sans Light"/>
                <w:sz w:val="16"/>
                <w:szCs w:val="16"/>
              </w:rPr>
            </w:pPr>
            <w:r>
              <w:rPr>
                <w:rFonts w:cs="Open Sans Light"/>
                <w:sz w:val="16"/>
                <w:szCs w:val="16"/>
              </w:rPr>
              <w:t>Post-secondary education</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751D130" w14:textId="77777777" w:rsidR="003A22B8" w:rsidRDefault="003A22B8" w:rsidP="004D65FE">
            <w:pPr>
              <w:keepNext/>
              <w:keepLines/>
              <w:spacing w:before="0"/>
              <w:jc w:val="right"/>
              <w:rPr>
                <w:rFonts w:cs="Open Sans Light"/>
                <w:sz w:val="16"/>
                <w:szCs w:val="16"/>
              </w:rPr>
            </w:pPr>
            <w:r>
              <w:rPr>
                <w:rFonts w:cs="Open Sans Light"/>
                <w:sz w:val="16"/>
                <w:szCs w:val="16"/>
              </w:rPr>
              <w:t>-4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8D2FFB2" w14:textId="77777777" w:rsidR="003A22B8" w:rsidRDefault="003A22B8" w:rsidP="004D65FE">
            <w:pPr>
              <w:keepNext/>
              <w:keepLines/>
              <w:spacing w:before="0"/>
              <w:jc w:val="right"/>
              <w:rPr>
                <w:rFonts w:cs="Open Sans Light"/>
                <w:sz w:val="16"/>
                <w:szCs w:val="16"/>
              </w:rPr>
            </w:pPr>
            <w:r>
              <w:rPr>
                <w:rFonts w:cs="Open Sans Light"/>
                <w:sz w:val="16"/>
                <w:szCs w:val="16"/>
              </w:rPr>
              <w:t>-11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1A820A9" w14:textId="77777777" w:rsidR="003A22B8" w:rsidRDefault="003A22B8" w:rsidP="004D65FE">
            <w:pPr>
              <w:keepNext/>
              <w:keepLines/>
              <w:spacing w:before="0"/>
              <w:jc w:val="right"/>
              <w:rPr>
                <w:rFonts w:cs="Open Sans Light"/>
                <w:sz w:val="16"/>
                <w:szCs w:val="16"/>
              </w:rPr>
            </w:pPr>
            <w:r>
              <w:rPr>
                <w:rFonts w:cs="Open Sans Light"/>
                <w:sz w:val="16"/>
                <w:szCs w:val="16"/>
              </w:rPr>
              <w:t>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9F9DACD" w14:textId="77777777" w:rsidR="003A22B8" w:rsidRDefault="003A22B8" w:rsidP="004D65FE">
            <w:pPr>
              <w:keepNext/>
              <w:keepLines/>
              <w:spacing w:before="0"/>
              <w:jc w:val="right"/>
              <w:rPr>
                <w:rFonts w:cs="Open Sans Light"/>
                <w:sz w:val="16"/>
                <w:szCs w:val="16"/>
              </w:rPr>
            </w:pPr>
            <w:r>
              <w:rPr>
                <w:rFonts w:cs="Open Sans Light"/>
                <w:sz w:val="16"/>
                <w:szCs w:val="16"/>
              </w:rPr>
              <w:t>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14B910F"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B08DB31" w14:textId="77777777" w:rsidR="003A22B8" w:rsidRDefault="003A22B8" w:rsidP="004D65FE">
            <w:pPr>
              <w:keepNext/>
              <w:keepLines/>
              <w:spacing w:before="0"/>
              <w:jc w:val="right"/>
              <w:rPr>
                <w:rFonts w:cs="Open Sans Light"/>
                <w:sz w:val="16"/>
                <w:szCs w:val="16"/>
              </w:rPr>
            </w:pPr>
            <w:r>
              <w:rPr>
                <w:rFonts w:cs="Open Sans Light"/>
                <w:sz w:val="16"/>
                <w:szCs w:val="16"/>
              </w:rPr>
              <w:t>29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DCDD278" w14:textId="77777777" w:rsidR="003A22B8" w:rsidRDefault="003A22B8" w:rsidP="004D65FE">
            <w:pPr>
              <w:keepNext/>
              <w:keepLines/>
              <w:spacing w:before="0"/>
              <w:jc w:val="right"/>
              <w:rPr>
                <w:rFonts w:cs="Open Sans Light"/>
                <w:sz w:val="16"/>
                <w:szCs w:val="16"/>
              </w:rPr>
            </w:pPr>
            <w:r>
              <w:rPr>
                <w:rFonts w:cs="Open Sans Light"/>
                <w:sz w:val="16"/>
                <w:szCs w:val="16"/>
              </w:rPr>
              <w:t>-4</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C104678" w14:textId="77777777" w:rsidR="003A22B8" w:rsidRDefault="003A22B8" w:rsidP="004D65FE">
            <w:pPr>
              <w:keepNext/>
              <w:keepLines/>
              <w:spacing w:before="0"/>
              <w:jc w:val="right"/>
              <w:rPr>
                <w:rFonts w:cs="Open Sans Light"/>
                <w:sz w:val="16"/>
                <w:szCs w:val="16"/>
              </w:rPr>
            </w:pPr>
            <w:r>
              <w:rPr>
                <w:rFonts w:cs="Open Sans Light"/>
                <w:sz w:val="16"/>
                <w:szCs w:val="16"/>
              </w:rPr>
              <w:t>166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76C539D"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4850F9DF"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D8CA90" w14:textId="77777777" w:rsidR="003A22B8" w:rsidRDefault="003A22B8" w:rsidP="004D65FE">
            <w:pPr>
              <w:keepNext/>
              <w:keepLines/>
              <w:spacing w:before="0"/>
              <w:ind w:left="142" w:hanging="142"/>
              <w:rPr>
                <w:rFonts w:cs="Open Sans Light"/>
                <w:sz w:val="16"/>
                <w:szCs w:val="16"/>
              </w:rPr>
            </w:pPr>
            <w:r>
              <w:rPr>
                <w:rFonts w:cs="Open Sans Light"/>
                <w:sz w:val="16"/>
                <w:szCs w:val="16"/>
              </w:rPr>
              <w:t>Health</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DFB04E" w14:textId="77777777" w:rsidR="003A22B8" w:rsidRDefault="003A22B8" w:rsidP="004D65FE">
            <w:pPr>
              <w:keepNext/>
              <w:keepLines/>
              <w:spacing w:before="0"/>
              <w:jc w:val="right"/>
              <w:rPr>
                <w:rFonts w:cs="Open Sans Light"/>
                <w:sz w:val="16"/>
                <w:szCs w:val="16"/>
              </w:rPr>
            </w:pPr>
            <w:r>
              <w:rPr>
                <w:rFonts w:cs="Open Sans Light"/>
                <w:sz w:val="16"/>
                <w:szCs w:val="16"/>
              </w:rPr>
              <w:t>-73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07B90CE" w14:textId="77777777" w:rsidR="003A22B8" w:rsidRDefault="003A22B8" w:rsidP="004D65FE">
            <w:pPr>
              <w:keepNext/>
              <w:keepLines/>
              <w:spacing w:before="0"/>
              <w:jc w:val="right"/>
              <w:rPr>
                <w:rFonts w:cs="Open Sans Light"/>
                <w:sz w:val="16"/>
                <w:szCs w:val="16"/>
              </w:rPr>
            </w:pPr>
            <w:r>
              <w:rPr>
                <w:rFonts w:cs="Open Sans Light"/>
                <w:sz w:val="16"/>
                <w:szCs w:val="16"/>
              </w:rPr>
              <w:t>-182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6EFAF7" w14:textId="77777777" w:rsidR="003A22B8" w:rsidRDefault="003A22B8" w:rsidP="004D65FE">
            <w:pPr>
              <w:keepNext/>
              <w:keepLines/>
              <w:spacing w:before="0"/>
              <w:jc w:val="right"/>
              <w:rPr>
                <w:rFonts w:cs="Open Sans Light"/>
                <w:sz w:val="16"/>
                <w:szCs w:val="16"/>
              </w:rPr>
            </w:pPr>
            <w:r>
              <w:rPr>
                <w:rFonts w:cs="Open Sans Light"/>
                <w:sz w:val="16"/>
                <w:szCs w:val="16"/>
              </w:rPr>
              <w:t>75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F9E9E30" w14:textId="77777777" w:rsidR="003A22B8" w:rsidRDefault="003A22B8" w:rsidP="004D65FE">
            <w:pPr>
              <w:keepNext/>
              <w:keepLines/>
              <w:spacing w:before="0"/>
              <w:jc w:val="right"/>
              <w:rPr>
                <w:rFonts w:cs="Open Sans Light"/>
                <w:sz w:val="16"/>
                <w:szCs w:val="16"/>
              </w:rPr>
            </w:pPr>
            <w:r>
              <w:rPr>
                <w:rFonts w:cs="Open Sans Light"/>
                <w:sz w:val="16"/>
                <w:szCs w:val="16"/>
              </w:rPr>
              <w:t>122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32763B6" w14:textId="77777777" w:rsidR="003A22B8" w:rsidRDefault="003A22B8" w:rsidP="004D65FE">
            <w:pPr>
              <w:keepNext/>
              <w:keepLines/>
              <w:spacing w:before="0"/>
              <w:jc w:val="right"/>
              <w:rPr>
                <w:rFonts w:cs="Open Sans Light"/>
                <w:sz w:val="16"/>
                <w:szCs w:val="16"/>
              </w:rPr>
            </w:pPr>
            <w:r>
              <w:rPr>
                <w:rFonts w:cs="Open Sans Light"/>
                <w:sz w:val="16"/>
                <w:szCs w:val="16"/>
              </w:rPr>
              <w:t>177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2939DF" w14:textId="77777777" w:rsidR="003A22B8" w:rsidRDefault="003A22B8" w:rsidP="004D65FE">
            <w:pPr>
              <w:keepNext/>
              <w:keepLines/>
              <w:spacing w:before="0"/>
              <w:jc w:val="right"/>
              <w:rPr>
                <w:rFonts w:cs="Open Sans Light"/>
                <w:sz w:val="16"/>
                <w:szCs w:val="16"/>
              </w:rPr>
            </w:pPr>
            <w:r>
              <w:rPr>
                <w:rFonts w:cs="Open Sans Light"/>
                <w:sz w:val="16"/>
                <w:szCs w:val="16"/>
              </w:rPr>
              <w:t>735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D9E0A7C" w14:textId="77777777" w:rsidR="003A22B8" w:rsidRDefault="003A22B8" w:rsidP="004D65FE">
            <w:pPr>
              <w:keepNext/>
              <w:keepLines/>
              <w:spacing w:before="0"/>
              <w:jc w:val="right"/>
              <w:rPr>
                <w:rFonts w:cs="Open Sans Light"/>
                <w:sz w:val="16"/>
                <w:szCs w:val="16"/>
              </w:rPr>
            </w:pPr>
            <w:r>
              <w:rPr>
                <w:rFonts w:cs="Open Sans Light"/>
                <w:sz w:val="16"/>
                <w:szCs w:val="16"/>
              </w:rPr>
              <w:t>-418</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3051528" w14:textId="77777777" w:rsidR="003A22B8" w:rsidRDefault="003A22B8" w:rsidP="004D65FE">
            <w:pPr>
              <w:keepNext/>
              <w:keepLines/>
              <w:spacing w:before="0"/>
              <w:jc w:val="right"/>
              <w:rPr>
                <w:rFonts w:cs="Open Sans Light"/>
                <w:sz w:val="16"/>
                <w:szCs w:val="16"/>
              </w:rPr>
            </w:pPr>
            <w:r>
              <w:rPr>
                <w:rFonts w:cs="Open Sans Light"/>
                <w:sz w:val="16"/>
                <w:szCs w:val="16"/>
              </w:rPr>
              <w:t>2,252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097EC4"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161AA60D"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58EC397" w14:textId="77777777" w:rsidR="003A22B8" w:rsidRDefault="003A22B8" w:rsidP="004D65FE">
            <w:pPr>
              <w:keepNext/>
              <w:keepLines/>
              <w:spacing w:before="0"/>
              <w:ind w:left="142" w:hanging="142"/>
              <w:rPr>
                <w:rFonts w:cs="Open Sans Light"/>
                <w:sz w:val="16"/>
                <w:szCs w:val="16"/>
              </w:rPr>
            </w:pPr>
            <w:r>
              <w:rPr>
                <w:rFonts w:cs="Open Sans Light"/>
                <w:sz w:val="16"/>
                <w:szCs w:val="16"/>
              </w:rPr>
              <w:t>Welfare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0F2610E" w14:textId="77777777" w:rsidR="003A22B8" w:rsidRDefault="003A22B8" w:rsidP="004D65FE">
            <w:pPr>
              <w:keepNext/>
              <w:keepLines/>
              <w:spacing w:before="0"/>
              <w:jc w:val="right"/>
              <w:rPr>
                <w:rFonts w:cs="Open Sans Light"/>
                <w:sz w:val="16"/>
                <w:szCs w:val="16"/>
              </w:rPr>
            </w:pPr>
            <w:r>
              <w:rPr>
                <w:rFonts w:cs="Open Sans Light"/>
                <w:sz w:val="16"/>
                <w:szCs w:val="16"/>
              </w:rPr>
              <w:t>-3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D8230D3" w14:textId="77777777" w:rsidR="003A22B8" w:rsidRDefault="003A22B8" w:rsidP="004D65FE">
            <w:pPr>
              <w:keepNext/>
              <w:keepLines/>
              <w:spacing w:before="0"/>
              <w:jc w:val="right"/>
              <w:rPr>
                <w:rFonts w:cs="Open Sans Light"/>
                <w:sz w:val="16"/>
                <w:szCs w:val="16"/>
              </w:rPr>
            </w:pPr>
            <w:r>
              <w:rPr>
                <w:rFonts w:cs="Open Sans Light"/>
                <w:sz w:val="16"/>
                <w:szCs w:val="16"/>
              </w:rPr>
              <w:t>-93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97E737" w14:textId="77777777" w:rsidR="003A22B8" w:rsidRDefault="003A22B8" w:rsidP="004D65FE">
            <w:pPr>
              <w:keepNext/>
              <w:keepLines/>
              <w:spacing w:before="0"/>
              <w:jc w:val="right"/>
              <w:rPr>
                <w:rFonts w:cs="Open Sans Light"/>
                <w:sz w:val="16"/>
                <w:szCs w:val="16"/>
              </w:rPr>
            </w:pPr>
            <w:r>
              <w:rPr>
                <w:rFonts w:cs="Open Sans Light"/>
                <w:sz w:val="16"/>
                <w:szCs w:val="16"/>
              </w:rPr>
              <w:t>53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C8E1DA4" w14:textId="77777777" w:rsidR="003A22B8" w:rsidRDefault="003A22B8" w:rsidP="004D65FE">
            <w:pPr>
              <w:keepNext/>
              <w:keepLines/>
              <w:spacing w:before="0"/>
              <w:jc w:val="right"/>
              <w:rPr>
                <w:rFonts w:cs="Open Sans Light"/>
                <w:sz w:val="16"/>
                <w:szCs w:val="16"/>
              </w:rPr>
            </w:pPr>
            <w:r>
              <w:rPr>
                <w:rFonts w:cs="Open Sans Light"/>
                <w:sz w:val="16"/>
                <w:szCs w:val="16"/>
              </w:rPr>
              <w:t>24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1415AA" w14:textId="77777777" w:rsidR="003A22B8" w:rsidRDefault="003A22B8" w:rsidP="004D65FE">
            <w:pPr>
              <w:keepNext/>
              <w:keepLines/>
              <w:spacing w:before="0"/>
              <w:jc w:val="right"/>
              <w:rPr>
                <w:rFonts w:cs="Open Sans Light"/>
                <w:sz w:val="16"/>
                <w:szCs w:val="16"/>
              </w:rPr>
            </w:pPr>
            <w:r>
              <w:rPr>
                <w:rFonts w:cs="Open Sans Light"/>
                <w:sz w:val="16"/>
                <w:szCs w:val="16"/>
              </w:rPr>
              <w:t>21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48FE29D" w14:textId="77777777" w:rsidR="003A22B8" w:rsidRDefault="003A22B8" w:rsidP="004D65FE">
            <w:pPr>
              <w:keepNext/>
              <w:keepLines/>
              <w:spacing w:before="0"/>
              <w:jc w:val="right"/>
              <w:rPr>
                <w:rFonts w:cs="Open Sans Light"/>
                <w:sz w:val="16"/>
                <w:szCs w:val="16"/>
              </w:rPr>
            </w:pPr>
            <w:r>
              <w:rPr>
                <w:rFonts w:cs="Open Sans Light"/>
                <w:sz w:val="16"/>
                <w:szCs w:val="16"/>
              </w:rPr>
              <w:t>123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EF5824B" w14:textId="77777777" w:rsidR="003A22B8" w:rsidRDefault="003A22B8" w:rsidP="004D65FE">
            <w:pPr>
              <w:keepNext/>
              <w:keepLines/>
              <w:spacing w:before="0"/>
              <w:jc w:val="right"/>
              <w:rPr>
                <w:rFonts w:cs="Open Sans Light"/>
                <w:sz w:val="16"/>
                <w:szCs w:val="16"/>
              </w:rPr>
            </w:pPr>
            <w:r>
              <w:rPr>
                <w:rFonts w:cs="Open Sans Light"/>
                <w:sz w:val="16"/>
                <w:szCs w:val="16"/>
              </w:rPr>
              <w:t>-136</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B94483F" w14:textId="77777777" w:rsidR="003A22B8" w:rsidRDefault="003A22B8" w:rsidP="004D65FE">
            <w:pPr>
              <w:keepNext/>
              <w:keepLines/>
              <w:spacing w:before="0"/>
              <w:jc w:val="right"/>
              <w:rPr>
                <w:rFonts w:cs="Open Sans Light"/>
                <w:sz w:val="16"/>
                <w:szCs w:val="16"/>
              </w:rPr>
            </w:pPr>
            <w:r>
              <w:rPr>
                <w:rFonts w:cs="Open Sans Light"/>
                <w:sz w:val="16"/>
                <w:szCs w:val="16"/>
              </w:rPr>
              <w:t>1,026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2A459ED"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523B1C30"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761091B" w14:textId="77777777" w:rsidR="003A22B8" w:rsidRDefault="003A22B8" w:rsidP="004D65FE">
            <w:pPr>
              <w:keepNext/>
              <w:keepLines/>
              <w:spacing w:before="0"/>
              <w:ind w:left="142" w:hanging="142"/>
              <w:rPr>
                <w:rFonts w:cs="Open Sans Light"/>
                <w:sz w:val="16"/>
                <w:szCs w:val="16"/>
              </w:rPr>
            </w:pPr>
            <w:r>
              <w:rPr>
                <w:rFonts w:cs="Open Sans Light"/>
                <w:sz w:val="16"/>
                <w:szCs w:val="16"/>
              </w:rPr>
              <w:t>Housing</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0A7161F" w14:textId="77777777" w:rsidR="003A22B8" w:rsidRDefault="003A22B8" w:rsidP="004D65FE">
            <w:pPr>
              <w:keepNext/>
              <w:keepLines/>
              <w:spacing w:before="0"/>
              <w:jc w:val="right"/>
              <w:rPr>
                <w:rFonts w:cs="Open Sans Light"/>
                <w:sz w:val="16"/>
                <w:szCs w:val="16"/>
              </w:rPr>
            </w:pPr>
            <w:r>
              <w:rPr>
                <w:rFonts w:cs="Open Sans Light"/>
                <w:sz w:val="16"/>
                <w:szCs w:val="16"/>
              </w:rPr>
              <w:t>-9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508576A" w14:textId="77777777" w:rsidR="003A22B8" w:rsidRDefault="003A22B8" w:rsidP="004D65FE">
            <w:pPr>
              <w:keepNext/>
              <w:keepLines/>
              <w:spacing w:before="0"/>
              <w:jc w:val="right"/>
              <w:rPr>
                <w:rFonts w:cs="Open Sans Light"/>
                <w:sz w:val="16"/>
                <w:szCs w:val="16"/>
              </w:rPr>
            </w:pPr>
            <w:r>
              <w:rPr>
                <w:rFonts w:cs="Open Sans Light"/>
                <w:sz w:val="16"/>
                <w:szCs w:val="16"/>
              </w:rPr>
              <w:t>-25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C0E412B" w14:textId="77777777" w:rsidR="003A22B8" w:rsidRDefault="003A22B8" w:rsidP="004D65FE">
            <w:pPr>
              <w:keepNext/>
              <w:keepLines/>
              <w:spacing w:before="0"/>
              <w:jc w:val="right"/>
              <w:rPr>
                <w:rFonts w:cs="Open Sans Light"/>
                <w:sz w:val="16"/>
                <w:szCs w:val="16"/>
              </w:rPr>
            </w:pPr>
            <w:r>
              <w:rPr>
                <w:rFonts w:cs="Open Sans Light"/>
                <w:sz w:val="16"/>
                <w:szCs w:val="16"/>
              </w:rPr>
              <w:t>10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9E6F4C9" w14:textId="77777777" w:rsidR="003A22B8" w:rsidRDefault="003A22B8" w:rsidP="004D65FE">
            <w:pPr>
              <w:keepNext/>
              <w:keepLines/>
              <w:spacing w:before="0"/>
              <w:jc w:val="right"/>
              <w:rPr>
                <w:rFonts w:cs="Open Sans Light"/>
                <w:sz w:val="16"/>
                <w:szCs w:val="16"/>
              </w:rPr>
            </w:pPr>
            <w:r>
              <w:rPr>
                <w:rFonts w:cs="Open Sans Light"/>
                <w:sz w:val="16"/>
                <w:szCs w:val="16"/>
              </w:rPr>
              <w:t>26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C49A33B" w14:textId="77777777" w:rsidR="003A22B8" w:rsidRDefault="003A22B8" w:rsidP="004D65FE">
            <w:pPr>
              <w:keepNext/>
              <w:keepLines/>
              <w:spacing w:before="0"/>
              <w:jc w:val="right"/>
              <w:rPr>
                <w:rFonts w:cs="Open Sans Light"/>
                <w:sz w:val="16"/>
                <w:szCs w:val="16"/>
              </w:rPr>
            </w:pPr>
            <w:r>
              <w:rPr>
                <w:rFonts w:cs="Open Sans Light"/>
                <w:sz w:val="16"/>
                <w:szCs w:val="16"/>
              </w:rPr>
              <w:t>13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007CA9B" w14:textId="77777777" w:rsidR="003A22B8" w:rsidRDefault="003A22B8" w:rsidP="004D65FE">
            <w:pPr>
              <w:keepNext/>
              <w:keepLines/>
              <w:spacing w:before="0"/>
              <w:jc w:val="right"/>
              <w:rPr>
                <w:rFonts w:cs="Open Sans Light"/>
                <w:sz w:val="16"/>
                <w:szCs w:val="16"/>
              </w:rPr>
            </w:pPr>
            <w:r>
              <w:rPr>
                <w:rFonts w:cs="Open Sans Light"/>
                <w:sz w:val="16"/>
                <w:szCs w:val="16"/>
              </w:rPr>
              <w:t>18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5F44A51" w14:textId="77777777" w:rsidR="003A22B8" w:rsidRDefault="003A22B8" w:rsidP="004D65FE">
            <w:pPr>
              <w:keepNext/>
              <w:keepLines/>
              <w:spacing w:before="0"/>
              <w:jc w:val="right"/>
              <w:rPr>
                <w:rFonts w:cs="Open Sans Light"/>
                <w:sz w:val="16"/>
                <w:szCs w:val="16"/>
              </w:rPr>
            </w:pPr>
            <w:r>
              <w:rPr>
                <w:rFonts w:cs="Open Sans Light"/>
                <w:sz w:val="16"/>
                <w:szCs w:val="16"/>
              </w:rPr>
              <w:t>-48</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7D3CD22" w14:textId="77777777" w:rsidR="003A22B8" w:rsidRDefault="003A22B8" w:rsidP="004D65FE">
            <w:pPr>
              <w:keepNext/>
              <w:keepLines/>
              <w:spacing w:before="0"/>
              <w:jc w:val="right"/>
              <w:rPr>
                <w:rFonts w:cs="Open Sans Light"/>
                <w:sz w:val="16"/>
                <w:szCs w:val="16"/>
              </w:rPr>
            </w:pPr>
            <w:r>
              <w:rPr>
                <w:rFonts w:cs="Open Sans Light"/>
                <w:sz w:val="16"/>
                <w:szCs w:val="16"/>
              </w:rPr>
              <w:t>432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717250"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18364155"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0B52EF6" w14:textId="77777777" w:rsidR="003A22B8" w:rsidRDefault="003A22B8" w:rsidP="004D65FE">
            <w:pPr>
              <w:keepNext/>
              <w:keepLines/>
              <w:spacing w:before="0"/>
              <w:ind w:left="142" w:hanging="142"/>
              <w:rPr>
                <w:rFonts w:cs="Open Sans Light"/>
                <w:sz w:val="16"/>
                <w:szCs w:val="16"/>
              </w:rPr>
            </w:pPr>
            <w:r>
              <w:rPr>
                <w:rFonts w:cs="Open Sans Light"/>
                <w:sz w:val="16"/>
                <w:szCs w:val="16"/>
              </w:rPr>
              <w:t>Services to communities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1D75ED3" w14:textId="77777777" w:rsidR="003A22B8" w:rsidRDefault="003A22B8" w:rsidP="004D65FE">
            <w:pPr>
              <w:keepNext/>
              <w:keepLines/>
              <w:spacing w:before="0"/>
              <w:jc w:val="right"/>
              <w:rPr>
                <w:rFonts w:cs="Open Sans Light"/>
                <w:sz w:val="16"/>
                <w:szCs w:val="16"/>
              </w:rPr>
            </w:pPr>
            <w:r>
              <w:rPr>
                <w:rFonts w:cs="Open Sans Light"/>
                <w:sz w:val="16"/>
                <w:szCs w:val="16"/>
              </w:rPr>
              <w:t>-23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E5D74C2" w14:textId="77777777" w:rsidR="003A22B8" w:rsidRDefault="003A22B8" w:rsidP="004D65FE">
            <w:pPr>
              <w:keepNext/>
              <w:keepLines/>
              <w:spacing w:before="0"/>
              <w:jc w:val="right"/>
              <w:rPr>
                <w:rFonts w:cs="Open Sans Light"/>
                <w:sz w:val="16"/>
                <w:szCs w:val="16"/>
              </w:rPr>
            </w:pPr>
            <w:r>
              <w:rPr>
                <w:rFonts w:cs="Open Sans Light"/>
                <w:sz w:val="16"/>
                <w:szCs w:val="16"/>
              </w:rPr>
              <w:t>-33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255017C" w14:textId="77777777" w:rsidR="003A22B8" w:rsidRDefault="003A22B8" w:rsidP="004D65FE">
            <w:pPr>
              <w:keepNext/>
              <w:keepLines/>
              <w:spacing w:before="0"/>
              <w:jc w:val="right"/>
              <w:rPr>
                <w:rFonts w:cs="Open Sans Light"/>
                <w:sz w:val="16"/>
                <w:szCs w:val="16"/>
              </w:rPr>
            </w:pPr>
            <w:r>
              <w:rPr>
                <w:rFonts w:cs="Open Sans Light"/>
                <w:sz w:val="16"/>
                <w:szCs w:val="16"/>
              </w:rPr>
              <w:t>13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226B5B5" w14:textId="77777777" w:rsidR="003A22B8" w:rsidRDefault="003A22B8" w:rsidP="004D65FE">
            <w:pPr>
              <w:keepNext/>
              <w:keepLines/>
              <w:spacing w:before="0"/>
              <w:jc w:val="right"/>
              <w:rPr>
                <w:rFonts w:cs="Open Sans Light"/>
                <w:sz w:val="16"/>
                <w:szCs w:val="16"/>
              </w:rPr>
            </w:pPr>
            <w:r>
              <w:rPr>
                <w:rFonts w:cs="Open Sans Light"/>
                <w:sz w:val="16"/>
                <w:szCs w:val="16"/>
              </w:rPr>
              <w:t>48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215BB6C" w14:textId="77777777" w:rsidR="003A22B8" w:rsidRDefault="003A22B8" w:rsidP="004D65FE">
            <w:pPr>
              <w:keepNext/>
              <w:keepLines/>
              <w:spacing w:before="0"/>
              <w:jc w:val="right"/>
              <w:rPr>
                <w:rFonts w:cs="Open Sans Light"/>
                <w:sz w:val="16"/>
                <w:szCs w:val="16"/>
              </w:rPr>
            </w:pPr>
            <w:r>
              <w:rPr>
                <w:rFonts w:cs="Open Sans Light"/>
                <w:sz w:val="16"/>
                <w:szCs w:val="16"/>
              </w:rPr>
              <w:t>-2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6C3C977"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014D305" w14:textId="77777777" w:rsidR="003A22B8" w:rsidRDefault="003A22B8" w:rsidP="004D65FE">
            <w:pPr>
              <w:keepNext/>
              <w:keepLines/>
              <w:spacing w:before="0"/>
              <w:jc w:val="right"/>
              <w:rPr>
                <w:rFonts w:cs="Open Sans Light"/>
                <w:sz w:val="16"/>
                <w:szCs w:val="16"/>
              </w:rPr>
            </w:pPr>
            <w:r>
              <w:rPr>
                <w:rFonts w:cs="Open Sans Light"/>
                <w:sz w:val="16"/>
                <w:szCs w:val="16"/>
              </w:rPr>
              <w:t>-32</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9F012CD" w14:textId="77777777" w:rsidR="003A22B8" w:rsidRDefault="003A22B8" w:rsidP="004D65FE">
            <w:pPr>
              <w:keepNext/>
              <w:keepLines/>
              <w:spacing w:before="0"/>
              <w:jc w:val="right"/>
              <w:rPr>
                <w:rFonts w:cs="Open Sans Light"/>
                <w:sz w:val="16"/>
                <w:szCs w:val="16"/>
              </w:rPr>
            </w:pPr>
            <w:r>
              <w:rPr>
                <w:rFonts w:cs="Open Sans Light"/>
                <w:sz w:val="16"/>
                <w:szCs w:val="16"/>
              </w:rPr>
              <w:t>933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A0E0DDA"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1456936A"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4752B40" w14:textId="77777777" w:rsidR="003A22B8" w:rsidRDefault="003A22B8" w:rsidP="004D65FE">
            <w:pPr>
              <w:keepNext/>
              <w:keepLines/>
              <w:spacing w:before="0"/>
              <w:ind w:left="142" w:hanging="142"/>
              <w:rPr>
                <w:rFonts w:cs="Open Sans Light"/>
                <w:sz w:val="16"/>
                <w:szCs w:val="16"/>
              </w:rPr>
            </w:pPr>
            <w:r>
              <w:rPr>
                <w:rFonts w:cs="Open Sans Light"/>
                <w:sz w:val="16"/>
                <w:szCs w:val="16"/>
              </w:rPr>
              <w:t>Justice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091A21" w14:textId="77777777" w:rsidR="003A22B8" w:rsidRDefault="003A22B8" w:rsidP="004D65FE">
            <w:pPr>
              <w:keepNext/>
              <w:keepLines/>
              <w:spacing w:before="0"/>
              <w:jc w:val="right"/>
              <w:rPr>
                <w:rFonts w:cs="Open Sans Light"/>
                <w:sz w:val="16"/>
                <w:szCs w:val="16"/>
              </w:rPr>
            </w:pPr>
            <w:r>
              <w:rPr>
                <w:rFonts w:cs="Open Sans Light"/>
                <w:sz w:val="16"/>
                <w:szCs w:val="16"/>
              </w:rPr>
              <w:t>-25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3C42C6" w14:textId="77777777" w:rsidR="003A22B8" w:rsidRDefault="003A22B8" w:rsidP="004D65FE">
            <w:pPr>
              <w:keepNext/>
              <w:keepLines/>
              <w:spacing w:before="0"/>
              <w:jc w:val="right"/>
              <w:rPr>
                <w:rFonts w:cs="Open Sans Light"/>
                <w:sz w:val="16"/>
                <w:szCs w:val="16"/>
              </w:rPr>
            </w:pPr>
            <w:r>
              <w:rPr>
                <w:rFonts w:cs="Open Sans Light"/>
                <w:sz w:val="16"/>
                <w:szCs w:val="16"/>
              </w:rPr>
              <w:t>-112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DA7726" w14:textId="77777777" w:rsidR="003A22B8" w:rsidRDefault="003A22B8" w:rsidP="004D65FE">
            <w:pPr>
              <w:keepNext/>
              <w:keepLines/>
              <w:spacing w:before="0"/>
              <w:jc w:val="right"/>
              <w:rPr>
                <w:rFonts w:cs="Open Sans Light"/>
                <w:sz w:val="16"/>
                <w:szCs w:val="16"/>
              </w:rPr>
            </w:pPr>
            <w:r>
              <w:rPr>
                <w:rFonts w:cs="Open Sans Light"/>
                <w:sz w:val="16"/>
                <w:szCs w:val="16"/>
              </w:rPr>
              <w:t>52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019E91C" w14:textId="77777777" w:rsidR="003A22B8" w:rsidRDefault="003A22B8" w:rsidP="004D65FE">
            <w:pPr>
              <w:keepNext/>
              <w:keepLines/>
              <w:spacing w:before="0"/>
              <w:jc w:val="right"/>
              <w:rPr>
                <w:rFonts w:cs="Open Sans Light"/>
                <w:sz w:val="16"/>
                <w:szCs w:val="16"/>
              </w:rPr>
            </w:pPr>
            <w:r>
              <w:rPr>
                <w:rFonts w:cs="Open Sans Light"/>
                <w:sz w:val="16"/>
                <w:szCs w:val="16"/>
              </w:rPr>
              <w:t>81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10BE33" w14:textId="77777777" w:rsidR="003A22B8" w:rsidRDefault="003A22B8" w:rsidP="004D65FE">
            <w:pPr>
              <w:keepNext/>
              <w:keepLines/>
              <w:spacing w:before="0"/>
              <w:jc w:val="right"/>
              <w:rPr>
                <w:rFonts w:cs="Open Sans Light"/>
                <w:sz w:val="16"/>
                <w:szCs w:val="16"/>
              </w:rPr>
            </w:pPr>
            <w:r>
              <w:rPr>
                <w:rFonts w:cs="Open Sans Light"/>
                <w:sz w:val="16"/>
                <w:szCs w:val="16"/>
              </w:rPr>
              <w:t>-1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65D7B13" w14:textId="77777777" w:rsidR="003A22B8" w:rsidRDefault="003A22B8" w:rsidP="004D65FE">
            <w:pPr>
              <w:keepNext/>
              <w:keepLines/>
              <w:spacing w:before="0"/>
              <w:jc w:val="right"/>
              <w:rPr>
                <w:rFonts w:cs="Open Sans Light"/>
                <w:sz w:val="16"/>
                <w:szCs w:val="16"/>
              </w:rPr>
            </w:pPr>
            <w:r>
              <w:rPr>
                <w:rFonts w:cs="Open Sans Light"/>
                <w:sz w:val="16"/>
                <w:szCs w:val="16"/>
              </w:rPr>
              <w:t>118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B476BDA" w14:textId="77777777" w:rsidR="003A22B8" w:rsidRDefault="003A22B8" w:rsidP="004D65FE">
            <w:pPr>
              <w:keepNext/>
              <w:keepLines/>
              <w:spacing w:before="0"/>
              <w:jc w:val="right"/>
              <w:rPr>
                <w:rFonts w:cs="Open Sans Light"/>
                <w:sz w:val="16"/>
                <w:szCs w:val="16"/>
              </w:rPr>
            </w:pPr>
            <w:r>
              <w:rPr>
                <w:rFonts w:cs="Open Sans Light"/>
                <w:sz w:val="16"/>
                <w:szCs w:val="16"/>
              </w:rPr>
              <w:t>-180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019662" w14:textId="77777777" w:rsidR="003A22B8" w:rsidRDefault="003A22B8" w:rsidP="004D65FE">
            <w:pPr>
              <w:keepNext/>
              <w:keepLines/>
              <w:spacing w:before="0"/>
              <w:jc w:val="right"/>
              <w:rPr>
                <w:rFonts w:cs="Open Sans Light"/>
                <w:sz w:val="16"/>
                <w:szCs w:val="16"/>
              </w:rPr>
            </w:pPr>
            <w:r>
              <w:rPr>
                <w:rFonts w:cs="Open Sans Light"/>
                <w:sz w:val="16"/>
                <w:szCs w:val="16"/>
              </w:rPr>
              <w:t>1,933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DF3281D"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28E3B653"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6209CC" w14:textId="77777777" w:rsidR="003A22B8" w:rsidRDefault="003A22B8" w:rsidP="004D65FE">
            <w:pPr>
              <w:keepNext/>
              <w:keepLines/>
              <w:spacing w:before="0"/>
              <w:ind w:left="142" w:hanging="142"/>
              <w:rPr>
                <w:rFonts w:cs="Open Sans Light"/>
                <w:sz w:val="16"/>
                <w:szCs w:val="16"/>
              </w:rPr>
            </w:pPr>
            <w:r>
              <w:rPr>
                <w:rFonts w:cs="Open Sans Light"/>
                <w:sz w:val="16"/>
                <w:szCs w:val="16"/>
              </w:rPr>
              <w:t>Roads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1EAB1B" w14:textId="77777777" w:rsidR="003A22B8" w:rsidRDefault="003A22B8" w:rsidP="004D65FE">
            <w:pPr>
              <w:keepNext/>
              <w:keepLines/>
              <w:spacing w:before="0"/>
              <w:jc w:val="right"/>
              <w:rPr>
                <w:rFonts w:cs="Open Sans Light"/>
                <w:sz w:val="16"/>
                <w:szCs w:val="16"/>
              </w:rPr>
            </w:pPr>
            <w:r>
              <w:rPr>
                <w:rFonts w:cs="Open Sans Light"/>
                <w:sz w:val="16"/>
                <w:szCs w:val="16"/>
              </w:rPr>
              <w:t>-22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796F609" w14:textId="77777777" w:rsidR="003A22B8" w:rsidRDefault="003A22B8" w:rsidP="004D65FE">
            <w:pPr>
              <w:keepNext/>
              <w:keepLines/>
              <w:spacing w:before="0"/>
              <w:jc w:val="right"/>
              <w:rPr>
                <w:rFonts w:cs="Open Sans Light"/>
                <w:sz w:val="16"/>
                <w:szCs w:val="16"/>
              </w:rPr>
            </w:pPr>
            <w:r>
              <w:rPr>
                <w:rFonts w:cs="Open Sans Light"/>
                <w:sz w:val="16"/>
                <w:szCs w:val="16"/>
              </w:rPr>
              <w:t>-38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5699F32" w14:textId="77777777" w:rsidR="003A22B8" w:rsidRDefault="003A22B8" w:rsidP="004D65FE">
            <w:pPr>
              <w:keepNext/>
              <w:keepLines/>
              <w:spacing w:before="0"/>
              <w:jc w:val="right"/>
              <w:rPr>
                <w:rFonts w:cs="Open Sans Light"/>
                <w:sz w:val="16"/>
                <w:szCs w:val="16"/>
              </w:rPr>
            </w:pPr>
            <w:r>
              <w:rPr>
                <w:rFonts w:cs="Open Sans Light"/>
                <w:sz w:val="16"/>
                <w:szCs w:val="16"/>
              </w:rPr>
              <w:t>34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00D1887" w14:textId="77777777" w:rsidR="003A22B8" w:rsidRDefault="003A22B8" w:rsidP="004D65FE">
            <w:pPr>
              <w:keepNext/>
              <w:keepLines/>
              <w:spacing w:before="0"/>
              <w:jc w:val="right"/>
              <w:rPr>
                <w:rFonts w:cs="Open Sans Light"/>
                <w:sz w:val="16"/>
                <w:szCs w:val="16"/>
              </w:rPr>
            </w:pPr>
            <w:r>
              <w:rPr>
                <w:rFonts w:cs="Open Sans Light"/>
                <w:sz w:val="16"/>
                <w:szCs w:val="16"/>
              </w:rPr>
              <w:t>57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172EB4D" w14:textId="77777777" w:rsidR="003A22B8" w:rsidRDefault="003A22B8" w:rsidP="004D65FE">
            <w:pPr>
              <w:keepNext/>
              <w:keepLines/>
              <w:spacing w:before="0"/>
              <w:jc w:val="right"/>
              <w:rPr>
                <w:rFonts w:cs="Open Sans Light"/>
                <w:sz w:val="16"/>
                <w:szCs w:val="16"/>
              </w:rPr>
            </w:pPr>
            <w:r>
              <w:rPr>
                <w:rFonts w:cs="Open Sans Light"/>
                <w:sz w:val="16"/>
                <w:szCs w:val="16"/>
              </w:rPr>
              <w:t>37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0B9D744" w14:textId="77777777" w:rsidR="003A22B8" w:rsidRDefault="003A22B8" w:rsidP="004D65FE">
            <w:pPr>
              <w:keepNext/>
              <w:keepLines/>
              <w:spacing w:before="0"/>
              <w:jc w:val="right"/>
              <w:rPr>
                <w:rFonts w:cs="Open Sans Light"/>
                <w:sz w:val="16"/>
                <w:szCs w:val="16"/>
              </w:rPr>
            </w:pPr>
            <w:r>
              <w:rPr>
                <w:rFonts w:cs="Open Sans Light"/>
                <w:sz w:val="16"/>
                <w:szCs w:val="16"/>
              </w:rPr>
              <w:t>20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48433ED" w14:textId="77777777" w:rsidR="003A22B8" w:rsidRDefault="003A22B8" w:rsidP="004D65FE">
            <w:pPr>
              <w:keepNext/>
              <w:keepLines/>
              <w:spacing w:before="0"/>
              <w:jc w:val="right"/>
              <w:rPr>
                <w:rFonts w:cs="Open Sans Light"/>
                <w:sz w:val="16"/>
                <w:szCs w:val="16"/>
              </w:rPr>
            </w:pPr>
            <w:r>
              <w:rPr>
                <w:rFonts w:cs="Open Sans Light"/>
                <w:sz w:val="16"/>
                <w:szCs w:val="16"/>
              </w:rPr>
              <w:t>-132</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EC8FE56" w14:textId="77777777" w:rsidR="003A22B8" w:rsidRDefault="003A22B8" w:rsidP="004D65FE">
            <w:pPr>
              <w:keepNext/>
              <w:keepLines/>
              <w:spacing w:before="0"/>
              <w:jc w:val="right"/>
              <w:rPr>
                <w:rFonts w:cs="Open Sans Light"/>
                <w:sz w:val="16"/>
                <w:szCs w:val="16"/>
              </w:rPr>
            </w:pPr>
            <w:r>
              <w:rPr>
                <w:rFonts w:cs="Open Sans Light"/>
                <w:sz w:val="16"/>
                <w:szCs w:val="16"/>
              </w:rPr>
              <w:t>352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FD21105"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77F4EB9B"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D648E5" w14:textId="77777777" w:rsidR="003A22B8" w:rsidRDefault="003A22B8" w:rsidP="004D65FE">
            <w:pPr>
              <w:keepNext/>
              <w:keepLines/>
              <w:spacing w:before="0"/>
              <w:ind w:left="142" w:hanging="142"/>
              <w:rPr>
                <w:rFonts w:cs="Open Sans Light"/>
                <w:sz w:val="16"/>
                <w:szCs w:val="16"/>
              </w:rPr>
            </w:pPr>
            <w:r>
              <w:rPr>
                <w:rFonts w:cs="Open Sans Light"/>
                <w:sz w:val="16"/>
                <w:szCs w:val="16"/>
              </w:rPr>
              <w:t>Transport</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B7629E" w14:textId="77777777" w:rsidR="003A22B8" w:rsidRDefault="003A22B8" w:rsidP="004D65FE">
            <w:pPr>
              <w:keepNext/>
              <w:keepLines/>
              <w:spacing w:before="0"/>
              <w:jc w:val="right"/>
              <w:rPr>
                <w:rFonts w:cs="Open Sans Light"/>
                <w:sz w:val="16"/>
                <w:szCs w:val="16"/>
              </w:rPr>
            </w:pPr>
            <w:r>
              <w:rPr>
                <w:rFonts w:cs="Open Sans Light"/>
                <w:sz w:val="16"/>
                <w:szCs w:val="16"/>
              </w:rPr>
              <w:t>154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34F10AD" w14:textId="77777777" w:rsidR="003A22B8" w:rsidRDefault="003A22B8" w:rsidP="004D65FE">
            <w:pPr>
              <w:keepNext/>
              <w:keepLines/>
              <w:spacing w:before="0"/>
              <w:jc w:val="right"/>
              <w:rPr>
                <w:rFonts w:cs="Open Sans Light"/>
                <w:sz w:val="16"/>
                <w:szCs w:val="16"/>
              </w:rPr>
            </w:pPr>
            <w:r>
              <w:rPr>
                <w:rFonts w:cs="Open Sans Light"/>
                <w:sz w:val="16"/>
                <w:szCs w:val="16"/>
              </w:rPr>
              <w:t>63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B3FAF69" w14:textId="77777777" w:rsidR="003A22B8" w:rsidRDefault="003A22B8" w:rsidP="004D65FE">
            <w:pPr>
              <w:keepNext/>
              <w:keepLines/>
              <w:spacing w:before="0"/>
              <w:jc w:val="right"/>
              <w:rPr>
                <w:rFonts w:cs="Open Sans Light"/>
                <w:sz w:val="16"/>
                <w:szCs w:val="16"/>
              </w:rPr>
            </w:pPr>
            <w:r>
              <w:rPr>
                <w:rFonts w:cs="Open Sans Light"/>
                <w:sz w:val="16"/>
                <w:szCs w:val="16"/>
              </w:rPr>
              <w:t>-150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53944F0" w14:textId="77777777" w:rsidR="003A22B8" w:rsidRDefault="003A22B8" w:rsidP="004D65FE">
            <w:pPr>
              <w:keepNext/>
              <w:keepLines/>
              <w:spacing w:before="0"/>
              <w:jc w:val="right"/>
              <w:rPr>
                <w:rFonts w:cs="Open Sans Light"/>
                <w:sz w:val="16"/>
                <w:szCs w:val="16"/>
              </w:rPr>
            </w:pPr>
            <w:r>
              <w:rPr>
                <w:rFonts w:cs="Open Sans Light"/>
                <w:sz w:val="16"/>
                <w:szCs w:val="16"/>
              </w:rPr>
              <w:t>-103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1164CFC" w14:textId="77777777" w:rsidR="003A22B8" w:rsidRDefault="003A22B8" w:rsidP="004D65FE">
            <w:pPr>
              <w:keepNext/>
              <w:keepLines/>
              <w:spacing w:before="0"/>
              <w:jc w:val="right"/>
              <w:rPr>
                <w:rFonts w:cs="Open Sans Light"/>
                <w:sz w:val="16"/>
                <w:szCs w:val="16"/>
              </w:rPr>
            </w:pPr>
            <w:r>
              <w:rPr>
                <w:rFonts w:cs="Open Sans Light"/>
                <w:sz w:val="16"/>
                <w:szCs w:val="16"/>
              </w:rPr>
              <w:t>-165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F940FF3" w14:textId="77777777" w:rsidR="003A22B8" w:rsidRDefault="003A22B8" w:rsidP="004D65FE">
            <w:pPr>
              <w:keepNext/>
              <w:keepLines/>
              <w:spacing w:before="0"/>
              <w:jc w:val="right"/>
              <w:rPr>
                <w:rFonts w:cs="Open Sans Light"/>
                <w:sz w:val="16"/>
                <w:szCs w:val="16"/>
              </w:rPr>
            </w:pPr>
            <w:r>
              <w:rPr>
                <w:rFonts w:cs="Open Sans Light"/>
                <w:sz w:val="16"/>
                <w:szCs w:val="16"/>
              </w:rPr>
              <w:t>-378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34C427" w14:textId="77777777" w:rsidR="003A22B8" w:rsidRDefault="003A22B8" w:rsidP="004D65FE">
            <w:pPr>
              <w:keepNext/>
              <w:keepLines/>
              <w:spacing w:before="0"/>
              <w:jc w:val="right"/>
              <w:rPr>
                <w:rFonts w:cs="Open Sans Light"/>
                <w:sz w:val="16"/>
                <w:szCs w:val="16"/>
              </w:rPr>
            </w:pPr>
            <w:r>
              <w:rPr>
                <w:rFonts w:cs="Open Sans Light"/>
                <w:sz w:val="16"/>
                <w:szCs w:val="16"/>
              </w:rPr>
              <w:t>-139</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560088" w14:textId="77777777" w:rsidR="003A22B8" w:rsidRDefault="003A22B8" w:rsidP="004D65FE">
            <w:pPr>
              <w:keepNext/>
              <w:keepLines/>
              <w:spacing w:before="0"/>
              <w:jc w:val="right"/>
              <w:rPr>
                <w:rFonts w:cs="Open Sans Light"/>
                <w:sz w:val="16"/>
                <w:szCs w:val="16"/>
              </w:rPr>
            </w:pPr>
            <w:r>
              <w:rPr>
                <w:rFonts w:cs="Open Sans Light"/>
                <w:sz w:val="16"/>
                <w:szCs w:val="16"/>
              </w:rPr>
              <w:t>-341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35F3EB2"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3745968F"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9FF9B50" w14:textId="77777777" w:rsidR="003A22B8" w:rsidRDefault="003A22B8" w:rsidP="004D65FE">
            <w:pPr>
              <w:keepNext/>
              <w:keepLines/>
              <w:spacing w:before="0"/>
              <w:ind w:left="142" w:hanging="142"/>
              <w:rPr>
                <w:rFonts w:cs="Open Sans Light"/>
                <w:sz w:val="16"/>
                <w:szCs w:val="16"/>
              </w:rPr>
            </w:pPr>
            <w:r>
              <w:rPr>
                <w:rFonts w:cs="Open Sans Light"/>
                <w:sz w:val="16"/>
                <w:szCs w:val="16"/>
              </w:rPr>
              <w:t>Services to industry</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DF6053C" w14:textId="77777777" w:rsidR="003A22B8" w:rsidRDefault="003A22B8" w:rsidP="004D65FE">
            <w:pPr>
              <w:keepNext/>
              <w:keepLines/>
              <w:spacing w:before="0"/>
              <w:jc w:val="right"/>
              <w:rPr>
                <w:rFonts w:cs="Open Sans Light"/>
                <w:sz w:val="16"/>
                <w:szCs w:val="16"/>
              </w:rPr>
            </w:pPr>
            <w:r>
              <w:rPr>
                <w:rFonts w:cs="Open Sans Light"/>
                <w:sz w:val="16"/>
                <w:szCs w:val="16"/>
              </w:rPr>
              <w:t>-13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23398FA" w14:textId="77777777" w:rsidR="003A22B8" w:rsidRDefault="003A22B8" w:rsidP="004D65FE">
            <w:pPr>
              <w:keepNext/>
              <w:keepLines/>
              <w:spacing w:before="0"/>
              <w:jc w:val="right"/>
              <w:rPr>
                <w:rFonts w:cs="Open Sans Light"/>
                <w:sz w:val="16"/>
                <w:szCs w:val="16"/>
              </w:rPr>
            </w:pPr>
            <w:r>
              <w:rPr>
                <w:rFonts w:cs="Open Sans Light"/>
                <w:sz w:val="16"/>
                <w:szCs w:val="16"/>
              </w:rPr>
              <w:t>-19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08081EB"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D04D8B4" w14:textId="77777777" w:rsidR="003A22B8" w:rsidRDefault="003A22B8" w:rsidP="004D65FE">
            <w:pPr>
              <w:keepNext/>
              <w:keepLines/>
              <w:spacing w:before="0"/>
              <w:jc w:val="right"/>
              <w:rPr>
                <w:rFonts w:cs="Open Sans Light"/>
                <w:sz w:val="16"/>
                <w:szCs w:val="16"/>
              </w:rPr>
            </w:pPr>
            <w:r>
              <w:rPr>
                <w:rFonts w:cs="Open Sans Light"/>
                <w:sz w:val="16"/>
                <w:szCs w:val="16"/>
              </w:rPr>
              <w:t>77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FA6468" w14:textId="77777777" w:rsidR="003A22B8" w:rsidRDefault="003A22B8" w:rsidP="004D65FE">
            <w:pPr>
              <w:keepNext/>
              <w:keepLines/>
              <w:spacing w:before="0"/>
              <w:jc w:val="right"/>
              <w:rPr>
                <w:rFonts w:cs="Open Sans Light"/>
                <w:sz w:val="16"/>
                <w:szCs w:val="16"/>
              </w:rPr>
            </w:pPr>
            <w:r>
              <w:rPr>
                <w:rFonts w:cs="Open Sans Light"/>
                <w:sz w:val="16"/>
                <w:szCs w:val="16"/>
              </w:rPr>
              <w:t>-1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9EABCBA" w14:textId="77777777" w:rsidR="003A22B8" w:rsidRDefault="003A22B8" w:rsidP="004D65FE">
            <w:pPr>
              <w:keepNext/>
              <w:keepLines/>
              <w:spacing w:before="0"/>
              <w:jc w:val="right"/>
              <w:rPr>
                <w:rFonts w:cs="Open Sans Light"/>
                <w:sz w:val="16"/>
                <w:szCs w:val="16"/>
              </w:rPr>
            </w:pPr>
            <w:r>
              <w:rPr>
                <w:rFonts w:cs="Open Sans Light"/>
                <w:sz w:val="16"/>
                <w:szCs w:val="16"/>
              </w:rPr>
              <w:t>40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D570855" w14:textId="77777777" w:rsidR="003A22B8" w:rsidRDefault="003A22B8" w:rsidP="004D65FE">
            <w:pPr>
              <w:keepNext/>
              <w:keepLines/>
              <w:spacing w:before="0"/>
              <w:jc w:val="right"/>
              <w:rPr>
                <w:rFonts w:cs="Open Sans Light"/>
                <w:sz w:val="16"/>
                <w:szCs w:val="16"/>
              </w:rPr>
            </w:pPr>
            <w:r>
              <w:rPr>
                <w:rFonts w:cs="Open Sans Light"/>
                <w:sz w:val="16"/>
                <w:szCs w:val="16"/>
              </w:rPr>
              <w:t>-27</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EE779C6" w14:textId="77777777" w:rsidR="003A22B8" w:rsidRDefault="003A22B8" w:rsidP="004D65FE">
            <w:pPr>
              <w:keepNext/>
              <w:keepLines/>
              <w:spacing w:before="0"/>
              <w:jc w:val="right"/>
              <w:rPr>
                <w:rFonts w:cs="Open Sans Light"/>
                <w:sz w:val="16"/>
                <w:szCs w:val="16"/>
              </w:rPr>
            </w:pPr>
            <w:r>
              <w:rPr>
                <w:rFonts w:cs="Open Sans Light"/>
                <w:sz w:val="16"/>
                <w:szCs w:val="16"/>
              </w:rPr>
              <w:t>91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37730D"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4026232E"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3ADC7D1" w14:textId="77777777" w:rsidR="003A22B8" w:rsidRDefault="003A22B8" w:rsidP="004D65FE">
            <w:pPr>
              <w:keepNext/>
              <w:keepLines/>
              <w:spacing w:before="0"/>
              <w:ind w:left="142" w:hanging="142"/>
              <w:rPr>
                <w:rFonts w:cs="Open Sans Light"/>
                <w:sz w:val="16"/>
                <w:szCs w:val="16"/>
              </w:rPr>
            </w:pPr>
            <w:r>
              <w:rPr>
                <w:rFonts w:cs="Open Sans Light"/>
                <w:sz w:val="16"/>
                <w:szCs w:val="16"/>
              </w:rPr>
              <w:t>Other expenses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CD74490" w14:textId="77777777" w:rsidR="003A22B8" w:rsidRDefault="003A22B8" w:rsidP="004D65FE">
            <w:pPr>
              <w:keepNext/>
              <w:keepLines/>
              <w:spacing w:before="0"/>
              <w:jc w:val="right"/>
              <w:rPr>
                <w:rFonts w:cs="Open Sans Light"/>
                <w:sz w:val="16"/>
                <w:szCs w:val="16"/>
              </w:rPr>
            </w:pPr>
            <w:r>
              <w:rPr>
                <w:rFonts w:cs="Open Sans Light"/>
                <w:sz w:val="16"/>
                <w:szCs w:val="16"/>
              </w:rPr>
              <w:t>-85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96E2586" w14:textId="77777777" w:rsidR="003A22B8" w:rsidRDefault="003A22B8" w:rsidP="004D65FE">
            <w:pPr>
              <w:keepNext/>
              <w:keepLines/>
              <w:spacing w:before="0"/>
              <w:jc w:val="right"/>
              <w:rPr>
                <w:rFonts w:cs="Open Sans Light"/>
                <w:sz w:val="16"/>
                <w:szCs w:val="16"/>
              </w:rPr>
            </w:pPr>
            <w:r>
              <w:rPr>
                <w:rFonts w:cs="Open Sans Light"/>
                <w:sz w:val="16"/>
                <w:szCs w:val="16"/>
              </w:rPr>
              <w:t>-89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1A25E06" w14:textId="77777777" w:rsidR="003A22B8" w:rsidRDefault="003A22B8" w:rsidP="004D65FE">
            <w:pPr>
              <w:keepNext/>
              <w:keepLines/>
              <w:spacing w:before="0"/>
              <w:jc w:val="right"/>
              <w:rPr>
                <w:rFonts w:cs="Open Sans Light"/>
                <w:sz w:val="16"/>
                <w:szCs w:val="16"/>
              </w:rPr>
            </w:pPr>
            <w:r>
              <w:rPr>
                <w:rFonts w:cs="Open Sans Light"/>
                <w:sz w:val="16"/>
                <w:szCs w:val="16"/>
              </w:rPr>
              <w:t>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CFDC593" w14:textId="77777777" w:rsidR="003A22B8" w:rsidRDefault="003A22B8" w:rsidP="004D65FE">
            <w:pPr>
              <w:keepNext/>
              <w:keepLines/>
              <w:spacing w:before="0"/>
              <w:jc w:val="right"/>
              <w:rPr>
                <w:rFonts w:cs="Open Sans Light"/>
                <w:sz w:val="16"/>
                <w:szCs w:val="16"/>
              </w:rPr>
            </w:pPr>
            <w:r>
              <w:rPr>
                <w:rFonts w:cs="Open Sans Light"/>
                <w:sz w:val="16"/>
                <w:szCs w:val="16"/>
              </w:rPr>
              <w:t>61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E91777D" w14:textId="77777777" w:rsidR="003A22B8" w:rsidRDefault="003A22B8" w:rsidP="004D65FE">
            <w:pPr>
              <w:keepNext/>
              <w:keepLines/>
              <w:spacing w:before="0"/>
              <w:jc w:val="right"/>
              <w:rPr>
                <w:rFonts w:cs="Open Sans Light"/>
                <w:sz w:val="16"/>
                <w:szCs w:val="16"/>
              </w:rPr>
            </w:pPr>
            <w:r>
              <w:rPr>
                <w:rFonts w:cs="Open Sans Light"/>
                <w:sz w:val="16"/>
                <w:szCs w:val="16"/>
              </w:rPr>
              <w:t>52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A1C89B" w14:textId="77777777" w:rsidR="003A22B8" w:rsidRDefault="003A22B8" w:rsidP="004D65FE">
            <w:pPr>
              <w:keepNext/>
              <w:keepLines/>
              <w:spacing w:before="0"/>
              <w:jc w:val="right"/>
              <w:rPr>
                <w:rFonts w:cs="Open Sans Light"/>
                <w:sz w:val="16"/>
                <w:szCs w:val="16"/>
              </w:rPr>
            </w:pPr>
            <w:r>
              <w:rPr>
                <w:rFonts w:cs="Open Sans Light"/>
                <w:sz w:val="16"/>
                <w:szCs w:val="16"/>
              </w:rPr>
              <w:t>556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299C61C" w14:textId="77777777" w:rsidR="003A22B8" w:rsidRDefault="003A22B8" w:rsidP="004D65FE">
            <w:pPr>
              <w:keepNext/>
              <w:keepLines/>
              <w:spacing w:before="0"/>
              <w:jc w:val="right"/>
              <w:rPr>
                <w:rFonts w:cs="Open Sans Light"/>
                <w:sz w:val="16"/>
                <w:szCs w:val="16"/>
              </w:rPr>
            </w:pPr>
            <w:r>
              <w:rPr>
                <w:rFonts w:cs="Open Sans Light"/>
                <w:sz w:val="16"/>
                <w:szCs w:val="16"/>
              </w:rPr>
              <w:t>699</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0521E48" w14:textId="77777777" w:rsidR="003A22B8" w:rsidRDefault="003A22B8" w:rsidP="004D65FE">
            <w:pPr>
              <w:keepNext/>
              <w:keepLines/>
              <w:spacing w:before="0"/>
              <w:jc w:val="right"/>
              <w:rPr>
                <w:rFonts w:cs="Open Sans Light"/>
                <w:sz w:val="16"/>
                <w:szCs w:val="16"/>
              </w:rPr>
            </w:pPr>
            <w:r>
              <w:rPr>
                <w:rFonts w:cs="Open Sans Light"/>
                <w:sz w:val="16"/>
                <w:szCs w:val="16"/>
              </w:rPr>
              <w:t>1,660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60583E"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040AFBDF"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22081B1"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Assessed expenses</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41C1EF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-135</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5DBF3D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-710</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227703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236</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E084B9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539</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F48AB6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97</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1E3AC0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1,438</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64BC29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-565</w:t>
            </w:r>
          </w:p>
        </w:tc>
        <w:tc>
          <w:tcPr>
            <w:tcW w:w="82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374F53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9,884</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8F0416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w:t>
            </w:r>
          </w:p>
        </w:tc>
      </w:tr>
    </w:tbl>
    <w:p w14:paraId="346D447F" w14:textId="77777777" w:rsidR="003A22B8" w:rsidRDefault="003A22B8" w:rsidP="003A22B8">
      <w:pPr>
        <w:pStyle w:val="CGCTablenote"/>
      </w:pPr>
      <w:r>
        <w:t xml:space="preserve">Source: </w:t>
      </w:r>
      <w:r>
        <w:tab/>
        <w:t>CGC calculation.</w:t>
      </w:r>
    </w:p>
    <w:p w14:paraId="5EE99599" w14:textId="015AED2F" w:rsidR="003A22B8" w:rsidRDefault="003A22B8" w:rsidP="003A22B8">
      <w:pPr>
        <w:pStyle w:val="Caption"/>
      </w:pPr>
      <w:bookmarkStart w:id="658" w:name="_Ref30434189"/>
      <w:r>
        <w:t>Table 30-</w:t>
      </w:r>
      <w:fldSimple w:instr=" SEQ Table \* ARABIC ">
        <w:r w:rsidR="007F721A">
          <w:rPr>
            <w:noProof/>
          </w:rPr>
          <w:t>17</w:t>
        </w:r>
      </w:fldSimple>
      <w:bookmarkEnd w:id="658"/>
      <w:r>
        <w:tab/>
        <w:t>Per capita assessed revenue differences from EPC, 2018-19</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4DA404F9" w14:textId="77777777" w:rsidTr="004D65FE">
        <w:trPr>
          <w:trHeight w:val="340"/>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21D0A24" w14:textId="77777777" w:rsidR="003A22B8" w:rsidRDefault="003A22B8" w:rsidP="004D65FE">
            <w:pPr>
              <w:keepNext/>
              <w:keepLines/>
              <w:tabs>
                <w:tab w:val="clear" w:pos="567"/>
              </w:tab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F1ACEB5"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278E877"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37B2108"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5AEF6DD"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44156A6"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9A5FA64"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F83B13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A331BA4"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5B86268"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3597A666" w14:textId="77777777" w:rsidTr="002943B4">
        <w:trPr>
          <w:trHeight w:val="255"/>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85FB274"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A4DD87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777372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38AF9C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59D2CC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9CA72F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6A9C79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A5C00B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6936FB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131FBD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4440A3E9"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5D7667B" w14:textId="77777777" w:rsidR="003A22B8" w:rsidRDefault="003A22B8" w:rsidP="004D65FE">
            <w:pPr>
              <w:keepNext/>
              <w:keepLines/>
              <w:spacing w:before="0"/>
              <w:ind w:left="142" w:hanging="142"/>
              <w:rPr>
                <w:rFonts w:cs="Open Sans Light"/>
                <w:sz w:val="16"/>
                <w:szCs w:val="16"/>
              </w:rPr>
            </w:pPr>
            <w:r>
              <w:rPr>
                <w:rFonts w:cs="Open Sans Light"/>
                <w:sz w:val="16"/>
                <w:szCs w:val="16"/>
              </w:rPr>
              <w:t>Payroll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38344D8" w14:textId="77777777" w:rsidR="003A22B8" w:rsidRDefault="003A22B8" w:rsidP="004D65FE">
            <w:pPr>
              <w:keepNext/>
              <w:keepLines/>
              <w:spacing w:before="0"/>
              <w:jc w:val="right"/>
              <w:rPr>
                <w:rFonts w:cs="Open Sans Light"/>
                <w:sz w:val="16"/>
                <w:szCs w:val="16"/>
              </w:rPr>
            </w:pPr>
            <w:r>
              <w:rPr>
                <w:rFonts w:cs="Open Sans Light"/>
                <w:sz w:val="16"/>
                <w:szCs w:val="16"/>
              </w:rPr>
              <w:t>-77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DF4C2DF" w14:textId="77777777" w:rsidR="003A22B8" w:rsidRDefault="003A22B8" w:rsidP="004D65FE">
            <w:pPr>
              <w:keepNext/>
              <w:keepLines/>
              <w:spacing w:before="0"/>
              <w:jc w:val="right"/>
              <w:rPr>
                <w:rFonts w:cs="Open Sans Light"/>
                <w:sz w:val="16"/>
                <w:szCs w:val="16"/>
              </w:rPr>
            </w:pPr>
            <w:r>
              <w:rPr>
                <w:rFonts w:cs="Open Sans Light"/>
                <w:sz w:val="16"/>
                <w:szCs w:val="16"/>
              </w:rPr>
              <w:t>42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1E4CBE4" w14:textId="77777777" w:rsidR="003A22B8" w:rsidRDefault="003A22B8" w:rsidP="004D65FE">
            <w:pPr>
              <w:keepNext/>
              <w:keepLines/>
              <w:spacing w:before="0"/>
              <w:jc w:val="right"/>
              <w:rPr>
                <w:rFonts w:cs="Open Sans Light"/>
                <w:sz w:val="16"/>
                <w:szCs w:val="16"/>
              </w:rPr>
            </w:pPr>
            <w:r>
              <w:rPr>
                <w:rFonts w:cs="Open Sans Light"/>
                <w:sz w:val="16"/>
                <w:szCs w:val="16"/>
              </w:rPr>
              <w:t>94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16EAC5E" w14:textId="77777777" w:rsidR="003A22B8" w:rsidRDefault="003A22B8" w:rsidP="004D65FE">
            <w:pPr>
              <w:keepNext/>
              <w:keepLines/>
              <w:spacing w:before="0"/>
              <w:jc w:val="right"/>
              <w:rPr>
                <w:rFonts w:cs="Open Sans Light"/>
                <w:sz w:val="16"/>
                <w:szCs w:val="16"/>
              </w:rPr>
            </w:pPr>
            <w:r>
              <w:rPr>
                <w:rFonts w:cs="Open Sans Light"/>
                <w:sz w:val="16"/>
                <w:szCs w:val="16"/>
              </w:rPr>
              <w:t>-260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DD75103" w14:textId="77777777" w:rsidR="003A22B8" w:rsidRDefault="003A22B8" w:rsidP="004D65FE">
            <w:pPr>
              <w:keepNext/>
              <w:keepLines/>
              <w:spacing w:before="0"/>
              <w:jc w:val="right"/>
              <w:rPr>
                <w:rFonts w:cs="Open Sans Light"/>
                <w:sz w:val="16"/>
                <w:szCs w:val="16"/>
              </w:rPr>
            </w:pPr>
            <w:r>
              <w:rPr>
                <w:rFonts w:cs="Open Sans Light"/>
                <w:sz w:val="16"/>
                <w:szCs w:val="16"/>
              </w:rPr>
              <w:t>215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84BC924" w14:textId="77777777" w:rsidR="003A22B8" w:rsidRDefault="003A22B8" w:rsidP="004D65FE">
            <w:pPr>
              <w:keepNext/>
              <w:keepLines/>
              <w:spacing w:before="0"/>
              <w:jc w:val="right"/>
              <w:rPr>
                <w:rFonts w:cs="Open Sans Light"/>
                <w:sz w:val="16"/>
                <w:szCs w:val="16"/>
              </w:rPr>
            </w:pPr>
            <w:r>
              <w:rPr>
                <w:rFonts w:cs="Open Sans Light"/>
                <w:sz w:val="16"/>
                <w:szCs w:val="16"/>
              </w:rPr>
              <w:t>353</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7036E0" w14:textId="77777777" w:rsidR="003A22B8" w:rsidRDefault="003A22B8" w:rsidP="004D65FE">
            <w:pPr>
              <w:keepNext/>
              <w:keepLines/>
              <w:spacing w:before="0"/>
              <w:jc w:val="right"/>
              <w:rPr>
                <w:rFonts w:cs="Open Sans Light"/>
                <w:sz w:val="16"/>
                <w:szCs w:val="16"/>
              </w:rPr>
            </w:pPr>
            <w:r>
              <w:rPr>
                <w:rFonts w:cs="Open Sans Light"/>
                <w:sz w:val="16"/>
                <w:szCs w:val="16"/>
              </w:rPr>
              <w:t>36</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F6368C" w14:textId="77777777" w:rsidR="003A22B8" w:rsidRDefault="003A22B8" w:rsidP="004D65FE">
            <w:pPr>
              <w:keepNext/>
              <w:keepLines/>
              <w:spacing w:before="0"/>
              <w:jc w:val="right"/>
              <w:rPr>
                <w:rFonts w:cs="Open Sans Light"/>
                <w:sz w:val="16"/>
                <w:szCs w:val="16"/>
              </w:rPr>
            </w:pPr>
            <w:r>
              <w:rPr>
                <w:rFonts w:cs="Open Sans Light"/>
                <w:sz w:val="16"/>
                <w:szCs w:val="16"/>
              </w:rPr>
              <w:t>-138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D976669"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793B8614"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EDCEC58" w14:textId="77777777" w:rsidR="003A22B8" w:rsidRDefault="003A22B8" w:rsidP="004D65FE">
            <w:pPr>
              <w:keepNext/>
              <w:keepLines/>
              <w:spacing w:before="0"/>
              <w:ind w:left="142" w:hanging="142"/>
              <w:rPr>
                <w:rFonts w:cs="Open Sans Light"/>
                <w:sz w:val="16"/>
                <w:szCs w:val="16"/>
              </w:rPr>
            </w:pPr>
            <w:r>
              <w:rPr>
                <w:rFonts w:cs="Open Sans Light"/>
                <w:sz w:val="16"/>
                <w:szCs w:val="16"/>
              </w:rPr>
              <w:t>Land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63EFD7" w14:textId="77777777" w:rsidR="003A22B8" w:rsidRDefault="003A22B8" w:rsidP="004D65FE">
            <w:pPr>
              <w:keepNext/>
              <w:keepLines/>
              <w:spacing w:before="0"/>
              <w:jc w:val="right"/>
              <w:rPr>
                <w:rFonts w:cs="Open Sans Light"/>
                <w:sz w:val="16"/>
                <w:szCs w:val="16"/>
              </w:rPr>
            </w:pPr>
            <w:r>
              <w:rPr>
                <w:rFonts w:cs="Open Sans Light"/>
                <w:sz w:val="16"/>
                <w:szCs w:val="16"/>
              </w:rPr>
              <w:t>-136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0F4FF52" w14:textId="77777777" w:rsidR="003A22B8" w:rsidRDefault="003A22B8" w:rsidP="004D65FE">
            <w:pPr>
              <w:keepNext/>
              <w:keepLines/>
              <w:spacing w:before="0"/>
              <w:jc w:val="right"/>
              <w:rPr>
                <w:rFonts w:cs="Open Sans Light"/>
                <w:sz w:val="16"/>
                <w:szCs w:val="16"/>
              </w:rPr>
            </w:pPr>
            <w:r>
              <w:rPr>
                <w:rFonts w:cs="Open Sans Light"/>
                <w:sz w:val="16"/>
                <w:szCs w:val="16"/>
              </w:rPr>
              <w:t>-99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1F3BC23" w14:textId="77777777" w:rsidR="003A22B8" w:rsidRDefault="003A22B8" w:rsidP="004D65FE">
            <w:pPr>
              <w:keepNext/>
              <w:keepLines/>
              <w:spacing w:before="0"/>
              <w:jc w:val="right"/>
              <w:rPr>
                <w:rFonts w:cs="Open Sans Light"/>
                <w:sz w:val="16"/>
                <w:szCs w:val="16"/>
              </w:rPr>
            </w:pPr>
            <w:r>
              <w:rPr>
                <w:rFonts w:cs="Open Sans Light"/>
                <w:sz w:val="16"/>
                <w:szCs w:val="16"/>
              </w:rPr>
              <w:t>170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E857244" w14:textId="77777777" w:rsidR="003A22B8" w:rsidRDefault="003A22B8" w:rsidP="004D65FE">
            <w:pPr>
              <w:keepNext/>
              <w:keepLines/>
              <w:spacing w:before="0"/>
              <w:jc w:val="right"/>
              <w:rPr>
                <w:rFonts w:cs="Open Sans Light"/>
                <w:sz w:val="16"/>
                <w:szCs w:val="16"/>
              </w:rPr>
            </w:pPr>
            <w:r>
              <w:rPr>
                <w:rFonts w:cs="Open Sans Light"/>
                <w:sz w:val="16"/>
                <w:szCs w:val="16"/>
              </w:rPr>
              <w:t>75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7D75BE" w14:textId="77777777" w:rsidR="003A22B8" w:rsidRDefault="003A22B8" w:rsidP="004D65FE">
            <w:pPr>
              <w:keepNext/>
              <w:keepLines/>
              <w:spacing w:before="0"/>
              <w:jc w:val="right"/>
              <w:rPr>
                <w:rFonts w:cs="Open Sans Light"/>
                <w:sz w:val="16"/>
                <w:szCs w:val="16"/>
              </w:rPr>
            </w:pPr>
            <w:r>
              <w:rPr>
                <w:rFonts w:cs="Open Sans Light"/>
                <w:sz w:val="16"/>
                <w:szCs w:val="16"/>
              </w:rPr>
              <w:t>240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1AC818" w14:textId="77777777" w:rsidR="003A22B8" w:rsidRDefault="003A22B8" w:rsidP="004D65FE">
            <w:pPr>
              <w:keepNext/>
              <w:keepLines/>
              <w:spacing w:before="0"/>
              <w:jc w:val="right"/>
              <w:rPr>
                <w:rFonts w:cs="Open Sans Light"/>
                <w:sz w:val="16"/>
                <w:szCs w:val="16"/>
              </w:rPr>
            </w:pPr>
            <w:r>
              <w:rPr>
                <w:rFonts w:cs="Open Sans Light"/>
                <w:sz w:val="16"/>
                <w:szCs w:val="16"/>
              </w:rPr>
              <w:t>287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67B4B43" w14:textId="77777777" w:rsidR="003A22B8" w:rsidRDefault="003A22B8" w:rsidP="004D65FE">
            <w:pPr>
              <w:keepNext/>
              <w:keepLines/>
              <w:spacing w:before="0"/>
              <w:jc w:val="right"/>
              <w:rPr>
                <w:rFonts w:cs="Open Sans Light"/>
                <w:sz w:val="16"/>
                <w:szCs w:val="16"/>
              </w:rPr>
            </w:pPr>
            <w:r>
              <w:rPr>
                <w:rFonts w:cs="Open Sans Light"/>
                <w:sz w:val="16"/>
                <w:szCs w:val="16"/>
              </w:rPr>
              <w:t>234</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031DA3" w14:textId="77777777" w:rsidR="003A22B8" w:rsidRDefault="003A22B8" w:rsidP="004D65FE">
            <w:pPr>
              <w:keepNext/>
              <w:keepLines/>
              <w:spacing w:before="0"/>
              <w:jc w:val="right"/>
              <w:rPr>
                <w:rFonts w:cs="Open Sans Light"/>
                <w:sz w:val="16"/>
                <w:szCs w:val="16"/>
              </w:rPr>
            </w:pPr>
            <w:r>
              <w:rPr>
                <w:rFonts w:cs="Open Sans Light"/>
                <w:sz w:val="16"/>
                <w:szCs w:val="16"/>
              </w:rPr>
              <w:t>64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994B6F5"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3F738576" w14:textId="77777777" w:rsidTr="004D65FE">
        <w:trPr>
          <w:trHeight w:val="315"/>
        </w:trPr>
        <w:tc>
          <w:tcPr>
            <w:tcW w:w="25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B93AC7E" w14:textId="77777777" w:rsidR="003A22B8" w:rsidRDefault="003A22B8" w:rsidP="004D65FE">
            <w:pPr>
              <w:keepNext/>
              <w:keepLines/>
              <w:spacing w:before="0"/>
              <w:ind w:left="142" w:hanging="142"/>
              <w:rPr>
                <w:rFonts w:cs="Open Sans Light"/>
                <w:sz w:val="16"/>
                <w:szCs w:val="16"/>
              </w:rPr>
            </w:pPr>
            <w:r>
              <w:rPr>
                <w:rFonts w:cs="Open Sans Light"/>
                <w:sz w:val="16"/>
                <w:szCs w:val="16"/>
              </w:rPr>
              <w:t>Stamp duty on conveyances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B4D4818" w14:textId="77777777" w:rsidR="003A22B8" w:rsidRDefault="003A22B8" w:rsidP="004D65FE">
            <w:pPr>
              <w:keepNext/>
              <w:keepLines/>
              <w:spacing w:before="0"/>
              <w:jc w:val="right"/>
              <w:rPr>
                <w:rFonts w:cs="Open Sans Light"/>
                <w:sz w:val="16"/>
                <w:szCs w:val="16"/>
              </w:rPr>
            </w:pPr>
            <w:r>
              <w:rPr>
                <w:rFonts w:cs="Open Sans Light"/>
                <w:sz w:val="16"/>
                <w:szCs w:val="16"/>
              </w:rPr>
              <w:t>-147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ED3B755" w14:textId="77777777" w:rsidR="003A22B8" w:rsidRDefault="003A22B8" w:rsidP="004D65FE">
            <w:pPr>
              <w:keepNext/>
              <w:keepLines/>
              <w:spacing w:before="0"/>
              <w:jc w:val="right"/>
              <w:rPr>
                <w:rFonts w:cs="Open Sans Light"/>
                <w:sz w:val="16"/>
                <w:szCs w:val="16"/>
              </w:rPr>
            </w:pPr>
            <w:r>
              <w:rPr>
                <w:rFonts w:cs="Open Sans Light"/>
                <w:sz w:val="16"/>
                <w:szCs w:val="16"/>
              </w:rPr>
              <w:t>-116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B2D0008" w14:textId="77777777" w:rsidR="003A22B8" w:rsidRDefault="003A22B8" w:rsidP="004D65FE">
            <w:pPr>
              <w:keepNext/>
              <w:keepLines/>
              <w:spacing w:before="0"/>
              <w:jc w:val="right"/>
              <w:rPr>
                <w:rFonts w:cs="Open Sans Light"/>
                <w:sz w:val="16"/>
                <w:szCs w:val="16"/>
              </w:rPr>
            </w:pPr>
            <w:r>
              <w:rPr>
                <w:rFonts w:cs="Open Sans Light"/>
                <w:sz w:val="16"/>
                <w:szCs w:val="16"/>
              </w:rPr>
              <w:t>133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867300A" w14:textId="77777777" w:rsidR="003A22B8" w:rsidRDefault="003A22B8" w:rsidP="004D65FE">
            <w:pPr>
              <w:keepNext/>
              <w:keepLines/>
              <w:spacing w:before="0"/>
              <w:jc w:val="right"/>
              <w:rPr>
                <w:rFonts w:cs="Open Sans Light"/>
                <w:sz w:val="16"/>
                <w:szCs w:val="16"/>
              </w:rPr>
            </w:pPr>
            <w:r>
              <w:rPr>
                <w:rFonts w:cs="Open Sans Light"/>
                <w:sz w:val="16"/>
                <w:szCs w:val="16"/>
              </w:rPr>
              <w:t>250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9AAB04B" w14:textId="77777777" w:rsidR="003A22B8" w:rsidRDefault="003A22B8" w:rsidP="004D65FE">
            <w:pPr>
              <w:keepNext/>
              <w:keepLines/>
              <w:spacing w:before="0"/>
              <w:jc w:val="right"/>
              <w:rPr>
                <w:rFonts w:cs="Open Sans Light"/>
                <w:sz w:val="16"/>
                <w:szCs w:val="16"/>
              </w:rPr>
            </w:pPr>
            <w:r>
              <w:rPr>
                <w:rFonts w:cs="Open Sans Light"/>
                <w:sz w:val="16"/>
                <w:szCs w:val="16"/>
              </w:rPr>
              <w:t>264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43A2415" w14:textId="77777777" w:rsidR="003A22B8" w:rsidRDefault="003A22B8" w:rsidP="004D65FE">
            <w:pPr>
              <w:keepNext/>
              <w:keepLines/>
              <w:spacing w:before="0"/>
              <w:jc w:val="right"/>
              <w:rPr>
                <w:rFonts w:cs="Open Sans Light"/>
                <w:sz w:val="16"/>
                <w:szCs w:val="16"/>
              </w:rPr>
            </w:pPr>
            <w:r>
              <w:rPr>
                <w:rFonts w:cs="Open Sans Light"/>
                <w:sz w:val="16"/>
                <w:szCs w:val="16"/>
              </w:rPr>
              <w:t>290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587169D" w14:textId="77777777" w:rsidR="003A22B8" w:rsidRDefault="003A22B8" w:rsidP="004D65FE">
            <w:pPr>
              <w:keepNext/>
              <w:keepLines/>
              <w:spacing w:before="0"/>
              <w:jc w:val="right"/>
              <w:rPr>
                <w:rFonts w:cs="Open Sans Light"/>
                <w:sz w:val="16"/>
                <w:szCs w:val="16"/>
              </w:rPr>
            </w:pPr>
            <w:r>
              <w:rPr>
                <w:rFonts w:cs="Open Sans Light"/>
                <w:sz w:val="16"/>
                <w:szCs w:val="16"/>
              </w:rPr>
              <w:t>-44</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A7B6ED6" w14:textId="77777777" w:rsidR="003A22B8" w:rsidRDefault="003A22B8" w:rsidP="004D65FE">
            <w:pPr>
              <w:keepNext/>
              <w:keepLines/>
              <w:spacing w:before="0"/>
              <w:jc w:val="right"/>
              <w:rPr>
                <w:rFonts w:cs="Open Sans Light"/>
                <w:sz w:val="16"/>
                <w:szCs w:val="16"/>
              </w:rPr>
            </w:pPr>
            <w:r>
              <w:rPr>
                <w:rFonts w:cs="Open Sans Light"/>
                <w:sz w:val="16"/>
                <w:szCs w:val="16"/>
              </w:rPr>
              <w:t>113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C57CD81"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6E559627"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DD3D12A" w14:textId="77777777" w:rsidR="003A22B8" w:rsidRDefault="003A22B8" w:rsidP="004D65FE">
            <w:pPr>
              <w:keepNext/>
              <w:keepLines/>
              <w:spacing w:before="0"/>
              <w:ind w:left="142" w:hanging="142"/>
              <w:rPr>
                <w:rFonts w:cs="Open Sans Light"/>
                <w:sz w:val="16"/>
                <w:szCs w:val="16"/>
              </w:rPr>
            </w:pPr>
            <w:r>
              <w:rPr>
                <w:rFonts w:cs="Open Sans Light"/>
                <w:sz w:val="16"/>
                <w:szCs w:val="16"/>
              </w:rPr>
              <w:t>Insurance tax</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20C152B" w14:textId="77777777" w:rsidR="003A22B8" w:rsidRDefault="003A22B8" w:rsidP="004D65FE">
            <w:pPr>
              <w:keepNext/>
              <w:keepLines/>
              <w:spacing w:before="0"/>
              <w:jc w:val="right"/>
              <w:rPr>
                <w:rFonts w:cs="Open Sans Light"/>
                <w:sz w:val="16"/>
                <w:szCs w:val="16"/>
              </w:rPr>
            </w:pPr>
            <w:r>
              <w:rPr>
                <w:rFonts w:cs="Open Sans Light"/>
                <w:sz w:val="16"/>
                <w:szCs w:val="16"/>
              </w:rPr>
              <w:t>-16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494F574" w14:textId="77777777" w:rsidR="003A22B8" w:rsidRDefault="003A22B8" w:rsidP="004D65FE">
            <w:pPr>
              <w:keepNext/>
              <w:keepLines/>
              <w:spacing w:before="0"/>
              <w:jc w:val="right"/>
              <w:rPr>
                <w:rFonts w:cs="Open Sans Light"/>
                <w:sz w:val="16"/>
                <w:szCs w:val="16"/>
              </w:rPr>
            </w:pPr>
            <w:r>
              <w:rPr>
                <w:rFonts w:cs="Open Sans Light"/>
                <w:sz w:val="16"/>
                <w:szCs w:val="16"/>
              </w:rPr>
              <w:t>15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1992D05" w14:textId="77777777" w:rsidR="003A22B8" w:rsidRDefault="003A22B8" w:rsidP="004D65FE">
            <w:pPr>
              <w:keepNext/>
              <w:keepLines/>
              <w:spacing w:before="0"/>
              <w:jc w:val="right"/>
              <w:rPr>
                <w:rFonts w:cs="Open Sans Light"/>
                <w:sz w:val="16"/>
                <w:szCs w:val="16"/>
              </w:rPr>
            </w:pPr>
            <w:r>
              <w:rPr>
                <w:rFonts w:cs="Open Sans Light"/>
                <w:sz w:val="16"/>
                <w:szCs w:val="16"/>
              </w:rPr>
              <w:t>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60F666" w14:textId="77777777" w:rsidR="003A22B8" w:rsidRDefault="003A22B8" w:rsidP="004D65FE">
            <w:pPr>
              <w:keepNext/>
              <w:keepLines/>
              <w:spacing w:before="0"/>
              <w:jc w:val="right"/>
              <w:rPr>
                <w:rFonts w:cs="Open Sans Light"/>
                <w:sz w:val="16"/>
                <w:szCs w:val="16"/>
              </w:rPr>
            </w:pPr>
            <w:r>
              <w:rPr>
                <w:rFonts w:cs="Open Sans Light"/>
                <w:sz w:val="16"/>
                <w:szCs w:val="16"/>
              </w:rPr>
              <w:t>10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ED9A23D" w14:textId="77777777" w:rsidR="003A22B8" w:rsidRDefault="003A22B8" w:rsidP="004D65FE">
            <w:pPr>
              <w:keepNext/>
              <w:keepLines/>
              <w:spacing w:before="0"/>
              <w:jc w:val="right"/>
              <w:rPr>
                <w:rFonts w:cs="Open Sans Light"/>
                <w:sz w:val="16"/>
                <w:szCs w:val="16"/>
              </w:rPr>
            </w:pPr>
            <w:r>
              <w:rPr>
                <w:rFonts w:cs="Open Sans Light"/>
                <w:sz w:val="16"/>
                <w:szCs w:val="16"/>
              </w:rPr>
              <w:t>-37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E31C950" w14:textId="77777777" w:rsidR="003A22B8" w:rsidRDefault="003A22B8" w:rsidP="004D65FE">
            <w:pPr>
              <w:keepNext/>
              <w:keepLines/>
              <w:spacing w:before="0"/>
              <w:jc w:val="right"/>
              <w:rPr>
                <w:rFonts w:cs="Open Sans Light"/>
                <w:sz w:val="16"/>
                <w:szCs w:val="16"/>
              </w:rPr>
            </w:pPr>
            <w:r>
              <w:rPr>
                <w:rFonts w:cs="Open Sans Light"/>
                <w:sz w:val="16"/>
                <w:szCs w:val="16"/>
              </w:rPr>
              <w:t>44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704E306" w14:textId="77777777" w:rsidR="003A22B8" w:rsidRDefault="003A22B8" w:rsidP="004D65FE">
            <w:pPr>
              <w:keepNext/>
              <w:keepLines/>
              <w:spacing w:before="0"/>
              <w:jc w:val="right"/>
              <w:rPr>
                <w:rFonts w:cs="Open Sans Light"/>
                <w:sz w:val="16"/>
                <w:szCs w:val="16"/>
              </w:rPr>
            </w:pPr>
            <w:r>
              <w:rPr>
                <w:rFonts w:cs="Open Sans Light"/>
                <w:sz w:val="16"/>
                <w:szCs w:val="16"/>
              </w:rPr>
              <w:t>30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1861274" w14:textId="77777777" w:rsidR="003A22B8" w:rsidRDefault="003A22B8" w:rsidP="004D65FE">
            <w:pPr>
              <w:keepNext/>
              <w:keepLines/>
              <w:spacing w:before="0"/>
              <w:jc w:val="right"/>
              <w:rPr>
                <w:rFonts w:cs="Open Sans Light"/>
                <w:sz w:val="16"/>
                <w:szCs w:val="16"/>
              </w:rPr>
            </w:pPr>
            <w:r>
              <w:rPr>
                <w:rFonts w:cs="Open Sans Light"/>
                <w:sz w:val="16"/>
                <w:szCs w:val="16"/>
              </w:rPr>
              <w:t>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F7ECB99"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6A52DF11"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46E53D2" w14:textId="77777777" w:rsidR="003A22B8" w:rsidRDefault="003A22B8" w:rsidP="004D65FE">
            <w:pPr>
              <w:keepNext/>
              <w:keepLines/>
              <w:spacing w:before="0"/>
              <w:ind w:left="142" w:hanging="142"/>
              <w:rPr>
                <w:rFonts w:cs="Open Sans Light"/>
                <w:sz w:val="16"/>
                <w:szCs w:val="16"/>
              </w:rPr>
            </w:pPr>
            <w:r>
              <w:rPr>
                <w:rFonts w:cs="Open Sans Light"/>
                <w:sz w:val="16"/>
                <w:szCs w:val="16"/>
              </w:rPr>
              <w:t>Motor taxes</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79290A7" w14:textId="77777777" w:rsidR="003A22B8" w:rsidRDefault="003A22B8" w:rsidP="004D65FE">
            <w:pPr>
              <w:keepNext/>
              <w:keepLines/>
              <w:spacing w:before="0"/>
              <w:jc w:val="right"/>
              <w:rPr>
                <w:rFonts w:cs="Open Sans Light"/>
                <w:sz w:val="16"/>
                <w:szCs w:val="16"/>
              </w:rPr>
            </w:pPr>
            <w:r>
              <w:rPr>
                <w:rFonts w:cs="Open Sans Light"/>
                <w:sz w:val="16"/>
                <w:szCs w:val="16"/>
              </w:rPr>
              <w:t>30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CC4500D" w14:textId="77777777" w:rsidR="003A22B8" w:rsidRDefault="003A22B8" w:rsidP="004D65FE">
            <w:pPr>
              <w:keepNext/>
              <w:keepLines/>
              <w:spacing w:before="0"/>
              <w:jc w:val="right"/>
              <w:rPr>
                <w:rFonts w:cs="Open Sans Light"/>
                <w:sz w:val="16"/>
                <w:szCs w:val="16"/>
              </w:rPr>
            </w:pPr>
            <w:r>
              <w:rPr>
                <w:rFonts w:cs="Open Sans Light"/>
                <w:sz w:val="16"/>
                <w:szCs w:val="16"/>
              </w:rPr>
              <w:t>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23FE674" w14:textId="77777777" w:rsidR="003A22B8" w:rsidRDefault="003A22B8" w:rsidP="004D65FE">
            <w:pPr>
              <w:keepNext/>
              <w:keepLines/>
              <w:spacing w:before="0"/>
              <w:jc w:val="right"/>
              <w:rPr>
                <w:rFonts w:cs="Open Sans Light"/>
                <w:sz w:val="16"/>
                <w:szCs w:val="16"/>
              </w:rPr>
            </w:pPr>
            <w:r>
              <w:rPr>
                <w:rFonts w:cs="Open Sans Light"/>
                <w:sz w:val="16"/>
                <w:szCs w:val="16"/>
              </w:rPr>
              <w:t>-16</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78C0EB" w14:textId="77777777" w:rsidR="003A22B8" w:rsidRDefault="003A22B8" w:rsidP="004D65FE">
            <w:pPr>
              <w:keepNext/>
              <w:keepLines/>
              <w:spacing w:before="0"/>
              <w:jc w:val="right"/>
              <w:rPr>
                <w:rFonts w:cs="Open Sans Light"/>
                <w:sz w:val="16"/>
                <w:szCs w:val="16"/>
              </w:rPr>
            </w:pPr>
            <w:r>
              <w:rPr>
                <w:rFonts w:cs="Open Sans Light"/>
                <w:sz w:val="16"/>
                <w:szCs w:val="16"/>
              </w:rPr>
              <w:t>-49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B8DA382" w14:textId="77777777" w:rsidR="003A22B8" w:rsidRDefault="003A22B8" w:rsidP="004D65FE">
            <w:pPr>
              <w:keepNext/>
              <w:keepLines/>
              <w:spacing w:before="0"/>
              <w:jc w:val="right"/>
              <w:rPr>
                <w:rFonts w:cs="Open Sans Light"/>
                <w:sz w:val="16"/>
                <w:szCs w:val="16"/>
              </w:rPr>
            </w:pPr>
            <w:r>
              <w:rPr>
                <w:rFonts w:cs="Open Sans Light"/>
                <w:sz w:val="16"/>
                <w:szCs w:val="16"/>
              </w:rPr>
              <w:t>-19</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C6652E" w14:textId="77777777" w:rsidR="003A22B8" w:rsidRDefault="003A22B8" w:rsidP="004D65FE">
            <w:pPr>
              <w:keepNext/>
              <w:keepLines/>
              <w:spacing w:before="0"/>
              <w:jc w:val="right"/>
              <w:rPr>
                <w:rFonts w:cs="Open Sans Light"/>
                <w:sz w:val="16"/>
                <w:szCs w:val="16"/>
              </w:rPr>
            </w:pPr>
            <w:r>
              <w:rPr>
                <w:rFonts w:cs="Open Sans Light"/>
                <w:sz w:val="16"/>
                <w:szCs w:val="16"/>
              </w:rPr>
              <w:t>-62</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D245CF9" w14:textId="77777777" w:rsidR="003A22B8" w:rsidRDefault="003A22B8" w:rsidP="004D65FE">
            <w:pPr>
              <w:keepNext/>
              <w:keepLines/>
              <w:spacing w:before="0"/>
              <w:jc w:val="right"/>
              <w:rPr>
                <w:rFonts w:cs="Open Sans Light"/>
                <w:sz w:val="16"/>
                <w:szCs w:val="16"/>
              </w:rPr>
            </w:pPr>
            <w:r>
              <w:rPr>
                <w:rFonts w:cs="Open Sans Light"/>
                <w:sz w:val="16"/>
                <w:szCs w:val="16"/>
              </w:rPr>
              <w:t>50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70F65F8" w14:textId="77777777" w:rsidR="003A22B8" w:rsidRDefault="003A22B8" w:rsidP="004D65FE">
            <w:pPr>
              <w:keepNext/>
              <w:keepLines/>
              <w:spacing w:before="0"/>
              <w:jc w:val="right"/>
              <w:rPr>
                <w:rFonts w:cs="Open Sans Light"/>
                <w:sz w:val="16"/>
                <w:szCs w:val="16"/>
              </w:rPr>
            </w:pPr>
            <w:r>
              <w:rPr>
                <w:rFonts w:cs="Open Sans Light"/>
                <w:sz w:val="16"/>
                <w:szCs w:val="16"/>
              </w:rPr>
              <w:t>28</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4C7A6B3"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23AC16BB"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844784E" w14:textId="77777777" w:rsidR="003A22B8" w:rsidRDefault="003A22B8" w:rsidP="004D65FE">
            <w:pPr>
              <w:keepNext/>
              <w:keepLines/>
              <w:spacing w:before="0"/>
              <w:ind w:left="142" w:hanging="142"/>
              <w:rPr>
                <w:rFonts w:cs="Open Sans Light"/>
                <w:sz w:val="16"/>
                <w:szCs w:val="16"/>
              </w:rPr>
            </w:pPr>
            <w:r>
              <w:rPr>
                <w:rFonts w:cs="Open Sans Light"/>
                <w:sz w:val="16"/>
                <w:szCs w:val="16"/>
              </w:rPr>
              <w:t>Mining revenue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5C7F5BE" w14:textId="77777777" w:rsidR="003A22B8" w:rsidRDefault="003A22B8" w:rsidP="004D65FE">
            <w:pPr>
              <w:keepNext/>
              <w:keepLines/>
              <w:spacing w:before="0"/>
              <w:jc w:val="right"/>
              <w:rPr>
                <w:rFonts w:cs="Open Sans Light"/>
                <w:sz w:val="16"/>
                <w:szCs w:val="16"/>
              </w:rPr>
            </w:pPr>
            <w:r>
              <w:rPr>
                <w:rFonts w:cs="Open Sans Light"/>
                <w:sz w:val="16"/>
                <w:szCs w:val="16"/>
              </w:rPr>
              <w:t>325</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2B56B6" w14:textId="77777777" w:rsidR="003A22B8" w:rsidRDefault="003A22B8" w:rsidP="004D65FE">
            <w:pPr>
              <w:keepNext/>
              <w:keepLines/>
              <w:spacing w:before="0"/>
              <w:jc w:val="right"/>
              <w:rPr>
                <w:rFonts w:cs="Open Sans Light"/>
                <w:sz w:val="16"/>
                <w:szCs w:val="16"/>
              </w:rPr>
            </w:pPr>
            <w:r>
              <w:rPr>
                <w:rFonts w:cs="Open Sans Light"/>
                <w:sz w:val="16"/>
                <w:szCs w:val="16"/>
              </w:rPr>
              <w:t>584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AA520B" w14:textId="77777777" w:rsidR="003A22B8" w:rsidRDefault="003A22B8" w:rsidP="004D65FE">
            <w:pPr>
              <w:keepNext/>
              <w:keepLines/>
              <w:spacing w:before="0"/>
              <w:jc w:val="right"/>
              <w:rPr>
                <w:rFonts w:cs="Open Sans Light"/>
                <w:sz w:val="16"/>
                <w:szCs w:val="16"/>
              </w:rPr>
            </w:pPr>
            <w:r>
              <w:rPr>
                <w:rFonts w:cs="Open Sans Light"/>
                <w:sz w:val="16"/>
                <w:szCs w:val="16"/>
              </w:rPr>
              <w:t>-354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11A463D" w14:textId="77777777" w:rsidR="003A22B8" w:rsidRDefault="003A22B8" w:rsidP="004D65FE">
            <w:pPr>
              <w:keepNext/>
              <w:keepLines/>
              <w:spacing w:before="0"/>
              <w:jc w:val="right"/>
              <w:rPr>
                <w:rFonts w:cs="Open Sans Light"/>
                <w:sz w:val="16"/>
                <w:szCs w:val="16"/>
              </w:rPr>
            </w:pPr>
            <w:r>
              <w:rPr>
                <w:rFonts w:cs="Open Sans Light"/>
                <w:sz w:val="16"/>
                <w:szCs w:val="16"/>
              </w:rPr>
              <w:t>-2,227</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8056E9F" w14:textId="77777777" w:rsidR="003A22B8" w:rsidRDefault="003A22B8" w:rsidP="004D65FE">
            <w:pPr>
              <w:keepNext/>
              <w:keepLines/>
              <w:spacing w:before="0"/>
              <w:jc w:val="right"/>
              <w:rPr>
                <w:rFonts w:cs="Open Sans Light"/>
                <w:sz w:val="16"/>
                <w:szCs w:val="16"/>
              </w:rPr>
            </w:pPr>
            <w:r>
              <w:rPr>
                <w:rFonts w:cs="Open Sans Light"/>
                <w:sz w:val="16"/>
                <w:szCs w:val="16"/>
              </w:rPr>
              <w:t>421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371A925" w14:textId="77777777" w:rsidR="003A22B8" w:rsidRDefault="003A22B8" w:rsidP="004D65FE">
            <w:pPr>
              <w:keepNext/>
              <w:keepLines/>
              <w:spacing w:before="0"/>
              <w:jc w:val="right"/>
              <w:rPr>
                <w:rFonts w:cs="Open Sans Light"/>
                <w:sz w:val="16"/>
                <w:szCs w:val="16"/>
              </w:rPr>
            </w:pPr>
            <w:r>
              <w:rPr>
                <w:rFonts w:cs="Open Sans Light"/>
                <w:sz w:val="16"/>
                <w:szCs w:val="16"/>
              </w:rPr>
              <w:t>481</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A72D30D" w14:textId="77777777" w:rsidR="003A22B8" w:rsidRDefault="003A22B8" w:rsidP="004D65FE">
            <w:pPr>
              <w:keepNext/>
              <w:keepLines/>
              <w:spacing w:before="0"/>
              <w:jc w:val="right"/>
              <w:rPr>
                <w:rFonts w:cs="Open Sans Light"/>
                <w:sz w:val="16"/>
                <w:szCs w:val="16"/>
              </w:rPr>
            </w:pPr>
            <w:r>
              <w:rPr>
                <w:rFonts w:cs="Open Sans Light"/>
                <w:sz w:val="16"/>
                <w:szCs w:val="16"/>
              </w:rPr>
              <w:t>616</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174EB2" w14:textId="77777777" w:rsidR="003A22B8" w:rsidRDefault="003A22B8" w:rsidP="004D65FE">
            <w:pPr>
              <w:keepNext/>
              <w:keepLines/>
              <w:spacing w:before="0"/>
              <w:jc w:val="right"/>
              <w:rPr>
                <w:rFonts w:cs="Open Sans Light"/>
                <w:sz w:val="16"/>
                <w:szCs w:val="16"/>
              </w:rPr>
            </w:pPr>
            <w:r>
              <w:rPr>
                <w:rFonts w:cs="Open Sans Light"/>
                <w:sz w:val="16"/>
                <w:szCs w:val="16"/>
              </w:rPr>
              <w:t>-354</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332EC9E"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22C1C609"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BF0D9A7" w14:textId="77777777" w:rsidR="003A22B8" w:rsidRDefault="003A22B8" w:rsidP="004D65FE">
            <w:pPr>
              <w:keepNext/>
              <w:keepLines/>
              <w:spacing w:before="0"/>
              <w:ind w:left="142" w:hanging="142"/>
              <w:rPr>
                <w:rFonts w:cs="Open Sans Light"/>
                <w:sz w:val="16"/>
                <w:szCs w:val="16"/>
              </w:rPr>
            </w:pPr>
            <w:r>
              <w:rPr>
                <w:rFonts w:cs="Open Sans Light"/>
                <w:sz w:val="16"/>
                <w:szCs w:val="16"/>
              </w:rPr>
              <w:t>Other revenue</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1DAADB8"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D471B59"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BF10551"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865D90F"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644C5D4"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7662463"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48EEA04"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82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9B4858E" w14:textId="77777777" w:rsidR="003A22B8" w:rsidRDefault="003A22B8" w:rsidP="004D65FE">
            <w:pPr>
              <w:keepNext/>
              <w:keepLines/>
              <w:spacing w:before="0"/>
              <w:jc w:val="right"/>
              <w:rPr>
                <w:rFonts w:cs="Open Sans Light"/>
                <w:sz w:val="16"/>
                <w:szCs w:val="16"/>
              </w:rPr>
            </w:pPr>
            <w:r>
              <w:rPr>
                <w:rFonts w:cs="Open Sans Light"/>
                <w:sz w:val="16"/>
                <w:szCs w:val="16"/>
              </w:rPr>
              <w:t>0</w:t>
            </w:r>
          </w:p>
        </w:tc>
        <w:tc>
          <w:tcPr>
            <w:tcW w:w="7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D7453DA"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5E33425A"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ED71A36"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Assessed revenue</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D158CB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-21</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EC52A1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427</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CEBAE3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32</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888086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-2,200</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5B6C0F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1,084</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F14A48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1,393</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5F7E99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923</w:t>
            </w:r>
          </w:p>
        </w:tc>
        <w:tc>
          <w:tcPr>
            <w:tcW w:w="82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2C921F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-279</w:t>
            </w:r>
          </w:p>
        </w:tc>
        <w:tc>
          <w:tcPr>
            <w:tcW w:w="7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927FD7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w:t>
            </w:r>
          </w:p>
        </w:tc>
      </w:tr>
    </w:tbl>
    <w:p w14:paraId="6F855028" w14:textId="77777777" w:rsidR="003A22B8" w:rsidRDefault="003A22B8" w:rsidP="003A22B8">
      <w:pPr>
        <w:pStyle w:val="CGCTablenote"/>
      </w:pPr>
      <w:r>
        <w:t xml:space="preserve">Source: </w:t>
      </w:r>
      <w:r>
        <w:tab/>
        <w:t>CGC calculation.</w:t>
      </w:r>
    </w:p>
    <w:p w14:paraId="68610A16" w14:textId="4B76E126" w:rsidR="003A22B8" w:rsidRDefault="003A22B8" w:rsidP="003A22B8">
      <w:pPr>
        <w:pStyle w:val="Caption"/>
      </w:pPr>
      <w:bookmarkStart w:id="659" w:name="_Ref30434280"/>
      <w:r>
        <w:t>Table 30-</w:t>
      </w:r>
      <w:fldSimple w:instr=" SEQ Table \* ARABIC ">
        <w:r w:rsidR="007F721A">
          <w:rPr>
            <w:noProof/>
          </w:rPr>
          <w:t>18</w:t>
        </w:r>
      </w:fldSimple>
      <w:bookmarkEnd w:id="659"/>
      <w:r>
        <w:rPr>
          <w:noProof/>
        </w:rPr>
        <w:tab/>
      </w:r>
      <w:r>
        <w:t>Per capita relativities, alternative presentation, 2018-19</w:t>
      </w:r>
    </w:p>
    <w:tbl>
      <w:tblPr>
        <w:tblW w:w="8920" w:type="dxa"/>
        <w:tblLayout w:type="fixed"/>
        <w:tblCellMar>
          <w:left w:w="0" w:type="dxa"/>
          <w:right w:w="0" w:type="dxa"/>
        </w:tblCellMar>
        <w:tblLook w:val="04A0" w:firstRow="1" w:lastRow="0" w:firstColumn="1" w:lastColumn="0" w:noHBand="0" w:noVBand="1"/>
      </w:tblPr>
      <w:tblGrid>
        <w:gridCol w:w="2500"/>
        <w:gridCol w:w="700"/>
        <w:gridCol w:w="700"/>
        <w:gridCol w:w="700"/>
        <w:gridCol w:w="700"/>
        <w:gridCol w:w="700"/>
        <w:gridCol w:w="700"/>
        <w:gridCol w:w="700"/>
        <w:gridCol w:w="820"/>
        <w:gridCol w:w="700"/>
      </w:tblGrid>
      <w:tr w:rsidR="003A22B8" w14:paraId="08F04FDD" w14:textId="77777777" w:rsidTr="004D65FE">
        <w:trPr>
          <w:trHeight w:val="340"/>
        </w:trPr>
        <w:tc>
          <w:tcPr>
            <w:tcW w:w="25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DCCDC0F" w14:textId="77777777" w:rsidR="003A22B8" w:rsidRDefault="003A22B8" w:rsidP="004D65FE">
            <w:pPr>
              <w:keepNext/>
              <w:keepLines/>
              <w:tabs>
                <w:tab w:val="clear" w:pos="567"/>
              </w:tab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7232521"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A546297"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2572182"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3AD4C3A"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A51F1F0"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24BB45C0"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F6FAE1E"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82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A7786C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7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67B080B"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7D4D7191" w14:textId="77777777" w:rsidTr="002943B4">
        <w:trPr>
          <w:trHeight w:val="255"/>
        </w:trPr>
        <w:tc>
          <w:tcPr>
            <w:tcW w:w="25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063477CD"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 </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5E4B4E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1FC31E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312F85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9CD9C1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FE8DAB7"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31B9492"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41F62B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82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31A800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c>
          <w:tcPr>
            <w:tcW w:w="7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AAEC1C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$pc</w:t>
            </w:r>
          </w:p>
        </w:tc>
      </w:tr>
      <w:tr w:rsidR="003A22B8" w14:paraId="3F0E6646"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F0ACC4D" w14:textId="77777777" w:rsidR="003A22B8" w:rsidRDefault="003A22B8" w:rsidP="004D65FE">
            <w:pPr>
              <w:keepNext/>
              <w:keepLines/>
              <w:spacing w:before="0"/>
              <w:ind w:left="142" w:hanging="142"/>
              <w:rPr>
                <w:rFonts w:cs="Open Sans Light"/>
                <w:sz w:val="16"/>
                <w:szCs w:val="16"/>
              </w:rPr>
            </w:pPr>
            <w:r>
              <w:rPr>
                <w:rFonts w:cs="Open Sans Light"/>
                <w:sz w:val="16"/>
                <w:szCs w:val="16"/>
              </w:rPr>
              <w:t>Average GST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C4C6CED" w14:textId="77777777" w:rsidR="003A22B8" w:rsidRDefault="003A22B8" w:rsidP="004D65FE">
            <w:pPr>
              <w:keepNext/>
              <w:keepLines/>
              <w:spacing w:before="0"/>
              <w:jc w:val="right"/>
              <w:rPr>
                <w:rFonts w:cs="Open Sans Light"/>
                <w:sz w:val="16"/>
                <w:szCs w:val="16"/>
              </w:rPr>
            </w:pPr>
            <w:r>
              <w:rPr>
                <w:rFonts w:cs="Open Sans Light"/>
                <w:sz w:val="16"/>
                <w:szCs w:val="16"/>
              </w:rPr>
              <w:t>2,589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AFBC0D4" w14:textId="77777777" w:rsidR="003A22B8" w:rsidRDefault="003A22B8" w:rsidP="004D65FE">
            <w:pPr>
              <w:keepNext/>
              <w:keepLines/>
              <w:spacing w:before="0"/>
              <w:jc w:val="right"/>
              <w:rPr>
                <w:rFonts w:cs="Open Sans Light"/>
                <w:sz w:val="16"/>
                <w:szCs w:val="16"/>
              </w:rPr>
            </w:pPr>
            <w:r>
              <w:rPr>
                <w:rFonts w:cs="Open Sans Light"/>
                <w:sz w:val="16"/>
                <w:szCs w:val="16"/>
              </w:rPr>
              <w:t>2,589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7213AE4" w14:textId="77777777" w:rsidR="003A22B8" w:rsidRDefault="003A22B8" w:rsidP="004D65FE">
            <w:pPr>
              <w:keepNext/>
              <w:keepLines/>
              <w:spacing w:before="0"/>
              <w:jc w:val="right"/>
              <w:rPr>
                <w:rFonts w:cs="Open Sans Light"/>
                <w:sz w:val="16"/>
                <w:szCs w:val="16"/>
              </w:rPr>
            </w:pPr>
            <w:r>
              <w:rPr>
                <w:rFonts w:cs="Open Sans Light"/>
                <w:sz w:val="16"/>
                <w:szCs w:val="16"/>
              </w:rPr>
              <w:t>2,589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0DD074E" w14:textId="77777777" w:rsidR="003A22B8" w:rsidRDefault="003A22B8" w:rsidP="004D65FE">
            <w:pPr>
              <w:keepNext/>
              <w:keepLines/>
              <w:spacing w:before="0"/>
              <w:jc w:val="right"/>
              <w:rPr>
                <w:rFonts w:cs="Open Sans Light"/>
                <w:sz w:val="16"/>
                <w:szCs w:val="16"/>
              </w:rPr>
            </w:pPr>
            <w:r>
              <w:rPr>
                <w:rFonts w:cs="Open Sans Light"/>
                <w:sz w:val="16"/>
                <w:szCs w:val="16"/>
              </w:rPr>
              <w:t>2,589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A6E2A4F" w14:textId="77777777" w:rsidR="003A22B8" w:rsidRDefault="003A22B8" w:rsidP="004D65FE">
            <w:pPr>
              <w:keepNext/>
              <w:keepLines/>
              <w:spacing w:before="0"/>
              <w:jc w:val="right"/>
              <w:rPr>
                <w:rFonts w:cs="Open Sans Light"/>
                <w:sz w:val="16"/>
                <w:szCs w:val="16"/>
              </w:rPr>
            </w:pPr>
            <w:r>
              <w:rPr>
                <w:rFonts w:cs="Open Sans Light"/>
                <w:sz w:val="16"/>
                <w:szCs w:val="16"/>
              </w:rPr>
              <w:t>2,589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F59CC8E" w14:textId="77777777" w:rsidR="003A22B8" w:rsidRDefault="003A22B8" w:rsidP="004D65FE">
            <w:pPr>
              <w:keepNext/>
              <w:keepLines/>
              <w:spacing w:before="0"/>
              <w:jc w:val="right"/>
              <w:rPr>
                <w:rFonts w:cs="Open Sans Light"/>
                <w:sz w:val="16"/>
                <w:szCs w:val="16"/>
              </w:rPr>
            </w:pPr>
            <w:r>
              <w:rPr>
                <w:rFonts w:cs="Open Sans Light"/>
                <w:sz w:val="16"/>
                <w:szCs w:val="16"/>
              </w:rPr>
              <w:t>2,589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3090B60" w14:textId="77777777" w:rsidR="003A22B8" w:rsidRDefault="003A22B8" w:rsidP="004D65FE">
            <w:pPr>
              <w:keepNext/>
              <w:keepLines/>
              <w:spacing w:before="0"/>
              <w:jc w:val="right"/>
              <w:rPr>
                <w:rFonts w:cs="Open Sans Light"/>
                <w:sz w:val="16"/>
                <w:szCs w:val="16"/>
              </w:rPr>
            </w:pPr>
            <w:r>
              <w:rPr>
                <w:rFonts w:cs="Open Sans Light"/>
                <w:sz w:val="16"/>
                <w:szCs w:val="16"/>
              </w:rPr>
              <w:t>2,589</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D0626AA" w14:textId="77777777" w:rsidR="003A22B8" w:rsidRDefault="003A22B8" w:rsidP="004D65FE">
            <w:pPr>
              <w:keepNext/>
              <w:keepLines/>
              <w:spacing w:before="0"/>
              <w:jc w:val="right"/>
              <w:rPr>
                <w:rFonts w:cs="Open Sans Light"/>
                <w:sz w:val="16"/>
                <w:szCs w:val="16"/>
              </w:rPr>
            </w:pPr>
            <w:r>
              <w:rPr>
                <w:rFonts w:cs="Open Sans Light"/>
                <w:sz w:val="16"/>
                <w:szCs w:val="16"/>
              </w:rPr>
              <w:t>2,589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005F17F" w14:textId="77777777" w:rsidR="003A22B8" w:rsidRDefault="003A22B8" w:rsidP="004D65FE">
            <w:pPr>
              <w:keepNext/>
              <w:keepLines/>
              <w:spacing w:before="0"/>
              <w:jc w:val="right"/>
              <w:rPr>
                <w:rFonts w:cs="Open Sans Light"/>
                <w:sz w:val="16"/>
                <w:szCs w:val="16"/>
              </w:rPr>
            </w:pPr>
            <w:r>
              <w:rPr>
                <w:rFonts w:cs="Open Sans Light"/>
                <w:sz w:val="16"/>
                <w:szCs w:val="16"/>
              </w:rPr>
              <w:t>2,589</w:t>
            </w:r>
          </w:p>
        </w:tc>
      </w:tr>
      <w:tr w:rsidR="003A22B8" w14:paraId="6EFCFF23" w14:textId="77777777" w:rsidTr="004D65FE">
        <w:trPr>
          <w:trHeight w:val="255"/>
        </w:trPr>
        <w:tc>
          <w:tcPr>
            <w:tcW w:w="2500" w:type="dxa"/>
            <w:tcBorders>
              <w:top w:val="nil"/>
              <w:left w:val="nil"/>
              <w:bottom w:val="nil"/>
              <w:right w:val="nil"/>
            </w:tcBorders>
            <w:shd w:val="clear" w:color="auto" w:fill="auto"/>
            <w:noWrap/>
            <w:tcMar>
              <w:top w:w="15" w:type="dxa"/>
              <w:left w:w="15" w:type="dxa"/>
              <w:bottom w:w="0" w:type="dxa"/>
              <w:right w:w="15" w:type="dxa"/>
            </w:tcMar>
            <w:vAlign w:val="bottom"/>
            <w:hideMark/>
          </w:tcPr>
          <w:p w14:paraId="2676717C" w14:textId="77777777" w:rsidR="003A22B8" w:rsidRDefault="003A22B8" w:rsidP="004D65FE">
            <w:pPr>
              <w:keepNext/>
              <w:keepLines/>
              <w:spacing w:before="0"/>
              <w:ind w:left="142" w:hanging="142"/>
              <w:rPr>
                <w:rFonts w:cs="Open Sans Light"/>
                <w:i/>
                <w:iCs/>
                <w:sz w:val="16"/>
                <w:szCs w:val="16"/>
              </w:rPr>
            </w:pPr>
            <w:r>
              <w:rPr>
                <w:rFonts w:cs="Open Sans Light"/>
                <w:i/>
                <w:iCs/>
                <w:sz w:val="16"/>
                <w:szCs w:val="16"/>
              </w:rPr>
              <w:t>plus assessed differences in</w:t>
            </w: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28EC64A9" w14:textId="77777777" w:rsidR="003A22B8" w:rsidRDefault="003A22B8" w:rsidP="004D65FE">
            <w:pPr>
              <w:keepNext/>
              <w:keepLines/>
              <w:spacing w:before="0"/>
              <w:rPr>
                <w:rFonts w:cs="Open Sans Light"/>
                <w:i/>
                <w:iCs/>
                <w:sz w:val="16"/>
                <w:szCs w:val="16"/>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0FDE6D3B"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63112EFF"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2544E02E"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5E58FBA2"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16BA552A"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0561E189" w14:textId="77777777" w:rsidR="003A22B8" w:rsidRDefault="003A22B8" w:rsidP="004D65FE">
            <w:pPr>
              <w:keepNext/>
              <w:keepLines/>
              <w:spacing w:before="0"/>
              <w:jc w:val="right"/>
              <w:rPr>
                <w:szCs w:val="20"/>
              </w:rPr>
            </w:pPr>
          </w:p>
        </w:tc>
        <w:tc>
          <w:tcPr>
            <w:tcW w:w="820" w:type="dxa"/>
            <w:tcBorders>
              <w:top w:val="nil"/>
              <w:left w:val="nil"/>
              <w:bottom w:val="nil"/>
              <w:right w:val="nil"/>
            </w:tcBorders>
            <w:shd w:val="clear" w:color="auto" w:fill="auto"/>
            <w:tcMar>
              <w:top w:w="15" w:type="dxa"/>
              <w:left w:w="15" w:type="dxa"/>
              <w:bottom w:w="0" w:type="dxa"/>
              <w:right w:w="15" w:type="dxa"/>
            </w:tcMar>
            <w:vAlign w:val="bottom"/>
            <w:hideMark/>
          </w:tcPr>
          <w:p w14:paraId="1715FDDE" w14:textId="77777777" w:rsidR="003A22B8" w:rsidRDefault="003A22B8" w:rsidP="004D65FE">
            <w:pPr>
              <w:keepNext/>
              <w:keepLines/>
              <w:spacing w:before="0"/>
              <w:jc w:val="right"/>
              <w:rPr>
                <w:szCs w:val="20"/>
              </w:rPr>
            </w:pPr>
          </w:p>
        </w:tc>
        <w:tc>
          <w:tcPr>
            <w:tcW w:w="700" w:type="dxa"/>
            <w:tcBorders>
              <w:top w:val="nil"/>
              <w:left w:val="nil"/>
              <w:bottom w:val="nil"/>
              <w:right w:val="nil"/>
            </w:tcBorders>
            <w:shd w:val="clear" w:color="auto" w:fill="auto"/>
            <w:tcMar>
              <w:top w:w="15" w:type="dxa"/>
              <w:left w:w="15" w:type="dxa"/>
              <w:bottom w:w="0" w:type="dxa"/>
              <w:right w:w="15" w:type="dxa"/>
            </w:tcMar>
            <w:vAlign w:val="bottom"/>
            <w:hideMark/>
          </w:tcPr>
          <w:p w14:paraId="41B8F0DC" w14:textId="77777777" w:rsidR="003A22B8" w:rsidRDefault="003A22B8" w:rsidP="004D65FE">
            <w:pPr>
              <w:keepNext/>
              <w:keepLines/>
              <w:spacing w:before="0"/>
              <w:jc w:val="right"/>
              <w:rPr>
                <w:szCs w:val="20"/>
              </w:rPr>
            </w:pPr>
          </w:p>
        </w:tc>
      </w:tr>
      <w:tr w:rsidR="003A22B8" w14:paraId="3EFB749C"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AD4CC09" w14:textId="77777777" w:rsidR="003A22B8" w:rsidRDefault="003A22B8" w:rsidP="004D65FE">
            <w:pPr>
              <w:keepNext/>
              <w:keepLines/>
              <w:spacing w:before="0"/>
              <w:ind w:left="142" w:hanging="142"/>
              <w:rPr>
                <w:rFonts w:cs="Open Sans Light"/>
                <w:sz w:val="16"/>
                <w:szCs w:val="16"/>
              </w:rPr>
            </w:pPr>
            <w:r>
              <w:rPr>
                <w:rFonts w:cs="Open Sans Light"/>
                <w:sz w:val="16"/>
                <w:szCs w:val="16"/>
              </w:rPr>
              <w:t>Assessed expenses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0A46BE1" w14:textId="77777777" w:rsidR="003A22B8" w:rsidRDefault="003A22B8" w:rsidP="004D65FE">
            <w:pPr>
              <w:keepNext/>
              <w:keepLines/>
              <w:spacing w:before="0"/>
              <w:jc w:val="right"/>
              <w:rPr>
                <w:rFonts w:cs="Open Sans Light"/>
                <w:sz w:val="16"/>
                <w:szCs w:val="16"/>
              </w:rPr>
            </w:pPr>
            <w:r>
              <w:rPr>
                <w:rFonts w:cs="Open Sans Light"/>
                <w:sz w:val="16"/>
                <w:szCs w:val="16"/>
              </w:rPr>
              <w:t>-135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ECB8542" w14:textId="77777777" w:rsidR="003A22B8" w:rsidRDefault="003A22B8" w:rsidP="004D65FE">
            <w:pPr>
              <w:keepNext/>
              <w:keepLines/>
              <w:spacing w:before="0"/>
              <w:jc w:val="right"/>
              <w:rPr>
                <w:rFonts w:cs="Open Sans Light"/>
                <w:sz w:val="16"/>
                <w:szCs w:val="16"/>
              </w:rPr>
            </w:pPr>
            <w:r>
              <w:rPr>
                <w:rFonts w:cs="Open Sans Light"/>
                <w:sz w:val="16"/>
                <w:szCs w:val="16"/>
              </w:rPr>
              <w:t>-710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0C40BBE" w14:textId="77777777" w:rsidR="003A22B8" w:rsidRDefault="003A22B8" w:rsidP="004D65FE">
            <w:pPr>
              <w:keepNext/>
              <w:keepLines/>
              <w:spacing w:before="0"/>
              <w:jc w:val="right"/>
              <w:rPr>
                <w:rFonts w:cs="Open Sans Light"/>
                <w:sz w:val="16"/>
                <w:szCs w:val="16"/>
              </w:rPr>
            </w:pPr>
            <w:r>
              <w:rPr>
                <w:rFonts w:cs="Open Sans Light"/>
                <w:sz w:val="16"/>
                <w:szCs w:val="16"/>
              </w:rPr>
              <w:t>236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C035EE7" w14:textId="77777777" w:rsidR="003A22B8" w:rsidRDefault="003A22B8" w:rsidP="004D65FE">
            <w:pPr>
              <w:keepNext/>
              <w:keepLines/>
              <w:spacing w:before="0"/>
              <w:jc w:val="right"/>
              <w:rPr>
                <w:rFonts w:cs="Open Sans Light"/>
                <w:sz w:val="16"/>
                <w:szCs w:val="16"/>
              </w:rPr>
            </w:pPr>
            <w:r>
              <w:rPr>
                <w:rFonts w:cs="Open Sans Light"/>
                <w:sz w:val="16"/>
                <w:szCs w:val="16"/>
              </w:rPr>
              <w:t>539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85C8688" w14:textId="77777777" w:rsidR="003A22B8" w:rsidRDefault="003A22B8" w:rsidP="004D65FE">
            <w:pPr>
              <w:keepNext/>
              <w:keepLines/>
              <w:spacing w:before="0"/>
              <w:jc w:val="right"/>
              <w:rPr>
                <w:rFonts w:cs="Open Sans Light"/>
                <w:sz w:val="16"/>
                <w:szCs w:val="16"/>
              </w:rPr>
            </w:pPr>
            <w:r>
              <w:rPr>
                <w:rFonts w:cs="Open Sans Light"/>
                <w:sz w:val="16"/>
                <w:szCs w:val="16"/>
              </w:rPr>
              <w:t>97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0A1D53E" w14:textId="77777777" w:rsidR="003A22B8" w:rsidRDefault="003A22B8" w:rsidP="004D65FE">
            <w:pPr>
              <w:keepNext/>
              <w:keepLines/>
              <w:spacing w:before="0"/>
              <w:jc w:val="right"/>
              <w:rPr>
                <w:rFonts w:cs="Open Sans Light"/>
                <w:sz w:val="16"/>
                <w:szCs w:val="16"/>
              </w:rPr>
            </w:pPr>
            <w:r>
              <w:rPr>
                <w:rFonts w:cs="Open Sans Light"/>
                <w:sz w:val="16"/>
                <w:szCs w:val="16"/>
              </w:rPr>
              <w:t>1,438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B7E6A17" w14:textId="77777777" w:rsidR="003A22B8" w:rsidRDefault="003A22B8" w:rsidP="004D65FE">
            <w:pPr>
              <w:keepNext/>
              <w:keepLines/>
              <w:spacing w:before="0"/>
              <w:jc w:val="right"/>
              <w:rPr>
                <w:rFonts w:cs="Open Sans Light"/>
                <w:sz w:val="16"/>
                <w:szCs w:val="16"/>
              </w:rPr>
            </w:pPr>
            <w:r>
              <w:rPr>
                <w:rFonts w:cs="Open Sans Light"/>
                <w:sz w:val="16"/>
                <w:szCs w:val="16"/>
              </w:rPr>
              <w:t>-565</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4BB8C188" w14:textId="77777777" w:rsidR="003A22B8" w:rsidRDefault="003A22B8" w:rsidP="004D65FE">
            <w:pPr>
              <w:keepNext/>
              <w:keepLines/>
              <w:spacing w:before="0"/>
              <w:jc w:val="right"/>
              <w:rPr>
                <w:rFonts w:cs="Open Sans Light"/>
                <w:sz w:val="16"/>
                <w:szCs w:val="16"/>
              </w:rPr>
            </w:pPr>
            <w:r>
              <w:rPr>
                <w:rFonts w:cs="Open Sans Light"/>
                <w:sz w:val="16"/>
                <w:szCs w:val="16"/>
              </w:rPr>
              <w:t>9,884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9E55BB2"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71656CA3"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FB5604F" w14:textId="77777777" w:rsidR="003A22B8" w:rsidRDefault="003A22B8" w:rsidP="004D65FE">
            <w:pPr>
              <w:keepNext/>
              <w:keepLines/>
              <w:spacing w:before="0"/>
              <w:ind w:left="142" w:hanging="142"/>
              <w:rPr>
                <w:rFonts w:cs="Open Sans Light"/>
                <w:sz w:val="16"/>
                <w:szCs w:val="16"/>
              </w:rPr>
            </w:pPr>
            <w:r>
              <w:rPr>
                <w:rFonts w:cs="Open Sans Light"/>
                <w:sz w:val="16"/>
                <w:szCs w:val="16"/>
              </w:rPr>
              <w:t>Investment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C3C9628" w14:textId="77777777" w:rsidR="003A22B8" w:rsidRDefault="003A22B8" w:rsidP="004D65FE">
            <w:pPr>
              <w:keepNext/>
              <w:keepLines/>
              <w:spacing w:before="0"/>
              <w:jc w:val="right"/>
              <w:rPr>
                <w:rFonts w:cs="Open Sans Light"/>
                <w:sz w:val="16"/>
                <w:szCs w:val="16"/>
              </w:rPr>
            </w:pPr>
            <w:r>
              <w:rPr>
                <w:rFonts w:cs="Open Sans Light"/>
                <w:sz w:val="16"/>
                <w:szCs w:val="16"/>
              </w:rPr>
              <w:t>-7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B59661B" w14:textId="77777777" w:rsidR="003A22B8" w:rsidRDefault="003A22B8" w:rsidP="004D65FE">
            <w:pPr>
              <w:keepNext/>
              <w:keepLines/>
              <w:spacing w:before="0"/>
              <w:jc w:val="right"/>
              <w:rPr>
                <w:rFonts w:cs="Open Sans Light"/>
                <w:sz w:val="16"/>
                <w:szCs w:val="16"/>
              </w:rPr>
            </w:pPr>
            <w:r>
              <w:rPr>
                <w:rFonts w:cs="Open Sans Light"/>
                <w:sz w:val="16"/>
                <w:szCs w:val="16"/>
              </w:rPr>
              <w:t>45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FAEF119" w14:textId="77777777" w:rsidR="003A22B8" w:rsidRDefault="003A22B8" w:rsidP="004D65FE">
            <w:pPr>
              <w:keepNext/>
              <w:keepLines/>
              <w:spacing w:before="0"/>
              <w:jc w:val="right"/>
              <w:rPr>
                <w:rFonts w:cs="Open Sans Light"/>
                <w:sz w:val="16"/>
                <w:szCs w:val="16"/>
              </w:rPr>
            </w:pPr>
            <w:r>
              <w:rPr>
                <w:rFonts w:cs="Open Sans Light"/>
                <w:sz w:val="16"/>
                <w:szCs w:val="16"/>
              </w:rPr>
              <w:t>22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5643D60" w14:textId="77777777" w:rsidR="003A22B8" w:rsidRDefault="003A22B8" w:rsidP="004D65FE">
            <w:pPr>
              <w:keepNext/>
              <w:keepLines/>
              <w:spacing w:before="0"/>
              <w:jc w:val="right"/>
              <w:rPr>
                <w:rFonts w:cs="Open Sans Light"/>
                <w:sz w:val="16"/>
                <w:szCs w:val="16"/>
              </w:rPr>
            </w:pPr>
            <w:r>
              <w:rPr>
                <w:rFonts w:cs="Open Sans Light"/>
                <w:sz w:val="16"/>
                <w:szCs w:val="16"/>
              </w:rPr>
              <w:t>-17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19357EE" w14:textId="77777777" w:rsidR="003A22B8" w:rsidRDefault="003A22B8" w:rsidP="004D65FE">
            <w:pPr>
              <w:keepNext/>
              <w:keepLines/>
              <w:spacing w:before="0"/>
              <w:jc w:val="right"/>
              <w:rPr>
                <w:rFonts w:cs="Open Sans Light"/>
                <w:sz w:val="16"/>
                <w:szCs w:val="16"/>
              </w:rPr>
            </w:pPr>
            <w:r>
              <w:rPr>
                <w:rFonts w:cs="Open Sans Light"/>
                <w:sz w:val="16"/>
                <w:szCs w:val="16"/>
              </w:rPr>
              <w:t>-221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CA106F2" w14:textId="77777777" w:rsidR="003A22B8" w:rsidRDefault="003A22B8" w:rsidP="004D65FE">
            <w:pPr>
              <w:keepNext/>
              <w:keepLines/>
              <w:spacing w:before="0"/>
              <w:jc w:val="right"/>
              <w:rPr>
                <w:rFonts w:cs="Open Sans Light"/>
                <w:sz w:val="16"/>
                <w:szCs w:val="16"/>
              </w:rPr>
            </w:pPr>
            <w:r>
              <w:rPr>
                <w:rFonts w:cs="Open Sans Light"/>
                <w:sz w:val="16"/>
                <w:szCs w:val="16"/>
              </w:rPr>
              <w:t>-207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89468AD" w14:textId="77777777" w:rsidR="003A22B8" w:rsidRDefault="003A22B8" w:rsidP="004D65FE">
            <w:pPr>
              <w:keepNext/>
              <w:keepLines/>
              <w:spacing w:before="0"/>
              <w:jc w:val="right"/>
              <w:rPr>
                <w:rFonts w:cs="Open Sans Light"/>
                <w:sz w:val="16"/>
                <w:szCs w:val="16"/>
              </w:rPr>
            </w:pPr>
            <w:r>
              <w:rPr>
                <w:rFonts w:cs="Open Sans Light"/>
                <w:sz w:val="16"/>
                <w:szCs w:val="16"/>
              </w:rPr>
              <w:t>-252</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0808ADD" w14:textId="77777777" w:rsidR="003A22B8" w:rsidRDefault="003A22B8" w:rsidP="004D65FE">
            <w:pPr>
              <w:keepNext/>
              <w:keepLines/>
              <w:spacing w:before="0"/>
              <w:jc w:val="right"/>
              <w:rPr>
                <w:rFonts w:cs="Open Sans Light"/>
                <w:sz w:val="16"/>
                <w:szCs w:val="16"/>
              </w:rPr>
            </w:pPr>
            <w:r>
              <w:rPr>
                <w:rFonts w:cs="Open Sans Light"/>
                <w:sz w:val="16"/>
                <w:szCs w:val="16"/>
              </w:rPr>
              <w:t>1,229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E5C2E35"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01ED98AF"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B058AB2" w14:textId="77777777" w:rsidR="003A22B8" w:rsidRDefault="003A22B8" w:rsidP="004D65FE">
            <w:pPr>
              <w:keepNext/>
              <w:keepLines/>
              <w:spacing w:before="0"/>
              <w:ind w:left="142" w:hanging="142"/>
              <w:rPr>
                <w:rFonts w:cs="Open Sans Light"/>
                <w:sz w:val="16"/>
                <w:szCs w:val="16"/>
              </w:rPr>
            </w:pPr>
            <w:r>
              <w:rPr>
                <w:rFonts w:cs="Open Sans Light"/>
                <w:sz w:val="16"/>
                <w:szCs w:val="16"/>
              </w:rPr>
              <w:t>Net borrowing</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EA6B4A3" w14:textId="77777777" w:rsidR="003A22B8" w:rsidRDefault="003A22B8" w:rsidP="004D65FE">
            <w:pPr>
              <w:keepNext/>
              <w:keepLines/>
              <w:spacing w:before="0"/>
              <w:jc w:val="right"/>
              <w:rPr>
                <w:rFonts w:cs="Open Sans Light"/>
                <w:sz w:val="16"/>
                <w:szCs w:val="16"/>
              </w:rPr>
            </w:pPr>
            <w:r>
              <w:rPr>
                <w:rFonts w:cs="Open Sans Light"/>
                <w:sz w:val="16"/>
                <w:szCs w:val="16"/>
              </w:rPr>
              <w:t>6</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C6CD995" w14:textId="77777777" w:rsidR="003A22B8" w:rsidRDefault="003A22B8" w:rsidP="004D65FE">
            <w:pPr>
              <w:keepNext/>
              <w:keepLines/>
              <w:spacing w:before="0"/>
              <w:jc w:val="right"/>
              <w:rPr>
                <w:rFonts w:cs="Open Sans Light"/>
                <w:sz w:val="16"/>
                <w:szCs w:val="16"/>
              </w:rPr>
            </w:pPr>
            <w:r>
              <w:rPr>
                <w:rFonts w:cs="Open Sans Light"/>
                <w:sz w:val="16"/>
                <w:szCs w:val="16"/>
              </w:rPr>
              <w:t>-32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6E41972" w14:textId="77777777" w:rsidR="003A22B8" w:rsidRDefault="003A22B8" w:rsidP="004D65FE">
            <w:pPr>
              <w:keepNext/>
              <w:keepLines/>
              <w:spacing w:before="0"/>
              <w:jc w:val="right"/>
              <w:rPr>
                <w:rFonts w:cs="Open Sans Light"/>
                <w:sz w:val="16"/>
                <w:szCs w:val="16"/>
              </w:rPr>
            </w:pPr>
            <w:r>
              <w:rPr>
                <w:rFonts w:cs="Open Sans Light"/>
                <w:sz w:val="16"/>
                <w:szCs w:val="16"/>
              </w:rPr>
              <w:t>-9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7B10EF9" w14:textId="77777777" w:rsidR="003A22B8" w:rsidRDefault="003A22B8" w:rsidP="004D65FE">
            <w:pPr>
              <w:keepNext/>
              <w:keepLines/>
              <w:spacing w:before="0"/>
              <w:jc w:val="right"/>
              <w:rPr>
                <w:rFonts w:cs="Open Sans Light"/>
                <w:sz w:val="16"/>
                <w:szCs w:val="16"/>
              </w:rPr>
            </w:pPr>
            <w:r>
              <w:rPr>
                <w:rFonts w:cs="Open Sans Light"/>
                <w:sz w:val="16"/>
                <w:szCs w:val="16"/>
              </w:rPr>
              <w:t>38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E9810CB" w14:textId="77777777" w:rsidR="003A22B8" w:rsidRDefault="003A22B8" w:rsidP="004D65FE">
            <w:pPr>
              <w:keepNext/>
              <w:keepLines/>
              <w:spacing w:before="0"/>
              <w:jc w:val="right"/>
              <w:rPr>
                <w:rFonts w:cs="Open Sans Light"/>
                <w:sz w:val="16"/>
                <w:szCs w:val="16"/>
              </w:rPr>
            </w:pPr>
            <w:r>
              <w:rPr>
                <w:rFonts w:cs="Open Sans Light"/>
                <w:sz w:val="16"/>
                <w:szCs w:val="16"/>
              </w:rPr>
              <w:t>41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AC90747" w14:textId="77777777" w:rsidR="003A22B8" w:rsidRDefault="003A22B8" w:rsidP="004D65FE">
            <w:pPr>
              <w:keepNext/>
              <w:keepLines/>
              <w:spacing w:before="0"/>
              <w:jc w:val="right"/>
              <w:rPr>
                <w:rFonts w:cs="Open Sans Light"/>
                <w:sz w:val="16"/>
                <w:szCs w:val="16"/>
              </w:rPr>
            </w:pPr>
            <w:r>
              <w:rPr>
                <w:rFonts w:cs="Open Sans Light"/>
                <w:sz w:val="16"/>
                <w:szCs w:val="16"/>
              </w:rPr>
              <w:t>18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D28E5DE" w14:textId="77777777" w:rsidR="003A22B8" w:rsidRDefault="003A22B8" w:rsidP="004D65FE">
            <w:pPr>
              <w:keepNext/>
              <w:keepLines/>
              <w:spacing w:before="0"/>
              <w:jc w:val="right"/>
              <w:rPr>
                <w:rFonts w:cs="Open Sans Light"/>
                <w:sz w:val="16"/>
                <w:szCs w:val="16"/>
              </w:rPr>
            </w:pPr>
            <w:r>
              <w:rPr>
                <w:rFonts w:cs="Open Sans Light"/>
                <w:sz w:val="16"/>
                <w:szCs w:val="16"/>
              </w:rPr>
              <w:t>-10</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5073C89" w14:textId="77777777" w:rsidR="003A22B8" w:rsidRDefault="003A22B8" w:rsidP="004D65FE">
            <w:pPr>
              <w:keepNext/>
              <w:keepLines/>
              <w:spacing w:before="0"/>
              <w:jc w:val="right"/>
              <w:rPr>
                <w:rFonts w:cs="Open Sans Light"/>
                <w:sz w:val="16"/>
                <w:szCs w:val="16"/>
              </w:rPr>
            </w:pPr>
            <w:r>
              <w:rPr>
                <w:rFonts w:cs="Open Sans Light"/>
                <w:sz w:val="16"/>
                <w:szCs w:val="16"/>
              </w:rPr>
              <w:t>117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1AA00CD"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4F8BA2C6"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3072DBF" w14:textId="77777777" w:rsidR="003A22B8" w:rsidRDefault="003A22B8" w:rsidP="004D65FE">
            <w:pPr>
              <w:keepNext/>
              <w:keepLines/>
              <w:spacing w:before="0"/>
              <w:ind w:left="142" w:hanging="142"/>
              <w:rPr>
                <w:rFonts w:cs="Open Sans Light"/>
                <w:sz w:val="16"/>
                <w:szCs w:val="16"/>
              </w:rPr>
            </w:pPr>
            <w:r>
              <w:rPr>
                <w:rFonts w:cs="Open Sans Light"/>
                <w:sz w:val="16"/>
                <w:szCs w:val="16"/>
              </w:rPr>
              <w:t>Assessed revenue</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1572A666" w14:textId="77777777" w:rsidR="003A22B8" w:rsidRDefault="003A22B8" w:rsidP="004D65FE">
            <w:pPr>
              <w:keepNext/>
              <w:keepLines/>
              <w:spacing w:before="0"/>
              <w:jc w:val="right"/>
              <w:rPr>
                <w:rFonts w:cs="Open Sans Light"/>
                <w:sz w:val="16"/>
                <w:szCs w:val="16"/>
              </w:rPr>
            </w:pPr>
            <w:r>
              <w:rPr>
                <w:rFonts w:cs="Open Sans Light"/>
                <w:sz w:val="16"/>
                <w:szCs w:val="16"/>
              </w:rPr>
              <w:t>-21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A664F66" w14:textId="77777777" w:rsidR="003A22B8" w:rsidRDefault="003A22B8" w:rsidP="004D65FE">
            <w:pPr>
              <w:keepNext/>
              <w:keepLines/>
              <w:spacing w:before="0"/>
              <w:jc w:val="right"/>
              <w:rPr>
                <w:rFonts w:cs="Open Sans Light"/>
                <w:sz w:val="16"/>
                <w:szCs w:val="16"/>
              </w:rPr>
            </w:pPr>
            <w:r>
              <w:rPr>
                <w:rFonts w:cs="Open Sans Light"/>
                <w:sz w:val="16"/>
                <w:szCs w:val="16"/>
              </w:rPr>
              <w:t>427</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200ECAB" w14:textId="77777777" w:rsidR="003A22B8" w:rsidRDefault="003A22B8" w:rsidP="004D65FE">
            <w:pPr>
              <w:keepNext/>
              <w:keepLines/>
              <w:spacing w:before="0"/>
              <w:jc w:val="right"/>
              <w:rPr>
                <w:rFonts w:cs="Open Sans Light"/>
                <w:sz w:val="16"/>
                <w:szCs w:val="16"/>
              </w:rPr>
            </w:pPr>
            <w:r>
              <w:rPr>
                <w:rFonts w:cs="Open Sans Light"/>
                <w:sz w:val="16"/>
                <w:szCs w:val="16"/>
              </w:rPr>
              <w:t>32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8845C8D" w14:textId="77777777" w:rsidR="003A22B8" w:rsidRDefault="003A22B8" w:rsidP="004D65FE">
            <w:pPr>
              <w:keepNext/>
              <w:keepLines/>
              <w:spacing w:before="0"/>
              <w:jc w:val="right"/>
              <w:rPr>
                <w:rFonts w:cs="Open Sans Light"/>
                <w:sz w:val="16"/>
                <w:szCs w:val="16"/>
              </w:rPr>
            </w:pPr>
            <w:r>
              <w:rPr>
                <w:rFonts w:cs="Open Sans Light"/>
                <w:sz w:val="16"/>
                <w:szCs w:val="16"/>
              </w:rPr>
              <w:t>-2,200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78DF4D95" w14:textId="77777777" w:rsidR="003A22B8" w:rsidRDefault="003A22B8" w:rsidP="004D65FE">
            <w:pPr>
              <w:keepNext/>
              <w:keepLines/>
              <w:spacing w:before="0"/>
              <w:jc w:val="right"/>
              <w:rPr>
                <w:rFonts w:cs="Open Sans Light"/>
                <w:sz w:val="16"/>
                <w:szCs w:val="16"/>
              </w:rPr>
            </w:pPr>
            <w:r>
              <w:rPr>
                <w:rFonts w:cs="Open Sans Light"/>
                <w:sz w:val="16"/>
                <w:szCs w:val="16"/>
              </w:rPr>
              <w:t>1,084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9B04E75" w14:textId="77777777" w:rsidR="003A22B8" w:rsidRDefault="003A22B8" w:rsidP="004D65FE">
            <w:pPr>
              <w:keepNext/>
              <w:keepLines/>
              <w:spacing w:before="0"/>
              <w:jc w:val="right"/>
              <w:rPr>
                <w:rFonts w:cs="Open Sans Light"/>
                <w:sz w:val="16"/>
                <w:szCs w:val="16"/>
              </w:rPr>
            </w:pPr>
            <w:r>
              <w:rPr>
                <w:rFonts w:cs="Open Sans Light"/>
                <w:sz w:val="16"/>
                <w:szCs w:val="16"/>
              </w:rPr>
              <w:t>1,393</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BBEA5C2" w14:textId="77777777" w:rsidR="003A22B8" w:rsidRDefault="003A22B8" w:rsidP="004D65FE">
            <w:pPr>
              <w:keepNext/>
              <w:keepLines/>
              <w:spacing w:before="0"/>
              <w:jc w:val="right"/>
              <w:rPr>
                <w:rFonts w:cs="Open Sans Light"/>
                <w:sz w:val="16"/>
                <w:szCs w:val="16"/>
              </w:rPr>
            </w:pPr>
            <w:r>
              <w:rPr>
                <w:rFonts w:cs="Open Sans Light"/>
                <w:sz w:val="16"/>
                <w:szCs w:val="16"/>
              </w:rPr>
              <w:t>923</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0BE9F9B8" w14:textId="77777777" w:rsidR="003A22B8" w:rsidRDefault="003A22B8" w:rsidP="004D65FE">
            <w:pPr>
              <w:keepNext/>
              <w:keepLines/>
              <w:spacing w:before="0"/>
              <w:jc w:val="right"/>
              <w:rPr>
                <w:rFonts w:cs="Open Sans Light"/>
                <w:sz w:val="16"/>
                <w:szCs w:val="16"/>
              </w:rPr>
            </w:pPr>
            <w:r>
              <w:rPr>
                <w:rFonts w:cs="Open Sans Light"/>
                <w:sz w:val="16"/>
                <w:szCs w:val="16"/>
              </w:rPr>
              <w:t>-279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A1DAD3C"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48F54037"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AF066D0" w14:textId="77777777" w:rsidR="003A22B8" w:rsidRDefault="003A22B8" w:rsidP="004D65FE">
            <w:pPr>
              <w:keepNext/>
              <w:keepLines/>
              <w:spacing w:before="0"/>
              <w:ind w:left="142" w:hanging="142"/>
              <w:rPr>
                <w:rFonts w:cs="Open Sans Light"/>
                <w:sz w:val="16"/>
                <w:szCs w:val="16"/>
              </w:rPr>
            </w:pPr>
            <w:r>
              <w:rPr>
                <w:rFonts w:cs="Open Sans Light"/>
                <w:sz w:val="16"/>
                <w:szCs w:val="16"/>
              </w:rPr>
              <w:t>Commonwealth payments</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3A50E15" w14:textId="77777777" w:rsidR="003A22B8" w:rsidRDefault="003A22B8" w:rsidP="004D65FE">
            <w:pPr>
              <w:keepNext/>
              <w:keepLines/>
              <w:spacing w:before="0"/>
              <w:jc w:val="right"/>
              <w:rPr>
                <w:rFonts w:cs="Open Sans Light"/>
                <w:sz w:val="16"/>
                <w:szCs w:val="16"/>
              </w:rPr>
            </w:pPr>
            <w:r>
              <w:rPr>
                <w:rFonts w:cs="Open Sans Light"/>
                <w:sz w:val="16"/>
                <w:szCs w:val="16"/>
              </w:rPr>
              <w:t>48</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E1A1145" w14:textId="77777777" w:rsidR="003A22B8" w:rsidRDefault="003A22B8" w:rsidP="004D65FE">
            <w:pPr>
              <w:keepNext/>
              <w:keepLines/>
              <w:spacing w:before="0"/>
              <w:jc w:val="right"/>
              <w:rPr>
                <w:rFonts w:cs="Open Sans Light"/>
                <w:sz w:val="16"/>
                <w:szCs w:val="16"/>
              </w:rPr>
            </w:pPr>
            <w:r>
              <w:rPr>
                <w:rFonts w:cs="Open Sans Light"/>
                <w:sz w:val="16"/>
                <w:szCs w:val="16"/>
              </w:rPr>
              <w:t>235</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9157582" w14:textId="77777777" w:rsidR="003A22B8" w:rsidRDefault="003A22B8" w:rsidP="004D65FE">
            <w:pPr>
              <w:keepNext/>
              <w:keepLines/>
              <w:spacing w:before="0"/>
              <w:jc w:val="right"/>
              <w:rPr>
                <w:rFonts w:cs="Open Sans Light"/>
                <w:sz w:val="16"/>
                <w:szCs w:val="16"/>
              </w:rPr>
            </w:pPr>
            <w:r>
              <w:rPr>
                <w:rFonts w:cs="Open Sans Light"/>
                <w:sz w:val="16"/>
                <w:szCs w:val="16"/>
              </w:rPr>
              <w:t>-219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749D637" w14:textId="77777777" w:rsidR="003A22B8" w:rsidRDefault="003A22B8" w:rsidP="004D65FE">
            <w:pPr>
              <w:keepNext/>
              <w:keepLines/>
              <w:spacing w:before="0"/>
              <w:jc w:val="right"/>
              <w:rPr>
                <w:rFonts w:cs="Open Sans Light"/>
                <w:sz w:val="16"/>
                <w:szCs w:val="16"/>
              </w:rPr>
            </w:pPr>
            <w:r>
              <w:rPr>
                <w:rFonts w:cs="Open Sans Light"/>
                <w:sz w:val="16"/>
                <w:szCs w:val="16"/>
              </w:rPr>
              <w:t>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6ABDB97" w14:textId="77777777" w:rsidR="003A22B8" w:rsidRDefault="003A22B8" w:rsidP="004D65FE">
            <w:pPr>
              <w:keepNext/>
              <w:keepLines/>
              <w:spacing w:before="0"/>
              <w:jc w:val="right"/>
              <w:rPr>
                <w:rFonts w:cs="Open Sans Light"/>
                <w:sz w:val="16"/>
                <w:szCs w:val="16"/>
              </w:rPr>
            </w:pPr>
            <w:r>
              <w:rPr>
                <w:rFonts w:cs="Open Sans Light"/>
                <w:sz w:val="16"/>
                <w:szCs w:val="16"/>
              </w:rPr>
              <w:t>-269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A140101" w14:textId="77777777" w:rsidR="003A22B8" w:rsidRDefault="003A22B8" w:rsidP="004D65FE">
            <w:pPr>
              <w:keepNext/>
              <w:keepLines/>
              <w:spacing w:before="0"/>
              <w:jc w:val="right"/>
              <w:rPr>
                <w:rFonts w:cs="Open Sans Light"/>
                <w:sz w:val="16"/>
                <w:szCs w:val="16"/>
              </w:rPr>
            </w:pPr>
            <w:r>
              <w:rPr>
                <w:rFonts w:cs="Open Sans Light"/>
                <w:sz w:val="16"/>
                <w:szCs w:val="16"/>
              </w:rPr>
              <w:t>-162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C775256" w14:textId="77777777" w:rsidR="003A22B8" w:rsidRDefault="003A22B8" w:rsidP="004D65FE">
            <w:pPr>
              <w:keepNext/>
              <w:keepLines/>
              <w:spacing w:before="0"/>
              <w:jc w:val="right"/>
              <w:rPr>
                <w:rFonts w:cs="Open Sans Light"/>
                <w:sz w:val="16"/>
                <w:szCs w:val="16"/>
              </w:rPr>
            </w:pPr>
            <w:r>
              <w:rPr>
                <w:rFonts w:cs="Open Sans Light"/>
                <w:sz w:val="16"/>
                <w:szCs w:val="16"/>
              </w:rPr>
              <w:t>209</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89E9850" w14:textId="77777777" w:rsidR="003A22B8" w:rsidRDefault="003A22B8" w:rsidP="004D65FE">
            <w:pPr>
              <w:keepNext/>
              <w:keepLines/>
              <w:spacing w:before="0"/>
              <w:jc w:val="right"/>
              <w:rPr>
                <w:rFonts w:cs="Open Sans Light"/>
                <w:sz w:val="16"/>
                <w:szCs w:val="16"/>
              </w:rPr>
            </w:pPr>
            <w:r>
              <w:rPr>
                <w:rFonts w:cs="Open Sans Light"/>
                <w:sz w:val="16"/>
                <w:szCs w:val="16"/>
              </w:rPr>
              <w:t>-1,411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746248F" w14:textId="77777777" w:rsidR="003A22B8" w:rsidRDefault="003A22B8" w:rsidP="004D65FE">
            <w:pPr>
              <w:keepNext/>
              <w:keepLines/>
              <w:spacing w:before="0"/>
              <w:jc w:val="right"/>
              <w:rPr>
                <w:rFonts w:cs="Open Sans Light"/>
                <w:sz w:val="16"/>
                <w:szCs w:val="16"/>
              </w:rPr>
            </w:pPr>
            <w:r>
              <w:rPr>
                <w:rFonts w:cs="Open Sans Light"/>
                <w:sz w:val="16"/>
                <w:szCs w:val="16"/>
              </w:rPr>
              <w:t>0</w:t>
            </w:r>
          </w:p>
        </w:tc>
      </w:tr>
      <w:tr w:rsidR="003A22B8" w14:paraId="3AF790CB" w14:textId="77777777" w:rsidTr="004D65FE">
        <w:trPr>
          <w:trHeight w:val="315"/>
        </w:trPr>
        <w:tc>
          <w:tcPr>
            <w:tcW w:w="25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3AD55A7" w14:textId="77777777" w:rsidR="003A22B8" w:rsidRDefault="003A22B8" w:rsidP="004D65FE">
            <w:pPr>
              <w:keepNext/>
              <w:keepLines/>
              <w:spacing w:before="0"/>
              <w:ind w:left="142" w:hanging="142"/>
              <w:rPr>
                <w:rFonts w:cs="Open Sans Light"/>
                <w:sz w:val="16"/>
                <w:szCs w:val="16"/>
              </w:rPr>
            </w:pPr>
            <w:r>
              <w:rPr>
                <w:rFonts w:cs="Open Sans Light"/>
                <w:sz w:val="16"/>
                <w:szCs w:val="16"/>
              </w:rPr>
              <w:t>GST requirement</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BBB88B7" w14:textId="77777777" w:rsidR="003A22B8" w:rsidRDefault="003A22B8" w:rsidP="004D65FE">
            <w:pPr>
              <w:keepNext/>
              <w:keepLines/>
              <w:spacing w:before="0"/>
              <w:jc w:val="right"/>
              <w:rPr>
                <w:rFonts w:cs="Open Sans Light"/>
                <w:sz w:val="16"/>
                <w:szCs w:val="16"/>
              </w:rPr>
            </w:pPr>
            <w:r>
              <w:rPr>
                <w:rFonts w:cs="Open Sans Light"/>
                <w:sz w:val="16"/>
                <w:szCs w:val="16"/>
              </w:rPr>
              <w:t>2,480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54788BED" w14:textId="77777777" w:rsidR="003A22B8" w:rsidRDefault="003A22B8" w:rsidP="004D65FE">
            <w:pPr>
              <w:keepNext/>
              <w:keepLines/>
              <w:spacing w:before="0"/>
              <w:jc w:val="right"/>
              <w:rPr>
                <w:rFonts w:cs="Open Sans Light"/>
                <w:sz w:val="16"/>
                <w:szCs w:val="16"/>
              </w:rPr>
            </w:pPr>
            <w:r>
              <w:rPr>
                <w:rFonts w:cs="Open Sans Light"/>
                <w:sz w:val="16"/>
                <w:szCs w:val="16"/>
              </w:rPr>
              <w:t>2,554</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F9CECD3" w14:textId="77777777" w:rsidR="003A22B8" w:rsidRDefault="003A22B8" w:rsidP="004D65FE">
            <w:pPr>
              <w:keepNext/>
              <w:keepLines/>
              <w:spacing w:before="0"/>
              <w:jc w:val="right"/>
              <w:rPr>
                <w:rFonts w:cs="Open Sans Light"/>
                <w:sz w:val="16"/>
                <w:szCs w:val="16"/>
              </w:rPr>
            </w:pPr>
            <w:r>
              <w:rPr>
                <w:rFonts w:cs="Open Sans Light"/>
                <w:sz w:val="16"/>
                <w:szCs w:val="16"/>
              </w:rPr>
              <w:t>2,651</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2361972" w14:textId="77777777" w:rsidR="003A22B8" w:rsidRDefault="003A22B8" w:rsidP="004D65FE">
            <w:pPr>
              <w:keepNext/>
              <w:keepLines/>
              <w:spacing w:before="0"/>
              <w:jc w:val="right"/>
              <w:rPr>
                <w:rFonts w:cs="Open Sans Light"/>
                <w:sz w:val="16"/>
                <w:szCs w:val="16"/>
              </w:rPr>
            </w:pPr>
            <w:r>
              <w:rPr>
                <w:rFonts w:cs="Open Sans Light"/>
                <w:sz w:val="16"/>
                <w:szCs w:val="16"/>
              </w:rPr>
              <w:t>950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07AE621" w14:textId="77777777" w:rsidR="003A22B8" w:rsidRDefault="003A22B8" w:rsidP="004D65FE">
            <w:pPr>
              <w:keepNext/>
              <w:keepLines/>
              <w:spacing w:before="0"/>
              <w:jc w:val="right"/>
              <w:rPr>
                <w:rFonts w:cs="Open Sans Light"/>
                <w:sz w:val="16"/>
                <w:szCs w:val="16"/>
              </w:rPr>
            </w:pPr>
            <w:r>
              <w:rPr>
                <w:rFonts w:cs="Open Sans Light"/>
                <w:sz w:val="16"/>
                <w:szCs w:val="16"/>
              </w:rPr>
              <w:t>3,322</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65DB7746" w14:textId="77777777" w:rsidR="003A22B8" w:rsidRDefault="003A22B8" w:rsidP="004D65FE">
            <w:pPr>
              <w:keepNext/>
              <w:keepLines/>
              <w:spacing w:before="0"/>
              <w:jc w:val="right"/>
              <w:rPr>
                <w:rFonts w:cs="Open Sans Light"/>
                <w:sz w:val="16"/>
                <w:szCs w:val="16"/>
              </w:rPr>
            </w:pPr>
            <w:r>
              <w:rPr>
                <w:rFonts w:cs="Open Sans Light"/>
                <w:sz w:val="16"/>
                <w:szCs w:val="16"/>
              </w:rPr>
              <w:t>5,069</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2F7B98DD" w14:textId="77777777" w:rsidR="003A22B8" w:rsidRDefault="003A22B8" w:rsidP="004D65FE">
            <w:pPr>
              <w:keepNext/>
              <w:keepLines/>
              <w:spacing w:before="0"/>
              <w:jc w:val="right"/>
              <w:rPr>
                <w:rFonts w:cs="Open Sans Light"/>
                <w:sz w:val="16"/>
                <w:szCs w:val="16"/>
              </w:rPr>
            </w:pPr>
            <w:r>
              <w:rPr>
                <w:rFonts w:cs="Open Sans Light"/>
                <w:sz w:val="16"/>
                <w:szCs w:val="16"/>
              </w:rPr>
              <w:t>2,894</w:t>
            </w:r>
          </w:p>
        </w:tc>
        <w:tc>
          <w:tcPr>
            <w:tcW w:w="82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3A4275C" w14:textId="77777777" w:rsidR="003A22B8" w:rsidRDefault="003A22B8" w:rsidP="004D65FE">
            <w:pPr>
              <w:keepNext/>
              <w:keepLines/>
              <w:spacing w:before="0"/>
              <w:jc w:val="right"/>
              <w:rPr>
                <w:rFonts w:cs="Open Sans Light"/>
                <w:sz w:val="16"/>
                <w:szCs w:val="16"/>
              </w:rPr>
            </w:pPr>
            <w:r>
              <w:rPr>
                <w:rFonts w:cs="Open Sans Light"/>
                <w:sz w:val="16"/>
                <w:szCs w:val="16"/>
              </w:rPr>
              <w:t>12,130</w:t>
            </w:r>
          </w:p>
        </w:tc>
        <w:tc>
          <w:tcPr>
            <w:tcW w:w="700" w:type="dxa"/>
            <w:tcBorders>
              <w:top w:val="nil"/>
              <w:left w:val="nil"/>
              <w:bottom w:val="single" w:sz="4" w:space="0" w:color="ADD6EA"/>
              <w:right w:val="nil"/>
            </w:tcBorders>
            <w:shd w:val="clear" w:color="auto" w:fill="auto"/>
            <w:tcMar>
              <w:top w:w="15" w:type="dxa"/>
              <w:left w:w="15" w:type="dxa"/>
              <w:bottom w:w="0" w:type="dxa"/>
              <w:right w:w="15" w:type="dxa"/>
            </w:tcMar>
            <w:vAlign w:val="bottom"/>
            <w:hideMark/>
          </w:tcPr>
          <w:p w14:paraId="3B86BC6E" w14:textId="77777777" w:rsidR="003A22B8" w:rsidRDefault="003A22B8" w:rsidP="004D65FE">
            <w:pPr>
              <w:keepNext/>
              <w:keepLines/>
              <w:spacing w:before="0"/>
              <w:jc w:val="right"/>
              <w:rPr>
                <w:rFonts w:cs="Open Sans Light"/>
                <w:sz w:val="16"/>
                <w:szCs w:val="16"/>
              </w:rPr>
            </w:pPr>
            <w:r>
              <w:rPr>
                <w:rFonts w:cs="Open Sans Light"/>
                <w:sz w:val="16"/>
                <w:szCs w:val="16"/>
              </w:rPr>
              <w:t>2,589</w:t>
            </w:r>
          </w:p>
        </w:tc>
      </w:tr>
      <w:tr w:rsidR="003A22B8" w14:paraId="423FA1D5" w14:textId="77777777" w:rsidTr="004D65FE">
        <w:trPr>
          <w:trHeight w:val="315"/>
        </w:trPr>
        <w:tc>
          <w:tcPr>
            <w:tcW w:w="25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67A8480"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Per capita relativity</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653A0AA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0.958</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7EB76E9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0.986</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5E19E94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1.024</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2317F80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0.367</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6993023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1.283</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47C860AD"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1.958</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6D31BA3E"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1.118</w:t>
            </w:r>
          </w:p>
        </w:tc>
        <w:tc>
          <w:tcPr>
            <w:tcW w:w="82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27C2BDD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4.685</w:t>
            </w:r>
          </w:p>
        </w:tc>
        <w:tc>
          <w:tcPr>
            <w:tcW w:w="700" w:type="dxa"/>
            <w:tcBorders>
              <w:top w:val="nil"/>
              <w:left w:val="nil"/>
              <w:bottom w:val="single" w:sz="4" w:space="0" w:color="ADD6EA"/>
              <w:right w:val="nil"/>
            </w:tcBorders>
            <w:shd w:val="clear" w:color="000000" w:fill="D6E7F0"/>
            <w:tcMar>
              <w:top w:w="15" w:type="dxa"/>
              <w:left w:w="15" w:type="dxa"/>
              <w:bottom w:w="0" w:type="dxa"/>
              <w:right w:w="15" w:type="dxa"/>
            </w:tcMar>
            <w:vAlign w:val="bottom"/>
            <w:hideMark/>
          </w:tcPr>
          <w:p w14:paraId="74FA529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1.000</w:t>
            </w:r>
          </w:p>
        </w:tc>
      </w:tr>
    </w:tbl>
    <w:p w14:paraId="1E3031BC" w14:textId="77777777" w:rsidR="003A22B8" w:rsidRDefault="003A22B8" w:rsidP="003A22B8">
      <w:pPr>
        <w:pStyle w:val="CGCTablenote"/>
      </w:pPr>
      <w:r>
        <w:t>Note:</w:t>
      </w:r>
      <w:r>
        <w:tab/>
        <w:t>Per capita relativities are equal to each State’s GST requirement divided by the average GST requirement.</w:t>
      </w:r>
    </w:p>
    <w:p w14:paraId="39F0CC78" w14:textId="77777777" w:rsidR="003A22B8" w:rsidRDefault="003A22B8" w:rsidP="003A22B8">
      <w:pPr>
        <w:pStyle w:val="CGCTablenote"/>
      </w:pPr>
      <w:r>
        <w:t xml:space="preserve">Source: </w:t>
      </w:r>
      <w:r>
        <w:tab/>
        <w:t>CGC calculation.</w:t>
      </w:r>
    </w:p>
    <w:p w14:paraId="65E0E2E5" w14:textId="77777777" w:rsidR="003A22B8" w:rsidRDefault="003A22B8" w:rsidP="003A22B8">
      <w:pPr>
        <w:pStyle w:val="Heading3"/>
      </w:pPr>
      <w:r>
        <w:lastRenderedPageBreak/>
        <w:t>Assessed relativities</w:t>
      </w:r>
    </w:p>
    <w:p w14:paraId="7F6D5A15" w14:textId="7AB35DEE" w:rsidR="003A22B8" w:rsidRDefault="003A22B8" w:rsidP="00F47EC7">
      <w:pPr>
        <w:pStyle w:val="CGCParaNumber"/>
      </w:pPr>
      <w:r w:rsidRPr="00310FDF">
        <w:t>The per capita relativities recommended for use in 20</w:t>
      </w:r>
      <w:r>
        <w:t>20</w:t>
      </w:r>
      <w:r w:rsidRPr="00310FDF">
        <w:t>-</w:t>
      </w:r>
      <w:r>
        <w:t xml:space="preserve">21 </w:t>
      </w:r>
      <w:r w:rsidRPr="00310FDF">
        <w:t xml:space="preserve">(the application year for this </w:t>
      </w:r>
      <w:r w:rsidR="00AA2B95">
        <w:t>review</w:t>
      </w:r>
      <w:r w:rsidRPr="00310FDF">
        <w:t xml:space="preserve">) are the </w:t>
      </w:r>
      <w:r>
        <w:t xml:space="preserve">simple </w:t>
      </w:r>
      <w:r w:rsidRPr="00310FDF">
        <w:t>average of the annual relativities for the three assessment years 201</w:t>
      </w:r>
      <w:r>
        <w:t>6</w:t>
      </w:r>
      <w:r>
        <w:noBreakHyphen/>
      </w:r>
      <w:r w:rsidRPr="00310FDF">
        <w:t>1</w:t>
      </w:r>
      <w:r>
        <w:t>7</w:t>
      </w:r>
      <w:r w:rsidRPr="00310FDF">
        <w:t xml:space="preserve"> to 201</w:t>
      </w:r>
      <w:r>
        <w:t>8</w:t>
      </w:r>
      <w:r w:rsidRPr="00310FDF">
        <w:t>-1</w:t>
      </w:r>
      <w:r>
        <w:t xml:space="preserve">9. Relativities used to distribute the GST revenue are calculated to five decimal places, as shown in </w:t>
      </w:r>
      <w:r>
        <w:fldChar w:fldCharType="begin"/>
      </w:r>
      <w:r>
        <w:instrText xml:space="preserve"> REF _Ref32234508 \h </w:instrText>
      </w:r>
      <w:r>
        <w:fldChar w:fldCharType="separate"/>
      </w:r>
      <w:r w:rsidR="007F721A">
        <w:t>Table 30-</w:t>
      </w:r>
      <w:r w:rsidR="007F721A">
        <w:rPr>
          <w:noProof/>
        </w:rPr>
        <w:t>19</w:t>
      </w:r>
      <w:r>
        <w:fldChar w:fldCharType="end"/>
      </w:r>
      <w:r>
        <w:t>.</w:t>
      </w:r>
    </w:p>
    <w:p w14:paraId="2125D13D" w14:textId="4C7E096D" w:rsidR="003A22B8" w:rsidRDefault="003A22B8" w:rsidP="003A22B8">
      <w:pPr>
        <w:pStyle w:val="Caption"/>
      </w:pPr>
      <w:bookmarkStart w:id="660" w:name="_Ref32234508"/>
      <w:r>
        <w:t>Table 30-</w:t>
      </w:r>
      <w:fldSimple w:instr=" SEQ Table \* ARABIC ">
        <w:r w:rsidR="007F721A">
          <w:rPr>
            <w:noProof/>
          </w:rPr>
          <w:t>19</w:t>
        </w:r>
      </w:fldSimple>
      <w:bookmarkEnd w:id="660"/>
      <w:r>
        <w:tab/>
        <w:t>Assessed relativities</w:t>
      </w:r>
    </w:p>
    <w:tbl>
      <w:tblPr>
        <w:tblW w:w="8940" w:type="dxa"/>
        <w:tblLayout w:type="fixed"/>
        <w:tblCellMar>
          <w:left w:w="0" w:type="dxa"/>
          <w:right w:w="0" w:type="dxa"/>
        </w:tblCellMar>
        <w:tblLook w:val="04A0" w:firstRow="1" w:lastRow="0" w:firstColumn="1" w:lastColumn="0" w:noHBand="0" w:noVBand="1"/>
      </w:tblPr>
      <w:tblGrid>
        <w:gridCol w:w="993"/>
        <w:gridCol w:w="747"/>
        <w:gridCol w:w="900"/>
        <w:gridCol w:w="900"/>
        <w:gridCol w:w="900"/>
        <w:gridCol w:w="900"/>
        <w:gridCol w:w="900"/>
        <w:gridCol w:w="900"/>
        <w:gridCol w:w="900"/>
        <w:gridCol w:w="900"/>
      </w:tblGrid>
      <w:tr w:rsidR="003A22B8" w14:paraId="47C97957" w14:textId="77777777" w:rsidTr="004D65FE">
        <w:trPr>
          <w:trHeight w:val="379"/>
        </w:trPr>
        <w:tc>
          <w:tcPr>
            <w:tcW w:w="993"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2D8E382" w14:textId="77777777" w:rsidR="003A22B8" w:rsidRDefault="003A22B8" w:rsidP="004D65FE">
            <w:pPr>
              <w:keepNext/>
              <w:keepLines/>
              <w:tabs>
                <w:tab w:val="clear" w:pos="567"/>
              </w:tabs>
              <w:spacing w:before="0" w:line="240" w:lineRule="auto"/>
              <w:ind w:left="142" w:hanging="142"/>
              <w:jc w:val="right"/>
              <w:rPr>
                <w:rFonts w:ascii="Open Sans SemiBold" w:hAnsi="Open Sans SemiBold" w:cs="Open Sans SemiBold"/>
                <w:sz w:val="16"/>
                <w:szCs w:val="16"/>
              </w:rPr>
            </w:pPr>
            <w:bookmarkStart w:id="661" w:name="RANGE!M143:V148"/>
            <w:r>
              <w:rPr>
                <w:rFonts w:ascii="Open Sans SemiBold" w:hAnsi="Open Sans SemiBold" w:cs="Open Sans SemiBold"/>
                <w:sz w:val="16"/>
                <w:szCs w:val="16"/>
              </w:rPr>
              <w:t> </w:t>
            </w:r>
            <w:bookmarkEnd w:id="661"/>
          </w:p>
        </w:tc>
        <w:tc>
          <w:tcPr>
            <w:tcW w:w="747"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159CBD9B"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9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3922B2CF"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9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03327E54"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9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432508C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9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ECF615C"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9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4D702CD"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9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77936064"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9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BE5C826"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900" w:type="dxa"/>
            <w:tcBorders>
              <w:top w:val="single" w:sz="4" w:space="0" w:color="ADD6EA"/>
              <w:left w:val="nil"/>
              <w:bottom w:val="single" w:sz="4" w:space="0" w:color="ADD6EA"/>
              <w:right w:val="nil"/>
            </w:tcBorders>
            <w:shd w:val="clear" w:color="000000" w:fill="006991"/>
            <w:noWrap/>
            <w:tcMar>
              <w:top w:w="15" w:type="dxa"/>
              <w:left w:w="15" w:type="dxa"/>
              <w:bottom w:w="0" w:type="dxa"/>
              <w:right w:w="15" w:type="dxa"/>
            </w:tcMar>
            <w:vAlign w:val="center"/>
            <w:hideMark/>
          </w:tcPr>
          <w:p w14:paraId="693C4254" w14:textId="77777777" w:rsidR="003A22B8" w:rsidRDefault="003A22B8" w:rsidP="004D65FE">
            <w:pPr>
              <w:keepNext/>
              <w:keepLines/>
              <w:spacing w:before="0"/>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Ave</w:t>
            </w:r>
          </w:p>
        </w:tc>
      </w:tr>
      <w:tr w:rsidR="003A22B8" w14:paraId="0F0250D9" w14:textId="77777777" w:rsidTr="002943B4">
        <w:trPr>
          <w:trHeight w:val="259"/>
        </w:trPr>
        <w:tc>
          <w:tcPr>
            <w:tcW w:w="993"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740DCDE" w14:textId="77777777" w:rsidR="003A22B8" w:rsidRDefault="003A22B8" w:rsidP="004D65FE">
            <w:pPr>
              <w:keepNext/>
              <w:keepLines/>
              <w:spacing w:before="0"/>
              <w:ind w:left="142" w:hanging="142"/>
              <w:jc w:val="right"/>
              <w:rPr>
                <w:rFonts w:ascii="Open Sans SemiBold" w:hAnsi="Open Sans SemiBold" w:cs="Open Sans SemiBold"/>
                <w:sz w:val="16"/>
                <w:szCs w:val="16"/>
              </w:rPr>
            </w:pPr>
            <w:r>
              <w:rPr>
                <w:rFonts w:ascii="Open Sans SemiBold" w:hAnsi="Open Sans SemiBold" w:cs="Open Sans SemiBold"/>
                <w:sz w:val="16"/>
                <w:szCs w:val="16"/>
              </w:rPr>
              <w:t> </w:t>
            </w:r>
          </w:p>
        </w:tc>
        <w:tc>
          <w:tcPr>
            <w:tcW w:w="747"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2E65F77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no.</w:t>
            </w:r>
          </w:p>
        </w:tc>
        <w:tc>
          <w:tcPr>
            <w:tcW w:w="9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18D30FEF"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no.</w:t>
            </w:r>
          </w:p>
        </w:tc>
        <w:tc>
          <w:tcPr>
            <w:tcW w:w="9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41701C9"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no.</w:t>
            </w:r>
          </w:p>
        </w:tc>
        <w:tc>
          <w:tcPr>
            <w:tcW w:w="9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31AC848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no.</w:t>
            </w:r>
          </w:p>
        </w:tc>
        <w:tc>
          <w:tcPr>
            <w:tcW w:w="9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2657A2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no.</w:t>
            </w:r>
          </w:p>
        </w:tc>
        <w:tc>
          <w:tcPr>
            <w:tcW w:w="9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4A0CD43B"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no.</w:t>
            </w:r>
          </w:p>
        </w:tc>
        <w:tc>
          <w:tcPr>
            <w:tcW w:w="9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6936CB0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no.</w:t>
            </w:r>
          </w:p>
        </w:tc>
        <w:tc>
          <w:tcPr>
            <w:tcW w:w="9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7616AA9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no.</w:t>
            </w:r>
          </w:p>
        </w:tc>
        <w:tc>
          <w:tcPr>
            <w:tcW w:w="900" w:type="dxa"/>
            <w:tcBorders>
              <w:top w:val="nil"/>
              <w:left w:val="nil"/>
              <w:bottom w:val="single" w:sz="4" w:space="0" w:color="ADD6EA"/>
              <w:right w:val="nil"/>
            </w:tcBorders>
            <w:shd w:val="clear" w:color="000000" w:fill="B6D5E4"/>
            <w:noWrap/>
            <w:tcMar>
              <w:top w:w="15" w:type="dxa"/>
              <w:left w:w="15" w:type="dxa"/>
              <w:bottom w:w="0" w:type="dxa"/>
              <w:right w:w="15" w:type="dxa"/>
            </w:tcMar>
            <w:vAlign w:val="center"/>
            <w:hideMark/>
          </w:tcPr>
          <w:p w14:paraId="5E9B8320"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no.</w:t>
            </w:r>
          </w:p>
        </w:tc>
      </w:tr>
      <w:tr w:rsidR="003A22B8" w14:paraId="51AB5BD9" w14:textId="77777777" w:rsidTr="004D65FE">
        <w:trPr>
          <w:trHeight w:val="315"/>
        </w:trPr>
        <w:tc>
          <w:tcPr>
            <w:tcW w:w="993"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6E44FB9" w14:textId="77777777" w:rsidR="003A22B8" w:rsidRDefault="003A22B8" w:rsidP="004D65FE">
            <w:pPr>
              <w:keepNext/>
              <w:keepLines/>
              <w:spacing w:before="0"/>
              <w:ind w:left="142" w:hanging="142"/>
              <w:rPr>
                <w:rFonts w:cs="Open Sans Light"/>
                <w:sz w:val="16"/>
                <w:szCs w:val="16"/>
              </w:rPr>
            </w:pPr>
            <w:r>
              <w:rPr>
                <w:rFonts w:cs="Open Sans Light"/>
                <w:sz w:val="16"/>
                <w:szCs w:val="16"/>
              </w:rPr>
              <w:t>2016-17</w:t>
            </w:r>
          </w:p>
        </w:tc>
        <w:tc>
          <w:tcPr>
            <w:tcW w:w="747"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FD36391" w14:textId="77777777" w:rsidR="003A22B8" w:rsidRDefault="003A22B8" w:rsidP="004D65FE">
            <w:pPr>
              <w:keepNext/>
              <w:keepLines/>
              <w:spacing w:before="0"/>
              <w:jc w:val="right"/>
              <w:rPr>
                <w:rFonts w:cs="Open Sans Light"/>
                <w:sz w:val="16"/>
                <w:szCs w:val="16"/>
              </w:rPr>
            </w:pPr>
            <w:r>
              <w:rPr>
                <w:rFonts w:cs="Open Sans Light"/>
                <w:sz w:val="16"/>
                <w:szCs w:val="16"/>
              </w:rPr>
              <w:t>0.89565</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B9F9914" w14:textId="77777777" w:rsidR="003A22B8" w:rsidRDefault="003A22B8" w:rsidP="004D65FE">
            <w:pPr>
              <w:keepNext/>
              <w:keepLines/>
              <w:spacing w:before="0"/>
              <w:jc w:val="right"/>
              <w:rPr>
                <w:rFonts w:cs="Open Sans Light"/>
                <w:sz w:val="16"/>
                <w:szCs w:val="16"/>
              </w:rPr>
            </w:pPr>
            <w:r>
              <w:rPr>
                <w:rFonts w:cs="Open Sans Light"/>
                <w:sz w:val="16"/>
                <w:szCs w:val="16"/>
              </w:rPr>
              <w:t>0.94746</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4C06138" w14:textId="77777777" w:rsidR="003A22B8" w:rsidRDefault="003A22B8" w:rsidP="004D65FE">
            <w:pPr>
              <w:keepNext/>
              <w:keepLines/>
              <w:spacing w:before="0"/>
              <w:jc w:val="right"/>
              <w:rPr>
                <w:rFonts w:cs="Open Sans Light"/>
                <w:sz w:val="16"/>
                <w:szCs w:val="16"/>
              </w:rPr>
            </w:pPr>
            <w:r>
              <w:rPr>
                <w:rFonts w:cs="Open Sans Light"/>
                <w:sz w:val="16"/>
                <w:szCs w:val="16"/>
              </w:rPr>
              <w:t>1.03125</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35E69BA" w14:textId="77777777" w:rsidR="003A22B8" w:rsidRDefault="003A22B8" w:rsidP="004D65FE">
            <w:pPr>
              <w:keepNext/>
              <w:keepLines/>
              <w:spacing w:before="0"/>
              <w:jc w:val="right"/>
              <w:rPr>
                <w:rFonts w:cs="Open Sans Light"/>
                <w:sz w:val="16"/>
                <w:szCs w:val="16"/>
              </w:rPr>
            </w:pPr>
            <w:r>
              <w:rPr>
                <w:rFonts w:cs="Open Sans Light"/>
                <w:sz w:val="16"/>
                <w:szCs w:val="16"/>
              </w:rPr>
              <w:t>0.51616</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80AC9E0" w14:textId="77777777" w:rsidR="003A22B8" w:rsidRDefault="003A22B8" w:rsidP="004D65FE">
            <w:pPr>
              <w:keepNext/>
              <w:keepLines/>
              <w:spacing w:before="0"/>
              <w:jc w:val="right"/>
              <w:rPr>
                <w:rFonts w:cs="Open Sans Light"/>
                <w:sz w:val="16"/>
                <w:szCs w:val="16"/>
              </w:rPr>
            </w:pPr>
            <w:r>
              <w:rPr>
                <w:rFonts w:cs="Open Sans Light"/>
                <w:sz w:val="16"/>
                <w:szCs w:val="16"/>
              </w:rPr>
              <w:t>1.45762</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0EF9740" w14:textId="77777777" w:rsidR="003A22B8" w:rsidRDefault="003A22B8" w:rsidP="004D65FE">
            <w:pPr>
              <w:keepNext/>
              <w:keepLines/>
              <w:spacing w:before="0"/>
              <w:jc w:val="right"/>
              <w:rPr>
                <w:rFonts w:cs="Open Sans Light"/>
                <w:sz w:val="16"/>
                <w:szCs w:val="16"/>
              </w:rPr>
            </w:pPr>
            <w:r>
              <w:rPr>
                <w:rFonts w:cs="Open Sans Light"/>
                <w:sz w:val="16"/>
                <w:szCs w:val="16"/>
              </w:rPr>
              <w:t>1.83946</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28A5C47" w14:textId="77777777" w:rsidR="003A22B8" w:rsidRDefault="003A22B8" w:rsidP="004D65FE">
            <w:pPr>
              <w:keepNext/>
              <w:keepLines/>
              <w:spacing w:before="0"/>
              <w:jc w:val="right"/>
              <w:rPr>
                <w:rFonts w:cs="Open Sans Light"/>
                <w:sz w:val="16"/>
                <w:szCs w:val="16"/>
              </w:rPr>
            </w:pPr>
            <w:r>
              <w:rPr>
                <w:rFonts w:cs="Open Sans Light"/>
                <w:sz w:val="16"/>
                <w:szCs w:val="16"/>
              </w:rPr>
              <w:t>1.18751</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102C417" w14:textId="77777777" w:rsidR="003A22B8" w:rsidRDefault="003A22B8" w:rsidP="004D65FE">
            <w:pPr>
              <w:keepNext/>
              <w:keepLines/>
              <w:spacing w:before="0"/>
              <w:jc w:val="right"/>
              <w:rPr>
                <w:rFonts w:cs="Open Sans Light"/>
                <w:sz w:val="16"/>
                <w:szCs w:val="16"/>
              </w:rPr>
            </w:pPr>
            <w:r>
              <w:rPr>
                <w:rFonts w:cs="Open Sans Light"/>
                <w:sz w:val="16"/>
                <w:szCs w:val="16"/>
              </w:rPr>
              <w:t>4.78330</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2299E51" w14:textId="77777777" w:rsidR="003A22B8" w:rsidRDefault="003A22B8" w:rsidP="004D65FE">
            <w:pPr>
              <w:keepNext/>
              <w:keepLines/>
              <w:spacing w:before="0"/>
              <w:jc w:val="right"/>
              <w:rPr>
                <w:rFonts w:cs="Open Sans Light"/>
                <w:sz w:val="16"/>
                <w:szCs w:val="16"/>
              </w:rPr>
            </w:pPr>
            <w:r>
              <w:rPr>
                <w:rFonts w:cs="Open Sans Light"/>
                <w:sz w:val="16"/>
                <w:szCs w:val="16"/>
              </w:rPr>
              <w:t>1.00000</w:t>
            </w:r>
          </w:p>
        </w:tc>
      </w:tr>
      <w:tr w:rsidR="003A22B8" w14:paraId="0302C5C6" w14:textId="77777777" w:rsidTr="004D65FE">
        <w:trPr>
          <w:trHeight w:val="315"/>
        </w:trPr>
        <w:tc>
          <w:tcPr>
            <w:tcW w:w="993"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5EF662E" w14:textId="77777777" w:rsidR="003A22B8" w:rsidRDefault="003A22B8" w:rsidP="004D65FE">
            <w:pPr>
              <w:keepNext/>
              <w:keepLines/>
              <w:spacing w:before="0"/>
              <w:ind w:left="142" w:hanging="142"/>
              <w:rPr>
                <w:rFonts w:cs="Open Sans Light"/>
                <w:sz w:val="16"/>
                <w:szCs w:val="16"/>
              </w:rPr>
            </w:pPr>
            <w:r>
              <w:rPr>
                <w:rFonts w:cs="Open Sans Light"/>
                <w:sz w:val="16"/>
                <w:szCs w:val="16"/>
              </w:rPr>
              <w:t>2017-18</w:t>
            </w:r>
          </w:p>
        </w:tc>
        <w:tc>
          <w:tcPr>
            <w:tcW w:w="747"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C2FBE17" w14:textId="77777777" w:rsidR="003A22B8" w:rsidRDefault="003A22B8" w:rsidP="004D65FE">
            <w:pPr>
              <w:keepNext/>
              <w:keepLines/>
              <w:spacing w:before="0"/>
              <w:jc w:val="right"/>
              <w:rPr>
                <w:rFonts w:cs="Open Sans Light"/>
                <w:sz w:val="16"/>
                <w:szCs w:val="16"/>
              </w:rPr>
            </w:pPr>
            <w:r>
              <w:rPr>
                <w:rFonts w:cs="Open Sans Light"/>
                <w:sz w:val="16"/>
                <w:szCs w:val="16"/>
              </w:rPr>
              <w:t>0.90069</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E9C47DC" w14:textId="77777777" w:rsidR="003A22B8" w:rsidRDefault="003A22B8" w:rsidP="004D65FE">
            <w:pPr>
              <w:keepNext/>
              <w:keepLines/>
              <w:spacing w:before="0"/>
              <w:jc w:val="right"/>
              <w:rPr>
                <w:rFonts w:cs="Open Sans Light"/>
                <w:sz w:val="16"/>
                <w:szCs w:val="16"/>
              </w:rPr>
            </w:pPr>
            <w:r>
              <w:rPr>
                <w:rFonts w:cs="Open Sans Light"/>
                <w:sz w:val="16"/>
                <w:szCs w:val="16"/>
              </w:rPr>
              <w:t>0.94580</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7D6BAF" w14:textId="77777777" w:rsidR="003A22B8" w:rsidRDefault="003A22B8" w:rsidP="004D65FE">
            <w:pPr>
              <w:keepNext/>
              <w:keepLines/>
              <w:spacing w:before="0"/>
              <w:jc w:val="right"/>
              <w:rPr>
                <w:rFonts w:cs="Open Sans Light"/>
                <w:sz w:val="16"/>
                <w:szCs w:val="16"/>
              </w:rPr>
            </w:pPr>
            <w:r>
              <w:rPr>
                <w:rFonts w:cs="Open Sans Light"/>
                <w:sz w:val="16"/>
                <w:szCs w:val="16"/>
              </w:rPr>
              <w:t>1.09223</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298EB39" w14:textId="77777777" w:rsidR="003A22B8" w:rsidRDefault="003A22B8" w:rsidP="004D65FE">
            <w:pPr>
              <w:keepNext/>
              <w:keepLines/>
              <w:spacing w:before="0"/>
              <w:jc w:val="right"/>
              <w:rPr>
                <w:rFonts w:cs="Open Sans Light"/>
                <w:sz w:val="16"/>
                <w:szCs w:val="16"/>
              </w:rPr>
            </w:pPr>
            <w:r>
              <w:rPr>
                <w:rFonts w:cs="Open Sans Light"/>
                <w:sz w:val="16"/>
                <w:szCs w:val="16"/>
              </w:rPr>
              <w:t>0.46608</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0F84AA99" w14:textId="77777777" w:rsidR="003A22B8" w:rsidRDefault="003A22B8" w:rsidP="004D65FE">
            <w:pPr>
              <w:keepNext/>
              <w:keepLines/>
              <w:spacing w:before="0"/>
              <w:jc w:val="right"/>
              <w:rPr>
                <w:rFonts w:cs="Open Sans Light"/>
                <w:sz w:val="16"/>
                <w:szCs w:val="16"/>
              </w:rPr>
            </w:pPr>
            <w:r>
              <w:rPr>
                <w:rFonts w:cs="Open Sans Light"/>
                <w:sz w:val="16"/>
                <w:szCs w:val="16"/>
              </w:rPr>
              <w:t>1.33242</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F916E98" w14:textId="77777777" w:rsidR="003A22B8" w:rsidRDefault="003A22B8" w:rsidP="004D65FE">
            <w:pPr>
              <w:keepNext/>
              <w:keepLines/>
              <w:spacing w:before="0"/>
              <w:jc w:val="right"/>
              <w:rPr>
                <w:rFonts w:cs="Open Sans Light"/>
                <w:sz w:val="16"/>
                <w:szCs w:val="16"/>
              </w:rPr>
            </w:pPr>
            <w:r>
              <w:rPr>
                <w:rFonts w:cs="Open Sans Light"/>
                <w:sz w:val="16"/>
                <w:szCs w:val="16"/>
              </w:rPr>
              <w:t>1.89517</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94CB435" w14:textId="77777777" w:rsidR="003A22B8" w:rsidRDefault="003A22B8" w:rsidP="004D65FE">
            <w:pPr>
              <w:keepNext/>
              <w:keepLines/>
              <w:spacing w:before="0"/>
              <w:jc w:val="right"/>
              <w:rPr>
                <w:rFonts w:cs="Open Sans Light"/>
                <w:sz w:val="16"/>
                <w:szCs w:val="16"/>
              </w:rPr>
            </w:pPr>
            <w:r>
              <w:rPr>
                <w:rFonts w:cs="Open Sans Light"/>
                <w:sz w:val="16"/>
                <w:szCs w:val="16"/>
              </w:rPr>
              <w:t>1.14811</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EAA19D0" w14:textId="77777777" w:rsidR="003A22B8" w:rsidRDefault="003A22B8" w:rsidP="004D65FE">
            <w:pPr>
              <w:keepNext/>
              <w:keepLines/>
              <w:spacing w:before="0"/>
              <w:jc w:val="right"/>
              <w:rPr>
                <w:rFonts w:cs="Open Sans Light"/>
                <w:sz w:val="16"/>
                <w:szCs w:val="16"/>
              </w:rPr>
            </w:pPr>
            <w:r>
              <w:rPr>
                <w:rFonts w:cs="Open Sans Light"/>
                <w:sz w:val="16"/>
                <w:szCs w:val="16"/>
              </w:rPr>
              <w:t>4.83883</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EAD221E" w14:textId="77777777" w:rsidR="003A22B8" w:rsidRDefault="003A22B8" w:rsidP="004D65FE">
            <w:pPr>
              <w:keepNext/>
              <w:keepLines/>
              <w:spacing w:before="0"/>
              <w:jc w:val="right"/>
              <w:rPr>
                <w:rFonts w:cs="Open Sans Light"/>
                <w:sz w:val="16"/>
                <w:szCs w:val="16"/>
              </w:rPr>
            </w:pPr>
            <w:r>
              <w:rPr>
                <w:rFonts w:cs="Open Sans Light"/>
                <w:sz w:val="16"/>
                <w:szCs w:val="16"/>
              </w:rPr>
              <w:t>1.00000</w:t>
            </w:r>
          </w:p>
        </w:tc>
      </w:tr>
      <w:tr w:rsidR="003A22B8" w14:paraId="03B1057E" w14:textId="77777777" w:rsidTr="004D65FE">
        <w:trPr>
          <w:trHeight w:val="315"/>
        </w:trPr>
        <w:tc>
          <w:tcPr>
            <w:tcW w:w="993"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1C69ED90" w14:textId="77777777" w:rsidR="003A22B8" w:rsidRDefault="003A22B8" w:rsidP="004D65FE">
            <w:pPr>
              <w:keepNext/>
              <w:keepLines/>
              <w:spacing w:before="0"/>
              <w:ind w:left="142" w:hanging="142"/>
              <w:rPr>
                <w:rFonts w:cs="Open Sans Light"/>
                <w:sz w:val="16"/>
                <w:szCs w:val="16"/>
              </w:rPr>
            </w:pPr>
            <w:r>
              <w:rPr>
                <w:rFonts w:cs="Open Sans Light"/>
                <w:sz w:val="16"/>
                <w:szCs w:val="16"/>
              </w:rPr>
              <w:t>2018-19</w:t>
            </w:r>
          </w:p>
        </w:tc>
        <w:tc>
          <w:tcPr>
            <w:tcW w:w="747"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26CB5C5F" w14:textId="77777777" w:rsidR="003A22B8" w:rsidRDefault="003A22B8" w:rsidP="004D65FE">
            <w:pPr>
              <w:keepNext/>
              <w:keepLines/>
              <w:spacing w:before="0"/>
              <w:jc w:val="right"/>
              <w:rPr>
                <w:rFonts w:cs="Open Sans Light"/>
                <w:sz w:val="16"/>
                <w:szCs w:val="16"/>
              </w:rPr>
            </w:pPr>
            <w:r>
              <w:rPr>
                <w:rFonts w:cs="Open Sans Light"/>
                <w:sz w:val="16"/>
                <w:szCs w:val="16"/>
              </w:rPr>
              <w:t>0.95789</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2A375B0" w14:textId="77777777" w:rsidR="003A22B8" w:rsidRDefault="003A22B8" w:rsidP="004D65FE">
            <w:pPr>
              <w:keepNext/>
              <w:keepLines/>
              <w:spacing w:before="0"/>
              <w:jc w:val="right"/>
              <w:rPr>
                <w:rFonts w:cs="Open Sans Light"/>
                <w:sz w:val="16"/>
                <w:szCs w:val="16"/>
              </w:rPr>
            </w:pPr>
            <w:r>
              <w:rPr>
                <w:rFonts w:cs="Open Sans Light"/>
                <w:sz w:val="16"/>
                <w:szCs w:val="16"/>
              </w:rPr>
              <w:t>0.98648</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3E6BE39" w14:textId="77777777" w:rsidR="003A22B8" w:rsidRDefault="003A22B8" w:rsidP="004D65FE">
            <w:pPr>
              <w:keepNext/>
              <w:keepLines/>
              <w:spacing w:before="0"/>
              <w:jc w:val="right"/>
              <w:rPr>
                <w:rFonts w:cs="Open Sans Light"/>
                <w:sz w:val="16"/>
                <w:szCs w:val="16"/>
              </w:rPr>
            </w:pPr>
            <w:r>
              <w:rPr>
                <w:rFonts w:cs="Open Sans Light"/>
                <w:sz w:val="16"/>
                <w:szCs w:val="16"/>
              </w:rPr>
              <w:t>1.02372</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361C7004" w14:textId="77777777" w:rsidR="003A22B8" w:rsidRDefault="003A22B8" w:rsidP="004D65FE">
            <w:pPr>
              <w:keepNext/>
              <w:keepLines/>
              <w:spacing w:before="0"/>
              <w:jc w:val="right"/>
              <w:rPr>
                <w:rFonts w:cs="Open Sans Light"/>
                <w:sz w:val="16"/>
                <w:szCs w:val="16"/>
              </w:rPr>
            </w:pPr>
            <w:r>
              <w:rPr>
                <w:rFonts w:cs="Open Sans Light"/>
                <w:sz w:val="16"/>
                <w:szCs w:val="16"/>
              </w:rPr>
              <w:t>0.36686</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C022516" w14:textId="77777777" w:rsidR="003A22B8" w:rsidRDefault="003A22B8" w:rsidP="004D65FE">
            <w:pPr>
              <w:keepNext/>
              <w:keepLines/>
              <w:spacing w:before="0"/>
              <w:jc w:val="right"/>
              <w:rPr>
                <w:rFonts w:cs="Open Sans Light"/>
                <w:sz w:val="16"/>
                <w:szCs w:val="16"/>
              </w:rPr>
            </w:pPr>
            <w:r>
              <w:rPr>
                <w:rFonts w:cs="Open Sans Light"/>
                <w:sz w:val="16"/>
                <w:szCs w:val="16"/>
              </w:rPr>
              <w:t>1.28292</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7955C2D0" w14:textId="77777777" w:rsidR="003A22B8" w:rsidRDefault="003A22B8" w:rsidP="004D65FE">
            <w:pPr>
              <w:keepNext/>
              <w:keepLines/>
              <w:spacing w:before="0"/>
              <w:jc w:val="right"/>
              <w:rPr>
                <w:rFonts w:cs="Open Sans Light"/>
                <w:sz w:val="16"/>
                <w:szCs w:val="16"/>
              </w:rPr>
            </w:pPr>
            <w:r>
              <w:rPr>
                <w:rFonts w:cs="Open Sans Light"/>
                <w:sz w:val="16"/>
                <w:szCs w:val="16"/>
              </w:rPr>
              <w:t>1.95763</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6A1F8F49" w14:textId="77777777" w:rsidR="003A22B8" w:rsidRDefault="003A22B8" w:rsidP="004D65FE">
            <w:pPr>
              <w:keepNext/>
              <w:keepLines/>
              <w:spacing w:before="0"/>
              <w:jc w:val="right"/>
              <w:rPr>
                <w:rFonts w:cs="Open Sans Light"/>
                <w:sz w:val="16"/>
                <w:szCs w:val="16"/>
              </w:rPr>
            </w:pPr>
            <w:r>
              <w:rPr>
                <w:rFonts w:cs="Open Sans Light"/>
                <w:sz w:val="16"/>
                <w:szCs w:val="16"/>
              </w:rPr>
              <w:t>1.11773</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57C8C8BF" w14:textId="77777777" w:rsidR="003A22B8" w:rsidRDefault="003A22B8" w:rsidP="004D65FE">
            <w:pPr>
              <w:keepNext/>
              <w:keepLines/>
              <w:spacing w:before="0"/>
              <w:jc w:val="right"/>
              <w:rPr>
                <w:rFonts w:cs="Open Sans Light"/>
                <w:sz w:val="16"/>
                <w:szCs w:val="16"/>
              </w:rPr>
            </w:pPr>
            <w:r>
              <w:rPr>
                <w:rFonts w:cs="Open Sans Light"/>
                <w:sz w:val="16"/>
                <w:szCs w:val="16"/>
              </w:rPr>
              <w:t>4.68466</w:t>
            </w:r>
          </w:p>
        </w:tc>
        <w:tc>
          <w:tcPr>
            <w:tcW w:w="900" w:type="dxa"/>
            <w:tcBorders>
              <w:top w:val="nil"/>
              <w:left w:val="nil"/>
              <w:bottom w:val="single" w:sz="4" w:space="0" w:color="ADD6EA"/>
              <w:right w:val="nil"/>
            </w:tcBorders>
            <w:shd w:val="clear" w:color="auto" w:fill="auto"/>
            <w:noWrap/>
            <w:tcMar>
              <w:top w:w="15" w:type="dxa"/>
              <w:left w:w="15" w:type="dxa"/>
              <w:bottom w:w="0" w:type="dxa"/>
              <w:right w:w="15" w:type="dxa"/>
            </w:tcMar>
            <w:vAlign w:val="bottom"/>
            <w:hideMark/>
          </w:tcPr>
          <w:p w14:paraId="4CCA3070" w14:textId="77777777" w:rsidR="003A22B8" w:rsidRDefault="003A22B8" w:rsidP="004D65FE">
            <w:pPr>
              <w:keepNext/>
              <w:keepLines/>
              <w:spacing w:before="0"/>
              <w:jc w:val="right"/>
              <w:rPr>
                <w:rFonts w:cs="Open Sans Light"/>
                <w:sz w:val="16"/>
                <w:szCs w:val="16"/>
              </w:rPr>
            </w:pPr>
            <w:r>
              <w:rPr>
                <w:rFonts w:cs="Open Sans Light"/>
                <w:sz w:val="16"/>
                <w:szCs w:val="16"/>
              </w:rPr>
              <w:t>1.00000</w:t>
            </w:r>
          </w:p>
        </w:tc>
      </w:tr>
      <w:tr w:rsidR="003A22B8" w14:paraId="455261D2" w14:textId="77777777" w:rsidTr="004D65FE">
        <w:trPr>
          <w:trHeight w:val="315"/>
        </w:trPr>
        <w:tc>
          <w:tcPr>
            <w:tcW w:w="993"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92C6D38" w14:textId="77777777" w:rsidR="003A22B8" w:rsidRDefault="003A22B8" w:rsidP="004D65FE">
            <w:pPr>
              <w:keepNext/>
              <w:keepLines/>
              <w:spacing w:before="0"/>
              <w:ind w:left="142" w:hanging="142"/>
              <w:rPr>
                <w:rFonts w:ascii="Open Sans SemiBold" w:hAnsi="Open Sans SemiBold" w:cs="Open Sans SemiBold"/>
                <w:sz w:val="16"/>
                <w:szCs w:val="16"/>
              </w:rPr>
            </w:pPr>
            <w:r>
              <w:rPr>
                <w:rFonts w:ascii="Open Sans SemiBold" w:hAnsi="Open Sans SemiBold" w:cs="Open Sans SemiBold"/>
                <w:sz w:val="16"/>
                <w:szCs w:val="16"/>
              </w:rPr>
              <w:t>Average</w:t>
            </w:r>
          </w:p>
        </w:tc>
        <w:tc>
          <w:tcPr>
            <w:tcW w:w="747"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866CAE4"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0.91808</w:t>
            </w:r>
          </w:p>
        </w:tc>
        <w:tc>
          <w:tcPr>
            <w:tcW w:w="9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A828CF5"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0.95992</w:t>
            </w:r>
          </w:p>
        </w:tc>
        <w:tc>
          <w:tcPr>
            <w:tcW w:w="9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D665DD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1.04907</w:t>
            </w:r>
          </w:p>
        </w:tc>
        <w:tc>
          <w:tcPr>
            <w:tcW w:w="9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B2B8601"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0.44970</w:t>
            </w:r>
          </w:p>
        </w:tc>
        <w:tc>
          <w:tcPr>
            <w:tcW w:w="9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FC0C056"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1.35765</w:t>
            </w:r>
          </w:p>
        </w:tc>
        <w:tc>
          <w:tcPr>
            <w:tcW w:w="9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09F7358"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1.89742</w:t>
            </w:r>
          </w:p>
        </w:tc>
        <w:tc>
          <w:tcPr>
            <w:tcW w:w="9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018B11C"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1.15112</w:t>
            </w:r>
          </w:p>
        </w:tc>
        <w:tc>
          <w:tcPr>
            <w:tcW w:w="9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E4F7D93"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4.76893</w:t>
            </w:r>
          </w:p>
        </w:tc>
        <w:tc>
          <w:tcPr>
            <w:tcW w:w="900" w:type="dxa"/>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A915ABA" w14:textId="77777777" w:rsidR="003A22B8" w:rsidRDefault="003A22B8" w:rsidP="004D65FE">
            <w:pPr>
              <w:keepNext/>
              <w:keepLines/>
              <w:spacing w:before="0"/>
              <w:jc w:val="right"/>
              <w:rPr>
                <w:rFonts w:ascii="Open Sans SemiBold" w:hAnsi="Open Sans SemiBold" w:cs="Open Sans SemiBold"/>
                <w:sz w:val="16"/>
                <w:szCs w:val="16"/>
              </w:rPr>
            </w:pPr>
            <w:r>
              <w:rPr>
                <w:rFonts w:ascii="Open Sans SemiBold" w:hAnsi="Open Sans SemiBold" w:cs="Open Sans SemiBold"/>
                <w:sz w:val="16"/>
                <w:szCs w:val="16"/>
              </w:rPr>
              <w:t>1.00000</w:t>
            </w:r>
          </w:p>
        </w:tc>
      </w:tr>
    </w:tbl>
    <w:p w14:paraId="747E83F9" w14:textId="1962DAED" w:rsidR="00357D9B" w:rsidRDefault="004F4B3C" w:rsidP="003A22B8">
      <w:pPr>
        <w:pStyle w:val="CGCTablenote"/>
      </w:pPr>
      <w:r>
        <w:t>Note:</w:t>
      </w:r>
      <w:r>
        <w:tab/>
      </w:r>
      <w:r w:rsidR="00345273">
        <w:t>Annual relativities are not rounded prior to averaging.</w:t>
      </w:r>
    </w:p>
    <w:p w14:paraId="047F7D60" w14:textId="6615FC57" w:rsidR="003A22B8" w:rsidRDefault="003A22B8" w:rsidP="003A22B8">
      <w:pPr>
        <w:pStyle w:val="CGCTablenote"/>
      </w:pPr>
      <w:r>
        <w:t xml:space="preserve">Source: </w:t>
      </w:r>
      <w:r>
        <w:tab/>
        <w:t>CGC calculation.</w:t>
      </w:r>
    </w:p>
    <w:p w14:paraId="29F97550" w14:textId="77777777" w:rsidR="003A22B8" w:rsidRPr="008347EE" w:rsidRDefault="003A22B8" w:rsidP="003A22B8"/>
    <w:p w14:paraId="1FE8F9B0" w14:textId="77777777" w:rsidR="00CE6586" w:rsidRDefault="00CE6586" w:rsidP="00161EFB">
      <w:pPr>
        <w:sectPr w:rsidR="00CE6586" w:rsidSect="00917501">
          <w:footerReference w:type="default" r:id="rId65"/>
          <w:footnotePr>
            <w:numRestart w:val="eachSect"/>
          </w:footnotePr>
          <w:pgSz w:w="11899" w:h="16838" w:code="9"/>
          <w:pgMar w:top="1418" w:right="1474" w:bottom="1418" w:left="1474" w:header="709" w:footer="567" w:gutter="0"/>
          <w:cols w:space="708"/>
          <w:titlePg/>
          <w:docGrid w:linePitch="299"/>
        </w:sectPr>
      </w:pPr>
    </w:p>
    <w:p w14:paraId="3DB2CFFD" w14:textId="77777777" w:rsidR="00DE37C1" w:rsidRDefault="00DE37C1" w:rsidP="00DE37C1">
      <w:pPr>
        <w:pStyle w:val="Heading1"/>
      </w:pPr>
      <w:bookmarkStart w:id="662" w:name="_Toc32922495"/>
      <w:r>
        <w:lastRenderedPageBreak/>
        <w:t>31</w:t>
      </w:r>
      <w:r>
        <w:tab/>
        <w:t>Population data</w:t>
      </w:r>
      <w:bookmarkEnd w:id="662"/>
      <w:r>
        <w:t xml:space="preserve"> </w:t>
      </w:r>
    </w:p>
    <w:p w14:paraId="0FE1F81A" w14:textId="77777777" w:rsidR="00DE37C1" w:rsidRDefault="00DE37C1" w:rsidP="00DE37C1">
      <w:pPr>
        <w:pStyle w:val="Heading3"/>
      </w:pPr>
      <w:r>
        <w:t>Estimated resident population</w:t>
      </w:r>
    </w:p>
    <w:p w14:paraId="6AF7B317" w14:textId="77777777" w:rsidR="00DE37C1" w:rsidRDefault="00DE37C1" w:rsidP="00927B23">
      <w:pPr>
        <w:pStyle w:val="CGCParaNumber"/>
        <w:numPr>
          <w:ilvl w:val="0"/>
          <w:numId w:val="53"/>
        </w:numPr>
        <w:ind w:left="567" w:hanging="567"/>
      </w:pPr>
      <w:r>
        <w:t>For all its assessments, and its overall relativities, the Commission requires population estimates. For many assessments, it requires population data on a range of population groups disaggregated by various characteristics related to the differential use or cost of services, for example, age, sex, Indigenous status, socio-economic status (SES) and remoteness.</w:t>
      </w:r>
    </w:p>
    <w:p w14:paraId="3B9E7BA8" w14:textId="77777777" w:rsidR="00DE37C1" w:rsidRDefault="00DE37C1" w:rsidP="00F47EC7">
      <w:pPr>
        <w:pStyle w:val="CGCParaNumber"/>
      </w:pPr>
      <w:r>
        <w:t xml:space="preserve">All estimated resident population (ERP) data the Commission uses come from the Australian Bureau of Statistics (ABS). Most of these data are received through a special data request. </w:t>
      </w:r>
    </w:p>
    <w:p w14:paraId="49FAB113" w14:textId="77777777" w:rsidR="00DE37C1" w:rsidRDefault="00DE37C1" w:rsidP="00DE37C1">
      <w:pPr>
        <w:pStyle w:val="Heading4"/>
      </w:pPr>
      <w:r>
        <w:t>Population level estimates</w:t>
      </w:r>
    </w:p>
    <w:p w14:paraId="316805F6" w14:textId="77777777" w:rsidR="00DE37C1" w:rsidRDefault="00DE37C1" w:rsidP="00F47EC7">
      <w:pPr>
        <w:pStyle w:val="CGCParaNumber"/>
      </w:pPr>
      <w:r>
        <w:t>For assessments that require estimates of the size of total State populations, the Commission uses estimates as at 31 December, which is the middle of the financial year. This is the population series used for calculating:</w:t>
      </w:r>
    </w:p>
    <w:p w14:paraId="7EB982F5" w14:textId="77777777" w:rsidR="00DE37C1" w:rsidRPr="00736AD1" w:rsidRDefault="00DE37C1" w:rsidP="00DE37C1">
      <w:pPr>
        <w:pStyle w:val="CGCBullet1"/>
      </w:pPr>
      <w:r w:rsidRPr="00736AD1">
        <w:t>equal per capita (EPC) distributions</w:t>
      </w:r>
    </w:p>
    <w:p w14:paraId="2DE1F3FB" w14:textId="77777777" w:rsidR="00DE37C1" w:rsidRPr="00736AD1" w:rsidRDefault="00DE37C1" w:rsidP="00DE37C1">
      <w:pPr>
        <w:pStyle w:val="CGCBullet1"/>
      </w:pPr>
      <w:r w:rsidRPr="00736AD1">
        <w:t>disability factors</w:t>
      </w:r>
    </w:p>
    <w:p w14:paraId="5059AB24" w14:textId="77777777" w:rsidR="00DE37C1" w:rsidRDefault="00DE37C1" w:rsidP="00DE37C1">
      <w:pPr>
        <w:pStyle w:val="CGCBullet1"/>
      </w:pPr>
      <w:r w:rsidRPr="00736AD1">
        <w:t>population growth</w:t>
      </w:r>
    </w:p>
    <w:p w14:paraId="1B075E72" w14:textId="77777777" w:rsidR="00DE37C1" w:rsidRDefault="00DE37C1" w:rsidP="00DE37C1">
      <w:pPr>
        <w:pStyle w:val="CGCBullet1"/>
      </w:pPr>
      <w:r>
        <w:t>per capita relativities.</w:t>
      </w:r>
    </w:p>
    <w:p w14:paraId="04BEF124" w14:textId="618BBB77" w:rsidR="00DE37C1" w:rsidRDefault="00DE37C1" w:rsidP="00F47EC7">
      <w:pPr>
        <w:pStyle w:val="CGCParaNumber"/>
      </w:pPr>
      <w:r w:rsidRPr="00ED299B">
        <w:fldChar w:fldCharType="begin"/>
      </w:r>
      <w:r w:rsidRPr="00ED299B">
        <w:instrText xml:space="preserve"> REF _Ref10025669 \h </w:instrText>
      </w:r>
      <w:r>
        <w:instrText xml:space="preserve"> \* MERGEFORMAT </w:instrText>
      </w:r>
      <w:r w:rsidRPr="00ED299B">
        <w:fldChar w:fldCharType="separate"/>
      </w:r>
      <w:r w:rsidR="007F721A" w:rsidRPr="00ED299B">
        <w:t xml:space="preserve">Table </w:t>
      </w:r>
      <w:r w:rsidR="007F721A">
        <w:rPr>
          <w:noProof/>
        </w:rPr>
        <w:t>31-1</w:t>
      </w:r>
      <w:r w:rsidRPr="00ED299B">
        <w:fldChar w:fldCharType="end"/>
      </w:r>
      <w:r>
        <w:t xml:space="preserve"> shows the State ERP for each assessment year and the application year that are used in this report.</w:t>
      </w:r>
      <w:bookmarkStart w:id="663" w:name="_Ref403996834"/>
      <w:bookmarkStart w:id="664" w:name="_Ref410635298"/>
    </w:p>
    <w:p w14:paraId="2C35AE9F" w14:textId="34D6A829" w:rsidR="00DE37C1" w:rsidRPr="00ED299B" w:rsidRDefault="00DE37C1" w:rsidP="00DE37C1">
      <w:pPr>
        <w:pStyle w:val="Caption"/>
      </w:pPr>
      <w:bookmarkStart w:id="665" w:name="_Ref10025669"/>
      <w:r w:rsidRPr="00ED299B">
        <w:t xml:space="preserve">Table </w:t>
      </w:r>
      <w:r>
        <w:t>31-</w:t>
      </w:r>
      <w:r w:rsidR="00B91EF5">
        <w:fldChar w:fldCharType="begin"/>
      </w:r>
      <w:r w:rsidR="00B91EF5">
        <w:instrText xml:space="preserve"> SEQ Table </w:instrText>
      </w:r>
      <w:r w:rsidR="009A1034">
        <w:instrText xml:space="preserve">\r1 </w:instrText>
      </w:r>
      <w:r w:rsidR="00B91EF5">
        <w:instrText xml:space="preserve">\* ARABIC </w:instrText>
      </w:r>
      <w:r w:rsidR="00B91EF5">
        <w:fldChar w:fldCharType="separate"/>
      </w:r>
      <w:r w:rsidR="007F721A">
        <w:rPr>
          <w:noProof/>
        </w:rPr>
        <w:t>1</w:t>
      </w:r>
      <w:r w:rsidR="00B91EF5">
        <w:fldChar w:fldCharType="end"/>
      </w:r>
      <w:bookmarkEnd w:id="663"/>
      <w:bookmarkEnd w:id="664"/>
      <w:bookmarkEnd w:id="665"/>
      <w:r w:rsidRPr="00ED299B">
        <w:tab/>
        <w:t>Estimated resident population, by State, at 31 December</w:t>
      </w:r>
    </w:p>
    <w:tbl>
      <w:tblPr>
        <w:tblW w:w="8980" w:type="dxa"/>
        <w:tblCellMar>
          <w:left w:w="28" w:type="dxa"/>
          <w:right w:w="28" w:type="dxa"/>
        </w:tblCellMar>
        <w:tblLook w:val="04A0" w:firstRow="1" w:lastRow="0" w:firstColumn="1" w:lastColumn="0" w:noHBand="0" w:noVBand="1"/>
      </w:tblPr>
      <w:tblGrid>
        <w:gridCol w:w="1860"/>
        <w:gridCol w:w="820"/>
        <w:gridCol w:w="820"/>
        <w:gridCol w:w="820"/>
        <w:gridCol w:w="820"/>
        <w:gridCol w:w="820"/>
        <w:gridCol w:w="700"/>
        <w:gridCol w:w="700"/>
        <w:gridCol w:w="700"/>
        <w:gridCol w:w="920"/>
      </w:tblGrid>
      <w:tr w:rsidR="00DE37C1" w:rsidRPr="00E478A7" w14:paraId="2A301935" w14:textId="77777777" w:rsidTr="00555B4E">
        <w:trPr>
          <w:trHeight w:val="375"/>
        </w:trPr>
        <w:tc>
          <w:tcPr>
            <w:tcW w:w="1860" w:type="dxa"/>
            <w:tcBorders>
              <w:top w:val="nil"/>
              <w:left w:val="nil"/>
              <w:bottom w:val="nil"/>
              <w:right w:val="nil"/>
            </w:tcBorders>
            <w:shd w:val="clear" w:color="000000" w:fill="006991"/>
            <w:vAlign w:val="center"/>
            <w:hideMark/>
          </w:tcPr>
          <w:p w14:paraId="2278DA9D" w14:textId="77777777" w:rsidR="00DE37C1" w:rsidRPr="00E478A7"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78A7">
              <w:rPr>
                <w:rFonts w:ascii="Open Sans SemiBold" w:eastAsia="Times New Roman" w:hAnsi="Open Sans SemiBold" w:cs="Open Sans SemiBold"/>
                <w:color w:val="FFFFFF"/>
                <w:sz w:val="16"/>
                <w:szCs w:val="16"/>
                <w:lang w:eastAsia="en-AU"/>
              </w:rPr>
              <w:t> </w:t>
            </w:r>
          </w:p>
        </w:tc>
        <w:tc>
          <w:tcPr>
            <w:tcW w:w="820" w:type="dxa"/>
            <w:tcBorders>
              <w:top w:val="nil"/>
              <w:left w:val="nil"/>
              <w:bottom w:val="nil"/>
              <w:right w:val="nil"/>
            </w:tcBorders>
            <w:shd w:val="clear" w:color="000000" w:fill="006991"/>
            <w:vAlign w:val="center"/>
            <w:hideMark/>
          </w:tcPr>
          <w:p w14:paraId="11676C24" w14:textId="77777777" w:rsidR="00DE37C1" w:rsidRPr="00E478A7"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78A7">
              <w:rPr>
                <w:rFonts w:ascii="Open Sans SemiBold" w:eastAsia="Times New Roman" w:hAnsi="Open Sans SemiBold" w:cs="Open Sans SemiBold"/>
                <w:color w:val="FFFFFF"/>
                <w:sz w:val="16"/>
                <w:szCs w:val="16"/>
                <w:lang w:eastAsia="en-AU"/>
              </w:rPr>
              <w:t>NSW</w:t>
            </w:r>
          </w:p>
        </w:tc>
        <w:tc>
          <w:tcPr>
            <w:tcW w:w="820" w:type="dxa"/>
            <w:tcBorders>
              <w:top w:val="nil"/>
              <w:left w:val="nil"/>
              <w:bottom w:val="nil"/>
              <w:right w:val="nil"/>
            </w:tcBorders>
            <w:shd w:val="clear" w:color="000000" w:fill="006991"/>
            <w:vAlign w:val="center"/>
            <w:hideMark/>
          </w:tcPr>
          <w:p w14:paraId="47AC4FE8" w14:textId="77777777" w:rsidR="00DE37C1" w:rsidRPr="00E478A7"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78A7">
              <w:rPr>
                <w:rFonts w:ascii="Open Sans SemiBold" w:eastAsia="Times New Roman" w:hAnsi="Open Sans SemiBold" w:cs="Open Sans SemiBold"/>
                <w:color w:val="FFFFFF"/>
                <w:sz w:val="16"/>
                <w:szCs w:val="16"/>
                <w:lang w:eastAsia="en-AU"/>
              </w:rPr>
              <w:t>Vic</w:t>
            </w:r>
          </w:p>
        </w:tc>
        <w:tc>
          <w:tcPr>
            <w:tcW w:w="820" w:type="dxa"/>
            <w:tcBorders>
              <w:top w:val="nil"/>
              <w:left w:val="nil"/>
              <w:bottom w:val="nil"/>
              <w:right w:val="nil"/>
            </w:tcBorders>
            <w:shd w:val="clear" w:color="000000" w:fill="006991"/>
            <w:vAlign w:val="center"/>
            <w:hideMark/>
          </w:tcPr>
          <w:p w14:paraId="38826547" w14:textId="77777777" w:rsidR="00DE37C1" w:rsidRPr="00E478A7"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78A7">
              <w:rPr>
                <w:rFonts w:ascii="Open Sans SemiBold" w:eastAsia="Times New Roman" w:hAnsi="Open Sans SemiBold" w:cs="Open Sans SemiBold"/>
                <w:color w:val="FFFFFF"/>
                <w:sz w:val="16"/>
                <w:szCs w:val="16"/>
                <w:lang w:eastAsia="en-AU"/>
              </w:rPr>
              <w:t>Qld</w:t>
            </w:r>
          </w:p>
        </w:tc>
        <w:tc>
          <w:tcPr>
            <w:tcW w:w="820" w:type="dxa"/>
            <w:tcBorders>
              <w:top w:val="nil"/>
              <w:left w:val="nil"/>
              <w:bottom w:val="nil"/>
              <w:right w:val="nil"/>
            </w:tcBorders>
            <w:shd w:val="clear" w:color="000000" w:fill="006991"/>
            <w:vAlign w:val="center"/>
            <w:hideMark/>
          </w:tcPr>
          <w:p w14:paraId="7D742124" w14:textId="77777777" w:rsidR="00DE37C1" w:rsidRPr="00E478A7"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78A7">
              <w:rPr>
                <w:rFonts w:ascii="Open Sans SemiBold" w:eastAsia="Times New Roman" w:hAnsi="Open Sans SemiBold" w:cs="Open Sans SemiBold"/>
                <w:color w:val="FFFFFF"/>
                <w:sz w:val="16"/>
                <w:szCs w:val="16"/>
                <w:lang w:eastAsia="en-AU"/>
              </w:rPr>
              <w:t>WA</w:t>
            </w:r>
          </w:p>
        </w:tc>
        <w:tc>
          <w:tcPr>
            <w:tcW w:w="820" w:type="dxa"/>
            <w:tcBorders>
              <w:top w:val="nil"/>
              <w:left w:val="nil"/>
              <w:bottom w:val="nil"/>
              <w:right w:val="nil"/>
            </w:tcBorders>
            <w:shd w:val="clear" w:color="000000" w:fill="006991"/>
            <w:vAlign w:val="center"/>
            <w:hideMark/>
          </w:tcPr>
          <w:p w14:paraId="6B2865CD" w14:textId="77777777" w:rsidR="00DE37C1" w:rsidRPr="00E478A7"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78A7">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vAlign w:val="center"/>
            <w:hideMark/>
          </w:tcPr>
          <w:p w14:paraId="07D64FE7" w14:textId="77777777" w:rsidR="00DE37C1" w:rsidRPr="00E478A7"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78A7">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43C41015" w14:textId="77777777" w:rsidR="00DE37C1" w:rsidRPr="00E478A7"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78A7">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53A9D430" w14:textId="77777777" w:rsidR="00DE37C1" w:rsidRPr="00E478A7"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78A7">
              <w:rPr>
                <w:rFonts w:ascii="Open Sans SemiBold" w:eastAsia="Times New Roman" w:hAnsi="Open Sans SemiBold" w:cs="Open Sans SemiBold"/>
                <w:color w:val="FFFFFF"/>
                <w:sz w:val="16"/>
                <w:szCs w:val="16"/>
                <w:lang w:eastAsia="en-AU"/>
              </w:rPr>
              <w:t>NT</w:t>
            </w:r>
          </w:p>
        </w:tc>
        <w:tc>
          <w:tcPr>
            <w:tcW w:w="920" w:type="dxa"/>
            <w:tcBorders>
              <w:top w:val="nil"/>
              <w:left w:val="nil"/>
              <w:bottom w:val="nil"/>
              <w:right w:val="nil"/>
            </w:tcBorders>
            <w:shd w:val="clear" w:color="000000" w:fill="006991"/>
            <w:vAlign w:val="center"/>
            <w:hideMark/>
          </w:tcPr>
          <w:p w14:paraId="353E181E" w14:textId="77777777" w:rsidR="00DE37C1" w:rsidRPr="00E478A7"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478A7">
              <w:rPr>
                <w:rFonts w:ascii="Open Sans SemiBold" w:eastAsia="Times New Roman" w:hAnsi="Open Sans SemiBold" w:cs="Open Sans SemiBold"/>
                <w:color w:val="FFFFFF"/>
                <w:sz w:val="16"/>
                <w:szCs w:val="16"/>
                <w:lang w:eastAsia="en-AU"/>
              </w:rPr>
              <w:t>Total</w:t>
            </w:r>
          </w:p>
        </w:tc>
      </w:tr>
      <w:tr w:rsidR="00DE37C1" w:rsidRPr="00E478A7" w14:paraId="1B22EABA" w14:textId="77777777" w:rsidTr="00413EA0">
        <w:trPr>
          <w:trHeight w:val="255"/>
        </w:trPr>
        <w:tc>
          <w:tcPr>
            <w:tcW w:w="1860" w:type="dxa"/>
            <w:tcBorders>
              <w:top w:val="single" w:sz="4" w:space="0" w:color="ADD6EA"/>
              <w:left w:val="nil"/>
              <w:bottom w:val="single" w:sz="4" w:space="0" w:color="ADD6EA"/>
              <w:right w:val="nil"/>
            </w:tcBorders>
            <w:shd w:val="clear" w:color="000000" w:fill="B6D5E4"/>
            <w:noWrap/>
            <w:vAlign w:val="center"/>
            <w:hideMark/>
          </w:tcPr>
          <w:p w14:paraId="1243C5B9" w14:textId="77777777" w:rsidR="00DE37C1" w:rsidRPr="00E478A7"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 </w:t>
            </w:r>
          </w:p>
        </w:tc>
        <w:tc>
          <w:tcPr>
            <w:tcW w:w="820" w:type="dxa"/>
            <w:tcBorders>
              <w:top w:val="single" w:sz="4" w:space="0" w:color="ADD6EA"/>
              <w:left w:val="nil"/>
              <w:bottom w:val="single" w:sz="4" w:space="0" w:color="ADD6EA"/>
              <w:right w:val="nil"/>
            </w:tcBorders>
            <w:shd w:val="clear" w:color="000000" w:fill="B6D5E4"/>
            <w:noWrap/>
            <w:vAlign w:val="center"/>
            <w:hideMark/>
          </w:tcPr>
          <w:p w14:paraId="4D04F7EA"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'000</w:t>
            </w:r>
          </w:p>
        </w:tc>
        <w:tc>
          <w:tcPr>
            <w:tcW w:w="820" w:type="dxa"/>
            <w:tcBorders>
              <w:top w:val="single" w:sz="4" w:space="0" w:color="ADD6EA"/>
              <w:left w:val="nil"/>
              <w:bottom w:val="single" w:sz="4" w:space="0" w:color="ADD6EA"/>
              <w:right w:val="nil"/>
            </w:tcBorders>
            <w:shd w:val="clear" w:color="000000" w:fill="B6D5E4"/>
            <w:noWrap/>
            <w:vAlign w:val="center"/>
            <w:hideMark/>
          </w:tcPr>
          <w:p w14:paraId="52A79E34"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'000</w:t>
            </w:r>
          </w:p>
        </w:tc>
        <w:tc>
          <w:tcPr>
            <w:tcW w:w="820" w:type="dxa"/>
            <w:tcBorders>
              <w:top w:val="single" w:sz="4" w:space="0" w:color="ADD6EA"/>
              <w:left w:val="nil"/>
              <w:bottom w:val="single" w:sz="4" w:space="0" w:color="ADD6EA"/>
              <w:right w:val="nil"/>
            </w:tcBorders>
            <w:shd w:val="clear" w:color="000000" w:fill="B6D5E4"/>
            <w:noWrap/>
            <w:vAlign w:val="center"/>
            <w:hideMark/>
          </w:tcPr>
          <w:p w14:paraId="036D14B3"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'000</w:t>
            </w:r>
          </w:p>
        </w:tc>
        <w:tc>
          <w:tcPr>
            <w:tcW w:w="820" w:type="dxa"/>
            <w:tcBorders>
              <w:top w:val="single" w:sz="4" w:space="0" w:color="ADD6EA"/>
              <w:left w:val="nil"/>
              <w:bottom w:val="single" w:sz="4" w:space="0" w:color="ADD6EA"/>
              <w:right w:val="nil"/>
            </w:tcBorders>
            <w:shd w:val="clear" w:color="000000" w:fill="B6D5E4"/>
            <w:noWrap/>
            <w:vAlign w:val="center"/>
            <w:hideMark/>
          </w:tcPr>
          <w:p w14:paraId="0ABFC869"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'000</w:t>
            </w:r>
          </w:p>
        </w:tc>
        <w:tc>
          <w:tcPr>
            <w:tcW w:w="820" w:type="dxa"/>
            <w:tcBorders>
              <w:top w:val="single" w:sz="4" w:space="0" w:color="ADD6EA"/>
              <w:left w:val="nil"/>
              <w:bottom w:val="single" w:sz="4" w:space="0" w:color="ADD6EA"/>
              <w:right w:val="nil"/>
            </w:tcBorders>
            <w:shd w:val="clear" w:color="000000" w:fill="B6D5E4"/>
            <w:noWrap/>
            <w:vAlign w:val="center"/>
            <w:hideMark/>
          </w:tcPr>
          <w:p w14:paraId="7A780C27"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'000</w:t>
            </w:r>
          </w:p>
        </w:tc>
        <w:tc>
          <w:tcPr>
            <w:tcW w:w="700" w:type="dxa"/>
            <w:tcBorders>
              <w:top w:val="single" w:sz="4" w:space="0" w:color="ADD6EA"/>
              <w:left w:val="nil"/>
              <w:bottom w:val="single" w:sz="4" w:space="0" w:color="ADD6EA"/>
              <w:right w:val="nil"/>
            </w:tcBorders>
            <w:shd w:val="clear" w:color="000000" w:fill="B6D5E4"/>
            <w:noWrap/>
            <w:vAlign w:val="center"/>
            <w:hideMark/>
          </w:tcPr>
          <w:p w14:paraId="6A773438"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'000</w:t>
            </w:r>
          </w:p>
        </w:tc>
        <w:tc>
          <w:tcPr>
            <w:tcW w:w="700" w:type="dxa"/>
            <w:tcBorders>
              <w:top w:val="single" w:sz="4" w:space="0" w:color="ADD6EA"/>
              <w:left w:val="nil"/>
              <w:bottom w:val="single" w:sz="4" w:space="0" w:color="ADD6EA"/>
              <w:right w:val="nil"/>
            </w:tcBorders>
            <w:shd w:val="clear" w:color="000000" w:fill="B6D5E4"/>
            <w:noWrap/>
            <w:vAlign w:val="center"/>
            <w:hideMark/>
          </w:tcPr>
          <w:p w14:paraId="7A1B3284"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'000</w:t>
            </w:r>
          </w:p>
        </w:tc>
        <w:tc>
          <w:tcPr>
            <w:tcW w:w="700" w:type="dxa"/>
            <w:tcBorders>
              <w:top w:val="single" w:sz="4" w:space="0" w:color="ADD6EA"/>
              <w:left w:val="nil"/>
              <w:bottom w:val="single" w:sz="4" w:space="0" w:color="ADD6EA"/>
              <w:right w:val="nil"/>
            </w:tcBorders>
            <w:shd w:val="clear" w:color="000000" w:fill="B6D5E4"/>
            <w:noWrap/>
            <w:vAlign w:val="center"/>
            <w:hideMark/>
          </w:tcPr>
          <w:p w14:paraId="006DDA8F"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'000</w:t>
            </w:r>
          </w:p>
        </w:tc>
        <w:tc>
          <w:tcPr>
            <w:tcW w:w="920" w:type="dxa"/>
            <w:tcBorders>
              <w:top w:val="single" w:sz="4" w:space="0" w:color="ADD6EA"/>
              <w:left w:val="nil"/>
              <w:bottom w:val="single" w:sz="4" w:space="0" w:color="ADD6EA"/>
              <w:right w:val="nil"/>
            </w:tcBorders>
            <w:shd w:val="clear" w:color="000000" w:fill="B6D5E4"/>
            <w:noWrap/>
            <w:vAlign w:val="center"/>
            <w:hideMark/>
          </w:tcPr>
          <w:p w14:paraId="116642F2"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'000</w:t>
            </w:r>
          </w:p>
        </w:tc>
      </w:tr>
      <w:tr w:rsidR="00DE37C1" w:rsidRPr="00E478A7" w14:paraId="74CA726A" w14:textId="77777777" w:rsidTr="00555B4E">
        <w:trPr>
          <w:trHeight w:val="315"/>
        </w:trPr>
        <w:tc>
          <w:tcPr>
            <w:tcW w:w="1860" w:type="dxa"/>
            <w:tcBorders>
              <w:top w:val="nil"/>
              <w:left w:val="nil"/>
              <w:bottom w:val="single" w:sz="4" w:space="0" w:color="ADD6EA"/>
              <w:right w:val="nil"/>
            </w:tcBorders>
            <w:shd w:val="clear" w:color="000000" w:fill="FFFFFF"/>
            <w:vAlign w:val="bottom"/>
            <w:hideMark/>
          </w:tcPr>
          <w:p w14:paraId="25939203" w14:textId="77777777" w:rsidR="00DE37C1" w:rsidRPr="00E478A7" w:rsidRDefault="00DE37C1" w:rsidP="004D65FE">
            <w:pPr>
              <w:tabs>
                <w:tab w:val="clear" w:pos="567"/>
              </w:tabs>
              <w:spacing w:before="0" w:line="240" w:lineRule="auto"/>
              <w:rPr>
                <w:rFonts w:eastAsia="Times New Roman" w:cs="Open Sans Light"/>
                <w:color w:val="000000"/>
                <w:sz w:val="16"/>
                <w:szCs w:val="16"/>
                <w:lang w:eastAsia="en-AU"/>
              </w:rPr>
            </w:pPr>
            <w:r w:rsidRPr="00E478A7">
              <w:rPr>
                <w:rFonts w:eastAsia="Times New Roman" w:cs="Open Sans Light"/>
                <w:color w:val="000000"/>
                <w:sz w:val="16"/>
                <w:szCs w:val="16"/>
                <w:lang w:eastAsia="en-AU"/>
              </w:rPr>
              <w:t>2016-17</w:t>
            </w:r>
          </w:p>
        </w:tc>
        <w:tc>
          <w:tcPr>
            <w:tcW w:w="820" w:type="dxa"/>
            <w:tcBorders>
              <w:top w:val="nil"/>
              <w:left w:val="nil"/>
              <w:bottom w:val="single" w:sz="4" w:space="0" w:color="ADD6EA"/>
              <w:right w:val="nil"/>
            </w:tcBorders>
            <w:shd w:val="clear" w:color="000000" w:fill="FFFFFF"/>
            <w:vAlign w:val="bottom"/>
            <w:hideMark/>
          </w:tcPr>
          <w:p w14:paraId="29555445"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7,802</w:t>
            </w:r>
          </w:p>
        </w:tc>
        <w:tc>
          <w:tcPr>
            <w:tcW w:w="820" w:type="dxa"/>
            <w:tcBorders>
              <w:top w:val="nil"/>
              <w:left w:val="nil"/>
              <w:bottom w:val="single" w:sz="4" w:space="0" w:color="ADD6EA"/>
              <w:right w:val="nil"/>
            </w:tcBorders>
            <w:shd w:val="clear" w:color="000000" w:fill="FFFFFF"/>
            <w:vAlign w:val="bottom"/>
            <w:hideMark/>
          </w:tcPr>
          <w:p w14:paraId="498EAEB9"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6,245</w:t>
            </w:r>
          </w:p>
        </w:tc>
        <w:tc>
          <w:tcPr>
            <w:tcW w:w="820" w:type="dxa"/>
            <w:tcBorders>
              <w:top w:val="nil"/>
              <w:left w:val="nil"/>
              <w:bottom w:val="single" w:sz="4" w:space="0" w:color="ADD6EA"/>
              <w:right w:val="nil"/>
            </w:tcBorders>
            <w:shd w:val="clear" w:color="000000" w:fill="FFFFFF"/>
            <w:vAlign w:val="bottom"/>
            <w:hideMark/>
          </w:tcPr>
          <w:p w14:paraId="01D1D4A0"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4,884</w:t>
            </w:r>
          </w:p>
        </w:tc>
        <w:tc>
          <w:tcPr>
            <w:tcW w:w="820" w:type="dxa"/>
            <w:tcBorders>
              <w:top w:val="nil"/>
              <w:left w:val="nil"/>
              <w:bottom w:val="single" w:sz="4" w:space="0" w:color="ADD6EA"/>
              <w:right w:val="nil"/>
            </w:tcBorders>
            <w:shd w:val="clear" w:color="000000" w:fill="FFFFFF"/>
            <w:vAlign w:val="bottom"/>
            <w:hideMark/>
          </w:tcPr>
          <w:p w14:paraId="69D6BF03"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2,564</w:t>
            </w:r>
          </w:p>
        </w:tc>
        <w:tc>
          <w:tcPr>
            <w:tcW w:w="820" w:type="dxa"/>
            <w:tcBorders>
              <w:top w:val="nil"/>
              <w:left w:val="nil"/>
              <w:bottom w:val="single" w:sz="4" w:space="0" w:color="ADD6EA"/>
              <w:right w:val="nil"/>
            </w:tcBorders>
            <w:shd w:val="clear" w:color="000000" w:fill="FFFFFF"/>
            <w:vAlign w:val="bottom"/>
            <w:hideMark/>
          </w:tcPr>
          <w:p w14:paraId="6E6ABB78"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1,717</w:t>
            </w:r>
          </w:p>
        </w:tc>
        <w:tc>
          <w:tcPr>
            <w:tcW w:w="700" w:type="dxa"/>
            <w:tcBorders>
              <w:top w:val="nil"/>
              <w:left w:val="nil"/>
              <w:bottom w:val="single" w:sz="4" w:space="0" w:color="ADD6EA"/>
              <w:right w:val="nil"/>
            </w:tcBorders>
            <w:shd w:val="clear" w:color="000000" w:fill="FFFFFF"/>
            <w:vAlign w:val="bottom"/>
            <w:hideMark/>
          </w:tcPr>
          <w:p w14:paraId="0FA6D239"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520</w:t>
            </w:r>
          </w:p>
        </w:tc>
        <w:tc>
          <w:tcPr>
            <w:tcW w:w="700" w:type="dxa"/>
            <w:tcBorders>
              <w:top w:val="nil"/>
              <w:left w:val="nil"/>
              <w:bottom w:val="single" w:sz="4" w:space="0" w:color="ADD6EA"/>
              <w:right w:val="nil"/>
            </w:tcBorders>
            <w:shd w:val="clear" w:color="000000" w:fill="FFFFFF"/>
            <w:vAlign w:val="bottom"/>
            <w:hideMark/>
          </w:tcPr>
          <w:p w14:paraId="0DDB9047"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407</w:t>
            </w:r>
          </w:p>
        </w:tc>
        <w:tc>
          <w:tcPr>
            <w:tcW w:w="700" w:type="dxa"/>
            <w:tcBorders>
              <w:top w:val="nil"/>
              <w:left w:val="nil"/>
              <w:bottom w:val="single" w:sz="4" w:space="0" w:color="ADD6EA"/>
              <w:right w:val="nil"/>
            </w:tcBorders>
            <w:shd w:val="clear" w:color="000000" w:fill="FFFFFF"/>
            <w:vAlign w:val="bottom"/>
            <w:hideMark/>
          </w:tcPr>
          <w:p w14:paraId="3B3AB6C8"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246</w:t>
            </w:r>
          </w:p>
        </w:tc>
        <w:tc>
          <w:tcPr>
            <w:tcW w:w="920" w:type="dxa"/>
            <w:tcBorders>
              <w:top w:val="nil"/>
              <w:left w:val="nil"/>
              <w:bottom w:val="single" w:sz="4" w:space="0" w:color="ADD6EA"/>
              <w:right w:val="nil"/>
            </w:tcBorders>
            <w:shd w:val="clear" w:color="000000" w:fill="FFFFFF"/>
            <w:vAlign w:val="bottom"/>
            <w:hideMark/>
          </w:tcPr>
          <w:p w14:paraId="5682D8F7"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24,385</w:t>
            </w:r>
          </w:p>
        </w:tc>
      </w:tr>
      <w:tr w:rsidR="00DE37C1" w:rsidRPr="00E478A7" w14:paraId="5F3D1EBC" w14:textId="77777777" w:rsidTr="00555B4E">
        <w:trPr>
          <w:trHeight w:val="315"/>
        </w:trPr>
        <w:tc>
          <w:tcPr>
            <w:tcW w:w="1860" w:type="dxa"/>
            <w:tcBorders>
              <w:top w:val="nil"/>
              <w:left w:val="nil"/>
              <w:bottom w:val="single" w:sz="4" w:space="0" w:color="ADD6EA"/>
              <w:right w:val="nil"/>
            </w:tcBorders>
            <w:shd w:val="clear" w:color="000000" w:fill="FFFFFF"/>
            <w:vAlign w:val="bottom"/>
            <w:hideMark/>
          </w:tcPr>
          <w:p w14:paraId="159441EC" w14:textId="77777777" w:rsidR="00DE37C1" w:rsidRPr="00E478A7" w:rsidRDefault="00DE37C1" w:rsidP="004D65FE">
            <w:pPr>
              <w:tabs>
                <w:tab w:val="clear" w:pos="567"/>
              </w:tabs>
              <w:spacing w:before="0" w:line="240" w:lineRule="auto"/>
              <w:rPr>
                <w:rFonts w:eastAsia="Times New Roman" w:cs="Open Sans Light"/>
                <w:color w:val="000000"/>
                <w:sz w:val="16"/>
                <w:szCs w:val="16"/>
                <w:lang w:eastAsia="en-AU"/>
              </w:rPr>
            </w:pPr>
            <w:r w:rsidRPr="00E478A7">
              <w:rPr>
                <w:rFonts w:eastAsia="Times New Roman" w:cs="Open Sans Light"/>
                <w:color w:val="000000"/>
                <w:sz w:val="16"/>
                <w:szCs w:val="16"/>
                <w:lang w:eastAsia="en-AU"/>
              </w:rPr>
              <w:t>2017-18</w:t>
            </w:r>
          </w:p>
        </w:tc>
        <w:tc>
          <w:tcPr>
            <w:tcW w:w="820" w:type="dxa"/>
            <w:tcBorders>
              <w:top w:val="nil"/>
              <w:left w:val="nil"/>
              <w:bottom w:val="single" w:sz="4" w:space="0" w:color="ADD6EA"/>
              <w:right w:val="nil"/>
            </w:tcBorders>
            <w:shd w:val="clear" w:color="000000" w:fill="FFFFFF"/>
            <w:vAlign w:val="bottom"/>
            <w:hideMark/>
          </w:tcPr>
          <w:p w14:paraId="73B1C67C"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7,920</w:t>
            </w:r>
          </w:p>
        </w:tc>
        <w:tc>
          <w:tcPr>
            <w:tcW w:w="820" w:type="dxa"/>
            <w:tcBorders>
              <w:top w:val="nil"/>
              <w:left w:val="nil"/>
              <w:bottom w:val="single" w:sz="4" w:space="0" w:color="ADD6EA"/>
              <w:right w:val="nil"/>
            </w:tcBorders>
            <w:shd w:val="clear" w:color="000000" w:fill="FFFFFF"/>
            <w:vAlign w:val="bottom"/>
            <w:hideMark/>
          </w:tcPr>
          <w:p w14:paraId="06187564"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6,387</w:t>
            </w:r>
          </w:p>
        </w:tc>
        <w:tc>
          <w:tcPr>
            <w:tcW w:w="820" w:type="dxa"/>
            <w:tcBorders>
              <w:top w:val="nil"/>
              <w:left w:val="nil"/>
              <w:bottom w:val="single" w:sz="4" w:space="0" w:color="ADD6EA"/>
              <w:right w:val="nil"/>
            </w:tcBorders>
            <w:shd w:val="clear" w:color="000000" w:fill="FFFFFF"/>
            <w:vAlign w:val="bottom"/>
            <w:hideMark/>
          </w:tcPr>
          <w:p w14:paraId="735C37FF"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4,963</w:t>
            </w:r>
          </w:p>
        </w:tc>
        <w:tc>
          <w:tcPr>
            <w:tcW w:w="820" w:type="dxa"/>
            <w:tcBorders>
              <w:top w:val="nil"/>
              <w:left w:val="nil"/>
              <w:bottom w:val="single" w:sz="4" w:space="0" w:color="ADD6EA"/>
              <w:right w:val="nil"/>
            </w:tcBorders>
            <w:shd w:val="clear" w:color="000000" w:fill="FFFFFF"/>
            <w:vAlign w:val="bottom"/>
            <w:hideMark/>
          </w:tcPr>
          <w:p w14:paraId="33DD1418"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2,583</w:t>
            </w:r>
          </w:p>
        </w:tc>
        <w:tc>
          <w:tcPr>
            <w:tcW w:w="820" w:type="dxa"/>
            <w:tcBorders>
              <w:top w:val="nil"/>
              <w:left w:val="nil"/>
              <w:bottom w:val="single" w:sz="4" w:space="0" w:color="ADD6EA"/>
              <w:right w:val="nil"/>
            </w:tcBorders>
            <w:shd w:val="clear" w:color="000000" w:fill="FFFFFF"/>
            <w:vAlign w:val="bottom"/>
            <w:hideMark/>
          </w:tcPr>
          <w:p w14:paraId="4358AA45"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1,728</w:t>
            </w:r>
          </w:p>
        </w:tc>
        <w:tc>
          <w:tcPr>
            <w:tcW w:w="700" w:type="dxa"/>
            <w:tcBorders>
              <w:top w:val="nil"/>
              <w:left w:val="nil"/>
              <w:bottom w:val="single" w:sz="4" w:space="0" w:color="ADD6EA"/>
              <w:right w:val="nil"/>
            </w:tcBorders>
            <w:shd w:val="clear" w:color="000000" w:fill="FFFFFF"/>
            <w:vAlign w:val="bottom"/>
            <w:hideMark/>
          </w:tcPr>
          <w:p w14:paraId="3B88F2D5"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525</w:t>
            </w:r>
          </w:p>
        </w:tc>
        <w:tc>
          <w:tcPr>
            <w:tcW w:w="700" w:type="dxa"/>
            <w:tcBorders>
              <w:top w:val="nil"/>
              <w:left w:val="nil"/>
              <w:bottom w:val="single" w:sz="4" w:space="0" w:color="ADD6EA"/>
              <w:right w:val="nil"/>
            </w:tcBorders>
            <w:shd w:val="clear" w:color="000000" w:fill="FFFFFF"/>
            <w:vAlign w:val="bottom"/>
            <w:hideMark/>
          </w:tcPr>
          <w:p w14:paraId="0FD8A016"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416</w:t>
            </w:r>
          </w:p>
        </w:tc>
        <w:tc>
          <w:tcPr>
            <w:tcW w:w="700" w:type="dxa"/>
            <w:tcBorders>
              <w:top w:val="nil"/>
              <w:left w:val="nil"/>
              <w:bottom w:val="single" w:sz="4" w:space="0" w:color="ADD6EA"/>
              <w:right w:val="nil"/>
            </w:tcBorders>
            <w:shd w:val="clear" w:color="000000" w:fill="FFFFFF"/>
            <w:vAlign w:val="bottom"/>
            <w:hideMark/>
          </w:tcPr>
          <w:p w14:paraId="04822325"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247</w:t>
            </w:r>
          </w:p>
        </w:tc>
        <w:tc>
          <w:tcPr>
            <w:tcW w:w="920" w:type="dxa"/>
            <w:tcBorders>
              <w:top w:val="nil"/>
              <w:left w:val="nil"/>
              <w:bottom w:val="single" w:sz="4" w:space="0" w:color="ADD6EA"/>
              <w:right w:val="nil"/>
            </w:tcBorders>
            <w:shd w:val="clear" w:color="000000" w:fill="FFFFFF"/>
            <w:vAlign w:val="bottom"/>
            <w:hideMark/>
          </w:tcPr>
          <w:p w14:paraId="0F8AE9EF"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24,769</w:t>
            </w:r>
          </w:p>
        </w:tc>
      </w:tr>
      <w:tr w:rsidR="00DE37C1" w:rsidRPr="00E478A7" w14:paraId="3A4EA8BF" w14:textId="77777777" w:rsidTr="00555B4E">
        <w:trPr>
          <w:trHeight w:val="315"/>
        </w:trPr>
        <w:tc>
          <w:tcPr>
            <w:tcW w:w="1860" w:type="dxa"/>
            <w:tcBorders>
              <w:top w:val="nil"/>
              <w:left w:val="nil"/>
              <w:bottom w:val="single" w:sz="4" w:space="0" w:color="ADD6EA"/>
              <w:right w:val="nil"/>
            </w:tcBorders>
            <w:shd w:val="clear" w:color="000000" w:fill="FFFFFF"/>
            <w:vAlign w:val="bottom"/>
            <w:hideMark/>
          </w:tcPr>
          <w:p w14:paraId="46D0F2E1" w14:textId="77777777" w:rsidR="00DE37C1" w:rsidRPr="00E478A7" w:rsidRDefault="00DE37C1" w:rsidP="004D65FE">
            <w:pPr>
              <w:tabs>
                <w:tab w:val="clear" w:pos="567"/>
              </w:tabs>
              <w:spacing w:before="0" w:line="240" w:lineRule="auto"/>
              <w:rPr>
                <w:rFonts w:eastAsia="Times New Roman" w:cs="Open Sans Light"/>
                <w:color w:val="000000"/>
                <w:sz w:val="16"/>
                <w:szCs w:val="16"/>
                <w:lang w:eastAsia="en-AU"/>
              </w:rPr>
            </w:pPr>
            <w:r w:rsidRPr="00E478A7">
              <w:rPr>
                <w:rFonts w:eastAsia="Times New Roman" w:cs="Open Sans Light"/>
                <w:color w:val="000000"/>
                <w:sz w:val="16"/>
                <w:szCs w:val="16"/>
                <w:lang w:eastAsia="en-AU"/>
              </w:rPr>
              <w:t>2018-19</w:t>
            </w:r>
          </w:p>
        </w:tc>
        <w:tc>
          <w:tcPr>
            <w:tcW w:w="820" w:type="dxa"/>
            <w:tcBorders>
              <w:top w:val="nil"/>
              <w:left w:val="nil"/>
              <w:bottom w:val="single" w:sz="4" w:space="0" w:color="ADD6EA"/>
              <w:right w:val="nil"/>
            </w:tcBorders>
            <w:shd w:val="clear" w:color="000000" w:fill="FFFFFF"/>
            <w:vAlign w:val="bottom"/>
            <w:hideMark/>
          </w:tcPr>
          <w:p w14:paraId="590280BF"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8,038</w:t>
            </w:r>
          </w:p>
        </w:tc>
        <w:tc>
          <w:tcPr>
            <w:tcW w:w="820" w:type="dxa"/>
            <w:tcBorders>
              <w:top w:val="nil"/>
              <w:left w:val="nil"/>
              <w:bottom w:val="single" w:sz="4" w:space="0" w:color="ADD6EA"/>
              <w:right w:val="nil"/>
            </w:tcBorders>
            <w:shd w:val="clear" w:color="000000" w:fill="FFFFFF"/>
            <w:vAlign w:val="bottom"/>
            <w:hideMark/>
          </w:tcPr>
          <w:p w14:paraId="50120583"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6,527</w:t>
            </w:r>
          </w:p>
        </w:tc>
        <w:tc>
          <w:tcPr>
            <w:tcW w:w="820" w:type="dxa"/>
            <w:tcBorders>
              <w:top w:val="nil"/>
              <w:left w:val="nil"/>
              <w:bottom w:val="single" w:sz="4" w:space="0" w:color="ADD6EA"/>
              <w:right w:val="nil"/>
            </w:tcBorders>
            <w:shd w:val="clear" w:color="000000" w:fill="FFFFFF"/>
            <w:vAlign w:val="bottom"/>
            <w:hideMark/>
          </w:tcPr>
          <w:p w14:paraId="5E6A6288"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5,051</w:t>
            </w:r>
          </w:p>
        </w:tc>
        <w:tc>
          <w:tcPr>
            <w:tcW w:w="820" w:type="dxa"/>
            <w:tcBorders>
              <w:top w:val="nil"/>
              <w:left w:val="nil"/>
              <w:bottom w:val="single" w:sz="4" w:space="0" w:color="ADD6EA"/>
              <w:right w:val="nil"/>
            </w:tcBorders>
            <w:shd w:val="clear" w:color="000000" w:fill="FFFFFF"/>
            <w:vAlign w:val="bottom"/>
            <w:hideMark/>
          </w:tcPr>
          <w:p w14:paraId="3252E37C"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2,606</w:t>
            </w:r>
          </w:p>
        </w:tc>
        <w:tc>
          <w:tcPr>
            <w:tcW w:w="820" w:type="dxa"/>
            <w:tcBorders>
              <w:top w:val="nil"/>
              <w:left w:val="nil"/>
              <w:bottom w:val="single" w:sz="4" w:space="0" w:color="ADD6EA"/>
              <w:right w:val="nil"/>
            </w:tcBorders>
            <w:shd w:val="clear" w:color="000000" w:fill="FFFFFF"/>
            <w:vAlign w:val="bottom"/>
            <w:hideMark/>
          </w:tcPr>
          <w:p w14:paraId="30EDCAFD"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1,743</w:t>
            </w:r>
          </w:p>
        </w:tc>
        <w:tc>
          <w:tcPr>
            <w:tcW w:w="700" w:type="dxa"/>
            <w:tcBorders>
              <w:top w:val="nil"/>
              <w:left w:val="nil"/>
              <w:bottom w:val="single" w:sz="4" w:space="0" w:color="ADD6EA"/>
              <w:right w:val="nil"/>
            </w:tcBorders>
            <w:shd w:val="clear" w:color="000000" w:fill="FFFFFF"/>
            <w:vAlign w:val="bottom"/>
            <w:hideMark/>
          </w:tcPr>
          <w:p w14:paraId="2D911591"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532</w:t>
            </w:r>
          </w:p>
        </w:tc>
        <w:tc>
          <w:tcPr>
            <w:tcW w:w="700" w:type="dxa"/>
            <w:tcBorders>
              <w:top w:val="nil"/>
              <w:left w:val="nil"/>
              <w:bottom w:val="single" w:sz="4" w:space="0" w:color="ADD6EA"/>
              <w:right w:val="nil"/>
            </w:tcBorders>
            <w:shd w:val="clear" w:color="000000" w:fill="FFFFFF"/>
            <w:vAlign w:val="bottom"/>
            <w:hideMark/>
          </w:tcPr>
          <w:p w14:paraId="31F5245B"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423</w:t>
            </w:r>
          </w:p>
        </w:tc>
        <w:tc>
          <w:tcPr>
            <w:tcW w:w="700" w:type="dxa"/>
            <w:tcBorders>
              <w:top w:val="nil"/>
              <w:left w:val="nil"/>
              <w:bottom w:val="single" w:sz="4" w:space="0" w:color="ADD6EA"/>
              <w:right w:val="nil"/>
            </w:tcBorders>
            <w:shd w:val="clear" w:color="000000" w:fill="FFFFFF"/>
            <w:vAlign w:val="bottom"/>
            <w:hideMark/>
          </w:tcPr>
          <w:p w14:paraId="2480983E"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246</w:t>
            </w:r>
          </w:p>
        </w:tc>
        <w:tc>
          <w:tcPr>
            <w:tcW w:w="920" w:type="dxa"/>
            <w:tcBorders>
              <w:top w:val="nil"/>
              <w:left w:val="nil"/>
              <w:bottom w:val="single" w:sz="4" w:space="0" w:color="ADD6EA"/>
              <w:right w:val="nil"/>
            </w:tcBorders>
            <w:shd w:val="clear" w:color="000000" w:fill="FFFFFF"/>
            <w:vAlign w:val="bottom"/>
            <w:hideMark/>
          </w:tcPr>
          <w:p w14:paraId="745D4C8D"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25,166</w:t>
            </w:r>
          </w:p>
        </w:tc>
      </w:tr>
      <w:tr w:rsidR="00DE37C1" w:rsidRPr="00E478A7" w14:paraId="35EAF424" w14:textId="77777777" w:rsidTr="00555B4E">
        <w:trPr>
          <w:trHeight w:val="315"/>
        </w:trPr>
        <w:tc>
          <w:tcPr>
            <w:tcW w:w="1860" w:type="dxa"/>
            <w:tcBorders>
              <w:top w:val="nil"/>
              <w:left w:val="nil"/>
              <w:bottom w:val="single" w:sz="4" w:space="0" w:color="ADD6EA"/>
              <w:right w:val="nil"/>
            </w:tcBorders>
            <w:shd w:val="clear" w:color="000000" w:fill="FFFFFF"/>
            <w:vAlign w:val="bottom"/>
            <w:hideMark/>
          </w:tcPr>
          <w:p w14:paraId="76AC7409" w14:textId="77777777" w:rsidR="00DE37C1" w:rsidRPr="00E478A7" w:rsidRDefault="00DE37C1" w:rsidP="004D65FE">
            <w:pPr>
              <w:tabs>
                <w:tab w:val="clear" w:pos="567"/>
              </w:tabs>
              <w:spacing w:before="0" w:line="240" w:lineRule="auto"/>
              <w:rPr>
                <w:rFonts w:eastAsia="Times New Roman" w:cs="Open Sans Light"/>
                <w:color w:val="000000"/>
                <w:sz w:val="16"/>
                <w:szCs w:val="16"/>
                <w:lang w:eastAsia="en-AU"/>
              </w:rPr>
            </w:pPr>
            <w:r w:rsidRPr="00E478A7">
              <w:rPr>
                <w:rFonts w:eastAsia="Times New Roman" w:cs="Open Sans Light"/>
                <w:color w:val="000000"/>
                <w:sz w:val="16"/>
                <w:szCs w:val="16"/>
                <w:lang w:eastAsia="en-AU"/>
              </w:rPr>
              <w:t>2020-21</w:t>
            </w:r>
          </w:p>
        </w:tc>
        <w:tc>
          <w:tcPr>
            <w:tcW w:w="820" w:type="dxa"/>
            <w:tcBorders>
              <w:top w:val="nil"/>
              <w:left w:val="nil"/>
              <w:bottom w:val="single" w:sz="4" w:space="0" w:color="ADD6EA"/>
              <w:right w:val="nil"/>
            </w:tcBorders>
            <w:shd w:val="clear" w:color="000000" w:fill="FFFFFF"/>
            <w:vAlign w:val="bottom"/>
            <w:hideMark/>
          </w:tcPr>
          <w:p w14:paraId="50EC7681"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8,301</w:t>
            </w:r>
          </w:p>
        </w:tc>
        <w:tc>
          <w:tcPr>
            <w:tcW w:w="820" w:type="dxa"/>
            <w:tcBorders>
              <w:top w:val="nil"/>
              <w:left w:val="nil"/>
              <w:bottom w:val="single" w:sz="4" w:space="0" w:color="ADD6EA"/>
              <w:right w:val="nil"/>
            </w:tcBorders>
            <w:shd w:val="clear" w:color="000000" w:fill="FFFFFF"/>
            <w:vAlign w:val="bottom"/>
            <w:hideMark/>
          </w:tcPr>
          <w:p w14:paraId="1A8B08CF"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6,833</w:t>
            </w:r>
          </w:p>
        </w:tc>
        <w:tc>
          <w:tcPr>
            <w:tcW w:w="820" w:type="dxa"/>
            <w:tcBorders>
              <w:top w:val="nil"/>
              <w:left w:val="nil"/>
              <w:bottom w:val="single" w:sz="4" w:space="0" w:color="ADD6EA"/>
              <w:right w:val="nil"/>
            </w:tcBorders>
            <w:shd w:val="clear" w:color="000000" w:fill="FFFFFF"/>
            <w:vAlign w:val="bottom"/>
            <w:hideMark/>
          </w:tcPr>
          <w:p w14:paraId="62DDADC9"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5,233</w:t>
            </w:r>
          </w:p>
        </w:tc>
        <w:tc>
          <w:tcPr>
            <w:tcW w:w="820" w:type="dxa"/>
            <w:tcBorders>
              <w:top w:val="nil"/>
              <w:left w:val="nil"/>
              <w:bottom w:val="single" w:sz="4" w:space="0" w:color="ADD6EA"/>
              <w:right w:val="nil"/>
            </w:tcBorders>
            <w:shd w:val="clear" w:color="000000" w:fill="FFFFFF"/>
            <w:vAlign w:val="bottom"/>
            <w:hideMark/>
          </w:tcPr>
          <w:p w14:paraId="6D60E7E3"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2,653</w:t>
            </w:r>
          </w:p>
        </w:tc>
        <w:tc>
          <w:tcPr>
            <w:tcW w:w="820" w:type="dxa"/>
            <w:tcBorders>
              <w:top w:val="nil"/>
              <w:left w:val="nil"/>
              <w:bottom w:val="single" w:sz="4" w:space="0" w:color="ADD6EA"/>
              <w:right w:val="nil"/>
            </w:tcBorders>
            <w:shd w:val="clear" w:color="000000" w:fill="FFFFFF"/>
            <w:vAlign w:val="bottom"/>
            <w:hideMark/>
          </w:tcPr>
          <w:p w14:paraId="39ACD093"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1,772</w:t>
            </w:r>
          </w:p>
        </w:tc>
        <w:tc>
          <w:tcPr>
            <w:tcW w:w="700" w:type="dxa"/>
            <w:tcBorders>
              <w:top w:val="nil"/>
              <w:left w:val="nil"/>
              <w:bottom w:val="single" w:sz="4" w:space="0" w:color="ADD6EA"/>
              <w:right w:val="nil"/>
            </w:tcBorders>
            <w:shd w:val="clear" w:color="000000" w:fill="FFFFFF"/>
            <w:vAlign w:val="bottom"/>
            <w:hideMark/>
          </w:tcPr>
          <w:p w14:paraId="35CA5A77"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544</w:t>
            </w:r>
          </w:p>
        </w:tc>
        <w:tc>
          <w:tcPr>
            <w:tcW w:w="700" w:type="dxa"/>
            <w:tcBorders>
              <w:top w:val="nil"/>
              <w:left w:val="nil"/>
              <w:bottom w:val="single" w:sz="4" w:space="0" w:color="ADD6EA"/>
              <w:right w:val="nil"/>
            </w:tcBorders>
            <w:shd w:val="clear" w:color="000000" w:fill="FFFFFF"/>
            <w:vAlign w:val="bottom"/>
            <w:hideMark/>
          </w:tcPr>
          <w:p w14:paraId="2EFD5083"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440</w:t>
            </w:r>
          </w:p>
        </w:tc>
        <w:tc>
          <w:tcPr>
            <w:tcW w:w="700" w:type="dxa"/>
            <w:tcBorders>
              <w:top w:val="nil"/>
              <w:left w:val="nil"/>
              <w:bottom w:val="single" w:sz="4" w:space="0" w:color="ADD6EA"/>
              <w:right w:val="nil"/>
            </w:tcBorders>
            <w:shd w:val="clear" w:color="000000" w:fill="FFFFFF"/>
            <w:vAlign w:val="bottom"/>
            <w:hideMark/>
          </w:tcPr>
          <w:p w14:paraId="47067DCB"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246</w:t>
            </w:r>
          </w:p>
        </w:tc>
        <w:tc>
          <w:tcPr>
            <w:tcW w:w="920" w:type="dxa"/>
            <w:tcBorders>
              <w:top w:val="nil"/>
              <w:left w:val="nil"/>
              <w:bottom w:val="single" w:sz="4" w:space="0" w:color="ADD6EA"/>
              <w:right w:val="nil"/>
            </w:tcBorders>
            <w:shd w:val="clear" w:color="000000" w:fill="FFFFFF"/>
            <w:vAlign w:val="bottom"/>
            <w:hideMark/>
          </w:tcPr>
          <w:p w14:paraId="5F14A42B"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26,023</w:t>
            </w:r>
          </w:p>
        </w:tc>
      </w:tr>
      <w:tr w:rsidR="00DE37C1" w:rsidRPr="00E478A7" w14:paraId="0DF82CFA" w14:textId="77777777" w:rsidTr="00413EA0">
        <w:trPr>
          <w:trHeight w:val="255"/>
        </w:trPr>
        <w:tc>
          <w:tcPr>
            <w:tcW w:w="1860" w:type="dxa"/>
            <w:tcBorders>
              <w:top w:val="nil"/>
              <w:left w:val="nil"/>
              <w:bottom w:val="single" w:sz="4" w:space="0" w:color="ADD6EA"/>
              <w:right w:val="nil"/>
            </w:tcBorders>
            <w:shd w:val="clear" w:color="000000" w:fill="B6D5E4"/>
            <w:noWrap/>
            <w:vAlign w:val="center"/>
            <w:hideMark/>
          </w:tcPr>
          <w:p w14:paraId="11A4DFD9" w14:textId="77777777" w:rsidR="00DE37C1" w:rsidRPr="00E478A7"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 </w:t>
            </w:r>
          </w:p>
        </w:tc>
        <w:tc>
          <w:tcPr>
            <w:tcW w:w="820" w:type="dxa"/>
            <w:tcBorders>
              <w:top w:val="nil"/>
              <w:left w:val="nil"/>
              <w:bottom w:val="single" w:sz="4" w:space="0" w:color="ADD6EA"/>
              <w:right w:val="nil"/>
            </w:tcBorders>
            <w:shd w:val="clear" w:color="000000" w:fill="B6D5E4"/>
            <w:noWrap/>
            <w:vAlign w:val="center"/>
            <w:hideMark/>
          </w:tcPr>
          <w:p w14:paraId="7D2C4858"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w:t>
            </w:r>
          </w:p>
        </w:tc>
        <w:tc>
          <w:tcPr>
            <w:tcW w:w="820" w:type="dxa"/>
            <w:tcBorders>
              <w:top w:val="nil"/>
              <w:left w:val="nil"/>
              <w:bottom w:val="single" w:sz="4" w:space="0" w:color="ADD6EA"/>
              <w:right w:val="nil"/>
            </w:tcBorders>
            <w:shd w:val="clear" w:color="000000" w:fill="B6D5E4"/>
            <w:noWrap/>
            <w:vAlign w:val="center"/>
            <w:hideMark/>
          </w:tcPr>
          <w:p w14:paraId="26E040DF"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w:t>
            </w:r>
          </w:p>
        </w:tc>
        <w:tc>
          <w:tcPr>
            <w:tcW w:w="820" w:type="dxa"/>
            <w:tcBorders>
              <w:top w:val="nil"/>
              <w:left w:val="nil"/>
              <w:bottom w:val="single" w:sz="4" w:space="0" w:color="ADD6EA"/>
              <w:right w:val="nil"/>
            </w:tcBorders>
            <w:shd w:val="clear" w:color="000000" w:fill="B6D5E4"/>
            <w:noWrap/>
            <w:vAlign w:val="center"/>
            <w:hideMark/>
          </w:tcPr>
          <w:p w14:paraId="042569E1"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w:t>
            </w:r>
          </w:p>
        </w:tc>
        <w:tc>
          <w:tcPr>
            <w:tcW w:w="820" w:type="dxa"/>
            <w:tcBorders>
              <w:top w:val="nil"/>
              <w:left w:val="nil"/>
              <w:bottom w:val="single" w:sz="4" w:space="0" w:color="ADD6EA"/>
              <w:right w:val="nil"/>
            </w:tcBorders>
            <w:shd w:val="clear" w:color="000000" w:fill="B6D5E4"/>
            <w:noWrap/>
            <w:vAlign w:val="center"/>
            <w:hideMark/>
          </w:tcPr>
          <w:p w14:paraId="2A5B9F6D"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w:t>
            </w:r>
          </w:p>
        </w:tc>
        <w:tc>
          <w:tcPr>
            <w:tcW w:w="820" w:type="dxa"/>
            <w:tcBorders>
              <w:top w:val="nil"/>
              <w:left w:val="nil"/>
              <w:bottom w:val="single" w:sz="4" w:space="0" w:color="ADD6EA"/>
              <w:right w:val="nil"/>
            </w:tcBorders>
            <w:shd w:val="clear" w:color="000000" w:fill="B6D5E4"/>
            <w:noWrap/>
            <w:vAlign w:val="center"/>
            <w:hideMark/>
          </w:tcPr>
          <w:p w14:paraId="17FFE567"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w:t>
            </w:r>
          </w:p>
        </w:tc>
        <w:tc>
          <w:tcPr>
            <w:tcW w:w="700" w:type="dxa"/>
            <w:tcBorders>
              <w:top w:val="nil"/>
              <w:left w:val="nil"/>
              <w:bottom w:val="single" w:sz="4" w:space="0" w:color="ADD6EA"/>
              <w:right w:val="nil"/>
            </w:tcBorders>
            <w:shd w:val="clear" w:color="000000" w:fill="B6D5E4"/>
            <w:noWrap/>
            <w:vAlign w:val="center"/>
            <w:hideMark/>
          </w:tcPr>
          <w:p w14:paraId="4F105ADD"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w:t>
            </w:r>
          </w:p>
        </w:tc>
        <w:tc>
          <w:tcPr>
            <w:tcW w:w="700" w:type="dxa"/>
            <w:tcBorders>
              <w:top w:val="nil"/>
              <w:left w:val="nil"/>
              <w:bottom w:val="single" w:sz="4" w:space="0" w:color="ADD6EA"/>
              <w:right w:val="nil"/>
            </w:tcBorders>
            <w:shd w:val="clear" w:color="000000" w:fill="B6D5E4"/>
            <w:noWrap/>
            <w:vAlign w:val="center"/>
            <w:hideMark/>
          </w:tcPr>
          <w:p w14:paraId="417A9DD6"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w:t>
            </w:r>
          </w:p>
        </w:tc>
        <w:tc>
          <w:tcPr>
            <w:tcW w:w="700" w:type="dxa"/>
            <w:tcBorders>
              <w:top w:val="nil"/>
              <w:left w:val="nil"/>
              <w:bottom w:val="single" w:sz="4" w:space="0" w:color="ADD6EA"/>
              <w:right w:val="nil"/>
            </w:tcBorders>
            <w:shd w:val="clear" w:color="000000" w:fill="B6D5E4"/>
            <w:noWrap/>
            <w:vAlign w:val="center"/>
            <w:hideMark/>
          </w:tcPr>
          <w:p w14:paraId="1805F482"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w:t>
            </w:r>
          </w:p>
        </w:tc>
        <w:tc>
          <w:tcPr>
            <w:tcW w:w="920" w:type="dxa"/>
            <w:tcBorders>
              <w:top w:val="nil"/>
              <w:left w:val="nil"/>
              <w:bottom w:val="single" w:sz="4" w:space="0" w:color="ADD6EA"/>
              <w:right w:val="nil"/>
            </w:tcBorders>
            <w:shd w:val="clear" w:color="000000" w:fill="B6D5E4"/>
            <w:noWrap/>
            <w:vAlign w:val="center"/>
            <w:hideMark/>
          </w:tcPr>
          <w:p w14:paraId="3781E9EE" w14:textId="77777777" w:rsidR="00DE37C1" w:rsidRPr="00E478A7"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478A7">
              <w:rPr>
                <w:rFonts w:ascii="Open Sans SemiBold" w:eastAsia="Times New Roman" w:hAnsi="Open Sans SemiBold" w:cs="Open Sans SemiBold"/>
                <w:color w:val="000000"/>
                <w:sz w:val="16"/>
                <w:szCs w:val="16"/>
                <w:lang w:eastAsia="en-AU"/>
              </w:rPr>
              <w:t>%</w:t>
            </w:r>
          </w:p>
        </w:tc>
      </w:tr>
      <w:tr w:rsidR="00DE37C1" w:rsidRPr="00E478A7" w14:paraId="58B91A1D" w14:textId="77777777" w:rsidTr="00555B4E">
        <w:trPr>
          <w:trHeight w:val="315"/>
        </w:trPr>
        <w:tc>
          <w:tcPr>
            <w:tcW w:w="1860" w:type="dxa"/>
            <w:tcBorders>
              <w:top w:val="nil"/>
              <w:left w:val="nil"/>
              <w:bottom w:val="single" w:sz="4" w:space="0" w:color="ADD6EA"/>
              <w:right w:val="nil"/>
            </w:tcBorders>
            <w:shd w:val="clear" w:color="000000" w:fill="FFFFFF"/>
            <w:vAlign w:val="bottom"/>
            <w:hideMark/>
          </w:tcPr>
          <w:p w14:paraId="04E21A50" w14:textId="77777777" w:rsidR="00DE37C1" w:rsidRPr="00E478A7" w:rsidRDefault="00DE37C1" w:rsidP="004D65FE">
            <w:pPr>
              <w:tabs>
                <w:tab w:val="clear" w:pos="567"/>
              </w:tabs>
              <w:spacing w:before="0" w:line="240" w:lineRule="auto"/>
              <w:rPr>
                <w:rFonts w:eastAsia="Times New Roman" w:cs="Open Sans Light"/>
                <w:color w:val="000000"/>
                <w:sz w:val="16"/>
                <w:szCs w:val="16"/>
                <w:lang w:eastAsia="en-AU"/>
              </w:rPr>
            </w:pPr>
            <w:r w:rsidRPr="00E478A7">
              <w:rPr>
                <w:rFonts w:eastAsia="Times New Roman" w:cs="Open Sans Light"/>
                <w:color w:val="000000"/>
                <w:sz w:val="16"/>
                <w:szCs w:val="16"/>
                <w:lang w:eastAsia="en-AU"/>
              </w:rPr>
              <w:t>2016-17</w:t>
            </w:r>
          </w:p>
        </w:tc>
        <w:tc>
          <w:tcPr>
            <w:tcW w:w="820" w:type="dxa"/>
            <w:tcBorders>
              <w:top w:val="nil"/>
              <w:left w:val="nil"/>
              <w:bottom w:val="single" w:sz="4" w:space="0" w:color="ADD6EA"/>
              <w:right w:val="nil"/>
            </w:tcBorders>
            <w:shd w:val="clear" w:color="000000" w:fill="FFFFFF"/>
            <w:vAlign w:val="bottom"/>
            <w:hideMark/>
          </w:tcPr>
          <w:p w14:paraId="711817F8"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32.0</w:t>
            </w:r>
          </w:p>
        </w:tc>
        <w:tc>
          <w:tcPr>
            <w:tcW w:w="820" w:type="dxa"/>
            <w:tcBorders>
              <w:top w:val="nil"/>
              <w:left w:val="nil"/>
              <w:bottom w:val="single" w:sz="4" w:space="0" w:color="ADD6EA"/>
              <w:right w:val="nil"/>
            </w:tcBorders>
            <w:shd w:val="clear" w:color="000000" w:fill="FFFFFF"/>
            <w:vAlign w:val="bottom"/>
            <w:hideMark/>
          </w:tcPr>
          <w:p w14:paraId="445C8C0A"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25.6</w:t>
            </w:r>
          </w:p>
        </w:tc>
        <w:tc>
          <w:tcPr>
            <w:tcW w:w="820" w:type="dxa"/>
            <w:tcBorders>
              <w:top w:val="nil"/>
              <w:left w:val="nil"/>
              <w:bottom w:val="single" w:sz="4" w:space="0" w:color="ADD6EA"/>
              <w:right w:val="nil"/>
            </w:tcBorders>
            <w:shd w:val="clear" w:color="000000" w:fill="FFFFFF"/>
            <w:vAlign w:val="bottom"/>
            <w:hideMark/>
          </w:tcPr>
          <w:p w14:paraId="2D753AB8"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20.0</w:t>
            </w:r>
          </w:p>
        </w:tc>
        <w:tc>
          <w:tcPr>
            <w:tcW w:w="820" w:type="dxa"/>
            <w:tcBorders>
              <w:top w:val="nil"/>
              <w:left w:val="nil"/>
              <w:bottom w:val="single" w:sz="4" w:space="0" w:color="ADD6EA"/>
              <w:right w:val="nil"/>
            </w:tcBorders>
            <w:shd w:val="clear" w:color="000000" w:fill="FFFFFF"/>
            <w:vAlign w:val="bottom"/>
            <w:hideMark/>
          </w:tcPr>
          <w:p w14:paraId="055A6B94"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10.5</w:t>
            </w:r>
          </w:p>
        </w:tc>
        <w:tc>
          <w:tcPr>
            <w:tcW w:w="820" w:type="dxa"/>
            <w:tcBorders>
              <w:top w:val="nil"/>
              <w:left w:val="nil"/>
              <w:bottom w:val="single" w:sz="4" w:space="0" w:color="ADD6EA"/>
              <w:right w:val="nil"/>
            </w:tcBorders>
            <w:shd w:val="clear" w:color="000000" w:fill="FFFFFF"/>
            <w:vAlign w:val="bottom"/>
            <w:hideMark/>
          </w:tcPr>
          <w:p w14:paraId="78DDD239"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7.0</w:t>
            </w:r>
          </w:p>
        </w:tc>
        <w:tc>
          <w:tcPr>
            <w:tcW w:w="700" w:type="dxa"/>
            <w:tcBorders>
              <w:top w:val="nil"/>
              <w:left w:val="nil"/>
              <w:bottom w:val="single" w:sz="4" w:space="0" w:color="ADD6EA"/>
              <w:right w:val="nil"/>
            </w:tcBorders>
            <w:shd w:val="clear" w:color="000000" w:fill="FFFFFF"/>
            <w:vAlign w:val="bottom"/>
            <w:hideMark/>
          </w:tcPr>
          <w:p w14:paraId="70D6BD28"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2.1</w:t>
            </w:r>
          </w:p>
        </w:tc>
        <w:tc>
          <w:tcPr>
            <w:tcW w:w="700" w:type="dxa"/>
            <w:tcBorders>
              <w:top w:val="nil"/>
              <w:left w:val="nil"/>
              <w:bottom w:val="single" w:sz="4" w:space="0" w:color="ADD6EA"/>
              <w:right w:val="nil"/>
            </w:tcBorders>
            <w:shd w:val="clear" w:color="000000" w:fill="FFFFFF"/>
            <w:vAlign w:val="bottom"/>
            <w:hideMark/>
          </w:tcPr>
          <w:p w14:paraId="79238976"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1.7</w:t>
            </w:r>
          </w:p>
        </w:tc>
        <w:tc>
          <w:tcPr>
            <w:tcW w:w="700" w:type="dxa"/>
            <w:tcBorders>
              <w:top w:val="nil"/>
              <w:left w:val="nil"/>
              <w:bottom w:val="single" w:sz="4" w:space="0" w:color="ADD6EA"/>
              <w:right w:val="nil"/>
            </w:tcBorders>
            <w:shd w:val="clear" w:color="000000" w:fill="FFFFFF"/>
            <w:vAlign w:val="bottom"/>
            <w:hideMark/>
          </w:tcPr>
          <w:p w14:paraId="635D5D4A"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1.0</w:t>
            </w:r>
          </w:p>
        </w:tc>
        <w:tc>
          <w:tcPr>
            <w:tcW w:w="920" w:type="dxa"/>
            <w:tcBorders>
              <w:top w:val="nil"/>
              <w:left w:val="nil"/>
              <w:bottom w:val="single" w:sz="4" w:space="0" w:color="ADD6EA"/>
              <w:right w:val="nil"/>
            </w:tcBorders>
            <w:shd w:val="clear" w:color="000000" w:fill="FFFFFF"/>
            <w:vAlign w:val="bottom"/>
            <w:hideMark/>
          </w:tcPr>
          <w:p w14:paraId="0FD0CF9B"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100.0</w:t>
            </w:r>
          </w:p>
        </w:tc>
      </w:tr>
      <w:tr w:rsidR="00DE37C1" w:rsidRPr="00E478A7" w14:paraId="0C82E67A" w14:textId="77777777" w:rsidTr="00555B4E">
        <w:trPr>
          <w:trHeight w:val="315"/>
        </w:trPr>
        <w:tc>
          <w:tcPr>
            <w:tcW w:w="1860" w:type="dxa"/>
            <w:tcBorders>
              <w:top w:val="nil"/>
              <w:left w:val="nil"/>
              <w:bottom w:val="single" w:sz="4" w:space="0" w:color="ADD6EA"/>
              <w:right w:val="nil"/>
            </w:tcBorders>
            <w:shd w:val="clear" w:color="000000" w:fill="FFFFFF"/>
            <w:vAlign w:val="bottom"/>
            <w:hideMark/>
          </w:tcPr>
          <w:p w14:paraId="502BBC33" w14:textId="77777777" w:rsidR="00DE37C1" w:rsidRPr="00E478A7" w:rsidRDefault="00DE37C1" w:rsidP="004D65FE">
            <w:pPr>
              <w:tabs>
                <w:tab w:val="clear" w:pos="567"/>
              </w:tabs>
              <w:spacing w:before="0" w:line="240" w:lineRule="auto"/>
              <w:rPr>
                <w:rFonts w:eastAsia="Times New Roman" w:cs="Open Sans Light"/>
                <w:color w:val="000000"/>
                <w:sz w:val="16"/>
                <w:szCs w:val="16"/>
                <w:lang w:eastAsia="en-AU"/>
              </w:rPr>
            </w:pPr>
            <w:r w:rsidRPr="00E478A7">
              <w:rPr>
                <w:rFonts w:eastAsia="Times New Roman" w:cs="Open Sans Light"/>
                <w:color w:val="000000"/>
                <w:sz w:val="16"/>
                <w:szCs w:val="16"/>
                <w:lang w:eastAsia="en-AU"/>
              </w:rPr>
              <w:t>2017-18</w:t>
            </w:r>
          </w:p>
        </w:tc>
        <w:tc>
          <w:tcPr>
            <w:tcW w:w="820" w:type="dxa"/>
            <w:tcBorders>
              <w:top w:val="nil"/>
              <w:left w:val="nil"/>
              <w:bottom w:val="single" w:sz="4" w:space="0" w:color="ADD6EA"/>
              <w:right w:val="nil"/>
            </w:tcBorders>
            <w:shd w:val="clear" w:color="000000" w:fill="FFFFFF"/>
            <w:vAlign w:val="bottom"/>
            <w:hideMark/>
          </w:tcPr>
          <w:p w14:paraId="38DFDF6C"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32.0</w:t>
            </w:r>
          </w:p>
        </w:tc>
        <w:tc>
          <w:tcPr>
            <w:tcW w:w="820" w:type="dxa"/>
            <w:tcBorders>
              <w:top w:val="nil"/>
              <w:left w:val="nil"/>
              <w:bottom w:val="single" w:sz="4" w:space="0" w:color="ADD6EA"/>
              <w:right w:val="nil"/>
            </w:tcBorders>
            <w:shd w:val="clear" w:color="000000" w:fill="FFFFFF"/>
            <w:vAlign w:val="bottom"/>
            <w:hideMark/>
          </w:tcPr>
          <w:p w14:paraId="7F8B057A"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25.8</w:t>
            </w:r>
          </w:p>
        </w:tc>
        <w:tc>
          <w:tcPr>
            <w:tcW w:w="820" w:type="dxa"/>
            <w:tcBorders>
              <w:top w:val="nil"/>
              <w:left w:val="nil"/>
              <w:bottom w:val="single" w:sz="4" w:space="0" w:color="ADD6EA"/>
              <w:right w:val="nil"/>
            </w:tcBorders>
            <w:shd w:val="clear" w:color="000000" w:fill="FFFFFF"/>
            <w:vAlign w:val="bottom"/>
            <w:hideMark/>
          </w:tcPr>
          <w:p w14:paraId="135E11F5"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20.0</w:t>
            </w:r>
          </w:p>
        </w:tc>
        <w:tc>
          <w:tcPr>
            <w:tcW w:w="820" w:type="dxa"/>
            <w:tcBorders>
              <w:top w:val="nil"/>
              <w:left w:val="nil"/>
              <w:bottom w:val="single" w:sz="4" w:space="0" w:color="ADD6EA"/>
              <w:right w:val="nil"/>
            </w:tcBorders>
            <w:shd w:val="clear" w:color="000000" w:fill="FFFFFF"/>
            <w:vAlign w:val="bottom"/>
            <w:hideMark/>
          </w:tcPr>
          <w:p w14:paraId="1AE3A891"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10.4</w:t>
            </w:r>
          </w:p>
        </w:tc>
        <w:tc>
          <w:tcPr>
            <w:tcW w:w="820" w:type="dxa"/>
            <w:tcBorders>
              <w:top w:val="nil"/>
              <w:left w:val="nil"/>
              <w:bottom w:val="single" w:sz="4" w:space="0" w:color="ADD6EA"/>
              <w:right w:val="nil"/>
            </w:tcBorders>
            <w:shd w:val="clear" w:color="000000" w:fill="FFFFFF"/>
            <w:vAlign w:val="bottom"/>
            <w:hideMark/>
          </w:tcPr>
          <w:p w14:paraId="2AC67DDF"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7.0</w:t>
            </w:r>
          </w:p>
        </w:tc>
        <w:tc>
          <w:tcPr>
            <w:tcW w:w="700" w:type="dxa"/>
            <w:tcBorders>
              <w:top w:val="nil"/>
              <w:left w:val="nil"/>
              <w:bottom w:val="single" w:sz="4" w:space="0" w:color="ADD6EA"/>
              <w:right w:val="nil"/>
            </w:tcBorders>
            <w:shd w:val="clear" w:color="000000" w:fill="FFFFFF"/>
            <w:vAlign w:val="bottom"/>
            <w:hideMark/>
          </w:tcPr>
          <w:p w14:paraId="1BD79A86"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2.1</w:t>
            </w:r>
          </w:p>
        </w:tc>
        <w:tc>
          <w:tcPr>
            <w:tcW w:w="700" w:type="dxa"/>
            <w:tcBorders>
              <w:top w:val="nil"/>
              <w:left w:val="nil"/>
              <w:bottom w:val="single" w:sz="4" w:space="0" w:color="ADD6EA"/>
              <w:right w:val="nil"/>
            </w:tcBorders>
            <w:shd w:val="clear" w:color="000000" w:fill="FFFFFF"/>
            <w:vAlign w:val="bottom"/>
            <w:hideMark/>
          </w:tcPr>
          <w:p w14:paraId="394FB73C"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1.7</w:t>
            </w:r>
          </w:p>
        </w:tc>
        <w:tc>
          <w:tcPr>
            <w:tcW w:w="700" w:type="dxa"/>
            <w:tcBorders>
              <w:top w:val="nil"/>
              <w:left w:val="nil"/>
              <w:bottom w:val="single" w:sz="4" w:space="0" w:color="ADD6EA"/>
              <w:right w:val="nil"/>
            </w:tcBorders>
            <w:shd w:val="clear" w:color="000000" w:fill="FFFFFF"/>
            <w:vAlign w:val="bottom"/>
            <w:hideMark/>
          </w:tcPr>
          <w:p w14:paraId="4235473F"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1.0</w:t>
            </w:r>
          </w:p>
        </w:tc>
        <w:tc>
          <w:tcPr>
            <w:tcW w:w="920" w:type="dxa"/>
            <w:tcBorders>
              <w:top w:val="nil"/>
              <w:left w:val="nil"/>
              <w:bottom w:val="single" w:sz="4" w:space="0" w:color="ADD6EA"/>
              <w:right w:val="nil"/>
            </w:tcBorders>
            <w:shd w:val="clear" w:color="000000" w:fill="FFFFFF"/>
            <w:vAlign w:val="bottom"/>
            <w:hideMark/>
          </w:tcPr>
          <w:p w14:paraId="10FB1C8C"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100.0</w:t>
            </w:r>
          </w:p>
        </w:tc>
      </w:tr>
      <w:tr w:rsidR="00DE37C1" w:rsidRPr="00E478A7" w14:paraId="2EF55941" w14:textId="77777777" w:rsidTr="00555B4E">
        <w:trPr>
          <w:trHeight w:val="315"/>
        </w:trPr>
        <w:tc>
          <w:tcPr>
            <w:tcW w:w="1860" w:type="dxa"/>
            <w:tcBorders>
              <w:top w:val="nil"/>
              <w:left w:val="nil"/>
              <w:bottom w:val="single" w:sz="4" w:space="0" w:color="ADD6EA"/>
              <w:right w:val="nil"/>
            </w:tcBorders>
            <w:shd w:val="clear" w:color="000000" w:fill="FFFFFF"/>
            <w:vAlign w:val="bottom"/>
            <w:hideMark/>
          </w:tcPr>
          <w:p w14:paraId="14D091F7" w14:textId="77777777" w:rsidR="00DE37C1" w:rsidRPr="00E478A7" w:rsidRDefault="00DE37C1" w:rsidP="004D65FE">
            <w:pPr>
              <w:tabs>
                <w:tab w:val="clear" w:pos="567"/>
              </w:tabs>
              <w:spacing w:before="0" w:line="240" w:lineRule="auto"/>
              <w:rPr>
                <w:rFonts w:eastAsia="Times New Roman" w:cs="Open Sans Light"/>
                <w:color w:val="000000"/>
                <w:sz w:val="16"/>
                <w:szCs w:val="16"/>
                <w:lang w:eastAsia="en-AU"/>
              </w:rPr>
            </w:pPr>
            <w:r w:rsidRPr="00E478A7">
              <w:rPr>
                <w:rFonts w:eastAsia="Times New Roman" w:cs="Open Sans Light"/>
                <w:color w:val="000000"/>
                <w:sz w:val="16"/>
                <w:szCs w:val="16"/>
                <w:lang w:eastAsia="en-AU"/>
              </w:rPr>
              <w:t>2018-19</w:t>
            </w:r>
          </w:p>
        </w:tc>
        <w:tc>
          <w:tcPr>
            <w:tcW w:w="820" w:type="dxa"/>
            <w:tcBorders>
              <w:top w:val="nil"/>
              <w:left w:val="nil"/>
              <w:bottom w:val="single" w:sz="4" w:space="0" w:color="ADD6EA"/>
              <w:right w:val="nil"/>
            </w:tcBorders>
            <w:shd w:val="clear" w:color="000000" w:fill="FFFFFF"/>
            <w:vAlign w:val="bottom"/>
            <w:hideMark/>
          </w:tcPr>
          <w:p w14:paraId="207C7AB0"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31.9</w:t>
            </w:r>
          </w:p>
        </w:tc>
        <w:tc>
          <w:tcPr>
            <w:tcW w:w="820" w:type="dxa"/>
            <w:tcBorders>
              <w:top w:val="nil"/>
              <w:left w:val="nil"/>
              <w:bottom w:val="single" w:sz="4" w:space="0" w:color="ADD6EA"/>
              <w:right w:val="nil"/>
            </w:tcBorders>
            <w:shd w:val="clear" w:color="000000" w:fill="FFFFFF"/>
            <w:vAlign w:val="bottom"/>
            <w:hideMark/>
          </w:tcPr>
          <w:p w14:paraId="627B7020"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25.9</w:t>
            </w:r>
          </w:p>
        </w:tc>
        <w:tc>
          <w:tcPr>
            <w:tcW w:w="820" w:type="dxa"/>
            <w:tcBorders>
              <w:top w:val="nil"/>
              <w:left w:val="nil"/>
              <w:bottom w:val="single" w:sz="4" w:space="0" w:color="ADD6EA"/>
              <w:right w:val="nil"/>
            </w:tcBorders>
            <w:shd w:val="clear" w:color="000000" w:fill="FFFFFF"/>
            <w:vAlign w:val="bottom"/>
            <w:hideMark/>
          </w:tcPr>
          <w:p w14:paraId="348972B0"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20.1</w:t>
            </w:r>
          </w:p>
        </w:tc>
        <w:tc>
          <w:tcPr>
            <w:tcW w:w="820" w:type="dxa"/>
            <w:tcBorders>
              <w:top w:val="nil"/>
              <w:left w:val="nil"/>
              <w:bottom w:val="single" w:sz="4" w:space="0" w:color="ADD6EA"/>
              <w:right w:val="nil"/>
            </w:tcBorders>
            <w:shd w:val="clear" w:color="000000" w:fill="FFFFFF"/>
            <w:vAlign w:val="bottom"/>
            <w:hideMark/>
          </w:tcPr>
          <w:p w14:paraId="18019578"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10.4</w:t>
            </w:r>
          </w:p>
        </w:tc>
        <w:tc>
          <w:tcPr>
            <w:tcW w:w="820" w:type="dxa"/>
            <w:tcBorders>
              <w:top w:val="nil"/>
              <w:left w:val="nil"/>
              <w:bottom w:val="single" w:sz="4" w:space="0" w:color="ADD6EA"/>
              <w:right w:val="nil"/>
            </w:tcBorders>
            <w:shd w:val="clear" w:color="000000" w:fill="FFFFFF"/>
            <w:vAlign w:val="bottom"/>
            <w:hideMark/>
          </w:tcPr>
          <w:p w14:paraId="0FCFD3AB"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6.9</w:t>
            </w:r>
          </w:p>
        </w:tc>
        <w:tc>
          <w:tcPr>
            <w:tcW w:w="700" w:type="dxa"/>
            <w:tcBorders>
              <w:top w:val="nil"/>
              <w:left w:val="nil"/>
              <w:bottom w:val="single" w:sz="4" w:space="0" w:color="ADD6EA"/>
              <w:right w:val="nil"/>
            </w:tcBorders>
            <w:shd w:val="clear" w:color="000000" w:fill="FFFFFF"/>
            <w:vAlign w:val="bottom"/>
            <w:hideMark/>
          </w:tcPr>
          <w:p w14:paraId="32F80E01"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2.1</w:t>
            </w:r>
          </w:p>
        </w:tc>
        <w:tc>
          <w:tcPr>
            <w:tcW w:w="700" w:type="dxa"/>
            <w:tcBorders>
              <w:top w:val="nil"/>
              <w:left w:val="nil"/>
              <w:bottom w:val="single" w:sz="4" w:space="0" w:color="ADD6EA"/>
              <w:right w:val="nil"/>
            </w:tcBorders>
            <w:shd w:val="clear" w:color="000000" w:fill="FFFFFF"/>
            <w:vAlign w:val="bottom"/>
            <w:hideMark/>
          </w:tcPr>
          <w:p w14:paraId="713E0FC1"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1.7</w:t>
            </w:r>
          </w:p>
        </w:tc>
        <w:tc>
          <w:tcPr>
            <w:tcW w:w="700" w:type="dxa"/>
            <w:tcBorders>
              <w:top w:val="nil"/>
              <w:left w:val="nil"/>
              <w:bottom w:val="single" w:sz="4" w:space="0" w:color="ADD6EA"/>
              <w:right w:val="nil"/>
            </w:tcBorders>
            <w:shd w:val="clear" w:color="000000" w:fill="FFFFFF"/>
            <w:vAlign w:val="bottom"/>
            <w:hideMark/>
          </w:tcPr>
          <w:p w14:paraId="74EF65AE"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1.0</w:t>
            </w:r>
          </w:p>
        </w:tc>
        <w:tc>
          <w:tcPr>
            <w:tcW w:w="920" w:type="dxa"/>
            <w:tcBorders>
              <w:top w:val="nil"/>
              <w:left w:val="nil"/>
              <w:bottom w:val="single" w:sz="4" w:space="0" w:color="ADD6EA"/>
              <w:right w:val="nil"/>
            </w:tcBorders>
            <w:shd w:val="clear" w:color="000000" w:fill="FFFFFF"/>
            <w:vAlign w:val="bottom"/>
            <w:hideMark/>
          </w:tcPr>
          <w:p w14:paraId="1F1CCD1B"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100.0</w:t>
            </w:r>
          </w:p>
        </w:tc>
      </w:tr>
      <w:tr w:rsidR="00DE37C1" w:rsidRPr="00E478A7" w14:paraId="7E28947F" w14:textId="77777777" w:rsidTr="00555B4E">
        <w:trPr>
          <w:trHeight w:val="315"/>
        </w:trPr>
        <w:tc>
          <w:tcPr>
            <w:tcW w:w="1860" w:type="dxa"/>
            <w:tcBorders>
              <w:top w:val="nil"/>
              <w:left w:val="nil"/>
              <w:bottom w:val="single" w:sz="4" w:space="0" w:color="ADD6EA"/>
              <w:right w:val="nil"/>
            </w:tcBorders>
            <w:shd w:val="clear" w:color="000000" w:fill="FFFFFF"/>
            <w:vAlign w:val="bottom"/>
            <w:hideMark/>
          </w:tcPr>
          <w:p w14:paraId="156DE14A" w14:textId="77777777" w:rsidR="00DE37C1" w:rsidRPr="00E478A7" w:rsidRDefault="00DE37C1" w:rsidP="004D65FE">
            <w:pPr>
              <w:tabs>
                <w:tab w:val="clear" w:pos="567"/>
              </w:tabs>
              <w:spacing w:before="0" w:line="240" w:lineRule="auto"/>
              <w:rPr>
                <w:rFonts w:eastAsia="Times New Roman" w:cs="Open Sans Light"/>
                <w:color w:val="000000"/>
                <w:sz w:val="16"/>
                <w:szCs w:val="16"/>
                <w:lang w:eastAsia="en-AU"/>
              </w:rPr>
            </w:pPr>
            <w:r w:rsidRPr="00E478A7">
              <w:rPr>
                <w:rFonts w:eastAsia="Times New Roman" w:cs="Open Sans Light"/>
                <w:color w:val="000000"/>
                <w:sz w:val="16"/>
                <w:szCs w:val="16"/>
                <w:lang w:eastAsia="en-AU"/>
              </w:rPr>
              <w:t>2020-21</w:t>
            </w:r>
          </w:p>
        </w:tc>
        <w:tc>
          <w:tcPr>
            <w:tcW w:w="820" w:type="dxa"/>
            <w:tcBorders>
              <w:top w:val="nil"/>
              <w:left w:val="nil"/>
              <w:bottom w:val="single" w:sz="4" w:space="0" w:color="ADD6EA"/>
              <w:right w:val="nil"/>
            </w:tcBorders>
            <w:shd w:val="clear" w:color="000000" w:fill="FFFFFF"/>
            <w:vAlign w:val="bottom"/>
            <w:hideMark/>
          </w:tcPr>
          <w:p w14:paraId="3368A315"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31.9</w:t>
            </w:r>
          </w:p>
        </w:tc>
        <w:tc>
          <w:tcPr>
            <w:tcW w:w="820" w:type="dxa"/>
            <w:tcBorders>
              <w:top w:val="nil"/>
              <w:left w:val="nil"/>
              <w:bottom w:val="single" w:sz="4" w:space="0" w:color="ADD6EA"/>
              <w:right w:val="nil"/>
            </w:tcBorders>
            <w:shd w:val="clear" w:color="000000" w:fill="FFFFFF"/>
            <w:vAlign w:val="bottom"/>
            <w:hideMark/>
          </w:tcPr>
          <w:p w14:paraId="5045363E"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26.3</w:t>
            </w:r>
          </w:p>
        </w:tc>
        <w:tc>
          <w:tcPr>
            <w:tcW w:w="820" w:type="dxa"/>
            <w:tcBorders>
              <w:top w:val="nil"/>
              <w:left w:val="nil"/>
              <w:bottom w:val="single" w:sz="4" w:space="0" w:color="ADD6EA"/>
              <w:right w:val="nil"/>
            </w:tcBorders>
            <w:shd w:val="clear" w:color="000000" w:fill="FFFFFF"/>
            <w:vAlign w:val="bottom"/>
            <w:hideMark/>
          </w:tcPr>
          <w:p w14:paraId="0A3ECBA8"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20.1</w:t>
            </w:r>
          </w:p>
        </w:tc>
        <w:tc>
          <w:tcPr>
            <w:tcW w:w="820" w:type="dxa"/>
            <w:tcBorders>
              <w:top w:val="nil"/>
              <w:left w:val="nil"/>
              <w:bottom w:val="single" w:sz="4" w:space="0" w:color="ADD6EA"/>
              <w:right w:val="nil"/>
            </w:tcBorders>
            <w:shd w:val="clear" w:color="000000" w:fill="FFFFFF"/>
            <w:vAlign w:val="bottom"/>
            <w:hideMark/>
          </w:tcPr>
          <w:p w14:paraId="2617AB6C"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10.2</w:t>
            </w:r>
          </w:p>
        </w:tc>
        <w:tc>
          <w:tcPr>
            <w:tcW w:w="820" w:type="dxa"/>
            <w:tcBorders>
              <w:top w:val="nil"/>
              <w:left w:val="nil"/>
              <w:bottom w:val="single" w:sz="4" w:space="0" w:color="ADD6EA"/>
              <w:right w:val="nil"/>
            </w:tcBorders>
            <w:shd w:val="clear" w:color="000000" w:fill="FFFFFF"/>
            <w:vAlign w:val="bottom"/>
            <w:hideMark/>
          </w:tcPr>
          <w:p w14:paraId="75181B55"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6.8</w:t>
            </w:r>
          </w:p>
        </w:tc>
        <w:tc>
          <w:tcPr>
            <w:tcW w:w="700" w:type="dxa"/>
            <w:tcBorders>
              <w:top w:val="nil"/>
              <w:left w:val="nil"/>
              <w:bottom w:val="single" w:sz="4" w:space="0" w:color="ADD6EA"/>
              <w:right w:val="nil"/>
            </w:tcBorders>
            <w:shd w:val="clear" w:color="000000" w:fill="FFFFFF"/>
            <w:vAlign w:val="bottom"/>
            <w:hideMark/>
          </w:tcPr>
          <w:p w14:paraId="38DD888F"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2.1</w:t>
            </w:r>
          </w:p>
        </w:tc>
        <w:tc>
          <w:tcPr>
            <w:tcW w:w="700" w:type="dxa"/>
            <w:tcBorders>
              <w:top w:val="nil"/>
              <w:left w:val="nil"/>
              <w:bottom w:val="single" w:sz="4" w:space="0" w:color="ADD6EA"/>
              <w:right w:val="nil"/>
            </w:tcBorders>
            <w:shd w:val="clear" w:color="000000" w:fill="FFFFFF"/>
            <w:vAlign w:val="bottom"/>
            <w:hideMark/>
          </w:tcPr>
          <w:p w14:paraId="25CCB962"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1.7</w:t>
            </w:r>
          </w:p>
        </w:tc>
        <w:tc>
          <w:tcPr>
            <w:tcW w:w="700" w:type="dxa"/>
            <w:tcBorders>
              <w:top w:val="nil"/>
              <w:left w:val="nil"/>
              <w:bottom w:val="single" w:sz="4" w:space="0" w:color="ADD6EA"/>
              <w:right w:val="nil"/>
            </w:tcBorders>
            <w:shd w:val="clear" w:color="000000" w:fill="FFFFFF"/>
            <w:vAlign w:val="bottom"/>
            <w:hideMark/>
          </w:tcPr>
          <w:p w14:paraId="39F09980"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0.9</w:t>
            </w:r>
          </w:p>
        </w:tc>
        <w:tc>
          <w:tcPr>
            <w:tcW w:w="920" w:type="dxa"/>
            <w:tcBorders>
              <w:top w:val="nil"/>
              <w:left w:val="nil"/>
              <w:bottom w:val="single" w:sz="4" w:space="0" w:color="ADD6EA"/>
              <w:right w:val="nil"/>
            </w:tcBorders>
            <w:shd w:val="clear" w:color="000000" w:fill="FFFFFF"/>
            <w:vAlign w:val="bottom"/>
            <w:hideMark/>
          </w:tcPr>
          <w:p w14:paraId="5E3DA67B" w14:textId="77777777" w:rsidR="00DE37C1" w:rsidRPr="00E478A7" w:rsidRDefault="00DE37C1" w:rsidP="004D65FE">
            <w:pPr>
              <w:tabs>
                <w:tab w:val="clear" w:pos="567"/>
              </w:tabs>
              <w:spacing w:before="0" w:line="240" w:lineRule="auto"/>
              <w:jc w:val="right"/>
              <w:rPr>
                <w:rFonts w:eastAsia="Times New Roman" w:cs="Open Sans Light"/>
                <w:color w:val="000000"/>
                <w:sz w:val="16"/>
                <w:szCs w:val="16"/>
                <w:lang w:eastAsia="en-AU"/>
              </w:rPr>
            </w:pPr>
            <w:r w:rsidRPr="00E478A7">
              <w:rPr>
                <w:rFonts w:eastAsia="Times New Roman" w:cs="Open Sans Light"/>
                <w:color w:val="000000"/>
                <w:sz w:val="16"/>
                <w:szCs w:val="16"/>
                <w:lang w:eastAsia="en-AU"/>
              </w:rPr>
              <w:t>100.0</w:t>
            </w:r>
          </w:p>
        </w:tc>
      </w:tr>
    </w:tbl>
    <w:p w14:paraId="75D5C7D7" w14:textId="77777777" w:rsidR="00DE37C1" w:rsidRPr="00ED299B" w:rsidRDefault="00DE37C1" w:rsidP="00DE37C1">
      <w:pPr>
        <w:pStyle w:val="CGCTablenote"/>
      </w:pPr>
      <w:r w:rsidRPr="00ED299B">
        <w:t>Note:</w:t>
      </w:r>
      <w:r>
        <w:tab/>
      </w:r>
      <w:r w:rsidRPr="00ED299B">
        <w:t>The total excludes the populations of Jervis Bay, Cocos (Keeling) Islands, Christmas Island and Norfolk Island.</w:t>
      </w:r>
    </w:p>
    <w:p w14:paraId="25607F1D" w14:textId="14E53A5E" w:rsidR="00DE37C1" w:rsidRPr="00D05ADA" w:rsidRDefault="00DE37C1" w:rsidP="00DE37C1">
      <w:pPr>
        <w:pStyle w:val="CGCTablenote"/>
      </w:pPr>
      <w:r w:rsidRPr="00ED299B">
        <w:t>Sources:</w:t>
      </w:r>
      <w:r w:rsidRPr="00ED299B">
        <w:tab/>
      </w:r>
      <w:r w:rsidR="00D56D58">
        <w:t>Australian Bureau of Statistics (ABS)</w:t>
      </w:r>
      <w:r w:rsidRPr="00ED299B">
        <w:t xml:space="preserve">, June 2018, </w:t>
      </w:r>
      <w:r w:rsidRPr="00ED299B">
        <w:rPr>
          <w:i/>
        </w:rPr>
        <w:t>Australian Demographic Statistics</w:t>
      </w:r>
      <w:r w:rsidRPr="00ED299B">
        <w:t xml:space="preserve">, cat. no. 3101.0, Table 4, Estimated Resident Population, States and Territories. Application year population estimates are provided by the </w:t>
      </w:r>
      <w:r>
        <w:t>Australian</w:t>
      </w:r>
      <w:r w:rsidRPr="00ED299B">
        <w:t xml:space="preserve"> Treasury.</w:t>
      </w:r>
    </w:p>
    <w:p w14:paraId="01F946B1" w14:textId="77777777" w:rsidR="00DE37C1" w:rsidRDefault="00DE37C1" w:rsidP="00DE37C1">
      <w:pPr>
        <w:pStyle w:val="Heading4"/>
      </w:pPr>
      <w:r>
        <w:t>Disaggregated data</w:t>
      </w:r>
    </w:p>
    <w:p w14:paraId="5319AEE5" w14:textId="77777777" w:rsidR="00DE37C1" w:rsidRDefault="00DE37C1" w:rsidP="00F47EC7">
      <w:pPr>
        <w:pStyle w:val="CGCParaNumber"/>
      </w:pPr>
      <w:r>
        <w:t xml:space="preserve">The Commission receives administrative data on the use and cost of services from States and other parties. These data are used to identify the characteristics of higher (or lower) cost population groups in the provision of State services. Population data are required so that </w:t>
      </w:r>
      <w:r>
        <w:lastRenderedPageBreak/>
        <w:t>national costs for these population groups can be distributed across States based on their share of that population group.</w:t>
      </w:r>
    </w:p>
    <w:p w14:paraId="1B5762AF" w14:textId="77777777" w:rsidR="00DE37C1" w:rsidRDefault="00DE37C1" w:rsidP="00F47EC7">
      <w:pPr>
        <w:pStyle w:val="CGCParaNumber"/>
      </w:pPr>
      <w:r>
        <w:t>For disaggregated ERP, conceptually the Commission</w:t>
      </w:r>
      <w:r w:rsidRPr="002073C9">
        <w:t xml:space="preserve"> require</w:t>
      </w:r>
      <w:r>
        <w:t>s</w:t>
      </w:r>
      <w:r w:rsidRPr="002073C9">
        <w:t xml:space="preserve"> populations as at 31</w:t>
      </w:r>
      <w:r>
        <w:t> </w:t>
      </w:r>
      <w:r w:rsidRPr="002073C9">
        <w:t xml:space="preserve">December </w:t>
      </w:r>
      <w:r>
        <w:t xml:space="preserve">since this is </w:t>
      </w:r>
      <w:r w:rsidRPr="002073C9">
        <w:t xml:space="preserve">the mid-point of the financial year. </w:t>
      </w:r>
      <w:r>
        <w:t xml:space="preserve">However, 31 December </w:t>
      </w:r>
      <w:r w:rsidRPr="002073C9">
        <w:t>populations are not available from the ABS</w:t>
      </w:r>
      <w:r>
        <w:t xml:space="preserve"> as it </w:t>
      </w:r>
      <w:r w:rsidRPr="002073C9">
        <w:t>provides 30 June population data annually</w:t>
      </w:r>
      <w:r>
        <w:t>,</w:t>
      </w:r>
      <w:r w:rsidRPr="002073C9">
        <w:t xml:space="preserve"> disaggregated by age, </w:t>
      </w:r>
      <w:r>
        <w:t>sex</w:t>
      </w:r>
      <w:r w:rsidRPr="002073C9">
        <w:t>, and geography (</w:t>
      </w:r>
      <w:r>
        <w:t>including by</w:t>
      </w:r>
      <w:r w:rsidRPr="002073C9">
        <w:t xml:space="preserve"> remoteness and </w:t>
      </w:r>
      <w:r>
        <w:t>SES</w:t>
      </w:r>
      <w:r w:rsidRPr="002073C9">
        <w:t>).</w:t>
      </w:r>
      <w:r>
        <w:t xml:space="preserve"> Therefore, the Commission</w:t>
      </w:r>
      <w:r w:rsidRPr="002073C9">
        <w:t xml:space="preserve"> scale</w:t>
      </w:r>
      <w:r>
        <w:t>s</w:t>
      </w:r>
      <w:r w:rsidRPr="002073C9">
        <w:t xml:space="preserve"> 30</w:t>
      </w:r>
      <w:r>
        <w:t> </w:t>
      </w:r>
      <w:r w:rsidRPr="002073C9">
        <w:t>June disaggregated population data to State total populati</w:t>
      </w:r>
      <w:r>
        <w:t>ons as of 31 December for each year</w:t>
      </w:r>
      <w:r w:rsidRPr="002073C9">
        <w:t xml:space="preserve">. </w:t>
      </w:r>
      <w:r>
        <w:t>For example, 30 June 2018 disaggregated ERP are scaled to State total populations at 31 December 2018. The scaled ERP data are used for the 2018-19 financial year.</w:t>
      </w:r>
    </w:p>
    <w:p w14:paraId="027195BD" w14:textId="77777777" w:rsidR="00DE37C1" w:rsidRDefault="00DE37C1" w:rsidP="00DE37C1">
      <w:pPr>
        <w:pStyle w:val="Heading5"/>
      </w:pPr>
      <w:r>
        <w:t>Indigenous status</w:t>
      </w:r>
    </w:p>
    <w:p w14:paraId="5A8A360C" w14:textId="77777777" w:rsidR="00DE37C1" w:rsidRPr="00274CB1" w:rsidRDefault="00DE37C1" w:rsidP="00F47EC7">
      <w:pPr>
        <w:pStyle w:val="CGCParaNumber"/>
      </w:pPr>
      <w:r w:rsidRPr="00274CB1">
        <w:t xml:space="preserve">Apart from the Census year, the ABS does not provide population data disaggregated by Indigenous status. As a result, </w:t>
      </w:r>
      <w:r>
        <w:t xml:space="preserve">for subsequent years </w:t>
      </w:r>
      <w:r w:rsidRPr="00274CB1">
        <w:t xml:space="preserve">the Commission imputes Indigenous </w:t>
      </w:r>
      <w:r>
        <w:t>population estimates</w:t>
      </w:r>
      <w:r w:rsidRPr="00274CB1">
        <w:t xml:space="preserve">. This is done by applying the Indigenous </w:t>
      </w:r>
      <w:r>
        <w:t>share</w:t>
      </w:r>
      <w:r w:rsidRPr="00274CB1">
        <w:t xml:space="preserve"> of the total population within each disaggregated population group (in the Census year)</w:t>
      </w:r>
      <w:r>
        <w:t xml:space="preserve"> and then adjusting this</w:t>
      </w:r>
      <w:r w:rsidRPr="00274CB1">
        <w:t xml:space="preserve"> to match the ABS estimated Indigenous population projections at 30 June each year, by age and State. The resulting estimated numbers of Indigenous people in each disaggregated group are subtracted from the group’s total to give the number of non-Indigenous people in the group. </w:t>
      </w:r>
    </w:p>
    <w:p w14:paraId="034841A8" w14:textId="523382FC" w:rsidR="00DE37C1" w:rsidRDefault="00DE37C1" w:rsidP="00DE37C1">
      <w:pPr>
        <w:pStyle w:val="Heading5"/>
      </w:pPr>
      <w:r>
        <w:t xml:space="preserve">Use of Statistical Area Level 1 based classifications </w:t>
      </w:r>
    </w:p>
    <w:p w14:paraId="060B859A" w14:textId="77777777" w:rsidR="00DE37C1" w:rsidRDefault="00DE37C1" w:rsidP="00F47EC7">
      <w:pPr>
        <w:pStyle w:val="CGCParaNumber"/>
      </w:pPr>
      <w:r>
        <w:t>The most accurate disaggregation of population by remoteness and SES is that based on classifications at Statistical Area Level 1 (SA1) geography. While it would be ideal if administrative data provided by the Commonwealth, States and third parties was also available at the SA1 level, this is rarely possible. In practice, the Commission receives administrative data on the use and cost of services from States and other third parties that reflect varying geographies.</w:t>
      </w:r>
    </w:p>
    <w:p w14:paraId="031127F0" w14:textId="77777777" w:rsidR="00DE37C1" w:rsidRDefault="00DE37C1" w:rsidP="00DE37C1">
      <w:pPr>
        <w:pStyle w:val="Heading4"/>
      </w:pPr>
      <w:r>
        <w:t>Population growth estimates</w:t>
      </w:r>
    </w:p>
    <w:p w14:paraId="4435D521" w14:textId="630064D4" w:rsidR="00DE37C1" w:rsidRDefault="00DE37C1" w:rsidP="00F47EC7">
      <w:pPr>
        <w:pStyle w:val="CGCParaNumber"/>
      </w:pPr>
      <w:r w:rsidRPr="00BF0B1C">
        <w:fldChar w:fldCharType="begin"/>
      </w:r>
      <w:r w:rsidRPr="00BF0B1C">
        <w:instrText xml:space="preserve"> REF _Ref403996873 \h </w:instrText>
      </w:r>
      <w:r>
        <w:instrText xml:space="preserve"> \* MERGEFORMAT </w:instrText>
      </w:r>
      <w:r w:rsidRPr="00BF0B1C">
        <w:fldChar w:fldCharType="separate"/>
      </w:r>
      <w:r w:rsidR="007F721A" w:rsidRPr="00BF0B1C">
        <w:t>Table </w:t>
      </w:r>
      <w:r w:rsidR="007F721A">
        <w:t>31-2</w:t>
      </w:r>
      <w:r w:rsidRPr="00BF0B1C">
        <w:fldChar w:fldCharType="end"/>
      </w:r>
      <w:r>
        <w:t xml:space="preserve"> contains States’ estimated annual growth rates of ERP over the assessment period.</w:t>
      </w:r>
    </w:p>
    <w:p w14:paraId="603E315A" w14:textId="647E51B0" w:rsidR="00DE37C1" w:rsidRPr="00BF0B1C" w:rsidRDefault="00DE37C1" w:rsidP="00DE37C1">
      <w:pPr>
        <w:pStyle w:val="Caption"/>
      </w:pPr>
      <w:bookmarkStart w:id="666" w:name="_Ref403996873"/>
      <w:r w:rsidRPr="00BF0B1C">
        <w:t>Table </w:t>
      </w:r>
      <w:r>
        <w:t>31-</w:t>
      </w:r>
      <w:fldSimple w:instr=" SEQ Table \* ARABIC ">
        <w:r w:rsidR="007F721A">
          <w:rPr>
            <w:noProof/>
          </w:rPr>
          <w:t>2</w:t>
        </w:r>
      </w:fldSimple>
      <w:bookmarkEnd w:id="666"/>
      <w:r w:rsidRPr="00BF0B1C">
        <w:tab/>
        <w:t>State population growth rates, 2016-17 to 2018-19</w:t>
      </w:r>
    </w:p>
    <w:tbl>
      <w:tblPr>
        <w:tblW w:w="8900" w:type="dxa"/>
        <w:tblCellMar>
          <w:left w:w="28" w:type="dxa"/>
          <w:right w:w="28" w:type="dxa"/>
        </w:tblCellMar>
        <w:tblLook w:val="04A0" w:firstRow="1" w:lastRow="0" w:firstColumn="1" w:lastColumn="0" w:noHBand="0" w:noVBand="1"/>
      </w:tblPr>
      <w:tblGrid>
        <w:gridCol w:w="1520"/>
        <w:gridCol w:w="820"/>
        <w:gridCol w:w="820"/>
        <w:gridCol w:w="820"/>
        <w:gridCol w:w="820"/>
        <w:gridCol w:w="820"/>
        <w:gridCol w:w="820"/>
        <w:gridCol w:w="820"/>
        <w:gridCol w:w="820"/>
        <w:gridCol w:w="820"/>
      </w:tblGrid>
      <w:tr w:rsidR="00DE37C1" w:rsidRPr="0041178C" w14:paraId="04A1179D" w14:textId="77777777" w:rsidTr="00185104">
        <w:trPr>
          <w:trHeight w:val="375"/>
        </w:trPr>
        <w:tc>
          <w:tcPr>
            <w:tcW w:w="1520" w:type="dxa"/>
            <w:tcBorders>
              <w:top w:val="nil"/>
              <w:left w:val="nil"/>
              <w:bottom w:val="nil"/>
              <w:right w:val="nil"/>
            </w:tcBorders>
            <w:shd w:val="clear" w:color="000000" w:fill="006991"/>
            <w:vAlign w:val="center"/>
            <w:hideMark/>
          </w:tcPr>
          <w:p w14:paraId="4CF835E4" w14:textId="77777777" w:rsidR="00DE37C1" w:rsidRPr="0041178C"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178C">
              <w:rPr>
                <w:rFonts w:ascii="Open Sans SemiBold" w:eastAsia="Times New Roman" w:hAnsi="Open Sans SemiBold" w:cs="Open Sans SemiBold"/>
                <w:color w:val="FFFFFF"/>
                <w:sz w:val="16"/>
                <w:szCs w:val="16"/>
                <w:lang w:eastAsia="en-AU"/>
              </w:rPr>
              <w:t> </w:t>
            </w:r>
          </w:p>
        </w:tc>
        <w:tc>
          <w:tcPr>
            <w:tcW w:w="820" w:type="dxa"/>
            <w:tcBorders>
              <w:top w:val="nil"/>
              <w:left w:val="nil"/>
              <w:bottom w:val="nil"/>
              <w:right w:val="nil"/>
            </w:tcBorders>
            <w:shd w:val="clear" w:color="000000" w:fill="006991"/>
            <w:vAlign w:val="center"/>
            <w:hideMark/>
          </w:tcPr>
          <w:p w14:paraId="693850C1" w14:textId="77777777" w:rsidR="00DE37C1" w:rsidRPr="0041178C"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178C">
              <w:rPr>
                <w:rFonts w:ascii="Open Sans SemiBold" w:eastAsia="Times New Roman" w:hAnsi="Open Sans SemiBold" w:cs="Open Sans SemiBold"/>
                <w:color w:val="FFFFFF"/>
                <w:sz w:val="16"/>
                <w:szCs w:val="16"/>
                <w:lang w:eastAsia="en-AU"/>
              </w:rPr>
              <w:t>NSW</w:t>
            </w:r>
          </w:p>
        </w:tc>
        <w:tc>
          <w:tcPr>
            <w:tcW w:w="820" w:type="dxa"/>
            <w:tcBorders>
              <w:top w:val="nil"/>
              <w:left w:val="nil"/>
              <w:bottom w:val="nil"/>
              <w:right w:val="nil"/>
            </w:tcBorders>
            <w:shd w:val="clear" w:color="000000" w:fill="006991"/>
            <w:vAlign w:val="center"/>
            <w:hideMark/>
          </w:tcPr>
          <w:p w14:paraId="307EEFA7" w14:textId="77777777" w:rsidR="00DE37C1" w:rsidRPr="0041178C"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178C">
              <w:rPr>
                <w:rFonts w:ascii="Open Sans SemiBold" w:eastAsia="Times New Roman" w:hAnsi="Open Sans SemiBold" w:cs="Open Sans SemiBold"/>
                <w:color w:val="FFFFFF"/>
                <w:sz w:val="16"/>
                <w:szCs w:val="16"/>
                <w:lang w:eastAsia="en-AU"/>
              </w:rPr>
              <w:t>Vic</w:t>
            </w:r>
          </w:p>
        </w:tc>
        <w:tc>
          <w:tcPr>
            <w:tcW w:w="820" w:type="dxa"/>
            <w:tcBorders>
              <w:top w:val="nil"/>
              <w:left w:val="nil"/>
              <w:bottom w:val="nil"/>
              <w:right w:val="nil"/>
            </w:tcBorders>
            <w:shd w:val="clear" w:color="000000" w:fill="006991"/>
            <w:vAlign w:val="center"/>
            <w:hideMark/>
          </w:tcPr>
          <w:p w14:paraId="10BCB6F5" w14:textId="77777777" w:rsidR="00DE37C1" w:rsidRPr="0041178C"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178C">
              <w:rPr>
                <w:rFonts w:ascii="Open Sans SemiBold" w:eastAsia="Times New Roman" w:hAnsi="Open Sans SemiBold" w:cs="Open Sans SemiBold"/>
                <w:color w:val="FFFFFF"/>
                <w:sz w:val="16"/>
                <w:szCs w:val="16"/>
                <w:lang w:eastAsia="en-AU"/>
              </w:rPr>
              <w:t>Qld</w:t>
            </w:r>
          </w:p>
        </w:tc>
        <w:tc>
          <w:tcPr>
            <w:tcW w:w="820" w:type="dxa"/>
            <w:tcBorders>
              <w:top w:val="nil"/>
              <w:left w:val="nil"/>
              <w:bottom w:val="nil"/>
              <w:right w:val="nil"/>
            </w:tcBorders>
            <w:shd w:val="clear" w:color="000000" w:fill="006991"/>
            <w:vAlign w:val="center"/>
            <w:hideMark/>
          </w:tcPr>
          <w:p w14:paraId="32C38DF3" w14:textId="77777777" w:rsidR="00DE37C1" w:rsidRPr="0041178C"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178C">
              <w:rPr>
                <w:rFonts w:ascii="Open Sans SemiBold" w:eastAsia="Times New Roman" w:hAnsi="Open Sans SemiBold" w:cs="Open Sans SemiBold"/>
                <w:color w:val="FFFFFF"/>
                <w:sz w:val="16"/>
                <w:szCs w:val="16"/>
                <w:lang w:eastAsia="en-AU"/>
              </w:rPr>
              <w:t>WA</w:t>
            </w:r>
          </w:p>
        </w:tc>
        <w:tc>
          <w:tcPr>
            <w:tcW w:w="820" w:type="dxa"/>
            <w:tcBorders>
              <w:top w:val="nil"/>
              <w:left w:val="nil"/>
              <w:bottom w:val="nil"/>
              <w:right w:val="nil"/>
            </w:tcBorders>
            <w:shd w:val="clear" w:color="000000" w:fill="006991"/>
            <w:vAlign w:val="center"/>
            <w:hideMark/>
          </w:tcPr>
          <w:p w14:paraId="13297EEB" w14:textId="77777777" w:rsidR="00DE37C1" w:rsidRPr="0041178C"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178C">
              <w:rPr>
                <w:rFonts w:ascii="Open Sans SemiBold" w:eastAsia="Times New Roman" w:hAnsi="Open Sans SemiBold" w:cs="Open Sans SemiBold"/>
                <w:color w:val="FFFFFF"/>
                <w:sz w:val="16"/>
                <w:szCs w:val="16"/>
                <w:lang w:eastAsia="en-AU"/>
              </w:rPr>
              <w:t>SA</w:t>
            </w:r>
          </w:p>
        </w:tc>
        <w:tc>
          <w:tcPr>
            <w:tcW w:w="820" w:type="dxa"/>
            <w:tcBorders>
              <w:top w:val="nil"/>
              <w:left w:val="nil"/>
              <w:bottom w:val="nil"/>
              <w:right w:val="nil"/>
            </w:tcBorders>
            <w:shd w:val="clear" w:color="000000" w:fill="006991"/>
            <w:vAlign w:val="center"/>
            <w:hideMark/>
          </w:tcPr>
          <w:p w14:paraId="39F6B678" w14:textId="77777777" w:rsidR="00DE37C1" w:rsidRPr="0041178C"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178C">
              <w:rPr>
                <w:rFonts w:ascii="Open Sans SemiBold" w:eastAsia="Times New Roman" w:hAnsi="Open Sans SemiBold" w:cs="Open Sans SemiBold"/>
                <w:color w:val="FFFFFF"/>
                <w:sz w:val="16"/>
                <w:szCs w:val="16"/>
                <w:lang w:eastAsia="en-AU"/>
              </w:rPr>
              <w:t>Tas</w:t>
            </w:r>
          </w:p>
        </w:tc>
        <w:tc>
          <w:tcPr>
            <w:tcW w:w="820" w:type="dxa"/>
            <w:tcBorders>
              <w:top w:val="nil"/>
              <w:left w:val="nil"/>
              <w:bottom w:val="nil"/>
              <w:right w:val="nil"/>
            </w:tcBorders>
            <w:shd w:val="clear" w:color="000000" w:fill="006991"/>
            <w:vAlign w:val="center"/>
            <w:hideMark/>
          </w:tcPr>
          <w:p w14:paraId="48C2DCCE" w14:textId="77777777" w:rsidR="00DE37C1" w:rsidRPr="0041178C"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178C">
              <w:rPr>
                <w:rFonts w:ascii="Open Sans SemiBold" w:eastAsia="Times New Roman" w:hAnsi="Open Sans SemiBold" w:cs="Open Sans SemiBold"/>
                <w:color w:val="FFFFFF"/>
                <w:sz w:val="16"/>
                <w:szCs w:val="16"/>
                <w:lang w:eastAsia="en-AU"/>
              </w:rPr>
              <w:t>ACT</w:t>
            </w:r>
          </w:p>
        </w:tc>
        <w:tc>
          <w:tcPr>
            <w:tcW w:w="820" w:type="dxa"/>
            <w:tcBorders>
              <w:top w:val="nil"/>
              <w:left w:val="nil"/>
              <w:bottom w:val="nil"/>
              <w:right w:val="nil"/>
            </w:tcBorders>
            <w:shd w:val="clear" w:color="000000" w:fill="006991"/>
            <w:vAlign w:val="center"/>
            <w:hideMark/>
          </w:tcPr>
          <w:p w14:paraId="769DA20D" w14:textId="77777777" w:rsidR="00DE37C1" w:rsidRPr="0041178C"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178C">
              <w:rPr>
                <w:rFonts w:ascii="Open Sans SemiBold" w:eastAsia="Times New Roman" w:hAnsi="Open Sans SemiBold" w:cs="Open Sans SemiBold"/>
                <w:color w:val="FFFFFF"/>
                <w:sz w:val="16"/>
                <w:szCs w:val="16"/>
                <w:lang w:eastAsia="en-AU"/>
              </w:rPr>
              <w:t>NT</w:t>
            </w:r>
          </w:p>
        </w:tc>
        <w:tc>
          <w:tcPr>
            <w:tcW w:w="820" w:type="dxa"/>
            <w:tcBorders>
              <w:top w:val="nil"/>
              <w:left w:val="nil"/>
              <w:bottom w:val="nil"/>
              <w:right w:val="nil"/>
            </w:tcBorders>
            <w:shd w:val="clear" w:color="000000" w:fill="006991"/>
            <w:vAlign w:val="center"/>
            <w:hideMark/>
          </w:tcPr>
          <w:p w14:paraId="185EB70C" w14:textId="77777777" w:rsidR="00DE37C1" w:rsidRPr="0041178C"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1178C">
              <w:rPr>
                <w:rFonts w:ascii="Open Sans SemiBold" w:eastAsia="Times New Roman" w:hAnsi="Open Sans SemiBold" w:cs="Open Sans SemiBold"/>
                <w:color w:val="FFFFFF"/>
                <w:sz w:val="16"/>
                <w:szCs w:val="16"/>
                <w:lang w:eastAsia="en-AU"/>
              </w:rPr>
              <w:t>Total</w:t>
            </w:r>
          </w:p>
        </w:tc>
      </w:tr>
      <w:tr w:rsidR="00DE37C1" w:rsidRPr="0041178C" w14:paraId="17A215ED" w14:textId="77777777" w:rsidTr="00413EA0">
        <w:trPr>
          <w:trHeight w:val="255"/>
        </w:trPr>
        <w:tc>
          <w:tcPr>
            <w:tcW w:w="1520" w:type="dxa"/>
            <w:tcBorders>
              <w:top w:val="single" w:sz="4" w:space="0" w:color="ADD6EA"/>
              <w:left w:val="nil"/>
              <w:bottom w:val="single" w:sz="4" w:space="0" w:color="ADD6EA"/>
              <w:right w:val="nil"/>
            </w:tcBorders>
            <w:shd w:val="clear" w:color="000000" w:fill="B6D5E4"/>
            <w:noWrap/>
            <w:vAlign w:val="center"/>
            <w:hideMark/>
          </w:tcPr>
          <w:p w14:paraId="331383C1" w14:textId="77777777" w:rsidR="00DE37C1" w:rsidRPr="0041178C"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178C">
              <w:rPr>
                <w:rFonts w:ascii="Open Sans SemiBold" w:eastAsia="Times New Roman" w:hAnsi="Open Sans SemiBold" w:cs="Open Sans SemiBold"/>
                <w:color w:val="000000"/>
                <w:sz w:val="16"/>
                <w:szCs w:val="16"/>
                <w:lang w:eastAsia="en-AU"/>
              </w:rPr>
              <w:t> </w:t>
            </w:r>
          </w:p>
        </w:tc>
        <w:tc>
          <w:tcPr>
            <w:tcW w:w="820" w:type="dxa"/>
            <w:tcBorders>
              <w:top w:val="single" w:sz="4" w:space="0" w:color="ADD6EA"/>
              <w:left w:val="nil"/>
              <w:bottom w:val="single" w:sz="4" w:space="0" w:color="ADD6EA"/>
              <w:right w:val="nil"/>
            </w:tcBorders>
            <w:shd w:val="clear" w:color="000000" w:fill="B6D5E4"/>
            <w:noWrap/>
            <w:vAlign w:val="center"/>
            <w:hideMark/>
          </w:tcPr>
          <w:p w14:paraId="0EB252EA" w14:textId="77777777" w:rsidR="00DE37C1" w:rsidRPr="0041178C"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178C">
              <w:rPr>
                <w:rFonts w:ascii="Open Sans SemiBold" w:eastAsia="Times New Roman" w:hAnsi="Open Sans SemiBold" w:cs="Open Sans SemiBold"/>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B6D5E4"/>
            <w:noWrap/>
            <w:vAlign w:val="center"/>
            <w:hideMark/>
          </w:tcPr>
          <w:p w14:paraId="6A239FA4" w14:textId="77777777" w:rsidR="00DE37C1" w:rsidRPr="0041178C"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178C">
              <w:rPr>
                <w:rFonts w:ascii="Open Sans SemiBold" w:eastAsia="Times New Roman" w:hAnsi="Open Sans SemiBold" w:cs="Open Sans SemiBold"/>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B6D5E4"/>
            <w:noWrap/>
            <w:vAlign w:val="center"/>
            <w:hideMark/>
          </w:tcPr>
          <w:p w14:paraId="73B03F1A" w14:textId="77777777" w:rsidR="00DE37C1" w:rsidRPr="0041178C"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178C">
              <w:rPr>
                <w:rFonts w:ascii="Open Sans SemiBold" w:eastAsia="Times New Roman" w:hAnsi="Open Sans SemiBold" w:cs="Open Sans SemiBold"/>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B6D5E4"/>
            <w:noWrap/>
            <w:vAlign w:val="center"/>
            <w:hideMark/>
          </w:tcPr>
          <w:p w14:paraId="4B71B132" w14:textId="77777777" w:rsidR="00DE37C1" w:rsidRPr="0041178C"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178C">
              <w:rPr>
                <w:rFonts w:ascii="Open Sans SemiBold" w:eastAsia="Times New Roman" w:hAnsi="Open Sans SemiBold" w:cs="Open Sans SemiBold"/>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B6D5E4"/>
            <w:noWrap/>
            <w:vAlign w:val="center"/>
            <w:hideMark/>
          </w:tcPr>
          <w:p w14:paraId="63A7A29B" w14:textId="77777777" w:rsidR="00DE37C1" w:rsidRPr="0041178C"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178C">
              <w:rPr>
                <w:rFonts w:ascii="Open Sans SemiBold" w:eastAsia="Times New Roman" w:hAnsi="Open Sans SemiBold" w:cs="Open Sans SemiBold"/>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B6D5E4"/>
            <w:noWrap/>
            <w:vAlign w:val="center"/>
            <w:hideMark/>
          </w:tcPr>
          <w:p w14:paraId="3115ED2D" w14:textId="77777777" w:rsidR="00DE37C1" w:rsidRPr="0041178C"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178C">
              <w:rPr>
                <w:rFonts w:ascii="Open Sans SemiBold" w:eastAsia="Times New Roman" w:hAnsi="Open Sans SemiBold" w:cs="Open Sans SemiBold"/>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B6D5E4"/>
            <w:noWrap/>
            <w:vAlign w:val="center"/>
            <w:hideMark/>
          </w:tcPr>
          <w:p w14:paraId="31389B29" w14:textId="77777777" w:rsidR="00DE37C1" w:rsidRPr="0041178C"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178C">
              <w:rPr>
                <w:rFonts w:ascii="Open Sans SemiBold" w:eastAsia="Times New Roman" w:hAnsi="Open Sans SemiBold" w:cs="Open Sans SemiBold"/>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B6D5E4"/>
            <w:noWrap/>
            <w:vAlign w:val="center"/>
            <w:hideMark/>
          </w:tcPr>
          <w:p w14:paraId="63A53621" w14:textId="77777777" w:rsidR="00DE37C1" w:rsidRPr="0041178C"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178C">
              <w:rPr>
                <w:rFonts w:ascii="Open Sans SemiBold" w:eastAsia="Times New Roman" w:hAnsi="Open Sans SemiBold" w:cs="Open Sans SemiBold"/>
                <w:color w:val="000000"/>
                <w:sz w:val="16"/>
                <w:szCs w:val="16"/>
                <w:lang w:eastAsia="en-AU"/>
              </w:rPr>
              <w:t>%</w:t>
            </w:r>
          </w:p>
        </w:tc>
        <w:tc>
          <w:tcPr>
            <w:tcW w:w="820" w:type="dxa"/>
            <w:tcBorders>
              <w:top w:val="single" w:sz="4" w:space="0" w:color="ADD6EA"/>
              <w:left w:val="nil"/>
              <w:bottom w:val="single" w:sz="4" w:space="0" w:color="ADD6EA"/>
              <w:right w:val="nil"/>
            </w:tcBorders>
            <w:shd w:val="clear" w:color="000000" w:fill="B6D5E4"/>
            <w:noWrap/>
            <w:vAlign w:val="center"/>
            <w:hideMark/>
          </w:tcPr>
          <w:p w14:paraId="541A7FB5" w14:textId="77777777" w:rsidR="00DE37C1" w:rsidRPr="0041178C" w:rsidRDefault="00DE37C1" w:rsidP="00A77898">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1178C">
              <w:rPr>
                <w:rFonts w:ascii="Open Sans SemiBold" w:eastAsia="Times New Roman" w:hAnsi="Open Sans SemiBold" w:cs="Open Sans SemiBold"/>
                <w:color w:val="000000"/>
                <w:sz w:val="16"/>
                <w:szCs w:val="16"/>
                <w:lang w:eastAsia="en-AU"/>
              </w:rPr>
              <w:t>%</w:t>
            </w:r>
          </w:p>
        </w:tc>
      </w:tr>
      <w:tr w:rsidR="00DE37C1" w:rsidRPr="0041178C" w14:paraId="3776FB4C" w14:textId="77777777" w:rsidTr="00185104">
        <w:trPr>
          <w:trHeight w:val="315"/>
        </w:trPr>
        <w:tc>
          <w:tcPr>
            <w:tcW w:w="1520" w:type="dxa"/>
            <w:tcBorders>
              <w:top w:val="nil"/>
              <w:left w:val="nil"/>
              <w:bottom w:val="single" w:sz="4" w:space="0" w:color="ADD6EA"/>
              <w:right w:val="nil"/>
            </w:tcBorders>
            <w:shd w:val="clear" w:color="000000" w:fill="FFFFFF"/>
            <w:vAlign w:val="bottom"/>
            <w:hideMark/>
          </w:tcPr>
          <w:p w14:paraId="402FF067" w14:textId="77777777" w:rsidR="00DE37C1" w:rsidRPr="0041178C" w:rsidRDefault="00DE37C1" w:rsidP="004D65FE">
            <w:pPr>
              <w:tabs>
                <w:tab w:val="clear" w:pos="567"/>
              </w:tabs>
              <w:spacing w:before="0" w:line="240" w:lineRule="auto"/>
              <w:rPr>
                <w:rFonts w:eastAsia="Times New Roman" w:cs="Open Sans Light"/>
                <w:color w:val="000000"/>
                <w:sz w:val="16"/>
                <w:szCs w:val="16"/>
                <w:lang w:eastAsia="en-AU"/>
              </w:rPr>
            </w:pPr>
            <w:r w:rsidRPr="0041178C">
              <w:rPr>
                <w:rFonts w:eastAsia="Times New Roman" w:cs="Open Sans Light"/>
                <w:color w:val="000000"/>
                <w:sz w:val="16"/>
                <w:szCs w:val="16"/>
                <w:lang w:eastAsia="en-AU"/>
              </w:rPr>
              <w:t>2016-17</w:t>
            </w:r>
          </w:p>
        </w:tc>
        <w:tc>
          <w:tcPr>
            <w:tcW w:w="820" w:type="dxa"/>
            <w:tcBorders>
              <w:top w:val="nil"/>
              <w:left w:val="nil"/>
              <w:bottom w:val="single" w:sz="4" w:space="0" w:color="ADD6EA"/>
              <w:right w:val="nil"/>
            </w:tcBorders>
            <w:shd w:val="clear" w:color="000000" w:fill="FFFFFF"/>
            <w:vAlign w:val="bottom"/>
            <w:hideMark/>
          </w:tcPr>
          <w:p w14:paraId="0A2667F4"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1.7</w:t>
            </w:r>
          </w:p>
        </w:tc>
        <w:tc>
          <w:tcPr>
            <w:tcW w:w="820" w:type="dxa"/>
            <w:tcBorders>
              <w:top w:val="nil"/>
              <w:left w:val="nil"/>
              <w:bottom w:val="single" w:sz="4" w:space="0" w:color="ADD6EA"/>
              <w:right w:val="nil"/>
            </w:tcBorders>
            <w:shd w:val="clear" w:color="000000" w:fill="FFFFFF"/>
            <w:vAlign w:val="bottom"/>
            <w:hideMark/>
          </w:tcPr>
          <w:p w14:paraId="7E6EA885"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2.5</w:t>
            </w:r>
          </w:p>
        </w:tc>
        <w:tc>
          <w:tcPr>
            <w:tcW w:w="820" w:type="dxa"/>
            <w:tcBorders>
              <w:top w:val="nil"/>
              <w:left w:val="nil"/>
              <w:bottom w:val="single" w:sz="4" w:space="0" w:color="ADD6EA"/>
              <w:right w:val="nil"/>
            </w:tcBorders>
            <w:shd w:val="clear" w:color="000000" w:fill="FFFFFF"/>
            <w:vAlign w:val="bottom"/>
            <w:hideMark/>
          </w:tcPr>
          <w:p w14:paraId="7643EEF3"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1.6</w:t>
            </w:r>
          </w:p>
        </w:tc>
        <w:tc>
          <w:tcPr>
            <w:tcW w:w="820" w:type="dxa"/>
            <w:tcBorders>
              <w:top w:val="nil"/>
              <w:left w:val="nil"/>
              <w:bottom w:val="single" w:sz="4" w:space="0" w:color="ADD6EA"/>
              <w:right w:val="nil"/>
            </w:tcBorders>
            <w:shd w:val="clear" w:color="000000" w:fill="FFFFFF"/>
            <w:vAlign w:val="bottom"/>
            <w:hideMark/>
          </w:tcPr>
          <w:p w14:paraId="2732CB34"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0.6</w:t>
            </w:r>
          </w:p>
        </w:tc>
        <w:tc>
          <w:tcPr>
            <w:tcW w:w="820" w:type="dxa"/>
            <w:tcBorders>
              <w:top w:val="nil"/>
              <w:left w:val="nil"/>
              <w:bottom w:val="single" w:sz="4" w:space="0" w:color="ADD6EA"/>
              <w:right w:val="nil"/>
            </w:tcBorders>
            <w:shd w:val="clear" w:color="000000" w:fill="FFFFFF"/>
            <w:vAlign w:val="bottom"/>
            <w:hideMark/>
          </w:tcPr>
          <w:p w14:paraId="62AA4528"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0.7</w:t>
            </w:r>
          </w:p>
        </w:tc>
        <w:tc>
          <w:tcPr>
            <w:tcW w:w="820" w:type="dxa"/>
            <w:tcBorders>
              <w:top w:val="nil"/>
              <w:left w:val="nil"/>
              <w:bottom w:val="single" w:sz="4" w:space="0" w:color="ADD6EA"/>
              <w:right w:val="nil"/>
            </w:tcBorders>
            <w:shd w:val="clear" w:color="000000" w:fill="FFFFFF"/>
            <w:vAlign w:val="bottom"/>
            <w:hideMark/>
          </w:tcPr>
          <w:p w14:paraId="392C035F"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0.8</w:t>
            </w:r>
          </w:p>
        </w:tc>
        <w:tc>
          <w:tcPr>
            <w:tcW w:w="820" w:type="dxa"/>
            <w:tcBorders>
              <w:top w:val="nil"/>
              <w:left w:val="nil"/>
              <w:bottom w:val="single" w:sz="4" w:space="0" w:color="ADD6EA"/>
              <w:right w:val="nil"/>
            </w:tcBorders>
            <w:shd w:val="clear" w:color="000000" w:fill="FFFFFF"/>
            <w:vAlign w:val="bottom"/>
            <w:hideMark/>
          </w:tcPr>
          <w:p w14:paraId="688A264E"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2.2</w:t>
            </w:r>
          </w:p>
        </w:tc>
        <w:tc>
          <w:tcPr>
            <w:tcW w:w="820" w:type="dxa"/>
            <w:tcBorders>
              <w:top w:val="nil"/>
              <w:left w:val="nil"/>
              <w:bottom w:val="single" w:sz="4" w:space="0" w:color="ADD6EA"/>
              <w:right w:val="nil"/>
            </w:tcBorders>
            <w:shd w:val="clear" w:color="000000" w:fill="FFFFFF"/>
            <w:vAlign w:val="bottom"/>
            <w:hideMark/>
          </w:tcPr>
          <w:p w14:paraId="16EC7387"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0.9</w:t>
            </w:r>
          </w:p>
        </w:tc>
        <w:tc>
          <w:tcPr>
            <w:tcW w:w="820" w:type="dxa"/>
            <w:tcBorders>
              <w:top w:val="nil"/>
              <w:left w:val="nil"/>
              <w:bottom w:val="single" w:sz="4" w:space="0" w:color="ADD6EA"/>
              <w:right w:val="nil"/>
            </w:tcBorders>
            <w:shd w:val="clear" w:color="000000" w:fill="FFFFFF"/>
            <w:vAlign w:val="bottom"/>
            <w:hideMark/>
          </w:tcPr>
          <w:p w14:paraId="0818B8D2"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1.7</w:t>
            </w:r>
          </w:p>
        </w:tc>
      </w:tr>
      <w:tr w:rsidR="00DE37C1" w:rsidRPr="0041178C" w14:paraId="213485D4" w14:textId="77777777" w:rsidTr="00185104">
        <w:trPr>
          <w:trHeight w:val="315"/>
        </w:trPr>
        <w:tc>
          <w:tcPr>
            <w:tcW w:w="1520" w:type="dxa"/>
            <w:tcBorders>
              <w:top w:val="nil"/>
              <w:left w:val="nil"/>
              <w:bottom w:val="single" w:sz="4" w:space="0" w:color="ADD6EA"/>
              <w:right w:val="nil"/>
            </w:tcBorders>
            <w:shd w:val="clear" w:color="000000" w:fill="FFFFFF"/>
            <w:vAlign w:val="bottom"/>
            <w:hideMark/>
          </w:tcPr>
          <w:p w14:paraId="6A93767D" w14:textId="77777777" w:rsidR="00DE37C1" w:rsidRPr="0041178C" w:rsidRDefault="00DE37C1" w:rsidP="004D65FE">
            <w:pPr>
              <w:tabs>
                <w:tab w:val="clear" w:pos="567"/>
              </w:tabs>
              <w:spacing w:before="0" w:line="240" w:lineRule="auto"/>
              <w:rPr>
                <w:rFonts w:eastAsia="Times New Roman" w:cs="Open Sans Light"/>
                <w:color w:val="000000"/>
                <w:sz w:val="16"/>
                <w:szCs w:val="16"/>
                <w:lang w:eastAsia="en-AU"/>
              </w:rPr>
            </w:pPr>
            <w:r w:rsidRPr="0041178C">
              <w:rPr>
                <w:rFonts w:eastAsia="Times New Roman" w:cs="Open Sans Light"/>
                <w:color w:val="000000"/>
                <w:sz w:val="16"/>
                <w:szCs w:val="16"/>
                <w:lang w:eastAsia="en-AU"/>
              </w:rPr>
              <w:t>2017-18</w:t>
            </w:r>
          </w:p>
        </w:tc>
        <w:tc>
          <w:tcPr>
            <w:tcW w:w="820" w:type="dxa"/>
            <w:tcBorders>
              <w:top w:val="nil"/>
              <w:left w:val="nil"/>
              <w:bottom w:val="single" w:sz="4" w:space="0" w:color="ADD6EA"/>
              <w:right w:val="nil"/>
            </w:tcBorders>
            <w:shd w:val="clear" w:color="000000" w:fill="FFFFFF"/>
            <w:vAlign w:val="bottom"/>
            <w:hideMark/>
          </w:tcPr>
          <w:p w14:paraId="3635781F"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1.5</w:t>
            </w:r>
          </w:p>
        </w:tc>
        <w:tc>
          <w:tcPr>
            <w:tcW w:w="820" w:type="dxa"/>
            <w:tcBorders>
              <w:top w:val="nil"/>
              <w:left w:val="nil"/>
              <w:bottom w:val="single" w:sz="4" w:space="0" w:color="ADD6EA"/>
              <w:right w:val="nil"/>
            </w:tcBorders>
            <w:shd w:val="clear" w:color="000000" w:fill="FFFFFF"/>
            <w:vAlign w:val="bottom"/>
            <w:hideMark/>
          </w:tcPr>
          <w:p w14:paraId="3C4E0784"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2.3</w:t>
            </w:r>
          </w:p>
        </w:tc>
        <w:tc>
          <w:tcPr>
            <w:tcW w:w="820" w:type="dxa"/>
            <w:tcBorders>
              <w:top w:val="nil"/>
              <w:left w:val="nil"/>
              <w:bottom w:val="single" w:sz="4" w:space="0" w:color="ADD6EA"/>
              <w:right w:val="nil"/>
            </w:tcBorders>
            <w:shd w:val="clear" w:color="000000" w:fill="FFFFFF"/>
            <w:vAlign w:val="bottom"/>
            <w:hideMark/>
          </w:tcPr>
          <w:p w14:paraId="18832D05"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1.6</w:t>
            </w:r>
          </w:p>
        </w:tc>
        <w:tc>
          <w:tcPr>
            <w:tcW w:w="820" w:type="dxa"/>
            <w:tcBorders>
              <w:top w:val="nil"/>
              <w:left w:val="nil"/>
              <w:bottom w:val="single" w:sz="4" w:space="0" w:color="ADD6EA"/>
              <w:right w:val="nil"/>
            </w:tcBorders>
            <w:shd w:val="clear" w:color="000000" w:fill="FFFFFF"/>
            <w:vAlign w:val="bottom"/>
            <w:hideMark/>
          </w:tcPr>
          <w:p w14:paraId="7B62D907"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0.7</w:t>
            </w:r>
          </w:p>
        </w:tc>
        <w:tc>
          <w:tcPr>
            <w:tcW w:w="820" w:type="dxa"/>
            <w:tcBorders>
              <w:top w:val="nil"/>
              <w:left w:val="nil"/>
              <w:bottom w:val="single" w:sz="4" w:space="0" w:color="ADD6EA"/>
              <w:right w:val="nil"/>
            </w:tcBorders>
            <w:shd w:val="clear" w:color="000000" w:fill="FFFFFF"/>
            <w:vAlign w:val="bottom"/>
            <w:hideMark/>
          </w:tcPr>
          <w:p w14:paraId="1A2CD4EF"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0.6</w:t>
            </w:r>
          </w:p>
        </w:tc>
        <w:tc>
          <w:tcPr>
            <w:tcW w:w="820" w:type="dxa"/>
            <w:tcBorders>
              <w:top w:val="nil"/>
              <w:left w:val="nil"/>
              <w:bottom w:val="single" w:sz="4" w:space="0" w:color="ADD6EA"/>
              <w:right w:val="nil"/>
            </w:tcBorders>
            <w:shd w:val="clear" w:color="000000" w:fill="FFFFFF"/>
            <w:vAlign w:val="bottom"/>
            <w:hideMark/>
          </w:tcPr>
          <w:p w14:paraId="44F1A42C"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1.0</w:t>
            </w:r>
          </w:p>
        </w:tc>
        <w:tc>
          <w:tcPr>
            <w:tcW w:w="820" w:type="dxa"/>
            <w:tcBorders>
              <w:top w:val="nil"/>
              <w:left w:val="nil"/>
              <w:bottom w:val="single" w:sz="4" w:space="0" w:color="ADD6EA"/>
              <w:right w:val="nil"/>
            </w:tcBorders>
            <w:shd w:val="clear" w:color="000000" w:fill="FFFFFF"/>
            <w:vAlign w:val="bottom"/>
            <w:hideMark/>
          </w:tcPr>
          <w:p w14:paraId="0534138A"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2.1</w:t>
            </w:r>
          </w:p>
        </w:tc>
        <w:tc>
          <w:tcPr>
            <w:tcW w:w="820" w:type="dxa"/>
            <w:tcBorders>
              <w:top w:val="nil"/>
              <w:left w:val="nil"/>
              <w:bottom w:val="single" w:sz="4" w:space="0" w:color="ADD6EA"/>
              <w:right w:val="nil"/>
            </w:tcBorders>
            <w:shd w:val="clear" w:color="000000" w:fill="FFFFFF"/>
            <w:vAlign w:val="bottom"/>
            <w:hideMark/>
          </w:tcPr>
          <w:p w14:paraId="39DE49A9"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0.3</w:t>
            </w:r>
          </w:p>
        </w:tc>
        <w:tc>
          <w:tcPr>
            <w:tcW w:w="820" w:type="dxa"/>
            <w:tcBorders>
              <w:top w:val="nil"/>
              <w:left w:val="nil"/>
              <w:bottom w:val="single" w:sz="4" w:space="0" w:color="ADD6EA"/>
              <w:right w:val="nil"/>
            </w:tcBorders>
            <w:shd w:val="clear" w:color="000000" w:fill="FFFFFF"/>
            <w:vAlign w:val="bottom"/>
            <w:hideMark/>
          </w:tcPr>
          <w:p w14:paraId="1FBC9889"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1.6</w:t>
            </w:r>
          </w:p>
        </w:tc>
      </w:tr>
      <w:tr w:rsidR="00DE37C1" w:rsidRPr="0041178C" w14:paraId="3438E4F0" w14:textId="77777777" w:rsidTr="00185104">
        <w:trPr>
          <w:trHeight w:val="315"/>
        </w:trPr>
        <w:tc>
          <w:tcPr>
            <w:tcW w:w="1520" w:type="dxa"/>
            <w:tcBorders>
              <w:top w:val="nil"/>
              <w:left w:val="nil"/>
              <w:bottom w:val="single" w:sz="4" w:space="0" w:color="ADD6EA"/>
              <w:right w:val="nil"/>
            </w:tcBorders>
            <w:shd w:val="clear" w:color="000000" w:fill="FFFFFF"/>
            <w:vAlign w:val="bottom"/>
            <w:hideMark/>
          </w:tcPr>
          <w:p w14:paraId="76FEE97C" w14:textId="77777777" w:rsidR="00DE37C1" w:rsidRPr="0041178C" w:rsidRDefault="00DE37C1" w:rsidP="004D65FE">
            <w:pPr>
              <w:tabs>
                <w:tab w:val="clear" w:pos="567"/>
              </w:tabs>
              <w:spacing w:before="0" w:line="240" w:lineRule="auto"/>
              <w:rPr>
                <w:rFonts w:eastAsia="Times New Roman" w:cs="Open Sans Light"/>
                <w:color w:val="000000"/>
                <w:sz w:val="16"/>
                <w:szCs w:val="16"/>
                <w:lang w:eastAsia="en-AU"/>
              </w:rPr>
            </w:pPr>
            <w:r w:rsidRPr="0041178C">
              <w:rPr>
                <w:rFonts w:eastAsia="Times New Roman" w:cs="Open Sans Light"/>
                <w:color w:val="000000"/>
                <w:sz w:val="16"/>
                <w:szCs w:val="16"/>
                <w:lang w:eastAsia="en-AU"/>
              </w:rPr>
              <w:t>2018-19</w:t>
            </w:r>
          </w:p>
        </w:tc>
        <w:tc>
          <w:tcPr>
            <w:tcW w:w="820" w:type="dxa"/>
            <w:tcBorders>
              <w:top w:val="nil"/>
              <w:left w:val="nil"/>
              <w:bottom w:val="single" w:sz="4" w:space="0" w:color="ADD6EA"/>
              <w:right w:val="nil"/>
            </w:tcBorders>
            <w:shd w:val="clear" w:color="000000" w:fill="FFFFFF"/>
            <w:vAlign w:val="bottom"/>
            <w:hideMark/>
          </w:tcPr>
          <w:p w14:paraId="2C50213A"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1.5</w:t>
            </w:r>
          </w:p>
        </w:tc>
        <w:tc>
          <w:tcPr>
            <w:tcW w:w="820" w:type="dxa"/>
            <w:tcBorders>
              <w:top w:val="nil"/>
              <w:left w:val="nil"/>
              <w:bottom w:val="single" w:sz="4" w:space="0" w:color="ADD6EA"/>
              <w:right w:val="nil"/>
            </w:tcBorders>
            <w:shd w:val="clear" w:color="000000" w:fill="FFFFFF"/>
            <w:vAlign w:val="bottom"/>
            <w:hideMark/>
          </w:tcPr>
          <w:p w14:paraId="19176632"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2.2</w:t>
            </w:r>
          </w:p>
        </w:tc>
        <w:tc>
          <w:tcPr>
            <w:tcW w:w="820" w:type="dxa"/>
            <w:tcBorders>
              <w:top w:val="nil"/>
              <w:left w:val="nil"/>
              <w:bottom w:val="single" w:sz="4" w:space="0" w:color="ADD6EA"/>
              <w:right w:val="nil"/>
            </w:tcBorders>
            <w:shd w:val="clear" w:color="000000" w:fill="FFFFFF"/>
            <w:vAlign w:val="bottom"/>
            <w:hideMark/>
          </w:tcPr>
          <w:p w14:paraId="31B84184"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1.8</w:t>
            </w:r>
          </w:p>
        </w:tc>
        <w:tc>
          <w:tcPr>
            <w:tcW w:w="820" w:type="dxa"/>
            <w:tcBorders>
              <w:top w:val="nil"/>
              <w:left w:val="nil"/>
              <w:bottom w:val="single" w:sz="4" w:space="0" w:color="ADD6EA"/>
              <w:right w:val="nil"/>
            </w:tcBorders>
            <w:shd w:val="clear" w:color="000000" w:fill="FFFFFF"/>
            <w:vAlign w:val="bottom"/>
            <w:hideMark/>
          </w:tcPr>
          <w:p w14:paraId="04B62505"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0.9</w:t>
            </w:r>
          </w:p>
        </w:tc>
        <w:tc>
          <w:tcPr>
            <w:tcW w:w="820" w:type="dxa"/>
            <w:tcBorders>
              <w:top w:val="nil"/>
              <w:left w:val="nil"/>
              <w:bottom w:val="single" w:sz="4" w:space="0" w:color="ADD6EA"/>
              <w:right w:val="nil"/>
            </w:tcBorders>
            <w:shd w:val="clear" w:color="000000" w:fill="FFFFFF"/>
            <w:vAlign w:val="bottom"/>
            <w:hideMark/>
          </w:tcPr>
          <w:p w14:paraId="5AB6EFE8"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0.8</w:t>
            </w:r>
          </w:p>
        </w:tc>
        <w:tc>
          <w:tcPr>
            <w:tcW w:w="820" w:type="dxa"/>
            <w:tcBorders>
              <w:top w:val="nil"/>
              <w:left w:val="nil"/>
              <w:bottom w:val="single" w:sz="4" w:space="0" w:color="ADD6EA"/>
              <w:right w:val="nil"/>
            </w:tcBorders>
            <w:shd w:val="clear" w:color="000000" w:fill="FFFFFF"/>
            <w:vAlign w:val="bottom"/>
            <w:hideMark/>
          </w:tcPr>
          <w:p w14:paraId="371E6EE0"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1.3</w:t>
            </w:r>
          </w:p>
        </w:tc>
        <w:tc>
          <w:tcPr>
            <w:tcW w:w="820" w:type="dxa"/>
            <w:tcBorders>
              <w:top w:val="nil"/>
              <w:left w:val="nil"/>
              <w:bottom w:val="single" w:sz="4" w:space="0" w:color="ADD6EA"/>
              <w:right w:val="nil"/>
            </w:tcBorders>
            <w:shd w:val="clear" w:color="000000" w:fill="FFFFFF"/>
            <w:vAlign w:val="bottom"/>
            <w:hideMark/>
          </w:tcPr>
          <w:p w14:paraId="259047D1"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1.8</w:t>
            </w:r>
          </w:p>
        </w:tc>
        <w:tc>
          <w:tcPr>
            <w:tcW w:w="820" w:type="dxa"/>
            <w:tcBorders>
              <w:top w:val="nil"/>
              <w:left w:val="nil"/>
              <w:bottom w:val="single" w:sz="4" w:space="0" w:color="ADD6EA"/>
              <w:right w:val="nil"/>
            </w:tcBorders>
            <w:shd w:val="clear" w:color="000000" w:fill="FFFFFF"/>
            <w:vAlign w:val="bottom"/>
            <w:hideMark/>
          </w:tcPr>
          <w:p w14:paraId="2B1FD87F"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-0.5</w:t>
            </w:r>
          </w:p>
        </w:tc>
        <w:tc>
          <w:tcPr>
            <w:tcW w:w="820" w:type="dxa"/>
            <w:tcBorders>
              <w:top w:val="nil"/>
              <w:left w:val="nil"/>
              <w:bottom w:val="single" w:sz="4" w:space="0" w:color="ADD6EA"/>
              <w:right w:val="nil"/>
            </w:tcBorders>
            <w:shd w:val="clear" w:color="000000" w:fill="FFFFFF"/>
            <w:vAlign w:val="bottom"/>
            <w:hideMark/>
          </w:tcPr>
          <w:p w14:paraId="7FC1431E" w14:textId="77777777" w:rsidR="00DE37C1" w:rsidRPr="0041178C" w:rsidRDefault="00DE37C1" w:rsidP="004D65FE">
            <w:pPr>
              <w:tabs>
                <w:tab w:val="clear" w:pos="567"/>
              </w:tabs>
              <w:spacing w:before="0" w:line="240" w:lineRule="auto"/>
              <w:jc w:val="right"/>
              <w:rPr>
                <w:rFonts w:eastAsia="Times New Roman" w:cs="Open Sans Light"/>
                <w:color w:val="000000"/>
                <w:sz w:val="16"/>
                <w:szCs w:val="16"/>
                <w:lang w:eastAsia="en-AU"/>
              </w:rPr>
            </w:pPr>
            <w:r w:rsidRPr="0041178C">
              <w:rPr>
                <w:rFonts w:eastAsia="Times New Roman" w:cs="Open Sans Light"/>
                <w:color w:val="000000"/>
                <w:sz w:val="16"/>
                <w:szCs w:val="16"/>
                <w:lang w:eastAsia="en-AU"/>
              </w:rPr>
              <w:t>1.6</w:t>
            </w:r>
          </w:p>
        </w:tc>
      </w:tr>
    </w:tbl>
    <w:p w14:paraId="05B39B97" w14:textId="77777777" w:rsidR="00DE37C1" w:rsidRDefault="00DE37C1" w:rsidP="00DE37C1">
      <w:pPr>
        <w:pStyle w:val="CGCTablenote"/>
      </w:pPr>
      <w:r w:rsidRPr="00ED299B">
        <w:t xml:space="preserve">Source: </w:t>
      </w:r>
      <w:r w:rsidRPr="00ED299B">
        <w:tab/>
        <w:t>Commission calculation based on December estimated resident population from the ABS.</w:t>
      </w:r>
      <w:r>
        <w:t xml:space="preserve"> </w:t>
      </w:r>
    </w:p>
    <w:p w14:paraId="56649F82" w14:textId="2EE0A5C0" w:rsidR="00DE37C1" w:rsidRPr="00DC2967" w:rsidRDefault="00DE37C1" w:rsidP="00F47EC7">
      <w:pPr>
        <w:pStyle w:val="CGCParaNumber"/>
      </w:pPr>
      <w:r w:rsidRPr="00DC2967">
        <w:t xml:space="preserve">For </w:t>
      </w:r>
      <w:r>
        <w:t xml:space="preserve">the </w:t>
      </w:r>
      <w:r w:rsidRPr="00DC2967">
        <w:t xml:space="preserve">capital assessments, the Commission would ideally use population growth </w:t>
      </w:r>
      <w:r>
        <w:t xml:space="preserve">rates </w:t>
      </w:r>
      <w:r w:rsidRPr="00DC2967">
        <w:t xml:space="preserve">across financial years, from 30 June to 30 June. </w:t>
      </w:r>
      <w:r>
        <w:t>In the 2015 R</w:t>
      </w:r>
      <w:r w:rsidRPr="00DC2967">
        <w:t xml:space="preserve">eview, the Commission considered changing to financial year growth </w:t>
      </w:r>
      <w:r>
        <w:t xml:space="preserve">rates </w:t>
      </w:r>
      <w:r w:rsidRPr="00DC2967">
        <w:t xml:space="preserve">to better reflect the conceptual </w:t>
      </w:r>
      <w:r>
        <w:t>requirements</w:t>
      </w:r>
      <w:r w:rsidRPr="00DC2967">
        <w:t xml:space="preserve"> for capital assessments</w:t>
      </w:r>
      <w:r>
        <w:t>. After consulting</w:t>
      </w:r>
      <w:r w:rsidRPr="00DC2967">
        <w:t xml:space="preserve"> States</w:t>
      </w:r>
      <w:r>
        <w:t>, t</w:t>
      </w:r>
      <w:r w:rsidRPr="00DC2967">
        <w:t xml:space="preserve">he Commission concluded that this shift would not materially improve the equalisation outcomes, </w:t>
      </w:r>
      <w:r>
        <w:t>in part because</w:t>
      </w:r>
      <w:r w:rsidRPr="00DC2967">
        <w:t xml:space="preserve"> the GST distribution is based on a three year average. </w:t>
      </w:r>
      <w:r>
        <w:t xml:space="preserve">The Commission has </w:t>
      </w:r>
      <w:r w:rsidRPr="00DC2967">
        <w:t>retained this approach for the 2020</w:t>
      </w:r>
      <w:r>
        <w:t> </w:t>
      </w:r>
      <w:r w:rsidRPr="00DC2967">
        <w:t xml:space="preserve">Review. </w:t>
      </w:r>
    </w:p>
    <w:p w14:paraId="6D482C25" w14:textId="77777777" w:rsidR="00DE37C1" w:rsidRDefault="00DE37C1" w:rsidP="00DE37C1">
      <w:pPr>
        <w:pStyle w:val="Heading4"/>
      </w:pPr>
      <w:r>
        <w:lastRenderedPageBreak/>
        <w:t>Service populations</w:t>
      </w:r>
    </w:p>
    <w:p w14:paraId="04D27331" w14:textId="5C6EDF68" w:rsidR="00DE37C1" w:rsidRPr="00A76FBF" w:rsidRDefault="00DE37C1" w:rsidP="00F47EC7">
      <w:pPr>
        <w:pStyle w:val="CGCParaNumber"/>
      </w:pPr>
      <w:r w:rsidRPr="00382812">
        <w:t>The Commission uses ERP data (that is, a person’s place of usual residence) as the basis for estimat</w:t>
      </w:r>
      <w:r>
        <w:t>ing service populations</w:t>
      </w:r>
      <w:r w:rsidRPr="00382812">
        <w:t>. This means that tourists, itinerant workers, fly in</w:t>
      </w:r>
      <w:r w:rsidR="009327C9">
        <w:t>/</w:t>
      </w:r>
      <w:r w:rsidRPr="00382812">
        <w:t>fly out (FIFO) workers and mobile Indigenous populations, who are not always located at their place of usual residence, may affect service delivery requirements differently for different States and services. Conceptually</w:t>
      </w:r>
      <w:r w:rsidRPr="00A76FBF">
        <w:t xml:space="preserve">, these effects could </w:t>
      </w:r>
      <w:r>
        <w:t>affect</w:t>
      </w:r>
      <w:r w:rsidRPr="00A76FBF">
        <w:t xml:space="preserve"> the relative use of services by different populations betw</w:t>
      </w:r>
      <w:r>
        <w:t xml:space="preserve">een and within States. </w:t>
      </w:r>
    </w:p>
    <w:p w14:paraId="1899DA12" w14:textId="77777777" w:rsidR="00DE37C1" w:rsidRPr="00A76FBF" w:rsidRDefault="00DE37C1" w:rsidP="00F47EC7">
      <w:pPr>
        <w:pStyle w:val="CGCParaNumber"/>
      </w:pPr>
      <w:r w:rsidRPr="00A76FBF">
        <w:t xml:space="preserve">In the 2015 Review, the Commission considered whether </w:t>
      </w:r>
      <w:r>
        <w:t xml:space="preserve">it </w:t>
      </w:r>
      <w:r w:rsidRPr="00A76FBF">
        <w:t>could identify, or measure, any such effects between and within States. However, at that time, the ABS advised that no reliable method of estimating service populations ha</w:t>
      </w:r>
      <w:r>
        <w:t>d</w:t>
      </w:r>
      <w:r w:rsidRPr="00A76FBF">
        <w:t xml:space="preserve"> been developed nationally, or internationally, because service populations are not discrete or mutually exclusive. States have not been able to provide data on how different service populations affect State service provision requirements and State budgets. For the 2020 Review, the Commission </w:t>
      </w:r>
      <w:r>
        <w:t xml:space="preserve">has </w:t>
      </w:r>
      <w:r w:rsidRPr="00A76FBF">
        <w:t xml:space="preserve">retained ERP as </w:t>
      </w:r>
      <w:r>
        <w:t>the</w:t>
      </w:r>
      <w:r w:rsidRPr="00A76FBF">
        <w:t xml:space="preserve"> measure of all populations. </w:t>
      </w:r>
    </w:p>
    <w:p w14:paraId="614FB203" w14:textId="77777777" w:rsidR="00DE37C1" w:rsidRDefault="00DE37C1" w:rsidP="00DE37C1">
      <w:pPr>
        <w:pStyle w:val="Heading3"/>
      </w:pPr>
      <w:r>
        <w:t>Population characteristics used in assessments</w:t>
      </w:r>
    </w:p>
    <w:p w14:paraId="496D1640" w14:textId="77777777" w:rsidR="00DE37C1" w:rsidRDefault="00DE37C1" w:rsidP="00F47EC7">
      <w:pPr>
        <w:pStyle w:val="CGCParaNumber"/>
      </w:pPr>
      <w:r w:rsidRPr="00034C9F">
        <w:t xml:space="preserve">The main population characteristics used in </w:t>
      </w:r>
      <w:r>
        <w:t>the</w:t>
      </w:r>
      <w:r w:rsidRPr="00034C9F">
        <w:t xml:space="preserve"> assessments are Indigenous status, age, remoteness and </w:t>
      </w:r>
      <w:r>
        <w:t>SES</w:t>
      </w:r>
      <w:r w:rsidRPr="00034C9F">
        <w:t xml:space="preserve">. The </w:t>
      </w:r>
      <w:r>
        <w:t>main</w:t>
      </w:r>
      <w:r w:rsidRPr="00034C9F">
        <w:t xml:space="preserve"> way in which these attributes affect the </w:t>
      </w:r>
      <w:r>
        <w:t>assessments</w:t>
      </w:r>
      <w:r w:rsidRPr="00034C9F">
        <w:t xml:space="preserve"> is where States have</w:t>
      </w:r>
      <w:r>
        <w:t xml:space="preserve"> different shares of these population groups</w:t>
      </w:r>
      <w:r w:rsidRPr="00034C9F">
        <w:t>. In selecting classifications, it is more important to consid</w:t>
      </w:r>
      <w:r>
        <w:t>er how State populations differ, because differences in use rates only become relevant when State population characteristics differ (for example, high Indigenous use rates would be irrelevant if all States had the same share of Indigenous populations)</w:t>
      </w:r>
      <w:r w:rsidRPr="00034C9F">
        <w:t xml:space="preserve">. </w:t>
      </w:r>
    </w:p>
    <w:p w14:paraId="78FB6412" w14:textId="77777777" w:rsidR="00DE37C1" w:rsidRPr="00034C9F" w:rsidRDefault="00DE37C1" w:rsidP="00F47EC7">
      <w:pPr>
        <w:pStyle w:val="CGCParaNumber"/>
      </w:pPr>
      <w:r>
        <w:t>The Commission uses</w:t>
      </w:r>
      <w:r w:rsidRPr="00034C9F">
        <w:t xml:space="preserve"> a common structure for the classification of population characteristics</w:t>
      </w:r>
      <w:r>
        <w:t xml:space="preserve"> for all expense categories</w:t>
      </w:r>
      <w:r w:rsidRPr="00034C9F">
        <w:t xml:space="preserve">. Having a common structure, with fewer unique </w:t>
      </w:r>
      <w:r>
        <w:t xml:space="preserve">classifications </w:t>
      </w:r>
      <w:r w:rsidRPr="00034C9F">
        <w:t xml:space="preserve">for these characteristics, reduces the size of the datasets required, makes for simpler assessments and reduces the risk of errors. It also enhances the comparative analysis that can be undertaken between expense categories. However, where service use rates do differ between States, it may be material to use different levels of detail within the common structure. </w:t>
      </w:r>
    </w:p>
    <w:p w14:paraId="5F3B0A09" w14:textId="77777777" w:rsidR="00DE37C1" w:rsidRPr="009E41C4" w:rsidRDefault="00DE37C1" w:rsidP="00DE37C1">
      <w:pPr>
        <w:pStyle w:val="Heading4"/>
      </w:pPr>
      <w:r w:rsidRPr="009E41C4">
        <w:t>Age</w:t>
      </w:r>
    </w:p>
    <w:p w14:paraId="76FCF314" w14:textId="547FD916" w:rsidR="00DE37C1" w:rsidRPr="00A30AC5" w:rsidRDefault="00DE37C1" w:rsidP="00F47EC7">
      <w:pPr>
        <w:pStyle w:val="CGCParaNumber"/>
      </w:pPr>
      <w:r w:rsidRPr="00A30AC5">
        <w:t xml:space="preserve">The Commission aims to have common </w:t>
      </w:r>
      <w:r>
        <w:t xml:space="preserve">classification </w:t>
      </w:r>
      <w:r w:rsidRPr="00A30AC5">
        <w:t>structures for the various assessments. This is best demonstrated with age but is valid in other classification</w:t>
      </w:r>
      <w:r>
        <w:t>s</w:t>
      </w:r>
      <w:r w:rsidRPr="00A30AC5">
        <w:t xml:space="preserve">. As </w:t>
      </w:r>
      <w:r>
        <w:t xml:space="preserve">the </w:t>
      </w:r>
      <w:r w:rsidRPr="00A30AC5">
        <w:t xml:space="preserve">primary focus is on the difference in the distribution of populations between States, </w:t>
      </w:r>
      <w:r>
        <w:t>the Commission was</w:t>
      </w:r>
      <w:r w:rsidRPr="00A30AC5">
        <w:t xml:space="preserve"> guided in selecting common structures by the patterns in </w:t>
      </w:r>
      <w:r w:rsidRPr="00A30AC5">
        <w:fldChar w:fldCharType="begin"/>
      </w:r>
      <w:r w:rsidRPr="00A30AC5">
        <w:instrText xml:space="preserve"> REF _Ref410635352 \h  \* MERGEFORMAT </w:instrText>
      </w:r>
      <w:r w:rsidRPr="00A30AC5">
        <w:fldChar w:fldCharType="separate"/>
      </w:r>
      <w:r w:rsidR="007F721A" w:rsidRPr="00ED299B">
        <w:t>Figure </w:t>
      </w:r>
      <w:r w:rsidR="007F721A">
        <w:t>31-1</w:t>
      </w:r>
      <w:r w:rsidRPr="00A30AC5">
        <w:fldChar w:fldCharType="end"/>
      </w:r>
      <w:r w:rsidRPr="00A30AC5">
        <w:t xml:space="preserve">. </w:t>
      </w:r>
      <w:r>
        <w:t>This shows that</w:t>
      </w:r>
      <w:r w:rsidRPr="00A30AC5">
        <w:t xml:space="preserve"> </w:t>
      </w:r>
      <w:r>
        <w:t xml:space="preserve">Tasmania and South Australia </w:t>
      </w:r>
      <w:r w:rsidRPr="00A30AC5">
        <w:t>have below average shares of 15-44 year olds</w:t>
      </w:r>
      <w:r>
        <w:t>, and a</w:t>
      </w:r>
      <w:r w:rsidRPr="00A30AC5">
        <w:t>bove average shares of 45</w:t>
      </w:r>
      <w:r>
        <w:noBreakHyphen/>
      </w:r>
      <w:r w:rsidRPr="00A30AC5">
        <w:t xml:space="preserve">64 </w:t>
      </w:r>
      <w:r>
        <w:t xml:space="preserve">and 65+ year olds. In contrast, the Northern Territory and the ACT have substantially above average shares of 15-44 year olds but their shares of 65+ year olds are well below the national average. </w:t>
      </w:r>
    </w:p>
    <w:p w14:paraId="6106311D" w14:textId="3FB70C53" w:rsidR="00DE37C1" w:rsidRDefault="00DE37C1" w:rsidP="00DE37C1">
      <w:pPr>
        <w:pStyle w:val="Caption"/>
      </w:pPr>
      <w:bookmarkStart w:id="667" w:name="_Ref403996916"/>
      <w:bookmarkStart w:id="668" w:name="_Ref410635352"/>
      <w:r w:rsidRPr="00ED299B">
        <w:lastRenderedPageBreak/>
        <w:t>Figure </w:t>
      </w:r>
      <w:bookmarkEnd w:id="667"/>
      <w:r>
        <w:t>31-</w:t>
      </w:r>
      <w:fldSimple w:instr=" SEQ Figure \* ARABIC \r1 ">
        <w:r w:rsidR="007F721A">
          <w:rPr>
            <w:noProof/>
          </w:rPr>
          <w:t>1</w:t>
        </w:r>
      </w:fldSimple>
      <w:bookmarkEnd w:id="668"/>
      <w:r w:rsidRPr="00ED299B">
        <w:tab/>
        <w:t>Age structure of State populations, June 2019</w:t>
      </w:r>
    </w:p>
    <w:p w14:paraId="45970046" w14:textId="77777777" w:rsidR="00DE37C1" w:rsidRDefault="00DE37C1" w:rsidP="00DE37C1">
      <w:pPr>
        <w:pStyle w:val="CGCTablenote"/>
      </w:pPr>
      <w:r w:rsidRPr="009D5818">
        <w:rPr>
          <w:noProof/>
        </w:rPr>
        <w:drawing>
          <wp:inline distT="0" distB="0" distL="0" distR="0" wp14:anchorId="4D325F40" wp14:editId="207CEE79">
            <wp:extent cx="5638800" cy="38195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8800" cy="3819525"/>
                    </a:xfrm>
                    <a:prstGeom prst="rect">
                      <a:avLst/>
                    </a:prstGeom>
                    <a:noFill/>
                    <a:ln>
                      <a:noFill/>
                    </a:ln>
                  </pic:spPr>
                </pic:pic>
              </a:graphicData>
            </a:graphic>
          </wp:inline>
        </w:drawing>
      </w:r>
    </w:p>
    <w:p w14:paraId="4CF255FF" w14:textId="77777777" w:rsidR="00DE37C1" w:rsidRDefault="00DE37C1" w:rsidP="00DE37C1">
      <w:pPr>
        <w:pStyle w:val="CGCTablenote"/>
      </w:pPr>
      <w:r>
        <w:t xml:space="preserve">Source: </w:t>
      </w:r>
      <w:r>
        <w:tab/>
        <w:t xml:space="preserve">ABS, </w:t>
      </w:r>
      <w:r w:rsidRPr="0061073D">
        <w:t>June 201</w:t>
      </w:r>
      <w:r>
        <w:t>9</w:t>
      </w:r>
      <w:r>
        <w:rPr>
          <w:i/>
        </w:rPr>
        <w:t>,</w:t>
      </w:r>
      <w:r>
        <w:t xml:space="preserve"> </w:t>
      </w:r>
      <w:r w:rsidRPr="001627D3">
        <w:rPr>
          <w:i/>
        </w:rPr>
        <w:t xml:space="preserve">Australian Demographic Statistics, </w:t>
      </w:r>
      <w:r>
        <w:t>cat. no. 3101.0.</w:t>
      </w:r>
    </w:p>
    <w:p w14:paraId="07D9E5F1" w14:textId="77777777" w:rsidR="00DE37C1" w:rsidRDefault="00DE37C1" w:rsidP="00F47EC7">
      <w:pPr>
        <w:pStyle w:val="CGCParaNumber"/>
      </w:pPr>
      <w:r w:rsidRPr="009E41C4">
        <w:t>In the 2020 Review, the major age groups used are 0-14, 15-64 and 65+</w:t>
      </w:r>
      <w:r>
        <w:t xml:space="preserve"> years</w:t>
      </w:r>
      <w:r w:rsidRPr="009E41C4">
        <w:t xml:space="preserve">. This structure is used in a range of social and economic statistics and has been generally adopted </w:t>
      </w:r>
      <w:r>
        <w:t>in the Commission’s assessments</w:t>
      </w:r>
      <w:r w:rsidRPr="009E41C4">
        <w:t>. Within these major groups, further disaggregation has been applied where there is a conceptual case and it has been material to do so</w:t>
      </w:r>
      <w:r>
        <w:t xml:space="preserve"> for different expense categories</w:t>
      </w:r>
      <w:r w:rsidRPr="009E41C4">
        <w:t>.</w:t>
      </w:r>
      <w:r>
        <w:t xml:space="preserve"> </w:t>
      </w:r>
    </w:p>
    <w:p w14:paraId="4D56FAE8" w14:textId="77777777" w:rsidR="00DE37C1" w:rsidRPr="00930C63" w:rsidRDefault="00DE37C1" w:rsidP="00F47EC7">
      <w:pPr>
        <w:pStyle w:val="CGCParaNumber"/>
      </w:pPr>
      <w:r>
        <w:t>I</w:t>
      </w:r>
      <w:r w:rsidRPr="00930C63">
        <w:t>t is material to disaggregate further the 65+ age group in the Health assessment</w:t>
      </w:r>
      <w:r>
        <w:t>. As the population is ageing, the Commission also investigated if it would be material to split the 75+ age group into separate 75-84 and 85+ groupings but found that splitting the 75+ age group would be immaterial.</w:t>
      </w:r>
      <w:r w:rsidRPr="00930C63">
        <w:t xml:space="preserve"> </w:t>
      </w:r>
      <w:r>
        <w:t xml:space="preserve">For the Justice assessment, </w:t>
      </w:r>
      <w:r w:rsidRPr="00930C63">
        <w:t>the 15</w:t>
      </w:r>
      <w:r>
        <w:noBreakHyphen/>
      </w:r>
      <w:r w:rsidRPr="00930C63">
        <w:t xml:space="preserve">44 age group </w:t>
      </w:r>
      <w:r>
        <w:t>is disaggregated</w:t>
      </w:r>
      <w:r w:rsidRPr="00930C63">
        <w:t xml:space="preserve">. For </w:t>
      </w:r>
      <w:r>
        <w:t>the Post</w:t>
      </w:r>
      <w:r>
        <w:noBreakHyphen/>
      </w:r>
      <w:r w:rsidRPr="00930C63">
        <w:t xml:space="preserve">secondary education </w:t>
      </w:r>
      <w:r>
        <w:t>assessment, the working age (15-</w:t>
      </w:r>
      <w:r w:rsidRPr="00930C63">
        <w:t xml:space="preserve">64 years) population is used. </w:t>
      </w:r>
      <w:r>
        <w:t xml:space="preserve">The relevant chapters provide further details. </w:t>
      </w:r>
    </w:p>
    <w:p w14:paraId="1CE48481" w14:textId="4762EE81" w:rsidR="00DE37C1" w:rsidRDefault="00DE37C1" w:rsidP="00F47EC7">
      <w:pPr>
        <w:pStyle w:val="CGCParaNumber"/>
      </w:pPr>
      <w:r w:rsidRPr="009E41C4">
        <w:fldChar w:fldCharType="begin"/>
      </w:r>
      <w:r w:rsidRPr="009E41C4">
        <w:instrText xml:space="preserve"> REF _Ref403996939 \h  \* MERGEFORMAT </w:instrText>
      </w:r>
      <w:r w:rsidRPr="009E41C4">
        <w:fldChar w:fldCharType="separate"/>
      </w:r>
      <w:r w:rsidR="007F721A" w:rsidRPr="00ED299B">
        <w:t>Table </w:t>
      </w:r>
      <w:r w:rsidR="007F721A">
        <w:t>31-3</w:t>
      </w:r>
      <w:r w:rsidRPr="009E41C4">
        <w:fldChar w:fldCharType="end"/>
      </w:r>
      <w:r w:rsidRPr="009E41C4">
        <w:t xml:space="preserve"> shows the details of State estimated resident populations for December 201</w:t>
      </w:r>
      <w:r>
        <w:t>8</w:t>
      </w:r>
      <w:r w:rsidRPr="009E41C4">
        <w:t xml:space="preserve"> by major age groups.</w:t>
      </w:r>
    </w:p>
    <w:p w14:paraId="05BC03C3" w14:textId="45692262" w:rsidR="00DE37C1" w:rsidRDefault="00DE37C1" w:rsidP="00DE37C1">
      <w:pPr>
        <w:pStyle w:val="Caption"/>
        <w:tabs>
          <w:tab w:val="clear" w:pos="1418"/>
          <w:tab w:val="left" w:pos="2020"/>
        </w:tabs>
      </w:pPr>
      <w:bookmarkStart w:id="669" w:name="_Ref403996939"/>
      <w:r w:rsidRPr="00ED299B">
        <w:lastRenderedPageBreak/>
        <w:t>Table </w:t>
      </w:r>
      <w:r>
        <w:t>31-</w:t>
      </w:r>
      <w:fldSimple w:instr=" SEQ Table \* ARABIC ">
        <w:r w:rsidR="007F721A">
          <w:rPr>
            <w:noProof/>
          </w:rPr>
          <w:t>3</w:t>
        </w:r>
      </w:fldSimple>
      <w:bookmarkEnd w:id="669"/>
      <w:r w:rsidRPr="00ED299B">
        <w:tab/>
        <w:t>Estimated resident population by age and State, December 201</w:t>
      </w:r>
      <w:r>
        <w:t>8</w:t>
      </w:r>
    </w:p>
    <w:tbl>
      <w:tblPr>
        <w:tblW w:w="8980" w:type="dxa"/>
        <w:tblCellMar>
          <w:left w:w="28" w:type="dxa"/>
          <w:right w:w="28" w:type="dxa"/>
        </w:tblCellMar>
        <w:tblLook w:val="04A0" w:firstRow="1" w:lastRow="0" w:firstColumn="1" w:lastColumn="0" w:noHBand="0" w:noVBand="1"/>
      </w:tblPr>
      <w:tblGrid>
        <w:gridCol w:w="2260"/>
        <w:gridCol w:w="760"/>
        <w:gridCol w:w="760"/>
        <w:gridCol w:w="760"/>
        <w:gridCol w:w="760"/>
        <w:gridCol w:w="760"/>
        <w:gridCol w:w="720"/>
        <w:gridCol w:w="720"/>
        <w:gridCol w:w="720"/>
        <w:gridCol w:w="760"/>
      </w:tblGrid>
      <w:tr w:rsidR="00DE37C1" w:rsidRPr="006E1064" w14:paraId="015B3D95" w14:textId="77777777" w:rsidTr="00185104">
        <w:trPr>
          <w:trHeight w:val="379"/>
        </w:trPr>
        <w:tc>
          <w:tcPr>
            <w:tcW w:w="2260" w:type="dxa"/>
            <w:tcBorders>
              <w:top w:val="nil"/>
              <w:left w:val="nil"/>
              <w:bottom w:val="nil"/>
              <w:right w:val="nil"/>
            </w:tcBorders>
            <w:shd w:val="clear" w:color="000000" w:fill="006991"/>
            <w:vAlign w:val="center"/>
            <w:hideMark/>
          </w:tcPr>
          <w:p w14:paraId="18E8FA7A"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E1064">
              <w:rPr>
                <w:rFonts w:ascii="Open Sans SemiBold" w:eastAsia="Times New Roman" w:hAnsi="Open Sans SemiBold" w:cs="Open Sans SemiBold"/>
                <w:color w:val="FFFFFF"/>
                <w:sz w:val="16"/>
                <w:szCs w:val="16"/>
                <w:lang w:eastAsia="en-AU"/>
              </w:rPr>
              <w:t> </w:t>
            </w:r>
          </w:p>
        </w:tc>
        <w:tc>
          <w:tcPr>
            <w:tcW w:w="760" w:type="dxa"/>
            <w:tcBorders>
              <w:top w:val="nil"/>
              <w:left w:val="nil"/>
              <w:bottom w:val="nil"/>
              <w:right w:val="nil"/>
            </w:tcBorders>
            <w:shd w:val="clear" w:color="000000" w:fill="006991"/>
            <w:vAlign w:val="center"/>
            <w:hideMark/>
          </w:tcPr>
          <w:p w14:paraId="3CDDDB5C"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E1064">
              <w:rPr>
                <w:rFonts w:ascii="Open Sans SemiBold" w:eastAsia="Times New Roman" w:hAnsi="Open Sans SemiBold" w:cs="Open Sans SemiBold"/>
                <w:color w:val="FFFFFF"/>
                <w:sz w:val="16"/>
                <w:szCs w:val="16"/>
                <w:lang w:eastAsia="en-AU"/>
              </w:rPr>
              <w:t>NSW</w:t>
            </w:r>
          </w:p>
        </w:tc>
        <w:tc>
          <w:tcPr>
            <w:tcW w:w="760" w:type="dxa"/>
            <w:tcBorders>
              <w:top w:val="nil"/>
              <w:left w:val="nil"/>
              <w:bottom w:val="nil"/>
              <w:right w:val="nil"/>
            </w:tcBorders>
            <w:shd w:val="clear" w:color="000000" w:fill="006991"/>
            <w:vAlign w:val="center"/>
            <w:hideMark/>
          </w:tcPr>
          <w:p w14:paraId="26352560"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E1064">
              <w:rPr>
                <w:rFonts w:ascii="Open Sans SemiBold" w:eastAsia="Times New Roman" w:hAnsi="Open Sans SemiBold" w:cs="Open Sans SemiBold"/>
                <w:color w:val="FFFFFF"/>
                <w:sz w:val="16"/>
                <w:szCs w:val="16"/>
                <w:lang w:eastAsia="en-AU"/>
              </w:rPr>
              <w:t>Vic</w:t>
            </w:r>
          </w:p>
        </w:tc>
        <w:tc>
          <w:tcPr>
            <w:tcW w:w="760" w:type="dxa"/>
            <w:tcBorders>
              <w:top w:val="nil"/>
              <w:left w:val="nil"/>
              <w:bottom w:val="nil"/>
              <w:right w:val="nil"/>
            </w:tcBorders>
            <w:shd w:val="clear" w:color="000000" w:fill="006991"/>
            <w:vAlign w:val="center"/>
            <w:hideMark/>
          </w:tcPr>
          <w:p w14:paraId="5FE79C41"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E1064">
              <w:rPr>
                <w:rFonts w:ascii="Open Sans SemiBold" w:eastAsia="Times New Roman" w:hAnsi="Open Sans SemiBold" w:cs="Open Sans SemiBold"/>
                <w:color w:val="FFFFFF"/>
                <w:sz w:val="16"/>
                <w:szCs w:val="16"/>
                <w:lang w:eastAsia="en-AU"/>
              </w:rPr>
              <w:t>Qld</w:t>
            </w:r>
          </w:p>
        </w:tc>
        <w:tc>
          <w:tcPr>
            <w:tcW w:w="760" w:type="dxa"/>
            <w:tcBorders>
              <w:top w:val="nil"/>
              <w:left w:val="nil"/>
              <w:bottom w:val="nil"/>
              <w:right w:val="nil"/>
            </w:tcBorders>
            <w:shd w:val="clear" w:color="000000" w:fill="006991"/>
            <w:vAlign w:val="center"/>
            <w:hideMark/>
          </w:tcPr>
          <w:p w14:paraId="53625549"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E1064">
              <w:rPr>
                <w:rFonts w:ascii="Open Sans SemiBold" w:eastAsia="Times New Roman" w:hAnsi="Open Sans SemiBold" w:cs="Open Sans SemiBold"/>
                <w:color w:val="FFFFFF"/>
                <w:sz w:val="16"/>
                <w:szCs w:val="16"/>
                <w:lang w:eastAsia="en-AU"/>
              </w:rPr>
              <w:t>WA</w:t>
            </w:r>
          </w:p>
        </w:tc>
        <w:tc>
          <w:tcPr>
            <w:tcW w:w="760" w:type="dxa"/>
            <w:tcBorders>
              <w:top w:val="nil"/>
              <w:left w:val="nil"/>
              <w:bottom w:val="nil"/>
              <w:right w:val="nil"/>
            </w:tcBorders>
            <w:shd w:val="clear" w:color="000000" w:fill="006991"/>
            <w:vAlign w:val="center"/>
            <w:hideMark/>
          </w:tcPr>
          <w:p w14:paraId="7E6EAC08"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E1064">
              <w:rPr>
                <w:rFonts w:ascii="Open Sans SemiBold" w:eastAsia="Times New Roman" w:hAnsi="Open Sans SemiBold" w:cs="Open Sans SemiBold"/>
                <w:color w:val="FFFFFF"/>
                <w:sz w:val="16"/>
                <w:szCs w:val="16"/>
                <w:lang w:eastAsia="en-AU"/>
              </w:rPr>
              <w:t>SA</w:t>
            </w:r>
          </w:p>
        </w:tc>
        <w:tc>
          <w:tcPr>
            <w:tcW w:w="720" w:type="dxa"/>
            <w:tcBorders>
              <w:top w:val="nil"/>
              <w:left w:val="nil"/>
              <w:bottom w:val="nil"/>
              <w:right w:val="nil"/>
            </w:tcBorders>
            <w:shd w:val="clear" w:color="000000" w:fill="006991"/>
            <w:vAlign w:val="center"/>
            <w:hideMark/>
          </w:tcPr>
          <w:p w14:paraId="76CA98ED"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E1064">
              <w:rPr>
                <w:rFonts w:ascii="Open Sans SemiBold" w:eastAsia="Times New Roman" w:hAnsi="Open Sans SemiBold" w:cs="Open Sans SemiBold"/>
                <w:color w:val="FFFFFF"/>
                <w:sz w:val="16"/>
                <w:szCs w:val="16"/>
                <w:lang w:eastAsia="en-AU"/>
              </w:rPr>
              <w:t>Tas</w:t>
            </w:r>
          </w:p>
        </w:tc>
        <w:tc>
          <w:tcPr>
            <w:tcW w:w="720" w:type="dxa"/>
            <w:tcBorders>
              <w:top w:val="nil"/>
              <w:left w:val="nil"/>
              <w:bottom w:val="nil"/>
              <w:right w:val="nil"/>
            </w:tcBorders>
            <w:shd w:val="clear" w:color="000000" w:fill="006991"/>
            <w:vAlign w:val="center"/>
            <w:hideMark/>
          </w:tcPr>
          <w:p w14:paraId="5559BD33"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E1064">
              <w:rPr>
                <w:rFonts w:ascii="Open Sans SemiBold" w:eastAsia="Times New Roman" w:hAnsi="Open Sans SemiBold" w:cs="Open Sans SemiBold"/>
                <w:color w:val="FFFFFF"/>
                <w:sz w:val="16"/>
                <w:szCs w:val="16"/>
                <w:lang w:eastAsia="en-AU"/>
              </w:rPr>
              <w:t>ACT</w:t>
            </w:r>
          </w:p>
        </w:tc>
        <w:tc>
          <w:tcPr>
            <w:tcW w:w="720" w:type="dxa"/>
            <w:tcBorders>
              <w:top w:val="nil"/>
              <w:left w:val="nil"/>
              <w:bottom w:val="nil"/>
              <w:right w:val="nil"/>
            </w:tcBorders>
            <w:shd w:val="clear" w:color="000000" w:fill="006991"/>
            <w:vAlign w:val="center"/>
            <w:hideMark/>
          </w:tcPr>
          <w:p w14:paraId="6EBC262A"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E1064">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vAlign w:val="center"/>
            <w:hideMark/>
          </w:tcPr>
          <w:p w14:paraId="431114E4"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E1064">
              <w:rPr>
                <w:rFonts w:ascii="Open Sans SemiBold" w:eastAsia="Times New Roman" w:hAnsi="Open Sans SemiBold" w:cs="Open Sans SemiBold"/>
                <w:color w:val="FFFFFF"/>
                <w:sz w:val="16"/>
                <w:szCs w:val="16"/>
                <w:lang w:eastAsia="en-AU"/>
              </w:rPr>
              <w:t>Total</w:t>
            </w:r>
          </w:p>
        </w:tc>
      </w:tr>
      <w:tr w:rsidR="00DE37C1" w:rsidRPr="006E1064" w14:paraId="499EF1A7" w14:textId="77777777" w:rsidTr="005F7F6C">
        <w:trPr>
          <w:trHeight w:val="259"/>
        </w:trPr>
        <w:tc>
          <w:tcPr>
            <w:tcW w:w="2260" w:type="dxa"/>
            <w:tcBorders>
              <w:top w:val="single" w:sz="4" w:space="0" w:color="ADD6EA"/>
              <w:left w:val="nil"/>
              <w:bottom w:val="single" w:sz="4" w:space="0" w:color="ADD6EA"/>
              <w:right w:val="nil"/>
            </w:tcBorders>
            <w:shd w:val="clear" w:color="000000" w:fill="B6D5E4"/>
            <w:noWrap/>
            <w:vAlign w:val="center"/>
            <w:hideMark/>
          </w:tcPr>
          <w:p w14:paraId="24562CEF"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 </w:t>
            </w:r>
          </w:p>
        </w:tc>
        <w:tc>
          <w:tcPr>
            <w:tcW w:w="760" w:type="dxa"/>
            <w:tcBorders>
              <w:top w:val="single" w:sz="4" w:space="0" w:color="ADD6EA"/>
              <w:left w:val="nil"/>
              <w:bottom w:val="single" w:sz="4" w:space="0" w:color="ADD6EA"/>
              <w:right w:val="nil"/>
            </w:tcBorders>
            <w:shd w:val="clear" w:color="000000" w:fill="B6D5E4"/>
            <w:noWrap/>
            <w:vAlign w:val="center"/>
            <w:hideMark/>
          </w:tcPr>
          <w:p w14:paraId="1906A252"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2E8DEC6F"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15B428D8"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3B8F9F61"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0FE21137"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'000</w:t>
            </w:r>
          </w:p>
        </w:tc>
        <w:tc>
          <w:tcPr>
            <w:tcW w:w="720" w:type="dxa"/>
            <w:tcBorders>
              <w:top w:val="single" w:sz="4" w:space="0" w:color="ADD6EA"/>
              <w:left w:val="nil"/>
              <w:bottom w:val="single" w:sz="4" w:space="0" w:color="ADD6EA"/>
              <w:right w:val="nil"/>
            </w:tcBorders>
            <w:shd w:val="clear" w:color="000000" w:fill="B6D5E4"/>
            <w:noWrap/>
            <w:vAlign w:val="center"/>
            <w:hideMark/>
          </w:tcPr>
          <w:p w14:paraId="6EBB12FD"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'000</w:t>
            </w:r>
          </w:p>
        </w:tc>
        <w:tc>
          <w:tcPr>
            <w:tcW w:w="720" w:type="dxa"/>
            <w:tcBorders>
              <w:top w:val="single" w:sz="4" w:space="0" w:color="ADD6EA"/>
              <w:left w:val="nil"/>
              <w:bottom w:val="single" w:sz="4" w:space="0" w:color="ADD6EA"/>
              <w:right w:val="nil"/>
            </w:tcBorders>
            <w:shd w:val="clear" w:color="000000" w:fill="B6D5E4"/>
            <w:noWrap/>
            <w:vAlign w:val="center"/>
            <w:hideMark/>
          </w:tcPr>
          <w:p w14:paraId="19D473F7"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'000</w:t>
            </w:r>
          </w:p>
        </w:tc>
        <w:tc>
          <w:tcPr>
            <w:tcW w:w="720" w:type="dxa"/>
            <w:tcBorders>
              <w:top w:val="single" w:sz="4" w:space="0" w:color="ADD6EA"/>
              <w:left w:val="nil"/>
              <w:bottom w:val="single" w:sz="4" w:space="0" w:color="ADD6EA"/>
              <w:right w:val="nil"/>
            </w:tcBorders>
            <w:shd w:val="clear" w:color="000000" w:fill="B6D5E4"/>
            <w:noWrap/>
            <w:vAlign w:val="center"/>
            <w:hideMark/>
          </w:tcPr>
          <w:p w14:paraId="06718E8B"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4D762CBB"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'000</w:t>
            </w:r>
          </w:p>
        </w:tc>
      </w:tr>
      <w:tr w:rsidR="00DE37C1" w:rsidRPr="006E1064" w14:paraId="38C68F69"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71A966D6" w14:textId="77777777" w:rsidR="00DE37C1" w:rsidRPr="006E1064" w:rsidRDefault="00DE37C1" w:rsidP="004D65FE">
            <w:pPr>
              <w:keepNext/>
              <w:tabs>
                <w:tab w:val="clear" w:pos="567"/>
              </w:tabs>
              <w:spacing w:before="0" w:line="240" w:lineRule="auto"/>
              <w:rPr>
                <w:rFonts w:eastAsia="Times New Roman" w:cs="Open Sans Light"/>
                <w:color w:val="000000"/>
                <w:sz w:val="16"/>
                <w:szCs w:val="16"/>
                <w:lang w:eastAsia="en-AU"/>
              </w:rPr>
            </w:pPr>
            <w:r w:rsidRPr="006E1064">
              <w:rPr>
                <w:rFonts w:eastAsia="Times New Roman" w:cs="Open Sans Light"/>
                <w:color w:val="000000"/>
                <w:sz w:val="16"/>
                <w:szCs w:val="16"/>
                <w:lang w:eastAsia="en-AU"/>
              </w:rPr>
              <w:t>0 - 14 years</w:t>
            </w:r>
          </w:p>
        </w:tc>
        <w:tc>
          <w:tcPr>
            <w:tcW w:w="760" w:type="dxa"/>
            <w:tcBorders>
              <w:top w:val="nil"/>
              <w:left w:val="nil"/>
              <w:bottom w:val="single" w:sz="4" w:space="0" w:color="ADD6EA"/>
              <w:right w:val="nil"/>
            </w:tcBorders>
            <w:shd w:val="clear" w:color="000000" w:fill="FFFFFF"/>
            <w:vAlign w:val="bottom"/>
            <w:hideMark/>
          </w:tcPr>
          <w:p w14:paraId="0ADB1169"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1,503</w:t>
            </w:r>
          </w:p>
        </w:tc>
        <w:tc>
          <w:tcPr>
            <w:tcW w:w="760" w:type="dxa"/>
            <w:tcBorders>
              <w:top w:val="nil"/>
              <w:left w:val="nil"/>
              <w:bottom w:val="single" w:sz="4" w:space="0" w:color="ADD6EA"/>
              <w:right w:val="nil"/>
            </w:tcBorders>
            <w:shd w:val="clear" w:color="000000" w:fill="FFFFFF"/>
            <w:vAlign w:val="bottom"/>
            <w:hideMark/>
          </w:tcPr>
          <w:p w14:paraId="1137B1C1"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1,198</w:t>
            </w:r>
          </w:p>
        </w:tc>
        <w:tc>
          <w:tcPr>
            <w:tcW w:w="760" w:type="dxa"/>
            <w:tcBorders>
              <w:top w:val="nil"/>
              <w:left w:val="nil"/>
              <w:bottom w:val="single" w:sz="4" w:space="0" w:color="ADD6EA"/>
              <w:right w:val="nil"/>
            </w:tcBorders>
            <w:shd w:val="clear" w:color="000000" w:fill="FFFFFF"/>
            <w:vAlign w:val="bottom"/>
            <w:hideMark/>
          </w:tcPr>
          <w:p w14:paraId="20AAECF7"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988</w:t>
            </w:r>
          </w:p>
        </w:tc>
        <w:tc>
          <w:tcPr>
            <w:tcW w:w="760" w:type="dxa"/>
            <w:tcBorders>
              <w:top w:val="nil"/>
              <w:left w:val="nil"/>
              <w:bottom w:val="single" w:sz="4" w:space="0" w:color="ADD6EA"/>
              <w:right w:val="nil"/>
            </w:tcBorders>
            <w:shd w:val="clear" w:color="000000" w:fill="FFFFFF"/>
            <w:vAlign w:val="bottom"/>
            <w:hideMark/>
          </w:tcPr>
          <w:p w14:paraId="58518DE1"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509</w:t>
            </w:r>
          </w:p>
        </w:tc>
        <w:tc>
          <w:tcPr>
            <w:tcW w:w="760" w:type="dxa"/>
            <w:tcBorders>
              <w:top w:val="nil"/>
              <w:left w:val="nil"/>
              <w:bottom w:val="single" w:sz="4" w:space="0" w:color="ADD6EA"/>
              <w:right w:val="nil"/>
            </w:tcBorders>
            <w:shd w:val="clear" w:color="000000" w:fill="FFFFFF"/>
            <w:vAlign w:val="bottom"/>
            <w:hideMark/>
          </w:tcPr>
          <w:p w14:paraId="4BBCDBE3"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308</w:t>
            </w:r>
          </w:p>
        </w:tc>
        <w:tc>
          <w:tcPr>
            <w:tcW w:w="720" w:type="dxa"/>
            <w:tcBorders>
              <w:top w:val="nil"/>
              <w:left w:val="nil"/>
              <w:bottom w:val="single" w:sz="4" w:space="0" w:color="ADD6EA"/>
              <w:right w:val="nil"/>
            </w:tcBorders>
            <w:shd w:val="clear" w:color="000000" w:fill="FFFFFF"/>
            <w:vAlign w:val="bottom"/>
            <w:hideMark/>
          </w:tcPr>
          <w:p w14:paraId="274C6391"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94</w:t>
            </w:r>
          </w:p>
        </w:tc>
        <w:tc>
          <w:tcPr>
            <w:tcW w:w="720" w:type="dxa"/>
            <w:tcBorders>
              <w:top w:val="nil"/>
              <w:left w:val="nil"/>
              <w:bottom w:val="single" w:sz="4" w:space="0" w:color="ADD6EA"/>
              <w:right w:val="nil"/>
            </w:tcBorders>
            <w:shd w:val="clear" w:color="000000" w:fill="FFFFFF"/>
            <w:vAlign w:val="bottom"/>
            <w:hideMark/>
          </w:tcPr>
          <w:p w14:paraId="38946BD2"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81</w:t>
            </w:r>
          </w:p>
        </w:tc>
        <w:tc>
          <w:tcPr>
            <w:tcW w:w="720" w:type="dxa"/>
            <w:tcBorders>
              <w:top w:val="nil"/>
              <w:left w:val="nil"/>
              <w:bottom w:val="single" w:sz="4" w:space="0" w:color="ADD6EA"/>
              <w:right w:val="nil"/>
            </w:tcBorders>
            <w:shd w:val="clear" w:color="000000" w:fill="FFFFFF"/>
            <w:vAlign w:val="bottom"/>
            <w:hideMark/>
          </w:tcPr>
          <w:p w14:paraId="30F92F55"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53</w:t>
            </w:r>
          </w:p>
        </w:tc>
        <w:tc>
          <w:tcPr>
            <w:tcW w:w="760" w:type="dxa"/>
            <w:tcBorders>
              <w:top w:val="nil"/>
              <w:left w:val="nil"/>
              <w:bottom w:val="single" w:sz="4" w:space="0" w:color="ADD6EA"/>
              <w:right w:val="nil"/>
            </w:tcBorders>
            <w:shd w:val="clear" w:color="000000" w:fill="FFFFFF"/>
            <w:vAlign w:val="bottom"/>
            <w:hideMark/>
          </w:tcPr>
          <w:p w14:paraId="629993C3"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4,735</w:t>
            </w:r>
          </w:p>
        </w:tc>
      </w:tr>
      <w:tr w:rsidR="00DE37C1" w:rsidRPr="006E1064" w14:paraId="17D87B67"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34787461" w14:textId="77777777" w:rsidR="00DE37C1" w:rsidRPr="006E1064" w:rsidRDefault="00DE37C1" w:rsidP="004D65FE">
            <w:pPr>
              <w:keepNext/>
              <w:tabs>
                <w:tab w:val="clear" w:pos="567"/>
              </w:tabs>
              <w:spacing w:before="0" w:line="240" w:lineRule="auto"/>
              <w:rPr>
                <w:rFonts w:eastAsia="Times New Roman" w:cs="Open Sans Light"/>
                <w:color w:val="000000"/>
                <w:sz w:val="16"/>
                <w:szCs w:val="16"/>
                <w:lang w:eastAsia="en-AU"/>
              </w:rPr>
            </w:pPr>
            <w:r w:rsidRPr="006E1064">
              <w:rPr>
                <w:rFonts w:eastAsia="Times New Roman" w:cs="Open Sans Light"/>
                <w:color w:val="000000"/>
                <w:sz w:val="16"/>
                <w:szCs w:val="16"/>
                <w:lang w:eastAsia="en-AU"/>
              </w:rPr>
              <w:t>15 - 64 years</w:t>
            </w:r>
          </w:p>
        </w:tc>
        <w:tc>
          <w:tcPr>
            <w:tcW w:w="760" w:type="dxa"/>
            <w:tcBorders>
              <w:top w:val="nil"/>
              <w:left w:val="nil"/>
              <w:bottom w:val="single" w:sz="4" w:space="0" w:color="ADD6EA"/>
              <w:right w:val="nil"/>
            </w:tcBorders>
            <w:shd w:val="clear" w:color="000000" w:fill="FFFFFF"/>
            <w:vAlign w:val="bottom"/>
            <w:hideMark/>
          </w:tcPr>
          <w:p w14:paraId="0C1580C9"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5,242</w:t>
            </w:r>
          </w:p>
        </w:tc>
        <w:tc>
          <w:tcPr>
            <w:tcW w:w="760" w:type="dxa"/>
            <w:tcBorders>
              <w:top w:val="nil"/>
              <w:left w:val="nil"/>
              <w:bottom w:val="single" w:sz="4" w:space="0" w:color="ADD6EA"/>
              <w:right w:val="nil"/>
            </w:tcBorders>
            <w:shd w:val="clear" w:color="000000" w:fill="FFFFFF"/>
            <w:vAlign w:val="bottom"/>
            <w:hideMark/>
          </w:tcPr>
          <w:p w14:paraId="2FFA66CD"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4,330</w:t>
            </w:r>
          </w:p>
        </w:tc>
        <w:tc>
          <w:tcPr>
            <w:tcW w:w="760" w:type="dxa"/>
            <w:tcBorders>
              <w:top w:val="nil"/>
              <w:left w:val="nil"/>
              <w:bottom w:val="single" w:sz="4" w:space="0" w:color="ADD6EA"/>
              <w:right w:val="nil"/>
            </w:tcBorders>
            <w:shd w:val="clear" w:color="000000" w:fill="FFFFFF"/>
            <w:vAlign w:val="bottom"/>
            <w:hideMark/>
          </w:tcPr>
          <w:p w14:paraId="3446A0C3"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3,286</w:t>
            </w:r>
          </w:p>
        </w:tc>
        <w:tc>
          <w:tcPr>
            <w:tcW w:w="760" w:type="dxa"/>
            <w:tcBorders>
              <w:top w:val="nil"/>
              <w:left w:val="nil"/>
              <w:bottom w:val="single" w:sz="4" w:space="0" w:color="ADD6EA"/>
              <w:right w:val="nil"/>
            </w:tcBorders>
            <w:shd w:val="clear" w:color="000000" w:fill="FFFFFF"/>
            <w:vAlign w:val="bottom"/>
            <w:hideMark/>
          </w:tcPr>
          <w:p w14:paraId="14922DF6"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1,721</w:t>
            </w:r>
          </w:p>
        </w:tc>
        <w:tc>
          <w:tcPr>
            <w:tcW w:w="760" w:type="dxa"/>
            <w:tcBorders>
              <w:top w:val="nil"/>
              <w:left w:val="nil"/>
              <w:bottom w:val="single" w:sz="4" w:space="0" w:color="ADD6EA"/>
              <w:right w:val="nil"/>
            </w:tcBorders>
            <w:shd w:val="clear" w:color="000000" w:fill="FFFFFF"/>
            <w:vAlign w:val="bottom"/>
            <w:hideMark/>
          </w:tcPr>
          <w:p w14:paraId="46F9F708"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1,114</w:t>
            </w:r>
          </w:p>
        </w:tc>
        <w:tc>
          <w:tcPr>
            <w:tcW w:w="720" w:type="dxa"/>
            <w:tcBorders>
              <w:top w:val="nil"/>
              <w:left w:val="nil"/>
              <w:bottom w:val="single" w:sz="4" w:space="0" w:color="ADD6EA"/>
              <w:right w:val="nil"/>
            </w:tcBorders>
            <w:shd w:val="clear" w:color="000000" w:fill="FFFFFF"/>
            <w:vAlign w:val="bottom"/>
            <w:hideMark/>
          </w:tcPr>
          <w:p w14:paraId="7E86BE60"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333</w:t>
            </w:r>
          </w:p>
        </w:tc>
        <w:tc>
          <w:tcPr>
            <w:tcW w:w="720" w:type="dxa"/>
            <w:tcBorders>
              <w:top w:val="nil"/>
              <w:left w:val="nil"/>
              <w:bottom w:val="single" w:sz="4" w:space="0" w:color="ADD6EA"/>
              <w:right w:val="nil"/>
            </w:tcBorders>
            <w:shd w:val="clear" w:color="000000" w:fill="FFFFFF"/>
            <w:vAlign w:val="bottom"/>
            <w:hideMark/>
          </w:tcPr>
          <w:p w14:paraId="12426C3A"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289</w:t>
            </w:r>
          </w:p>
        </w:tc>
        <w:tc>
          <w:tcPr>
            <w:tcW w:w="720" w:type="dxa"/>
            <w:tcBorders>
              <w:top w:val="nil"/>
              <w:left w:val="nil"/>
              <w:bottom w:val="single" w:sz="4" w:space="0" w:color="ADD6EA"/>
              <w:right w:val="nil"/>
            </w:tcBorders>
            <w:shd w:val="clear" w:color="000000" w:fill="FFFFFF"/>
            <w:vAlign w:val="bottom"/>
            <w:hideMark/>
          </w:tcPr>
          <w:p w14:paraId="193EB095"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174</w:t>
            </w:r>
          </w:p>
        </w:tc>
        <w:tc>
          <w:tcPr>
            <w:tcW w:w="760" w:type="dxa"/>
            <w:tcBorders>
              <w:top w:val="nil"/>
              <w:left w:val="nil"/>
              <w:bottom w:val="single" w:sz="4" w:space="0" w:color="ADD6EA"/>
              <w:right w:val="nil"/>
            </w:tcBorders>
            <w:shd w:val="clear" w:color="000000" w:fill="FFFFFF"/>
            <w:vAlign w:val="bottom"/>
            <w:hideMark/>
          </w:tcPr>
          <w:p w14:paraId="150910DC"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16,489</w:t>
            </w:r>
          </w:p>
        </w:tc>
      </w:tr>
      <w:tr w:rsidR="00DE37C1" w:rsidRPr="006E1064" w14:paraId="67379B65"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6702C9B9" w14:textId="77777777" w:rsidR="00DE37C1" w:rsidRPr="006E1064" w:rsidRDefault="00DE37C1" w:rsidP="004D65FE">
            <w:pPr>
              <w:keepNext/>
              <w:tabs>
                <w:tab w:val="clear" w:pos="567"/>
              </w:tabs>
              <w:spacing w:before="0" w:line="240" w:lineRule="auto"/>
              <w:rPr>
                <w:rFonts w:eastAsia="Times New Roman" w:cs="Open Sans Light"/>
                <w:color w:val="000000"/>
                <w:sz w:val="16"/>
                <w:szCs w:val="16"/>
                <w:lang w:eastAsia="en-AU"/>
              </w:rPr>
            </w:pPr>
            <w:r w:rsidRPr="006E1064">
              <w:rPr>
                <w:rFonts w:eastAsia="Times New Roman" w:cs="Open Sans Light"/>
                <w:color w:val="000000"/>
                <w:sz w:val="16"/>
                <w:szCs w:val="16"/>
                <w:lang w:eastAsia="en-AU"/>
              </w:rPr>
              <w:t>65+ years</w:t>
            </w:r>
          </w:p>
        </w:tc>
        <w:tc>
          <w:tcPr>
            <w:tcW w:w="760" w:type="dxa"/>
            <w:tcBorders>
              <w:top w:val="nil"/>
              <w:left w:val="nil"/>
              <w:bottom w:val="single" w:sz="4" w:space="0" w:color="ADD6EA"/>
              <w:right w:val="nil"/>
            </w:tcBorders>
            <w:shd w:val="clear" w:color="000000" w:fill="FFFFFF"/>
            <w:vAlign w:val="bottom"/>
            <w:hideMark/>
          </w:tcPr>
          <w:p w14:paraId="7101BDF5"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1,293</w:t>
            </w:r>
          </w:p>
        </w:tc>
        <w:tc>
          <w:tcPr>
            <w:tcW w:w="760" w:type="dxa"/>
            <w:tcBorders>
              <w:top w:val="nil"/>
              <w:left w:val="nil"/>
              <w:bottom w:val="single" w:sz="4" w:space="0" w:color="ADD6EA"/>
              <w:right w:val="nil"/>
            </w:tcBorders>
            <w:shd w:val="clear" w:color="000000" w:fill="FFFFFF"/>
            <w:vAlign w:val="bottom"/>
            <w:hideMark/>
          </w:tcPr>
          <w:p w14:paraId="6AE15497"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999</w:t>
            </w:r>
          </w:p>
        </w:tc>
        <w:tc>
          <w:tcPr>
            <w:tcW w:w="760" w:type="dxa"/>
            <w:tcBorders>
              <w:top w:val="nil"/>
              <w:left w:val="nil"/>
              <w:bottom w:val="single" w:sz="4" w:space="0" w:color="ADD6EA"/>
              <w:right w:val="nil"/>
            </w:tcBorders>
            <w:shd w:val="clear" w:color="000000" w:fill="FFFFFF"/>
            <w:vAlign w:val="bottom"/>
            <w:hideMark/>
          </w:tcPr>
          <w:p w14:paraId="617716F8"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776</w:t>
            </w:r>
          </w:p>
        </w:tc>
        <w:tc>
          <w:tcPr>
            <w:tcW w:w="760" w:type="dxa"/>
            <w:tcBorders>
              <w:top w:val="nil"/>
              <w:left w:val="nil"/>
              <w:bottom w:val="single" w:sz="4" w:space="0" w:color="ADD6EA"/>
              <w:right w:val="nil"/>
            </w:tcBorders>
            <w:shd w:val="clear" w:color="000000" w:fill="FFFFFF"/>
            <w:vAlign w:val="bottom"/>
            <w:hideMark/>
          </w:tcPr>
          <w:p w14:paraId="30B91A83"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376</w:t>
            </w:r>
          </w:p>
        </w:tc>
        <w:tc>
          <w:tcPr>
            <w:tcW w:w="760" w:type="dxa"/>
            <w:tcBorders>
              <w:top w:val="nil"/>
              <w:left w:val="nil"/>
              <w:bottom w:val="single" w:sz="4" w:space="0" w:color="ADD6EA"/>
              <w:right w:val="nil"/>
            </w:tcBorders>
            <w:shd w:val="clear" w:color="000000" w:fill="FFFFFF"/>
            <w:vAlign w:val="bottom"/>
            <w:hideMark/>
          </w:tcPr>
          <w:p w14:paraId="483AD514"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321</w:t>
            </w:r>
          </w:p>
        </w:tc>
        <w:tc>
          <w:tcPr>
            <w:tcW w:w="720" w:type="dxa"/>
            <w:tcBorders>
              <w:top w:val="nil"/>
              <w:left w:val="nil"/>
              <w:bottom w:val="single" w:sz="4" w:space="0" w:color="ADD6EA"/>
              <w:right w:val="nil"/>
            </w:tcBorders>
            <w:shd w:val="clear" w:color="000000" w:fill="FFFFFF"/>
            <w:vAlign w:val="bottom"/>
            <w:hideMark/>
          </w:tcPr>
          <w:p w14:paraId="140D30AB"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105</w:t>
            </w:r>
          </w:p>
        </w:tc>
        <w:tc>
          <w:tcPr>
            <w:tcW w:w="720" w:type="dxa"/>
            <w:tcBorders>
              <w:top w:val="nil"/>
              <w:left w:val="nil"/>
              <w:bottom w:val="single" w:sz="4" w:space="0" w:color="ADD6EA"/>
              <w:right w:val="nil"/>
            </w:tcBorders>
            <w:shd w:val="clear" w:color="000000" w:fill="FFFFFF"/>
            <w:vAlign w:val="bottom"/>
            <w:hideMark/>
          </w:tcPr>
          <w:p w14:paraId="5910BFC6"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54</w:t>
            </w:r>
          </w:p>
        </w:tc>
        <w:tc>
          <w:tcPr>
            <w:tcW w:w="720" w:type="dxa"/>
            <w:tcBorders>
              <w:top w:val="nil"/>
              <w:left w:val="nil"/>
              <w:bottom w:val="single" w:sz="4" w:space="0" w:color="ADD6EA"/>
              <w:right w:val="nil"/>
            </w:tcBorders>
            <w:shd w:val="clear" w:color="000000" w:fill="FFFFFF"/>
            <w:vAlign w:val="bottom"/>
            <w:hideMark/>
          </w:tcPr>
          <w:p w14:paraId="7299FCD9"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19</w:t>
            </w:r>
          </w:p>
        </w:tc>
        <w:tc>
          <w:tcPr>
            <w:tcW w:w="760" w:type="dxa"/>
            <w:tcBorders>
              <w:top w:val="nil"/>
              <w:left w:val="nil"/>
              <w:bottom w:val="single" w:sz="4" w:space="0" w:color="ADD6EA"/>
              <w:right w:val="nil"/>
            </w:tcBorders>
            <w:shd w:val="clear" w:color="000000" w:fill="FFFFFF"/>
            <w:vAlign w:val="bottom"/>
            <w:hideMark/>
          </w:tcPr>
          <w:p w14:paraId="1885FC95"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3,942</w:t>
            </w:r>
          </w:p>
        </w:tc>
      </w:tr>
      <w:tr w:rsidR="00DE37C1" w:rsidRPr="006E1064" w14:paraId="2F0702C0" w14:textId="77777777" w:rsidTr="00185104">
        <w:trPr>
          <w:trHeight w:val="315"/>
        </w:trPr>
        <w:tc>
          <w:tcPr>
            <w:tcW w:w="2260" w:type="dxa"/>
            <w:tcBorders>
              <w:top w:val="nil"/>
              <w:left w:val="nil"/>
              <w:bottom w:val="single" w:sz="4" w:space="0" w:color="ADD6EA"/>
              <w:right w:val="nil"/>
            </w:tcBorders>
            <w:shd w:val="clear" w:color="000000" w:fill="D6E7F0"/>
            <w:vAlign w:val="bottom"/>
            <w:hideMark/>
          </w:tcPr>
          <w:p w14:paraId="5B516587" w14:textId="77777777" w:rsidR="00DE37C1" w:rsidRPr="006E1064" w:rsidRDefault="00DE37C1" w:rsidP="004D65FE">
            <w:pPr>
              <w:keepNext/>
              <w:tabs>
                <w:tab w:val="clear" w:pos="567"/>
              </w:tabs>
              <w:spacing w:before="0" w:line="240" w:lineRule="auto"/>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5CB0E533"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8,038</w:t>
            </w:r>
          </w:p>
        </w:tc>
        <w:tc>
          <w:tcPr>
            <w:tcW w:w="760" w:type="dxa"/>
            <w:tcBorders>
              <w:top w:val="nil"/>
              <w:left w:val="nil"/>
              <w:bottom w:val="single" w:sz="4" w:space="0" w:color="ADD6EA"/>
              <w:right w:val="nil"/>
            </w:tcBorders>
            <w:shd w:val="clear" w:color="000000" w:fill="D6E7F0"/>
            <w:vAlign w:val="bottom"/>
            <w:hideMark/>
          </w:tcPr>
          <w:p w14:paraId="0955CAB8"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6,527</w:t>
            </w:r>
          </w:p>
        </w:tc>
        <w:tc>
          <w:tcPr>
            <w:tcW w:w="760" w:type="dxa"/>
            <w:tcBorders>
              <w:top w:val="nil"/>
              <w:left w:val="nil"/>
              <w:bottom w:val="single" w:sz="4" w:space="0" w:color="ADD6EA"/>
              <w:right w:val="nil"/>
            </w:tcBorders>
            <w:shd w:val="clear" w:color="000000" w:fill="D6E7F0"/>
            <w:vAlign w:val="bottom"/>
            <w:hideMark/>
          </w:tcPr>
          <w:p w14:paraId="3B4EAB9E"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5,051</w:t>
            </w:r>
          </w:p>
        </w:tc>
        <w:tc>
          <w:tcPr>
            <w:tcW w:w="760" w:type="dxa"/>
            <w:tcBorders>
              <w:top w:val="nil"/>
              <w:left w:val="nil"/>
              <w:bottom w:val="single" w:sz="4" w:space="0" w:color="ADD6EA"/>
              <w:right w:val="nil"/>
            </w:tcBorders>
            <w:shd w:val="clear" w:color="000000" w:fill="D6E7F0"/>
            <w:vAlign w:val="bottom"/>
            <w:hideMark/>
          </w:tcPr>
          <w:p w14:paraId="541A9DC5"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2,606</w:t>
            </w:r>
          </w:p>
        </w:tc>
        <w:tc>
          <w:tcPr>
            <w:tcW w:w="760" w:type="dxa"/>
            <w:tcBorders>
              <w:top w:val="nil"/>
              <w:left w:val="nil"/>
              <w:bottom w:val="single" w:sz="4" w:space="0" w:color="ADD6EA"/>
              <w:right w:val="nil"/>
            </w:tcBorders>
            <w:shd w:val="clear" w:color="000000" w:fill="D6E7F0"/>
            <w:vAlign w:val="bottom"/>
            <w:hideMark/>
          </w:tcPr>
          <w:p w14:paraId="1C237273"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1,743</w:t>
            </w:r>
          </w:p>
        </w:tc>
        <w:tc>
          <w:tcPr>
            <w:tcW w:w="720" w:type="dxa"/>
            <w:tcBorders>
              <w:top w:val="nil"/>
              <w:left w:val="nil"/>
              <w:bottom w:val="single" w:sz="4" w:space="0" w:color="ADD6EA"/>
              <w:right w:val="nil"/>
            </w:tcBorders>
            <w:shd w:val="clear" w:color="000000" w:fill="D6E7F0"/>
            <w:vAlign w:val="bottom"/>
            <w:hideMark/>
          </w:tcPr>
          <w:p w14:paraId="16EA5E20"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532</w:t>
            </w:r>
          </w:p>
        </w:tc>
        <w:tc>
          <w:tcPr>
            <w:tcW w:w="720" w:type="dxa"/>
            <w:tcBorders>
              <w:top w:val="nil"/>
              <w:left w:val="nil"/>
              <w:bottom w:val="single" w:sz="4" w:space="0" w:color="ADD6EA"/>
              <w:right w:val="nil"/>
            </w:tcBorders>
            <w:shd w:val="clear" w:color="000000" w:fill="D6E7F0"/>
            <w:vAlign w:val="bottom"/>
            <w:hideMark/>
          </w:tcPr>
          <w:p w14:paraId="3829BBE1"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423</w:t>
            </w:r>
          </w:p>
        </w:tc>
        <w:tc>
          <w:tcPr>
            <w:tcW w:w="720" w:type="dxa"/>
            <w:tcBorders>
              <w:top w:val="nil"/>
              <w:left w:val="nil"/>
              <w:bottom w:val="single" w:sz="4" w:space="0" w:color="ADD6EA"/>
              <w:right w:val="nil"/>
            </w:tcBorders>
            <w:shd w:val="clear" w:color="000000" w:fill="D6E7F0"/>
            <w:vAlign w:val="bottom"/>
            <w:hideMark/>
          </w:tcPr>
          <w:p w14:paraId="341980CE"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246</w:t>
            </w:r>
          </w:p>
        </w:tc>
        <w:tc>
          <w:tcPr>
            <w:tcW w:w="760" w:type="dxa"/>
            <w:tcBorders>
              <w:top w:val="nil"/>
              <w:left w:val="nil"/>
              <w:bottom w:val="single" w:sz="4" w:space="0" w:color="ADD6EA"/>
              <w:right w:val="nil"/>
            </w:tcBorders>
            <w:shd w:val="clear" w:color="000000" w:fill="D6E7F0"/>
            <w:vAlign w:val="bottom"/>
            <w:hideMark/>
          </w:tcPr>
          <w:p w14:paraId="516F1F0C"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25,166</w:t>
            </w:r>
          </w:p>
        </w:tc>
      </w:tr>
      <w:tr w:rsidR="00DE37C1" w:rsidRPr="006E1064" w14:paraId="0ACEB1EA" w14:textId="77777777" w:rsidTr="005F7F6C">
        <w:trPr>
          <w:trHeight w:val="259"/>
        </w:trPr>
        <w:tc>
          <w:tcPr>
            <w:tcW w:w="2260" w:type="dxa"/>
            <w:tcBorders>
              <w:top w:val="nil"/>
              <w:left w:val="nil"/>
              <w:bottom w:val="single" w:sz="4" w:space="0" w:color="ADD6EA"/>
              <w:right w:val="nil"/>
            </w:tcBorders>
            <w:shd w:val="clear" w:color="000000" w:fill="B6D5E4"/>
            <w:noWrap/>
            <w:vAlign w:val="center"/>
            <w:hideMark/>
          </w:tcPr>
          <w:p w14:paraId="3B014F1A"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 </w:t>
            </w:r>
          </w:p>
        </w:tc>
        <w:tc>
          <w:tcPr>
            <w:tcW w:w="760" w:type="dxa"/>
            <w:tcBorders>
              <w:top w:val="nil"/>
              <w:left w:val="nil"/>
              <w:bottom w:val="single" w:sz="4" w:space="0" w:color="ADD6EA"/>
              <w:right w:val="nil"/>
            </w:tcBorders>
            <w:shd w:val="clear" w:color="000000" w:fill="B6D5E4"/>
            <w:noWrap/>
            <w:vAlign w:val="center"/>
            <w:hideMark/>
          </w:tcPr>
          <w:p w14:paraId="3C4459A2"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252F76BE"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28EB172A"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5DE46C50"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1F1C32E6"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w:t>
            </w:r>
          </w:p>
        </w:tc>
        <w:tc>
          <w:tcPr>
            <w:tcW w:w="720" w:type="dxa"/>
            <w:tcBorders>
              <w:top w:val="nil"/>
              <w:left w:val="nil"/>
              <w:bottom w:val="single" w:sz="4" w:space="0" w:color="ADD6EA"/>
              <w:right w:val="nil"/>
            </w:tcBorders>
            <w:shd w:val="clear" w:color="000000" w:fill="B6D5E4"/>
            <w:noWrap/>
            <w:vAlign w:val="center"/>
            <w:hideMark/>
          </w:tcPr>
          <w:p w14:paraId="17D9625F"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w:t>
            </w:r>
          </w:p>
        </w:tc>
        <w:tc>
          <w:tcPr>
            <w:tcW w:w="720" w:type="dxa"/>
            <w:tcBorders>
              <w:top w:val="nil"/>
              <w:left w:val="nil"/>
              <w:bottom w:val="single" w:sz="4" w:space="0" w:color="ADD6EA"/>
              <w:right w:val="nil"/>
            </w:tcBorders>
            <w:shd w:val="clear" w:color="000000" w:fill="B6D5E4"/>
            <w:noWrap/>
            <w:vAlign w:val="center"/>
            <w:hideMark/>
          </w:tcPr>
          <w:p w14:paraId="099F8E90"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w:t>
            </w:r>
          </w:p>
        </w:tc>
        <w:tc>
          <w:tcPr>
            <w:tcW w:w="720" w:type="dxa"/>
            <w:tcBorders>
              <w:top w:val="nil"/>
              <w:left w:val="nil"/>
              <w:bottom w:val="single" w:sz="4" w:space="0" w:color="ADD6EA"/>
              <w:right w:val="nil"/>
            </w:tcBorders>
            <w:shd w:val="clear" w:color="000000" w:fill="B6D5E4"/>
            <w:noWrap/>
            <w:vAlign w:val="center"/>
            <w:hideMark/>
          </w:tcPr>
          <w:p w14:paraId="492CD8B1"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5881E8D9" w14:textId="77777777" w:rsidR="00DE37C1" w:rsidRPr="006E1064"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w:t>
            </w:r>
          </w:p>
        </w:tc>
      </w:tr>
      <w:tr w:rsidR="00DE37C1" w:rsidRPr="006E1064" w14:paraId="453C420D"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368C12C2" w14:textId="77777777" w:rsidR="00DE37C1" w:rsidRPr="006E1064" w:rsidRDefault="00DE37C1" w:rsidP="004D65FE">
            <w:pPr>
              <w:keepNext/>
              <w:tabs>
                <w:tab w:val="clear" w:pos="567"/>
              </w:tabs>
              <w:spacing w:before="0" w:line="240" w:lineRule="auto"/>
              <w:rPr>
                <w:rFonts w:eastAsia="Times New Roman" w:cs="Open Sans Light"/>
                <w:color w:val="000000"/>
                <w:sz w:val="16"/>
                <w:szCs w:val="16"/>
                <w:lang w:eastAsia="en-AU"/>
              </w:rPr>
            </w:pPr>
            <w:r w:rsidRPr="006E1064">
              <w:rPr>
                <w:rFonts w:eastAsia="Times New Roman" w:cs="Open Sans Light"/>
                <w:color w:val="000000"/>
                <w:sz w:val="16"/>
                <w:szCs w:val="16"/>
                <w:lang w:eastAsia="en-AU"/>
              </w:rPr>
              <w:t>0 - 14 years</w:t>
            </w:r>
          </w:p>
        </w:tc>
        <w:tc>
          <w:tcPr>
            <w:tcW w:w="760" w:type="dxa"/>
            <w:tcBorders>
              <w:top w:val="nil"/>
              <w:left w:val="nil"/>
              <w:bottom w:val="single" w:sz="4" w:space="0" w:color="ADD6EA"/>
              <w:right w:val="nil"/>
            </w:tcBorders>
            <w:shd w:val="clear" w:color="000000" w:fill="FFFFFF"/>
            <w:vAlign w:val="bottom"/>
            <w:hideMark/>
          </w:tcPr>
          <w:p w14:paraId="36B87185"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31.7</w:t>
            </w:r>
          </w:p>
        </w:tc>
        <w:tc>
          <w:tcPr>
            <w:tcW w:w="760" w:type="dxa"/>
            <w:tcBorders>
              <w:top w:val="nil"/>
              <w:left w:val="nil"/>
              <w:bottom w:val="single" w:sz="4" w:space="0" w:color="ADD6EA"/>
              <w:right w:val="nil"/>
            </w:tcBorders>
            <w:shd w:val="clear" w:color="000000" w:fill="FFFFFF"/>
            <w:vAlign w:val="bottom"/>
            <w:hideMark/>
          </w:tcPr>
          <w:p w14:paraId="5CE7DB5F"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25.3</w:t>
            </w:r>
          </w:p>
        </w:tc>
        <w:tc>
          <w:tcPr>
            <w:tcW w:w="760" w:type="dxa"/>
            <w:tcBorders>
              <w:top w:val="nil"/>
              <w:left w:val="nil"/>
              <w:bottom w:val="single" w:sz="4" w:space="0" w:color="ADD6EA"/>
              <w:right w:val="nil"/>
            </w:tcBorders>
            <w:shd w:val="clear" w:color="000000" w:fill="FFFFFF"/>
            <w:vAlign w:val="bottom"/>
            <w:hideMark/>
          </w:tcPr>
          <w:p w14:paraId="45D7C678"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20.9</w:t>
            </w:r>
          </w:p>
        </w:tc>
        <w:tc>
          <w:tcPr>
            <w:tcW w:w="760" w:type="dxa"/>
            <w:tcBorders>
              <w:top w:val="nil"/>
              <w:left w:val="nil"/>
              <w:bottom w:val="single" w:sz="4" w:space="0" w:color="ADD6EA"/>
              <w:right w:val="nil"/>
            </w:tcBorders>
            <w:shd w:val="clear" w:color="000000" w:fill="FFFFFF"/>
            <w:vAlign w:val="bottom"/>
            <w:hideMark/>
          </w:tcPr>
          <w:p w14:paraId="01E5C636"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10.8</w:t>
            </w:r>
          </w:p>
        </w:tc>
        <w:tc>
          <w:tcPr>
            <w:tcW w:w="760" w:type="dxa"/>
            <w:tcBorders>
              <w:top w:val="nil"/>
              <w:left w:val="nil"/>
              <w:bottom w:val="single" w:sz="4" w:space="0" w:color="ADD6EA"/>
              <w:right w:val="nil"/>
            </w:tcBorders>
            <w:shd w:val="clear" w:color="000000" w:fill="FFFFFF"/>
            <w:vAlign w:val="bottom"/>
            <w:hideMark/>
          </w:tcPr>
          <w:p w14:paraId="66F1A635"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6.5</w:t>
            </w:r>
          </w:p>
        </w:tc>
        <w:tc>
          <w:tcPr>
            <w:tcW w:w="720" w:type="dxa"/>
            <w:tcBorders>
              <w:top w:val="nil"/>
              <w:left w:val="nil"/>
              <w:bottom w:val="single" w:sz="4" w:space="0" w:color="ADD6EA"/>
              <w:right w:val="nil"/>
            </w:tcBorders>
            <w:shd w:val="clear" w:color="000000" w:fill="FFFFFF"/>
            <w:vAlign w:val="bottom"/>
            <w:hideMark/>
          </w:tcPr>
          <w:p w14:paraId="5F823FFB"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2.0</w:t>
            </w:r>
          </w:p>
        </w:tc>
        <w:tc>
          <w:tcPr>
            <w:tcW w:w="720" w:type="dxa"/>
            <w:tcBorders>
              <w:top w:val="nil"/>
              <w:left w:val="nil"/>
              <w:bottom w:val="single" w:sz="4" w:space="0" w:color="ADD6EA"/>
              <w:right w:val="nil"/>
            </w:tcBorders>
            <w:shd w:val="clear" w:color="000000" w:fill="FFFFFF"/>
            <w:vAlign w:val="bottom"/>
            <w:hideMark/>
          </w:tcPr>
          <w:p w14:paraId="22DD7347"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1.7</w:t>
            </w:r>
          </w:p>
        </w:tc>
        <w:tc>
          <w:tcPr>
            <w:tcW w:w="720" w:type="dxa"/>
            <w:tcBorders>
              <w:top w:val="nil"/>
              <w:left w:val="nil"/>
              <w:bottom w:val="single" w:sz="4" w:space="0" w:color="ADD6EA"/>
              <w:right w:val="nil"/>
            </w:tcBorders>
            <w:shd w:val="clear" w:color="000000" w:fill="FFFFFF"/>
            <w:vAlign w:val="bottom"/>
            <w:hideMark/>
          </w:tcPr>
          <w:p w14:paraId="249C1E45"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1.1</w:t>
            </w:r>
          </w:p>
        </w:tc>
        <w:tc>
          <w:tcPr>
            <w:tcW w:w="760" w:type="dxa"/>
            <w:tcBorders>
              <w:top w:val="nil"/>
              <w:left w:val="nil"/>
              <w:bottom w:val="single" w:sz="4" w:space="0" w:color="ADD6EA"/>
              <w:right w:val="nil"/>
            </w:tcBorders>
            <w:shd w:val="clear" w:color="000000" w:fill="FFFFFF"/>
            <w:vAlign w:val="bottom"/>
            <w:hideMark/>
          </w:tcPr>
          <w:p w14:paraId="14420EBE"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100.0</w:t>
            </w:r>
          </w:p>
        </w:tc>
      </w:tr>
      <w:tr w:rsidR="00DE37C1" w:rsidRPr="006E1064" w14:paraId="17ACE1A4"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33BEBAF3" w14:textId="77777777" w:rsidR="00DE37C1" w:rsidRPr="006E1064" w:rsidRDefault="00DE37C1" w:rsidP="004D65FE">
            <w:pPr>
              <w:keepNext/>
              <w:tabs>
                <w:tab w:val="clear" w:pos="567"/>
              </w:tabs>
              <w:spacing w:before="0" w:line="240" w:lineRule="auto"/>
              <w:rPr>
                <w:rFonts w:eastAsia="Times New Roman" w:cs="Open Sans Light"/>
                <w:color w:val="000000"/>
                <w:sz w:val="16"/>
                <w:szCs w:val="16"/>
                <w:lang w:eastAsia="en-AU"/>
              </w:rPr>
            </w:pPr>
            <w:r w:rsidRPr="006E1064">
              <w:rPr>
                <w:rFonts w:eastAsia="Times New Roman" w:cs="Open Sans Light"/>
                <w:color w:val="000000"/>
                <w:sz w:val="16"/>
                <w:szCs w:val="16"/>
                <w:lang w:eastAsia="en-AU"/>
              </w:rPr>
              <w:t>15 - 64 years</w:t>
            </w:r>
          </w:p>
        </w:tc>
        <w:tc>
          <w:tcPr>
            <w:tcW w:w="760" w:type="dxa"/>
            <w:tcBorders>
              <w:top w:val="nil"/>
              <w:left w:val="nil"/>
              <w:bottom w:val="single" w:sz="4" w:space="0" w:color="ADD6EA"/>
              <w:right w:val="nil"/>
            </w:tcBorders>
            <w:shd w:val="clear" w:color="000000" w:fill="FFFFFF"/>
            <w:vAlign w:val="bottom"/>
            <w:hideMark/>
          </w:tcPr>
          <w:p w14:paraId="3716C808"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31.8</w:t>
            </w:r>
          </w:p>
        </w:tc>
        <w:tc>
          <w:tcPr>
            <w:tcW w:w="760" w:type="dxa"/>
            <w:tcBorders>
              <w:top w:val="nil"/>
              <w:left w:val="nil"/>
              <w:bottom w:val="single" w:sz="4" w:space="0" w:color="ADD6EA"/>
              <w:right w:val="nil"/>
            </w:tcBorders>
            <w:shd w:val="clear" w:color="000000" w:fill="FFFFFF"/>
            <w:vAlign w:val="bottom"/>
            <w:hideMark/>
          </w:tcPr>
          <w:p w14:paraId="0004A6E3"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26.3</w:t>
            </w:r>
          </w:p>
        </w:tc>
        <w:tc>
          <w:tcPr>
            <w:tcW w:w="760" w:type="dxa"/>
            <w:tcBorders>
              <w:top w:val="nil"/>
              <w:left w:val="nil"/>
              <w:bottom w:val="single" w:sz="4" w:space="0" w:color="ADD6EA"/>
              <w:right w:val="nil"/>
            </w:tcBorders>
            <w:shd w:val="clear" w:color="000000" w:fill="FFFFFF"/>
            <w:vAlign w:val="bottom"/>
            <w:hideMark/>
          </w:tcPr>
          <w:p w14:paraId="4D830CFC"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19.9</w:t>
            </w:r>
          </w:p>
        </w:tc>
        <w:tc>
          <w:tcPr>
            <w:tcW w:w="760" w:type="dxa"/>
            <w:tcBorders>
              <w:top w:val="nil"/>
              <w:left w:val="nil"/>
              <w:bottom w:val="single" w:sz="4" w:space="0" w:color="ADD6EA"/>
              <w:right w:val="nil"/>
            </w:tcBorders>
            <w:shd w:val="clear" w:color="000000" w:fill="FFFFFF"/>
            <w:vAlign w:val="bottom"/>
            <w:hideMark/>
          </w:tcPr>
          <w:p w14:paraId="3795F411"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10.4</w:t>
            </w:r>
          </w:p>
        </w:tc>
        <w:tc>
          <w:tcPr>
            <w:tcW w:w="760" w:type="dxa"/>
            <w:tcBorders>
              <w:top w:val="nil"/>
              <w:left w:val="nil"/>
              <w:bottom w:val="single" w:sz="4" w:space="0" w:color="ADD6EA"/>
              <w:right w:val="nil"/>
            </w:tcBorders>
            <w:shd w:val="clear" w:color="000000" w:fill="FFFFFF"/>
            <w:vAlign w:val="bottom"/>
            <w:hideMark/>
          </w:tcPr>
          <w:p w14:paraId="0EC113AF"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6.8</w:t>
            </w:r>
          </w:p>
        </w:tc>
        <w:tc>
          <w:tcPr>
            <w:tcW w:w="720" w:type="dxa"/>
            <w:tcBorders>
              <w:top w:val="nil"/>
              <w:left w:val="nil"/>
              <w:bottom w:val="single" w:sz="4" w:space="0" w:color="ADD6EA"/>
              <w:right w:val="nil"/>
            </w:tcBorders>
            <w:shd w:val="clear" w:color="000000" w:fill="FFFFFF"/>
            <w:vAlign w:val="bottom"/>
            <w:hideMark/>
          </w:tcPr>
          <w:p w14:paraId="201CDC72"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2.0</w:t>
            </w:r>
          </w:p>
        </w:tc>
        <w:tc>
          <w:tcPr>
            <w:tcW w:w="720" w:type="dxa"/>
            <w:tcBorders>
              <w:top w:val="nil"/>
              <w:left w:val="nil"/>
              <w:bottom w:val="single" w:sz="4" w:space="0" w:color="ADD6EA"/>
              <w:right w:val="nil"/>
            </w:tcBorders>
            <w:shd w:val="clear" w:color="000000" w:fill="FFFFFF"/>
            <w:vAlign w:val="bottom"/>
            <w:hideMark/>
          </w:tcPr>
          <w:p w14:paraId="0E41B9EA"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1.8</w:t>
            </w:r>
          </w:p>
        </w:tc>
        <w:tc>
          <w:tcPr>
            <w:tcW w:w="720" w:type="dxa"/>
            <w:tcBorders>
              <w:top w:val="nil"/>
              <w:left w:val="nil"/>
              <w:bottom w:val="single" w:sz="4" w:space="0" w:color="ADD6EA"/>
              <w:right w:val="nil"/>
            </w:tcBorders>
            <w:shd w:val="clear" w:color="000000" w:fill="FFFFFF"/>
            <w:vAlign w:val="bottom"/>
            <w:hideMark/>
          </w:tcPr>
          <w:p w14:paraId="0A85F7D7"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1.1</w:t>
            </w:r>
          </w:p>
        </w:tc>
        <w:tc>
          <w:tcPr>
            <w:tcW w:w="760" w:type="dxa"/>
            <w:tcBorders>
              <w:top w:val="nil"/>
              <w:left w:val="nil"/>
              <w:bottom w:val="single" w:sz="4" w:space="0" w:color="ADD6EA"/>
              <w:right w:val="nil"/>
            </w:tcBorders>
            <w:shd w:val="clear" w:color="000000" w:fill="FFFFFF"/>
            <w:vAlign w:val="bottom"/>
            <w:hideMark/>
          </w:tcPr>
          <w:p w14:paraId="50819E90"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100.0</w:t>
            </w:r>
          </w:p>
        </w:tc>
      </w:tr>
      <w:tr w:rsidR="00DE37C1" w:rsidRPr="006E1064" w14:paraId="4ADA1F2C"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5E59168F" w14:textId="77777777" w:rsidR="00DE37C1" w:rsidRPr="006E1064" w:rsidRDefault="00DE37C1" w:rsidP="004D65FE">
            <w:pPr>
              <w:keepNext/>
              <w:tabs>
                <w:tab w:val="clear" w:pos="567"/>
              </w:tabs>
              <w:spacing w:before="0" w:line="240" w:lineRule="auto"/>
              <w:rPr>
                <w:rFonts w:eastAsia="Times New Roman" w:cs="Open Sans Light"/>
                <w:color w:val="000000"/>
                <w:sz w:val="16"/>
                <w:szCs w:val="16"/>
                <w:lang w:eastAsia="en-AU"/>
              </w:rPr>
            </w:pPr>
            <w:r w:rsidRPr="006E1064">
              <w:rPr>
                <w:rFonts w:eastAsia="Times New Roman" w:cs="Open Sans Light"/>
                <w:color w:val="000000"/>
                <w:sz w:val="16"/>
                <w:szCs w:val="16"/>
                <w:lang w:eastAsia="en-AU"/>
              </w:rPr>
              <w:t>65+ years</w:t>
            </w:r>
          </w:p>
        </w:tc>
        <w:tc>
          <w:tcPr>
            <w:tcW w:w="760" w:type="dxa"/>
            <w:tcBorders>
              <w:top w:val="nil"/>
              <w:left w:val="nil"/>
              <w:bottom w:val="single" w:sz="4" w:space="0" w:color="ADD6EA"/>
              <w:right w:val="nil"/>
            </w:tcBorders>
            <w:shd w:val="clear" w:color="000000" w:fill="FFFFFF"/>
            <w:vAlign w:val="bottom"/>
            <w:hideMark/>
          </w:tcPr>
          <w:p w14:paraId="1AC35ED1"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32.8</w:t>
            </w:r>
          </w:p>
        </w:tc>
        <w:tc>
          <w:tcPr>
            <w:tcW w:w="760" w:type="dxa"/>
            <w:tcBorders>
              <w:top w:val="nil"/>
              <w:left w:val="nil"/>
              <w:bottom w:val="single" w:sz="4" w:space="0" w:color="ADD6EA"/>
              <w:right w:val="nil"/>
            </w:tcBorders>
            <w:shd w:val="clear" w:color="000000" w:fill="FFFFFF"/>
            <w:vAlign w:val="bottom"/>
            <w:hideMark/>
          </w:tcPr>
          <w:p w14:paraId="54193CDC"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25.3</w:t>
            </w:r>
          </w:p>
        </w:tc>
        <w:tc>
          <w:tcPr>
            <w:tcW w:w="760" w:type="dxa"/>
            <w:tcBorders>
              <w:top w:val="nil"/>
              <w:left w:val="nil"/>
              <w:bottom w:val="single" w:sz="4" w:space="0" w:color="ADD6EA"/>
              <w:right w:val="nil"/>
            </w:tcBorders>
            <w:shd w:val="clear" w:color="000000" w:fill="FFFFFF"/>
            <w:vAlign w:val="bottom"/>
            <w:hideMark/>
          </w:tcPr>
          <w:p w14:paraId="6740A1F4"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19.7</w:t>
            </w:r>
          </w:p>
        </w:tc>
        <w:tc>
          <w:tcPr>
            <w:tcW w:w="760" w:type="dxa"/>
            <w:tcBorders>
              <w:top w:val="nil"/>
              <w:left w:val="nil"/>
              <w:bottom w:val="single" w:sz="4" w:space="0" w:color="ADD6EA"/>
              <w:right w:val="nil"/>
            </w:tcBorders>
            <w:shd w:val="clear" w:color="000000" w:fill="FFFFFF"/>
            <w:vAlign w:val="bottom"/>
            <w:hideMark/>
          </w:tcPr>
          <w:p w14:paraId="35920C45"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9.5</w:t>
            </w:r>
          </w:p>
        </w:tc>
        <w:tc>
          <w:tcPr>
            <w:tcW w:w="760" w:type="dxa"/>
            <w:tcBorders>
              <w:top w:val="nil"/>
              <w:left w:val="nil"/>
              <w:bottom w:val="single" w:sz="4" w:space="0" w:color="ADD6EA"/>
              <w:right w:val="nil"/>
            </w:tcBorders>
            <w:shd w:val="clear" w:color="000000" w:fill="FFFFFF"/>
            <w:vAlign w:val="bottom"/>
            <w:hideMark/>
          </w:tcPr>
          <w:p w14:paraId="3EED8BDB"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8.1</w:t>
            </w:r>
          </w:p>
        </w:tc>
        <w:tc>
          <w:tcPr>
            <w:tcW w:w="720" w:type="dxa"/>
            <w:tcBorders>
              <w:top w:val="nil"/>
              <w:left w:val="nil"/>
              <w:bottom w:val="single" w:sz="4" w:space="0" w:color="ADD6EA"/>
              <w:right w:val="nil"/>
            </w:tcBorders>
            <w:shd w:val="clear" w:color="000000" w:fill="FFFFFF"/>
            <w:vAlign w:val="bottom"/>
            <w:hideMark/>
          </w:tcPr>
          <w:p w14:paraId="3A1B33C4"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2.7</w:t>
            </w:r>
          </w:p>
        </w:tc>
        <w:tc>
          <w:tcPr>
            <w:tcW w:w="720" w:type="dxa"/>
            <w:tcBorders>
              <w:top w:val="nil"/>
              <w:left w:val="nil"/>
              <w:bottom w:val="single" w:sz="4" w:space="0" w:color="ADD6EA"/>
              <w:right w:val="nil"/>
            </w:tcBorders>
            <w:shd w:val="clear" w:color="000000" w:fill="FFFFFF"/>
            <w:vAlign w:val="bottom"/>
            <w:hideMark/>
          </w:tcPr>
          <w:p w14:paraId="409DAC90"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1.4</w:t>
            </w:r>
          </w:p>
        </w:tc>
        <w:tc>
          <w:tcPr>
            <w:tcW w:w="720" w:type="dxa"/>
            <w:tcBorders>
              <w:top w:val="nil"/>
              <w:left w:val="nil"/>
              <w:bottom w:val="single" w:sz="4" w:space="0" w:color="ADD6EA"/>
              <w:right w:val="nil"/>
            </w:tcBorders>
            <w:shd w:val="clear" w:color="000000" w:fill="FFFFFF"/>
            <w:vAlign w:val="bottom"/>
            <w:hideMark/>
          </w:tcPr>
          <w:p w14:paraId="7BF1D94A"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0.5</w:t>
            </w:r>
          </w:p>
        </w:tc>
        <w:tc>
          <w:tcPr>
            <w:tcW w:w="760" w:type="dxa"/>
            <w:tcBorders>
              <w:top w:val="nil"/>
              <w:left w:val="nil"/>
              <w:bottom w:val="single" w:sz="4" w:space="0" w:color="ADD6EA"/>
              <w:right w:val="nil"/>
            </w:tcBorders>
            <w:shd w:val="clear" w:color="000000" w:fill="FFFFFF"/>
            <w:vAlign w:val="bottom"/>
            <w:hideMark/>
          </w:tcPr>
          <w:p w14:paraId="0829E8F1" w14:textId="77777777" w:rsidR="00DE37C1" w:rsidRPr="006E1064"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6E1064">
              <w:rPr>
                <w:rFonts w:eastAsia="Times New Roman" w:cs="Open Sans Light"/>
                <w:color w:val="000000"/>
                <w:sz w:val="16"/>
                <w:szCs w:val="16"/>
                <w:lang w:eastAsia="en-AU"/>
              </w:rPr>
              <w:t>100.0</w:t>
            </w:r>
          </w:p>
        </w:tc>
      </w:tr>
      <w:tr w:rsidR="00DE37C1" w:rsidRPr="006E1064" w14:paraId="3D687C45" w14:textId="77777777" w:rsidTr="00185104">
        <w:trPr>
          <w:trHeight w:val="315"/>
        </w:trPr>
        <w:tc>
          <w:tcPr>
            <w:tcW w:w="2260" w:type="dxa"/>
            <w:tcBorders>
              <w:top w:val="nil"/>
              <w:left w:val="nil"/>
              <w:bottom w:val="single" w:sz="4" w:space="0" w:color="ADD6EA"/>
              <w:right w:val="nil"/>
            </w:tcBorders>
            <w:shd w:val="clear" w:color="000000" w:fill="D6E7F0"/>
            <w:vAlign w:val="bottom"/>
            <w:hideMark/>
          </w:tcPr>
          <w:p w14:paraId="2CEAA89D" w14:textId="77777777" w:rsidR="00DE37C1" w:rsidRPr="006E1064" w:rsidRDefault="00DE37C1" w:rsidP="004D65FE">
            <w:pPr>
              <w:keepNext/>
              <w:tabs>
                <w:tab w:val="clear" w:pos="567"/>
              </w:tabs>
              <w:spacing w:before="0" w:line="240" w:lineRule="auto"/>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41534968"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31.9</w:t>
            </w:r>
          </w:p>
        </w:tc>
        <w:tc>
          <w:tcPr>
            <w:tcW w:w="760" w:type="dxa"/>
            <w:tcBorders>
              <w:top w:val="nil"/>
              <w:left w:val="nil"/>
              <w:bottom w:val="single" w:sz="4" w:space="0" w:color="ADD6EA"/>
              <w:right w:val="nil"/>
            </w:tcBorders>
            <w:shd w:val="clear" w:color="000000" w:fill="D6E7F0"/>
            <w:vAlign w:val="bottom"/>
            <w:hideMark/>
          </w:tcPr>
          <w:p w14:paraId="3333E15D"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25.9</w:t>
            </w:r>
          </w:p>
        </w:tc>
        <w:tc>
          <w:tcPr>
            <w:tcW w:w="760" w:type="dxa"/>
            <w:tcBorders>
              <w:top w:val="nil"/>
              <w:left w:val="nil"/>
              <w:bottom w:val="single" w:sz="4" w:space="0" w:color="ADD6EA"/>
              <w:right w:val="nil"/>
            </w:tcBorders>
            <w:shd w:val="clear" w:color="000000" w:fill="D6E7F0"/>
            <w:vAlign w:val="bottom"/>
            <w:hideMark/>
          </w:tcPr>
          <w:p w14:paraId="68598AAB"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20.1</w:t>
            </w:r>
          </w:p>
        </w:tc>
        <w:tc>
          <w:tcPr>
            <w:tcW w:w="760" w:type="dxa"/>
            <w:tcBorders>
              <w:top w:val="nil"/>
              <w:left w:val="nil"/>
              <w:bottom w:val="single" w:sz="4" w:space="0" w:color="ADD6EA"/>
              <w:right w:val="nil"/>
            </w:tcBorders>
            <w:shd w:val="clear" w:color="000000" w:fill="D6E7F0"/>
            <w:vAlign w:val="bottom"/>
            <w:hideMark/>
          </w:tcPr>
          <w:p w14:paraId="4E29B2D0"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10.4</w:t>
            </w:r>
          </w:p>
        </w:tc>
        <w:tc>
          <w:tcPr>
            <w:tcW w:w="760" w:type="dxa"/>
            <w:tcBorders>
              <w:top w:val="nil"/>
              <w:left w:val="nil"/>
              <w:bottom w:val="single" w:sz="4" w:space="0" w:color="ADD6EA"/>
              <w:right w:val="nil"/>
            </w:tcBorders>
            <w:shd w:val="clear" w:color="000000" w:fill="D6E7F0"/>
            <w:vAlign w:val="bottom"/>
            <w:hideMark/>
          </w:tcPr>
          <w:p w14:paraId="30BDB699"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6.9</w:t>
            </w:r>
          </w:p>
        </w:tc>
        <w:tc>
          <w:tcPr>
            <w:tcW w:w="720" w:type="dxa"/>
            <w:tcBorders>
              <w:top w:val="nil"/>
              <w:left w:val="nil"/>
              <w:bottom w:val="single" w:sz="4" w:space="0" w:color="ADD6EA"/>
              <w:right w:val="nil"/>
            </w:tcBorders>
            <w:shd w:val="clear" w:color="000000" w:fill="D6E7F0"/>
            <w:vAlign w:val="bottom"/>
            <w:hideMark/>
          </w:tcPr>
          <w:p w14:paraId="7912C7AC"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2.1</w:t>
            </w:r>
          </w:p>
        </w:tc>
        <w:tc>
          <w:tcPr>
            <w:tcW w:w="720" w:type="dxa"/>
            <w:tcBorders>
              <w:top w:val="nil"/>
              <w:left w:val="nil"/>
              <w:bottom w:val="single" w:sz="4" w:space="0" w:color="ADD6EA"/>
              <w:right w:val="nil"/>
            </w:tcBorders>
            <w:shd w:val="clear" w:color="000000" w:fill="D6E7F0"/>
            <w:vAlign w:val="bottom"/>
            <w:hideMark/>
          </w:tcPr>
          <w:p w14:paraId="6083053F"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1.7</w:t>
            </w:r>
          </w:p>
        </w:tc>
        <w:tc>
          <w:tcPr>
            <w:tcW w:w="720" w:type="dxa"/>
            <w:tcBorders>
              <w:top w:val="nil"/>
              <w:left w:val="nil"/>
              <w:bottom w:val="single" w:sz="4" w:space="0" w:color="ADD6EA"/>
              <w:right w:val="nil"/>
            </w:tcBorders>
            <w:shd w:val="clear" w:color="000000" w:fill="D6E7F0"/>
            <w:vAlign w:val="bottom"/>
            <w:hideMark/>
          </w:tcPr>
          <w:p w14:paraId="1D6D3428"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1.0</w:t>
            </w:r>
          </w:p>
        </w:tc>
        <w:tc>
          <w:tcPr>
            <w:tcW w:w="760" w:type="dxa"/>
            <w:tcBorders>
              <w:top w:val="nil"/>
              <w:left w:val="nil"/>
              <w:bottom w:val="single" w:sz="4" w:space="0" w:color="ADD6EA"/>
              <w:right w:val="nil"/>
            </w:tcBorders>
            <w:shd w:val="clear" w:color="000000" w:fill="D6E7F0"/>
            <w:vAlign w:val="bottom"/>
            <w:hideMark/>
          </w:tcPr>
          <w:p w14:paraId="01769616" w14:textId="77777777" w:rsidR="00DE37C1" w:rsidRPr="006E1064"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E1064">
              <w:rPr>
                <w:rFonts w:ascii="Open Sans SemiBold" w:eastAsia="Times New Roman" w:hAnsi="Open Sans SemiBold" w:cs="Open Sans SemiBold"/>
                <w:color w:val="000000"/>
                <w:sz w:val="16"/>
                <w:szCs w:val="16"/>
                <w:lang w:eastAsia="en-AU"/>
              </w:rPr>
              <w:t>100.0</w:t>
            </w:r>
          </w:p>
        </w:tc>
      </w:tr>
    </w:tbl>
    <w:p w14:paraId="6C743855" w14:textId="77777777" w:rsidR="00DE37C1" w:rsidRDefault="00DE37C1" w:rsidP="00DE37C1">
      <w:pPr>
        <w:pStyle w:val="CGCTablenote"/>
        <w:keepNext/>
      </w:pPr>
      <w:r w:rsidRPr="00ED299B">
        <w:t>Source:</w:t>
      </w:r>
      <w:r w:rsidRPr="00ED299B">
        <w:tab/>
        <w:t>Commission calculation using ABS data.</w:t>
      </w:r>
    </w:p>
    <w:p w14:paraId="41A2154E" w14:textId="77777777" w:rsidR="00DE37C1" w:rsidRDefault="00DE37C1" w:rsidP="00DE37C1">
      <w:pPr>
        <w:pStyle w:val="Heading4"/>
      </w:pPr>
      <w:r>
        <w:t>Remoteness</w:t>
      </w:r>
    </w:p>
    <w:p w14:paraId="02183811" w14:textId="1D1D57CC" w:rsidR="00DE37C1" w:rsidRDefault="00DE37C1" w:rsidP="00F47EC7">
      <w:pPr>
        <w:pStyle w:val="CGCParaNumber"/>
      </w:pPr>
      <w:r>
        <w:t xml:space="preserve">Many of the assessments </w:t>
      </w:r>
      <w:r w:rsidRPr="00B3538E">
        <w:t xml:space="preserve">measure </w:t>
      </w:r>
      <w:r>
        <w:t xml:space="preserve">and disaggregate </w:t>
      </w:r>
      <w:r w:rsidRPr="00B3538E">
        <w:t>population</w:t>
      </w:r>
      <w:r>
        <w:t>s</w:t>
      </w:r>
      <w:r w:rsidRPr="00B3538E">
        <w:t xml:space="preserve"> </w:t>
      </w:r>
      <w:r>
        <w:t>according to their degree of remoteness, which affects both the use of services, and the cost of delivering services. The indicator of remoteness should group like areas together and distinguish unlike areas. In the 2015 Review, the Commission changed its measure of remoteness from the State Accessibility</w:t>
      </w:r>
      <w:r w:rsidR="000B6281">
        <w:t>/</w:t>
      </w:r>
      <w:r>
        <w:t>Remoteness Index of Australia (SARIA) to ABS remoteness areas, which are based on the Accessibility</w:t>
      </w:r>
      <w:r w:rsidR="000B6281">
        <w:t>/</w:t>
      </w:r>
      <w:r>
        <w:t>Remoteness Index of Australia (ARIA+).</w:t>
      </w:r>
      <w:r>
        <w:rPr>
          <w:rStyle w:val="FootnoteReference"/>
        </w:rPr>
        <w:footnoteReference w:id="137"/>
      </w:r>
      <w:r>
        <w:t xml:space="preserve"> </w:t>
      </w:r>
    </w:p>
    <w:p w14:paraId="762B98C6" w14:textId="77777777" w:rsidR="00DE37C1" w:rsidRDefault="00DE37C1" w:rsidP="00F47EC7">
      <w:pPr>
        <w:pStyle w:val="CGCParaNumber"/>
      </w:pPr>
      <w:r>
        <w:t xml:space="preserve">For the 2020 Review, the Commission again considered the best measure of remoteness and concluded that the ABS remoteness areas are the best available measure of remoteness for its purposes. While ABS remoteness areas might not be perfect for the Commission’s purposes, there is no evidence of any specific biases in them, or how this could be improved. </w:t>
      </w:r>
      <w:r w:rsidRPr="00B3538E">
        <w:t xml:space="preserve">States were consulted and their views are discussed in more detail in </w:t>
      </w:r>
      <w:r>
        <w:t xml:space="preserve">Chapter </w:t>
      </w:r>
      <w:r w:rsidRPr="00B3538E">
        <w:t>2</w:t>
      </w:r>
      <w:r>
        <w:t>8</w:t>
      </w:r>
      <w:r w:rsidRPr="00B3538E">
        <w:t xml:space="preserve"> </w:t>
      </w:r>
      <w:r>
        <w:t>Geography</w:t>
      </w:r>
      <w:r w:rsidRPr="00B3538E">
        <w:t>.</w:t>
      </w:r>
      <w:r>
        <w:t xml:space="preserve"> </w:t>
      </w:r>
    </w:p>
    <w:p w14:paraId="0190D168" w14:textId="03AD5CD1" w:rsidR="00DE37C1" w:rsidRDefault="00DE37C1" w:rsidP="00F47EC7">
      <w:pPr>
        <w:pStyle w:val="CGCParaNumber"/>
      </w:pPr>
      <w:r w:rsidRPr="00B3538E">
        <w:fldChar w:fldCharType="begin"/>
      </w:r>
      <w:r w:rsidRPr="00B3538E">
        <w:instrText xml:space="preserve"> REF _Ref403996957 \h  \* MERGEFORMAT </w:instrText>
      </w:r>
      <w:r w:rsidRPr="00B3538E">
        <w:fldChar w:fldCharType="separate"/>
      </w:r>
      <w:r w:rsidR="007F721A" w:rsidRPr="00ED299B">
        <w:t>Table </w:t>
      </w:r>
      <w:r w:rsidR="007F721A">
        <w:t>31-4</w:t>
      </w:r>
      <w:r w:rsidRPr="00B3538E">
        <w:fldChar w:fldCharType="end"/>
      </w:r>
      <w:r w:rsidRPr="00B3538E">
        <w:t xml:space="preserve"> provides details of State estimated resident population for December 201</w:t>
      </w:r>
      <w:r>
        <w:t>8,</w:t>
      </w:r>
      <w:r w:rsidRPr="00B3538E">
        <w:t xml:space="preserve"> split</w:t>
      </w:r>
      <w:r>
        <w:t xml:space="preserve"> into</w:t>
      </w:r>
      <w:r w:rsidRPr="00B3538E">
        <w:t xml:space="preserve"> five remoteness areas.</w:t>
      </w:r>
    </w:p>
    <w:p w14:paraId="2BBE355C" w14:textId="631DF6E2" w:rsidR="00DE37C1" w:rsidRPr="00ED299B" w:rsidRDefault="00DE37C1" w:rsidP="00DE37C1">
      <w:pPr>
        <w:pStyle w:val="Caption"/>
      </w:pPr>
      <w:bookmarkStart w:id="670" w:name="_Ref403996957"/>
      <w:r w:rsidRPr="00ED299B">
        <w:lastRenderedPageBreak/>
        <w:t>Table </w:t>
      </w:r>
      <w:r>
        <w:t>31-</w:t>
      </w:r>
      <w:fldSimple w:instr=" SEQ Table \* ARABIC ">
        <w:r w:rsidR="007F721A">
          <w:rPr>
            <w:noProof/>
          </w:rPr>
          <w:t>4</w:t>
        </w:r>
      </w:fldSimple>
      <w:bookmarkEnd w:id="670"/>
      <w:r w:rsidRPr="00ED299B">
        <w:tab/>
        <w:t>Estimated resident population by remoteness and State, December 201</w:t>
      </w:r>
      <w:r>
        <w:t>8</w:t>
      </w:r>
    </w:p>
    <w:tbl>
      <w:tblPr>
        <w:tblW w:w="8902" w:type="dxa"/>
        <w:tblCellMar>
          <w:left w:w="28" w:type="dxa"/>
          <w:right w:w="28" w:type="dxa"/>
        </w:tblCellMar>
        <w:tblLook w:val="04A0" w:firstRow="1" w:lastRow="0" w:firstColumn="1" w:lastColumn="0" w:noHBand="0" w:noVBand="1"/>
      </w:tblPr>
      <w:tblGrid>
        <w:gridCol w:w="2260"/>
        <w:gridCol w:w="760"/>
        <w:gridCol w:w="760"/>
        <w:gridCol w:w="760"/>
        <w:gridCol w:w="760"/>
        <w:gridCol w:w="760"/>
        <w:gridCol w:w="720"/>
        <w:gridCol w:w="720"/>
        <w:gridCol w:w="720"/>
        <w:gridCol w:w="760"/>
      </w:tblGrid>
      <w:tr w:rsidR="00DE37C1" w:rsidRPr="001D00DE" w14:paraId="7FAAEF1C" w14:textId="77777777" w:rsidTr="00185104">
        <w:trPr>
          <w:trHeight w:val="379"/>
        </w:trPr>
        <w:tc>
          <w:tcPr>
            <w:tcW w:w="2260" w:type="dxa"/>
            <w:tcBorders>
              <w:top w:val="nil"/>
              <w:left w:val="nil"/>
              <w:bottom w:val="nil"/>
              <w:right w:val="nil"/>
            </w:tcBorders>
            <w:shd w:val="clear" w:color="000000" w:fill="006991"/>
            <w:vAlign w:val="center"/>
            <w:hideMark/>
          </w:tcPr>
          <w:p w14:paraId="3B11D534"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00DE">
              <w:rPr>
                <w:rFonts w:ascii="Open Sans SemiBold" w:eastAsia="Times New Roman" w:hAnsi="Open Sans SemiBold" w:cs="Open Sans SemiBold"/>
                <w:color w:val="FFFFFF"/>
                <w:sz w:val="16"/>
                <w:szCs w:val="16"/>
                <w:lang w:eastAsia="en-AU"/>
              </w:rPr>
              <w:t> </w:t>
            </w:r>
          </w:p>
        </w:tc>
        <w:tc>
          <w:tcPr>
            <w:tcW w:w="760" w:type="dxa"/>
            <w:tcBorders>
              <w:top w:val="nil"/>
              <w:left w:val="nil"/>
              <w:bottom w:val="nil"/>
              <w:right w:val="nil"/>
            </w:tcBorders>
            <w:shd w:val="clear" w:color="000000" w:fill="006991"/>
            <w:vAlign w:val="center"/>
            <w:hideMark/>
          </w:tcPr>
          <w:p w14:paraId="362CF582"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00DE">
              <w:rPr>
                <w:rFonts w:ascii="Open Sans SemiBold" w:eastAsia="Times New Roman" w:hAnsi="Open Sans SemiBold" w:cs="Open Sans SemiBold"/>
                <w:color w:val="FFFFFF"/>
                <w:sz w:val="16"/>
                <w:szCs w:val="16"/>
                <w:lang w:eastAsia="en-AU"/>
              </w:rPr>
              <w:t>NSW</w:t>
            </w:r>
          </w:p>
        </w:tc>
        <w:tc>
          <w:tcPr>
            <w:tcW w:w="760" w:type="dxa"/>
            <w:tcBorders>
              <w:top w:val="nil"/>
              <w:left w:val="nil"/>
              <w:bottom w:val="nil"/>
              <w:right w:val="nil"/>
            </w:tcBorders>
            <w:shd w:val="clear" w:color="000000" w:fill="006991"/>
            <w:vAlign w:val="center"/>
            <w:hideMark/>
          </w:tcPr>
          <w:p w14:paraId="75D354A4"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00DE">
              <w:rPr>
                <w:rFonts w:ascii="Open Sans SemiBold" w:eastAsia="Times New Roman" w:hAnsi="Open Sans SemiBold" w:cs="Open Sans SemiBold"/>
                <w:color w:val="FFFFFF"/>
                <w:sz w:val="16"/>
                <w:szCs w:val="16"/>
                <w:lang w:eastAsia="en-AU"/>
              </w:rPr>
              <w:t>Vic</w:t>
            </w:r>
          </w:p>
        </w:tc>
        <w:tc>
          <w:tcPr>
            <w:tcW w:w="760" w:type="dxa"/>
            <w:tcBorders>
              <w:top w:val="nil"/>
              <w:left w:val="nil"/>
              <w:bottom w:val="nil"/>
              <w:right w:val="nil"/>
            </w:tcBorders>
            <w:shd w:val="clear" w:color="000000" w:fill="006991"/>
            <w:vAlign w:val="center"/>
            <w:hideMark/>
          </w:tcPr>
          <w:p w14:paraId="4762FE4E"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00DE">
              <w:rPr>
                <w:rFonts w:ascii="Open Sans SemiBold" w:eastAsia="Times New Roman" w:hAnsi="Open Sans SemiBold" w:cs="Open Sans SemiBold"/>
                <w:color w:val="FFFFFF"/>
                <w:sz w:val="16"/>
                <w:szCs w:val="16"/>
                <w:lang w:eastAsia="en-AU"/>
              </w:rPr>
              <w:t>Qld</w:t>
            </w:r>
          </w:p>
        </w:tc>
        <w:tc>
          <w:tcPr>
            <w:tcW w:w="760" w:type="dxa"/>
            <w:tcBorders>
              <w:top w:val="nil"/>
              <w:left w:val="nil"/>
              <w:bottom w:val="nil"/>
              <w:right w:val="nil"/>
            </w:tcBorders>
            <w:shd w:val="clear" w:color="000000" w:fill="006991"/>
            <w:vAlign w:val="center"/>
            <w:hideMark/>
          </w:tcPr>
          <w:p w14:paraId="3BC2D160"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00DE">
              <w:rPr>
                <w:rFonts w:ascii="Open Sans SemiBold" w:eastAsia="Times New Roman" w:hAnsi="Open Sans SemiBold" w:cs="Open Sans SemiBold"/>
                <w:color w:val="FFFFFF"/>
                <w:sz w:val="16"/>
                <w:szCs w:val="16"/>
                <w:lang w:eastAsia="en-AU"/>
              </w:rPr>
              <w:t>WA</w:t>
            </w:r>
          </w:p>
        </w:tc>
        <w:tc>
          <w:tcPr>
            <w:tcW w:w="760" w:type="dxa"/>
            <w:tcBorders>
              <w:top w:val="nil"/>
              <w:left w:val="nil"/>
              <w:bottom w:val="nil"/>
              <w:right w:val="nil"/>
            </w:tcBorders>
            <w:shd w:val="clear" w:color="000000" w:fill="006991"/>
            <w:vAlign w:val="center"/>
            <w:hideMark/>
          </w:tcPr>
          <w:p w14:paraId="3BE71DF3"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00DE">
              <w:rPr>
                <w:rFonts w:ascii="Open Sans SemiBold" w:eastAsia="Times New Roman" w:hAnsi="Open Sans SemiBold" w:cs="Open Sans SemiBold"/>
                <w:color w:val="FFFFFF"/>
                <w:sz w:val="16"/>
                <w:szCs w:val="16"/>
                <w:lang w:eastAsia="en-AU"/>
              </w:rPr>
              <w:t>SA</w:t>
            </w:r>
          </w:p>
        </w:tc>
        <w:tc>
          <w:tcPr>
            <w:tcW w:w="720" w:type="dxa"/>
            <w:tcBorders>
              <w:top w:val="nil"/>
              <w:left w:val="nil"/>
              <w:bottom w:val="nil"/>
              <w:right w:val="nil"/>
            </w:tcBorders>
            <w:shd w:val="clear" w:color="000000" w:fill="006991"/>
            <w:vAlign w:val="center"/>
            <w:hideMark/>
          </w:tcPr>
          <w:p w14:paraId="2C74D775"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00DE">
              <w:rPr>
                <w:rFonts w:ascii="Open Sans SemiBold" w:eastAsia="Times New Roman" w:hAnsi="Open Sans SemiBold" w:cs="Open Sans SemiBold"/>
                <w:color w:val="FFFFFF"/>
                <w:sz w:val="16"/>
                <w:szCs w:val="16"/>
                <w:lang w:eastAsia="en-AU"/>
              </w:rPr>
              <w:t>Tas</w:t>
            </w:r>
          </w:p>
        </w:tc>
        <w:tc>
          <w:tcPr>
            <w:tcW w:w="720" w:type="dxa"/>
            <w:tcBorders>
              <w:top w:val="nil"/>
              <w:left w:val="nil"/>
              <w:bottom w:val="nil"/>
              <w:right w:val="nil"/>
            </w:tcBorders>
            <w:shd w:val="clear" w:color="000000" w:fill="006991"/>
            <w:vAlign w:val="center"/>
            <w:hideMark/>
          </w:tcPr>
          <w:p w14:paraId="197A77BA"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00DE">
              <w:rPr>
                <w:rFonts w:ascii="Open Sans SemiBold" w:eastAsia="Times New Roman" w:hAnsi="Open Sans SemiBold" w:cs="Open Sans SemiBold"/>
                <w:color w:val="FFFFFF"/>
                <w:sz w:val="16"/>
                <w:szCs w:val="16"/>
                <w:lang w:eastAsia="en-AU"/>
              </w:rPr>
              <w:t>ACT</w:t>
            </w:r>
          </w:p>
        </w:tc>
        <w:tc>
          <w:tcPr>
            <w:tcW w:w="720" w:type="dxa"/>
            <w:tcBorders>
              <w:top w:val="nil"/>
              <w:left w:val="nil"/>
              <w:bottom w:val="nil"/>
              <w:right w:val="nil"/>
            </w:tcBorders>
            <w:shd w:val="clear" w:color="000000" w:fill="006991"/>
            <w:vAlign w:val="center"/>
            <w:hideMark/>
          </w:tcPr>
          <w:p w14:paraId="0A4FD458"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00DE">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vAlign w:val="center"/>
            <w:hideMark/>
          </w:tcPr>
          <w:p w14:paraId="3391E92B"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D00DE">
              <w:rPr>
                <w:rFonts w:ascii="Open Sans SemiBold" w:eastAsia="Times New Roman" w:hAnsi="Open Sans SemiBold" w:cs="Open Sans SemiBold"/>
                <w:color w:val="FFFFFF"/>
                <w:sz w:val="16"/>
                <w:szCs w:val="16"/>
                <w:lang w:eastAsia="en-AU"/>
              </w:rPr>
              <w:t>Total</w:t>
            </w:r>
          </w:p>
        </w:tc>
      </w:tr>
      <w:tr w:rsidR="00DE37C1" w:rsidRPr="001D00DE" w14:paraId="10BF2897" w14:textId="77777777" w:rsidTr="005F7F6C">
        <w:trPr>
          <w:trHeight w:val="259"/>
        </w:trPr>
        <w:tc>
          <w:tcPr>
            <w:tcW w:w="2260" w:type="dxa"/>
            <w:tcBorders>
              <w:top w:val="single" w:sz="4" w:space="0" w:color="ADD6EA"/>
              <w:left w:val="nil"/>
              <w:bottom w:val="single" w:sz="4" w:space="0" w:color="ADD6EA"/>
              <w:right w:val="nil"/>
            </w:tcBorders>
            <w:shd w:val="clear" w:color="000000" w:fill="B6D5E4"/>
            <w:noWrap/>
            <w:vAlign w:val="center"/>
            <w:hideMark/>
          </w:tcPr>
          <w:p w14:paraId="5BA3F2DE"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 </w:t>
            </w:r>
          </w:p>
        </w:tc>
        <w:tc>
          <w:tcPr>
            <w:tcW w:w="760" w:type="dxa"/>
            <w:tcBorders>
              <w:top w:val="single" w:sz="4" w:space="0" w:color="ADD6EA"/>
              <w:left w:val="nil"/>
              <w:bottom w:val="single" w:sz="4" w:space="0" w:color="ADD6EA"/>
              <w:right w:val="nil"/>
            </w:tcBorders>
            <w:shd w:val="clear" w:color="000000" w:fill="B6D5E4"/>
            <w:noWrap/>
            <w:vAlign w:val="center"/>
            <w:hideMark/>
          </w:tcPr>
          <w:p w14:paraId="3BA9057E"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5E447A41"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0412F465"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663685EE"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54BCE0FD"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'000</w:t>
            </w:r>
          </w:p>
        </w:tc>
        <w:tc>
          <w:tcPr>
            <w:tcW w:w="720" w:type="dxa"/>
            <w:tcBorders>
              <w:top w:val="single" w:sz="4" w:space="0" w:color="ADD6EA"/>
              <w:left w:val="nil"/>
              <w:bottom w:val="single" w:sz="4" w:space="0" w:color="ADD6EA"/>
              <w:right w:val="nil"/>
            </w:tcBorders>
            <w:shd w:val="clear" w:color="000000" w:fill="B6D5E4"/>
            <w:noWrap/>
            <w:vAlign w:val="center"/>
            <w:hideMark/>
          </w:tcPr>
          <w:p w14:paraId="6D102878"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'000</w:t>
            </w:r>
          </w:p>
        </w:tc>
        <w:tc>
          <w:tcPr>
            <w:tcW w:w="720" w:type="dxa"/>
            <w:tcBorders>
              <w:top w:val="single" w:sz="4" w:space="0" w:color="ADD6EA"/>
              <w:left w:val="nil"/>
              <w:bottom w:val="single" w:sz="4" w:space="0" w:color="ADD6EA"/>
              <w:right w:val="nil"/>
            </w:tcBorders>
            <w:shd w:val="clear" w:color="000000" w:fill="B6D5E4"/>
            <w:noWrap/>
            <w:vAlign w:val="center"/>
            <w:hideMark/>
          </w:tcPr>
          <w:p w14:paraId="1FED6647"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'000</w:t>
            </w:r>
          </w:p>
        </w:tc>
        <w:tc>
          <w:tcPr>
            <w:tcW w:w="720" w:type="dxa"/>
            <w:tcBorders>
              <w:top w:val="single" w:sz="4" w:space="0" w:color="ADD6EA"/>
              <w:left w:val="nil"/>
              <w:bottom w:val="single" w:sz="4" w:space="0" w:color="ADD6EA"/>
              <w:right w:val="nil"/>
            </w:tcBorders>
            <w:shd w:val="clear" w:color="000000" w:fill="B6D5E4"/>
            <w:noWrap/>
            <w:vAlign w:val="center"/>
            <w:hideMark/>
          </w:tcPr>
          <w:p w14:paraId="71796DCF"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5A768AFE"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'000</w:t>
            </w:r>
          </w:p>
        </w:tc>
      </w:tr>
      <w:tr w:rsidR="00DE37C1" w:rsidRPr="001D00DE" w14:paraId="7B499F1A"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1084D511" w14:textId="77777777" w:rsidR="00DE37C1" w:rsidRPr="001D00DE" w:rsidRDefault="00DE37C1" w:rsidP="004D65FE">
            <w:pPr>
              <w:keepNext/>
              <w:tabs>
                <w:tab w:val="clear" w:pos="567"/>
              </w:tabs>
              <w:spacing w:before="0" w:line="240" w:lineRule="auto"/>
              <w:rPr>
                <w:rFonts w:eastAsia="Times New Roman" w:cs="Open Sans Light"/>
                <w:color w:val="000000"/>
                <w:sz w:val="16"/>
                <w:szCs w:val="16"/>
                <w:lang w:eastAsia="en-AU"/>
              </w:rPr>
            </w:pPr>
            <w:r w:rsidRPr="001D00DE">
              <w:rPr>
                <w:rFonts w:eastAsia="Times New Roman" w:cs="Open Sans Light"/>
                <w:color w:val="000000"/>
                <w:sz w:val="16"/>
                <w:szCs w:val="16"/>
                <w:lang w:eastAsia="en-AU"/>
              </w:rPr>
              <w:t>Major cities</w:t>
            </w:r>
          </w:p>
        </w:tc>
        <w:tc>
          <w:tcPr>
            <w:tcW w:w="760" w:type="dxa"/>
            <w:tcBorders>
              <w:top w:val="nil"/>
              <w:left w:val="nil"/>
              <w:bottom w:val="single" w:sz="4" w:space="0" w:color="ADD6EA"/>
              <w:right w:val="nil"/>
            </w:tcBorders>
            <w:shd w:val="clear" w:color="000000" w:fill="FFFFFF"/>
            <w:vAlign w:val="bottom"/>
            <w:hideMark/>
          </w:tcPr>
          <w:p w14:paraId="52EEA718"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6,061</w:t>
            </w:r>
          </w:p>
        </w:tc>
        <w:tc>
          <w:tcPr>
            <w:tcW w:w="760" w:type="dxa"/>
            <w:tcBorders>
              <w:top w:val="nil"/>
              <w:left w:val="nil"/>
              <w:bottom w:val="single" w:sz="4" w:space="0" w:color="ADD6EA"/>
              <w:right w:val="nil"/>
            </w:tcBorders>
            <w:shd w:val="clear" w:color="000000" w:fill="FFFFFF"/>
            <w:vAlign w:val="bottom"/>
            <w:hideMark/>
          </w:tcPr>
          <w:p w14:paraId="288D2D38"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5,089</w:t>
            </w:r>
          </w:p>
        </w:tc>
        <w:tc>
          <w:tcPr>
            <w:tcW w:w="760" w:type="dxa"/>
            <w:tcBorders>
              <w:top w:val="nil"/>
              <w:left w:val="nil"/>
              <w:bottom w:val="single" w:sz="4" w:space="0" w:color="ADD6EA"/>
              <w:right w:val="nil"/>
            </w:tcBorders>
            <w:shd w:val="clear" w:color="000000" w:fill="FFFFFF"/>
            <w:vAlign w:val="bottom"/>
            <w:hideMark/>
          </w:tcPr>
          <w:p w14:paraId="4B0C8D97"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3,239</w:t>
            </w:r>
          </w:p>
        </w:tc>
        <w:tc>
          <w:tcPr>
            <w:tcW w:w="760" w:type="dxa"/>
            <w:tcBorders>
              <w:top w:val="nil"/>
              <w:left w:val="nil"/>
              <w:bottom w:val="single" w:sz="4" w:space="0" w:color="ADD6EA"/>
              <w:right w:val="nil"/>
            </w:tcBorders>
            <w:shd w:val="clear" w:color="000000" w:fill="FFFFFF"/>
            <w:vAlign w:val="bottom"/>
            <w:hideMark/>
          </w:tcPr>
          <w:p w14:paraId="3BA0C84D"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2,039</w:t>
            </w:r>
          </w:p>
        </w:tc>
        <w:tc>
          <w:tcPr>
            <w:tcW w:w="760" w:type="dxa"/>
            <w:tcBorders>
              <w:top w:val="nil"/>
              <w:left w:val="nil"/>
              <w:bottom w:val="single" w:sz="4" w:space="0" w:color="ADD6EA"/>
              <w:right w:val="nil"/>
            </w:tcBorders>
            <w:shd w:val="clear" w:color="000000" w:fill="FFFFFF"/>
            <w:vAlign w:val="bottom"/>
            <w:hideMark/>
          </w:tcPr>
          <w:p w14:paraId="223101C6"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1,282</w:t>
            </w:r>
          </w:p>
        </w:tc>
        <w:tc>
          <w:tcPr>
            <w:tcW w:w="720" w:type="dxa"/>
            <w:tcBorders>
              <w:top w:val="nil"/>
              <w:left w:val="nil"/>
              <w:bottom w:val="single" w:sz="4" w:space="0" w:color="ADD6EA"/>
              <w:right w:val="nil"/>
            </w:tcBorders>
            <w:shd w:val="clear" w:color="000000" w:fill="FFFFFF"/>
            <w:vAlign w:val="bottom"/>
            <w:hideMark/>
          </w:tcPr>
          <w:p w14:paraId="4D1DCD90"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0B63F5D7"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423</w:t>
            </w:r>
          </w:p>
        </w:tc>
        <w:tc>
          <w:tcPr>
            <w:tcW w:w="720" w:type="dxa"/>
            <w:tcBorders>
              <w:top w:val="nil"/>
              <w:left w:val="nil"/>
              <w:bottom w:val="single" w:sz="4" w:space="0" w:color="ADD6EA"/>
              <w:right w:val="nil"/>
            </w:tcBorders>
            <w:shd w:val="clear" w:color="000000" w:fill="FFFFFF"/>
            <w:vAlign w:val="bottom"/>
            <w:hideMark/>
          </w:tcPr>
          <w:p w14:paraId="14DAFB7F"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2FEEE811"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18,134</w:t>
            </w:r>
          </w:p>
        </w:tc>
      </w:tr>
      <w:tr w:rsidR="00DE37C1" w:rsidRPr="001D00DE" w14:paraId="3892DC58"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52699ADC" w14:textId="77777777" w:rsidR="00DE37C1" w:rsidRPr="001D00DE" w:rsidRDefault="00DE37C1" w:rsidP="004D65FE">
            <w:pPr>
              <w:keepNext/>
              <w:tabs>
                <w:tab w:val="clear" w:pos="567"/>
              </w:tabs>
              <w:spacing w:before="0" w:line="240" w:lineRule="auto"/>
              <w:rPr>
                <w:rFonts w:eastAsia="Times New Roman" w:cs="Open Sans Light"/>
                <w:color w:val="000000"/>
                <w:sz w:val="16"/>
                <w:szCs w:val="16"/>
                <w:lang w:eastAsia="en-AU"/>
              </w:rPr>
            </w:pPr>
            <w:r w:rsidRPr="001D00DE">
              <w:rPr>
                <w:rFonts w:eastAsia="Times New Roman" w:cs="Open Sans Light"/>
                <w:color w:val="000000"/>
                <w:sz w:val="16"/>
                <w:szCs w:val="16"/>
                <w:lang w:eastAsia="en-AU"/>
              </w:rPr>
              <w:t>Inner regional</w:t>
            </w:r>
          </w:p>
        </w:tc>
        <w:tc>
          <w:tcPr>
            <w:tcW w:w="760" w:type="dxa"/>
            <w:tcBorders>
              <w:top w:val="nil"/>
              <w:left w:val="nil"/>
              <w:bottom w:val="single" w:sz="4" w:space="0" w:color="ADD6EA"/>
              <w:right w:val="nil"/>
            </w:tcBorders>
            <w:shd w:val="clear" w:color="000000" w:fill="FFFFFF"/>
            <w:vAlign w:val="bottom"/>
            <w:hideMark/>
          </w:tcPr>
          <w:p w14:paraId="3866D1D9"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1,494</w:t>
            </w:r>
          </w:p>
        </w:tc>
        <w:tc>
          <w:tcPr>
            <w:tcW w:w="760" w:type="dxa"/>
            <w:tcBorders>
              <w:top w:val="nil"/>
              <w:left w:val="nil"/>
              <w:bottom w:val="single" w:sz="4" w:space="0" w:color="ADD6EA"/>
              <w:right w:val="nil"/>
            </w:tcBorders>
            <w:shd w:val="clear" w:color="000000" w:fill="FFFFFF"/>
            <w:vAlign w:val="bottom"/>
            <w:hideMark/>
          </w:tcPr>
          <w:p w14:paraId="5B8D4932"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1,184</w:t>
            </w:r>
          </w:p>
        </w:tc>
        <w:tc>
          <w:tcPr>
            <w:tcW w:w="760" w:type="dxa"/>
            <w:tcBorders>
              <w:top w:val="nil"/>
              <w:left w:val="nil"/>
              <w:bottom w:val="single" w:sz="4" w:space="0" w:color="ADD6EA"/>
              <w:right w:val="nil"/>
            </w:tcBorders>
            <w:shd w:val="clear" w:color="000000" w:fill="FFFFFF"/>
            <w:vAlign w:val="bottom"/>
            <w:hideMark/>
          </w:tcPr>
          <w:p w14:paraId="563DFB6C"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988</w:t>
            </w:r>
          </w:p>
        </w:tc>
        <w:tc>
          <w:tcPr>
            <w:tcW w:w="760" w:type="dxa"/>
            <w:tcBorders>
              <w:top w:val="nil"/>
              <w:left w:val="nil"/>
              <w:bottom w:val="single" w:sz="4" w:space="0" w:color="ADD6EA"/>
              <w:right w:val="nil"/>
            </w:tcBorders>
            <w:shd w:val="clear" w:color="000000" w:fill="FFFFFF"/>
            <w:vAlign w:val="bottom"/>
            <w:hideMark/>
          </w:tcPr>
          <w:p w14:paraId="22E34C88"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226</w:t>
            </w:r>
          </w:p>
        </w:tc>
        <w:tc>
          <w:tcPr>
            <w:tcW w:w="760" w:type="dxa"/>
            <w:tcBorders>
              <w:top w:val="nil"/>
              <w:left w:val="nil"/>
              <w:bottom w:val="single" w:sz="4" w:space="0" w:color="ADD6EA"/>
              <w:right w:val="nil"/>
            </w:tcBorders>
            <w:shd w:val="clear" w:color="000000" w:fill="FFFFFF"/>
            <w:vAlign w:val="bottom"/>
            <w:hideMark/>
          </w:tcPr>
          <w:p w14:paraId="04FBBF46"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225</w:t>
            </w:r>
          </w:p>
        </w:tc>
        <w:tc>
          <w:tcPr>
            <w:tcW w:w="720" w:type="dxa"/>
            <w:tcBorders>
              <w:top w:val="nil"/>
              <w:left w:val="nil"/>
              <w:bottom w:val="single" w:sz="4" w:space="0" w:color="ADD6EA"/>
              <w:right w:val="nil"/>
            </w:tcBorders>
            <w:shd w:val="clear" w:color="000000" w:fill="FFFFFF"/>
            <w:vAlign w:val="bottom"/>
            <w:hideMark/>
          </w:tcPr>
          <w:p w14:paraId="48E586F1"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361</w:t>
            </w:r>
          </w:p>
        </w:tc>
        <w:tc>
          <w:tcPr>
            <w:tcW w:w="720" w:type="dxa"/>
            <w:tcBorders>
              <w:top w:val="nil"/>
              <w:left w:val="nil"/>
              <w:bottom w:val="single" w:sz="4" w:space="0" w:color="ADD6EA"/>
              <w:right w:val="nil"/>
            </w:tcBorders>
            <w:shd w:val="clear" w:color="000000" w:fill="FFFFFF"/>
            <w:vAlign w:val="bottom"/>
            <w:hideMark/>
          </w:tcPr>
          <w:p w14:paraId="2876B354"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w:t>
            </w:r>
          </w:p>
        </w:tc>
        <w:tc>
          <w:tcPr>
            <w:tcW w:w="720" w:type="dxa"/>
            <w:tcBorders>
              <w:top w:val="nil"/>
              <w:left w:val="nil"/>
              <w:bottom w:val="single" w:sz="4" w:space="0" w:color="ADD6EA"/>
              <w:right w:val="nil"/>
            </w:tcBorders>
            <w:shd w:val="clear" w:color="000000" w:fill="FFFFFF"/>
            <w:vAlign w:val="bottom"/>
            <w:hideMark/>
          </w:tcPr>
          <w:p w14:paraId="6CCA66F1"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2BDC2C0E"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4,478</w:t>
            </w:r>
          </w:p>
        </w:tc>
      </w:tr>
      <w:tr w:rsidR="00DE37C1" w:rsidRPr="001D00DE" w14:paraId="0A902FB7"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751BEBD7" w14:textId="77777777" w:rsidR="00DE37C1" w:rsidRPr="001D00DE" w:rsidRDefault="00DE37C1" w:rsidP="004D65FE">
            <w:pPr>
              <w:keepNext/>
              <w:tabs>
                <w:tab w:val="clear" w:pos="567"/>
              </w:tabs>
              <w:spacing w:before="0" w:line="240" w:lineRule="auto"/>
              <w:rPr>
                <w:rFonts w:eastAsia="Times New Roman" w:cs="Open Sans Light"/>
                <w:color w:val="000000"/>
                <w:sz w:val="16"/>
                <w:szCs w:val="16"/>
                <w:lang w:eastAsia="en-AU"/>
              </w:rPr>
            </w:pPr>
            <w:r w:rsidRPr="001D00DE">
              <w:rPr>
                <w:rFonts w:eastAsia="Times New Roman" w:cs="Open Sans Light"/>
                <w:color w:val="000000"/>
                <w:sz w:val="16"/>
                <w:szCs w:val="16"/>
                <w:lang w:eastAsia="en-AU"/>
              </w:rPr>
              <w:t>Outer regional</w:t>
            </w:r>
          </w:p>
        </w:tc>
        <w:tc>
          <w:tcPr>
            <w:tcW w:w="760" w:type="dxa"/>
            <w:tcBorders>
              <w:top w:val="nil"/>
              <w:left w:val="nil"/>
              <w:bottom w:val="single" w:sz="4" w:space="0" w:color="ADD6EA"/>
              <w:right w:val="nil"/>
            </w:tcBorders>
            <w:shd w:val="clear" w:color="000000" w:fill="FFFFFF"/>
            <w:vAlign w:val="bottom"/>
            <w:hideMark/>
          </w:tcPr>
          <w:p w14:paraId="4B338912"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447</w:t>
            </w:r>
          </w:p>
        </w:tc>
        <w:tc>
          <w:tcPr>
            <w:tcW w:w="760" w:type="dxa"/>
            <w:tcBorders>
              <w:top w:val="nil"/>
              <w:left w:val="nil"/>
              <w:bottom w:val="single" w:sz="4" w:space="0" w:color="ADD6EA"/>
              <w:right w:val="nil"/>
            </w:tcBorders>
            <w:shd w:val="clear" w:color="000000" w:fill="FFFFFF"/>
            <w:vAlign w:val="bottom"/>
            <w:hideMark/>
          </w:tcPr>
          <w:p w14:paraId="131E5C05"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251</w:t>
            </w:r>
          </w:p>
        </w:tc>
        <w:tc>
          <w:tcPr>
            <w:tcW w:w="760" w:type="dxa"/>
            <w:tcBorders>
              <w:top w:val="nil"/>
              <w:left w:val="nil"/>
              <w:bottom w:val="single" w:sz="4" w:space="0" w:color="ADD6EA"/>
              <w:right w:val="nil"/>
            </w:tcBorders>
            <w:shd w:val="clear" w:color="000000" w:fill="FFFFFF"/>
            <w:vAlign w:val="bottom"/>
            <w:hideMark/>
          </w:tcPr>
          <w:p w14:paraId="0EBCF58D"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696</w:t>
            </w:r>
          </w:p>
        </w:tc>
        <w:tc>
          <w:tcPr>
            <w:tcW w:w="760" w:type="dxa"/>
            <w:tcBorders>
              <w:top w:val="nil"/>
              <w:left w:val="nil"/>
              <w:bottom w:val="single" w:sz="4" w:space="0" w:color="ADD6EA"/>
              <w:right w:val="nil"/>
            </w:tcBorders>
            <w:shd w:val="clear" w:color="000000" w:fill="FFFFFF"/>
            <w:vAlign w:val="bottom"/>
            <w:hideMark/>
          </w:tcPr>
          <w:p w14:paraId="0224CB83"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185</w:t>
            </w:r>
          </w:p>
        </w:tc>
        <w:tc>
          <w:tcPr>
            <w:tcW w:w="760" w:type="dxa"/>
            <w:tcBorders>
              <w:top w:val="nil"/>
              <w:left w:val="nil"/>
              <w:bottom w:val="single" w:sz="4" w:space="0" w:color="ADD6EA"/>
              <w:right w:val="nil"/>
            </w:tcBorders>
            <w:shd w:val="clear" w:color="000000" w:fill="FFFFFF"/>
            <w:vAlign w:val="bottom"/>
            <w:hideMark/>
          </w:tcPr>
          <w:p w14:paraId="58A01749"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177</w:t>
            </w:r>
          </w:p>
        </w:tc>
        <w:tc>
          <w:tcPr>
            <w:tcW w:w="720" w:type="dxa"/>
            <w:tcBorders>
              <w:top w:val="nil"/>
              <w:left w:val="nil"/>
              <w:bottom w:val="single" w:sz="4" w:space="0" w:color="ADD6EA"/>
              <w:right w:val="nil"/>
            </w:tcBorders>
            <w:shd w:val="clear" w:color="000000" w:fill="FFFFFF"/>
            <w:vAlign w:val="bottom"/>
            <w:hideMark/>
          </w:tcPr>
          <w:p w14:paraId="10AA3C4B"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160</w:t>
            </w:r>
          </w:p>
        </w:tc>
        <w:tc>
          <w:tcPr>
            <w:tcW w:w="720" w:type="dxa"/>
            <w:tcBorders>
              <w:top w:val="nil"/>
              <w:left w:val="nil"/>
              <w:bottom w:val="single" w:sz="4" w:space="0" w:color="ADD6EA"/>
              <w:right w:val="nil"/>
            </w:tcBorders>
            <w:shd w:val="clear" w:color="000000" w:fill="FFFFFF"/>
            <w:vAlign w:val="bottom"/>
            <w:hideMark/>
          </w:tcPr>
          <w:p w14:paraId="6DD7BB85"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0841D8F4"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147</w:t>
            </w:r>
          </w:p>
        </w:tc>
        <w:tc>
          <w:tcPr>
            <w:tcW w:w="760" w:type="dxa"/>
            <w:tcBorders>
              <w:top w:val="nil"/>
              <w:left w:val="nil"/>
              <w:bottom w:val="single" w:sz="4" w:space="0" w:color="ADD6EA"/>
              <w:right w:val="nil"/>
            </w:tcBorders>
            <w:shd w:val="clear" w:color="000000" w:fill="FFFFFF"/>
            <w:vAlign w:val="bottom"/>
            <w:hideMark/>
          </w:tcPr>
          <w:p w14:paraId="612CB106"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2,065</w:t>
            </w:r>
          </w:p>
        </w:tc>
      </w:tr>
      <w:tr w:rsidR="00DE37C1" w:rsidRPr="001D00DE" w14:paraId="0FEAA99E"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58832E9C" w14:textId="77777777" w:rsidR="00DE37C1" w:rsidRPr="001D00DE" w:rsidRDefault="00DE37C1" w:rsidP="004D65FE">
            <w:pPr>
              <w:keepNext/>
              <w:tabs>
                <w:tab w:val="clear" w:pos="567"/>
              </w:tabs>
              <w:spacing w:before="0" w:line="240" w:lineRule="auto"/>
              <w:rPr>
                <w:rFonts w:eastAsia="Times New Roman" w:cs="Open Sans Light"/>
                <w:color w:val="000000"/>
                <w:sz w:val="16"/>
                <w:szCs w:val="16"/>
                <w:lang w:eastAsia="en-AU"/>
              </w:rPr>
            </w:pPr>
            <w:r w:rsidRPr="001D00DE">
              <w:rPr>
                <w:rFonts w:eastAsia="Times New Roman" w:cs="Open Sans Light"/>
                <w:color w:val="000000"/>
                <w:sz w:val="16"/>
                <w:szCs w:val="16"/>
                <w:lang w:eastAsia="en-AU"/>
              </w:rPr>
              <w:t>Remote</w:t>
            </w:r>
          </w:p>
        </w:tc>
        <w:tc>
          <w:tcPr>
            <w:tcW w:w="760" w:type="dxa"/>
            <w:tcBorders>
              <w:top w:val="nil"/>
              <w:left w:val="nil"/>
              <w:bottom w:val="single" w:sz="4" w:space="0" w:color="ADD6EA"/>
              <w:right w:val="nil"/>
            </w:tcBorders>
            <w:shd w:val="clear" w:color="000000" w:fill="FFFFFF"/>
            <w:vAlign w:val="bottom"/>
            <w:hideMark/>
          </w:tcPr>
          <w:p w14:paraId="3B9FFA2D"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30</w:t>
            </w:r>
          </w:p>
        </w:tc>
        <w:tc>
          <w:tcPr>
            <w:tcW w:w="760" w:type="dxa"/>
            <w:tcBorders>
              <w:top w:val="nil"/>
              <w:left w:val="nil"/>
              <w:bottom w:val="single" w:sz="4" w:space="0" w:color="ADD6EA"/>
              <w:right w:val="nil"/>
            </w:tcBorders>
            <w:shd w:val="clear" w:color="000000" w:fill="FFFFFF"/>
            <w:vAlign w:val="bottom"/>
            <w:hideMark/>
          </w:tcPr>
          <w:p w14:paraId="034D7295"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3</w:t>
            </w:r>
          </w:p>
        </w:tc>
        <w:tc>
          <w:tcPr>
            <w:tcW w:w="760" w:type="dxa"/>
            <w:tcBorders>
              <w:top w:val="nil"/>
              <w:left w:val="nil"/>
              <w:bottom w:val="single" w:sz="4" w:space="0" w:color="ADD6EA"/>
              <w:right w:val="nil"/>
            </w:tcBorders>
            <w:shd w:val="clear" w:color="000000" w:fill="FFFFFF"/>
            <w:vAlign w:val="bottom"/>
            <w:hideMark/>
          </w:tcPr>
          <w:p w14:paraId="4D3176A0"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73</w:t>
            </w:r>
          </w:p>
        </w:tc>
        <w:tc>
          <w:tcPr>
            <w:tcW w:w="760" w:type="dxa"/>
            <w:tcBorders>
              <w:top w:val="nil"/>
              <w:left w:val="nil"/>
              <w:bottom w:val="single" w:sz="4" w:space="0" w:color="ADD6EA"/>
              <w:right w:val="nil"/>
            </w:tcBorders>
            <w:shd w:val="clear" w:color="000000" w:fill="FFFFFF"/>
            <w:vAlign w:val="bottom"/>
            <w:hideMark/>
          </w:tcPr>
          <w:p w14:paraId="7DA0B051"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86</w:t>
            </w:r>
          </w:p>
        </w:tc>
        <w:tc>
          <w:tcPr>
            <w:tcW w:w="760" w:type="dxa"/>
            <w:tcBorders>
              <w:top w:val="nil"/>
              <w:left w:val="nil"/>
              <w:bottom w:val="single" w:sz="4" w:space="0" w:color="ADD6EA"/>
              <w:right w:val="nil"/>
            </w:tcBorders>
            <w:shd w:val="clear" w:color="000000" w:fill="FFFFFF"/>
            <w:vAlign w:val="bottom"/>
            <w:hideMark/>
          </w:tcPr>
          <w:p w14:paraId="1898FC41"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45</w:t>
            </w:r>
          </w:p>
        </w:tc>
        <w:tc>
          <w:tcPr>
            <w:tcW w:w="720" w:type="dxa"/>
            <w:tcBorders>
              <w:top w:val="nil"/>
              <w:left w:val="nil"/>
              <w:bottom w:val="single" w:sz="4" w:space="0" w:color="ADD6EA"/>
              <w:right w:val="nil"/>
            </w:tcBorders>
            <w:shd w:val="clear" w:color="000000" w:fill="FFFFFF"/>
            <w:vAlign w:val="bottom"/>
            <w:hideMark/>
          </w:tcPr>
          <w:p w14:paraId="40120196"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8</w:t>
            </w:r>
          </w:p>
        </w:tc>
        <w:tc>
          <w:tcPr>
            <w:tcW w:w="720" w:type="dxa"/>
            <w:tcBorders>
              <w:top w:val="nil"/>
              <w:left w:val="nil"/>
              <w:bottom w:val="single" w:sz="4" w:space="0" w:color="ADD6EA"/>
              <w:right w:val="nil"/>
            </w:tcBorders>
            <w:shd w:val="clear" w:color="000000" w:fill="FFFFFF"/>
            <w:vAlign w:val="bottom"/>
            <w:hideMark/>
          </w:tcPr>
          <w:p w14:paraId="0DD3A545"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0B781060"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48</w:t>
            </w:r>
          </w:p>
        </w:tc>
        <w:tc>
          <w:tcPr>
            <w:tcW w:w="760" w:type="dxa"/>
            <w:tcBorders>
              <w:top w:val="nil"/>
              <w:left w:val="nil"/>
              <w:bottom w:val="single" w:sz="4" w:space="0" w:color="ADD6EA"/>
              <w:right w:val="nil"/>
            </w:tcBorders>
            <w:shd w:val="clear" w:color="000000" w:fill="FFFFFF"/>
            <w:vAlign w:val="bottom"/>
            <w:hideMark/>
          </w:tcPr>
          <w:p w14:paraId="1818F138"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292</w:t>
            </w:r>
          </w:p>
        </w:tc>
      </w:tr>
      <w:tr w:rsidR="00DE37C1" w:rsidRPr="001D00DE" w14:paraId="04D0302A"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3879D5AF" w14:textId="77777777" w:rsidR="00DE37C1" w:rsidRPr="001D00DE" w:rsidRDefault="00DE37C1" w:rsidP="004D65FE">
            <w:pPr>
              <w:keepNext/>
              <w:tabs>
                <w:tab w:val="clear" w:pos="567"/>
              </w:tabs>
              <w:spacing w:before="0" w:line="240" w:lineRule="auto"/>
              <w:rPr>
                <w:rFonts w:eastAsia="Times New Roman" w:cs="Open Sans Light"/>
                <w:color w:val="000000"/>
                <w:sz w:val="16"/>
                <w:szCs w:val="16"/>
                <w:lang w:eastAsia="en-AU"/>
              </w:rPr>
            </w:pPr>
            <w:r w:rsidRPr="001D00DE">
              <w:rPr>
                <w:rFonts w:eastAsia="Times New Roman" w:cs="Open Sans Light"/>
                <w:color w:val="000000"/>
                <w:sz w:val="16"/>
                <w:szCs w:val="16"/>
                <w:lang w:eastAsia="en-AU"/>
              </w:rPr>
              <w:t>Very remote</w:t>
            </w:r>
          </w:p>
        </w:tc>
        <w:tc>
          <w:tcPr>
            <w:tcW w:w="760" w:type="dxa"/>
            <w:tcBorders>
              <w:top w:val="nil"/>
              <w:left w:val="nil"/>
              <w:bottom w:val="single" w:sz="4" w:space="0" w:color="ADD6EA"/>
              <w:right w:val="nil"/>
            </w:tcBorders>
            <w:shd w:val="clear" w:color="000000" w:fill="FFFFFF"/>
            <w:vAlign w:val="bottom"/>
            <w:hideMark/>
          </w:tcPr>
          <w:p w14:paraId="350778C3"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6</w:t>
            </w:r>
          </w:p>
        </w:tc>
        <w:tc>
          <w:tcPr>
            <w:tcW w:w="760" w:type="dxa"/>
            <w:tcBorders>
              <w:top w:val="nil"/>
              <w:left w:val="nil"/>
              <w:bottom w:val="single" w:sz="4" w:space="0" w:color="ADD6EA"/>
              <w:right w:val="nil"/>
            </w:tcBorders>
            <w:shd w:val="clear" w:color="000000" w:fill="FFFFFF"/>
            <w:vAlign w:val="bottom"/>
            <w:hideMark/>
          </w:tcPr>
          <w:p w14:paraId="7AB090AD"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62AB33C2"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55</w:t>
            </w:r>
          </w:p>
        </w:tc>
        <w:tc>
          <w:tcPr>
            <w:tcW w:w="760" w:type="dxa"/>
            <w:tcBorders>
              <w:top w:val="nil"/>
              <w:left w:val="nil"/>
              <w:bottom w:val="single" w:sz="4" w:space="0" w:color="ADD6EA"/>
              <w:right w:val="nil"/>
            </w:tcBorders>
            <w:shd w:val="clear" w:color="000000" w:fill="FFFFFF"/>
            <w:vAlign w:val="bottom"/>
            <w:hideMark/>
          </w:tcPr>
          <w:p w14:paraId="5CED7D81"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69</w:t>
            </w:r>
          </w:p>
        </w:tc>
        <w:tc>
          <w:tcPr>
            <w:tcW w:w="760" w:type="dxa"/>
            <w:tcBorders>
              <w:top w:val="nil"/>
              <w:left w:val="nil"/>
              <w:bottom w:val="single" w:sz="4" w:space="0" w:color="ADD6EA"/>
              <w:right w:val="nil"/>
            </w:tcBorders>
            <w:shd w:val="clear" w:color="000000" w:fill="FFFFFF"/>
            <w:vAlign w:val="bottom"/>
            <w:hideMark/>
          </w:tcPr>
          <w:p w14:paraId="1DF4AA83"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14</w:t>
            </w:r>
          </w:p>
        </w:tc>
        <w:tc>
          <w:tcPr>
            <w:tcW w:w="720" w:type="dxa"/>
            <w:tcBorders>
              <w:top w:val="nil"/>
              <w:left w:val="nil"/>
              <w:bottom w:val="single" w:sz="4" w:space="0" w:color="ADD6EA"/>
              <w:right w:val="nil"/>
            </w:tcBorders>
            <w:shd w:val="clear" w:color="000000" w:fill="FFFFFF"/>
            <w:vAlign w:val="bottom"/>
            <w:hideMark/>
          </w:tcPr>
          <w:p w14:paraId="4E3E259A"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3</w:t>
            </w:r>
          </w:p>
        </w:tc>
        <w:tc>
          <w:tcPr>
            <w:tcW w:w="720" w:type="dxa"/>
            <w:tcBorders>
              <w:top w:val="nil"/>
              <w:left w:val="nil"/>
              <w:bottom w:val="single" w:sz="4" w:space="0" w:color="ADD6EA"/>
              <w:right w:val="nil"/>
            </w:tcBorders>
            <w:shd w:val="clear" w:color="000000" w:fill="FFFFFF"/>
            <w:vAlign w:val="bottom"/>
            <w:hideMark/>
          </w:tcPr>
          <w:p w14:paraId="41355FC2"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w:t>
            </w:r>
          </w:p>
        </w:tc>
        <w:tc>
          <w:tcPr>
            <w:tcW w:w="720" w:type="dxa"/>
            <w:tcBorders>
              <w:top w:val="nil"/>
              <w:left w:val="nil"/>
              <w:bottom w:val="single" w:sz="4" w:space="0" w:color="ADD6EA"/>
              <w:right w:val="nil"/>
            </w:tcBorders>
            <w:shd w:val="clear" w:color="000000" w:fill="FFFFFF"/>
            <w:vAlign w:val="bottom"/>
            <w:hideMark/>
          </w:tcPr>
          <w:p w14:paraId="37A77503"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50</w:t>
            </w:r>
          </w:p>
        </w:tc>
        <w:tc>
          <w:tcPr>
            <w:tcW w:w="760" w:type="dxa"/>
            <w:tcBorders>
              <w:top w:val="nil"/>
              <w:left w:val="nil"/>
              <w:bottom w:val="single" w:sz="4" w:space="0" w:color="ADD6EA"/>
              <w:right w:val="nil"/>
            </w:tcBorders>
            <w:shd w:val="clear" w:color="000000" w:fill="FFFFFF"/>
            <w:vAlign w:val="bottom"/>
            <w:hideMark/>
          </w:tcPr>
          <w:p w14:paraId="2E40BE45"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197</w:t>
            </w:r>
          </w:p>
        </w:tc>
      </w:tr>
      <w:tr w:rsidR="00DE37C1" w:rsidRPr="001D00DE" w14:paraId="12DE8B43" w14:textId="77777777" w:rsidTr="00185104">
        <w:trPr>
          <w:trHeight w:val="315"/>
        </w:trPr>
        <w:tc>
          <w:tcPr>
            <w:tcW w:w="2260" w:type="dxa"/>
            <w:tcBorders>
              <w:top w:val="nil"/>
              <w:left w:val="nil"/>
              <w:bottom w:val="single" w:sz="4" w:space="0" w:color="ADD6EA"/>
              <w:right w:val="nil"/>
            </w:tcBorders>
            <w:shd w:val="clear" w:color="000000" w:fill="D6E7F0"/>
            <w:vAlign w:val="bottom"/>
            <w:hideMark/>
          </w:tcPr>
          <w:p w14:paraId="41D47F98" w14:textId="77777777" w:rsidR="00DE37C1" w:rsidRPr="001D00DE" w:rsidRDefault="00DE37C1" w:rsidP="004D65FE">
            <w:pPr>
              <w:keepNext/>
              <w:tabs>
                <w:tab w:val="clear" w:pos="567"/>
              </w:tabs>
              <w:spacing w:before="0" w:line="240" w:lineRule="auto"/>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102FB6E0"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8,038</w:t>
            </w:r>
          </w:p>
        </w:tc>
        <w:tc>
          <w:tcPr>
            <w:tcW w:w="760" w:type="dxa"/>
            <w:tcBorders>
              <w:top w:val="nil"/>
              <w:left w:val="nil"/>
              <w:bottom w:val="single" w:sz="4" w:space="0" w:color="ADD6EA"/>
              <w:right w:val="nil"/>
            </w:tcBorders>
            <w:shd w:val="clear" w:color="000000" w:fill="D6E7F0"/>
            <w:vAlign w:val="bottom"/>
            <w:hideMark/>
          </w:tcPr>
          <w:p w14:paraId="11875BE3"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6,527</w:t>
            </w:r>
          </w:p>
        </w:tc>
        <w:tc>
          <w:tcPr>
            <w:tcW w:w="760" w:type="dxa"/>
            <w:tcBorders>
              <w:top w:val="nil"/>
              <w:left w:val="nil"/>
              <w:bottom w:val="single" w:sz="4" w:space="0" w:color="ADD6EA"/>
              <w:right w:val="nil"/>
            </w:tcBorders>
            <w:shd w:val="clear" w:color="000000" w:fill="D6E7F0"/>
            <w:vAlign w:val="bottom"/>
            <w:hideMark/>
          </w:tcPr>
          <w:p w14:paraId="10DCC2E6"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5,051</w:t>
            </w:r>
          </w:p>
        </w:tc>
        <w:tc>
          <w:tcPr>
            <w:tcW w:w="760" w:type="dxa"/>
            <w:tcBorders>
              <w:top w:val="nil"/>
              <w:left w:val="nil"/>
              <w:bottom w:val="single" w:sz="4" w:space="0" w:color="ADD6EA"/>
              <w:right w:val="nil"/>
            </w:tcBorders>
            <w:shd w:val="clear" w:color="000000" w:fill="D6E7F0"/>
            <w:vAlign w:val="bottom"/>
            <w:hideMark/>
          </w:tcPr>
          <w:p w14:paraId="002DA436"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2,606</w:t>
            </w:r>
          </w:p>
        </w:tc>
        <w:tc>
          <w:tcPr>
            <w:tcW w:w="760" w:type="dxa"/>
            <w:tcBorders>
              <w:top w:val="nil"/>
              <w:left w:val="nil"/>
              <w:bottom w:val="single" w:sz="4" w:space="0" w:color="ADD6EA"/>
              <w:right w:val="nil"/>
            </w:tcBorders>
            <w:shd w:val="clear" w:color="000000" w:fill="D6E7F0"/>
            <w:vAlign w:val="bottom"/>
            <w:hideMark/>
          </w:tcPr>
          <w:p w14:paraId="720156FF"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1,743</w:t>
            </w:r>
          </w:p>
        </w:tc>
        <w:tc>
          <w:tcPr>
            <w:tcW w:w="720" w:type="dxa"/>
            <w:tcBorders>
              <w:top w:val="nil"/>
              <w:left w:val="nil"/>
              <w:bottom w:val="single" w:sz="4" w:space="0" w:color="ADD6EA"/>
              <w:right w:val="nil"/>
            </w:tcBorders>
            <w:shd w:val="clear" w:color="000000" w:fill="D6E7F0"/>
            <w:vAlign w:val="bottom"/>
            <w:hideMark/>
          </w:tcPr>
          <w:p w14:paraId="38737B5C"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532</w:t>
            </w:r>
          </w:p>
        </w:tc>
        <w:tc>
          <w:tcPr>
            <w:tcW w:w="720" w:type="dxa"/>
            <w:tcBorders>
              <w:top w:val="nil"/>
              <w:left w:val="nil"/>
              <w:bottom w:val="single" w:sz="4" w:space="0" w:color="ADD6EA"/>
              <w:right w:val="nil"/>
            </w:tcBorders>
            <w:shd w:val="clear" w:color="000000" w:fill="D6E7F0"/>
            <w:vAlign w:val="bottom"/>
            <w:hideMark/>
          </w:tcPr>
          <w:p w14:paraId="415050EA"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423</w:t>
            </w:r>
          </w:p>
        </w:tc>
        <w:tc>
          <w:tcPr>
            <w:tcW w:w="720" w:type="dxa"/>
            <w:tcBorders>
              <w:top w:val="nil"/>
              <w:left w:val="nil"/>
              <w:bottom w:val="single" w:sz="4" w:space="0" w:color="ADD6EA"/>
              <w:right w:val="nil"/>
            </w:tcBorders>
            <w:shd w:val="clear" w:color="000000" w:fill="D6E7F0"/>
            <w:vAlign w:val="bottom"/>
            <w:hideMark/>
          </w:tcPr>
          <w:p w14:paraId="413CE857"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246</w:t>
            </w:r>
          </w:p>
        </w:tc>
        <w:tc>
          <w:tcPr>
            <w:tcW w:w="760" w:type="dxa"/>
            <w:tcBorders>
              <w:top w:val="nil"/>
              <w:left w:val="nil"/>
              <w:bottom w:val="single" w:sz="4" w:space="0" w:color="ADD6EA"/>
              <w:right w:val="nil"/>
            </w:tcBorders>
            <w:shd w:val="clear" w:color="000000" w:fill="D6E7F0"/>
            <w:vAlign w:val="bottom"/>
            <w:hideMark/>
          </w:tcPr>
          <w:p w14:paraId="58AA2872"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25,166</w:t>
            </w:r>
          </w:p>
        </w:tc>
      </w:tr>
      <w:tr w:rsidR="00DE37C1" w:rsidRPr="001D00DE" w14:paraId="01506276" w14:textId="77777777" w:rsidTr="005F7F6C">
        <w:trPr>
          <w:trHeight w:val="259"/>
        </w:trPr>
        <w:tc>
          <w:tcPr>
            <w:tcW w:w="2260" w:type="dxa"/>
            <w:tcBorders>
              <w:top w:val="nil"/>
              <w:left w:val="nil"/>
              <w:bottom w:val="single" w:sz="4" w:space="0" w:color="ADD6EA"/>
              <w:right w:val="nil"/>
            </w:tcBorders>
            <w:shd w:val="clear" w:color="000000" w:fill="B6D5E4"/>
            <w:noWrap/>
            <w:vAlign w:val="center"/>
            <w:hideMark/>
          </w:tcPr>
          <w:p w14:paraId="7E9147C0"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 </w:t>
            </w:r>
          </w:p>
        </w:tc>
        <w:tc>
          <w:tcPr>
            <w:tcW w:w="760" w:type="dxa"/>
            <w:tcBorders>
              <w:top w:val="nil"/>
              <w:left w:val="nil"/>
              <w:bottom w:val="single" w:sz="4" w:space="0" w:color="ADD6EA"/>
              <w:right w:val="nil"/>
            </w:tcBorders>
            <w:shd w:val="clear" w:color="000000" w:fill="B6D5E4"/>
            <w:noWrap/>
            <w:vAlign w:val="center"/>
            <w:hideMark/>
          </w:tcPr>
          <w:p w14:paraId="267A9CB8"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48DAFE02"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144F714A"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46B9E033"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63DAE6D5"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w:t>
            </w:r>
          </w:p>
        </w:tc>
        <w:tc>
          <w:tcPr>
            <w:tcW w:w="720" w:type="dxa"/>
            <w:tcBorders>
              <w:top w:val="nil"/>
              <w:left w:val="nil"/>
              <w:bottom w:val="single" w:sz="4" w:space="0" w:color="ADD6EA"/>
              <w:right w:val="nil"/>
            </w:tcBorders>
            <w:shd w:val="clear" w:color="000000" w:fill="B6D5E4"/>
            <w:noWrap/>
            <w:vAlign w:val="center"/>
            <w:hideMark/>
          </w:tcPr>
          <w:p w14:paraId="5FD65F34"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w:t>
            </w:r>
          </w:p>
        </w:tc>
        <w:tc>
          <w:tcPr>
            <w:tcW w:w="720" w:type="dxa"/>
            <w:tcBorders>
              <w:top w:val="nil"/>
              <w:left w:val="nil"/>
              <w:bottom w:val="single" w:sz="4" w:space="0" w:color="ADD6EA"/>
              <w:right w:val="nil"/>
            </w:tcBorders>
            <w:shd w:val="clear" w:color="000000" w:fill="B6D5E4"/>
            <w:noWrap/>
            <w:vAlign w:val="center"/>
            <w:hideMark/>
          </w:tcPr>
          <w:p w14:paraId="3E0F4853"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w:t>
            </w:r>
          </w:p>
        </w:tc>
        <w:tc>
          <w:tcPr>
            <w:tcW w:w="720" w:type="dxa"/>
            <w:tcBorders>
              <w:top w:val="nil"/>
              <w:left w:val="nil"/>
              <w:bottom w:val="single" w:sz="4" w:space="0" w:color="ADD6EA"/>
              <w:right w:val="nil"/>
            </w:tcBorders>
            <w:shd w:val="clear" w:color="000000" w:fill="B6D5E4"/>
            <w:noWrap/>
            <w:vAlign w:val="center"/>
            <w:hideMark/>
          </w:tcPr>
          <w:p w14:paraId="6B566A59"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6D3ABC22" w14:textId="77777777" w:rsidR="00DE37C1" w:rsidRPr="001D00DE"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w:t>
            </w:r>
          </w:p>
        </w:tc>
      </w:tr>
      <w:tr w:rsidR="00DE37C1" w:rsidRPr="001D00DE" w14:paraId="74798E5F"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03DDF0F5" w14:textId="77777777" w:rsidR="00DE37C1" w:rsidRPr="001D00DE" w:rsidRDefault="00DE37C1" w:rsidP="004D65FE">
            <w:pPr>
              <w:keepNext/>
              <w:tabs>
                <w:tab w:val="clear" w:pos="567"/>
              </w:tabs>
              <w:spacing w:before="0" w:line="240" w:lineRule="auto"/>
              <w:rPr>
                <w:rFonts w:eastAsia="Times New Roman" w:cs="Open Sans Light"/>
                <w:color w:val="000000"/>
                <w:sz w:val="16"/>
                <w:szCs w:val="16"/>
                <w:lang w:eastAsia="en-AU"/>
              </w:rPr>
            </w:pPr>
            <w:r w:rsidRPr="001D00DE">
              <w:rPr>
                <w:rFonts w:eastAsia="Times New Roman" w:cs="Open Sans Light"/>
                <w:color w:val="000000"/>
                <w:sz w:val="16"/>
                <w:szCs w:val="16"/>
                <w:lang w:eastAsia="en-AU"/>
              </w:rPr>
              <w:t>Major cities</w:t>
            </w:r>
          </w:p>
        </w:tc>
        <w:tc>
          <w:tcPr>
            <w:tcW w:w="760" w:type="dxa"/>
            <w:tcBorders>
              <w:top w:val="nil"/>
              <w:left w:val="nil"/>
              <w:bottom w:val="single" w:sz="4" w:space="0" w:color="ADD6EA"/>
              <w:right w:val="nil"/>
            </w:tcBorders>
            <w:shd w:val="clear" w:color="000000" w:fill="FFFFFF"/>
            <w:vAlign w:val="bottom"/>
            <w:hideMark/>
          </w:tcPr>
          <w:p w14:paraId="7471A14C"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33.4</w:t>
            </w:r>
          </w:p>
        </w:tc>
        <w:tc>
          <w:tcPr>
            <w:tcW w:w="760" w:type="dxa"/>
            <w:tcBorders>
              <w:top w:val="nil"/>
              <w:left w:val="nil"/>
              <w:bottom w:val="single" w:sz="4" w:space="0" w:color="ADD6EA"/>
              <w:right w:val="nil"/>
            </w:tcBorders>
            <w:shd w:val="clear" w:color="000000" w:fill="FFFFFF"/>
            <w:vAlign w:val="bottom"/>
            <w:hideMark/>
          </w:tcPr>
          <w:p w14:paraId="4645D215"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28.1</w:t>
            </w:r>
          </w:p>
        </w:tc>
        <w:tc>
          <w:tcPr>
            <w:tcW w:w="760" w:type="dxa"/>
            <w:tcBorders>
              <w:top w:val="nil"/>
              <w:left w:val="nil"/>
              <w:bottom w:val="single" w:sz="4" w:space="0" w:color="ADD6EA"/>
              <w:right w:val="nil"/>
            </w:tcBorders>
            <w:shd w:val="clear" w:color="000000" w:fill="FFFFFF"/>
            <w:vAlign w:val="bottom"/>
            <w:hideMark/>
          </w:tcPr>
          <w:p w14:paraId="7F9958C0"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17.9</w:t>
            </w:r>
          </w:p>
        </w:tc>
        <w:tc>
          <w:tcPr>
            <w:tcW w:w="760" w:type="dxa"/>
            <w:tcBorders>
              <w:top w:val="nil"/>
              <w:left w:val="nil"/>
              <w:bottom w:val="single" w:sz="4" w:space="0" w:color="ADD6EA"/>
              <w:right w:val="nil"/>
            </w:tcBorders>
            <w:shd w:val="clear" w:color="000000" w:fill="FFFFFF"/>
            <w:vAlign w:val="bottom"/>
            <w:hideMark/>
          </w:tcPr>
          <w:p w14:paraId="38EEB7E2"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11.2</w:t>
            </w:r>
          </w:p>
        </w:tc>
        <w:tc>
          <w:tcPr>
            <w:tcW w:w="760" w:type="dxa"/>
            <w:tcBorders>
              <w:top w:val="nil"/>
              <w:left w:val="nil"/>
              <w:bottom w:val="single" w:sz="4" w:space="0" w:color="ADD6EA"/>
              <w:right w:val="nil"/>
            </w:tcBorders>
            <w:shd w:val="clear" w:color="000000" w:fill="FFFFFF"/>
            <w:vAlign w:val="bottom"/>
            <w:hideMark/>
          </w:tcPr>
          <w:p w14:paraId="391135F0"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7.1</w:t>
            </w:r>
          </w:p>
        </w:tc>
        <w:tc>
          <w:tcPr>
            <w:tcW w:w="720" w:type="dxa"/>
            <w:tcBorders>
              <w:top w:val="nil"/>
              <w:left w:val="nil"/>
              <w:bottom w:val="single" w:sz="4" w:space="0" w:color="ADD6EA"/>
              <w:right w:val="nil"/>
            </w:tcBorders>
            <w:shd w:val="clear" w:color="000000" w:fill="FFFFFF"/>
            <w:vAlign w:val="bottom"/>
            <w:hideMark/>
          </w:tcPr>
          <w:p w14:paraId="644F140C"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0.0</w:t>
            </w:r>
          </w:p>
        </w:tc>
        <w:tc>
          <w:tcPr>
            <w:tcW w:w="720" w:type="dxa"/>
            <w:tcBorders>
              <w:top w:val="nil"/>
              <w:left w:val="nil"/>
              <w:bottom w:val="single" w:sz="4" w:space="0" w:color="ADD6EA"/>
              <w:right w:val="nil"/>
            </w:tcBorders>
            <w:shd w:val="clear" w:color="000000" w:fill="FFFFFF"/>
            <w:vAlign w:val="bottom"/>
            <w:hideMark/>
          </w:tcPr>
          <w:p w14:paraId="48C104B9"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2.3</w:t>
            </w:r>
          </w:p>
        </w:tc>
        <w:tc>
          <w:tcPr>
            <w:tcW w:w="720" w:type="dxa"/>
            <w:tcBorders>
              <w:top w:val="nil"/>
              <w:left w:val="nil"/>
              <w:bottom w:val="single" w:sz="4" w:space="0" w:color="ADD6EA"/>
              <w:right w:val="nil"/>
            </w:tcBorders>
            <w:shd w:val="clear" w:color="000000" w:fill="FFFFFF"/>
            <w:vAlign w:val="bottom"/>
            <w:hideMark/>
          </w:tcPr>
          <w:p w14:paraId="2FDF0A6B"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0.0</w:t>
            </w:r>
          </w:p>
        </w:tc>
        <w:tc>
          <w:tcPr>
            <w:tcW w:w="760" w:type="dxa"/>
            <w:tcBorders>
              <w:top w:val="nil"/>
              <w:left w:val="nil"/>
              <w:bottom w:val="single" w:sz="4" w:space="0" w:color="ADD6EA"/>
              <w:right w:val="nil"/>
            </w:tcBorders>
            <w:shd w:val="clear" w:color="000000" w:fill="FFFFFF"/>
            <w:vAlign w:val="bottom"/>
            <w:hideMark/>
          </w:tcPr>
          <w:p w14:paraId="1A9F8337"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100.0</w:t>
            </w:r>
          </w:p>
        </w:tc>
      </w:tr>
      <w:tr w:rsidR="00DE37C1" w:rsidRPr="001D00DE" w14:paraId="28E3C5CE"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7657D7F5" w14:textId="77777777" w:rsidR="00DE37C1" w:rsidRPr="001D00DE" w:rsidRDefault="00DE37C1" w:rsidP="004D65FE">
            <w:pPr>
              <w:keepNext/>
              <w:tabs>
                <w:tab w:val="clear" w:pos="567"/>
              </w:tabs>
              <w:spacing w:before="0" w:line="240" w:lineRule="auto"/>
              <w:rPr>
                <w:rFonts w:eastAsia="Times New Roman" w:cs="Open Sans Light"/>
                <w:color w:val="000000"/>
                <w:sz w:val="16"/>
                <w:szCs w:val="16"/>
                <w:lang w:eastAsia="en-AU"/>
              </w:rPr>
            </w:pPr>
            <w:r w:rsidRPr="001D00DE">
              <w:rPr>
                <w:rFonts w:eastAsia="Times New Roman" w:cs="Open Sans Light"/>
                <w:color w:val="000000"/>
                <w:sz w:val="16"/>
                <w:szCs w:val="16"/>
                <w:lang w:eastAsia="en-AU"/>
              </w:rPr>
              <w:t>Inner regional</w:t>
            </w:r>
          </w:p>
        </w:tc>
        <w:tc>
          <w:tcPr>
            <w:tcW w:w="760" w:type="dxa"/>
            <w:tcBorders>
              <w:top w:val="nil"/>
              <w:left w:val="nil"/>
              <w:bottom w:val="single" w:sz="4" w:space="0" w:color="ADD6EA"/>
              <w:right w:val="nil"/>
            </w:tcBorders>
            <w:shd w:val="clear" w:color="000000" w:fill="FFFFFF"/>
            <w:vAlign w:val="bottom"/>
            <w:hideMark/>
          </w:tcPr>
          <w:p w14:paraId="2304BF2D"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33.4</w:t>
            </w:r>
          </w:p>
        </w:tc>
        <w:tc>
          <w:tcPr>
            <w:tcW w:w="760" w:type="dxa"/>
            <w:tcBorders>
              <w:top w:val="nil"/>
              <w:left w:val="nil"/>
              <w:bottom w:val="single" w:sz="4" w:space="0" w:color="ADD6EA"/>
              <w:right w:val="nil"/>
            </w:tcBorders>
            <w:shd w:val="clear" w:color="000000" w:fill="FFFFFF"/>
            <w:vAlign w:val="bottom"/>
            <w:hideMark/>
          </w:tcPr>
          <w:p w14:paraId="0826EDDA"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26.4</w:t>
            </w:r>
          </w:p>
        </w:tc>
        <w:tc>
          <w:tcPr>
            <w:tcW w:w="760" w:type="dxa"/>
            <w:tcBorders>
              <w:top w:val="nil"/>
              <w:left w:val="nil"/>
              <w:bottom w:val="single" w:sz="4" w:space="0" w:color="ADD6EA"/>
              <w:right w:val="nil"/>
            </w:tcBorders>
            <w:shd w:val="clear" w:color="000000" w:fill="FFFFFF"/>
            <w:vAlign w:val="bottom"/>
            <w:hideMark/>
          </w:tcPr>
          <w:p w14:paraId="587F8921"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22.1</w:t>
            </w:r>
          </w:p>
        </w:tc>
        <w:tc>
          <w:tcPr>
            <w:tcW w:w="760" w:type="dxa"/>
            <w:tcBorders>
              <w:top w:val="nil"/>
              <w:left w:val="nil"/>
              <w:bottom w:val="single" w:sz="4" w:space="0" w:color="ADD6EA"/>
              <w:right w:val="nil"/>
            </w:tcBorders>
            <w:shd w:val="clear" w:color="000000" w:fill="FFFFFF"/>
            <w:vAlign w:val="bottom"/>
            <w:hideMark/>
          </w:tcPr>
          <w:p w14:paraId="2FBC9506"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5.0</w:t>
            </w:r>
          </w:p>
        </w:tc>
        <w:tc>
          <w:tcPr>
            <w:tcW w:w="760" w:type="dxa"/>
            <w:tcBorders>
              <w:top w:val="nil"/>
              <w:left w:val="nil"/>
              <w:bottom w:val="single" w:sz="4" w:space="0" w:color="ADD6EA"/>
              <w:right w:val="nil"/>
            </w:tcBorders>
            <w:shd w:val="clear" w:color="000000" w:fill="FFFFFF"/>
            <w:vAlign w:val="bottom"/>
            <w:hideMark/>
          </w:tcPr>
          <w:p w14:paraId="70ADDF71"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5.0</w:t>
            </w:r>
          </w:p>
        </w:tc>
        <w:tc>
          <w:tcPr>
            <w:tcW w:w="720" w:type="dxa"/>
            <w:tcBorders>
              <w:top w:val="nil"/>
              <w:left w:val="nil"/>
              <w:bottom w:val="single" w:sz="4" w:space="0" w:color="ADD6EA"/>
              <w:right w:val="nil"/>
            </w:tcBorders>
            <w:shd w:val="clear" w:color="000000" w:fill="FFFFFF"/>
            <w:vAlign w:val="bottom"/>
            <w:hideMark/>
          </w:tcPr>
          <w:p w14:paraId="5961F134"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8.1</w:t>
            </w:r>
          </w:p>
        </w:tc>
        <w:tc>
          <w:tcPr>
            <w:tcW w:w="720" w:type="dxa"/>
            <w:tcBorders>
              <w:top w:val="nil"/>
              <w:left w:val="nil"/>
              <w:bottom w:val="single" w:sz="4" w:space="0" w:color="ADD6EA"/>
              <w:right w:val="nil"/>
            </w:tcBorders>
            <w:shd w:val="clear" w:color="000000" w:fill="FFFFFF"/>
            <w:vAlign w:val="bottom"/>
            <w:hideMark/>
          </w:tcPr>
          <w:p w14:paraId="1D6F3B2C"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0.0</w:t>
            </w:r>
          </w:p>
        </w:tc>
        <w:tc>
          <w:tcPr>
            <w:tcW w:w="720" w:type="dxa"/>
            <w:tcBorders>
              <w:top w:val="nil"/>
              <w:left w:val="nil"/>
              <w:bottom w:val="single" w:sz="4" w:space="0" w:color="ADD6EA"/>
              <w:right w:val="nil"/>
            </w:tcBorders>
            <w:shd w:val="clear" w:color="000000" w:fill="FFFFFF"/>
            <w:vAlign w:val="bottom"/>
            <w:hideMark/>
          </w:tcPr>
          <w:p w14:paraId="4F3DD44F"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0.0</w:t>
            </w:r>
          </w:p>
        </w:tc>
        <w:tc>
          <w:tcPr>
            <w:tcW w:w="760" w:type="dxa"/>
            <w:tcBorders>
              <w:top w:val="nil"/>
              <w:left w:val="nil"/>
              <w:bottom w:val="single" w:sz="4" w:space="0" w:color="ADD6EA"/>
              <w:right w:val="nil"/>
            </w:tcBorders>
            <w:shd w:val="clear" w:color="000000" w:fill="FFFFFF"/>
            <w:vAlign w:val="bottom"/>
            <w:hideMark/>
          </w:tcPr>
          <w:p w14:paraId="1206C5ED"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100.0</w:t>
            </w:r>
          </w:p>
        </w:tc>
      </w:tr>
      <w:tr w:rsidR="00DE37C1" w:rsidRPr="001D00DE" w14:paraId="0C7D5CCB"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452825DC" w14:textId="77777777" w:rsidR="00DE37C1" w:rsidRPr="001D00DE" w:rsidRDefault="00DE37C1" w:rsidP="004D65FE">
            <w:pPr>
              <w:keepNext/>
              <w:tabs>
                <w:tab w:val="clear" w:pos="567"/>
              </w:tabs>
              <w:spacing w:before="0" w:line="240" w:lineRule="auto"/>
              <w:rPr>
                <w:rFonts w:eastAsia="Times New Roman" w:cs="Open Sans Light"/>
                <w:color w:val="000000"/>
                <w:sz w:val="16"/>
                <w:szCs w:val="16"/>
                <w:lang w:eastAsia="en-AU"/>
              </w:rPr>
            </w:pPr>
            <w:r w:rsidRPr="001D00DE">
              <w:rPr>
                <w:rFonts w:eastAsia="Times New Roman" w:cs="Open Sans Light"/>
                <w:color w:val="000000"/>
                <w:sz w:val="16"/>
                <w:szCs w:val="16"/>
                <w:lang w:eastAsia="en-AU"/>
              </w:rPr>
              <w:t>Outer regional</w:t>
            </w:r>
          </w:p>
        </w:tc>
        <w:tc>
          <w:tcPr>
            <w:tcW w:w="760" w:type="dxa"/>
            <w:tcBorders>
              <w:top w:val="nil"/>
              <w:left w:val="nil"/>
              <w:bottom w:val="single" w:sz="4" w:space="0" w:color="ADD6EA"/>
              <w:right w:val="nil"/>
            </w:tcBorders>
            <w:shd w:val="clear" w:color="000000" w:fill="FFFFFF"/>
            <w:vAlign w:val="bottom"/>
            <w:hideMark/>
          </w:tcPr>
          <w:p w14:paraId="30414157"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21.6</w:t>
            </w:r>
          </w:p>
        </w:tc>
        <w:tc>
          <w:tcPr>
            <w:tcW w:w="760" w:type="dxa"/>
            <w:tcBorders>
              <w:top w:val="nil"/>
              <w:left w:val="nil"/>
              <w:bottom w:val="single" w:sz="4" w:space="0" w:color="ADD6EA"/>
              <w:right w:val="nil"/>
            </w:tcBorders>
            <w:shd w:val="clear" w:color="000000" w:fill="FFFFFF"/>
            <w:vAlign w:val="bottom"/>
            <w:hideMark/>
          </w:tcPr>
          <w:p w14:paraId="527466F8"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12.2</w:t>
            </w:r>
          </w:p>
        </w:tc>
        <w:tc>
          <w:tcPr>
            <w:tcW w:w="760" w:type="dxa"/>
            <w:tcBorders>
              <w:top w:val="nil"/>
              <w:left w:val="nil"/>
              <w:bottom w:val="single" w:sz="4" w:space="0" w:color="ADD6EA"/>
              <w:right w:val="nil"/>
            </w:tcBorders>
            <w:shd w:val="clear" w:color="000000" w:fill="FFFFFF"/>
            <w:vAlign w:val="bottom"/>
            <w:hideMark/>
          </w:tcPr>
          <w:p w14:paraId="569F130E"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33.7</w:t>
            </w:r>
          </w:p>
        </w:tc>
        <w:tc>
          <w:tcPr>
            <w:tcW w:w="760" w:type="dxa"/>
            <w:tcBorders>
              <w:top w:val="nil"/>
              <w:left w:val="nil"/>
              <w:bottom w:val="single" w:sz="4" w:space="0" w:color="ADD6EA"/>
              <w:right w:val="nil"/>
            </w:tcBorders>
            <w:shd w:val="clear" w:color="000000" w:fill="FFFFFF"/>
            <w:vAlign w:val="bottom"/>
            <w:hideMark/>
          </w:tcPr>
          <w:p w14:paraId="2FAAED8F"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9.0</w:t>
            </w:r>
          </w:p>
        </w:tc>
        <w:tc>
          <w:tcPr>
            <w:tcW w:w="760" w:type="dxa"/>
            <w:tcBorders>
              <w:top w:val="nil"/>
              <w:left w:val="nil"/>
              <w:bottom w:val="single" w:sz="4" w:space="0" w:color="ADD6EA"/>
              <w:right w:val="nil"/>
            </w:tcBorders>
            <w:shd w:val="clear" w:color="000000" w:fill="FFFFFF"/>
            <w:vAlign w:val="bottom"/>
            <w:hideMark/>
          </w:tcPr>
          <w:p w14:paraId="4B6848E3"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8.6</w:t>
            </w:r>
          </w:p>
        </w:tc>
        <w:tc>
          <w:tcPr>
            <w:tcW w:w="720" w:type="dxa"/>
            <w:tcBorders>
              <w:top w:val="nil"/>
              <w:left w:val="nil"/>
              <w:bottom w:val="single" w:sz="4" w:space="0" w:color="ADD6EA"/>
              <w:right w:val="nil"/>
            </w:tcBorders>
            <w:shd w:val="clear" w:color="000000" w:fill="FFFFFF"/>
            <w:vAlign w:val="bottom"/>
            <w:hideMark/>
          </w:tcPr>
          <w:p w14:paraId="7AC1004E"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7.8</w:t>
            </w:r>
          </w:p>
        </w:tc>
        <w:tc>
          <w:tcPr>
            <w:tcW w:w="720" w:type="dxa"/>
            <w:tcBorders>
              <w:top w:val="nil"/>
              <w:left w:val="nil"/>
              <w:bottom w:val="single" w:sz="4" w:space="0" w:color="ADD6EA"/>
              <w:right w:val="nil"/>
            </w:tcBorders>
            <w:shd w:val="clear" w:color="000000" w:fill="FFFFFF"/>
            <w:vAlign w:val="bottom"/>
            <w:hideMark/>
          </w:tcPr>
          <w:p w14:paraId="5935BA5A"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0.0</w:t>
            </w:r>
          </w:p>
        </w:tc>
        <w:tc>
          <w:tcPr>
            <w:tcW w:w="720" w:type="dxa"/>
            <w:tcBorders>
              <w:top w:val="nil"/>
              <w:left w:val="nil"/>
              <w:bottom w:val="single" w:sz="4" w:space="0" w:color="ADD6EA"/>
              <w:right w:val="nil"/>
            </w:tcBorders>
            <w:shd w:val="clear" w:color="000000" w:fill="FFFFFF"/>
            <w:vAlign w:val="bottom"/>
            <w:hideMark/>
          </w:tcPr>
          <w:p w14:paraId="7D3AFF02"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7.1</w:t>
            </w:r>
          </w:p>
        </w:tc>
        <w:tc>
          <w:tcPr>
            <w:tcW w:w="760" w:type="dxa"/>
            <w:tcBorders>
              <w:top w:val="nil"/>
              <w:left w:val="nil"/>
              <w:bottom w:val="single" w:sz="4" w:space="0" w:color="ADD6EA"/>
              <w:right w:val="nil"/>
            </w:tcBorders>
            <w:shd w:val="clear" w:color="000000" w:fill="FFFFFF"/>
            <w:vAlign w:val="bottom"/>
            <w:hideMark/>
          </w:tcPr>
          <w:p w14:paraId="5B55FAA4"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100.0</w:t>
            </w:r>
          </w:p>
        </w:tc>
      </w:tr>
      <w:tr w:rsidR="00DE37C1" w:rsidRPr="001D00DE" w14:paraId="32FFC330"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405D8AD9" w14:textId="77777777" w:rsidR="00DE37C1" w:rsidRPr="001D00DE" w:rsidRDefault="00DE37C1" w:rsidP="004D65FE">
            <w:pPr>
              <w:keepNext/>
              <w:tabs>
                <w:tab w:val="clear" w:pos="567"/>
              </w:tabs>
              <w:spacing w:before="0" w:line="240" w:lineRule="auto"/>
              <w:rPr>
                <w:rFonts w:eastAsia="Times New Roman" w:cs="Open Sans Light"/>
                <w:color w:val="000000"/>
                <w:sz w:val="16"/>
                <w:szCs w:val="16"/>
                <w:lang w:eastAsia="en-AU"/>
              </w:rPr>
            </w:pPr>
            <w:r w:rsidRPr="001D00DE">
              <w:rPr>
                <w:rFonts w:eastAsia="Times New Roman" w:cs="Open Sans Light"/>
                <w:color w:val="000000"/>
                <w:sz w:val="16"/>
                <w:szCs w:val="16"/>
                <w:lang w:eastAsia="en-AU"/>
              </w:rPr>
              <w:t>Remote</w:t>
            </w:r>
          </w:p>
        </w:tc>
        <w:tc>
          <w:tcPr>
            <w:tcW w:w="760" w:type="dxa"/>
            <w:tcBorders>
              <w:top w:val="nil"/>
              <w:left w:val="nil"/>
              <w:bottom w:val="single" w:sz="4" w:space="0" w:color="ADD6EA"/>
              <w:right w:val="nil"/>
            </w:tcBorders>
            <w:shd w:val="clear" w:color="000000" w:fill="FFFFFF"/>
            <w:vAlign w:val="bottom"/>
            <w:hideMark/>
          </w:tcPr>
          <w:p w14:paraId="5FA47C06"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10.2</w:t>
            </w:r>
          </w:p>
        </w:tc>
        <w:tc>
          <w:tcPr>
            <w:tcW w:w="760" w:type="dxa"/>
            <w:tcBorders>
              <w:top w:val="nil"/>
              <w:left w:val="nil"/>
              <w:bottom w:val="single" w:sz="4" w:space="0" w:color="ADD6EA"/>
              <w:right w:val="nil"/>
            </w:tcBorders>
            <w:shd w:val="clear" w:color="000000" w:fill="FFFFFF"/>
            <w:vAlign w:val="bottom"/>
            <w:hideMark/>
          </w:tcPr>
          <w:p w14:paraId="4436E02D"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1.0</w:t>
            </w:r>
          </w:p>
        </w:tc>
        <w:tc>
          <w:tcPr>
            <w:tcW w:w="760" w:type="dxa"/>
            <w:tcBorders>
              <w:top w:val="nil"/>
              <w:left w:val="nil"/>
              <w:bottom w:val="single" w:sz="4" w:space="0" w:color="ADD6EA"/>
              <w:right w:val="nil"/>
            </w:tcBorders>
            <w:shd w:val="clear" w:color="000000" w:fill="FFFFFF"/>
            <w:vAlign w:val="bottom"/>
            <w:hideMark/>
          </w:tcPr>
          <w:p w14:paraId="0842EAB4"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24.9</w:t>
            </w:r>
          </w:p>
        </w:tc>
        <w:tc>
          <w:tcPr>
            <w:tcW w:w="760" w:type="dxa"/>
            <w:tcBorders>
              <w:top w:val="nil"/>
              <w:left w:val="nil"/>
              <w:bottom w:val="single" w:sz="4" w:space="0" w:color="ADD6EA"/>
              <w:right w:val="nil"/>
            </w:tcBorders>
            <w:shd w:val="clear" w:color="000000" w:fill="FFFFFF"/>
            <w:vAlign w:val="bottom"/>
            <w:hideMark/>
          </w:tcPr>
          <w:p w14:paraId="0A32B264"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29.3</w:t>
            </w:r>
          </w:p>
        </w:tc>
        <w:tc>
          <w:tcPr>
            <w:tcW w:w="760" w:type="dxa"/>
            <w:tcBorders>
              <w:top w:val="nil"/>
              <w:left w:val="nil"/>
              <w:bottom w:val="single" w:sz="4" w:space="0" w:color="ADD6EA"/>
              <w:right w:val="nil"/>
            </w:tcBorders>
            <w:shd w:val="clear" w:color="000000" w:fill="FFFFFF"/>
            <w:vAlign w:val="bottom"/>
            <w:hideMark/>
          </w:tcPr>
          <w:p w14:paraId="55F2663E"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15.4</w:t>
            </w:r>
          </w:p>
        </w:tc>
        <w:tc>
          <w:tcPr>
            <w:tcW w:w="720" w:type="dxa"/>
            <w:tcBorders>
              <w:top w:val="nil"/>
              <w:left w:val="nil"/>
              <w:bottom w:val="single" w:sz="4" w:space="0" w:color="ADD6EA"/>
              <w:right w:val="nil"/>
            </w:tcBorders>
            <w:shd w:val="clear" w:color="000000" w:fill="FFFFFF"/>
            <w:vAlign w:val="bottom"/>
            <w:hideMark/>
          </w:tcPr>
          <w:p w14:paraId="4F49300A"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2.7</w:t>
            </w:r>
          </w:p>
        </w:tc>
        <w:tc>
          <w:tcPr>
            <w:tcW w:w="720" w:type="dxa"/>
            <w:tcBorders>
              <w:top w:val="nil"/>
              <w:left w:val="nil"/>
              <w:bottom w:val="single" w:sz="4" w:space="0" w:color="ADD6EA"/>
              <w:right w:val="nil"/>
            </w:tcBorders>
            <w:shd w:val="clear" w:color="000000" w:fill="FFFFFF"/>
            <w:vAlign w:val="bottom"/>
            <w:hideMark/>
          </w:tcPr>
          <w:p w14:paraId="45C4CF77"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0.0</w:t>
            </w:r>
          </w:p>
        </w:tc>
        <w:tc>
          <w:tcPr>
            <w:tcW w:w="720" w:type="dxa"/>
            <w:tcBorders>
              <w:top w:val="nil"/>
              <w:left w:val="nil"/>
              <w:bottom w:val="single" w:sz="4" w:space="0" w:color="ADD6EA"/>
              <w:right w:val="nil"/>
            </w:tcBorders>
            <w:shd w:val="clear" w:color="000000" w:fill="FFFFFF"/>
            <w:vAlign w:val="bottom"/>
            <w:hideMark/>
          </w:tcPr>
          <w:p w14:paraId="2A57EE49"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16.4</w:t>
            </w:r>
          </w:p>
        </w:tc>
        <w:tc>
          <w:tcPr>
            <w:tcW w:w="760" w:type="dxa"/>
            <w:tcBorders>
              <w:top w:val="nil"/>
              <w:left w:val="nil"/>
              <w:bottom w:val="single" w:sz="4" w:space="0" w:color="ADD6EA"/>
              <w:right w:val="nil"/>
            </w:tcBorders>
            <w:shd w:val="clear" w:color="000000" w:fill="FFFFFF"/>
            <w:vAlign w:val="bottom"/>
            <w:hideMark/>
          </w:tcPr>
          <w:p w14:paraId="0A5D2922"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100.0</w:t>
            </w:r>
          </w:p>
        </w:tc>
      </w:tr>
      <w:tr w:rsidR="00DE37C1" w:rsidRPr="001D00DE" w14:paraId="2C4240ED" w14:textId="77777777" w:rsidTr="00185104">
        <w:trPr>
          <w:trHeight w:val="315"/>
        </w:trPr>
        <w:tc>
          <w:tcPr>
            <w:tcW w:w="2260" w:type="dxa"/>
            <w:tcBorders>
              <w:top w:val="nil"/>
              <w:left w:val="nil"/>
              <w:bottom w:val="single" w:sz="4" w:space="0" w:color="ADD6EA"/>
              <w:right w:val="nil"/>
            </w:tcBorders>
            <w:shd w:val="clear" w:color="000000" w:fill="FFFFFF"/>
            <w:vAlign w:val="bottom"/>
            <w:hideMark/>
          </w:tcPr>
          <w:p w14:paraId="18EFC701" w14:textId="77777777" w:rsidR="00DE37C1" w:rsidRPr="001D00DE" w:rsidRDefault="00DE37C1" w:rsidP="004D65FE">
            <w:pPr>
              <w:keepNext/>
              <w:tabs>
                <w:tab w:val="clear" w:pos="567"/>
              </w:tabs>
              <w:spacing w:before="0" w:line="240" w:lineRule="auto"/>
              <w:rPr>
                <w:rFonts w:eastAsia="Times New Roman" w:cs="Open Sans Light"/>
                <w:color w:val="000000"/>
                <w:sz w:val="16"/>
                <w:szCs w:val="16"/>
                <w:lang w:eastAsia="en-AU"/>
              </w:rPr>
            </w:pPr>
            <w:r w:rsidRPr="001D00DE">
              <w:rPr>
                <w:rFonts w:eastAsia="Times New Roman" w:cs="Open Sans Light"/>
                <w:color w:val="000000"/>
                <w:sz w:val="16"/>
                <w:szCs w:val="16"/>
                <w:lang w:eastAsia="en-AU"/>
              </w:rPr>
              <w:t>Very remote</w:t>
            </w:r>
          </w:p>
        </w:tc>
        <w:tc>
          <w:tcPr>
            <w:tcW w:w="760" w:type="dxa"/>
            <w:tcBorders>
              <w:top w:val="nil"/>
              <w:left w:val="nil"/>
              <w:bottom w:val="single" w:sz="4" w:space="0" w:color="ADD6EA"/>
              <w:right w:val="nil"/>
            </w:tcBorders>
            <w:shd w:val="clear" w:color="000000" w:fill="FFFFFF"/>
            <w:vAlign w:val="bottom"/>
            <w:hideMark/>
          </w:tcPr>
          <w:p w14:paraId="41B23E8A"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2.9</w:t>
            </w:r>
          </w:p>
        </w:tc>
        <w:tc>
          <w:tcPr>
            <w:tcW w:w="760" w:type="dxa"/>
            <w:tcBorders>
              <w:top w:val="nil"/>
              <w:left w:val="nil"/>
              <w:bottom w:val="single" w:sz="4" w:space="0" w:color="ADD6EA"/>
              <w:right w:val="nil"/>
            </w:tcBorders>
            <w:shd w:val="clear" w:color="000000" w:fill="FFFFFF"/>
            <w:vAlign w:val="bottom"/>
            <w:hideMark/>
          </w:tcPr>
          <w:p w14:paraId="6E16116B"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0.0</w:t>
            </w:r>
          </w:p>
        </w:tc>
        <w:tc>
          <w:tcPr>
            <w:tcW w:w="760" w:type="dxa"/>
            <w:tcBorders>
              <w:top w:val="nil"/>
              <w:left w:val="nil"/>
              <w:bottom w:val="single" w:sz="4" w:space="0" w:color="ADD6EA"/>
              <w:right w:val="nil"/>
            </w:tcBorders>
            <w:shd w:val="clear" w:color="000000" w:fill="FFFFFF"/>
            <w:vAlign w:val="bottom"/>
            <w:hideMark/>
          </w:tcPr>
          <w:p w14:paraId="5FA7152E"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27.9</w:t>
            </w:r>
          </w:p>
        </w:tc>
        <w:tc>
          <w:tcPr>
            <w:tcW w:w="760" w:type="dxa"/>
            <w:tcBorders>
              <w:top w:val="nil"/>
              <w:left w:val="nil"/>
              <w:bottom w:val="single" w:sz="4" w:space="0" w:color="ADD6EA"/>
              <w:right w:val="nil"/>
            </w:tcBorders>
            <w:shd w:val="clear" w:color="000000" w:fill="FFFFFF"/>
            <w:vAlign w:val="bottom"/>
            <w:hideMark/>
          </w:tcPr>
          <w:p w14:paraId="27E4615A"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35.3</w:t>
            </w:r>
          </w:p>
        </w:tc>
        <w:tc>
          <w:tcPr>
            <w:tcW w:w="760" w:type="dxa"/>
            <w:tcBorders>
              <w:top w:val="nil"/>
              <w:left w:val="nil"/>
              <w:bottom w:val="single" w:sz="4" w:space="0" w:color="ADD6EA"/>
              <w:right w:val="nil"/>
            </w:tcBorders>
            <w:shd w:val="clear" w:color="000000" w:fill="FFFFFF"/>
            <w:vAlign w:val="bottom"/>
            <w:hideMark/>
          </w:tcPr>
          <w:p w14:paraId="7F7772CA"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7.0</w:t>
            </w:r>
          </w:p>
        </w:tc>
        <w:tc>
          <w:tcPr>
            <w:tcW w:w="720" w:type="dxa"/>
            <w:tcBorders>
              <w:top w:val="nil"/>
              <w:left w:val="nil"/>
              <w:bottom w:val="single" w:sz="4" w:space="0" w:color="ADD6EA"/>
              <w:right w:val="nil"/>
            </w:tcBorders>
            <w:shd w:val="clear" w:color="000000" w:fill="FFFFFF"/>
            <w:vAlign w:val="bottom"/>
            <w:hideMark/>
          </w:tcPr>
          <w:p w14:paraId="247B98F5"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1.3</w:t>
            </w:r>
          </w:p>
        </w:tc>
        <w:tc>
          <w:tcPr>
            <w:tcW w:w="720" w:type="dxa"/>
            <w:tcBorders>
              <w:top w:val="nil"/>
              <w:left w:val="nil"/>
              <w:bottom w:val="single" w:sz="4" w:space="0" w:color="ADD6EA"/>
              <w:right w:val="nil"/>
            </w:tcBorders>
            <w:shd w:val="clear" w:color="000000" w:fill="FFFFFF"/>
            <w:vAlign w:val="bottom"/>
            <w:hideMark/>
          </w:tcPr>
          <w:p w14:paraId="34A7C64C"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0.0</w:t>
            </w:r>
          </w:p>
        </w:tc>
        <w:tc>
          <w:tcPr>
            <w:tcW w:w="720" w:type="dxa"/>
            <w:tcBorders>
              <w:top w:val="nil"/>
              <w:left w:val="nil"/>
              <w:bottom w:val="single" w:sz="4" w:space="0" w:color="ADD6EA"/>
              <w:right w:val="nil"/>
            </w:tcBorders>
            <w:shd w:val="clear" w:color="000000" w:fill="FFFFFF"/>
            <w:vAlign w:val="bottom"/>
            <w:hideMark/>
          </w:tcPr>
          <w:p w14:paraId="236F1C8A"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25.5</w:t>
            </w:r>
          </w:p>
        </w:tc>
        <w:tc>
          <w:tcPr>
            <w:tcW w:w="760" w:type="dxa"/>
            <w:tcBorders>
              <w:top w:val="nil"/>
              <w:left w:val="nil"/>
              <w:bottom w:val="single" w:sz="4" w:space="0" w:color="ADD6EA"/>
              <w:right w:val="nil"/>
            </w:tcBorders>
            <w:shd w:val="clear" w:color="000000" w:fill="FFFFFF"/>
            <w:vAlign w:val="bottom"/>
            <w:hideMark/>
          </w:tcPr>
          <w:p w14:paraId="78A6A62F" w14:textId="77777777" w:rsidR="00DE37C1" w:rsidRPr="001D00DE"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1D00DE">
              <w:rPr>
                <w:rFonts w:eastAsia="Times New Roman" w:cs="Open Sans Light"/>
                <w:color w:val="000000"/>
                <w:sz w:val="16"/>
                <w:szCs w:val="16"/>
                <w:lang w:eastAsia="en-AU"/>
              </w:rPr>
              <w:t>100.0</w:t>
            </w:r>
          </w:p>
        </w:tc>
      </w:tr>
      <w:tr w:rsidR="00DE37C1" w:rsidRPr="001D00DE" w14:paraId="7298C5A9" w14:textId="77777777" w:rsidTr="00185104">
        <w:trPr>
          <w:trHeight w:val="315"/>
        </w:trPr>
        <w:tc>
          <w:tcPr>
            <w:tcW w:w="2260" w:type="dxa"/>
            <w:tcBorders>
              <w:top w:val="nil"/>
              <w:left w:val="nil"/>
              <w:bottom w:val="single" w:sz="4" w:space="0" w:color="ADD6EA"/>
              <w:right w:val="nil"/>
            </w:tcBorders>
            <w:shd w:val="clear" w:color="000000" w:fill="D6E7F0"/>
            <w:vAlign w:val="bottom"/>
            <w:hideMark/>
          </w:tcPr>
          <w:p w14:paraId="04C194A6" w14:textId="77777777" w:rsidR="00DE37C1" w:rsidRPr="001D00DE" w:rsidRDefault="00DE37C1" w:rsidP="004D65FE">
            <w:pPr>
              <w:keepNext/>
              <w:tabs>
                <w:tab w:val="clear" w:pos="567"/>
              </w:tabs>
              <w:spacing w:before="0" w:line="240" w:lineRule="auto"/>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117061E6"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31.9</w:t>
            </w:r>
          </w:p>
        </w:tc>
        <w:tc>
          <w:tcPr>
            <w:tcW w:w="760" w:type="dxa"/>
            <w:tcBorders>
              <w:top w:val="nil"/>
              <w:left w:val="nil"/>
              <w:bottom w:val="single" w:sz="4" w:space="0" w:color="ADD6EA"/>
              <w:right w:val="nil"/>
            </w:tcBorders>
            <w:shd w:val="clear" w:color="000000" w:fill="D6E7F0"/>
            <w:vAlign w:val="bottom"/>
            <w:hideMark/>
          </w:tcPr>
          <w:p w14:paraId="1F6873DF"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25.9</w:t>
            </w:r>
          </w:p>
        </w:tc>
        <w:tc>
          <w:tcPr>
            <w:tcW w:w="760" w:type="dxa"/>
            <w:tcBorders>
              <w:top w:val="nil"/>
              <w:left w:val="nil"/>
              <w:bottom w:val="single" w:sz="4" w:space="0" w:color="ADD6EA"/>
              <w:right w:val="nil"/>
            </w:tcBorders>
            <w:shd w:val="clear" w:color="000000" w:fill="D6E7F0"/>
            <w:vAlign w:val="bottom"/>
            <w:hideMark/>
          </w:tcPr>
          <w:p w14:paraId="0531F826"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20.1</w:t>
            </w:r>
          </w:p>
        </w:tc>
        <w:tc>
          <w:tcPr>
            <w:tcW w:w="760" w:type="dxa"/>
            <w:tcBorders>
              <w:top w:val="nil"/>
              <w:left w:val="nil"/>
              <w:bottom w:val="single" w:sz="4" w:space="0" w:color="ADD6EA"/>
              <w:right w:val="nil"/>
            </w:tcBorders>
            <w:shd w:val="clear" w:color="000000" w:fill="D6E7F0"/>
            <w:vAlign w:val="bottom"/>
            <w:hideMark/>
          </w:tcPr>
          <w:p w14:paraId="69097DE1"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10.4</w:t>
            </w:r>
          </w:p>
        </w:tc>
        <w:tc>
          <w:tcPr>
            <w:tcW w:w="760" w:type="dxa"/>
            <w:tcBorders>
              <w:top w:val="nil"/>
              <w:left w:val="nil"/>
              <w:bottom w:val="single" w:sz="4" w:space="0" w:color="ADD6EA"/>
              <w:right w:val="nil"/>
            </w:tcBorders>
            <w:shd w:val="clear" w:color="000000" w:fill="D6E7F0"/>
            <w:vAlign w:val="bottom"/>
            <w:hideMark/>
          </w:tcPr>
          <w:p w14:paraId="2C2F03CC"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6.9</w:t>
            </w:r>
          </w:p>
        </w:tc>
        <w:tc>
          <w:tcPr>
            <w:tcW w:w="720" w:type="dxa"/>
            <w:tcBorders>
              <w:top w:val="nil"/>
              <w:left w:val="nil"/>
              <w:bottom w:val="single" w:sz="4" w:space="0" w:color="ADD6EA"/>
              <w:right w:val="nil"/>
            </w:tcBorders>
            <w:shd w:val="clear" w:color="000000" w:fill="D6E7F0"/>
            <w:vAlign w:val="bottom"/>
            <w:hideMark/>
          </w:tcPr>
          <w:p w14:paraId="22B16188"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2.1</w:t>
            </w:r>
          </w:p>
        </w:tc>
        <w:tc>
          <w:tcPr>
            <w:tcW w:w="720" w:type="dxa"/>
            <w:tcBorders>
              <w:top w:val="nil"/>
              <w:left w:val="nil"/>
              <w:bottom w:val="single" w:sz="4" w:space="0" w:color="ADD6EA"/>
              <w:right w:val="nil"/>
            </w:tcBorders>
            <w:shd w:val="clear" w:color="000000" w:fill="D6E7F0"/>
            <w:vAlign w:val="bottom"/>
            <w:hideMark/>
          </w:tcPr>
          <w:p w14:paraId="09F76FA2"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1.7</w:t>
            </w:r>
          </w:p>
        </w:tc>
        <w:tc>
          <w:tcPr>
            <w:tcW w:w="720" w:type="dxa"/>
            <w:tcBorders>
              <w:top w:val="nil"/>
              <w:left w:val="nil"/>
              <w:bottom w:val="single" w:sz="4" w:space="0" w:color="ADD6EA"/>
              <w:right w:val="nil"/>
            </w:tcBorders>
            <w:shd w:val="clear" w:color="000000" w:fill="D6E7F0"/>
            <w:vAlign w:val="bottom"/>
            <w:hideMark/>
          </w:tcPr>
          <w:p w14:paraId="7482496E"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1.0</w:t>
            </w:r>
          </w:p>
        </w:tc>
        <w:tc>
          <w:tcPr>
            <w:tcW w:w="760" w:type="dxa"/>
            <w:tcBorders>
              <w:top w:val="nil"/>
              <w:left w:val="nil"/>
              <w:bottom w:val="single" w:sz="4" w:space="0" w:color="ADD6EA"/>
              <w:right w:val="nil"/>
            </w:tcBorders>
            <w:shd w:val="clear" w:color="000000" w:fill="D6E7F0"/>
            <w:vAlign w:val="bottom"/>
            <w:hideMark/>
          </w:tcPr>
          <w:p w14:paraId="4547E7EA" w14:textId="77777777" w:rsidR="00DE37C1" w:rsidRPr="001D00DE"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D00DE">
              <w:rPr>
                <w:rFonts w:ascii="Open Sans SemiBold" w:eastAsia="Times New Roman" w:hAnsi="Open Sans SemiBold" w:cs="Open Sans SemiBold"/>
                <w:color w:val="000000"/>
                <w:sz w:val="16"/>
                <w:szCs w:val="16"/>
                <w:lang w:eastAsia="en-AU"/>
              </w:rPr>
              <w:t>100.0</w:t>
            </w:r>
          </w:p>
        </w:tc>
      </w:tr>
    </w:tbl>
    <w:p w14:paraId="69E3D370" w14:textId="239D472C" w:rsidR="00DE37C1" w:rsidRPr="00ED299B" w:rsidRDefault="00DE37C1" w:rsidP="00DE37C1">
      <w:pPr>
        <w:pStyle w:val="CGCTablenote"/>
        <w:keepNext/>
        <w:tabs>
          <w:tab w:val="left" w:pos="709"/>
        </w:tabs>
      </w:pPr>
      <w:r w:rsidRPr="00ED299B">
        <w:t>Note:</w:t>
      </w:r>
      <w:r>
        <w:tab/>
      </w:r>
      <w:r w:rsidRPr="00ED299B">
        <w:t>Under the Australian Statistical Geography Standar</w:t>
      </w:r>
      <w:r w:rsidR="00AC795E">
        <w:t>d</w:t>
      </w:r>
      <w:r w:rsidRPr="00ED299B">
        <w:t>, Tasmania and the Northern Territory are considered to have no major cities, as neither have cities with a population of more than 250</w:t>
      </w:r>
      <w:r w:rsidR="00294A7B">
        <w:t>,</w:t>
      </w:r>
      <w:r w:rsidRPr="00ED299B">
        <w:t>000 persons.</w:t>
      </w:r>
    </w:p>
    <w:p w14:paraId="64335104" w14:textId="77777777" w:rsidR="00DE37C1" w:rsidRDefault="00DE37C1" w:rsidP="00DE37C1">
      <w:pPr>
        <w:pStyle w:val="CGCTablenote"/>
        <w:keepNext/>
      </w:pPr>
      <w:r w:rsidRPr="00ED299B">
        <w:t>Source:</w:t>
      </w:r>
      <w:r w:rsidRPr="00ED299B">
        <w:tab/>
        <w:t>ABS data request.</w:t>
      </w:r>
    </w:p>
    <w:p w14:paraId="1FB804C9" w14:textId="77777777" w:rsidR="00DE37C1" w:rsidRPr="002A1963" w:rsidRDefault="00DE37C1" w:rsidP="00F47EC7">
      <w:pPr>
        <w:pStyle w:val="CGCParaNumber"/>
      </w:pPr>
      <w:r w:rsidRPr="002A1963">
        <w:t xml:space="preserve">Category assessments use either the five remoteness areas, or an aggregation of these into groups, depending on the materiality of each disaggregation or the quality of the </w:t>
      </w:r>
      <w:r>
        <w:t xml:space="preserve">related administrative </w:t>
      </w:r>
      <w:r w:rsidRPr="002A1963">
        <w:t>data. For example</w:t>
      </w:r>
      <w:r>
        <w:t>,</w:t>
      </w:r>
      <w:r w:rsidRPr="002A1963">
        <w:t xml:space="preserve"> in the </w:t>
      </w:r>
      <w:r>
        <w:t xml:space="preserve">Welfare </w:t>
      </w:r>
      <w:r w:rsidRPr="002A1963">
        <w:t>assessment, it is not material to split remote and very remote categories</w:t>
      </w:r>
      <w:r>
        <w:t xml:space="preserve"> for Indigenous child protection and family services</w:t>
      </w:r>
      <w:r w:rsidRPr="002A1963">
        <w:t xml:space="preserve">, so these are grouped together. </w:t>
      </w:r>
    </w:p>
    <w:p w14:paraId="719C4FEF" w14:textId="77777777" w:rsidR="00DE37C1" w:rsidRPr="002A1963" w:rsidRDefault="00DE37C1" w:rsidP="00DE37C1">
      <w:pPr>
        <w:pStyle w:val="Heading4"/>
      </w:pPr>
      <w:r w:rsidRPr="002A1963">
        <w:t xml:space="preserve">Indigenous and socio-economic status </w:t>
      </w:r>
    </w:p>
    <w:p w14:paraId="14B37784" w14:textId="77777777" w:rsidR="00DE37C1" w:rsidRDefault="00DE37C1" w:rsidP="00F47EC7">
      <w:pPr>
        <w:pStyle w:val="CGCParaNumber"/>
      </w:pPr>
      <w:r w:rsidRPr="00247897">
        <w:t xml:space="preserve">One of the attributes of the population that </w:t>
      </w:r>
      <w:r>
        <w:t xml:space="preserve">the Commission uses in its </w:t>
      </w:r>
      <w:r w:rsidRPr="00247897">
        <w:t>ass</w:t>
      </w:r>
      <w:r>
        <w:t xml:space="preserve">essments is SES. In this review, the Commission continued to </w:t>
      </w:r>
      <w:r w:rsidRPr="00247897">
        <w:t>use separate measure</w:t>
      </w:r>
      <w:r>
        <w:t>s</w:t>
      </w:r>
      <w:r w:rsidRPr="00247897">
        <w:t xml:space="preserve"> of SES for Indigenous and non</w:t>
      </w:r>
      <w:r w:rsidRPr="00247897">
        <w:noBreakHyphen/>
        <w:t xml:space="preserve">Indigenous populations. </w:t>
      </w:r>
    </w:p>
    <w:p w14:paraId="43FCC7D0" w14:textId="77777777" w:rsidR="00DE37C1" w:rsidRPr="00247897" w:rsidRDefault="00DE37C1" w:rsidP="00F47EC7">
      <w:pPr>
        <w:pStyle w:val="CGCParaNumber"/>
      </w:pPr>
      <w:r w:rsidRPr="00247897">
        <w:t>The Non-Indigenous Socio-Economic Index for Areas (NISEIFA) was developed for the Commission by the ABS. This index uses the same indicators as the Socio-Economic Index</w:t>
      </w:r>
      <w:r>
        <w:t>es</w:t>
      </w:r>
      <w:r w:rsidRPr="00247897">
        <w:t xml:space="preserve"> for Areas (SEIFA) Index of relative socio</w:t>
      </w:r>
      <w:r w:rsidRPr="00247897">
        <w:noBreakHyphen/>
        <w:t>economic disadvantage.</w:t>
      </w:r>
      <w:r w:rsidRPr="00247897">
        <w:rPr>
          <w:rStyle w:val="FootnoteReference"/>
        </w:rPr>
        <w:footnoteReference w:id="138"/>
      </w:r>
      <w:r>
        <w:t xml:space="preserve"> The Commission </w:t>
      </w:r>
      <w:r w:rsidRPr="00247897">
        <w:t>use</w:t>
      </w:r>
      <w:r>
        <w:t>s</w:t>
      </w:r>
      <w:r w:rsidRPr="00247897">
        <w:t xml:space="preserve"> </w:t>
      </w:r>
      <w:r>
        <w:t>NISEIFA</w:t>
      </w:r>
      <w:r w:rsidRPr="00247897">
        <w:t xml:space="preserve"> to classify the non</w:t>
      </w:r>
      <w:r>
        <w:noBreakHyphen/>
      </w:r>
      <w:r w:rsidRPr="00247897">
        <w:t>Indigenou</w:t>
      </w:r>
      <w:r>
        <w:t>s population into SES quintiles</w:t>
      </w:r>
      <w:r w:rsidRPr="00247897">
        <w:t>. The Indigenous Relative Socio-economic Outcome (IRSEO) index was developed at the Australian National University.</w:t>
      </w:r>
      <w:r w:rsidRPr="00247897">
        <w:rPr>
          <w:rStyle w:val="FootnoteReference"/>
        </w:rPr>
        <w:footnoteReference w:id="139"/>
      </w:r>
      <w:r>
        <w:t xml:space="preserve"> The Commission</w:t>
      </w:r>
      <w:r w:rsidRPr="00247897">
        <w:t xml:space="preserve"> use</w:t>
      </w:r>
      <w:r>
        <w:t>s</w:t>
      </w:r>
      <w:r w:rsidRPr="00247897">
        <w:t xml:space="preserve"> this index to classify the Indigenous population into SES quintiles.</w:t>
      </w:r>
      <w:r>
        <w:t xml:space="preserve"> </w:t>
      </w:r>
      <w:r w:rsidRPr="00247897">
        <w:t>These i</w:t>
      </w:r>
      <w:r>
        <w:t>ndexes are area-based measures</w:t>
      </w:r>
      <w:r w:rsidRPr="00247897">
        <w:t>.</w:t>
      </w:r>
    </w:p>
    <w:p w14:paraId="538A4DA1" w14:textId="73571E7A" w:rsidR="00DE37C1" w:rsidRDefault="00DE37C1" w:rsidP="00F47EC7">
      <w:pPr>
        <w:pStyle w:val="CGCParaNumber"/>
      </w:pPr>
      <w:r>
        <w:fldChar w:fldCharType="begin"/>
      </w:r>
      <w:r>
        <w:instrText xml:space="preserve"> REF _Ref403996976 \h </w:instrText>
      </w:r>
      <w:r>
        <w:fldChar w:fldCharType="separate"/>
      </w:r>
      <w:r w:rsidR="007F721A" w:rsidRPr="00ED299B">
        <w:t>Table </w:t>
      </w:r>
      <w:r w:rsidR="007F721A">
        <w:t>31-</w:t>
      </w:r>
      <w:r w:rsidR="007F721A">
        <w:rPr>
          <w:noProof/>
        </w:rPr>
        <w:t>5</w:t>
      </w:r>
      <w:r>
        <w:fldChar w:fldCharType="end"/>
      </w:r>
      <w:r w:rsidRPr="00247897">
        <w:t xml:space="preserve"> and </w:t>
      </w:r>
      <w:r>
        <w:fldChar w:fldCharType="begin"/>
      </w:r>
      <w:r>
        <w:instrText xml:space="preserve"> REF _Ref403996991 \h </w:instrText>
      </w:r>
      <w:r>
        <w:fldChar w:fldCharType="separate"/>
      </w:r>
      <w:r w:rsidR="007F721A" w:rsidRPr="00ED299B">
        <w:t>Table </w:t>
      </w:r>
      <w:r w:rsidR="007F721A">
        <w:t>31-</w:t>
      </w:r>
      <w:r w:rsidR="007F721A">
        <w:rPr>
          <w:noProof/>
        </w:rPr>
        <w:t>6</w:t>
      </w:r>
      <w:r>
        <w:fldChar w:fldCharType="end"/>
      </w:r>
      <w:r w:rsidRPr="00247897">
        <w:t xml:space="preserve"> provide details of State Indigenous and non-I</w:t>
      </w:r>
      <w:r>
        <w:t xml:space="preserve">ndigenous ERP </w:t>
      </w:r>
      <w:r w:rsidRPr="00247897">
        <w:t>by socio</w:t>
      </w:r>
      <w:r>
        <w:noBreakHyphen/>
      </w:r>
      <w:r w:rsidRPr="00247897">
        <w:t>economic quintiles.</w:t>
      </w:r>
    </w:p>
    <w:p w14:paraId="7BD0F5DF" w14:textId="6CF58D28" w:rsidR="00DE37C1" w:rsidRPr="00ED299B" w:rsidRDefault="00DE37C1" w:rsidP="00DE37C1">
      <w:pPr>
        <w:pStyle w:val="Caption"/>
      </w:pPr>
      <w:bookmarkStart w:id="671" w:name="_Ref403996976"/>
      <w:r w:rsidRPr="00ED299B">
        <w:lastRenderedPageBreak/>
        <w:t>Table </w:t>
      </w:r>
      <w:r>
        <w:t>31-</w:t>
      </w:r>
      <w:fldSimple w:instr=" SEQ Table \* ARABIC ">
        <w:r w:rsidR="007F721A">
          <w:rPr>
            <w:noProof/>
          </w:rPr>
          <w:t>5</w:t>
        </w:r>
      </w:fldSimple>
      <w:bookmarkEnd w:id="671"/>
      <w:r w:rsidRPr="00ED299B">
        <w:tab/>
        <w:t>Indigenous ERP by IRSEO quintile and State, December 201</w:t>
      </w:r>
      <w:r>
        <w:t>8</w:t>
      </w:r>
    </w:p>
    <w:tbl>
      <w:tblPr>
        <w:tblW w:w="9000" w:type="dxa"/>
        <w:tblCellMar>
          <w:left w:w="28" w:type="dxa"/>
        </w:tblCellMar>
        <w:tblLook w:val="04A0" w:firstRow="1" w:lastRow="0" w:firstColumn="1" w:lastColumn="0" w:noHBand="0" w:noVBand="1"/>
      </w:tblPr>
      <w:tblGrid>
        <w:gridCol w:w="2360"/>
        <w:gridCol w:w="760"/>
        <w:gridCol w:w="760"/>
        <w:gridCol w:w="760"/>
        <w:gridCol w:w="760"/>
        <w:gridCol w:w="660"/>
        <w:gridCol w:w="660"/>
        <w:gridCol w:w="660"/>
        <w:gridCol w:w="760"/>
        <w:gridCol w:w="860"/>
      </w:tblGrid>
      <w:tr w:rsidR="00DE37C1" w:rsidRPr="00064F89" w14:paraId="522B4395" w14:textId="77777777" w:rsidTr="0005271E">
        <w:trPr>
          <w:trHeight w:val="379"/>
        </w:trPr>
        <w:tc>
          <w:tcPr>
            <w:tcW w:w="2360" w:type="dxa"/>
            <w:tcBorders>
              <w:top w:val="nil"/>
              <w:left w:val="nil"/>
              <w:bottom w:val="nil"/>
              <w:right w:val="nil"/>
            </w:tcBorders>
            <w:shd w:val="clear" w:color="000000" w:fill="006991"/>
            <w:vAlign w:val="center"/>
            <w:hideMark/>
          </w:tcPr>
          <w:p w14:paraId="1A756ACB"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4F89">
              <w:rPr>
                <w:rFonts w:ascii="Open Sans SemiBold" w:eastAsia="Times New Roman" w:hAnsi="Open Sans SemiBold" w:cs="Open Sans SemiBold"/>
                <w:color w:val="FFFFFF"/>
                <w:sz w:val="16"/>
                <w:szCs w:val="16"/>
                <w:lang w:eastAsia="en-AU"/>
              </w:rPr>
              <w:t> </w:t>
            </w:r>
          </w:p>
        </w:tc>
        <w:tc>
          <w:tcPr>
            <w:tcW w:w="760" w:type="dxa"/>
            <w:tcBorders>
              <w:top w:val="nil"/>
              <w:left w:val="nil"/>
              <w:bottom w:val="nil"/>
              <w:right w:val="nil"/>
            </w:tcBorders>
            <w:shd w:val="clear" w:color="000000" w:fill="006991"/>
            <w:vAlign w:val="center"/>
            <w:hideMark/>
          </w:tcPr>
          <w:p w14:paraId="258EAE1D"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4F89">
              <w:rPr>
                <w:rFonts w:ascii="Open Sans SemiBold" w:eastAsia="Times New Roman" w:hAnsi="Open Sans SemiBold" w:cs="Open Sans SemiBold"/>
                <w:color w:val="FFFFFF"/>
                <w:sz w:val="16"/>
                <w:szCs w:val="16"/>
                <w:lang w:eastAsia="en-AU"/>
              </w:rPr>
              <w:t>NSW</w:t>
            </w:r>
          </w:p>
        </w:tc>
        <w:tc>
          <w:tcPr>
            <w:tcW w:w="760" w:type="dxa"/>
            <w:tcBorders>
              <w:top w:val="nil"/>
              <w:left w:val="nil"/>
              <w:bottom w:val="nil"/>
              <w:right w:val="nil"/>
            </w:tcBorders>
            <w:shd w:val="clear" w:color="000000" w:fill="006991"/>
            <w:vAlign w:val="center"/>
            <w:hideMark/>
          </w:tcPr>
          <w:p w14:paraId="6DBA4322"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4F89">
              <w:rPr>
                <w:rFonts w:ascii="Open Sans SemiBold" w:eastAsia="Times New Roman" w:hAnsi="Open Sans SemiBold" w:cs="Open Sans SemiBold"/>
                <w:color w:val="FFFFFF"/>
                <w:sz w:val="16"/>
                <w:szCs w:val="16"/>
                <w:lang w:eastAsia="en-AU"/>
              </w:rPr>
              <w:t>Vic</w:t>
            </w:r>
          </w:p>
        </w:tc>
        <w:tc>
          <w:tcPr>
            <w:tcW w:w="760" w:type="dxa"/>
            <w:tcBorders>
              <w:top w:val="nil"/>
              <w:left w:val="nil"/>
              <w:bottom w:val="nil"/>
              <w:right w:val="nil"/>
            </w:tcBorders>
            <w:shd w:val="clear" w:color="000000" w:fill="006991"/>
            <w:vAlign w:val="center"/>
            <w:hideMark/>
          </w:tcPr>
          <w:p w14:paraId="1DAE5CD3"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4F89">
              <w:rPr>
                <w:rFonts w:ascii="Open Sans SemiBold" w:eastAsia="Times New Roman" w:hAnsi="Open Sans SemiBold" w:cs="Open Sans SemiBold"/>
                <w:color w:val="FFFFFF"/>
                <w:sz w:val="16"/>
                <w:szCs w:val="16"/>
                <w:lang w:eastAsia="en-AU"/>
              </w:rPr>
              <w:t>Qld</w:t>
            </w:r>
          </w:p>
        </w:tc>
        <w:tc>
          <w:tcPr>
            <w:tcW w:w="760" w:type="dxa"/>
            <w:tcBorders>
              <w:top w:val="nil"/>
              <w:left w:val="nil"/>
              <w:bottom w:val="nil"/>
              <w:right w:val="nil"/>
            </w:tcBorders>
            <w:shd w:val="clear" w:color="000000" w:fill="006991"/>
            <w:vAlign w:val="center"/>
            <w:hideMark/>
          </w:tcPr>
          <w:p w14:paraId="452BCCAA"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4F89">
              <w:rPr>
                <w:rFonts w:ascii="Open Sans SemiBold" w:eastAsia="Times New Roman" w:hAnsi="Open Sans SemiBold" w:cs="Open Sans SemiBold"/>
                <w:color w:val="FFFFFF"/>
                <w:sz w:val="16"/>
                <w:szCs w:val="16"/>
                <w:lang w:eastAsia="en-AU"/>
              </w:rPr>
              <w:t>WA</w:t>
            </w:r>
          </w:p>
        </w:tc>
        <w:tc>
          <w:tcPr>
            <w:tcW w:w="660" w:type="dxa"/>
            <w:tcBorders>
              <w:top w:val="nil"/>
              <w:left w:val="nil"/>
              <w:bottom w:val="nil"/>
              <w:right w:val="nil"/>
            </w:tcBorders>
            <w:shd w:val="clear" w:color="000000" w:fill="006991"/>
            <w:vAlign w:val="center"/>
            <w:hideMark/>
          </w:tcPr>
          <w:p w14:paraId="3C577092"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4F89">
              <w:rPr>
                <w:rFonts w:ascii="Open Sans SemiBold" w:eastAsia="Times New Roman" w:hAnsi="Open Sans SemiBold" w:cs="Open Sans SemiBold"/>
                <w:color w:val="FFFFFF"/>
                <w:sz w:val="16"/>
                <w:szCs w:val="16"/>
                <w:lang w:eastAsia="en-AU"/>
              </w:rPr>
              <w:t>SA</w:t>
            </w:r>
          </w:p>
        </w:tc>
        <w:tc>
          <w:tcPr>
            <w:tcW w:w="660" w:type="dxa"/>
            <w:tcBorders>
              <w:top w:val="nil"/>
              <w:left w:val="nil"/>
              <w:bottom w:val="nil"/>
              <w:right w:val="nil"/>
            </w:tcBorders>
            <w:shd w:val="clear" w:color="000000" w:fill="006991"/>
            <w:vAlign w:val="center"/>
            <w:hideMark/>
          </w:tcPr>
          <w:p w14:paraId="01867094"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4F89">
              <w:rPr>
                <w:rFonts w:ascii="Open Sans SemiBold" w:eastAsia="Times New Roman" w:hAnsi="Open Sans SemiBold" w:cs="Open Sans SemiBold"/>
                <w:color w:val="FFFFFF"/>
                <w:sz w:val="16"/>
                <w:szCs w:val="16"/>
                <w:lang w:eastAsia="en-AU"/>
              </w:rPr>
              <w:t>Tas</w:t>
            </w:r>
          </w:p>
        </w:tc>
        <w:tc>
          <w:tcPr>
            <w:tcW w:w="660" w:type="dxa"/>
            <w:tcBorders>
              <w:top w:val="nil"/>
              <w:left w:val="nil"/>
              <w:bottom w:val="nil"/>
              <w:right w:val="nil"/>
            </w:tcBorders>
            <w:shd w:val="clear" w:color="000000" w:fill="006991"/>
            <w:vAlign w:val="center"/>
            <w:hideMark/>
          </w:tcPr>
          <w:p w14:paraId="1D998195"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4F89">
              <w:rPr>
                <w:rFonts w:ascii="Open Sans SemiBold" w:eastAsia="Times New Roman" w:hAnsi="Open Sans SemiBold" w:cs="Open Sans SemiBold"/>
                <w:color w:val="FFFFFF"/>
                <w:sz w:val="16"/>
                <w:szCs w:val="16"/>
                <w:lang w:eastAsia="en-AU"/>
              </w:rPr>
              <w:t>ACT</w:t>
            </w:r>
          </w:p>
        </w:tc>
        <w:tc>
          <w:tcPr>
            <w:tcW w:w="760" w:type="dxa"/>
            <w:tcBorders>
              <w:top w:val="nil"/>
              <w:left w:val="nil"/>
              <w:bottom w:val="nil"/>
              <w:right w:val="nil"/>
            </w:tcBorders>
            <w:shd w:val="clear" w:color="000000" w:fill="006991"/>
            <w:vAlign w:val="center"/>
            <w:hideMark/>
          </w:tcPr>
          <w:p w14:paraId="250D043A"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4F89">
              <w:rPr>
                <w:rFonts w:ascii="Open Sans SemiBold" w:eastAsia="Times New Roman" w:hAnsi="Open Sans SemiBold" w:cs="Open Sans SemiBold"/>
                <w:color w:val="FFFFFF"/>
                <w:sz w:val="16"/>
                <w:szCs w:val="16"/>
                <w:lang w:eastAsia="en-AU"/>
              </w:rPr>
              <w:t>NT</w:t>
            </w:r>
          </w:p>
        </w:tc>
        <w:tc>
          <w:tcPr>
            <w:tcW w:w="860" w:type="dxa"/>
            <w:tcBorders>
              <w:top w:val="nil"/>
              <w:left w:val="nil"/>
              <w:bottom w:val="nil"/>
              <w:right w:val="nil"/>
            </w:tcBorders>
            <w:shd w:val="clear" w:color="000000" w:fill="006991"/>
            <w:tcMar>
              <w:right w:w="28" w:type="dxa"/>
            </w:tcMar>
            <w:vAlign w:val="center"/>
            <w:hideMark/>
          </w:tcPr>
          <w:p w14:paraId="7F67F4E7"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4F89">
              <w:rPr>
                <w:rFonts w:ascii="Open Sans SemiBold" w:eastAsia="Times New Roman" w:hAnsi="Open Sans SemiBold" w:cs="Open Sans SemiBold"/>
                <w:color w:val="FFFFFF"/>
                <w:sz w:val="16"/>
                <w:szCs w:val="16"/>
                <w:lang w:eastAsia="en-AU"/>
              </w:rPr>
              <w:t>Total</w:t>
            </w:r>
          </w:p>
        </w:tc>
      </w:tr>
      <w:tr w:rsidR="00DE37C1" w:rsidRPr="00064F89" w14:paraId="42BD5607" w14:textId="77777777" w:rsidTr="005F7F6C">
        <w:trPr>
          <w:trHeight w:val="259"/>
        </w:trPr>
        <w:tc>
          <w:tcPr>
            <w:tcW w:w="2360" w:type="dxa"/>
            <w:tcBorders>
              <w:top w:val="single" w:sz="4" w:space="0" w:color="ADD6EA"/>
              <w:left w:val="nil"/>
              <w:bottom w:val="single" w:sz="4" w:space="0" w:color="ADD6EA"/>
              <w:right w:val="nil"/>
            </w:tcBorders>
            <w:shd w:val="clear" w:color="000000" w:fill="B6D5E4"/>
            <w:noWrap/>
            <w:vAlign w:val="center"/>
            <w:hideMark/>
          </w:tcPr>
          <w:p w14:paraId="60CC7E86"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 </w:t>
            </w:r>
          </w:p>
        </w:tc>
        <w:tc>
          <w:tcPr>
            <w:tcW w:w="760" w:type="dxa"/>
            <w:tcBorders>
              <w:top w:val="single" w:sz="4" w:space="0" w:color="ADD6EA"/>
              <w:left w:val="nil"/>
              <w:bottom w:val="single" w:sz="4" w:space="0" w:color="ADD6EA"/>
              <w:right w:val="nil"/>
            </w:tcBorders>
            <w:shd w:val="clear" w:color="000000" w:fill="B6D5E4"/>
            <w:noWrap/>
            <w:vAlign w:val="center"/>
            <w:hideMark/>
          </w:tcPr>
          <w:p w14:paraId="201EBAE4"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55F478FF"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1ED2A302"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11C44B70"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'000</w:t>
            </w:r>
          </w:p>
        </w:tc>
        <w:tc>
          <w:tcPr>
            <w:tcW w:w="660" w:type="dxa"/>
            <w:tcBorders>
              <w:top w:val="single" w:sz="4" w:space="0" w:color="ADD6EA"/>
              <w:left w:val="nil"/>
              <w:bottom w:val="single" w:sz="4" w:space="0" w:color="ADD6EA"/>
              <w:right w:val="nil"/>
            </w:tcBorders>
            <w:shd w:val="clear" w:color="000000" w:fill="B6D5E4"/>
            <w:noWrap/>
            <w:vAlign w:val="center"/>
            <w:hideMark/>
          </w:tcPr>
          <w:p w14:paraId="328EB4A5"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'000</w:t>
            </w:r>
          </w:p>
        </w:tc>
        <w:tc>
          <w:tcPr>
            <w:tcW w:w="660" w:type="dxa"/>
            <w:tcBorders>
              <w:top w:val="single" w:sz="4" w:space="0" w:color="ADD6EA"/>
              <w:left w:val="nil"/>
              <w:bottom w:val="single" w:sz="4" w:space="0" w:color="ADD6EA"/>
              <w:right w:val="nil"/>
            </w:tcBorders>
            <w:shd w:val="clear" w:color="000000" w:fill="B6D5E4"/>
            <w:noWrap/>
            <w:vAlign w:val="center"/>
            <w:hideMark/>
          </w:tcPr>
          <w:p w14:paraId="27B4F72F"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'000</w:t>
            </w:r>
          </w:p>
        </w:tc>
        <w:tc>
          <w:tcPr>
            <w:tcW w:w="660" w:type="dxa"/>
            <w:tcBorders>
              <w:top w:val="single" w:sz="4" w:space="0" w:color="ADD6EA"/>
              <w:left w:val="nil"/>
              <w:bottom w:val="single" w:sz="4" w:space="0" w:color="ADD6EA"/>
              <w:right w:val="nil"/>
            </w:tcBorders>
            <w:shd w:val="clear" w:color="000000" w:fill="B6D5E4"/>
            <w:noWrap/>
            <w:vAlign w:val="center"/>
            <w:hideMark/>
          </w:tcPr>
          <w:p w14:paraId="647B865C"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71DE71C7"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'000</w:t>
            </w:r>
          </w:p>
        </w:tc>
        <w:tc>
          <w:tcPr>
            <w:tcW w:w="860" w:type="dxa"/>
            <w:tcBorders>
              <w:top w:val="single" w:sz="4" w:space="0" w:color="ADD6EA"/>
              <w:left w:val="nil"/>
              <w:bottom w:val="single" w:sz="4" w:space="0" w:color="ADD6EA"/>
              <w:right w:val="nil"/>
            </w:tcBorders>
            <w:shd w:val="clear" w:color="000000" w:fill="B6D5E4"/>
            <w:noWrap/>
            <w:tcMar>
              <w:right w:w="28" w:type="dxa"/>
            </w:tcMar>
            <w:vAlign w:val="center"/>
            <w:hideMark/>
          </w:tcPr>
          <w:p w14:paraId="7DBFD0E1"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'000</w:t>
            </w:r>
          </w:p>
        </w:tc>
      </w:tr>
      <w:tr w:rsidR="00DE37C1" w:rsidRPr="00064F89" w14:paraId="690D68BD"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749A21FB" w14:textId="77777777" w:rsidR="00DE37C1" w:rsidRPr="00064F89" w:rsidRDefault="00DE37C1" w:rsidP="004D65FE">
            <w:pPr>
              <w:keepNext/>
              <w:tabs>
                <w:tab w:val="clear" w:pos="567"/>
              </w:tabs>
              <w:spacing w:before="0" w:line="240" w:lineRule="auto"/>
              <w:rPr>
                <w:rFonts w:eastAsia="Times New Roman" w:cs="Open Sans Light"/>
                <w:color w:val="000000"/>
                <w:sz w:val="16"/>
                <w:szCs w:val="16"/>
                <w:lang w:eastAsia="en-AU"/>
              </w:rPr>
            </w:pPr>
            <w:r w:rsidRPr="00064F89">
              <w:rPr>
                <w:rFonts w:eastAsia="Times New Roman" w:cs="Open Sans Light"/>
                <w:color w:val="000000"/>
                <w:sz w:val="16"/>
                <w:szCs w:val="16"/>
                <w:lang w:eastAsia="en-AU"/>
              </w:rPr>
              <w:t>Most disadvantaged</w:t>
            </w:r>
          </w:p>
        </w:tc>
        <w:tc>
          <w:tcPr>
            <w:tcW w:w="760" w:type="dxa"/>
            <w:tcBorders>
              <w:top w:val="nil"/>
              <w:left w:val="nil"/>
              <w:bottom w:val="single" w:sz="4" w:space="0" w:color="ADD6EA"/>
              <w:right w:val="nil"/>
            </w:tcBorders>
            <w:shd w:val="clear" w:color="000000" w:fill="FFFFFF"/>
            <w:vAlign w:val="bottom"/>
            <w:hideMark/>
          </w:tcPr>
          <w:p w14:paraId="58169969"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26</w:t>
            </w:r>
          </w:p>
        </w:tc>
        <w:tc>
          <w:tcPr>
            <w:tcW w:w="760" w:type="dxa"/>
            <w:tcBorders>
              <w:top w:val="nil"/>
              <w:left w:val="nil"/>
              <w:bottom w:val="single" w:sz="4" w:space="0" w:color="ADD6EA"/>
              <w:right w:val="nil"/>
            </w:tcBorders>
            <w:shd w:val="clear" w:color="000000" w:fill="FFFFFF"/>
            <w:vAlign w:val="bottom"/>
            <w:hideMark/>
          </w:tcPr>
          <w:p w14:paraId="76083B77"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34DE3AC5"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35</w:t>
            </w:r>
          </w:p>
        </w:tc>
        <w:tc>
          <w:tcPr>
            <w:tcW w:w="760" w:type="dxa"/>
            <w:tcBorders>
              <w:top w:val="nil"/>
              <w:left w:val="nil"/>
              <w:bottom w:val="single" w:sz="4" w:space="0" w:color="ADD6EA"/>
              <w:right w:val="nil"/>
            </w:tcBorders>
            <w:shd w:val="clear" w:color="000000" w:fill="FFFFFF"/>
            <w:vAlign w:val="bottom"/>
            <w:hideMark/>
          </w:tcPr>
          <w:p w14:paraId="4C8158D4"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34</w:t>
            </w:r>
          </w:p>
        </w:tc>
        <w:tc>
          <w:tcPr>
            <w:tcW w:w="660" w:type="dxa"/>
            <w:tcBorders>
              <w:top w:val="nil"/>
              <w:left w:val="nil"/>
              <w:bottom w:val="single" w:sz="4" w:space="0" w:color="ADD6EA"/>
              <w:right w:val="nil"/>
            </w:tcBorders>
            <w:shd w:val="clear" w:color="000000" w:fill="FFFFFF"/>
            <w:vAlign w:val="bottom"/>
            <w:hideMark/>
          </w:tcPr>
          <w:p w14:paraId="19399EE0"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8</w:t>
            </w:r>
          </w:p>
        </w:tc>
        <w:tc>
          <w:tcPr>
            <w:tcW w:w="660" w:type="dxa"/>
            <w:tcBorders>
              <w:top w:val="nil"/>
              <w:left w:val="nil"/>
              <w:bottom w:val="single" w:sz="4" w:space="0" w:color="ADD6EA"/>
              <w:right w:val="nil"/>
            </w:tcBorders>
            <w:shd w:val="clear" w:color="000000" w:fill="FFFFFF"/>
            <w:vAlign w:val="bottom"/>
            <w:hideMark/>
          </w:tcPr>
          <w:p w14:paraId="5290B364"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w:t>
            </w:r>
          </w:p>
        </w:tc>
        <w:tc>
          <w:tcPr>
            <w:tcW w:w="660" w:type="dxa"/>
            <w:tcBorders>
              <w:top w:val="nil"/>
              <w:left w:val="nil"/>
              <w:bottom w:val="single" w:sz="4" w:space="0" w:color="ADD6EA"/>
              <w:right w:val="nil"/>
            </w:tcBorders>
            <w:shd w:val="clear" w:color="000000" w:fill="FFFFFF"/>
            <w:vAlign w:val="bottom"/>
            <w:hideMark/>
          </w:tcPr>
          <w:p w14:paraId="143EF021"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4D8ECB93"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53</w:t>
            </w:r>
          </w:p>
        </w:tc>
        <w:tc>
          <w:tcPr>
            <w:tcW w:w="860" w:type="dxa"/>
            <w:tcBorders>
              <w:top w:val="nil"/>
              <w:left w:val="nil"/>
              <w:bottom w:val="single" w:sz="4" w:space="0" w:color="ADD6EA"/>
              <w:right w:val="nil"/>
            </w:tcBorders>
            <w:shd w:val="clear" w:color="000000" w:fill="FFFFFF"/>
            <w:tcMar>
              <w:right w:w="28" w:type="dxa"/>
            </w:tcMar>
            <w:vAlign w:val="bottom"/>
            <w:hideMark/>
          </w:tcPr>
          <w:p w14:paraId="7A2498F8"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157</w:t>
            </w:r>
          </w:p>
        </w:tc>
      </w:tr>
      <w:tr w:rsidR="00DE37C1" w:rsidRPr="00064F89" w14:paraId="47349716"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4278043C" w14:textId="77777777" w:rsidR="00DE37C1" w:rsidRPr="00064F89" w:rsidRDefault="00DE37C1" w:rsidP="004D65FE">
            <w:pPr>
              <w:keepNext/>
              <w:tabs>
                <w:tab w:val="clear" w:pos="567"/>
              </w:tabs>
              <w:spacing w:before="0" w:line="240" w:lineRule="auto"/>
              <w:rPr>
                <w:rFonts w:eastAsia="Times New Roman" w:cs="Open Sans Light"/>
                <w:color w:val="000000"/>
                <w:sz w:val="16"/>
                <w:szCs w:val="16"/>
                <w:lang w:eastAsia="en-AU"/>
              </w:rPr>
            </w:pPr>
            <w:r w:rsidRPr="00064F89">
              <w:rPr>
                <w:rFonts w:eastAsia="Times New Roman" w:cs="Open Sans Light"/>
                <w:color w:val="000000"/>
                <w:sz w:val="16"/>
                <w:szCs w:val="16"/>
                <w:lang w:eastAsia="en-AU"/>
              </w:rPr>
              <w:t>2nd most disadvantaged</w:t>
            </w:r>
          </w:p>
        </w:tc>
        <w:tc>
          <w:tcPr>
            <w:tcW w:w="760" w:type="dxa"/>
            <w:tcBorders>
              <w:top w:val="nil"/>
              <w:left w:val="nil"/>
              <w:bottom w:val="single" w:sz="4" w:space="0" w:color="ADD6EA"/>
              <w:right w:val="nil"/>
            </w:tcBorders>
            <w:shd w:val="clear" w:color="000000" w:fill="FFFFFF"/>
            <w:vAlign w:val="bottom"/>
            <w:hideMark/>
          </w:tcPr>
          <w:p w14:paraId="11474904"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54</w:t>
            </w:r>
          </w:p>
        </w:tc>
        <w:tc>
          <w:tcPr>
            <w:tcW w:w="760" w:type="dxa"/>
            <w:tcBorders>
              <w:top w:val="nil"/>
              <w:left w:val="nil"/>
              <w:bottom w:val="single" w:sz="4" w:space="0" w:color="ADD6EA"/>
              <w:right w:val="nil"/>
            </w:tcBorders>
            <w:shd w:val="clear" w:color="000000" w:fill="FFFFFF"/>
            <w:vAlign w:val="bottom"/>
            <w:hideMark/>
          </w:tcPr>
          <w:p w14:paraId="76C8E269"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8</w:t>
            </w:r>
          </w:p>
        </w:tc>
        <w:tc>
          <w:tcPr>
            <w:tcW w:w="760" w:type="dxa"/>
            <w:tcBorders>
              <w:top w:val="nil"/>
              <w:left w:val="nil"/>
              <w:bottom w:val="single" w:sz="4" w:space="0" w:color="ADD6EA"/>
              <w:right w:val="nil"/>
            </w:tcBorders>
            <w:shd w:val="clear" w:color="000000" w:fill="FFFFFF"/>
            <w:vAlign w:val="bottom"/>
            <w:hideMark/>
          </w:tcPr>
          <w:p w14:paraId="13A2CCAF"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62</w:t>
            </w:r>
          </w:p>
        </w:tc>
        <w:tc>
          <w:tcPr>
            <w:tcW w:w="760" w:type="dxa"/>
            <w:tcBorders>
              <w:top w:val="nil"/>
              <w:left w:val="nil"/>
              <w:bottom w:val="single" w:sz="4" w:space="0" w:color="ADD6EA"/>
              <w:right w:val="nil"/>
            </w:tcBorders>
            <w:shd w:val="clear" w:color="000000" w:fill="FFFFFF"/>
            <w:vAlign w:val="bottom"/>
            <w:hideMark/>
          </w:tcPr>
          <w:p w14:paraId="679316D6"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30</w:t>
            </w:r>
          </w:p>
        </w:tc>
        <w:tc>
          <w:tcPr>
            <w:tcW w:w="660" w:type="dxa"/>
            <w:tcBorders>
              <w:top w:val="nil"/>
              <w:left w:val="nil"/>
              <w:bottom w:val="single" w:sz="4" w:space="0" w:color="ADD6EA"/>
              <w:right w:val="nil"/>
            </w:tcBorders>
            <w:shd w:val="clear" w:color="000000" w:fill="FFFFFF"/>
            <w:vAlign w:val="bottom"/>
            <w:hideMark/>
          </w:tcPr>
          <w:p w14:paraId="10DFF19A"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16</w:t>
            </w:r>
          </w:p>
        </w:tc>
        <w:tc>
          <w:tcPr>
            <w:tcW w:w="660" w:type="dxa"/>
            <w:tcBorders>
              <w:top w:val="nil"/>
              <w:left w:val="nil"/>
              <w:bottom w:val="single" w:sz="4" w:space="0" w:color="ADD6EA"/>
              <w:right w:val="nil"/>
            </w:tcBorders>
            <w:shd w:val="clear" w:color="000000" w:fill="FFFFFF"/>
            <w:vAlign w:val="bottom"/>
            <w:hideMark/>
          </w:tcPr>
          <w:p w14:paraId="7A445CF6"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w:t>
            </w:r>
          </w:p>
        </w:tc>
        <w:tc>
          <w:tcPr>
            <w:tcW w:w="660" w:type="dxa"/>
            <w:tcBorders>
              <w:top w:val="nil"/>
              <w:left w:val="nil"/>
              <w:bottom w:val="single" w:sz="4" w:space="0" w:color="ADD6EA"/>
              <w:right w:val="nil"/>
            </w:tcBorders>
            <w:shd w:val="clear" w:color="000000" w:fill="FFFFFF"/>
            <w:vAlign w:val="bottom"/>
            <w:hideMark/>
          </w:tcPr>
          <w:p w14:paraId="2BAF362A"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7BBDB934"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w:t>
            </w:r>
          </w:p>
        </w:tc>
        <w:tc>
          <w:tcPr>
            <w:tcW w:w="860" w:type="dxa"/>
            <w:tcBorders>
              <w:top w:val="nil"/>
              <w:left w:val="nil"/>
              <w:bottom w:val="single" w:sz="4" w:space="0" w:color="ADD6EA"/>
              <w:right w:val="nil"/>
            </w:tcBorders>
            <w:shd w:val="clear" w:color="000000" w:fill="FFFFFF"/>
            <w:tcMar>
              <w:right w:w="28" w:type="dxa"/>
            </w:tcMar>
            <w:vAlign w:val="bottom"/>
            <w:hideMark/>
          </w:tcPr>
          <w:p w14:paraId="3876F8D3"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171</w:t>
            </w:r>
          </w:p>
        </w:tc>
      </w:tr>
      <w:tr w:rsidR="00DE37C1" w:rsidRPr="00064F89" w14:paraId="07E47240"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4794F811" w14:textId="77777777" w:rsidR="00DE37C1" w:rsidRPr="00064F89" w:rsidRDefault="00DE37C1" w:rsidP="004D65FE">
            <w:pPr>
              <w:keepNext/>
              <w:tabs>
                <w:tab w:val="clear" w:pos="567"/>
              </w:tabs>
              <w:spacing w:before="0" w:line="240" w:lineRule="auto"/>
              <w:rPr>
                <w:rFonts w:eastAsia="Times New Roman" w:cs="Open Sans Light"/>
                <w:color w:val="000000"/>
                <w:sz w:val="16"/>
                <w:szCs w:val="16"/>
                <w:lang w:eastAsia="en-AU"/>
              </w:rPr>
            </w:pPr>
            <w:r w:rsidRPr="00064F89">
              <w:rPr>
                <w:rFonts w:eastAsia="Times New Roman" w:cs="Open Sans Light"/>
                <w:color w:val="000000"/>
                <w:sz w:val="16"/>
                <w:szCs w:val="16"/>
                <w:lang w:eastAsia="en-AU"/>
              </w:rPr>
              <w:t>Middle quintile</w:t>
            </w:r>
          </w:p>
        </w:tc>
        <w:tc>
          <w:tcPr>
            <w:tcW w:w="760" w:type="dxa"/>
            <w:tcBorders>
              <w:top w:val="nil"/>
              <w:left w:val="nil"/>
              <w:bottom w:val="single" w:sz="4" w:space="0" w:color="ADD6EA"/>
              <w:right w:val="nil"/>
            </w:tcBorders>
            <w:shd w:val="clear" w:color="000000" w:fill="FFFFFF"/>
            <w:vAlign w:val="bottom"/>
            <w:hideMark/>
          </w:tcPr>
          <w:p w14:paraId="38FD6C2F"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57</w:t>
            </w:r>
          </w:p>
        </w:tc>
        <w:tc>
          <w:tcPr>
            <w:tcW w:w="760" w:type="dxa"/>
            <w:tcBorders>
              <w:top w:val="nil"/>
              <w:left w:val="nil"/>
              <w:bottom w:val="single" w:sz="4" w:space="0" w:color="ADD6EA"/>
              <w:right w:val="nil"/>
            </w:tcBorders>
            <w:shd w:val="clear" w:color="000000" w:fill="FFFFFF"/>
            <w:vAlign w:val="bottom"/>
            <w:hideMark/>
          </w:tcPr>
          <w:p w14:paraId="6D2C0FE7"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9</w:t>
            </w:r>
          </w:p>
        </w:tc>
        <w:tc>
          <w:tcPr>
            <w:tcW w:w="760" w:type="dxa"/>
            <w:tcBorders>
              <w:top w:val="nil"/>
              <w:left w:val="nil"/>
              <w:bottom w:val="single" w:sz="4" w:space="0" w:color="ADD6EA"/>
              <w:right w:val="nil"/>
            </w:tcBorders>
            <w:shd w:val="clear" w:color="000000" w:fill="FFFFFF"/>
            <w:vAlign w:val="bottom"/>
            <w:hideMark/>
          </w:tcPr>
          <w:p w14:paraId="4E6B0009"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56</w:t>
            </w:r>
          </w:p>
        </w:tc>
        <w:tc>
          <w:tcPr>
            <w:tcW w:w="760" w:type="dxa"/>
            <w:tcBorders>
              <w:top w:val="nil"/>
              <w:left w:val="nil"/>
              <w:bottom w:val="single" w:sz="4" w:space="0" w:color="ADD6EA"/>
              <w:right w:val="nil"/>
            </w:tcBorders>
            <w:shd w:val="clear" w:color="000000" w:fill="FFFFFF"/>
            <w:vAlign w:val="bottom"/>
            <w:hideMark/>
          </w:tcPr>
          <w:p w14:paraId="79ED417E"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17</w:t>
            </w:r>
          </w:p>
        </w:tc>
        <w:tc>
          <w:tcPr>
            <w:tcW w:w="660" w:type="dxa"/>
            <w:tcBorders>
              <w:top w:val="nil"/>
              <w:left w:val="nil"/>
              <w:bottom w:val="single" w:sz="4" w:space="0" w:color="ADD6EA"/>
              <w:right w:val="nil"/>
            </w:tcBorders>
            <w:shd w:val="clear" w:color="000000" w:fill="FFFFFF"/>
            <w:vAlign w:val="bottom"/>
            <w:hideMark/>
          </w:tcPr>
          <w:p w14:paraId="1DF67204"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4</w:t>
            </w:r>
          </w:p>
        </w:tc>
        <w:tc>
          <w:tcPr>
            <w:tcW w:w="660" w:type="dxa"/>
            <w:tcBorders>
              <w:top w:val="nil"/>
              <w:left w:val="nil"/>
              <w:bottom w:val="single" w:sz="4" w:space="0" w:color="ADD6EA"/>
              <w:right w:val="nil"/>
            </w:tcBorders>
            <w:shd w:val="clear" w:color="000000" w:fill="FFFFFF"/>
            <w:vAlign w:val="bottom"/>
            <w:hideMark/>
          </w:tcPr>
          <w:p w14:paraId="1280C505"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4</w:t>
            </w:r>
          </w:p>
        </w:tc>
        <w:tc>
          <w:tcPr>
            <w:tcW w:w="660" w:type="dxa"/>
            <w:tcBorders>
              <w:top w:val="nil"/>
              <w:left w:val="nil"/>
              <w:bottom w:val="single" w:sz="4" w:space="0" w:color="ADD6EA"/>
              <w:right w:val="nil"/>
            </w:tcBorders>
            <w:shd w:val="clear" w:color="000000" w:fill="FFFFFF"/>
            <w:vAlign w:val="bottom"/>
            <w:hideMark/>
          </w:tcPr>
          <w:p w14:paraId="711301D1"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0139A731"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8</w:t>
            </w:r>
          </w:p>
        </w:tc>
        <w:tc>
          <w:tcPr>
            <w:tcW w:w="860" w:type="dxa"/>
            <w:tcBorders>
              <w:top w:val="nil"/>
              <w:left w:val="nil"/>
              <w:bottom w:val="single" w:sz="4" w:space="0" w:color="ADD6EA"/>
              <w:right w:val="nil"/>
            </w:tcBorders>
            <w:shd w:val="clear" w:color="000000" w:fill="FFFFFF"/>
            <w:tcMar>
              <w:right w:w="28" w:type="dxa"/>
            </w:tcMar>
            <w:vAlign w:val="bottom"/>
            <w:hideMark/>
          </w:tcPr>
          <w:p w14:paraId="1BCFA472"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156</w:t>
            </w:r>
          </w:p>
        </w:tc>
      </w:tr>
      <w:tr w:rsidR="00DE37C1" w:rsidRPr="00064F89" w14:paraId="5A5C2254"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61FFAF24" w14:textId="77777777" w:rsidR="00DE37C1" w:rsidRPr="00064F89" w:rsidRDefault="00DE37C1" w:rsidP="004D65FE">
            <w:pPr>
              <w:keepNext/>
              <w:tabs>
                <w:tab w:val="clear" w:pos="567"/>
              </w:tabs>
              <w:spacing w:before="0" w:line="240" w:lineRule="auto"/>
              <w:rPr>
                <w:rFonts w:eastAsia="Times New Roman" w:cs="Open Sans Light"/>
                <w:color w:val="000000"/>
                <w:sz w:val="16"/>
                <w:szCs w:val="16"/>
                <w:lang w:eastAsia="en-AU"/>
              </w:rPr>
            </w:pPr>
            <w:r w:rsidRPr="00064F89">
              <w:rPr>
                <w:rFonts w:eastAsia="Times New Roman" w:cs="Open Sans Light"/>
                <w:color w:val="000000"/>
                <w:sz w:val="16"/>
                <w:szCs w:val="16"/>
                <w:lang w:eastAsia="en-AU"/>
              </w:rPr>
              <w:t>2nd least disadvantaged</w:t>
            </w:r>
          </w:p>
        </w:tc>
        <w:tc>
          <w:tcPr>
            <w:tcW w:w="760" w:type="dxa"/>
            <w:tcBorders>
              <w:top w:val="nil"/>
              <w:left w:val="nil"/>
              <w:bottom w:val="single" w:sz="4" w:space="0" w:color="ADD6EA"/>
              <w:right w:val="nil"/>
            </w:tcBorders>
            <w:shd w:val="clear" w:color="000000" w:fill="FFFFFF"/>
            <w:vAlign w:val="bottom"/>
            <w:hideMark/>
          </w:tcPr>
          <w:p w14:paraId="28EEEEE1"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79</w:t>
            </w:r>
          </w:p>
        </w:tc>
        <w:tc>
          <w:tcPr>
            <w:tcW w:w="760" w:type="dxa"/>
            <w:tcBorders>
              <w:top w:val="nil"/>
              <w:left w:val="nil"/>
              <w:bottom w:val="single" w:sz="4" w:space="0" w:color="ADD6EA"/>
              <w:right w:val="nil"/>
            </w:tcBorders>
            <w:shd w:val="clear" w:color="000000" w:fill="FFFFFF"/>
            <w:vAlign w:val="bottom"/>
            <w:hideMark/>
          </w:tcPr>
          <w:p w14:paraId="714EF405"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13</w:t>
            </w:r>
          </w:p>
        </w:tc>
        <w:tc>
          <w:tcPr>
            <w:tcW w:w="760" w:type="dxa"/>
            <w:tcBorders>
              <w:top w:val="nil"/>
              <w:left w:val="nil"/>
              <w:bottom w:val="single" w:sz="4" w:space="0" w:color="ADD6EA"/>
              <w:right w:val="nil"/>
            </w:tcBorders>
            <w:shd w:val="clear" w:color="000000" w:fill="FFFFFF"/>
            <w:vAlign w:val="bottom"/>
            <w:hideMark/>
          </w:tcPr>
          <w:p w14:paraId="7CF44C30"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30</w:t>
            </w:r>
          </w:p>
        </w:tc>
        <w:tc>
          <w:tcPr>
            <w:tcW w:w="760" w:type="dxa"/>
            <w:tcBorders>
              <w:top w:val="nil"/>
              <w:left w:val="nil"/>
              <w:bottom w:val="single" w:sz="4" w:space="0" w:color="ADD6EA"/>
              <w:right w:val="nil"/>
            </w:tcBorders>
            <w:shd w:val="clear" w:color="000000" w:fill="FFFFFF"/>
            <w:vAlign w:val="bottom"/>
            <w:hideMark/>
          </w:tcPr>
          <w:p w14:paraId="431BCEB0"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20</w:t>
            </w:r>
          </w:p>
        </w:tc>
        <w:tc>
          <w:tcPr>
            <w:tcW w:w="660" w:type="dxa"/>
            <w:tcBorders>
              <w:top w:val="nil"/>
              <w:left w:val="nil"/>
              <w:bottom w:val="single" w:sz="4" w:space="0" w:color="ADD6EA"/>
              <w:right w:val="nil"/>
            </w:tcBorders>
            <w:shd w:val="clear" w:color="000000" w:fill="FFFFFF"/>
            <w:vAlign w:val="bottom"/>
            <w:hideMark/>
          </w:tcPr>
          <w:p w14:paraId="1CD51C84"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10</w:t>
            </w:r>
          </w:p>
        </w:tc>
        <w:tc>
          <w:tcPr>
            <w:tcW w:w="660" w:type="dxa"/>
            <w:tcBorders>
              <w:top w:val="nil"/>
              <w:left w:val="nil"/>
              <w:bottom w:val="single" w:sz="4" w:space="0" w:color="ADD6EA"/>
              <w:right w:val="nil"/>
            </w:tcBorders>
            <w:shd w:val="clear" w:color="000000" w:fill="FFFFFF"/>
            <w:vAlign w:val="bottom"/>
            <w:hideMark/>
          </w:tcPr>
          <w:p w14:paraId="36B3C0FB"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19</w:t>
            </w:r>
          </w:p>
        </w:tc>
        <w:tc>
          <w:tcPr>
            <w:tcW w:w="660" w:type="dxa"/>
            <w:tcBorders>
              <w:top w:val="nil"/>
              <w:left w:val="nil"/>
              <w:bottom w:val="single" w:sz="4" w:space="0" w:color="ADD6EA"/>
              <w:right w:val="nil"/>
            </w:tcBorders>
            <w:shd w:val="clear" w:color="000000" w:fill="FFFFFF"/>
            <w:vAlign w:val="bottom"/>
            <w:hideMark/>
          </w:tcPr>
          <w:p w14:paraId="28FF2C89"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w:t>
            </w:r>
          </w:p>
        </w:tc>
        <w:tc>
          <w:tcPr>
            <w:tcW w:w="760" w:type="dxa"/>
            <w:tcBorders>
              <w:top w:val="nil"/>
              <w:left w:val="nil"/>
              <w:bottom w:val="single" w:sz="4" w:space="0" w:color="ADD6EA"/>
              <w:right w:val="nil"/>
            </w:tcBorders>
            <w:shd w:val="clear" w:color="000000" w:fill="FFFFFF"/>
            <w:vAlign w:val="bottom"/>
            <w:hideMark/>
          </w:tcPr>
          <w:p w14:paraId="605C44F5"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8</w:t>
            </w:r>
          </w:p>
        </w:tc>
        <w:tc>
          <w:tcPr>
            <w:tcW w:w="860" w:type="dxa"/>
            <w:tcBorders>
              <w:top w:val="nil"/>
              <w:left w:val="nil"/>
              <w:bottom w:val="single" w:sz="4" w:space="0" w:color="ADD6EA"/>
              <w:right w:val="nil"/>
            </w:tcBorders>
            <w:shd w:val="clear" w:color="000000" w:fill="FFFFFF"/>
            <w:tcMar>
              <w:right w:w="28" w:type="dxa"/>
            </w:tcMar>
            <w:vAlign w:val="bottom"/>
            <w:hideMark/>
          </w:tcPr>
          <w:p w14:paraId="4ECE45E4"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178</w:t>
            </w:r>
          </w:p>
        </w:tc>
      </w:tr>
      <w:tr w:rsidR="00DE37C1" w:rsidRPr="00064F89" w14:paraId="2435E4B0"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1B9DDCF0" w14:textId="77777777" w:rsidR="00DE37C1" w:rsidRPr="00064F89" w:rsidRDefault="00DE37C1" w:rsidP="004D65FE">
            <w:pPr>
              <w:keepNext/>
              <w:tabs>
                <w:tab w:val="clear" w:pos="567"/>
              </w:tabs>
              <w:spacing w:before="0" w:line="240" w:lineRule="auto"/>
              <w:rPr>
                <w:rFonts w:eastAsia="Times New Roman" w:cs="Open Sans Light"/>
                <w:color w:val="000000"/>
                <w:sz w:val="16"/>
                <w:szCs w:val="16"/>
                <w:lang w:eastAsia="en-AU"/>
              </w:rPr>
            </w:pPr>
            <w:r w:rsidRPr="00064F89">
              <w:rPr>
                <w:rFonts w:eastAsia="Times New Roman" w:cs="Open Sans Light"/>
                <w:color w:val="000000"/>
                <w:sz w:val="16"/>
                <w:szCs w:val="16"/>
                <w:lang w:eastAsia="en-AU"/>
              </w:rPr>
              <w:t>Least disadvantaged</w:t>
            </w:r>
          </w:p>
        </w:tc>
        <w:tc>
          <w:tcPr>
            <w:tcW w:w="760" w:type="dxa"/>
            <w:tcBorders>
              <w:top w:val="nil"/>
              <w:left w:val="nil"/>
              <w:bottom w:val="single" w:sz="4" w:space="0" w:color="ADD6EA"/>
              <w:right w:val="nil"/>
            </w:tcBorders>
            <w:shd w:val="clear" w:color="000000" w:fill="FFFFFF"/>
            <w:vAlign w:val="bottom"/>
            <w:hideMark/>
          </w:tcPr>
          <w:p w14:paraId="1231B6A9"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62</w:t>
            </w:r>
          </w:p>
        </w:tc>
        <w:tc>
          <w:tcPr>
            <w:tcW w:w="760" w:type="dxa"/>
            <w:tcBorders>
              <w:top w:val="nil"/>
              <w:left w:val="nil"/>
              <w:bottom w:val="single" w:sz="4" w:space="0" w:color="ADD6EA"/>
              <w:right w:val="nil"/>
            </w:tcBorders>
            <w:shd w:val="clear" w:color="000000" w:fill="FFFFFF"/>
            <w:vAlign w:val="bottom"/>
            <w:hideMark/>
          </w:tcPr>
          <w:p w14:paraId="18393236"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31</w:t>
            </w:r>
          </w:p>
        </w:tc>
        <w:tc>
          <w:tcPr>
            <w:tcW w:w="760" w:type="dxa"/>
            <w:tcBorders>
              <w:top w:val="nil"/>
              <w:left w:val="nil"/>
              <w:bottom w:val="single" w:sz="4" w:space="0" w:color="ADD6EA"/>
              <w:right w:val="nil"/>
            </w:tcBorders>
            <w:shd w:val="clear" w:color="000000" w:fill="FFFFFF"/>
            <w:vAlign w:val="bottom"/>
            <w:hideMark/>
          </w:tcPr>
          <w:p w14:paraId="6547F9A9"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51</w:t>
            </w:r>
          </w:p>
        </w:tc>
        <w:tc>
          <w:tcPr>
            <w:tcW w:w="760" w:type="dxa"/>
            <w:tcBorders>
              <w:top w:val="nil"/>
              <w:left w:val="nil"/>
              <w:bottom w:val="single" w:sz="4" w:space="0" w:color="ADD6EA"/>
              <w:right w:val="nil"/>
            </w:tcBorders>
            <w:shd w:val="clear" w:color="000000" w:fill="FFFFFF"/>
            <w:vAlign w:val="bottom"/>
            <w:hideMark/>
          </w:tcPr>
          <w:p w14:paraId="1541C381"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4</w:t>
            </w:r>
          </w:p>
        </w:tc>
        <w:tc>
          <w:tcPr>
            <w:tcW w:w="660" w:type="dxa"/>
            <w:tcBorders>
              <w:top w:val="nil"/>
              <w:left w:val="nil"/>
              <w:bottom w:val="single" w:sz="4" w:space="0" w:color="ADD6EA"/>
              <w:right w:val="nil"/>
            </w:tcBorders>
            <w:shd w:val="clear" w:color="000000" w:fill="FFFFFF"/>
            <w:vAlign w:val="bottom"/>
            <w:hideMark/>
          </w:tcPr>
          <w:p w14:paraId="16F5F00D"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5</w:t>
            </w:r>
          </w:p>
        </w:tc>
        <w:tc>
          <w:tcPr>
            <w:tcW w:w="660" w:type="dxa"/>
            <w:tcBorders>
              <w:top w:val="nil"/>
              <w:left w:val="nil"/>
              <w:bottom w:val="single" w:sz="4" w:space="0" w:color="ADD6EA"/>
              <w:right w:val="nil"/>
            </w:tcBorders>
            <w:shd w:val="clear" w:color="000000" w:fill="FFFFFF"/>
            <w:vAlign w:val="bottom"/>
            <w:hideMark/>
          </w:tcPr>
          <w:p w14:paraId="7406E16F"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5</w:t>
            </w:r>
          </w:p>
        </w:tc>
        <w:tc>
          <w:tcPr>
            <w:tcW w:w="660" w:type="dxa"/>
            <w:tcBorders>
              <w:top w:val="nil"/>
              <w:left w:val="nil"/>
              <w:bottom w:val="single" w:sz="4" w:space="0" w:color="ADD6EA"/>
              <w:right w:val="nil"/>
            </w:tcBorders>
            <w:shd w:val="clear" w:color="000000" w:fill="FFFFFF"/>
            <w:vAlign w:val="bottom"/>
            <w:hideMark/>
          </w:tcPr>
          <w:p w14:paraId="470360CD"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8</w:t>
            </w:r>
          </w:p>
        </w:tc>
        <w:tc>
          <w:tcPr>
            <w:tcW w:w="760" w:type="dxa"/>
            <w:tcBorders>
              <w:top w:val="nil"/>
              <w:left w:val="nil"/>
              <w:bottom w:val="single" w:sz="4" w:space="0" w:color="ADD6EA"/>
              <w:right w:val="nil"/>
            </w:tcBorders>
            <w:shd w:val="clear" w:color="000000" w:fill="FFFFFF"/>
            <w:vAlign w:val="bottom"/>
            <w:hideMark/>
          </w:tcPr>
          <w:p w14:paraId="67A56D84"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7</w:t>
            </w:r>
          </w:p>
        </w:tc>
        <w:tc>
          <w:tcPr>
            <w:tcW w:w="860" w:type="dxa"/>
            <w:tcBorders>
              <w:top w:val="nil"/>
              <w:left w:val="nil"/>
              <w:bottom w:val="single" w:sz="4" w:space="0" w:color="ADD6EA"/>
              <w:right w:val="nil"/>
            </w:tcBorders>
            <w:shd w:val="clear" w:color="000000" w:fill="FFFFFF"/>
            <w:tcMar>
              <w:right w:w="28" w:type="dxa"/>
            </w:tcMar>
            <w:vAlign w:val="bottom"/>
            <w:hideMark/>
          </w:tcPr>
          <w:p w14:paraId="50674103"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173</w:t>
            </w:r>
          </w:p>
        </w:tc>
      </w:tr>
      <w:tr w:rsidR="00DE37C1" w:rsidRPr="00064F89" w14:paraId="73E9B08A" w14:textId="77777777" w:rsidTr="0005271E">
        <w:trPr>
          <w:trHeight w:val="315"/>
        </w:trPr>
        <w:tc>
          <w:tcPr>
            <w:tcW w:w="2360" w:type="dxa"/>
            <w:tcBorders>
              <w:top w:val="nil"/>
              <w:left w:val="nil"/>
              <w:bottom w:val="single" w:sz="4" w:space="0" w:color="ADD6EA"/>
              <w:right w:val="nil"/>
            </w:tcBorders>
            <w:shd w:val="clear" w:color="000000" w:fill="D6E7F0"/>
            <w:vAlign w:val="bottom"/>
            <w:hideMark/>
          </w:tcPr>
          <w:p w14:paraId="4292EA30" w14:textId="77777777" w:rsidR="00DE37C1" w:rsidRPr="00064F89" w:rsidRDefault="00DE37C1" w:rsidP="004D65FE">
            <w:pPr>
              <w:keepNext/>
              <w:tabs>
                <w:tab w:val="clear" w:pos="567"/>
              </w:tabs>
              <w:spacing w:before="0" w:line="240" w:lineRule="auto"/>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192EFA66"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278</w:t>
            </w:r>
          </w:p>
        </w:tc>
        <w:tc>
          <w:tcPr>
            <w:tcW w:w="760" w:type="dxa"/>
            <w:tcBorders>
              <w:top w:val="nil"/>
              <w:left w:val="nil"/>
              <w:bottom w:val="single" w:sz="4" w:space="0" w:color="ADD6EA"/>
              <w:right w:val="nil"/>
            </w:tcBorders>
            <w:shd w:val="clear" w:color="000000" w:fill="D6E7F0"/>
            <w:vAlign w:val="bottom"/>
            <w:hideMark/>
          </w:tcPr>
          <w:p w14:paraId="3A48CF0E"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61</w:t>
            </w:r>
          </w:p>
        </w:tc>
        <w:tc>
          <w:tcPr>
            <w:tcW w:w="760" w:type="dxa"/>
            <w:tcBorders>
              <w:top w:val="nil"/>
              <w:left w:val="nil"/>
              <w:bottom w:val="single" w:sz="4" w:space="0" w:color="ADD6EA"/>
              <w:right w:val="nil"/>
            </w:tcBorders>
            <w:shd w:val="clear" w:color="000000" w:fill="D6E7F0"/>
            <w:vAlign w:val="bottom"/>
            <w:hideMark/>
          </w:tcPr>
          <w:p w14:paraId="163C282D"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233</w:t>
            </w:r>
          </w:p>
        </w:tc>
        <w:tc>
          <w:tcPr>
            <w:tcW w:w="760" w:type="dxa"/>
            <w:tcBorders>
              <w:top w:val="nil"/>
              <w:left w:val="nil"/>
              <w:bottom w:val="single" w:sz="4" w:space="0" w:color="ADD6EA"/>
              <w:right w:val="nil"/>
            </w:tcBorders>
            <w:shd w:val="clear" w:color="000000" w:fill="D6E7F0"/>
            <w:vAlign w:val="bottom"/>
            <w:hideMark/>
          </w:tcPr>
          <w:p w14:paraId="1CDE02E4"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105</w:t>
            </w:r>
          </w:p>
        </w:tc>
        <w:tc>
          <w:tcPr>
            <w:tcW w:w="660" w:type="dxa"/>
            <w:tcBorders>
              <w:top w:val="nil"/>
              <w:left w:val="nil"/>
              <w:bottom w:val="single" w:sz="4" w:space="0" w:color="ADD6EA"/>
              <w:right w:val="nil"/>
            </w:tcBorders>
            <w:shd w:val="clear" w:color="000000" w:fill="D6E7F0"/>
            <w:vAlign w:val="bottom"/>
            <w:hideMark/>
          </w:tcPr>
          <w:p w14:paraId="0C21B5AE"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44</w:t>
            </w:r>
          </w:p>
        </w:tc>
        <w:tc>
          <w:tcPr>
            <w:tcW w:w="660" w:type="dxa"/>
            <w:tcBorders>
              <w:top w:val="nil"/>
              <w:left w:val="nil"/>
              <w:bottom w:val="single" w:sz="4" w:space="0" w:color="ADD6EA"/>
              <w:right w:val="nil"/>
            </w:tcBorders>
            <w:shd w:val="clear" w:color="000000" w:fill="D6E7F0"/>
            <w:vAlign w:val="bottom"/>
            <w:hideMark/>
          </w:tcPr>
          <w:p w14:paraId="04438751"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30</w:t>
            </w:r>
          </w:p>
        </w:tc>
        <w:tc>
          <w:tcPr>
            <w:tcW w:w="660" w:type="dxa"/>
            <w:tcBorders>
              <w:top w:val="nil"/>
              <w:left w:val="nil"/>
              <w:bottom w:val="single" w:sz="4" w:space="0" w:color="ADD6EA"/>
              <w:right w:val="nil"/>
            </w:tcBorders>
            <w:shd w:val="clear" w:color="000000" w:fill="D6E7F0"/>
            <w:vAlign w:val="bottom"/>
            <w:hideMark/>
          </w:tcPr>
          <w:p w14:paraId="2DAADD42"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8</w:t>
            </w:r>
          </w:p>
        </w:tc>
        <w:tc>
          <w:tcPr>
            <w:tcW w:w="760" w:type="dxa"/>
            <w:tcBorders>
              <w:top w:val="nil"/>
              <w:left w:val="nil"/>
              <w:bottom w:val="single" w:sz="4" w:space="0" w:color="ADD6EA"/>
              <w:right w:val="nil"/>
            </w:tcBorders>
            <w:shd w:val="clear" w:color="000000" w:fill="D6E7F0"/>
            <w:vAlign w:val="bottom"/>
            <w:hideMark/>
          </w:tcPr>
          <w:p w14:paraId="0EF6F49D"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76</w:t>
            </w:r>
          </w:p>
        </w:tc>
        <w:tc>
          <w:tcPr>
            <w:tcW w:w="860" w:type="dxa"/>
            <w:tcBorders>
              <w:top w:val="nil"/>
              <w:left w:val="nil"/>
              <w:bottom w:val="single" w:sz="4" w:space="0" w:color="ADD6EA"/>
              <w:right w:val="nil"/>
            </w:tcBorders>
            <w:shd w:val="clear" w:color="000000" w:fill="D6E7F0"/>
            <w:tcMar>
              <w:right w:w="28" w:type="dxa"/>
            </w:tcMar>
            <w:vAlign w:val="bottom"/>
            <w:hideMark/>
          </w:tcPr>
          <w:p w14:paraId="3312D106"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835</w:t>
            </w:r>
          </w:p>
        </w:tc>
      </w:tr>
      <w:tr w:rsidR="00DE37C1" w:rsidRPr="00064F89" w14:paraId="7FEC35D3" w14:textId="77777777" w:rsidTr="005F7F6C">
        <w:trPr>
          <w:trHeight w:val="259"/>
        </w:trPr>
        <w:tc>
          <w:tcPr>
            <w:tcW w:w="2360" w:type="dxa"/>
            <w:tcBorders>
              <w:top w:val="nil"/>
              <w:left w:val="nil"/>
              <w:bottom w:val="single" w:sz="4" w:space="0" w:color="ADD6EA"/>
              <w:right w:val="nil"/>
            </w:tcBorders>
            <w:shd w:val="clear" w:color="000000" w:fill="B6D5E4"/>
            <w:noWrap/>
            <w:vAlign w:val="center"/>
            <w:hideMark/>
          </w:tcPr>
          <w:p w14:paraId="67268468"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 </w:t>
            </w:r>
          </w:p>
        </w:tc>
        <w:tc>
          <w:tcPr>
            <w:tcW w:w="760" w:type="dxa"/>
            <w:tcBorders>
              <w:top w:val="nil"/>
              <w:left w:val="nil"/>
              <w:bottom w:val="single" w:sz="4" w:space="0" w:color="ADD6EA"/>
              <w:right w:val="nil"/>
            </w:tcBorders>
            <w:shd w:val="clear" w:color="000000" w:fill="B6D5E4"/>
            <w:noWrap/>
            <w:vAlign w:val="center"/>
            <w:hideMark/>
          </w:tcPr>
          <w:p w14:paraId="4BB287BC"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1B0E1E1A"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07A58704"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74396770"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w:t>
            </w:r>
          </w:p>
        </w:tc>
        <w:tc>
          <w:tcPr>
            <w:tcW w:w="660" w:type="dxa"/>
            <w:tcBorders>
              <w:top w:val="nil"/>
              <w:left w:val="nil"/>
              <w:bottom w:val="single" w:sz="4" w:space="0" w:color="ADD6EA"/>
              <w:right w:val="nil"/>
            </w:tcBorders>
            <w:shd w:val="clear" w:color="000000" w:fill="B6D5E4"/>
            <w:noWrap/>
            <w:vAlign w:val="center"/>
            <w:hideMark/>
          </w:tcPr>
          <w:p w14:paraId="59421C5C"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w:t>
            </w:r>
          </w:p>
        </w:tc>
        <w:tc>
          <w:tcPr>
            <w:tcW w:w="660" w:type="dxa"/>
            <w:tcBorders>
              <w:top w:val="nil"/>
              <w:left w:val="nil"/>
              <w:bottom w:val="single" w:sz="4" w:space="0" w:color="ADD6EA"/>
              <w:right w:val="nil"/>
            </w:tcBorders>
            <w:shd w:val="clear" w:color="000000" w:fill="B6D5E4"/>
            <w:noWrap/>
            <w:vAlign w:val="center"/>
            <w:hideMark/>
          </w:tcPr>
          <w:p w14:paraId="5846EC2F"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w:t>
            </w:r>
          </w:p>
        </w:tc>
        <w:tc>
          <w:tcPr>
            <w:tcW w:w="660" w:type="dxa"/>
            <w:tcBorders>
              <w:top w:val="nil"/>
              <w:left w:val="nil"/>
              <w:bottom w:val="single" w:sz="4" w:space="0" w:color="ADD6EA"/>
              <w:right w:val="nil"/>
            </w:tcBorders>
            <w:shd w:val="clear" w:color="000000" w:fill="B6D5E4"/>
            <w:noWrap/>
            <w:vAlign w:val="center"/>
            <w:hideMark/>
          </w:tcPr>
          <w:p w14:paraId="33DF9D18"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249A6947"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w:t>
            </w:r>
          </w:p>
        </w:tc>
        <w:tc>
          <w:tcPr>
            <w:tcW w:w="860" w:type="dxa"/>
            <w:tcBorders>
              <w:top w:val="nil"/>
              <w:left w:val="nil"/>
              <w:bottom w:val="single" w:sz="4" w:space="0" w:color="ADD6EA"/>
              <w:right w:val="nil"/>
            </w:tcBorders>
            <w:shd w:val="clear" w:color="000000" w:fill="B6D5E4"/>
            <w:noWrap/>
            <w:tcMar>
              <w:right w:w="28" w:type="dxa"/>
            </w:tcMar>
            <w:vAlign w:val="center"/>
            <w:hideMark/>
          </w:tcPr>
          <w:p w14:paraId="52C58E2D" w14:textId="77777777" w:rsidR="00DE37C1" w:rsidRPr="00064F89" w:rsidRDefault="00DE37C1" w:rsidP="00A463C7">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w:t>
            </w:r>
          </w:p>
        </w:tc>
      </w:tr>
      <w:tr w:rsidR="00DE37C1" w:rsidRPr="00064F89" w14:paraId="100410A7"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23D9EBEC" w14:textId="77777777" w:rsidR="00DE37C1" w:rsidRPr="00064F89" w:rsidRDefault="00DE37C1" w:rsidP="004D65FE">
            <w:pPr>
              <w:keepNext/>
              <w:tabs>
                <w:tab w:val="clear" w:pos="567"/>
              </w:tabs>
              <w:spacing w:before="0" w:line="240" w:lineRule="auto"/>
              <w:rPr>
                <w:rFonts w:eastAsia="Times New Roman" w:cs="Open Sans Light"/>
                <w:color w:val="000000"/>
                <w:sz w:val="16"/>
                <w:szCs w:val="16"/>
                <w:lang w:eastAsia="en-AU"/>
              </w:rPr>
            </w:pPr>
            <w:r w:rsidRPr="00064F89">
              <w:rPr>
                <w:rFonts w:eastAsia="Times New Roman" w:cs="Open Sans Light"/>
                <w:color w:val="000000"/>
                <w:sz w:val="16"/>
                <w:szCs w:val="16"/>
                <w:lang w:eastAsia="en-AU"/>
              </w:rPr>
              <w:t>Most disadvantaged</w:t>
            </w:r>
          </w:p>
        </w:tc>
        <w:tc>
          <w:tcPr>
            <w:tcW w:w="760" w:type="dxa"/>
            <w:tcBorders>
              <w:top w:val="nil"/>
              <w:left w:val="nil"/>
              <w:bottom w:val="single" w:sz="4" w:space="0" w:color="ADD6EA"/>
              <w:right w:val="nil"/>
            </w:tcBorders>
            <w:shd w:val="clear" w:color="000000" w:fill="FFFFFF"/>
            <w:vAlign w:val="bottom"/>
            <w:hideMark/>
          </w:tcPr>
          <w:p w14:paraId="7A3C7168"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16.6</w:t>
            </w:r>
          </w:p>
        </w:tc>
        <w:tc>
          <w:tcPr>
            <w:tcW w:w="760" w:type="dxa"/>
            <w:tcBorders>
              <w:top w:val="nil"/>
              <w:left w:val="nil"/>
              <w:bottom w:val="single" w:sz="4" w:space="0" w:color="ADD6EA"/>
              <w:right w:val="nil"/>
            </w:tcBorders>
            <w:shd w:val="clear" w:color="000000" w:fill="FFFFFF"/>
            <w:vAlign w:val="bottom"/>
            <w:hideMark/>
          </w:tcPr>
          <w:p w14:paraId="7BD79737"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0.0</w:t>
            </w:r>
          </w:p>
        </w:tc>
        <w:tc>
          <w:tcPr>
            <w:tcW w:w="760" w:type="dxa"/>
            <w:tcBorders>
              <w:top w:val="nil"/>
              <w:left w:val="nil"/>
              <w:bottom w:val="single" w:sz="4" w:space="0" w:color="ADD6EA"/>
              <w:right w:val="nil"/>
            </w:tcBorders>
            <w:shd w:val="clear" w:color="000000" w:fill="FFFFFF"/>
            <w:vAlign w:val="bottom"/>
            <w:hideMark/>
          </w:tcPr>
          <w:p w14:paraId="18D123AD"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22.2</w:t>
            </w:r>
          </w:p>
        </w:tc>
        <w:tc>
          <w:tcPr>
            <w:tcW w:w="760" w:type="dxa"/>
            <w:tcBorders>
              <w:top w:val="nil"/>
              <w:left w:val="nil"/>
              <w:bottom w:val="single" w:sz="4" w:space="0" w:color="ADD6EA"/>
              <w:right w:val="nil"/>
            </w:tcBorders>
            <w:shd w:val="clear" w:color="000000" w:fill="FFFFFF"/>
            <w:vAlign w:val="bottom"/>
            <w:hideMark/>
          </w:tcPr>
          <w:p w14:paraId="2A525FB8"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21.9</w:t>
            </w:r>
          </w:p>
        </w:tc>
        <w:tc>
          <w:tcPr>
            <w:tcW w:w="660" w:type="dxa"/>
            <w:tcBorders>
              <w:top w:val="nil"/>
              <w:left w:val="nil"/>
              <w:bottom w:val="single" w:sz="4" w:space="0" w:color="ADD6EA"/>
              <w:right w:val="nil"/>
            </w:tcBorders>
            <w:shd w:val="clear" w:color="000000" w:fill="FFFFFF"/>
            <w:vAlign w:val="bottom"/>
            <w:hideMark/>
          </w:tcPr>
          <w:p w14:paraId="352ECE57"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5.4</w:t>
            </w:r>
          </w:p>
        </w:tc>
        <w:tc>
          <w:tcPr>
            <w:tcW w:w="660" w:type="dxa"/>
            <w:tcBorders>
              <w:top w:val="nil"/>
              <w:left w:val="nil"/>
              <w:bottom w:val="single" w:sz="4" w:space="0" w:color="ADD6EA"/>
              <w:right w:val="nil"/>
            </w:tcBorders>
            <w:shd w:val="clear" w:color="000000" w:fill="FFFFFF"/>
            <w:vAlign w:val="bottom"/>
            <w:hideMark/>
          </w:tcPr>
          <w:p w14:paraId="5FAEB7CB"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0.0</w:t>
            </w:r>
          </w:p>
        </w:tc>
        <w:tc>
          <w:tcPr>
            <w:tcW w:w="660" w:type="dxa"/>
            <w:tcBorders>
              <w:top w:val="nil"/>
              <w:left w:val="nil"/>
              <w:bottom w:val="single" w:sz="4" w:space="0" w:color="ADD6EA"/>
              <w:right w:val="nil"/>
            </w:tcBorders>
            <w:shd w:val="clear" w:color="000000" w:fill="FFFFFF"/>
            <w:vAlign w:val="bottom"/>
            <w:hideMark/>
          </w:tcPr>
          <w:p w14:paraId="4CCDDEEE"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0.0</w:t>
            </w:r>
          </w:p>
        </w:tc>
        <w:tc>
          <w:tcPr>
            <w:tcW w:w="760" w:type="dxa"/>
            <w:tcBorders>
              <w:top w:val="nil"/>
              <w:left w:val="nil"/>
              <w:bottom w:val="single" w:sz="4" w:space="0" w:color="ADD6EA"/>
              <w:right w:val="nil"/>
            </w:tcBorders>
            <w:shd w:val="clear" w:color="000000" w:fill="FFFFFF"/>
            <w:vAlign w:val="bottom"/>
            <w:hideMark/>
          </w:tcPr>
          <w:p w14:paraId="10EE37CA"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34.0</w:t>
            </w:r>
          </w:p>
        </w:tc>
        <w:tc>
          <w:tcPr>
            <w:tcW w:w="860" w:type="dxa"/>
            <w:tcBorders>
              <w:top w:val="nil"/>
              <w:left w:val="nil"/>
              <w:bottom w:val="single" w:sz="4" w:space="0" w:color="ADD6EA"/>
              <w:right w:val="nil"/>
            </w:tcBorders>
            <w:shd w:val="clear" w:color="000000" w:fill="FFFFFF"/>
            <w:tcMar>
              <w:right w:w="28" w:type="dxa"/>
            </w:tcMar>
            <w:vAlign w:val="bottom"/>
            <w:hideMark/>
          </w:tcPr>
          <w:p w14:paraId="1DDF065E"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100.0</w:t>
            </w:r>
          </w:p>
        </w:tc>
      </w:tr>
      <w:tr w:rsidR="00DE37C1" w:rsidRPr="00064F89" w14:paraId="78E8ECCF"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06FF9B9B" w14:textId="77777777" w:rsidR="00DE37C1" w:rsidRPr="00064F89" w:rsidRDefault="00DE37C1" w:rsidP="004D65FE">
            <w:pPr>
              <w:keepNext/>
              <w:tabs>
                <w:tab w:val="clear" w:pos="567"/>
              </w:tabs>
              <w:spacing w:before="0" w:line="240" w:lineRule="auto"/>
              <w:rPr>
                <w:rFonts w:eastAsia="Times New Roman" w:cs="Open Sans Light"/>
                <w:color w:val="000000"/>
                <w:sz w:val="16"/>
                <w:szCs w:val="16"/>
                <w:lang w:eastAsia="en-AU"/>
              </w:rPr>
            </w:pPr>
            <w:r w:rsidRPr="00064F89">
              <w:rPr>
                <w:rFonts w:eastAsia="Times New Roman" w:cs="Open Sans Light"/>
                <w:color w:val="000000"/>
                <w:sz w:val="16"/>
                <w:szCs w:val="16"/>
                <w:lang w:eastAsia="en-AU"/>
              </w:rPr>
              <w:t>2nd most disadvantaged</w:t>
            </w:r>
          </w:p>
        </w:tc>
        <w:tc>
          <w:tcPr>
            <w:tcW w:w="760" w:type="dxa"/>
            <w:tcBorders>
              <w:top w:val="nil"/>
              <w:left w:val="nil"/>
              <w:bottom w:val="single" w:sz="4" w:space="0" w:color="ADD6EA"/>
              <w:right w:val="nil"/>
            </w:tcBorders>
            <w:shd w:val="clear" w:color="000000" w:fill="FFFFFF"/>
            <w:vAlign w:val="bottom"/>
            <w:hideMark/>
          </w:tcPr>
          <w:p w14:paraId="170140FC"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31.4</w:t>
            </w:r>
          </w:p>
        </w:tc>
        <w:tc>
          <w:tcPr>
            <w:tcW w:w="760" w:type="dxa"/>
            <w:tcBorders>
              <w:top w:val="nil"/>
              <w:left w:val="nil"/>
              <w:bottom w:val="single" w:sz="4" w:space="0" w:color="ADD6EA"/>
              <w:right w:val="nil"/>
            </w:tcBorders>
            <w:shd w:val="clear" w:color="000000" w:fill="FFFFFF"/>
            <w:vAlign w:val="bottom"/>
            <w:hideMark/>
          </w:tcPr>
          <w:p w14:paraId="2626B573"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4.8</w:t>
            </w:r>
          </w:p>
        </w:tc>
        <w:tc>
          <w:tcPr>
            <w:tcW w:w="760" w:type="dxa"/>
            <w:tcBorders>
              <w:top w:val="nil"/>
              <w:left w:val="nil"/>
              <w:bottom w:val="single" w:sz="4" w:space="0" w:color="ADD6EA"/>
              <w:right w:val="nil"/>
            </w:tcBorders>
            <w:shd w:val="clear" w:color="000000" w:fill="FFFFFF"/>
            <w:vAlign w:val="bottom"/>
            <w:hideMark/>
          </w:tcPr>
          <w:p w14:paraId="360BD591"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36.4</w:t>
            </w:r>
          </w:p>
        </w:tc>
        <w:tc>
          <w:tcPr>
            <w:tcW w:w="760" w:type="dxa"/>
            <w:tcBorders>
              <w:top w:val="nil"/>
              <w:left w:val="nil"/>
              <w:bottom w:val="single" w:sz="4" w:space="0" w:color="ADD6EA"/>
              <w:right w:val="nil"/>
            </w:tcBorders>
            <w:shd w:val="clear" w:color="000000" w:fill="FFFFFF"/>
            <w:vAlign w:val="bottom"/>
            <w:hideMark/>
          </w:tcPr>
          <w:p w14:paraId="7F0CFEE1"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17.3</w:t>
            </w:r>
          </w:p>
        </w:tc>
        <w:tc>
          <w:tcPr>
            <w:tcW w:w="660" w:type="dxa"/>
            <w:tcBorders>
              <w:top w:val="nil"/>
              <w:left w:val="nil"/>
              <w:bottom w:val="single" w:sz="4" w:space="0" w:color="ADD6EA"/>
              <w:right w:val="nil"/>
            </w:tcBorders>
            <w:shd w:val="clear" w:color="000000" w:fill="FFFFFF"/>
            <w:vAlign w:val="bottom"/>
            <w:hideMark/>
          </w:tcPr>
          <w:p w14:paraId="309AEA76"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9.4</w:t>
            </w:r>
          </w:p>
        </w:tc>
        <w:tc>
          <w:tcPr>
            <w:tcW w:w="660" w:type="dxa"/>
            <w:tcBorders>
              <w:top w:val="nil"/>
              <w:left w:val="nil"/>
              <w:bottom w:val="single" w:sz="4" w:space="0" w:color="ADD6EA"/>
              <w:right w:val="nil"/>
            </w:tcBorders>
            <w:shd w:val="clear" w:color="000000" w:fill="FFFFFF"/>
            <w:vAlign w:val="bottom"/>
            <w:hideMark/>
          </w:tcPr>
          <w:p w14:paraId="422179EC"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0.6</w:t>
            </w:r>
          </w:p>
        </w:tc>
        <w:tc>
          <w:tcPr>
            <w:tcW w:w="660" w:type="dxa"/>
            <w:tcBorders>
              <w:top w:val="nil"/>
              <w:left w:val="nil"/>
              <w:bottom w:val="single" w:sz="4" w:space="0" w:color="ADD6EA"/>
              <w:right w:val="nil"/>
            </w:tcBorders>
            <w:shd w:val="clear" w:color="000000" w:fill="FFFFFF"/>
            <w:vAlign w:val="bottom"/>
            <w:hideMark/>
          </w:tcPr>
          <w:p w14:paraId="194F3066"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0.0</w:t>
            </w:r>
          </w:p>
        </w:tc>
        <w:tc>
          <w:tcPr>
            <w:tcW w:w="760" w:type="dxa"/>
            <w:tcBorders>
              <w:top w:val="nil"/>
              <w:left w:val="nil"/>
              <w:bottom w:val="single" w:sz="4" w:space="0" w:color="ADD6EA"/>
              <w:right w:val="nil"/>
            </w:tcBorders>
            <w:shd w:val="clear" w:color="000000" w:fill="FFFFFF"/>
            <w:vAlign w:val="bottom"/>
            <w:hideMark/>
          </w:tcPr>
          <w:p w14:paraId="0E006E7B"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0.0</w:t>
            </w:r>
          </w:p>
        </w:tc>
        <w:tc>
          <w:tcPr>
            <w:tcW w:w="860" w:type="dxa"/>
            <w:tcBorders>
              <w:top w:val="nil"/>
              <w:left w:val="nil"/>
              <w:bottom w:val="single" w:sz="4" w:space="0" w:color="ADD6EA"/>
              <w:right w:val="nil"/>
            </w:tcBorders>
            <w:shd w:val="clear" w:color="000000" w:fill="FFFFFF"/>
            <w:tcMar>
              <w:right w:w="28" w:type="dxa"/>
            </w:tcMar>
            <w:vAlign w:val="bottom"/>
            <w:hideMark/>
          </w:tcPr>
          <w:p w14:paraId="419B2BB7"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100.0</w:t>
            </w:r>
          </w:p>
        </w:tc>
      </w:tr>
      <w:tr w:rsidR="00DE37C1" w:rsidRPr="00064F89" w14:paraId="6D5C5C2E"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1AD1BF88" w14:textId="77777777" w:rsidR="00DE37C1" w:rsidRPr="00064F89" w:rsidRDefault="00DE37C1" w:rsidP="004D65FE">
            <w:pPr>
              <w:keepNext/>
              <w:tabs>
                <w:tab w:val="clear" w:pos="567"/>
              </w:tabs>
              <w:spacing w:before="0" w:line="240" w:lineRule="auto"/>
              <w:rPr>
                <w:rFonts w:eastAsia="Times New Roman" w:cs="Open Sans Light"/>
                <w:color w:val="000000"/>
                <w:sz w:val="16"/>
                <w:szCs w:val="16"/>
                <w:lang w:eastAsia="en-AU"/>
              </w:rPr>
            </w:pPr>
            <w:r w:rsidRPr="00064F89">
              <w:rPr>
                <w:rFonts w:eastAsia="Times New Roman" w:cs="Open Sans Light"/>
                <w:color w:val="000000"/>
                <w:sz w:val="16"/>
                <w:szCs w:val="16"/>
                <w:lang w:eastAsia="en-AU"/>
              </w:rPr>
              <w:t>Middle quintile</w:t>
            </w:r>
          </w:p>
        </w:tc>
        <w:tc>
          <w:tcPr>
            <w:tcW w:w="760" w:type="dxa"/>
            <w:tcBorders>
              <w:top w:val="nil"/>
              <w:left w:val="nil"/>
              <w:bottom w:val="single" w:sz="4" w:space="0" w:color="ADD6EA"/>
              <w:right w:val="nil"/>
            </w:tcBorders>
            <w:shd w:val="clear" w:color="000000" w:fill="FFFFFF"/>
            <w:vAlign w:val="bottom"/>
            <w:hideMark/>
          </w:tcPr>
          <w:p w14:paraId="7BAD8178"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36.3</w:t>
            </w:r>
          </w:p>
        </w:tc>
        <w:tc>
          <w:tcPr>
            <w:tcW w:w="760" w:type="dxa"/>
            <w:tcBorders>
              <w:top w:val="nil"/>
              <w:left w:val="nil"/>
              <w:bottom w:val="single" w:sz="4" w:space="0" w:color="ADD6EA"/>
              <w:right w:val="nil"/>
            </w:tcBorders>
            <w:shd w:val="clear" w:color="000000" w:fill="FFFFFF"/>
            <w:vAlign w:val="bottom"/>
            <w:hideMark/>
          </w:tcPr>
          <w:p w14:paraId="4A4CDA38"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6.0</w:t>
            </w:r>
          </w:p>
        </w:tc>
        <w:tc>
          <w:tcPr>
            <w:tcW w:w="760" w:type="dxa"/>
            <w:tcBorders>
              <w:top w:val="nil"/>
              <w:left w:val="nil"/>
              <w:bottom w:val="single" w:sz="4" w:space="0" w:color="ADD6EA"/>
              <w:right w:val="nil"/>
            </w:tcBorders>
            <w:shd w:val="clear" w:color="000000" w:fill="FFFFFF"/>
            <w:vAlign w:val="bottom"/>
            <w:hideMark/>
          </w:tcPr>
          <w:p w14:paraId="015C797A"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35.5</w:t>
            </w:r>
          </w:p>
        </w:tc>
        <w:tc>
          <w:tcPr>
            <w:tcW w:w="760" w:type="dxa"/>
            <w:tcBorders>
              <w:top w:val="nil"/>
              <w:left w:val="nil"/>
              <w:bottom w:val="single" w:sz="4" w:space="0" w:color="ADD6EA"/>
              <w:right w:val="nil"/>
            </w:tcBorders>
            <w:shd w:val="clear" w:color="000000" w:fill="FFFFFF"/>
            <w:vAlign w:val="bottom"/>
            <w:hideMark/>
          </w:tcPr>
          <w:p w14:paraId="53ACFCB5"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11.1</w:t>
            </w:r>
          </w:p>
        </w:tc>
        <w:tc>
          <w:tcPr>
            <w:tcW w:w="660" w:type="dxa"/>
            <w:tcBorders>
              <w:top w:val="nil"/>
              <w:left w:val="nil"/>
              <w:bottom w:val="single" w:sz="4" w:space="0" w:color="ADD6EA"/>
              <w:right w:val="nil"/>
            </w:tcBorders>
            <w:shd w:val="clear" w:color="000000" w:fill="FFFFFF"/>
            <w:vAlign w:val="bottom"/>
            <w:hideMark/>
          </w:tcPr>
          <w:p w14:paraId="2E679F39"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2.9</w:t>
            </w:r>
          </w:p>
        </w:tc>
        <w:tc>
          <w:tcPr>
            <w:tcW w:w="660" w:type="dxa"/>
            <w:tcBorders>
              <w:top w:val="nil"/>
              <w:left w:val="nil"/>
              <w:bottom w:val="single" w:sz="4" w:space="0" w:color="ADD6EA"/>
              <w:right w:val="nil"/>
            </w:tcBorders>
            <w:shd w:val="clear" w:color="000000" w:fill="FFFFFF"/>
            <w:vAlign w:val="bottom"/>
            <w:hideMark/>
          </w:tcPr>
          <w:p w14:paraId="58540920"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2.9</w:t>
            </w:r>
          </w:p>
        </w:tc>
        <w:tc>
          <w:tcPr>
            <w:tcW w:w="660" w:type="dxa"/>
            <w:tcBorders>
              <w:top w:val="nil"/>
              <w:left w:val="nil"/>
              <w:bottom w:val="single" w:sz="4" w:space="0" w:color="ADD6EA"/>
              <w:right w:val="nil"/>
            </w:tcBorders>
            <w:shd w:val="clear" w:color="000000" w:fill="FFFFFF"/>
            <w:vAlign w:val="bottom"/>
            <w:hideMark/>
          </w:tcPr>
          <w:p w14:paraId="2AEEEC0A"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0.0</w:t>
            </w:r>
          </w:p>
        </w:tc>
        <w:tc>
          <w:tcPr>
            <w:tcW w:w="760" w:type="dxa"/>
            <w:tcBorders>
              <w:top w:val="nil"/>
              <w:left w:val="nil"/>
              <w:bottom w:val="single" w:sz="4" w:space="0" w:color="ADD6EA"/>
              <w:right w:val="nil"/>
            </w:tcBorders>
            <w:shd w:val="clear" w:color="000000" w:fill="FFFFFF"/>
            <w:vAlign w:val="bottom"/>
            <w:hideMark/>
          </w:tcPr>
          <w:p w14:paraId="2AE20630"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5.3</w:t>
            </w:r>
          </w:p>
        </w:tc>
        <w:tc>
          <w:tcPr>
            <w:tcW w:w="860" w:type="dxa"/>
            <w:tcBorders>
              <w:top w:val="nil"/>
              <w:left w:val="nil"/>
              <w:bottom w:val="single" w:sz="4" w:space="0" w:color="ADD6EA"/>
              <w:right w:val="nil"/>
            </w:tcBorders>
            <w:shd w:val="clear" w:color="000000" w:fill="FFFFFF"/>
            <w:tcMar>
              <w:right w:w="28" w:type="dxa"/>
            </w:tcMar>
            <w:vAlign w:val="bottom"/>
            <w:hideMark/>
          </w:tcPr>
          <w:p w14:paraId="3C142F03"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100.0</w:t>
            </w:r>
          </w:p>
        </w:tc>
      </w:tr>
      <w:tr w:rsidR="00DE37C1" w:rsidRPr="00064F89" w14:paraId="4DCAF041"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0B49459A" w14:textId="77777777" w:rsidR="00DE37C1" w:rsidRPr="00064F89" w:rsidRDefault="00DE37C1" w:rsidP="004D65FE">
            <w:pPr>
              <w:keepNext/>
              <w:tabs>
                <w:tab w:val="clear" w:pos="567"/>
              </w:tabs>
              <w:spacing w:before="0" w:line="240" w:lineRule="auto"/>
              <w:rPr>
                <w:rFonts w:eastAsia="Times New Roman" w:cs="Open Sans Light"/>
                <w:color w:val="000000"/>
                <w:sz w:val="16"/>
                <w:szCs w:val="16"/>
                <w:lang w:eastAsia="en-AU"/>
              </w:rPr>
            </w:pPr>
            <w:r w:rsidRPr="00064F89">
              <w:rPr>
                <w:rFonts w:eastAsia="Times New Roman" w:cs="Open Sans Light"/>
                <w:color w:val="000000"/>
                <w:sz w:val="16"/>
                <w:szCs w:val="16"/>
                <w:lang w:eastAsia="en-AU"/>
              </w:rPr>
              <w:t>2nd least disadvantaged</w:t>
            </w:r>
          </w:p>
        </w:tc>
        <w:tc>
          <w:tcPr>
            <w:tcW w:w="760" w:type="dxa"/>
            <w:tcBorders>
              <w:top w:val="nil"/>
              <w:left w:val="nil"/>
              <w:bottom w:val="single" w:sz="4" w:space="0" w:color="ADD6EA"/>
              <w:right w:val="nil"/>
            </w:tcBorders>
            <w:shd w:val="clear" w:color="000000" w:fill="FFFFFF"/>
            <w:vAlign w:val="bottom"/>
            <w:hideMark/>
          </w:tcPr>
          <w:p w14:paraId="14FFE636"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44.4</w:t>
            </w:r>
          </w:p>
        </w:tc>
        <w:tc>
          <w:tcPr>
            <w:tcW w:w="760" w:type="dxa"/>
            <w:tcBorders>
              <w:top w:val="nil"/>
              <w:left w:val="nil"/>
              <w:bottom w:val="single" w:sz="4" w:space="0" w:color="ADD6EA"/>
              <w:right w:val="nil"/>
            </w:tcBorders>
            <w:shd w:val="clear" w:color="000000" w:fill="FFFFFF"/>
            <w:vAlign w:val="bottom"/>
            <w:hideMark/>
          </w:tcPr>
          <w:p w14:paraId="382F611C"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7.2</w:t>
            </w:r>
          </w:p>
        </w:tc>
        <w:tc>
          <w:tcPr>
            <w:tcW w:w="760" w:type="dxa"/>
            <w:tcBorders>
              <w:top w:val="nil"/>
              <w:left w:val="nil"/>
              <w:bottom w:val="single" w:sz="4" w:space="0" w:color="ADD6EA"/>
              <w:right w:val="nil"/>
            </w:tcBorders>
            <w:shd w:val="clear" w:color="000000" w:fill="FFFFFF"/>
            <w:vAlign w:val="bottom"/>
            <w:hideMark/>
          </w:tcPr>
          <w:p w14:paraId="0CAD518E"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16.6</w:t>
            </w:r>
          </w:p>
        </w:tc>
        <w:tc>
          <w:tcPr>
            <w:tcW w:w="760" w:type="dxa"/>
            <w:tcBorders>
              <w:top w:val="nil"/>
              <w:left w:val="nil"/>
              <w:bottom w:val="single" w:sz="4" w:space="0" w:color="ADD6EA"/>
              <w:right w:val="nil"/>
            </w:tcBorders>
            <w:shd w:val="clear" w:color="000000" w:fill="FFFFFF"/>
            <w:vAlign w:val="bottom"/>
            <w:hideMark/>
          </w:tcPr>
          <w:p w14:paraId="701E7B04"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11.0</w:t>
            </w:r>
          </w:p>
        </w:tc>
        <w:tc>
          <w:tcPr>
            <w:tcW w:w="660" w:type="dxa"/>
            <w:tcBorders>
              <w:top w:val="nil"/>
              <w:left w:val="nil"/>
              <w:bottom w:val="single" w:sz="4" w:space="0" w:color="ADD6EA"/>
              <w:right w:val="nil"/>
            </w:tcBorders>
            <w:shd w:val="clear" w:color="000000" w:fill="FFFFFF"/>
            <w:vAlign w:val="bottom"/>
            <w:hideMark/>
          </w:tcPr>
          <w:p w14:paraId="5C623EC3"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5.6</w:t>
            </w:r>
          </w:p>
        </w:tc>
        <w:tc>
          <w:tcPr>
            <w:tcW w:w="660" w:type="dxa"/>
            <w:tcBorders>
              <w:top w:val="nil"/>
              <w:left w:val="nil"/>
              <w:bottom w:val="single" w:sz="4" w:space="0" w:color="ADD6EA"/>
              <w:right w:val="nil"/>
            </w:tcBorders>
            <w:shd w:val="clear" w:color="000000" w:fill="FFFFFF"/>
            <w:vAlign w:val="bottom"/>
            <w:hideMark/>
          </w:tcPr>
          <w:p w14:paraId="400EB7D9"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10.8</w:t>
            </w:r>
          </w:p>
        </w:tc>
        <w:tc>
          <w:tcPr>
            <w:tcW w:w="660" w:type="dxa"/>
            <w:tcBorders>
              <w:top w:val="nil"/>
              <w:left w:val="nil"/>
              <w:bottom w:val="single" w:sz="4" w:space="0" w:color="ADD6EA"/>
              <w:right w:val="nil"/>
            </w:tcBorders>
            <w:shd w:val="clear" w:color="000000" w:fill="FFFFFF"/>
            <w:vAlign w:val="bottom"/>
            <w:hideMark/>
          </w:tcPr>
          <w:p w14:paraId="0FAFE716"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0.0</w:t>
            </w:r>
          </w:p>
        </w:tc>
        <w:tc>
          <w:tcPr>
            <w:tcW w:w="760" w:type="dxa"/>
            <w:tcBorders>
              <w:top w:val="nil"/>
              <w:left w:val="nil"/>
              <w:bottom w:val="single" w:sz="4" w:space="0" w:color="ADD6EA"/>
              <w:right w:val="nil"/>
            </w:tcBorders>
            <w:shd w:val="clear" w:color="000000" w:fill="FFFFFF"/>
            <w:vAlign w:val="bottom"/>
            <w:hideMark/>
          </w:tcPr>
          <w:p w14:paraId="6A40F601"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4.4</w:t>
            </w:r>
          </w:p>
        </w:tc>
        <w:tc>
          <w:tcPr>
            <w:tcW w:w="860" w:type="dxa"/>
            <w:tcBorders>
              <w:top w:val="nil"/>
              <w:left w:val="nil"/>
              <w:bottom w:val="single" w:sz="4" w:space="0" w:color="ADD6EA"/>
              <w:right w:val="nil"/>
            </w:tcBorders>
            <w:shd w:val="clear" w:color="000000" w:fill="FFFFFF"/>
            <w:tcMar>
              <w:right w:w="28" w:type="dxa"/>
            </w:tcMar>
            <w:vAlign w:val="bottom"/>
            <w:hideMark/>
          </w:tcPr>
          <w:p w14:paraId="592A7B59"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100.0</w:t>
            </w:r>
          </w:p>
        </w:tc>
      </w:tr>
      <w:tr w:rsidR="00DE37C1" w:rsidRPr="00064F89" w14:paraId="20B7CAB8"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7D6FCF2B" w14:textId="77777777" w:rsidR="00DE37C1" w:rsidRPr="00064F89" w:rsidRDefault="00DE37C1" w:rsidP="004D65FE">
            <w:pPr>
              <w:keepNext/>
              <w:tabs>
                <w:tab w:val="clear" w:pos="567"/>
              </w:tabs>
              <w:spacing w:before="0" w:line="240" w:lineRule="auto"/>
              <w:rPr>
                <w:rFonts w:eastAsia="Times New Roman" w:cs="Open Sans Light"/>
                <w:color w:val="000000"/>
                <w:sz w:val="16"/>
                <w:szCs w:val="16"/>
                <w:lang w:eastAsia="en-AU"/>
              </w:rPr>
            </w:pPr>
            <w:r w:rsidRPr="00064F89">
              <w:rPr>
                <w:rFonts w:eastAsia="Times New Roman" w:cs="Open Sans Light"/>
                <w:color w:val="000000"/>
                <w:sz w:val="16"/>
                <w:szCs w:val="16"/>
                <w:lang w:eastAsia="en-AU"/>
              </w:rPr>
              <w:t>Least disadvantaged</w:t>
            </w:r>
          </w:p>
        </w:tc>
        <w:tc>
          <w:tcPr>
            <w:tcW w:w="760" w:type="dxa"/>
            <w:tcBorders>
              <w:top w:val="nil"/>
              <w:left w:val="nil"/>
              <w:bottom w:val="single" w:sz="4" w:space="0" w:color="ADD6EA"/>
              <w:right w:val="nil"/>
            </w:tcBorders>
            <w:shd w:val="clear" w:color="000000" w:fill="FFFFFF"/>
            <w:vAlign w:val="bottom"/>
            <w:hideMark/>
          </w:tcPr>
          <w:p w14:paraId="456B917E"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35.9</w:t>
            </w:r>
          </w:p>
        </w:tc>
        <w:tc>
          <w:tcPr>
            <w:tcW w:w="760" w:type="dxa"/>
            <w:tcBorders>
              <w:top w:val="nil"/>
              <w:left w:val="nil"/>
              <w:bottom w:val="single" w:sz="4" w:space="0" w:color="ADD6EA"/>
              <w:right w:val="nil"/>
            </w:tcBorders>
            <w:shd w:val="clear" w:color="000000" w:fill="FFFFFF"/>
            <w:vAlign w:val="bottom"/>
            <w:hideMark/>
          </w:tcPr>
          <w:p w14:paraId="4AB965C4"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17.8</w:t>
            </w:r>
          </w:p>
        </w:tc>
        <w:tc>
          <w:tcPr>
            <w:tcW w:w="760" w:type="dxa"/>
            <w:tcBorders>
              <w:top w:val="nil"/>
              <w:left w:val="nil"/>
              <w:bottom w:val="single" w:sz="4" w:space="0" w:color="ADD6EA"/>
              <w:right w:val="nil"/>
            </w:tcBorders>
            <w:shd w:val="clear" w:color="000000" w:fill="FFFFFF"/>
            <w:vAlign w:val="bottom"/>
            <w:hideMark/>
          </w:tcPr>
          <w:p w14:paraId="4581E59F"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29.4</w:t>
            </w:r>
          </w:p>
        </w:tc>
        <w:tc>
          <w:tcPr>
            <w:tcW w:w="760" w:type="dxa"/>
            <w:tcBorders>
              <w:top w:val="nil"/>
              <w:left w:val="nil"/>
              <w:bottom w:val="single" w:sz="4" w:space="0" w:color="ADD6EA"/>
              <w:right w:val="nil"/>
            </w:tcBorders>
            <w:shd w:val="clear" w:color="000000" w:fill="FFFFFF"/>
            <w:vAlign w:val="bottom"/>
            <w:hideMark/>
          </w:tcPr>
          <w:p w14:paraId="2352E14D"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2.5</w:t>
            </w:r>
          </w:p>
        </w:tc>
        <w:tc>
          <w:tcPr>
            <w:tcW w:w="660" w:type="dxa"/>
            <w:tcBorders>
              <w:top w:val="nil"/>
              <w:left w:val="nil"/>
              <w:bottom w:val="single" w:sz="4" w:space="0" w:color="ADD6EA"/>
              <w:right w:val="nil"/>
            </w:tcBorders>
            <w:shd w:val="clear" w:color="000000" w:fill="FFFFFF"/>
            <w:vAlign w:val="bottom"/>
            <w:hideMark/>
          </w:tcPr>
          <w:p w14:paraId="3D9A06F6"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3.1</w:t>
            </w:r>
          </w:p>
        </w:tc>
        <w:tc>
          <w:tcPr>
            <w:tcW w:w="660" w:type="dxa"/>
            <w:tcBorders>
              <w:top w:val="nil"/>
              <w:left w:val="nil"/>
              <w:bottom w:val="single" w:sz="4" w:space="0" w:color="ADD6EA"/>
              <w:right w:val="nil"/>
            </w:tcBorders>
            <w:shd w:val="clear" w:color="000000" w:fill="FFFFFF"/>
            <w:vAlign w:val="bottom"/>
            <w:hideMark/>
          </w:tcPr>
          <w:p w14:paraId="5909E9DA"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2.9</w:t>
            </w:r>
          </w:p>
        </w:tc>
        <w:tc>
          <w:tcPr>
            <w:tcW w:w="660" w:type="dxa"/>
            <w:tcBorders>
              <w:top w:val="nil"/>
              <w:left w:val="nil"/>
              <w:bottom w:val="single" w:sz="4" w:space="0" w:color="ADD6EA"/>
              <w:right w:val="nil"/>
            </w:tcBorders>
            <w:shd w:val="clear" w:color="000000" w:fill="FFFFFF"/>
            <w:vAlign w:val="bottom"/>
            <w:hideMark/>
          </w:tcPr>
          <w:p w14:paraId="6C5D2BE8"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4.6</w:t>
            </w:r>
          </w:p>
        </w:tc>
        <w:tc>
          <w:tcPr>
            <w:tcW w:w="760" w:type="dxa"/>
            <w:tcBorders>
              <w:top w:val="nil"/>
              <w:left w:val="nil"/>
              <w:bottom w:val="single" w:sz="4" w:space="0" w:color="ADD6EA"/>
              <w:right w:val="nil"/>
            </w:tcBorders>
            <w:shd w:val="clear" w:color="000000" w:fill="FFFFFF"/>
            <w:vAlign w:val="bottom"/>
            <w:hideMark/>
          </w:tcPr>
          <w:p w14:paraId="4D6A49B5"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3.9</w:t>
            </w:r>
          </w:p>
        </w:tc>
        <w:tc>
          <w:tcPr>
            <w:tcW w:w="860" w:type="dxa"/>
            <w:tcBorders>
              <w:top w:val="nil"/>
              <w:left w:val="nil"/>
              <w:bottom w:val="single" w:sz="4" w:space="0" w:color="ADD6EA"/>
              <w:right w:val="nil"/>
            </w:tcBorders>
            <w:shd w:val="clear" w:color="000000" w:fill="FFFFFF"/>
            <w:tcMar>
              <w:right w:w="28" w:type="dxa"/>
            </w:tcMar>
            <w:vAlign w:val="bottom"/>
            <w:hideMark/>
          </w:tcPr>
          <w:p w14:paraId="019A8A49" w14:textId="77777777" w:rsidR="00DE37C1" w:rsidRPr="00064F89" w:rsidRDefault="00DE37C1" w:rsidP="004D65FE">
            <w:pPr>
              <w:keepNext/>
              <w:tabs>
                <w:tab w:val="clear" w:pos="567"/>
              </w:tabs>
              <w:spacing w:before="0" w:line="240" w:lineRule="auto"/>
              <w:jc w:val="right"/>
              <w:rPr>
                <w:rFonts w:eastAsia="Times New Roman" w:cs="Open Sans Light"/>
                <w:color w:val="000000"/>
                <w:sz w:val="16"/>
                <w:szCs w:val="16"/>
                <w:lang w:eastAsia="en-AU"/>
              </w:rPr>
            </w:pPr>
            <w:r w:rsidRPr="00064F89">
              <w:rPr>
                <w:rFonts w:eastAsia="Times New Roman" w:cs="Open Sans Light"/>
                <w:color w:val="000000"/>
                <w:sz w:val="16"/>
                <w:szCs w:val="16"/>
                <w:lang w:eastAsia="en-AU"/>
              </w:rPr>
              <w:t>100.0</w:t>
            </w:r>
          </w:p>
        </w:tc>
      </w:tr>
      <w:tr w:rsidR="00DE37C1" w:rsidRPr="00064F89" w14:paraId="07F0158D" w14:textId="77777777" w:rsidTr="0005271E">
        <w:trPr>
          <w:trHeight w:val="315"/>
        </w:trPr>
        <w:tc>
          <w:tcPr>
            <w:tcW w:w="2360" w:type="dxa"/>
            <w:tcBorders>
              <w:top w:val="nil"/>
              <w:left w:val="nil"/>
              <w:bottom w:val="single" w:sz="4" w:space="0" w:color="ADD6EA"/>
              <w:right w:val="nil"/>
            </w:tcBorders>
            <w:shd w:val="clear" w:color="000000" w:fill="D6E7F0"/>
            <w:vAlign w:val="bottom"/>
            <w:hideMark/>
          </w:tcPr>
          <w:p w14:paraId="45E8B12A" w14:textId="77777777" w:rsidR="00DE37C1" w:rsidRPr="00064F89" w:rsidRDefault="00DE37C1" w:rsidP="004D65FE">
            <w:pPr>
              <w:keepNext/>
              <w:tabs>
                <w:tab w:val="clear" w:pos="567"/>
              </w:tabs>
              <w:spacing w:before="0" w:line="240" w:lineRule="auto"/>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0AE15FB5"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33.2</w:t>
            </w:r>
          </w:p>
        </w:tc>
        <w:tc>
          <w:tcPr>
            <w:tcW w:w="760" w:type="dxa"/>
            <w:tcBorders>
              <w:top w:val="nil"/>
              <w:left w:val="nil"/>
              <w:bottom w:val="single" w:sz="4" w:space="0" w:color="ADD6EA"/>
              <w:right w:val="nil"/>
            </w:tcBorders>
            <w:shd w:val="clear" w:color="000000" w:fill="D6E7F0"/>
            <w:vAlign w:val="bottom"/>
            <w:hideMark/>
          </w:tcPr>
          <w:p w14:paraId="03214A78"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7.3</w:t>
            </w:r>
          </w:p>
        </w:tc>
        <w:tc>
          <w:tcPr>
            <w:tcW w:w="760" w:type="dxa"/>
            <w:tcBorders>
              <w:top w:val="nil"/>
              <w:left w:val="nil"/>
              <w:bottom w:val="single" w:sz="4" w:space="0" w:color="ADD6EA"/>
              <w:right w:val="nil"/>
            </w:tcBorders>
            <w:shd w:val="clear" w:color="000000" w:fill="D6E7F0"/>
            <w:vAlign w:val="bottom"/>
            <w:hideMark/>
          </w:tcPr>
          <w:p w14:paraId="2F329B69"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27.9</w:t>
            </w:r>
          </w:p>
        </w:tc>
        <w:tc>
          <w:tcPr>
            <w:tcW w:w="760" w:type="dxa"/>
            <w:tcBorders>
              <w:top w:val="nil"/>
              <w:left w:val="nil"/>
              <w:bottom w:val="single" w:sz="4" w:space="0" w:color="ADD6EA"/>
              <w:right w:val="nil"/>
            </w:tcBorders>
            <w:shd w:val="clear" w:color="000000" w:fill="D6E7F0"/>
            <w:vAlign w:val="bottom"/>
            <w:hideMark/>
          </w:tcPr>
          <w:p w14:paraId="4380DF5E"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12.6</w:t>
            </w:r>
          </w:p>
        </w:tc>
        <w:tc>
          <w:tcPr>
            <w:tcW w:w="660" w:type="dxa"/>
            <w:tcBorders>
              <w:top w:val="nil"/>
              <w:left w:val="nil"/>
              <w:bottom w:val="single" w:sz="4" w:space="0" w:color="ADD6EA"/>
              <w:right w:val="nil"/>
            </w:tcBorders>
            <w:shd w:val="clear" w:color="000000" w:fill="D6E7F0"/>
            <w:vAlign w:val="bottom"/>
            <w:hideMark/>
          </w:tcPr>
          <w:p w14:paraId="4205E9EC"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5.3</w:t>
            </w:r>
          </w:p>
        </w:tc>
        <w:tc>
          <w:tcPr>
            <w:tcW w:w="660" w:type="dxa"/>
            <w:tcBorders>
              <w:top w:val="nil"/>
              <w:left w:val="nil"/>
              <w:bottom w:val="single" w:sz="4" w:space="0" w:color="ADD6EA"/>
              <w:right w:val="nil"/>
            </w:tcBorders>
            <w:shd w:val="clear" w:color="000000" w:fill="D6E7F0"/>
            <w:vAlign w:val="bottom"/>
            <w:hideMark/>
          </w:tcPr>
          <w:p w14:paraId="77EBD53A"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3.6</w:t>
            </w:r>
          </w:p>
        </w:tc>
        <w:tc>
          <w:tcPr>
            <w:tcW w:w="660" w:type="dxa"/>
            <w:tcBorders>
              <w:top w:val="nil"/>
              <w:left w:val="nil"/>
              <w:bottom w:val="single" w:sz="4" w:space="0" w:color="ADD6EA"/>
              <w:right w:val="nil"/>
            </w:tcBorders>
            <w:shd w:val="clear" w:color="000000" w:fill="D6E7F0"/>
            <w:vAlign w:val="bottom"/>
            <w:hideMark/>
          </w:tcPr>
          <w:p w14:paraId="2D6011C0"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1.0</w:t>
            </w:r>
          </w:p>
        </w:tc>
        <w:tc>
          <w:tcPr>
            <w:tcW w:w="760" w:type="dxa"/>
            <w:tcBorders>
              <w:top w:val="nil"/>
              <w:left w:val="nil"/>
              <w:bottom w:val="single" w:sz="4" w:space="0" w:color="ADD6EA"/>
              <w:right w:val="nil"/>
            </w:tcBorders>
            <w:shd w:val="clear" w:color="000000" w:fill="D6E7F0"/>
            <w:vAlign w:val="bottom"/>
            <w:hideMark/>
          </w:tcPr>
          <w:p w14:paraId="5995BA01"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9.1</w:t>
            </w:r>
          </w:p>
        </w:tc>
        <w:tc>
          <w:tcPr>
            <w:tcW w:w="860" w:type="dxa"/>
            <w:tcBorders>
              <w:top w:val="nil"/>
              <w:left w:val="nil"/>
              <w:bottom w:val="single" w:sz="4" w:space="0" w:color="ADD6EA"/>
              <w:right w:val="nil"/>
            </w:tcBorders>
            <w:shd w:val="clear" w:color="000000" w:fill="D6E7F0"/>
            <w:tcMar>
              <w:right w:w="28" w:type="dxa"/>
            </w:tcMar>
            <w:vAlign w:val="bottom"/>
            <w:hideMark/>
          </w:tcPr>
          <w:p w14:paraId="600DAE99" w14:textId="77777777" w:rsidR="00DE37C1" w:rsidRPr="00064F89" w:rsidRDefault="00DE37C1"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4F89">
              <w:rPr>
                <w:rFonts w:ascii="Open Sans SemiBold" w:eastAsia="Times New Roman" w:hAnsi="Open Sans SemiBold" w:cs="Open Sans SemiBold"/>
                <w:color w:val="000000"/>
                <w:sz w:val="16"/>
                <w:szCs w:val="16"/>
                <w:lang w:eastAsia="en-AU"/>
              </w:rPr>
              <w:t>100.0</w:t>
            </w:r>
          </w:p>
        </w:tc>
      </w:tr>
    </w:tbl>
    <w:p w14:paraId="20778044" w14:textId="77777777" w:rsidR="00DE37C1" w:rsidRPr="00ED299B" w:rsidRDefault="00DE37C1" w:rsidP="00DE37C1">
      <w:pPr>
        <w:pStyle w:val="CGCTablenote"/>
        <w:keepNext/>
      </w:pPr>
      <w:r w:rsidRPr="00ED299B">
        <w:t>Source:</w:t>
      </w:r>
      <w:r w:rsidRPr="00ED299B">
        <w:tab/>
        <w:t>Commission calculation using unpublished ABS data and the IRSEO index.</w:t>
      </w:r>
    </w:p>
    <w:p w14:paraId="23807377" w14:textId="3AF91D6A" w:rsidR="00DE37C1" w:rsidRPr="00ED299B" w:rsidRDefault="00DE37C1" w:rsidP="00DE37C1">
      <w:pPr>
        <w:pStyle w:val="Caption"/>
      </w:pPr>
      <w:bookmarkStart w:id="672" w:name="_Ref403996991"/>
      <w:r w:rsidRPr="00ED299B">
        <w:t>Table </w:t>
      </w:r>
      <w:r>
        <w:t>31-</w:t>
      </w:r>
      <w:fldSimple w:instr=" SEQ Table \* ARABIC ">
        <w:r w:rsidR="007F721A">
          <w:rPr>
            <w:noProof/>
          </w:rPr>
          <w:t>6</w:t>
        </w:r>
      </w:fldSimple>
      <w:bookmarkEnd w:id="672"/>
      <w:r w:rsidRPr="00ED299B">
        <w:tab/>
        <w:t>Non-Indigenous ERP by NISEIFA quintile and State, December 201</w:t>
      </w:r>
      <w:r>
        <w:t>8</w:t>
      </w:r>
    </w:p>
    <w:tbl>
      <w:tblPr>
        <w:tblW w:w="9000" w:type="dxa"/>
        <w:tblCellMar>
          <w:left w:w="28" w:type="dxa"/>
          <w:right w:w="28" w:type="dxa"/>
        </w:tblCellMar>
        <w:tblLook w:val="04A0" w:firstRow="1" w:lastRow="0" w:firstColumn="1" w:lastColumn="0" w:noHBand="0" w:noVBand="1"/>
      </w:tblPr>
      <w:tblGrid>
        <w:gridCol w:w="2360"/>
        <w:gridCol w:w="760"/>
        <w:gridCol w:w="760"/>
        <w:gridCol w:w="760"/>
        <w:gridCol w:w="760"/>
        <w:gridCol w:w="660"/>
        <w:gridCol w:w="660"/>
        <w:gridCol w:w="660"/>
        <w:gridCol w:w="760"/>
        <w:gridCol w:w="860"/>
      </w:tblGrid>
      <w:tr w:rsidR="00DE37C1" w:rsidRPr="00052A78" w14:paraId="362F01E8" w14:textId="77777777" w:rsidTr="0005271E">
        <w:trPr>
          <w:trHeight w:val="375"/>
        </w:trPr>
        <w:tc>
          <w:tcPr>
            <w:tcW w:w="2360" w:type="dxa"/>
            <w:tcBorders>
              <w:top w:val="nil"/>
              <w:left w:val="nil"/>
              <w:bottom w:val="nil"/>
              <w:right w:val="nil"/>
            </w:tcBorders>
            <w:shd w:val="clear" w:color="000000" w:fill="006991"/>
            <w:vAlign w:val="center"/>
            <w:hideMark/>
          </w:tcPr>
          <w:p w14:paraId="11DA7001"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2A78">
              <w:rPr>
                <w:rFonts w:ascii="Open Sans SemiBold" w:eastAsia="Times New Roman" w:hAnsi="Open Sans SemiBold" w:cs="Open Sans SemiBold"/>
                <w:color w:val="FFFFFF"/>
                <w:sz w:val="16"/>
                <w:szCs w:val="16"/>
                <w:lang w:eastAsia="en-AU"/>
              </w:rPr>
              <w:t> </w:t>
            </w:r>
          </w:p>
        </w:tc>
        <w:tc>
          <w:tcPr>
            <w:tcW w:w="760" w:type="dxa"/>
            <w:tcBorders>
              <w:top w:val="nil"/>
              <w:left w:val="nil"/>
              <w:bottom w:val="nil"/>
              <w:right w:val="nil"/>
            </w:tcBorders>
            <w:shd w:val="clear" w:color="000000" w:fill="006991"/>
            <w:vAlign w:val="center"/>
            <w:hideMark/>
          </w:tcPr>
          <w:p w14:paraId="04078CB1"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2A78">
              <w:rPr>
                <w:rFonts w:ascii="Open Sans SemiBold" w:eastAsia="Times New Roman" w:hAnsi="Open Sans SemiBold" w:cs="Open Sans SemiBold"/>
                <w:color w:val="FFFFFF"/>
                <w:sz w:val="16"/>
                <w:szCs w:val="16"/>
                <w:lang w:eastAsia="en-AU"/>
              </w:rPr>
              <w:t>NSW</w:t>
            </w:r>
          </w:p>
        </w:tc>
        <w:tc>
          <w:tcPr>
            <w:tcW w:w="760" w:type="dxa"/>
            <w:tcBorders>
              <w:top w:val="nil"/>
              <w:left w:val="nil"/>
              <w:bottom w:val="nil"/>
              <w:right w:val="nil"/>
            </w:tcBorders>
            <w:shd w:val="clear" w:color="000000" w:fill="006991"/>
            <w:vAlign w:val="center"/>
            <w:hideMark/>
          </w:tcPr>
          <w:p w14:paraId="30AD09DD"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2A78">
              <w:rPr>
                <w:rFonts w:ascii="Open Sans SemiBold" w:eastAsia="Times New Roman" w:hAnsi="Open Sans SemiBold" w:cs="Open Sans SemiBold"/>
                <w:color w:val="FFFFFF"/>
                <w:sz w:val="16"/>
                <w:szCs w:val="16"/>
                <w:lang w:eastAsia="en-AU"/>
              </w:rPr>
              <w:t>Vic</w:t>
            </w:r>
          </w:p>
        </w:tc>
        <w:tc>
          <w:tcPr>
            <w:tcW w:w="760" w:type="dxa"/>
            <w:tcBorders>
              <w:top w:val="nil"/>
              <w:left w:val="nil"/>
              <w:bottom w:val="nil"/>
              <w:right w:val="nil"/>
            </w:tcBorders>
            <w:shd w:val="clear" w:color="000000" w:fill="006991"/>
            <w:vAlign w:val="center"/>
            <w:hideMark/>
          </w:tcPr>
          <w:p w14:paraId="79603986"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2A78">
              <w:rPr>
                <w:rFonts w:ascii="Open Sans SemiBold" w:eastAsia="Times New Roman" w:hAnsi="Open Sans SemiBold" w:cs="Open Sans SemiBold"/>
                <w:color w:val="FFFFFF"/>
                <w:sz w:val="16"/>
                <w:szCs w:val="16"/>
                <w:lang w:eastAsia="en-AU"/>
              </w:rPr>
              <w:t>Qld</w:t>
            </w:r>
          </w:p>
        </w:tc>
        <w:tc>
          <w:tcPr>
            <w:tcW w:w="760" w:type="dxa"/>
            <w:tcBorders>
              <w:top w:val="nil"/>
              <w:left w:val="nil"/>
              <w:bottom w:val="nil"/>
              <w:right w:val="nil"/>
            </w:tcBorders>
            <w:shd w:val="clear" w:color="000000" w:fill="006991"/>
            <w:vAlign w:val="center"/>
            <w:hideMark/>
          </w:tcPr>
          <w:p w14:paraId="7B8BCC80"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2A78">
              <w:rPr>
                <w:rFonts w:ascii="Open Sans SemiBold" w:eastAsia="Times New Roman" w:hAnsi="Open Sans SemiBold" w:cs="Open Sans SemiBold"/>
                <w:color w:val="FFFFFF"/>
                <w:sz w:val="16"/>
                <w:szCs w:val="16"/>
                <w:lang w:eastAsia="en-AU"/>
              </w:rPr>
              <w:t>WA</w:t>
            </w:r>
          </w:p>
        </w:tc>
        <w:tc>
          <w:tcPr>
            <w:tcW w:w="660" w:type="dxa"/>
            <w:tcBorders>
              <w:top w:val="nil"/>
              <w:left w:val="nil"/>
              <w:bottom w:val="nil"/>
              <w:right w:val="nil"/>
            </w:tcBorders>
            <w:shd w:val="clear" w:color="000000" w:fill="006991"/>
            <w:vAlign w:val="center"/>
            <w:hideMark/>
          </w:tcPr>
          <w:p w14:paraId="3D315066"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2A78">
              <w:rPr>
                <w:rFonts w:ascii="Open Sans SemiBold" w:eastAsia="Times New Roman" w:hAnsi="Open Sans SemiBold" w:cs="Open Sans SemiBold"/>
                <w:color w:val="FFFFFF"/>
                <w:sz w:val="16"/>
                <w:szCs w:val="16"/>
                <w:lang w:eastAsia="en-AU"/>
              </w:rPr>
              <w:t>SA</w:t>
            </w:r>
          </w:p>
        </w:tc>
        <w:tc>
          <w:tcPr>
            <w:tcW w:w="660" w:type="dxa"/>
            <w:tcBorders>
              <w:top w:val="nil"/>
              <w:left w:val="nil"/>
              <w:bottom w:val="nil"/>
              <w:right w:val="nil"/>
            </w:tcBorders>
            <w:shd w:val="clear" w:color="000000" w:fill="006991"/>
            <w:vAlign w:val="center"/>
            <w:hideMark/>
          </w:tcPr>
          <w:p w14:paraId="27E6234F"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2A78">
              <w:rPr>
                <w:rFonts w:ascii="Open Sans SemiBold" w:eastAsia="Times New Roman" w:hAnsi="Open Sans SemiBold" w:cs="Open Sans SemiBold"/>
                <w:color w:val="FFFFFF"/>
                <w:sz w:val="16"/>
                <w:szCs w:val="16"/>
                <w:lang w:eastAsia="en-AU"/>
              </w:rPr>
              <w:t>Tas</w:t>
            </w:r>
          </w:p>
        </w:tc>
        <w:tc>
          <w:tcPr>
            <w:tcW w:w="660" w:type="dxa"/>
            <w:tcBorders>
              <w:top w:val="nil"/>
              <w:left w:val="nil"/>
              <w:bottom w:val="nil"/>
              <w:right w:val="nil"/>
            </w:tcBorders>
            <w:shd w:val="clear" w:color="000000" w:fill="006991"/>
            <w:vAlign w:val="center"/>
            <w:hideMark/>
          </w:tcPr>
          <w:p w14:paraId="42E567C3"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2A78">
              <w:rPr>
                <w:rFonts w:ascii="Open Sans SemiBold" w:eastAsia="Times New Roman" w:hAnsi="Open Sans SemiBold" w:cs="Open Sans SemiBold"/>
                <w:color w:val="FFFFFF"/>
                <w:sz w:val="16"/>
                <w:szCs w:val="16"/>
                <w:lang w:eastAsia="en-AU"/>
              </w:rPr>
              <w:t>ACT</w:t>
            </w:r>
          </w:p>
        </w:tc>
        <w:tc>
          <w:tcPr>
            <w:tcW w:w="760" w:type="dxa"/>
            <w:tcBorders>
              <w:top w:val="nil"/>
              <w:left w:val="nil"/>
              <w:bottom w:val="nil"/>
              <w:right w:val="nil"/>
            </w:tcBorders>
            <w:shd w:val="clear" w:color="000000" w:fill="006991"/>
            <w:vAlign w:val="center"/>
            <w:hideMark/>
          </w:tcPr>
          <w:p w14:paraId="75CA8A6A"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2A78">
              <w:rPr>
                <w:rFonts w:ascii="Open Sans SemiBold" w:eastAsia="Times New Roman" w:hAnsi="Open Sans SemiBold" w:cs="Open Sans SemiBold"/>
                <w:color w:val="FFFFFF"/>
                <w:sz w:val="16"/>
                <w:szCs w:val="16"/>
                <w:lang w:eastAsia="en-AU"/>
              </w:rPr>
              <w:t>NT</w:t>
            </w:r>
          </w:p>
        </w:tc>
        <w:tc>
          <w:tcPr>
            <w:tcW w:w="860" w:type="dxa"/>
            <w:tcBorders>
              <w:top w:val="nil"/>
              <w:left w:val="nil"/>
              <w:bottom w:val="nil"/>
              <w:right w:val="nil"/>
            </w:tcBorders>
            <w:shd w:val="clear" w:color="000000" w:fill="006991"/>
            <w:vAlign w:val="center"/>
            <w:hideMark/>
          </w:tcPr>
          <w:p w14:paraId="762CF7E5"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52A78">
              <w:rPr>
                <w:rFonts w:ascii="Open Sans SemiBold" w:eastAsia="Times New Roman" w:hAnsi="Open Sans SemiBold" w:cs="Open Sans SemiBold"/>
                <w:color w:val="FFFFFF"/>
                <w:sz w:val="16"/>
                <w:szCs w:val="16"/>
                <w:lang w:eastAsia="en-AU"/>
              </w:rPr>
              <w:t>Total</w:t>
            </w:r>
          </w:p>
        </w:tc>
      </w:tr>
      <w:tr w:rsidR="00DE37C1" w:rsidRPr="00052A78" w14:paraId="1BAEAD8A" w14:textId="77777777" w:rsidTr="005F7F6C">
        <w:trPr>
          <w:trHeight w:val="255"/>
        </w:trPr>
        <w:tc>
          <w:tcPr>
            <w:tcW w:w="2360" w:type="dxa"/>
            <w:tcBorders>
              <w:top w:val="single" w:sz="4" w:space="0" w:color="ADD6EA"/>
              <w:left w:val="nil"/>
              <w:bottom w:val="single" w:sz="4" w:space="0" w:color="ADD6EA"/>
              <w:right w:val="nil"/>
            </w:tcBorders>
            <w:shd w:val="clear" w:color="000000" w:fill="B6D5E4"/>
            <w:noWrap/>
            <w:vAlign w:val="center"/>
            <w:hideMark/>
          </w:tcPr>
          <w:p w14:paraId="4468E28B"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 </w:t>
            </w:r>
          </w:p>
        </w:tc>
        <w:tc>
          <w:tcPr>
            <w:tcW w:w="760" w:type="dxa"/>
            <w:tcBorders>
              <w:top w:val="single" w:sz="4" w:space="0" w:color="ADD6EA"/>
              <w:left w:val="nil"/>
              <w:bottom w:val="single" w:sz="4" w:space="0" w:color="ADD6EA"/>
              <w:right w:val="nil"/>
            </w:tcBorders>
            <w:shd w:val="clear" w:color="000000" w:fill="B6D5E4"/>
            <w:noWrap/>
            <w:vAlign w:val="center"/>
            <w:hideMark/>
          </w:tcPr>
          <w:p w14:paraId="06C7D05B"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3A90EF14"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653098B2"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145EDAFB"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'000</w:t>
            </w:r>
          </w:p>
        </w:tc>
        <w:tc>
          <w:tcPr>
            <w:tcW w:w="660" w:type="dxa"/>
            <w:tcBorders>
              <w:top w:val="single" w:sz="4" w:space="0" w:color="ADD6EA"/>
              <w:left w:val="nil"/>
              <w:bottom w:val="single" w:sz="4" w:space="0" w:color="ADD6EA"/>
              <w:right w:val="nil"/>
            </w:tcBorders>
            <w:shd w:val="clear" w:color="000000" w:fill="B6D5E4"/>
            <w:noWrap/>
            <w:vAlign w:val="center"/>
            <w:hideMark/>
          </w:tcPr>
          <w:p w14:paraId="16037B65"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'000</w:t>
            </w:r>
          </w:p>
        </w:tc>
        <w:tc>
          <w:tcPr>
            <w:tcW w:w="660" w:type="dxa"/>
            <w:tcBorders>
              <w:top w:val="single" w:sz="4" w:space="0" w:color="ADD6EA"/>
              <w:left w:val="nil"/>
              <w:bottom w:val="single" w:sz="4" w:space="0" w:color="ADD6EA"/>
              <w:right w:val="nil"/>
            </w:tcBorders>
            <w:shd w:val="clear" w:color="000000" w:fill="B6D5E4"/>
            <w:noWrap/>
            <w:vAlign w:val="center"/>
            <w:hideMark/>
          </w:tcPr>
          <w:p w14:paraId="1EA18B9D"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'000</w:t>
            </w:r>
          </w:p>
        </w:tc>
        <w:tc>
          <w:tcPr>
            <w:tcW w:w="660" w:type="dxa"/>
            <w:tcBorders>
              <w:top w:val="single" w:sz="4" w:space="0" w:color="ADD6EA"/>
              <w:left w:val="nil"/>
              <w:bottom w:val="single" w:sz="4" w:space="0" w:color="ADD6EA"/>
              <w:right w:val="nil"/>
            </w:tcBorders>
            <w:shd w:val="clear" w:color="000000" w:fill="B6D5E4"/>
            <w:noWrap/>
            <w:vAlign w:val="center"/>
            <w:hideMark/>
          </w:tcPr>
          <w:p w14:paraId="3675C92C"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'000</w:t>
            </w:r>
          </w:p>
        </w:tc>
        <w:tc>
          <w:tcPr>
            <w:tcW w:w="760" w:type="dxa"/>
            <w:tcBorders>
              <w:top w:val="single" w:sz="4" w:space="0" w:color="ADD6EA"/>
              <w:left w:val="nil"/>
              <w:bottom w:val="single" w:sz="4" w:space="0" w:color="ADD6EA"/>
              <w:right w:val="nil"/>
            </w:tcBorders>
            <w:shd w:val="clear" w:color="000000" w:fill="B6D5E4"/>
            <w:noWrap/>
            <w:vAlign w:val="center"/>
            <w:hideMark/>
          </w:tcPr>
          <w:p w14:paraId="5FB36D3B"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'000</w:t>
            </w:r>
          </w:p>
        </w:tc>
        <w:tc>
          <w:tcPr>
            <w:tcW w:w="860" w:type="dxa"/>
            <w:tcBorders>
              <w:top w:val="single" w:sz="4" w:space="0" w:color="ADD6EA"/>
              <w:left w:val="nil"/>
              <w:bottom w:val="single" w:sz="4" w:space="0" w:color="ADD6EA"/>
              <w:right w:val="nil"/>
            </w:tcBorders>
            <w:shd w:val="clear" w:color="000000" w:fill="B6D5E4"/>
            <w:noWrap/>
            <w:vAlign w:val="center"/>
            <w:hideMark/>
          </w:tcPr>
          <w:p w14:paraId="01725EE2"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'000</w:t>
            </w:r>
          </w:p>
        </w:tc>
      </w:tr>
      <w:tr w:rsidR="00DE37C1" w:rsidRPr="00052A78" w14:paraId="114659A7"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17444BC5" w14:textId="77777777" w:rsidR="00DE37C1" w:rsidRPr="00052A78" w:rsidRDefault="00DE37C1" w:rsidP="004D65FE">
            <w:pPr>
              <w:tabs>
                <w:tab w:val="clear" w:pos="567"/>
              </w:tabs>
              <w:spacing w:before="0" w:line="240" w:lineRule="auto"/>
              <w:rPr>
                <w:rFonts w:eastAsia="Times New Roman" w:cs="Open Sans Light"/>
                <w:color w:val="000000"/>
                <w:sz w:val="16"/>
                <w:szCs w:val="16"/>
                <w:lang w:eastAsia="en-AU"/>
              </w:rPr>
            </w:pPr>
            <w:r w:rsidRPr="00052A78">
              <w:rPr>
                <w:rFonts w:eastAsia="Times New Roman" w:cs="Open Sans Light"/>
                <w:color w:val="000000"/>
                <w:sz w:val="16"/>
                <w:szCs w:val="16"/>
                <w:lang w:eastAsia="en-AU"/>
              </w:rPr>
              <w:t>Most disadvantaged</w:t>
            </w:r>
          </w:p>
        </w:tc>
        <w:tc>
          <w:tcPr>
            <w:tcW w:w="760" w:type="dxa"/>
            <w:tcBorders>
              <w:top w:val="nil"/>
              <w:left w:val="nil"/>
              <w:bottom w:val="single" w:sz="4" w:space="0" w:color="ADD6EA"/>
              <w:right w:val="nil"/>
            </w:tcBorders>
            <w:shd w:val="clear" w:color="000000" w:fill="FFFFFF"/>
            <w:vAlign w:val="bottom"/>
            <w:hideMark/>
          </w:tcPr>
          <w:p w14:paraId="321B923B"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1,678</w:t>
            </w:r>
          </w:p>
        </w:tc>
        <w:tc>
          <w:tcPr>
            <w:tcW w:w="760" w:type="dxa"/>
            <w:tcBorders>
              <w:top w:val="nil"/>
              <w:left w:val="nil"/>
              <w:bottom w:val="single" w:sz="4" w:space="0" w:color="ADD6EA"/>
              <w:right w:val="nil"/>
            </w:tcBorders>
            <w:shd w:val="clear" w:color="000000" w:fill="FFFFFF"/>
            <w:vAlign w:val="bottom"/>
            <w:hideMark/>
          </w:tcPr>
          <w:p w14:paraId="66C5B277"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1,198</w:t>
            </w:r>
          </w:p>
        </w:tc>
        <w:tc>
          <w:tcPr>
            <w:tcW w:w="760" w:type="dxa"/>
            <w:tcBorders>
              <w:top w:val="nil"/>
              <w:left w:val="nil"/>
              <w:bottom w:val="single" w:sz="4" w:space="0" w:color="ADD6EA"/>
              <w:right w:val="nil"/>
            </w:tcBorders>
            <w:shd w:val="clear" w:color="000000" w:fill="FFFFFF"/>
            <w:vAlign w:val="bottom"/>
            <w:hideMark/>
          </w:tcPr>
          <w:p w14:paraId="495C7D4C"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952</w:t>
            </w:r>
          </w:p>
        </w:tc>
        <w:tc>
          <w:tcPr>
            <w:tcW w:w="760" w:type="dxa"/>
            <w:tcBorders>
              <w:top w:val="nil"/>
              <w:left w:val="nil"/>
              <w:bottom w:val="single" w:sz="4" w:space="0" w:color="ADD6EA"/>
              <w:right w:val="nil"/>
            </w:tcBorders>
            <w:shd w:val="clear" w:color="000000" w:fill="FFFFFF"/>
            <w:vAlign w:val="bottom"/>
            <w:hideMark/>
          </w:tcPr>
          <w:p w14:paraId="7C3FAAB7"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317</w:t>
            </w:r>
          </w:p>
        </w:tc>
        <w:tc>
          <w:tcPr>
            <w:tcW w:w="660" w:type="dxa"/>
            <w:tcBorders>
              <w:top w:val="nil"/>
              <w:left w:val="nil"/>
              <w:bottom w:val="single" w:sz="4" w:space="0" w:color="ADD6EA"/>
              <w:right w:val="nil"/>
            </w:tcBorders>
            <w:shd w:val="clear" w:color="000000" w:fill="FFFFFF"/>
            <w:vAlign w:val="bottom"/>
            <w:hideMark/>
          </w:tcPr>
          <w:p w14:paraId="31853414"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465</w:t>
            </w:r>
          </w:p>
        </w:tc>
        <w:tc>
          <w:tcPr>
            <w:tcW w:w="660" w:type="dxa"/>
            <w:tcBorders>
              <w:top w:val="nil"/>
              <w:left w:val="nil"/>
              <w:bottom w:val="single" w:sz="4" w:space="0" w:color="ADD6EA"/>
              <w:right w:val="nil"/>
            </w:tcBorders>
            <w:shd w:val="clear" w:color="000000" w:fill="FFFFFF"/>
            <w:vAlign w:val="bottom"/>
            <w:hideMark/>
          </w:tcPr>
          <w:p w14:paraId="5E2BB802"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171</w:t>
            </w:r>
          </w:p>
        </w:tc>
        <w:tc>
          <w:tcPr>
            <w:tcW w:w="660" w:type="dxa"/>
            <w:tcBorders>
              <w:top w:val="nil"/>
              <w:left w:val="nil"/>
              <w:bottom w:val="single" w:sz="4" w:space="0" w:color="ADD6EA"/>
              <w:right w:val="nil"/>
            </w:tcBorders>
            <w:shd w:val="clear" w:color="000000" w:fill="FFFFFF"/>
            <w:vAlign w:val="bottom"/>
            <w:hideMark/>
          </w:tcPr>
          <w:p w14:paraId="4E3F0F46"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9</w:t>
            </w:r>
          </w:p>
        </w:tc>
        <w:tc>
          <w:tcPr>
            <w:tcW w:w="760" w:type="dxa"/>
            <w:tcBorders>
              <w:top w:val="nil"/>
              <w:left w:val="nil"/>
              <w:bottom w:val="single" w:sz="4" w:space="0" w:color="ADD6EA"/>
              <w:right w:val="nil"/>
            </w:tcBorders>
            <w:shd w:val="clear" w:color="000000" w:fill="FFFFFF"/>
            <w:vAlign w:val="bottom"/>
            <w:hideMark/>
          </w:tcPr>
          <w:p w14:paraId="6439D582"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5</w:t>
            </w:r>
          </w:p>
        </w:tc>
        <w:tc>
          <w:tcPr>
            <w:tcW w:w="860" w:type="dxa"/>
            <w:tcBorders>
              <w:top w:val="nil"/>
              <w:left w:val="nil"/>
              <w:bottom w:val="single" w:sz="4" w:space="0" w:color="ADD6EA"/>
              <w:right w:val="nil"/>
            </w:tcBorders>
            <w:shd w:val="clear" w:color="000000" w:fill="FFFFFF"/>
            <w:vAlign w:val="bottom"/>
            <w:hideMark/>
          </w:tcPr>
          <w:p w14:paraId="19C0B758"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4,795</w:t>
            </w:r>
          </w:p>
        </w:tc>
      </w:tr>
      <w:tr w:rsidR="00DE37C1" w:rsidRPr="00052A78" w14:paraId="044697AD"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52EA155D" w14:textId="77777777" w:rsidR="00DE37C1" w:rsidRPr="00052A78" w:rsidRDefault="00DE37C1" w:rsidP="004D65FE">
            <w:pPr>
              <w:tabs>
                <w:tab w:val="clear" w:pos="567"/>
              </w:tabs>
              <w:spacing w:before="0" w:line="240" w:lineRule="auto"/>
              <w:rPr>
                <w:rFonts w:eastAsia="Times New Roman" w:cs="Open Sans Light"/>
                <w:color w:val="000000"/>
                <w:sz w:val="16"/>
                <w:szCs w:val="16"/>
                <w:lang w:eastAsia="en-AU"/>
              </w:rPr>
            </w:pPr>
            <w:r w:rsidRPr="00052A78">
              <w:rPr>
                <w:rFonts w:eastAsia="Times New Roman" w:cs="Open Sans Light"/>
                <w:color w:val="000000"/>
                <w:sz w:val="16"/>
                <w:szCs w:val="16"/>
                <w:lang w:eastAsia="en-AU"/>
              </w:rPr>
              <w:t>2nd most disadvantaged</w:t>
            </w:r>
          </w:p>
        </w:tc>
        <w:tc>
          <w:tcPr>
            <w:tcW w:w="760" w:type="dxa"/>
            <w:tcBorders>
              <w:top w:val="nil"/>
              <w:left w:val="nil"/>
              <w:bottom w:val="single" w:sz="4" w:space="0" w:color="ADD6EA"/>
              <w:right w:val="nil"/>
            </w:tcBorders>
            <w:shd w:val="clear" w:color="000000" w:fill="FFFFFF"/>
            <w:vAlign w:val="bottom"/>
            <w:hideMark/>
          </w:tcPr>
          <w:p w14:paraId="79426560"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1,527</w:t>
            </w:r>
          </w:p>
        </w:tc>
        <w:tc>
          <w:tcPr>
            <w:tcW w:w="760" w:type="dxa"/>
            <w:tcBorders>
              <w:top w:val="nil"/>
              <w:left w:val="nil"/>
              <w:bottom w:val="single" w:sz="4" w:space="0" w:color="ADD6EA"/>
              <w:right w:val="nil"/>
            </w:tcBorders>
            <w:shd w:val="clear" w:color="000000" w:fill="FFFFFF"/>
            <w:vAlign w:val="bottom"/>
            <w:hideMark/>
          </w:tcPr>
          <w:p w14:paraId="033816DB"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1,213</w:t>
            </w:r>
          </w:p>
        </w:tc>
        <w:tc>
          <w:tcPr>
            <w:tcW w:w="760" w:type="dxa"/>
            <w:tcBorders>
              <w:top w:val="nil"/>
              <w:left w:val="nil"/>
              <w:bottom w:val="single" w:sz="4" w:space="0" w:color="ADD6EA"/>
              <w:right w:val="nil"/>
            </w:tcBorders>
            <w:shd w:val="clear" w:color="000000" w:fill="FFFFFF"/>
            <w:vAlign w:val="bottom"/>
            <w:hideMark/>
          </w:tcPr>
          <w:p w14:paraId="19D17028"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1,049</w:t>
            </w:r>
          </w:p>
        </w:tc>
        <w:tc>
          <w:tcPr>
            <w:tcW w:w="760" w:type="dxa"/>
            <w:tcBorders>
              <w:top w:val="nil"/>
              <w:left w:val="nil"/>
              <w:bottom w:val="single" w:sz="4" w:space="0" w:color="ADD6EA"/>
              <w:right w:val="nil"/>
            </w:tcBorders>
            <w:shd w:val="clear" w:color="000000" w:fill="FFFFFF"/>
            <w:vAlign w:val="bottom"/>
            <w:hideMark/>
          </w:tcPr>
          <w:p w14:paraId="12C86289"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478</w:t>
            </w:r>
          </w:p>
        </w:tc>
        <w:tc>
          <w:tcPr>
            <w:tcW w:w="660" w:type="dxa"/>
            <w:tcBorders>
              <w:top w:val="nil"/>
              <w:left w:val="nil"/>
              <w:bottom w:val="single" w:sz="4" w:space="0" w:color="ADD6EA"/>
              <w:right w:val="nil"/>
            </w:tcBorders>
            <w:shd w:val="clear" w:color="000000" w:fill="FFFFFF"/>
            <w:vAlign w:val="bottom"/>
            <w:hideMark/>
          </w:tcPr>
          <w:p w14:paraId="2C78EE7F"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416</w:t>
            </w:r>
          </w:p>
        </w:tc>
        <w:tc>
          <w:tcPr>
            <w:tcW w:w="660" w:type="dxa"/>
            <w:tcBorders>
              <w:top w:val="nil"/>
              <w:left w:val="nil"/>
              <w:bottom w:val="single" w:sz="4" w:space="0" w:color="ADD6EA"/>
              <w:right w:val="nil"/>
            </w:tcBorders>
            <w:shd w:val="clear" w:color="000000" w:fill="FFFFFF"/>
            <w:vAlign w:val="bottom"/>
            <w:hideMark/>
          </w:tcPr>
          <w:p w14:paraId="366257FA"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124</w:t>
            </w:r>
          </w:p>
        </w:tc>
        <w:tc>
          <w:tcPr>
            <w:tcW w:w="660" w:type="dxa"/>
            <w:tcBorders>
              <w:top w:val="nil"/>
              <w:left w:val="nil"/>
              <w:bottom w:val="single" w:sz="4" w:space="0" w:color="ADD6EA"/>
              <w:right w:val="nil"/>
            </w:tcBorders>
            <w:shd w:val="clear" w:color="000000" w:fill="FFFFFF"/>
            <w:vAlign w:val="bottom"/>
            <w:hideMark/>
          </w:tcPr>
          <w:p w14:paraId="75D5E37D"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24</w:t>
            </w:r>
          </w:p>
        </w:tc>
        <w:tc>
          <w:tcPr>
            <w:tcW w:w="760" w:type="dxa"/>
            <w:tcBorders>
              <w:top w:val="nil"/>
              <w:left w:val="nil"/>
              <w:bottom w:val="single" w:sz="4" w:space="0" w:color="ADD6EA"/>
              <w:right w:val="nil"/>
            </w:tcBorders>
            <w:shd w:val="clear" w:color="000000" w:fill="FFFFFF"/>
            <w:vAlign w:val="bottom"/>
            <w:hideMark/>
          </w:tcPr>
          <w:p w14:paraId="2985322A"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16</w:t>
            </w:r>
          </w:p>
        </w:tc>
        <w:tc>
          <w:tcPr>
            <w:tcW w:w="860" w:type="dxa"/>
            <w:tcBorders>
              <w:top w:val="nil"/>
              <w:left w:val="nil"/>
              <w:bottom w:val="single" w:sz="4" w:space="0" w:color="ADD6EA"/>
              <w:right w:val="nil"/>
            </w:tcBorders>
            <w:shd w:val="clear" w:color="000000" w:fill="FFFFFF"/>
            <w:vAlign w:val="bottom"/>
            <w:hideMark/>
          </w:tcPr>
          <w:p w14:paraId="75E2438E"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4,847</w:t>
            </w:r>
          </w:p>
        </w:tc>
      </w:tr>
      <w:tr w:rsidR="00DE37C1" w:rsidRPr="00052A78" w14:paraId="5FC73767"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23356958" w14:textId="77777777" w:rsidR="00DE37C1" w:rsidRPr="00052A78" w:rsidRDefault="00DE37C1" w:rsidP="004D65FE">
            <w:pPr>
              <w:tabs>
                <w:tab w:val="clear" w:pos="567"/>
              </w:tabs>
              <w:spacing w:before="0" w:line="240" w:lineRule="auto"/>
              <w:rPr>
                <w:rFonts w:eastAsia="Times New Roman" w:cs="Open Sans Light"/>
                <w:color w:val="000000"/>
                <w:sz w:val="16"/>
                <w:szCs w:val="16"/>
                <w:lang w:eastAsia="en-AU"/>
              </w:rPr>
            </w:pPr>
            <w:r w:rsidRPr="00052A78">
              <w:rPr>
                <w:rFonts w:eastAsia="Times New Roman" w:cs="Open Sans Light"/>
                <w:color w:val="000000"/>
                <w:sz w:val="16"/>
                <w:szCs w:val="16"/>
                <w:lang w:eastAsia="en-AU"/>
              </w:rPr>
              <w:t>Middle quintile</w:t>
            </w:r>
          </w:p>
        </w:tc>
        <w:tc>
          <w:tcPr>
            <w:tcW w:w="760" w:type="dxa"/>
            <w:tcBorders>
              <w:top w:val="nil"/>
              <w:left w:val="nil"/>
              <w:bottom w:val="single" w:sz="4" w:space="0" w:color="ADD6EA"/>
              <w:right w:val="nil"/>
            </w:tcBorders>
            <w:shd w:val="clear" w:color="000000" w:fill="FFFFFF"/>
            <w:vAlign w:val="bottom"/>
            <w:hideMark/>
          </w:tcPr>
          <w:p w14:paraId="53170FDD"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1,345</w:t>
            </w:r>
          </w:p>
        </w:tc>
        <w:tc>
          <w:tcPr>
            <w:tcW w:w="760" w:type="dxa"/>
            <w:tcBorders>
              <w:top w:val="nil"/>
              <w:left w:val="nil"/>
              <w:bottom w:val="single" w:sz="4" w:space="0" w:color="ADD6EA"/>
              <w:right w:val="nil"/>
            </w:tcBorders>
            <w:shd w:val="clear" w:color="000000" w:fill="FFFFFF"/>
            <w:vAlign w:val="bottom"/>
            <w:hideMark/>
          </w:tcPr>
          <w:p w14:paraId="36C86249"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1,371</w:t>
            </w:r>
          </w:p>
        </w:tc>
        <w:tc>
          <w:tcPr>
            <w:tcW w:w="760" w:type="dxa"/>
            <w:tcBorders>
              <w:top w:val="nil"/>
              <w:left w:val="nil"/>
              <w:bottom w:val="single" w:sz="4" w:space="0" w:color="ADD6EA"/>
              <w:right w:val="nil"/>
            </w:tcBorders>
            <w:shd w:val="clear" w:color="000000" w:fill="FFFFFF"/>
            <w:vAlign w:val="bottom"/>
            <w:hideMark/>
          </w:tcPr>
          <w:p w14:paraId="406F4B8F"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1,036</w:t>
            </w:r>
          </w:p>
        </w:tc>
        <w:tc>
          <w:tcPr>
            <w:tcW w:w="760" w:type="dxa"/>
            <w:tcBorders>
              <w:top w:val="nil"/>
              <w:left w:val="nil"/>
              <w:bottom w:val="single" w:sz="4" w:space="0" w:color="ADD6EA"/>
              <w:right w:val="nil"/>
            </w:tcBorders>
            <w:shd w:val="clear" w:color="000000" w:fill="FFFFFF"/>
            <w:vAlign w:val="bottom"/>
            <w:hideMark/>
          </w:tcPr>
          <w:p w14:paraId="08B279E7"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572</w:t>
            </w:r>
          </w:p>
        </w:tc>
        <w:tc>
          <w:tcPr>
            <w:tcW w:w="660" w:type="dxa"/>
            <w:tcBorders>
              <w:top w:val="nil"/>
              <w:left w:val="nil"/>
              <w:bottom w:val="single" w:sz="4" w:space="0" w:color="ADD6EA"/>
              <w:right w:val="nil"/>
            </w:tcBorders>
            <w:shd w:val="clear" w:color="000000" w:fill="FFFFFF"/>
            <w:vAlign w:val="bottom"/>
            <w:hideMark/>
          </w:tcPr>
          <w:p w14:paraId="41FB5B4D"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338</w:t>
            </w:r>
          </w:p>
        </w:tc>
        <w:tc>
          <w:tcPr>
            <w:tcW w:w="660" w:type="dxa"/>
            <w:tcBorders>
              <w:top w:val="nil"/>
              <w:left w:val="nil"/>
              <w:bottom w:val="single" w:sz="4" w:space="0" w:color="ADD6EA"/>
              <w:right w:val="nil"/>
            </w:tcBorders>
            <w:shd w:val="clear" w:color="000000" w:fill="FFFFFF"/>
            <w:vAlign w:val="bottom"/>
            <w:hideMark/>
          </w:tcPr>
          <w:p w14:paraId="62EA5E48"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104</w:t>
            </w:r>
          </w:p>
        </w:tc>
        <w:tc>
          <w:tcPr>
            <w:tcW w:w="660" w:type="dxa"/>
            <w:tcBorders>
              <w:top w:val="nil"/>
              <w:left w:val="nil"/>
              <w:bottom w:val="single" w:sz="4" w:space="0" w:color="ADD6EA"/>
              <w:right w:val="nil"/>
            </w:tcBorders>
            <w:shd w:val="clear" w:color="000000" w:fill="FFFFFF"/>
            <w:vAlign w:val="bottom"/>
            <w:hideMark/>
          </w:tcPr>
          <w:p w14:paraId="542FCAAB"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59</w:t>
            </w:r>
          </w:p>
        </w:tc>
        <w:tc>
          <w:tcPr>
            <w:tcW w:w="760" w:type="dxa"/>
            <w:tcBorders>
              <w:top w:val="nil"/>
              <w:left w:val="nil"/>
              <w:bottom w:val="single" w:sz="4" w:space="0" w:color="ADD6EA"/>
              <w:right w:val="nil"/>
            </w:tcBorders>
            <w:shd w:val="clear" w:color="000000" w:fill="FFFFFF"/>
            <w:vAlign w:val="bottom"/>
            <w:hideMark/>
          </w:tcPr>
          <w:p w14:paraId="487EEC25"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43</w:t>
            </w:r>
          </w:p>
        </w:tc>
        <w:tc>
          <w:tcPr>
            <w:tcW w:w="860" w:type="dxa"/>
            <w:tcBorders>
              <w:top w:val="nil"/>
              <w:left w:val="nil"/>
              <w:bottom w:val="single" w:sz="4" w:space="0" w:color="ADD6EA"/>
              <w:right w:val="nil"/>
            </w:tcBorders>
            <w:shd w:val="clear" w:color="000000" w:fill="FFFFFF"/>
            <w:vAlign w:val="bottom"/>
            <w:hideMark/>
          </w:tcPr>
          <w:p w14:paraId="4836221B"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4,869</w:t>
            </w:r>
          </w:p>
        </w:tc>
      </w:tr>
      <w:tr w:rsidR="00DE37C1" w:rsidRPr="00052A78" w14:paraId="1F769FFB"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78A56333" w14:textId="77777777" w:rsidR="00DE37C1" w:rsidRPr="00052A78" w:rsidRDefault="00DE37C1" w:rsidP="004D65FE">
            <w:pPr>
              <w:tabs>
                <w:tab w:val="clear" w:pos="567"/>
              </w:tabs>
              <w:spacing w:before="0" w:line="240" w:lineRule="auto"/>
              <w:rPr>
                <w:rFonts w:eastAsia="Times New Roman" w:cs="Open Sans Light"/>
                <w:color w:val="000000"/>
                <w:sz w:val="16"/>
                <w:szCs w:val="16"/>
                <w:lang w:eastAsia="en-AU"/>
              </w:rPr>
            </w:pPr>
            <w:r w:rsidRPr="00052A78">
              <w:rPr>
                <w:rFonts w:eastAsia="Times New Roman" w:cs="Open Sans Light"/>
                <w:color w:val="000000"/>
                <w:sz w:val="16"/>
                <w:szCs w:val="16"/>
                <w:lang w:eastAsia="en-AU"/>
              </w:rPr>
              <w:t>2nd least disadvantaged</w:t>
            </w:r>
          </w:p>
        </w:tc>
        <w:tc>
          <w:tcPr>
            <w:tcW w:w="760" w:type="dxa"/>
            <w:tcBorders>
              <w:top w:val="nil"/>
              <w:left w:val="nil"/>
              <w:bottom w:val="single" w:sz="4" w:space="0" w:color="ADD6EA"/>
              <w:right w:val="nil"/>
            </w:tcBorders>
            <w:shd w:val="clear" w:color="000000" w:fill="FFFFFF"/>
            <w:vAlign w:val="bottom"/>
            <w:hideMark/>
          </w:tcPr>
          <w:p w14:paraId="7BDB943C"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1,361</w:t>
            </w:r>
          </w:p>
        </w:tc>
        <w:tc>
          <w:tcPr>
            <w:tcW w:w="760" w:type="dxa"/>
            <w:tcBorders>
              <w:top w:val="nil"/>
              <w:left w:val="nil"/>
              <w:bottom w:val="single" w:sz="4" w:space="0" w:color="ADD6EA"/>
              <w:right w:val="nil"/>
            </w:tcBorders>
            <w:shd w:val="clear" w:color="000000" w:fill="FFFFFF"/>
            <w:vAlign w:val="bottom"/>
            <w:hideMark/>
          </w:tcPr>
          <w:p w14:paraId="31D2B39D"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1,429</w:t>
            </w:r>
          </w:p>
        </w:tc>
        <w:tc>
          <w:tcPr>
            <w:tcW w:w="760" w:type="dxa"/>
            <w:tcBorders>
              <w:top w:val="nil"/>
              <w:left w:val="nil"/>
              <w:bottom w:val="single" w:sz="4" w:space="0" w:color="ADD6EA"/>
              <w:right w:val="nil"/>
            </w:tcBorders>
            <w:shd w:val="clear" w:color="000000" w:fill="FFFFFF"/>
            <w:vAlign w:val="bottom"/>
            <w:hideMark/>
          </w:tcPr>
          <w:p w14:paraId="7B416493"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999</w:t>
            </w:r>
          </w:p>
        </w:tc>
        <w:tc>
          <w:tcPr>
            <w:tcW w:w="760" w:type="dxa"/>
            <w:tcBorders>
              <w:top w:val="nil"/>
              <w:left w:val="nil"/>
              <w:bottom w:val="single" w:sz="4" w:space="0" w:color="ADD6EA"/>
              <w:right w:val="nil"/>
            </w:tcBorders>
            <w:shd w:val="clear" w:color="000000" w:fill="FFFFFF"/>
            <w:vAlign w:val="bottom"/>
            <w:hideMark/>
          </w:tcPr>
          <w:p w14:paraId="16BC53BD"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603</w:t>
            </w:r>
          </w:p>
        </w:tc>
        <w:tc>
          <w:tcPr>
            <w:tcW w:w="660" w:type="dxa"/>
            <w:tcBorders>
              <w:top w:val="nil"/>
              <w:left w:val="nil"/>
              <w:bottom w:val="single" w:sz="4" w:space="0" w:color="ADD6EA"/>
              <w:right w:val="nil"/>
            </w:tcBorders>
            <w:shd w:val="clear" w:color="000000" w:fill="FFFFFF"/>
            <w:vAlign w:val="bottom"/>
            <w:hideMark/>
          </w:tcPr>
          <w:p w14:paraId="51E548B5"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291</w:t>
            </w:r>
          </w:p>
        </w:tc>
        <w:tc>
          <w:tcPr>
            <w:tcW w:w="660" w:type="dxa"/>
            <w:tcBorders>
              <w:top w:val="nil"/>
              <w:left w:val="nil"/>
              <w:bottom w:val="single" w:sz="4" w:space="0" w:color="ADD6EA"/>
              <w:right w:val="nil"/>
            </w:tcBorders>
            <w:shd w:val="clear" w:color="000000" w:fill="FFFFFF"/>
            <w:vAlign w:val="bottom"/>
            <w:hideMark/>
          </w:tcPr>
          <w:p w14:paraId="642339CB"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63</w:t>
            </w:r>
          </w:p>
        </w:tc>
        <w:tc>
          <w:tcPr>
            <w:tcW w:w="660" w:type="dxa"/>
            <w:tcBorders>
              <w:top w:val="nil"/>
              <w:left w:val="nil"/>
              <w:bottom w:val="single" w:sz="4" w:space="0" w:color="ADD6EA"/>
              <w:right w:val="nil"/>
            </w:tcBorders>
            <w:shd w:val="clear" w:color="000000" w:fill="FFFFFF"/>
            <w:vAlign w:val="bottom"/>
            <w:hideMark/>
          </w:tcPr>
          <w:p w14:paraId="366D0C1F"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108</w:t>
            </w:r>
          </w:p>
        </w:tc>
        <w:tc>
          <w:tcPr>
            <w:tcW w:w="760" w:type="dxa"/>
            <w:tcBorders>
              <w:top w:val="nil"/>
              <w:left w:val="nil"/>
              <w:bottom w:val="single" w:sz="4" w:space="0" w:color="ADD6EA"/>
              <w:right w:val="nil"/>
            </w:tcBorders>
            <w:shd w:val="clear" w:color="000000" w:fill="FFFFFF"/>
            <w:vAlign w:val="bottom"/>
            <w:hideMark/>
          </w:tcPr>
          <w:p w14:paraId="1076BFE8"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52</w:t>
            </w:r>
          </w:p>
        </w:tc>
        <w:tc>
          <w:tcPr>
            <w:tcW w:w="860" w:type="dxa"/>
            <w:tcBorders>
              <w:top w:val="nil"/>
              <w:left w:val="nil"/>
              <w:bottom w:val="single" w:sz="4" w:space="0" w:color="ADD6EA"/>
              <w:right w:val="nil"/>
            </w:tcBorders>
            <w:shd w:val="clear" w:color="000000" w:fill="FFFFFF"/>
            <w:vAlign w:val="bottom"/>
            <w:hideMark/>
          </w:tcPr>
          <w:p w14:paraId="36ACD510"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4,905</w:t>
            </w:r>
          </w:p>
        </w:tc>
      </w:tr>
      <w:tr w:rsidR="00DE37C1" w:rsidRPr="00052A78" w14:paraId="4662B86A"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24E41981" w14:textId="77777777" w:rsidR="00DE37C1" w:rsidRPr="00052A78" w:rsidRDefault="00DE37C1" w:rsidP="004D65FE">
            <w:pPr>
              <w:tabs>
                <w:tab w:val="clear" w:pos="567"/>
              </w:tabs>
              <w:spacing w:before="0" w:line="240" w:lineRule="auto"/>
              <w:rPr>
                <w:rFonts w:eastAsia="Times New Roman" w:cs="Open Sans Light"/>
                <w:color w:val="000000"/>
                <w:sz w:val="16"/>
                <w:szCs w:val="16"/>
                <w:lang w:eastAsia="en-AU"/>
              </w:rPr>
            </w:pPr>
            <w:r w:rsidRPr="00052A78">
              <w:rPr>
                <w:rFonts w:eastAsia="Times New Roman" w:cs="Open Sans Light"/>
                <w:color w:val="000000"/>
                <w:sz w:val="16"/>
                <w:szCs w:val="16"/>
                <w:lang w:eastAsia="en-AU"/>
              </w:rPr>
              <w:t>Least disadvantaged</w:t>
            </w:r>
          </w:p>
        </w:tc>
        <w:tc>
          <w:tcPr>
            <w:tcW w:w="760" w:type="dxa"/>
            <w:tcBorders>
              <w:top w:val="nil"/>
              <w:left w:val="nil"/>
              <w:bottom w:val="single" w:sz="4" w:space="0" w:color="ADD6EA"/>
              <w:right w:val="nil"/>
            </w:tcBorders>
            <w:shd w:val="clear" w:color="000000" w:fill="FFFFFF"/>
            <w:vAlign w:val="bottom"/>
            <w:hideMark/>
          </w:tcPr>
          <w:p w14:paraId="5DB341FA"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1,849</w:t>
            </w:r>
          </w:p>
        </w:tc>
        <w:tc>
          <w:tcPr>
            <w:tcW w:w="760" w:type="dxa"/>
            <w:tcBorders>
              <w:top w:val="nil"/>
              <w:left w:val="nil"/>
              <w:bottom w:val="single" w:sz="4" w:space="0" w:color="ADD6EA"/>
              <w:right w:val="nil"/>
            </w:tcBorders>
            <w:shd w:val="clear" w:color="000000" w:fill="FFFFFF"/>
            <w:vAlign w:val="bottom"/>
            <w:hideMark/>
          </w:tcPr>
          <w:p w14:paraId="40F7050A"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1,256</w:t>
            </w:r>
          </w:p>
        </w:tc>
        <w:tc>
          <w:tcPr>
            <w:tcW w:w="760" w:type="dxa"/>
            <w:tcBorders>
              <w:top w:val="nil"/>
              <w:left w:val="nil"/>
              <w:bottom w:val="single" w:sz="4" w:space="0" w:color="ADD6EA"/>
              <w:right w:val="nil"/>
            </w:tcBorders>
            <w:shd w:val="clear" w:color="000000" w:fill="FFFFFF"/>
            <w:vAlign w:val="bottom"/>
            <w:hideMark/>
          </w:tcPr>
          <w:p w14:paraId="5F8915B7"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781</w:t>
            </w:r>
          </w:p>
        </w:tc>
        <w:tc>
          <w:tcPr>
            <w:tcW w:w="760" w:type="dxa"/>
            <w:tcBorders>
              <w:top w:val="nil"/>
              <w:left w:val="nil"/>
              <w:bottom w:val="single" w:sz="4" w:space="0" w:color="ADD6EA"/>
              <w:right w:val="nil"/>
            </w:tcBorders>
            <w:shd w:val="clear" w:color="000000" w:fill="FFFFFF"/>
            <w:vAlign w:val="bottom"/>
            <w:hideMark/>
          </w:tcPr>
          <w:p w14:paraId="2912F974"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531</w:t>
            </w:r>
          </w:p>
        </w:tc>
        <w:tc>
          <w:tcPr>
            <w:tcW w:w="660" w:type="dxa"/>
            <w:tcBorders>
              <w:top w:val="nil"/>
              <w:left w:val="nil"/>
              <w:bottom w:val="single" w:sz="4" w:space="0" w:color="ADD6EA"/>
              <w:right w:val="nil"/>
            </w:tcBorders>
            <w:shd w:val="clear" w:color="000000" w:fill="FFFFFF"/>
            <w:vAlign w:val="bottom"/>
            <w:hideMark/>
          </w:tcPr>
          <w:p w14:paraId="57F8A72A"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188</w:t>
            </w:r>
          </w:p>
        </w:tc>
        <w:tc>
          <w:tcPr>
            <w:tcW w:w="660" w:type="dxa"/>
            <w:tcBorders>
              <w:top w:val="nil"/>
              <w:left w:val="nil"/>
              <w:bottom w:val="single" w:sz="4" w:space="0" w:color="ADD6EA"/>
              <w:right w:val="nil"/>
            </w:tcBorders>
            <w:shd w:val="clear" w:color="000000" w:fill="FFFFFF"/>
            <w:vAlign w:val="bottom"/>
            <w:hideMark/>
          </w:tcPr>
          <w:p w14:paraId="7931CFCB"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40</w:t>
            </w:r>
          </w:p>
        </w:tc>
        <w:tc>
          <w:tcPr>
            <w:tcW w:w="660" w:type="dxa"/>
            <w:tcBorders>
              <w:top w:val="nil"/>
              <w:left w:val="nil"/>
              <w:bottom w:val="single" w:sz="4" w:space="0" w:color="ADD6EA"/>
              <w:right w:val="nil"/>
            </w:tcBorders>
            <w:shd w:val="clear" w:color="000000" w:fill="FFFFFF"/>
            <w:vAlign w:val="bottom"/>
            <w:hideMark/>
          </w:tcPr>
          <w:p w14:paraId="06FDA146"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216</w:t>
            </w:r>
          </w:p>
        </w:tc>
        <w:tc>
          <w:tcPr>
            <w:tcW w:w="760" w:type="dxa"/>
            <w:tcBorders>
              <w:top w:val="nil"/>
              <w:left w:val="nil"/>
              <w:bottom w:val="single" w:sz="4" w:space="0" w:color="ADD6EA"/>
              <w:right w:val="nil"/>
            </w:tcBorders>
            <w:shd w:val="clear" w:color="000000" w:fill="FFFFFF"/>
            <w:vAlign w:val="bottom"/>
            <w:hideMark/>
          </w:tcPr>
          <w:p w14:paraId="4B20BE17"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54</w:t>
            </w:r>
          </w:p>
        </w:tc>
        <w:tc>
          <w:tcPr>
            <w:tcW w:w="860" w:type="dxa"/>
            <w:tcBorders>
              <w:top w:val="nil"/>
              <w:left w:val="nil"/>
              <w:bottom w:val="single" w:sz="4" w:space="0" w:color="ADD6EA"/>
              <w:right w:val="nil"/>
            </w:tcBorders>
            <w:shd w:val="clear" w:color="000000" w:fill="FFFFFF"/>
            <w:vAlign w:val="bottom"/>
            <w:hideMark/>
          </w:tcPr>
          <w:p w14:paraId="42295305"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4,915</w:t>
            </w:r>
          </w:p>
        </w:tc>
      </w:tr>
      <w:tr w:rsidR="00DE37C1" w:rsidRPr="00052A78" w14:paraId="519E32CE" w14:textId="77777777" w:rsidTr="0005271E">
        <w:trPr>
          <w:trHeight w:val="315"/>
        </w:trPr>
        <w:tc>
          <w:tcPr>
            <w:tcW w:w="2360" w:type="dxa"/>
            <w:tcBorders>
              <w:top w:val="nil"/>
              <w:left w:val="nil"/>
              <w:bottom w:val="single" w:sz="4" w:space="0" w:color="ADD6EA"/>
              <w:right w:val="nil"/>
            </w:tcBorders>
            <w:shd w:val="clear" w:color="000000" w:fill="D6E7F0"/>
            <w:vAlign w:val="bottom"/>
            <w:hideMark/>
          </w:tcPr>
          <w:p w14:paraId="54498CEE" w14:textId="77777777" w:rsidR="00DE37C1" w:rsidRPr="00052A78" w:rsidRDefault="00DE37C1"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24B058CF"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7,760</w:t>
            </w:r>
          </w:p>
        </w:tc>
        <w:tc>
          <w:tcPr>
            <w:tcW w:w="760" w:type="dxa"/>
            <w:tcBorders>
              <w:top w:val="nil"/>
              <w:left w:val="nil"/>
              <w:bottom w:val="single" w:sz="4" w:space="0" w:color="ADD6EA"/>
              <w:right w:val="nil"/>
            </w:tcBorders>
            <w:shd w:val="clear" w:color="000000" w:fill="D6E7F0"/>
            <w:vAlign w:val="bottom"/>
            <w:hideMark/>
          </w:tcPr>
          <w:p w14:paraId="1C4BC894"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6,466</w:t>
            </w:r>
          </w:p>
        </w:tc>
        <w:tc>
          <w:tcPr>
            <w:tcW w:w="760" w:type="dxa"/>
            <w:tcBorders>
              <w:top w:val="nil"/>
              <w:left w:val="nil"/>
              <w:bottom w:val="single" w:sz="4" w:space="0" w:color="ADD6EA"/>
              <w:right w:val="nil"/>
            </w:tcBorders>
            <w:shd w:val="clear" w:color="000000" w:fill="D6E7F0"/>
            <w:vAlign w:val="bottom"/>
            <w:hideMark/>
          </w:tcPr>
          <w:p w14:paraId="225AA544"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4,818</w:t>
            </w:r>
          </w:p>
        </w:tc>
        <w:tc>
          <w:tcPr>
            <w:tcW w:w="760" w:type="dxa"/>
            <w:tcBorders>
              <w:top w:val="nil"/>
              <w:left w:val="nil"/>
              <w:bottom w:val="single" w:sz="4" w:space="0" w:color="ADD6EA"/>
              <w:right w:val="nil"/>
            </w:tcBorders>
            <w:shd w:val="clear" w:color="000000" w:fill="D6E7F0"/>
            <w:vAlign w:val="bottom"/>
            <w:hideMark/>
          </w:tcPr>
          <w:p w14:paraId="0A82F0D5"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2,501</w:t>
            </w:r>
          </w:p>
        </w:tc>
        <w:tc>
          <w:tcPr>
            <w:tcW w:w="660" w:type="dxa"/>
            <w:tcBorders>
              <w:top w:val="nil"/>
              <w:left w:val="nil"/>
              <w:bottom w:val="single" w:sz="4" w:space="0" w:color="ADD6EA"/>
              <w:right w:val="nil"/>
            </w:tcBorders>
            <w:shd w:val="clear" w:color="000000" w:fill="D6E7F0"/>
            <w:vAlign w:val="bottom"/>
            <w:hideMark/>
          </w:tcPr>
          <w:p w14:paraId="5C5DC7A9"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1,699</w:t>
            </w:r>
          </w:p>
        </w:tc>
        <w:tc>
          <w:tcPr>
            <w:tcW w:w="660" w:type="dxa"/>
            <w:tcBorders>
              <w:top w:val="nil"/>
              <w:left w:val="nil"/>
              <w:bottom w:val="single" w:sz="4" w:space="0" w:color="ADD6EA"/>
              <w:right w:val="nil"/>
            </w:tcBorders>
            <w:shd w:val="clear" w:color="000000" w:fill="D6E7F0"/>
            <w:vAlign w:val="bottom"/>
            <w:hideMark/>
          </w:tcPr>
          <w:p w14:paraId="14C185A6"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502</w:t>
            </w:r>
          </w:p>
        </w:tc>
        <w:tc>
          <w:tcPr>
            <w:tcW w:w="660" w:type="dxa"/>
            <w:tcBorders>
              <w:top w:val="nil"/>
              <w:left w:val="nil"/>
              <w:bottom w:val="single" w:sz="4" w:space="0" w:color="ADD6EA"/>
              <w:right w:val="nil"/>
            </w:tcBorders>
            <w:shd w:val="clear" w:color="000000" w:fill="D6E7F0"/>
            <w:vAlign w:val="bottom"/>
            <w:hideMark/>
          </w:tcPr>
          <w:p w14:paraId="5F30F051"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415</w:t>
            </w:r>
          </w:p>
        </w:tc>
        <w:tc>
          <w:tcPr>
            <w:tcW w:w="760" w:type="dxa"/>
            <w:tcBorders>
              <w:top w:val="nil"/>
              <w:left w:val="nil"/>
              <w:bottom w:val="single" w:sz="4" w:space="0" w:color="ADD6EA"/>
              <w:right w:val="nil"/>
            </w:tcBorders>
            <w:shd w:val="clear" w:color="000000" w:fill="D6E7F0"/>
            <w:vAlign w:val="bottom"/>
            <w:hideMark/>
          </w:tcPr>
          <w:p w14:paraId="73804A69"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169</w:t>
            </w:r>
          </w:p>
        </w:tc>
        <w:tc>
          <w:tcPr>
            <w:tcW w:w="860" w:type="dxa"/>
            <w:tcBorders>
              <w:top w:val="nil"/>
              <w:left w:val="nil"/>
              <w:bottom w:val="single" w:sz="4" w:space="0" w:color="ADD6EA"/>
              <w:right w:val="nil"/>
            </w:tcBorders>
            <w:shd w:val="clear" w:color="000000" w:fill="D6E7F0"/>
            <w:vAlign w:val="bottom"/>
            <w:hideMark/>
          </w:tcPr>
          <w:p w14:paraId="1BB38912"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24,330</w:t>
            </w:r>
          </w:p>
        </w:tc>
      </w:tr>
      <w:tr w:rsidR="00DE37C1" w:rsidRPr="00052A78" w14:paraId="5BB7E014" w14:textId="77777777" w:rsidTr="005F7F6C">
        <w:trPr>
          <w:trHeight w:val="255"/>
        </w:trPr>
        <w:tc>
          <w:tcPr>
            <w:tcW w:w="2360" w:type="dxa"/>
            <w:tcBorders>
              <w:top w:val="nil"/>
              <w:left w:val="nil"/>
              <w:bottom w:val="single" w:sz="4" w:space="0" w:color="ADD6EA"/>
              <w:right w:val="nil"/>
            </w:tcBorders>
            <w:shd w:val="clear" w:color="000000" w:fill="B6D5E4"/>
            <w:noWrap/>
            <w:vAlign w:val="center"/>
            <w:hideMark/>
          </w:tcPr>
          <w:p w14:paraId="3D0FFCAD"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 </w:t>
            </w:r>
          </w:p>
        </w:tc>
        <w:tc>
          <w:tcPr>
            <w:tcW w:w="760" w:type="dxa"/>
            <w:tcBorders>
              <w:top w:val="nil"/>
              <w:left w:val="nil"/>
              <w:bottom w:val="single" w:sz="4" w:space="0" w:color="ADD6EA"/>
              <w:right w:val="nil"/>
            </w:tcBorders>
            <w:shd w:val="clear" w:color="000000" w:fill="B6D5E4"/>
            <w:noWrap/>
            <w:vAlign w:val="center"/>
            <w:hideMark/>
          </w:tcPr>
          <w:p w14:paraId="295D4BA5"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7B2BC7C3"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599B8756"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3EA3E60E"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w:t>
            </w:r>
          </w:p>
        </w:tc>
        <w:tc>
          <w:tcPr>
            <w:tcW w:w="660" w:type="dxa"/>
            <w:tcBorders>
              <w:top w:val="nil"/>
              <w:left w:val="nil"/>
              <w:bottom w:val="single" w:sz="4" w:space="0" w:color="ADD6EA"/>
              <w:right w:val="nil"/>
            </w:tcBorders>
            <w:shd w:val="clear" w:color="000000" w:fill="B6D5E4"/>
            <w:noWrap/>
            <w:vAlign w:val="center"/>
            <w:hideMark/>
          </w:tcPr>
          <w:p w14:paraId="30BD6B92"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w:t>
            </w:r>
          </w:p>
        </w:tc>
        <w:tc>
          <w:tcPr>
            <w:tcW w:w="660" w:type="dxa"/>
            <w:tcBorders>
              <w:top w:val="nil"/>
              <w:left w:val="nil"/>
              <w:bottom w:val="single" w:sz="4" w:space="0" w:color="ADD6EA"/>
              <w:right w:val="nil"/>
            </w:tcBorders>
            <w:shd w:val="clear" w:color="000000" w:fill="B6D5E4"/>
            <w:noWrap/>
            <w:vAlign w:val="center"/>
            <w:hideMark/>
          </w:tcPr>
          <w:p w14:paraId="6DD49AA0"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w:t>
            </w:r>
          </w:p>
        </w:tc>
        <w:tc>
          <w:tcPr>
            <w:tcW w:w="660" w:type="dxa"/>
            <w:tcBorders>
              <w:top w:val="nil"/>
              <w:left w:val="nil"/>
              <w:bottom w:val="single" w:sz="4" w:space="0" w:color="ADD6EA"/>
              <w:right w:val="nil"/>
            </w:tcBorders>
            <w:shd w:val="clear" w:color="000000" w:fill="B6D5E4"/>
            <w:noWrap/>
            <w:vAlign w:val="center"/>
            <w:hideMark/>
          </w:tcPr>
          <w:p w14:paraId="103CDD1F"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w:t>
            </w:r>
          </w:p>
        </w:tc>
        <w:tc>
          <w:tcPr>
            <w:tcW w:w="760" w:type="dxa"/>
            <w:tcBorders>
              <w:top w:val="nil"/>
              <w:left w:val="nil"/>
              <w:bottom w:val="single" w:sz="4" w:space="0" w:color="ADD6EA"/>
              <w:right w:val="nil"/>
            </w:tcBorders>
            <w:shd w:val="clear" w:color="000000" w:fill="B6D5E4"/>
            <w:noWrap/>
            <w:vAlign w:val="center"/>
            <w:hideMark/>
          </w:tcPr>
          <w:p w14:paraId="09FB9E72"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w:t>
            </w:r>
          </w:p>
        </w:tc>
        <w:tc>
          <w:tcPr>
            <w:tcW w:w="860" w:type="dxa"/>
            <w:tcBorders>
              <w:top w:val="nil"/>
              <w:left w:val="nil"/>
              <w:bottom w:val="single" w:sz="4" w:space="0" w:color="ADD6EA"/>
              <w:right w:val="nil"/>
            </w:tcBorders>
            <w:shd w:val="clear" w:color="000000" w:fill="B6D5E4"/>
            <w:noWrap/>
            <w:vAlign w:val="center"/>
            <w:hideMark/>
          </w:tcPr>
          <w:p w14:paraId="14FA2706" w14:textId="77777777" w:rsidR="00DE37C1" w:rsidRPr="00052A78"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w:t>
            </w:r>
          </w:p>
        </w:tc>
      </w:tr>
      <w:tr w:rsidR="00DE37C1" w:rsidRPr="00052A78" w14:paraId="60869A28"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381C435F" w14:textId="77777777" w:rsidR="00DE37C1" w:rsidRPr="00052A78" w:rsidRDefault="00DE37C1" w:rsidP="004D65FE">
            <w:pPr>
              <w:tabs>
                <w:tab w:val="clear" w:pos="567"/>
              </w:tabs>
              <w:spacing w:before="0" w:line="240" w:lineRule="auto"/>
              <w:rPr>
                <w:rFonts w:eastAsia="Times New Roman" w:cs="Open Sans Light"/>
                <w:color w:val="000000"/>
                <w:sz w:val="16"/>
                <w:szCs w:val="16"/>
                <w:lang w:eastAsia="en-AU"/>
              </w:rPr>
            </w:pPr>
            <w:r w:rsidRPr="00052A78">
              <w:rPr>
                <w:rFonts w:eastAsia="Times New Roman" w:cs="Open Sans Light"/>
                <w:color w:val="000000"/>
                <w:sz w:val="16"/>
                <w:szCs w:val="16"/>
                <w:lang w:eastAsia="en-AU"/>
              </w:rPr>
              <w:t>Most disadvantaged</w:t>
            </w:r>
          </w:p>
        </w:tc>
        <w:tc>
          <w:tcPr>
            <w:tcW w:w="760" w:type="dxa"/>
            <w:tcBorders>
              <w:top w:val="nil"/>
              <w:left w:val="nil"/>
              <w:bottom w:val="single" w:sz="4" w:space="0" w:color="ADD6EA"/>
              <w:right w:val="nil"/>
            </w:tcBorders>
            <w:shd w:val="clear" w:color="000000" w:fill="FFFFFF"/>
            <w:vAlign w:val="bottom"/>
            <w:hideMark/>
          </w:tcPr>
          <w:p w14:paraId="2F5160C4"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35.0</w:t>
            </w:r>
          </w:p>
        </w:tc>
        <w:tc>
          <w:tcPr>
            <w:tcW w:w="760" w:type="dxa"/>
            <w:tcBorders>
              <w:top w:val="nil"/>
              <w:left w:val="nil"/>
              <w:bottom w:val="single" w:sz="4" w:space="0" w:color="ADD6EA"/>
              <w:right w:val="nil"/>
            </w:tcBorders>
            <w:shd w:val="clear" w:color="000000" w:fill="FFFFFF"/>
            <w:vAlign w:val="bottom"/>
            <w:hideMark/>
          </w:tcPr>
          <w:p w14:paraId="5FF9FD18"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25.0</w:t>
            </w:r>
          </w:p>
        </w:tc>
        <w:tc>
          <w:tcPr>
            <w:tcW w:w="760" w:type="dxa"/>
            <w:tcBorders>
              <w:top w:val="nil"/>
              <w:left w:val="nil"/>
              <w:bottom w:val="single" w:sz="4" w:space="0" w:color="ADD6EA"/>
              <w:right w:val="nil"/>
            </w:tcBorders>
            <w:shd w:val="clear" w:color="000000" w:fill="FFFFFF"/>
            <w:vAlign w:val="bottom"/>
            <w:hideMark/>
          </w:tcPr>
          <w:p w14:paraId="146F5CE9"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19.9</w:t>
            </w:r>
          </w:p>
        </w:tc>
        <w:tc>
          <w:tcPr>
            <w:tcW w:w="760" w:type="dxa"/>
            <w:tcBorders>
              <w:top w:val="nil"/>
              <w:left w:val="nil"/>
              <w:bottom w:val="single" w:sz="4" w:space="0" w:color="ADD6EA"/>
              <w:right w:val="nil"/>
            </w:tcBorders>
            <w:shd w:val="clear" w:color="000000" w:fill="FFFFFF"/>
            <w:vAlign w:val="bottom"/>
            <w:hideMark/>
          </w:tcPr>
          <w:p w14:paraId="0F4C0C4C"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6.6</w:t>
            </w:r>
          </w:p>
        </w:tc>
        <w:tc>
          <w:tcPr>
            <w:tcW w:w="660" w:type="dxa"/>
            <w:tcBorders>
              <w:top w:val="nil"/>
              <w:left w:val="nil"/>
              <w:bottom w:val="single" w:sz="4" w:space="0" w:color="ADD6EA"/>
              <w:right w:val="nil"/>
            </w:tcBorders>
            <w:shd w:val="clear" w:color="000000" w:fill="FFFFFF"/>
            <w:vAlign w:val="bottom"/>
            <w:hideMark/>
          </w:tcPr>
          <w:p w14:paraId="7380752E"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9.7</w:t>
            </w:r>
          </w:p>
        </w:tc>
        <w:tc>
          <w:tcPr>
            <w:tcW w:w="660" w:type="dxa"/>
            <w:tcBorders>
              <w:top w:val="nil"/>
              <w:left w:val="nil"/>
              <w:bottom w:val="single" w:sz="4" w:space="0" w:color="ADD6EA"/>
              <w:right w:val="nil"/>
            </w:tcBorders>
            <w:shd w:val="clear" w:color="000000" w:fill="FFFFFF"/>
            <w:vAlign w:val="bottom"/>
            <w:hideMark/>
          </w:tcPr>
          <w:p w14:paraId="221C610C"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3.6</w:t>
            </w:r>
          </w:p>
        </w:tc>
        <w:tc>
          <w:tcPr>
            <w:tcW w:w="660" w:type="dxa"/>
            <w:tcBorders>
              <w:top w:val="nil"/>
              <w:left w:val="nil"/>
              <w:bottom w:val="single" w:sz="4" w:space="0" w:color="ADD6EA"/>
              <w:right w:val="nil"/>
            </w:tcBorders>
            <w:shd w:val="clear" w:color="000000" w:fill="FFFFFF"/>
            <w:vAlign w:val="bottom"/>
            <w:hideMark/>
          </w:tcPr>
          <w:p w14:paraId="35C3BC3D"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0.2</w:t>
            </w:r>
          </w:p>
        </w:tc>
        <w:tc>
          <w:tcPr>
            <w:tcW w:w="760" w:type="dxa"/>
            <w:tcBorders>
              <w:top w:val="nil"/>
              <w:left w:val="nil"/>
              <w:bottom w:val="single" w:sz="4" w:space="0" w:color="ADD6EA"/>
              <w:right w:val="nil"/>
            </w:tcBorders>
            <w:shd w:val="clear" w:color="000000" w:fill="FFFFFF"/>
            <w:vAlign w:val="bottom"/>
            <w:hideMark/>
          </w:tcPr>
          <w:p w14:paraId="31193073"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0.1</w:t>
            </w:r>
          </w:p>
        </w:tc>
        <w:tc>
          <w:tcPr>
            <w:tcW w:w="860" w:type="dxa"/>
            <w:tcBorders>
              <w:top w:val="nil"/>
              <w:left w:val="nil"/>
              <w:bottom w:val="single" w:sz="4" w:space="0" w:color="ADD6EA"/>
              <w:right w:val="nil"/>
            </w:tcBorders>
            <w:shd w:val="clear" w:color="000000" w:fill="FFFFFF"/>
            <w:vAlign w:val="bottom"/>
            <w:hideMark/>
          </w:tcPr>
          <w:p w14:paraId="2E647FC6"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100.0</w:t>
            </w:r>
          </w:p>
        </w:tc>
      </w:tr>
      <w:tr w:rsidR="00DE37C1" w:rsidRPr="00052A78" w14:paraId="14021C3E"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26D4D875" w14:textId="77777777" w:rsidR="00DE37C1" w:rsidRPr="00052A78" w:rsidRDefault="00DE37C1" w:rsidP="004D65FE">
            <w:pPr>
              <w:tabs>
                <w:tab w:val="clear" w:pos="567"/>
              </w:tabs>
              <w:spacing w:before="0" w:line="240" w:lineRule="auto"/>
              <w:rPr>
                <w:rFonts w:eastAsia="Times New Roman" w:cs="Open Sans Light"/>
                <w:color w:val="000000"/>
                <w:sz w:val="16"/>
                <w:szCs w:val="16"/>
                <w:lang w:eastAsia="en-AU"/>
              </w:rPr>
            </w:pPr>
            <w:r w:rsidRPr="00052A78">
              <w:rPr>
                <w:rFonts w:eastAsia="Times New Roman" w:cs="Open Sans Light"/>
                <w:color w:val="000000"/>
                <w:sz w:val="16"/>
                <w:szCs w:val="16"/>
                <w:lang w:eastAsia="en-AU"/>
              </w:rPr>
              <w:t>2nd most disadvantaged</w:t>
            </w:r>
          </w:p>
        </w:tc>
        <w:tc>
          <w:tcPr>
            <w:tcW w:w="760" w:type="dxa"/>
            <w:tcBorders>
              <w:top w:val="nil"/>
              <w:left w:val="nil"/>
              <w:bottom w:val="single" w:sz="4" w:space="0" w:color="ADD6EA"/>
              <w:right w:val="nil"/>
            </w:tcBorders>
            <w:shd w:val="clear" w:color="000000" w:fill="FFFFFF"/>
            <w:vAlign w:val="bottom"/>
            <w:hideMark/>
          </w:tcPr>
          <w:p w14:paraId="4E80D7DF"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31.5</w:t>
            </w:r>
          </w:p>
        </w:tc>
        <w:tc>
          <w:tcPr>
            <w:tcW w:w="760" w:type="dxa"/>
            <w:tcBorders>
              <w:top w:val="nil"/>
              <w:left w:val="nil"/>
              <w:bottom w:val="single" w:sz="4" w:space="0" w:color="ADD6EA"/>
              <w:right w:val="nil"/>
            </w:tcBorders>
            <w:shd w:val="clear" w:color="000000" w:fill="FFFFFF"/>
            <w:vAlign w:val="bottom"/>
            <w:hideMark/>
          </w:tcPr>
          <w:p w14:paraId="3FE657E9"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25.0</w:t>
            </w:r>
          </w:p>
        </w:tc>
        <w:tc>
          <w:tcPr>
            <w:tcW w:w="760" w:type="dxa"/>
            <w:tcBorders>
              <w:top w:val="nil"/>
              <w:left w:val="nil"/>
              <w:bottom w:val="single" w:sz="4" w:space="0" w:color="ADD6EA"/>
              <w:right w:val="nil"/>
            </w:tcBorders>
            <w:shd w:val="clear" w:color="000000" w:fill="FFFFFF"/>
            <w:vAlign w:val="bottom"/>
            <w:hideMark/>
          </w:tcPr>
          <w:p w14:paraId="02C74D94"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21.7</w:t>
            </w:r>
          </w:p>
        </w:tc>
        <w:tc>
          <w:tcPr>
            <w:tcW w:w="760" w:type="dxa"/>
            <w:tcBorders>
              <w:top w:val="nil"/>
              <w:left w:val="nil"/>
              <w:bottom w:val="single" w:sz="4" w:space="0" w:color="ADD6EA"/>
              <w:right w:val="nil"/>
            </w:tcBorders>
            <w:shd w:val="clear" w:color="000000" w:fill="FFFFFF"/>
            <w:vAlign w:val="bottom"/>
            <w:hideMark/>
          </w:tcPr>
          <w:p w14:paraId="32F7E8A1"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9.9</w:t>
            </w:r>
          </w:p>
        </w:tc>
        <w:tc>
          <w:tcPr>
            <w:tcW w:w="660" w:type="dxa"/>
            <w:tcBorders>
              <w:top w:val="nil"/>
              <w:left w:val="nil"/>
              <w:bottom w:val="single" w:sz="4" w:space="0" w:color="ADD6EA"/>
              <w:right w:val="nil"/>
            </w:tcBorders>
            <w:shd w:val="clear" w:color="000000" w:fill="FFFFFF"/>
            <w:vAlign w:val="bottom"/>
            <w:hideMark/>
          </w:tcPr>
          <w:p w14:paraId="6BA4355D"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8.6</w:t>
            </w:r>
          </w:p>
        </w:tc>
        <w:tc>
          <w:tcPr>
            <w:tcW w:w="660" w:type="dxa"/>
            <w:tcBorders>
              <w:top w:val="nil"/>
              <w:left w:val="nil"/>
              <w:bottom w:val="single" w:sz="4" w:space="0" w:color="ADD6EA"/>
              <w:right w:val="nil"/>
            </w:tcBorders>
            <w:shd w:val="clear" w:color="000000" w:fill="FFFFFF"/>
            <w:vAlign w:val="bottom"/>
            <w:hideMark/>
          </w:tcPr>
          <w:p w14:paraId="15A02F91"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2.5</w:t>
            </w:r>
          </w:p>
        </w:tc>
        <w:tc>
          <w:tcPr>
            <w:tcW w:w="660" w:type="dxa"/>
            <w:tcBorders>
              <w:top w:val="nil"/>
              <w:left w:val="nil"/>
              <w:bottom w:val="single" w:sz="4" w:space="0" w:color="ADD6EA"/>
              <w:right w:val="nil"/>
            </w:tcBorders>
            <w:shd w:val="clear" w:color="000000" w:fill="FFFFFF"/>
            <w:vAlign w:val="bottom"/>
            <w:hideMark/>
          </w:tcPr>
          <w:p w14:paraId="3D4D8E0A"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0.5</w:t>
            </w:r>
          </w:p>
        </w:tc>
        <w:tc>
          <w:tcPr>
            <w:tcW w:w="760" w:type="dxa"/>
            <w:tcBorders>
              <w:top w:val="nil"/>
              <w:left w:val="nil"/>
              <w:bottom w:val="single" w:sz="4" w:space="0" w:color="ADD6EA"/>
              <w:right w:val="nil"/>
            </w:tcBorders>
            <w:shd w:val="clear" w:color="000000" w:fill="FFFFFF"/>
            <w:vAlign w:val="bottom"/>
            <w:hideMark/>
          </w:tcPr>
          <w:p w14:paraId="634EF098"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0.3</w:t>
            </w:r>
          </w:p>
        </w:tc>
        <w:tc>
          <w:tcPr>
            <w:tcW w:w="860" w:type="dxa"/>
            <w:tcBorders>
              <w:top w:val="nil"/>
              <w:left w:val="nil"/>
              <w:bottom w:val="single" w:sz="4" w:space="0" w:color="ADD6EA"/>
              <w:right w:val="nil"/>
            </w:tcBorders>
            <w:shd w:val="clear" w:color="000000" w:fill="FFFFFF"/>
            <w:vAlign w:val="bottom"/>
            <w:hideMark/>
          </w:tcPr>
          <w:p w14:paraId="6670E4B0"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100.0</w:t>
            </w:r>
          </w:p>
        </w:tc>
      </w:tr>
      <w:tr w:rsidR="00DE37C1" w:rsidRPr="00052A78" w14:paraId="1F9FD0D8"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30022402" w14:textId="77777777" w:rsidR="00DE37C1" w:rsidRPr="00052A78" w:rsidRDefault="00DE37C1" w:rsidP="004D65FE">
            <w:pPr>
              <w:tabs>
                <w:tab w:val="clear" w:pos="567"/>
              </w:tabs>
              <w:spacing w:before="0" w:line="240" w:lineRule="auto"/>
              <w:rPr>
                <w:rFonts w:eastAsia="Times New Roman" w:cs="Open Sans Light"/>
                <w:color w:val="000000"/>
                <w:sz w:val="16"/>
                <w:szCs w:val="16"/>
                <w:lang w:eastAsia="en-AU"/>
              </w:rPr>
            </w:pPr>
            <w:r w:rsidRPr="00052A78">
              <w:rPr>
                <w:rFonts w:eastAsia="Times New Roman" w:cs="Open Sans Light"/>
                <w:color w:val="000000"/>
                <w:sz w:val="16"/>
                <w:szCs w:val="16"/>
                <w:lang w:eastAsia="en-AU"/>
              </w:rPr>
              <w:t>Middle quintile</w:t>
            </w:r>
          </w:p>
        </w:tc>
        <w:tc>
          <w:tcPr>
            <w:tcW w:w="760" w:type="dxa"/>
            <w:tcBorders>
              <w:top w:val="nil"/>
              <w:left w:val="nil"/>
              <w:bottom w:val="single" w:sz="4" w:space="0" w:color="ADD6EA"/>
              <w:right w:val="nil"/>
            </w:tcBorders>
            <w:shd w:val="clear" w:color="000000" w:fill="FFFFFF"/>
            <w:vAlign w:val="bottom"/>
            <w:hideMark/>
          </w:tcPr>
          <w:p w14:paraId="5D2C1E04"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27.6</w:t>
            </w:r>
          </w:p>
        </w:tc>
        <w:tc>
          <w:tcPr>
            <w:tcW w:w="760" w:type="dxa"/>
            <w:tcBorders>
              <w:top w:val="nil"/>
              <w:left w:val="nil"/>
              <w:bottom w:val="single" w:sz="4" w:space="0" w:color="ADD6EA"/>
              <w:right w:val="nil"/>
            </w:tcBorders>
            <w:shd w:val="clear" w:color="000000" w:fill="FFFFFF"/>
            <w:vAlign w:val="bottom"/>
            <w:hideMark/>
          </w:tcPr>
          <w:p w14:paraId="00886FA0"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28.2</w:t>
            </w:r>
          </w:p>
        </w:tc>
        <w:tc>
          <w:tcPr>
            <w:tcW w:w="760" w:type="dxa"/>
            <w:tcBorders>
              <w:top w:val="nil"/>
              <w:left w:val="nil"/>
              <w:bottom w:val="single" w:sz="4" w:space="0" w:color="ADD6EA"/>
              <w:right w:val="nil"/>
            </w:tcBorders>
            <w:shd w:val="clear" w:color="000000" w:fill="FFFFFF"/>
            <w:vAlign w:val="bottom"/>
            <w:hideMark/>
          </w:tcPr>
          <w:p w14:paraId="0D2EFD62"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21.3</w:t>
            </w:r>
          </w:p>
        </w:tc>
        <w:tc>
          <w:tcPr>
            <w:tcW w:w="760" w:type="dxa"/>
            <w:tcBorders>
              <w:top w:val="nil"/>
              <w:left w:val="nil"/>
              <w:bottom w:val="single" w:sz="4" w:space="0" w:color="ADD6EA"/>
              <w:right w:val="nil"/>
            </w:tcBorders>
            <w:shd w:val="clear" w:color="000000" w:fill="FFFFFF"/>
            <w:vAlign w:val="bottom"/>
            <w:hideMark/>
          </w:tcPr>
          <w:p w14:paraId="5EBB4B2E"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11.8</w:t>
            </w:r>
          </w:p>
        </w:tc>
        <w:tc>
          <w:tcPr>
            <w:tcW w:w="660" w:type="dxa"/>
            <w:tcBorders>
              <w:top w:val="nil"/>
              <w:left w:val="nil"/>
              <w:bottom w:val="single" w:sz="4" w:space="0" w:color="ADD6EA"/>
              <w:right w:val="nil"/>
            </w:tcBorders>
            <w:shd w:val="clear" w:color="000000" w:fill="FFFFFF"/>
            <w:vAlign w:val="bottom"/>
            <w:hideMark/>
          </w:tcPr>
          <w:p w14:paraId="523FF9FD"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6.9</w:t>
            </w:r>
          </w:p>
        </w:tc>
        <w:tc>
          <w:tcPr>
            <w:tcW w:w="660" w:type="dxa"/>
            <w:tcBorders>
              <w:top w:val="nil"/>
              <w:left w:val="nil"/>
              <w:bottom w:val="single" w:sz="4" w:space="0" w:color="ADD6EA"/>
              <w:right w:val="nil"/>
            </w:tcBorders>
            <w:shd w:val="clear" w:color="000000" w:fill="FFFFFF"/>
            <w:vAlign w:val="bottom"/>
            <w:hideMark/>
          </w:tcPr>
          <w:p w14:paraId="7B6651FF"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2.1</w:t>
            </w:r>
          </w:p>
        </w:tc>
        <w:tc>
          <w:tcPr>
            <w:tcW w:w="660" w:type="dxa"/>
            <w:tcBorders>
              <w:top w:val="nil"/>
              <w:left w:val="nil"/>
              <w:bottom w:val="single" w:sz="4" w:space="0" w:color="ADD6EA"/>
              <w:right w:val="nil"/>
            </w:tcBorders>
            <w:shd w:val="clear" w:color="000000" w:fill="FFFFFF"/>
            <w:vAlign w:val="bottom"/>
            <w:hideMark/>
          </w:tcPr>
          <w:p w14:paraId="1F64A3D7"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1.2</w:t>
            </w:r>
          </w:p>
        </w:tc>
        <w:tc>
          <w:tcPr>
            <w:tcW w:w="760" w:type="dxa"/>
            <w:tcBorders>
              <w:top w:val="nil"/>
              <w:left w:val="nil"/>
              <w:bottom w:val="single" w:sz="4" w:space="0" w:color="ADD6EA"/>
              <w:right w:val="nil"/>
            </w:tcBorders>
            <w:shd w:val="clear" w:color="000000" w:fill="FFFFFF"/>
            <w:vAlign w:val="bottom"/>
            <w:hideMark/>
          </w:tcPr>
          <w:p w14:paraId="72EE40D9"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0.9</w:t>
            </w:r>
          </w:p>
        </w:tc>
        <w:tc>
          <w:tcPr>
            <w:tcW w:w="860" w:type="dxa"/>
            <w:tcBorders>
              <w:top w:val="nil"/>
              <w:left w:val="nil"/>
              <w:bottom w:val="single" w:sz="4" w:space="0" w:color="ADD6EA"/>
              <w:right w:val="nil"/>
            </w:tcBorders>
            <w:shd w:val="clear" w:color="000000" w:fill="FFFFFF"/>
            <w:vAlign w:val="bottom"/>
            <w:hideMark/>
          </w:tcPr>
          <w:p w14:paraId="393ACB8E"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100.0</w:t>
            </w:r>
          </w:p>
        </w:tc>
      </w:tr>
      <w:tr w:rsidR="00DE37C1" w:rsidRPr="00052A78" w14:paraId="7D9C4F7A"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511BA22B" w14:textId="77777777" w:rsidR="00DE37C1" w:rsidRPr="00052A78" w:rsidRDefault="00DE37C1" w:rsidP="004D65FE">
            <w:pPr>
              <w:tabs>
                <w:tab w:val="clear" w:pos="567"/>
              </w:tabs>
              <w:spacing w:before="0" w:line="240" w:lineRule="auto"/>
              <w:rPr>
                <w:rFonts w:eastAsia="Times New Roman" w:cs="Open Sans Light"/>
                <w:color w:val="000000"/>
                <w:sz w:val="16"/>
                <w:szCs w:val="16"/>
                <w:lang w:eastAsia="en-AU"/>
              </w:rPr>
            </w:pPr>
            <w:r w:rsidRPr="00052A78">
              <w:rPr>
                <w:rFonts w:eastAsia="Times New Roman" w:cs="Open Sans Light"/>
                <w:color w:val="000000"/>
                <w:sz w:val="16"/>
                <w:szCs w:val="16"/>
                <w:lang w:eastAsia="en-AU"/>
              </w:rPr>
              <w:t>2nd least disadvantaged</w:t>
            </w:r>
          </w:p>
        </w:tc>
        <w:tc>
          <w:tcPr>
            <w:tcW w:w="760" w:type="dxa"/>
            <w:tcBorders>
              <w:top w:val="nil"/>
              <w:left w:val="nil"/>
              <w:bottom w:val="single" w:sz="4" w:space="0" w:color="ADD6EA"/>
              <w:right w:val="nil"/>
            </w:tcBorders>
            <w:shd w:val="clear" w:color="000000" w:fill="FFFFFF"/>
            <w:vAlign w:val="bottom"/>
            <w:hideMark/>
          </w:tcPr>
          <w:p w14:paraId="2C293233"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27.8</w:t>
            </w:r>
          </w:p>
        </w:tc>
        <w:tc>
          <w:tcPr>
            <w:tcW w:w="760" w:type="dxa"/>
            <w:tcBorders>
              <w:top w:val="nil"/>
              <w:left w:val="nil"/>
              <w:bottom w:val="single" w:sz="4" w:space="0" w:color="ADD6EA"/>
              <w:right w:val="nil"/>
            </w:tcBorders>
            <w:shd w:val="clear" w:color="000000" w:fill="FFFFFF"/>
            <w:vAlign w:val="bottom"/>
            <w:hideMark/>
          </w:tcPr>
          <w:p w14:paraId="43779B8E"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29.1</w:t>
            </w:r>
          </w:p>
        </w:tc>
        <w:tc>
          <w:tcPr>
            <w:tcW w:w="760" w:type="dxa"/>
            <w:tcBorders>
              <w:top w:val="nil"/>
              <w:left w:val="nil"/>
              <w:bottom w:val="single" w:sz="4" w:space="0" w:color="ADD6EA"/>
              <w:right w:val="nil"/>
            </w:tcBorders>
            <w:shd w:val="clear" w:color="000000" w:fill="FFFFFF"/>
            <w:vAlign w:val="bottom"/>
            <w:hideMark/>
          </w:tcPr>
          <w:p w14:paraId="5E9765EF"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20.4</w:t>
            </w:r>
          </w:p>
        </w:tc>
        <w:tc>
          <w:tcPr>
            <w:tcW w:w="760" w:type="dxa"/>
            <w:tcBorders>
              <w:top w:val="nil"/>
              <w:left w:val="nil"/>
              <w:bottom w:val="single" w:sz="4" w:space="0" w:color="ADD6EA"/>
              <w:right w:val="nil"/>
            </w:tcBorders>
            <w:shd w:val="clear" w:color="000000" w:fill="FFFFFF"/>
            <w:vAlign w:val="bottom"/>
            <w:hideMark/>
          </w:tcPr>
          <w:p w14:paraId="712E695F"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12.3</w:t>
            </w:r>
          </w:p>
        </w:tc>
        <w:tc>
          <w:tcPr>
            <w:tcW w:w="660" w:type="dxa"/>
            <w:tcBorders>
              <w:top w:val="nil"/>
              <w:left w:val="nil"/>
              <w:bottom w:val="single" w:sz="4" w:space="0" w:color="ADD6EA"/>
              <w:right w:val="nil"/>
            </w:tcBorders>
            <w:shd w:val="clear" w:color="000000" w:fill="FFFFFF"/>
            <w:vAlign w:val="bottom"/>
            <w:hideMark/>
          </w:tcPr>
          <w:p w14:paraId="1C8D62C4"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5.9</w:t>
            </w:r>
          </w:p>
        </w:tc>
        <w:tc>
          <w:tcPr>
            <w:tcW w:w="660" w:type="dxa"/>
            <w:tcBorders>
              <w:top w:val="nil"/>
              <w:left w:val="nil"/>
              <w:bottom w:val="single" w:sz="4" w:space="0" w:color="ADD6EA"/>
              <w:right w:val="nil"/>
            </w:tcBorders>
            <w:shd w:val="clear" w:color="000000" w:fill="FFFFFF"/>
            <w:vAlign w:val="bottom"/>
            <w:hideMark/>
          </w:tcPr>
          <w:p w14:paraId="7712B96A"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1.3</w:t>
            </w:r>
          </w:p>
        </w:tc>
        <w:tc>
          <w:tcPr>
            <w:tcW w:w="660" w:type="dxa"/>
            <w:tcBorders>
              <w:top w:val="nil"/>
              <w:left w:val="nil"/>
              <w:bottom w:val="single" w:sz="4" w:space="0" w:color="ADD6EA"/>
              <w:right w:val="nil"/>
            </w:tcBorders>
            <w:shd w:val="clear" w:color="000000" w:fill="FFFFFF"/>
            <w:vAlign w:val="bottom"/>
            <w:hideMark/>
          </w:tcPr>
          <w:p w14:paraId="24600AE6"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2.2</w:t>
            </w:r>
          </w:p>
        </w:tc>
        <w:tc>
          <w:tcPr>
            <w:tcW w:w="760" w:type="dxa"/>
            <w:tcBorders>
              <w:top w:val="nil"/>
              <w:left w:val="nil"/>
              <w:bottom w:val="single" w:sz="4" w:space="0" w:color="ADD6EA"/>
              <w:right w:val="nil"/>
            </w:tcBorders>
            <w:shd w:val="clear" w:color="000000" w:fill="FFFFFF"/>
            <w:vAlign w:val="bottom"/>
            <w:hideMark/>
          </w:tcPr>
          <w:p w14:paraId="138EE8E8"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1.1</w:t>
            </w:r>
          </w:p>
        </w:tc>
        <w:tc>
          <w:tcPr>
            <w:tcW w:w="860" w:type="dxa"/>
            <w:tcBorders>
              <w:top w:val="nil"/>
              <w:left w:val="nil"/>
              <w:bottom w:val="single" w:sz="4" w:space="0" w:color="ADD6EA"/>
              <w:right w:val="nil"/>
            </w:tcBorders>
            <w:shd w:val="clear" w:color="000000" w:fill="FFFFFF"/>
            <w:vAlign w:val="bottom"/>
            <w:hideMark/>
          </w:tcPr>
          <w:p w14:paraId="6C89CD77"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100.0</w:t>
            </w:r>
          </w:p>
        </w:tc>
      </w:tr>
      <w:tr w:rsidR="00DE37C1" w:rsidRPr="00052A78" w14:paraId="36B5741E" w14:textId="77777777" w:rsidTr="0005271E">
        <w:trPr>
          <w:trHeight w:val="315"/>
        </w:trPr>
        <w:tc>
          <w:tcPr>
            <w:tcW w:w="2360" w:type="dxa"/>
            <w:tcBorders>
              <w:top w:val="nil"/>
              <w:left w:val="nil"/>
              <w:bottom w:val="single" w:sz="4" w:space="0" w:color="ADD6EA"/>
              <w:right w:val="nil"/>
            </w:tcBorders>
            <w:shd w:val="clear" w:color="000000" w:fill="FFFFFF"/>
            <w:vAlign w:val="bottom"/>
            <w:hideMark/>
          </w:tcPr>
          <w:p w14:paraId="70A20842" w14:textId="77777777" w:rsidR="00DE37C1" w:rsidRPr="00052A78" w:rsidRDefault="00DE37C1" w:rsidP="004D65FE">
            <w:pPr>
              <w:tabs>
                <w:tab w:val="clear" w:pos="567"/>
              </w:tabs>
              <w:spacing w:before="0" w:line="240" w:lineRule="auto"/>
              <w:rPr>
                <w:rFonts w:eastAsia="Times New Roman" w:cs="Open Sans Light"/>
                <w:color w:val="000000"/>
                <w:sz w:val="16"/>
                <w:szCs w:val="16"/>
                <w:lang w:eastAsia="en-AU"/>
              </w:rPr>
            </w:pPr>
            <w:r w:rsidRPr="00052A78">
              <w:rPr>
                <w:rFonts w:eastAsia="Times New Roman" w:cs="Open Sans Light"/>
                <w:color w:val="000000"/>
                <w:sz w:val="16"/>
                <w:szCs w:val="16"/>
                <w:lang w:eastAsia="en-AU"/>
              </w:rPr>
              <w:t>Least disadvantaged</w:t>
            </w:r>
          </w:p>
        </w:tc>
        <w:tc>
          <w:tcPr>
            <w:tcW w:w="760" w:type="dxa"/>
            <w:tcBorders>
              <w:top w:val="nil"/>
              <w:left w:val="nil"/>
              <w:bottom w:val="single" w:sz="4" w:space="0" w:color="ADD6EA"/>
              <w:right w:val="nil"/>
            </w:tcBorders>
            <w:shd w:val="clear" w:color="000000" w:fill="FFFFFF"/>
            <w:vAlign w:val="bottom"/>
            <w:hideMark/>
          </w:tcPr>
          <w:p w14:paraId="1323BF72"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37.6</w:t>
            </w:r>
          </w:p>
        </w:tc>
        <w:tc>
          <w:tcPr>
            <w:tcW w:w="760" w:type="dxa"/>
            <w:tcBorders>
              <w:top w:val="nil"/>
              <w:left w:val="nil"/>
              <w:bottom w:val="single" w:sz="4" w:space="0" w:color="ADD6EA"/>
              <w:right w:val="nil"/>
            </w:tcBorders>
            <w:shd w:val="clear" w:color="000000" w:fill="FFFFFF"/>
            <w:vAlign w:val="bottom"/>
            <w:hideMark/>
          </w:tcPr>
          <w:p w14:paraId="5D742871"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25.6</w:t>
            </w:r>
          </w:p>
        </w:tc>
        <w:tc>
          <w:tcPr>
            <w:tcW w:w="760" w:type="dxa"/>
            <w:tcBorders>
              <w:top w:val="nil"/>
              <w:left w:val="nil"/>
              <w:bottom w:val="single" w:sz="4" w:space="0" w:color="ADD6EA"/>
              <w:right w:val="nil"/>
            </w:tcBorders>
            <w:shd w:val="clear" w:color="000000" w:fill="FFFFFF"/>
            <w:vAlign w:val="bottom"/>
            <w:hideMark/>
          </w:tcPr>
          <w:p w14:paraId="4C406173"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15.9</w:t>
            </w:r>
          </w:p>
        </w:tc>
        <w:tc>
          <w:tcPr>
            <w:tcW w:w="760" w:type="dxa"/>
            <w:tcBorders>
              <w:top w:val="nil"/>
              <w:left w:val="nil"/>
              <w:bottom w:val="single" w:sz="4" w:space="0" w:color="ADD6EA"/>
              <w:right w:val="nil"/>
            </w:tcBorders>
            <w:shd w:val="clear" w:color="000000" w:fill="FFFFFF"/>
            <w:vAlign w:val="bottom"/>
            <w:hideMark/>
          </w:tcPr>
          <w:p w14:paraId="5CE74FEB"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10.8</w:t>
            </w:r>
          </w:p>
        </w:tc>
        <w:tc>
          <w:tcPr>
            <w:tcW w:w="660" w:type="dxa"/>
            <w:tcBorders>
              <w:top w:val="nil"/>
              <w:left w:val="nil"/>
              <w:bottom w:val="single" w:sz="4" w:space="0" w:color="ADD6EA"/>
              <w:right w:val="nil"/>
            </w:tcBorders>
            <w:shd w:val="clear" w:color="000000" w:fill="FFFFFF"/>
            <w:vAlign w:val="bottom"/>
            <w:hideMark/>
          </w:tcPr>
          <w:p w14:paraId="30F1CDBA"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3.8</w:t>
            </w:r>
          </w:p>
        </w:tc>
        <w:tc>
          <w:tcPr>
            <w:tcW w:w="660" w:type="dxa"/>
            <w:tcBorders>
              <w:top w:val="nil"/>
              <w:left w:val="nil"/>
              <w:bottom w:val="single" w:sz="4" w:space="0" w:color="ADD6EA"/>
              <w:right w:val="nil"/>
            </w:tcBorders>
            <w:shd w:val="clear" w:color="000000" w:fill="FFFFFF"/>
            <w:vAlign w:val="bottom"/>
            <w:hideMark/>
          </w:tcPr>
          <w:p w14:paraId="476E2CDD"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0.8</w:t>
            </w:r>
          </w:p>
        </w:tc>
        <w:tc>
          <w:tcPr>
            <w:tcW w:w="660" w:type="dxa"/>
            <w:tcBorders>
              <w:top w:val="nil"/>
              <w:left w:val="nil"/>
              <w:bottom w:val="single" w:sz="4" w:space="0" w:color="ADD6EA"/>
              <w:right w:val="nil"/>
            </w:tcBorders>
            <w:shd w:val="clear" w:color="000000" w:fill="FFFFFF"/>
            <w:vAlign w:val="bottom"/>
            <w:hideMark/>
          </w:tcPr>
          <w:p w14:paraId="68BC0162"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4.4</w:t>
            </w:r>
          </w:p>
        </w:tc>
        <w:tc>
          <w:tcPr>
            <w:tcW w:w="760" w:type="dxa"/>
            <w:tcBorders>
              <w:top w:val="nil"/>
              <w:left w:val="nil"/>
              <w:bottom w:val="single" w:sz="4" w:space="0" w:color="ADD6EA"/>
              <w:right w:val="nil"/>
            </w:tcBorders>
            <w:shd w:val="clear" w:color="000000" w:fill="FFFFFF"/>
            <w:vAlign w:val="bottom"/>
            <w:hideMark/>
          </w:tcPr>
          <w:p w14:paraId="0F8E0A69"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1.1</w:t>
            </w:r>
          </w:p>
        </w:tc>
        <w:tc>
          <w:tcPr>
            <w:tcW w:w="860" w:type="dxa"/>
            <w:tcBorders>
              <w:top w:val="nil"/>
              <w:left w:val="nil"/>
              <w:bottom w:val="single" w:sz="4" w:space="0" w:color="ADD6EA"/>
              <w:right w:val="nil"/>
            </w:tcBorders>
            <w:shd w:val="clear" w:color="000000" w:fill="FFFFFF"/>
            <w:vAlign w:val="bottom"/>
            <w:hideMark/>
          </w:tcPr>
          <w:p w14:paraId="573210A5" w14:textId="77777777" w:rsidR="00DE37C1" w:rsidRPr="00052A78" w:rsidRDefault="00DE37C1" w:rsidP="004D65FE">
            <w:pPr>
              <w:tabs>
                <w:tab w:val="clear" w:pos="567"/>
              </w:tabs>
              <w:spacing w:before="0" w:line="240" w:lineRule="auto"/>
              <w:jc w:val="right"/>
              <w:rPr>
                <w:rFonts w:eastAsia="Times New Roman" w:cs="Open Sans Light"/>
                <w:color w:val="000000"/>
                <w:sz w:val="16"/>
                <w:szCs w:val="16"/>
                <w:lang w:eastAsia="en-AU"/>
              </w:rPr>
            </w:pPr>
            <w:r w:rsidRPr="00052A78">
              <w:rPr>
                <w:rFonts w:eastAsia="Times New Roman" w:cs="Open Sans Light"/>
                <w:color w:val="000000"/>
                <w:sz w:val="16"/>
                <w:szCs w:val="16"/>
                <w:lang w:eastAsia="en-AU"/>
              </w:rPr>
              <w:t>100.0</w:t>
            </w:r>
          </w:p>
        </w:tc>
      </w:tr>
      <w:tr w:rsidR="00DE37C1" w:rsidRPr="00052A78" w14:paraId="4A5B87A3" w14:textId="77777777" w:rsidTr="0005271E">
        <w:trPr>
          <w:trHeight w:val="315"/>
        </w:trPr>
        <w:tc>
          <w:tcPr>
            <w:tcW w:w="2360" w:type="dxa"/>
            <w:tcBorders>
              <w:top w:val="nil"/>
              <w:left w:val="nil"/>
              <w:bottom w:val="single" w:sz="4" w:space="0" w:color="ADD6EA"/>
              <w:right w:val="nil"/>
            </w:tcBorders>
            <w:shd w:val="clear" w:color="000000" w:fill="D6E7F0"/>
            <w:vAlign w:val="bottom"/>
            <w:hideMark/>
          </w:tcPr>
          <w:p w14:paraId="6A346522" w14:textId="77777777" w:rsidR="00DE37C1" w:rsidRPr="00052A78" w:rsidRDefault="00DE37C1" w:rsidP="004D65FE">
            <w:pPr>
              <w:tabs>
                <w:tab w:val="clear" w:pos="567"/>
              </w:tabs>
              <w:spacing w:before="0" w:line="240" w:lineRule="auto"/>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Total</w:t>
            </w:r>
          </w:p>
        </w:tc>
        <w:tc>
          <w:tcPr>
            <w:tcW w:w="760" w:type="dxa"/>
            <w:tcBorders>
              <w:top w:val="nil"/>
              <w:left w:val="nil"/>
              <w:bottom w:val="single" w:sz="4" w:space="0" w:color="ADD6EA"/>
              <w:right w:val="nil"/>
            </w:tcBorders>
            <w:shd w:val="clear" w:color="000000" w:fill="D6E7F0"/>
            <w:vAlign w:val="bottom"/>
            <w:hideMark/>
          </w:tcPr>
          <w:p w14:paraId="7718B911"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31.9</w:t>
            </w:r>
          </w:p>
        </w:tc>
        <w:tc>
          <w:tcPr>
            <w:tcW w:w="760" w:type="dxa"/>
            <w:tcBorders>
              <w:top w:val="nil"/>
              <w:left w:val="nil"/>
              <w:bottom w:val="single" w:sz="4" w:space="0" w:color="ADD6EA"/>
              <w:right w:val="nil"/>
            </w:tcBorders>
            <w:shd w:val="clear" w:color="000000" w:fill="D6E7F0"/>
            <w:vAlign w:val="bottom"/>
            <w:hideMark/>
          </w:tcPr>
          <w:p w14:paraId="0A80BAB7"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26.6</w:t>
            </w:r>
          </w:p>
        </w:tc>
        <w:tc>
          <w:tcPr>
            <w:tcW w:w="760" w:type="dxa"/>
            <w:tcBorders>
              <w:top w:val="nil"/>
              <w:left w:val="nil"/>
              <w:bottom w:val="single" w:sz="4" w:space="0" w:color="ADD6EA"/>
              <w:right w:val="nil"/>
            </w:tcBorders>
            <w:shd w:val="clear" w:color="000000" w:fill="D6E7F0"/>
            <w:vAlign w:val="bottom"/>
            <w:hideMark/>
          </w:tcPr>
          <w:p w14:paraId="0787A393"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19.8</w:t>
            </w:r>
          </w:p>
        </w:tc>
        <w:tc>
          <w:tcPr>
            <w:tcW w:w="760" w:type="dxa"/>
            <w:tcBorders>
              <w:top w:val="nil"/>
              <w:left w:val="nil"/>
              <w:bottom w:val="single" w:sz="4" w:space="0" w:color="ADD6EA"/>
              <w:right w:val="nil"/>
            </w:tcBorders>
            <w:shd w:val="clear" w:color="000000" w:fill="D6E7F0"/>
            <w:vAlign w:val="bottom"/>
            <w:hideMark/>
          </w:tcPr>
          <w:p w14:paraId="799AEE81"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10.3</w:t>
            </w:r>
          </w:p>
        </w:tc>
        <w:tc>
          <w:tcPr>
            <w:tcW w:w="660" w:type="dxa"/>
            <w:tcBorders>
              <w:top w:val="nil"/>
              <w:left w:val="nil"/>
              <w:bottom w:val="single" w:sz="4" w:space="0" w:color="ADD6EA"/>
              <w:right w:val="nil"/>
            </w:tcBorders>
            <w:shd w:val="clear" w:color="000000" w:fill="D6E7F0"/>
            <w:vAlign w:val="bottom"/>
            <w:hideMark/>
          </w:tcPr>
          <w:p w14:paraId="47BCBC3B"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7.0</w:t>
            </w:r>
          </w:p>
        </w:tc>
        <w:tc>
          <w:tcPr>
            <w:tcW w:w="660" w:type="dxa"/>
            <w:tcBorders>
              <w:top w:val="nil"/>
              <w:left w:val="nil"/>
              <w:bottom w:val="single" w:sz="4" w:space="0" w:color="ADD6EA"/>
              <w:right w:val="nil"/>
            </w:tcBorders>
            <w:shd w:val="clear" w:color="000000" w:fill="D6E7F0"/>
            <w:vAlign w:val="bottom"/>
            <w:hideMark/>
          </w:tcPr>
          <w:p w14:paraId="2E8DF688"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2.1</w:t>
            </w:r>
          </w:p>
        </w:tc>
        <w:tc>
          <w:tcPr>
            <w:tcW w:w="660" w:type="dxa"/>
            <w:tcBorders>
              <w:top w:val="nil"/>
              <w:left w:val="nil"/>
              <w:bottom w:val="single" w:sz="4" w:space="0" w:color="ADD6EA"/>
              <w:right w:val="nil"/>
            </w:tcBorders>
            <w:shd w:val="clear" w:color="000000" w:fill="D6E7F0"/>
            <w:vAlign w:val="bottom"/>
            <w:hideMark/>
          </w:tcPr>
          <w:p w14:paraId="173783BE"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1.7</w:t>
            </w:r>
          </w:p>
        </w:tc>
        <w:tc>
          <w:tcPr>
            <w:tcW w:w="760" w:type="dxa"/>
            <w:tcBorders>
              <w:top w:val="nil"/>
              <w:left w:val="nil"/>
              <w:bottom w:val="single" w:sz="4" w:space="0" w:color="ADD6EA"/>
              <w:right w:val="nil"/>
            </w:tcBorders>
            <w:shd w:val="clear" w:color="000000" w:fill="D6E7F0"/>
            <w:vAlign w:val="bottom"/>
            <w:hideMark/>
          </w:tcPr>
          <w:p w14:paraId="47C5DCAD"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0.7</w:t>
            </w:r>
          </w:p>
        </w:tc>
        <w:tc>
          <w:tcPr>
            <w:tcW w:w="860" w:type="dxa"/>
            <w:tcBorders>
              <w:top w:val="nil"/>
              <w:left w:val="nil"/>
              <w:bottom w:val="single" w:sz="4" w:space="0" w:color="ADD6EA"/>
              <w:right w:val="nil"/>
            </w:tcBorders>
            <w:shd w:val="clear" w:color="000000" w:fill="D6E7F0"/>
            <w:vAlign w:val="bottom"/>
            <w:hideMark/>
          </w:tcPr>
          <w:p w14:paraId="0CAFABB9" w14:textId="77777777" w:rsidR="00DE37C1" w:rsidRPr="00052A78"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52A78">
              <w:rPr>
                <w:rFonts w:ascii="Open Sans SemiBold" w:eastAsia="Times New Roman" w:hAnsi="Open Sans SemiBold" w:cs="Open Sans SemiBold"/>
                <w:color w:val="000000"/>
                <w:sz w:val="16"/>
                <w:szCs w:val="16"/>
                <w:lang w:eastAsia="en-AU"/>
              </w:rPr>
              <w:t>100.0</w:t>
            </w:r>
          </w:p>
        </w:tc>
      </w:tr>
    </w:tbl>
    <w:p w14:paraId="346F513B" w14:textId="77777777" w:rsidR="00DE37C1" w:rsidRDefault="00DE37C1" w:rsidP="00DE37C1">
      <w:pPr>
        <w:pStyle w:val="CGCTablenote"/>
      </w:pPr>
      <w:r>
        <w:t>So</w:t>
      </w:r>
      <w:r w:rsidRPr="00ED299B">
        <w:t>urce:</w:t>
      </w:r>
      <w:r w:rsidRPr="00ED299B">
        <w:tab/>
        <w:t>Commission calculation using unpublished ABS data and the NISEIFA index.</w:t>
      </w:r>
    </w:p>
    <w:p w14:paraId="2D8C162F" w14:textId="77777777" w:rsidR="00DE37C1" w:rsidRPr="00ED299B" w:rsidRDefault="00DE37C1" w:rsidP="00F47EC7">
      <w:pPr>
        <w:pStyle w:val="CGCParaNumber"/>
      </w:pPr>
      <w:r>
        <w:t xml:space="preserve">Some assessments do not use IRSEO and NISEIFA to classify the population. This occurs when the administrative data on the use and cost of services from States or third parties cannot be classified to IRSEO and NISEIFA quintiles. For example, the Medical Benefits </w:t>
      </w:r>
      <w:r w:rsidRPr="00ED299B">
        <w:t>Scheme (MBS) data, which are used in the Health assessment, are only available by SEIFA. The Schools assessment does not use IRSEO and NISEIFA — instead, it uses the Index of Community Socio</w:t>
      </w:r>
      <w:r w:rsidRPr="00ED299B">
        <w:noBreakHyphen/>
        <w:t>Educational Advantage (ICSEA) as the basis for estimating school student SES levels.</w:t>
      </w:r>
    </w:p>
    <w:p w14:paraId="723BC311" w14:textId="1895E245" w:rsidR="00DE37C1" w:rsidRDefault="00DE37C1" w:rsidP="00DE37C1">
      <w:pPr>
        <w:pStyle w:val="Heading4"/>
      </w:pPr>
      <w:r w:rsidRPr="00ED299B">
        <w:lastRenderedPageBreak/>
        <w:t>Urban centres</w:t>
      </w:r>
      <w:r w:rsidR="00720B54">
        <w:t xml:space="preserve"> </w:t>
      </w:r>
      <w:r w:rsidR="007E0491">
        <w:t xml:space="preserve">and </w:t>
      </w:r>
      <w:r>
        <w:t xml:space="preserve">localities </w:t>
      </w:r>
    </w:p>
    <w:p w14:paraId="79B753A4" w14:textId="09CCF104" w:rsidR="00DE37C1" w:rsidRDefault="00DE37C1" w:rsidP="00F47EC7">
      <w:pPr>
        <w:pStyle w:val="CGCParaNumber"/>
      </w:pPr>
      <w:r>
        <w:t xml:space="preserve">In this review, </w:t>
      </w:r>
      <w:r w:rsidR="007E0491">
        <w:t>urban centres and localities (</w:t>
      </w:r>
      <w:r>
        <w:t>UCLs</w:t>
      </w:r>
      <w:r w:rsidR="007E0491">
        <w:t>)</w:t>
      </w:r>
      <w:r>
        <w:t xml:space="preserve"> have been used as the primary geographic measure in assessments that relate to urban form. However, in certain instances the Commission needs to make adjustments to better reflect what States do.</w:t>
      </w:r>
    </w:p>
    <w:p w14:paraId="0910AD26" w14:textId="77777777" w:rsidR="00DE37C1" w:rsidRPr="000D3FF1" w:rsidRDefault="00DE37C1" w:rsidP="00DE37C1">
      <w:pPr>
        <w:pStyle w:val="CGCBullet1"/>
      </w:pPr>
      <w:r>
        <w:t>U</w:t>
      </w:r>
      <w:r w:rsidRPr="000D3FF1">
        <w:t>rban transport is often provided as an integrated network across closely neighbouring UCLs. Therefore, in the Transport category, all UCLs within a Significant Urban Area (SUA)</w:t>
      </w:r>
      <w:r>
        <w:rPr>
          <w:rStyle w:val="FootnoteReference"/>
        </w:rPr>
        <w:footnoteReference w:id="140"/>
      </w:r>
      <w:r w:rsidRPr="000D3FF1">
        <w:t xml:space="preserve"> are aggregated and treated as a single urban centre. </w:t>
      </w:r>
      <w:r>
        <w:t>The Commission</w:t>
      </w:r>
      <w:r w:rsidRPr="000D3FF1">
        <w:t xml:space="preserve"> consider</w:t>
      </w:r>
      <w:r>
        <w:t>s</w:t>
      </w:r>
      <w:r w:rsidRPr="000D3FF1">
        <w:t xml:space="preserve"> that this generally better reflects h</w:t>
      </w:r>
      <w:r>
        <w:t>ow States deliver this service.</w:t>
      </w:r>
    </w:p>
    <w:p w14:paraId="5FCF33F0" w14:textId="77777777" w:rsidR="00DE37C1" w:rsidRDefault="00DE37C1" w:rsidP="00DE37C1">
      <w:pPr>
        <w:pStyle w:val="CGCBullet1"/>
      </w:pPr>
      <w:r>
        <w:t>In the Services to communities category, the Commission considers that subsidies for electricity are provided in remote and very remote towns, with at least 50 people, and a density of at least 60 persons per square kilometre for non-UCLs. Because UCLs are usually not defined for towns of less than 200 people, the Commission has defined small urban areas using aggregations of mesh blocks</w:t>
      </w:r>
      <w:r>
        <w:rPr>
          <w:rStyle w:val="FootnoteReference"/>
        </w:rPr>
        <w:footnoteReference w:id="141"/>
      </w:r>
      <w:r>
        <w:t>, using criteria like that used by the ABS to define urban areas.</w:t>
      </w:r>
    </w:p>
    <w:p w14:paraId="2B0873AD" w14:textId="77777777" w:rsidR="00DE37C1" w:rsidRDefault="00DE37C1" w:rsidP="00F47EC7">
      <w:pPr>
        <w:pStyle w:val="CGCParaNumber"/>
      </w:pPr>
      <w:r>
        <w:t>These adjustments and the other category specific criteria relating to how UCLs are used in each category are discussed in the relevant chapters:</w:t>
      </w:r>
    </w:p>
    <w:p w14:paraId="7E4A867D" w14:textId="77777777" w:rsidR="00DE37C1" w:rsidRPr="00022E19" w:rsidRDefault="00DE37C1" w:rsidP="00DE37C1">
      <w:pPr>
        <w:pStyle w:val="CGCBullet1"/>
      </w:pPr>
      <w:r w:rsidRPr="00022E19">
        <w:t xml:space="preserve">Roads — </w:t>
      </w:r>
      <w:r>
        <w:t>Chapter 20</w:t>
      </w:r>
    </w:p>
    <w:p w14:paraId="0C167707" w14:textId="77777777" w:rsidR="00DE37C1" w:rsidRPr="00022E19" w:rsidRDefault="00DE37C1" w:rsidP="00DE37C1">
      <w:pPr>
        <w:pStyle w:val="CGCBullet1"/>
      </w:pPr>
      <w:r w:rsidRPr="00022E19">
        <w:t>Transport —</w:t>
      </w:r>
      <w:r>
        <w:t xml:space="preserve"> Chapter 21</w:t>
      </w:r>
    </w:p>
    <w:p w14:paraId="54E106B5" w14:textId="77777777" w:rsidR="00DE37C1" w:rsidRPr="00022E19" w:rsidRDefault="00DE37C1" w:rsidP="00DE37C1">
      <w:pPr>
        <w:pStyle w:val="CGCBullet1"/>
      </w:pPr>
      <w:r w:rsidRPr="00022E19">
        <w:t>Services to communities —</w:t>
      </w:r>
      <w:r>
        <w:t xml:space="preserve"> Chapter 18</w:t>
      </w:r>
      <w:r w:rsidRPr="00022E19">
        <w:t>.</w:t>
      </w:r>
    </w:p>
    <w:p w14:paraId="57CB2C50" w14:textId="74073C7A" w:rsidR="00DE37C1" w:rsidRDefault="00DE37C1" w:rsidP="00F47EC7">
      <w:pPr>
        <w:pStyle w:val="CGCParaNumber"/>
      </w:pPr>
      <w:r w:rsidRPr="00604930">
        <w:fldChar w:fldCharType="begin"/>
      </w:r>
      <w:r w:rsidRPr="00604930">
        <w:instrText xml:space="preserve"> REF _Ref403997009 \h </w:instrText>
      </w:r>
      <w:r>
        <w:instrText xml:space="preserve"> \* MERGEFORMAT </w:instrText>
      </w:r>
      <w:r w:rsidRPr="00604930">
        <w:fldChar w:fldCharType="separate"/>
      </w:r>
      <w:r w:rsidR="007F721A" w:rsidRPr="00ED299B">
        <w:t>Table </w:t>
      </w:r>
      <w:r w:rsidR="007F721A">
        <w:t>31-7</w:t>
      </w:r>
      <w:r w:rsidRPr="00604930">
        <w:fldChar w:fldCharType="end"/>
      </w:r>
      <w:r w:rsidRPr="00604930">
        <w:t xml:space="preserve"> shows the differences between States in where their populations are located </w:t>
      </w:r>
      <w:r>
        <w:t xml:space="preserve">and </w:t>
      </w:r>
      <w:r w:rsidRPr="00604930">
        <w:t>in terms of various UCL size cut-offs applied in different categories.</w:t>
      </w:r>
    </w:p>
    <w:p w14:paraId="286FDBBF" w14:textId="328D4DF0" w:rsidR="00DE37C1" w:rsidRPr="00ED299B" w:rsidRDefault="00DE37C1" w:rsidP="00DE37C1">
      <w:pPr>
        <w:pStyle w:val="Caption"/>
      </w:pPr>
      <w:bookmarkStart w:id="673" w:name="_Ref403997009"/>
      <w:r w:rsidRPr="00ED299B">
        <w:t>Table </w:t>
      </w:r>
      <w:r>
        <w:t>31-</w:t>
      </w:r>
      <w:fldSimple w:instr=" SEQ Table \* ARABIC ">
        <w:r w:rsidR="007F721A">
          <w:rPr>
            <w:noProof/>
          </w:rPr>
          <w:t>7</w:t>
        </w:r>
      </w:fldSimple>
      <w:bookmarkEnd w:id="673"/>
      <w:r w:rsidRPr="00ED299B">
        <w:tab/>
        <w:t>Estimated resident population by urban centre</w:t>
      </w:r>
      <w:r w:rsidR="001961EE">
        <w:t xml:space="preserve"> </w:t>
      </w:r>
      <w:r w:rsidRPr="00ED299B">
        <w:t>locality and State, December</w:t>
      </w:r>
      <w:r>
        <w:t> </w:t>
      </w:r>
      <w:r w:rsidRPr="00ED299B">
        <w:t>201</w:t>
      </w:r>
      <w:r>
        <w:t>8</w:t>
      </w:r>
    </w:p>
    <w:tbl>
      <w:tblPr>
        <w:tblW w:w="8959" w:type="dxa"/>
        <w:tblCellMar>
          <w:left w:w="28" w:type="dxa"/>
          <w:right w:w="28" w:type="dxa"/>
        </w:tblCellMar>
        <w:tblLook w:val="04A0" w:firstRow="1" w:lastRow="0" w:firstColumn="1" w:lastColumn="0" w:noHBand="0" w:noVBand="1"/>
      </w:tblPr>
      <w:tblGrid>
        <w:gridCol w:w="2694"/>
        <w:gridCol w:w="718"/>
        <w:gridCol w:w="719"/>
        <w:gridCol w:w="719"/>
        <w:gridCol w:w="719"/>
        <w:gridCol w:w="719"/>
        <w:gridCol w:w="622"/>
        <w:gridCol w:w="622"/>
        <w:gridCol w:w="660"/>
        <w:gridCol w:w="815"/>
      </w:tblGrid>
      <w:tr w:rsidR="00DE37C1" w:rsidRPr="00026A89" w14:paraId="23DBFF2D" w14:textId="77777777" w:rsidTr="00FB6002">
        <w:trPr>
          <w:trHeight w:val="379"/>
        </w:trPr>
        <w:tc>
          <w:tcPr>
            <w:tcW w:w="2780" w:type="dxa"/>
            <w:tcBorders>
              <w:top w:val="nil"/>
              <w:left w:val="nil"/>
              <w:bottom w:val="nil"/>
              <w:right w:val="nil"/>
            </w:tcBorders>
            <w:shd w:val="clear" w:color="000000" w:fill="006991"/>
            <w:vAlign w:val="center"/>
            <w:hideMark/>
          </w:tcPr>
          <w:p w14:paraId="664DEA54" w14:textId="77777777" w:rsidR="00DE37C1" w:rsidRPr="00026A89"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6A89">
              <w:rPr>
                <w:rFonts w:ascii="Open Sans SemiBold" w:eastAsia="Times New Roman" w:hAnsi="Open Sans SemiBold" w:cs="Open Sans SemiBold"/>
                <w:color w:val="FFFFFF"/>
                <w:sz w:val="16"/>
                <w:szCs w:val="16"/>
                <w:lang w:eastAsia="en-AU"/>
              </w:rPr>
              <w:t> </w:t>
            </w:r>
          </w:p>
        </w:tc>
        <w:tc>
          <w:tcPr>
            <w:tcW w:w="740" w:type="dxa"/>
            <w:tcBorders>
              <w:top w:val="nil"/>
              <w:left w:val="nil"/>
              <w:bottom w:val="nil"/>
              <w:right w:val="nil"/>
            </w:tcBorders>
            <w:shd w:val="clear" w:color="000000" w:fill="006991"/>
            <w:vAlign w:val="center"/>
            <w:hideMark/>
          </w:tcPr>
          <w:p w14:paraId="56237E58" w14:textId="77777777" w:rsidR="00DE37C1" w:rsidRPr="00026A89"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6A89">
              <w:rPr>
                <w:rFonts w:ascii="Open Sans SemiBold" w:eastAsia="Times New Roman" w:hAnsi="Open Sans SemiBold" w:cs="Open Sans SemiBold"/>
                <w:color w:val="FFFFFF"/>
                <w:sz w:val="16"/>
                <w:szCs w:val="16"/>
                <w:lang w:eastAsia="en-AU"/>
              </w:rPr>
              <w:t>NSW</w:t>
            </w:r>
          </w:p>
        </w:tc>
        <w:tc>
          <w:tcPr>
            <w:tcW w:w="740" w:type="dxa"/>
            <w:tcBorders>
              <w:top w:val="nil"/>
              <w:left w:val="nil"/>
              <w:bottom w:val="nil"/>
              <w:right w:val="nil"/>
            </w:tcBorders>
            <w:shd w:val="clear" w:color="000000" w:fill="006991"/>
            <w:vAlign w:val="center"/>
            <w:hideMark/>
          </w:tcPr>
          <w:p w14:paraId="2AB2CA0A" w14:textId="77777777" w:rsidR="00DE37C1" w:rsidRPr="00026A89"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6A89">
              <w:rPr>
                <w:rFonts w:ascii="Open Sans SemiBold" w:eastAsia="Times New Roman" w:hAnsi="Open Sans SemiBold" w:cs="Open Sans SemiBold"/>
                <w:color w:val="FFFFFF"/>
                <w:sz w:val="16"/>
                <w:szCs w:val="16"/>
                <w:lang w:eastAsia="en-AU"/>
              </w:rPr>
              <w:t>Vic</w:t>
            </w:r>
          </w:p>
        </w:tc>
        <w:tc>
          <w:tcPr>
            <w:tcW w:w="740" w:type="dxa"/>
            <w:tcBorders>
              <w:top w:val="nil"/>
              <w:left w:val="nil"/>
              <w:bottom w:val="nil"/>
              <w:right w:val="nil"/>
            </w:tcBorders>
            <w:shd w:val="clear" w:color="000000" w:fill="006991"/>
            <w:vAlign w:val="center"/>
            <w:hideMark/>
          </w:tcPr>
          <w:p w14:paraId="27FDB3D5" w14:textId="77777777" w:rsidR="00DE37C1" w:rsidRPr="00026A89"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6A89">
              <w:rPr>
                <w:rFonts w:ascii="Open Sans SemiBold" w:eastAsia="Times New Roman" w:hAnsi="Open Sans SemiBold" w:cs="Open Sans SemiBold"/>
                <w:color w:val="FFFFFF"/>
                <w:sz w:val="16"/>
                <w:szCs w:val="16"/>
                <w:lang w:eastAsia="en-AU"/>
              </w:rPr>
              <w:t>Qld</w:t>
            </w:r>
          </w:p>
        </w:tc>
        <w:tc>
          <w:tcPr>
            <w:tcW w:w="740" w:type="dxa"/>
            <w:tcBorders>
              <w:top w:val="nil"/>
              <w:left w:val="nil"/>
              <w:bottom w:val="nil"/>
              <w:right w:val="nil"/>
            </w:tcBorders>
            <w:shd w:val="clear" w:color="000000" w:fill="006991"/>
            <w:vAlign w:val="center"/>
            <w:hideMark/>
          </w:tcPr>
          <w:p w14:paraId="4AE8AFD2" w14:textId="77777777" w:rsidR="00DE37C1" w:rsidRPr="00026A89"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6A89">
              <w:rPr>
                <w:rFonts w:ascii="Open Sans SemiBold" w:eastAsia="Times New Roman" w:hAnsi="Open Sans SemiBold" w:cs="Open Sans SemiBold"/>
                <w:color w:val="FFFFFF"/>
                <w:sz w:val="16"/>
                <w:szCs w:val="16"/>
                <w:lang w:eastAsia="en-AU"/>
              </w:rPr>
              <w:t>WA</w:t>
            </w:r>
          </w:p>
        </w:tc>
        <w:tc>
          <w:tcPr>
            <w:tcW w:w="740" w:type="dxa"/>
            <w:tcBorders>
              <w:top w:val="nil"/>
              <w:left w:val="nil"/>
              <w:bottom w:val="nil"/>
              <w:right w:val="nil"/>
            </w:tcBorders>
            <w:shd w:val="clear" w:color="000000" w:fill="006991"/>
            <w:vAlign w:val="center"/>
            <w:hideMark/>
          </w:tcPr>
          <w:p w14:paraId="5BADE307" w14:textId="77777777" w:rsidR="00DE37C1" w:rsidRPr="00026A89"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6A89">
              <w:rPr>
                <w:rFonts w:ascii="Open Sans SemiBold" w:eastAsia="Times New Roman" w:hAnsi="Open Sans SemiBold" w:cs="Open Sans SemiBold"/>
                <w:color w:val="FFFFFF"/>
                <w:sz w:val="16"/>
                <w:szCs w:val="16"/>
                <w:lang w:eastAsia="en-AU"/>
              </w:rPr>
              <w:t>SA</w:t>
            </w:r>
          </w:p>
        </w:tc>
        <w:tc>
          <w:tcPr>
            <w:tcW w:w="640" w:type="dxa"/>
            <w:tcBorders>
              <w:top w:val="nil"/>
              <w:left w:val="nil"/>
              <w:bottom w:val="nil"/>
              <w:right w:val="nil"/>
            </w:tcBorders>
            <w:shd w:val="clear" w:color="000000" w:fill="006991"/>
            <w:vAlign w:val="center"/>
            <w:hideMark/>
          </w:tcPr>
          <w:p w14:paraId="38EB7848" w14:textId="77777777" w:rsidR="00DE37C1" w:rsidRPr="00026A89"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6A89">
              <w:rPr>
                <w:rFonts w:ascii="Open Sans SemiBold" w:eastAsia="Times New Roman" w:hAnsi="Open Sans SemiBold" w:cs="Open Sans SemiBold"/>
                <w:color w:val="FFFFFF"/>
                <w:sz w:val="16"/>
                <w:szCs w:val="16"/>
                <w:lang w:eastAsia="en-AU"/>
              </w:rPr>
              <w:t>Tas</w:t>
            </w:r>
          </w:p>
        </w:tc>
        <w:tc>
          <w:tcPr>
            <w:tcW w:w="640" w:type="dxa"/>
            <w:tcBorders>
              <w:top w:val="nil"/>
              <w:left w:val="nil"/>
              <w:bottom w:val="nil"/>
              <w:right w:val="nil"/>
            </w:tcBorders>
            <w:shd w:val="clear" w:color="000000" w:fill="006991"/>
            <w:vAlign w:val="center"/>
            <w:hideMark/>
          </w:tcPr>
          <w:p w14:paraId="3C723BD9" w14:textId="77777777" w:rsidR="00DE37C1" w:rsidRPr="00026A89"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6A89">
              <w:rPr>
                <w:rFonts w:ascii="Open Sans SemiBold" w:eastAsia="Times New Roman" w:hAnsi="Open Sans SemiBold" w:cs="Open Sans SemiBold"/>
                <w:color w:val="FFFFFF"/>
                <w:sz w:val="16"/>
                <w:szCs w:val="16"/>
                <w:lang w:eastAsia="en-AU"/>
              </w:rPr>
              <w:t>ACT</w:t>
            </w:r>
          </w:p>
        </w:tc>
        <w:tc>
          <w:tcPr>
            <w:tcW w:w="680" w:type="dxa"/>
            <w:tcBorders>
              <w:top w:val="nil"/>
              <w:left w:val="nil"/>
              <w:bottom w:val="nil"/>
              <w:right w:val="nil"/>
            </w:tcBorders>
            <w:shd w:val="clear" w:color="000000" w:fill="006991"/>
            <w:vAlign w:val="center"/>
            <w:hideMark/>
          </w:tcPr>
          <w:p w14:paraId="056EB792" w14:textId="77777777" w:rsidR="00DE37C1" w:rsidRPr="00026A89"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6A89">
              <w:rPr>
                <w:rFonts w:ascii="Open Sans SemiBold" w:eastAsia="Times New Roman" w:hAnsi="Open Sans SemiBold" w:cs="Open Sans SemiBold"/>
                <w:color w:val="FFFFFF"/>
                <w:sz w:val="16"/>
                <w:szCs w:val="16"/>
                <w:lang w:eastAsia="en-AU"/>
              </w:rPr>
              <w:t>NT</w:t>
            </w:r>
          </w:p>
        </w:tc>
        <w:tc>
          <w:tcPr>
            <w:tcW w:w="840" w:type="dxa"/>
            <w:tcBorders>
              <w:top w:val="nil"/>
              <w:left w:val="nil"/>
              <w:bottom w:val="nil"/>
              <w:right w:val="nil"/>
            </w:tcBorders>
            <w:shd w:val="clear" w:color="000000" w:fill="006991"/>
            <w:vAlign w:val="center"/>
            <w:hideMark/>
          </w:tcPr>
          <w:p w14:paraId="03851750" w14:textId="77777777" w:rsidR="00DE37C1" w:rsidRPr="00026A89" w:rsidRDefault="00DE37C1" w:rsidP="004D65FE">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26A89">
              <w:rPr>
                <w:rFonts w:ascii="Open Sans SemiBold" w:eastAsia="Times New Roman" w:hAnsi="Open Sans SemiBold" w:cs="Open Sans SemiBold"/>
                <w:color w:val="FFFFFF"/>
                <w:sz w:val="16"/>
                <w:szCs w:val="16"/>
                <w:lang w:eastAsia="en-AU"/>
              </w:rPr>
              <w:t>Total</w:t>
            </w:r>
          </w:p>
        </w:tc>
      </w:tr>
      <w:tr w:rsidR="00DE37C1" w:rsidRPr="00026A89" w14:paraId="699072F2" w14:textId="77777777" w:rsidTr="005F7F6C">
        <w:trPr>
          <w:trHeight w:val="259"/>
        </w:trPr>
        <w:tc>
          <w:tcPr>
            <w:tcW w:w="2780" w:type="dxa"/>
            <w:tcBorders>
              <w:top w:val="single" w:sz="4" w:space="0" w:color="ADD6EA"/>
              <w:left w:val="nil"/>
              <w:bottom w:val="single" w:sz="4" w:space="0" w:color="ADD6EA"/>
              <w:right w:val="nil"/>
            </w:tcBorders>
            <w:shd w:val="clear" w:color="000000" w:fill="B6D5E4"/>
            <w:noWrap/>
            <w:vAlign w:val="center"/>
            <w:hideMark/>
          </w:tcPr>
          <w:p w14:paraId="49D93425" w14:textId="77777777" w:rsidR="00DE37C1" w:rsidRPr="00026A89"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 </w:t>
            </w:r>
          </w:p>
        </w:tc>
        <w:tc>
          <w:tcPr>
            <w:tcW w:w="740" w:type="dxa"/>
            <w:tcBorders>
              <w:top w:val="single" w:sz="4" w:space="0" w:color="ADD6EA"/>
              <w:left w:val="nil"/>
              <w:bottom w:val="single" w:sz="4" w:space="0" w:color="ADD6EA"/>
              <w:right w:val="nil"/>
            </w:tcBorders>
            <w:shd w:val="clear" w:color="000000" w:fill="B6D5E4"/>
            <w:noWrap/>
            <w:vAlign w:val="center"/>
            <w:hideMark/>
          </w:tcPr>
          <w:p w14:paraId="2CB23E44"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'000</w:t>
            </w:r>
          </w:p>
        </w:tc>
        <w:tc>
          <w:tcPr>
            <w:tcW w:w="740" w:type="dxa"/>
            <w:tcBorders>
              <w:top w:val="single" w:sz="4" w:space="0" w:color="ADD6EA"/>
              <w:left w:val="nil"/>
              <w:bottom w:val="single" w:sz="4" w:space="0" w:color="ADD6EA"/>
              <w:right w:val="nil"/>
            </w:tcBorders>
            <w:shd w:val="clear" w:color="000000" w:fill="B6D5E4"/>
            <w:noWrap/>
            <w:vAlign w:val="center"/>
            <w:hideMark/>
          </w:tcPr>
          <w:p w14:paraId="4D0B93D7"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'000</w:t>
            </w:r>
          </w:p>
        </w:tc>
        <w:tc>
          <w:tcPr>
            <w:tcW w:w="740" w:type="dxa"/>
            <w:tcBorders>
              <w:top w:val="single" w:sz="4" w:space="0" w:color="ADD6EA"/>
              <w:left w:val="nil"/>
              <w:bottom w:val="single" w:sz="4" w:space="0" w:color="ADD6EA"/>
              <w:right w:val="nil"/>
            </w:tcBorders>
            <w:shd w:val="clear" w:color="000000" w:fill="B6D5E4"/>
            <w:noWrap/>
            <w:vAlign w:val="center"/>
            <w:hideMark/>
          </w:tcPr>
          <w:p w14:paraId="5033707A"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'000</w:t>
            </w:r>
          </w:p>
        </w:tc>
        <w:tc>
          <w:tcPr>
            <w:tcW w:w="740" w:type="dxa"/>
            <w:tcBorders>
              <w:top w:val="single" w:sz="4" w:space="0" w:color="ADD6EA"/>
              <w:left w:val="nil"/>
              <w:bottom w:val="single" w:sz="4" w:space="0" w:color="ADD6EA"/>
              <w:right w:val="nil"/>
            </w:tcBorders>
            <w:shd w:val="clear" w:color="000000" w:fill="B6D5E4"/>
            <w:noWrap/>
            <w:vAlign w:val="center"/>
            <w:hideMark/>
          </w:tcPr>
          <w:p w14:paraId="606EDC33"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'000</w:t>
            </w:r>
          </w:p>
        </w:tc>
        <w:tc>
          <w:tcPr>
            <w:tcW w:w="740" w:type="dxa"/>
            <w:tcBorders>
              <w:top w:val="single" w:sz="4" w:space="0" w:color="ADD6EA"/>
              <w:left w:val="nil"/>
              <w:bottom w:val="single" w:sz="4" w:space="0" w:color="ADD6EA"/>
              <w:right w:val="nil"/>
            </w:tcBorders>
            <w:shd w:val="clear" w:color="000000" w:fill="B6D5E4"/>
            <w:noWrap/>
            <w:vAlign w:val="center"/>
            <w:hideMark/>
          </w:tcPr>
          <w:p w14:paraId="18026F3D"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'000</w:t>
            </w:r>
          </w:p>
        </w:tc>
        <w:tc>
          <w:tcPr>
            <w:tcW w:w="640" w:type="dxa"/>
            <w:tcBorders>
              <w:top w:val="single" w:sz="4" w:space="0" w:color="ADD6EA"/>
              <w:left w:val="nil"/>
              <w:bottom w:val="single" w:sz="4" w:space="0" w:color="ADD6EA"/>
              <w:right w:val="nil"/>
            </w:tcBorders>
            <w:shd w:val="clear" w:color="000000" w:fill="B6D5E4"/>
            <w:noWrap/>
            <w:vAlign w:val="center"/>
            <w:hideMark/>
          </w:tcPr>
          <w:p w14:paraId="3072416A"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'000</w:t>
            </w:r>
          </w:p>
        </w:tc>
        <w:tc>
          <w:tcPr>
            <w:tcW w:w="640" w:type="dxa"/>
            <w:tcBorders>
              <w:top w:val="single" w:sz="4" w:space="0" w:color="ADD6EA"/>
              <w:left w:val="nil"/>
              <w:bottom w:val="single" w:sz="4" w:space="0" w:color="ADD6EA"/>
              <w:right w:val="nil"/>
            </w:tcBorders>
            <w:shd w:val="clear" w:color="000000" w:fill="B6D5E4"/>
            <w:noWrap/>
            <w:vAlign w:val="center"/>
            <w:hideMark/>
          </w:tcPr>
          <w:p w14:paraId="2A445993"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'000</w:t>
            </w:r>
          </w:p>
        </w:tc>
        <w:tc>
          <w:tcPr>
            <w:tcW w:w="680" w:type="dxa"/>
            <w:tcBorders>
              <w:top w:val="single" w:sz="4" w:space="0" w:color="ADD6EA"/>
              <w:left w:val="nil"/>
              <w:bottom w:val="single" w:sz="4" w:space="0" w:color="ADD6EA"/>
              <w:right w:val="nil"/>
            </w:tcBorders>
            <w:shd w:val="clear" w:color="000000" w:fill="B6D5E4"/>
            <w:noWrap/>
            <w:vAlign w:val="center"/>
            <w:hideMark/>
          </w:tcPr>
          <w:p w14:paraId="1B2D1C9E"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'000</w:t>
            </w:r>
          </w:p>
        </w:tc>
        <w:tc>
          <w:tcPr>
            <w:tcW w:w="840" w:type="dxa"/>
            <w:tcBorders>
              <w:top w:val="single" w:sz="4" w:space="0" w:color="ADD6EA"/>
              <w:left w:val="nil"/>
              <w:bottom w:val="single" w:sz="4" w:space="0" w:color="ADD6EA"/>
              <w:right w:val="nil"/>
            </w:tcBorders>
            <w:shd w:val="clear" w:color="000000" w:fill="B6D5E4"/>
            <w:noWrap/>
            <w:vAlign w:val="center"/>
            <w:hideMark/>
          </w:tcPr>
          <w:p w14:paraId="2CAFA66D"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'000</w:t>
            </w:r>
          </w:p>
        </w:tc>
      </w:tr>
      <w:tr w:rsidR="00DE37C1" w:rsidRPr="00026A89" w14:paraId="0189CC20" w14:textId="77777777" w:rsidTr="00FB6002">
        <w:trPr>
          <w:trHeight w:val="555"/>
        </w:trPr>
        <w:tc>
          <w:tcPr>
            <w:tcW w:w="2780" w:type="dxa"/>
            <w:tcBorders>
              <w:top w:val="nil"/>
              <w:left w:val="nil"/>
              <w:bottom w:val="single" w:sz="4" w:space="0" w:color="ADD6EA"/>
              <w:right w:val="nil"/>
            </w:tcBorders>
            <w:shd w:val="clear" w:color="000000" w:fill="FFFFFF"/>
            <w:vAlign w:val="bottom"/>
            <w:hideMark/>
          </w:tcPr>
          <w:p w14:paraId="65969577" w14:textId="0F86903F" w:rsidR="00DE37C1" w:rsidRPr="00026A89" w:rsidRDefault="00DE37C1" w:rsidP="004D65FE">
            <w:pPr>
              <w:tabs>
                <w:tab w:val="clear" w:pos="567"/>
              </w:tabs>
              <w:spacing w:before="0" w:line="240" w:lineRule="auto"/>
              <w:rPr>
                <w:rFonts w:eastAsia="Times New Roman" w:cs="Open Sans Light"/>
                <w:color w:val="000000"/>
                <w:sz w:val="16"/>
                <w:szCs w:val="16"/>
                <w:lang w:eastAsia="en-AU"/>
              </w:rPr>
            </w:pPr>
            <w:r w:rsidRPr="00026A89">
              <w:rPr>
                <w:rFonts w:eastAsia="Times New Roman" w:cs="Open Sans Light"/>
                <w:color w:val="000000"/>
                <w:sz w:val="16"/>
                <w:szCs w:val="16"/>
                <w:lang w:eastAsia="en-AU"/>
              </w:rPr>
              <w:t>Population in remote and very remote UCLs</w:t>
            </w:r>
          </w:p>
        </w:tc>
        <w:tc>
          <w:tcPr>
            <w:tcW w:w="740" w:type="dxa"/>
            <w:tcBorders>
              <w:top w:val="nil"/>
              <w:left w:val="nil"/>
              <w:bottom w:val="single" w:sz="4" w:space="0" w:color="ADD6EA"/>
              <w:right w:val="nil"/>
            </w:tcBorders>
            <w:shd w:val="clear" w:color="000000" w:fill="FFFFFF"/>
            <w:vAlign w:val="bottom"/>
            <w:hideMark/>
          </w:tcPr>
          <w:p w14:paraId="5CF0D11E"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22</w:t>
            </w:r>
          </w:p>
        </w:tc>
        <w:tc>
          <w:tcPr>
            <w:tcW w:w="740" w:type="dxa"/>
            <w:tcBorders>
              <w:top w:val="nil"/>
              <w:left w:val="nil"/>
              <w:bottom w:val="single" w:sz="4" w:space="0" w:color="ADD6EA"/>
              <w:right w:val="nil"/>
            </w:tcBorders>
            <w:shd w:val="clear" w:color="000000" w:fill="FFFFFF"/>
            <w:vAlign w:val="bottom"/>
            <w:hideMark/>
          </w:tcPr>
          <w:p w14:paraId="1D935267"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2</w:t>
            </w:r>
          </w:p>
        </w:tc>
        <w:tc>
          <w:tcPr>
            <w:tcW w:w="740" w:type="dxa"/>
            <w:tcBorders>
              <w:top w:val="nil"/>
              <w:left w:val="nil"/>
              <w:bottom w:val="single" w:sz="4" w:space="0" w:color="ADD6EA"/>
              <w:right w:val="nil"/>
            </w:tcBorders>
            <w:shd w:val="clear" w:color="000000" w:fill="FFFFFF"/>
            <w:vAlign w:val="bottom"/>
            <w:hideMark/>
          </w:tcPr>
          <w:p w14:paraId="37CCFF7A"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96</w:t>
            </w:r>
          </w:p>
        </w:tc>
        <w:tc>
          <w:tcPr>
            <w:tcW w:w="740" w:type="dxa"/>
            <w:tcBorders>
              <w:top w:val="nil"/>
              <w:left w:val="nil"/>
              <w:bottom w:val="single" w:sz="4" w:space="0" w:color="ADD6EA"/>
              <w:right w:val="nil"/>
            </w:tcBorders>
            <w:shd w:val="clear" w:color="000000" w:fill="FFFFFF"/>
            <w:vAlign w:val="bottom"/>
            <w:hideMark/>
          </w:tcPr>
          <w:p w14:paraId="4E71BECA"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117</w:t>
            </w:r>
          </w:p>
        </w:tc>
        <w:tc>
          <w:tcPr>
            <w:tcW w:w="740" w:type="dxa"/>
            <w:tcBorders>
              <w:top w:val="nil"/>
              <w:left w:val="nil"/>
              <w:bottom w:val="single" w:sz="4" w:space="0" w:color="ADD6EA"/>
              <w:right w:val="nil"/>
            </w:tcBorders>
            <w:shd w:val="clear" w:color="000000" w:fill="FFFFFF"/>
            <w:vAlign w:val="bottom"/>
            <w:hideMark/>
          </w:tcPr>
          <w:p w14:paraId="7CB1328E"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42</w:t>
            </w:r>
          </w:p>
        </w:tc>
        <w:tc>
          <w:tcPr>
            <w:tcW w:w="640" w:type="dxa"/>
            <w:tcBorders>
              <w:top w:val="nil"/>
              <w:left w:val="nil"/>
              <w:bottom w:val="single" w:sz="4" w:space="0" w:color="ADD6EA"/>
              <w:right w:val="nil"/>
            </w:tcBorders>
            <w:shd w:val="clear" w:color="000000" w:fill="FFFFFF"/>
            <w:vAlign w:val="bottom"/>
            <w:hideMark/>
          </w:tcPr>
          <w:p w14:paraId="34ED765C"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8</w:t>
            </w:r>
          </w:p>
        </w:tc>
        <w:tc>
          <w:tcPr>
            <w:tcW w:w="640" w:type="dxa"/>
            <w:tcBorders>
              <w:top w:val="nil"/>
              <w:left w:val="nil"/>
              <w:bottom w:val="single" w:sz="4" w:space="0" w:color="ADD6EA"/>
              <w:right w:val="nil"/>
            </w:tcBorders>
            <w:shd w:val="clear" w:color="000000" w:fill="FFFFFF"/>
            <w:vAlign w:val="bottom"/>
            <w:hideMark/>
          </w:tcPr>
          <w:p w14:paraId="14E27C2B"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0</w:t>
            </w:r>
          </w:p>
        </w:tc>
        <w:tc>
          <w:tcPr>
            <w:tcW w:w="680" w:type="dxa"/>
            <w:tcBorders>
              <w:top w:val="nil"/>
              <w:left w:val="nil"/>
              <w:bottom w:val="single" w:sz="4" w:space="0" w:color="ADD6EA"/>
              <w:right w:val="nil"/>
            </w:tcBorders>
            <w:shd w:val="clear" w:color="000000" w:fill="FFFFFF"/>
            <w:vAlign w:val="bottom"/>
            <w:hideMark/>
          </w:tcPr>
          <w:p w14:paraId="4FC241CE"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82</w:t>
            </w:r>
          </w:p>
        </w:tc>
        <w:tc>
          <w:tcPr>
            <w:tcW w:w="840" w:type="dxa"/>
            <w:tcBorders>
              <w:top w:val="nil"/>
              <w:left w:val="nil"/>
              <w:bottom w:val="single" w:sz="4" w:space="0" w:color="ADD6EA"/>
              <w:right w:val="nil"/>
            </w:tcBorders>
            <w:shd w:val="clear" w:color="000000" w:fill="FFFFFF"/>
            <w:vAlign w:val="bottom"/>
            <w:hideMark/>
          </w:tcPr>
          <w:p w14:paraId="6A6360E9"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368</w:t>
            </w:r>
          </w:p>
        </w:tc>
      </w:tr>
      <w:tr w:rsidR="00DE37C1" w:rsidRPr="00026A89" w14:paraId="449191BB" w14:textId="77777777" w:rsidTr="00FB6002">
        <w:trPr>
          <w:trHeight w:val="315"/>
        </w:trPr>
        <w:tc>
          <w:tcPr>
            <w:tcW w:w="2780" w:type="dxa"/>
            <w:tcBorders>
              <w:top w:val="nil"/>
              <w:left w:val="nil"/>
              <w:bottom w:val="single" w:sz="4" w:space="0" w:color="ADD6EA"/>
              <w:right w:val="nil"/>
            </w:tcBorders>
            <w:shd w:val="clear" w:color="000000" w:fill="FFFFFF"/>
            <w:vAlign w:val="bottom"/>
            <w:hideMark/>
          </w:tcPr>
          <w:p w14:paraId="1E68964F" w14:textId="0A2E5B45" w:rsidR="00DE37C1" w:rsidRPr="00026A89" w:rsidRDefault="00DE37C1" w:rsidP="004D65FE">
            <w:pPr>
              <w:tabs>
                <w:tab w:val="clear" w:pos="567"/>
              </w:tabs>
              <w:spacing w:before="0" w:line="240" w:lineRule="auto"/>
              <w:rPr>
                <w:rFonts w:eastAsia="Times New Roman" w:cs="Open Sans Light"/>
                <w:color w:val="000000"/>
                <w:sz w:val="16"/>
                <w:szCs w:val="16"/>
                <w:lang w:eastAsia="en-AU"/>
              </w:rPr>
            </w:pPr>
            <w:r w:rsidRPr="00026A89">
              <w:rPr>
                <w:rFonts w:eastAsia="Times New Roman" w:cs="Open Sans Light"/>
                <w:color w:val="000000"/>
                <w:sz w:val="16"/>
                <w:szCs w:val="16"/>
                <w:lang w:eastAsia="en-AU"/>
              </w:rPr>
              <w:t>UCLs of 40</w:t>
            </w:r>
            <w:r w:rsidR="008A10DE">
              <w:rPr>
                <w:rFonts w:eastAsia="Times New Roman" w:cs="Open Sans Light"/>
                <w:color w:val="000000"/>
                <w:sz w:val="16"/>
                <w:szCs w:val="16"/>
                <w:lang w:eastAsia="en-AU"/>
              </w:rPr>
              <w:t>,</w:t>
            </w:r>
            <w:r w:rsidRPr="00026A89">
              <w:rPr>
                <w:rFonts w:eastAsia="Times New Roman" w:cs="Open Sans Light"/>
                <w:color w:val="000000"/>
                <w:sz w:val="16"/>
                <w:szCs w:val="16"/>
                <w:lang w:eastAsia="en-AU"/>
              </w:rPr>
              <w:t>000+</w:t>
            </w:r>
          </w:p>
        </w:tc>
        <w:tc>
          <w:tcPr>
            <w:tcW w:w="740" w:type="dxa"/>
            <w:tcBorders>
              <w:top w:val="nil"/>
              <w:left w:val="nil"/>
              <w:bottom w:val="single" w:sz="4" w:space="0" w:color="ADD6EA"/>
              <w:right w:val="nil"/>
            </w:tcBorders>
            <w:shd w:val="clear" w:color="000000" w:fill="FFFFFF"/>
            <w:vAlign w:val="bottom"/>
            <w:hideMark/>
          </w:tcPr>
          <w:p w14:paraId="2D5B0E66"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6,019</w:t>
            </w:r>
          </w:p>
        </w:tc>
        <w:tc>
          <w:tcPr>
            <w:tcW w:w="740" w:type="dxa"/>
            <w:tcBorders>
              <w:top w:val="nil"/>
              <w:left w:val="nil"/>
              <w:bottom w:val="single" w:sz="4" w:space="0" w:color="ADD6EA"/>
              <w:right w:val="nil"/>
            </w:tcBorders>
            <w:shd w:val="clear" w:color="000000" w:fill="FFFFFF"/>
            <w:vAlign w:val="bottom"/>
            <w:hideMark/>
          </w:tcPr>
          <w:p w14:paraId="194418CA"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5,163</w:t>
            </w:r>
          </w:p>
        </w:tc>
        <w:tc>
          <w:tcPr>
            <w:tcW w:w="740" w:type="dxa"/>
            <w:tcBorders>
              <w:top w:val="nil"/>
              <w:left w:val="nil"/>
              <w:bottom w:val="single" w:sz="4" w:space="0" w:color="ADD6EA"/>
              <w:right w:val="nil"/>
            </w:tcBorders>
            <w:shd w:val="clear" w:color="000000" w:fill="FFFFFF"/>
            <w:vAlign w:val="bottom"/>
            <w:hideMark/>
          </w:tcPr>
          <w:p w14:paraId="6477C247"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3,789</w:t>
            </w:r>
          </w:p>
        </w:tc>
        <w:tc>
          <w:tcPr>
            <w:tcW w:w="740" w:type="dxa"/>
            <w:tcBorders>
              <w:top w:val="nil"/>
              <w:left w:val="nil"/>
              <w:bottom w:val="single" w:sz="4" w:space="0" w:color="ADD6EA"/>
              <w:right w:val="nil"/>
            </w:tcBorders>
            <w:shd w:val="clear" w:color="000000" w:fill="FFFFFF"/>
            <w:vAlign w:val="bottom"/>
            <w:hideMark/>
          </w:tcPr>
          <w:p w14:paraId="61650B86"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2,064</w:t>
            </w:r>
          </w:p>
        </w:tc>
        <w:tc>
          <w:tcPr>
            <w:tcW w:w="740" w:type="dxa"/>
            <w:tcBorders>
              <w:top w:val="nil"/>
              <w:left w:val="nil"/>
              <w:bottom w:val="single" w:sz="4" w:space="0" w:color="ADD6EA"/>
              <w:right w:val="nil"/>
            </w:tcBorders>
            <w:shd w:val="clear" w:color="000000" w:fill="FFFFFF"/>
            <w:vAlign w:val="bottom"/>
            <w:hideMark/>
          </w:tcPr>
          <w:p w14:paraId="7C780139"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1,215</w:t>
            </w:r>
          </w:p>
        </w:tc>
        <w:tc>
          <w:tcPr>
            <w:tcW w:w="640" w:type="dxa"/>
            <w:tcBorders>
              <w:top w:val="nil"/>
              <w:left w:val="nil"/>
              <w:bottom w:val="single" w:sz="4" w:space="0" w:color="ADD6EA"/>
              <w:right w:val="nil"/>
            </w:tcBorders>
            <w:shd w:val="clear" w:color="000000" w:fill="FFFFFF"/>
            <w:vAlign w:val="bottom"/>
            <w:hideMark/>
          </w:tcPr>
          <w:p w14:paraId="22D3D6FA"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266</w:t>
            </w:r>
          </w:p>
        </w:tc>
        <w:tc>
          <w:tcPr>
            <w:tcW w:w="640" w:type="dxa"/>
            <w:tcBorders>
              <w:top w:val="nil"/>
              <w:left w:val="nil"/>
              <w:bottom w:val="single" w:sz="4" w:space="0" w:color="ADD6EA"/>
              <w:right w:val="nil"/>
            </w:tcBorders>
            <w:shd w:val="clear" w:color="000000" w:fill="FFFFFF"/>
            <w:vAlign w:val="bottom"/>
            <w:hideMark/>
          </w:tcPr>
          <w:p w14:paraId="33EB049F"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421</w:t>
            </w:r>
          </w:p>
        </w:tc>
        <w:tc>
          <w:tcPr>
            <w:tcW w:w="680" w:type="dxa"/>
            <w:tcBorders>
              <w:top w:val="nil"/>
              <w:left w:val="nil"/>
              <w:bottom w:val="single" w:sz="4" w:space="0" w:color="ADD6EA"/>
              <w:right w:val="nil"/>
            </w:tcBorders>
            <w:shd w:val="clear" w:color="000000" w:fill="FFFFFF"/>
            <w:vAlign w:val="bottom"/>
            <w:hideMark/>
          </w:tcPr>
          <w:p w14:paraId="5A1D0C65"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128</w:t>
            </w:r>
          </w:p>
        </w:tc>
        <w:tc>
          <w:tcPr>
            <w:tcW w:w="840" w:type="dxa"/>
            <w:tcBorders>
              <w:top w:val="nil"/>
              <w:left w:val="nil"/>
              <w:bottom w:val="single" w:sz="4" w:space="0" w:color="ADD6EA"/>
              <w:right w:val="nil"/>
            </w:tcBorders>
            <w:shd w:val="clear" w:color="000000" w:fill="FFFFFF"/>
            <w:vAlign w:val="bottom"/>
            <w:hideMark/>
          </w:tcPr>
          <w:p w14:paraId="27716738"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19,063</w:t>
            </w:r>
          </w:p>
        </w:tc>
      </w:tr>
      <w:tr w:rsidR="00DE37C1" w:rsidRPr="00026A89" w14:paraId="6F4B27D6" w14:textId="77777777" w:rsidTr="00FB6002">
        <w:trPr>
          <w:trHeight w:val="315"/>
        </w:trPr>
        <w:tc>
          <w:tcPr>
            <w:tcW w:w="2780" w:type="dxa"/>
            <w:tcBorders>
              <w:top w:val="nil"/>
              <w:left w:val="nil"/>
              <w:bottom w:val="single" w:sz="4" w:space="0" w:color="ADD6EA"/>
              <w:right w:val="nil"/>
            </w:tcBorders>
            <w:shd w:val="clear" w:color="000000" w:fill="FFFFFF"/>
            <w:vAlign w:val="bottom"/>
            <w:hideMark/>
          </w:tcPr>
          <w:p w14:paraId="1F908A3A" w14:textId="77777777" w:rsidR="00DE37C1" w:rsidRPr="00026A89" w:rsidRDefault="00DE37C1" w:rsidP="004D65FE">
            <w:pPr>
              <w:tabs>
                <w:tab w:val="clear" w:pos="567"/>
              </w:tabs>
              <w:spacing w:before="0" w:line="240" w:lineRule="auto"/>
              <w:rPr>
                <w:rFonts w:eastAsia="Times New Roman" w:cs="Open Sans Light"/>
                <w:color w:val="000000"/>
                <w:sz w:val="16"/>
                <w:szCs w:val="16"/>
                <w:lang w:eastAsia="en-AU"/>
              </w:rPr>
            </w:pPr>
            <w:r w:rsidRPr="00026A89">
              <w:rPr>
                <w:rFonts w:eastAsia="Times New Roman" w:cs="Open Sans Light"/>
                <w:color w:val="000000"/>
                <w:sz w:val="16"/>
                <w:szCs w:val="16"/>
                <w:lang w:eastAsia="en-AU"/>
              </w:rPr>
              <w:t>UCLs within SUAs</w:t>
            </w:r>
          </w:p>
        </w:tc>
        <w:tc>
          <w:tcPr>
            <w:tcW w:w="740" w:type="dxa"/>
            <w:tcBorders>
              <w:top w:val="nil"/>
              <w:left w:val="nil"/>
              <w:bottom w:val="single" w:sz="4" w:space="0" w:color="ADD6EA"/>
              <w:right w:val="nil"/>
            </w:tcBorders>
            <w:shd w:val="clear" w:color="000000" w:fill="FFFFFF"/>
            <w:vAlign w:val="bottom"/>
            <w:hideMark/>
          </w:tcPr>
          <w:p w14:paraId="07139E01"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7,459</w:t>
            </w:r>
          </w:p>
        </w:tc>
        <w:tc>
          <w:tcPr>
            <w:tcW w:w="740" w:type="dxa"/>
            <w:tcBorders>
              <w:top w:val="nil"/>
              <w:left w:val="nil"/>
              <w:bottom w:val="single" w:sz="4" w:space="0" w:color="ADD6EA"/>
              <w:right w:val="nil"/>
            </w:tcBorders>
            <w:shd w:val="clear" w:color="000000" w:fill="FFFFFF"/>
            <w:vAlign w:val="bottom"/>
            <w:hideMark/>
          </w:tcPr>
          <w:p w14:paraId="16A1320E"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6,079</w:t>
            </w:r>
          </w:p>
        </w:tc>
        <w:tc>
          <w:tcPr>
            <w:tcW w:w="740" w:type="dxa"/>
            <w:tcBorders>
              <w:top w:val="nil"/>
              <w:left w:val="nil"/>
              <w:bottom w:val="single" w:sz="4" w:space="0" w:color="ADD6EA"/>
              <w:right w:val="nil"/>
            </w:tcBorders>
            <w:shd w:val="clear" w:color="000000" w:fill="FFFFFF"/>
            <w:vAlign w:val="bottom"/>
            <w:hideMark/>
          </w:tcPr>
          <w:p w14:paraId="410A0493"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4,599</w:t>
            </w:r>
          </w:p>
        </w:tc>
        <w:tc>
          <w:tcPr>
            <w:tcW w:w="740" w:type="dxa"/>
            <w:tcBorders>
              <w:top w:val="nil"/>
              <w:left w:val="nil"/>
              <w:bottom w:val="single" w:sz="4" w:space="0" w:color="ADD6EA"/>
              <w:right w:val="nil"/>
            </w:tcBorders>
            <w:shd w:val="clear" w:color="000000" w:fill="FFFFFF"/>
            <w:vAlign w:val="bottom"/>
            <w:hideMark/>
          </w:tcPr>
          <w:p w14:paraId="385E4BCD"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2,433</w:t>
            </w:r>
          </w:p>
        </w:tc>
        <w:tc>
          <w:tcPr>
            <w:tcW w:w="740" w:type="dxa"/>
            <w:tcBorders>
              <w:top w:val="nil"/>
              <w:left w:val="nil"/>
              <w:bottom w:val="single" w:sz="4" w:space="0" w:color="ADD6EA"/>
              <w:right w:val="nil"/>
            </w:tcBorders>
            <w:shd w:val="clear" w:color="000000" w:fill="FFFFFF"/>
            <w:vAlign w:val="bottom"/>
            <w:hideMark/>
          </w:tcPr>
          <w:p w14:paraId="148ECD7E"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1,595</w:t>
            </w:r>
          </w:p>
        </w:tc>
        <w:tc>
          <w:tcPr>
            <w:tcW w:w="640" w:type="dxa"/>
            <w:tcBorders>
              <w:top w:val="nil"/>
              <w:left w:val="nil"/>
              <w:bottom w:val="single" w:sz="4" w:space="0" w:color="ADD6EA"/>
              <w:right w:val="nil"/>
            </w:tcBorders>
            <w:shd w:val="clear" w:color="000000" w:fill="FFFFFF"/>
            <w:vAlign w:val="bottom"/>
            <w:hideMark/>
          </w:tcPr>
          <w:p w14:paraId="456E2254"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429</w:t>
            </w:r>
          </w:p>
        </w:tc>
        <w:tc>
          <w:tcPr>
            <w:tcW w:w="640" w:type="dxa"/>
            <w:tcBorders>
              <w:top w:val="nil"/>
              <w:left w:val="nil"/>
              <w:bottom w:val="single" w:sz="4" w:space="0" w:color="ADD6EA"/>
              <w:right w:val="nil"/>
            </w:tcBorders>
            <w:shd w:val="clear" w:color="000000" w:fill="FFFFFF"/>
            <w:vAlign w:val="bottom"/>
            <w:hideMark/>
          </w:tcPr>
          <w:p w14:paraId="2D27DC44"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421</w:t>
            </w:r>
          </w:p>
        </w:tc>
        <w:tc>
          <w:tcPr>
            <w:tcW w:w="680" w:type="dxa"/>
            <w:tcBorders>
              <w:top w:val="nil"/>
              <w:left w:val="nil"/>
              <w:bottom w:val="single" w:sz="4" w:space="0" w:color="ADD6EA"/>
              <w:right w:val="nil"/>
            </w:tcBorders>
            <w:shd w:val="clear" w:color="000000" w:fill="FFFFFF"/>
            <w:vAlign w:val="bottom"/>
            <w:hideMark/>
          </w:tcPr>
          <w:p w14:paraId="6D39D7D2"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209</w:t>
            </w:r>
          </w:p>
        </w:tc>
        <w:tc>
          <w:tcPr>
            <w:tcW w:w="840" w:type="dxa"/>
            <w:tcBorders>
              <w:top w:val="nil"/>
              <w:left w:val="nil"/>
              <w:bottom w:val="single" w:sz="4" w:space="0" w:color="ADD6EA"/>
              <w:right w:val="nil"/>
            </w:tcBorders>
            <w:shd w:val="clear" w:color="000000" w:fill="FFFFFF"/>
            <w:vAlign w:val="bottom"/>
            <w:hideMark/>
          </w:tcPr>
          <w:p w14:paraId="5F197931"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23,224</w:t>
            </w:r>
          </w:p>
        </w:tc>
      </w:tr>
      <w:tr w:rsidR="00DE37C1" w:rsidRPr="00026A89" w14:paraId="1A059705" w14:textId="77777777" w:rsidTr="00FB6002">
        <w:trPr>
          <w:trHeight w:val="259"/>
        </w:trPr>
        <w:tc>
          <w:tcPr>
            <w:tcW w:w="2780" w:type="dxa"/>
            <w:tcBorders>
              <w:top w:val="nil"/>
              <w:left w:val="nil"/>
              <w:bottom w:val="single" w:sz="4" w:space="0" w:color="ADD6EA"/>
              <w:right w:val="nil"/>
            </w:tcBorders>
            <w:shd w:val="clear" w:color="000000" w:fill="B6D5E4"/>
            <w:noWrap/>
            <w:vAlign w:val="center"/>
            <w:hideMark/>
          </w:tcPr>
          <w:p w14:paraId="3144312F" w14:textId="77777777" w:rsidR="00DE37C1" w:rsidRPr="00026A89" w:rsidRDefault="00DE37C1" w:rsidP="004D65FE">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 </w:t>
            </w:r>
          </w:p>
        </w:tc>
        <w:tc>
          <w:tcPr>
            <w:tcW w:w="740" w:type="dxa"/>
            <w:tcBorders>
              <w:top w:val="nil"/>
              <w:left w:val="nil"/>
              <w:bottom w:val="single" w:sz="4" w:space="0" w:color="ADD6EA"/>
              <w:right w:val="nil"/>
            </w:tcBorders>
            <w:shd w:val="clear" w:color="000000" w:fill="B6D5E4"/>
            <w:noWrap/>
            <w:vAlign w:val="bottom"/>
            <w:hideMark/>
          </w:tcPr>
          <w:p w14:paraId="201F960B"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w:t>
            </w:r>
          </w:p>
        </w:tc>
        <w:tc>
          <w:tcPr>
            <w:tcW w:w="740" w:type="dxa"/>
            <w:tcBorders>
              <w:top w:val="nil"/>
              <w:left w:val="nil"/>
              <w:bottom w:val="single" w:sz="4" w:space="0" w:color="ADD6EA"/>
              <w:right w:val="nil"/>
            </w:tcBorders>
            <w:shd w:val="clear" w:color="000000" w:fill="B6D5E4"/>
            <w:noWrap/>
            <w:vAlign w:val="bottom"/>
            <w:hideMark/>
          </w:tcPr>
          <w:p w14:paraId="76CBDFC9"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w:t>
            </w:r>
          </w:p>
        </w:tc>
        <w:tc>
          <w:tcPr>
            <w:tcW w:w="740" w:type="dxa"/>
            <w:tcBorders>
              <w:top w:val="nil"/>
              <w:left w:val="nil"/>
              <w:bottom w:val="single" w:sz="4" w:space="0" w:color="ADD6EA"/>
              <w:right w:val="nil"/>
            </w:tcBorders>
            <w:shd w:val="clear" w:color="000000" w:fill="B6D5E4"/>
            <w:noWrap/>
            <w:vAlign w:val="bottom"/>
            <w:hideMark/>
          </w:tcPr>
          <w:p w14:paraId="06552047"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w:t>
            </w:r>
          </w:p>
        </w:tc>
        <w:tc>
          <w:tcPr>
            <w:tcW w:w="740" w:type="dxa"/>
            <w:tcBorders>
              <w:top w:val="nil"/>
              <w:left w:val="nil"/>
              <w:bottom w:val="single" w:sz="4" w:space="0" w:color="ADD6EA"/>
              <w:right w:val="nil"/>
            </w:tcBorders>
            <w:shd w:val="clear" w:color="000000" w:fill="B6D5E4"/>
            <w:noWrap/>
            <w:vAlign w:val="bottom"/>
            <w:hideMark/>
          </w:tcPr>
          <w:p w14:paraId="0AC3F9D2"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w:t>
            </w:r>
          </w:p>
        </w:tc>
        <w:tc>
          <w:tcPr>
            <w:tcW w:w="740" w:type="dxa"/>
            <w:tcBorders>
              <w:top w:val="nil"/>
              <w:left w:val="nil"/>
              <w:bottom w:val="single" w:sz="4" w:space="0" w:color="ADD6EA"/>
              <w:right w:val="nil"/>
            </w:tcBorders>
            <w:shd w:val="clear" w:color="000000" w:fill="B6D5E4"/>
            <w:noWrap/>
            <w:vAlign w:val="bottom"/>
            <w:hideMark/>
          </w:tcPr>
          <w:p w14:paraId="1B539F58"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w:t>
            </w:r>
          </w:p>
        </w:tc>
        <w:tc>
          <w:tcPr>
            <w:tcW w:w="640" w:type="dxa"/>
            <w:tcBorders>
              <w:top w:val="nil"/>
              <w:left w:val="nil"/>
              <w:bottom w:val="single" w:sz="4" w:space="0" w:color="ADD6EA"/>
              <w:right w:val="nil"/>
            </w:tcBorders>
            <w:shd w:val="clear" w:color="000000" w:fill="B6D5E4"/>
            <w:noWrap/>
            <w:vAlign w:val="bottom"/>
            <w:hideMark/>
          </w:tcPr>
          <w:p w14:paraId="7214B354"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w:t>
            </w:r>
          </w:p>
        </w:tc>
        <w:tc>
          <w:tcPr>
            <w:tcW w:w="640" w:type="dxa"/>
            <w:tcBorders>
              <w:top w:val="nil"/>
              <w:left w:val="nil"/>
              <w:bottom w:val="single" w:sz="4" w:space="0" w:color="ADD6EA"/>
              <w:right w:val="nil"/>
            </w:tcBorders>
            <w:shd w:val="clear" w:color="000000" w:fill="B6D5E4"/>
            <w:noWrap/>
            <w:vAlign w:val="bottom"/>
            <w:hideMark/>
          </w:tcPr>
          <w:p w14:paraId="1F309ED8"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w:t>
            </w:r>
          </w:p>
        </w:tc>
        <w:tc>
          <w:tcPr>
            <w:tcW w:w="680" w:type="dxa"/>
            <w:tcBorders>
              <w:top w:val="nil"/>
              <w:left w:val="nil"/>
              <w:bottom w:val="single" w:sz="4" w:space="0" w:color="ADD6EA"/>
              <w:right w:val="nil"/>
            </w:tcBorders>
            <w:shd w:val="clear" w:color="000000" w:fill="B6D5E4"/>
            <w:noWrap/>
            <w:vAlign w:val="bottom"/>
            <w:hideMark/>
          </w:tcPr>
          <w:p w14:paraId="274A8BBA"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w:t>
            </w:r>
          </w:p>
        </w:tc>
        <w:tc>
          <w:tcPr>
            <w:tcW w:w="840" w:type="dxa"/>
            <w:tcBorders>
              <w:top w:val="nil"/>
              <w:left w:val="nil"/>
              <w:bottom w:val="single" w:sz="4" w:space="0" w:color="ADD6EA"/>
              <w:right w:val="nil"/>
            </w:tcBorders>
            <w:shd w:val="clear" w:color="000000" w:fill="B6D5E4"/>
            <w:noWrap/>
            <w:vAlign w:val="bottom"/>
            <w:hideMark/>
          </w:tcPr>
          <w:p w14:paraId="71DF2E71" w14:textId="77777777" w:rsidR="00DE37C1" w:rsidRPr="00026A89" w:rsidRDefault="00DE37C1" w:rsidP="00A463C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26A89">
              <w:rPr>
                <w:rFonts w:ascii="Open Sans SemiBold" w:eastAsia="Times New Roman" w:hAnsi="Open Sans SemiBold" w:cs="Open Sans SemiBold"/>
                <w:color w:val="000000"/>
                <w:sz w:val="16"/>
                <w:szCs w:val="16"/>
                <w:lang w:eastAsia="en-AU"/>
              </w:rPr>
              <w:t>%</w:t>
            </w:r>
          </w:p>
        </w:tc>
      </w:tr>
      <w:tr w:rsidR="00DE37C1" w:rsidRPr="00026A89" w14:paraId="515877C7" w14:textId="77777777" w:rsidTr="00FB6002">
        <w:trPr>
          <w:trHeight w:val="555"/>
        </w:trPr>
        <w:tc>
          <w:tcPr>
            <w:tcW w:w="2780" w:type="dxa"/>
            <w:tcBorders>
              <w:top w:val="nil"/>
              <w:left w:val="nil"/>
              <w:bottom w:val="single" w:sz="4" w:space="0" w:color="ADD6EA"/>
              <w:right w:val="nil"/>
            </w:tcBorders>
            <w:shd w:val="clear" w:color="000000" w:fill="FFFFFF"/>
            <w:vAlign w:val="bottom"/>
            <w:hideMark/>
          </w:tcPr>
          <w:p w14:paraId="637F58EE" w14:textId="196EC724" w:rsidR="00DE37C1" w:rsidRPr="00026A89" w:rsidRDefault="00DE37C1" w:rsidP="004D65FE">
            <w:pPr>
              <w:tabs>
                <w:tab w:val="clear" w:pos="567"/>
              </w:tabs>
              <w:spacing w:before="0" w:line="240" w:lineRule="auto"/>
              <w:rPr>
                <w:rFonts w:eastAsia="Times New Roman" w:cs="Open Sans Light"/>
                <w:color w:val="000000"/>
                <w:sz w:val="16"/>
                <w:szCs w:val="16"/>
                <w:lang w:eastAsia="en-AU"/>
              </w:rPr>
            </w:pPr>
            <w:r w:rsidRPr="00026A89">
              <w:rPr>
                <w:rFonts w:eastAsia="Times New Roman" w:cs="Open Sans Light"/>
                <w:color w:val="000000"/>
                <w:sz w:val="16"/>
                <w:szCs w:val="16"/>
                <w:lang w:eastAsia="en-AU"/>
              </w:rPr>
              <w:t>Population in remote and very remote UCLs</w:t>
            </w:r>
          </w:p>
        </w:tc>
        <w:tc>
          <w:tcPr>
            <w:tcW w:w="740" w:type="dxa"/>
            <w:tcBorders>
              <w:top w:val="nil"/>
              <w:left w:val="nil"/>
              <w:bottom w:val="single" w:sz="4" w:space="0" w:color="ADD6EA"/>
              <w:right w:val="nil"/>
            </w:tcBorders>
            <w:shd w:val="clear" w:color="000000" w:fill="FFFFFF"/>
            <w:vAlign w:val="bottom"/>
            <w:hideMark/>
          </w:tcPr>
          <w:p w14:paraId="2783928E"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6.0</w:t>
            </w:r>
          </w:p>
        </w:tc>
        <w:tc>
          <w:tcPr>
            <w:tcW w:w="740" w:type="dxa"/>
            <w:tcBorders>
              <w:top w:val="nil"/>
              <w:left w:val="nil"/>
              <w:bottom w:val="single" w:sz="4" w:space="0" w:color="ADD6EA"/>
              <w:right w:val="nil"/>
            </w:tcBorders>
            <w:shd w:val="clear" w:color="000000" w:fill="FFFFFF"/>
            <w:vAlign w:val="bottom"/>
            <w:hideMark/>
          </w:tcPr>
          <w:p w14:paraId="7D9A213B"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0.6</w:t>
            </w:r>
          </w:p>
        </w:tc>
        <w:tc>
          <w:tcPr>
            <w:tcW w:w="740" w:type="dxa"/>
            <w:tcBorders>
              <w:top w:val="nil"/>
              <w:left w:val="nil"/>
              <w:bottom w:val="single" w:sz="4" w:space="0" w:color="ADD6EA"/>
              <w:right w:val="nil"/>
            </w:tcBorders>
            <w:shd w:val="clear" w:color="000000" w:fill="FFFFFF"/>
            <w:vAlign w:val="bottom"/>
            <w:hideMark/>
          </w:tcPr>
          <w:p w14:paraId="1CF9D7DC"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26.0</w:t>
            </w:r>
          </w:p>
        </w:tc>
        <w:tc>
          <w:tcPr>
            <w:tcW w:w="740" w:type="dxa"/>
            <w:tcBorders>
              <w:top w:val="nil"/>
              <w:left w:val="nil"/>
              <w:bottom w:val="single" w:sz="4" w:space="0" w:color="ADD6EA"/>
              <w:right w:val="nil"/>
            </w:tcBorders>
            <w:shd w:val="clear" w:color="000000" w:fill="FFFFFF"/>
            <w:vAlign w:val="bottom"/>
            <w:hideMark/>
          </w:tcPr>
          <w:p w14:paraId="37DADD7A"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31.7</w:t>
            </w:r>
          </w:p>
        </w:tc>
        <w:tc>
          <w:tcPr>
            <w:tcW w:w="740" w:type="dxa"/>
            <w:tcBorders>
              <w:top w:val="nil"/>
              <w:left w:val="nil"/>
              <w:bottom w:val="single" w:sz="4" w:space="0" w:color="ADD6EA"/>
              <w:right w:val="nil"/>
            </w:tcBorders>
            <w:shd w:val="clear" w:color="000000" w:fill="FFFFFF"/>
            <w:vAlign w:val="bottom"/>
            <w:hideMark/>
          </w:tcPr>
          <w:p w14:paraId="626F60E4"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11.3</w:t>
            </w:r>
          </w:p>
        </w:tc>
        <w:tc>
          <w:tcPr>
            <w:tcW w:w="640" w:type="dxa"/>
            <w:tcBorders>
              <w:top w:val="nil"/>
              <w:left w:val="nil"/>
              <w:bottom w:val="single" w:sz="4" w:space="0" w:color="ADD6EA"/>
              <w:right w:val="nil"/>
            </w:tcBorders>
            <w:shd w:val="clear" w:color="000000" w:fill="FFFFFF"/>
            <w:vAlign w:val="bottom"/>
            <w:hideMark/>
          </w:tcPr>
          <w:p w14:paraId="65E50748"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2.1</w:t>
            </w:r>
          </w:p>
        </w:tc>
        <w:tc>
          <w:tcPr>
            <w:tcW w:w="640" w:type="dxa"/>
            <w:tcBorders>
              <w:top w:val="nil"/>
              <w:left w:val="nil"/>
              <w:bottom w:val="single" w:sz="4" w:space="0" w:color="ADD6EA"/>
              <w:right w:val="nil"/>
            </w:tcBorders>
            <w:shd w:val="clear" w:color="000000" w:fill="FFFFFF"/>
            <w:vAlign w:val="bottom"/>
            <w:hideMark/>
          </w:tcPr>
          <w:p w14:paraId="1E554A0C"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0.0</w:t>
            </w:r>
          </w:p>
        </w:tc>
        <w:tc>
          <w:tcPr>
            <w:tcW w:w="680" w:type="dxa"/>
            <w:tcBorders>
              <w:top w:val="nil"/>
              <w:left w:val="nil"/>
              <w:bottom w:val="single" w:sz="4" w:space="0" w:color="ADD6EA"/>
              <w:right w:val="nil"/>
            </w:tcBorders>
            <w:shd w:val="clear" w:color="000000" w:fill="FFFFFF"/>
            <w:vAlign w:val="bottom"/>
            <w:hideMark/>
          </w:tcPr>
          <w:p w14:paraId="49066F9F"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22.3</w:t>
            </w:r>
          </w:p>
        </w:tc>
        <w:tc>
          <w:tcPr>
            <w:tcW w:w="840" w:type="dxa"/>
            <w:tcBorders>
              <w:top w:val="nil"/>
              <w:left w:val="nil"/>
              <w:bottom w:val="single" w:sz="4" w:space="0" w:color="ADD6EA"/>
              <w:right w:val="nil"/>
            </w:tcBorders>
            <w:shd w:val="clear" w:color="000000" w:fill="FFFFFF"/>
            <w:vAlign w:val="bottom"/>
            <w:hideMark/>
          </w:tcPr>
          <w:p w14:paraId="16F5089F"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100.0</w:t>
            </w:r>
          </w:p>
        </w:tc>
      </w:tr>
      <w:tr w:rsidR="00DE37C1" w:rsidRPr="00026A89" w14:paraId="52462BB4" w14:textId="77777777" w:rsidTr="00FB6002">
        <w:trPr>
          <w:trHeight w:val="315"/>
        </w:trPr>
        <w:tc>
          <w:tcPr>
            <w:tcW w:w="2780" w:type="dxa"/>
            <w:tcBorders>
              <w:top w:val="nil"/>
              <w:left w:val="nil"/>
              <w:bottom w:val="single" w:sz="4" w:space="0" w:color="ADD6EA"/>
              <w:right w:val="nil"/>
            </w:tcBorders>
            <w:shd w:val="clear" w:color="000000" w:fill="FFFFFF"/>
            <w:vAlign w:val="bottom"/>
            <w:hideMark/>
          </w:tcPr>
          <w:p w14:paraId="49F7FA17" w14:textId="5F098EB5" w:rsidR="00DE37C1" w:rsidRPr="00026A89" w:rsidRDefault="00DE37C1" w:rsidP="004D65FE">
            <w:pPr>
              <w:tabs>
                <w:tab w:val="clear" w:pos="567"/>
              </w:tabs>
              <w:spacing w:before="0" w:line="240" w:lineRule="auto"/>
              <w:rPr>
                <w:rFonts w:eastAsia="Times New Roman" w:cs="Open Sans Light"/>
                <w:color w:val="000000"/>
                <w:sz w:val="16"/>
                <w:szCs w:val="16"/>
                <w:lang w:eastAsia="en-AU"/>
              </w:rPr>
            </w:pPr>
            <w:r w:rsidRPr="00026A89">
              <w:rPr>
                <w:rFonts w:eastAsia="Times New Roman" w:cs="Open Sans Light"/>
                <w:color w:val="000000"/>
                <w:sz w:val="16"/>
                <w:szCs w:val="16"/>
                <w:lang w:eastAsia="en-AU"/>
              </w:rPr>
              <w:t>UCLs of 40</w:t>
            </w:r>
            <w:r w:rsidR="008A10DE">
              <w:rPr>
                <w:rFonts w:eastAsia="Times New Roman" w:cs="Open Sans Light"/>
                <w:color w:val="000000"/>
                <w:sz w:val="16"/>
                <w:szCs w:val="16"/>
                <w:lang w:eastAsia="en-AU"/>
              </w:rPr>
              <w:t>,</w:t>
            </w:r>
            <w:r w:rsidRPr="00026A89">
              <w:rPr>
                <w:rFonts w:eastAsia="Times New Roman" w:cs="Open Sans Light"/>
                <w:color w:val="000000"/>
                <w:sz w:val="16"/>
                <w:szCs w:val="16"/>
                <w:lang w:eastAsia="en-AU"/>
              </w:rPr>
              <w:t>000+</w:t>
            </w:r>
          </w:p>
        </w:tc>
        <w:tc>
          <w:tcPr>
            <w:tcW w:w="740" w:type="dxa"/>
            <w:tcBorders>
              <w:top w:val="nil"/>
              <w:left w:val="nil"/>
              <w:bottom w:val="single" w:sz="4" w:space="0" w:color="ADD6EA"/>
              <w:right w:val="nil"/>
            </w:tcBorders>
            <w:shd w:val="clear" w:color="000000" w:fill="FFFFFF"/>
            <w:vAlign w:val="bottom"/>
            <w:hideMark/>
          </w:tcPr>
          <w:p w14:paraId="4942144E"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31.6</w:t>
            </w:r>
          </w:p>
        </w:tc>
        <w:tc>
          <w:tcPr>
            <w:tcW w:w="740" w:type="dxa"/>
            <w:tcBorders>
              <w:top w:val="nil"/>
              <w:left w:val="nil"/>
              <w:bottom w:val="single" w:sz="4" w:space="0" w:color="ADD6EA"/>
              <w:right w:val="nil"/>
            </w:tcBorders>
            <w:shd w:val="clear" w:color="000000" w:fill="FFFFFF"/>
            <w:vAlign w:val="bottom"/>
            <w:hideMark/>
          </w:tcPr>
          <w:p w14:paraId="0711C6E9"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27.1</w:t>
            </w:r>
          </w:p>
        </w:tc>
        <w:tc>
          <w:tcPr>
            <w:tcW w:w="740" w:type="dxa"/>
            <w:tcBorders>
              <w:top w:val="nil"/>
              <w:left w:val="nil"/>
              <w:bottom w:val="single" w:sz="4" w:space="0" w:color="ADD6EA"/>
              <w:right w:val="nil"/>
            </w:tcBorders>
            <w:shd w:val="clear" w:color="000000" w:fill="FFFFFF"/>
            <w:vAlign w:val="bottom"/>
            <w:hideMark/>
          </w:tcPr>
          <w:p w14:paraId="50089290"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19.9</w:t>
            </w:r>
          </w:p>
        </w:tc>
        <w:tc>
          <w:tcPr>
            <w:tcW w:w="740" w:type="dxa"/>
            <w:tcBorders>
              <w:top w:val="nil"/>
              <w:left w:val="nil"/>
              <w:bottom w:val="single" w:sz="4" w:space="0" w:color="ADD6EA"/>
              <w:right w:val="nil"/>
            </w:tcBorders>
            <w:shd w:val="clear" w:color="000000" w:fill="FFFFFF"/>
            <w:vAlign w:val="bottom"/>
            <w:hideMark/>
          </w:tcPr>
          <w:p w14:paraId="73EB87CF"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10.8</w:t>
            </w:r>
          </w:p>
        </w:tc>
        <w:tc>
          <w:tcPr>
            <w:tcW w:w="740" w:type="dxa"/>
            <w:tcBorders>
              <w:top w:val="nil"/>
              <w:left w:val="nil"/>
              <w:bottom w:val="single" w:sz="4" w:space="0" w:color="ADD6EA"/>
              <w:right w:val="nil"/>
            </w:tcBorders>
            <w:shd w:val="clear" w:color="000000" w:fill="FFFFFF"/>
            <w:vAlign w:val="bottom"/>
            <w:hideMark/>
          </w:tcPr>
          <w:p w14:paraId="2DC606D0"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6.4</w:t>
            </w:r>
          </w:p>
        </w:tc>
        <w:tc>
          <w:tcPr>
            <w:tcW w:w="640" w:type="dxa"/>
            <w:tcBorders>
              <w:top w:val="nil"/>
              <w:left w:val="nil"/>
              <w:bottom w:val="single" w:sz="4" w:space="0" w:color="ADD6EA"/>
              <w:right w:val="nil"/>
            </w:tcBorders>
            <w:shd w:val="clear" w:color="000000" w:fill="FFFFFF"/>
            <w:vAlign w:val="bottom"/>
            <w:hideMark/>
          </w:tcPr>
          <w:p w14:paraId="210021B8"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1.4</w:t>
            </w:r>
          </w:p>
        </w:tc>
        <w:tc>
          <w:tcPr>
            <w:tcW w:w="640" w:type="dxa"/>
            <w:tcBorders>
              <w:top w:val="nil"/>
              <w:left w:val="nil"/>
              <w:bottom w:val="single" w:sz="4" w:space="0" w:color="ADD6EA"/>
              <w:right w:val="nil"/>
            </w:tcBorders>
            <w:shd w:val="clear" w:color="000000" w:fill="FFFFFF"/>
            <w:vAlign w:val="bottom"/>
            <w:hideMark/>
          </w:tcPr>
          <w:p w14:paraId="1D1A669D"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2.2</w:t>
            </w:r>
          </w:p>
        </w:tc>
        <w:tc>
          <w:tcPr>
            <w:tcW w:w="680" w:type="dxa"/>
            <w:tcBorders>
              <w:top w:val="nil"/>
              <w:left w:val="nil"/>
              <w:bottom w:val="single" w:sz="4" w:space="0" w:color="ADD6EA"/>
              <w:right w:val="nil"/>
            </w:tcBorders>
            <w:shd w:val="clear" w:color="000000" w:fill="FFFFFF"/>
            <w:vAlign w:val="bottom"/>
            <w:hideMark/>
          </w:tcPr>
          <w:p w14:paraId="18DF558D"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0.7</w:t>
            </w:r>
          </w:p>
        </w:tc>
        <w:tc>
          <w:tcPr>
            <w:tcW w:w="840" w:type="dxa"/>
            <w:tcBorders>
              <w:top w:val="nil"/>
              <w:left w:val="nil"/>
              <w:bottom w:val="single" w:sz="4" w:space="0" w:color="ADD6EA"/>
              <w:right w:val="nil"/>
            </w:tcBorders>
            <w:shd w:val="clear" w:color="000000" w:fill="FFFFFF"/>
            <w:vAlign w:val="bottom"/>
            <w:hideMark/>
          </w:tcPr>
          <w:p w14:paraId="4AE1C4C2"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100.0</w:t>
            </w:r>
          </w:p>
        </w:tc>
      </w:tr>
      <w:tr w:rsidR="00DE37C1" w:rsidRPr="00026A89" w14:paraId="06252454" w14:textId="77777777" w:rsidTr="00FB6002">
        <w:trPr>
          <w:trHeight w:val="315"/>
        </w:trPr>
        <w:tc>
          <w:tcPr>
            <w:tcW w:w="2780" w:type="dxa"/>
            <w:tcBorders>
              <w:top w:val="nil"/>
              <w:left w:val="nil"/>
              <w:bottom w:val="single" w:sz="4" w:space="0" w:color="ADD6EA"/>
              <w:right w:val="nil"/>
            </w:tcBorders>
            <w:shd w:val="clear" w:color="000000" w:fill="FFFFFF"/>
            <w:vAlign w:val="bottom"/>
            <w:hideMark/>
          </w:tcPr>
          <w:p w14:paraId="69078170" w14:textId="77777777" w:rsidR="00DE37C1" w:rsidRPr="00026A89" w:rsidRDefault="00DE37C1" w:rsidP="004D65FE">
            <w:pPr>
              <w:tabs>
                <w:tab w:val="clear" w:pos="567"/>
              </w:tabs>
              <w:spacing w:before="0" w:line="240" w:lineRule="auto"/>
              <w:rPr>
                <w:rFonts w:eastAsia="Times New Roman" w:cs="Open Sans Light"/>
                <w:color w:val="000000"/>
                <w:sz w:val="16"/>
                <w:szCs w:val="16"/>
                <w:lang w:eastAsia="en-AU"/>
              </w:rPr>
            </w:pPr>
            <w:r w:rsidRPr="00026A89">
              <w:rPr>
                <w:rFonts w:eastAsia="Times New Roman" w:cs="Open Sans Light"/>
                <w:color w:val="000000"/>
                <w:sz w:val="16"/>
                <w:szCs w:val="16"/>
                <w:lang w:eastAsia="en-AU"/>
              </w:rPr>
              <w:t>UCLs within SUAs</w:t>
            </w:r>
          </w:p>
        </w:tc>
        <w:tc>
          <w:tcPr>
            <w:tcW w:w="740" w:type="dxa"/>
            <w:tcBorders>
              <w:top w:val="nil"/>
              <w:left w:val="nil"/>
              <w:bottom w:val="single" w:sz="4" w:space="0" w:color="ADD6EA"/>
              <w:right w:val="nil"/>
            </w:tcBorders>
            <w:shd w:val="clear" w:color="000000" w:fill="FFFFFF"/>
            <w:vAlign w:val="bottom"/>
            <w:hideMark/>
          </w:tcPr>
          <w:p w14:paraId="5FFD98DA"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32.1</w:t>
            </w:r>
          </w:p>
        </w:tc>
        <w:tc>
          <w:tcPr>
            <w:tcW w:w="740" w:type="dxa"/>
            <w:tcBorders>
              <w:top w:val="nil"/>
              <w:left w:val="nil"/>
              <w:bottom w:val="single" w:sz="4" w:space="0" w:color="ADD6EA"/>
              <w:right w:val="nil"/>
            </w:tcBorders>
            <w:shd w:val="clear" w:color="000000" w:fill="FFFFFF"/>
            <w:vAlign w:val="bottom"/>
            <w:hideMark/>
          </w:tcPr>
          <w:p w14:paraId="1EDDC401"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26.2</w:t>
            </w:r>
          </w:p>
        </w:tc>
        <w:tc>
          <w:tcPr>
            <w:tcW w:w="740" w:type="dxa"/>
            <w:tcBorders>
              <w:top w:val="nil"/>
              <w:left w:val="nil"/>
              <w:bottom w:val="single" w:sz="4" w:space="0" w:color="ADD6EA"/>
              <w:right w:val="nil"/>
            </w:tcBorders>
            <w:shd w:val="clear" w:color="000000" w:fill="FFFFFF"/>
            <w:vAlign w:val="bottom"/>
            <w:hideMark/>
          </w:tcPr>
          <w:p w14:paraId="3CB527EA"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19.8</w:t>
            </w:r>
          </w:p>
        </w:tc>
        <w:tc>
          <w:tcPr>
            <w:tcW w:w="740" w:type="dxa"/>
            <w:tcBorders>
              <w:top w:val="nil"/>
              <w:left w:val="nil"/>
              <w:bottom w:val="single" w:sz="4" w:space="0" w:color="ADD6EA"/>
              <w:right w:val="nil"/>
            </w:tcBorders>
            <w:shd w:val="clear" w:color="000000" w:fill="FFFFFF"/>
            <w:vAlign w:val="bottom"/>
            <w:hideMark/>
          </w:tcPr>
          <w:p w14:paraId="0CC915C6"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10.5</w:t>
            </w:r>
          </w:p>
        </w:tc>
        <w:tc>
          <w:tcPr>
            <w:tcW w:w="740" w:type="dxa"/>
            <w:tcBorders>
              <w:top w:val="nil"/>
              <w:left w:val="nil"/>
              <w:bottom w:val="single" w:sz="4" w:space="0" w:color="ADD6EA"/>
              <w:right w:val="nil"/>
            </w:tcBorders>
            <w:shd w:val="clear" w:color="000000" w:fill="FFFFFF"/>
            <w:vAlign w:val="bottom"/>
            <w:hideMark/>
          </w:tcPr>
          <w:p w14:paraId="195517A3"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6.9</w:t>
            </w:r>
          </w:p>
        </w:tc>
        <w:tc>
          <w:tcPr>
            <w:tcW w:w="640" w:type="dxa"/>
            <w:tcBorders>
              <w:top w:val="nil"/>
              <w:left w:val="nil"/>
              <w:bottom w:val="single" w:sz="4" w:space="0" w:color="ADD6EA"/>
              <w:right w:val="nil"/>
            </w:tcBorders>
            <w:shd w:val="clear" w:color="000000" w:fill="FFFFFF"/>
            <w:vAlign w:val="bottom"/>
            <w:hideMark/>
          </w:tcPr>
          <w:p w14:paraId="70787F5C"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1.8</w:t>
            </w:r>
          </w:p>
        </w:tc>
        <w:tc>
          <w:tcPr>
            <w:tcW w:w="640" w:type="dxa"/>
            <w:tcBorders>
              <w:top w:val="nil"/>
              <w:left w:val="nil"/>
              <w:bottom w:val="single" w:sz="4" w:space="0" w:color="ADD6EA"/>
              <w:right w:val="nil"/>
            </w:tcBorders>
            <w:shd w:val="clear" w:color="000000" w:fill="FFFFFF"/>
            <w:vAlign w:val="bottom"/>
            <w:hideMark/>
          </w:tcPr>
          <w:p w14:paraId="59BAE0A2"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1.8</w:t>
            </w:r>
          </w:p>
        </w:tc>
        <w:tc>
          <w:tcPr>
            <w:tcW w:w="680" w:type="dxa"/>
            <w:tcBorders>
              <w:top w:val="nil"/>
              <w:left w:val="nil"/>
              <w:bottom w:val="single" w:sz="4" w:space="0" w:color="ADD6EA"/>
              <w:right w:val="nil"/>
            </w:tcBorders>
            <w:shd w:val="clear" w:color="000000" w:fill="FFFFFF"/>
            <w:vAlign w:val="bottom"/>
            <w:hideMark/>
          </w:tcPr>
          <w:p w14:paraId="71489C90"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0.9</w:t>
            </w:r>
          </w:p>
        </w:tc>
        <w:tc>
          <w:tcPr>
            <w:tcW w:w="840" w:type="dxa"/>
            <w:tcBorders>
              <w:top w:val="nil"/>
              <w:left w:val="nil"/>
              <w:bottom w:val="single" w:sz="4" w:space="0" w:color="ADD6EA"/>
              <w:right w:val="nil"/>
            </w:tcBorders>
            <w:shd w:val="clear" w:color="000000" w:fill="FFFFFF"/>
            <w:vAlign w:val="bottom"/>
            <w:hideMark/>
          </w:tcPr>
          <w:p w14:paraId="09AB27DE" w14:textId="77777777" w:rsidR="00DE37C1" w:rsidRPr="00026A89" w:rsidRDefault="00DE37C1" w:rsidP="004D65FE">
            <w:pPr>
              <w:tabs>
                <w:tab w:val="clear" w:pos="567"/>
              </w:tabs>
              <w:spacing w:before="0" w:line="240" w:lineRule="auto"/>
              <w:jc w:val="right"/>
              <w:rPr>
                <w:rFonts w:eastAsia="Times New Roman" w:cs="Open Sans Light"/>
                <w:color w:val="000000"/>
                <w:sz w:val="16"/>
                <w:szCs w:val="16"/>
                <w:lang w:eastAsia="en-AU"/>
              </w:rPr>
            </w:pPr>
            <w:r w:rsidRPr="00026A89">
              <w:rPr>
                <w:rFonts w:eastAsia="Times New Roman" w:cs="Open Sans Light"/>
                <w:color w:val="000000"/>
                <w:sz w:val="16"/>
                <w:szCs w:val="16"/>
                <w:lang w:eastAsia="en-AU"/>
              </w:rPr>
              <w:t>100.0</w:t>
            </w:r>
          </w:p>
        </w:tc>
      </w:tr>
    </w:tbl>
    <w:p w14:paraId="59EF523A" w14:textId="77777777" w:rsidR="00DE37C1" w:rsidRPr="000A7FA4" w:rsidRDefault="00DE37C1" w:rsidP="00DE37C1">
      <w:pPr>
        <w:pStyle w:val="CGCTablenote"/>
      </w:pPr>
      <w:r w:rsidRPr="00ED299B">
        <w:t>Source:</w:t>
      </w:r>
      <w:r w:rsidRPr="00ED299B">
        <w:tab/>
        <w:t>Commission calculations based on unpublished ABS data.</w:t>
      </w:r>
    </w:p>
    <w:p w14:paraId="6621A238" w14:textId="77777777" w:rsidR="008A64D8" w:rsidRDefault="008A64D8" w:rsidP="00161EFB">
      <w:pPr>
        <w:sectPr w:rsidR="008A64D8" w:rsidSect="00917501">
          <w:footerReference w:type="default" r:id="rId67"/>
          <w:footnotePr>
            <w:numRestart w:val="eachSect"/>
          </w:footnotePr>
          <w:pgSz w:w="11899" w:h="16838" w:code="9"/>
          <w:pgMar w:top="1418" w:right="1474" w:bottom="1418" w:left="1474" w:header="709" w:footer="567" w:gutter="0"/>
          <w:cols w:space="708"/>
          <w:titlePg/>
          <w:docGrid w:linePitch="299"/>
        </w:sectPr>
      </w:pPr>
    </w:p>
    <w:p w14:paraId="3359279E" w14:textId="54DC16B6" w:rsidR="008A64D8" w:rsidRPr="000C4987" w:rsidRDefault="008A64D8" w:rsidP="00EA39FE">
      <w:pPr>
        <w:pStyle w:val="Heading1"/>
      </w:pPr>
      <w:bookmarkStart w:id="674" w:name="_Toc32922496"/>
      <w:r>
        <w:lastRenderedPageBreak/>
        <w:t>32</w:t>
      </w:r>
      <w:r>
        <w:tab/>
        <w:t xml:space="preserve">Adjusted </w:t>
      </w:r>
      <w:r w:rsidR="00F536C7">
        <w:t>b</w:t>
      </w:r>
      <w:r>
        <w:t>udget</w:t>
      </w:r>
      <w:bookmarkEnd w:id="674"/>
    </w:p>
    <w:p w14:paraId="7E51BA1A" w14:textId="77777777" w:rsidR="008A64D8" w:rsidRPr="000C4987" w:rsidRDefault="008A64D8" w:rsidP="008A64D8">
      <w:pPr>
        <w:pStyle w:val="Heading3"/>
      </w:pPr>
      <w:r>
        <w:t>O</w:t>
      </w:r>
      <w:r w:rsidRPr="000C4987">
        <w:t>verview</w:t>
      </w:r>
    </w:p>
    <w:p w14:paraId="205D7241" w14:textId="77777777" w:rsidR="008A64D8" w:rsidRPr="004F23C5" w:rsidRDefault="008A64D8" w:rsidP="003A2CDE">
      <w:pPr>
        <w:pStyle w:val="CGCParaNumber"/>
        <w:numPr>
          <w:ilvl w:val="0"/>
          <w:numId w:val="54"/>
        </w:numPr>
        <w:ind w:left="567" w:hanging="567"/>
      </w:pPr>
      <w:r w:rsidRPr="004F23C5">
        <w:t xml:space="preserve">The adjusted budget is a comprehensive representation of State budgets. It </w:t>
      </w:r>
      <w:r>
        <w:t>provides the Commission with a comparable basis for calculating</w:t>
      </w:r>
      <w:r w:rsidRPr="004F23C5">
        <w:t xml:space="preserve"> average per capita State revenues and expenditure used in assessing State fiscal capacities. </w:t>
      </w:r>
    </w:p>
    <w:p w14:paraId="3BF4F65D" w14:textId="77777777" w:rsidR="008A64D8" w:rsidRPr="004F23C5" w:rsidRDefault="008A64D8" w:rsidP="00F47EC7">
      <w:pPr>
        <w:pStyle w:val="CGCParaNumber"/>
      </w:pPr>
      <w:r>
        <w:t>The Commission</w:t>
      </w:r>
      <w:r w:rsidRPr="004F23C5">
        <w:t xml:space="preserve"> start</w:t>
      </w:r>
      <w:r>
        <w:t>s</w:t>
      </w:r>
      <w:r w:rsidRPr="004F23C5">
        <w:t xml:space="preserve"> with data from the Australian Bureau of Statistics (ABS) Government Finance Statistics (GFS). The</w:t>
      </w:r>
      <w:r>
        <w:t>se</w:t>
      </w:r>
      <w:r w:rsidRPr="004F23C5">
        <w:t xml:space="preserve"> are supplemented by data from the States and other sources to allow the most recently completed financial year to be included, to improve comparability between States and to ensure the composition of each revenue and expense category is consistent with </w:t>
      </w:r>
      <w:r>
        <w:t>the Commission’s</w:t>
      </w:r>
      <w:r w:rsidRPr="004F23C5">
        <w:t xml:space="preserve"> requirements</w:t>
      </w:r>
      <w:r>
        <w:t>.</w:t>
      </w:r>
    </w:p>
    <w:p w14:paraId="3F9C23F4" w14:textId="77777777" w:rsidR="008A64D8" w:rsidRDefault="008A64D8" w:rsidP="008A64D8">
      <w:pPr>
        <w:pStyle w:val="Heading3"/>
      </w:pPr>
      <w:r>
        <w:t xml:space="preserve">Scope of the adjusted budget </w:t>
      </w:r>
    </w:p>
    <w:p w14:paraId="641C1D22" w14:textId="77777777" w:rsidR="008A64D8" w:rsidRDefault="008A64D8" w:rsidP="00F47EC7">
      <w:pPr>
        <w:pStyle w:val="CGCParaNumber"/>
      </w:pPr>
      <w:r>
        <w:t>In this review, t</w:t>
      </w:r>
      <w:r w:rsidRPr="004F23C5">
        <w:t>he scope of the adjusted budget covers all transactions recorded in the GFS State general</w:t>
      </w:r>
      <w:r>
        <w:t xml:space="preserve"> government (GG) operating statement and the transactions of State public non</w:t>
      </w:r>
      <w:r>
        <w:noBreakHyphen/>
        <w:t>financial corporations (PNFCs) that provide social housing and urban transport services.</w:t>
      </w:r>
      <w:r>
        <w:rPr>
          <w:rStyle w:val="FootnoteReference"/>
        </w:rPr>
        <w:footnoteReference w:id="142"/>
      </w:r>
      <w:r>
        <w:t xml:space="preserve"> </w:t>
      </w:r>
    </w:p>
    <w:p w14:paraId="259684DC" w14:textId="77777777" w:rsidR="008A64D8" w:rsidRDefault="008A64D8" w:rsidP="00F47EC7">
      <w:pPr>
        <w:pStyle w:val="CGCParaNumber"/>
      </w:pPr>
      <w:r>
        <w:t xml:space="preserve">The </w:t>
      </w:r>
      <w:r w:rsidRPr="004F23C5">
        <w:t>relevant</w:t>
      </w:r>
      <w:r>
        <w:t xml:space="preserve"> transactions are:</w:t>
      </w:r>
    </w:p>
    <w:p w14:paraId="1A73A7CB" w14:textId="77777777" w:rsidR="008A64D8" w:rsidRDefault="008A64D8" w:rsidP="008A64D8">
      <w:pPr>
        <w:pStyle w:val="CGCBullet1"/>
      </w:pPr>
      <w:r>
        <w:t>revenue including taxation, fees and charges, GST, other Commonwealth payments and other revenue</w:t>
      </w:r>
    </w:p>
    <w:p w14:paraId="61F8CF3E" w14:textId="77777777" w:rsidR="008A64D8" w:rsidRDefault="008A64D8" w:rsidP="008A64D8">
      <w:pPr>
        <w:pStyle w:val="CGCBullet1"/>
      </w:pPr>
      <w:r>
        <w:t>expenses</w:t>
      </w:r>
    </w:p>
    <w:p w14:paraId="213355B7" w14:textId="77777777" w:rsidR="008A64D8" w:rsidRDefault="008A64D8" w:rsidP="008A64D8">
      <w:pPr>
        <w:pStyle w:val="CGCBullet1"/>
      </w:pPr>
      <w:r>
        <w:t xml:space="preserve">net acquisition of non-financial assets </w:t>
      </w:r>
    </w:p>
    <w:p w14:paraId="496C1F4D" w14:textId="77777777" w:rsidR="008A64D8" w:rsidRDefault="008A64D8" w:rsidP="008A64D8">
      <w:pPr>
        <w:pStyle w:val="CGCBullet1"/>
      </w:pPr>
      <w:r>
        <w:t>net borrowing/lending.</w:t>
      </w:r>
    </w:p>
    <w:p w14:paraId="53F9B44C" w14:textId="77777777" w:rsidR="008A64D8" w:rsidRPr="00A3353A" w:rsidRDefault="008A64D8" w:rsidP="00F47EC7">
      <w:pPr>
        <w:pStyle w:val="CGCParaNumber"/>
      </w:pPr>
      <w:r w:rsidRPr="00A3353A">
        <w:t xml:space="preserve">Other direct spending or revenue raised by the Commonwealth, local government, most State PNFCs and non-government </w:t>
      </w:r>
      <w:r>
        <w:t>entities</w:t>
      </w:r>
      <w:r w:rsidRPr="00A3353A">
        <w:t xml:space="preserve"> on State-type services and infrastructure are out of scope. That is, such spending or revenue </w:t>
      </w:r>
      <w:r>
        <w:t>are</w:t>
      </w:r>
      <w:r w:rsidRPr="00A3353A">
        <w:t xml:space="preserve"> not included in the Commission’s assessment of State fiscal capacities.</w:t>
      </w:r>
      <w:r>
        <w:rPr>
          <w:rStyle w:val="FootnoteReference"/>
        </w:rPr>
        <w:footnoteReference w:id="143"/>
      </w:r>
    </w:p>
    <w:p w14:paraId="2D86B3F5" w14:textId="77777777" w:rsidR="008A64D8" w:rsidRDefault="008A64D8" w:rsidP="00F47EC7">
      <w:pPr>
        <w:pStyle w:val="CGCParaNumber"/>
      </w:pPr>
      <w:r w:rsidRPr="004F23C5">
        <w:t xml:space="preserve">GFS includes ACT municipal transactions with State transactions. Normally, </w:t>
      </w:r>
      <w:r>
        <w:t>the Commission</w:t>
      </w:r>
      <w:r w:rsidRPr="004F23C5">
        <w:t xml:space="preserve"> would remove these transactions from the adjusted budget so that only ‘State</w:t>
      </w:r>
      <w:r>
        <w:noBreakHyphen/>
      </w:r>
      <w:r w:rsidRPr="004F23C5">
        <w:t xml:space="preserve">type’ expenses are reflected in the financial averages. Because the effect of including ACT municipal transactions on </w:t>
      </w:r>
      <w:r>
        <w:t>the calculation of State fiscal capacities</w:t>
      </w:r>
      <w:r w:rsidRPr="004F23C5">
        <w:t xml:space="preserve"> is immaterial, </w:t>
      </w:r>
      <w:r>
        <w:t>the Commission</w:t>
      </w:r>
      <w:r w:rsidRPr="004F23C5">
        <w:t xml:space="preserve"> followed the GFS </w:t>
      </w:r>
      <w:r>
        <w:t>treatment</w:t>
      </w:r>
      <w:r w:rsidRPr="004F23C5">
        <w:t xml:space="preserve"> and left</w:t>
      </w:r>
      <w:r>
        <w:t xml:space="preserve"> these transactions in the relevant categories for simplicity. The Commission treats ACT rate revenue as ‘Other revenue’ which is assessed equal per capita (EPC) and does not affect State fiscal capacities.</w:t>
      </w:r>
    </w:p>
    <w:p w14:paraId="23B28A82" w14:textId="78C3D839" w:rsidR="008A64D8" w:rsidRDefault="008A64D8" w:rsidP="008A64D8">
      <w:pPr>
        <w:pStyle w:val="Heading3"/>
        <w:keepLines/>
      </w:pPr>
      <w:r>
        <w:lastRenderedPageBreak/>
        <w:t xml:space="preserve">Adjustments to </w:t>
      </w:r>
      <w:r w:rsidR="000C0095">
        <w:t>the</w:t>
      </w:r>
      <w:r>
        <w:t xml:space="preserve"> general government operating statement</w:t>
      </w:r>
    </w:p>
    <w:p w14:paraId="1378622A" w14:textId="77777777" w:rsidR="008A64D8" w:rsidRDefault="008A64D8" w:rsidP="00F47EC7">
      <w:pPr>
        <w:pStyle w:val="CGCParaNumber"/>
      </w:pPr>
      <w:r>
        <w:t xml:space="preserve">The Commission used the published ABS GFS Operating statement for the GG sector as the starting point of </w:t>
      </w:r>
      <w:r w:rsidRPr="00737724">
        <w:t>the</w:t>
      </w:r>
      <w:r>
        <w:t xml:space="preserve"> adjusted budget. The Commission then added housing and urban transport PNFC operating revenue, expenses, net acquisition of assets and net borrowing. Transfers between the GG and PNFC sectors (that is, inter-sector transactions) are excluded. </w:t>
      </w:r>
    </w:p>
    <w:p w14:paraId="0C5A9CEF" w14:textId="77777777" w:rsidR="008A64D8" w:rsidRPr="00353ED1" w:rsidRDefault="008A64D8" w:rsidP="00F47EC7">
      <w:pPr>
        <w:pStyle w:val="CGCParaNumber"/>
      </w:pPr>
      <w:r>
        <w:t xml:space="preserve">Because of the inclusion of PNFC transactions for housing and urban transport, the outcome (net borrowing) of the adjusted budget does not equal the net borrowing of State GG budgets as published in GFS. </w:t>
      </w:r>
    </w:p>
    <w:p w14:paraId="0B432EBB" w14:textId="77777777" w:rsidR="008A64D8" w:rsidRPr="000C4987" w:rsidRDefault="008A64D8" w:rsidP="008A64D8">
      <w:pPr>
        <w:pStyle w:val="Heading3"/>
      </w:pPr>
      <w:r>
        <w:t xml:space="preserve">Structure of the adjusted budget </w:t>
      </w:r>
    </w:p>
    <w:p w14:paraId="2B646E5D" w14:textId="77777777" w:rsidR="008A64D8" w:rsidRDefault="008A64D8" w:rsidP="00F47EC7">
      <w:pPr>
        <w:pStyle w:val="CGCParaNumber"/>
      </w:pPr>
      <w:r>
        <w:t xml:space="preserve">The Commission’s starting position for the 2020 Review was the category structure from the 2015 Review. Some changes have been made where the Commission considered it necessary to properly assess disabilities and/or improve transparency. </w:t>
      </w:r>
    </w:p>
    <w:p w14:paraId="46EAA2A0" w14:textId="4F9966F5" w:rsidR="008A64D8" w:rsidRDefault="008A64D8" w:rsidP="00F47EC7">
      <w:pPr>
        <w:pStyle w:val="CGCParaNumber"/>
      </w:pPr>
      <w:r>
        <w:t xml:space="preserve">Eight </w:t>
      </w:r>
      <w:r w:rsidRPr="004F23C5">
        <w:t>categories</w:t>
      </w:r>
      <w:r>
        <w:t xml:space="preserve"> of State revenue (including Commonwealth payments) and 13 categories of State expenditure have been assessed in this review. </w:t>
      </w:r>
      <w:r>
        <w:fldChar w:fldCharType="begin"/>
      </w:r>
      <w:r>
        <w:instrText xml:space="preserve"> REF _Ref25759170 \h  \* MERGEFORMAT </w:instrText>
      </w:r>
      <w:r>
        <w:fldChar w:fldCharType="separate"/>
      </w:r>
      <w:r w:rsidR="007F721A">
        <w:t xml:space="preserve">Table </w:t>
      </w:r>
      <w:r w:rsidR="007F721A">
        <w:rPr>
          <w:noProof/>
        </w:rPr>
        <w:t>32-1</w:t>
      </w:r>
      <w:r>
        <w:fldChar w:fldCharType="end"/>
      </w:r>
      <w:r>
        <w:t xml:space="preserve"> shows the adjusted budget structure and the average amount for each category for 2016-17 to 2018-19. Attachment 32</w:t>
      </w:r>
      <w:r>
        <w:noBreakHyphen/>
        <w:t xml:space="preserve">A provides the code rules to map the GFS data to the Commission assessment categories. Refer to ABS cat. no. 5514.0 </w:t>
      </w:r>
      <w:r>
        <w:rPr>
          <w:i/>
        </w:rPr>
        <w:t xml:space="preserve">Australian System of Government Finance Statistics: Concepts, Sources and Methods 2015 </w:t>
      </w:r>
      <w:r>
        <w:t>for GFS concepts and definitions of GFS codes.</w:t>
      </w:r>
    </w:p>
    <w:p w14:paraId="326DC0D9" w14:textId="2E274C30" w:rsidR="008A64D8" w:rsidRDefault="008A64D8" w:rsidP="008A64D8">
      <w:pPr>
        <w:pStyle w:val="Caption"/>
      </w:pPr>
      <w:bookmarkStart w:id="675" w:name="_Ref25759170"/>
      <w:r>
        <w:lastRenderedPageBreak/>
        <w:t>Table 32-</w:t>
      </w:r>
      <w:r w:rsidR="00B91EF5">
        <w:fldChar w:fldCharType="begin"/>
      </w:r>
      <w:r w:rsidR="00B91EF5">
        <w:instrText xml:space="preserve"> SEQ Table </w:instrText>
      </w:r>
      <w:r w:rsidR="009A1034">
        <w:instrText xml:space="preserve">\r1 </w:instrText>
      </w:r>
      <w:r w:rsidR="00B91EF5">
        <w:instrText xml:space="preserve">\* ARABIC </w:instrText>
      </w:r>
      <w:r w:rsidR="00B91EF5">
        <w:fldChar w:fldCharType="separate"/>
      </w:r>
      <w:r w:rsidR="007F721A">
        <w:rPr>
          <w:noProof/>
        </w:rPr>
        <w:t>1</w:t>
      </w:r>
      <w:r w:rsidR="00B91EF5">
        <w:fldChar w:fldCharType="end"/>
      </w:r>
      <w:bookmarkEnd w:id="675"/>
      <w:r>
        <w:tab/>
        <w:t>Adjusted budget categories for the 2020 Review</w:t>
      </w:r>
    </w:p>
    <w:tbl>
      <w:tblPr>
        <w:tblW w:w="9160" w:type="dxa"/>
        <w:tblBorders>
          <w:top w:val="single" w:sz="4" w:space="0" w:color="ADD6EA"/>
          <w:bottom w:val="single" w:sz="4" w:space="0" w:color="ADD6EA"/>
          <w:insideH w:val="single" w:sz="4" w:space="0" w:color="ADD6EA"/>
        </w:tblBorders>
        <w:tblCellMar>
          <w:left w:w="28" w:type="dxa"/>
          <w:right w:w="28" w:type="dxa"/>
        </w:tblCellMar>
        <w:tblLook w:val="04A0" w:firstRow="1" w:lastRow="0" w:firstColumn="1" w:lastColumn="0" w:noHBand="0" w:noVBand="1"/>
      </w:tblPr>
      <w:tblGrid>
        <w:gridCol w:w="2800"/>
        <w:gridCol w:w="1211"/>
        <w:gridCol w:w="909"/>
        <w:gridCol w:w="1211"/>
        <w:gridCol w:w="909"/>
        <w:gridCol w:w="1211"/>
        <w:gridCol w:w="909"/>
      </w:tblGrid>
      <w:tr w:rsidR="008A64D8" w:rsidRPr="00094FBD" w14:paraId="52334318" w14:textId="77777777" w:rsidTr="00A87445">
        <w:trPr>
          <w:trHeight w:val="375"/>
        </w:trPr>
        <w:tc>
          <w:tcPr>
            <w:tcW w:w="2800" w:type="dxa"/>
            <w:shd w:val="clear" w:color="000000" w:fill="006991"/>
            <w:noWrap/>
            <w:vAlign w:val="center"/>
            <w:hideMark/>
          </w:tcPr>
          <w:p w14:paraId="378C0DD0" w14:textId="77777777" w:rsidR="008A64D8" w:rsidRPr="00094FBD" w:rsidRDefault="008A64D8" w:rsidP="004D65FE">
            <w:pPr>
              <w:keepNext/>
              <w:tabs>
                <w:tab w:val="clear" w:pos="567"/>
              </w:tabs>
              <w:spacing w:before="0" w:line="240" w:lineRule="auto"/>
              <w:jc w:val="right"/>
              <w:rPr>
                <w:rFonts w:ascii="Open Sans SemiBold" w:eastAsia="Times New Roman" w:hAnsi="Open Sans SemiBold" w:cs="Open Sans SemiBold"/>
                <w:color w:val="FFFFFF"/>
                <w:sz w:val="16"/>
                <w:szCs w:val="16"/>
                <w:lang w:eastAsia="en-AU"/>
              </w:rPr>
            </w:pPr>
            <w:bookmarkStart w:id="676" w:name="RANGE!A5:G35"/>
            <w:r w:rsidRPr="00094FBD">
              <w:rPr>
                <w:rFonts w:ascii="Open Sans SemiBold" w:eastAsia="Times New Roman" w:hAnsi="Open Sans SemiBold" w:cs="Open Sans SemiBold"/>
                <w:color w:val="FFFFFF"/>
                <w:sz w:val="16"/>
                <w:szCs w:val="16"/>
                <w:lang w:eastAsia="en-AU"/>
              </w:rPr>
              <w:t> </w:t>
            </w:r>
            <w:bookmarkEnd w:id="676"/>
          </w:p>
        </w:tc>
        <w:tc>
          <w:tcPr>
            <w:tcW w:w="2120" w:type="dxa"/>
            <w:gridSpan w:val="2"/>
            <w:shd w:val="clear" w:color="000000" w:fill="006991"/>
            <w:noWrap/>
            <w:vAlign w:val="center"/>
            <w:hideMark/>
          </w:tcPr>
          <w:p w14:paraId="12FABB42" w14:textId="77777777" w:rsidR="008A64D8" w:rsidRPr="00094FBD" w:rsidRDefault="008A64D8" w:rsidP="00BC25D6">
            <w:pPr>
              <w:keepNext/>
              <w:tabs>
                <w:tab w:val="clear" w:pos="567"/>
              </w:tabs>
              <w:spacing w:before="0" w:line="240" w:lineRule="auto"/>
              <w:ind w:left="1134"/>
              <w:rPr>
                <w:rFonts w:ascii="Open Sans SemiBold" w:eastAsia="Times New Roman" w:hAnsi="Open Sans SemiBold" w:cs="Open Sans SemiBold"/>
                <w:color w:val="FFFFFF"/>
                <w:sz w:val="16"/>
                <w:szCs w:val="16"/>
                <w:lang w:eastAsia="en-AU"/>
              </w:rPr>
            </w:pPr>
            <w:r w:rsidRPr="00094FBD">
              <w:rPr>
                <w:rFonts w:ascii="Open Sans SemiBold" w:eastAsia="Times New Roman" w:hAnsi="Open Sans SemiBold" w:cs="Open Sans SemiBold"/>
                <w:color w:val="FFFFFF"/>
                <w:sz w:val="16"/>
                <w:szCs w:val="16"/>
                <w:lang w:eastAsia="en-AU"/>
              </w:rPr>
              <w:t>2016-17</w:t>
            </w:r>
          </w:p>
        </w:tc>
        <w:tc>
          <w:tcPr>
            <w:tcW w:w="2120" w:type="dxa"/>
            <w:gridSpan w:val="2"/>
            <w:shd w:val="clear" w:color="000000" w:fill="006991"/>
            <w:noWrap/>
            <w:vAlign w:val="center"/>
            <w:hideMark/>
          </w:tcPr>
          <w:p w14:paraId="37EE8C86" w14:textId="77777777" w:rsidR="008A64D8" w:rsidRPr="00094FBD" w:rsidRDefault="008A64D8" w:rsidP="00BC25D6">
            <w:pPr>
              <w:keepNext/>
              <w:tabs>
                <w:tab w:val="clear" w:pos="567"/>
              </w:tabs>
              <w:spacing w:before="0" w:line="240" w:lineRule="auto"/>
              <w:ind w:left="1134"/>
              <w:rPr>
                <w:rFonts w:ascii="Open Sans SemiBold" w:eastAsia="Times New Roman" w:hAnsi="Open Sans SemiBold" w:cs="Open Sans SemiBold"/>
                <w:color w:val="FFFFFF"/>
                <w:sz w:val="16"/>
                <w:szCs w:val="16"/>
                <w:lang w:eastAsia="en-AU"/>
              </w:rPr>
            </w:pPr>
            <w:r w:rsidRPr="00094FBD">
              <w:rPr>
                <w:rFonts w:ascii="Open Sans SemiBold" w:eastAsia="Times New Roman" w:hAnsi="Open Sans SemiBold" w:cs="Open Sans SemiBold"/>
                <w:color w:val="FFFFFF"/>
                <w:sz w:val="16"/>
                <w:szCs w:val="16"/>
                <w:lang w:eastAsia="en-AU"/>
              </w:rPr>
              <w:t>2017-18</w:t>
            </w:r>
          </w:p>
        </w:tc>
        <w:tc>
          <w:tcPr>
            <w:tcW w:w="2120" w:type="dxa"/>
            <w:gridSpan w:val="2"/>
            <w:shd w:val="clear" w:color="000000" w:fill="006991"/>
            <w:noWrap/>
            <w:vAlign w:val="center"/>
            <w:hideMark/>
          </w:tcPr>
          <w:p w14:paraId="5591B756" w14:textId="77777777" w:rsidR="008A64D8" w:rsidRPr="00094FBD" w:rsidRDefault="008A64D8" w:rsidP="00BC25D6">
            <w:pPr>
              <w:keepNext/>
              <w:tabs>
                <w:tab w:val="clear" w:pos="567"/>
              </w:tabs>
              <w:spacing w:before="0" w:line="240" w:lineRule="auto"/>
              <w:ind w:left="1134"/>
              <w:rPr>
                <w:rFonts w:ascii="Open Sans SemiBold" w:eastAsia="Times New Roman" w:hAnsi="Open Sans SemiBold" w:cs="Open Sans SemiBold"/>
                <w:color w:val="FFFFFF"/>
                <w:sz w:val="16"/>
                <w:szCs w:val="16"/>
                <w:lang w:eastAsia="en-AU"/>
              </w:rPr>
            </w:pPr>
            <w:r w:rsidRPr="00094FBD">
              <w:rPr>
                <w:rFonts w:ascii="Open Sans SemiBold" w:eastAsia="Times New Roman" w:hAnsi="Open Sans SemiBold" w:cs="Open Sans SemiBold"/>
                <w:color w:val="FFFFFF"/>
                <w:sz w:val="16"/>
                <w:szCs w:val="16"/>
                <w:lang w:eastAsia="en-AU"/>
              </w:rPr>
              <w:t>2018-19</w:t>
            </w:r>
          </w:p>
        </w:tc>
      </w:tr>
      <w:tr w:rsidR="008A64D8" w:rsidRPr="00094FBD" w14:paraId="5F37B5E9" w14:textId="77777777" w:rsidTr="007B7145">
        <w:trPr>
          <w:trHeight w:hRule="exact" w:val="261"/>
        </w:trPr>
        <w:tc>
          <w:tcPr>
            <w:tcW w:w="2800" w:type="dxa"/>
            <w:tcBorders>
              <w:bottom w:val="single" w:sz="4" w:space="0" w:color="ADD6EA"/>
            </w:tcBorders>
            <w:shd w:val="clear" w:color="000000" w:fill="B6D5E4"/>
            <w:noWrap/>
            <w:vAlign w:val="bottom"/>
            <w:hideMark/>
          </w:tcPr>
          <w:p w14:paraId="13A1DC4B"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1211" w:type="dxa"/>
            <w:tcBorders>
              <w:bottom w:val="single" w:sz="4" w:space="0" w:color="ADD6EA"/>
            </w:tcBorders>
            <w:shd w:val="clear" w:color="000000" w:fill="B6D5E4"/>
            <w:noWrap/>
            <w:vAlign w:val="center"/>
            <w:hideMark/>
          </w:tcPr>
          <w:p w14:paraId="438CE44A" w14:textId="77777777" w:rsidR="008A64D8" w:rsidRPr="00094FBD" w:rsidRDefault="008A64D8"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94FBD">
              <w:rPr>
                <w:rFonts w:ascii="Open Sans SemiBold" w:eastAsia="Times New Roman" w:hAnsi="Open Sans SemiBold" w:cs="Open Sans SemiBold"/>
                <w:color w:val="000000"/>
                <w:sz w:val="16"/>
                <w:szCs w:val="16"/>
                <w:lang w:eastAsia="en-AU"/>
              </w:rPr>
              <w:t>$m</w:t>
            </w:r>
          </w:p>
        </w:tc>
        <w:tc>
          <w:tcPr>
            <w:tcW w:w="909" w:type="dxa"/>
            <w:tcBorders>
              <w:bottom w:val="single" w:sz="4" w:space="0" w:color="ADD6EA"/>
            </w:tcBorders>
            <w:shd w:val="clear" w:color="000000" w:fill="B6D5E4"/>
            <w:noWrap/>
            <w:vAlign w:val="center"/>
            <w:hideMark/>
          </w:tcPr>
          <w:p w14:paraId="0F1EC9D2" w14:textId="77777777" w:rsidR="008A64D8" w:rsidRPr="00094FBD" w:rsidRDefault="008A64D8"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94FBD">
              <w:rPr>
                <w:rFonts w:ascii="Open Sans SemiBold" w:eastAsia="Times New Roman" w:hAnsi="Open Sans SemiBold" w:cs="Open Sans SemiBold"/>
                <w:color w:val="000000"/>
                <w:sz w:val="16"/>
                <w:szCs w:val="16"/>
                <w:lang w:eastAsia="en-AU"/>
              </w:rPr>
              <w:t>$pc</w:t>
            </w:r>
          </w:p>
        </w:tc>
        <w:tc>
          <w:tcPr>
            <w:tcW w:w="1211" w:type="dxa"/>
            <w:tcBorders>
              <w:bottom w:val="single" w:sz="4" w:space="0" w:color="ADD6EA"/>
            </w:tcBorders>
            <w:shd w:val="clear" w:color="000000" w:fill="B6D5E4"/>
            <w:noWrap/>
            <w:vAlign w:val="center"/>
            <w:hideMark/>
          </w:tcPr>
          <w:p w14:paraId="2B313616" w14:textId="77777777" w:rsidR="008A64D8" w:rsidRPr="00094FBD" w:rsidRDefault="008A64D8"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94FBD">
              <w:rPr>
                <w:rFonts w:ascii="Open Sans SemiBold" w:eastAsia="Times New Roman" w:hAnsi="Open Sans SemiBold" w:cs="Open Sans SemiBold"/>
                <w:color w:val="000000"/>
                <w:sz w:val="16"/>
                <w:szCs w:val="16"/>
                <w:lang w:eastAsia="en-AU"/>
              </w:rPr>
              <w:t>$m</w:t>
            </w:r>
          </w:p>
        </w:tc>
        <w:tc>
          <w:tcPr>
            <w:tcW w:w="909" w:type="dxa"/>
            <w:tcBorders>
              <w:bottom w:val="single" w:sz="4" w:space="0" w:color="ADD6EA"/>
            </w:tcBorders>
            <w:shd w:val="clear" w:color="000000" w:fill="B6D5E4"/>
            <w:noWrap/>
            <w:vAlign w:val="center"/>
            <w:hideMark/>
          </w:tcPr>
          <w:p w14:paraId="19F4B7B2" w14:textId="77777777" w:rsidR="008A64D8" w:rsidRPr="00094FBD" w:rsidRDefault="008A64D8"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94FBD">
              <w:rPr>
                <w:rFonts w:ascii="Open Sans SemiBold" w:eastAsia="Times New Roman" w:hAnsi="Open Sans SemiBold" w:cs="Open Sans SemiBold"/>
                <w:color w:val="000000"/>
                <w:sz w:val="16"/>
                <w:szCs w:val="16"/>
                <w:lang w:eastAsia="en-AU"/>
              </w:rPr>
              <w:t>$pc</w:t>
            </w:r>
          </w:p>
        </w:tc>
        <w:tc>
          <w:tcPr>
            <w:tcW w:w="1211" w:type="dxa"/>
            <w:tcBorders>
              <w:bottom w:val="single" w:sz="4" w:space="0" w:color="ADD6EA"/>
            </w:tcBorders>
            <w:shd w:val="clear" w:color="000000" w:fill="B6D5E4"/>
            <w:noWrap/>
            <w:vAlign w:val="center"/>
            <w:hideMark/>
          </w:tcPr>
          <w:p w14:paraId="5C37E900" w14:textId="77777777" w:rsidR="008A64D8" w:rsidRPr="00094FBD" w:rsidRDefault="008A64D8"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94FBD">
              <w:rPr>
                <w:rFonts w:ascii="Open Sans SemiBold" w:eastAsia="Times New Roman" w:hAnsi="Open Sans SemiBold" w:cs="Open Sans SemiBold"/>
                <w:color w:val="000000"/>
                <w:sz w:val="16"/>
                <w:szCs w:val="16"/>
                <w:lang w:eastAsia="en-AU"/>
              </w:rPr>
              <w:t>$m</w:t>
            </w:r>
          </w:p>
        </w:tc>
        <w:tc>
          <w:tcPr>
            <w:tcW w:w="909" w:type="dxa"/>
            <w:tcBorders>
              <w:bottom w:val="single" w:sz="4" w:space="0" w:color="ADD6EA"/>
            </w:tcBorders>
            <w:shd w:val="clear" w:color="000000" w:fill="B6D5E4"/>
            <w:noWrap/>
            <w:vAlign w:val="center"/>
            <w:hideMark/>
          </w:tcPr>
          <w:p w14:paraId="67F28DD3" w14:textId="77777777" w:rsidR="008A64D8" w:rsidRPr="00094FBD" w:rsidRDefault="008A64D8" w:rsidP="004D65FE">
            <w:pPr>
              <w:keepNext/>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94FBD">
              <w:rPr>
                <w:rFonts w:ascii="Open Sans SemiBold" w:eastAsia="Times New Roman" w:hAnsi="Open Sans SemiBold" w:cs="Open Sans SemiBold"/>
                <w:color w:val="000000"/>
                <w:sz w:val="16"/>
                <w:szCs w:val="16"/>
                <w:lang w:eastAsia="en-AU"/>
              </w:rPr>
              <w:t>$pc</w:t>
            </w:r>
          </w:p>
        </w:tc>
      </w:tr>
      <w:tr w:rsidR="008A64D8" w:rsidRPr="00094FBD" w14:paraId="620AAABD" w14:textId="77777777" w:rsidTr="007B7145">
        <w:trPr>
          <w:trHeight w:hRule="exact" w:val="261"/>
        </w:trPr>
        <w:tc>
          <w:tcPr>
            <w:tcW w:w="2800" w:type="dxa"/>
            <w:shd w:val="clear" w:color="000000" w:fill="auto"/>
            <w:noWrap/>
            <w:vAlign w:val="bottom"/>
            <w:hideMark/>
          </w:tcPr>
          <w:p w14:paraId="774A98D0"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094FBD">
              <w:rPr>
                <w:rFonts w:ascii="Open Sans SemiBold" w:eastAsia="Times New Roman" w:hAnsi="Open Sans SemiBold" w:cs="Open Sans SemiBold"/>
                <w:sz w:val="16"/>
                <w:szCs w:val="16"/>
                <w:lang w:eastAsia="en-AU"/>
              </w:rPr>
              <w:t>Revenue from Commonwealth</w:t>
            </w:r>
          </w:p>
        </w:tc>
        <w:tc>
          <w:tcPr>
            <w:tcW w:w="1211" w:type="dxa"/>
            <w:shd w:val="clear" w:color="000000" w:fill="auto"/>
            <w:noWrap/>
            <w:vAlign w:val="bottom"/>
            <w:hideMark/>
          </w:tcPr>
          <w:p w14:paraId="03D5565B"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2A5E9F07"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1211" w:type="dxa"/>
            <w:shd w:val="clear" w:color="000000" w:fill="auto"/>
            <w:noWrap/>
            <w:vAlign w:val="bottom"/>
            <w:hideMark/>
          </w:tcPr>
          <w:p w14:paraId="0B078B57"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3B793A22"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1211" w:type="dxa"/>
            <w:shd w:val="clear" w:color="000000" w:fill="auto"/>
            <w:noWrap/>
            <w:vAlign w:val="bottom"/>
            <w:hideMark/>
          </w:tcPr>
          <w:p w14:paraId="34B806AA"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12E47935"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r>
      <w:tr w:rsidR="008A64D8" w:rsidRPr="00094FBD" w14:paraId="2EAD096F" w14:textId="77777777" w:rsidTr="00A87445">
        <w:trPr>
          <w:trHeight w:val="312"/>
        </w:trPr>
        <w:tc>
          <w:tcPr>
            <w:tcW w:w="2800" w:type="dxa"/>
            <w:shd w:val="clear" w:color="auto" w:fill="auto"/>
            <w:noWrap/>
            <w:vAlign w:val="bottom"/>
            <w:hideMark/>
          </w:tcPr>
          <w:p w14:paraId="4E44EF3F"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GST revenue</w:t>
            </w:r>
          </w:p>
        </w:tc>
        <w:tc>
          <w:tcPr>
            <w:tcW w:w="1211" w:type="dxa"/>
            <w:shd w:val="clear" w:color="auto" w:fill="auto"/>
            <w:noWrap/>
            <w:vAlign w:val="bottom"/>
            <w:hideMark/>
          </w:tcPr>
          <w:p w14:paraId="459B34E1"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59,845</w:t>
            </w:r>
          </w:p>
        </w:tc>
        <w:tc>
          <w:tcPr>
            <w:tcW w:w="909" w:type="dxa"/>
            <w:shd w:val="clear" w:color="auto" w:fill="auto"/>
            <w:noWrap/>
            <w:vAlign w:val="bottom"/>
            <w:hideMark/>
          </w:tcPr>
          <w:p w14:paraId="6E487247"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2,454</w:t>
            </w:r>
          </w:p>
        </w:tc>
        <w:tc>
          <w:tcPr>
            <w:tcW w:w="1211" w:type="dxa"/>
            <w:shd w:val="clear" w:color="auto" w:fill="auto"/>
            <w:noWrap/>
            <w:vAlign w:val="bottom"/>
            <w:hideMark/>
          </w:tcPr>
          <w:p w14:paraId="6C550620"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63,123</w:t>
            </w:r>
          </w:p>
        </w:tc>
        <w:tc>
          <w:tcPr>
            <w:tcW w:w="909" w:type="dxa"/>
            <w:shd w:val="clear" w:color="auto" w:fill="auto"/>
            <w:noWrap/>
            <w:vAlign w:val="bottom"/>
            <w:hideMark/>
          </w:tcPr>
          <w:p w14:paraId="14D8EF0A"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2,549</w:t>
            </w:r>
          </w:p>
        </w:tc>
        <w:tc>
          <w:tcPr>
            <w:tcW w:w="1211" w:type="dxa"/>
            <w:shd w:val="clear" w:color="auto" w:fill="auto"/>
            <w:noWrap/>
            <w:vAlign w:val="bottom"/>
            <w:hideMark/>
          </w:tcPr>
          <w:p w14:paraId="61571E62"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65,160</w:t>
            </w:r>
          </w:p>
        </w:tc>
        <w:tc>
          <w:tcPr>
            <w:tcW w:w="909" w:type="dxa"/>
            <w:shd w:val="clear" w:color="auto" w:fill="auto"/>
            <w:noWrap/>
            <w:vAlign w:val="bottom"/>
            <w:hideMark/>
          </w:tcPr>
          <w:p w14:paraId="663587F1"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2,589</w:t>
            </w:r>
          </w:p>
        </w:tc>
      </w:tr>
      <w:tr w:rsidR="008A64D8" w:rsidRPr="00094FBD" w14:paraId="32FFB50D" w14:textId="77777777" w:rsidTr="00A87445">
        <w:trPr>
          <w:trHeight w:val="312"/>
        </w:trPr>
        <w:tc>
          <w:tcPr>
            <w:tcW w:w="2800" w:type="dxa"/>
            <w:shd w:val="clear" w:color="auto" w:fill="auto"/>
            <w:noWrap/>
            <w:vAlign w:val="bottom"/>
            <w:hideMark/>
          </w:tcPr>
          <w:p w14:paraId="3F4FBBD8"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Commonwealth payments</w:t>
            </w:r>
          </w:p>
        </w:tc>
        <w:tc>
          <w:tcPr>
            <w:tcW w:w="1211" w:type="dxa"/>
            <w:shd w:val="clear" w:color="auto" w:fill="auto"/>
            <w:noWrap/>
            <w:vAlign w:val="bottom"/>
            <w:hideMark/>
          </w:tcPr>
          <w:p w14:paraId="70E6231C"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 </w:t>
            </w:r>
          </w:p>
        </w:tc>
        <w:tc>
          <w:tcPr>
            <w:tcW w:w="909" w:type="dxa"/>
            <w:shd w:val="clear" w:color="auto" w:fill="auto"/>
            <w:noWrap/>
            <w:vAlign w:val="bottom"/>
            <w:hideMark/>
          </w:tcPr>
          <w:p w14:paraId="47DDDA9D"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 </w:t>
            </w:r>
          </w:p>
        </w:tc>
        <w:tc>
          <w:tcPr>
            <w:tcW w:w="1211" w:type="dxa"/>
            <w:shd w:val="clear" w:color="auto" w:fill="auto"/>
            <w:noWrap/>
            <w:vAlign w:val="bottom"/>
            <w:hideMark/>
          </w:tcPr>
          <w:p w14:paraId="2518932D"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 </w:t>
            </w:r>
          </w:p>
        </w:tc>
        <w:tc>
          <w:tcPr>
            <w:tcW w:w="909" w:type="dxa"/>
            <w:shd w:val="clear" w:color="auto" w:fill="auto"/>
            <w:noWrap/>
            <w:vAlign w:val="bottom"/>
            <w:hideMark/>
          </w:tcPr>
          <w:p w14:paraId="3AD2EC88"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 </w:t>
            </w:r>
          </w:p>
        </w:tc>
        <w:tc>
          <w:tcPr>
            <w:tcW w:w="1211" w:type="dxa"/>
            <w:shd w:val="clear" w:color="auto" w:fill="auto"/>
            <w:noWrap/>
            <w:vAlign w:val="bottom"/>
            <w:hideMark/>
          </w:tcPr>
          <w:p w14:paraId="48C8E650"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 </w:t>
            </w:r>
          </w:p>
        </w:tc>
        <w:tc>
          <w:tcPr>
            <w:tcW w:w="909" w:type="dxa"/>
            <w:shd w:val="clear" w:color="auto" w:fill="auto"/>
            <w:noWrap/>
            <w:vAlign w:val="bottom"/>
            <w:hideMark/>
          </w:tcPr>
          <w:p w14:paraId="5E385AC9"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 </w:t>
            </w:r>
          </w:p>
        </w:tc>
      </w:tr>
      <w:tr w:rsidR="008A64D8" w:rsidRPr="00094FBD" w14:paraId="38213D7E" w14:textId="77777777" w:rsidTr="00A87445">
        <w:trPr>
          <w:trHeight w:val="312"/>
        </w:trPr>
        <w:tc>
          <w:tcPr>
            <w:tcW w:w="2800" w:type="dxa"/>
            <w:shd w:val="clear" w:color="auto" w:fill="auto"/>
            <w:noWrap/>
            <w:vAlign w:val="bottom"/>
            <w:hideMark/>
          </w:tcPr>
          <w:p w14:paraId="16D17A02"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Impact on State fiscal capacities</w:t>
            </w:r>
          </w:p>
        </w:tc>
        <w:tc>
          <w:tcPr>
            <w:tcW w:w="1211" w:type="dxa"/>
            <w:shd w:val="clear" w:color="auto" w:fill="auto"/>
            <w:noWrap/>
            <w:vAlign w:val="bottom"/>
            <w:hideMark/>
          </w:tcPr>
          <w:p w14:paraId="7D4260BC"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33,260</w:t>
            </w:r>
          </w:p>
        </w:tc>
        <w:tc>
          <w:tcPr>
            <w:tcW w:w="909" w:type="dxa"/>
            <w:shd w:val="clear" w:color="auto" w:fill="auto"/>
            <w:noWrap/>
            <w:vAlign w:val="bottom"/>
            <w:hideMark/>
          </w:tcPr>
          <w:p w14:paraId="76860D78"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1,364</w:t>
            </w:r>
          </w:p>
        </w:tc>
        <w:tc>
          <w:tcPr>
            <w:tcW w:w="1211" w:type="dxa"/>
            <w:shd w:val="clear" w:color="auto" w:fill="auto"/>
            <w:noWrap/>
            <w:vAlign w:val="bottom"/>
            <w:hideMark/>
          </w:tcPr>
          <w:p w14:paraId="0FBFBA7E"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35,136</w:t>
            </w:r>
          </w:p>
        </w:tc>
        <w:tc>
          <w:tcPr>
            <w:tcW w:w="909" w:type="dxa"/>
            <w:shd w:val="clear" w:color="auto" w:fill="auto"/>
            <w:noWrap/>
            <w:vAlign w:val="bottom"/>
            <w:hideMark/>
          </w:tcPr>
          <w:p w14:paraId="49623E07"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1,419</w:t>
            </w:r>
          </w:p>
        </w:tc>
        <w:tc>
          <w:tcPr>
            <w:tcW w:w="1211" w:type="dxa"/>
            <w:shd w:val="clear" w:color="auto" w:fill="auto"/>
            <w:noWrap/>
            <w:vAlign w:val="bottom"/>
            <w:hideMark/>
          </w:tcPr>
          <w:p w14:paraId="58F26C9B"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37,004</w:t>
            </w:r>
          </w:p>
        </w:tc>
        <w:tc>
          <w:tcPr>
            <w:tcW w:w="909" w:type="dxa"/>
            <w:shd w:val="clear" w:color="auto" w:fill="auto"/>
            <w:noWrap/>
            <w:vAlign w:val="bottom"/>
            <w:hideMark/>
          </w:tcPr>
          <w:p w14:paraId="673D5CE2"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1,470</w:t>
            </w:r>
          </w:p>
        </w:tc>
      </w:tr>
      <w:tr w:rsidR="008A64D8" w:rsidRPr="00094FBD" w14:paraId="638955DC" w14:textId="77777777" w:rsidTr="007B7145">
        <w:trPr>
          <w:trHeight w:val="312"/>
        </w:trPr>
        <w:tc>
          <w:tcPr>
            <w:tcW w:w="2800" w:type="dxa"/>
            <w:tcBorders>
              <w:bottom w:val="single" w:sz="4" w:space="0" w:color="ADD6EA"/>
            </w:tcBorders>
            <w:shd w:val="clear" w:color="auto" w:fill="auto"/>
            <w:noWrap/>
            <w:vAlign w:val="bottom"/>
            <w:hideMark/>
          </w:tcPr>
          <w:p w14:paraId="6E40DA1F"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Other Commonwealth payments</w:t>
            </w:r>
          </w:p>
        </w:tc>
        <w:tc>
          <w:tcPr>
            <w:tcW w:w="1211" w:type="dxa"/>
            <w:tcBorders>
              <w:bottom w:val="single" w:sz="4" w:space="0" w:color="ADD6EA"/>
            </w:tcBorders>
            <w:shd w:val="clear" w:color="auto" w:fill="auto"/>
            <w:noWrap/>
            <w:vAlign w:val="bottom"/>
            <w:hideMark/>
          </w:tcPr>
          <w:p w14:paraId="48FCBED0"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5,026</w:t>
            </w:r>
          </w:p>
        </w:tc>
        <w:tc>
          <w:tcPr>
            <w:tcW w:w="909" w:type="dxa"/>
            <w:tcBorders>
              <w:bottom w:val="single" w:sz="4" w:space="0" w:color="ADD6EA"/>
            </w:tcBorders>
            <w:shd w:val="clear" w:color="auto" w:fill="auto"/>
            <w:noWrap/>
            <w:vAlign w:val="bottom"/>
            <w:hideMark/>
          </w:tcPr>
          <w:p w14:paraId="23310C9A"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206</w:t>
            </w:r>
          </w:p>
        </w:tc>
        <w:tc>
          <w:tcPr>
            <w:tcW w:w="1211" w:type="dxa"/>
            <w:tcBorders>
              <w:bottom w:val="single" w:sz="4" w:space="0" w:color="ADD6EA"/>
            </w:tcBorders>
            <w:shd w:val="clear" w:color="auto" w:fill="auto"/>
            <w:noWrap/>
            <w:vAlign w:val="bottom"/>
            <w:hideMark/>
          </w:tcPr>
          <w:p w14:paraId="2BBD3E06"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4,765</w:t>
            </w:r>
          </w:p>
        </w:tc>
        <w:tc>
          <w:tcPr>
            <w:tcW w:w="909" w:type="dxa"/>
            <w:tcBorders>
              <w:bottom w:val="single" w:sz="4" w:space="0" w:color="ADD6EA"/>
            </w:tcBorders>
            <w:shd w:val="clear" w:color="auto" w:fill="auto"/>
            <w:noWrap/>
            <w:vAlign w:val="bottom"/>
            <w:hideMark/>
          </w:tcPr>
          <w:p w14:paraId="16012A00"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192</w:t>
            </w:r>
          </w:p>
        </w:tc>
        <w:tc>
          <w:tcPr>
            <w:tcW w:w="1211" w:type="dxa"/>
            <w:tcBorders>
              <w:bottom w:val="single" w:sz="4" w:space="0" w:color="ADD6EA"/>
            </w:tcBorders>
            <w:shd w:val="clear" w:color="auto" w:fill="auto"/>
            <w:noWrap/>
            <w:vAlign w:val="bottom"/>
            <w:hideMark/>
          </w:tcPr>
          <w:p w14:paraId="45B4EFDB"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3,442</w:t>
            </w:r>
          </w:p>
        </w:tc>
        <w:tc>
          <w:tcPr>
            <w:tcW w:w="909" w:type="dxa"/>
            <w:tcBorders>
              <w:bottom w:val="single" w:sz="4" w:space="0" w:color="ADD6EA"/>
            </w:tcBorders>
            <w:shd w:val="clear" w:color="auto" w:fill="auto"/>
            <w:noWrap/>
            <w:vAlign w:val="bottom"/>
            <w:hideMark/>
          </w:tcPr>
          <w:p w14:paraId="496284B1"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137</w:t>
            </w:r>
          </w:p>
        </w:tc>
      </w:tr>
      <w:tr w:rsidR="008A64D8" w:rsidRPr="00094FBD" w14:paraId="3343B47E" w14:textId="77777777" w:rsidTr="007B7145">
        <w:trPr>
          <w:trHeight w:val="312"/>
        </w:trPr>
        <w:tc>
          <w:tcPr>
            <w:tcW w:w="2800" w:type="dxa"/>
            <w:shd w:val="clear" w:color="000000" w:fill="auto"/>
            <w:noWrap/>
            <w:vAlign w:val="bottom"/>
            <w:hideMark/>
          </w:tcPr>
          <w:p w14:paraId="26AFD7C7" w14:textId="49E41F15" w:rsidR="008A64D8" w:rsidRPr="00094FBD" w:rsidRDefault="008A64D8"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094FBD">
              <w:rPr>
                <w:rFonts w:ascii="Open Sans SemiBold" w:eastAsia="Times New Roman" w:hAnsi="Open Sans SemiBold" w:cs="Open Sans SemiBold"/>
                <w:sz w:val="16"/>
                <w:szCs w:val="16"/>
                <w:lang w:eastAsia="en-AU"/>
              </w:rPr>
              <w:t xml:space="preserve">State </w:t>
            </w:r>
            <w:r w:rsidR="009A2F6F">
              <w:rPr>
                <w:rFonts w:ascii="Open Sans SemiBold" w:eastAsia="Times New Roman" w:hAnsi="Open Sans SemiBold" w:cs="Open Sans SemiBold"/>
                <w:sz w:val="16"/>
                <w:szCs w:val="16"/>
                <w:lang w:eastAsia="en-AU"/>
              </w:rPr>
              <w:t>own</w:t>
            </w:r>
            <w:r w:rsidR="009A2F6F">
              <w:rPr>
                <w:rFonts w:ascii="Open Sans SemiBold" w:eastAsia="Times New Roman" w:hAnsi="Open Sans SemiBold" w:cs="Open Sans SemiBold"/>
                <w:sz w:val="16"/>
                <w:szCs w:val="16"/>
                <w:lang w:eastAsia="en-AU"/>
              </w:rPr>
              <w:noBreakHyphen/>
              <w:t>source</w:t>
            </w:r>
            <w:r w:rsidRPr="00094FBD">
              <w:rPr>
                <w:rFonts w:ascii="Open Sans SemiBold" w:eastAsia="Times New Roman" w:hAnsi="Open Sans SemiBold" w:cs="Open Sans SemiBold"/>
                <w:sz w:val="16"/>
                <w:szCs w:val="16"/>
                <w:lang w:eastAsia="en-AU"/>
              </w:rPr>
              <w:t xml:space="preserve"> revenue</w:t>
            </w:r>
          </w:p>
        </w:tc>
        <w:tc>
          <w:tcPr>
            <w:tcW w:w="1211" w:type="dxa"/>
            <w:shd w:val="clear" w:color="000000" w:fill="auto"/>
            <w:noWrap/>
            <w:vAlign w:val="bottom"/>
            <w:hideMark/>
          </w:tcPr>
          <w:p w14:paraId="42F5B4A0"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671F34F7"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1211" w:type="dxa"/>
            <w:shd w:val="clear" w:color="000000" w:fill="auto"/>
            <w:noWrap/>
            <w:vAlign w:val="bottom"/>
            <w:hideMark/>
          </w:tcPr>
          <w:p w14:paraId="333FD594"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32F14D2F"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1211" w:type="dxa"/>
            <w:shd w:val="clear" w:color="000000" w:fill="auto"/>
            <w:noWrap/>
            <w:vAlign w:val="bottom"/>
            <w:hideMark/>
          </w:tcPr>
          <w:p w14:paraId="6E2AC350"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7993B996"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r>
      <w:tr w:rsidR="008A64D8" w:rsidRPr="00094FBD" w14:paraId="4D05935A" w14:textId="77777777" w:rsidTr="00A87445">
        <w:trPr>
          <w:trHeight w:val="312"/>
        </w:trPr>
        <w:tc>
          <w:tcPr>
            <w:tcW w:w="2800" w:type="dxa"/>
            <w:shd w:val="clear" w:color="auto" w:fill="auto"/>
            <w:noWrap/>
            <w:vAlign w:val="bottom"/>
            <w:hideMark/>
          </w:tcPr>
          <w:p w14:paraId="47700922"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Payroll tax</w:t>
            </w:r>
          </w:p>
        </w:tc>
        <w:tc>
          <w:tcPr>
            <w:tcW w:w="1211" w:type="dxa"/>
            <w:shd w:val="clear" w:color="auto" w:fill="auto"/>
            <w:noWrap/>
            <w:vAlign w:val="bottom"/>
            <w:hideMark/>
          </w:tcPr>
          <w:p w14:paraId="301B4282"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23,059</w:t>
            </w:r>
          </w:p>
        </w:tc>
        <w:tc>
          <w:tcPr>
            <w:tcW w:w="909" w:type="dxa"/>
            <w:shd w:val="clear" w:color="auto" w:fill="auto"/>
            <w:noWrap/>
            <w:vAlign w:val="bottom"/>
            <w:hideMark/>
          </w:tcPr>
          <w:p w14:paraId="20D330F2"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946</w:t>
            </w:r>
          </w:p>
        </w:tc>
        <w:tc>
          <w:tcPr>
            <w:tcW w:w="1211" w:type="dxa"/>
            <w:shd w:val="clear" w:color="auto" w:fill="auto"/>
            <w:noWrap/>
            <w:vAlign w:val="bottom"/>
            <w:hideMark/>
          </w:tcPr>
          <w:p w14:paraId="610984D6"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24,282</w:t>
            </w:r>
          </w:p>
        </w:tc>
        <w:tc>
          <w:tcPr>
            <w:tcW w:w="909" w:type="dxa"/>
            <w:shd w:val="clear" w:color="auto" w:fill="auto"/>
            <w:noWrap/>
            <w:vAlign w:val="bottom"/>
            <w:hideMark/>
          </w:tcPr>
          <w:p w14:paraId="4539E62D"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980</w:t>
            </w:r>
          </w:p>
        </w:tc>
        <w:tc>
          <w:tcPr>
            <w:tcW w:w="1211" w:type="dxa"/>
            <w:shd w:val="clear" w:color="auto" w:fill="auto"/>
            <w:noWrap/>
            <w:vAlign w:val="bottom"/>
            <w:hideMark/>
          </w:tcPr>
          <w:p w14:paraId="59401D6B"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25,685</w:t>
            </w:r>
          </w:p>
        </w:tc>
        <w:tc>
          <w:tcPr>
            <w:tcW w:w="909" w:type="dxa"/>
            <w:shd w:val="clear" w:color="auto" w:fill="auto"/>
            <w:noWrap/>
            <w:vAlign w:val="bottom"/>
            <w:hideMark/>
          </w:tcPr>
          <w:p w14:paraId="0BB5803E"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1,021</w:t>
            </w:r>
          </w:p>
        </w:tc>
      </w:tr>
      <w:tr w:rsidR="008A64D8" w:rsidRPr="00094FBD" w14:paraId="6E40968B" w14:textId="77777777" w:rsidTr="00A87445">
        <w:trPr>
          <w:trHeight w:val="312"/>
        </w:trPr>
        <w:tc>
          <w:tcPr>
            <w:tcW w:w="2800" w:type="dxa"/>
            <w:shd w:val="clear" w:color="auto" w:fill="auto"/>
            <w:noWrap/>
            <w:vAlign w:val="bottom"/>
            <w:hideMark/>
          </w:tcPr>
          <w:p w14:paraId="69F2D2D0"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Land tax</w:t>
            </w:r>
          </w:p>
        </w:tc>
        <w:tc>
          <w:tcPr>
            <w:tcW w:w="1211" w:type="dxa"/>
            <w:shd w:val="clear" w:color="auto" w:fill="auto"/>
            <w:noWrap/>
            <w:vAlign w:val="bottom"/>
            <w:hideMark/>
          </w:tcPr>
          <w:p w14:paraId="238E5DB7"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8,195</w:t>
            </w:r>
          </w:p>
        </w:tc>
        <w:tc>
          <w:tcPr>
            <w:tcW w:w="909" w:type="dxa"/>
            <w:shd w:val="clear" w:color="auto" w:fill="auto"/>
            <w:noWrap/>
            <w:vAlign w:val="bottom"/>
            <w:hideMark/>
          </w:tcPr>
          <w:p w14:paraId="27ADFB64"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336</w:t>
            </w:r>
          </w:p>
        </w:tc>
        <w:tc>
          <w:tcPr>
            <w:tcW w:w="1211" w:type="dxa"/>
            <w:shd w:val="clear" w:color="auto" w:fill="auto"/>
            <w:noWrap/>
            <w:vAlign w:val="bottom"/>
            <w:hideMark/>
          </w:tcPr>
          <w:p w14:paraId="5891F0DC"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8,943</w:t>
            </w:r>
          </w:p>
        </w:tc>
        <w:tc>
          <w:tcPr>
            <w:tcW w:w="909" w:type="dxa"/>
            <w:shd w:val="clear" w:color="auto" w:fill="auto"/>
            <w:noWrap/>
            <w:vAlign w:val="bottom"/>
            <w:hideMark/>
          </w:tcPr>
          <w:p w14:paraId="71D21756"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361</w:t>
            </w:r>
          </w:p>
        </w:tc>
        <w:tc>
          <w:tcPr>
            <w:tcW w:w="1211" w:type="dxa"/>
            <w:shd w:val="clear" w:color="auto" w:fill="auto"/>
            <w:noWrap/>
            <w:vAlign w:val="bottom"/>
            <w:hideMark/>
          </w:tcPr>
          <w:p w14:paraId="23D64245"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10,507</w:t>
            </w:r>
          </w:p>
        </w:tc>
        <w:tc>
          <w:tcPr>
            <w:tcW w:w="909" w:type="dxa"/>
            <w:shd w:val="clear" w:color="auto" w:fill="auto"/>
            <w:noWrap/>
            <w:vAlign w:val="bottom"/>
            <w:hideMark/>
          </w:tcPr>
          <w:p w14:paraId="6DB906A3"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417</w:t>
            </w:r>
          </w:p>
        </w:tc>
      </w:tr>
      <w:tr w:rsidR="008A64D8" w:rsidRPr="00094FBD" w14:paraId="269F8BDC" w14:textId="77777777" w:rsidTr="00A87445">
        <w:trPr>
          <w:trHeight w:val="312"/>
        </w:trPr>
        <w:tc>
          <w:tcPr>
            <w:tcW w:w="2800" w:type="dxa"/>
            <w:shd w:val="clear" w:color="auto" w:fill="auto"/>
            <w:noWrap/>
            <w:vAlign w:val="bottom"/>
            <w:hideMark/>
          </w:tcPr>
          <w:p w14:paraId="3EDC5219"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Stamp duty on conveyances</w:t>
            </w:r>
          </w:p>
        </w:tc>
        <w:tc>
          <w:tcPr>
            <w:tcW w:w="1211" w:type="dxa"/>
            <w:shd w:val="clear" w:color="auto" w:fill="auto"/>
            <w:noWrap/>
            <w:vAlign w:val="bottom"/>
            <w:hideMark/>
          </w:tcPr>
          <w:p w14:paraId="25466FD0"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20,348</w:t>
            </w:r>
          </w:p>
        </w:tc>
        <w:tc>
          <w:tcPr>
            <w:tcW w:w="909" w:type="dxa"/>
            <w:shd w:val="clear" w:color="auto" w:fill="auto"/>
            <w:noWrap/>
            <w:vAlign w:val="bottom"/>
            <w:hideMark/>
          </w:tcPr>
          <w:p w14:paraId="1A3C332A"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834</w:t>
            </w:r>
          </w:p>
        </w:tc>
        <w:tc>
          <w:tcPr>
            <w:tcW w:w="1211" w:type="dxa"/>
            <w:shd w:val="clear" w:color="auto" w:fill="auto"/>
            <w:noWrap/>
            <w:vAlign w:val="bottom"/>
            <w:hideMark/>
          </w:tcPr>
          <w:p w14:paraId="1283995E"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21,162</w:t>
            </w:r>
          </w:p>
        </w:tc>
        <w:tc>
          <w:tcPr>
            <w:tcW w:w="909" w:type="dxa"/>
            <w:shd w:val="clear" w:color="auto" w:fill="auto"/>
            <w:noWrap/>
            <w:vAlign w:val="bottom"/>
            <w:hideMark/>
          </w:tcPr>
          <w:p w14:paraId="5D9F6D15"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854</w:t>
            </w:r>
          </w:p>
        </w:tc>
        <w:tc>
          <w:tcPr>
            <w:tcW w:w="1211" w:type="dxa"/>
            <w:shd w:val="clear" w:color="auto" w:fill="auto"/>
            <w:noWrap/>
            <w:vAlign w:val="bottom"/>
            <w:hideMark/>
          </w:tcPr>
          <w:p w14:paraId="4828B8D6"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17,943</w:t>
            </w:r>
          </w:p>
        </w:tc>
        <w:tc>
          <w:tcPr>
            <w:tcW w:w="909" w:type="dxa"/>
            <w:shd w:val="clear" w:color="auto" w:fill="auto"/>
            <w:noWrap/>
            <w:vAlign w:val="bottom"/>
            <w:hideMark/>
          </w:tcPr>
          <w:p w14:paraId="5D47CD65"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713</w:t>
            </w:r>
          </w:p>
        </w:tc>
      </w:tr>
      <w:tr w:rsidR="008A64D8" w:rsidRPr="00094FBD" w14:paraId="73ECCE94" w14:textId="77777777" w:rsidTr="00A87445">
        <w:trPr>
          <w:trHeight w:val="312"/>
        </w:trPr>
        <w:tc>
          <w:tcPr>
            <w:tcW w:w="2800" w:type="dxa"/>
            <w:shd w:val="clear" w:color="auto" w:fill="auto"/>
            <w:noWrap/>
            <w:vAlign w:val="bottom"/>
            <w:hideMark/>
          </w:tcPr>
          <w:p w14:paraId="51C54D8A"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Insurance tax</w:t>
            </w:r>
          </w:p>
        </w:tc>
        <w:tc>
          <w:tcPr>
            <w:tcW w:w="1211" w:type="dxa"/>
            <w:shd w:val="clear" w:color="auto" w:fill="auto"/>
            <w:noWrap/>
            <w:vAlign w:val="bottom"/>
            <w:hideMark/>
          </w:tcPr>
          <w:p w14:paraId="193C8013"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5,140</w:t>
            </w:r>
          </w:p>
        </w:tc>
        <w:tc>
          <w:tcPr>
            <w:tcW w:w="909" w:type="dxa"/>
            <w:shd w:val="clear" w:color="auto" w:fill="auto"/>
            <w:noWrap/>
            <w:vAlign w:val="bottom"/>
            <w:hideMark/>
          </w:tcPr>
          <w:p w14:paraId="410A23AE"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211</w:t>
            </w:r>
          </w:p>
        </w:tc>
        <w:tc>
          <w:tcPr>
            <w:tcW w:w="1211" w:type="dxa"/>
            <w:shd w:val="clear" w:color="auto" w:fill="auto"/>
            <w:noWrap/>
            <w:vAlign w:val="bottom"/>
            <w:hideMark/>
          </w:tcPr>
          <w:p w14:paraId="3D07AEB1"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5,243</w:t>
            </w:r>
          </w:p>
        </w:tc>
        <w:tc>
          <w:tcPr>
            <w:tcW w:w="909" w:type="dxa"/>
            <w:shd w:val="clear" w:color="auto" w:fill="auto"/>
            <w:noWrap/>
            <w:vAlign w:val="bottom"/>
            <w:hideMark/>
          </w:tcPr>
          <w:p w14:paraId="6AC58607"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212</w:t>
            </w:r>
          </w:p>
        </w:tc>
        <w:tc>
          <w:tcPr>
            <w:tcW w:w="1211" w:type="dxa"/>
            <w:shd w:val="clear" w:color="auto" w:fill="auto"/>
            <w:noWrap/>
            <w:vAlign w:val="bottom"/>
            <w:hideMark/>
          </w:tcPr>
          <w:p w14:paraId="36B3B08E"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5,571</w:t>
            </w:r>
          </w:p>
        </w:tc>
        <w:tc>
          <w:tcPr>
            <w:tcW w:w="909" w:type="dxa"/>
            <w:shd w:val="clear" w:color="auto" w:fill="auto"/>
            <w:noWrap/>
            <w:vAlign w:val="bottom"/>
            <w:hideMark/>
          </w:tcPr>
          <w:p w14:paraId="268914B9"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221</w:t>
            </w:r>
          </w:p>
        </w:tc>
      </w:tr>
      <w:tr w:rsidR="008A64D8" w:rsidRPr="00094FBD" w14:paraId="1FFBC42D" w14:textId="77777777" w:rsidTr="00A87445">
        <w:trPr>
          <w:trHeight w:val="312"/>
        </w:trPr>
        <w:tc>
          <w:tcPr>
            <w:tcW w:w="2800" w:type="dxa"/>
            <w:shd w:val="clear" w:color="auto" w:fill="auto"/>
            <w:noWrap/>
            <w:vAlign w:val="bottom"/>
            <w:hideMark/>
          </w:tcPr>
          <w:p w14:paraId="5EBDE7A5"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Motor taxes</w:t>
            </w:r>
          </w:p>
        </w:tc>
        <w:tc>
          <w:tcPr>
            <w:tcW w:w="1211" w:type="dxa"/>
            <w:shd w:val="clear" w:color="auto" w:fill="auto"/>
            <w:noWrap/>
            <w:vAlign w:val="bottom"/>
            <w:hideMark/>
          </w:tcPr>
          <w:p w14:paraId="366C83BA"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7,565</w:t>
            </w:r>
          </w:p>
        </w:tc>
        <w:tc>
          <w:tcPr>
            <w:tcW w:w="909" w:type="dxa"/>
            <w:shd w:val="clear" w:color="auto" w:fill="auto"/>
            <w:noWrap/>
            <w:vAlign w:val="bottom"/>
            <w:hideMark/>
          </w:tcPr>
          <w:p w14:paraId="7C0647CA"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310</w:t>
            </w:r>
          </w:p>
        </w:tc>
        <w:tc>
          <w:tcPr>
            <w:tcW w:w="1211" w:type="dxa"/>
            <w:shd w:val="clear" w:color="auto" w:fill="auto"/>
            <w:noWrap/>
            <w:vAlign w:val="bottom"/>
            <w:hideMark/>
          </w:tcPr>
          <w:p w14:paraId="17FD0CB1"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7,910</w:t>
            </w:r>
          </w:p>
        </w:tc>
        <w:tc>
          <w:tcPr>
            <w:tcW w:w="909" w:type="dxa"/>
            <w:shd w:val="clear" w:color="auto" w:fill="auto"/>
            <w:noWrap/>
            <w:vAlign w:val="bottom"/>
            <w:hideMark/>
          </w:tcPr>
          <w:p w14:paraId="61DCA2F6"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319</w:t>
            </w:r>
          </w:p>
        </w:tc>
        <w:tc>
          <w:tcPr>
            <w:tcW w:w="1211" w:type="dxa"/>
            <w:shd w:val="clear" w:color="auto" w:fill="auto"/>
            <w:noWrap/>
            <w:vAlign w:val="bottom"/>
            <w:hideMark/>
          </w:tcPr>
          <w:p w14:paraId="6864AE34"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8,046</w:t>
            </w:r>
          </w:p>
        </w:tc>
        <w:tc>
          <w:tcPr>
            <w:tcW w:w="909" w:type="dxa"/>
            <w:shd w:val="clear" w:color="auto" w:fill="auto"/>
            <w:noWrap/>
            <w:vAlign w:val="bottom"/>
            <w:hideMark/>
          </w:tcPr>
          <w:p w14:paraId="797BDDE0"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320</w:t>
            </w:r>
          </w:p>
        </w:tc>
      </w:tr>
      <w:tr w:rsidR="008A64D8" w:rsidRPr="00094FBD" w14:paraId="00CFCCF5" w14:textId="77777777" w:rsidTr="00A87445">
        <w:trPr>
          <w:trHeight w:val="312"/>
        </w:trPr>
        <w:tc>
          <w:tcPr>
            <w:tcW w:w="2800" w:type="dxa"/>
            <w:shd w:val="clear" w:color="auto" w:fill="auto"/>
            <w:noWrap/>
            <w:vAlign w:val="bottom"/>
            <w:hideMark/>
          </w:tcPr>
          <w:p w14:paraId="18A1B81C"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Mining revenue</w:t>
            </w:r>
          </w:p>
        </w:tc>
        <w:tc>
          <w:tcPr>
            <w:tcW w:w="1211" w:type="dxa"/>
            <w:shd w:val="clear" w:color="auto" w:fill="auto"/>
            <w:noWrap/>
            <w:vAlign w:val="bottom"/>
            <w:hideMark/>
          </w:tcPr>
          <w:p w14:paraId="0F20C1C6"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11,900</w:t>
            </w:r>
          </w:p>
        </w:tc>
        <w:tc>
          <w:tcPr>
            <w:tcW w:w="909" w:type="dxa"/>
            <w:shd w:val="clear" w:color="auto" w:fill="auto"/>
            <w:noWrap/>
            <w:vAlign w:val="bottom"/>
            <w:hideMark/>
          </w:tcPr>
          <w:p w14:paraId="76B673DC"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488</w:t>
            </w:r>
          </w:p>
        </w:tc>
        <w:tc>
          <w:tcPr>
            <w:tcW w:w="1211" w:type="dxa"/>
            <w:shd w:val="clear" w:color="auto" w:fill="auto"/>
            <w:noWrap/>
            <w:vAlign w:val="bottom"/>
            <w:hideMark/>
          </w:tcPr>
          <w:p w14:paraId="5087C232"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12,705</w:t>
            </w:r>
          </w:p>
        </w:tc>
        <w:tc>
          <w:tcPr>
            <w:tcW w:w="909" w:type="dxa"/>
            <w:shd w:val="clear" w:color="auto" w:fill="auto"/>
            <w:noWrap/>
            <w:vAlign w:val="bottom"/>
            <w:hideMark/>
          </w:tcPr>
          <w:p w14:paraId="0331DB00"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513</w:t>
            </w:r>
          </w:p>
        </w:tc>
        <w:tc>
          <w:tcPr>
            <w:tcW w:w="1211" w:type="dxa"/>
            <w:shd w:val="clear" w:color="auto" w:fill="auto"/>
            <w:noWrap/>
            <w:vAlign w:val="bottom"/>
            <w:hideMark/>
          </w:tcPr>
          <w:p w14:paraId="2AAB3285"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15,506</w:t>
            </w:r>
          </w:p>
        </w:tc>
        <w:tc>
          <w:tcPr>
            <w:tcW w:w="909" w:type="dxa"/>
            <w:shd w:val="clear" w:color="auto" w:fill="auto"/>
            <w:noWrap/>
            <w:vAlign w:val="bottom"/>
            <w:hideMark/>
          </w:tcPr>
          <w:p w14:paraId="04BDCF8B"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616</w:t>
            </w:r>
          </w:p>
        </w:tc>
      </w:tr>
      <w:tr w:rsidR="008A64D8" w:rsidRPr="00094FBD" w14:paraId="38A8DB9F" w14:textId="77777777" w:rsidTr="007B7145">
        <w:trPr>
          <w:trHeight w:val="312"/>
        </w:trPr>
        <w:tc>
          <w:tcPr>
            <w:tcW w:w="2800" w:type="dxa"/>
            <w:tcBorders>
              <w:bottom w:val="single" w:sz="4" w:space="0" w:color="ADD6EA"/>
            </w:tcBorders>
            <w:shd w:val="clear" w:color="auto" w:fill="auto"/>
            <w:noWrap/>
            <w:vAlign w:val="bottom"/>
            <w:hideMark/>
          </w:tcPr>
          <w:p w14:paraId="3EF69517"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Other revenue</w:t>
            </w:r>
          </w:p>
        </w:tc>
        <w:tc>
          <w:tcPr>
            <w:tcW w:w="1211" w:type="dxa"/>
            <w:tcBorders>
              <w:bottom w:val="single" w:sz="4" w:space="0" w:color="ADD6EA"/>
            </w:tcBorders>
            <w:shd w:val="clear" w:color="auto" w:fill="auto"/>
            <w:noWrap/>
            <w:vAlign w:val="bottom"/>
            <w:hideMark/>
          </w:tcPr>
          <w:p w14:paraId="14C27524"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43,703</w:t>
            </w:r>
          </w:p>
        </w:tc>
        <w:tc>
          <w:tcPr>
            <w:tcW w:w="909" w:type="dxa"/>
            <w:tcBorders>
              <w:bottom w:val="single" w:sz="4" w:space="0" w:color="ADD6EA"/>
            </w:tcBorders>
            <w:shd w:val="clear" w:color="auto" w:fill="auto"/>
            <w:noWrap/>
            <w:vAlign w:val="bottom"/>
            <w:hideMark/>
          </w:tcPr>
          <w:p w14:paraId="0314A698"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1,792</w:t>
            </w:r>
          </w:p>
        </w:tc>
        <w:tc>
          <w:tcPr>
            <w:tcW w:w="1211" w:type="dxa"/>
            <w:tcBorders>
              <w:bottom w:val="single" w:sz="4" w:space="0" w:color="ADD6EA"/>
            </w:tcBorders>
            <w:shd w:val="clear" w:color="auto" w:fill="auto"/>
            <w:noWrap/>
            <w:vAlign w:val="bottom"/>
            <w:hideMark/>
          </w:tcPr>
          <w:p w14:paraId="4A47D7C1"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45,841</w:t>
            </w:r>
          </w:p>
        </w:tc>
        <w:tc>
          <w:tcPr>
            <w:tcW w:w="909" w:type="dxa"/>
            <w:tcBorders>
              <w:bottom w:val="single" w:sz="4" w:space="0" w:color="ADD6EA"/>
            </w:tcBorders>
            <w:shd w:val="clear" w:color="auto" w:fill="auto"/>
            <w:noWrap/>
            <w:vAlign w:val="bottom"/>
            <w:hideMark/>
          </w:tcPr>
          <w:p w14:paraId="412CEC58"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1,851</w:t>
            </w:r>
          </w:p>
        </w:tc>
        <w:tc>
          <w:tcPr>
            <w:tcW w:w="1211" w:type="dxa"/>
            <w:tcBorders>
              <w:bottom w:val="single" w:sz="4" w:space="0" w:color="ADD6EA"/>
            </w:tcBorders>
            <w:shd w:val="clear" w:color="auto" w:fill="auto"/>
            <w:noWrap/>
            <w:vAlign w:val="bottom"/>
            <w:hideMark/>
          </w:tcPr>
          <w:p w14:paraId="7373C5A8"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49,949</w:t>
            </w:r>
          </w:p>
        </w:tc>
        <w:tc>
          <w:tcPr>
            <w:tcW w:w="909" w:type="dxa"/>
            <w:tcBorders>
              <w:bottom w:val="single" w:sz="4" w:space="0" w:color="ADD6EA"/>
            </w:tcBorders>
            <w:shd w:val="clear" w:color="auto" w:fill="auto"/>
            <w:noWrap/>
            <w:vAlign w:val="bottom"/>
            <w:hideMark/>
          </w:tcPr>
          <w:p w14:paraId="3B72A821"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1,985</w:t>
            </w:r>
          </w:p>
        </w:tc>
      </w:tr>
      <w:tr w:rsidR="008A64D8" w:rsidRPr="00094FBD" w14:paraId="396437BA" w14:textId="77777777" w:rsidTr="007B7145">
        <w:trPr>
          <w:trHeight w:val="312"/>
        </w:trPr>
        <w:tc>
          <w:tcPr>
            <w:tcW w:w="2800" w:type="dxa"/>
            <w:shd w:val="clear" w:color="000000" w:fill="auto"/>
            <w:noWrap/>
            <w:vAlign w:val="bottom"/>
            <w:hideMark/>
          </w:tcPr>
          <w:p w14:paraId="40FE303D"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094FBD">
              <w:rPr>
                <w:rFonts w:ascii="Open Sans SemiBold" w:eastAsia="Times New Roman" w:hAnsi="Open Sans SemiBold" w:cs="Open Sans SemiBold"/>
                <w:sz w:val="16"/>
                <w:szCs w:val="16"/>
                <w:lang w:eastAsia="en-AU"/>
              </w:rPr>
              <w:t>Operating expenses (a)</w:t>
            </w:r>
          </w:p>
        </w:tc>
        <w:tc>
          <w:tcPr>
            <w:tcW w:w="1211" w:type="dxa"/>
            <w:shd w:val="clear" w:color="000000" w:fill="auto"/>
            <w:noWrap/>
            <w:vAlign w:val="bottom"/>
            <w:hideMark/>
          </w:tcPr>
          <w:p w14:paraId="728D66F4"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35B393D4"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1211" w:type="dxa"/>
            <w:shd w:val="clear" w:color="000000" w:fill="auto"/>
            <w:noWrap/>
            <w:vAlign w:val="bottom"/>
            <w:hideMark/>
          </w:tcPr>
          <w:p w14:paraId="453B0927"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04DAEE8B"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1211" w:type="dxa"/>
            <w:shd w:val="clear" w:color="000000" w:fill="auto"/>
            <w:noWrap/>
            <w:vAlign w:val="bottom"/>
            <w:hideMark/>
          </w:tcPr>
          <w:p w14:paraId="5DFE0803"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758639CC"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r>
      <w:tr w:rsidR="008A64D8" w:rsidRPr="00094FBD" w14:paraId="1CAC14B7" w14:textId="77777777" w:rsidTr="00A87445">
        <w:trPr>
          <w:trHeight w:val="312"/>
        </w:trPr>
        <w:tc>
          <w:tcPr>
            <w:tcW w:w="2800" w:type="dxa"/>
            <w:shd w:val="clear" w:color="auto" w:fill="auto"/>
            <w:noWrap/>
            <w:vAlign w:val="bottom"/>
            <w:hideMark/>
          </w:tcPr>
          <w:p w14:paraId="54BAB4B5"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Schools (b)</w:t>
            </w:r>
          </w:p>
        </w:tc>
        <w:tc>
          <w:tcPr>
            <w:tcW w:w="1211" w:type="dxa"/>
            <w:shd w:val="clear" w:color="auto" w:fill="auto"/>
            <w:noWrap/>
            <w:vAlign w:val="bottom"/>
            <w:hideMark/>
          </w:tcPr>
          <w:p w14:paraId="19B3714D"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38,155</w:t>
            </w:r>
          </w:p>
        </w:tc>
        <w:tc>
          <w:tcPr>
            <w:tcW w:w="909" w:type="dxa"/>
            <w:shd w:val="clear" w:color="auto" w:fill="auto"/>
            <w:noWrap/>
            <w:vAlign w:val="bottom"/>
            <w:hideMark/>
          </w:tcPr>
          <w:p w14:paraId="140E5FE2"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1,565</w:t>
            </w:r>
          </w:p>
        </w:tc>
        <w:tc>
          <w:tcPr>
            <w:tcW w:w="1211" w:type="dxa"/>
            <w:shd w:val="clear" w:color="auto" w:fill="auto"/>
            <w:noWrap/>
            <w:vAlign w:val="bottom"/>
            <w:hideMark/>
          </w:tcPr>
          <w:p w14:paraId="06810A77"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40,233</w:t>
            </w:r>
          </w:p>
        </w:tc>
        <w:tc>
          <w:tcPr>
            <w:tcW w:w="909" w:type="dxa"/>
            <w:shd w:val="clear" w:color="auto" w:fill="auto"/>
            <w:noWrap/>
            <w:vAlign w:val="bottom"/>
            <w:hideMark/>
          </w:tcPr>
          <w:p w14:paraId="1F7B34E6"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1,624</w:t>
            </w:r>
          </w:p>
        </w:tc>
        <w:tc>
          <w:tcPr>
            <w:tcW w:w="1211" w:type="dxa"/>
            <w:shd w:val="clear" w:color="auto" w:fill="auto"/>
            <w:noWrap/>
            <w:vAlign w:val="bottom"/>
            <w:hideMark/>
          </w:tcPr>
          <w:p w14:paraId="54A921D6"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43,139</w:t>
            </w:r>
          </w:p>
        </w:tc>
        <w:tc>
          <w:tcPr>
            <w:tcW w:w="909" w:type="dxa"/>
            <w:shd w:val="clear" w:color="auto" w:fill="auto"/>
            <w:noWrap/>
            <w:vAlign w:val="bottom"/>
            <w:hideMark/>
          </w:tcPr>
          <w:p w14:paraId="7783F71D"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1,714</w:t>
            </w:r>
          </w:p>
        </w:tc>
      </w:tr>
      <w:tr w:rsidR="008A64D8" w:rsidRPr="00094FBD" w14:paraId="235751A9" w14:textId="77777777" w:rsidTr="00A87445">
        <w:trPr>
          <w:trHeight w:val="312"/>
        </w:trPr>
        <w:tc>
          <w:tcPr>
            <w:tcW w:w="2800" w:type="dxa"/>
            <w:shd w:val="clear" w:color="auto" w:fill="auto"/>
            <w:noWrap/>
            <w:vAlign w:val="bottom"/>
            <w:hideMark/>
          </w:tcPr>
          <w:p w14:paraId="10A369A7"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Post-secondary education (b)</w:t>
            </w:r>
          </w:p>
        </w:tc>
        <w:tc>
          <w:tcPr>
            <w:tcW w:w="1211" w:type="dxa"/>
            <w:shd w:val="clear" w:color="auto" w:fill="auto"/>
            <w:noWrap/>
            <w:vAlign w:val="bottom"/>
            <w:hideMark/>
          </w:tcPr>
          <w:p w14:paraId="6818F5D8"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5,467</w:t>
            </w:r>
          </w:p>
        </w:tc>
        <w:tc>
          <w:tcPr>
            <w:tcW w:w="909" w:type="dxa"/>
            <w:shd w:val="clear" w:color="auto" w:fill="auto"/>
            <w:noWrap/>
            <w:vAlign w:val="bottom"/>
            <w:hideMark/>
          </w:tcPr>
          <w:p w14:paraId="209C58EE"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224</w:t>
            </w:r>
          </w:p>
        </w:tc>
        <w:tc>
          <w:tcPr>
            <w:tcW w:w="1211" w:type="dxa"/>
            <w:shd w:val="clear" w:color="auto" w:fill="auto"/>
            <w:noWrap/>
            <w:vAlign w:val="bottom"/>
            <w:hideMark/>
          </w:tcPr>
          <w:p w14:paraId="290C66CC"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5,535</w:t>
            </w:r>
          </w:p>
        </w:tc>
        <w:tc>
          <w:tcPr>
            <w:tcW w:w="909" w:type="dxa"/>
            <w:shd w:val="clear" w:color="auto" w:fill="auto"/>
            <w:noWrap/>
            <w:vAlign w:val="bottom"/>
            <w:hideMark/>
          </w:tcPr>
          <w:p w14:paraId="5BD06CC2"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223</w:t>
            </w:r>
          </w:p>
        </w:tc>
        <w:tc>
          <w:tcPr>
            <w:tcW w:w="1211" w:type="dxa"/>
            <w:shd w:val="clear" w:color="auto" w:fill="auto"/>
            <w:noWrap/>
            <w:vAlign w:val="bottom"/>
            <w:hideMark/>
          </w:tcPr>
          <w:p w14:paraId="65E947B5"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5,861</w:t>
            </w:r>
          </w:p>
        </w:tc>
        <w:tc>
          <w:tcPr>
            <w:tcW w:w="909" w:type="dxa"/>
            <w:shd w:val="clear" w:color="auto" w:fill="auto"/>
            <w:noWrap/>
            <w:vAlign w:val="bottom"/>
            <w:hideMark/>
          </w:tcPr>
          <w:p w14:paraId="4170E6E9"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233</w:t>
            </w:r>
          </w:p>
        </w:tc>
      </w:tr>
      <w:tr w:rsidR="008A64D8" w:rsidRPr="00094FBD" w14:paraId="7C65A0E4" w14:textId="77777777" w:rsidTr="00A87445">
        <w:trPr>
          <w:trHeight w:val="312"/>
        </w:trPr>
        <w:tc>
          <w:tcPr>
            <w:tcW w:w="2800" w:type="dxa"/>
            <w:shd w:val="clear" w:color="auto" w:fill="auto"/>
            <w:noWrap/>
            <w:vAlign w:val="bottom"/>
            <w:hideMark/>
          </w:tcPr>
          <w:p w14:paraId="67E49224"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Health (b)</w:t>
            </w:r>
          </w:p>
        </w:tc>
        <w:tc>
          <w:tcPr>
            <w:tcW w:w="1211" w:type="dxa"/>
            <w:shd w:val="clear" w:color="auto" w:fill="auto"/>
            <w:noWrap/>
            <w:vAlign w:val="bottom"/>
            <w:hideMark/>
          </w:tcPr>
          <w:p w14:paraId="46C74F70"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60,240</w:t>
            </w:r>
          </w:p>
        </w:tc>
        <w:tc>
          <w:tcPr>
            <w:tcW w:w="909" w:type="dxa"/>
            <w:shd w:val="clear" w:color="auto" w:fill="auto"/>
            <w:noWrap/>
            <w:vAlign w:val="bottom"/>
            <w:hideMark/>
          </w:tcPr>
          <w:p w14:paraId="673F45CA"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2,470</w:t>
            </w:r>
          </w:p>
        </w:tc>
        <w:tc>
          <w:tcPr>
            <w:tcW w:w="1211" w:type="dxa"/>
            <w:shd w:val="clear" w:color="auto" w:fill="auto"/>
            <w:noWrap/>
            <w:vAlign w:val="bottom"/>
            <w:hideMark/>
          </w:tcPr>
          <w:p w14:paraId="016548E1"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64,249</w:t>
            </w:r>
          </w:p>
        </w:tc>
        <w:tc>
          <w:tcPr>
            <w:tcW w:w="909" w:type="dxa"/>
            <w:shd w:val="clear" w:color="auto" w:fill="auto"/>
            <w:noWrap/>
            <w:vAlign w:val="bottom"/>
            <w:hideMark/>
          </w:tcPr>
          <w:p w14:paraId="25A981D5"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2,594</w:t>
            </w:r>
          </w:p>
        </w:tc>
        <w:tc>
          <w:tcPr>
            <w:tcW w:w="1211" w:type="dxa"/>
            <w:shd w:val="clear" w:color="auto" w:fill="auto"/>
            <w:noWrap/>
            <w:vAlign w:val="bottom"/>
            <w:hideMark/>
          </w:tcPr>
          <w:p w14:paraId="72E694A8"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68,398</w:t>
            </w:r>
          </w:p>
        </w:tc>
        <w:tc>
          <w:tcPr>
            <w:tcW w:w="909" w:type="dxa"/>
            <w:shd w:val="clear" w:color="auto" w:fill="auto"/>
            <w:noWrap/>
            <w:vAlign w:val="bottom"/>
            <w:hideMark/>
          </w:tcPr>
          <w:p w14:paraId="12E1D2EE"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2,718</w:t>
            </w:r>
          </w:p>
        </w:tc>
      </w:tr>
      <w:tr w:rsidR="008A64D8" w:rsidRPr="00094FBD" w14:paraId="6FFF815D" w14:textId="77777777" w:rsidTr="00A87445">
        <w:trPr>
          <w:trHeight w:val="312"/>
        </w:trPr>
        <w:tc>
          <w:tcPr>
            <w:tcW w:w="2800" w:type="dxa"/>
            <w:shd w:val="clear" w:color="auto" w:fill="auto"/>
            <w:noWrap/>
            <w:vAlign w:val="bottom"/>
            <w:hideMark/>
          </w:tcPr>
          <w:p w14:paraId="61DA4004"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Housing (b)</w:t>
            </w:r>
          </w:p>
        </w:tc>
        <w:tc>
          <w:tcPr>
            <w:tcW w:w="1211" w:type="dxa"/>
            <w:shd w:val="clear" w:color="auto" w:fill="auto"/>
            <w:noWrap/>
            <w:vAlign w:val="bottom"/>
            <w:hideMark/>
          </w:tcPr>
          <w:p w14:paraId="0CD6B698"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2,890</w:t>
            </w:r>
          </w:p>
        </w:tc>
        <w:tc>
          <w:tcPr>
            <w:tcW w:w="909" w:type="dxa"/>
            <w:shd w:val="clear" w:color="auto" w:fill="auto"/>
            <w:noWrap/>
            <w:vAlign w:val="bottom"/>
            <w:hideMark/>
          </w:tcPr>
          <w:p w14:paraId="2427903B"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119</w:t>
            </w:r>
          </w:p>
        </w:tc>
        <w:tc>
          <w:tcPr>
            <w:tcW w:w="1211" w:type="dxa"/>
            <w:shd w:val="clear" w:color="auto" w:fill="auto"/>
            <w:noWrap/>
            <w:vAlign w:val="bottom"/>
            <w:hideMark/>
          </w:tcPr>
          <w:p w14:paraId="1CD4E4F4"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2,803</w:t>
            </w:r>
          </w:p>
        </w:tc>
        <w:tc>
          <w:tcPr>
            <w:tcW w:w="909" w:type="dxa"/>
            <w:shd w:val="clear" w:color="auto" w:fill="auto"/>
            <w:noWrap/>
            <w:vAlign w:val="bottom"/>
            <w:hideMark/>
          </w:tcPr>
          <w:p w14:paraId="2E601CFD"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113</w:t>
            </w:r>
          </w:p>
        </w:tc>
        <w:tc>
          <w:tcPr>
            <w:tcW w:w="1211" w:type="dxa"/>
            <w:shd w:val="clear" w:color="auto" w:fill="auto"/>
            <w:noWrap/>
            <w:vAlign w:val="bottom"/>
            <w:hideMark/>
          </w:tcPr>
          <w:p w14:paraId="3844E02A"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3,260</w:t>
            </w:r>
          </w:p>
        </w:tc>
        <w:tc>
          <w:tcPr>
            <w:tcW w:w="909" w:type="dxa"/>
            <w:shd w:val="clear" w:color="auto" w:fill="auto"/>
            <w:noWrap/>
            <w:vAlign w:val="bottom"/>
            <w:hideMark/>
          </w:tcPr>
          <w:p w14:paraId="45588552"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130</w:t>
            </w:r>
          </w:p>
        </w:tc>
      </w:tr>
      <w:tr w:rsidR="008A64D8" w:rsidRPr="00094FBD" w14:paraId="2410DF84" w14:textId="77777777" w:rsidTr="00A87445">
        <w:trPr>
          <w:trHeight w:val="312"/>
        </w:trPr>
        <w:tc>
          <w:tcPr>
            <w:tcW w:w="2800" w:type="dxa"/>
            <w:shd w:val="clear" w:color="auto" w:fill="auto"/>
            <w:noWrap/>
            <w:vAlign w:val="bottom"/>
            <w:hideMark/>
          </w:tcPr>
          <w:p w14:paraId="3812C02D"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Welfare</w:t>
            </w:r>
          </w:p>
        </w:tc>
        <w:tc>
          <w:tcPr>
            <w:tcW w:w="1211" w:type="dxa"/>
            <w:shd w:val="clear" w:color="auto" w:fill="auto"/>
            <w:noWrap/>
            <w:vAlign w:val="bottom"/>
            <w:hideMark/>
          </w:tcPr>
          <w:p w14:paraId="42634DB2"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18,170</w:t>
            </w:r>
          </w:p>
        </w:tc>
        <w:tc>
          <w:tcPr>
            <w:tcW w:w="909" w:type="dxa"/>
            <w:shd w:val="clear" w:color="auto" w:fill="auto"/>
            <w:noWrap/>
            <w:vAlign w:val="bottom"/>
            <w:hideMark/>
          </w:tcPr>
          <w:p w14:paraId="76A88D36"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745</w:t>
            </w:r>
          </w:p>
        </w:tc>
        <w:tc>
          <w:tcPr>
            <w:tcW w:w="1211" w:type="dxa"/>
            <w:shd w:val="clear" w:color="auto" w:fill="auto"/>
            <w:noWrap/>
            <w:vAlign w:val="bottom"/>
            <w:hideMark/>
          </w:tcPr>
          <w:p w14:paraId="3B3E51DE"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19,940</w:t>
            </w:r>
          </w:p>
        </w:tc>
        <w:tc>
          <w:tcPr>
            <w:tcW w:w="909" w:type="dxa"/>
            <w:shd w:val="clear" w:color="auto" w:fill="auto"/>
            <w:noWrap/>
            <w:vAlign w:val="bottom"/>
            <w:hideMark/>
          </w:tcPr>
          <w:p w14:paraId="60D79839"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805</w:t>
            </w:r>
          </w:p>
        </w:tc>
        <w:tc>
          <w:tcPr>
            <w:tcW w:w="1211" w:type="dxa"/>
            <w:shd w:val="clear" w:color="auto" w:fill="auto"/>
            <w:noWrap/>
            <w:vAlign w:val="bottom"/>
            <w:hideMark/>
          </w:tcPr>
          <w:p w14:paraId="49F7B619"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19,533</w:t>
            </w:r>
          </w:p>
        </w:tc>
        <w:tc>
          <w:tcPr>
            <w:tcW w:w="909" w:type="dxa"/>
            <w:shd w:val="clear" w:color="auto" w:fill="auto"/>
            <w:noWrap/>
            <w:vAlign w:val="bottom"/>
            <w:hideMark/>
          </w:tcPr>
          <w:p w14:paraId="3F11AC6E"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776</w:t>
            </w:r>
          </w:p>
        </w:tc>
      </w:tr>
      <w:tr w:rsidR="008A64D8" w:rsidRPr="00094FBD" w14:paraId="5E7EB581" w14:textId="77777777" w:rsidTr="00A87445">
        <w:trPr>
          <w:trHeight w:val="312"/>
        </w:trPr>
        <w:tc>
          <w:tcPr>
            <w:tcW w:w="2800" w:type="dxa"/>
            <w:shd w:val="clear" w:color="auto" w:fill="auto"/>
            <w:noWrap/>
            <w:vAlign w:val="bottom"/>
            <w:hideMark/>
          </w:tcPr>
          <w:p w14:paraId="365B7F7B"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Services to communities</w:t>
            </w:r>
          </w:p>
        </w:tc>
        <w:tc>
          <w:tcPr>
            <w:tcW w:w="1211" w:type="dxa"/>
            <w:shd w:val="clear" w:color="auto" w:fill="auto"/>
            <w:noWrap/>
            <w:vAlign w:val="bottom"/>
            <w:hideMark/>
          </w:tcPr>
          <w:p w14:paraId="6F3651D2"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7,747</w:t>
            </w:r>
          </w:p>
        </w:tc>
        <w:tc>
          <w:tcPr>
            <w:tcW w:w="909" w:type="dxa"/>
            <w:shd w:val="clear" w:color="auto" w:fill="auto"/>
            <w:noWrap/>
            <w:vAlign w:val="bottom"/>
            <w:hideMark/>
          </w:tcPr>
          <w:p w14:paraId="11EDD1B7"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318</w:t>
            </w:r>
          </w:p>
        </w:tc>
        <w:tc>
          <w:tcPr>
            <w:tcW w:w="1211" w:type="dxa"/>
            <w:shd w:val="clear" w:color="auto" w:fill="auto"/>
            <w:noWrap/>
            <w:vAlign w:val="bottom"/>
            <w:hideMark/>
          </w:tcPr>
          <w:p w14:paraId="6B9306A9"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8,461</w:t>
            </w:r>
          </w:p>
        </w:tc>
        <w:tc>
          <w:tcPr>
            <w:tcW w:w="909" w:type="dxa"/>
            <w:shd w:val="clear" w:color="auto" w:fill="auto"/>
            <w:noWrap/>
            <w:vAlign w:val="bottom"/>
            <w:hideMark/>
          </w:tcPr>
          <w:p w14:paraId="02736F8B"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342</w:t>
            </w:r>
          </w:p>
        </w:tc>
        <w:tc>
          <w:tcPr>
            <w:tcW w:w="1211" w:type="dxa"/>
            <w:shd w:val="clear" w:color="auto" w:fill="auto"/>
            <w:noWrap/>
            <w:vAlign w:val="bottom"/>
            <w:hideMark/>
          </w:tcPr>
          <w:p w14:paraId="218ADB93"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8,847</w:t>
            </w:r>
          </w:p>
        </w:tc>
        <w:tc>
          <w:tcPr>
            <w:tcW w:w="909" w:type="dxa"/>
            <w:shd w:val="clear" w:color="auto" w:fill="auto"/>
            <w:noWrap/>
            <w:vAlign w:val="bottom"/>
            <w:hideMark/>
          </w:tcPr>
          <w:p w14:paraId="67165318"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352</w:t>
            </w:r>
          </w:p>
        </w:tc>
      </w:tr>
      <w:tr w:rsidR="008A64D8" w:rsidRPr="00094FBD" w14:paraId="605191B0" w14:textId="77777777" w:rsidTr="00A87445">
        <w:trPr>
          <w:trHeight w:val="312"/>
        </w:trPr>
        <w:tc>
          <w:tcPr>
            <w:tcW w:w="2800" w:type="dxa"/>
            <w:shd w:val="clear" w:color="auto" w:fill="auto"/>
            <w:noWrap/>
            <w:vAlign w:val="bottom"/>
            <w:hideMark/>
          </w:tcPr>
          <w:p w14:paraId="3E060462"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Justice</w:t>
            </w:r>
          </w:p>
        </w:tc>
        <w:tc>
          <w:tcPr>
            <w:tcW w:w="1211" w:type="dxa"/>
            <w:shd w:val="clear" w:color="auto" w:fill="auto"/>
            <w:noWrap/>
            <w:vAlign w:val="bottom"/>
            <w:hideMark/>
          </w:tcPr>
          <w:p w14:paraId="07E2FA5F"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19,146</w:t>
            </w:r>
          </w:p>
        </w:tc>
        <w:tc>
          <w:tcPr>
            <w:tcW w:w="909" w:type="dxa"/>
            <w:shd w:val="clear" w:color="auto" w:fill="auto"/>
            <w:noWrap/>
            <w:vAlign w:val="bottom"/>
            <w:hideMark/>
          </w:tcPr>
          <w:p w14:paraId="29ABCF07"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785</w:t>
            </w:r>
          </w:p>
        </w:tc>
        <w:tc>
          <w:tcPr>
            <w:tcW w:w="1211" w:type="dxa"/>
            <w:shd w:val="clear" w:color="auto" w:fill="auto"/>
            <w:noWrap/>
            <w:vAlign w:val="bottom"/>
            <w:hideMark/>
          </w:tcPr>
          <w:p w14:paraId="3F320214"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20,419</w:t>
            </w:r>
          </w:p>
        </w:tc>
        <w:tc>
          <w:tcPr>
            <w:tcW w:w="909" w:type="dxa"/>
            <w:shd w:val="clear" w:color="auto" w:fill="auto"/>
            <w:noWrap/>
            <w:vAlign w:val="bottom"/>
            <w:hideMark/>
          </w:tcPr>
          <w:p w14:paraId="7C869E7E"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824</w:t>
            </w:r>
          </w:p>
        </w:tc>
        <w:tc>
          <w:tcPr>
            <w:tcW w:w="1211" w:type="dxa"/>
            <w:shd w:val="clear" w:color="auto" w:fill="auto"/>
            <w:noWrap/>
            <w:vAlign w:val="bottom"/>
            <w:hideMark/>
          </w:tcPr>
          <w:p w14:paraId="537B30D2"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22,087</w:t>
            </w:r>
          </w:p>
        </w:tc>
        <w:tc>
          <w:tcPr>
            <w:tcW w:w="909" w:type="dxa"/>
            <w:shd w:val="clear" w:color="auto" w:fill="auto"/>
            <w:noWrap/>
            <w:vAlign w:val="bottom"/>
            <w:hideMark/>
          </w:tcPr>
          <w:p w14:paraId="380CDB9B"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878</w:t>
            </w:r>
          </w:p>
        </w:tc>
      </w:tr>
      <w:tr w:rsidR="008A64D8" w:rsidRPr="00094FBD" w14:paraId="08B34882" w14:textId="77777777" w:rsidTr="00A87445">
        <w:trPr>
          <w:trHeight w:val="312"/>
        </w:trPr>
        <w:tc>
          <w:tcPr>
            <w:tcW w:w="2800" w:type="dxa"/>
            <w:shd w:val="clear" w:color="auto" w:fill="auto"/>
            <w:noWrap/>
            <w:vAlign w:val="bottom"/>
            <w:hideMark/>
          </w:tcPr>
          <w:p w14:paraId="344EF89C"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Roads</w:t>
            </w:r>
          </w:p>
        </w:tc>
        <w:tc>
          <w:tcPr>
            <w:tcW w:w="1211" w:type="dxa"/>
            <w:shd w:val="clear" w:color="auto" w:fill="auto"/>
            <w:noWrap/>
            <w:vAlign w:val="bottom"/>
            <w:hideMark/>
          </w:tcPr>
          <w:p w14:paraId="54A4532F"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6,847</w:t>
            </w:r>
          </w:p>
        </w:tc>
        <w:tc>
          <w:tcPr>
            <w:tcW w:w="909" w:type="dxa"/>
            <w:shd w:val="clear" w:color="auto" w:fill="auto"/>
            <w:noWrap/>
            <w:vAlign w:val="bottom"/>
            <w:hideMark/>
          </w:tcPr>
          <w:p w14:paraId="3F181C19"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281</w:t>
            </w:r>
          </w:p>
        </w:tc>
        <w:tc>
          <w:tcPr>
            <w:tcW w:w="1211" w:type="dxa"/>
            <w:shd w:val="clear" w:color="auto" w:fill="auto"/>
            <w:noWrap/>
            <w:vAlign w:val="bottom"/>
            <w:hideMark/>
          </w:tcPr>
          <w:p w14:paraId="1AFAC5BF"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7,226</w:t>
            </w:r>
          </w:p>
        </w:tc>
        <w:tc>
          <w:tcPr>
            <w:tcW w:w="909" w:type="dxa"/>
            <w:shd w:val="clear" w:color="auto" w:fill="auto"/>
            <w:noWrap/>
            <w:vAlign w:val="bottom"/>
            <w:hideMark/>
          </w:tcPr>
          <w:p w14:paraId="218101FC"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292</w:t>
            </w:r>
          </w:p>
        </w:tc>
        <w:tc>
          <w:tcPr>
            <w:tcW w:w="1211" w:type="dxa"/>
            <w:shd w:val="clear" w:color="auto" w:fill="auto"/>
            <w:noWrap/>
            <w:vAlign w:val="bottom"/>
            <w:hideMark/>
          </w:tcPr>
          <w:p w14:paraId="6D35F2F7"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7,646</w:t>
            </w:r>
          </w:p>
        </w:tc>
        <w:tc>
          <w:tcPr>
            <w:tcW w:w="909" w:type="dxa"/>
            <w:shd w:val="clear" w:color="auto" w:fill="auto"/>
            <w:noWrap/>
            <w:vAlign w:val="bottom"/>
            <w:hideMark/>
          </w:tcPr>
          <w:p w14:paraId="49B6E671"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304</w:t>
            </w:r>
          </w:p>
        </w:tc>
      </w:tr>
      <w:tr w:rsidR="008A64D8" w:rsidRPr="00094FBD" w14:paraId="4708C0D6" w14:textId="77777777" w:rsidTr="00A87445">
        <w:trPr>
          <w:trHeight w:val="312"/>
        </w:trPr>
        <w:tc>
          <w:tcPr>
            <w:tcW w:w="2800" w:type="dxa"/>
            <w:shd w:val="clear" w:color="auto" w:fill="auto"/>
            <w:noWrap/>
            <w:vAlign w:val="bottom"/>
            <w:hideMark/>
          </w:tcPr>
          <w:p w14:paraId="60F15354"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Transport (b)</w:t>
            </w:r>
          </w:p>
        </w:tc>
        <w:tc>
          <w:tcPr>
            <w:tcW w:w="1211" w:type="dxa"/>
            <w:shd w:val="clear" w:color="auto" w:fill="auto"/>
            <w:noWrap/>
            <w:vAlign w:val="bottom"/>
            <w:hideMark/>
          </w:tcPr>
          <w:p w14:paraId="2516AEE2"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13,273</w:t>
            </w:r>
          </w:p>
        </w:tc>
        <w:tc>
          <w:tcPr>
            <w:tcW w:w="909" w:type="dxa"/>
            <w:shd w:val="clear" w:color="auto" w:fill="auto"/>
            <w:noWrap/>
            <w:vAlign w:val="bottom"/>
            <w:hideMark/>
          </w:tcPr>
          <w:p w14:paraId="723FE71F"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544</w:t>
            </w:r>
          </w:p>
        </w:tc>
        <w:tc>
          <w:tcPr>
            <w:tcW w:w="1211" w:type="dxa"/>
            <w:shd w:val="clear" w:color="auto" w:fill="auto"/>
            <w:noWrap/>
            <w:vAlign w:val="bottom"/>
            <w:hideMark/>
          </w:tcPr>
          <w:p w14:paraId="189273FE"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14,316</w:t>
            </w:r>
          </w:p>
        </w:tc>
        <w:tc>
          <w:tcPr>
            <w:tcW w:w="909" w:type="dxa"/>
            <w:shd w:val="clear" w:color="auto" w:fill="auto"/>
            <w:noWrap/>
            <w:vAlign w:val="bottom"/>
            <w:hideMark/>
          </w:tcPr>
          <w:p w14:paraId="4578A81F"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578</w:t>
            </w:r>
          </w:p>
        </w:tc>
        <w:tc>
          <w:tcPr>
            <w:tcW w:w="1211" w:type="dxa"/>
            <w:shd w:val="clear" w:color="auto" w:fill="auto"/>
            <w:noWrap/>
            <w:vAlign w:val="bottom"/>
            <w:hideMark/>
          </w:tcPr>
          <w:p w14:paraId="40D686BA"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15,339</w:t>
            </w:r>
          </w:p>
        </w:tc>
        <w:tc>
          <w:tcPr>
            <w:tcW w:w="909" w:type="dxa"/>
            <w:shd w:val="clear" w:color="auto" w:fill="auto"/>
            <w:noWrap/>
            <w:vAlign w:val="bottom"/>
            <w:hideMark/>
          </w:tcPr>
          <w:p w14:paraId="00FB62C5"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610</w:t>
            </w:r>
          </w:p>
        </w:tc>
      </w:tr>
      <w:tr w:rsidR="008A64D8" w:rsidRPr="00094FBD" w14:paraId="3300CD4E" w14:textId="77777777" w:rsidTr="00A87445">
        <w:trPr>
          <w:trHeight w:val="312"/>
        </w:trPr>
        <w:tc>
          <w:tcPr>
            <w:tcW w:w="2800" w:type="dxa"/>
            <w:shd w:val="clear" w:color="auto" w:fill="auto"/>
            <w:noWrap/>
            <w:vAlign w:val="bottom"/>
            <w:hideMark/>
          </w:tcPr>
          <w:p w14:paraId="35DA9E19"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Services to industry (b)</w:t>
            </w:r>
          </w:p>
        </w:tc>
        <w:tc>
          <w:tcPr>
            <w:tcW w:w="1211" w:type="dxa"/>
            <w:shd w:val="clear" w:color="auto" w:fill="auto"/>
            <w:noWrap/>
            <w:vAlign w:val="bottom"/>
            <w:hideMark/>
          </w:tcPr>
          <w:p w14:paraId="1EEFE78C"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4,970</w:t>
            </w:r>
          </w:p>
        </w:tc>
        <w:tc>
          <w:tcPr>
            <w:tcW w:w="909" w:type="dxa"/>
            <w:shd w:val="clear" w:color="auto" w:fill="auto"/>
            <w:noWrap/>
            <w:vAlign w:val="bottom"/>
            <w:hideMark/>
          </w:tcPr>
          <w:p w14:paraId="74929DC1"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204</w:t>
            </w:r>
          </w:p>
        </w:tc>
        <w:tc>
          <w:tcPr>
            <w:tcW w:w="1211" w:type="dxa"/>
            <w:shd w:val="clear" w:color="auto" w:fill="auto"/>
            <w:noWrap/>
            <w:vAlign w:val="bottom"/>
            <w:hideMark/>
          </w:tcPr>
          <w:p w14:paraId="37BAE249"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5,039</w:t>
            </w:r>
          </w:p>
        </w:tc>
        <w:tc>
          <w:tcPr>
            <w:tcW w:w="909" w:type="dxa"/>
            <w:shd w:val="clear" w:color="auto" w:fill="auto"/>
            <w:noWrap/>
            <w:vAlign w:val="bottom"/>
            <w:hideMark/>
          </w:tcPr>
          <w:p w14:paraId="1787D706"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203</w:t>
            </w:r>
          </w:p>
        </w:tc>
        <w:tc>
          <w:tcPr>
            <w:tcW w:w="1211" w:type="dxa"/>
            <w:shd w:val="clear" w:color="auto" w:fill="auto"/>
            <w:noWrap/>
            <w:vAlign w:val="bottom"/>
            <w:hideMark/>
          </w:tcPr>
          <w:p w14:paraId="5150C61D"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5,227</w:t>
            </w:r>
          </w:p>
        </w:tc>
        <w:tc>
          <w:tcPr>
            <w:tcW w:w="909" w:type="dxa"/>
            <w:shd w:val="clear" w:color="auto" w:fill="auto"/>
            <w:noWrap/>
            <w:vAlign w:val="bottom"/>
            <w:hideMark/>
          </w:tcPr>
          <w:p w14:paraId="22CD2493"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208</w:t>
            </w:r>
          </w:p>
        </w:tc>
      </w:tr>
      <w:tr w:rsidR="008A64D8" w:rsidRPr="00094FBD" w14:paraId="49FE2803" w14:textId="77777777" w:rsidTr="007B7145">
        <w:trPr>
          <w:trHeight w:val="312"/>
        </w:trPr>
        <w:tc>
          <w:tcPr>
            <w:tcW w:w="2800" w:type="dxa"/>
            <w:tcBorders>
              <w:bottom w:val="single" w:sz="4" w:space="0" w:color="ADD6EA"/>
            </w:tcBorders>
            <w:shd w:val="clear" w:color="auto" w:fill="auto"/>
            <w:noWrap/>
            <w:vAlign w:val="bottom"/>
            <w:hideMark/>
          </w:tcPr>
          <w:p w14:paraId="40D10220"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Other expenses (b)</w:t>
            </w:r>
          </w:p>
        </w:tc>
        <w:tc>
          <w:tcPr>
            <w:tcW w:w="1211" w:type="dxa"/>
            <w:tcBorders>
              <w:bottom w:val="single" w:sz="4" w:space="0" w:color="ADD6EA"/>
            </w:tcBorders>
            <w:shd w:val="clear" w:color="auto" w:fill="auto"/>
            <w:noWrap/>
            <w:vAlign w:val="bottom"/>
            <w:hideMark/>
          </w:tcPr>
          <w:p w14:paraId="2D4B68D5"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24,643</w:t>
            </w:r>
          </w:p>
        </w:tc>
        <w:tc>
          <w:tcPr>
            <w:tcW w:w="909" w:type="dxa"/>
            <w:tcBorders>
              <w:bottom w:val="single" w:sz="4" w:space="0" w:color="ADD6EA"/>
            </w:tcBorders>
            <w:shd w:val="clear" w:color="auto" w:fill="auto"/>
            <w:noWrap/>
            <w:vAlign w:val="bottom"/>
            <w:hideMark/>
          </w:tcPr>
          <w:p w14:paraId="410179BD"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1,011</w:t>
            </w:r>
          </w:p>
        </w:tc>
        <w:tc>
          <w:tcPr>
            <w:tcW w:w="1211" w:type="dxa"/>
            <w:tcBorders>
              <w:bottom w:val="single" w:sz="4" w:space="0" w:color="ADD6EA"/>
            </w:tcBorders>
            <w:shd w:val="clear" w:color="auto" w:fill="auto"/>
            <w:noWrap/>
            <w:vAlign w:val="bottom"/>
            <w:hideMark/>
          </w:tcPr>
          <w:p w14:paraId="70A810A3"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26,742</w:t>
            </w:r>
          </w:p>
        </w:tc>
        <w:tc>
          <w:tcPr>
            <w:tcW w:w="909" w:type="dxa"/>
            <w:tcBorders>
              <w:bottom w:val="single" w:sz="4" w:space="0" w:color="ADD6EA"/>
            </w:tcBorders>
            <w:shd w:val="clear" w:color="auto" w:fill="auto"/>
            <w:noWrap/>
            <w:vAlign w:val="bottom"/>
            <w:hideMark/>
          </w:tcPr>
          <w:p w14:paraId="7A933A44"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1,080</w:t>
            </w:r>
          </w:p>
        </w:tc>
        <w:tc>
          <w:tcPr>
            <w:tcW w:w="1211" w:type="dxa"/>
            <w:tcBorders>
              <w:bottom w:val="single" w:sz="4" w:space="0" w:color="ADD6EA"/>
            </w:tcBorders>
            <w:shd w:val="clear" w:color="auto" w:fill="auto"/>
            <w:noWrap/>
            <w:vAlign w:val="bottom"/>
            <w:hideMark/>
          </w:tcPr>
          <w:p w14:paraId="7D2F490C"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26,533</w:t>
            </w:r>
          </w:p>
        </w:tc>
        <w:tc>
          <w:tcPr>
            <w:tcW w:w="909" w:type="dxa"/>
            <w:tcBorders>
              <w:bottom w:val="single" w:sz="4" w:space="0" w:color="ADD6EA"/>
            </w:tcBorders>
            <w:shd w:val="clear" w:color="auto" w:fill="auto"/>
            <w:noWrap/>
            <w:vAlign w:val="bottom"/>
            <w:hideMark/>
          </w:tcPr>
          <w:p w14:paraId="1A12456D"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1,054</w:t>
            </w:r>
          </w:p>
        </w:tc>
      </w:tr>
      <w:tr w:rsidR="008A64D8" w:rsidRPr="00094FBD" w14:paraId="7B34D781" w14:textId="77777777" w:rsidTr="007B7145">
        <w:trPr>
          <w:trHeight w:val="312"/>
        </w:trPr>
        <w:tc>
          <w:tcPr>
            <w:tcW w:w="2800" w:type="dxa"/>
            <w:shd w:val="clear" w:color="000000" w:fill="auto"/>
            <w:noWrap/>
            <w:vAlign w:val="bottom"/>
            <w:hideMark/>
          </w:tcPr>
          <w:p w14:paraId="3651C485"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094FBD">
              <w:rPr>
                <w:rFonts w:ascii="Open Sans SemiBold" w:eastAsia="Times New Roman" w:hAnsi="Open Sans SemiBold" w:cs="Open Sans SemiBold"/>
                <w:sz w:val="16"/>
                <w:szCs w:val="16"/>
                <w:lang w:eastAsia="en-AU"/>
              </w:rPr>
              <w:t>Investment</w:t>
            </w:r>
          </w:p>
        </w:tc>
        <w:tc>
          <w:tcPr>
            <w:tcW w:w="1211" w:type="dxa"/>
            <w:shd w:val="clear" w:color="000000" w:fill="auto"/>
            <w:noWrap/>
            <w:vAlign w:val="bottom"/>
            <w:hideMark/>
          </w:tcPr>
          <w:p w14:paraId="79ECFC74"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139DDBB0"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1211" w:type="dxa"/>
            <w:shd w:val="clear" w:color="000000" w:fill="auto"/>
            <w:noWrap/>
            <w:vAlign w:val="bottom"/>
            <w:hideMark/>
          </w:tcPr>
          <w:p w14:paraId="2A01B7FF"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1EFC68F0"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1211" w:type="dxa"/>
            <w:shd w:val="clear" w:color="000000" w:fill="auto"/>
            <w:noWrap/>
            <w:vAlign w:val="bottom"/>
            <w:hideMark/>
          </w:tcPr>
          <w:p w14:paraId="5452749C"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7A507210"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r>
      <w:tr w:rsidR="008A64D8" w:rsidRPr="00094FBD" w14:paraId="119A07AD" w14:textId="77777777" w:rsidTr="007B7145">
        <w:trPr>
          <w:trHeight w:val="312"/>
        </w:trPr>
        <w:tc>
          <w:tcPr>
            <w:tcW w:w="2800" w:type="dxa"/>
            <w:tcBorders>
              <w:bottom w:val="single" w:sz="4" w:space="0" w:color="ADD6EA"/>
            </w:tcBorders>
            <w:shd w:val="clear" w:color="auto" w:fill="auto"/>
            <w:noWrap/>
            <w:vAlign w:val="bottom"/>
            <w:hideMark/>
          </w:tcPr>
          <w:p w14:paraId="353C6E45"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Gross investment</w:t>
            </w:r>
          </w:p>
        </w:tc>
        <w:tc>
          <w:tcPr>
            <w:tcW w:w="1211" w:type="dxa"/>
            <w:tcBorders>
              <w:bottom w:val="single" w:sz="4" w:space="0" w:color="ADD6EA"/>
            </w:tcBorders>
            <w:shd w:val="clear" w:color="auto" w:fill="auto"/>
            <w:noWrap/>
            <w:vAlign w:val="bottom"/>
            <w:hideMark/>
          </w:tcPr>
          <w:p w14:paraId="6A5F1106"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27,363</w:t>
            </w:r>
          </w:p>
        </w:tc>
        <w:tc>
          <w:tcPr>
            <w:tcW w:w="909" w:type="dxa"/>
            <w:tcBorders>
              <w:bottom w:val="single" w:sz="4" w:space="0" w:color="ADD6EA"/>
            </w:tcBorders>
            <w:shd w:val="clear" w:color="auto" w:fill="auto"/>
            <w:noWrap/>
            <w:vAlign w:val="bottom"/>
            <w:hideMark/>
          </w:tcPr>
          <w:p w14:paraId="5C1D09B7"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1,122</w:t>
            </w:r>
          </w:p>
        </w:tc>
        <w:tc>
          <w:tcPr>
            <w:tcW w:w="1211" w:type="dxa"/>
            <w:tcBorders>
              <w:bottom w:val="single" w:sz="4" w:space="0" w:color="ADD6EA"/>
            </w:tcBorders>
            <w:shd w:val="clear" w:color="auto" w:fill="auto"/>
            <w:noWrap/>
            <w:vAlign w:val="bottom"/>
            <w:hideMark/>
          </w:tcPr>
          <w:p w14:paraId="610A98F4"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30,129</w:t>
            </w:r>
          </w:p>
        </w:tc>
        <w:tc>
          <w:tcPr>
            <w:tcW w:w="909" w:type="dxa"/>
            <w:tcBorders>
              <w:bottom w:val="single" w:sz="4" w:space="0" w:color="ADD6EA"/>
            </w:tcBorders>
            <w:shd w:val="clear" w:color="auto" w:fill="auto"/>
            <w:noWrap/>
            <w:vAlign w:val="bottom"/>
            <w:hideMark/>
          </w:tcPr>
          <w:p w14:paraId="6E9AC2EC"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1,216</w:t>
            </w:r>
          </w:p>
        </w:tc>
        <w:tc>
          <w:tcPr>
            <w:tcW w:w="1211" w:type="dxa"/>
            <w:tcBorders>
              <w:bottom w:val="single" w:sz="4" w:space="0" w:color="ADD6EA"/>
            </w:tcBorders>
            <w:shd w:val="clear" w:color="auto" w:fill="auto"/>
            <w:noWrap/>
            <w:vAlign w:val="bottom"/>
            <w:hideMark/>
          </w:tcPr>
          <w:p w14:paraId="4234C25C"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32,252</w:t>
            </w:r>
          </w:p>
        </w:tc>
        <w:tc>
          <w:tcPr>
            <w:tcW w:w="909" w:type="dxa"/>
            <w:tcBorders>
              <w:bottom w:val="single" w:sz="4" w:space="0" w:color="ADD6EA"/>
            </w:tcBorders>
            <w:shd w:val="clear" w:color="auto" w:fill="auto"/>
            <w:noWrap/>
            <w:vAlign w:val="bottom"/>
            <w:hideMark/>
          </w:tcPr>
          <w:p w14:paraId="7D11092D"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1,282</w:t>
            </w:r>
          </w:p>
        </w:tc>
      </w:tr>
      <w:tr w:rsidR="008A64D8" w:rsidRPr="00094FBD" w14:paraId="1AA08833" w14:textId="77777777" w:rsidTr="007B7145">
        <w:trPr>
          <w:trHeight w:val="312"/>
        </w:trPr>
        <w:tc>
          <w:tcPr>
            <w:tcW w:w="2800" w:type="dxa"/>
            <w:shd w:val="clear" w:color="000000" w:fill="auto"/>
            <w:noWrap/>
            <w:vAlign w:val="bottom"/>
            <w:hideMark/>
          </w:tcPr>
          <w:p w14:paraId="5D2522EE"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16"/>
                <w:szCs w:val="16"/>
                <w:lang w:eastAsia="en-AU"/>
              </w:rPr>
            </w:pPr>
            <w:r w:rsidRPr="00094FBD">
              <w:rPr>
                <w:rFonts w:ascii="Open Sans SemiBold" w:eastAsia="Times New Roman" w:hAnsi="Open Sans SemiBold" w:cs="Open Sans SemiBold"/>
                <w:sz w:val="16"/>
                <w:szCs w:val="16"/>
                <w:lang w:eastAsia="en-AU"/>
              </w:rPr>
              <w:t>Net Borrowing/lending</w:t>
            </w:r>
          </w:p>
        </w:tc>
        <w:tc>
          <w:tcPr>
            <w:tcW w:w="1211" w:type="dxa"/>
            <w:shd w:val="clear" w:color="000000" w:fill="auto"/>
            <w:noWrap/>
            <w:vAlign w:val="bottom"/>
            <w:hideMark/>
          </w:tcPr>
          <w:p w14:paraId="74B9EF4E"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1C1E844A"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1211" w:type="dxa"/>
            <w:shd w:val="clear" w:color="000000" w:fill="auto"/>
            <w:noWrap/>
            <w:vAlign w:val="bottom"/>
            <w:hideMark/>
          </w:tcPr>
          <w:p w14:paraId="59C5D596"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159FB901"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1211" w:type="dxa"/>
            <w:shd w:val="clear" w:color="000000" w:fill="auto"/>
            <w:noWrap/>
            <w:vAlign w:val="bottom"/>
            <w:hideMark/>
          </w:tcPr>
          <w:p w14:paraId="2B892937"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c>
          <w:tcPr>
            <w:tcW w:w="909" w:type="dxa"/>
            <w:shd w:val="clear" w:color="000000" w:fill="auto"/>
            <w:noWrap/>
            <w:vAlign w:val="bottom"/>
            <w:hideMark/>
          </w:tcPr>
          <w:p w14:paraId="47FEF241" w14:textId="77777777" w:rsidR="008A64D8" w:rsidRPr="00094FBD" w:rsidRDefault="008A64D8" w:rsidP="004D65FE">
            <w:pPr>
              <w:keepNext/>
              <w:tabs>
                <w:tab w:val="clear" w:pos="567"/>
              </w:tabs>
              <w:spacing w:before="0" w:line="240" w:lineRule="auto"/>
              <w:rPr>
                <w:rFonts w:ascii="Open Sans SemiBold" w:eastAsia="Times New Roman" w:hAnsi="Open Sans SemiBold" w:cs="Open Sans SemiBold"/>
                <w:sz w:val="22"/>
                <w:lang w:eastAsia="en-AU"/>
              </w:rPr>
            </w:pPr>
            <w:r w:rsidRPr="00094FBD">
              <w:rPr>
                <w:rFonts w:ascii="Open Sans SemiBold" w:eastAsia="Times New Roman" w:hAnsi="Open Sans SemiBold" w:cs="Open Sans SemiBold"/>
                <w:sz w:val="22"/>
                <w:lang w:eastAsia="en-AU"/>
              </w:rPr>
              <w:t> </w:t>
            </w:r>
          </w:p>
        </w:tc>
      </w:tr>
      <w:tr w:rsidR="008A64D8" w:rsidRPr="00094FBD" w14:paraId="3832D82F" w14:textId="77777777" w:rsidTr="00A87445">
        <w:trPr>
          <w:trHeight w:val="312"/>
        </w:trPr>
        <w:tc>
          <w:tcPr>
            <w:tcW w:w="2800" w:type="dxa"/>
            <w:shd w:val="clear" w:color="auto" w:fill="auto"/>
            <w:noWrap/>
            <w:vAlign w:val="bottom"/>
            <w:hideMark/>
          </w:tcPr>
          <w:p w14:paraId="1B95C52D" w14:textId="77777777" w:rsidR="008A64D8" w:rsidRPr="00094FBD" w:rsidRDefault="008A64D8" w:rsidP="004D65FE">
            <w:pPr>
              <w:keepNext/>
              <w:tabs>
                <w:tab w:val="clear" w:pos="567"/>
              </w:tabs>
              <w:spacing w:before="0" w:line="240" w:lineRule="auto"/>
              <w:rPr>
                <w:rFonts w:eastAsia="Times New Roman" w:cs="Open Sans Light"/>
                <w:sz w:val="16"/>
                <w:szCs w:val="16"/>
                <w:lang w:eastAsia="en-AU"/>
              </w:rPr>
            </w:pPr>
            <w:r w:rsidRPr="00094FBD">
              <w:rPr>
                <w:rFonts w:eastAsia="Times New Roman" w:cs="Open Sans Light"/>
                <w:sz w:val="16"/>
                <w:szCs w:val="16"/>
                <w:lang w:eastAsia="en-AU"/>
              </w:rPr>
              <w:t>Net borrowing/lending</w:t>
            </w:r>
          </w:p>
        </w:tc>
        <w:tc>
          <w:tcPr>
            <w:tcW w:w="1211" w:type="dxa"/>
            <w:shd w:val="clear" w:color="auto" w:fill="auto"/>
            <w:noWrap/>
            <w:vAlign w:val="bottom"/>
            <w:hideMark/>
          </w:tcPr>
          <w:p w14:paraId="5BBA0F1C"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-10,870</w:t>
            </w:r>
          </w:p>
        </w:tc>
        <w:tc>
          <w:tcPr>
            <w:tcW w:w="909" w:type="dxa"/>
            <w:shd w:val="clear" w:color="auto" w:fill="auto"/>
            <w:noWrap/>
            <w:vAlign w:val="bottom"/>
            <w:hideMark/>
          </w:tcPr>
          <w:p w14:paraId="0BE2951E"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-446</w:t>
            </w:r>
          </w:p>
        </w:tc>
        <w:tc>
          <w:tcPr>
            <w:tcW w:w="1211" w:type="dxa"/>
            <w:shd w:val="clear" w:color="auto" w:fill="auto"/>
            <w:noWrap/>
            <w:vAlign w:val="bottom"/>
            <w:hideMark/>
          </w:tcPr>
          <w:p w14:paraId="0E7F619D"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-15,980</w:t>
            </w:r>
          </w:p>
        </w:tc>
        <w:tc>
          <w:tcPr>
            <w:tcW w:w="909" w:type="dxa"/>
            <w:shd w:val="clear" w:color="auto" w:fill="auto"/>
            <w:noWrap/>
            <w:vAlign w:val="bottom"/>
            <w:hideMark/>
          </w:tcPr>
          <w:p w14:paraId="47D082FA"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-645</w:t>
            </w:r>
          </w:p>
        </w:tc>
        <w:tc>
          <w:tcPr>
            <w:tcW w:w="1211" w:type="dxa"/>
            <w:shd w:val="clear" w:color="auto" w:fill="auto"/>
            <w:noWrap/>
            <w:vAlign w:val="bottom"/>
            <w:hideMark/>
          </w:tcPr>
          <w:p w14:paraId="253D7A7A"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-19,311</w:t>
            </w:r>
          </w:p>
        </w:tc>
        <w:tc>
          <w:tcPr>
            <w:tcW w:w="909" w:type="dxa"/>
            <w:shd w:val="clear" w:color="auto" w:fill="auto"/>
            <w:noWrap/>
            <w:vAlign w:val="bottom"/>
            <w:hideMark/>
          </w:tcPr>
          <w:p w14:paraId="42906300" w14:textId="77777777" w:rsidR="008A64D8" w:rsidRPr="00094FBD" w:rsidRDefault="008A64D8" w:rsidP="004D65FE">
            <w:pPr>
              <w:keepNext/>
              <w:tabs>
                <w:tab w:val="clear" w:pos="567"/>
              </w:tabs>
              <w:spacing w:before="0" w:line="240" w:lineRule="auto"/>
              <w:jc w:val="right"/>
              <w:rPr>
                <w:rFonts w:eastAsia="Times New Roman" w:cs="Open Sans Light"/>
                <w:sz w:val="16"/>
                <w:szCs w:val="16"/>
                <w:lang w:eastAsia="en-AU"/>
              </w:rPr>
            </w:pPr>
            <w:r w:rsidRPr="00094FBD">
              <w:rPr>
                <w:rFonts w:eastAsia="Times New Roman" w:cs="Open Sans Light"/>
                <w:sz w:val="16"/>
                <w:szCs w:val="16"/>
                <w:lang w:eastAsia="en-AU"/>
              </w:rPr>
              <w:t>-767</w:t>
            </w:r>
          </w:p>
        </w:tc>
      </w:tr>
    </w:tbl>
    <w:p w14:paraId="119C4D1B" w14:textId="4604D8A6" w:rsidR="008A64D8" w:rsidRDefault="008A64D8" w:rsidP="008A64D8">
      <w:pPr>
        <w:pStyle w:val="CGCTablenote"/>
        <w:keepNext/>
      </w:pPr>
      <w:r>
        <w:t>(a)</w:t>
      </w:r>
      <w:r>
        <w:tab/>
      </w:r>
      <w:r w:rsidRPr="005B1188">
        <w:t>Relevant superannuation expenses are included in each expense category.</w:t>
      </w:r>
      <w:r>
        <w:t xml:space="preserve"> Depreciation expenses except </w:t>
      </w:r>
      <w:r w:rsidR="00664FD6">
        <w:t>u</w:t>
      </w:r>
      <w:r>
        <w:t xml:space="preserve">rban transport depreciation are included in </w:t>
      </w:r>
      <w:r w:rsidR="00664FD6">
        <w:t>g</w:t>
      </w:r>
      <w:r>
        <w:t>ross investment. Urban transport depreciation expenses are included in Transport.</w:t>
      </w:r>
    </w:p>
    <w:p w14:paraId="3446C9F8" w14:textId="77777777" w:rsidR="008A64D8" w:rsidRPr="00A97117" w:rsidRDefault="008A64D8" w:rsidP="008A64D8">
      <w:pPr>
        <w:pStyle w:val="CGCTablenote"/>
        <w:keepNext/>
      </w:pPr>
      <w:r>
        <w:t>(</w:t>
      </w:r>
      <w:r w:rsidRPr="00A97117">
        <w:t>b)</w:t>
      </w:r>
      <w:r>
        <w:tab/>
        <w:t>Net categories — user charges are deducted from expenses.</w:t>
      </w:r>
    </w:p>
    <w:p w14:paraId="1ABEFBAC" w14:textId="77777777" w:rsidR="008A64D8" w:rsidRDefault="008A64D8" w:rsidP="008A64D8">
      <w:pPr>
        <w:pStyle w:val="CGCTablenote"/>
        <w:keepNext/>
      </w:pPr>
      <w:r>
        <w:t>Source:</w:t>
      </w:r>
      <w:r>
        <w:tab/>
      </w:r>
      <w:r w:rsidRPr="005B1188">
        <w:t xml:space="preserve">Commission calculation using GFS data, data from </w:t>
      </w:r>
      <w:r>
        <w:t>the Commonwealth of</w:t>
      </w:r>
      <w:r w:rsidRPr="005B1188">
        <w:t xml:space="preserve"> Australia’s </w:t>
      </w:r>
      <w:r w:rsidRPr="00BA282B">
        <w:rPr>
          <w:i/>
        </w:rPr>
        <w:t>Final Budget Outcome</w:t>
      </w:r>
      <w:r w:rsidRPr="005B1188">
        <w:t>, and data collected from Commonwealth departments and States</w:t>
      </w:r>
      <w:r>
        <w:t>.</w:t>
      </w:r>
    </w:p>
    <w:p w14:paraId="2BC9C163" w14:textId="77777777" w:rsidR="008A64D8" w:rsidRDefault="008A64D8" w:rsidP="008A64D8">
      <w:pPr>
        <w:pStyle w:val="Heading3"/>
      </w:pPr>
      <w:r w:rsidRPr="000C4987">
        <w:t xml:space="preserve">Changes since the </w:t>
      </w:r>
      <w:r>
        <w:t>2019 Update</w:t>
      </w:r>
    </w:p>
    <w:p w14:paraId="760CCCE0" w14:textId="73752E2E" w:rsidR="008A64D8" w:rsidRDefault="008A64D8" w:rsidP="00F47EC7">
      <w:pPr>
        <w:pStyle w:val="CGCParaNumber"/>
      </w:pPr>
      <w:r>
        <w:fldChar w:fldCharType="begin"/>
      </w:r>
      <w:r>
        <w:instrText xml:space="preserve"> REF _Ref25759206 \h  \* MERGEFORMAT </w:instrText>
      </w:r>
      <w:r>
        <w:fldChar w:fldCharType="separate"/>
      </w:r>
      <w:r w:rsidR="007F721A">
        <w:t xml:space="preserve">Table </w:t>
      </w:r>
      <w:r w:rsidR="007F721A">
        <w:rPr>
          <w:noProof/>
        </w:rPr>
        <w:t>32-2</w:t>
      </w:r>
      <w:r>
        <w:fldChar w:fldCharType="end"/>
      </w:r>
      <w:r>
        <w:t xml:space="preserve"> shows </w:t>
      </w:r>
      <w:r w:rsidRPr="004F23C5">
        <w:t>the</w:t>
      </w:r>
      <w:r>
        <w:t xml:space="preserve"> changes in category structure from the 2019 Update. </w:t>
      </w:r>
    </w:p>
    <w:p w14:paraId="641CAC60" w14:textId="653E213F" w:rsidR="008A64D8" w:rsidRDefault="008A64D8" w:rsidP="008A64D8">
      <w:pPr>
        <w:pStyle w:val="Caption"/>
      </w:pPr>
      <w:bookmarkStart w:id="677" w:name="_Ref25759206"/>
      <w:r>
        <w:lastRenderedPageBreak/>
        <w:t>Table 32-</w:t>
      </w:r>
      <w:fldSimple w:instr=" SEQ Table \* ARABIC ">
        <w:r w:rsidR="007F721A">
          <w:rPr>
            <w:noProof/>
          </w:rPr>
          <w:t>2</w:t>
        </w:r>
      </w:fldSimple>
      <w:bookmarkEnd w:id="677"/>
      <w:r>
        <w:tab/>
      </w:r>
      <w:r w:rsidRPr="00016359">
        <w:t>Changes</w:t>
      </w:r>
      <w:r>
        <w:t xml:space="preserve"> to categories between the 2019 Update and 2020 Review</w:t>
      </w:r>
    </w:p>
    <w:tbl>
      <w:tblPr>
        <w:tblW w:w="4989" w:type="pct"/>
        <w:tblBorders>
          <w:top w:val="single" w:sz="6" w:space="0" w:color="ADD6EA"/>
          <w:insideH w:val="single" w:sz="6" w:space="0" w:color="ADD6EA"/>
        </w:tblBorders>
        <w:shd w:val="clear" w:color="auto" w:fill="006991"/>
        <w:tblCellMar>
          <w:left w:w="28" w:type="dxa"/>
          <w:right w:w="85" w:type="dxa"/>
        </w:tblCellMar>
        <w:tblLook w:val="0000" w:firstRow="0" w:lastRow="0" w:firstColumn="0" w:lastColumn="0" w:noHBand="0" w:noVBand="0"/>
      </w:tblPr>
      <w:tblGrid>
        <w:gridCol w:w="2728"/>
        <w:gridCol w:w="6316"/>
      </w:tblGrid>
      <w:tr w:rsidR="008A64D8" w:rsidRPr="004537EA" w14:paraId="6CD5A622" w14:textId="77777777" w:rsidTr="004D65FE">
        <w:trPr>
          <w:trHeight w:val="317"/>
        </w:trPr>
        <w:tc>
          <w:tcPr>
            <w:tcW w:w="1508" w:type="pct"/>
            <w:shd w:val="clear" w:color="auto" w:fill="006991"/>
            <w:vAlign w:val="center"/>
          </w:tcPr>
          <w:p w14:paraId="3B0DDA95" w14:textId="77777777" w:rsidR="008A64D8" w:rsidRPr="008E62DB" w:rsidRDefault="008A64D8" w:rsidP="004D65FE">
            <w:pPr>
              <w:pStyle w:val="CGCTableheader"/>
              <w:keepNext/>
              <w:keepLines/>
            </w:pPr>
            <w:r w:rsidRPr="008E62DB">
              <w:t>2020 Review category</w:t>
            </w:r>
          </w:p>
        </w:tc>
        <w:tc>
          <w:tcPr>
            <w:tcW w:w="3492" w:type="pct"/>
            <w:shd w:val="clear" w:color="auto" w:fill="006991"/>
            <w:vAlign w:val="center"/>
          </w:tcPr>
          <w:p w14:paraId="1D875BB3" w14:textId="77777777" w:rsidR="008A64D8" w:rsidRPr="008E62DB" w:rsidRDefault="008A64D8" w:rsidP="004D65FE">
            <w:pPr>
              <w:pStyle w:val="CGCTableheader"/>
              <w:keepNext/>
              <w:keepLines/>
            </w:pPr>
            <w:r w:rsidRPr="008E62DB">
              <w:t>Changes since 2019 Update</w:t>
            </w:r>
          </w:p>
        </w:tc>
      </w:tr>
      <w:tr w:rsidR="008A64D8" w:rsidRPr="004537EA" w14:paraId="2A35FFE3" w14:textId="77777777" w:rsidTr="004D65FE">
        <w:tblPrEx>
          <w:shd w:val="clear" w:color="auto" w:fill="auto"/>
        </w:tblPrEx>
        <w:tc>
          <w:tcPr>
            <w:tcW w:w="5000" w:type="pct"/>
            <w:gridSpan w:val="2"/>
            <w:shd w:val="clear" w:color="auto" w:fill="auto"/>
          </w:tcPr>
          <w:p w14:paraId="5B536AD3" w14:textId="77777777" w:rsidR="008A64D8" w:rsidRPr="008E62DB" w:rsidRDefault="008A64D8" w:rsidP="004D65FE">
            <w:pPr>
              <w:pStyle w:val="CGCTablerow"/>
              <w:keepNext/>
              <w:keepLines/>
              <w:rPr>
                <w:rFonts w:cs="Open Sans Light"/>
              </w:rPr>
            </w:pPr>
            <w:r w:rsidRPr="00506128">
              <w:rPr>
                <w:rFonts w:cs="Open Sans Light"/>
              </w:rPr>
              <w:t>No change for Payroll tax, Motor taxes, Mining revenue, Post-secondary education, Health, Welfare, Housing, Justice, Roads, Net borrowing.</w:t>
            </w:r>
          </w:p>
        </w:tc>
      </w:tr>
      <w:tr w:rsidR="008A64D8" w:rsidRPr="004537EA" w14:paraId="0A2DF402" w14:textId="77777777" w:rsidTr="004D65FE">
        <w:tblPrEx>
          <w:shd w:val="clear" w:color="auto" w:fill="auto"/>
        </w:tblPrEx>
        <w:tc>
          <w:tcPr>
            <w:tcW w:w="1508" w:type="pct"/>
          </w:tcPr>
          <w:p w14:paraId="74A67C22" w14:textId="77777777" w:rsidR="008A64D8" w:rsidRPr="008E62DB" w:rsidRDefault="008A64D8" w:rsidP="004D65FE">
            <w:pPr>
              <w:pStyle w:val="CGCTablerow"/>
              <w:keepNext/>
              <w:keepLines/>
              <w:spacing w:before="40" w:after="40"/>
              <w:rPr>
                <w:rFonts w:cs="Open Sans Light"/>
              </w:rPr>
            </w:pPr>
            <w:r w:rsidRPr="008E62DB">
              <w:rPr>
                <w:rFonts w:cs="Open Sans Light"/>
              </w:rPr>
              <w:t>Commonwealth payments</w:t>
            </w:r>
          </w:p>
        </w:tc>
        <w:tc>
          <w:tcPr>
            <w:tcW w:w="3492" w:type="pct"/>
          </w:tcPr>
          <w:p w14:paraId="31F507EF" w14:textId="6E2E9C4B" w:rsidR="008A64D8" w:rsidRDefault="008A64D8" w:rsidP="004D65FE">
            <w:pPr>
              <w:pStyle w:val="CGCTablerow"/>
              <w:keepNext/>
              <w:keepLines/>
              <w:spacing w:before="40" w:after="40"/>
              <w:rPr>
                <w:rFonts w:cs="Open Sans Light"/>
              </w:rPr>
            </w:pPr>
            <w:r w:rsidRPr="008E62DB">
              <w:rPr>
                <w:rFonts w:cs="Open Sans Light"/>
              </w:rPr>
              <w:t xml:space="preserve">Comprises two components: </w:t>
            </w:r>
            <w:r w:rsidR="007F436B">
              <w:rPr>
                <w:rFonts w:cs="Open Sans Light"/>
              </w:rPr>
              <w:t>i</w:t>
            </w:r>
            <w:r w:rsidRPr="008E62DB">
              <w:rPr>
                <w:rFonts w:cs="Open Sans Light"/>
              </w:rPr>
              <w:t xml:space="preserve">mpact payments and other Commonwealth payments that </w:t>
            </w:r>
            <w:r>
              <w:rPr>
                <w:rFonts w:cs="Open Sans Light"/>
              </w:rPr>
              <w:t>do not affect</w:t>
            </w:r>
            <w:r w:rsidRPr="008E62DB">
              <w:rPr>
                <w:rFonts w:cs="Open Sans Light"/>
              </w:rPr>
              <w:t xml:space="preserve"> State fiscal capacities</w:t>
            </w:r>
            <w:r>
              <w:rPr>
                <w:rFonts w:cs="Open Sans Light"/>
              </w:rPr>
              <w:t xml:space="preserve"> but remain in the adjusted budget because related expenses cannot be identified</w:t>
            </w:r>
            <w:r w:rsidRPr="008E62DB">
              <w:rPr>
                <w:rFonts w:cs="Open Sans Light"/>
              </w:rPr>
              <w:t xml:space="preserve">. </w:t>
            </w:r>
          </w:p>
          <w:p w14:paraId="203E1EBD" w14:textId="77777777" w:rsidR="008A64D8" w:rsidRPr="008E62DB" w:rsidRDefault="008A64D8" w:rsidP="004D65FE">
            <w:pPr>
              <w:pStyle w:val="CGCTablerow"/>
              <w:keepNext/>
              <w:keepLines/>
              <w:spacing w:before="40" w:after="40"/>
              <w:rPr>
                <w:rFonts w:cs="Open Sans Light"/>
              </w:rPr>
            </w:pPr>
            <w:r w:rsidRPr="008E62DB">
              <w:rPr>
                <w:rFonts w:cs="Open Sans Light"/>
              </w:rPr>
              <w:t>Commonwealth payments for non-government schools are excluded.</w:t>
            </w:r>
          </w:p>
        </w:tc>
      </w:tr>
      <w:tr w:rsidR="008A64D8" w:rsidRPr="004537EA" w14:paraId="08B41594" w14:textId="77777777" w:rsidTr="004D65FE">
        <w:tblPrEx>
          <w:shd w:val="clear" w:color="auto" w:fill="auto"/>
        </w:tblPrEx>
        <w:tc>
          <w:tcPr>
            <w:tcW w:w="1508" w:type="pct"/>
          </w:tcPr>
          <w:p w14:paraId="1FF69ECF" w14:textId="77777777" w:rsidR="008A64D8" w:rsidRPr="008E62DB" w:rsidRDefault="008A64D8" w:rsidP="004D65FE">
            <w:pPr>
              <w:pStyle w:val="CGCTablerow"/>
              <w:keepNext/>
              <w:keepLines/>
              <w:spacing w:before="40" w:after="40"/>
              <w:rPr>
                <w:rFonts w:cs="Open Sans Light"/>
              </w:rPr>
            </w:pPr>
            <w:r w:rsidRPr="008E62DB">
              <w:rPr>
                <w:rFonts w:cs="Open Sans Light"/>
              </w:rPr>
              <w:t>Land tax</w:t>
            </w:r>
          </w:p>
        </w:tc>
        <w:tc>
          <w:tcPr>
            <w:tcW w:w="3492" w:type="pct"/>
          </w:tcPr>
          <w:p w14:paraId="533739E0" w14:textId="77777777" w:rsidR="008A64D8" w:rsidRPr="008E62DB" w:rsidRDefault="008A64D8" w:rsidP="004D65FE">
            <w:pPr>
              <w:pStyle w:val="CGCTablerow"/>
              <w:keepNext/>
              <w:keepLines/>
              <w:spacing w:before="40" w:after="40"/>
              <w:rPr>
                <w:rFonts w:cs="Open Sans Light"/>
              </w:rPr>
            </w:pPr>
            <w:r w:rsidRPr="008E62DB">
              <w:rPr>
                <w:rFonts w:cs="Open Sans Light"/>
              </w:rPr>
              <w:t xml:space="preserve">Fire and emergency service levies (FESLs) raised from property moved to Other expenses (where they offset expenses). The remaining land based revenues moved to Other revenue. The adjustment for the ACT’s replacement revenue </w:t>
            </w:r>
            <w:r>
              <w:rPr>
                <w:rFonts w:cs="Open Sans Light"/>
              </w:rPr>
              <w:t xml:space="preserve">has been </w:t>
            </w:r>
            <w:r w:rsidRPr="008E62DB">
              <w:rPr>
                <w:rFonts w:cs="Open Sans Light"/>
              </w:rPr>
              <w:t xml:space="preserve">removed. </w:t>
            </w:r>
          </w:p>
        </w:tc>
      </w:tr>
      <w:tr w:rsidR="008A64D8" w:rsidRPr="004537EA" w14:paraId="07DD57F6" w14:textId="77777777" w:rsidTr="004D65FE">
        <w:tblPrEx>
          <w:shd w:val="clear" w:color="auto" w:fill="auto"/>
        </w:tblPrEx>
        <w:tc>
          <w:tcPr>
            <w:tcW w:w="1508" w:type="pct"/>
          </w:tcPr>
          <w:p w14:paraId="7FAC8203" w14:textId="77777777" w:rsidR="008A64D8" w:rsidRPr="008E62DB" w:rsidRDefault="008A64D8" w:rsidP="004D65FE">
            <w:pPr>
              <w:pStyle w:val="CGCTablerow"/>
              <w:keepNext/>
              <w:keepLines/>
              <w:spacing w:before="40" w:after="40"/>
              <w:rPr>
                <w:rFonts w:cs="Open Sans Light"/>
              </w:rPr>
            </w:pPr>
            <w:r w:rsidRPr="008E62DB">
              <w:rPr>
                <w:rFonts w:cs="Open Sans Light"/>
              </w:rPr>
              <w:t>Stamp duty on conveyances</w:t>
            </w:r>
          </w:p>
        </w:tc>
        <w:tc>
          <w:tcPr>
            <w:tcW w:w="3492" w:type="pct"/>
          </w:tcPr>
          <w:p w14:paraId="1804B696" w14:textId="77777777" w:rsidR="008A64D8" w:rsidRPr="008E62DB" w:rsidRDefault="008A64D8" w:rsidP="004D65FE">
            <w:pPr>
              <w:pStyle w:val="CGCTablerow"/>
              <w:keepNext/>
              <w:keepLines/>
              <w:spacing w:before="40" w:after="40"/>
              <w:rPr>
                <w:rFonts w:cs="Open Sans Light"/>
              </w:rPr>
            </w:pPr>
            <w:r w:rsidRPr="008E62DB">
              <w:rPr>
                <w:rFonts w:cs="Open Sans Light"/>
              </w:rPr>
              <w:t xml:space="preserve">Stamp duties on motor vehicle transfers, non-real property transactions, sales of major State assets and corporate reconstructions moved to Other revenue. The adjustment to classify concessional rates of duty for first home owners as housing expenses has been removed. </w:t>
            </w:r>
          </w:p>
        </w:tc>
      </w:tr>
      <w:tr w:rsidR="008A64D8" w:rsidRPr="004537EA" w14:paraId="2DF397E3" w14:textId="77777777" w:rsidTr="004D65FE">
        <w:tblPrEx>
          <w:shd w:val="clear" w:color="auto" w:fill="auto"/>
        </w:tblPrEx>
        <w:tc>
          <w:tcPr>
            <w:tcW w:w="1508" w:type="pct"/>
          </w:tcPr>
          <w:p w14:paraId="51842613" w14:textId="77777777" w:rsidR="008A64D8" w:rsidRPr="008E62DB" w:rsidRDefault="008A64D8" w:rsidP="004D65FE">
            <w:pPr>
              <w:pStyle w:val="CGCTablerow"/>
              <w:keepNext/>
              <w:keepLines/>
              <w:spacing w:before="40" w:after="40"/>
              <w:rPr>
                <w:rFonts w:cs="Open Sans Light"/>
              </w:rPr>
            </w:pPr>
            <w:r w:rsidRPr="008E62DB">
              <w:rPr>
                <w:rFonts w:cs="Open Sans Light"/>
              </w:rPr>
              <w:t>Insurance tax</w:t>
            </w:r>
          </w:p>
        </w:tc>
        <w:tc>
          <w:tcPr>
            <w:tcW w:w="3492" w:type="pct"/>
          </w:tcPr>
          <w:p w14:paraId="55B57919" w14:textId="29F89DDB" w:rsidR="008A64D8" w:rsidRPr="008E62DB" w:rsidRDefault="008A64D8" w:rsidP="004D65FE">
            <w:pPr>
              <w:pStyle w:val="CGCTablerow"/>
              <w:keepNext/>
              <w:keepLines/>
              <w:spacing w:before="40" w:after="40"/>
              <w:rPr>
                <w:rFonts w:cs="Open Sans Light"/>
              </w:rPr>
            </w:pPr>
            <w:r w:rsidRPr="008E62DB">
              <w:rPr>
                <w:rFonts w:eastAsia="Times New Roman" w:cs="Open Sans Light"/>
                <w:lang w:eastAsia="en-AU"/>
              </w:rPr>
              <w:t>FESL</w:t>
            </w:r>
            <w:r w:rsidR="009418CA">
              <w:rPr>
                <w:rFonts w:eastAsia="Times New Roman" w:cs="Open Sans Light"/>
                <w:lang w:eastAsia="en-AU"/>
              </w:rPr>
              <w:t>s</w:t>
            </w:r>
            <w:r w:rsidRPr="008E62DB">
              <w:rPr>
                <w:rFonts w:eastAsia="Times New Roman" w:cs="Open Sans Light"/>
                <w:lang w:eastAsia="en-AU"/>
              </w:rPr>
              <w:t xml:space="preserve"> raised as part of insurance taxes </w:t>
            </w:r>
            <w:r w:rsidRPr="008E62DB">
              <w:rPr>
                <w:rFonts w:cs="Open Sans Light"/>
              </w:rPr>
              <w:t>moved to Other expenses (where they offset expenses).</w:t>
            </w:r>
          </w:p>
        </w:tc>
      </w:tr>
      <w:tr w:rsidR="008A64D8" w:rsidRPr="004537EA" w14:paraId="42F90C54" w14:textId="77777777" w:rsidTr="004D65FE">
        <w:tblPrEx>
          <w:shd w:val="clear" w:color="auto" w:fill="auto"/>
        </w:tblPrEx>
        <w:tc>
          <w:tcPr>
            <w:tcW w:w="1508" w:type="pct"/>
          </w:tcPr>
          <w:p w14:paraId="7516B734" w14:textId="77777777" w:rsidR="008A64D8" w:rsidRPr="008E62DB" w:rsidRDefault="008A64D8" w:rsidP="004D65FE">
            <w:pPr>
              <w:pStyle w:val="CGCTablerow"/>
              <w:keepNext/>
              <w:keepLines/>
              <w:spacing w:before="40" w:after="40"/>
              <w:rPr>
                <w:rFonts w:cs="Open Sans Light"/>
              </w:rPr>
            </w:pPr>
            <w:r w:rsidRPr="008E62DB">
              <w:rPr>
                <w:rFonts w:cs="Open Sans Light"/>
              </w:rPr>
              <w:t>Other revenue</w:t>
            </w:r>
          </w:p>
        </w:tc>
        <w:tc>
          <w:tcPr>
            <w:tcW w:w="3492" w:type="pct"/>
          </w:tcPr>
          <w:p w14:paraId="037F3AA2" w14:textId="77777777" w:rsidR="008A64D8" w:rsidRPr="008E62DB" w:rsidRDefault="008A64D8" w:rsidP="004D65FE">
            <w:pPr>
              <w:pStyle w:val="CGCTablerow"/>
              <w:keepNext/>
              <w:keepLines/>
              <w:spacing w:before="40" w:after="40"/>
              <w:rPr>
                <w:rFonts w:cs="Open Sans Light"/>
              </w:rPr>
            </w:pPr>
            <w:r w:rsidRPr="008E62DB">
              <w:rPr>
                <w:rFonts w:cs="Open Sans Light"/>
              </w:rPr>
              <w:t>A number of taxes that are assessed on an EPC basis have moved to this category.</w:t>
            </w:r>
          </w:p>
        </w:tc>
      </w:tr>
      <w:tr w:rsidR="008A64D8" w:rsidRPr="004537EA" w14:paraId="4FE8193D" w14:textId="77777777" w:rsidTr="004D65FE">
        <w:tblPrEx>
          <w:shd w:val="clear" w:color="auto" w:fill="auto"/>
        </w:tblPrEx>
        <w:tc>
          <w:tcPr>
            <w:tcW w:w="1508" w:type="pct"/>
          </w:tcPr>
          <w:p w14:paraId="675AC42F" w14:textId="77777777" w:rsidR="008A64D8" w:rsidRPr="008E62DB" w:rsidRDefault="008A64D8" w:rsidP="004D65FE">
            <w:pPr>
              <w:pStyle w:val="CGCTablerow"/>
              <w:keepNext/>
              <w:keepLines/>
              <w:spacing w:before="40" w:after="40"/>
              <w:rPr>
                <w:rFonts w:cs="Open Sans Light"/>
              </w:rPr>
            </w:pPr>
            <w:r w:rsidRPr="008E62DB">
              <w:rPr>
                <w:rFonts w:cs="Open Sans Light"/>
              </w:rPr>
              <w:t>Schools</w:t>
            </w:r>
          </w:p>
        </w:tc>
        <w:tc>
          <w:tcPr>
            <w:tcW w:w="3492" w:type="pct"/>
          </w:tcPr>
          <w:p w14:paraId="20253ED4" w14:textId="77777777" w:rsidR="008A64D8" w:rsidRPr="008E62DB" w:rsidRDefault="008A64D8" w:rsidP="004D65FE">
            <w:pPr>
              <w:pStyle w:val="CGCTablerow"/>
              <w:keepNext/>
              <w:keepLines/>
              <w:spacing w:before="40" w:after="40"/>
              <w:rPr>
                <w:rFonts w:cs="Open Sans Light"/>
              </w:rPr>
            </w:pPr>
            <w:r w:rsidRPr="008E62DB">
              <w:rPr>
                <w:rFonts w:cs="Open Sans Light"/>
              </w:rPr>
              <w:t xml:space="preserve">Changed from gross to net assessment. Student transport expenses moved to </w:t>
            </w:r>
            <w:r>
              <w:rPr>
                <w:rFonts w:cs="Open Sans Light"/>
              </w:rPr>
              <w:t>T</w:t>
            </w:r>
            <w:r w:rsidRPr="008E62DB">
              <w:rPr>
                <w:rFonts w:cs="Open Sans Light"/>
              </w:rPr>
              <w:t>ransport. Commonwealth payment for non-government schools deducted from related expenses.</w:t>
            </w:r>
          </w:p>
        </w:tc>
      </w:tr>
      <w:tr w:rsidR="008A64D8" w:rsidRPr="004537EA" w14:paraId="67CD7C72" w14:textId="77777777" w:rsidTr="004D65FE">
        <w:tblPrEx>
          <w:shd w:val="clear" w:color="auto" w:fill="auto"/>
        </w:tblPrEx>
        <w:tc>
          <w:tcPr>
            <w:tcW w:w="1508" w:type="pct"/>
          </w:tcPr>
          <w:p w14:paraId="161D2B47" w14:textId="77777777" w:rsidR="008A64D8" w:rsidRPr="008E62DB" w:rsidRDefault="008A64D8" w:rsidP="004D65FE">
            <w:pPr>
              <w:pStyle w:val="CGCTablerow"/>
              <w:keepNext/>
              <w:keepLines/>
              <w:spacing w:before="40" w:after="40"/>
              <w:rPr>
                <w:rFonts w:cs="Open Sans Light"/>
              </w:rPr>
            </w:pPr>
            <w:r w:rsidRPr="008E62DB">
              <w:rPr>
                <w:rFonts w:cs="Open Sans Light"/>
              </w:rPr>
              <w:t>Services to communities</w:t>
            </w:r>
          </w:p>
        </w:tc>
        <w:tc>
          <w:tcPr>
            <w:tcW w:w="3492" w:type="pct"/>
          </w:tcPr>
          <w:p w14:paraId="78120EC4" w14:textId="77777777" w:rsidR="008A64D8" w:rsidRPr="008E62DB" w:rsidRDefault="008A64D8" w:rsidP="004D65FE">
            <w:pPr>
              <w:pStyle w:val="CGCTablerow"/>
              <w:keepNext/>
              <w:keepLines/>
              <w:spacing w:before="40" w:after="40"/>
              <w:rPr>
                <w:rFonts w:cs="Open Sans Light"/>
              </w:rPr>
            </w:pPr>
            <w:r w:rsidRPr="008E62DB">
              <w:rPr>
                <w:rFonts w:cs="Open Sans Light"/>
              </w:rPr>
              <w:t>Changed from net assessments for some components to gross assessments. Include</w:t>
            </w:r>
            <w:r>
              <w:rPr>
                <w:rFonts w:cs="Open Sans Light"/>
              </w:rPr>
              <w:t>s</w:t>
            </w:r>
            <w:r w:rsidRPr="008E62DB">
              <w:rPr>
                <w:rFonts w:cs="Open Sans Light"/>
              </w:rPr>
              <w:t xml:space="preserve"> National parks and wildlife expenses because GFS now includes these expenses as part of COFOG-A Protection of biodiversity and landscape. Non</w:t>
            </w:r>
            <w:r>
              <w:rPr>
                <w:rFonts w:cs="Open Sans Light"/>
              </w:rPr>
              <w:noBreakHyphen/>
            </w:r>
            <w:r w:rsidRPr="008E62DB">
              <w:rPr>
                <w:rFonts w:cs="Open Sans Light"/>
              </w:rPr>
              <w:t>electricity energy moved to Services to industry.</w:t>
            </w:r>
          </w:p>
        </w:tc>
      </w:tr>
      <w:tr w:rsidR="008A64D8" w:rsidRPr="004537EA" w14:paraId="1CA9657F" w14:textId="77777777" w:rsidTr="004D65FE">
        <w:tblPrEx>
          <w:shd w:val="clear" w:color="auto" w:fill="auto"/>
        </w:tblPrEx>
        <w:tc>
          <w:tcPr>
            <w:tcW w:w="1508" w:type="pct"/>
          </w:tcPr>
          <w:p w14:paraId="512C1C5F" w14:textId="77777777" w:rsidR="008A64D8" w:rsidRPr="008E62DB" w:rsidRDefault="008A64D8" w:rsidP="004D65FE">
            <w:pPr>
              <w:pStyle w:val="CGCTablerow"/>
              <w:keepNext/>
              <w:keepLines/>
              <w:spacing w:before="40" w:after="40"/>
              <w:rPr>
                <w:rFonts w:cs="Open Sans Light"/>
              </w:rPr>
            </w:pPr>
            <w:r w:rsidRPr="008E62DB">
              <w:rPr>
                <w:rFonts w:cs="Open Sans Light"/>
              </w:rPr>
              <w:t>Transport</w:t>
            </w:r>
          </w:p>
        </w:tc>
        <w:tc>
          <w:tcPr>
            <w:tcW w:w="3492" w:type="pct"/>
          </w:tcPr>
          <w:p w14:paraId="24494520" w14:textId="77777777" w:rsidR="008A64D8" w:rsidRPr="008E62DB" w:rsidRDefault="008A64D8" w:rsidP="004D65FE">
            <w:pPr>
              <w:pStyle w:val="CGCTablerow"/>
              <w:keepNext/>
              <w:keepLines/>
              <w:spacing w:before="40" w:after="40"/>
              <w:rPr>
                <w:rFonts w:cs="Open Sans Light"/>
              </w:rPr>
            </w:pPr>
            <w:r w:rsidRPr="008E62DB">
              <w:rPr>
                <w:rFonts w:cs="Open Sans Light"/>
              </w:rPr>
              <w:t xml:space="preserve">Student transport and pipeline expenses included. </w:t>
            </w:r>
          </w:p>
          <w:p w14:paraId="29EDA395" w14:textId="77777777" w:rsidR="008A64D8" w:rsidRPr="008E62DB" w:rsidRDefault="008A64D8" w:rsidP="004D65FE">
            <w:pPr>
              <w:pStyle w:val="CGCTablerow"/>
              <w:keepNext/>
              <w:keepLines/>
              <w:spacing w:before="40" w:after="40"/>
              <w:rPr>
                <w:rFonts w:cs="Open Sans Light"/>
              </w:rPr>
            </w:pPr>
            <w:r w:rsidRPr="008E62DB">
              <w:rPr>
                <w:rFonts w:cs="Open Sans Light"/>
              </w:rPr>
              <w:t>No change to urban transport depreciation and investment, that is, continue</w:t>
            </w:r>
            <w:r>
              <w:rPr>
                <w:rFonts w:cs="Open Sans Light"/>
              </w:rPr>
              <w:t>s</w:t>
            </w:r>
            <w:r w:rsidRPr="008E62DB">
              <w:rPr>
                <w:rFonts w:cs="Open Sans Light"/>
              </w:rPr>
              <w:t xml:space="preserve"> to include depreciation in operating expenses and assess net investment.</w:t>
            </w:r>
          </w:p>
        </w:tc>
      </w:tr>
      <w:tr w:rsidR="008A64D8" w:rsidRPr="004537EA" w14:paraId="2BDC25DD" w14:textId="77777777" w:rsidTr="004D65FE">
        <w:tblPrEx>
          <w:shd w:val="clear" w:color="auto" w:fill="auto"/>
        </w:tblPrEx>
        <w:tc>
          <w:tcPr>
            <w:tcW w:w="1508" w:type="pct"/>
          </w:tcPr>
          <w:p w14:paraId="29A76EDD" w14:textId="77777777" w:rsidR="008A64D8" w:rsidRPr="008E62DB" w:rsidRDefault="008A64D8" w:rsidP="004D65FE">
            <w:pPr>
              <w:pStyle w:val="CGCTablerow"/>
              <w:keepNext/>
              <w:keepLines/>
              <w:spacing w:before="40" w:after="40"/>
              <w:rPr>
                <w:rFonts w:cs="Open Sans Light"/>
              </w:rPr>
            </w:pPr>
            <w:r w:rsidRPr="008E62DB">
              <w:rPr>
                <w:rFonts w:cs="Open Sans Light"/>
              </w:rPr>
              <w:t>Services to industry</w:t>
            </w:r>
          </w:p>
        </w:tc>
        <w:tc>
          <w:tcPr>
            <w:tcW w:w="3492" w:type="pct"/>
          </w:tcPr>
          <w:p w14:paraId="1754D0D4" w14:textId="77777777" w:rsidR="008A64D8" w:rsidRPr="008E62DB" w:rsidRDefault="008A64D8" w:rsidP="004D65FE">
            <w:pPr>
              <w:pStyle w:val="CGCTablerow"/>
              <w:keepNext/>
              <w:keepLines/>
              <w:spacing w:before="40" w:after="40"/>
              <w:rPr>
                <w:rFonts w:cs="Open Sans Light"/>
              </w:rPr>
            </w:pPr>
            <w:r w:rsidRPr="008E62DB">
              <w:rPr>
                <w:rFonts w:cs="Open Sans Light"/>
              </w:rPr>
              <w:t>Changed from net assessment for some components to net assessment for all components. Non-electricity energy included.</w:t>
            </w:r>
          </w:p>
        </w:tc>
      </w:tr>
      <w:tr w:rsidR="008A64D8" w:rsidRPr="004537EA" w14:paraId="2E86CCFB" w14:textId="77777777" w:rsidTr="004D65FE">
        <w:tblPrEx>
          <w:shd w:val="clear" w:color="auto" w:fill="auto"/>
        </w:tblPrEx>
        <w:tc>
          <w:tcPr>
            <w:tcW w:w="1508" w:type="pct"/>
          </w:tcPr>
          <w:p w14:paraId="37A568C0" w14:textId="77777777" w:rsidR="008A64D8" w:rsidRPr="008E62DB" w:rsidRDefault="008A64D8" w:rsidP="004D65FE">
            <w:pPr>
              <w:pStyle w:val="CGCTablerow"/>
              <w:keepNext/>
              <w:keepLines/>
              <w:spacing w:before="40" w:after="40"/>
              <w:rPr>
                <w:rFonts w:cs="Open Sans Light"/>
              </w:rPr>
            </w:pPr>
            <w:r w:rsidRPr="008E62DB">
              <w:rPr>
                <w:rFonts w:cs="Open Sans Light"/>
              </w:rPr>
              <w:t>Other expenses</w:t>
            </w:r>
          </w:p>
        </w:tc>
        <w:tc>
          <w:tcPr>
            <w:tcW w:w="3492" w:type="pct"/>
          </w:tcPr>
          <w:p w14:paraId="5FB062F1" w14:textId="77777777" w:rsidR="008A64D8" w:rsidRPr="008E62DB" w:rsidRDefault="008A64D8" w:rsidP="004D65FE">
            <w:pPr>
              <w:pStyle w:val="CGCTablerow"/>
              <w:keepNext/>
              <w:keepLines/>
              <w:spacing w:before="40" w:after="40"/>
              <w:rPr>
                <w:rFonts w:cs="Open Sans Light"/>
              </w:rPr>
            </w:pPr>
            <w:r w:rsidRPr="008E62DB">
              <w:rPr>
                <w:rFonts w:cs="Open Sans Light"/>
              </w:rPr>
              <w:t xml:space="preserve">Changed from gross to net assessment. FESLs deducted from service expenses. </w:t>
            </w:r>
          </w:p>
          <w:p w14:paraId="0CD0A58D" w14:textId="6FE27183" w:rsidR="008A64D8" w:rsidRPr="008E62DB" w:rsidRDefault="008A64D8" w:rsidP="004D65FE">
            <w:pPr>
              <w:pStyle w:val="CGCTablerow"/>
              <w:keepNext/>
              <w:keepLines/>
              <w:spacing w:before="40" w:after="40"/>
              <w:rPr>
                <w:rFonts w:cs="Open Sans Light"/>
              </w:rPr>
            </w:pPr>
            <w:r w:rsidRPr="008E62DB">
              <w:rPr>
                <w:rFonts w:cs="Open Sans Light"/>
              </w:rPr>
              <w:t xml:space="preserve">Expenses on </w:t>
            </w:r>
            <w:r w:rsidR="00D6436A">
              <w:rPr>
                <w:rFonts w:cs="Open Sans Light"/>
              </w:rPr>
              <w:t>n</w:t>
            </w:r>
            <w:r w:rsidRPr="008E62DB">
              <w:rPr>
                <w:rFonts w:cs="Open Sans Light"/>
              </w:rPr>
              <w:t xml:space="preserve">ational parks and wildlife, and pipelines </w:t>
            </w:r>
            <w:r>
              <w:rPr>
                <w:rFonts w:cs="Open Sans Light"/>
              </w:rPr>
              <w:t>moved to other expense categories, as noted above.</w:t>
            </w:r>
            <w:r w:rsidRPr="008E62DB">
              <w:rPr>
                <w:rFonts w:cs="Open Sans Light"/>
              </w:rPr>
              <w:t xml:space="preserve"> Continue to assess </w:t>
            </w:r>
            <w:r w:rsidR="00D6436A">
              <w:rPr>
                <w:rFonts w:cs="Open Sans Light"/>
              </w:rPr>
              <w:t>n</w:t>
            </w:r>
            <w:r w:rsidRPr="008E62DB">
              <w:rPr>
                <w:rFonts w:cs="Open Sans Light"/>
              </w:rPr>
              <w:t xml:space="preserve">ative title and </w:t>
            </w:r>
            <w:r w:rsidR="00D6436A">
              <w:rPr>
                <w:rFonts w:cs="Open Sans Light"/>
              </w:rPr>
              <w:t>l</w:t>
            </w:r>
            <w:r w:rsidRPr="008E62DB">
              <w:rPr>
                <w:rFonts w:cs="Open Sans Light"/>
              </w:rPr>
              <w:t>and rights in this category but no longer mak</w:t>
            </w:r>
            <w:r>
              <w:rPr>
                <w:rFonts w:cs="Open Sans Light"/>
              </w:rPr>
              <w:t>es</w:t>
            </w:r>
            <w:r w:rsidRPr="008E62DB">
              <w:rPr>
                <w:rFonts w:cs="Open Sans Light"/>
              </w:rPr>
              <w:t xml:space="preserve"> an adjustment to remove these expenses from other categories.</w:t>
            </w:r>
          </w:p>
          <w:p w14:paraId="3B6BB836" w14:textId="77777777" w:rsidR="008A64D8" w:rsidRPr="008E62DB" w:rsidRDefault="008A64D8" w:rsidP="004D65FE">
            <w:pPr>
              <w:pStyle w:val="CGCTablerow"/>
              <w:keepNext/>
              <w:keepLines/>
              <w:spacing w:before="40" w:after="40"/>
              <w:rPr>
                <w:rFonts w:cs="Open Sans Light"/>
              </w:rPr>
            </w:pPr>
            <w:r w:rsidRPr="008E62DB">
              <w:rPr>
                <w:rFonts w:cs="Open Sans Light"/>
              </w:rPr>
              <w:t xml:space="preserve">Capital grants to local government component no longer separately identified. </w:t>
            </w:r>
          </w:p>
        </w:tc>
      </w:tr>
      <w:tr w:rsidR="008A64D8" w:rsidRPr="004537EA" w14:paraId="2EA44C6B" w14:textId="77777777" w:rsidTr="004D65FE">
        <w:tblPrEx>
          <w:shd w:val="clear" w:color="auto" w:fill="auto"/>
        </w:tblPrEx>
        <w:tc>
          <w:tcPr>
            <w:tcW w:w="1508" w:type="pct"/>
            <w:tcBorders>
              <w:bottom w:val="single" w:sz="6" w:space="0" w:color="ADD6EA"/>
            </w:tcBorders>
          </w:tcPr>
          <w:p w14:paraId="0472791A" w14:textId="77777777" w:rsidR="008A64D8" w:rsidRPr="008E62DB" w:rsidRDefault="008A64D8" w:rsidP="004D65FE">
            <w:pPr>
              <w:pStyle w:val="CGCTablerow"/>
              <w:keepNext/>
              <w:keepLines/>
              <w:spacing w:before="40" w:after="40"/>
              <w:rPr>
                <w:rFonts w:cs="Open Sans Light"/>
              </w:rPr>
            </w:pPr>
            <w:r w:rsidRPr="008E62DB">
              <w:rPr>
                <w:rFonts w:cs="Open Sans Light"/>
              </w:rPr>
              <w:t>Depreciation</w:t>
            </w:r>
          </w:p>
        </w:tc>
        <w:tc>
          <w:tcPr>
            <w:tcW w:w="3492" w:type="pct"/>
            <w:tcBorders>
              <w:bottom w:val="single" w:sz="6" w:space="0" w:color="ADD6EA"/>
            </w:tcBorders>
          </w:tcPr>
          <w:p w14:paraId="369C8B99" w14:textId="77777777" w:rsidR="008A64D8" w:rsidRPr="008E62DB" w:rsidRDefault="008A64D8" w:rsidP="004D65FE">
            <w:pPr>
              <w:pStyle w:val="CGCTablerow"/>
              <w:keepNext/>
              <w:keepLines/>
              <w:spacing w:before="40" w:after="40"/>
              <w:rPr>
                <w:rFonts w:cs="Open Sans Light"/>
              </w:rPr>
            </w:pPr>
            <w:r w:rsidRPr="008E62DB">
              <w:rPr>
                <w:rFonts w:cs="Open Sans Light"/>
              </w:rPr>
              <w:t>Except for urban transport, depreciation is no longer classified as a separate expense. It is now classified to gross investment.</w:t>
            </w:r>
          </w:p>
        </w:tc>
      </w:tr>
      <w:tr w:rsidR="008A64D8" w:rsidRPr="004537EA" w14:paraId="39440C02" w14:textId="77777777" w:rsidTr="004D65FE">
        <w:tblPrEx>
          <w:shd w:val="clear" w:color="auto" w:fill="auto"/>
        </w:tblPrEx>
        <w:tc>
          <w:tcPr>
            <w:tcW w:w="1508" w:type="pct"/>
            <w:tcBorders>
              <w:bottom w:val="single" w:sz="4" w:space="0" w:color="ADD6EA"/>
            </w:tcBorders>
          </w:tcPr>
          <w:p w14:paraId="7014648F" w14:textId="77777777" w:rsidR="008A64D8" w:rsidRPr="008E62DB" w:rsidRDefault="008A64D8" w:rsidP="004D65FE">
            <w:pPr>
              <w:pStyle w:val="CGCTablerow"/>
              <w:keepNext/>
              <w:keepLines/>
              <w:spacing w:before="40" w:after="40"/>
              <w:rPr>
                <w:rFonts w:cs="Open Sans Light"/>
              </w:rPr>
            </w:pPr>
            <w:r w:rsidRPr="008E62DB">
              <w:rPr>
                <w:rFonts w:cs="Open Sans Light"/>
              </w:rPr>
              <w:t>Investment</w:t>
            </w:r>
          </w:p>
        </w:tc>
        <w:tc>
          <w:tcPr>
            <w:tcW w:w="3492" w:type="pct"/>
            <w:tcBorders>
              <w:bottom w:val="single" w:sz="4" w:space="0" w:color="ADD6EA"/>
            </w:tcBorders>
          </w:tcPr>
          <w:p w14:paraId="5962AAEC" w14:textId="77777777" w:rsidR="008A64D8" w:rsidRPr="008E62DB" w:rsidRDefault="008A64D8" w:rsidP="004D65FE">
            <w:pPr>
              <w:pStyle w:val="CGCTablerow"/>
              <w:keepNext/>
              <w:keepLines/>
              <w:spacing w:before="40" w:after="40"/>
              <w:rPr>
                <w:rFonts w:cs="Open Sans Light"/>
              </w:rPr>
            </w:pPr>
            <w:r w:rsidRPr="008E62DB">
              <w:rPr>
                <w:rFonts w:cs="Open Sans Light"/>
              </w:rPr>
              <w:t xml:space="preserve">Except </w:t>
            </w:r>
            <w:r>
              <w:rPr>
                <w:rFonts w:cs="Open Sans Light"/>
              </w:rPr>
              <w:t>for</w:t>
            </w:r>
            <w:r w:rsidRPr="008E62DB">
              <w:rPr>
                <w:rFonts w:cs="Open Sans Light"/>
              </w:rPr>
              <w:t xml:space="preserve"> urban transport, moved from net investment to gross investment (that is, depreciation expenses </w:t>
            </w:r>
            <w:r>
              <w:rPr>
                <w:rFonts w:cs="Open Sans Light"/>
              </w:rPr>
              <w:t xml:space="preserve">are not deducted </w:t>
            </w:r>
            <w:r w:rsidRPr="008E62DB">
              <w:rPr>
                <w:rFonts w:cs="Open Sans Light"/>
              </w:rPr>
              <w:t xml:space="preserve">from gross investment). </w:t>
            </w:r>
          </w:p>
        </w:tc>
      </w:tr>
    </w:tbl>
    <w:p w14:paraId="028D6E44" w14:textId="77777777" w:rsidR="008A64D8" w:rsidRDefault="008A64D8" w:rsidP="008A64D8">
      <w:pPr>
        <w:pStyle w:val="CGCTablenote"/>
        <w:keepNext/>
        <w:keepLines/>
      </w:pPr>
      <w:r>
        <w:t>Source:</w:t>
      </w:r>
      <w:r>
        <w:tab/>
        <w:t>Commission decisions.</w:t>
      </w:r>
    </w:p>
    <w:p w14:paraId="06CBC966" w14:textId="77777777" w:rsidR="008A64D8" w:rsidRPr="000C4987" w:rsidRDefault="008A64D8" w:rsidP="008A64D8">
      <w:pPr>
        <w:pStyle w:val="Heading3"/>
      </w:pPr>
      <w:r>
        <w:t>Data sources</w:t>
      </w:r>
    </w:p>
    <w:p w14:paraId="52FA055A" w14:textId="77777777" w:rsidR="008A64D8" w:rsidRPr="004F23C5" w:rsidRDefault="008A64D8" w:rsidP="00F47EC7">
      <w:pPr>
        <w:pStyle w:val="CGCParaNumber"/>
      </w:pPr>
      <w:r>
        <w:t xml:space="preserve">Where possible, the Commission uses GFS data from the ABS to compile the adjusted budget. GFS data are </w:t>
      </w:r>
      <w:r w:rsidRPr="004F23C5">
        <w:t>compiled using standard definitions</w:t>
      </w:r>
      <w:r>
        <w:t xml:space="preserve"> and</w:t>
      </w:r>
      <w:r w:rsidRPr="004F23C5">
        <w:t xml:space="preserve"> classifications</w:t>
      </w:r>
      <w:r>
        <w:t>.</w:t>
      </w:r>
      <w:r w:rsidRPr="004F23C5">
        <w:t xml:space="preserve"> While the</w:t>
      </w:r>
      <w:r>
        <w:t>se</w:t>
      </w:r>
      <w:r w:rsidRPr="004F23C5">
        <w:t xml:space="preserve"> sometimes reflect interstate differences in administrative and accounting arrangements and are not always compiled on a consistent basis across States, the quality of the data are improving and adjustments can be made for known </w:t>
      </w:r>
      <w:r>
        <w:t xml:space="preserve">material </w:t>
      </w:r>
      <w:r w:rsidRPr="004F23C5">
        <w:t xml:space="preserve">differences. In addition, the ABS is committed to maintaining and further improving the quality of these data. </w:t>
      </w:r>
      <w:r>
        <w:t xml:space="preserve">The Commission </w:t>
      </w:r>
      <w:r w:rsidRPr="004F23C5">
        <w:t xml:space="preserve">concluded that GFS data are fit for purpose. </w:t>
      </w:r>
    </w:p>
    <w:p w14:paraId="5CAC407A" w14:textId="77777777" w:rsidR="008A64D8" w:rsidRDefault="008A64D8" w:rsidP="00F47EC7">
      <w:pPr>
        <w:pStyle w:val="CGCParaNumber"/>
      </w:pPr>
      <w:r>
        <w:t xml:space="preserve">GFS data for the last assessment year are not available in sufficient time for annual updates. Therefore, for the last assessment year, the Commission uses data from the States. GFS data </w:t>
      </w:r>
      <w:r>
        <w:lastRenderedPageBreak/>
        <w:t>replace State data in the next update of relativities. The Commission works with States each year to improve the data and maximise comparability between States.</w:t>
      </w:r>
    </w:p>
    <w:p w14:paraId="57325D5D" w14:textId="1DB2A6ED" w:rsidR="008A64D8" w:rsidRPr="00F3649B" w:rsidRDefault="008A64D8" w:rsidP="00F47EC7">
      <w:pPr>
        <w:pStyle w:val="CGCParaNumber"/>
      </w:pPr>
      <w:r>
        <w:t xml:space="preserve">GFS provides the total amount of State revenue from Commonwealth grants. The Commission requires details of each national agreement and payment for specific purposes to apply the correct treatment to each payment. Detailed payment information is sourced from the Commonwealth’s final budget outcome. Information in the </w:t>
      </w:r>
      <w:r w:rsidR="00FB2B01">
        <w:t>final budget outcome</w:t>
      </w:r>
      <w:r>
        <w:t xml:space="preserve"> is reliable and fit for purpose.</w:t>
      </w:r>
    </w:p>
    <w:p w14:paraId="423498D8" w14:textId="74B157BF" w:rsidR="008A64D8" w:rsidRDefault="008A64D8" w:rsidP="00F47EC7">
      <w:pPr>
        <w:pStyle w:val="CGCParaNumber"/>
      </w:pPr>
      <w:r w:rsidRPr="004F23C5">
        <w:fldChar w:fldCharType="begin"/>
      </w:r>
      <w:r w:rsidRPr="004F23C5">
        <w:instrText xml:space="preserve"> REF _Ref25760431 \h </w:instrText>
      </w:r>
      <w:r>
        <w:instrText xml:space="preserve"> \* MERGEFORMAT </w:instrText>
      </w:r>
      <w:r w:rsidRPr="004F23C5">
        <w:fldChar w:fldCharType="separate"/>
      </w:r>
      <w:r w:rsidR="007F721A">
        <w:t>Table 32-3</w:t>
      </w:r>
      <w:r w:rsidRPr="004F23C5">
        <w:fldChar w:fldCharType="end"/>
      </w:r>
      <w:r w:rsidRPr="004F23C5">
        <w:t xml:space="preserve"> summarises</w:t>
      </w:r>
      <w:r>
        <w:t xml:space="preserve"> the data sources used to compile the adjusted budget for the 2020 Review.</w:t>
      </w:r>
    </w:p>
    <w:p w14:paraId="76D86B0F" w14:textId="0BD59728" w:rsidR="008A64D8" w:rsidRDefault="008A64D8" w:rsidP="008A64D8">
      <w:pPr>
        <w:pStyle w:val="Caption"/>
      </w:pPr>
      <w:bookmarkStart w:id="678" w:name="_Ref25760431"/>
      <w:r>
        <w:t>Table 32-</w:t>
      </w:r>
      <w:fldSimple w:instr=" SEQ Table \* ARABIC ">
        <w:r w:rsidR="007F721A">
          <w:rPr>
            <w:noProof/>
          </w:rPr>
          <w:t>3</w:t>
        </w:r>
      </w:fldSimple>
      <w:bookmarkEnd w:id="678"/>
      <w:r>
        <w:tab/>
        <w:t>Data sources for the adjusted budget for the 2020 Review</w:t>
      </w:r>
    </w:p>
    <w:tbl>
      <w:tblPr>
        <w:tblW w:w="8931" w:type="dxa"/>
        <w:tblCellMar>
          <w:left w:w="28" w:type="dxa"/>
        </w:tblCellMar>
        <w:tblLook w:val="04A0" w:firstRow="1" w:lastRow="0" w:firstColumn="1" w:lastColumn="0" w:noHBand="0" w:noVBand="1"/>
      </w:tblPr>
      <w:tblGrid>
        <w:gridCol w:w="2977"/>
        <w:gridCol w:w="3119"/>
        <w:gridCol w:w="2835"/>
      </w:tblGrid>
      <w:tr w:rsidR="008A64D8" w:rsidRPr="0072237B" w14:paraId="059CE45E" w14:textId="77777777" w:rsidTr="004D65FE">
        <w:trPr>
          <w:trHeight w:val="375"/>
        </w:trPr>
        <w:tc>
          <w:tcPr>
            <w:tcW w:w="2977" w:type="dxa"/>
            <w:tcBorders>
              <w:top w:val="single" w:sz="4" w:space="0" w:color="ADD6EA"/>
              <w:left w:val="nil"/>
              <w:bottom w:val="single" w:sz="4" w:space="0" w:color="ADD6EA"/>
              <w:right w:val="nil"/>
            </w:tcBorders>
            <w:shd w:val="clear" w:color="000000" w:fill="006991"/>
            <w:vAlign w:val="center"/>
            <w:hideMark/>
          </w:tcPr>
          <w:p w14:paraId="6790216C" w14:textId="77777777" w:rsidR="008A64D8" w:rsidRPr="0072237B" w:rsidRDefault="008A64D8"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72237B">
              <w:rPr>
                <w:rFonts w:ascii="Open Sans SemiBold" w:eastAsia="Times New Roman" w:hAnsi="Open Sans SemiBold" w:cs="Open Sans SemiBold"/>
                <w:color w:val="FFFFFF"/>
                <w:sz w:val="16"/>
                <w:szCs w:val="16"/>
                <w:lang w:eastAsia="en-AU"/>
              </w:rPr>
              <w:t> </w:t>
            </w:r>
          </w:p>
        </w:tc>
        <w:tc>
          <w:tcPr>
            <w:tcW w:w="3119" w:type="dxa"/>
            <w:tcBorders>
              <w:top w:val="single" w:sz="4" w:space="0" w:color="ADD6EA"/>
              <w:left w:val="nil"/>
              <w:bottom w:val="single" w:sz="4" w:space="0" w:color="ADD6EA"/>
              <w:right w:val="nil"/>
            </w:tcBorders>
            <w:shd w:val="clear" w:color="000000" w:fill="006991"/>
            <w:vAlign w:val="center"/>
            <w:hideMark/>
          </w:tcPr>
          <w:p w14:paraId="1F5F198F" w14:textId="77777777" w:rsidR="008A64D8" w:rsidRPr="0072237B" w:rsidRDefault="008A64D8"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72237B">
              <w:rPr>
                <w:rFonts w:ascii="Open Sans SemiBold" w:eastAsia="Times New Roman" w:hAnsi="Open Sans SemiBold" w:cs="Open Sans SemiBold"/>
                <w:color w:val="FFFFFF"/>
                <w:sz w:val="16"/>
                <w:szCs w:val="16"/>
                <w:lang w:eastAsia="en-AU"/>
              </w:rPr>
              <w:t>Prior to last assessment year</w:t>
            </w:r>
          </w:p>
        </w:tc>
        <w:tc>
          <w:tcPr>
            <w:tcW w:w="2835" w:type="dxa"/>
            <w:tcBorders>
              <w:top w:val="single" w:sz="4" w:space="0" w:color="ADD6EA"/>
              <w:left w:val="nil"/>
              <w:bottom w:val="single" w:sz="4" w:space="0" w:color="ADD6EA"/>
              <w:right w:val="nil"/>
            </w:tcBorders>
            <w:shd w:val="clear" w:color="000000" w:fill="006991"/>
            <w:vAlign w:val="center"/>
            <w:hideMark/>
          </w:tcPr>
          <w:p w14:paraId="1E6436F4" w14:textId="77777777" w:rsidR="008A64D8" w:rsidRPr="0072237B" w:rsidRDefault="008A64D8" w:rsidP="004D65FE">
            <w:pPr>
              <w:tabs>
                <w:tab w:val="clear" w:pos="567"/>
              </w:tabs>
              <w:spacing w:before="0" w:line="240" w:lineRule="auto"/>
              <w:rPr>
                <w:rFonts w:ascii="Open Sans SemiBold" w:eastAsia="Times New Roman" w:hAnsi="Open Sans SemiBold" w:cs="Open Sans SemiBold"/>
                <w:color w:val="FFFFFF"/>
                <w:sz w:val="16"/>
                <w:szCs w:val="16"/>
                <w:lang w:eastAsia="en-AU"/>
              </w:rPr>
            </w:pPr>
            <w:r w:rsidRPr="0072237B">
              <w:rPr>
                <w:rFonts w:ascii="Open Sans SemiBold" w:eastAsia="Times New Roman" w:hAnsi="Open Sans SemiBold" w:cs="Open Sans SemiBold"/>
                <w:color w:val="FFFFFF"/>
                <w:sz w:val="16"/>
                <w:szCs w:val="16"/>
                <w:lang w:eastAsia="en-AU"/>
              </w:rPr>
              <w:t>Last assessment year</w:t>
            </w:r>
          </w:p>
        </w:tc>
      </w:tr>
      <w:tr w:rsidR="008A64D8" w:rsidRPr="0072237B" w14:paraId="3DFF1822" w14:textId="77777777" w:rsidTr="004D65FE">
        <w:trPr>
          <w:trHeight w:val="555"/>
        </w:trPr>
        <w:tc>
          <w:tcPr>
            <w:tcW w:w="2977" w:type="dxa"/>
            <w:tcBorders>
              <w:top w:val="nil"/>
              <w:left w:val="nil"/>
              <w:bottom w:val="single" w:sz="4" w:space="0" w:color="ADD6EA"/>
              <w:right w:val="nil"/>
            </w:tcBorders>
            <w:shd w:val="clear" w:color="auto" w:fill="auto"/>
            <w:vAlign w:val="center"/>
            <w:hideMark/>
          </w:tcPr>
          <w:p w14:paraId="6EF1A6B0" w14:textId="77777777" w:rsidR="008A64D8" w:rsidRPr="0072237B" w:rsidRDefault="008A64D8" w:rsidP="004D65FE">
            <w:pPr>
              <w:tabs>
                <w:tab w:val="clear" w:pos="567"/>
              </w:tabs>
              <w:spacing w:before="0" w:line="240" w:lineRule="auto"/>
              <w:rPr>
                <w:rFonts w:eastAsia="Times New Roman" w:cs="Open Sans Light"/>
                <w:color w:val="000000"/>
                <w:sz w:val="16"/>
                <w:szCs w:val="16"/>
                <w:lang w:eastAsia="en-AU"/>
              </w:rPr>
            </w:pPr>
            <w:r w:rsidRPr="0072237B">
              <w:rPr>
                <w:rFonts w:eastAsia="Times New Roman" w:cs="Open Sans Light"/>
                <w:color w:val="000000"/>
                <w:sz w:val="16"/>
                <w:szCs w:val="16"/>
                <w:lang w:eastAsia="en-AU"/>
              </w:rPr>
              <w:t xml:space="preserve">State general government sector total revenue from Commonwealth payments </w:t>
            </w:r>
          </w:p>
        </w:tc>
        <w:tc>
          <w:tcPr>
            <w:tcW w:w="3119" w:type="dxa"/>
            <w:tcBorders>
              <w:top w:val="nil"/>
              <w:left w:val="nil"/>
              <w:bottom w:val="single" w:sz="4" w:space="0" w:color="ADD6EA"/>
              <w:right w:val="nil"/>
            </w:tcBorders>
            <w:shd w:val="clear" w:color="auto" w:fill="auto"/>
            <w:vAlign w:val="center"/>
            <w:hideMark/>
          </w:tcPr>
          <w:p w14:paraId="4794A526" w14:textId="77777777" w:rsidR="008A64D8" w:rsidRPr="0072237B" w:rsidRDefault="008A64D8" w:rsidP="004D65FE">
            <w:pPr>
              <w:tabs>
                <w:tab w:val="clear" w:pos="567"/>
              </w:tabs>
              <w:spacing w:before="0" w:line="240" w:lineRule="auto"/>
              <w:rPr>
                <w:rFonts w:eastAsia="Times New Roman" w:cs="Open Sans Light"/>
                <w:color w:val="000000"/>
                <w:sz w:val="16"/>
                <w:szCs w:val="16"/>
                <w:lang w:eastAsia="en-AU"/>
              </w:rPr>
            </w:pPr>
            <w:r w:rsidRPr="0072237B">
              <w:rPr>
                <w:rFonts w:eastAsia="Times New Roman" w:cs="Open Sans Light"/>
                <w:color w:val="000000"/>
                <w:sz w:val="16"/>
                <w:szCs w:val="16"/>
                <w:lang w:eastAsia="en-AU"/>
              </w:rPr>
              <w:t>GFS</w:t>
            </w:r>
          </w:p>
        </w:tc>
        <w:tc>
          <w:tcPr>
            <w:tcW w:w="2835" w:type="dxa"/>
            <w:tcBorders>
              <w:top w:val="nil"/>
              <w:left w:val="nil"/>
              <w:bottom w:val="single" w:sz="4" w:space="0" w:color="ADD6EA"/>
              <w:right w:val="nil"/>
            </w:tcBorders>
            <w:shd w:val="clear" w:color="auto" w:fill="auto"/>
            <w:vAlign w:val="center"/>
            <w:hideMark/>
          </w:tcPr>
          <w:p w14:paraId="2C907C58" w14:textId="77777777" w:rsidR="008A64D8" w:rsidRPr="0072237B" w:rsidRDefault="008A64D8" w:rsidP="004D65FE">
            <w:pPr>
              <w:tabs>
                <w:tab w:val="clear" w:pos="567"/>
              </w:tabs>
              <w:spacing w:before="0" w:line="240" w:lineRule="auto"/>
              <w:rPr>
                <w:rFonts w:eastAsia="Times New Roman" w:cs="Open Sans Light"/>
                <w:color w:val="000000"/>
                <w:sz w:val="16"/>
                <w:szCs w:val="16"/>
                <w:lang w:eastAsia="en-AU"/>
              </w:rPr>
            </w:pPr>
            <w:r w:rsidRPr="0072237B">
              <w:rPr>
                <w:rFonts w:eastAsia="Times New Roman" w:cs="Open Sans Light"/>
                <w:color w:val="000000"/>
                <w:sz w:val="16"/>
                <w:szCs w:val="16"/>
                <w:lang w:eastAsia="en-AU"/>
              </w:rPr>
              <w:t>States</w:t>
            </w:r>
          </w:p>
        </w:tc>
      </w:tr>
      <w:tr w:rsidR="008A64D8" w:rsidRPr="0072237B" w14:paraId="36357A23" w14:textId="77777777" w:rsidTr="004D65FE">
        <w:trPr>
          <w:trHeight w:val="795"/>
        </w:trPr>
        <w:tc>
          <w:tcPr>
            <w:tcW w:w="2977" w:type="dxa"/>
            <w:tcBorders>
              <w:top w:val="nil"/>
              <w:left w:val="nil"/>
              <w:bottom w:val="single" w:sz="4" w:space="0" w:color="ADD6EA"/>
              <w:right w:val="nil"/>
            </w:tcBorders>
            <w:shd w:val="clear" w:color="auto" w:fill="auto"/>
            <w:vAlign w:val="center"/>
            <w:hideMark/>
          </w:tcPr>
          <w:p w14:paraId="7E4D93DC" w14:textId="77777777" w:rsidR="008A64D8" w:rsidRPr="0072237B" w:rsidRDefault="008A64D8" w:rsidP="004D65FE">
            <w:pPr>
              <w:tabs>
                <w:tab w:val="clear" w:pos="567"/>
              </w:tabs>
              <w:spacing w:before="0" w:line="240" w:lineRule="auto"/>
              <w:rPr>
                <w:rFonts w:eastAsia="Times New Roman" w:cs="Open Sans Light"/>
                <w:color w:val="000000"/>
                <w:sz w:val="16"/>
                <w:szCs w:val="16"/>
                <w:lang w:eastAsia="en-AU"/>
              </w:rPr>
            </w:pPr>
            <w:r w:rsidRPr="0072237B">
              <w:rPr>
                <w:rFonts w:eastAsia="Times New Roman" w:cs="Open Sans Light"/>
                <w:color w:val="000000"/>
                <w:sz w:val="16"/>
                <w:szCs w:val="16"/>
                <w:lang w:eastAsia="en-AU"/>
              </w:rPr>
              <w:t>Amounts and details of GST, national agreements and payments for specific purposes</w:t>
            </w:r>
          </w:p>
        </w:tc>
        <w:tc>
          <w:tcPr>
            <w:tcW w:w="3119" w:type="dxa"/>
            <w:tcBorders>
              <w:top w:val="nil"/>
              <w:left w:val="nil"/>
              <w:bottom w:val="single" w:sz="4" w:space="0" w:color="ADD6EA"/>
              <w:right w:val="nil"/>
            </w:tcBorders>
            <w:shd w:val="clear" w:color="auto" w:fill="auto"/>
            <w:vAlign w:val="center"/>
            <w:hideMark/>
          </w:tcPr>
          <w:p w14:paraId="012E5204" w14:textId="77777777" w:rsidR="008A64D8" w:rsidRPr="0072237B" w:rsidRDefault="008A64D8" w:rsidP="004D65FE">
            <w:pPr>
              <w:tabs>
                <w:tab w:val="clear" w:pos="567"/>
              </w:tabs>
              <w:spacing w:before="0" w:line="240" w:lineRule="auto"/>
              <w:rPr>
                <w:rFonts w:eastAsia="Times New Roman" w:cs="Open Sans Light"/>
                <w:color w:val="000000"/>
                <w:sz w:val="16"/>
                <w:szCs w:val="16"/>
                <w:lang w:eastAsia="en-AU"/>
              </w:rPr>
            </w:pPr>
            <w:r w:rsidRPr="0072237B">
              <w:rPr>
                <w:rFonts w:eastAsia="Times New Roman" w:cs="Open Sans Light"/>
                <w:color w:val="000000"/>
                <w:sz w:val="16"/>
                <w:szCs w:val="16"/>
                <w:lang w:eastAsia="en-AU"/>
              </w:rPr>
              <w:t>Commonwealth Final Budget Outcome and extra information from Commonwealth agencies</w:t>
            </w:r>
          </w:p>
        </w:tc>
        <w:tc>
          <w:tcPr>
            <w:tcW w:w="2835" w:type="dxa"/>
            <w:tcBorders>
              <w:top w:val="nil"/>
              <w:left w:val="nil"/>
              <w:bottom w:val="single" w:sz="4" w:space="0" w:color="ADD6EA"/>
              <w:right w:val="nil"/>
            </w:tcBorders>
            <w:shd w:val="clear" w:color="auto" w:fill="auto"/>
            <w:vAlign w:val="center"/>
            <w:hideMark/>
          </w:tcPr>
          <w:p w14:paraId="690D16ED" w14:textId="77777777" w:rsidR="008A64D8" w:rsidRPr="0072237B" w:rsidRDefault="008A64D8" w:rsidP="004D65FE">
            <w:pPr>
              <w:tabs>
                <w:tab w:val="clear" w:pos="567"/>
              </w:tabs>
              <w:spacing w:before="0" w:line="240" w:lineRule="auto"/>
              <w:rPr>
                <w:rFonts w:eastAsia="Times New Roman" w:cs="Open Sans Light"/>
                <w:color w:val="000000"/>
                <w:sz w:val="16"/>
                <w:szCs w:val="16"/>
                <w:lang w:eastAsia="en-AU"/>
              </w:rPr>
            </w:pPr>
            <w:r w:rsidRPr="0072237B">
              <w:rPr>
                <w:rFonts w:eastAsia="Times New Roman" w:cs="Open Sans Light"/>
                <w:color w:val="000000"/>
                <w:sz w:val="16"/>
                <w:szCs w:val="16"/>
                <w:lang w:eastAsia="en-AU"/>
              </w:rPr>
              <w:t>Commonwealth Final Budget Outcome and extra information from Commonwealth agencies</w:t>
            </w:r>
          </w:p>
        </w:tc>
      </w:tr>
      <w:tr w:rsidR="008A64D8" w:rsidRPr="0072237B" w14:paraId="37B0E65D" w14:textId="77777777" w:rsidTr="004D65FE">
        <w:trPr>
          <w:trHeight w:val="795"/>
        </w:trPr>
        <w:tc>
          <w:tcPr>
            <w:tcW w:w="2977" w:type="dxa"/>
            <w:tcBorders>
              <w:top w:val="nil"/>
              <w:left w:val="nil"/>
              <w:bottom w:val="single" w:sz="4" w:space="0" w:color="ADD6EA"/>
              <w:right w:val="nil"/>
            </w:tcBorders>
            <w:shd w:val="clear" w:color="auto" w:fill="auto"/>
            <w:vAlign w:val="center"/>
            <w:hideMark/>
          </w:tcPr>
          <w:p w14:paraId="3C9B4F35" w14:textId="5F7D0AA0" w:rsidR="008A64D8" w:rsidRPr="0072237B" w:rsidRDefault="008A64D8" w:rsidP="004D65FE">
            <w:pPr>
              <w:tabs>
                <w:tab w:val="clear" w:pos="567"/>
              </w:tabs>
              <w:spacing w:before="0" w:line="240" w:lineRule="auto"/>
              <w:rPr>
                <w:rFonts w:eastAsia="Times New Roman" w:cs="Open Sans Light"/>
                <w:color w:val="000000"/>
                <w:sz w:val="16"/>
                <w:szCs w:val="16"/>
                <w:lang w:eastAsia="en-AU"/>
              </w:rPr>
            </w:pPr>
            <w:r w:rsidRPr="0072237B">
              <w:rPr>
                <w:rFonts w:eastAsia="Times New Roman" w:cs="Open Sans Light"/>
                <w:color w:val="000000"/>
                <w:sz w:val="16"/>
                <w:szCs w:val="16"/>
                <w:lang w:eastAsia="en-AU"/>
              </w:rPr>
              <w:t xml:space="preserve">State general government sector </w:t>
            </w:r>
            <w:r w:rsidR="009A2F6F">
              <w:rPr>
                <w:rFonts w:eastAsia="Times New Roman" w:cs="Open Sans Light"/>
                <w:color w:val="000000"/>
                <w:sz w:val="16"/>
                <w:szCs w:val="16"/>
                <w:lang w:eastAsia="en-AU"/>
              </w:rPr>
              <w:t>own</w:t>
            </w:r>
            <w:r w:rsidR="009A2F6F">
              <w:rPr>
                <w:rFonts w:eastAsia="Times New Roman" w:cs="Open Sans Light"/>
                <w:color w:val="000000"/>
                <w:sz w:val="16"/>
                <w:szCs w:val="16"/>
                <w:lang w:eastAsia="en-AU"/>
              </w:rPr>
              <w:noBreakHyphen/>
              <w:t>source</w:t>
            </w:r>
            <w:r w:rsidRPr="0072237B">
              <w:rPr>
                <w:rFonts w:eastAsia="Times New Roman" w:cs="Open Sans Light"/>
                <w:color w:val="000000"/>
                <w:sz w:val="16"/>
                <w:szCs w:val="16"/>
                <w:lang w:eastAsia="en-AU"/>
              </w:rPr>
              <w:t xml:space="preserve"> revenue, expenses, user charges, investment and net borrowing</w:t>
            </w:r>
          </w:p>
        </w:tc>
        <w:tc>
          <w:tcPr>
            <w:tcW w:w="3119" w:type="dxa"/>
            <w:tcBorders>
              <w:top w:val="nil"/>
              <w:left w:val="nil"/>
              <w:bottom w:val="single" w:sz="4" w:space="0" w:color="ADD6EA"/>
              <w:right w:val="nil"/>
            </w:tcBorders>
            <w:shd w:val="clear" w:color="auto" w:fill="auto"/>
            <w:vAlign w:val="center"/>
            <w:hideMark/>
          </w:tcPr>
          <w:p w14:paraId="2D3A6A77" w14:textId="77777777" w:rsidR="008A64D8" w:rsidRPr="0072237B" w:rsidRDefault="008A64D8" w:rsidP="004D65FE">
            <w:pPr>
              <w:tabs>
                <w:tab w:val="clear" w:pos="567"/>
              </w:tabs>
              <w:spacing w:before="0" w:line="240" w:lineRule="auto"/>
              <w:rPr>
                <w:rFonts w:eastAsia="Times New Roman" w:cs="Open Sans Light"/>
                <w:color w:val="000000"/>
                <w:sz w:val="16"/>
                <w:szCs w:val="16"/>
                <w:lang w:eastAsia="en-AU"/>
              </w:rPr>
            </w:pPr>
            <w:r w:rsidRPr="0072237B">
              <w:rPr>
                <w:rFonts w:eastAsia="Times New Roman" w:cs="Open Sans Light"/>
                <w:color w:val="000000"/>
                <w:sz w:val="16"/>
                <w:szCs w:val="16"/>
                <w:lang w:eastAsia="en-AU"/>
              </w:rPr>
              <w:t>GFS</w:t>
            </w:r>
          </w:p>
        </w:tc>
        <w:tc>
          <w:tcPr>
            <w:tcW w:w="2835" w:type="dxa"/>
            <w:tcBorders>
              <w:top w:val="nil"/>
              <w:left w:val="nil"/>
              <w:bottom w:val="single" w:sz="4" w:space="0" w:color="ADD6EA"/>
              <w:right w:val="nil"/>
            </w:tcBorders>
            <w:shd w:val="clear" w:color="auto" w:fill="auto"/>
            <w:vAlign w:val="center"/>
            <w:hideMark/>
          </w:tcPr>
          <w:p w14:paraId="35131246" w14:textId="77777777" w:rsidR="008A64D8" w:rsidRPr="0072237B" w:rsidRDefault="008A64D8" w:rsidP="004D65FE">
            <w:pPr>
              <w:tabs>
                <w:tab w:val="clear" w:pos="567"/>
              </w:tabs>
              <w:spacing w:before="0" w:line="240" w:lineRule="auto"/>
              <w:rPr>
                <w:rFonts w:eastAsia="Times New Roman" w:cs="Open Sans Light"/>
                <w:color w:val="000000"/>
                <w:sz w:val="16"/>
                <w:szCs w:val="16"/>
                <w:lang w:eastAsia="en-AU"/>
              </w:rPr>
            </w:pPr>
            <w:r w:rsidRPr="0072237B">
              <w:rPr>
                <w:rFonts w:eastAsia="Times New Roman" w:cs="Open Sans Light"/>
                <w:color w:val="000000"/>
                <w:sz w:val="16"/>
                <w:szCs w:val="16"/>
                <w:lang w:eastAsia="en-AU"/>
              </w:rPr>
              <w:t>States</w:t>
            </w:r>
          </w:p>
        </w:tc>
      </w:tr>
      <w:tr w:rsidR="008A64D8" w:rsidRPr="0072237B" w14:paraId="4838301F" w14:textId="77777777" w:rsidTr="004D65FE">
        <w:trPr>
          <w:trHeight w:val="555"/>
        </w:trPr>
        <w:tc>
          <w:tcPr>
            <w:tcW w:w="2977" w:type="dxa"/>
            <w:tcBorders>
              <w:top w:val="nil"/>
              <w:left w:val="nil"/>
              <w:bottom w:val="single" w:sz="4" w:space="0" w:color="ADD6EA"/>
              <w:right w:val="nil"/>
            </w:tcBorders>
            <w:shd w:val="clear" w:color="auto" w:fill="auto"/>
            <w:vAlign w:val="center"/>
            <w:hideMark/>
          </w:tcPr>
          <w:p w14:paraId="18825CF2" w14:textId="77777777" w:rsidR="008A64D8" w:rsidRPr="0072237B" w:rsidRDefault="008A64D8" w:rsidP="004D65FE">
            <w:pPr>
              <w:tabs>
                <w:tab w:val="clear" w:pos="567"/>
              </w:tabs>
              <w:spacing w:before="0" w:line="240" w:lineRule="auto"/>
              <w:rPr>
                <w:rFonts w:eastAsia="Times New Roman" w:cs="Open Sans Light"/>
                <w:color w:val="000000"/>
                <w:sz w:val="16"/>
                <w:szCs w:val="16"/>
                <w:lang w:eastAsia="en-AU"/>
              </w:rPr>
            </w:pPr>
            <w:r w:rsidRPr="0072237B">
              <w:rPr>
                <w:rFonts w:eastAsia="Times New Roman" w:cs="Open Sans Light"/>
                <w:color w:val="000000"/>
                <w:sz w:val="16"/>
                <w:szCs w:val="16"/>
                <w:lang w:eastAsia="en-AU"/>
              </w:rPr>
              <w:t xml:space="preserve">State public non-financial corporations data for housing and urban transport </w:t>
            </w:r>
          </w:p>
        </w:tc>
        <w:tc>
          <w:tcPr>
            <w:tcW w:w="3119" w:type="dxa"/>
            <w:tcBorders>
              <w:top w:val="nil"/>
              <w:left w:val="nil"/>
              <w:bottom w:val="single" w:sz="4" w:space="0" w:color="ADD6EA"/>
              <w:right w:val="nil"/>
            </w:tcBorders>
            <w:shd w:val="clear" w:color="auto" w:fill="auto"/>
            <w:vAlign w:val="center"/>
            <w:hideMark/>
          </w:tcPr>
          <w:p w14:paraId="5C347D9D" w14:textId="77777777" w:rsidR="008A64D8" w:rsidRPr="0072237B" w:rsidRDefault="008A64D8" w:rsidP="004D65FE">
            <w:pPr>
              <w:tabs>
                <w:tab w:val="clear" w:pos="567"/>
              </w:tabs>
              <w:spacing w:before="0" w:line="240" w:lineRule="auto"/>
              <w:rPr>
                <w:rFonts w:eastAsia="Times New Roman" w:cs="Open Sans Light"/>
                <w:color w:val="000000"/>
                <w:sz w:val="16"/>
                <w:szCs w:val="16"/>
                <w:lang w:eastAsia="en-AU"/>
              </w:rPr>
            </w:pPr>
            <w:r w:rsidRPr="0072237B">
              <w:rPr>
                <w:rFonts w:eastAsia="Times New Roman" w:cs="Open Sans Light"/>
                <w:color w:val="000000"/>
                <w:sz w:val="16"/>
                <w:szCs w:val="16"/>
                <w:lang w:eastAsia="en-AU"/>
              </w:rPr>
              <w:t>GFS</w:t>
            </w:r>
          </w:p>
        </w:tc>
        <w:tc>
          <w:tcPr>
            <w:tcW w:w="2835" w:type="dxa"/>
            <w:tcBorders>
              <w:top w:val="nil"/>
              <w:left w:val="nil"/>
              <w:bottom w:val="single" w:sz="4" w:space="0" w:color="ADD6EA"/>
              <w:right w:val="nil"/>
            </w:tcBorders>
            <w:shd w:val="clear" w:color="auto" w:fill="auto"/>
            <w:vAlign w:val="center"/>
            <w:hideMark/>
          </w:tcPr>
          <w:p w14:paraId="64C3D7BC" w14:textId="77777777" w:rsidR="008A64D8" w:rsidRPr="0072237B" w:rsidRDefault="008A64D8" w:rsidP="004D65FE">
            <w:pPr>
              <w:tabs>
                <w:tab w:val="clear" w:pos="567"/>
              </w:tabs>
              <w:spacing w:before="0" w:line="240" w:lineRule="auto"/>
              <w:rPr>
                <w:rFonts w:eastAsia="Times New Roman" w:cs="Open Sans Light"/>
                <w:color w:val="000000"/>
                <w:sz w:val="16"/>
                <w:szCs w:val="16"/>
                <w:lang w:eastAsia="en-AU"/>
              </w:rPr>
            </w:pPr>
            <w:r w:rsidRPr="0072237B">
              <w:rPr>
                <w:rFonts w:eastAsia="Times New Roman" w:cs="Open Sans Light"/>
                <w:color w:val="000000"/>
                <w:sz w:val="16"/>
                <w:szCs w:val="16"/>
                <w:lang w:eastAsia="en-AU"/>
              </w:rPr>
              <w:t>States</w:t>
            </w:r>
          </w:p>
        </w:tc>
      </w:tr>
    </w:tbl>
    <w:p w14:paraId="2E9AF386" w14:textId="77777777" w:rsidR="008A64D8" w:rsidRDefault="008A64D8" w:rsidP="008A64D8">
      <w:pPr>
        <w:pStyle w:val="Heading3"/>
      </w:pPr>
      <w:r>
        <w:t>Data adjustments</w:t>
      </w:r>
    </w:p>
    <w:p w14:paraId="097D227E" w14:textId="77777777" w:rsidR="008A64D8" w:rsidRPr="004F23C5" w:rsidRDefault="008A64D8" w:rsidP="00F47EC7">
      <w:pPr>
        <w:pStyle w:val="CGCParaNumber"/>
      </w:pPr>
      <w:r>
        <w:t xml:space="preserve">Adjustments are applied to State revenue and expenses to improve interstate </w:t>
      </w:r>
      <w:r w:rsidRPr="004F23C5">
        <w:t xml:space="preserve">comparability where GFS data are not comparable across States or where the treatment of the transaction in GFS differs from what </w:t>
      </w:r>
      <w:r>
        <w:t>the Commission’s</w:t>
      </w:r>
      <w:r w:rsidRPr="004F23C5">
        <w:t xml:space="preserve"> assessments require.</w:t>
      </w:r>
    </w:p>
    <w:p w14:paraId="20A0E1D7" w14:textId="458BDAA5" w:rsidR="008A64D8" w:rsidRDefault="008A64D8" w:rsidP="00F47EC7">
      <w:pPr>
        <w:pStyle w:val="CGCParaNumber"/>
      </w:pPr>
      <w:r>
        <w:t xml:space="preserve">For simplicity, in this review, the Commission has removed minor adjustments that do not have a material impact on State fiscal capacities. </w:t>
      </w:r>
      <w:r w:rsidRPr="004F23C5">
        <w:t>Major adjustments</w:t>
      </w:r>
      <w:r>
        <w:t xml:space="preserve"> undertaken for the 2020 Review are summarised in </w:t>
      </w:r>
      <w:r>
        <w:fldChar w:fldCharType="begin"/>
      </w:r>
      <w:r>
        <w:instrText xml:space="preserve"> REF _Ref32480588 \h </w:instrText>
      </w:r>
      <w:r>
        <w:fldChar w:fldCharType="separate"/>
      </w:r>
      <w:r w:rsidR="007F721A">
        <w:t>Table 32-</w:t>
      </w:r>
      <w:r w:rsidR="007F721A">
        <w:rPr>
          <w:noProof/>
        </w:rPr>
        <w:t>4</w:t>
      </w:r>
      <w:r>
        <w:fldChar w:fldCharType="end"/>
      </w:r>
      <w:r>
        <w:t>. These are based on analysis of GFS unit records and information collected from the States.</w:t>
      </w:r>
      <w:r w:rsidR="006C5D21">
        <w:t xml:space="preserve"> </w:t>
      </w:r>
    </w:p>
    <w:p w14:paraId="5704B312" w14:textId="27A08769" w:rsidR="008A64D8" w:rsidRDefault="008A64D8" w:rsidP="008A64D8">
      <w:pPr>
        <w:pStyle w:val="Caption"/>
      </w:pPr>
      <w:bookmarkStart w:id="679" w:name="_Ref32480588"/>
      <w:r>
        <w:t>Table 32-</w:t>
      </w:r>
      <w:fldSimple w:instr=" SEQ Table \* ARABIC ">
        <w:r w:rsidR="007F721A">
          <w:rPr>
            <w:noProof/>
          </w:rPr>
          <w:t>4</w:t>
        </w:r>
      </w:fldSimple>
      <w:bookmarkEnd w:id="679"/>
      <w:r>
        <w:tab/>
        <w:t>Major adjustments to State general government sector revenue and expenses for the 2020 Review</w:t>
      </w:r>
    </w:p>
    <w:tbl>
      <w:tblPr>
        <w:tblW w:w="4989" w:type="pct"/>
        <w:tblBorders>
          <w:top w:val="single" w:sz="6" w:space="0" w:color="ADD6EA"/>
          <w:bottom w:val="single" w:sz="4" w:space="0" w:color="ADD6EA"/>
        </w:tblBorders>
        <w:tblCellMar>
          <w:left w:w="28" w:type="dxa"/>
          <w:right w:w="85" w:type="dxa"/>
        </w:tblCellMar>
        <w:tblLook w:val="0000" w:firstRow="0" w:lastRow="0" w:firstColumn="0" w:lastColumn="0" w:noHBand="0" w:noVBand="0"/>
      </w:tblPr>
      <w:tblGrid>
        <w:gridCol w:w="2728"/>
        <w:gridCol w:w="6316"/>
      </w:tblGrid>
      <w:tr w:rsidR="008A64D8" w:rsidRPr="008E62DB" w14:paraId="6983CAE5" w14:textId="77777777" w:rsidTr="004D65FE">
        <w:trPr>
          <w:trHeight w:val="368"/>
        </w:trPr>
        <w:tc>
          <w:tcPr>
            <w:tcW w:w="1508" w:type="pct"/>
            <w:tcBorders>
              <w:bottom w:val="nil"/>
            </w:tcBorders>
            <w:shd w:val="clear" w:color="auto" w:fill="006991"/>
            <w:vAlign w:val="center"/>
          </w:tcPr>
          <w:p w14:paraId="6A569BB1" w14:textId="77777777" w:rsidR="008A64D8" w:rsidRPr="008E62DB" w:rsidRDefault="008A64D8" w:rsidP="004D65FE">
            <w:pPr>
              <w:pStyle w:val="CGCTableheader"/>
            </w:pPr>
            <w:r w:rsidRPr="008E62DB">
              <w:t>Affected categories</w:t>
            </w:r>
          </w:p>
        </w:tc>
        <w:tc>
          <w:tcPr>
            <w:tcW w:w="3492" w:type="pct"/>
            <w:tcBorders>
              <w:bottom w:val="nil"/>
            </w:tcBorders>
            <w:shd w:val="clear" w:color="auto" w:fill="006991"/>
            <w:vAlign w:val="center"/>
          </w:tcPr>
          <w:p w14:paraId="179FD38F" w14:textId="77777777" w:rsidR="008A64D8" w:rsidRPr="008E62DB" w:rsidRDefault="008A64D8" w:rsidP="004D65FE">
            <w:pPr>
              <w:pStyle w:val="CGCTableheader"/>
            </w:pPr>
            <w:r w:rsidRPr="008E62DB">
              <w:rPr>
                <w:rFonts w:eastAsia="Times New Roman"/>
                <w:lang w:eastAsia="en-AU"/>
              </w:rPr>
              <w:t>Adjustments (for some or all States)</w:t>
            </w:r>
          </w:p>
        </w:tc>
      </w:tr>
      <w:tr w:rsidR="008A64D8" w:rsidRPr="008E62DB" w14:paraId="1502A46D" w14:textId="77777777" w:rsidTr="004D65FE">
        <w:trPr>
          <w:trHeight w:val="465"/>
        </w:trPr>
        <w:tc>
          <w:tcPr>
            <w:tcW w:w="1508" w:type="pct"/>
            <w:tcBorders>
              <w:top w:val="nil"/>
              <w:bottom w:val="single" w:sz="4" w:space="0" w:color="ADD6EA"/>
            </w:tcBorders>
          </w:tcPr>
          <w:p w14:paraId="000BAB02" w14:textId="77777777" w:rsidR="008A64D8" w:rsidRPr="00DC0579" w:rsidRDefault="008A64D8" w:rsidP="004D65FE">
            <w:pPr>
              <w:tabs>
                <w:tab w:val="clear" w:pos="567"/>
              </w:tabs>
              <w:spacing w:before="0" w:line="240" w:lineRule="auto"/>
              <w:rPr>
                <w:rFonts w:eastAsia="Times New Roman" w:cs="Open Sans Light"/>
                <w:color w:val="000000"/>
                <w:sz w:val="16"/>
                <w:szCs w:val="16"/>
                <w:lang w:eastAsia="en-AU"/>
              </w:rPr>
            </w:pPr>
            <w:r w:rsidRPr="00DC0579">
              <w:rPr>
                <w:rFonts w:eastAsia="Times New Roman" w:cs="Open Sans Light"/>
                <w:color w:val="000000"/>
                <w:sz w:val="16"/>
                <w:szCs w:val="16"/>
                <w:lang w:eastAsia="en-AU"/>
              </w:rPr>
              <w:t>Welfare, Transport, Services to communities</w:t>
            </w:r>
          </w:p>
        </w:tc>
        <w:tc>
          <w:tcPr>
            <w:tcW w:w="3492" w:type="pct"/>
            <w:tcBorders>
              <w:top w:val="nil"/>
              <w:bottom w:val="single" w:sz="4" w:space="0" w:color="ADD6EA"/>
            </w:tcBorders>
          </w:tcPr>
          <w:p w14:paraId="5AAC09D9" w14:textId="77777777" w:rsidR="008A64D8" w:rsidRPr="00DC0579" w:rsidRDefault="008A64D8" w:rsidP="004D65FE">
            <w:pPr>
              <w:tabs>
                <w:tab w:val="clear" w:pos="567"/>
              </w:tabs>
              <w:spacing w:before="0" w:line="240" w:lineRule="auto"/>
              <w:rPr>
                <w:rFonts w:eastAsia="Times New Roman" w:cs="Open Sans Light"/>
                <w:color w:val="000000"/>
                <w:sz w:val="16"/>
                <w:szCs w:val="16"/>
                <w:lang w:eastAsia="en-AU"/>
              </w:rPr>
            </w:pPr>
            <w:r w:rsidRPr="00DC0579">
              <w:rPr>
                <w:rFonts w:eastAsia="Times New Roman" w:cs="Open Sans Light"/>
                <w:color w:val="000000"/>
                <w:sz w:val="16"/>
                <w:szCs w:val="16"/>
                <w:lang w:eastAsia="en-AU"/>
              </w:rPr>
              <w:t>Reclassification of water and electricity concessions from Services to communities to Welfare. Also, reclassify transport concessions from Welfare to Transport.</w:t>
            </w:r>
          </w:p>
        </w:tc>
      </w:tr>
      <w:tr w:rsidR="008A64D8" w:rsidRPr="008E62DB" w14:paraId="4CE73816" w14:textId="77777777" w:rsidTr="004D65FE">
        <w:trPr>
          <w:trHeight w:val="465"/>
        </w:trPr>
        <w:tc>
          <w:tcPr>
            <w:tcW w:w="1508" w:type="pct"/>
            <w:tcBorders>
              <w:top w:val="single" w:sz="4" w:space="0" w:color="ADD6EA"/>
              <w:bottom w:val="single" w:sz="4" w:space="0" w:color="ADD6EA"/>
            </w:tcBorders>
          </w:tcPr>
          <w:p w14:paraId="216A9B81" w14:textId="77777777" w:rsidR="008A64D8" w:rsidRPr="008E62DB" w:rsidRDefault="008A64D8" w:rsidP="004D65FE">
            <w:pPr>
              <w:pStyle w:val="CGCTablerow"/>
              <w:rPr>
                <w:rFonts w:cs="Open Sans Light"/>
              </w:rPr>
            </w:pPr>
            <w:r w:rsidRPr="008E62DB">
              <w:rPr>
                <w:rFonts w:cs="Open Sans Light"/>
              </w:rPr>
              <w:t>Roads and Other expenses</w:t>
            </w:r>
          </w:p>
        </w:tc>
        <w:tc>
          <w:tcPr>
            <w:tcW w:w="3492" w:type="pct"/>
            <w:tcBorders>
              <w:top w:val="single" w:sz="4" w:space="0" w:color="ADD6EA"/>
              <w:bottom w:val="single" w:sz="4" w:space="0" w:color="ADD6EA"/>
            </w:tcBorders>
          </w:tcPr>
          <w:p w14:paraId="11DC564B" w14:textId="77777777" w:rsidR="008A64D8" w:rsidRPr="008E62DB" w:rsidRDefault="008A64D8" w:rsidP="004D65FE">
            <w:pPr>
              <w:pStyle w:val="CGCTablerow"/>
              <w:rPr>
                <w:rFonts w:eastAsia="Times New Roman" w:cs="Open Sans Light"/>
                <w:lang w:eastAsia="en-AU"/>
              </w:rPr>
            </w:pPr>
            <w:r w:rsidRPr="008E62DB">
              <w:rPr>
                <w:rFonts w:cs="Open Sans Light"/>
              </w:rPr>
              <w:t>Reclassification of Queensland Reconstruction Authority’s expenses on roads from Roads to Other expenses — natural disaster</w:t>
            </w:r>
            <w:r>
              <w:rPr>
                <w:rFonts w:cs="Open Sans Light"/>
              </w:rPr>
              <w:t xml:space="preserve"> relief</w:t>
            </w:r>
            <w:r w:rsidRPr="008E62DB">
              <w:rPr>
                <w:rFonts w:cs="Open Sans Light"/>
              </w:rPr>
              <w:t>.</w:t>
            </w:r>
          </w:p>
        </w:tc>
      </w:tr>
    </w:tbl>
    <w:p w14:paraId="43099FF6" w14:textId="77777777" w:rsidR="0096262F" w:rsidRDefault="0096262F" w:rsidP="0096262F"/>
    <w:p w14:paraId="31170D4E" w14:textId="77777777" w:rsidR="0096262F" w:rsidRDefault="0096262F" w:rsidP="0096262F"/>
    <w:p w14:paraId="6A5B14ED" w14:textId="21A0CE4C" w:rsidR="0096262F" w:rsidRDefault="0096262F" w:rsidP="0096262F">
      <w:pPr>
        <w:sectPr w:rsidR="0096262F" w:rsidSect="004D65FE">
          <w:footerReference w:type="default" r:id="rId68"/>
          <w:footerReference w:type="first" r:id="rId69"/>
          <w:footnotePr>
            <w:numRestart w:val="eachSect"/>
          </w:footnotePr>
          <w:pgSz w:w="11899" w:h="16838" w:code="9"/>
          <w:pgMar w:top="1418" w:right="1474" w:bottom="1418" w:left="1474" w:header="709" w:footer="567" w:gutter="0"/>
          <w:cols w:space="708"/>
          <w:titlePg/>
          <w:docGrid w:linePitch="299"/>
        </w:sectPr>
      </w:pPr>
    </w:p>
    <w:p w14:paraId="363F8576" w14:textId="5BAFDF28" w:rsidR="008A64D8" w:rsidRDefault="008A64D8" w:rsidP="00791240">
      <w:pPr>
        <w:pStyle w:val="Heading1"/>
        <w:ind w:left="0" w:firstLine="0"/>
      </w:pPr>
      <w:bookmarkStart w:id="680" w:name="_Toc32922497"/>
      <w:r>
        <w:lastRenderedPageBreak/>
        <w:t>Attachment 32-A: Code rules for mapping GFS data</w:t>
      </w:r>
      <w:bookmarkEnd w:id="680"/>
      <w:r>
        <w:t xml:space="preserve"> </w:t>
      </w:r>
    </w:p>
    <w:p w14:paraId="3DEFD68F" w14:textId="77777777" w:rsidR="008A64D8" w:rsidRPr="005F71AE" w:rsidRDefault="008A64D8" w:rsidP="00A948B0">
      <w:pPr>
        <w:pStyle w:val="CGCParaNumber"/>
        <w:numPr>
          <w:ilvl w:val="0"/>
          <w:numId w:val="55"/>
        </w:numPr>
        <w:ind w:left="567" w:hanging="567"/>
      </w:pPr>
      <w:r w:rsidRPr="005F71AE">
        <w:t>The Commission uses a set of code rules to classify the GFS data to the Commission’s assessment categories. For all categories, the Commission uses the Australian System of Government Finance Statistics 2015 (AGFS15) transactions with the following codes.</w:t>
      </w:r>
      <w:r w:rsidRPr="005F71AE">
        <w:rPr>
          <w:rStyle w:val="FootnoteReference"/>
        </w:rPr>
        <w:footnoteReference w:id="144"/>
      </w:r>
      <w:r w:rsidRPr="005F71AE">
        <w:t xml:space="preserve"> </w:t>
      </w:r>
    </w:p>
    <w:p w14:paraId="35070BDC" w14:textId="77777777" w:rsidR="008A64D8" w:rsidRDefault="008A64D8" w:rsidP="008A64D8">
      <w:pPr>
        <w:pStyle w:val="CGCBullet1"/>
      </w:pPr>
      <w:r w:rsidRPr="00CC5FEF">
        <w:t>Level of Government classification (LOG) = 2 (State)</w:t>
      </w:r>
    </w:p>
    <w:p w14:paraId="6A5EBD94" w14:textId="77777777" w:rsidR="008A64D8" w:rsidRDefault="008A64D8" w:rsidP="008A64D8">
      <w:pPr>
        <w:pStyle w:val="CGCBullet1"/>
      </w:pPr>
      <w:r>
        <w:t>Jurisdiction classification (JUR)</w:t>
      </w:r>
    </w:p>
    <w:p w14:paraId="4F9BBB9E" w14:textId="77777777" w:rsidR="008A64D8" w:rsidRDefault="008A64D8" w:rsidP="008A64D8">
      <w:pPr>
        <w:pStyle w:val="CGCBullet1"/>
      </w:pPr>
      <w:r w:rsidRPr="00CC5FEF">
        <w:t>Institutional sector classification (INST) = 300 (general government) other than Housing and Urban transport</w:t>
      </w:r>
    </w:p>
    <w:p w14:paraId="247988F9" w14:textId="77777777" w:rsidR="008A64D8" w:rsidRDefault="008A64D8" w:rsidP="008A64D8">
      <w:pPr>
        <w:pStyle w:val="CGCBullet1"/>
      </w:pPr>
      <w:r w:rsidRPr="00CC5FEF">
        <w:t xml:space="preserve">For Housing and Urban transport, </w:t>
      </w:r>
      <w:r>
        <w:t xml:space="preserve">INST = </w:t>
      </w:r>
      <w:r w:rsidRPr="00CC5FEF">
        <w:t>300 (GG) and 100 (public non-financial corporations (PNFC)) and remove trans</w:t>
      </w:r>
      <w:r>
        <w:t>action</w:t>
      </w:r>
      <w:r w:rsidRPr="00CC5FEF">
        <w:t>s between the two sectors</w:t>
      </w:r>
    </w:p>
    <w:p w14:paraId="65887380" w14:textId="77777777" w:rsidR="008A64D8" w:rsidRDefault="008A64D8" w:rsidP="008A64D8">
      <w:pPr>
        <w:pStyle w:val="CGCBullet1"/>
      </w:pPr>
      <w:r w:rsidRPr="00CC5FEF">
        <w:t>ETF (Economic type framework)</w:t>
      </w:r>
    </w:p>
    <w:p w14:paraId="3EC3D46F" w14:textId="77777777" w:rsidR="008A64D8" w:rsidRDefault="008A64D8" w:rsidP="008A64D8">
      <w:pPr>
        <w:pStyle w:val="CGCBullet1"/>
      </w:pPr>
      <w:r w:rsidRPr="00CC5FEF">
        <w:t xml:space="preserve">COFOG-A (Classification of the functions of government </w:t>
      </w:r>
      <w:r>
        <w:t>–</w:t>
      </w:r>
      <w:r w:rsidRPr="00CC5FEF">
        <w:t xml:space="preserve"> Australia)</w:t>
      </w:r>
    </w:p>
    <w:p w14:paraId="79B9857B" w14:textId="77777777" w:rsidR="008A64D8" w:rsidRDefault="008A64D8" w:rsidP="008A64D8">
      <w:pPr>
        <w:pStyle w:val="CGCBullet1"/>
      </w:pPr>
      <w:r w:rsidRPr="00CC5FEF">
        <w:t>TC (Taxes classification)</w:t>
      </w:r>
    </w:p>
    <w:p w14:paraId="5D42B3BF" w14:textId="77777777" w:rsidR="008A64D8" w:rsidRDefault="008A64D8" w:rsidP="008A64D8">
      <w:pPr>
        <w:pStyle w:val="CGCBullet1"/>
      </w:pPr>
      <w:r w:rsidRPr="00CC5FEF">
        <w:t>SDC (Sou</w:t>
      </w:r>
      <w:r>
        <w:t>rce destination classification)</w:t>
      </w:r>
    </w:p>
    <w:p w14:paraId="62F68E29" w14:textId="77777777" w:rsidR="008A64D8" w:rsidRDefault="008A64D8" w:rsidP="008A64D8">
      <w:pPr>
        <w:pStyle w:val="CGCBullet1"/>
      </w:pPr>
      <w:r>
        <w:t>TALC (Type of assets and liability classification) for transactions in non-financial assets.</w:t>
      </w:r>
    </w:p>
    <w:p w14:paraId="27B8AAB0" w14:textId="77777777" w:rsidR="008A64D8" w:rsidRDefault="008A64D8" w:rsidP="00F47EC7">
      <w:pPr>
        <w:pStyle w:val="CGCParaNumber"/>
      </w:pPr>
      <w:r>
        <w:t>Table 32A-1 provides the code rules for the general government sector transactions and Table 32A-2 provides the code rules for housing and urban transport which cover transactions for both general government and public non-financial corporations sectors.</w:t>
      </w:r>
    </w:p>
    <w:p w14:paraId="7278FC13" w14:textId="77777777" w:rsidR="008A64D8" w:rsidRDefault="008A64D8" w:rsidP="00B3483A"/>
    <w:p w14:paraId="266B5273" w14:textId="77777777" w:rsidR="008A64D8" w:rsidRDefault="008A64D8" w:rsidP="00B3483A"/>
    <w:p w14:paraId="7E46CED4" w14:textId="77777777" w:rsidR="008A64D8" w:rsidRDefault="008A64D8" w:rsidP="00B3483A">
      <w:pPr>
        <w:sectPr w:rsidR="008A64D8" w:rsidSect="004D65FE">
          <w:footnotePr>
            <w:numRestart w:val="eachSect"/>
          </w:footnotePr>
          <w:pgSz w:w="11899" w:h="16838" w:code="9"/>
          <w:pgMar w:top="1418" w:right="1474" w:bottom="1418" w:left="1474" w:header="709" w:footer="567" w:gutter="0"/>
          <w:cols w:space="708"/>
          <w:titlePg/>
          <w:docGrid w:linePitch="299"/>
        </w:sectPr>
      </w:pPr>
    </w:p>
    <w:p w14:paraId="7D799F09" w14:textId="77777777" w:rsidR="008A64D8" w:rsidRDefault="008A64D8" w:rsidP="008A64D8">
      <w:pPr>
        <w:pStyle w:val="Caption"/>
      </w:pPr>
      <w:r>
        <w:lastRenderedPageBreak/>
        <w:t xml:space="preserve">Table 32A-1 </w:t>
      </w:r>
      <w:r>
        <w:tab/>
        <w:t>Categories and their relevant GFS codes – general government (INST=300)</w:t>
      </w:r>
    </w:p>
    <w:tbl>
      <w:tblPr>
        <w:tblW w:w="8963" w:type="dxa"/>
        <w:tblBorders>
          <w:top w:val="single" w:sz="6" w:space="0" w:color="ADD6EA"/>
          <w:bottom w:val="single" w:sz="6" w:space="0" w:color="ADD6EA"/>
          <w:insideH w:val="single" w:sz="6" w:space="0" w:color="ADD6EA"/>
        </w:tblBorders>
        <w:tblCellMar>
          <w:left w:w="28" w:type="dxa"/>
          <w:right w:w="28" w:type="dxa"/>
        </w:tblCellMar>
        <w:tblLook w:val="0000" w:firstRow="0" w:lastRow="0" w:firstColumn="0" w:lastColumn="0" w:noHBand="0" w:noVBand="0"/>
      </w:tblPr>
      <w:tblGrid>
        <w:gridCol w:w="1174"/>
        <w:gridCol w:w="2716"/>
        <w:gridCol w:w="3533"/>
        <w:gridCol w:w="1540"/>
      </w:tblGrid>
      <w:tr w:rsidR="008A64D8" w:rsidRPr="000C09F3" w14:paraId="09EB267C" w14:textId="77777777" w:rsidTr="00CE0A11">
        <w:trPr>
          <w:trHeight w:val="371"/>
        </w:trPr>
        <w:tc>
          <w:tcPr>
            <w:tcW w:w="654" w:type="pct"/>
            <w:shd w:val="clear" w:color="auto" w:fill="006991"/>
            <w:vAlign w:val="center"/>
          </w:tcPr>
          <w:p w14:paraId="3DD71E92" w14:textId="77777777" w:rsidR="008A64D8" w:rsidRPr="000C09F3" w:rsidRDefault="008A64D8" w:rsidP="004D65FE">
            <w:pPr>
              <w:pStyle w:val="CGCTableheader"/>
              <w:spacing w:before="40" w:after="40"/>
            </w:pPr>
            <w:r w:rsidRPr="000C09F3">
              <w:t>Category</w:t>
            </w:r>
          </w:p>
        </w:tc>
        <w:tc>
          <w:tcPr>
            <w:tcW w:w="1515" w:type="pct"/>
            <w:shd w:val="clear" w:color="auto" w:fill="006991"/>
            <w:vAlign w:val="center"/>
          </w:tcPr>
          <w:p w14:paraId="00BC9C16" w14:textId="77777777" w:rsidR="008A64D8" w:rsidRPr="000C09F3" w:rsidRDefault="008A64D8" w:rsidP="004D65FE">
            <w:pPr>
              <w:pStyle w:val="CGCTableheader"/>
              <w:spacing w:before="40" w:after="40"/>
            </w:pPr>
            <w:r w:rsidRPr="000C09F3">
              <w:t>ETF</w:t>
            </w:r>
          </w:p>
        </w:tc>
        <w:tc>
          <w:tcPr>
            <w:tcW w:w="1971" w:type="pct"/>
            <w:shd w:val="clear" w:color="auto" w:fill="006991"/>
            <w:vAlign w:val="center"/>
          </w:tcPr>
          <w:p w14:paraId="5EBCB1AF" w14:textId="77777777" w:rsidR="008A64D8" w:rsidRPr="000C09F3" w:rsidRDefault="008A64D8" w:rsidP="004D65FE">
            <w:pPr>
              <w:pStyle w:val="CGCTableheader"/>
              <w:spacing w:before="40" w:after="40"/>
            </w:pPr>
            <w:r w:rsidRPr="000C09F3">
              <w:t>COFOG-A</w:t>
            </w:r>
          </w:p>
        </w:tc>
        <w:tc>
          <w:tcPr>
            <w:tcW w:w="860" w:type="pct"/>
            <w:shd w:val="clear" w:color="auto" w:fill="006991"/>
            <w:vAlign w:val="center"/>
          </w:tcPr>
          <w:p w14:paraId="07F98189" w14:textId="77777777" w:rsidR="008A64D8" w:rsidRPr="000C09F3" w:rsidRDefault="008A64D8" w:rsidP="004D65FE">
            <w:pPr>
              <w:pStyle w:val="CGCTableheader"/>
              <w:spacing w:before="40" w:after="40"/>
            </w:pPr>
            <w:r w:rsidRPr="000C09F3">
              <w:t>SDC</w:t>
            </w:r>
          </w:p>
        </w:tc>
      </w:tr>
      <w:tr w:rsidR="008A64D8" w:rsidRPr="00F11990" w14:paraId="5A94B090" w14:textId="77777777" w:rsidTr="00CE0A11">
        <w:tc>
          <w:tcPr>
            <w:tcW w:w="5000" w:type="pct"/>
            <w:gridSpan w:val="4"/>
            <w:shd w:val="clear" w:color="auto" w:fill="B6D5E4"/>
          </w:tcPr>
          <w:p w14:paraId="1D3021FD" w14:textId="77777777" w:rsidR="008A64D8" w:rsidRPr="00F11990" w:rsidRDefault="008A64D8" w:rsidP="004D65FE">
            <w:pPr>
              <w:pStyle w:val="CGCTablesubhead1"/>
            </w:pPr>
            <w:r w:rsidRPr="009E501E">
              <w:t>Commonwealth payments</w:t>
            </w:r>
          </w:p>
        </w:tc>
      </w:tr>
      <w:tr w:rsidR="008A64D8" w:rsidRPr="00F11990" w14:paraId="2B33B9A2" w14:textId="77777777" w:rsidTr="00CE0A11">
        <w:tc>
          <w:tcPr>
            <w:tcW w:w="654" w:type="pct"/>
          </w:tcPr>
          <w:p w14:paraId="1546735C" w14:textId="77777777" w:rsidR="008A64D8" w:rsidRPr="009E62DD" w:rsidRDefault="008A64D8" w:rsidP="004D65FE">
            <w:pPr>
              <w:pStyle w:val="CGCTablesubhead1"/>
              <w:rPr>
                <w:rFonts w:ascii="Open Sans Light" w:hAnsi="Open Sans Light" w:cs="Open Sans Light"/>
              </w:rPr>
            </w:pPr>
          </w:p>
        </w:tc>
        <w:tc>
          <w:tcPr>
            <w:tcW w:w="1515" w:type="pct"/>
          </w:tcPr>
          <w:p w14:paraId="4AC44B3E" w14:textId="77777777" w:rsidR="008A64D8" w:rsidRPr="00F11990" w:rsidRDefault="008A64D8" w:rsidP="004D65FE">
            <w:pPr>
              <w:pStyle w:val="CGCTablerow"/>
              <w:ind w:left="397" w:hanging="397"/>
            </w:pPr>
            <w:r w:rsidRPr="00F11990">
              <w:t>1141 Revenue from current grants and subsidies</w:t>
            </w:r>
          </w:p>
          <w:p w14:paraId="6787538D" w14:textId="77777777" w:rsidR="008A64D8" w:rsidRPr="00F11990" w:rsidRDefault="008A64D8" w:rsidP="004D65FE">
            <w:pPr>
              <w:pStyle w:val="CGCTablerow"/>
              <w:ind w:left="397" w:hanging="397"/>
            </w:pPr>
            <w:r w:rsidRPr="00F11990">
              <w:t>1151 Revenue from capital grants</w:t>
            </w:r>
          </w:p>
        </w:tc>
        <w:tc>
          <w:tcPr>
            <w:tcW w:w="1971" w:type="pct"/>
          </w:tcPr>
          <w:p w14:paraId="4D9D33BF" w14:textId="77777777" w:rsidR="008A64D8" w:rsidRPr="00F11990" w:rsidRDefault="008A64D8" w:rsidP="004D65FE">
            <w:pPr>
              <w:pStyle w:val="CGCTablerow"/>
            </w:pPr>
            <w:r w:rsidRPr="00F11990">
              <w:t>All</w:t>
            </w:r>
          </w:p>
        </w:tc>
        <w:tc>
          <w:tcPr>
            <w:tcW w:w="860" w:type="pct"/>
          </w:tcPr>
          <w:p w14:paraId="22D6F2F7" w14:textId="77777777" w:rsidR="008A64D8" w:rsidRPr="00F11990" w:rsidRDefault="008A64D8" w:rsidP="004D65FE">
            <w:pPr>
              <w:pStyle w:val="CGCTablerow"/>
            </w:pPr>
            <w:r w:rsidRPr="00F11990">
              <w:t>130 Commonwealth GG</w:t>
            </w:r>
          </w:p>
        </w:tc>
      </w:tr>
      <w:tr w:rsidR="008A64D8" w:rsidRPr="00F11990" w14:paraId="131AD8FB" w14:textId="77777777" w:rsidTr="00CE0A11">
        <w:trPr>
          <w:trHeight w:val="252"/>
        </w:trPr>
        <w:tc>
          <w:tcPr>
            <w:tcW w:w="655" w:type="pct"/>
            <w:shd w:val="clear" w:color="auto" w:fill="B6D5E4"/>
          </w:tcPr>
          <w:p w14:paraId="1C9818D9" w14:textId="77777777" w:rsidR="008A64D8" w:rsidRPr="00F11990" w:rsidRDefault="008A64D8" w:rsidP="004D65FE">
            <w:pPr>
              <w:pStyle w:val="CGCTablesubhead1"/>
            </w:pPr>
            <w:r w:rsidRPr="00F11990">
              <w:t>Revenue</w:t>
            </w:r>
          </w:p>
        </w:tc>
        <w:tc>
          <w:tcPr>
            <w:tcW w:w="1515" w:type="pct"/>
            <w:shd w:val="clear" w:color="auto" w:fill="B6D5E4"/>
          </w:tcPr>
          <w:p w14:paraId="11FDEBD1" w14:textId="77777777" w:rsidR="008A64D8" w:rsidRPr="00F11990" w:rsidRDefault="008A64D8" w:rsidP="004D65FE">
            <w:pPr>
              <w:pStyle w:val="CGCTablesubhead1"/>
            </w:pPr>
          </w:p>
        </w:tc>
        <w:tc>
          <w:tcPr>
            <w:tcW w:w="1969" w:type="pct"/>
            <w:shd w:val="clear" w:color="auto" w:fill="B6D5E4"/>
          </w:tcPr>
          <w:p w14:paraId="554C6021" w14:textId="77777777" w:rsidR="008A64D8" w:rsidRPr="00F11990" w:rsidRDefault="008A64D8" w:rsidP="004D65FE">
            <w:pPr>
              <w:pStyle w:val="CGCTablesubhead1"/>
            </w:pPr>
          </w:p>
        </w:tc>
        <w:tc>
          <w:tcPr>
            <w:tcW w:w="859" w:type="pct"/>
            <w:shd w:val="clear" w:color="auto" w:fill="B6D5E4"/>
          </w:tcPr>
          <w:p w14:paraId="6E10BC75" w14:textId="77777777" w:rsidR="008A64D8" w:rsidRPr="00F11990" w:rsidRDefault="008A64D8" w:rsidP="004D65FE">
            <w:pPr>
              <w:pStyle w:val="CGCTablesubhead1"/>
            </w:pPr>
          </w:p>
        </w:tc>
      </w:tr>
      <w:tr w:rsidR="008A64D8" w:rsidRPr="00F11990" w14:paraId="6A33109D" w14:textId="77777777" w:rsidTr="00CE0A11">
        <w:tc>
          <w:tcPr>
            <w:tcW w:w="655" w:type="pct"/>
          </w:tcPr>
          <w:p w14:paraId="0802CE0F" w14:textId="77777777" w:rsidR="008A64D8" w:rsidRPr="00F11990" w:rsidRDefault="008A64D8" w:rsidP="004D65FE">
            <w:pPr>
              <w:pStyle w:val="CGCTablerow"/>
            </w:pPr>
            <w:r w:rsidRPr="00F11990">
              <w:t>Payroll tax</w:t>
            </w:r>
          </w:p>
        </w:tc>
        <w:tc>
          <w:tcPr>
            <w:tcW w:w="1515" w:type="pct"/>
          </w:tcPr>
          <w:p w14:paraId="6EA7C3C1" w14:textId="77777777" w:rsidR="008A64D8" w:rsidRPr="00F11990" w:rsidRDefault="008A64D8" w:rsidP="004D65FE">
            <w:pPr>
              <w:pStyle w:val="CGCTablerow"/>
            </w:pPr>
            <w:r w:rsidRPr="00F11990">
              <w:t>111 Taxation revenue</w:t>
            </w:r>
          </w:p>
        </w:tc>
        <w:tc>
          <w:tcPr>
            <w:tcW w:w="1969" w:type="pct"/>
          </w:tcPr>
          <w:p w14:paraId="350DA6B2" w14:textId="77777777" w:rsidR="008A64D8" w:rsidRPr="00F11990" w:rsidRDefault="008A64D8" w:rsidP="004D65FE">
            <w:pPr>
              <w:pStyle w:val="CGCTablerow"/>
            </w:pPr>
            <w:r w:rsidRPr="00F11990">
              <w:t>211 Payroll taxes</w:t>
            </w:r>
          </w:p>
          <w:p w14:paraId="67C0BD93" w14:textId="77777777" w:rsidR="008A64D8" w:rsidRPr="00F11990" w:rsidRDefault="008A64D8" w:rsidP="004D65FE">
            <w:pPr>
              <w:pStyle w:val="CGCTablerow"/>
              <w:ind w:left="340" w:hanging="340"/>
            </w:pPr>
            <w:r w:rsidRPr="00F11990">
              <w:t>219 Taxes on employers’ payroll and labour force n.e.c.</w:t>
            </w:r>
          </w:p>
        </w:tc>
        <w:tc>
          <w:tcPr>
            <w:tcW w:w="859" w:type="pct"/>
          </w:tcPr>
          <w:p w14:paraId="6835921B" w14:textId="77777777" w:rsidR="008A64D8" w:rsidRPr="00F11990" w:rsidRDefault="008A64D8" w:rsidP="004D65FE">
            <w:pPr>
              <w:pStyle w:val="CGCTablerow"/>
            </w:pPr>
            <w:r w:rsidRPr="00F11990">
              <w:t>&lt;&gt;"23" &amp; own JUR</w:t>
            </w:r>
          </w:p>
        </w:tc>
      </w:tr>
      <w:tr w:rsidR="008A64D8" w:rsidRPr="00F11990" w14:paraId="0F18B886" w14:textId="77777777" w:rsidTr="00CE0A11">
        <w:tc>
          <w:tcPr>
            <w:tcW w:w="655" w:type="pct"/>
          </w:tcPr>
          <w:p w14:paraId="44114C13" w14:textId="77777777" w:rsidR="008A64D8" w:rsidRPr="00F11990" w:rsidRDefault="008A64D8" w:rsidP="004D65FE">
            <w:pPr>
              <w:pStyle w:val="CGCTablerow"/>
            </w:pPr>
            <w:r w:rsidRPr="00F11990">
              <w:t>Land tax</w:t>
            </w:r>
          </w:p>
        </w:tc>
        <w:tc>
          <w:tcPr>
            <w:tcW w:w="1515" w:type="pct"/>
          </w:tcPr>
          <w:p w14:paraId="66A04419" w14:textId="77777777" w:rsidR="008A64D8" w:rsidRPr="00F11990" w:rsidRDefault="008A64D8" w:rsidP="004D65FE">
            <w:pPr>
              <w:pStyle w:val="CGCTablerow"/>
            </w:pPr>
            <w:r w:rsidRPr="00F11990">
              <w:t>111 Taxation revenue</w:t>
            </w:r>
          </w:p>
        </w:tc>
        <w:tc>
          <w:tcPr>
            <w:tcW w:w="1969" w:type="pct"/>
          </w:tcPr>
          <w:p w14:paraId="2D617310" w14:textId="77777777" w:rsidR="008A64D8" w:rsidRPr="00F11990" w:rsidRDefault="008A64D8" w:rsidP="004D65FE">
            <w:pPr>
              <w:pStyle w:val="CGCTablerow"/>
            </w:pPr>
            <w:r w:rsidRPr="00F11990">
              <w:t>311 Land taxes</w:t>
            </w:r>
          </w:p>
        </w:tc>
        <w:tc>
          <w:tcPr>
            <w:tcW w:w="859" w:type="pct"/>
          </w:tcPr>
          <w:p w14:paraId="0E87E995" w14:textId="77777777" w:rsidR="008A64D8" w:rsidRPr="00F11990" w:rsidRDefault="008A64D8" w:rsidP="004D65FE">
            <w:pPr>
              <w:pStyle w:val="CGCTablerow"/>
            </w:pPr>
            <w:r w:rsidRPr="00F11990">
              <w:t>&lt;&gt;"23" &amp; own JUR</w:t>
            </w:r>
          </w:p>
        </w:tc>
      </w:tr>
      <w:tr w:rsidR="008A64D8" w:rsidRPr="00F11990" w14:paraId="19D322C7" w14:textId="77777777" w:rsidTr="00CE0A11">
        <w:tc>
          <w:tcPr>
            <w:tcW w:w="655" w:type="pct"/>
          </w:tcPr>
          <w:p w14:paraId="426B936B" w14:textId="77777777" w:rsidR="008A64D8" w:rsidRPr="00F11990" w:rsidRDefault="008A64D8" w:rsidP="004D65FE">
            <w:pPr>
              <w:pStyle w:val="CGCTablerow"/>
            </w:pPr>
            <w:r w:rsidRPr="00F11990">
              <w:t>Stamp duty on conveyances</w:t>
            </w:r>
          </w:p>
        </w:tc>
        <w:tc>
          <w:tcPr>
            <w:tcW w:w="1515" w:type="pct"/>
          </w:tcPr>
          <w:p w14:paraId="34034631" w14:textId="77777777" w:rsidR="008A64D8" w:rsidRPr="00F11990" w:rsidRDefault="008A64D8" w:rsidP="004D65FE">
            <w:pPr>
              <w:pStyle w:val="CGCTablerow"/>
            </w:pPr>
            <w:r w:rsidRPr="00F11990">
              <w:t>111 Taxation revenue</w:t>
            </w:r>
          </w:p>
        </w:tc>
        <w:tc>
          <w:tcPr>
            <w:tcW w:w="1969" w:type="pct"/>
          </w:tcPr>
          <w:p w14:paraId="7CA882DD" w14:textId="77777777" w:rsidR="008A64D8" w:rsidRPr="00F11990" w:rsidRDefault="008A64D8" w:rsidP="004D65FE">
            <w:pPr>
              <w:pStyle w:val="CGCTablerow"/>
            </w:pPr>
            <w:r w:rsidRPr="00F11990">
              <w:t>463 Stamp duty on conveyances</w:t>
            </w:r>
          </w:p>
        </w:tc>
        <w:tc>
          <w:tcPr>
            <w:tcW w:w="859" w:type="pct"/>
          </w:tcPr>
          <w:p w14:paraId="67B159E9" w14:textId="77777777" w:rsidR="008A64D8" w:rsidRPr="00F11990" w:rsidRDefault="008A64D8" w:rsidP="004D65FE">
            <w:pPr>
              <w:pStyle w:val="CGCTablerow"/>
            </w:pPr>
            <w:r w:rsidRPr="00F11990">
              <w:t>&lt;&gt;"23" &amp; own JUR</w:t>
            </w:r>
          </w:p>
        </w:tc>
      </w:tr>
      <w:tr w:rsidR="008A64D8" w:rsidRPr="00F11990" w14:paraId="619E5882" w14:textId="77777777" w:rsidTr="00CE0A11">
        <w:tc>
          <w:tcPr>
            <w:tcW w:w="655" w:type="pct"/>
          </w:tcPr>
          <w:p w14:paraId="53E9EBAE" w14:textId="77777777" w:rsidR="008A64D8" w:rsidRPr="00F11990" w:rsidRDefault="008A64D8" w:rsidP="004D65FE">
            <w:pPr>
              <w:pStyle w:val="CGCTablerow"/>
            </w:pPr>
            <w:r w:rsidRPr="00F11990">
              <w:t>Insurance tax</w:t>
            </w:r>
          </w:p>
        </w:tc>
        <w:tc>
          <w:tcPr>
            <w:tcW w:w="1515" w:type="pct"/>
          </w:tcPr>
          <w:p w14:paraId="500365AD" w14:textId="77777777" w:rsidR="008A64D8" w:rsidRPr="00F11990" w:rsidRDefault="008A64D8" w:rsidP="004D65FE">
            <w:pPr>
              <w:pStyle w:val="CGCTablerow"/>
            </w:pPr>
            <w:r w:rsidRPr="00F11990">
              <w:t>111 Taxation revenue</w:t>
            </w:r>
          </w:p>
        </w:tc>
        <w:tc>
          <w:tcPr>
            <w:tcW w:w="1969" w:type="pct"/>
          </w:tcPr>
          <w:p w14:paraId="2D60742B" w14:textId="77777777" w:rsidR="008A64D8" w:rsidRPr="00F11990" w:rsidRDefault="008A64D8" w:rsidP="004D65FE">
            <w:pPr>
              <w:pStyle w:val="CGCTablerow"/>
            </w:pPr>
            <w:r w:rsidRPr="00F11990">
              <w:t>452 Third party insurance taxes</w:t>
            </w:r>
          </w:p>
          <w:p w14:paraId="685552AF" w14:textId="77777777" w:rsidR="008A64D8" w:rsidRPr="00F11990" w:rsidRDefault="008A64D8" w:rsidP="004D65FE">
            <w:pPr>
              <w:pStyle w:val="CGCTablerow"/>
            </w:pPr>
            <w:r w:rsidRPr="00F11990">
              <w:t>459 Taxes on insurance n.e.c.</w:t>
            </w:r>
          </w:p>
        </w:tc>
        <w:tc>
          <w:tcPr>
            <w:tcW w:w="859" w:type="pct"/>
          </w:tcPr>
          <w:p w14:paraId="2C520534" w14:textId="77777777" w:rsidR="008A64D8" w:rsidRPr="00F11990" w:rsidRDefault="008A64D8" w:rsidP="004D65FE">
            <w:pPr>
              <w:pStyle w:val="CGCTablerow"/>
            </w:pPr>
            <w:r w:rsidRPr="00F11990">
              <w:t>&lt;&gt;"23" &amp; own JUR</w:t>
            </w:r>
          </w:p>
        </w:tc>
      </w:tr>
      <w:tr w:rsidR="008A64D8" w:rsidRPr="00F11990" w14:paraId="08C7309E" w14:textId="77777777" w:rsidTr="00CE0A11">
        <w:tc>
          <w:tcPr>
            <w:tcW w:w="655" w:type="pct"/>
          </w:tcPr>
          <w:p w14:paraId="12B64B0C" w14:textId="77777777" w:rsidR="008A64D8" w:rsidRPr="00F11990" w:rsidRDefault="008A64D8" w:rsidP="004D65FE">
            <w:pPr>
              <w:pStyle w:val="CGCTablerow"/>
            </w:pPr>
            <w:r w:rsidRPr="00F11990">
              <w:t>Motor taxes</w:t>
            </w:r>
          </w:p>
        </w:tc>
        <w:tc>
          <w:tcPr>
            <w:tcW w:w="1515" w:type="pct"/>
          </w:tcPr>
          <w:p w14:paraId="7669BA56" w14:textId="77777777" w:rsidR="008A64D8" w:rsidRPr="00F11990" w:rsidRDefault="008A64D8" w:rsidP="004D65FE">
            <w:pPr>
              <w:pStyle w:val="CGCTablerow"/>
            </w:pPr>
            <w:r w:rsidRPr="00F11990">
              <w:t>111 Taxation revenue</w:t>
            </w:r>
          </w:p>
        </w:tc>
        <w:tc>
          <w:tcPr>
            <w:tcW w:w="1969" w:type="pct"/>
          </w:tcPr>
          <w:p w14:paraId="511E712C" w14:textId="77777777" w:rsidR="008A64D8" w:rsidRPr="00F11990" w:rsidRDefault="008A64D8" w:rsidP="004D65FE">
            <w:pPr>
              <w:pStyle w:val="CGCTablerow"/>
            </w:pPr>
            <w:r w:rsidRPr="00F11990">
              <w:t>512 Road transport and maintenance taxes</w:t>
            </w:r>
          </w:p>
          <w:p w14:paraId="17E88F9C" w14:textId="77777777" w:rsidR="008A64D8" w:rsidRPr="00F11990" w:rsidRDefault="008A64D8" w:rsidP="004D65FE">
            <w:pPr>
              <w:pStyle w:val="CGCTablerow"/>
            </w:pPr>
            <w:r w:rsidRPr="00F11990">
              <w:t>513 Heavy vehicle registration fees and taxes</w:t>
            </w:r>
          </w:p>
          <w:p w14:paraId="4FDA195B" w14:textId="77777777" w:rsidR="008A64D8" w:rsidRPr="00F11990" w:rsidRDefault="008A64D8" w:rsidP="004D65FE">
            <w:pPr>
              <w:pStyle w:val="CGCTablerow"/>
            </w:pPr>
            <w:r w:rsidRPr="00F11990">
              <w:t>514 Other vehicle registration fees and taxes</w:t>
            </w:r>
          </w:p>
          <w:p w14:paraId="7D0B8F0C" w14:textId="77777777" w:rsidR="008A64D8" w:rsidRPr="00F11990" w:rsidRDefault="008A64D8" w:rsidP="004D65FE">
            <w:pPr>
              <w:pStyle w:val="CGCTablerow"/>
            </w:pPr>
            <w:r w:rsidRPr="00F11990">
              <w:t>519 Motor vehicle taxes n.e.c.</w:t>
            </w:r>
          </w:p>
        </w:tc>
        <w:tc>
          <w:tcPr>
            <w:tcW w:w="859" w:type="pct"/>
          </w:tcPr>
          <w:p w14:paraId="3F7BBB24" w14:textId="77777777" w:rsidR="008A64D8" w:rsidRPr="00F11990" w:rsidRDefault="008A64D8" w:rsidP="004D65FE">
            <w:pPr>
              <w:pStyle w:val="CGCTablerow"/>
            </w:pPr>
            <w:r w:rsidRPr="00F11990">
              <w:t>&lt;&gt;"23" &amp; own JUR</w:t>
            </w:r>
          </w:p>
        </w:tc>
      </w:tr>
      <w:tr w:rsidR="008A64D8" w:rsidRPr="00F11990" w14:paraId="52957445" w14:textId="77777777" w:rsidTr="00CE0A11">
        <w:tc>
          <w:tcPr>
            <w:tcW w:w="655" w:type="pct"/>
          </w:tcPr>
          <w:p w14:paraId="5CA0DD63" w14:textId="77777777" w:rsidR="008A64D8" w:rsidRPr="00F11990" w:rsidRDefault="008A64D8" w:rsidP="004D65FE">
            <w:pPr>
              <w:pStyle w:val="CGCTablerow"/>
            </w:pPr>
            <w:r w:rsidRPr="00F11990">
              <w:t>Mining revenue</w:t>
            </w:r>
          </w:p>
        </w:tc>
        <w:tc>
          <w:tcPr>
            <w:tcW w:w="1515" w:type="pct"/>
          </w:tcPr>
          <w:p w14:paraId="2259FD74" w14:textId="77777777" w:rsidR="008A64D8" w:rsidRPr="00F11990" w:rsidRDefault="008A64D8" w:rsidP="004D65FE">
            <w:pPr>
              <w:pStyle w:val="CGCTablerow"/>
            </w:pPr>
            <w:r w:rsidRPr="00F11990">
              <w:t>1135 Royalty income</w:t>
            </w:r>
          </w:p>
        </w:tc>
        <w:tc>
          <w:tcPr>
            <w:tcW w:w="1969" w:type="pct"/>
          </w:tcPr>
          <w:p w14:paraId="715D007D" w14:textId="77777777" w:rsidR="008A64D8" w:rsidRPr="00F11990" w:rsidRDefault="008A64D8" w:rsidP="004D65FE">
            <w:pPr>
              <w:pStyle w:val="CGCTablerow"/>
            </w:pPr>
            <w:r w:rsidRPr="00F11990">
              <w:t>No relevant TC</w:t>
            </w:r>
          </w:p>
        </w:tc>
        <w:tc>
          <w:tcPr>
            <w:tcW w:w="859" w:type="pct"/>
          </w:tcPr>
          <w:p w14:paraId="17E8A1D7" w14:textId="77777777" w:rsidR="008A64D8" w:rsidRPr="00F11990" w:rsidRDefault="008A64D8" w:rsidP="004D65FE">
            <w:pPr>
              <w:pStyle w:val="CGCTablerow"/>
            </w:pPr>
            <w:r w:rsidRPr="00F11990">
              <w:t>&lt;&gt;"23" &amp; own JUR</w:t>
            </w:r>
          </w:p>
        </w:tc>
      </w:tr>
      <w:tr w:rsidR="008A64D8" w:rsidRPr="00F11990" w14:paraId="0E0850B4" w14:textId="77777777" w:rsidTr="00CE0A11">
        <w:tc>
          <w:tcPr>
            <w:tcW w:w="655" w:type="pct"/>
          </w:tcPr>
          <w:p w14:paraId="4A9A59A0" w14:textId="77777777" w:rsidR="008A64D8" w:rsidRPr="00F11990" w:rsidRDefault="008A64D8" w:rsidP="004D65FE">
            <w:pPr>
              <w:pStyle w:val="CGCTablerow"/>
            </w:pPr>
            <w:r>
              <w:t>Other revenue</w:t>
            </w:r>
          </w:p>
        </w:tc>
        <w:tc>
          <w:tcPr>
            <w:tcW w:w="1515" w:type="pct"/>
          </w:tcPr>
          <w:p w14:paraId="1E6D31CF" w14:textId="77777777" w:rsidR="008A64D8" w:rsidRPr="001D7733" w:rsidRDefault="008A64D8" w:rsidP="004D65FE">
            <w:pPr>
              <w:pStyle w:val="CGCTablerow"/>
              <w:keepNext/>
              <w:keepLines/>
            </w:pPr>
            <w:r w:rsidRPr="00F11990">
              <w:t>111 Taxation revenue</w:t>
            </w:r>
          </w:p>
          <w:p w14:paraId="5E1C8E24" w14:textId="77777777" w:rsidR="008A64D8" w:rsidRPr="00F11990" w:rsidRDefault="008A64D8" w:rsidP="004D65FE">
            <w:pPr>
              <w:pStyle w:val="CGCTablerow"/>
            </w:pPr>
          </w:p>
        </w:tc>
        <w:tc>
          <w:tcPr>
            <w:tcW w:w="1969" w:type="pct"/>
          </w:tcPr>
          <w:p w14:paraId="0885E0E9" w14:textId="77777777" w:rsidR="008A64D8" w:rsidRPr="001D7733" w:rsidRDefault="008A64D8" w:rsidP="004D65FE">
            <w:pPr>
              <w:pStyle w:val="CGCTablerow"/>
              <w:ind w:left="340" w:hanging="340"/>
            </w:pPr>
            <w:r w:rsidRPr="001D7733">
              <w:t>312 Municipal rates</w:t>
            </w:r>
          </w:p>
          <w:p w14:paraId="1311F85B" w14:textId="77777777" w:rsidR="008A64D8" w:rsidRPr="001D7733" w:rsidRDefault="008A64D8" w:rsidP="004D65FE">
            <w:pPr>
              <w:pStyle w:val="CGCTablerow"/>
              <w:ind w:left="340" w:hanging="340"/>
            </w:pPr>
            <w:r w:rsidRPr="001D7733">
              <w:t>441 Taxes on government lotteries</w:t>
            </w:r>
          </w:p>
          <w:p w14:paraId="337166E5" w14:textId="77777777" w:rsidR="008A64D8" w:rsidRPr="001D7733" w:rsidRDefault="008A64D8" w:rsidP="004D65FE">
            <w:pPr>
              <w:pStyle w:val="CGCTablerow"/>
              <w:ind w:left="340" w:hanging="340"/>
            </w:pPr>
            <w:r w:rsidRPr="001D7733">
              <w:t>442 Taxes on private lotteries</w:t>
            </w:r>
          </w:p>
          <w:p w14:paraId="20851CA3" w14:textId="77777777" w:rsidR="008A64D8" w:rsidRPr="001D7733" w:rsidRDefault="008A64D8" w:rsidP="004D65FE">
            <w:pPr>
              <w:pStyle w:val="CGCTablerow"/>
              <w:ind w:left="340" w:hanging="340"/>
            </w:pPr>
            <w:r w:rsidRPr="001D7733">
              <w:t>443 Taxes on gambling devices</w:t>
            </w:r>
          </w:p>
          <w:p w14:paraId="2DA84A98" w14:textId="77777777" w:rsidR="008A64D8" w:rsidRPr="001D7733" w:rsidRDefault="008A64D8" w:rsidP="004D65FE">
            <w:pPr>
              <w:pStyle w:val="CGCTablerow"/>
              <w:ind w:left="340" w:hanging="340"/>
            </w:pPr>
            <w:r w:rsidRPr="001D7733">
              <w:t>444 Casino taxes</w:t>
            </w:r>
          </w:p>
          <w:p w14:paraId="2C427798" w14:textId="77777777" w:rsidR="008A64D8" w:rsidRPr="001D7733" w:rsidRDefault="008A64D8" w:rsidP="004D65FE">
            <w:pPr>
              <w:pStyle w:val="CGCTablerow"/>
              <w:ind w:left="340" w:hanging="340"/>
            </w:pPr>
            <w:r w:rsidRPr="001D7733">
              <w:t>445 Race and other sports betting taxes</w:t>
            </w:r>
          </w:p>
          <w:p w14:paraId="0CF2DBE9" w14:textId="77777777" w:rsidR="008A64D8" w:rsidRDefault="008A64D8" w:rsidP="004D65FE">
            <w:pPr>
              <w:pStyle w:val="CGCTablerow"/>
              <w:ind w:left="340" w:hanging="340"/>
            </w:pPr>
            <w:r w:rsidRPr="001D7733">
              <w:t>449 Taxes on gambling n</w:t>
            </w:r>
            <w:r>
              <w:t>.</w:t>
            </w:r>
            <w:r w:rsidRPr="001D7733">
              <w:t>e</w:t>
            </w:r>
            <w:r>
              <w:t>.</w:t>
            </w:r>
            <w:r w:rsidRPr="001D7733">
              <w:t>c</w:t>
            </w:r>
            <w:r>
              <w:t>.</w:t>
            </w:r>
          </w:p>
          <w:p w14:paraId="5BEB3D61" w14:textId="77777777" w:rsidR="008A64D8" w:rsidRDefault="008A64D8" w:rsidP="004D65FE">
            <w:pPr>
              <w:pStyle w:val="CGCTablerow"/>
              <w:ind w:left="340" w:hanging="340"/>
            </w:pPr>
            <w:r w:rsidRPr="001D7733">
              <w:t>212 Superannuation guarantee charge</w:t>
            </w:r>
          </w:p>
          <w:p w14:paraId="6A9E93DE" w14:textId="77777777" w:rsidR="008A64D8" w:rsidRPr="001D7733" w:rsidRDefault="008A64D8" w:rsidP="004D65FE">
            <w:pPr>
              <w:pStyle w:val="CGCTablerow"/>
              <w:ind w:left="340" w:hanging="340"/>
            </w:pPr>
            <w:r w:rsidRPr="001D7733">
              <w:t>313 Metropolitan improvement rates</w:t>
            </w:r>
          </w:p>
          <w:p w14:paraId="609B9F7C" w14:textId="77777777" w:rsidR="008A64D8" w:rsidRPr="001D7733" w:rsidRDefault="008A64D8" w:rsidP="004D65FE">
            <w:pPr>
              <w:pStyle w:val="CGCTablerow"/>
              <w:ind w:left="340" w:hanging="340"/>
            </w:pPr>
            <w:r w:rsidRPr="001D7733">
              <w:t>319 Taxes on immovable property n</w:t>
            </w:r>
            <w:r>
              <w:t>.</w:t>
            </w:r>
            <w:r w:rsidRPr="001D7733">
              <w:t>e</w:t>
            </w:r>
            <w:r>
              <w:t>.</w:t>
            </w:r>
            <w:r w:rsidRPr="001D7733">
              <w:t>c</w:t>
            </w:r>
            <w:r>
              <w:t>.</w:t>
            </w:r>
          </w:p>
          <w:p w14:paraId="4D425135" w14:textId="77777777" w:rsidR="008A64D8" w:rsidRDefault="008A64D8" w:rsidP="004D65FE">
            <w:pPr>
              <w:pStyle w:val="CGCTablerow"/>
              <w:ind w:left="340" w:hanging="340"/>
            </w:pPr>
            <w:r w:rsidRPr="001D7733">
              <w:t>321 Estate, inheritance and gift taxes</w:t>
            </w:r>
          </w:p>
          <w:p w14:paraId="04322D15" w14:textId="77777777" w:rsidR="008A64D8" w:rsidRPr="001D7733" w:rsidRDefault="008A64D8" w:rsidP="004D65FE">
            <w:pPr>
              <w:pStyle w:val="CGCTablerow"/>
              <w:ind w:left="340" w:hanging="340"/>
            </w:pPr>
            <w:r w:rsidRPr="001D7733">
              <w:t>425 Agricultural production taxes</w:t>
            </w:r>
          </w:p>
          <w:p w14:paraId="13F83568" w14:textId="77777777" w:rsidR="008A64D8" w:rsidRDefault="008A64D8" w:rsidP="004D65FE">
            <w:pPr>
              <w:pStyle w:val="CGCTablerow"/>
              <w:ind w:left="340" w:hanging="340"/>
            </w:pPr>
            <w:r w:rsidRPr="001D7733">
              <w:t>426 Levies on statutory corporations</w:t>
            </w:r>
          </w:p>
          <w:p w14:paraId="342581CB" w14:textId="77777777" w:rsidR="008A64D8" w:rsidRPr="00B57C61" w:rsidRDefault="008A64D8" w:rsidP="004D65FE">
            <w:pPr>
              <w:pStyle w:val="CGCTablerow"/>
              <w:ind w:left="340" w:hanging="340"/>
            </w:pPr>
            <w:r w:rsidRPr="00B57C61">
              <w:t>461 Financial institutions transactions taxes</w:t>
            </w:r>
          </w:p>
          <w:p w14:paraId="1DF10644" w14:textId="77777777" w:rsidR="008A64D8" w:rsidRPr="00B57C61" w:rsidRDefault="008A64D8" w:rsidP="004D65FE">
            <w:pPr>
              <w:pStyle w:val="CGCTablerow"/>
              <w:ind w:left="340" w:hanging="340"/>
            </w:pPr>
            <w:r w:rsidRPr="00B57C61">
              <w:t>462 Government borrowing guarantee levies</w:t>
            </w:r>
          </w:p>
          <w:p w14:paraId="428A170D" w14:textId="77777777" w:rsidR="008A64D8" w:rsidRPr="00B57C61" w:rsidRDefault="008A64D8" w:rsidP="004D65FE">
            <w:pPr>
              <w:pStyle w:val="CGCTablerow"/>
              <w:ind w:left="340" w:hanging="340"/>
            </w:pPr>
            <w:r w:rsidRPr="00B57C61">
              <w:t>464 Stamp duty on shares and marketable securities</w:t>
            </w:r>
          </w:p>
          <w:p w14:paraId="46A317FA" w14:textId="77777777" w:rsidR="008A64D8" w:rsidRPr="00B57C61" w:rsidRDefault="008A64D8" w:rsidP="004D65FE">
            <w:pPr>
              <w:pStyle w:val="CGCTablerow"/>
              <w:ind w:left="340" w:hanging="340"/>
            </w:pPr>
            <w:r w:rsidRPr="00B57C61">
              <w:t>465 Other stamp duties on financial and capital transactions</w:t>
            </w:r>
          </w:p>
          <w:p w14:paraId="79DBABE2" w14:textId="77777777" w:rsidR="008A64D8" w:rsidRPr="00B57C61" w:rsidRDefault="008A64D8" w:rsidP="004D65FE">
            <w:pPr>
              <w:pStyle w:val="CGCTablerow"/>
              <w:ind w:left="340" w:hanging="340"/>
            </w:pPr>
            <w:r w:rsidRPr="00B57C61">
              <w:t>469 Taxes on financial and capital transactions n.e.c.</w:t>
            </w:r>
          </w:p>
          <w:p w14:paraId="7B5DE3AD" w14:textId="77777777" w:rsidR="008A64D8" w:rsidRPr="00B57C61" w:rsidRDefault="008A64D8" w:rsidP="004D65FE">
            <w:pPr>
              <w:pStyle w:val="CGCTablerow"/>
              <w:ind w:left="340" w:hanging="340"/>
            </w:pPr>
            <w:r w:rsidRPr="00B57C61">
              <w:t>511 Stamp duty on vehicle registration</w:t>
            </w:r>
          </w:p>
          <w:p w14:paraId="5BF45750" w14:textId="77777777" w:rsidR="008A64D8" w:rsidRPr="00B57C61" w:rsidRDefault="008A64D8" w:rsidP="004D65FE">
            <w:pPr>
              <w:pStyle w:val="CGCTablerow"/>
              <w:ind w:left="340" w:hanging="340"/>
            </w:pPr>
            <w:r w:rsidRPr="00B57C61">
              <w:t>521 Gas franchise taxes</w:t>
            </w:r>
          </w:p>
          <w:p w14:paraId="47C66E74" w14:textId="77777777" w:rsidR="008A64D8" w:rsidRPr="00B57C61" w:rsidRDefault="008A64D8" w:rsidP="004D65FE">
            <w:pPr>
              <w:pStyle w:val="CGCTablerow"/>
              <w:ind w:left="340" w:hanging="340"/>
            </w:pPr>
            <w:r w:rsidRPr="00B57C61">
              <w:t>522 Petroleum products franchise taxes</w:t>
            </w:r>
          </w:p>
          <w:p w14:paraId="2288428A" w14:textId="77777777" w:rsidR="008A64D8" w:rsidRPr="00B57C61" w:rsidRDefault="008A64D8" w:rsidP="004D65FE">
            <w:pPr>
              <w:pStyle w:val="CGCTablerow"/>
              <w:ind w:left="340" w:hanging="340"/>
            </w:pPr>
            <w:r w:rsidRPr="00B57C61">
              <w:t>523 Tobacco franchise taxes</w:t>
            </w:r>
          </w:p>
          <w:p w14:paraId="606D7F46" w14:textId="77777777" w:rsidR="008A64D8" w:rsidRPr="00B57C61" w:rsidRDefault="008A64D8" w:rsidP="004D65FE">
            <w:pPr>
              <w:pStyle w:val="CGCTablerow"/>
              <w:ind w:left="340" w:hanging="340"/>
            </w:pPr>
            <w:r w:rsidRPr="00B57C61">
              <w:t>524 Liquor franchise taxes</w:t>
            </w:r>
          </w:p>
          <w:p w14:paraId="63B883C8" w14:textId="77777777" w:rsidR="008A64D8" w:rsidRPr="00B57C61" w:rsidRDefault="008A64D8" w:rsidP="004D65FE">
            <w:pPr>
              <w:pStyle w:val="CGCTablerow"/>
              <w:ind w:left="340" w:hanging="340"/>
            </w:pPr>
            <w:r w:rsidRPr="00B57C61">
              <w:t>529 Franchise taxes n.e.c.</w:t>
            </w:r>
          </w:p>
          <w:p w14:paraId="38A48A51" w14:textId="77777777" w:rsidR="008A64D8" w:rsidRPr="001D7733" w:rsidRDefault="008A64D8" w:rsidP="004D65FE">
            <w:pPr>
              <w:pStyle w:val="CGCTablerow"/>
              <w:ind w:left="340" w:hanging="340"/>
            </w:pPr>
            <w:r w:rsidRPr="00B57C61">
              <w:t>539 Other taxes on the use of goods and performance of activities n.e.c.</w:t>
            </w:r>
          </w:p>
        </w:tc>
        <w:tc>
          <w:tcPr>
            <w:tcW w:w="859" w:type="pct"/>
          </w:tcPr>
          <w:p w14:paraId="1B5B062B" w14:textId="77777777" w:rsidR="008A64D8" w:rsidRPr="00F11990" w:rsidRDefault="008A64D8" w:rsidP="004D65FE">
            <w:pPr>
              <w:pStyle w:val="CGCTablerow"/>
            </w:pPr>
            <w:r w:rsidRPr="00F11990">
              <w:t>&lt;&gt;"23" &amp; own JUR</w:t>
            </w:r>
          </w:p>
        </w:tc>
      </w:tr>
    </w:tbl>
    <w:p w14:paraId="700CBBE4" w14:textId="77777777" w:rsidR="008A64D8" w:rsidRPr="001D7733" w:rsidRDefault="008A64D8" w:rsidP="008A64D8">
      <w:pPr>
        <w:rPr>
          <w:rFonts w:cstheme="minorHAnsi"/>
          <w:sz w:val="18"/>
          <w:szCs w:val="18"/>
        </w:rPr>
      </w:pPr>
    </w:p>
    <w:p w14:paraId="33910401" w14:textId="77777777" w:rsidR="008A64D8" w:rsidRDefault="008A64D8" w:rsidP="008A64D8">
      <w:pPr>
        <w:tabs>
          <w:tab w:val="clear" w:pos="567"/>
        </w:tabs>
        <w:spacing w:before="0" w:after="200" w:line="276" w:lineRule="auto"/>
        <w:rPr>
          <w:rFonts w:cstheme="minorHAnsi"/>
          <w:sz w:val="18"/>
          <w:szCs w:val="18"/>
        </w:rPr>
      </w:pPr>
      <w:r>
        <w:rPr>
          <w:rFonts w:cstheme="minorHAnsi"/>
          <w:sz w:val="18"/>
          <w:szCs w:val="18"/>
        </w:rPr>
        <w:br w:type="page"/>
      </w:r>
    </w:p>
    <w:p w14:paraId="5D535CAC" w14:textId="77777777" w:rsidR="008A64D8" w:rsidRDefault="008A64D8" w:rsidP="008A64D8">
      <w:pPr>
        <w:pStyle w:val="Caption"/>
      </w:pPr>
      <w:r>
        <w:lastRenderedPageBreak/>
        <w:t xml:space="preserve">Table 32A-1 </w:t>
      </w:r>
      <w:r>
        <w:tab/>
        <w:t>Categories and their relevant GFS codes – general government (INST=300) (continued)</w:t>
      </w:r>
    </w:p>
    <w:tbl>
      <w:tblPr>
        <w:tblW w:w="8959" w:type="dxa"/>
        <w:tblBorders>
          <w:top w:val="single" w:sz="4" w:space="0" w:color="ADD6EA"/>
          <w:bottom w:val="single" w:sz="4" w:space="0" w:color="ADD6EA"/>
          <w:insideH w:val="single" w:sz="4" w:space="0" w:color="ADD6EA"/>
        </w:tblBorders>
        <w:tblCellMar>
          <w:left w:w="28" w:type="dxa"/>
          <w:right w:w="28" w:type="dxa"/>
        </w:tblCellMar>
        <w:tblLook w:val="0000" w:firstRow="0" w:lastRow="0" w:firstColumn="0" w:lastColumn="0" w:noHBand="0" w:noVBand="0"/>
      </w:tblPr>
      <w:tblGrid>
        <w:gridCol w:w="1175"/>
        <w:gridCol w:w="2715"/>
        <w:gridCol w:w="3530"/>
        <w:gridCol w:w="1539"/>
      </w:tblGrid>
      <w:tr w:rsidR="008A64D8" w:rsidRPr="007568EB" w14:paraId="6EDEA885" w14:textId="77777777" w:rsidTr="003F6BF4">
        <w:trPr>
          <w:trHeight w:val="376"/>
        </w:trPr>
        <w:tc>
          <w:tcPr>
            <w:tcW w:w="656" w:type="pct"/>
            <w:tcBorders>
              <w:bottom w:val="single" w:sz="4" w:space="0" w:color="ADD6EA"/>
            </w:tcBorders>
            <w:shd w:val="clear" w:color="auto" w:fill="006991"/>
            <w:vAlign w:val="center"/>
          </w:tcPr>
          <w:p w14:paraId="6217292B" w14:textId="77777777" w:rsidR="008A64D8" w:rsidRPr="007568EB" w:rsidRDefault="008A64D8" w:rsidP="004D65FE">
            <w:pPr>
              <w:pStyle w:val="CGCTableheader"/>
              <w:spacing w:before="40" w:after="40"/>
            </w:pPr>
            <w:r w:rsidRPr="007568EB">
              <w:t>Category</w:t>
            </w:r>
          </w:p>
        </w:tc>
        <w:tc>
          <w:tcPr>
            <w:tcW w:w="1515" w:type="pct"/>
            <w:tcBorders>
              <w:bottom w:val="single" w:sz="4" w:space="0" w:color="ADD6EA"/>
            </w:tcBorders>
            <w:shd w:val="clear" w:color="auto" w:fill="006991"/>
            <w:vAlign w:val="center"/>
          </w:tcPr>
          <w:p w14:paraId="2D934C09" w14:textId="77777777" w:rsidR="008A64D8" w:rsidRPr="007568EB" w:rsidRDefault="008A64D8" w:rsidP="004D65FE">
            <w:pPr>
              <w:pStyle w:val="CGCTableheader"/>
              <w:spacing w:before="40" w:after="40"/>
            </w:pPr>
            <w:r w:rsidRPr="007568EB">
              <w:t>ETF</w:t>
            </w:r>
          </w:p>
        </w:tc>
        <w:tc>
          <w:tcPr>
            <w:tcW w:w="1970" w:type="pct"/>
            <w:tcBorders>
              <w:bottom w:val="single" w:sz="4" w:space="0" w:color="ADD6EA"/>
            </w:tcBorders>
            <w:shd w:val="clear" w:color="auto" w:fill="006991"/>
            <w:vAlign w:val="center"/>
          </w:tcPr>
          <w:p w14:paraId="06D8C0F3" w14:textId="77777777" w:rsidR="008A64D8" w:rsidRPr="007568EB" w:rsidRDefault="008A64D8" w:rsidP="004D65FE">
            <w:pPr>
              <w:pStyle w:val="CGCTableheader"/>
              <w:spacing w:before="40" w:after="40"/>
            </w:pPr>
            <w:r w:rsidRPr="007568EB">
              <w:t>TC</w:t>
            </w:r>
          </w:p>
        </w:tc>
        <w:tc>
          <w:tcPr>
            <w:tcW w:w="859" w:type="pct"/>
            <w:tcBorders>
              <w:bottom w:val="single" w:sz="4" w:space="0" w:color="ADD6EA"/>
            </w:tcBorders>
            <w:shd w:val="clear" w:color="auto" w:fill="006991"/>
            <w:vAlign w:val="center"/>
          </w:tcPr>
          <w:p w14:paraId="446EEF49" w14:textId="77777777" w:rsidR="008A64D8" w:rsidRPr="007568EB" w:rsidRDefault="008A64D8" w:rsidP="004D65FE">
            <w:pPr>
              <w:pStyle w:val="CGCTableheader"/>
              <w:spacing w:before="40" w:after="40"/>
            </w:pPr>
            <w:r w:rsidRPr="007568EB">
              <w:t>SDC</w:t>
            </w:r>
          </w:p>
        </w:tc>
      </w:tr>
      <w:tr w:rsidR="008A64D8" w:rsidRPr="00F11990" w14:paraId="1F6AA7E5" w14:textId="77777777" w:rsidTr="003F6BF4">
        <w:tc>
          <w:tcPr>
            <w:tcW w:w="5000" w:type="pct"/>
            <w:gridSpan w:val="4"/>
            <w:shd w:val="clear" w:color="auto" w:fill="B6D5E4"/>
          </w:tcPr>
          <w:p w14:paraId="6EF3F0D2" w14:textId="77777777" w:rsidR="008A64D8" w:rsidRPr="00F11990" w:rsidRDefault="008A64D8" w:rsidP="004D65FE">
            <w:pPr>
              <w:pStyle w:val="CGCTablesubhead1"/>
            </w:pPr>
            <w:r w:rsidRPr="00F11990">
              <w:t>Revenue</w:t>
            </w:r>
            <w:r>
              <w:t xml:space="preserve"> (continued)</w:t>
            </w:r>
          </w:p>
        </w:tc>
      </w:tr>
      <w:tr w:rsidR="008A64D8" w:rsidRPr="001D7733" w14:paraId="142E97BE" w14:textId="77777777" w:rsidTr="003F6BF4">
        <w:tc>
          <w:tcPr>
            <w:tcW w:w="656" w:type="pct"/>
          </w:tcPr>
          <w:p w14:paraId="59B7BC8E" w14:textId="77777777" w:rsidR="008A64D8" w:rsidRPr="001D7733" w:rsidRDefault="008A64D8" w:rsidP="004D65FE">
            <w:pPr>
              <w:pStyle w:val="CGCTablerow"/>
              <w:keepNext/>
              <w:keepLines/>
            </w:pPr>
            <w:r w:rsidRPr="001D7733">
              <w:t>Other revenue (cont</w:t>
            </w:r>
            <w:r>
              <w:t>inue</w:t>
            </w:r>
            <w:r w:rsidRPr="001D7733">
              <w:t>d)</w:t>
            </w:r>
          </w:p>
        </w:tc>
        <w:tc>
          <w:tcPr>
            <w:tcW w:w="1515" w:type="pct"/>
          </w:tcPr>
          <w:p w14:paraId="78C96E8C" w14:textId="77777777" w:rsidR="008A64D8" w:rsidRPr="001D7733" w:rsidRDefault="008A64D8" w:rsidP="004D65FE">
            <w:pPr>
              <w:pStyle w:val="CGCTablerow"/>
              <w:ind w:left="397" w:hanging="397"/>
            </w:pPr>
            <w:r w:rsidRPr="001D7733">
              <w:t>1131 Interest income</w:t>
            </w:r>
          </w:p>
          <w:p w14:paraId="62A2DE54" w14:textId="77777777" w:rsidR="008A64D8" w:rsidRPr="001D7733" w:rsidRDefault="008A64D8" w:rsidP="004D65FE">
            <w:pPr>
              <w:pStyle w:val="CGCTablerow"/>
              <w:ind w:left="397" w:hanging="397"/>
            </w:pPr>
            <w:r w:rsidRPr="001D7733">
              <w:t xml:space="preserve">1132 Dividend income </w:t>
            </w:r>
          </w:p>
          <w:p w14:paraId="1D3824E5" w14:textId="77777777" w:rsidR="008A64D8" w:rsidRPr="001D7733" w:rsidRDefault="008A64D8" w:rsidP="004D65FE">
            <w:pPr>
              <w:pStyle w:val="CGCTablerow"/>
              <w:ind w:left="397" w:hanging="397"/>
            </w:pPr>
            <w:r w:rsidRPr="001D7733">
              <w:t>1133 Withdrawals from income of quasi-corps</w:t>
            </w:r>
          </w:p>
          <w:p w14:paraId="0DEC19A5" w14:textId="77777777" w:rsidR="008A64D8" w:rsidRPr="001D7733" w:rsidRDefault="008A64D8" w:rsidP="004D65FE">
            <w:pPr>
              <w:pStyle w:val="CGCTablerow"/>
              <w:ind w:left="397" w:hanging="397"/>
            </w:pPr>
            <w:r w:rsidRPr="001D7733">
              <w:t>1134 Land rent income</w:t>
            </w:r>
          </w:p>
          <w:p w14:paraId="35A0881D" w14:textId="77777777" w:rsidR="008A64D8" w:rsidRPr="001D7733" w:rsidRDefault="008A64D8" w:rsidP="004D65FE">
            <w:pPr>
              <w:pStyle w:val="CGCTablerow"/>
              <w:ind w:left="397" w:hanging="397"/>
            </w:pPr>
            <w:r w:rsidRPr="001D7733">
              <w:t>1136 Revenue from investment funds</w:t>
            </w:r>
          </w:p>
          <w:p w14:paraId="6A928AB6" w14:textId="77777777" w:rsidR="008A64D8" w:rsidRPr="001D7733" w:rsidRDefault="008A64D8" w:rsidP="004D65FE">
            <w:pPr>
              <w:pStyle w:val="CGCTablerow"/>
              <w:ind w:left="397" w:hanging="397"/>
            </w:pPr>
            <w:r w:rsidRPr="001D7733">
              <w:t>1137 Reinvestment earnings on foreign direct investment</w:t>
            </w:r>
          </w:p>
          <w:p w14:paraId="12E06194" w14:textId="77777777" w:rsidR="008A64D8" w:rsidRPr="001D7733" w:rsidRDefault="008A64D8" w:rsidP="004D65FE">
            <w:pPr>
              <w:pStyle w:val="CGCTablerow"/>
              <w:ind w:left="397" w:hanging="397"/>
            </w:pPr>
            <w:r w:rsidRPr="001D7733">
              <w:t>1139 Property income n.e.c.</w:t>
            </w:r>
          </w:p>
          <w:p w14:paraId="450C2F1A" w14:textId="77777777" w:rsidR="008A64D8" w:rsidRPr="001D7733" w:rsidRDefault="008A64D8" w:rsidP="004D65FE">
            <w:pPr>
              <w:pStyle w:val="CGCTablerow"/>
              <w:ind w:left="397" w:hanging="397"/>
            </w:pPr>
            <w:r w:rsidRPr="001D7733">
              <w:t>1142 Fines, penalties and forfeits</w:t>
            </w:r>
          </w:p>
          <w:p w14:paraId="7F77C518" w14:textId="77777777" w:rsidR="008A64D8" w:rsidRPr="001D7733" w:rsidRDefault="008A64D8" w:rsidP="004D65FE">
            <w:pPr>
              <w:pStyle w:val="CGCTablerow"/>
              <w:ind w:left="397" w:hanging="397"/>
            </w:pPr>
            <w:r w:rsidRPr="001D7733">
              <w:t>1143 Premiums, fees and current claims related to non-life insurance and standardised guarantee schemes</w:t>
            </w:r>
          </w:p>
          <w:p w14:paraId="30D122F4" w14:textId="77777777" w:rsidR="008A64D8" w:rsidRPr="001D7733" w:rsidRDefault="008A64D8" w:rsidP="004D65FE">
            <w:pPr>
              <w:pStyle w:val="CGCTablerow"/>
              <w:ind w:left="397" w:hanging="397"/>
            </w:pPr>
            <w:r w:rsidRPr="001D7733">
              <w:t>1149 Other current revenue not elsewhere classified</w:t>
            </w:r>
          </w:p>
          <w:p w14:paraId="6236C095" w14:textId="77777777" w:rsidR="008A64D8" w:rsidRPr="001D7733" w:rsidRDefault="008A64D8" w:rsidP="004D65FE">
            <w:pPr>
              <w:pStyle w:val="CGCTablerow"/>
              <w:ind w:left="397" w:hanging="397"/>
            </w:pPr>
            <w:r w:rsidRPr="001D7733">
              <w:t>1152 Assets acquired below market value</w:t>
            </w:r>
          </w:p>
          <w:p w14:paraId="6986FB14" w14:textId="77777777" w:rsidR="008A64D8" w:rsidRPr="001D7733" w:rsidRDefault="008A64D8" w:rsidP="004D65FE">
            <w:pPr>
              <w:pStyle w:val="CGCTablerow"/>
              <w:ind w:left="397" w:hanging="397"/>
            </w:pPr>
            <w:r w:rsidRPr="001D7733">
              <w:t>1153 Capital claims related to non-life insurance and standardised guarantee schemes</w:t>
            </w:r>
          </w:p>
          <w:p w14:paraId="7A5B1E21" w14:textId="77777777" w:rsidR="008A64D8" w:rsidRPr="001D7733" w:rsidRDefault="008A64D8" w:rsidP="004D65FE">
            <w:pPr>
              <w:pStyle w:val="CGCTablerow"/>
              <w:ind w:left="397" w:hanging="397"/>
            </w:pPr>
            <w:r w:rsidRPr="001D7733">
              <w:t>1159 Capital revenue not elsewhere classified</w:t>
            </w:r>
          </w:p>
        </w:tc>
        <w:tc>
          <w:tcPr>
            <w:tcW w:w="1970" w:type="pct"/>
          </w:tcPr>
          <w:p w14:paraId="149FDF76" w14:textId="77777777" w:rsidR="008A64D8" w:rsidRPr="001D7733" w:rsidRDefault="008A64D8" w:rsidP="004D65FE">
            <w:pPr>
              <w:pStyle w:val="CGCTablerow"/>
              <w:keepNext/>
              <w:keepLines/>
            </w:pPr>
          </w:p>
        </w:tc>
        <w:tc>
          <w:tcPr>
            <w:tcW w:w="859" w:type="pct"/>
          </w:tcPr>
          <w:p w14:paraId="544C74ED" w14:textId="77777777" w:rsidR="008A64D8" w:rsidRPr="001D7733" w:rsidRDefault="008A64D8" w:rsidP="004D65FE">
            <w:pPr>
              <w:pStyle w:val="CGCTablerow"/>
              <w:keepNext/>
              <w:keepLines/>
            </w:pPr>
            <w:r w:rsidRPr="001D7733">
              <w:t>&lt;&gt;"23" &amp; own JUR</w:t>
            </w:r>
          </w:p>
        </w:tc>
      </w:tr>
      <w:tr w:rsidR="008A64D8" w:rsidRPr="001D7733" w14:paraId="1A5F0CCD" w14:textId="77777777" w:rsidTr="003F6BF4">
        <w:tc>
          <w:tcPr>
            <w:tcW w:w="656" w:type="pct"/>
          </w:tcPr>
          <w:p w14:paraId="5A802039" w14:textId="77777777" w:rsidR="008A64D8" w:rsidRPr="001D7733" w:rsidRDefault="008A64D8" w:rsidP="004D65FE">
            <w:pPr>
              <w:pStyle w:val="CGCTablerow"/>
            </w:pPr>
          </w:p>
        </w:tc>
        <w:tc>
          <w:tcPr>
            <w:tcW w:w="1515" w:type="pct"/>
          </w:tcPr>
          <w:p w14:paraId="00612080" w14:textId="77777777" w:rsidR="008A64D8" w:rsidRPr="001D7733" w:rsidRDefault="008A64D8" w:rsidP="004D65FE">
            <w:pPr>
              <w:pStyle w:val="CGCTablerow"/>
              <w:ind w:left="397" w:hanging="397"/>
            </w:pPr>
            <w:r w:rsidRPr="001D7733">
              <w:t>1141 Revenue from current grants and subsidies</w:t>
            </w:r>
          </w:p>
          <w:p w14:paraId="2928704B" w14:textId="77777777" w:rsidR="008A64D8" w:rsidRPr="00F11990" w:rsidRDefault="008A64D8" w:rsidP="004D65FE">
            <w:pPr>
              <w:pStyle w:val="CGCTablerow"/>
              <w:ind w:left="397" w:hanging="397"/>
            </w:pPr>
            <w:r w:rsidRPr="001D7733">
              <w:t>1151 Revenue from capital grants</w:t>
            </w:r>
          </w:p>
        </w:tc>
        <w:tc>
          <w:tcPr>
            <w:tcW w:w="1970" w:type="pct"/>
          </w:tcPr>
          <w:p w14:paraId="0F68C405" w14:textId="77777777" w:rsidR="008A64D8" w:rsidRPr="001D7733" w:rsidRDefault="008A64D8" w:rsidP="004D65FE">
            <w:pPr>
              <w:pStyle w:val="CGCTablerow"/>
            </w:pPr>
          </w:p>
        </w:tc>
        <w:tc>
          <w:tcPr>
            <w:tcW w:w="859" w:type="pct"/>
          </w:tcPr>
          <w:p w14:paraId="41349C5A" w14:textId="77777777" w:rsidR="008A64D8" w:rsidRPr="001D7733" w:rsidRDefault="008A64D8" w:rsidP="004D65FE">
            <w:pPr>
              <w:pStyle w:val="CGCTablerow"/>
            </w:pPr>
            <w:r w:rsidRPr="006E0831">
              <w:t>&lt;&gt;"23"&amp;</w:t>
            </w:r>
            <w:r>
              <w:t xml:space="preserve"> </w:t>
            </w:r>
            <w:r w:rsidRPr="006E0831">
              <w:t>own JUR and &lt;&gt;"130"</w:t>
            </w:r>
            <w:r>
              <w:t xml:space="preserve"> Commonwealth GG</w:t>
            </w:r>
          </w:p>
        </w:tc>
      </w:tr>
      <w:tr w:rsidR="008A64D8" w:rsidRPr="001D7733" w14:paraId="4E05B805" w14:textId="77777777" w:rsidTr="003F6BF4">
        <w:tc>
          <w:tcPr>
            <w:tcW w:w="656" w:type="pct"/>
          </w:tcPr>
          <w:p w14:paraId="4B7AE1B9" w14:textId="77777777" w:rsidR="008A64D8" w:rsidRPr="001D7733" w:rsidRDefault="008A64D8" w:rsidP="004D65FE">
            <w:pPr>
              <w:pStyle w:val="CGCTablerow"/>
            </w:pPr>
          </w:p>
        </w:tc>
        <w:tc>
          <w:tcPr>
            <w:tcW w:w="1515" w:type="pct"/>
          </w:tcPr>
          <w:p w14:paraId="44325A76" w14:textId="77777777" w:rsidR="008A64D8" w:rsidRPr="001D7733" w:rsidRDefault="008A64D8" w:rsidP="004D65FE">
            <w:pPr>
              <w:pStyle w:val="CGCTablerow"/>
            </w:pPr>
            <w:r>
              <w:t>112* Sales of goods and services</w:t>
            </w:r>
          </w:p>
        </w:tc>
        <w:tc>
          <w:tcPr>
            <w:tcW w:w="1970" w:type="pct"/>
          </w:tcPr>
          <w:p w14:paraId="5AC53C0E" w14:textId="77777777" w:rsidR="008A64D8" w:rsidRPr="001D7733" w:rsidRDefault="008A64D8" w:rsidP="004D65FE">
            <w:pPr>
              <w:pStyle w:val="CGCTablerow"/>
            </w:pPr>
            <w:r>
              <w:t>With COFOG-As other than those included in ‘net’ categories</w:t>
            </w:r>
          </w:p>
        </w:tc>
        <w:tc>
          <w:tcPr>
            <w:tcW w:w="859" w:type="pct"/>
          </w:tcPr>
          <w:p w14:paraId="5B9DC119" w14:textId="77777777" w:rsidR="008A64D8" w:rsidRPr="006E0831" w:rsidRDefault="008A64D8" w:rsidP="004D65FE">
            <w:pPr>
              <w:pStyle w:val="CGCTablerow"/>
            </w:pPr>
            <w:r w:rsidRPr="001D7733">
              <w:t>&lt;&gt;"23" &amp; own JUR</w:t>
            </w:r>
          </w:p>
        </w:tc>
      </w:tr>
    </w:tbl>
    <w:p w14:paraId="4C716CC9" w14:textId="77777777" w:rsidR="008A64D8" w:rsidRPr="001D7733" w:rsidRDefault="008A64D8" w:rsidP="008A64D8">
      <w:pPr>
        <w:rPr>
          <w:rFonts w:cstheme="minorHAnsi"/>
          <w:sz w:val="18"/>
          <w:szCs w:val="18"/>
        </w:rPr>
      </w:pPr>
    </w:p>
    <w:p w14:paraId="3667341C" w14:textId="77777777" w:rsidR="008A64D8" w:rsidRDefault="008A64D8" w:rsidP="008A64D8">
      <w:pPr>
        <w:tabs>
          <w:tab w:val="clear" w:pos="567"/>
        </w:tabs>
        <w:spacing w:before="0" w:after="200" w:line="276" w:lineRule="auto"/>
        <w:rPr>
          <w:rFonts w:cstheme="minorHAnsi"/>
          <w:sz w:val="18"/>
          <w:szCs w:val="18"/>
        </w:rPr>
      </w:pPr>
      <w:r>
        <w:rPr>
          <w:rFonts w:cstheme="minorHAnsi"/>
          <w:sz w:val="18"/>
          <w:szCs w:val="18"/>
        </w:rPr>
        <w:br w:type="page"/>
      </w:r>
    </w:p>
    <w:p w14:paraId="3046EEE3" w14:textId="77777777" w:rsidR="008A64D8" w:rsidRDefault="008A64D8" w:rsidP="008A64D8">
      <w:pPr>
        <w:pStyle w:val="Caption"/>
      </w:pPr>
      <w:r>
        <w:lastRenderedPageBreak/>
        <w:t xml:space="preserve">Table 32A-1 </w:t>
      </w:r>
      <w:r>
        <w:tab/>
        <w:t>Categories and their relevant GFS codes – general government (INST=300) (continued)</w:t>
      </w:r>
    </w:p>
    <w:tbl>
      <w:tblPr>
        <w:tblW w:w="8963" w:type="dxa"/>
        <w:tblBorders>
          <w:top w:val="single" w:sz="4" w:space="0" w:color="ADD6EA"/>
          <w:bottom w:val="single" w:sz="4" w:space="0" w:color="ADD6EA"/>
          <w:insideH w:val="single" w:sz="4" w:space="0" w:color="ADD6EA"/>
        </w:tblBorders>
        <w:tblCellMar>
          <w:left w:w="28" w:type="dxa"/>
          <w:right w:w="28" w:type="dxa"/>
        </w:tblCellMar>
        <w:tblLook w:val="0000" w:firstRow="0" w:lastRow="0" w:firstColumn="0" w:lastColumn="0" w:noHBand="0" w:noVBand="0"/>
      </w:tblPr>
      <w:tblGrid>
        <w:gridCol w:w="1174"/>
        <w:gridCol w:w="2716"/>
        <w:gridCol w:w="3531"/>
        <w:gridCol w:w="1542"/>
      </w:tblGrid>
      <w:tr w:rsidR="008A64D8" w:rsidRPr="007568EB" w14:paraId="4E56702F" w14:textId="77777777" w:rsidTr="00BD7871">
        <w:trPr>
          <w:trHeight w:val="376"/>
        </w:trPr>
        <w:tc>
          <w:tcPr>
            <w:tcW w:w="655" w:type="pct"/>
            <w:shd w:val="clear" w:color="auto" w:fill="006991"/>
            <w:vAlign w:val="center"/>
          </w:tcPr>
          <w:p w14:paraId="2C4756B4" w14:textId="77777777" w:rsidR="008A64D8" w:rsidRPr="007568EB" w:rsidRDefault="008A64D8" w:rsidP="004D65FE">
            <w:pPr>
              <w:pStyle w:val="CGCTableheader"/>
              <w:spacing w:before="40" w:after="40"/>
            </w:pPr>
            <w:r w:rsidRPr="007568EB">
              <w:t>Category</w:t>
            </w:r>
          </w:p>
        </w:tc>
        <w:tc>
          <w:tcPr>
            <w:tcW w:w="1515" w:type="pct"/>
            <w:shd w:val="clear" w:color="auto" w:fill="006991"/>
            <w:vAlign w:val="center"/>
          </w:tcPr>
          <w:p w14:paraId="47D601DF" w14:textId="77777777" w:rsidR="008A64D8" w:rsidRPr="007568EB" w:rsidRDefault="008A64D8" w:rsidP="004D65FE">
            <w:pPr>
              <w:pStyle w:val="CGCTableheader"/>
              <w:spacing w:before="40" w:after="40"/>
            </w:pPr>
            <w:r w:rsidRPr="007568EB">
              <w:t>ETF</w:t>
            </w:r>
          </w:p>
        </w:tc>
        <w:tc>
          <w:tcPr>
            <w:tcW w:w="1970" w:type="pct"/>
            <w:shd w:val="clear" w:color="auto" w:fill="006991"/>
            <w:vAlign w:val="center"/>
          </w:tcPr>
          <w:p w14:paraId="7812909D" w14:textId="77777777" w:rsidR="008A64D8" w:rsidRPr="007568EB" w:rsidRDefault="008A64D8" w:rsidP="004D65FE">
            <w:pPr>
              <w:pStyle w:val="CGCTableheader"/>
              <w:spacing w:before="40" w:after="40"/>
            </w:pPr>
            <w:r w:rsidRPr="007568EB">
              <w:t>COFOG-A</w:t>
            </w:r>
          </w:p>
        </w:tc>
        <w:tc>
          <w:tcPr>
            <w:tcW w:w="860" w:type="pct"/>
            <w:shd w:val="clear" w:color="auto" w:fill="006991"/>
            <w:vAlign w:val="center"/>
          </w:tcPr>
          <w:p w14:paraId="7B42D79C" w14:textId="77777777" w:rsidR="008A64D8" w:rsidRPr="007568EB" w:rsidRDefault="008A64D8" w:rsidP="004D65FE">
            <w:pPr>
              <w:pStyle w:val="CGCTableheader"/>
              <w:spacing w:before="40" w:after="40"/>
            </w:pPr>
            <w:r w:rsidRPr="007568EB">
              <w:t>SDC</w:t>
            </w:r>
          </w:p>
        </w:tc>
      </w:tr>
      <w:tr w:rsidR="008A64D8" w:rsidRPr="00AB22FC" w14:paraId="60F53558" w14:textId="77777777" w:rsidTr="00BD7871">
        <w:tc>
          <w:tcPr>
            <w:tcW w:w="655" w:type="pct"/>
            <w:shd w:val="clear" w:color="auto" w:fill="B6D5E4"/>
          </w:tcPr>
          <w:p w14:paraId="651AA64B" w14:textId="77777777" w:rsidR="008A64D8" w:rsidRPr="00AB22FC" w:rsidRDefault="008A64D8" w:rsidP="004D65FE">
            <w:pPr>
              <w:pStyle w:val="CGCTablesubhead1"/>
            </w:pPr>
            <w:r w:rsidRPr="00AB22FC">
              <w:t>Expenses</w:t>
            </w:r>
          </w:p>
        </w:tc>
        <w:tc>
          <w:tcPr>
            <w:tcW w:w="1515" w:type="pct"/>
            <w:shd w:val="clear" w:color="auto" w:fill="B6D5E4"/>
          </w:tcPr>
          <w:p w14:paraId="4A6A88AD" w14:textId="77777777" w:rsidR="008A64D8" w:rsidRPr="00AB22FC" w:rsidRDefault="008A64D8" w:rsidP="004D65FE">
            <w:pPr>
              <w:pStyle w:val="CGCTablesubhead1"/>
            </w:pPr>
          </w:p>
        </w:tc>
        <w:tc>
          <w:tcPr>
            <w:tcW w:w="1970" w:type="pct"/>
            <w:shd w:val="clear" w:color="auto" w:fill="B6D5E4"/>
          </w:tcPr>
          <w:p w14:paraId="740A313B" w14:textId="77777777" w:rsidR="008A64D8" w:rsidRPr="00AB22FC" w:rsidRDefault="008A64D8" w:rsidP="004D65FE">
            <w:pPr>
              <w:pStyle w:val="CGCTablesubhead1"/>
            </w:pPr>
          </w:p>
        </w:tc>
        <w:tc>
          <w:tcPr>
            <w:tcW w:w="860" w:type="pct"/>
            <w:shd w:val="clear" w:color="auto" w:fill="B6D5E4"/>
          </w:tcPr>
          <w:p w14:paraId="460FA336" w14:textId="77777777" w:rsidR="008A64D8" w:rsidRPr="00AB22FC" w:rsidRDefault="008A64D8" w:rsidP="004D65FE">
            <w:pPr>
              <w:pStyle w:val="CGCTablesubhead1"/>
            </w:pPr>
          </w:p>
        </w:tc>
      </w:tr>
      <w:tr w:rsidR="008A64D8" w:rsidRPr="00AB22FC" w14:paraId="5906CC92" w14:textId="77777777" w:rsidTr="00BD7871">
        <w:tc>
          <w:tcPr>
            <w:tcW w:w="655" w:type="pct"/>
          </w:tcPr>
          <w:p w14:paraId="3A0C4BEF" w14:textId="77777777" w:rsidR="008A64D8" w:rsidRPr="00AB22FC" w:rsidRDefault="008A64D8" w:rsidP="004D65FE">
            <w:pPr>
              <w:pStyle w:val="CGCTablerow"/>
              <w:keepNext/>
              <w:keepLines/>
            </w:pPr>
            <w:r w:rsidRPr="00AB22FC">
              <w:t>Schools</w:t>
            </w:r>
            <w:r>
              <w:t xml:space="preserve"> (net)</w:t>
            </w:r>
          </w:p>
        </w:tc>
        <w:tc>
          <w:tcPr>
            <w:tcW w:w="1515" w:type="pct"/>
          </w:tcPr>
          <w:p w14:paraId="04C9D6EF" w14:textId="77777777" w:rsidR="008A64D8" w:rsidRDefault="008A64D8" w:rsidP="004D65FE">
            <w:pPr>
              <w:pStyle w:val="CGCTablerow"/>
              <w:keepNext/>
              <w:keepLines/>
            </w:pPr>
            <w:r>
              <w:t xml:space="preserve">Expenses — </w:t>
            </w:r>
            <w:r w:rsidRPr="00AB22FC">
              <w:t>ETF</w:t>
            </w:r>
            <w:r>
              <w:t>12*</w:t>
            </w:r>
            <w:r w:rsidRPr="00AB22FC">
              <w:t>, except 1241 Depreciation of fixed produced assets (non-defence), 1242 Depreciation of fixed assets (defence), 1271 Interest on defined benefit superannuation and 1279 Interest expenses n.e.c.</w:t>
            </w:r>
          </w:p>
          <w:p w14:paraId="4E4750C3" w14:textId="77777777" w:rsidR="008A64D8" w:rsidRPr="00AB22FC" w:rsidRDefault="008A64D8" w:rsidP="004D65FE">
            <w:pPr>
              <w:pStyle w:val="CGCTablerow"/>
              <w:keepNext/>
              <w:keepLines/>
            </w:pPr>
            <w:r>
              <w:t xml:space="preserve">User charges — </w:t>
            </w:r>
            <w:r w:rsidRPr="00423796">
              <w:t>ETF112* Sales of goods and services</w:t>
            </w:r>
          </w:p>
        </w:tc>
        <w:tc>
          <w:tcPr>
            <w:tcW w:w="1970" w:type="pct"/>
          </w:tcPr>
          <w:p w14:paraId="20F21CB0" w14:textId="77777777" w:rsidR="008A64D8" w:rsidRPr="00AB22FC" w:rsidRDefault="008A64D8" w:rsidP="004D65FE">
            <w:pPr>
              <w:pStyle w:val="CGCTablerow"/>
              <w:keepNext/>
              <w:keepLines/>
            </w:pPr>
            <w:r w:rsidRPr="00AB22FC">
              <w:t>0911 Government pre-primary education</w:t>
            </w:r>
          </w:p>
          <w:p w14:paraId="0343493C" w14:textId="77777777" w:rsidR="008A64D8" w:rsidRPr="00AB22FC" w:rsidRDefault="008A64D8" w:rsidP="004D65FE">
            <w:pPr>
              <w:pStyle w:val="CGCTablerow"/>
              <w:ind w:left="397" w:hanging="397"/>
            </w:pPr>
            <w:r w:rsidRPr="00AB22FC">
              <w:t>0912 Non-government pre-primary education</w:t>
            </w:r>
          </w:p>
          <w:p w14:paraId="475D263D" w14:textId="77777777" w:rsidR="008A64D8" w:rsidRPr="00AB22FC" w:rsidRDefault="008A64D8" w:rsidP="004D65FE">
            <w:pPr>
              <w:pStyle w:val="CGCTablerow"/>
              <w:keepNext/>
              <w:keepLines/>
            </w:pPr>
            <w:r w:rsidRPr="00AB22FC">
              <w:t>0913 Government primary education</w:t>
            </w:r>
          </w:p>
          <w:p w14:paraId="5B90C8C7" w14:textId="77777777" w:rsidR="008A64D8" w:rsidRPr="00AB22FC" w:rsidRDefault="008A64D8" w:rsidP="004D65FE">
            <w:pPr>
              <w:pStyle w:val="CGCTablerow"/>
              <w:keepNext/>
              <w:keepLines/>
            </w:pPr>
            <w:r w:rsidRPr="00AB22FC">
              <w:t>0914 Non-government primary education</w:t>
            </w:r>
          </w:p>
          <w:p w14:paraId="5C736A3C" w14:textId="77777777" w:rsidR="008A64D8" w:rsidRPr="00AB22FC" w:rsidRDefault="008A64D8" w:rsidP="004D65FE">
            <w:pPr>
              <w:pStyle w:val="CGCTablerow"/>
              <w:keepNext/>
              <w:keepLines/>
            </w:pPr>
            <w:r w:rsidRPr="00AB22FC">
              <w:t>0921 Government secondary education</w:t>
            </w:r>
          </w:p>
          <w:p w14:paraId="52BF67DF" w14:textId="77777777" w:rsidR="008A64D8" w:rsidRPr="00AB22FC" w:rsidRDefault="008A64D8" w:rsidP="004D65FE">
            <w:pPr>
              <w:pStyle w:val="CGCTablerow"/>
              <w:keepNext/>
              <w:keepLines/>
            </w:pPr>
            <w:r w:rsidRPr="00AB22FC">
              <w:t>0922 Non-government secondary education</w:t>
            </w:r>
          </w:p>
          <w:p w14:paraId="1400BB51" w14:textId="77777777" w:rsidR="008A64D8" w:rsidRPr="00AB22FC" w:rsidRDefault="008A64D8" w:rsidP="004D65FE">
            <w:pPr>
              <w:pStyle w:val="CGCTablerow"/>
              <w:keepNext/>
              <w:keepLines/>
            </w:pPr>
            <w:r w:rsidRPr="00AB22FC">
              <w:t>0949 Education not definable by level n</w:t>
            </w:r>
            <w:r>
              <w:t>.</w:t>
            </w:r>
            <w:r w:rsidRPr="00AB22FC">
              <w:t>e</w:t>
            </w:r>
            <w:r>
              <w:t>.</w:t>
            </w:r>
            <w:r w:rsidRPr="00AB22FC">
              <w:t>c</w:t>
            </w:r>
            <w:r>
              <w:t>.</w:t>
            </w:r>
          </w:p>
          <w:p w14:paraId="7B1EDC14" w14:textId="77777777" w:rsidR="008A64D8" w:rsidRPr="00AB22FC" w:rsidRDefault="008A64D8" w:rsidP="004D65FE">
            <w:pPr>
              <w:pStyle w:val="CGCTablerow"/>
              <w:keepNext/>
              <w:keepLines/>
            </w:pPr>
            <w:r w:rsidRPr="00AB22FC">
              <w:t>0959 Subsidiary services to education n.e.c.</w:t>
            </w:r>
          </w:p>
          <w:p w14:paraId="69EDDA4F" w14:textId="77777777" w:rsidR="008A64D8" w:rsidRPr="00AB22FC" w:rsidRDefault="008A64D8" w:rsidP="004D65FE">
            <w:pPr>
              <w:pStyle w:val="CGCTablerow"/>
              <w:keepNext/>
              <w:keepLines/>
            </w:pPr>
            <w:r w:rsidRPr="00AB22FC">
              <w:t xml:space="preserve">0961 R&amp;D - Education </w:t>
            </w:r>
          </w:p>
          <w:p w14:paraId="64DCEA07" w14:textId="77777777" w:rsidR="008A64D8" w:rsidRPr="00AB22FC" w:rsidRDefault="008A64D8" w:rsidP="004D65FE">
            <w:pPr>
              <w:pStyle w:val="CGCTablerow"/>
              <w:keepNext/>
              <w:keepLines/>
            </w:pPr>
            <w:r w:rsidRPr="00AB22FC">
              <w:t>0991 Special education</w:t>
            </w:r>
          </w:p>
          <w:p w14:paraId="0A0B0CE0" w14:textId="77777777" w:rsidR="008A64D8" w:rsidRPr="00AB22FC" w:rsidRDefault="008A64D8" w:rsidP="004D65FE">
            <w:pPr>
              <w:pStyle w:val="CGCTablerow"/>
              <w:keepNext/>
              <w:keepLines/>
            </w:pPr>
            <w:r w:rsidRPr="00AB22FC">
              <w:t>0999 Education n.e.c.</w:t>
            </w:r>
          </w:p>
        </w:tc>
        <w:tc>
          <w:tcPr>
            <w:tcW w:w="860" w:type="pct"/>
          </w:tcPr>
          <w:p w14:paraId="64F9AA4A" w14:textId="77777777" w:rsidR="008A64D8" w:rsidRPr="00AB22FC" w:rsidRDefault="008A64D8" w:rsidP="004D65FE">
            <w:pPr>
              <w:pStyle w:val="CGCTablerow"/>
              <w:keepNext/>
              <w:keepLines/>
            </w:pPr>
            <w:r w:rsidRPr="001D7733">
              <w:t>&lt;&gt;"23" &amp; own JUR</w:t>
            </w:r>
          </w:p>
        </w:tc>
      </w:tr>
      <w:tr w:rsidR="008A64D8" w:rsidRPr="00AB22FC" w14:paraId="6FA2E2B9" w14:textId="77777777" w:rsidTr="00BD7871">
        <w:tc>
          <w:tcPr>
            <w:tcW w:w="655" w:type="pct"/>
          </w:tcPr>
          <w:p w14:paraId="74E2E842" w14:textId="77777777" w:rsidR="008A64D8" w:rsidRPr="00AB22FC" w:rsidRDefault="008A64D8" w:rsidP="004D65FE">
            <w:pPr>
              <w:pStyle w:val="CGCTablerow"/>
            </w:pPr>
            <w:r>
              <w:t>Post-secondary education (net)</w:t>
            </w:r>
          </w:p>
        </w:tc>
        <w:tc>
          <w:tcPr>
            <w:tcW w:w="1515" w:type="pct"/>
          </w:tcPr>
          <w:p w14:paraId="3FF52968" w14:textId="77777777" w:rsidR="008A64D8" w:rsidRDefault="008A64D8" w:rsidP="004D65FE">
            <w:pPr>
              <w:pStyle w:val="CGCTablerow"/>
            </w:pPr>
            <w:r>
              <w:t xml:space="preserve">Expenses — </w:t>
            </w:r>
            <w:r w:rsidRPr="00AB22FC">
              <w:t>ETF</w:t>
            </w:r>
            <w:r>
              <w:t>12*</w:t>
            </w:r>
            <w:r w:rsidRPr="00AB22FC">
              <w:t>, except 1241</w:t>
            </w:r>
            <w:r>
              <w:t>,</w:t>
            </w:r>
            <w:r w:rsidRPr="00AB22FC">
              <w:t xml:space="preserve"> 1242</w:t>
            </w:r>
            <w:r>
              <w:t>,</w:t>
            </w:r>
            <w:r w:rsidRPr="00AB22FC">
              <w:t xml:space="preserve"> 1271</w:t>
            </w:r>
            <w:r>
              <w:t>,</w:t>
            </w:r>
            <w:r w:rsidRPr="00AB22FC">
              <w:t xml:space="preserve"> and 1279</w:t>
            </w:r>
          </w:p>
          <w:p w14:paraId="3B425751" w14:textId="77777777" w:rsidR="008A64D8" w:rsidRPr="00AB22FC" w:rsidRDefault="008A64D8" w:rsidP="004D65FE">
            <w:pPr>
              <w:pStyle w:val="CGCTablerow"/>
            </w:pPr>
            <w:r>
              <w:t xml:space="preserve">User charges — </w:t>
            </w:r>
            <w:r w:rsidRPr="00423796">
              <w:t>ETF112* Sales of goods and services</w:t>
            </w:r>
          </w:p>
        </w:tc>
        <w:tc>
          <w:tcPr>
            <w:tcW w:w="1970" w:type="pct"/>
          </w:tcPr>
          <w:p w14:paraId="7B1CA4C6" w14:textId="77777777" w:rsidR="008A64D8" w:rsidRPr="00AB22FC" w:rsidRDefault="008A64D8" w:rsidP="004D65FE">
            <w:pPr>
              <w:pStyle w:val="CGCTablerow"/>
            </w:pPr>
            <w:r w:rsidRPr="00AB22FC">
              <w:t>0931 University education</w:t>
            </w:r>
          </w:p>
          <w:p w14:paraId="14EA44C8" w14:textId="77777777" w:rsidR="008A64D8" w:rsidRPr="00AB22FC" w:rsidRDefault="008A64D8" w:rsidP="004D65FE">
            <w:pPr>
              <w:pStyle w:val="CGCTablerow"/>
            </w:pPr>
            <w:r w:rsidRPr="00AB22FC">
              <w:t>0932 Vocational education and training</w:t>
            </w:r>
          </w:p>
          <w:p w14:paraId="7A5D6214" w14:textId="77777777" w:rsidR="008A64D8" w:rsidRPr="00AB22FC" w:rsidRDefault="008A64D8" w:rsidP="004D65FE">
            <w:pPr>
              <w:pStyle w:val="CGCTablerow"/>
            </w:pPr>
            <w:r w:rsidRPr="00AB22FC">
              <w:t>0941 Apprenticeships and traineeships.</w:t>
            </w:r>
          </w:p>
        </w:tc>
        <w:tc>
          <w:tcPr>
            <w:tcW w:w="860" w:type="pct"/>
          </w:tcPr>
          <w:p w14:paraId="6B8886A9" w14:textId="77777777" w:rsidR="008A64D8" w:rsidRPr="00AB22FC" w:rsidRDefault="008A64D8" w:rsidP="004D65FE">
            <w:pPr>
              <w:pStyle w:val="CGCTablerow"/>
            </w:pPr>
            <w:r w:rsidRPr="001D7733">
              <w:t>&lt;&gt;"23" &amp; own JUR</w:t>
            </w:r>
          </w:p>
        </w:tc>
      </w:tr>
      <w:tr w:rsidR="008A64D8" w:rsidRPr="00AB22FC" w14:paraId="45D51B26" w14:textId="77777777" w:rsidTr="00BD7871">
        <w:tc>
          <w:tcPr>
            <w:tcW w:w="655" w:type="pct"/>
          </w:tcPr>
          <w:p w14:paraId="56E0D19C" w14:textId="77777777" w:rsidR="008A64D8" w:rsidRDefault="008A64D8" w:rsidP="004D65FE">
            <w:pPr>
              <w:pStyle w:val="CGCTablerow"/>
            </w:pPr>
            <w:r w:rsidRPr="00BB5CF2">
              <w:t>Health (net)</w:t>
            </w:r>
          </w:p>
        </w:tc>
        <w:tc>
          <w:tcPr>
            <w:tcW w:w="1515" w:type="pct"/>
          </w:tcPr>
          <w:p w14:paraId="09D63800" w14:textId="77777777" w:rsidR="008A64D8" w:rsidRDefault="008A64D8" w:rsidP="004D65FE">
            <w:pPr>
              <w:pStyle w:val="CGCTablerow"/>
            </w:pPr>
            <w:r>
              <w:t xml:space="preserve">Expenses — </w:t>
            </w:r>
            <w:r w:rsidRPr="00AB22FC">
              <w:t>ETF</w:t>
            </w:r>
            <w:r>
              <w:t>12*</w:t>
            </w:r>
            <w:r w:rsidRPr="00AB22FC">
              <w:t>, except 1241</w:t>
            </w:r>
            <w:r>
              <w:t>,</w:t>
            </w:r>
            <w:r w:rsidRPr="00AB22FC">
              <w:t xml:space="preserve"> 1242</w:t>
            </w:r>
            <w:r>
              <w:t>,</w:t>
            </w:r>
            <w:r w:rsidRPr="00AB22FC">
              <w:t xml:space="preserve"> 1271</w:t>
            </w:r>
            <w:r>
              <w:t>,</w:t>
            </w:r>
            <w:r w:rsidRPr="00AB22FC">
              <w:t xml:space="preserve"> and 1279</w:t>
            </w:r>
            <w:r>
              <w:t xml:space="preserve"> </w:t>
            </w:r>
          </w:p>
          <w:p w14:paraId="7A2F01CF" w14:textId="77777777" w:rsidR="008A64D8" w:rsidRPr="00AB22FC" w:rsidRDefault="008A64D8" w:rsidP="004D65FE">
            <w:pPr>
              <w:pStyle w:val="CGCTablerow"/>
            </w:pPr>
            <w:r>
              <w:t xml:space="preserve">User charges — </w:t>
            </w:r>
            <w:r w:rsidRPr="00423796">
              <w:t>ETF112* Sales of goods and services</w:t>
            </w:r>
          </w:p>
        </w:tc>
        <w:tc>
          <w:tcPr>
            <w:tcW w:w="1970" w:type="pct"/>
          </w:tcPr>
          <w:p w14:paraId="786549AC" w14:textId="77777777" w:rsidR="008A64D8" w:rsidRPr="00830FE7" w:rsidRDefault="008A64D8" w:rsidP="004D65FE">
            <w:pPr>
              <w:pStyle w:val="CGCTablerow"/>
              <w:ind w:left="397" w:hanging="397"/>
            </w:pPr>
            <w:r w:rsidRPr="00830FE7">
              <w:t>0711 Pharmaceutical products</w:t>
            </w:r>
          </w:p>
          <w:p w14:paraId="60C845D7" w14:textId="77777777" w:rsidR="008A64D8" w:rsidRPr="00830FE7" w:rsidRDefault="008A64D8" w:rsidP="004D65FE">
            <w:pPr>
              <w:pStyle w:val="CGCTablerow"/>
              <w:ind w:left="397" w:hanging="397"/>
            </w:pPr>
            <w:r w:rsidRPr="00830FE7">
              <w:t>0712 Other medical products</w:t>
            </w:r>
          </w:p>
          <w:p w14:paraId="7E2C3AC5" w14:textId="77777777" w:rsidR="008A64D8" w:rsidRPr="00830FE7" w:rsidRDefault="008A64D8" w:rsidP="004D65FE">
            <w:pPr>
              <w:pStyle w:val="CGCTablerow"/>
              <w:ind w:left="397" w:hanging="397"/>
            </w:pPr>
            <w:r w:rsidRPr="00830FE7">
              <w:t xml:space="preserve">0713 Therapeutic appliances and </w:t>
            </w:r>
            <w:r>
              <w:t xml:space="preserve">    </w:t>
            </w:r>
            <w:r w:rsidRPr="00830FE7">
              <w:t>equipment</w:t>
            </w:r>
          </w:p>
          <w:p w14:paraId="01D78677" w14:textId="77777777" w:rsidR="008A64D8" w:rsidRPr="00830FE7" w:rsidRDefault="008A64D8" w:rsidP="004D65FE">
            <w:pPr>
              <w:pStyle w:val="CGCTablerow"/>
              <w:ind w:left="397" w:hanging="397"/>
            </w:pPr>
            <w:r w:rsidRPr="00830FE7">
              <w:t>0721 General medical services</w:t>
            </w:r>
          </w:p>
          <w:p w14:paraId="444E301D" w14:textId="77777777" w:rsidR="008A64D8" w:rsidRPr="00830FE7" w:rsidRDefault="008A64D8" w:rsidP="004D65FE">
            <w:pPr>
              <w:pStyle w:val="CGCTablerow"/>
              <w:ind w:left="397" w:hanging="397"/>
            </w:pPr>
            <w:r w:rsidRPr="00830FE7">
              <w:t>0722 Specialised medical services</w:t>
            </w:r>
          </w:p>
          <w:p w14:paraId="06989AD0" w14:textId="77777777" w:rsidR="008A64D8" w:rsidRPr="00830FE7" w:rsidRDefault="008A64D8" w:rsidP="004D65FE">
            <w:pPr>
              <w:pStyle w:val="CGCTablerow"/>
              <w:ind w:left="397" w:hanging="397"/>
            </w:pPr>
            <w:r w:rsidRPr="00830FE7">
              <w:t>0723 Dental services</w:t>
            </w:r>
          </w:p>
          <w:p w14:paraId="2777D29D" w14:textId="77777777" w:rsidR="008A64D8" w:rsidRPr="00830FE7" w:rsidRDefault="008A64D8" w:rsidP="004D65FE">
            <w:pPr>
              <w:pStyle w:val="CGCTablerow"/>
              <w:ind w:left="397" w:hanging="397"/>
            </w:pPr>
            <w:r w:rsidRPr="00830FE7">
              <w:t>0724 Paramedical services</w:t>
            </w:r>
          </w:p>
          <w:p w14:paraId="3AD79B97" w14:textId="77777777" w:rsidR="008A64D8" w:rsidRPr="00830FE7" w:rsidRDefault="008A64D8" w:rsidP="004D65FE">
            <w:pPr>
              <w:pStyle w:val="CGCTablerow"/>
              <w:ind w:left="397" w:hanging="397"/>
            </w:pPr>
            <w:r w:rsidRPr="00830FE7">
              <w:t>0731 General hospital services</w:t>
            </w:r>
          </w:p>
          <w:p w14:paraId="7C78BF6D" w14:textId="77777777" w:rsidR="008A64D8" w:rsidRPr="00830FE7" w:rsidRDefault="008A64D8" w:rsidP="004D65FE">
            <w:pPr>
              <w:pStyle w:val="CGCTablerow"/>
              <w:ind w:left="397" w:hanging="397"/>
            </w:pPr>
            <w:r w:rsidRPr="00830FE7">
              <w:t>0732 Specialised hospital services</w:t>
            </w:r>
          </w:p>
          <w:p w14:paraId="3F54B50E" w14:textId="77777777" w:rsidR="008A64D8" w:rsidRPr="00830FE7" w:rsidRDefault="008A64D8" w:rsidP="004D65FE">
            <w:pPr>
              <w:pStyle w:val="CGCTablerow"/>
              <w:ind w:left="397" w:hanging="397"/>
            </w:pPr>
            <w:r w:rsidRPr="00830FE7">
              <w:t>0733 Medical and maternity centre services</w:t>
            </w:r>
          </w:p>
          <w:p w14:paraId="2FB2A8B0" w14:textId="77777777" w:rsidR="008A64D8" w:rsidRPr="00830FE7" w:rsidRDefault="008A64D8" w:rsidP="004D65FE">
            <w:pPr>
              <w:pStyle w:val="CGCTablerow"/>
              <w:ind w:left="397" w:hanging="397"/>
            </w:pPr>
            <w:r w:rsidRPr="00830FE7">
              <w:t>0734 Nursing and convalescent home services</w:t>
            </w:r>
          </w:p>
          <w:p w14:paraId="73FE302A" w14:textId="77777777" w:rsidR="008A64D8" w:rsidRPr="00830FE7" w:rsidRDefault="008A64D8" w:rsidP="004D65FE">
            <w:pPr>
              <w:pStyle w:val="CGCTablerow"/>
              <w:ind w:left="397" w:hanging="397"/>
            </w:pPr>
            <w:r w:rsidRPr="00830FE7">
              <w:t xml:space="preserve">0741 Mental health institutions </w:t>
            </w:r>
          </w:p>
          <w:p w14:paraId="798ABF5A" w14:textId="77777777" w:rsidR="008A64D8" w:rsidRPr="00830FE7" w:rsidRDefault="008A64D8" w:rsidP="004D65FE">
            <w:pPr>
              <w:pStyle w:val="CGCTablerow"/>
              <w:ind w:left="397" w:hanging="397"/>
            </w:pPr>
            <w:r w:rsidRPr="00830FE7">
              <w:t>0751 Community mental health services</w:t>
            </w:r>
          </w:p>
          <w:p w14:paraId="5ADBE8E3" w14:textId="77777777" w:rsidR="008A64D8" w:rsidRPr="00830FE7" w:rsidRDefault="008A64D8" w:rsidP="004D65FE">
            <w:pPr>
              <w:pStyle w:val="CGCTablerow"/>
              <w:ind w:left="397" w:hanging="397"/>
            </w:pPr>
            <w:r w:rsidRPr="00830FE7">
              <w:t>0752 Patient transport</w:t>
            </w:r>
          </w:p>
          <w:p w14:paraId="41823CC8" w14:textId="77777777" w:rsidR="008A64D8" w:rsidRPr="00830FE7" w:rsidRDefault="008A64D8" w:rsidP="004D65FE">
            <w:pPr>
              <w:pStyle w:val="CGCTablerow"/>
              <w:ind w:left="397" w:hanging="397"/>
            </w:pPr>
            <w:r w:rsidRPr="00830FE7">
              <w:t>0759 Community health services n.e.c.</w:t>
            </w:r>
          </w:p>
          <w:p w14:paraId="3C62A936" w14:textId="77777777" w:rsidR="008A64D8" w:rsidRPr="00830FE7" w:rsidRDefault="008A64D8" w:rsidP="004D65FE">
            <w:pPr>
              <w:pStyle w:val="CGCTablerow"/>
              <w:ind w:left="397" w:hanging="397"/>
            </w:pPr>
            <w:r w:rsidRPr="00830FE7">
              <w:t>0761 Public health services</w:t>
            </w:r>
          </w:p>
          <w:p w14:paraId="30024D51" w14:textId="77777777" w:rsidR="008A64D8" w:rsidRPr="00830FE7" w:rsidRDefault="008A64D8" w:rsidP="004D65FE">
            <w:pPr>
              <w:pStyle w:val="CGCTablerow"/>
              <w:ind w:left="397" w:hanging="397"/>
            </w:pPr>
            <w:r w:rsidRPr="00830FE7">
              <w:t>0771 R&amp;D - health</w:t>
            </w:r>
          </w:p>
          <w:p w14:paraId="635CE7F4" w14:textId="77777777" w:rsidR="008A64D8" w:rsidRPr="00AB22FC" w:rsidRDefault="008A64D8" w:rsidP="004D65FE">
            <w:pPr>
              <w:pStyle w:val="CGCTablerow"/>
              <w:ind w:left="397" w:hanging="397"/>
            </w:pPr>
            <w:r w:rsidRPr="00830FE7">
              <w:t>0799 Health n.e.c.</w:t>
            </w:r>
          </w:p>
        </w:tc>
        <w:tc>
          <w:tcPr>
            <w:tcW w:w="860" w:type="pct"/>
          </w:tcPr>
          <w:p w14:paraId="7E3B5913" w14:textId="77777777" w:rsidR="008A64D8" w:rsidRPr="001D7733" w:rsidRDefault="008A64D8" w:rsidP="004D65FE">
            <w:pPr>
              <w:pStyle w:val="CGCTablerow"/>
            </w:pPr>
            <w:r w:rsidRPr="001D7733">
              <w:t>&lt;&gt;"23" &amp; own JUR</w:t>
            </w:r>
          </w:p>
        </w:tc>
      </w:tr>
      <w:tr w:rsidR="008A64D8" w:rsidRPr="00AB22FC" w14:paraId="7E776D0D" w14:textId="77777777" w:rsidTr="00BD7871">
        <w:tc>
          <w:tcPr>
            <w:tcW w:w="655" w:type="pct"/>
          </w:tcPr>
          <w:p w14:paraId="1B7F545A" w14:textId="77777777" w:rsidR="008A64D8" w:rsidRPr="00BB5CF2" w:rsidRDefault="008A64D8" w:rsidP="004D65FE">
            <w:pPr>
              <w:pStyle w:val="CGCTablerow"/>
            </w:pPr>
            <w:r w:rsidRPr="00BB5CF2">
              <w:t>Welfare</w:t>
            </w:r>
          </w:p>
        </w:tc>
        <w:tc>
          <w:tcPr>
            <w:tcW w:w="1515" w:type="pct"/>
          </w:tcPr>
          <w:p w14:paraId="7ED3C879" w14:textId="77777777" w:rsidR="008A64D8" w:rsidRPr="00AB22FC" w:rsidRDefault="008A64D8" w:rsidP="004D65FE">
            <w:pPr>
              <w:pStyle w:val="CGCTablerow"/>
              <w:keepNext/>
              <w:keepLines/>
            </w:pPr>
            <w:r>
              <w:t xml:space="preserve">Expenses — </w:t>
            </w:r>
            <w:r w:rsidRPr="00AB22FC">
              <w:t>ETF</w:t>
            </w:r>
            <w:r>
              <w:t>12*</w:t>
            </w:r>
            <w:r w:rsidRPr="00AB22FC">
              <w:t>, except 1241</w:t>
            </w:r>
            <w:r>
              <w:t>,</w:t>
            </w:r>
            <w:r w:rsidRPr="00AB22FC">
              <w:t xml:space="preserve"> 1242</w:t>
            </w:r>
            <w:r>
              <w:t>,</w:t>
            </w:r>
            <w:r w:rsidRPr="00AB22FC">
              <w:t xml:space="preserve"> 1271</w:t>
            </w:r>
            <w:r>
              <w:t>,</w:t>
            </w:r>
            <w:r w:rsidRPr="00AB22FC">
              <w:t xml:space="preserve"> and 1279</w:t>
            </w:r>
          </w:p>
        </w:tc>
        <w:tc>
          <w:tcPr>
            <w:tcW w:w="1970" w:type="pct"/>
          </w:tcPr>
          <w:p w14:paraId="1DBECA9D" w14:textId="77777777" w:rsidR="008A64D8" w:rsidRPr="00830FE7" w:rsidRDefault="008A64D8" w:rsidP="004D65FE">
            <w:pPr>
              <w:pStyle w:val="CGCTablerow"/>
              <w:keepNext/>
              <w:keepLines/>
            </w:pPr>
            <w:r w:rsidRPr="00830FE7">
              <w:t>1001 Sickness</w:t>
            </w:r>
          </w:p>
          <w:p w14:paraId="3B6F97DE" w14:textId="77777777" w:rsidR="008A64D8" w:rsidRPr="00830FE7" w:rsidRDefault="008A64D8" w:rsidP="004D65FE">
            <w:pPr>
              <w:pStyle w:val="CGCTablerow"/>
              <w:keepNext/>
              <w:keepLines/>
            </w:pPr>
            <w:r w:rsidRPr="00830FE7">
              <w:t>1002 Disability</w:t>
            </w:r>
          </w:p>
          <w:p w14:paraId="4321E748" w14:textId="77777777" w:rsidR="008A64D8" w:rsidRPr="00830FE7" w:rsidRDefault="008A64D8" w:rsidP="004D65FE">
            <w:pPr>
              <w:pStyle w:val="CGCTablerow"/>
              <w:keepNext/>
              <w:keepLines/>
            </w:pPr>
            <w:r w:rsidRPr="00830FE7">
              <w:t>1011 Old age</w:t>
            </w:r>
          </w:p>
          <w:p w14:paraId="06B28183" w14:textId="77777777" w:rsidR="008A64D8" w:rsidRPr="00830FE7" w:rsidRDefault="008A64D8" w:rsidP="004D65FE">
            <w:pPr>
              <w:pStyle w:val="CGCTablerow"/>
              <w:keepNext/>
              <w:keepLines/>
            </w:pPr>
            <w:r w:rsidRPr="00830FE7">
              <w:t>1021 Survivors</w:t>
            </w:r>
          </w:p>
          <w:p w14:paraId="091F3597" w14:textId="77777777" w:rsidR="008A64D8" w:rsidRPr="00830FE7" w:rsidRDefault="008A64D8" w:rsidP="004D65FE">
            <w:pPr>
              <w:pStyle w:val="CGCTablerow"/>
              <w:keepNext/>
              <w:keepLines/>
            </w:pPr>
            <w:r w:rsidRPr="00830FE7">
              <w:t>1031 Family and children</w:t>
            </w:r>
          </w:p>
          <w:p w14:paraId="0D57A1C6" w14:textId="77777777" w:rsidR="008A64D8" w:rsidRPr="00830FE7" w:rsidRDefault="008A64D8" w:rsidP="004D65FE">
            <w:pPr>
              <w:pStyle w:val="CGCTablerow"/>
              <w:keepNext/>
              <w:keepLines/>
            </w:pPr>
            <w:r w:rsidRPr="00830FE7">
              <w:t>1041 Unemployment</w:t>
            </w:r>
          </w:p>
          <w:p w14:paraId="75E5DA14" w14:textId="77777777" w:rsidR="008A64D8" w:rsidRPr="00830FE7" w:rsidRDefault="008A64D8" w:rsidP="004D65FE">
            <w:pPr>
              <w:pStyle w:val="CGCTablerow"/>
              <w:keepNext/>
              <w:keepLines/>
            </w:pPr>
            <w:r w:rsidRPr="00830FE7">
              <w:t>1069 Social exclusion n.e.c.</w:t>
            </w:r>
          </w:p>
          <w:p w14:paraId="0DEC3777" w14:textId="77777777" w:rsidR="008A64D8" w:rsidRPr="00830FE7" w:rsidRDefault="008A64D8" w:rsidP="004D65FE">
            <w:pPr>
              <w:pStyle w:val="CGCTablerow"/>
              <w:keepNext/>
              <w:keepLines/>
            </w:pPr>
            <w:r w:rsidRPr="00830FE7">
              <w:t>1071 R&amp;D - Social protection</w:t>
            </w:r>
          </w:p>
          <w:p w14:paraId="3A188FFF" w14:textId="77777777" w:rsidR="008A64D8" w:rsidRPr="00AB22FC" w:rsidRDefault="008A64D8" w:rsidP="004D65FE">
            <w:pPr>
              <w:pStyle w:val="CGCTablerow"/>
              <w:keepNext/>
              <w:keepLines/>
            </w:pPr>
            <w:r w:rsidRPr="00830FE7">
              <w:t>1099 Social protection n.e.c.</w:t>
            </w:r>
          </w:p>
        </w:tc>
        <w:tc>
          <w:tcPr>
            <w:tcW w:w="860" w:type="pct"/>
          </w:tcPr>
          <w:p w14:paraId="5B58F337" w14:textId="77777777" w:rsidR="008A64D8" w:rsidRPr="00AB22FC" w:rsidRDefault="008A64D8" w:rsidP="004D65FE">
            <w:pPr>
              <w:pStyle w:val="CGCTablerow"/>
              <w:keepNext/>
              <w:keepLines/>
            </w:pPr>
            <w:r w:rsidRPr="001D7733">
              <w:t>&lt;&gt;"23" &amp; own JUR</w:t>
            </w:r>
          </w:p>
        </w:tc>
      </w:tr>
      <w:tr w:rsidR="00BD7871" w:rsidRPr="00AB22FC" w14:paraId="670F2CDB" w14:textId="77777777" w:rsidTr="00BD7871">
        <w:tblPrEx>
          <w:tblCellMar>
            <w:right w:w="85" w:type="dxa"/>
          </w:tblCellMar>
        </w:tblPrEx>
        <w:tc>
          <w:tcPr>
            <w:tcW w:w="655" w:type="pct"/>
          </w:tcPr>
          <w:p w14:paraId="0B54CFB4" w14:textId="77777777" w:rsidR="00BD7871" w:rsidRPr="00BB5CF2" w:rsidRDefault="00BD7871" w:rsidP="00D61CF1">
            <w:pPr>
              <w:pStyle w:val="CGCTablerow"/>
            </w:pPr>
            <w:r>
              <w:t>Services to communities</w:t>
            </w:r>
          </w:p>
        </w:tc>
        <w:tc>
          <w:tcPr>
            <w:tcW w:w="1515" w:type="pct"/>
          </w:tcPr>
          <w:p w14:paraId="4FB0EAF5" w14:textId="77777777" w:rsidR="00BD7871" w:rsidRDefault="00BD7871" w:rsidP="00D61CF1">
            <w:pPr>
              <w:pStyle w:val="CGCTablerow"/>
            </w:pPr>
            <w:r>
              <w:t xml:space="preserve">Expenses — </w:t>
            </w:r>
            <w:r w:rsidRPr="00AB22FC">
              <w:t>ETF</w:t>
            </w:r>
            <w:r>
              <w:t>12*</w:t>
            </w:r>
            <w:r w:rsidRPr="00AB22FC">
              <w:t>, except 1241</w:t>
            </w:r>
            <w:r>
              <w:t>,</w:t>
            </w:r>
            <w:r w:rsidRPr="00AB22FC">
              <w:t xml:space="preserve"> 1242</w:t>
            </w:r>
            <w:r>
              <w:t>,</w:t>
            </w:r>
            <w:r w:rsidRPr="00AB22FC">
              <w:t xml:space="preserve"> 1271</w:t>
            </w:r>
            <w:r>
              <w:t>,</w:t>
            </w:r>
            <w:r w:rsidRPr="00AB22FC">
              <w:t xml:space="preserve"> and 1279</w:t>
            </w:r>
          </w:p>
        </w:tc>
        <w:tc>
          <w:tcPr>
            <w:tcW w:w="1970" w:type="pct"/>
          </w:tcPr>
          <w:p w14:paraId="5132862E" w14:textId="77777777" w:rsidR="00BD7871" w:rsidRDefault="00BD7871" w:rsidP="00D61CF1">
            <w:pPr>
              <w:pStyle w:val="CGCTablerow"/>
            </w:pPr>
            <w:r w:rsidRPr="00AD16AD">
              <w:t>0435 Electricity</w:t>
            </w:r>
          </w:p>
          <w:p w14:paraId="1A527000" w14:textId="77777777" w:rsidR="00BD7871" w:rsidRDefault="00BD7871" w:rsidP="00D61CF1">
            <w:pPr>
              <w:pStyle w:val="CGCTablerow"/>
            </w:pPr>
            <w:r w:rsidRPr="00C0486B">
              <w:t>0511 Waste recycling</w:t>
            </w:r>
          </w:p>
          <w:p w14:paraId="679F68F2" w14:textId="77777777" w:rsidR="00BD7871" w:rsidRDefault="00BD7871" w:rsidP="00D61CF1">
            <w:pPr>
              <w:pStyle w:val="CGCTablerow"/>
            </w:pPr>
            <w:r w:rsidRPr="00C2030C">
              <w:t>0519 Waste management n.e.c</w:t>
            </w:r>
          </w:p>
          <w:p w14:paraId="6989E78D" w14:textId="77777777" w:rsidR="00BD7871" w:rsidRDefault="00BD7871" w:rsidP="00D61CF1">
            <w:pPr>
              <w:pStyle w:val="CGCTablerow"/>
            </w:pPr>
            <w:r w:rsidRPr="00C2030C">
              <w:t>0521 Reused or recycled waste water management</w:t>
            </w:r>
          </w:p>
          <w:p w14:paraId="6A84EBAE" w14:textId="77777777" w:rsidR="00BD7871" w:rsidRDefault="00BD7871" w:rsidP="00D61CF1">
            <w:pPr>
              <w:pStyle w:val="CGCTablerow"/>
            </w:pPr>
            <w:r w:rsidRPr="00355253">
              <w:t>0529 Waste water management n.e.c.</w:t>
            </w:r>
          </w:p>
          <w:p w14:paraId="08525BCA" w14:textId="77777777" w:rsidR="00BD7871" w:rsidRDefault="00BD7871" w:rsidP="00D61CF1">
            <w:pPr>
              <w:pStyle w:val="CGCTablerow"/>
            </w:pPr>
            <w:r w:rsidRPr="00914B65">
              <w:t>0531 Pollution abatement</w:t>
            </w:r>
          </w:p>
          <w:p w14:paraId="5A98053C" w14:textId="77777777" w:rsidR="00BD7871" w:rsidRPr="00914B65" w:rsidRDefault="00BD7871" w:rsidP="00D61CF1">
            <w:pPr>
              <w:pStyle w:val="CGCTablerow"/>
            </w:pPr>
            <w:r w:rsidRPr="00160A0C">
              <w:t>0541 Protection of biodiversity and landscape</w:t>
            </w:r>
          </w:p>
          <w:p w14:paraId="150DB920" w14:textId="77777777" w:rsidR="00BD7871" w:rsidRDefault="00BD7871" w:rsidP="00D61CF1">
            <w:pPr>
              <w:pStyle w:val="CGCTablerow"/>
            </w:pPr>
            <w:r w:rsidRPr="005315A4">
              <w:t>0551 R&amp;D - environmental protection</w:t>
            </w:r>
          </w:p>
          <w:p w14:paraId="4A83AA6F" w14:textId="77777777" w:rsidR="00BD7871" w:rsidRDefault="00BD7871" w:rsidP="00D61CF1">
            <w:pPr>
              <w:pStyle w:val="CGCTablerow"/>
            </w:pPr>
            <w:r w:rsidRPr="005315A4">
              <w:t>0599 Environmental protection n.e.c.</w:t>
            </w:r>
          </w:p>
          <w:p w14:paraId="382E4BCD" w14:textId="77777777" w:rsidR="00BD7871" w:rsidRDefault="00BD7871" w:rsidP="00D61CF1">
            <w:pPr>
              <w:pStyle w:val="CGCTablerow"/>
            </w:pPr>
            <w:r w:rsidRPr="00084A8B">
              <w:t>0621 Indigenous community development</w:t>
            </w:r>
          </w:p>
          <w:p w14:paraId="631ECB64" w14:textId="77777777" w:rsidR="00BD7871" w:rsidRDefault="00BD7871" w:rsidP="00D61CF1">
            <w:pPr>
              <w:pStyle w:val="CGCTablerow"/>
            </w:pPr>
            <w:r w:rsidRPr="00DA7DE3">
              <w:t>0629 Community development n.e.c.</w:t>
            </w:r>
          </w:p>
          <w:p w14:paraId="2F6DA5F4" w14:textId="77777777" w:rsidR="00BD7871" w:rsidRDefault="00BD7871" w:rsidP="00D61CF1">
            <w:pPr>
              <w:pStyle w:val="CGCTablerow"/>
            </w:pPr>
            <w:r w:rsidRPr="00DA7DE3">
              <w:t>0631 Water supply</w:t>
            </w:r>
          </w:p>
          <w:p w14:paraId="1C844754" w14:textId="77777777" w:rsidR="00BD7871" w:rsidRDefault="00BD7871" w:rsidP="00D61CF1">
            <w:pPr>
              <w:pStyle w:val="CGCTablerow"/>
            </w:pPr>
            <w:r w:rsidRPr="00597277">
              <w:t>0641 Street lighting</w:t>
            </w:r>
          </w:p>
          <w:p w14:paraId="19B11226" w14:textId="77777777" w:rsidR="00BD7871" w:rsidRDefault="00BD7871" w:rsidP="00D61CF1">
            <w:pPr>
              <w:pStyle w:val="CGCTablerow"/>
            </w:pPr>
            <w:r w:rsidRPr="00233BA4">
              <w:t>0651 R&amp;D - Housing and community amenities</w:t>
            </w:r>
          </w:p>
          <w:p w14:paraId="3911EADC" w14:textId="77777777" w:rsidR="00BD7871" w:rsidRPr="00830FE7" w:rsidRDefault="00BD7871" w:rsidP="00D61CF1">
            <w:pPr>
              <w:pStyle w:val="CGCTablerow"/>
            </w:pPr>
            <w:r w:rsidRPr="00233BA4">
              <w:t>0699 Community amenities n.e.c.</w:t>
            </w:r>
          </w:p>
        </w:tc>
        <w:tc>
          <w:tcPr>
            <w:tcW w:w="860" w:type="pct"/>
          </w:tcPr>
          <w:p w14:paraId="7F6BD674" w14:textId="77777777" w:rsidR="00BD7871" w:rsidRPr="001D7733" w:rsidRDefault="00BD7871" w:rsidP="00D61CF1">
            <w:pPr>
              <w:pStyle w:val="CGCTablerow"/>
            </w:pPr>
          </w:p>
        </w:tc>
      </w:tr>
    </w:tbl>
    <w:p w14:paraId="3C6EBDF9" w14:textId="77777777" w:rsidR="008A64D8" w:rsidRDefault="008A64D8" w:rsidP="008A64D8">
      <w:pPr>
        <w:pStyle w:val="Caption"/>
      </w:pPr>
      <w:r>
        <w:lastRenderedPageBreak/>
        <w:t xml:space="preserve">Table 32A-1 </w:t>
      </w:r>
      <w:r>
        <w:tab/>
        <w:t>Categories and their relevant GFS codes – general government (INST=300) (continued)</w:t>
      </w:r>
    </w:p>
    <w:tbl>
      <w:tblPr>
        <w:tblW w:w="8963" w:type="dxa"/>
        <w:tblBorders>
          <w:top w:val="single" w:sz="4" w:space="0" w:color="ADD6EA"/>
          <w:bottom w:val="single" w:sz="4" w:space="0" w:color="ADD6EA"/>
          <w:insideH w:val="single" w:sz="4" w:space="0" w:color="ADD6EA"/>
        </w:tblBorders>
        <w:tblCellMar>
          <w:left w:w="28" w:type="dxa"/>
          <w:right w:w="28" w:type="dxa"/>
        </w:tblCellMar>
        <w:tblLook w:val="0000" w:firstRow="0" w:lastRow="0" w:firstColumn="0" w:lastColumn="0" w:noHBand="0" w:noVBand="0"/>
      </w:tblPr>
      <w:tblGrid>
        <w:gridCol w:w="1176"/>
        <w:gridCol w:w="2716"/>
        <w:gridCol w:w="3531"/>
        <w:gridCol w:w="1540"/>
      </w:tblGrid>
      <w:tr w:rsidR="008A64D8" w:rsidRPr="007568EB" w14:paraId="0CAC87DA" w14:textId="77777777" w:rsidTr="002F5BC2">
        <w:trPr>
          <w:trHeight w:val="376"/>
        </w:trPr>
        <w:tc>
          <w:tcPr>
            <w:tcW w:w="656" w:type="pct"/>
            <w:tcBorders>
              <w:bottom w:val="single" w:sz="4" w:space="0" w:color="ADD6EA"/>
            </w:tcBorders>
            <w:shd w:val="clear" w:color="auto" w:fill="006991"/>
            <w:vAlign w:val="center"/>
          </w:tcPr>
          <w:p w14:paraId="7F7AC5BB" w14:textId="77777777" w:rsidR="008A64D8" w:rsidRPr="007568EB" w:rsidRDefault="008A64D8" w:rsidP="004D65FE">
            <w:pPr>
              <w:pStyle w:val="CGCTableheader"/>
              <w:spacing w:before="40" w:after="40"/>
            </w:pPr>
            <w:r w:rsidRPr="007568EB">
              <w:t>Category</w:t>
            </w:r>
          </w:p>
        </w:tc>
        <w:tc>
          <w:tcPr>
            <w:tcW w:w="1514" w:type="pct"/>
            <w:tcBorders>
              <w:bottom w:val="single" w:sz="4" w:space="0" w:color="ADD6EA"/>
            </w:tcBorders>
            <w:shd w:val="clear" w:color="auto" w:fill="006991"/>
            <w:vAlign w:val="center"/>
          </w:tcPr>
          <w:p w14:paraId="240093B1" w14:textId="77777777" w:rsidR="008A64D8" w:rsidRPr="007568EB" w:rsidRDefault="008A64D8" w:rsidP="004D65FE">
            <w:pPr>
              <w:pStyle w:val="CGCTableheader"/>
              <w:spacing w:before="40" w:after="40"/>
            </w:pPr>
            <w:r w:rsidRPr="007568EB">
              <w:t>ETF</w:t>
            </w:r>
          </w:p>
        </w:tc>
        <w:tc>
          <w:tcPr>
            <w:tcW w:w="1969" w:type="pct"/>
            <w:tcBorders>
              <w:bottom w:val="single" w:sz="4" w:space="0" w:color="ADD6EA"/>
            </w:tcBorders>
            <w:shd w:val="clear" w:color="auto" w:fill="006991"/>
            <w:vAlign w:val="center"/>
          </w:tcPr>
          <w:p w14:paraId="452EB169" w14:textId="77777777" w:rsidR="008A64D8" w:rsidRPr="007568EB" w:rsidRDefault="008A64D8" w:rsidP="004D65FE">
            <w:pPr>
              <w:pStyle w:val="CGCTableheader"/>
              <w:spacing w:before="40" w:after="40"/>
            </w:pPr>
            <w:r w:rsidRPr="007568EB">
              <w:t>COFOG-A</w:t>
            </w:r>
          </w:p>
        </w:tc>
        <w:tc>
          <w:tcPr>
            <w:tcW w:w="859" w:type="pct"/>
            <w:tcBorders>
              <w:bottom w:val="single" w:sz="4" w:space="0" w:color="ADD6EA"/>
            </w:tcBorders>
            <w:shd w:val="clear" w:color="auto" w:fill="006991"/>
            <w:vAlign w:val="center"/>
          </w:tcPr>
          <w:p w14:paraId="2B58E742" w14:textId="77777777" w:rsidR="008A64D8" w:rsidRPr="007568EB" w:rsidRDefault="008A64D8" w:rsidP="004D65FE">
            <w:pPr>
              <w:pStyle w:val="CGCTableheader"/>
              <w:spacing w:before="40" w:after="40"/>
            </w:pPr>
            <w:r w:rsidRPr="007568EB">
              <w:t>SDC</w:t>
            </w:r>
          </w:p>
        </w:tc>
      </w:tr>
      <w:tr w:rsidR="008A64D8" w:rsidRPr="00AB22FC" w14:paraId="41F06614" w14:textId="77777777" w:rsidTr="002F5BC2">
        <w:tc>
          <w:tcPr>
            <w:tcW w:w="4998" w:type="pct"/>
            <w:gridSpan w:val="4"/>
            <w:shd w:val="clear" w:color="auto" w:fill="B6D5E4"/>
          </w:tcPr>
          <w:p w14:paraId="51E46480" w14:textId="77777777" w:rsidR="008A64D8" w:rsidRPr="00AB22FC" w:rsidRDefault="008A64D8" w:rsidP="004D65FE">
            <w:pPr>
              <w:pStyle w:val="CGCTablesubhead1"/>
            </w:pPr>
            <w:r w:rsidRPr="00AB22FC">
              <w:t>Expenses</w:t>
            </w:r>
            <w:r>
              <w:t xml:space="preserve"> (continued)</w:t>
            </w:r>
          </w:p>
        </w:tc>
      </w:tr>
      <w:tr w:rsidR="002F5BC2" w:rsidRPr="00AB22FC" w14:paraId="654403FB" w14:textId="77777777" w:rsidTr="002F5BC2">
        <w:tc>
          <w:tcPr>
            <w:tcW w:w="655" w:type="pct"/>
          </w:tcPr>
          <w:p w14:paraId="3CF0C667" w14:textId="77777777" w:rsidR="002F5BC2" w:rsidRPr="00BB5CF2" w:rsidRDefault="002F5BC2" w:rsidP="00D61CF1">
            <w:pPr>
              <w:pStyle w:val="CGCTablerow"/>
            </w:pPr>
            <w:r w:rsidRPr="00BB5CF2">
              <w:t>Justice</w:t>
            </w:r>
          </w:p>
        </w:tc>
        <w:tc>
          <w:tcPr>
            <w:tcW w:w="1515" w:type="pct"/>
          </w:tcPr>
          <w:p w14:paraId="7BF8330F" w14:textId="77777777" w:rsidR="002F5BC2" w:rsidRPr="00AB22FC" w:rsidRDefault="002F5BC2" w:rsidP="00D61CF1">
            <w:pPr>
              <w:pStyle w:val="CGCTablerow"/>
            </w:pPr>
            <w:r>
              <w:t xml:space="preserve">Expenses — </w:t>
            </w:r>
            <w:r w:rsidRPr="00AB22FC">
              <w:t>ETF</w:t>
            </w:r>
            <w:r>
              <w:t>12*</w:t>
            </w:r>
            <w:r w:rsidRPr="00AB22FC">
              <w:t>, except 1241</w:t>
            </w:r>
            <w:r>
              <w:t>,</w:t>
            </w:r>
            <w:r w:rsidRPr="00AB22FC">
              <w:t xml:space="preserve"> 1242</w:t>
            </w:r>
            <w:r>
              <w:t>,</w:t>
            </w:r>
            <w:r w:rsidRPr="00AB22FC">
              <w:t xml:space="preserve"> 1271</w:t>
            </w:r>
            <w:r>
              <w:t>,</w:t>
            </w:r>
            <w:r w:rsidRPr="00AB22FC">
              <w:t xml:space="preserve"> and 1279</w:t>
            </w:r>
          </w:p>
        </w:tc>
        <w:tc>
          <w:tcPr>
            <w:tcW w:w="1970" w:type="pct"/>
          </w:tcPr>
          <w:p w14:paraId="7BCBB7E3" w14:textId="77777777" w:rsidR="002F5BC2" w:rsidRPr="00830FE7" w:rsidRDefault="002F5BC2" w:rsidP="00D61CF1">
            <w:pPr>
              <w:pStyle w:val="CGCTablerow"/>
            </w:pPr>
            <w:r w:rsidRPr="00830FE7">
              <w:t>0311 Police services</w:t>
            </w:r>
          </w:p>
          <w:p w14:paraId="515A7FF7" w14:textId="77777777" w:rsidR="002F5BC2" w:rsidRPr="00830FE7" w:rsidRDefault="002F5BC2" w:rsidP="00D61CF1">
            <w:pPr>
              <w:pStyle w:val="CGCTablerow"/>
            </w:pPr>
            <w:r w:rsidRPr="00830FE7">
              <w:t>0331 Law courts</w:t>
            </w:r>
          </w:p>
          <w:p w14:paraId="17EC145A" w14:textId="77777777" w:rsidR="002F5BC2" w:rsidRPr="00830FE7" w:rsidRDefault="002F5BC2" w:rsidP="00D61CF1">
            <w:pPr>
              <w:pStyle w:val="CGCTablerow"/>
            </w:pPr>
            <w:r w:rsidRPr="00830FE7">
              <w:t>0341 Prisons</w:t>
            </w:r>
          </w:p>
          <w:p w14:paraId="56D59091" w14:textId="77777777" w:rsidR="002F5BC2" w:rsidRPr="00AB22FC" w:rsidRDefault="002F5BC2" w:rsidP="00D61CF1">
            <w:pPr>
              <w:pStyle w:val="CGCTablerow"/>
            </w:pPr>
            <w:r w:rsidRPr="00830FE7">
              <w:t>0351 R&amp;D - public order and safety</w:t>
            </w:r>
          </w:p>
        </w:tc>
        <w:tc>
          <w:tcPr>
            <w:tcW w:w="860" w:type="pct"/>
          </w:tcPr>
          <w:p w14:paraId="5A17FCA4" w14:textId="77777777" w:rsidR="002F5BC2" w:rsidRPr="00AB22FC" w:rsidRDefault="002F5BC2" w:rsidP="00D61CF1">
            <w:pPr>
              <w:pStyle w:val="CGCTablerow"/>
            </w:pPr>
            <w:r w:rsidRPr="001D7733">
              <w:t>&lt;&gt;"23" &amp; own JUR</w:t>
            </w:r>
          </w:p>
        </w:tc>
      </w:tr>
      <w:tr w:rsidR="002F5BC2" w:rsidRPr="00AB22FC" w14:paraId="260AB744" w14:textId="77777777" w:rsidTr="002F5BC2">
        <w:tc>
          <w:tcPr>
            <w:tcW w:w="655" w:type="pct"/>
          </w:tcPr>
          <w:p w14:paraId="7D599D4E" w14:textId="77777777" w:rsidR="002F5BC2" w:rsidRPr="00BB5CF2" w:rsidRDefault="002F5BC2" w:rsidP="00D61CF1">
            <w:pPr>
              <w:pStyle w:val="CGCTablerow"/>
            </w:pPr>
            <w:r w:rsidRPr="00BB5CF2">
              <w:t>Roads</w:t>
            </w:r>
          </w:p>
        </w:tc>
        <w:tc>
          <w:tcPr>
            <w:tcW w:w="1515" w:type="pct"/>
          </w:tcPr>
          <w:p w14:paraId="71F4B377" w14:textId="77777777" w:rsidR="002F5BC2" w:rsidRPr="00AB22FC" w:rsidRDefault="002F5BC2" w:rsidP="00D61CF1">
            <w:pPr>
              <w:pStyle w:val="CGCTablerow"/>
            </w:pPr>
            <w:r>
              <w:t xml:space="preserve">Expenses — </w:t>
            </w:r>
            <w:r w:rsidRPr="00AB22FC">
              <w:t>ETF</w:t>
            </w:r>
            <w:r>
              <w:t>12*</w:t>
            </w:r>
            <w:r w:rsidRPr="00AB22FC">
              <w:t>, except 1241</w:t>
            </w:r>
            <w:r>
              <w:t>,</w:t>
            </w:r>
            <w:r w:rsidRPr="00AB22FC">
              <w:t xml:space="preserve"> 1242</w:t>
            </w:r>
            <w:r>
              <w:t>,</w:t>
            </w:r>
            <w:r w:rsidRPr="00AB22FC">
              <w:t xml:space="preserve"> 1271</w:t>
            </w:r>
            <w:r>
              <w:t>,</w:t>
            </w:r>
            <w:r w:rsidRPr="00AB22FC">
              <w:t xml:space="preserve"> and 1279</w:t>
            </w:r>
          </w:p>
        </w:tc>
        <w:tc>
          <w:tcPr>
            <w:tcW w:w="1970" w:type="pct"/>
          </w:tcPr>
          <w:p w14:paraId="5395DF6E" w14:textId="77777777" w:rsidR="002F5BC2" w:rsidRPr="00830FE7" w:rsidRDefault="002F5BC2" w:rsidP="00D61CF1">
            <w:pPr>
              <w:pStyle w:val="CGCTablerow"/>
            </w:pPr>
            <w:r w:rsidRPr="00830FE7">
              <w:t>1111 Road maintenance</w:t>
            </w:r>
          </w:p>
          <w:p w14:paraId="37A95AE6" w14:textId="77777777" w:rsidR="002F5BC2" w:rsidRPr="00830FE7" w:rsidRDefault="002F5BC2" w:rsidP="00D61CF1">
            <w:pPr>
              <w:pStyle w:val="CGCTablerow"/>
            </w:pPr>
            <w:r w:rsidRPr="00830FE7">
              <w:t>1112 Road rehabilitation</w:t>
            </w:r>
          </w:p>
          <w:p w14:paraId="7710FE85" w14:textId="77777777" w:rsidR="002F5BC2" w:rsidRPr="00830FE7" w:rsidRDefault="002F5BC2" w:rsidP="00D61CF1">
            <w:pPr>
              <w:pStyle w:val="CGCTablerow"/>
            </w:pPr>
            <w:r w:rsidRPr="00830FE7">
              <w:t>1113 Road construction</w:t>
            </w:r>
          </w:p>
          <w:p w14:paraId="620133C5" w14:textId="77777777" w:rsidR="002F5BC2" w:rsidRPr="00AB22FC" w:rsidRDefault="002F5BC2" w:rsidP="00D61CF1">
            <w:pPr>
              <w:pStyle w:val="CGCTablerow"/>
            </w:pPr>
            <w:r w:rsidRPr="00830FE7">
              <w:t>1119 Road transport n.e.c.</w:t>
            </w:r>
          </w:p>
        </w:tc>
        <w:tc>
          <w:tcPr>
            <w:tcW w:w="860" w:type="pct"/>
          </w:tcPr>
          <w:p w14:paraId="632BE55B" w14:textId="77777777" w:rsidR="002F5BC2" w:rsidRPr="00AB22FC" w:rsidRDefault="002F5BC2" w:rsidP="00D61CF1">
            <w:pPr>
              <w:pStyle w:val="CGCTablerow"/>
            </w:pPr>
            <w:r w:rsidRPr="001D7733">
              <w:t>&lt;&gt;"23" &amp; own JUR</w:t>
            </w:r>
          </w:p>
        </w:tc>
      </w:tr>
      <w:tr w:rsidR="008A64D8" w:rsidRPr="00AB22FC" w14:paraId="7C9AF251" w14:textId="77777777" w:rsidTr="002F5BC2">
        <w:tc>
          <w:tcPr>
            <w:tcW w:w="656" w:type="pct"/>
          </w:tcPr>
          <w:p w14:paraId="3E88F677" w14:textId="09822861" w:rsidR="008A64D8" w:rsidRPr="002A7E04" w:rsidRDefault="008A64D8" w:rsidP="004D65FE">
            <w:pPr>
              <w:pStyle w:val="CGCTablerow"/>
            </w:pPr>
            <w:r w:rsidRPr="002A7E04">
              <w:t>Transport — Non-urban transport</w:t>
            </w:r>
            <w:r>
              <w:t xml:space="preserve"> (net)</w:t>
            </w:r>
            <w:r w:rsidRPr="002A7E04">
              <w:t xml:space="preserve">; Urban transport code rule is in Table </w:t>
            </w:r>
            <w:r w:rsidR="00544C64">
              <w:t>32</w:t>
            </w:r>
            <w:r w:rsidRPr="002A7E04">
              <w:t>A-2</w:t>
            </w:r>
          </w:p>
        </w:tc>
        <w:tc>
          <w:tcPr>
            <w:tcW w:w="1514" w:type="pct"/>
          </w:tcPr>
          <w:p w14:paraId="27640DF8" w14:textId="77777777" w:rsidR="008A64D8" w:rsidRDefault="008A64D8" w:rsidP="004D65FE">
            <w:pPr>
              <w:pStyle w:val="CGCTablerow"/>
            </w:pPr>
            <w:r>
              <w:t xml:space="preserve">Expenses — </w:t>
            </w:r>
            <w:r w:rsidRPr="00AB22FC">
              <w:t>ETF</w:t>
            </w:r>
            <w:r>
              <w:t>12*</w:t>
            </w:r>
            <w:r w:rsidRPr="00AB22FC">
              <w:t>, except 1241</w:t>
            </w:r>
            <w:r>
              <w:t>,</w:t>
            </w:r>
            <w:r w:rsidRPr="00AB22FC">
              <w:t xml:space="preserve"> 1242</w:t>
            </w:r>
            <w:r>
              <w:t>,</w:t>
            </w:r>
            <w:r w:rsidRPr="00AB22FC">
              <w:t xml:space="preserve"> 1271</w:t>
            </w:r>
            <w:r>
              <w:t>,</w:t>
            </w:r>
            <w:r w:rsidRPr="00AB22FC">
              <w:t xml:space="preserve"> and 1279</w:t>
            </w:r>
            <w:r>
              <w:t xml:space="preserve"> </w:t>
            </w:r>
          </w:p>
          <w:p w14:paraId="4478BBA9" w14:textId="77777777" w:rsidR="008A64D8" w:rsidRPr="00AB22FC" w:rsidRDefault="008A64D8" w:rsidP="004D65FE">
            <w:pPr>
              <w:pStyle w:val="CGCTablerow"/>
            </w:pPr>
            <w:r>
              <w:t xml:space="preserve">User charges — </w:t>
            </w:r>
            <w:r w:rsidRPr="00423796">
              <w:t>ETF112* Sales of goods and services</w:t>
            </w:r>
          </w:p>
        </w:tc>
        <w:tc>
          <w:tcPr>
            <w:tcW w:w="1969" w:type="pct"/>
          </w:tcPr>
          <w:p w14:paraId="66C410B1" w14:textId="77777777" w:rsidR="008A64D8" w:rsidRPr="00830FE7" w:rsidRDefault="008A64D8" w:rsidP="004D65FE">
            <w:pPr>
              <w:pStyle w:val="CGCTablerow"/>
            </w:pPr>
            <w:r w:rsidRPr="00830FE7">
              <w:t>1122 Non-urban bus transport</w:t>
            </w:r>
          </w:p>
          <w:p w14:paraId="0AC14F63" w14:textId="77777777" w:rsidR="008A64D8" w:rsidRPr="00830FE7" w:rsidRDefault="008A64D8" w:rsidP="004D65FE">
            <w:pPr>
              <w:pStyle w:val="CGCTablerow"/>
            </w:pPr>
            <w:r w:rsidRPr="00830FE7">
              <w:t>1133 Non-urban water transport services</w:t>
            </w:r>
          </w:p>
          <w:p w14:paraId="350F50D2" w14:textId="77777777" w:rsidR="008A64D8" w:rsidRPr="00830FE7" w:rsidRDefault="008A64D8" w:rsidP="004D65FE">
            <w:pPr>
              <w:pStyle w:val="CGCTablerow"/>
              <w:ind w:left="397" w:hanging="397"/>
            </w:pPr>
            <w:r w:rsidRPr="00830FE7">
              <w:t>1142 Non-urban railway transport freight services</w:t>
            </w:r>
          </w:p>
          <w:p w14:paraId="279C698C" w14:textId="77777777" w:rsidR="008A64D8" w:rsidRPr="00830FE7" w:rsidRDefault="008A64D8" w:rsidP="004D65FE">
            <w:pPr>
              <w:pStyle w:val="CGCTablerow"/>
              <w:ind w:left="397" w:hanging="397"/>
            </w:pPr>
            <w:r w:rsidRPr="00830FE7">
              <w:t>1143 Non-urban railway transport passenger services</w:t>
            </w:r>
          </w:p>
          <w:p w14:paraId="3689F0DC" w14:textId="77777777" w:rsidR="008A64D8" w:rsidRPr="00AB22FC" w:rsidRDefault="008A64D8" w:rsidP="004D65FE">
            <w:pPr>
              <w:pStyle w:val="CGCTablerow"/>
            </w:pPr>
            <w:r w:rsidRPr="00830FE7">
              <w:t>1151 Air transport</w:t>
            </w:r>
          </w:p>
        </w:tc>
        <w:tc>
          <w:tcPr>
            <w:tcW w:w="859" w:type="pct"/>
          </w:tcPr>
          <w:p w14:paraId="64E9E8F5" w14:textId="77777777" w:rsidR="008A64D8" w:rsidRPr="00AB22FC" w:rsidRDefault="008A64D8" w:rsidP="004D65FE">
            <w:pPr>
              <w:pStyle w:val="CGCTablerow"/>
            </w:pPr>
            <w:r w:rsidRPr="001D7733">
              <w:t>&lt;&gt;"23" &amp; own JUR</w:t>
            </w:r>
          </w:p>
        </w:tc>
      </w:tr>
      <w:tr w:rsidR="008A64D8" w:rsidRPr="00AB22FC" w14:paraId="6BDE7BFD" w14:textId="77777777" w:rsidTr="002F5BC2">
        <w:tc>
          <w:tcPr>
            <w:tcW w:w="656" w:type="pct"/>
          </w:tcPr>
          <w:p w14:paraId="5F4EFC2B" w14:textId="77777777" w:rsidR="008A64D8" w:rsidRPr="002A7E04" w:rsidRDefault="008A64D8" w:rsidP="004D65FE">
            <w:pPr>
              <w:pStyle w:val="CGCTablerow"/>
            </w:pPr>
            <w:r w:rsidRPr="002A7E04">
              <w:t>Services to industry (net)</w:t>
            </w:r>
          </w:p>
        </w:tc>
        <w:tc>
          <w:tcPr>
            <w:tcW w:w="1514" w:type="pct"/>
          </w:tcPr>
          <w:p w14:paraId="742CE971" w14:textId="77777777" w:rsidR="008A64D8" w:rsidRDefault="008A64D8" w:rsidP="004D65FE">
            <w:pPr>
              <w:pStyle w:val="CGCTablerow"/>
            </w:pPr>
            <w:r>
              <w:t xml:space="preserve">Expenses — </w:t>
            </w:r>
            <w:r w:rsidRPr="00AB22FC">
              <w:t>ETF</w:t>
            </w:r>
            <w:r>
              <w:t>12*</w:t>
            </w:r>
            <w:r w:rsidRPr="00AB22FC">
              <w:t>, except 1241</w:t>
            </w:r>
            <w:r>
              <w:t>,</w:t>
            </w:r>
            <w:r w:rsidRPr="00AB22FC">
              <w:t xml:space="preserve"> 1242</w:t>
            </w:r>
            <w:r>
              <w:t>,</w:t>
            </w:r>
            <w:r w:rsidRPr="00AB22FC">
              <w:t xml:space="preserve"> 1271</w:t>
            </w:r>
            <w:r>
              <w:t>,</w:t>
            </w:r>
            <w:r w:rsidRPr="00AB22FC">
              <w:t xml:space="preserve"> and 1279</w:t>
            </w:r>
            <w:r>
              <w:t xml:space="preserve"> </w:t>
            </w:r>
          </w:p>
          <w:p w14:paraId="7A047C7F" w14:textId="77777777" w:rsidR="008A64D8" w:rsidRPr="00423796" w:rsidRDefault="008A64D8" w:rsidP="004D65FE">
            <w:pPr>
              <w:pStyle w:val="CGCTablerow"/>
              <w:rPr>
                <w:color w:val="FF0000"/>
              </w:rPr>
            </w:pPr>
            <w:r>
              <w:t xml:space="preserve">User charges — </w:t>
            </w:r>
            <w:r w:rsidRPr="00423796">
              <w:t>ETF112* Sales of goods and services</w:t>
            </w:r>
          </w:p>
        </w:tc>
        <w:tc>
          <w:tcPr>
            <w:tcW w:w="1969" w:type="pct"/>
          </w:tcPr>
          <w:p w14:paraId="19291C6F" w14:textId="77777777" w:rsidR="008A64D8" w:rsidRPr="00830FE7" w:rsidRDefault="008A64D8" w:rsidP="004D65FE">
            <w:pPr>
              <w:pStyle w:val="CGCTablerow"/>
              <w:ind w:left="397" w:hanging="397"/>
            </w:pPr>
            <w:r w:rsidRPr="00830FE7">
              <w:t>0411 General economic and commercial affairs</w:t>
            </w:r>
          </w:p>
          <w:p w14:paraId="59349162" w14:textId="77777777" w:rsidR="008A64D8" w:rsidRPr="00830FE7" w:rsidRDefault="008A64D8" w:rsidP="004D65FE">
            <w:pPr>
              <w:pStyle w:val="CGCTablerow"/>
              <w:ind w:left="397" w:hanging="397"/>
            </w:pPr>
            <w:r w:rsidRPr="00830FE7">
              <w:t>0412 General labour affairs</w:t>
            </w:r>
          </w:p>
          <w:p w14:paraId="50BA4C3E" w14:textId="77777777" w:rsidR="008A64D8" w:rsidRPr="00830FE7" w:rsidRDefault="008A64D8" w:rsidP="004D65FE">
            <w:pPr>
              <w:pStyle w:val="CGCTablerow"/>
              <w:ind w:left="397" w:hanging="397"/>
            </w:pPr>
            <w:r w:rsidRPr="00830FE7">
              <w:t xml:space="preserve">0421 Agriculture </w:t>
            </w:r>
          </w:p>
          <w:p w14:paraId="160BD917" w14:textId="77777777" w:rsidR="008A64D8" w:rsidRPr="00830FE7" w:rsidRDefault="008A64D8" w:rsidP="004D65FE">
            <w:pPr>
              <w:pStyle w:val="CGCTablerow"/>
              <w:ind w:left="397" w:hanging="397"/>
            </w:pPr>
            <w:r w:rsidRPr="00830FE7">
              <w:t>0422 Forestry</w:t>
            </w:r>
          </w:p>
          <w:p w14:paraId="5F9416C7" w14:textId="77777777" w:rsidR="008A64D8" w:rsidRPr="00830FE7" w:rsidRDefault="008A64D8" w:rsidP="004D65FE">
            <w:pPr>
              <w:pStyle w:val="CGCTablerow"/>
              <w:ind w:left="397" w:hanging="397"/>
            </w:pPr>
            <w:r w:rsidRPr="00830FE7">
              <w:t xml:space="preserve">0423 Fishing and hunting </w:t>
            </w:r>
          </w:p>
          <w:p w14:paraId="4F3ABED0" w14:textId="77777777" w:rsidR="008A64D8" w:rsidRPr="00830FE7" w:rsidRDefault="008A64D8" w:rsidP="004D65FE">
            <w:pPr>
              <w:pStyle w:val="CGCTablerow"/>
              <w:ind w:left="397" w:hanging="397"/>
            </w:pPr>
            <w:r w:rsidRPr="00830FE7">
              <w:t>0431 Coal and other solid mineral fuels</w:t>
            </w:r>
          </w:p>
          <w:p w14:paraId="1BB70855" w14:textId="77777777" w:rsidR="008A64D8" w:rsidRPr="00830FE7" w:rsidRDefault="008A64D8" w:rsidP="004D65FE">
            <w:pPr>
              <w:pStyle w:val="CGCTablerow"/>
              <w:ind w:left="397" w:hanging="397"/>
            </w:pPr>
            <w:r w:rsidRPr="00830FE7">
              <w:t>0432 Petroleum and natural gas</w:t>
            </w:r>
          </w:p>
          <w:p w14:paraId="57C76564" w14:textId="77777777" w:rsidR="008A64D8" w:rsidRPr="00830FE7" w:rsidRDefault="008A64D8" w:rsidP="004D65FE">
            <w:pPr>
              <w:pStyle w:val="CGCTablerow"/>
              <w:ind w:left="397" w:hanging="397"/>
            </w:pPr>
            <w:r w:rsidRPr="00830FE7">
              <w:t>0433 Nuclear fuel</w:t>
            </w:r>
          </w:p>
          <w:p w14:paraId="1789963B" w14:textId="77777777" w:rsidR="008A64D8" w:rsidRPr="00830FE7" w:rsidRDefault="008A64D8" w:rsidP="004D65FE">
            <w:pPr>
              <w:pStyle w:val="CGCTablerow"/>
              <w:ind w:left="397" w:hanging="397"/>
            </w:pPr>
            <w:r w:rsidRPr="00830FE7">
              <w:t>0434 Other fuels</w:t>
            </w:r>
          </w:p>
          <w:p w14:paraId="1455144D" w14:textId="77777777" w:rsidR="008A64D8" w:rsidRPr="00830FE7" w:rsidRDefault="008A64D8" w:rsidP="004D65FE">
            <w:pPr>
              <w:pStyle w:val="CGCTablerow"/>
              <w:ind w:left="397" w:hanging="397"/>
            </w:pPr>
            <w:r w:rsidRPr="00830FE7">
              <w:t>0436 Non-electric energy</w:t>
            </w:r>
          </w:p>
          <w:p w14:paraId="1EF890A9" w14:textId="77777777" w:rsidR="008A64D8" w:rsidRPr="00830FE7" w:rsidRDefault="008A64D8" w:rsidP="004D65FE">
            <w:pPr>
              <w:pStyle w:val="CGCTablerow"/>
              <w:ind w:left="397" w:hanging="397"/>
            </w:pPr>
            <w:r w:rsidRPr="00830FE7">
              <w:t>0439 Fuel and energy n.e.c</w:t>
            </w:r>
            <w:r>
              <w:t>.</w:t>
            </w:r>
          </w:p>
          <w:p w14:paraId="40D27032" w14:textId="77777777" w:rsidR="008A64D8" w:rsidRPr="00830FE7" w:rsidRDefault="008A64D8" w:rsidP="004D65FE">
            <w:pPr>
              <w:pStyle w:val="CGCTablerow"/>
              <w:ind w:left="397" w:hanging="397"/>
            </w:pPr>
            <w:r w:rsidRPr="00830FE7">
              <w:t>0441 Mining of mineral resources other than mineral fuels</w:t>
            </w:r>
          </w:p>
          <w:p w14:paraId="64270EF8" w14:textId="77777777" w:rsidR="008A64D8" w:rsidRPr="00830FE7" w:rsidRDefault="008A64D8" w:rsidP="004D65FE">
            <w:pPr>
              <w:pStyle w:val="CGCTablerow"/>
              <w:ind w:left="397" w:hanging="397"/>
            </w:pPr>
            <w:r w:rsidRPr="00830FE7">
              <w:t>0442 Manufacturing</w:t>
            </w:r>
          </w:p>
          <w:p w14:paraId="49763402" w14:textId="77777777" w:rsidR="008A64D8" w:rsidRPr="00830FE7" w:rsidRDefault="008A64D8" w:rsidP="004D65FE">
            <w:pPr>
              <w:pStyle w:val="CGCTablerow"/>
              <w:ind w:left="397" w:hanging="397"/>
            </w:pPr>
            <w:r w:rsidRPr="00830FE7">
              <w:t>0443 Construction</w:t>
            </w:r>
          </w:p>
          <w:p w14:paraId="56B60A7D" w14:textId="77777777" w:rsidR="008A64D8" w:rsidRPr="00830FE7" w:rsidRDefault="008A64D8" w:rsidP="004D65FE">
            <w:pPr>
              <w:pStyle w:val="CGCTablerow"/>
              <w:ind w:left="397" w:hanging="397"/>
            </w:pPr>
            <w:r w:rsidRPr="00830FE7">
              <w:t>0461 Distributive trades, storage and warehouse</w:t>
            </w:r>
          </w:p>
          <w:p w14:paraId="20BD4E7B" w14:textId="77777777" w:rsidR="008A64D8" w:rsidRPr="00830FE7" w:rsidRDefault="008A64D8" w:rsidP="004D65FE">
            <w:pPr>
              <w:pStyle w:val="CGCTablerow"/>
              <w:ind w:left="397" w:hanging="397"/>
            </w:pPr>
            <w:r w:rsidRPr="00830FE7">
              <w:t>0462 Hotels and restaurants</w:t>
            </w:r>
          </w:p>
          <w:p w14:paraId="19787BD5" w14:textId="77777777" w:rsidR="008A64D8" w:rsidRPr="00830FE7" w:rsidRDefault="008A64D8" w:rsidP="004D65FE">
            <w:pPr>
              <w:pStyle w:val="CGCTablerow"/>
              <w:ind w:left="397" w:hanging="397"/>
            </w:pPr>
            <w:r w:rsidRPr="00830FE7">
              <w:t>0463 Tourism</w:t>
            </w:r>
          </w:p>
          <w:p w14:paraId="3E33683B" w14:textId="77777777" w:rsidR="008A64D8" w:rsidRPr="00830FE7" w:rsidRDefault="008A64D8" w:rsidP="004D65FE">
            <w:pPr>
              <w:pStyle w:val="CGCTablerow"/>
              <w:ind w:left="397" w:hanging="397"/>
            </w:pPr>
            <w:r w:rsidRPr="00830FE7">
              <w:t>0464 Multipurpose development projects</w:t>
            </w:r>
          </w:p>
          <w:p w14:paraId="55326EB5" w14:textId="77777777" w:rsidR="008A64D8" w:rsidRPr="00830FE7" w:rsidRDefault="008A64D8" w:rsidP="004D65FE">
            <w:pPr>
              <w:pStyle w:val="CGCTablerow"/>
              <w:ind w:left="397" w:hanging="397"/>
            </w:pPr>
            <w:r w:rsidRPr="00830FE7">
              <w:t>0471 R&amp;D - general economic, commercial and labour affairs</w:t>
            </w:r>
          </w:p>
          <w:p w14:paraId="0ACDF657" w14:textId="77777777" w:rsidR="008A64D8" w:rsidRPr="00830FE7" w:rsidRDefault="008A64D8" w:rsidP="004D65FE">
            <w:pPr>
              <w:pStyle w:val="CGCTablerow"/>
              <w:ind w:left="397" w:hanging="397"/>
            </w:pPr>
            <w:r w:rsidRPr="00830FE7">
              <w:t>0472 R&amp;D - agriculture, forestry, fishing and hunting</w:t>
            </w:r>
          </w:p>
          <w:p w14:paraId="1A702041" w14:textId="77777777" w:rsidR="008A64D8" w:rsidRPr="00830FE7" w:rsidRDefault="008A64D8" w:rsidP="004D65FE">
            <w:pPr>
              <w:pStyle w:val="CGCTablerow"/>
              <w:ind w:left="397" w:hanging="397"/>
            </w:pPr>
            <w:r w:rsidRPr="00830FE7">
              <w:t>0473 R&amp;D - fuel and energy</w:t>
            </w:r>
          </w:p>
          <w:p w14:paraId="5A921D60" w14:textId="77777777" w:rsidR="008A64D8" w:rsidRPr="00830FE7" w:rsidRDefault="008A64D8" w:rsidP="004D65FE">
            <w:pPr>
              <w:pStyle w:val="CGCTablerow"/>
              <w:ind w:left="397" w:hanging="397"/>
            </w:pPr>
            <w:r w:rsidRPr="00830FE7">
              <w:t>0474 R&amp;D - mining, manufacturing and construction</w:t>
            </w:r>
          </w:p>
          <w:p w14:paraId="327DDBD2" w14:textId="77777777" w:rsidR="008A64D8" w:rsidRPr="00830FE7" w:rsidRDefault="008A64D8" w:rsidP="004D65FE">
            <w:pPr>
              <w:pStyle w:val="CGCTablerow"/>
              <w:ind w:left="397" w:hanging="397"/>
            </w:pPr>
            <w:r w:rsidRPr="00830FE7">
              <w:t>0476 R&amp;D - other industries</w:t>
            </w:r>
          </w:p>
          <w:p w14:paraId="2166C901" w14:textId="77777777" w:rsidR="008A64D8" w:rsidRPr="00830FE7" w:rsidRDefault="008A64D8" w:rsidP="004D65FE">
            <w:pPr>
              <w:pStyle w:val="CGCTablerow"/>
            </w:pPr>
            <w:r w:rsidRPr="00830FE7">
              <w:t>0499 Economic affairs n</w:t>
            </w:r>
            <w:r>
              <w:t>.</w:t>
            </w:r>
            <w:r w:rsidRPr="00830FE7">
              <w:t>e</w:t>
            </w:r>
            <w:r>
              <w:t>.</w:t>
            </w:r>
            <w:r w:rsidRPr="00830FE7">
              <w:t>c</w:t>
            </w:r>
            <w:r>
              <w:t>.</w:t>
            </w:r>
          </w:p>
        </w:tc>
        <w:tc>
          <w:tcPr>
            <w:tcW w:w="859" w:type="pct"/>
          </w:tcPr>
          <w:p w14:paraId="7F39EA4D" w14:textId="77777777" w:rsidR="008A64D8" w:rsidRPr="001D7733" w:rsidRDefault="008A64D8" w:rsidP="004D65FE">
            <w:pPr>
              <w:pStyle w:val="CGCTablerow"/>
            </w:pPr>
            <w:r w:rsidRPr="001D7733">
              <w:t>&lt;&gt;"23" &amp; own JUR</w:t>
            </w:r>
          </w:p>
        </w:tc>
      </w:tr>
    </w:tbl>
    <w:p w14:paraId="51478807" w14:textId="3EBE91EE" w:rsidR="008A64D8" w:rsidRDefault="008A64D8" w:rsidP="008A64D8"/>
    <w:p w14:paraId="2FF1380B" w14:textId="77777777" w:rsidR="00BD7871" w:rsidRDefault="00BD7871" w:rsidP="008A64D8"/>
    <w:p w14:paraId="403A5CC5" w14:textId="77777777" w:rsidR="008A64D8" w:rsidRDefault="008A64D8" w:rsidP="008A64D8">
      <w:pPr>
        <w:pStyle w:val="Caption"/>
      </w:pPr>
      <w:r w:rsidRPr="00830FE7">
        <w:rPr>
          <w:rFonts w:ascii="Calibri" w:hAnsi="Calibri" w:cs="Calibri"/>
          <w:sz w:val="18"/>
          <w:szCs w:val="18"/>
        </w:rPr>
        <w:br w:type="page"/>
      </w:r>
      <w:r>
        <w:lastRenderedPageBreak/>
        <w:t xml:space="preserve">Table 32A-1 </w:t>
      </w:r>
      <w:r>
        <w:tab/>
        <w:t>Categories and their relevant GFS codes – general government (INST=300) (continued)</w:t>
      </w:r>
    </w:p>
    <w:tbl>
      <w:tblPr>
        <w:tblW w:w="8959" w:type="dxa"/>
        <w:tblBorders>
          <w:top w:val="single" w:sz="4" w:space="0" w:color="ADD6EA"/>
          <w:bottom w:val="single" w:sz="4" w:space="0" w:color="ADD6EA"/>
          <w:insideH w:val="single" w:sz="4" w:space="0" w:color="ADD6EA"/>
        </w:tblBorders>
        <w:tblCellMar>
          <w:left w:w="28" w:type="dxa"/>
          <w:right w:w="28" w:type="dxa"/>
        </w:tblCellMar>
        <w:tblLook w:val="0000" w:firstRow="0" w:lastRow="0" w:firstColumn="0" w:lastColumn="0" w:noHBand="0" w:noVBand="0"/>
      </w:tblPr>
      <w:tblGrid>
        <w:gridCol w:w="1175"/>
        <w:gridCol w:w="2715"/>
        <w:gridCol w:w="3530"/>
        <w:gridCol w:w="1539"/>
      </w:tblGrid>
      <w:tr w:rsidR="008A64D8" w:rsidRPr="007568EB" w14:paraId="1A34ABC5" w14:textId="77777777" w:rsidTr="003F6BF4">
        <w:trPr>
          <w:trHeight w:val="376"/>
        </w:trPr>
        <w:tc>
          <w:tcPr>
            <w:tcW w:w="656" w:type="pct"/>
            <w:tcBorders>
              <w:bottom w:val="single" w:sz="4" w:space="0" w:color="ADD6EA"/>
            </w:tcBorders>
            <w:shd w:val="clear" w:color="auto" w:fill="006991"/>
            <w:vAlign w:val="center"/>
          </w:tcPr>
          <w:p w14:paraId="1A05BE72" w14:textId="77777777" w:rsidR="008A64D8" w:rsidRPr="007568EB" w:rsidRDefault="008A64D8" w:rsidP="004D65FE">
            <w:pPr>
              <w:pStyle w:val="CGCTablerow"/>
              <w:spacing w:before="40" w:after="40"/>
              <w:rPr>
                <w:b/>
                <w:color w:val="FFFFFF" w:themeColor="background1"/>
              </w:rPr>
            </w:pPr>
            <w:r w:rsidRPr="007568EB">
              <w:rPr>
                <w:b/>
                <w:color w:val="FFFFFF" w:themeColor="background1"/>
              </w:rPr>
              <w:t>Category</w:t>
            </w:r>
          </w:p>
        </w:tc>
        <w:tc>
          <w:tcPr>
            <w:tcW w:w="1515" w:type="pct"/>
            <w:tcBorders>
              <w:bottom w:val="single" w:sz="4" w:space="0" w:color="ADD6EA"/>
            </w:tcBorders>
            <w:shd w:val="clear" w:color="auto" w:fill="006991"/>
            <w:vAlign w:val="center"/>
          </w:tcPr>
          <w:p w14:paraId="6967DCD3" w14:textId="77777777" w:rsidR="008A64D8" w:rsidRPr="007568EB" w:rsidRDefault="008A64D8" w:rsidP="004D65FE">
            <w:pPr>
              <w:pStyle w:val="CGCTablerow"/>
              <w:spacing w:before="40" w:after="40"/>
              <w:rPr>
                <w:b/>
                <w:color w:val="FFFFFF" w:themeColor="background1"/>
              </w:rPr>
            </w:pPr>
            <w:r w:rsidRPr="007568EB">
              <w:rPr>
                <w:b/>
                <w:color w:val="FFFFFF" w:themeColor="background1"/>
              </w:rPr>
              <w:t>ETF</w:t>
            </w:r>
          </w:p>
        </w:tc>
        <w:tc>
          <w:tcPr>
            <w:tcW w:w="1970" w:type="pct"/>
            <w:tcBorders>
              <w:bottom w:val="single" w:sz="4" w:space="0" w:color="ADD6EA"/>
            </w:tcBorders>
            <w:shd w:val="clear" w:color="auto" w:fill="006991"/>
            <w:vAlign w:val="center"/>
          </w:tcPr>
          <w:p w14:paraId="508F7A72" w14:textId="77777777" w:rsidR="008A64D8" w:rsidRPr="007568EB" w:rsidRDefault="008A64D8" w:rsidP="004D65FE">
            <w:pPr>
              <w:pStyle w:val="CGCTablerow"/>
              <w:spacing w:before="40" w:after="40"/>
              <w:rPr>
                <w:b/>
                <w:color w:val="FFFFFF" w:themeColor="background1"/>
              </w:rPr>
            </w:pPr>
            <w:r w:rsidRPr="007568EB">
              <w:rPr>
                <w:b/>
                <w:color w:val="FFFFFF" w:themeColor="background1"/>
              </w:rPr>
              <w:t>COFOG-A</w:t>
            </w:r>
          </w:p>
        </w:tc>
        <w:tc>
          <w:tcPr>
            <w:tcW w:w="859" w:type="pct"/>
            <w:tcBorders>
              <w:bottom w:val="single" w:sz="4" w:space="0" w:color="ADD6EA"/>
            </w:tcBorders>
            <w:shd w:val="clear" w:color="auto" w:fill="006991"/>
            <w:vAlign w:val="center"/>
          </w:tcPr>
          <w:p w14:paraId="2B59418E" w14:textId="77777777" w:rsidR="008A64D8" w:rsidRPr="007568EB" w:rsidRDefault="008A64D8" w:rsidP="004D65FE">
            <w:pPr>
              <w:pStyle w:val="CGCTablerow"/>
              <w:spacing w:before="40" w:after="40"/>
              <w:rPr>
                <w:b/>
                <w:color w:val="FFFFFF" w:themeColor="background1"/>
              </w:rPr>
            </w:pPr>
            <w:r w:rsidRPr="007568EB">
              <w:rPr>
                <w:b/>
                <w:color w:val="FFFFFF" w:themeColor="background1"/>
              </w:rPr>
              <w:t>SDC</w:t>
            </w:r>
          </w:p>
        </w:tc>
      </w:tr>
      <w:tr w:rsidR="008A64D8" w:rsidRPr="00AB22FC" w14:paraId="4BAA8AAE" w14:textId="77777777" w:rsidTr="003F6BF4">
        <w:tc>
          <w:tcPr>
            <w:tcW w:w="5000" w:type="pct"/>
            <w:gridSpan w:val="4"/>
            <w:shd w:val="clear" w:color="auto" w:fill="B6D5E4"/>
          </w:tcPr>
          <w:p w14:paraId="71AE6D78" w14:textId="77777777" w:rsidR="008A64D8" w:rsidRPr="00AB22FC" w:rsidRDefault="008A64D8" w:rsidP="004D65FE">
            <w:pPr>
              <w:pStyle w:val="CGCTablesubhead1"/>
            </w:pPr>
            <w:r w:rsidRPr="00AB22FC">
              <w:t>Expenses</w:t>
            </w:r>
            <w:r>
              <w:t xml:space="preserve"> (continued)</w:t>
            </w:r>
          </w:p>
        </w:tc>
      </w:tr>
      <w:tr w:rsidR="008A64D8" w:rsidRPr="00AB22FC" w14:paraId="13862620" w14:textId="77777777" w:rsidTr="003F6BF4">
        <w:tc>
          <w:tcPr>
            <w:tcW w:w="656" w:type="pct"/>
          </w:tcPr>
          <w:p w14:paraId="6897193D" w14:textId="77777777" w:rsidR="008A64D8" w:rsidRPr="00122391" w:rsidRDefault="008A64D8" w:rsidP="004D65FE">
            <w:pPr>
              <w:pStyle w:val="CGCTablerow"/>
            </w:pPr>
            <w:r w:rsidRPr="00122391">
              <w:t>Other expenses</w:t>
            </w:r>
            <w:r>
              <w:t xml:space="preserve"> (net)</w:t>
            </w:r>
          </w:p>
        </w:tc>
        <w:tc>
          <w:tcPr>
            <w:tcW w:w="1515" w:type="pct"/>
          </w:tcPr>
          <w:p w14:paraId="07B025CF" w14:textId="77777777" w:rsidR="008A64D8" w:rsidRDefault="008A64D8" w:rsidP="004D65FE">
            <w:pPr>
              <w:pStyle w:val="CGCTablerow"/>
            </w:pPr>
            <w:r>
              <w:t xml:space="preserve">Expenses — </w:t>
            </w:r>
            <w:r w:rsidRPr="00AB22FC">
              <w:t>ETF</w:t>
            </w:r>
            <w:r>
              <w:t>12*</w:t>
            </w:r>
            <w:r w:rsidRPr="00AB22FC">
              <w:t>, except 1241</w:t>
            </w:r>
            <w:r>
              <w:t>,</w:t>
            </w:r>
            <w:r w:rsidRPr="00AB22FC">
              <w:t xml:space="preserve"> 1242</w:t>
            </w:r>
            <w:r>
              <w:t>,</w:t>
            </w:r>
            <w:r w:rsidRPr="00AB22FC">
              <w:t xml:space="preserve"> 1271</w:t>
            </w:r>
            <w:r>
              <w:t>,</w:t>
            </w:r>
            <w:r w:rsidRPr="00AB22FC">
              <w:t xml:space="preserve"> and 1279</w:t>
            </w:r>
          </w:p>
          <w:p w14:paraId="0BA73837" w14:textId="77777777" w:rsidR="008A64D8" w:rsidRDefault="008A64D8" w:rsidP="004D65FE">
            <w:pPr>
              <w:pStyle w:val="CGCTablerow"/>
            </w:pPr>
            <w:r>
              <w:t>User charges — ETF112* Sales of goods and services,</w:t>
            </w:r>
          </w:p>
          <w:p w14:paraId="29244A6F" w14:textId="77777777" w:rsidR="008A64D8" w:rsidRDefault="008A64D8" w:rsidP="004D65FE">
            <w:pPr>
              <w:pStyle w:val="CGCTablerow"/>
            </w:pPr>
            <w:r>
              <w:t>TC314 Property owners’ contributions to fire brigades, TC451 Insurance companies’ contributions to fire brigades</w:t>
            </w:r>
          </w:p>
          <w:p w14:paraId="70483D7E" w14:textId="77777777" w:rsidR="008A64D8" w:rsidRPr="00AB22FC" w:rsidRDefault="008A64D8" w:rsidP="004D65FE">
            <w:pPr>
              <w:pStyle w:val="CGCTablerow"/>
            </w:pPr>
          </w:p>
        </w:tc>
        <w:tc>
          <w:tcPr>
            <w:tcW w:w="1970" w:type="pct"/>
          </w:tcPr>
          <w:p w14:paraId="1E6BFB51" w14:textId="77777777" w:rsidR="008A64D8" w:rsidRPr="00122391" w:rsidRDefault="008A64D8" w:rsidP="004D65FE">
            <w:pPr>
              <w:pStyle w:val="CGCTablerow"/>
            </w:pPr>
            <w:r w:rsidRPr="00122391">
              <w:t>0111 Executive and legislative organs</w:t>
            </w:r>
          </w:p>
          <w:p w14:paraId="2F9525AC" w14:textId="77777777" w:rsidR="008A64D8" w:rsidRPr="00122391" w:rsidRDefault="008A64D8" w:rsidP="004D65FE">
            <w:pPr>
              <w:pStyle w:val="CGCTablerow"/>
            </w:pPr>
            <w:r w:rsidRPr="00122391">
              <w:t>0112 Financial and fiscal affairs</w:t>
            </w:r>
          </w:p>
          <w:p w14:paraId="07D309C2" w14:textId="77777777" w:rsidR="008A64D8" w:rsidRPr="00122391" w:rsidRDefault="008A64D8" w:rsidP="004D65FE">
            <w:pPr>
              <w:pStyle w:val="CGCTablerow"/>
            </w:pPr>
            <w:r w:rsidRPr="00122391">
              <w:t xml:space="preserve">0113 External affairs </w:t>
            </w:r>
          </w:p>
          <w:p w14:paraId="462A1BE3" w14:textId="77777777" w:rsidR="008A64D8" w:rsidRPr="00122391" w:rsidRDefault="008A64D8" w:rsidP="004D65FE">
            <w:pPr>
              <w:pStyle w:val="CGCTablerow"/>
              <w:ind w:left="397" w:hanging="397"/>
            </w:pPr>
            <w:r w:rsidRPr="00122391">
              <w:t xml:space="preserve">0121 Economic aid to developing countries and countries in transition </w:t>
            </w:r>
          </w:p>
          <w:p w14:paraId="587CA715" w14:textId="77777777" w:rsidR="008A64D8" w:rsidRPr="00122391" w:rsidRDefault="008A64D8" w:rsidP="004D65FE">
            <w:pPr>
              <w:pStyle w:val="CGCTablerow"/>
              <w:ind w:left="397" w:hanging="397"/>
            </w:pPr>
            <w:r w:rsidRPr="00122391">
              <w:t>0122 Economic aid routed through international orgs</w:t>
            </w:r>
          </w:p>
          <w:p w14:paraId="4122C5BE" w14:textId="77777777" w:rsidR="008A64D8" w:rsidRPr="00122391" w:rsidRDefault="008A64D8" w:rsidP="004D65FE">
            <w:pPr>
              <w:pStyle w:val="CGCTablerow"/>
              <w:ind w:left="397" w:hanging="397"/>
            </w:pPr>
            <w:r w:rsidRPr="00122391">
              <w:t>0131 General personnel services</w:t>
            </w:r>
          </w:p>
          <w:p w14:paraId="6E08E030" w14:textId="77777777" w:rsidR="008A64D8" w:rsidRPr="00122391" w:rsidRDefault="008A64D8" w:rsidP="004D65FE">
            <w:pPr>
              <w:pStyle w:val="CGCTablerow"/>
              <w:ind w:left="397" w:hanging="397"/>
            </w:pPr>
            <w:r w:rsidRPr="00122391">
              <w:t>0132 Overall planning and statistical services</w:t>
            </w:r>
          </w:p>
          <w:p w14:paraId="658D8D4B" w14:textId="77777777" w:rsidR="008A64D8" w:rsidRPr="00122391" w:rsidRDefault="008A64D8" w:rsidP="004D65FE">
            <w:pPr>
              <w:pStyle w:val="CGCTablerow"/>
              <w:ind w:left="397" w:hanging="397"/>
            </w:pPr>
            <w:r w:rsidRPr="00122391">
              <w:t>0139 General services n.e.c.</w:t>
            </w:r>
          </w:p>
          <w:p w14:paraId="027259D4" w14:textId="77777777" w:rsidR="008A64D8" w:rsidRPr="00122391" w:rsidRDefault="008A64D8" w:rsidP="004D65FE">
            <w:pPr>
              <w:pStyle w:val="CGCTablerow"/>
              <w:ind w:left="397" w:hanging="397"/>
            </w:pPr>
            <w:r w:rsidRPr="00122391">
              <w:t>0141 Basic research</w:t>
            </w:r>
          </w:p>
          <w:p w14:paraId="77ECDCD9" w14:textId="77777777" w:rsidR="008A64D8" w:rsidRPr="00122391" w:rsidRDefault="008A64D8" w:rsidP="004D65FE">
            <w:pPr>
              <w:pStyle w:val="CGCTablerow"/>
              <w:ind w:left="397" w:hanging="397"/>
            </w:pPr>
            <w:r w:rsidRPr="00122391">
              <w:t>0151 R&amp;D - general public services</w:t>
            </w:r>
          </w:p>
          <w:p w14:paraId="54E171EF" w14:textId="77777777" w:rsidR="008A64D8" w:rsidRPr="00122391" w:rsidRDefault="008A64D8" w:rsidP="004D65FE">
            <w:pPr>
              <w:pStyle w:val="CGCTablerow"/>
              <w:ind w:left="397" w:hanging="397"/>
            </w:pPr>
            <w:r w:rsidRPr="00122391">
              <w:t>0161 Public debt transactions</w:t>
            </w:r>
          </w:p>
          <w:p w14:paraId="67DCCD64" w14:textId="77777777" w:rsidR="008A64D8" w:rsidRPr="00122391" w:rsidRDefault="008A64D8" w:rsidP="004D65FE">
            <w:pPr>
              <w:pStyle w:val="CGCTablerow"/>
              <w:ind w:left="397" w:hanging="397"/>
            </w:pPr>
            <w:r w:rsidRPr="00122391">
              <w:t>0171 Transfers of a general character between difference levels of government</w:t>
            </w:r>
          </w:p>
          <w:p w14:paraId="1CC060ED" w14:textId="77777777" w:rsidR="008A64D8" w:rsidRPr="00122391" w:rsidRDefault="008A64D8" w:rsidP="004D65FE">
            <w:pPr>
              <w:pStyle w:val="CGCTablerow"/>
              <w:ind w:left="397" w:hanging="397"/>
            </w:pPr>
            <w:r w:rsidRPr="00122391">
              <w:t>0199 General public services n.e.c.</w:t>
            </w:r>
          </w:p>
          <w:p w14:paraId="1B5337A5" w14:textId="77777777" w:rsidR="008A64D8" w:rsidRPr="00122391" w:rsidRDefault="008A64D8" w:rsidP="004D65FE">
            <w:pPr>
              <w:pStyle w:val="CGCTablerow"/>
              <w:ind w:left="397" w:hanging="397"/>
            </w:pPr>
            <w:r w:rsidRPr="00122391">
              <w:t>0321 Civil protection services</w:t>
            </w:r>
          </w:p>
          <w:p w14:paraId="628A7CB9" w14:textId="77777777" w:rsidR="008A64D8" w:rsidRPr="00122391" w:rsidRDefault="008A64D8" w:rsidP="004D65FE">
            <w:pPr>
              <w:pStyle w:val="CGCTablerow"/>
              <w:ind w:left="397" w:hanging="397"/>
            </w:pPr>
            <w:r w:rsidRPr="00122391">
              <w:t>0322 Fire protection services</w:t>
            </w:r>
          </w:p>
          <w:p w14:paraId="75DF9F7E" w14:textId="77777777" w:rsidR="008A64D8" w:rsidRPr="00122391" w:rsidRDefault="008A64D8" w:rsidP="004D65FE">
            <w:pPr>
              <w:pStyle w:val="CGCTablerow"/>
              <w:ind w:left="397" w:hanging="397"/>
            </w:pPr>
            <w:r w:rsidRPr="00122391">
              <w:t>0391 Control of domestic animals and livestock</w:t>
            </w:r>
          </w:p>
          <w:p w14:paraId="1EF6A042" w14:textId="77777777" w:rsidR="008A64D8" w:rsidRPr="00122391" w:rsidRDefault="008A64D8" w:rsidP="004D65FE">
            <w:pPr>
              <w:pStyle w:val="CGCTablerow"/>
            </w:pPr>
            <w:r w:rsidRPr="00122391">
              <w:t>0399 Public order and safety n.e.c.</w:t>
            </w:r>
          </w:p>
          <w:p w14:paraId="766EC4A3" w14:textId="77777777" w:rsidR="008A64D8" w:rsidRPr="00122391" w:rsidRDefault="008A64D8" w:rsidP="004D65FE">
            <w:pPr>
              <w:pStyle w:val="CGCTablerow"/>
            </w:pPr>
            <w:r w:rsidRPr="00122391">
              <w:t>0451 Communication</w:t>
            </w:r>
          </w:p>
          <w:p w14:paraId="127A980E" w14:textId="77777777" w:rsidR="008A64D8" w:rsidRPr="00122391" w:rsidRDefault="008A64D8" w:rsidP="004D65FE">
            <w:pPr>
              <w:pStyle w:val="CGCTablerow"/>
            </w:pPr>
            <w:r w:rsidRPr="00122391">
              <w:t>0475 R&amp;D - communication</w:t>
            </w:r>
          </w:p>
          <w:p w14:paraId="042807DD" w14:textId="77777777" w:rsidR="008A64D8" w:rsidRPr="00122391" w:rsidRDefault="008A64D8" w:rsidP="004D65FE">
            <w:pPr>
              <w:pStyle w:val="CGCTablerow"/>
            </w:pPr>
            <w:r w:rsidRPr="00122391">
              <w:t>0811 Recreational and sporting services</w:t>
            </w:r>
          </w:p>
          <w:p w14:paraId="0EC2544C" w14:textId="77777777" w:rsidR="008A64D8" w:rsidRPr="00122391" w:rsidRDefault="008A64D8" w:rsidP="004D65FE">
            <w:pPr>
              <w:pStyle w:val="CGCTablerow"/>
            </w:pPr>
            <w:r w:rsidRPr="00122391">
              <w:t>0821 Film production services</w:t>
            </w:r>
          </w:p>
          <w:p w14:paraId="5028A520" w14:textId="77777777" w:rsidR="008A64D8" w:rsidRPr="00122391" w:rsidRDefault="008A64D8" w:rsidP="004D65FE">
            <w:pPr>
              <w:pStyle w:val="CGCTablerow"/>
            </w:pPr>
            <w:r w:rsidRPr="00122391">
              <w:t>0829 Cultural services</w:t>
            </w:r>
          </w:p>
          <w:p w14:paraId="42539B56" w14:textId="77777777" w:rsidR="008A64D8" w:rsidRPr="00122391" w:rsidRDefault="008A64D8" w:rsidP="004D65FE">
            <w:pPr>
              <w:pStyle w:val="CGCTablerow"/>
              <w:ind w:left="397" w:hanging="397"/>
            </w:pPr>
            <w:r w:rsidRPr="00122391">
              <w:t>0831 Broadcasting and publishing services</w:t>
            </w:r>
          </w:p>
          <w:p w14:paraId="1C7AFC80" w14:textId="77777777" w:rsidR="008A64D8" w:rsidRPr="00122391" w:rsidRDefault="008A64D8" w:rsidP="004D65FE">
            <w:pPr>
              <w:pStyle w:val="CGCTablerow"/>
            </w:pPr>
            <w:r w:rsidRPr="00122391">
              <w:t>0832 Publishing services</w:t>
            </w:r>
          </w:p>
          <w:p w14:paraId="35356E34" w14:textId="77777777" w:rsidR="008A64D8" w:rsidRPr="00122391" w:rsidRDefault="008A64D8" w:rsidP="004D65FE">
            <w:pPr>
              <w:pStyle w:val="CGCTablerow"/>
            </w:pPr>
            <w:r w:rsidRPr="00122391">
              <w:t>0841 Religious and other community services</w:t>
            </w:r>
          </w:p>
          <w:p w14:paraId="5DD1811A" w14:textId="77777777" w:rsidR="008A64D8" w:rsidRPr="00122391" w:rsidRDefault="008A64D8" w:rsidP="004D65FE">
            <w:pPr>
              <w:pStyle w:val="CGCTablerow"/>
            </w:pPr>
            <w:r w:rsidRPr="00122391">
              <w:t>0851 R&amp;D - Recreation, culture and religion</w:t>
            </w:r>
          </w:p>
          <w:p w14:paraId="4952B5D6" w14:textId="77777777" w:rsidR="008A64D8" w:rsidRPr="00122391" w:rsidRDefault="008A64D8" w:rsidP="004D65FE">
            <w:pPr>
              <w:pStyle w:val="CGCTablerow"/>
            </w:pPr>
            <w:r w:rsidRPr="00122391">
              <w:t>0891 Community centres and halls</w:t>
            </w:r>
          </w:p>
          <w:p w14:paraId="0516A218" w14:textId="77777777" w:rsidR="008A64D8" w:rsidRPr="00122391" w:rsidRDefault="008A64D8" w:rsidP="004D65FE">
            <w:pPr>
              <w:pStyle w:val="CGCTablerow"/>
            </w:pPr>
            <w:r w:rsidRPr="00122391">
              <w:t>0899 Recreation, culture and religion n.e.c.</w:t>
            </w:r>
          </w:p>
          <w:p w14:paraId="505533E8" w14:textId="77777777" w:rsidR="008A64D8" w:rsidRPr="00830FE7" w:rsidRDefault="008A64D8" w:rsidP="004D65FE">
            <w:pPr>
              <w:pStyle w:val="CGCTablerow"/>
            </w:pPr>
            <w:r w:rsidRPr="00122391">
              <w:t>1091 Natural disaster relief</w:t>
            </w:r>
          </w:p>
        </w:tc>
        <w:tc>
          <w:tcPr>
            <w:tcW w:w="859" w:type="pct"/>
          </w:tcPr>
          <w:p w14:paraId="6FB5262B" w14:textId="77777777" w:rsidR="008A64D8" w:rsidRPr="001D7733" w:rsidRDefault="008A64D8" w:rsidP="004D65FE">
            <w:pPr>
              <w:pStyle w:val="CGCTablerow"/>
            </w:pPr>
            <w:r w:rsidRPr="001D7733">
              <w:t>&lt;&gt;"23" &amp; own JUR</w:t>
            </w:r>
          </w:p>
        </w:tc>
      </w:tr>
    </w:tbl>
    <w:p w14:paraId="1C715FAF" w14:textId="50232FDA" w:rsidR="008A64D8" w:rsidRPr="00122391" w:rsidRDefault="008A64D8" w:rsidP="008A64D8">
      <w:pPr>
        <w:pStyle w:val="TableRowNormal"/>
        <w:spacing w:before="20" w:after="20" w:line="240" w:lineRule="auto"/>
        <w:ind w:left="142" w:hanging="142"/>
        <w:jc w:val="left"/>
        <w:rPr>
          <w:rFonts w:cstheme="minorHAnsi"/>
          <w:sz w:val="18"/>
          <w:szCs w:val="18"/>
        </w:rPr>
      </w:pPr>
    </w:p>
    <w:p w14:paraId="70EF95A2" w14:textId="77777777" w:rsidR="00A13BE0" w:rsidRPr="00122391" w:rsidRDefault="00A13BE0" w:rsidP="008A64D8">
      <w:pPr>
        <w:pStyle w:val="TableRowNormal"/>
        <w:spacing w:before="20" w:after="20" w:line="240" w:lineRule="auto"/>
        <w:ind w:left="142" w:hanging="142"/>
        <w:jc w:val="left"/>
        <w:rPr>
          <w:rFonts w:cstheme="minorHAnsi"/>
          <w:sz w:val="18"/>
          <w:szCs w:val="18"/>
        </w:rPr>
      </w:pPr>
    </w:p>
    <w:p w14:paraId="4470900B" w14:textId="77777777" w:rsidR="008A64D8" w:rsidRPr="00830FE7" w:rsidRDefault="008A64D8" w:rsidP="008A64D8">
      <w:pPr>
        <w:spacing w:before="20" w:after="20" w:line="240" w:lineRule="auto"/>
        <w:rPr>
          <w:rFonts w:ascii="Calibri" w:hAnsi="Calibri" w:cs="Calibri"/>
          <w:sz w:val="18"/>
          <w:szCs w:val="18"/>
        </w:rPr>
      </w:pPr>
      <w:r w:rsidRPr="00830FE7">
        <w:rPr>
          <w:rFonts w:ascii="Calibri" w:hAnsi="Calibri" w:cs="Calibri"/>
          <w:sz w:val="18"/>
          <w:szCs w:val="18"/>
        </w:rPr>
        <w:br w:type="page"/>
      </w:r>
    </w:p>
    <w:p w14:paraId="2D52DD2C" w14:textId="77777777" w:rsidR="008A64D8" w:rsidRDefault="008A64D8" w:rsidP="008A64D8">
      <w:pPr>
        <w:pStyle w:val="Caption"/>
      </w:pPr>
      <w:r>
        <w:lastRenderedPageBreak/>
        <w:t xml:space="preserve">Table 32A-1 </w:t>
      </w:r>
      <w:r>
        <w:tab/>
        <w:t>Categories and their relevant GFS codes – general government (INST=300) (continued)</w:t>
      </w:r>
    </w:p>
    <w:tbl>
      <w:tblPr>
        <w:tblW w:w="8959" w:type="dxa"/>
        <w:tblBorders>
          <w:top w:val="single" w:sz="4" w:space="0" w:color="ADD6EA"/>
          <w:bottom w:val="single" w:sz="4" w:space="0" w:color="ADD6EA"/>
          <w:insideH w:val="single" w:sz="4" w:space="0" w:color="ADD6EA"/>
        </w:tblBorders>
        <w:tblCellMar>
          <w:left w:w="28" w:type="dxa"/>
          <w:right w:w="28" w:type="dxa"/>
        </w:tblCellMar>
        <w:tblLook w:val="0000" w:firstRow="0" w:lastRow="0" w:firstColumn="0" w:lastColumn="0" w:noHBand="0" w:noVBand="0"/>
      </w:tblPr>
      <w:tblGrid>
        <w:gridCol w:w="1176"/>
        <w:gridCol w:w="2714"/>
        <w:gridCol w:w="3530"/>
        <w:gridCol w:w="1539"/>
      </w:tblGrid>
      <w:tr w:rsidR="008A64D8" w:rsidRPr="007568EB" w14:paraId="143BCB36" w14:textId="77777777" w:rsidTr="003F6BF4">
        <w:trPr>
          <w:trHeight w:val="376"/>
        </w:trPr>
        <w:tc>
          <w:tcPr>
            <w:tcW w:w="650" w:type="pct"/>
            <w:tcBorders>
              <w:bottom w:val="single" w:sz="4" w:space="0" w:color="ADD6EA"/>
            </w:tcBorders>
            <w:shd w:val="clear" w:color="auto" w:fill="006991"/>
            <w:vAlign w:val="center"/>
          </w:tcPr>
          <w:p w14:paraId="5EFBBF64" w14:textId="77777777" w:rsidR="008A64D8" w:rsidRPr="007568EB" w:rsidRDefault="008A64D8" w:rsidP="004D65FE">
            <w:pPr>
              <w:pStyle w:val="CGCTableheader"/>
              <w:spacing w:before="40" w:after="40"/>
              <w:rPr>
                <w:b/>
              </w:rPr>
            </w:pPr>
            <w:r w:rsidRPr="007568EB">
              <w:t>Category</w:t>
            </w:r>
          </w:p>
        </w:tc>
        <w:tc>
          <w:tcPr>
            <w:tcW w:w="1500" w:type="pct"/>
            <w:tcBorders>
              <w:bottom w:val="single" w:sz="4" w:space="0" w:color="ADD6EA"/>
            </w:tcBorders>
            <w:shd w:val="clear" w:color="auto" w:fill="006991"/>
            <w:vAlign w:val="center"/>
          </w:tcPr>
          <w:p w14:paraId="7AEA5A6F" w14:textId="77777777" w:rsidR="008A64D8" w:rsidRPr="007568EB" w:rsidRDefault="008A64D8" w:rsidP="004D65FE">
            <w:pPr>
              <w:pStyle w:val="CGCTableheader"/>
              <w:spacing w:before="40" w:after="40"/>
              <w:rPr>
                <w:b/>
              </w:rPr>
            </w:pPr>
            <w:r w:rsidRPr="007568EB">
              <w:t>ET</w:t>
            </w:r>
            <w:r w:rsidRPr="007568EB">
              <w:rPr>
                <w:b/>
              </w:rPr>
              <w:t>F</w:t>
            </w:r>
          </w:p>
        </w:tc>
        <w:tc>
          <w:tcPr>
            <w:tcW w:w="1950" w:type="pct"/>
            <w:tcBorders>
              <w:bottom w:val="single" w:sz="4" w:space="0" w:color="ADD6EA"/>
            </w:tcBorders>
            <w:shd w:val="clear" w:color="auto" w:fill="006991"/>
            <w:vAlign w:val="center"/>
          </w:tcPr>
          <w:p w14:paraId="0B9C3EE0" w14:textId="77777777" w:rsidR="008A64D8" w:rsidRPr="007568EB" w:rsidRDefault="008A64D8" w:rsidP="004D65FE">
            <w:pPr>
              <w:pStyle w:val="CGCTableheader"/>
              <w:spacing w:before="40" w:after="40"/>
              <w:rPr>
                <w:b/>
              </w:rPr>
            </w:pPr>
            <w:r w:rsidRPr="007568EB">
              <w:t>COFOG-A</w:t>
            </w:r>
          </w:p>
        </w:tc>
        <w:tc>
          <w:tcPr>
            <w:tcW w:w="850" w:type="pct"/>
            <w:tcBorders>
              <w:bottom w:val="single" w:sz="4" w:space="0" w:color="ADD6EA"/>
            </w:tcBorders>
            <w:shd w:val="clear" w:color="auto" w:fill="006991"/>
            <w:vAlign w:val="center"/>
          </w:tcPr>
          <w:p w14:paraId="0424D63E" w14:textId="77777777" w:rsidR="008A64D8" w:rsidRPr="007568EB" w:rsidRDefault="008A64D8" w:rsidP="004D65FE">
            <w:pPr>
              <w:pStyle w:val="CGCTableheader"/>
              <w:spacing w:before="40" w:after="40"/>
              <w:rPr>
                <w:b/>
              </w:rPr>
            </w:pPr>
            <w:r w:rsidRPr="007568EB">
              <w:t>SDC</w:t>
            </w:r>
          </w:p>
        </w:tc>
      </w:tr>
      <w:tr w:rsidR="008A64D8" w:rsidRPr="00AB22FC" w14:paraId="085D20AF" w14:textId="77777777" w:rsidTr="00EE57FC">
        <w:tc>
          <w:tcPr>
            <w:tcW w:w="850" w:type="pct"/>
            <w:gridSpan w:val="4"/>
            <w:tcBorders>
              <w:bottom w:val="single" w:sz="4" w:space="0" w:color="ADD6EA"/>
            </w:tcBorders>
            <w:shd w:val="clear" w:color="auto" w:fill="auto"/>
          </w:tcPr>
          <w:p w14:paraId="54EFA36B" w14:textId="32034200" w:rsidR="008A64D8" w:rsidRPr="001D7733" w:rsidRDefault="008A64D8" w:rsidP="004D65FE">
            <w:pPr>
              <w:pStyle w:val="CGCTablerow"/>
            </w:pPr>
            <w:r w:rsidRPr="0039286D">
              <w:rPr>
                <w:b/>
              </w:rPr>
              <w:t>Investment</w:t>
            </w:r>
            <w:r w:rsidRPr="0039286D">
              <w:rPr>
                <w:b/>
                <w:bCs/>
              </w:rPr>
              <w:t>.</w:t>
            </w:r>
            <w:r>
              <w:t xml:space="preserve"> Gross investment (that is depreciation is not deducted) for all categories except Urban transport. For </w:t>
            </w:r>
            <w:r w:rsidR="003B3AE9">
              <w:t>u</w:t>
            </w:r>
            <w:r>
              <w:t>rban transport, depreciation is deducted from gross investment)</w:t>
            </w:r>
          </w:p>
        </w:tc>
      </w:tr>
      <w:tr w:rsidR="008A64D8" w:rsidRPr="00AB22FC" w14:paraId="6F47929A" w14:textId="77777777" w:rsidTr="00EE57FC">
        <w:tc>
          <w:tcPr>
            <w:tcW w:w="850" w:type="pct"/>
            <w:gridSpan w:val="4"/>
            <w:shd w:val="clear" w:color="auto" w:fill="B6D5E4"/>
          </w:tcPr>
          <w:p w14:paraId="77BB80C2" w14:textId="77777777" w:rsidR="008A64D8" w:rsidRPr="004C4D4A" w:rsidRDefault="008A64D8" w:rsidP="004D65FE">
            <w:pPr>
              <w:pStyle w:val="CGCTablesubhead1"/>
            </w:pPr>
            <w:r w:rsidRPr="004C4D4A">
              <w:t>Transaction</w:t>
            </w:r>
            <w:r>
              <w:t>s</w:t>
            </w:r>
            <w:r w:rsidRPr="004C4D4A">
              <w:t xml:space="preserve"> in non-financial produced assets (TALC 1 fixed produced assets and 2 Other produced assets)</w:t>
            </w:r>
          </w:p>
        </w:tc>
      </w:tr>
      <w:tr w:rsidR="008A64D8" w:rsidRPr="00AB22FC" w14:paraId="19944442" w14:textId="77777777" w:rsidTr="00EE57FC">
        <w:tc>
          <w:tcPr>
            <w:tcW w:w="650" w:type="pct"/>
            <w:tcBorders>
              <w:bottom w:val="single" w:sz="4" w:space="0" w:color="ADD6EA"/>
            </w:tcBorders>
          </w:tcPr>
          <w:p w14:paraId="27D00F2A" w14:textId="1D24BADD" w:rsidR="008A64D8" w:rsidRPr="00122391" w:rsidRDefault="008A64D8" w:rsidP="004D65FE">
            <w:pPr>
              <w:pStyle w:val="CGCTablerow"/>
            </w:pPr>
            <w:r>
              <w:t xml:space="preserve">Other than Housing and </w:t>
            </w:r>
            <w:r w:rsidR="00CB0E8B">
              <w:t>u</w:t>
            </w:r>
            <w:r>
              <w:t>rban transport</w:t>
            </w:r>
          </w:p>
        </w:tc>
        <w:tc>
          <w:tcPr>
            <w:tcW w:w="1500" w:type="pct"/>
            <w:tcBorders>
              <w:bottom w:val="single" w:sz="4" w:space="0" w:color="ADD6EA"/>
            </w:tcBorders>
          </w:tcPr>
          <w:p w14:paraId="73E2836A" w14:textId="77777777" w:rsidR="008A64D8" w:rsidRDefault="008A64D8" w:rsidP="004D65FE">
            <w:pPr>
              <w:pStyle w:val="CGCTablerow"/>
              <w:ind w:left="397" w:hanging="397"/>
            </w:pPr>
            <w:r w:rsidRPr="00E30CFA">
              <w:t xml:space="preserve">4111 Change in inventories </w:t>
            </w:r>
          </w:p>
          <w:p w14:paraId="53D86C72" w14:textId="77777777" w:rsidR="008A64D8" w:rsidRPr="00E30CFA" w:rsidRDefault="008A64D8" w:rsidP="004D65FE">
            <w:pPr>
              <w:pStyle w:val="CGCTablerow"/>
              <w:ind w:left="397" w:hanging="397"/>
            </w:pPr>
            <w:r w:rsidRPr="00E30CFA">
              <w:t>4112 Acquisitions of non-financial assets under new finance leases</w:t>
            </w:r>
          </w:p>
          <w:p w14:paraId="30C543D5" w14:textId="77777777" w:rsidR="008A64D8" w:rsidRPr="00E30CFA" w:rsidRDefault="008A64D8" w:rsidP="004D65FE">
            <w:pPr>
              <w:pStyle w:val="CGCTablerow"/>
              <w:ind w:left="397" w:hanging="397"/>
            </w:pPr>
            <w:r w:rsidRPr="00E30CFA">
              <w:t>4113 Own-account capital formation</w:t>
            </w:r>
          </w:p>
          <w:p w14:paraId="1AC803DE" w14:textId="37774838" w:rsidR="008A64D8" w:rsidRPr="00E30CFA" w:rsidRDefault="008A64D8" w:rsidP="004D65FE">
            <w:pPr>
              <w:pStyle w:val="CGCTablerow"/>
              <w:ind w:left="397" w:hanging="397"/>
            </w:pPr>
            <w:r w:rsidRPr="00E30CFA">
              <w:t>4114 Acquisition of other new non</w:t>
            </w:r>
            <w:r w:rsidR="00500EB0">
              <w:noBreakHyphen/>
            </w:r>
            <w:r w:rsidRPr="00E30CFA">
              <w:t>financial assets</w:t>
            </w:r>
          </w:p>
          <w:p w14:paraId="06492C0D" w14:textId="77777777" w:rsidR="008A64D8" w:rsidRPr="00E30CFA" w:rsidRDefault="008A64D8" w:rsidP="004D65FE">
            <w:pPr>
              <w:pStyle w:val="CGCTablerow"/>
              <w:ind w:left="397" w:hanging="397"/>
            </w:pPr>
            <w:r w:rsidRPr="00E30CFA">
              <w:t>4115 Acquisition of second-hand non-financial assets</w:t>
            </w:r>
          </w:p>
          <w:p w14:paraId="402B9E61" w14:textId="77777777" w:rsidR="008A64D8" w:rsidRPr="00AB22FC" w:rsidRDefault="008A64D8" w:rsidP="004D65FE">
            <w:pPr>
              <w:pStyle w:val="CGCTablerow"/>
              <w:ind w:left="397" w:hanging="397"/>
            </w:pPr>
            <w:r w:rsidRPr="00E30CFA">
              <w:t>4211 Disposals of non-financial assets (excluding depreciation)</w:t>
            </w:r>
          </w:p>
        </w:tc>
        <w:tc>
          <w:tcPr>
            <w:tcW w:w="1950" w:type="pct"/>
            <w:tcBorders>
              <w:bottom w:val="single" w:sz="4" w:space="0" w:color="ADD6EA"/>
            </w:tcBorders>
          </w:tcPr>
          <w:p w14:paraId="6467B6CB" w14:textId="113E7080" w:rsidR="008A64D8" w:rsidRPr="00830FE7" w:rsidRDefault="008A64D8" w:rsidP="004D65FE">
            <w:pPr>
              <w:pStyle w:val="CGCTablerow"/>
            </w:pPr>
            <w:r>
              <w:t xml:space="preserve">COFOG-As other than Housing and </w:t>
            </w:r>
            <w:r w:rsidR="00CB0E8B">
              <w:t>u</w:t>
            </w:r>
            <w:r>
              <w:t>rban transport</w:t>
            </w:r>
          </w:p>
        </w:tc>
        <w:tc>
          <w:tcPr>
            <w:tcW w:w="850" w:type="pct"/>
            <w:tcBorders>
              <w:bottom w:val="single" w:sz="4" w:space="0" w:color="ADD6EA"/>
            </w:tcBorders>
          </w:tcPr>
          <w:p w14:paraId="79DC757D" w14:textId="77777777" w:rsidR="008A64D8" w:rsidRPr="001D7733" w:rsidRDefault="008A64D8" w:rsidP="004D65FE">
            <w:pPr>
              <w:pStyle w:val="CGCTablerow"/>
            </w:pPr>
            <w:r w:rsidRPr="001D7733">
              <w:t>&lt;&gt;"23" &amp; own JUR</w:t>
            </w:r>
          </w:p>
        </w:tc>
      </w:tr>
      <w:tr w:rsidR="008A64D8" w:rsidRPr="00AB22FC" w14:paraId="162C1DDD" w14:textId="77777777" w:rsidTr="00EE57FC">
        <w:tc>
          <w:tcPr>
            <w:tcW w:w="850" w:type="pct"/>
            <w:gridSpan w:val="4"/>
            <w:shd w:val="clear" w:color="auto" w:fill="B6D5E4"/>
          </w:tcPr>
          <w:p w14:paraId="680B5797" w14:textId="77777777" w:rsidR="008A64D8" w:rsidRPr="004C4D4A" w:rsidRDefault="008A64D8" w:rsidP="004D65FE">
            <w:pPr>
              <w:pStyle w:val="CGCTablesubhead1"/>
            </w:pPr>
            <w:r w:rsidRPr="004C4D4A">
              <w:t xml:space="preserve">Other transactions in </w:t>
            </w:r>
            <w:r>
              <w:t>n</w:t>
            </w:r>
            <w:r w:rsidRPr="004C4D4A">
              <w:t xml:space="preserve">on-financial non produced assets (TALC </w:t>
            </w:r>
            <w:r>
              <w:t>3</w:t>
            </w:r>
            <w:r w:rsidRPr="004C4D4A">
              <w:t xml:space="preserve"> </w:t>
            </w:r>
            <w:r>
              <w:t>Non-</w:t>
            </w:r>
            <w:r w:rsidRPr="004C4D4A">
              <w:t>produced assets)</w:t>
            </w:r>
          </w:p>
        </w:tc>
      </w:tr>
      <w:tr w:rsidR="008A64D8" w:rsidRPr="00AB22FC" w14:paraId="1DDD0C84" w14:textId="77777777" w:rsidTr="003F6BF4">
        <w:tc>
          <w:tcPr>
            <w:tcW w:w="650" w:type="pct"/>
          </w:tcPr>
          <w:p w14:paraId="3582713E" w14:textId="77777777" w:rsidR="008A64D8" w:rsidRPr="00122391" w:rsidRDefault="008A64D8" w:rsidP="004D65FE">
            <w:pPr>
              <w:pStyle w:val="CGCTablerow"/>
            </w:pPr>
          </w:p>
        </w:tc>
        <w:tc>
          <w:tcPr>
            <w:tcW w:w="1500" w:type="pct"/>
          </w:tcPr>
          <w:p w14:paraId="683F15B6" w14:textId="77777777" w:rsidR="008A64D8" w:rsidRPr="00E30CFA" w:rsidRDefault="008A64D8" w:rsidP="004D65FE">
            <w:pPr>
              <w:pStyle w:val="CGCTablerow"/>
              <w:ind w:left="397" w:hanging="397"/>
            </w:pPr>
            <w:r w:rsidRPr="00E30CFA">
              <w:t>4112 Acquisitions of non-financial assets under new finance leases</w:t>
            </w:r>
          </w:p>
          <w:p w14:paraId="5730DE2D" w14:textId="77777777" w:rsidR="008A64D8" w:rsidRPr="00E30CFA" w:rsidRDefault="008A64D8" w:rsidP="004D65FE">
            <w:pPr>
              <w:pStyle w:val="CGCTablerow"/>
              <w:ind w:left="397" w:hanging="397"/>
            </w:pPr>
            <w:r w:rsidRPr="00E30CFA">
              <w:t>4113 Own-account capital formation</w:t>
            </w:r>
          </w:p>
          <w:p w14:paraId="08C8563E" w14:textId="42D737A6" w:rsidR="008A64D8" w:rsidRPr="00E30CFA" w:rsidRDefault="008A64D8" w:rsidP="004D65FE">
            <w:pPr>
              <w:pStyle w:val="CGCTablerow"/>
              <w:ind w:left="397" w:hanging="397"/>
            </w:pPr>
            <w:r w:rsidRPr="00E30CFA">
              <w:t>4114 Acquisition of other new non</w:t>
            </w:r>
            <w:r w:rsidR="00500EB0">
              <w:noBreakHyphen/>
            </w:r>
            <w:r w:rsidRPr="00E30CFA">
              <w:t>financial assets</w:t>
            </w:r>
          </w:p>
          <w:p w14:paraId="08A13F99" w14:textId="77777777" w:rsidR="008A64D8" w:rsidRDefault="008A64D8" w:rsidP="004D65FE">
            <w:pPr>
              <w:pStyle w:val="CGCTablerow"/>
              <w:ind w:left="397" w:hanging="397"/>
            </w:pPr>
            <w:r w:rsidRPr="00E30CFA">
              <w:t>4115 Acquisition of second-hand non-financial assets</w:t>
            </w:r>
          </w:p>
          <w:p w14:paraId="2D119777" w14:textId="77777777" w:rsidR="008A64D8" w:rsidRPr="00E30CFA" w:rsidRDefault="008A64D8" w:rsidP="004D65FE">
            <w:pPr>
              <w:pStyle w:val="CGCTablerow"/>
              <w:ind w:left="397" w:hanging="397"/>
            </w:pPr>
            <w:r w:rsidRPr="009E244D">
              <w:t>4116 Costs of ownership transfer on non-produced assets other than land</w:t>
            </w:r>
          </w:p>
          <w:p w14:paraId="16EC83A1" w14:textId="77777777" w:rsidR="008A64D8" w:rsidRPr="00AB22FC" w:rsidRDefault="008A64D8" w:rsidP="004D65FE">
            <w:pPr>
              <w:pStyle w:val="CGCTablerow"/>
              <w:ind w:left="397" w:hanging="397"/>
            </w:pPr>
            <w:r w:rsidRPr="00E30CFA">
              <w:t>4211 Disposals of non-financial assets (excluding depreciation)</w:t>
            </w:r>
          </w:p>
        </w:tc>
        <w:tc>
          <w:tcPr>
            <w:tcW w:w="1950" w:type="pct"/>
          </w:tcPr>
          <w:p w14:paraId="0A827156" w14:textId="65784341" w:rsidR="008A64D8" w:rsidRPr="00830FE7" w:rsidRDefault="008A64D8" w:rsidP="004D65FE">
            <w:pPr>
              <w:pStyle w:val="CGCTablerow"/>
            </w:pPr>
            <w:r>
              <w:t xml:space="preserve">COFOG-As other than Housing and </w:t>
            </w:r>
            <w:r w:rsidR="00CB0E8B">
              <w:t>u</w:t>
            </w:r>
            <w:r>
              <w:t>rban transport</w:t>
            </w:r>
          </w:p>
        </w:tc>
        <w:tc>
          <w:tcPr>
            <w:tcW w:w="850" w:type="pct"/>
          </w:tcPr>
          <w:p w14:paraId="4942AC69" w14:textId="77777777" w:rsidR="008A64D8" w:rsidRPr="001D7733" w:rsidRDefault="008A64D8" w:rsidP="004D65FE">
            <w:pPr>
              <w:pStyle w:val="CGCTablerow"/>
            </w:pPr>
            <w:r w:rsidRPr="001D7733">
              <w:t>&lt;&gt;"23" &amp; own JUR</w:t>
            </w:r>
          </w:p>
        </w:tc>
      </w:tr>
    </w:tbl>
    <w:p w14:paraId="4435EBA9" w14:textId="77777777" w:rsidR="008A64D8" w:rsidRPr="00830FE7" w:rsidRDefault="008A64D8" w:rsidP="008A64D8"/>
    <w:p w14:paraId="639E85B7" w14:textId="77777777" w:rsidR="008A64D8" w:rsidRDefault="008A64D8" w:rsidP="008A64D8">
      <w:pPr>
        <w:tabs>
          <w:tab w:val="clear" w:pos="567"/>
        </w:tabs>
        <w:spacing w:before="0" w:after="200" w:line="276" w:lineRule="auto"/>
      </w:pPr>
      <w:r>
        <w:br w:type="page"/>
      </w:r>
    </w:p>
    <w:p w14:paraId="537C96B8" w14:textId="0445F4BB" w:rsidR="008A64D8" w:rsidRDefault="008A64D8" w:rsidP="008A64D8">
      <w:pPr>
        <w:pStyle w:val="Caption"/>
      </w:pPr>
      <w:r>
        <w:lastRenderedPageBreak/>
        <w:t>Table 32A-2</w:t>
      </w:r>
      <w:r>
        <w:tab/>
        <w:t xml:space="preserve">Housing and </w:t>
      </w:r>
      <w:r w:rsidR="0027346B">
        <w:t>u</w:t>
      </w:r>
      <w:r>
        <w:t>rban transport and their relevant GFS codes – consolidated GG and PNFC sectors (INST=100, 300)</w:t>
      </w:r>
    </w:p>
    <w:tbl>
      <w:tblPr>
        <w:tblW w:w="8959" w:type="dxa"/>
        <w:tblBorders>
          <w:top w:val="single" w:sz="4" w:space="0" w:color="ADD6EA"/>
          <w:bottom w:val="single" w:sz="4" w:space="0" w:color="ADD6EA"/>
          <w:insideH w:val="single" w:sz="4" w:space="0" w:color="ADD6EA"/>
        </w:tblBorders>
        <w:tblCellMar>
          <w:left w:w="28" w:type="dxa"/>
          <w:right w:w="28" w:type="dxa"/>
        </w:tblCellMar>
        <w:tblLook w:val="0000" w:firstRow="0" w:lastRow="0" w:firstColumn="0" w:lastColumn="0" w:noHBand="0" w:noVBand="0"/>
      </w:tblPr>
      <w:tblGrid>
        <w:gridCol w:w="1175"/>
        <w:gridCol w:w="2715"/>
        <w:gridCol w:w="3530"/>
        <w:gridCol w:w="1539"/>
      </w:tblGrid>
      <w:tr w:rsidR="008A64D8" w:rsidRPr="007568EB" w14:paraId="7DA7766D" w14:textId="77777777" w:rsidTr="003F6BF4">
        <w:trPr>
          <w:trHeight w:val="376"/>
        </w:trPr>
        <w:tc>
          <w:tcPr>
            <w:tcW w:w="656" w:type="pct"/>
            <w:shd w:val="clear" w:color="auto" w:fill="006991"/>
            <w:vAlign w:val="center"/>
          </w:tcPr>
          <w:p w14:paraId="6DAEF77E" w14:textId="77777777" w:rsidR="008A64D8" w:rsidRPr="007568EB" w:rsidRDefault="008A64D8" w:rsidP="004D65FE">
            <w:pPr>
              <w:pStyle w:val="CGCTableheader"/>
              <w:spacing w:before="40" w:after="40"/>
              <w:rPr>
                <w:b/>
              </w:rPr>
            </w:pPr>
            <w:r w:rsidRPr="00122459">
              <w:t>Category</w:t>
            </w:r>
          </w:p>
        </w:tc>
        <w:tc>
          <w:tcPr>
            <w:tcW w:w="1515" w:type="pct"/>
            <w:shd w:val="clear" w:color="auto" w:fill="006991"/>
            <w:vAlign w:val="center"/>
          </w:tcPr>
          <w:p w14:paraId="6C599721" w14:textId="77777777" w:rsidR="008A64D8" w:rsidRPr="007568EB" w:rsidRDefault="008A64D8" w:rsidP="004D65FE">
            <w:pPr>
              <w:pStyle w:val="CGCTableheader"/>
              <w:spacing w:before="40" w:after="40"/>
              <w:rPr>
                <w:b/>
              </w:rPr>
            </w:pPr>
            <w:r w:rsidRPr="00122459">
              <w:t>ETF</w:t>
            </w:r>
          </w:p>
        </w:tc>
        <w:tc>
          <w:tcPr>
            <w:tcW w:w="1970" w:type="pct"/>
            <w:shd w:val="clear" w:color="auto" w:fill="006991"/>
            <w:vAlign w:val="center"/>
          </w:tcPr>
          <w:p w14:paraId="4407BEA8" w14:textId="77777777" w:rsidR="008A64D8" w:rsidRPr="007568EB" w:rsidRDefault="008A64D8" w:rsidP="004D65FE">
            <w:pPr>
              <w:pStyle w:val="CGCTableheader"/>
              <w:spacing w:before="40" w:after="40"/>
              <w:rPr>
                <w:b/>
              </w:rPr>
            </w:pPr>
            <w:r w:rsidRPr="00122459">
              <w:t>COFOG-A</w:t>
            </w:r>
          </w:p>
        </w:tc>
        <w:tc>
          <w:tcPr>
            <w:tcW w:w="859" w:type="pct"/>
            <w:shd w:val="clear" w:color="auto" w:fill="006991"/>
            <w:vAlign w:val="center"/>
          </w:tcPr>
          <w:p w14:paraId="7829FBA2" w14:textId="77777777" w:rsidR="008A64D8" w:rsidRPr="007568EB" w:rsidRDefault="008A64D8" w:rsidP="004D65FE">
            <w:pPr>
              <w:pStyle w:val="CGCTableheader"/>
              <w:spacing w:before="40" w:after="40"/>
              <w:rPr>
                <w:b/>
              </w:rPr>
            </w:pPr>
            <w:r w:rsidRPr="00122459">
              <w:t>SDC</w:t>
            </w:r>
          </w:p>
        </w:tc>
      </w:tr>
      <w:tr w:rsidR="008A64D8" w:rsidRPr="00AB22FC" w14:paraId="224AA565" w14:textId="77777777" w:rsidTr="003F6BF4">
        <w:tc>
          <w:tcPr>
            <w:tcW w:w="5000" w:type="pct"/>
            <w:gridSpan w:val="4"/>
            <w:shd w:val="clear" w:color="auto" w:fill="B6D5E4"/>
          </w:tcPr>
          <w:p w14:paraId="1C77281D" w14:textId="77777777" w:rsidR="008A64D8" w:rsidRPr="00007A82" w:rsidRDefault="008A64D8" w:rsidP="004D65FE">
            <w:pPr>
              <w:pStyle w:val="CGCTablerow"/>
              <w:rPr>
                <w:rFonts w:ascii="Open Sans SemiBold" w:hAnsi="Open Sans SemiBold" w:cs="Open Sans SemiBold"/>
              </w:rPr>
            </w:pPr>
            <w:r>
              <w:rPr>
                <w:rFonts w:ascii="Open Sans SemiBold" w:hAnsi="Open Sans SemiBold" w:cs="Open Sans SemiBold"/>
              </w:rPr>
              <w:t>Operating expenses</w:t>
            </w:r>
          </w:p>
        </w:tc>
      </w:tr>
      <w:tr w:rsidR="008A64D8" w:rsidRPr="00AB22FC" w14:paraId="2ED80503" w14:textId="77777777" w:rsidTr="003F6BF4">
        <w:tc>
          <w:tcPr>
            <w:tcW w:w="656" w:type="pct"/>
          </w:tcPr>
          <w:p w14:paraId="24B7EAC3" w14:textId="77777777" w:rsidR="008A64D8" w:rsidRPr="00AD3545" w:rsidRDefault="008A64D8" w:rsidP="004D65FE">
            <w:pPr>
              <w:pStyle w:val="CGCTablerow"/>
            </w:pPr>
            <w:r w:rsidRPr="00AD3545">
              <w:t>Housing (net)</w:t>
            </w:r>
          </w:p>
        </w:tc>
        <w:tc>
          <w:tcPr>
            <w:tcW w:w="1515" w:type="pct"/>
          </w:tcPr>
          <w:p w14:paraId="3EB5F0DD" w14:textId="77777777" w:rsidR="008A64D8" w:rsidRDefault="008A64D8" w:rsidP="004D65FE">
            <w:pPr>
              <w:pStyle w:val="CGCTablerow"/>
            </w:pPr>
            <w:r>
              <w:t xml:space="preserve">Expenses — </w:t>
            </w:r>
            <w:r w:rsidRPr="00AB22FC">
              <w:t>ETF</w:t>
            </w:r>
            <w:r>
              <w:t>12*</w:t>
            </w:r>
            <w:r w:rsidRPr="00AB22FC">
              <w:t>, except 1241</w:t>
            </w:r>
            <w:r>
              <w:t>,</w:t>
            </w:r>
            <w:r w:rsidRPr="00AB22FC">
              <w:t xml:space="preserve"> 1242</w:t>
            </w:r>
            <w:r>
              <w:t>,</w:t>
            </w:r>
            <w:r w:rsidRPr="00AB22FC">
              <w:t xml:space="preserve"> 1271</w:t>
            </w:r>
            <w:r>
              <w:t>,</w:t>
            </w:r>
            <w:r w:rsidRPr="00AB22FC">
              <w:t xml:space="preserve"> and 1279</w:t>
            </w:r>
          </w:p>
          <w:p w14:paraId="64E626B3" w14:textId="77777777" w:rsidR="008A64D8" w:rsidRPr="00AB22FC" w:rsidRDefault="008A64D8" w:rsidP="004D65FE">
            <w:pPr>
              <w:pStyle w:val="CGCTablerow"/>
            </w:pPr>
            <w:r>
              <w:t>User charges — ETF112* Sales of goods and services</w:t>
            </w:r>
          </w:p>
        </w:tc>
        <w:tc>
          <w:tcPr>
            <w:tcW w:w="1970" w:type="pct"/>
          </w:tcPr>
          <w:p w14:paraId="6C6787C0" w14:textId="77777777" w:rsidR="008A64D8" w:rsidRPr="00502D39" w:rsidRDefault="008A64D8" w:rsidP="004D65FE">
            <w:pPr>
              <w:pStyle w:val="CGCTablerow"/>
            </w:pPr>
            <w:r w:rsidRPr="00502D39">
              <w:t>0611 Housing development</w:t>
            </w:r>
          </w:p>
          <w:p w14:paraId="5ACFD213" w14:textId="77777777" w:rsidR="008A64D8" w:rsidRPr="00502D39" w:rsidRDefault="008A64D8" w:rsidP="004D65FE">
            <w:pPr>
              <w:pStyle w:val="CGCTablerow"/>
            </w:pPr>
            <w:r w:rsidRPr="00502D39">
              <w:t>0698 Housing n.e.c.</w:t>
            </w:r>
          </w:p>
          <w:p w14:paraId="71BB1085" w14:textId="77777777" w:rsidR="008A64D8" w:rsidRPr="00AB22FC" w:rsidRDefault="008A64D8" w:rsidP="004D65FE">
            <w:pPr>
              <w:pStyle w:val="CGCTablerow"/>
            </w:pPr>
            <w:r w:rsidRPr="00502D39">
              <w:t>1051 Housing</w:t>
            </w:r>
          </w:p>
        </w:tc>
        <w:tc>
          <w:tcPr>
            <w:tcW w:w="859" w:type="pct"/>
          </w:tcPr>
          <w:p w14:paraId="3075B48E" w14:textId="77777777" w:rsidR="008A64D8" w:rsidRDefault="008A64D8" w:rsidP="004D65FE">
            <w:pPr>
              <w:pStyle w:val="CGCTablerow"/>
            </w:pPr>
            <w:r w:rsidRPr="001D7733">
              <w:t>&lt;&gt;"23" &amp; own JUR</w:t>
            </w:r>
            <w:r>
              <w:t xml:space="preserve"> </w:t>
            </w:r>
          </w:p>
          <w:p w14:paraId="2E9C7757" w14:textId="77777777" w:rsidR="008A64D8" w:rsidRDefault="008A64D8" w:rsidP="004D65FE">
            <w:pPr>
              <w:pStyle w:val="CGCTablerow"/>
            </w:pPr>
            <w:r>
              <w:t xml:space="preserve">and </w:t>
            </w:r>
          </w:p>
          <w:p w14:paraId="439B1095" w14:textId="77777777" w:rsidR="008A64D8" w:rsidRPr="00AB22FC" w:rsidRDefault="008A64D8" w:rsidP="004D65FE">
            <w:pPr>
              <w:pStyle w:val="CGCTablerow"/>
            </w:pPr>
            <w:r w:rsidRPr="001D7733">
              <w:t>&lt;&gt;"2</w:t>
            </w:r>
            <w:r>
              <w:t>1</w:t>
            </w:r>
            <w:r w:rsidRPr="001D7733">
              <w:t>" &amp; own JUR</w:t>
            </w:r>
          </w:p>
        </w:tc>
      </w:tr>
      <w:tr w:rsidR="008A64D8" w:rsidRPr="00AB22FC" w14:paraId="6B552A0E" w14:textId="77777777" w:rsidTr="003F6BF4">
        <w:tc>
          <w:tcPr>
            <w:tcW w:w="656" w:type="pct"/>
          </w:tcPr>
          <w:p w14:paraId="3045189C" w14:textId="0737D621" w:rsidR="008A64D8" w:rsidRPr="00AD3545" w:rsidRDefault="008A64D8" w:rsidP="004D65FE">
            <w:pPr>
              <w:pStyle w:val="CGCTablerow"/>
            </w:pPr>
            <w:r w:rsidRPr="00AD3545">
              <w:t xml:space="preserve">Transport — </w:t>
            </w:r>
            <w:r w:rsidRPr="00AD3545">
              <w:br/>
            </w:r>
            <w:r w:rsidR="008605AC">
              <w:t>u</w:t>
            </w:r>
            <w:r w:rsidRPr="00AD3545">
              <w:t>rban transport (net) (includes depreciation)</w:t>
            </w:r>
          </w:p>
        </w:tc>
        <w:tc>
          <w:tcPr>
            <w:tcW w:w="1515" w:type="pct"/>
          </w:tcPr>
          <w:p w14:paraId="65CDEE50" w14:textId="77777777" w:rsidR="008A64D8" w:rsidRDefault="008A64D8" w:rsidP="004D65FE">
            <w:pPr>
              <w:pStyle w:val="CGCTablerow"/>
            </w:pPr>
            <w:r>
              <w:t xml:space="preserve">Expenses — </w:t>
            </w:r>
            <w:r w:rsidRPr="00AB22FC">
              <w:t>ETF</w:t>
            </w:r>
            <w:r>
              <w:t>12*</w:t>
            </w:r>
            <w:r w:rsidRPr="00AB22FC">
              <w:t>, except 1242</w:t>
            </w:r>
            <w:r>
              <w:t>,</w:t>
            </w:r>
            <w:r w:rsidRPr="00AB22FC">
              <w:t xml:space="preserve"> 1271</w:t>
            </w:r>
            <w:r>
              <w:t>,</w:t>
            </w:r>
            <w:r w:rsidRPr="00AB22FC">
              <w:t xml:space="preserve"> and 1279</w:t>
            </w:r>
          </w:p>
          <w:p w14:paraId="283C6481" w14:textId="77777777" w:rsidR="008A64D8" w:rsidRPr="00AB22FC" w:rsidRDefault="008A64D8" w:rsidP="004D65FE">
            <w:pPr>
              <w:pStyle w:val="CGCTablerow"/>
            </w:pPr>
            <w:r>
              <w:t>User charges — ETF112* Sales of goods and services</w:t>
            </w:r>
          </w:p>
        </w:tc>
        <w:tc>
          <w:tcPr>
            <w:tcW w:w="1970" w:type="pct"/>
          </w:tcPr>
          <w:p w14:paraId="2FE882DA" w14:textId="77777777" w:rsidR="008A64D8" w:rsidRPr="00830FE7" w:rsidRDefault="008A64D8" w:rsidP="004D65FE">
            <w:pPr>
              <w:pStyle w:val="CGCTablerow"/>
              <w:ind w:left="397" w:hanging="397"/>
            </w:pPr>
            <w:r w:rsidRPr="00830FE7">
              <w:t>0951 Transportati</w:t>
            </w:r>
            <w:r>
              <w:t>on of non-urban school students</w:t>
            </w:r>
          </w:p>
          <w:p w14:paraId="05F0C4CF" w14:textId="77777777" w:rsidR="008A64D8" w:rsidRPr="00830FE7" w:rsidRDefault="008A64D8" w:rsidP="004D65FE">
            <w:pPr>
              <w:pStyle w:val="CGCTablerow"/>
            </w:pPr>
            <w:r w:rsidRPr="00830FE7">
              <w:t>0952 T</w:t>
            </w:r>
            <w:r>
              <w:t>ransportation of other students</w:t>
            </w:r>
          </w:p>
          <w:p w14:paraId="00BAE3FD" w14:textId="77777777" w:rsidR="008A64D8" w:rsidRPr="00830FE7" w:rsidRDefault="008A64D8" w:rsidP="004D65FE">
            <w:pPr>
              <w:pStyle w:val="CGCTablerow"/>
            </w:pPr>
            <w:r>
              <w:t>1121 Urban bus transport</w:t>
            </w:r>
          </w:p>
          <w:p w14:paraId="1CC90986" w14:textId="77777777" w:rsidR="008A64D8" w:rsidRPr="00830FE7" w:rsidRDefault="008A64D8" w:rsidP="004D65FE">
            <w:pPr>
              <w:pStyle w:val="CGCTablerow"/>
              <w:ind w:left="397" w:hanging="397"/>
            </w:pPr>
            <w:r w:rsidRPr="00830FE7">
              <w:t>1131 Urban wat</w:t>
            </w:r>
            <w:r>
              <w:t>er transport passenger services</w:t>
            </w:r>
          </w:p>
          <w:p w14:paraId="677F1E63" w14:textId="77777777" w:rsidR="008A64D8" w:rsidRPr="00830FE7" w:rsidRDefault="008A64D8" w:rsidP="004D65FE">
            <w:pPr>
              <w:pStyle w:val="CGCTablerow"/>
            </w:pPr>
            <w:r w:rsidRPr="00830FE7">
              <w:t>1132 Urban w</w:t>
            </w:r>
            <w:r>
              <w:t>ater transport freight services</w:t>
            </w:r>
          </w:p>
          <w:p w14:paraId="12BDB6F6" w14:textId="77777777" w:rsidR="008A64D8" w:rsidRPr="00830FE7" w:rsidRDefault="008A64D8" w:rsidP="004D65FE">
            <w:pPr>
              <w:pStyle w:val="CGCTablerow"/>
            </w:pPr>
            <w:r w:rsidRPr="00830FE7">
              <w:t>1141 U</w:t>
            </w:r>
            <w:r>
              <w:t>rban railway transport services</w:t>
            </w:r>
          </w:p>
          <w:p w14:paraId="1320C83F" w14:textId="77777777" w:rsidR="008A64D8" w:rsidRPr="00830FE7" w:rsidRDefault="008A64D8" w:rsidP="004D65FE">
            <w:pPr>
              <w:pStyle w:val="CGCTablerow"/>
            </w:pPr>
            <w:r>
              <w:t>1161 Multi-mode urban transport</w:t>
            </w:r>
          </w:p>
          <w:p w14:paraId="6BAEDA4C" w14:textId="77777777" w:rsidR="008A64D8" w:rsidRPr="00830FE7" w:rsidRDefault="008A64D8" w:rsidP="004D65FE">
            <w:pPr>
              <w:pStyle w:val="CGCTablerow"/>
            </w:pPr>
            <w:r w:rsidRPr="00830FE7">
              <w:t>117</w:t>
            </w:r>
            <w:r>
              <w:t>1 Pipeline and other transport</w:t>
            </w:r>
          </w:p>
          <w:p w14:paraId="2DF98567" w14:textId="77777777" w:rsidR="008A64D8" w:rsidRPr="00830FE7" w:rsidRDefault="008A64D8" w:rsidP="004D65FE">
            <w:pPr>
              <w:pStyle w:val="CGCTablerow"/>
            </w:pPr>
            <w:r>
              <w:t>1181 R&amp;D – transport</w:t>
            </w:r>
          </w:p>
          <w:p w14:paraId="587F9A8E" w14:textId="77777777" w:rsidR="008A64D8" w:rsidRPr="00AB22FC" w:rsidRDefault="008A64D8" w:rsidP="004D65FE">
            <w:pPr>
              <w:pStyle w:val="CGCTablerow"/>
            </w:pPr>
            <w:r w:rsidRPr="00830FE7">
              <w:t xml:space="preserve">1199 Transport n.e.c.1151 Air transport </w:t>
            </w:r>
          </w:p>
        </w:tc>
        <w:tc>
          <w:tcPr>
            <w:tcW w:w="859" w:type="pct"/>
          </w:tcPr>
          <w:p w14:paraId="32592722" w14:textId="77777777" w:rsidR="008A64D8" w:rsidRDefault="008A64D8" w:rsidP="004D65FE">
            <w:pPr>
              <w:pStyle w:val="CGCTablerow"/>
            </w:pPr>
            <w:r w:rsidRPr="001D7733">
              <w:t>&lt;&gt;"23" &amp; own JUR</w:t>
            </w:r>
            <w:r>
              <w:t xml:space="preserve"> </w:t>
            </w:r>
          </w:p>
          <w:p w14:paraId="213F0C42" w14:textId="77777777" w:rsidR="008A64D8" w:rsidRDefault="008A64D8" w:rsidP="004D65FE">
            <w:pPr>
              <w:pStyle w:val="CGCTablerow"/>
            </w:pPr>
            <w:r>
              <w:t xml:space="preserve">and </w:t>
            </w:r>
          </w:p>
          <w:p w14:paraId="0AC60FB4" w14:textId="77777777" w:rsidR="008A64D8" w:rsidRPr="00AB22FC" w:rsidRDefault="008A64D8" w:rsidP="004D65FE">
            <w:pPr>
              <w:pStyle w:val="CGCTablerow"/>
            </w:pPr>
            <w:r w:rsidRPr="001D7733">
              <w:t>&lt;&gt;"2</w:t>
            </w:r>
            <w:r>
              <w:t>1</w:t>
            </w:r>
            <w:r w:rsidRPr="001D7733">
              <w:t>" &amp; own JUR</w:t>
            </w:r>
          </w:p>
        </w:tc>
      </w:tr>
      <w:tr w:rsidR="008A64D8" w:rsidRPr="00AB22FC" w14:paraId="263BB976" w14:textId="77777777" w:rsidTr="003F6BF4">
        <w:tc>
          <w:tcPr>
            <w:tcW w:w="5000" w:type="pct"/>
            <w:gridSpan w:val="4"/>
            <w:shd w:val="clear" w:color="auto" w:fill="B6D5E4"/>
          </w:tcPr>
          <w:p w14:paraId="3D3B47BC" w14:textId="62B2CF2A" w:rsidR="008A64D8" w:rsidRPr="00007A82" w:rsidRDefault="008A64D8" w:rsidP="004D65FE">
            <w:pPr>
              <w:pStyle w:val="CGCTablerow"/>
              <w:rPr>
                <w:rFonts w:ascii="Open Sans SemiBold" w:hAnsi="Open Sans SemiBold" w:cs="Open Sans SemiBold"/>
              </w:rPr>
            </w:pPr>
            <w:r w:rsidRPr="00007A82">
              <w:rPr>
                <w:rFonts w:ascii="Open Sans SemiBold" w:hAnsi="Open Sans SemiBold" w:cs="Open Sans SemiBold"/>
              </w:rPr>
              <w:t>Investment (gross for Housing</w:t>
            </w:r>
            <w:r>
              <w:rPr>
                <w:rFonts w:ascii="Open Sans SemiBold" w:hAnsi="Open Sans SemiBold" w:cs="Open Sans SemiBold"/>
              </w:rPr>
              <w:t>,</w:t>
            </w:r>
            <w:r w:rsidRPr="00007A82">
              <w:rPr>
                <w:rFonts w:ascii="Open Sans SemiBold" w:hAnsi="Open Sans SemiBold" w:cs="Open Sans SemiBold"/>
              </w:rPr>
              <w:t xml:space="preserve"> </w:t>
            </w:r>
            <w:r>
              <w:rPr>
                <w:rFonts w:ascii="Open Sans SemiBold" w:hAnsi="Open Sans SemiBold" w:cs="Open Sans SemiBold"/>
              </w:rPr>
              <w:t>n</w:t>
            </w:r>
            <w:r w:rsidRPr="00007A82">
              <w:rPr>
                <w:rFonts w:ascii="Open Sans SemiBold" w:hAnsi="Open Sans SemiBold" w:cs="Open Sans SemiBold"/>
              </w:rPr>
              <w:t xml:space="preserve">et for </w:t>
            </w:r>
            <w:r w:rsidR="00BA1EBA">
              <w:rPr>
                <w:rFonts w:ascii="Open Sans SemiBold" w:hAnsi="Open Sans SemiBold" w:cs="Open Sans SemiBold"/>
              </w:rPr>
              <w:t>u</w:t>
            </w:r>
            <w:r w:rsidRPr="00007A82">
              <w:rPr>
                <w:rFonts w:ascii="Open Sans SemiBold" w:hAnsi="Open Sans SemiBold" w:cs="Open Sans SemiBold"/>
              </w:rPr>
              <w:t>rban transport)</w:t>
            </w:r>
          </w:p>
        </w:tc>
      </w:tr>
      <w:tr w:rsidR="008A64D8" w:rsidRPr="00AB22FC" w14:paraId="1D64E2E8" w14:textId="77777777" w:rsidTr="003F6BF4">
        <w:tc>
          <w:tcPr>
            <w:tcW w:w="5000" w:type="pct"/>
            <w:gridSpan w:val="4"/>
          </w:tcPr>
          <w:p w14:paraId="5C46A641" w14:textId="77777777" w:rsidR="008A64D8" w:rsidRPr="004C4D4A" w:rsidRDefault="008A64D8" w:rsidP="004D65FE">
            <w:pPr>
              <w:pStyle w:val="CGCTablesubhead1"/>
            </w:pPr>
            <w:r w:rsidRPr="004C4D4A">
              <w:t>Transaction</w:t>
            </w:r>
            <w:r>
              <w:t>s</w:t>
            </w:r>
            <w:r w:rsidRPr="004C4D4A">
              <w:t xml:space="preserve"> in non-financial produced assets (TALC 1 fixed produced assets and 2 Other produced assets)</w:t>
            </w:r>
          </w:p>
        </w:tc>
      </w:tr>
      <w:tr w:rsidR="008A64D8" w:rsidRPr="00AB22FC" w14:paraId="08F1F129" w14:textId="77777777" w:rsidTr="003F6BF4">
        <w:tc>
          <w:tcPr>
            <w:tcW w:w="656" w:type="pct"/>
          </w:tcPr>
          <w:p w14:paraId="4261A936" w14:textId="77777777" w:rsidR="008A64D8" w:rsidRPr="00122391" w:rsidRDefault="008A64D8" w:rsidP="004D65FE">
            <w:pPr>
              <w:pStyle w:val="CGCTablerow"/>
            </w:pPr>
            <w:r>
              <w:t>Housing (gross)</w:t>
            </w:r>
          </w:p>
        </w:tc>
        <w:tc>
          <w:tcPr>
            <w:tcW w:w="1515" w:type="pct"/>
          </w:tcPr>
          <w:p w14:paraId="37A548AC" w14:textId="77777777" w:rsidR="008A64D8" w:rsidRDefault="008A64D8" w:rsidP="004D65FE">
            <w:pPr>
              <w:pStyle w:val="CGCTablerow"/>
              <w:ind w:left="397" w:hanging="397"/>
            </w:pPr>
            <w:r w:rsidRPr="00E30CFA">
              <w:t xml:space="preserve">4111 Change in inventories </w:t>
            </w:r>
          </w:p>
          <w:p w14:paraId="5AE1AFF8" w14:textId="77777777" w:rsidR="008A64D8" w:rsidRPr="00E30CFA" w:rsidRDefault="008A64D8" w:rsidP="004D65FE">
            <w:pPr>
              <w:pStyle w:val="CGCTablerow"/>
              <w:ind w:left="397" w:hanging="397"/>
            </w:pPr>
            <w:r w:rsidRPr="00E30CFA">
              <w:t>4112 Acquisitions of non-financial assets under new finance leases</w:t>
            </w:r>
          </w:p>
          <w:p w14:paraId="1F28B3DB" w14:textId="77777777" w:rsidR="008A64D8" w:rsidRPr="00E30CFA" w:rsidRDefault="008A64D8" w:rsidP="004D65FE">
            <w:pPr>
              <w:pStyle w:val="CGCTablerow"/>
              <w:ind w:left="397" w:hanging="397"/>
            </w:pPr>
            <w:r w:rsidRPr="00E30CFA">
              <w:t>4113 Own-account capital formation</w:t>
            </w:r>
          </w:p>
          <w:p w14:paraId="7788AE93" w14:textId="1AD98B46" w:rsidR="008A64D8" w:rsidRPr="00E30CFA" w:rsidRDefault="008A64D8" w:rsidP="004D65FE">
            <w:pPr>
              <w:pStyle w:val="CGCTablerow"/>
              <w:ind w:left="397" w:hanging="397"/>
            </w:pPr>
            <w:r w:rsidRPr="00E30CFA">
              <w:t>4114 Acquisition of other new non</w:t>
            </w:r>
            <w:r w:rsidR="002E01A3">
              <w:noBreakHyphen/>
            </w:r>
            <w:r w:rsidRPr="00E30CFA">
              <w:t>financial assets</w:t>
            </w:r>
          </w:p>
          <w:p w14:paraId="519E2B52" w14:textId="77777777" w:rsidR="008A64D8" w:rsidRPr="00E30CFA" w:rsidRDefault="008A64D8" w:rsidP="004D65FE">
            <w:pPr>
              <w:pStyle w:val="CGCTablerow"/>
              <w:ind w:left="397" w:hanging="397"/>
            </w:pPr>
            <w:r w:rsidRPr="00E30CFA">
              <w:t>4115 Acquisition of second-hand non-financial assets</w:t>
            </w:r>
          </w:p>
          <w:p w14:paraId="3BF0D49D" w14:textId="77777777" w:rsidR="008A64D8" w:rsidRPr="00AB22FC" w:rsidRDefault="008A64D8" w:rsidP="004D65FE">
            <w:pPr>
              <w:pStyle w:val="CGCTablerow"/>
              <w:ind w:left="397" w:hanging="397"/>
            </w:pPr>
            <w:r w:rsidRPr="00E30CFA">
              <w:t>4211 Disposals of non-financial assets (excluding depreciation)</w:t>
            </w:r>
          </w:p>
        </w:tc>
        <w:tc>
          <w:tcPr>
            <w:tcW w:w="1970" w:type="pct"/>
          </w:tcPr>
          <w:p w14:paraId="21194D20" w14:textId="77777777" w:rsidR="008A64D8" w:rsidRPr="00502D39" w:rsidRDefault="008A64D8" w:rsidP="004D65FE">
            <w:pPr>
              <w:pStyle w:val="CGCTablerow"/>
            </w:pPr>
            <w:r w:rsidRPr="00502D39">
              <w:t>0611 Housing development</w:t>
            </w:r>
          </w:p>
          <w:p w14:paraId="62B0800B" w14:textId="77777777" w:rsidR="008A64D8" w:rsidRPr="00502D39" w:rsidRDefault="008A64D8" w:rsidP="004D65FE">
            <w:pPr>
              <w:pStyle w:val="CGCTablerow"/>
            </w:pPr>
            <w:r w:rsidRPr="00502D39">
              <w:t>0698 Housing n.e.c.</w:t>
            </w:r>
          </w:p>
          <w:p w14:paraId="282D0169" w14:textId="77777777" w:rsidR="008A64D8" w:rsidRPr="00830FE7" w:rsidRDefault="008A64D8" w:rsidP="004D65FE">
            <w:pPr>
              <w:pStyle w:val="CGCTablerow"/>
            </w:pPr>
            <w:r w:rsidRPr="00502D39">
              <w:t>1051 Housing</w:t>
            </w:r>
          </w:p>
        </w:tc>
        <w:tc>
          <w:tcPr>
            <w:tcW w:w="859" w:type="pct"/>
          </w:tcPr>
          <w:p w14:paraId="619BE3B2" w14:textId="77777777" w:rsidR="008A64D8" w:rsidRDefault="008A64D8" w:rsidP="004D65FE">
            <w:pPr>
              <w:pStyle w:val="CGCTablerow"/>
            </w:pPr>
            <w:r w:rsidRPr="001D7733">
              <w:t>&lt;&gt;"23" &amp; own JUR</w:t>
            </w:r>
            <w:r>
              <w:t xml:space="preserve"> </w:t>
            </w:r>
          </w:p>
          <w:p w14:paraId="347B199A" w14:textId="77777777" w:rsidR="008A64D8" w:rsidRDefault="008A64D8" w:rsidP="004D65FE">
            <w:pPr>
              <w:pStyle w:val="CGCTablerow"/>
            </w:pPr>
            <w:r>
              <w:t xml:space="preserve">and </w:t>
            </w:r>
          </w:p>
          <w:p w14:paraId="7191FF09" w14:textId="77777777" w:rsidR="008A64D8" w:rsidRPr="001D7733" w:rsidRDefault="008A64D8" w:rsidP="004D65FE">
            <w:pPr>
              <w:pStyle w:val="CGCTablerow"/>
            </w:pPr>
            <w:r w:rsidRPr="001D7733">
              <w:t>&lt;&gt;"2</w:t>
            </w:r>
            <w:r>
              <w:t>1</w:t>
            </w:r>
            <w:r w:rsidRPr="001D7733">
              <w:t>" &amp; own JUR</w:t>
            </w:r>
          </w:p>
        </w:tc>
      </w:tr>
      <w:tr w:rsidR="008A64D8" w:rsidRPr="00AB22FC" w14:paraId="5D38FFF1" w14:textId="77777777" w:rsidTr="003F6BF4">
        <w:tc>
          <w:tcPr>
            <w:tcW w:w="656" w:type="pct"/>
          </w:tcPr>
          <w:p w14:paraId="44BD7328" w14:textId="77777777" w:rsidR="008A64D8" w:rsidRPr="00122391" w:rsidRDefault="008A64D8" w:rsidP="004D65FE">
            <w:pPr>
              <w:pStyle w:val="CGCTablerow"/>
            </w:pPr>
            <w:r>
              <w:t>Urban transport (net)</w:t>
            </w:r>
            <w:r>
              <w:rPr>
                <w:noProof/>
                <w:lang w:eastAsia="en-AU"/>
              </w:rPr>
              <w:t xml:space="preserve"> </w:t>
            </w:r>
          </w:p>
        </w:tc>
        <w:tc>
          <w:tcPr>
            <w:tcW w:w="1515" w:type="pct"/>
          </w:tcPr>
          <w:p w14:paraId="32F7A764" w14:textId="77777777" w:rsidR="008A64D8" w:rsidRDefault="008A64D8" w:rsidP="004D65FE">
            <w:pPr>
              <w:pStyle w:val="CGCTablerow"/>
              <w:ind w:left="397" w:hanging="397"/>
            </w:pPr>
            <w:r w:rsidRPr="00E30CFA">
              <w:t xml:space="preserve">4111 Change in inventories </w:t>
            </w:r>
          </w:p>
          <w:p w14:paraId="61DD6358" w14:textId="77777777" w:rsidR="008A64D8" w:rsidRPr="00E30CFA" w:rsidRDefault="008A64D8" w:rsidP="004D65FE">
            <w:pPr>
              <w:pStyle w:val="CGCTablerow"/>
              <w:ind w:left="397" w:hanging="397"/>
            </w:pPr>
            <w:r w:rsidRPr="00E30CFA">
              <w:t>4112 Acquisitions of non-financial assets under new finance leases</w:t>
            </w:r>
          </w:p>
          <w:p w14:paraId="053913C5" w14:textId="77777777" w:rsidR="008A64D8" w:rsidRPr="00E30CFA" w:rsidRDefault="008A64D8" w:rsidP="004D65FE">
            <w:pPr>
              <w:pStyle w:val="CGCTablerow"/>
              <w:ind w:left="397" w:hanging="397"/>
            </w:pPr>
            <w:r w:rsidRPr="00E30CFA">
              <w:t>4113 Own-account capital formation</w:t>
            </w:r>
          </w:p>
          <w:p w14:paraId="79B81626" w14:textId="3D804ECD" w:rsidR="008A64D8" w:rsidRPr="00E30CFA" w:rsidRDefault="008A64D8" w:rsidP="004D65FE">
            <w:pPr>
              <w:pStyle w:val="CGCTablerow"/>
              <w:ind w:left="397" w:hanging="397"/>
            </w:pPr>
            <w:r w:rsidRPr="00E30CFA">
              <w:t>4114 Acquisition of other new non</w:t>
            </w:r>
            <w:r w:rsidR="002E01A3">
              <w:noBreakHyphen/>
            </w:r>
            <w:r w:rsidRPr="00E30CFA">
              <w:t>financial assets</w:t>
            </w:r>
          </w:p>
          <w:p w14:paraId="2636A8BE" w14:textId="77777777" w:rsidR="008A64D8" w:rsidRPr="00E30CFA" w:rsidRDefault="008A64D8" w:rsidP="004D65FE">
            <w:pPr>
              <w:pStyle w:val="CGCTablerow"/>
              <w:ind w:left="397" w:hanging="397"/>
            </w:pPr>
            <w:r w:rsidRPr="00E30CFA">
              <w:t>4115 Acquisition of second-hand non-financial assets</w:t>
            </w:r>
          </w:p>
          <w:p w14:paraId="19F43B18" w14:textId="77777777" w:rsidR="008A64D8" w:rsidRDefault="008A64D8" w:rsidP="004D65FE">
            <w:pPr>
              <w:pStyle w:val="CGCTablerow"/>
              <w:ind w:left="397" w:hanging="397"/>
            </w:pPr>
            <w:r w:rsidRPr="00E30CFA">
              <w:t>4211 Disposals of non-financial assets (excluding depreciation)</w:t>
            </w:r>
            <w:r>
              <w:t xml:space="preserve"> </w:t>
            </w:r>
          </w:p>
          <w:p w14:paraId="498BD8CA" w14:textId="77777777" w:rsidR="008A64D8" w:rsidRPr="00AB22FC" w:rsidRDefault="008A64D8" w:rsidP="004D65FE">
            <w:pPr>
              <w:pStyle w:val="CGCTablerow"/>
              <w:ind w:left="397" w:hanging="397"/>
            </w:pPr>
            <w:r w:rsidRPr="004C4D4A">
              <w:t>4212 Reductions in non-financial assets due to depreciation</w:t>
            </w:r>
          </w:p>
        </w:tc>
        <w:tc>
          <w:tcPr>
            <w:tcW w:w="1970" w:type="pct"/>
          </w:tcPr>
          <w:p w14:paraId="1508ABC1" w14:textId="77777777" w:rsidR="008A64D8" w:rsidRPr="004C4D4A" w:rsidRDefault="008A64D8" w:rsidP="004D65FE">
            <w:pPr>
              <w:pStyle w:val="CGCTablerow"/>
              <w:ind w:left="397" w:hanging="397"/>
            </w:pPr>
            <w:r w:rsidRPr="004C4D4A">
              <w:t>0951 Transportation of non-urban school students</w:t>
            </w:r>
          </w:p>
          <w:p w14:paraId="08B1D3F3" w14:textId="77777777" w:rsidR="008A64D8" w:rsidRPr="004C4D4A" w:rsidRDefault="008A64D8" w:rsidP="004D65FE">
            <w:pPr>
              <w:pStyle w:val="CGCTablerow"/>
              <w:ind w:left="397" w:hanging="397"/>
            </w:pPr>
            <w:r w:rsidRPr="004C4D4A">
              <w:t>0952 Transportation of other students</w:t>
            </w:r>
          </w:p>
          <w:p w14:paraId="291CB3AC" w14:textId="77777777" w:rsidR="008A64D8" w:rsidRPr="004C4D4A" w:rsidRDefault="008A64D8" w:rsidP="004D65FE">
            <w:pPr>
              <w:pStyle w:val="CGCTablerow"/>
              <w:ind w:left="397" w:hanging="397"/>
            </w:pPr>
            <w:r w:rsidRPr="004C4D4A">
              <w:t>1121 Urban bus transport</w:t>
            </w:r>
          </w:p>
          <w:p w14:paraId="4D258F45" w14:textId="77777777" w:rsidR="008A64D8" w:rsidRPr="004C4D4A" w:rsidRDefault="008A64D8" w:rsidP="004D65FE">
            <w:pPr>
              <w:pStyle w:val="CGCTablerow"/>
              <w:ind w:left="397" w:hanging="397"/>
            </w:pPr>
            <w:r w:rsidRPr="004C4D4A">
              <w:t>1131 Urban water transport passenger services</w:t>
            </w:r>
          </w:p>
          <w:p w14:paraId="34F63657" w14:textId="77777777" w:rsidR="008A64D8" w:rsidRPr="004C4D4A" w:rsidRDefault="008A64D8" w:rsidP="004D65FE">
            <w:pPr>
              <w:pStyle w:val="CGCTablerow"/>
            </w:pPr>
            <w:r w:rsidRPr="004C4D4A">
              <w:t>1132 Urban water transport freight services</w:t>
            </w:r>
          </w:p>
          <w:p w14:paraId="648F6D23" w14:textId="77777777" w:rsidR="008A64D8" w:rsidRPr="004C4D4A" w:rsidRDefault="008A64D8" w:rsidP="004D65FE">
            <w:pPr>
              <w:pStyle w:val="CGCTablerow"/>
            </w:pPr>
            <w:r w:rsidRPr="004C4D4A">
              <w:t>1141 Urban railway transport services</w:t>
            </w:r>
          </w:p>
          <w:p w14:paraId="6D5AC721" w14:textId="77777777" w:rsidR="008A64D8" w:rsidRPr="004C4D4A" w:rsidRDefault="008A64D8" w:rsidP="004D65FE">
            <w:pPr>
              <w:pStyle w:val="CGCTablerow"/>
            </w:pPr>
            <w:r w:rsidRPr="004C4D4A">
              <w:t>1161 Multi-mode urban transport</w:t>
            </w:r>
          </w:p>
          <w:p w14:paraId="4E964103" w14:textId="77777777" w:rsidR="008A64D8" w:rsidRPr="004C4D4A" w:rsidRDefault="008A64D8" w:rsidP="004D65FE">
            <w:pPr>
              <w:pStyle w:val="CGCTablerow"/>
            </w:pPr>
            <w:r w:rsidRPr="004C4D4A">
              <w:t xml:space="preserve">1171 Pipeline and other transport </w:t>
            </w:r>
          </w:p>
          <w:p w14:paraId="7548EC06" w14:textId="77777777" w:rsidR="008A64D8" w:rsidRPr="004C4D4A" w:rsidRDefault="008A64D8" w:rsidP="004D65FE">
            <w:pPr>
              <w:pStyle w:val="CGCTablerow"/>
            </w:pPr>
            <w:r w:rsidRPr="004C4D4A">
              <w:t>1181 R&amp;D - transport</w:t>
            </w:r>
          </w:p>
          <w:p w14:paraId="09939D84" w14:textId="77777777" w:rsidR="008A64D8" w:rsidRPr="00830FE7" w:rsidRDefault="008A64D8" w:rsidP="004D65FE">
            <w:pPr>
              <w:pStyle w:val="CGCTablerow"/>
            </w:pPr>
            <w:r w:rsidRPr="004C4D4A">
              <w:t>1199 Transport n.e.c.</w:t>
            </w:r>
          </w:p>
        </w:tc>
        <w:tc>
          <w:tcPr>
            <w:tcW w:w="859" w:type="pct"/>
          </w:tcPr>
          <w:p w14:paraId="7F0E83D3" w14:textId="77777777" w:rsidR="008A64D8" w:rsidRDefault="008A64D8" w:rsidP="004D65FE">
            <w:pPr>
              <w:pStyle w:val="CGCTablerow"/>
            </w:pPr>
            <w:r w:rsidRPr="001D7733">
              <w:t>&lt;&gt;"23" &amp; own JUR</w:t>
            </w:r>
            <w:r>
              <w:t xml:space="preserve"> </w:t>
            </w:r>
          </w:p>
          <w:p w14:paraId="6AE442AA" w14:textId="77777777" w:rsidR="008A64D8" w:rsidRDefault="008A64D8" w:rsidP="004D65FE">
            <w:pPr>
              <w:pStyle w:val="CGCTablerow"/>
            </w:pPr>
            <w:r>
              <w:t xml:space="preserve">and </w:t>
            </w:r>
          </w:p>
          <w:p w14:paraId="51DE6E44" w14:textId="77777777" w:rsidR="008A64D8" w:rsidRPr="001D7733" w:rsidRDefault="008A64D8" w:rsidP="004D65FE">
            <w:pPr>
              <w:pStyle w:val="CGCTablerow"/>
            </w:pPr>
            <w:r w:rsidRPr="001D7733">
              <w:t>&lt;&gt;"2</w:t>
            </w:r>
            <w:r>
              <w:t>1</w:t>
            </w:r>
            <w:r w:rsidRPr="001D7733">
              <w:t>" &amp; own JUR</w:t>
            </w:r>
          </w:p>
        </w:tc>
      </w:tr>
    </w:tbl>
    <w:p w14:paraId="6EBFA733" w14:textId="77777777" w:rsidR="008A64D8" w:rsidRDefault="008A64D8" w:rsidP="008A64D8">
      <w:pPr>
        <w:pStyle w:val="Caption"/>
      </w:pPr>
    </w:p>
    <w:p w14:paraId="497E49E3" w14:textId="77777777" w:rsidR="008A64D8" w:rsidRDefault="008A64D8" w:rsidP="008A64D8">
      <w:pPr>
        <w:tabs>
          <w:tab w:val="clear" w:pos="567"/>
        </w:tabs>
        <w:spacing w:before="0" w:after="200" w:line="276" w:lineRule="auto"/>
        <w:rPr>
          <w:rFonts w:ascii="Montserrat Ultra Light" w:hAnsi="Montserrat Ultra Light"/>
          <w:b/>
          <w:szCs w:val="20"/>
        </w:rPr>
      </w:pPr>
      <w:r>
        <w:br w:type="page"/>
      </w:r>
    </w:p>
    <w:p w14:paraId="0CE554C5" w14:textId="6E3148B4" w:rsidR="008A64D8" w:rsidRDefault="008A64D8" w:rsidP="008A64D8">
      <w:pPr>
        <w:pStyle w:val="Caption"/>
      </w:pPr>
      <w:r>
        <w:lastRenderedPageBreak/>
        <w:t>Table 32A-2</w:t>
      </w:r>
      <w:r>
        <w:tab/>
        <w:t xml:space="preserve">Housing and </w:t>
      </w:r>
      <w:r w:rsidR="00336990">
        <w:t>u</w:t>
      </w:r>
      <w:r>
        <w:t>rban transport and their relevant GFS codes – consolidated GG and PNFC sectors (INST=100, 300) (continued)</w:t>
      </w:r>
    </w:p>
    <w:tbl>
      <w:tblPr>
        <w:tblW w:w="8959" w:type="dxa"/>
        <w:tblBorders>
          <w:top w:val="single" w:sz="4" w:space="0" w:color="ADD6EA"/>
          <w:bottom w:val="single" w:sz="4" w:space="0" w:color="ADD6EA"/>
          <w:insideH w:val="single" w:sz="4" w:space="0" w:color="ADD6EA"/>
        </w:tblBorders>
        <w:tblCellMar>
          <w:left w:w="28" w:type="dxa"/>
          <w:right w:w="28" w:type="dxa"/>
        </w:tblCellMar>
        <w:tblLook w:val="0000" w:firstRow="0" w:lastRow="0" w:firstColumn="0" w:lastColumn="0" w:noHBand="0" w:noVBand="0"/>
      </w:tblPr>
      <w:tblGrid>
        <w:gridCol w:w="1176"/>
        <w:gridCol w:w="2714"/>
        <w:gridCol w:w="3530"/>
        <w:gridCol w:w="1539"/>
      </w:tblGrid>
      <w:tr w:rsidR="008A64D8" w:rsidRPr="007568EB" w14:paraId="322B785E" w14:textId="77777777" w:rsidTr="003F6BF4">
        <w:trPr>
          <w:trHeight w:val="376"/>
        </w:trPr>
        <w:tc>
          <w:tcPr>
            <w:tcW w:w="650" w:type="pct"/>
            <w:shd w:val="clear" w:color="auto" w:fill="006991"/>
            <w:vAlign w:val="center"/>
          </w:tcPr>
          <w:p w14:paraId="54F1D219" w14:textId="77777777" w:rsidR="008A64D8" w:rsidRPr="007568EB" w:rsidRDefault="008A64D8" w:rsidP="004D65FE">
            <w:pPr>
              <w:pStyle w:val="CGCTableheader"/>
              <w:spacing w:before="40" w:after="40"/>
              <w:rPr>
                <w:b/>
              </w:rPr>
            </w:pPr>
            <w:r w:rsidRPr="007568EB">
              <w:t>Category</w:t>
            </w:r>
          </w:p>
        </w:tc>
        <w:tc>
          <w:tcPr>
            <w:tcW w:w="1500" w:type="pct"/>
            <w:shd w:val="clear" w:color="auto" w:fill="006991"/>
            <w:vAlign w:val="center"/>
          </w:tcPr>
          <w:p w14:paraId="5C15DC53" w14:textId="77777777" w:rsidR="008A64D8" w:rsidRPr="007568EB" w:rsidRDefault="008A64D8" w:rsidP="004D65FE">
            <w:pPr>
              <w:pStyle w:val="CGCTableheader"/>
              <w:spacing w:before="40" w:after="40"/>
              <w:rPr>
                <w:b/>
              </w:rPr>
            </w:pPr>
            <w:r w:rsidRPr="007568EB">
              <w:t>ETF</w:t>
            </w:r>
          </w:p>
        </w:tc>
        <w:tc>
          <w:tcPr>
            <w:tcW w:w="1950" w:type="pct"/>
            <w:shd w:val="clear" w:color="auto" w:fill="006991"/>
            <w:vAlign w:val="center"/>
          </w:tcPr>
          <w:p w14:paraId="4DB254C9" w14:textId="77777777" w:rsidR="008A64D8" w:rsidRPr="007568EB" w:rsidRDefault="008A64D8" w:rsidP="004D65FE">
            <w:pPr>
              <w:pStyle w:val="CGCTableheader"/>
              <w:spacing w:before="40" w:after="40"/>
              <w:rPr>
                <w:b/>
              </w:rPr>
            </w:pPr>
            <w:r w:rsidRPr="007568EB">
              <w:t>COFOG-A</w:t>
            </w:r>
          </w:p>
        </w:tc>
        <w:tc>
          <w:tcPr>
            <w:tcW w:w="850" w:type="pct"/>
            <w:shd w:val="clear" w:color="auto" w:fill="006991"/>
            <w:vAlign w:val="center"/>
          </w:tcPr>
          <w:p w14:paraId="4D6B8DCB" w14:textId="77777777" w:rsidR="008A64D8" w:rsidRPr="007568EB" w:rsidRDefault="008A64D8" w:rsidP="004D65FE">
            <w:pPr>
              <w:pStyle w:val="CGCTableheader"/>
              <w:spacing w:before="40" w:after="40"/>
              <w:rPr>
                <w:b/>
              </w:rPr>
            </w:pPr>
            <w:r w:rsidRPr="007568EB">
              <w:t>SDC</w:t>
            </w:r>
          </w:p>
        </w:tc>
      </w:tr>
      <w:tr w:rsidR="008A64D8" w:rsidRPr="00AB22FC" w14:paraId="758559B8" w14:textId="77777777" w:rsidTr="003F6BF4">
        <w:tc>
          <w:tcPr>
            <w:tcW w:w="850" w:type="pct"/>
            <w:gridSpan w:val="4"/>
          </w:tcPr>
          <w:p w14:paraId="48B57CE6" w14:textId="77777777" w:rsidR="008A64D8" w:rsidRPr="004C4D4A" w:rsidRDefault="008A64D8" w:rsidP="004D65FE">
            <w:pPr>
              <w:pStyle w:val="CGCTablesubhead1"/>
            </w:pPr>
            <w:r w:rsidRPr="004C4D4A">
              <w:t xml:space="preserve">Other transactions in </w:t>
            </w:r>
            <w:r>
              <w:t>n</w:t>
            </w:r>
            <w:r w:rsidRPr="004C4D4A">
              <w:t xml:space="preserve">on-financial non produced assets (TALC </w:t>
            </w:r>
            <w:r>
              <w:t>3</w:t>
            </w:r>
            <w:r w:rsidRPr="004C4D4A">
              <w:t xml:space="preserve"> </w:t>
            </w:r>
            <w:r>
              <w:t>Non-</w:t>
            </w:r>
            <w:r w:rsidRPr="004C4D4A">
              <w:t>produced assets)</w:t>
            </w:r>
          </w:p>
        </w:tc>
      </w:tr>
      <w:tr w:rsidR="008A64D8" w:rsidRPr="00AB22FC" w14:paraId="5FAF5907" w14:textId="77777777" w:rsidTr="003F6BF4">
        <w:tc>
          <w:tcPr>
            <w:tcW w:w="650" w:type="pct"/>
          </w:tcPr>
          <w:p w14:paraId="17CFE3B4" w14:textId="77777777" w:rsidR="008A64D8" w:rsidRPr="00122391" w:rsidRDefault="008A64D8" w:rsidP="004D65FE">
            <w:pPr>
              <w:pStyle w:val="CGCTablerow"/>
            </w:pPr>
          </w:p>
        </w:tc>
        <w:tc>
          <w:tcPr>
            <w:tcW w:w="1500" w:type="pct"/>
          </w:tcPr>
          <w:p w14:paraId="1D5F2D9C" w14:textId="77777777" w:rsidR="008A64D8" w:rsidRPr="00E30CFA" w:rsidRDefault="008A64D8" w:rsidP="004D65FE">
            <w:pPr>
              <w:pStyle w:val="CGCTablerow"/>
              <w:ind w:left="397" w:hanging="397"/>
            </w:pPr>
            <w:r w:rsidRPr="00E30CFA">
              <w:t>4112 Acquisitions of non-financial assets under new finance leases</w:t>
            </w:r>
          </w:p>
          <w:p w14:paraId="67657C81" w14:textId="77777777" w:rsidR="008A64D8" w:rsidRPr="00E30CFA" w:rsidRDefault="008A64D8" w:rsidP="004D65FE">
            <w:pPr>
              <w:pStyle w:val="CGCTablerow"/>
              <w:ind w:left="397" w:hanging="397"/>
            </w:pPr>
            <w:r w:rsidRPr="00E30CFA">
              <w:t>4113 Own-account capital formation</w:t>
            </w:r>
          </w:p>
          <w:p w14:paraId="3B6661F7" w14:textId="5CC7B817" w:rsidR="008A64D8" w:rsidRPr="00E30CFA" w:rsidRDefault="008A64D8" w:rsidP="004D65FE">
            <w:pPr>
              <w:pStyle w:val="CGCTablerow"/>
              <w:ind w:left="397" w:hanging="397"/>
            </w:pPr>
            <w:r w:rsidRPr="00E30CFA">
              <w:t>4114 Acquisition of other new non</w:t>
            </w:r>
            <w:r w:rsidR="00470905">
              <w:noBreakHyphen/>
            </w:r>
            <w:r w:rsidRPr="00E30CFA">
              <w:t>financial assets</w:t>
            </w:r>
          </w:p>
          <w:p w14:paraId="61C9194B" w14:textId="77777777" w:rsidR="008A64D8" w:rsidRDefault="008A64D8" w:rsidP="004D65FE">
            <w:pPr>
              <w:pStyle w:val="CGCTablerow"/>
              <w:ind w:left="397" w:hanging="397"/>
            </w:pPr>
            <w:r w:rsidRPr="00E30CFA">
              <w:t>4115 Acquisition of second-hand non-financial assets</w:t>
            </w:r>
          </w:p>
          <w:p w14:paraId="7ADC46E8" w14:textId="77777777" w:rsidR="008A64D8" w:rsidRPr="00E30CFA" w:rsidRDefault="008A64D8" w:rsidP="004D65FE">
            <w:pPr>
              <w:pStyle w:val="CGCTablerow"/>
              <w:ind w:left="397" w:hanging="397"/>
            </w:pPr>
            <w:r w:rsidRPr="009E244D">
              <w:t>4116 Costs of ownership transfer on non-produced assets other than land</w:t>
            </w:r>
          </w:p>
          <w:p w14:paraId="6F992B5D" w14:textId="77777777" w:rsidR="008A64D8" w:rsidRPr="00AB22FC" w:rsidRDefault="008A64D8" w:rsidP="004D65FE">
            <w:pPr>
              <w:pStyle w:val="CGCTablerow"/>
              <w:ind w:left="397" w:hanging="397"/>
            </w:pPr>
            <w:r w:rsidRPr="00E30CFA">
              <w:t>4211 Disposals of non-financial assets (excluding depreciation)</w:t>
            </w:r>
          </w:p>
        </w:tc>
        <w:tc>
          <w:tcPr>
            <w:tcW w:w="1950" w:type="pct"/>
          </w:tcPr>
          <w:p w14:paraId="62217D01" w14:textId="77777777" w:rsidR="008A64D8" w:rsidRPr="00502D39" w:rsidRDefault="008A64D8" w:rsidP="004D65FE">
            <w:pPr>
              <w:pStyle w:val="CGCTablerow"/>
              <w:ind w:left="397" w:hanging="397"/>
            </w:pPr>
            <w:r w:rsidRPr="00502D39">
              <w:t>0611 Housing development</w:t>
            </w:r>
          </w:p>
          <w:p w14:paraId="39C570B2" w14:textId="77777777" w:rsidR="008A64D8" w:rsidRPr="00502D39" w:rsidRDefault="008A64D8" w:rsidP="004D65FE">
            <w:pPr>
              <w:pStyle w:val="CGCTablerow"/>
              <w:ind w:left="397" w:hanging="397"/>
            </w:pPr>
            <w:r w:rsidRPr="00502D39">
              <w:t>0698 Housing n.e.c.</w:t>
            </w:r>
          </w:p>
          <w:p w14:paraId="668134A1" w14:textId="77777777" w:rsidR="008A64D8" w:rsidRDefault="008A64D8" w:rsidP="004D65FE">
            <w:pPr>
              <w:pStyle w:val="CGCTablerow"/>
              <w:ind w:left="397" w:hanging="397"/>
            </w:pPr>
            <w:r w:rsidRPr="00502D39">
              <w:t>1051 Housing</w:t>
            </w:r>
          </w:p>
          <w:p w14:paraId="05CCE7C6" w14:textId="77777777" w:rsidR="008A64D8" w:rsidRPr="004C4D4A" w:rsidRDefault="008A64D8" w:rsidP="004D65FE">
            <w:pPr>
              <w:pStyle w:val="CGCTablerow"/>
              <w:ind w:left="397" w:hanging="397"/>
            </w:pPr>
            <w:r w:rsidRPr="004C4D4A">
              <w:t>0951 Transportation of non-urban school students</w:t>
            </w:r>
          </w:p>
          <w:p w14:paraId="20E43DE5" w14:textId="77777777" w:rsidR="008A64D8" w:rsidRPr="004C4D4A" w:rsidRDefault="008A64D8" w:rsidP="004D65FE">
            <w:pPr>
              <w:pStyle w:val="CGCTablerow"/>
              <w:ind w:left="397" w:hanging="397"/>
            </w:pPr>
            <w:r w:rsidRPr="004C4D4A">
              <w:t>0952 Transportation of other students</w:t>
            </w:r>
          </w:p>
          <w:p w14:paraId="6F273F0C" w14:textId="77777777" w:rsidR="008A64D8" w:rsidRPr="004C4D4A" w:rsidRDefault="008A64D8" w:rsidP="004D65FE">
            <w:pPr>
              <w:pStyle w:val="CGCTablerow"/>
              <w:ind w:left="397" w:hanging="397"/>
            </w:pPr>
            <w:r w:rsidRPr="004C4D4A">
              <w:t>1121 Urban bus transport</w:t>
            </w:r>
          </w:p>
          <w:p w14:paraId="4FAAACCA" w14:textId="77777777" w:rsidR="008A64D8" w:rsidRPr="004C4D4A" w:rsidRDefault="008A64D8" w:rsidP="004D65FE">
            <w:pPr>
              <w:pStyle w:val="CGCTablerow"/>
              <w:ind w:left="397" w:hanging="397"/>
            </w:pPr>
            <w:r w:rsidRPr="004C4D4A">
              <w:t>1131 Urban water transport passenger services</w:t>
            </w:r>
          </w:p>
          <w:p w14:paraId="61B39DEB" w14:textId="77777777" w:rsidR="008A64D8" w:rsidRPr="004C4D4A" w:rsidRDefault="008A64D8" w:rsidP="004D65FE">
            <w:pPr>
              <w:pStyle w:val="CGCTablerow"/>
              <w:ind w:left="397" w:hanging="397"/>
            </w:pPr>
            <w:r w:rsidRPr="004C4D4A">
              <w:t>1132 Urban water transport freight services</w:t>
            </w:r>
          </w:p>
          <w:p w14:paraId="42BE26B9" w14:textId="77777777" w:rsidR="008A64D8" w:rsidRPr="004C4D4A" w:rsidRDefault="008A64D8" w:rsidP="004D65FE">
            <w:pPr>
              <w:pStyle w:val="CGCTablerow"/>
              <w:ind w:left="397" w:hanging="397"/>
            </w:pPr>
            <w:r w:rsidRPr="004C4D4A">
              <w:t>1141 Urban railway transport services</w:t>
            </w:r>
          </w:p>
          <w:p w14:paraId="13E065B2" w14:textId="77777777" w:rsidR="008A64D8" w:rsidRPr="004C4D4A" w:rsidRDefault="008A64D8" w:rsidP="004D65FE">
            <w:pPr>
              <w:pStyle w:val="CGCTablerow"/>
              <w:ind w:left="397" w:hanging="397"/>
            </w:pPr>
            <w:r w:rsidRPr="004C4D4A">
              <w:t>1161 Multi-mode urban transport</w:t>
            </w:r>
          </w:p>
          <w:p w14:paraId="22AA1304" w14:textId="77777777" w:rsidR="008A64D8" w:rsidRPr="004C4D4A" w:rsidRDefault="008A64D8" w:rsidP="004D65FE">
            <w:pPr>
              <w:pStyle w:val="CGCTablerow"/>
              <w:ind w:left="397" w:hanging="397"/>
            </w:pPr>
            <w:r w:rsidRPr="004C4D4A">
              <w:t xml:space="preserve">1171 Pipeline and other transport </w:t>
            </w:r>
          </w:p>
          <w:p w14:paraId="71A84084" w14:textId="77777777" w:rsidR="008A64D8" w:rsidRPr="004C4D4A" w:rsidRDefault="008A64D8" w:rsidP="004D65FE">
            <w:pPr>
              <w:pStyle w:val="CGCTablerow"/>
              <w:ind w:left="397" w:hanging="397"/>
            </w:pPr>
            <w:r w:rsidRPr="004C4D4A">
              <w:t>1181 R&amp;D - transport</w:t>
            </w:r>
          </w:p>
          <w:p w14:paraId="5EBFED68" w14:textId="77777777" w:rsidR="008A64D8" w:rsidRPr="00830FE7" w:rsidRDefault="008A64D8" w:rsidP="004D65FE">
            <w:pPr>
              <w:pStyle w:val="CGCTablerow"/>
              <w:ind w:left="397" w:hanging="397"/>
            </w:pPr>
            <w:r w:rsidRPr="004C4D4A">
              <w:t>1199 Transport n.e.c.</w:t>
            </w:r>
          </w:p>
        </w:tc>
        <w:tc>
          <w:tcPr>
            <w:tcW w:w="850" w:type="pct"/>
          </w:tcPr>
          <w:p w14:paraId="04038687" w14:textId="77777777" w:rsidR="008A64D8" w:rsidRDefault="008A64D8" w:rsidP="004D65FE">
            <w:pPr>
              <w:pStyle w:val="CGCTablerow"/>
            </w:pPr>
            <w:r w:rsidRPr="001D7733">
              <w:t>&lt;&gt;"23" &amp; own JUR</w:t>
            </w:r>
            <w:r>
              <w:t xml:space="preserve"> </w:t>
            </w:r>
          </w:p>
          <w:p w14:paraId="164C910F" w14:textId="77777777" w:rsidR="008A64D8" w:rsidRDefault="008A64D8" w:rsidP="004D65FE">
            <w:pPr>
              <w:pStyle w:val="CGCTablerow"/>
            </w:pPr>
            <w:r>
              <w:t xml:space="preserve">and </w:t>
            </w:r>
          </w:p>
          <w:p w14:paraId="12659FC7" w14:textId="77777777" w:rsidR="008A64D8" w:rsidRPr="001D7733" w:rsidRDefault="008A64D8" w:rsidP="004D65FE">
            <w:pPr>
              <w:pStyle w:val="CGCTablerow"/>
            </w:pPr>
            <w:r w:rsidRPr="001D7733">
              <w:t>&lt;&gt;"2</w:t>
            </w:r>
            <w:r>
              <w:t>1</w:t>
            </w:r>
            <w:r w:rsidRPr="001D7733">
              <w:t>" &amp; own JUR</w:t>
            </w:r>
          </w:p>
        </w:tc>
      </w:tr>
    </w:tbl>
    <w:p w14:paraId="2AAEB3BE" w14:textId="77777777" w:rsidR="00E23D69" w:rsidRDefault="00E23D69" w:rsidP="00161EFB"/>
    <w:p w14:paraId="16FC3D0C" w14:textId="32F98D4E" w:rsidR="00383A27" w:rsidRDefault="00383A27" w:rsidP="00161EFB">
      <w:pPr>
        <w:sectPr w:rsidR="00383A27" w:rsidSect="00917501">
          <w:footerReference w:type="default" r:id="rId70"/>
          <w:footerReference w:type="first" r:id="rId71"/>
          <w:footnotePr>
            <w:numRestart w:val="eachSect"/>
          </w:footnotePr>
          <w:pgSz w:w="11899" w:h="16838" w:code="9"/>
          <w:pgMar w:top="1418" w:right="1474" w:bottom="1418" w:left="1474" w:header="709" w:footer="567" w:gutter="0"/>
          <w:cols w:space="708"/>
          <w:titlePg/>
          <w:docGrid w:linePitch="299"/>
        </w:sectPr>
      </w:pPr>
    </w:p>
    <w:p w14:paraId="594AE8AB" w14:textId="77777777" w:rsidR="007F7790" w:rsidRDefault="007F7790" w:rsidP="007F7790">
      <w:pPr>
        <w:pStyle w:val="Heading1"/>
      </w:pPr>
      <w:bookmarkStart w:id="681" w:name="_Toc32922498"/>
      <w:r>
        <w:lastRenderedPageBreak/>
        <w:t>33</w:t>
      </w:r>
      <w:r>
        <w:tab/>
        <w:t>Consultation</w:t>
      </w:r>
      <w:bookmarkEnd w:id="681"/>
    </w:p>
    <w:p w14:paraId="29CCD166" w14:textId="77777777" w:rsidR="007F7790" w:rsidRPr="004838D3" w:rsidRDefault="007F7790" w:rsidP="007F7790">
      <w:pPr>
        <w:pStyle w:val="Heading3"/>
      </w:pPr>
      <w:r>
        <w:t>Consultation process</w:t>
      </w:r>
    </w:p>
    <w:p w14:paraId="3189F166" w14:textId="3D4179F1" w:rsidR="007F7790" w:rsidRDefault="007F7790" w:rsidP="004D25C4">
      <w:pPr>
        <w:pStyle w:val="CGCParaNumber"/>
        <w:numPr>
          <w:ilvl w:val="0"/>
          <w:numId w:val="56"/>
        </w:numPr>
        <w:ind w:left="567" w:hanging="567"/>
      </w:pPr>
      <w:r>
        <w:t xml:space="preserve">The Commission commenced this inquiry in response to terms of reference received from the Australian Treasurer on 28 November 2016. The terms of reference asked the Commission to undertake a review of the methodology </w:t>
      </w:r>
      <w:r w:rsidRPr="00731BB8">
        <w:t xml:space="preserve">used to derive the </w:t>
      </w:r>
      <w:r>
        <w:t xml:space="preserve">per capita </w:t>
      </w:r>
      <w:r w:rsidRPr="00731BB8">
        <w:t>relativities for distributing the Goods and Services Tax (GST) revenue a</w:t>
      </w:r>
      <w:r>
        <w:t>mong the States and Territories (the States) from 2020-21 and to recommend the per capita relativities for distributing GST revenue in 2020-21.</w:t>
      </w:r>
    </w:p>
    <w:p w14:paraId="13FEAA80" w14:textId="77777777" w:rsidR="007F7790" w:rsidRDefault="007F7790" w:rsidP="00F47EC7">
      <w:pPr>
        <w:pStyle w:val="CGCParaNumber"/>
      </w:pPr>
      <w:r>
        <w:t>T</w:t>
      </w:r>
      <w:r w:rsidRPr="00731BB8">
        <w:t xml:space="preserve">he methodology review has benefited from substantial consultation with all States, including </w:t>
      </w:r>
      <w:r>
        <w:t xml:space="preserve">bilateral meetings with State Treasurers and Heads of Treasuries, </w:t>
      </w:r>
      <w:r w:rsidRPr="00731BB8">
        <w:t xml:space="preserve">a program of visits by Commissioners to each State, </w:t>
      </w:r>
      <w:r>
        <w:t xml:space="preserve">and </w:t>
      </w:r>
      <w:r w:rsidRPr="00731BB8">
        <w:t xml:space="preserve">detailed submissions from </w:t>
      </w:r>
      <w:r>
        <w:t>States in response to Commission discussion papers</w:t>
      </w:r>
      <w:r w:rsidRPr="00731BB8">
        <w:t>. The Commission understands that the conduct of its revi</w:t>
      </w:r>
      <w:r>
        <w:t xml:space="preserve">ews imposes a burden on States. </w:t>
      </w:r>
      <w:r w:rsidRPr="00731BB8">
        <w:t>It appreciates the efforts of States in hosting the Commission’s visits and in responding to the Commission’s discussion papers in accordance with the work program.</w:t>
      </w:r>
      <w:r>
        <w:t xml:space="preserve"> The work program for the review, including the main consultation dates, is available in Chapter 1, Volume 2, Part A. </w:t>
      </w:r>
      <w:r w:rsidRPr="00777752">
        <w:t>All Commission discussion papers and State submissions are available on the</w:t>
      </w:r>
      <w:r>
        <w:t xml:space="preserve"> </w:t>
      </w:r>
      <w:hyperlink r:id="rId72" w:history="1">
        <w:r w:rsidRPr="00350C6D">
          <w:rPr>
            <w:rStyle w:val="Hyperlink"/>
          </w:rPr>
          <w:t>Commission website</w:t>
        </w:r>
      </w:hyperlink>
      <w:r>
        <w:t xml:space="preserve"> </w:t>
      </w:r>
      <w:r w:rsidRPr="002233A6">
        <w:t>(</w:t>
      </w:r>
      <w:r w:rsidRPr="00A45CA6">
        <w:t>https://cgc.gov.au/</w:t>
      </w:r>
      <w:r>
        <w:t>).</w:t>
      </w:r>
    </w:p>
    <w:p w14:paraId="2BDFBF2D" w14:textId="77777777" w:rsidR="007F7790" w:rsidRDefault="007F7790" w:rsidP="00F47EC7">
      <w:pPr>
        <w:pStyle w:val="CGCParaNumber"/>
      </w:pPr>
      <w:r>
        <w:t>The main Commission consultations during the review were as follows.</w:t>
      </w:r>
    </w:p>
    <w:p w14:paraId="41B5F08C" w14:textId="77777777" w:rsidR="007F7790" w:rsidRDefault="007F7790" w:rsidP="007F7790">
      <w:pPr>
        <w:pStyle w:val="CGCBullet1"/>
      </w:pPr>
      <w:r>
        <w:t>December 2016 — following receipt of terms of reference, the Secretary of the Commission wrote to Heads of Treasury (HoTs) seeking input on the review work program. Following State input, the work program for the review was finalised in March 2017.</w:t>
      </w:r>
    </w:p>
    <w:p w14:paraId="7BDA0478" w14:textId="77777777" w:rsidR="007F7790" w:rsidRDefault="007F7790" w:rsidP="007F7790">
      <w:pPr>
        <w:pStyle w:val="CGCBullet1"/>
      </w:pPr>
      <w:r>
        <w:t>August-September 2017 — the Commission conducted bilateral meetings with State Treasurers and State treasury staff on high-level issues relevant to the review.</w:t>
      </w:r>
    </w:p>
    <w:p w14:paraId="75EA7916" w14:textId="77777777" w:rsidR="007F7790" w:rsidRDefault="007F7790" w:rsidP="007F7790">
      <w:pPr>
        <w:pStyle w:val="CGCBullet1"/>
      </w:pPr>
      <w:r>
        <w:t xml:space="preserve">September 2017 — the Commission released a position paper on the </w:t>
      </w:r>
      <w:r w:rsidRPr="00705930">
        <w:t xml:space="preserve">approach to </w:t>
      </w:r>
      <w:r>
        <w:t>the review, the objective of HFE</w:t>
      </w:r>
      <w:r w:rsidRPr="00705930">
        <w:t>, supporting principles and their implementation.</w:t>
      </w:r>
      <w:r>
        <w:t xml:space="preserve"> </w:t>
      </w:r>
    </w:p>
    <w:p w14:paraId="3F3426D2" w14:textId="77777777" w:rsidR="007F7790" w:rsidRDefault="007F7790" w:rsidP="007F7790">
      <w:pPr>
        <w:pStyle w:val="CGCBullet1"/>
      </w:pPr>
      <w:r>
        <w:t>June-September 2018 — the Commission visited each State for discussions to gain a better understanding of the factors affecting State fiscal capacities.</w:t>
      </w:r>
    </w:p>
    <w:p w14:paraId="4EC21A6F" w14:textId="77777777" w:rsidR="007F7790" w:rsidRDefault="007F7790" w:rsidP="007F7790">
      <w:pPr>
        <w:pStyle w:val="CGCBullet1"/>
      </w:pPr>
      <w:r>
        <w:t>June 2019 — the Commission provided the draft report to the Australian Treasurer on 25 June. The States received the report on 6 August.</w:t>
      </w:r>
    </w:p>
    <w:p w14:paraId="077CED7E" w14:textId="77777777" w:rsidR="007F7790" w:rsidRDefault="007F7790" w:rsidP="007F7790">
      <w:pPr>
        <w:pStyle w:val="CGCBullet1"/>
      </w:pPr>
      <w:r>
        <w:t xml:space="preserve">November 2019 — the Commission released a position paper on significant changes to the draft report, as required by the terms of reference. </w:t>
      </w:r>
    </w:p>
    <w:p w14:paraId="5EAFB418" w14:textId="77777777" w:rsidR="007F7790" w:rsidRDefault="007F7790" w:rsidP="007F7790">
      <w:pPr>
        <w:pStyle w:val="CGCBullet1"/>
      </w:pPr>
      <w:r>
        <w:t xml:space="preserve">February 2020 — the Commission provided the final report to the Commonwealth and States. </w:t>
      </w:r>
    </w:p>
    <w:p w14:paraId="159CD4D6" w14:textId="6831FE72" w:rsidR="007F7790" w:rsidRDefault="007F7790" w:rsidP="00F47EC7">
      <w:pPr>
        <w:pStyle w:val="CGCParaNumber"/>
      </w:pPr>
      <w:r>
        <w:t xml:space="preserve">Over the course of the review, Commission staff also engaged in various formal and informal consultation processes with States. The work program lists the main processes. During the review, the Commission and its staff circulated several papers and reports to facilitate consultation. </w:t>
      </w:r>
      <w:r>
        <w:fldChar w:fldCharType="begin"/>
      </w:r>
      <w:r>
        <w:instrText xml:space="preserve"> REF _Ref31355079 \h </w:instrText>
      </w:r>
      <w:r>
        <w:fldChar w:fldCharType="separate"/>
      </w:r>
      <w:r w:rsidR="007F721A">
        <w:t>Table 33-</w:t>
      </w:r>
      <w:r w:rsidR="007F721A">
        <w:rPr>
          <w:noProof/>
        </w:rPr>
        <w:t>1</w:t>
      </w:r>
      <w:r>
        <w:fldChar w:fldCharType="end"/>
      </w:r>
      <w:r>
        <w:t xml:space="preserve"> lists these papers. </w:t>
      </w:r>
    </w:p>
    <w:p w14:paraId="3C9DE099" w14:textId="5DDD415D" w:rsidR="007F7790" w:rsidRDefault="007F7790" w:rsidP="007F7790">
      <w:pPr>
        <w:pStyle w:val="CGCTableHeading"/>
      </w:pPr>
      <w:bookmarkStart w:id="682" w:name="_Ref31355079"/>
      <w:r>
        <w:lastRenderedPageBreak/>
        <w:t>Table 33-</w:t>
      </w:r>
      <w:r w:rsidR="00B91EF5">
        <w:fldChar w:fldCharType="begin"/>
      </w:r>
      <w:r w:rsidR="00B91EF5">
        <w:instrText xml:space="preserve"> SEQ Table </w:instrText>
      </w:r>
      <w:r w:rsidR="00627D76">
        <w:instrText xml:space="preserve">\r1 </w:instrText>
      </w:r>
      <w:r w:rsidR="00B91EF5">
        <w:instrText xml:space="preserve">\* ARABIC </w:instrText>
      </w:r>
      <w:r w:rsidR="00B91EF5">
        <w:fldChar w:fldCharType="separate"/>
      </w:r>
      <w:r w:rsidR="007F721A">
        <w:rPr>
          <w:noProof/>
        </w:rPr>
        <w:t>1</w:t>
      </w:r>
      <w:r w:rsidR="00B91EF5">
        <w:fldChar w:fldCharType="end"/>
      </w:r>
      <w:bookmarkEnd w:id="682"/>
      <w:r>
        <w:tab/>
        <w:t>Position papers, discussion papers and research papers, 2020 Review</w:t>
      </w:r>
    </w:p>
    <w:tbl>
      <w:tblPr>
        <w:tblW w:w="5000" w:type="pct"/>
        <w:tblBorders>
          <w:top w:val="single" w:sz="4" w:space="0" w:color="ADD6EA"/>
          <w:bottom w:val="single" w:sz="4" w:space="0" w:color="ADD6EA"/>
        </w:tblBorders>
        <w:tblCellMar>
          <w:left w:w="28" w:type="dxa"/>
          <w:right w:w="28" w:type="dxa"/>
        </w:tblCellMar>
        <w:tblLook w:val="0000" w:firstRow="0" w:lastRow="0" w:firstColumn="0" w:lastColumn="0" w:noHBand="0" w:noVBand="0"/>
      </w:tblPr>
      <w:tblGrid>
        <w:gridCol w:w="7362"/>
        <w:gridCol w:w="1645"/>
      </w:tblGrid>
      <w:tr w:rsidR="007F7790" w:rsidRPr="004537EA" w14:paraId="489FA8F5" w14:textId="77777777" w:rsidTr="00790535">
        <w:trPr>
          <w:trHeight w:val="361"/>
        </w:trPr>
        <w:tc>
          <w:tcPr>
            <w:tcW w:w="4087" w:type="pct"/>
            <w:tcBorders>
              <w:top w:val="nil"/>
              <w:bottom w:val="single" w:sz="4" w:space="0" w:color="ADD6EA"/>
            </w:tcBorders>
            <w:shd w:val="clear" w:color="auto" w:fill="006991"/>
            <w:vAlign w:val="center"/>
          </w:tcPr>
          <w:p w14:paraId="0FBE12AB" w14:textId="77777777" w:rsidR="007F7790" w:rsidRPr="00193909" w:rsidRDefault="007F7790" w:rsidP="004D65FE">
            <w:pPr>
              <w:pStyle w:val="CGCTableheader"/>
            </w:pPr>
            <w:r>
              <w:t>Paper</w:t>
            </w:r>
          </w:p>
        </w:tc>
        <w:tc>
          <w:tcPr>
            <w:tcW w:w="913" w:type="pct"/>
            <w:tcBorders>
              <w:top w:val="nil"/>
              <w:bottom w:val="single" w:sz="4" w:space="0" w:color="ADD6EA"/>
            </w:tcBorders>
            <w:shd w:val="clear" w:color="auto" w:fill="006991"/>
            <w:vAlign w:val="center"/>
          </w:tcPr>
          <w:p w14:paraId="09DEEFBC" w14:textId="77777777" w:rsidR="007F7790" w:rsidRPr="00193909" w:rsidRDefault="007F7790" w:rsidP="004D65FE">
            <w:pPr>
              <w:pStyle w:val="CGCTableheader"/>
              <w:jc w:val="right"/>
            </w:pPr>
            <w:r>
              <w:t>Date issued</w:t>
            </w:r>
          </w:p>
        </w:tc>
      </w:tr>
      <w:tr w:rsidR="007F7790" w:rsidRPr="008C03DA" w14:paraId="761B5EE7" w14:textId="77777777" w:rsidTr="00790535">
        <w:trPr>
          <w:trHeight w:val="317"/>
        </w:trPr>
        <w:tc>
          <w:tcPr>
            <w:tcW w:w="4087" w:type="pct"/>
            <w:tcBorders>
              <w:top w:val="single" w:sz="4" w:space="0" w:color="ADD6EA"/>
              <w:bottom w:val="single" w:sz="4" w:space="0" w:color="ADD6EA"/>
            </w:tcBorders>
            <w:shd w:val="clear" w:color="auto" w:fill="B6D5E4"/>
            <w:tcMar>
              <w:top w:w="0" w:type="dxa"/>
              <w:bottom w:w="0" w:type="dxa"/>
            </w:tcMar>
            <w:vAlign w:val="bottom"/>
          </w:tcPr>
          <w:p w14:paraId="3021988B" w14:textId="77777777" w:rsidR="007F7790" w:rsidRPr="008C03DA" w:rsidRDefault="007F7790" w:rsidP="004D65FE">
            <w:pPr>
              <w:pStyle w:val="CGCTablerow"/>
              <w:rPr>
                <w:rFonts w:ascii="Open Sans SemiBold" w:hAnsi="Open Sans SemiBold" w:cs="Open Sans SemiBold"/>
                <w:bCs/>
              </w:rPr>
            </w:pPr>
            <w:r w:rsidRPr="008C03DA">
              <w:rPr>
                <w:rFonts w:ascii="Open Sans SemiBold" w:hAnsi="Open Sans SemiBold" w:cs="Open Sans SemiBold"/>
                <w:bCs/>
              </w:rPr>
              <w:t>Commission position papers and reports</w:t>
            </w:r>
          </w:p>
        </w:tc>
        <w:tc>
          <w:tcPr>
            <w:tcW w:w="913" w:type="pct"/>
            <w:tcBorders>
              <w:top w:val="single" w:sz="4" w:space="0" w:color="ADD6EA"/>
              <w:bottom w:val="single" w:sz="4" w:space="0" w:color="ADD6EA"/>
            </w:tcBorders>
            <w:shd w:val="clear" w:color="auto" w:fill="B6D5E4"/>
            <w:tcMar>
              <w:top w:w="0" w:type="dxa"/>
              <w:bottom w:w="0" w:type="dxa"/>
            </w:tcMar>
            <w:vAlign w:val="bottom"/>
          </w:tcPr>
          <w:p w14:paraId="13E5E8A9" w14:textId="77777777" w:rsidR="007F7790" w:rsidRPr="008C03DA" w:rsidRDefault="007F7790" w:rsidP="004D65FE">
            <w:pPr>
              <w:pStyle w:val="CGCTablerow"/>
              <w:jc w:val="right"/>
              <w:rPr>
                <w:rFonts w:ascii="Open Sans SemiBold" w:hAnsi="Open Sans SemiBold" w:cs="Open Sans SemiBold"/>
                <w:bCs/>
              </w:rPr>
            </w:pPr>
          </w:p>
        </w:tc>
      </w:tr>
      <w:tr w:rsidR="007F7790" w:rsidRPr="0020279D" w14:paraId="31EC0959" w14:textId="77777777" w:rsidTr="00790535">
        <w:trPr>
          <w:trHeight w:val="317"/>
        </w:trPr>
        <w:tc>
          <w:tcPr>
            <w:tcW w:w="4087" w:type="pct"/>
            <w:tcBorders>
              <w:top w:val="single" w:sz="4" w:space="0" w:color="ADD6EA"/>
              <w:bottom w:val="single" w:sz="4" w:space="0" w:color="ADD6EA"/>
            </w:tcBorders>
            <w:vAlign w:val="bottom"/>
          </w:tcPr>
          <w:p w14:paraId="1314B703" w14:textId="77777777" w:rsidR="007F7790" w:rsidRPr="001C2910" w:rsidRDefault="007F7790" w:rsidP="004D65FE">
            <w:pPr>
              <w:pStyle w:val="CGCTablerow"/>
            </w:pPr>
            <w:r w:rsidRPr="001C2910">
              <w:t>CGC 2017-21 The principle of HFE and its implementation</w:t>
            </w:r>
          </w:p>
        </w:tc>
        <w:tc>
          <w:tcPr>
            <w:tcW w:w="913" w:type="pct"/>
            <w:tcBorders>
              <w:top w:val="single" w:sz="4" w:space="0" w:color="ADD6EA"/>
              <w:bottom w:val="single" w:sz="4" w:space="0" w:color="ADD6EA"/>
            </w:tcBorders>
            <w:vAlign w:val="bottom"/>
          </w:tcPr>
          <w:p w14:paraId="1CBDA191" w14:textId="77777777" w:rsidR="007F7790" w:rsidRPr="0020279D" w:rsidRDefault="007F7790" w:rsidP="004D65FE">
            <w:pPr>
              <w:pStyle w:val="CGCTablerow"/>
              <w:jc w:val="right"/>
            </w:pPr>
            <w:r>
              <w:t>27 September 2017</w:t>
            </w:r>
          </w:p>
        </w:tc>
      </w:tr>
      <w:tr w:rsidR="007F7790" w:rsidRPr="0020279D" w14:paraId="75C68D13" w14:textId="77777777" w:rsidTr="00790535">
        <w:trPr>
          <w:trHeight w:val="317"/>
        </w:trPr>
        <w:tc>
          <w:tcPr>
            <w:tcW w:w="4087" w:type="pct"/>
            <w:tcBorders>
              <w:top w:val="single" w:sz="4" w:space="0" w:color="ADD6EA"/>
              <w:bottom w:val="single" w:sz="4" w:space="0" w:color="ADD6EA"/>
            </w:tcBorders>
            <w:vAlign w:val="bottom"/>
          </w:tcPr>
          <w:p w14:paraId="472F74B9" w14:textId="77777777" w:rsidR="007F7790" w:rsidRDefault="007F7790" w:rsidP="004D65FE">
            <w:pPr>
              <w:pStyle w:val="CGCTablerow"/>
            </w:pPr>
            <w:r w:rsidRPr="001C2910">
              <w:t xml:space="preserve">Draft report </w:t>
            </w:r>
            <w:r>
              <w:t>(a)</w:t>
            </w:r>
          </w:p>
        </w:tc>
        <w:tc>
          <w:tcPr>
            <w:tcW w:w="913" w:type="pct"/>
            <w:tcBorders>
              <w:top w:val="single" w:sz="4" w:space="0" w:color="ADD6EA"/>
              <w:bottom w:val="single" w:sz="4" w:space="0" w:color="ADD6EA"/>
            </w:tcBorders>
            <w:vAlign w:val="bottom"/>
          </w:tcPr>
          <w:p w14:paraId="029DAB70" w14:textId="77777777" w:rsidR="007F7790" w:rsidRPr="0020279D" w:rsidRDefault="007F7790" w:rsidP="004D65FE">
            <w:pPr>
              <w:pStyle w:val="CGCTablerow"/>
              <w:jc w:val="right"/>
            </w:pPr>
            <w:r>
              <w:t>25 June 2019</w:t>
            </w:r>
          </w:p>
        </w:tc>
      </w:tr>
      <w:tr w:rsidR="007F7790" w:rsidRPr="0020279D" w14:paraId="3F4F8578" w14:textId="77777777" w:rsidTr="00790535">
        <w:trPr>
          <w:trHeight w:val="317"/>
        </w:trPr>
        <w:tc>
          <w:tcPr>
            <w:tcW w:w="4087" w:type="pct"/>
            <w:tcBorders>
              <w:top w:val="single" w:sz="4" w:space="0" w:color="ADD6EA"/>
              <w:bottom w:val="single" w:sz="4" w:space="0" w:color="ADD6EA"/>
            </w:tcBorders>
            <w:vAlign w:val="bottom"/>
          </w:tcPr>
          <w:p w14:paraId="5D1F043E" w14:textId="77777777" w:rsidR="007F7790" w:rsidRDefault="007F7790" w:rsidP="004D65FE">
            <w:pPr>
              <w:pStyle w:val="CGCTablerow"/>
            </w:pPr>
            <w:r>
              <w:t xml:space="preserve">CGC 2019-02 </w:t>
            </w:r>
            <w:r w:rsidRPr="0057307B">
              <w:t>Significant changes since the draft report</w:t>
            </w:r>
          </w:p>
        </w:tc>
        <w:tc>
          <w:tcPr>
            <w:tcW w:w="913" w:type="pct"/>
            <w:tcBorders>
              <w:top w:val="single" w:sz="4" w:space="0" w:color="ADD6EA"/>
              <w:bottom w:val="single" w:sz="4" w:space="0" w:color="ADD6EA"/>
            </w:tcBorders>
            <w:vAlign w:val="bottom"/>
          </w:tcPr>
          <w:p w14:paraId="09F2B67D" w14:textId="77777777" w:rsidR="007F7790" w:rsidRDefault="007F7790" w:rsidP="004D65FE">
            <w:pPr>
              <w:pStyle w:val="CGCTablerow"/>
              <w:jc w:val="right"/>
            </w:pPr>
            <w:r>
              <w:t>29 November 2019</w:t>
            </w:r>
          </w:p>
        </w:tc>
      </w:tr>
      <w:tr w:rsidR="007F7790" w:rsidRPr="0020279D" w14:paraId="35624FF6" w14:textId="77777777" w:rsidTr="00790535">
        <w:trPr>
          <w:trHeight w:val="317"/>
        </w:trPr>
        <w:tc>
          <w:tcPr>
            <w:tcW w:w="4087" w:type="pct"/>
            <w:tcBorders>
              <w:top w:val="single" w:sz="4" w:space="0" w:color="ADD6EA"/>
              <w:bottom w:val="single" w:sz="4" w:space="0" w:color="ADD6EA"/>
            </w:tcBorders>
            <w:vAlign w:val="bottom"/>
          </w:tcPr>
          <w:p w14:paraId="68C01EF0" w14:textId="77777777" w:rsidR="007F7790" w:rsidRPr="0020279D" w:rsidRDefault="007F7790" w:rsidP="004D65FE">
            <w:pPr>
              <w:pStyle w:val="CGCTablerow"/>
            </w:pPr>
            <w:r>
              <w:t>Final report</w:t>
            </w:r>
          </w:p>
        </w:tc>
        <w:tc>
          <w:tcPr>
            <w:tcW w:w="913" w:type="pct"/>
            <w:tcBorders>
              <w:top w:val="single" w:sz="4" w:space="0" w:color="ADD6EA"/>
              <w:bottom w:val="single" w:sz="4" w:space="0" w:color="ADD6EA"/>
            </w:tcBorders>
            <w:vAlign w:val="bottom"/>
          </w:tcPr>
          <w:p w14:paraId="2D6FCEEE" w14:textId="77777777" w:rsidR="007F7790" w:rsidRPr="0020279D" w:rsidRDefault="007F7790" w:rsidP="004D65FE">
            <w:pPr>
              <w:pStyle w:val="CGCTablerow"/>
              <w:jc w:val="right"/>
            </w:pPr>
            <w:r>
              <w:t>28 February 2020</w:t>
            </w:r>
          </w:p>
        </w:tc>
      </w:tr>
      <w:tr w:rsidR="007F7790" w:rsidRPr="00BD0A81" w14:paraId="79F8EB1E" w14:textId="77777777" w:rsidTr="00790535">
        <w:trPr>
          <w:trHeight w:val="317"/>
        </w:trPr>
        <w:tc>
          <w:tcPr>
            <w:tcW w:w="4087" w:type="pct"/>
            <w:tcBorders>
              <w:top w:val="single" w:sz="4" w:space="0" w:color="ADD6EA"/>
              <w:bottom w:val="single" w:sz="4" w:space="0" w:color="ADD6EA"/>
            </w:tcBorders>
            <w:shd w:val="clear" w:color="auto" w:fill="B6D5E4"/>
            <w:vAlign w:val="bottom"/>
          </w:tcPr>
          <w:p w14:paraId="17A25F7F" w14:textId="77777777" w:rsidR="007F7790" w:rsidRPr="00BD0A81" w:rsidRDefault="007F7790" w:rsidP="004D65FE">
            <w:pPr>
              <w:pStyle w:val="CGCTablerow"/>
              <w:rPr>
                <w:rFonts w:ascii="Open Sans SemiBold" w:hAnsi="Open Sans SemiBold" w:cs="Open Sans SemiBold"/>
                <w:bCs/>
              </w:rPr>
            </w:pPr>
            <w:r w:rsidRPr="00BD0A81">
              <w:rPr>
                <w:rFonts w:ascii="Open Sans SemiBold" w:hAnsi="Open Sans SemiBold" w:cs="Open Sans SemiBold"/>
                <w:bCs/>
              </w:rPr>
              <w:t>Staff discussion and research papers</w:t>
            </w:r>
          </w:p>
        </w:tc>
        <w:tc>
          <w:tcPr>
            <w:tcW w:w="913" w:type="pct"/>
            <w:tcBorders>
              <w:top w:val="single" w:sz="4" w:space="0" w:color="ADD6EA"/>
              <w:bottom w:val="single" w:sz="4" w:space="0" w:color="ADD6EA"/>
            </w:tcBorders>
            <w:shd w:val="clear" w:color="auto" w:fill="B6D5E4"/>
            <w:vAlign w:val="bottom"/>
          </w:tcPr>
          <w:p w14:paraId="4B36376B" w14:textId="77777777" w:rsidR="007F7790" w:rsidRPr="00BD0A81" w:rsidRDefault="007F7790" w:rsidP="004D65FE">
            <w:pPr>
              <w:pStyle w:val="CGCTablerow"/>
              <w:jc w:val="right"/>
              <w:rPr>
                <w:rFonts w:ascii="Open Sans SemiBold" w:hAnsi="Open Sans SemiBold" w:cs="Open Sans SemiBold"/>
                <w:bCs/>
              </w:rPr>
            </w:pPr>
          </w:p>
        </w:tc>
      </w:tr>
      <w:tr w:rsidR="007F7790" w:rsidRPr="0020279D" w14:paraId="38A0B452" w14:textId="77777777" w:rsidTr="00790535">
        <w:trPr>
          <w:trHeight w:val="317"/>
        </w:trPr>
        <w:tc>
          <w:tcPr>
            <w:tcW w:w="4087" w:type="pct"/>
            <w:tcBorders>
              <w:top w:val="single" w:sz="4" w:space="0" w:color="ADD6EA"/>
              <w:bottom w:val="single" w:sz="4" w:space="0" w:color="ADD6EA"/>
            </w:tcBorders>
            <w:vAlign w:val="bottom"/>
          </w:tcPr>
          <w:p w14:paraId="5D60E9A3" w14:textId="77777777" w:rsidR="007F7790" w:rsidRDefault="007F7790" w:rsidP="004D65FE">
            <w:pPr>
              <w:pStyle w:val="CGCTablerow"/>
            </w:pPr>
            <w:r>
              <w:t>CGC 2017-02-S The principle of HFE and its implementation</w:t>
            </w:r>
          </w:p>
        </w:tc>
        <w:tc>
          <w:tcPr>
            <w:tcW w:w="913" w:type="pct"/>
            <w:tcBorders>
              <w:top w:val="single" w:sz="4" w:space="0" w:color="ADD6EA"/>
              <w:bottom w:val="single" w:sz="4" w:space="0" w:color="ADD6EA"/>
            </w:tcBorders>
            <w:vAlign w:val="bottom"/>
          </w:tcPr>
          <w:p w14:paraId="69F00946" w14:textId="77777777" w:rsidR="007F7790" w:rsidRDefault="007F7790" w:rsidP="004D65FE">
            <w:pPr>
              <w:pStyle w:val="CGCTablerow"/>
              <w:jc w:val="right"/>
            </w:pPr>
            <w:r>
              <w:t>12 May 2017</w:t>
            </w:r>
          </w:p>
        </w:tc>
      </w:tr>
      <w:tr w:rsidR="007F7790" w:rsidRPr="0020279D" w14:paraId="16F5C20A" w14:textId="77777777" w:rsidTr="00790535">
        <w:trPr>
          <w:trHeight w:val="317"/>
        </w:trPr>
        <w:tc>
          <w:tcPr>
            <w:tcW w:w="4087" w:type="pct"/>
            <w:tcBorders>
              <w:top w:val="single" w:sz="4" w:space="0" w:color="ADD6EA"/>
              <w:bottom w:val="single" w:sz="4" w:space="0" w:color="ADD6EA"/>
            </w:tcBorders>
            <w:vAlign w:val="bottom"/>
          </w:tcPr>
          <w:p w14:paraId="08328B3A" w14:textId="77777777" w:rsidR="007F7790" w:rsidRDefault="007F7790" w:rsidP="004D65FE">
            <w:pPr>
              <w:pStyle w:val="CGCTablerow"/>
            </w:pPr>
            <w:r>
              <w:t>CGC 2017-03-S Achieving HFE — Other approaches to distributing the GST</w:t>
            </w:r>
          </w:p>
        </w:tc>
        <w:tc>
          <w:tcPr>
            <w:tcW w:w="913" w:type="pct"/>
            <w:tcBorders>
              <w:top w:val="single" w:sz="4" w:space="0" w:color="ADD6EA"/>
              <w:bottom w:val="single" w:sz="4" w:space="0" w:color="ADD6EA"/>
            </w:tcBorders>
            <w:vAlign w:val="bottom"/>
          </w:tcPr>
          <w:p w14:paraId="1613F6F5" w14:textId="77777777" w:rsidR="007F7790" w:rsidRDefault="007F7790" w:rsidP="004D65FE">
            <w:pPr>
              <w:pStyle w:val="CGCTablerow"/>
              <w:jc w:val="right"/>
            </w:pPr>
            <w:r>
              <w:t>12 May 2017</w:t>
            </w:r>
          </w:p>
        </w:tc>
      </w:tr>
      <w:tr w:rsidR="007F7790" w:rsidRPr="0020279D" w14:paraId="33584CA4" w14:textId="77777777" w:rsidTr="00790535">
        <w:trPr>
          <w:trHeight w:val="317"/>
        </w:trPr>
        <w:tc>
          <w:tcPr>
            <w:tcW w:w="4087" w:type="pct"/>
            <w:tcBorders>
              <w:top w:val="single" w:sz="4" w:space="0" w:color="ADD6EA"/>
              <w:bottom w:val="single" w:sz="4" w:space="0" w:color="ADD6EA"/>
            </w:tcBorders>
            <w:vAlign w:val="bottom"/>
          </w:tcPr>
          <w:p w14:paraId="6D21B37A" w14:textId="77777777" w:rsidR="007F7790" w:rsidRDefault="007F7790" w:rsidP="004D65FE">
            <w:pPr>
              <w:pStyle w:val="CGCTablerow"/>
            </w:pPr>
            <w:r>
              <w:t>CGC 2017-04-S State mining policies</w:t>
            </w:r>
          </w:p>
        </w:tc>
        <w:tc>
          <w:tcPr>
            <w:tcW w:w="913" w:type="pct"/>
            <w:tcBorders>
              <w:top w:val="single" w:sz="4" w:space="0" w:color="ADD6EA"/>
              <w:bottom w:val="single" w:sz="4" w:space="0" w:color="ADD6EA"/>
            </w:tcBorders>
            <w:vAlign w:val="bottom"/>
          </w:tcPr>
          <w:p w14:paraId="40EF31DA" w14:textId="77777777" w:rsidR="007F7790" w:rsidRDefault="007F7790" w:rsidP="004D65FE">
            <w:pPr>
              <w:pStyle w:val="CGCTablerow"/>
              <w:jc w:val="right"/>
            </w:pPr>
            <w:r>
              <w:t>12 May 2017</w:t>
            </w:r>
          </w:p>
        </w:tc>
      </w:tr>
      <w:tr w:rsidR="007F7790" w:rsidRPr="0020279D" w14:paraId="72F24F2D" w14:textId="77777777" w:rsidTr="00790535">
        <w:trPr>
          <w:trHeight w:val="317"/>
        </w:trPr>
        <w:tc>
          <w:tcPr>
            <w:tcW w:w="4087" w:type="pct"/>
            <w:tcBorders>
              <w:top w:val="single" w:sz="4" w:space="0" w:color="ADD6EA"/>
              <w:bottom w:val="single" w:sz="4" w:space="0" w:color="ADD6EA"/>
            </w:tcBorders>
            <w:vAlign w:val="bottom"/>
          </w:tcPr>
          <w:p w14:paraId="5D80FE40" w14:textId="77777777" w:rsidR="007F7790" w:rsidRDefault="007F7790" w:rsidP="004D65FE">
            <w:pPr>
              <w:pStyle w:val="CGCTablerow"/>
            </w:pPr>
            <w:r>
              <w:t>CGC 2017-05-S Options for improving contemporaneity</w:t>
            </w:r>
          </w:p>
        </w:tc>
        <w:tc>
          <w:tcPr>
            <w:tcW w:w="913" w:type="pct"/>
            <w:tcBorders>
              <w:top w:val="single" w:sz="4" w:space="0" w:color="ADD6EA"/>
              <w:bottom w:val="single" w:sz="4" w:space="0" w:color="ADD6EA"/>
            </w:tcBorders>
            <w:vAlign w:val="bottom"/>
          </w:tcPr>
          <w:p w14:paraId="38A6D2D0" w14:textId="77777777" w:rsidR="007F7790" w:rsidRDefault="007F7790" w:rsidP="004D65FE">
            <w:pPr>
              <w:pStyle w:val="CGCTablerow"/>
              <w:jc w:val="right"/>
            </w:pPr>
            <w:r>
              <w:t>12 May 2017</w:t>
            </w:r>
          </w:p>
        </w:tc>
      </w:tr>
      <w:tr w:rsidR="007F7790" w:rsidRPr="0020279D" w14:paraId="1EF42FE0" w14:textId="77777777" w:rsidTr="00790535">
        <w:trPr>
          <w:trHeight w:val="317"/>
        </w:trPr>
        <w:tc>
          <w:tcPr>
            <w:tcW w:w="4087" w:type="pct"/>
            <w:tcBorders>
              <w:top w:val="single" w:sz="4" w:space="0" w:color="ADD6EA"/>
              <w:bottom w:val="single" w:sz="4" w:space="0" w:color="ADD6EA"/>
            </w:tcBorders>
            <w:vAlign w:val="bottom"/>
          </w:tcPr>
          <w:p w14:paraId="54D4547A" w14:textId="77777777" w:rsidR="007F7790" w:rsidRDefault="007F7790" w:rsidP="004D65FE">
            <w:pPr>
              <w:pStyle w:val="CGCTablerow"/>
            </w:pPr>
            <w:r>
              <w:t>CGC 2017-06-S Proposed approach to estimating administrative scale costs for the 2020 Review</w:t>
            </w:r>
          </w:p>
        </w:tc>
        <w:tc>
          <w:tcPr>
            <w:tcW w:w="913" w:type="pct"/>
            <w:tcBorders>
              <w:top w:val="single" w:sz="4" w:space="0" w:color="ADD6EA"/>
              <w:bottom w:val="single" w:sz="4" w:space="0" w:color="ADD6EA"/>
            </w:tcBorders>
            <w:vAlign w:val="bottom"/>
          </w:tcPr>
          <w:p w14:paraId="70B9B225" w14:textId="77777777" w:rsidR="007F7790" w:rsidRDefault="007F7790" w:rsidP="004D65FE">
            <w:pPr>
              <w:pStyle w:val="CGCTablerow"/>
              <w:jc w:val="right"/>
            </w:pPr>
            <w:r>
              <w:t>1 May 2017</w:t>
            </w:r>
          </w:p>
        </w:tc>
      </w:tr>
      <w:tr w:rsidR="007F7790" w:rsidRPr="0020279D" w14:paraId="0C72E3FF" w14:textId="77777777" w:rsidTr="00790535">
        <w:trPr>
          <w:trHeight w:val="317"/>
        </w:trPr>
        <w:tc>
          <w:tcPr>
            <w:tcW w:w="4087" w:type="pct"/>
            <w:tcBorders>
              <w:top w:val="single" w:sz="4" w:space="0" w:color="ADD6EA"/>
              <w:bottom w:val="single" w:sz="4" w:space="0" w:color="ADD6EA"/>
            </w:tcBorders>
            <w:vAlign w:val="bottom"/>
          </w:tcPr>
          <w:p w14:paraId="18DD76B9" w14:textId="7A620B6C" w:rsidR="007F7790" w:rsidRDefault="007F7790" w:rsidP="004D65FE">
            <w:pPr>
              <w:pStyle w:val="CGCTablerow"/>
            </w:pPr>
            <w:r>
              <w:t xml:space="preserve">CGC 2018-01-S to 25-S Draft assessment papers </w:t>
            </w:r>
          </w:p>
        </w:tc>
        <w:tc>
          <w:tcPr>
            <w:tcW w:w="913" w:type="pct"/>
            <w:tcBorders>
              <w:top w:val="single" w:sz="4" w:space="0" w:color="ADD6EA"/>
              <w:bottom w:val="single" w:sz="4" w:space="0" w:color="ADD6EA"/>
            </w:tcBorders>
            <w:vAlign w:val="bottom"/>
          </w:tcPr>
          <w:p w14:paraId="03206297" w14:textId="77777777" w:rsidR="007F7790" w:rsidRDefault="007F7790" w:rsidP="004D65FE">
            <w:pPr>
              <w:pStyle w:val="CGCTablerow"/>
              <w:jc w:val="right"/>
            </w:pPr>
            <w:r>
              <w:t>20 April 2018</w:t>
            </w:r>
          </w:p>
        </w:tc>
      </w:tr>
      <w:tr w:rsidR="007F7790" w:rsidRPr="0020279D" w14:paraId="06FC2B9B" w14:textId="77777777" w:rsidTr="00790535">
        <w:trPr>
          <w:trHeight w:val="317"/>
        </w:trPr>
        <w:tc>
          <w:tcPr>
            <w:tcW w:w="4087" w:type="pct"/>
            <w:tcBorders>
              <w:top w:val="single" w:sz="4" w:space="0" w:color="ADD6EA"/>
              <w:bottom w:val="single" w:sz="4" w:space="0" w:color="ADD6EA"/>
            </w:tcBorders>
            <w:vAlign w:val="bottom"/>
          </w:tcPr>
          <w:p w14:paraId="2EA15667" w14:textId="77777777" w:rsidR="007F7790" w:rsidRDefault="007F7790" w:rsidP="004D65FE">
            <w:pPr>
              <w:pStyle w:val="CGCTablerow"/>
            </w:pPr>
            <w:r>
              <w:t>CGC 2018-02-S A broader assessment approach</w:t>
            </w:r>
          </w:p>
        </w:tc>
        <w:tc>
          <w:tcPr>
            <w:tcW w:w="913" w:type="pct"/>
            <w:tcBorders>
              <w:top w:val="single" w:sz="4" w:space="0" w:color="ADD6EA"/>
              <w:bottom w:val="single" w:sz="4" w:space="0" w:color="ADD6EA"/>
            </w:tcBorders>
            <w:vAlign w:val="bottom"/>
          </w:tcPr>
          <w:p w14:paraId="7E7C70B1" w14:textId="77777777" w:rsidR="007F7790" w:rsidRDefault="007F7790" w:rsidP="004D65FE">
            <w:pPr>
              <w:pStyle w:val="CGCTablerow"/>
              <w:jc w:val="right"/>
            </w:pPr>
            <w:r>
              <w:t>20 April 2018</w:t>
            </w:r>
          </w:p>
        </w:tc>
      </w:tr>
      <w:tr w:rsidR="007F7790" w:rsidRPr="0020279D" w14:paraId="1345B391" w14:textId="77777777" w:rsidTr="00790535">
        <w:trPr>
          <w:trHeight w:val="317"/>
        </w:trPr>
        <w:tc>
          <w:tcPr>
            <w:tcW w:w="4087" w:type="pct"/>
            <w:tcBorders>
              <w:top w:val="single" w:sz="4" w:space="0" w:color="ADD6EA"/>
              <w:bottom w:val="single" w:sz="4" w:space="0" w:color="ADD6EA"/>
            </w:tcBorders>
            <w:vAlign w:val="bottom"/>
          </w:tcPr>
          <w:p w14:paraId="13218764" w14:textId="77777777" w:rsidR="007F7790" w:rsidRDefault="007F7790" w:rsidP="004D65FE">
            <w:pPr>
              <w:pStyle w:val="CGCTablerow"/>
            </w:pPr>
            <w:r>
              <w:t>CGC 2018-03-S Draft 2020 Review q</w:t>
            </w:r>
            <w:r w:rsidRPr="0056702A">
              <w:t>uality assurance strategic plan</w:t>
            </w:r>
          </w:p>
        </w:tc>
        <w:tc>
          <w:tcPr>
            <w:tcW w:w="913" w:type="pct"/>
            <w:tcBorders>
              <w:top w:val="single" w:sz="4" w:space="0" w:color="ADD6EA"/>
              <w:bottom w:val="single" w:sz="4" w:space="0" w:color="ADD6EA"/>
            </w:tcBorders>
            <w:vAlign w:val="bottom"/>
          </w:tcPr>
          <w:p w14:paraId="0853D602" w14:textId="77777777" w:rsidR="007F7790" w:rsidRDefault="007F7790" w:rsidP="004D65FE">
            <w:pPr>
              <w:pStyle w:val="CGCTablerow"/>
              <w:jc w:val="right"/>
            </w:pPr>
            <w:r>
              <w:t>20 April 2018</w:t>
            </w:r>
          </w:p>
        </w:tc>
      </w:tr>
      <w:tr w:rsidR="007F7790" w:rsidRPr="0020279D" w14:paraId="13AA15E7" w14:textId="77777777" w:rsidTr="00790535">
        <w:trPr>
          <w:trHeight w:val="317"/>
        </w:trPr>
        <w:tc>
          <w:tcPr>
            <w:tcW w:w="4087" w:type="pct"/>
            <w:tcBorders>
              <w:top w:val="single" w:sz="4" w:space="0" w:color="ADD6EA"/>
              <w:bottom w:val="single" w:sz="4" w:space="0" w:color="ADD6EA"/>
            </w:tcBorders>
            <w:vAlign w:val="bottom"/>
          </w:tcPr>
          <w:p w14:paraId="740674ED" w14:textId="77777777" w:rsidR="007F7790" w:rsidRDefault="007F7790" w:rsidP="004D65FE">
            <w:pPr>
              <w:pStyle w:val="CGCTablerow"/>
            </w:pPr>
            <w:r>
              <w:t>CGC 2018-05-S Review of substitutability levels for the health category</w:t>
            </w:r>
          </w:p>
        </w:tc>
        <w:tc>
          <w:tcPr>
            <w:tcW w:w="913" w:type="pct"/>
            <w:tcBorders>
              <w:top w:val="single" w:sz="4" w:space="0" w:color="ADD6EA"/>
              <w:bottom w:val="single" w:sz="4" w:space="0" w:color="ADD6EA"/>
            </w:tcBorders>
            <w:vAlign w:val="bottom"/>
          </w:tcPr>
          <w:p w14:paraId="36C08B3B" w14:textId="77777777" w:rsidR="007F7790" w:rsidRDefault="007F7790" w:rsidP="004D65FE">
            <w:pPr>
              <w:pStyle w:val="CGCTablerow"/>
              <w:jc w:val="right"/>
            </w:pPr>
            <w:r>
              <w:t>7 September 2018</w:t>
            </w:r>
          </w:p>
        </w:tc>
      </w:tr>
      <w:tr w:rsidR="007F7790" w:rsidRPr="0020279D" w14:paraId="36FA95AB" w14:textId="77777777" w:rsidTr="00790535">
        <w:trPr>
          <w:trHeight w:val="317"/>
        </w:trPr>
        <w:tc>
          <w:tcPr>
            <w:tcW w:w="4087" w:type="pct"/>
            <w:tcBorders>
              <w:top w:val="single" w:sz="4" w:space="0" w:color="ADD6EA"/>
              <w:bottom w:val="single" w:sz="4" w:space="0" w:color="ADD6EA"/>
            </w:tcBorders>
            <w:vAlign w:val="bottom"/>
          </w:tcPr>
          <w:p w14:paraId="7F16EC9F" w14:textId="77777777" w:rsidR="007F7790" w:rsidRDefault="007F7790" w:rsidP="004D65FE">
            <w:pPr>
              <w:pStyle w:val="CGCTablerow"/>
            </w:pPr>
            <w:r>
              <w:t>CGC 2018-07-S Improving the policy neutrality of the mining revenue assessment</w:t>
            </w:r>
          </w:p>
        </w:tc>
        <w:tc>
          <w:tcPr>
            <w:tcW w:w="913" w:type="pct"/>
            <w:tcBorders>
              <w:top w:val="single" w:sz="4" w:space="0" w:color="ADD6EA"/>
              <w:bottom w:val="single" w:sz="4" w:space="0" w:color="ADD6EA"/>
            </w:tcBorders>
            <w:vAlign w:val="bottom"/>
          </w:tcPr>
          <w:p w14:paraId="2D808853" w14:textId="77777777" w:rsidR="007F7790" w:rsidRDefault="007F7790" w:rsidP="004D65FE">
            <w:pPr>
              <w:pStyle w:val="CGCTablerow"/>
              <w:jc w:val="right"/>
            </w:pPr>
            <w:r>
              <w:t>15 November 2018</w:t>
            </w:r>
          </w:p>
        </w:tc>
      </w:tr>
      <w:tr w:rsidR="007F7790" w:rsidRPr="0020279D" w14:paraId="01CCB8EB" w14:textId="77777777" w:rsidTr="00790535">
        <w:trPr>
          <w:trHeight w:val="317"/>
        </w:trPr>
        <w:tc>
          <w:tcPr>
            <w:tcW w:w="4087" w:type="pct"/>
            <w:tcBorders>
              <w:top w:val="single" w:sz="4" w:space="0" w:color="ADD6EA"/>
              <w:bottom w:val="single" w:sz="4" w:space="0" w:color="ADD6EA"/>
            </w:tcBorders>
            <w:vAlign w:val="bottom"/>
          </w:tcPr>
          <w:p w14:paraId="464C9FD5" w14:textId="77777777" w:rsidR="007F7790" w:rsidRDefault="007F7790" w:rsidP="004D65FE">
            <w:pPr>
              <w:pStyle w:val="CGCTablerow"/>
            </w:pPr>
            <w:r>
              <w:t>CGC 2019-01-S New issues for the 2020 Review</w:t>
            </w:r>
          </w:p>
        </w:tc>
        <w:tc>
          <w:tcPr>
            <w:tcW w:w="913" w:type="pct"/>
            <w:tcBorders>
              <w:top w:val="single" w:sz="4" w:space="0" w:color="ADD6EA"/>
              <w:bottom w:val="single" w:sz="4" w:space="0" w:color="ADD6EA"/>
            </w:tcBorders>
            <w:vAlign w:val="bottom"/>
          </w:tcPr>
          <w:p w14:paraId="049C78A3" w14:textId="77777777" w:rsidR="007F7790" w:rsidRDefault="007F7790" w:rsidP="004D65FE">
            <w:pPr>
              <w:pStyle w:val="CGCTablerow"/>
              <w:jc w:val="right"/>
            </w:pPr>
            <w:r>
              <w:t>8 October 2019</w:t>
            </w:r>
          </w:p>
        </w:tc>
      </w:tr>
    </w:tbl>
    <w:p w14:paraId="25DECF96" w14:textId="77777777" w:rsidR="007F7790" w:rsidRPr="00AF2542" w:rsidRDefault="007F7790" w:rsidP="007F7790">
      <w:pPr>
        <w:pStyle w:val="CGCTablenote"/>
      </w:pPr>
      <w:r w:rsidRPr="00AF2542">
        <w:t>(a)</w:t>
      </w:r>
      <w:r w:rsidRPr="00AF2542">
        <w:tab/>
        <w:t>The draft report was released to States on 6 August 2019.</w:t>
      </w:r>
    </w:p>
    <w:p w14:paraId="6FCE7A85" w14:textId="77777777" w:rsidR="007F7790" w:rsidRDefault="007F7790" w:rsidP="007F7790">
      <w:pPr>
        <w:pStyle w:val="Heading3"/>
      </w:pPr>
      <w:r>
        <w:t>State submissions</w:t>
      </w:r>
    </w:p>
    <w:p w14:paraId="5F3F26AB" w14:textId="77777777" w:rsidR="007F7790" w:rsidRPr="004838D3" w:rsidRDefault="007F7790" w:rsidP="00F47EC7">
      <w:pPr>
        <w:pStyle w:val="CGCParaNumber"/>
      </w:pPr>
      <w:r w:rsidRPr="004838D3">
        <w:t xml:space="preserve">Written submissions are the main means by which States present their views to the Commission. All submissions </w:t>
      </w:r>
      <w:r>
        <w:t>are available</w:t>
      </w:r>
      <w:r w:rsidRPr="004838D3">
        <w:t xml:space="preserve"> on the </w:t>
      </w:r>
      <w:hyperlink r:id="rId73" w:history="1">
        <w:r w:rsidRPr="00350C6D">
          <w:rPr>
            <w:rStyle w:val="Hyperlink"/>
          </w:rPr>
          <w:t>Commission website</w:t>
        </w:r>
      </w:hyperlink>
      <w:r w:rsidRPr="002233A6">
        <w:t xml:space="preserve"> (</w:t>
      </w:r>
      <w:r w:rsidRPr="007B0DEF">
        <w:t>https://cgc.gov.au/</w:t>
      </w:r>
      <w:r>
        <w:t xml:space="preserve">). </w:t>
      </w:r>
    </w:p>
    <w:p w14:paraId="14BB4CC2" w14:textId="77777777" w:rsidR="007F7790" w:rsidRDefault="007F7790" w:rsidP="007F7790">
      <w:pPr>
        <w:pStyle w:val="Heading3"/>
      </w:pPr>
      <w:r>
        <w:t>State visits</w:t>
      </w:r>
    </w:p>
    <w:p w14:paraId="707C71C2" w14:textId="7AF25278" w:rsidR="007F7790" w:rsidRDefault="007F7790" w:rsidP="00F47EC7">
      <w:pPr>
        <w:pStyle w:val="CGCParaNumber"/>
      </w:pPr>
      <w:r>
        <w:t xml:space="preserve">The Commission and staff visited each State in 2018. The visits provided an opportunity for each State to present its views on how horizontal fiscal equalisation </w:t>
      </w:r>
      <w:r w:rsidR="00790535">
        <w:t xml:space="preserve">(HFE) </w:t>
      </w:r>
      <w:r>
        <w:t xml:space="preserve">should be implemented and to raise any State specific issues or concerns. </w:t>
      </w:r>
    </w:p>
    <w:p w14:paraId="71252406" w14:textId="77777777" w:rsidR="007F7790" w:rsidRDefault="007F7790" w:rsidP="00F47EC7">
      <w:pPr>
        <w:pStyle w:val="CGCParaNumber"/>
      </w:pPr>
      <w:r>
        <w:t>State visits also provided an opportunity for the Commission to understand first-hand the differences between the States that form the basis of differential assessments in the 2020 Review. The Commission met with head office staff from various agencies (for example, education, health and transport), officers providing services ‘on the ground’ and officials from central policy agencies, notably State treasuries. Discussions were held on service delivery policy, the difficulties faced by individual States in providing services and revenue raising issues.</w:t>
      </w:r>
    </w:p>
    <w:p w14:paraId="38E3E075" w14:textId="3029C162" w:rsidR="007F7790" w:rsidRDefault="007F7790" w:rsidP="00F47EC7">
      <w:pPr>
        <w:pStyle w:val="CGCParaNumber"/>
      </w:pPr>
      <w:r>
        <w:t>As part of the State visit program, the Commission extended an invitation for State Treasurers to meet with the Commission.  All State Treasurers, other than the Victorian</w:t>
      </w:r>
      <w:r w:rsidR="00184C6F">
        <w:t xml:space="preserve"> </w:t>
      </w:r>
      <w:r>
        <w:t>Treasurer who was unavailable in the week of the State visit, met with the Commission.</w:t>
      </w:r>
    </w:p>
    <w:p w14:paraId="1926C019" w14:textId="77777777" w:rsidR="007F7790" w:rsidRDefault="007F7790" w:rsidP="00F47EC7">
      <w:pPr>
        <w:pStyle w:val="CGCParaNumber"/>
      </w:pPr>
      <w:r>
        <w:t>The following sections highlight some of the key themes of the visits. It is not an exhaustive discussion of all matters discussed.</w:t>
      </w:r>
    </w:p>
    <w:p w14:paraId="7EA43F84" w14:textId="77777777" w:rsidR="007F7790" w:rsidRDefault="007F7790" w:rsidP="007F7790">
      <w:pPr>
        <w:pStyle w:val="Heading4"/>
      </w:pPr>
      <w:r>
        <w:lastRenderedPageBreak/>
        <w:t>New South Wales</w:t>
      </w:r>
    </w:p>
    <w:p w14:paraId="7E25B33F" w14:textId="77777777" w:rsidR="007F7790" w:rsidRDefault="007F7790" w:rsidP="00F47EC7">
      <w:pPr>
        <w:pStyle w:val="CGCParaNumber"/>
      </w:pPr>
      <w:r>
        <w:t>The Commission visited New South Wales from 21 to 23 August 2018. New South Wales highlighted the following issues:</w:t>
      </w:r>
    </w:p>
    <w:p w14:paraId="075A6151" w14:textId="77777777" w:rsidR="007F7790" w:rsidRDefault="007F7790" w:rsidP="007F7790">
      <w:pPr>
        <w:pStyle w:val="CGCBullet1"/>
      </w:pPr>
      <w:r>
        <w:t>the challenges of providing transport services in Sydney due to its urban population and employment density, unique topography and security risks</w:t>
      </w:r>
    </w:p>
    <w:p w14:paraId="3154036B" w14:textId="77777777" w:rsidR="007F7790" w:rsidRDefault="007F7790" w:rsidP="007F7790">
      <w:pPr>
        <w:pStyle w:val="CGCBullet1"/>
      </w:pPr>
      <w:r>
        <w:t>the high costs of developing new infrastructure in a densely populated urban environment (‘brownfield</w:t>
      </w:r>
      <w:r w:rsidRPr="5DBD6D47">
        <w:t xml:space="preserve">’ </w:t>
      </w:r>
      <w:r>
        <w:t>sites)</w:t>
      </w:r>
    </w:p>
    <w:p w14:paraId="7F13F30A" w14:textId="77777777" w:rsidR="007F7790" w:rsidRDefault="007F7790" w:rsidP="007F7790">
      <w:pPr>
        <w:pStyle w:val="CGCBullet1"/>
      </w:pPr>
      <w:r>
        <w:t>the high costs of providing services to a growing migrant population due to the need for interpreters, English language education programs, higher levels of mental and physical health issues in the refugee population and some migrant groups, as well as community inclusion and cultural sensitivity in the provision of welfare services</w:t>
      </w:r>
    </w:p>
    <w:p w14:paraId="3B5FB84D" w14:textId="77777777" w:rsidR="007F7790" w:rsidRDefault="007F7790" w:rsidP="007F7790">
      <w:pPr>
        <w:pStyle w:val="CGCBullet1"/>
      </w:pPr>
      <w:r>
        <w:t>greater demand for housing and welfare services arising from high housing costs linked to</w:t>
      </w:r>
      <w:r w:rsidRPr="66E41DD7">
        <w:t xml:space="preserve"> </w:t>
      </w:r>
      <w:r>
        <w:t>the recent housing boom</w:t>
      </w:r>
    </w:p>
    <w:p w14:paraId="622E2A94" w14:textId="77777777" w:rsidR="007F7790" w:rsidRDefault="007F7790" w:rsidP="007F7790">
      <w:pPr>
        <w:pStyle w:val="CGCBullet1"/>
      </w:pPr>
      <w:r>
        <w:t>a shift to more complex, technology-enabled crime and a high terrorism risk, which is diverting resources to crime prevention and disruption that is not necessarily borne out in crime statistics</w:t>
      </w:r>
    </w:p>
    <w:p w14:paraId="202449FB" w14:textId="77777777" w:rsidR="007F7790" w:rsidRDefault="007F7790" w:rsidP="007F7790">
      <w:pPr>
        <w:pStyle w:val="CGCBullet1"/>
      </w:pPr>
      <w:r>
        <w:t>the Commission’s approach to assessing fire and emergency services levies, gambling revenue and land tax.</w:t>
      </w:r>
    </w:p>
    <w:p w14:paraId="2B36F056" w14:textId="77777777" w:rsidR="007F7790" w:rsidRDefault="007F7790" w:rsidP="007F7790">
      <w:pPr>
        <w:pStyle w:val="Heading4"/>
      </w:pPr>
      <w:r>
        <w:t>Victoria</w:t>
      </w:r>
    </w:p>
    <w:p w14:paraId="75AED806" w14:textId="77777777" w:rsidR="007F7790" w:rsidRDefault="007F7790" w:rsidP="00F47EC7">
      <w:pPr>
        <w:pStyle w:val="CGCParaNumber"/>
      </w:pPr>
      <w:r w:rsidRPr="004C1A00">
        <w:t>The Commission visited Victoria from 7 to 9 August 2018.</w:t>
      </w:r>
      <w:r>
        <w:t xml:space="preserve"> Victoria highlighted the following issues:</w:t>
      </w:r>
    </w:p>
    <w:p w14:paraId="4FA254A4" w14:textId="77777777" w:rsidR="007F7790" w:rsidRDefault="007F7790" w:rsidP="007F7790">
      <w:pPr>
        <w:pStyle w:val="CGCBullet1"/>
      </w:pPr>
      <w:r>
        <w:t xml:space="preserve">significant pressures being created on service delivery areas such as health, education and transport due to consistently strong population growth </w:t>
      </w:r>
    </w:p>
    <w:p w14:paraId="2195F82A" w14:textId="77777777" w:rsidR="007F7790" w:rsidRDefault="007F7790" w:rsidP="007F7790">
      <w:pPr>
        <w:pStyle w:val="CGCBullet1"/>
      </w:pPr>
      <w:r>
        <w:t>increasing demand for transport (roads and urban public transport) and other infrastructure due to this same population growth</w:t>
      </w:r>
    </w:p>
    <w:p w14:paraId="115E1BE8" w14:textId="77777777" w:rsidR="007F7790" w:rsidRDefault="007F7790" w:rsidP="007F7790">
      <w:pPr>
        <w:pStyle w:val="CGCBullet1"/>
      </w:pPr>
      <w:r>
        <w:t>the high costs of developing infrastructure in a densely populated urban environment (‘brownfield</w:t>
      </w:r>
      <w:r w:rsidRPr="5DBD6D47">
        <w:t xml:space="preserve">’ </w:t>
      </w:r>
      <w:r>
        <w:t>sites)</w:t>
      </w:r>
    </w:p>
    <w:p w14:paraId="6261530B" w14:textId="77777777" w:rsidR="007F7790" w:rsidRDefault="007F7790" w:rsidP="007F7790">
      <w:pPr>
        <w:pStyle w:val="CGCBullet1"/>
      </w:pPr>
      <w:r>
        <w:t>key drivers of funding models and service delivery approaches relating to schools, hospitals, services for vulnerable children and families, social housing and homelessness, and the justice system</w:t>
      </w:r>
    </w:p>
    <w:p w14:paraId="4ABBBCF0" w14:textId="77777777" w:rsidR="007F7790" w:rsidRDefault="007F7790" w:rsidP="007F7790">
      <w:pPr>
        <w:pStyle w:val="CGCBullet1"/>
      </w:pPr>
      <w:r>
        <w:t>aspects of the Commission’s approach to assessing payroll tax, land tax, fire and emergency services levies, mining and gambling revenue.</w:t>
      </w:r>
    </w:p>
    <w:p w14:paraId="1F4C2B44" w14:textId="77777777" w:rsidR="007F7790" w:rsidRDefault="007F7790" w:rsidP="007F7790">
      <w:pPr>
        <w:pStyle w:val="Heading4"/>
      </w:pPr>
      <w:r>
        <w:t>Queensland</w:t>
      </w:r>
    </w:p>
    <w:p w14:paraId="48248EA5" w14:textId="77777777" w:rsidR="007F7790" w:rsidRDefault="007F7790" w:rsidP="00F47EC7">
      <w:pPr>
        <w:pStyle w:val="CGCParaNumber"/>
      </w:pPr>
      <w:r>
        <w:t>The Commission visited Queensland from 28 to 30 August 2018. Queensland highlighted the following issues:</w:t>
      </w:r>
    </w:p>
    <w:p w14:paraId="3D811999" w14:textId="77777777" w:rsidR="007F7790" w:rsidRDefault="007F7790" w:rsidP="007F7790">
      <w:pPr>
        <w:pStyle w:val="CGCBullet1"/>
      </w:pPr>
      <w:r>
        <w:t>the challenges of delivering services and associated infrastructure</w:t>
      </w:r>
      <w:r w:rsidRPr="3BF66E17">
        <w:t xml:space="preserve"> </w:t>
      </w:r>
      <w:r>
        <w:t>to a rapidly growing population in south-east Queensland, with Brisbane, the Gold Coast and the Sunshine Coast considered one city for State</w:t>
      </w:r>
      <w:r w:rsidRPr="3BF66E17">
        <w:t xml:space="preserve"> </w:t>
      </w:r>
      <w:r>
        <w:t>planning and policy purposes</w:t>
      </w:r>
    </w:p>
    <w:p w14:paraId="1CBFCB44" w14:textId="77777777" w:rsidR="007F7790" w:rsidRDefault="007F7790" w:rsidP="007F7790">
      <w:pPr>
        <w:pStyle w:val="CGCBullet1"/>
      </w:pPr>
      <w:r>
        <w:lastRenderedPageBreak/>
        <w:t>significant regional costs across all core services due to an above average proportion of its population living outside south-east Queensland, including a relatively large number of people living in small, remote communities</w:t>
      </w:r>
    </w:p>
    <w:p w14:paraId="04E5AA87" w14:textId="77777777" w:rsidR="007F7790" w:rsidRDefault="007F7790" w:rsidP="007F7790">
      <w:pPr>
        <w:pStyle w:val="CGCBullet1"/>
      </w:pPr>
      <w:r>
        <w:t>the high costs of delivering services to its relatively large and ageing Indigenous population due to higher rates of service use including for hospitals, housing and child services</w:t>
      </w:r>
    </w:p>
    <w:p w14:paraId="79CBA0B5" w14:textId="77777777" w:rsidR="007F7790" w:rsidRDefault="007F7790" w:rsidP="007F7790">
      <w:pPr>
        <w:pStyle w:val="CGCBullet1"/>
      </w:pPr>
      <w:r>
        <w:t xml:space="preserve">the high costs of managing Queensland’s extensive regional road network and the growing pressures on the urban transport network created by continued urban development in south-east Queensland </w:t>
      </w:r>
    </w:p>
    <w:p w14:paraId="13E12B47" w14:textId="77777777" w:rsidR="007F7790" w:rsidRDefault="007F7790" w:rsidP="007F7790">
      <w:pPr>
        <w:pStyle w:val="CGCBullet1"/>
      </w:pPr>
      <w:r>
        <w:t>relatively high offender rates in remote and very remote areas, the difficulty in accessing communities in the north of the State in the wet season and the demands on police to ‘fill the gap’ for other government services in more remote areas</w:t>
      </w:r>
    </w:p>
    <w:p w14:paraId="40460F72" w14:textId="77777777" w:rsidR="007F7790" w:rsidRDefault="007F7790" w:rsidP="007F7790">
      <w:pPr>
        <w:pStyle w:val="CGCBullet1"/>
      </w:pPr>
      <w:r>
        <w:t>strong growth in the demand for housing and homelessness services, with 25% of social housing properties in outer regional, remote or very remote locations including the Torres Strait.</w:t>
      </w:r>
    </w:p>
    <w:p w14:paraId="5ACB5B49" w14:textId="77777777" w:rsidR="007F7790" w:rsidRDefault="007F7790" w:rsidP="007F7790">
      <w:pPr>
        <w:pStyle w:val="Heading4"/>
      </w:pPr>
      <w:r>
        <w:t>Western Australia</w:t>
      </w:r>
    </w:p>
    <w:p w14:paraId="4679D550" w14:textId="77777777" w:rsidR="007F7790" w:rsidRDefault="007F7790" w:rsidP="00F47EC7">
      <w:pPr>
        <w:pStyle w:val="CGCParaNumber"/>
      </w:pPr>
      <w:r>
        <w:t>The Commission visited Western Australia from 1 to 3 August 2018. Western Australia highlighted the following issues:</w:t>
      </w:r>
    </w:p>
    <w:p w14:paraId="4AF93714" w14:textId="77777777" w:rsidR="007F7790" w:rsidRDefault="007F7790" w:rsidP="007F7790">
      <w:pPr>
        <w:pStyle w:val="CGCBullet1"/>
      </w:pPr>
      <w:r>
        <w:t>the scope for the Commission’s approach to implementing equalisation to be simpler and more transparent</w:t>
      </w:r>
      <w:r w:rsidRPr="149353E2">
        <w:t xml:space="preserve">, </w:t>
      </w:r>
      <w:r>
        <w:t>including by</w:t>
      </w:r>
      <w:r w:rsidRPr="149353E2">
        <w:t xml:space="preserve"> </w:t>
      </w:r>
      <w:r>
        <w:t>adopting broader assessments, particularly for revenue</w:t>
      </w:r>
    </w:p>
    <w:p w14:paraId="55C2CC03" w14:textId="67DCA4EE" w:rsidR="007F7790" w:rsidRDefault="007F7790" w:rsidP="007F7790">
      <w:pPr>
        <w:pStyle w:val="CGCBullet1"/>
      </w:pPr>
      <w:r>
        <w:t>the equalisation system does not adequately recognise Western Australia’s mining related expenditure, including in relation to the North</w:t>
      </w:r>
      <w:r w:rsidR="00560A44">
        <w:t xml:space="preserve"> </w:t>
      </w:r>
      <w:r>
        <w:t xml:space="preserve">West </w:t>
      </w:r>
      <w:r w:rsidR="00560A44">
        <w:t>S</w:t>
      </w:r>
      <w:r>
        <w:t>helf</w:t>
      </w:r>
    </w:p>
    <w:p w14:paraId="2D196F73" w14:textId="77777777" w:rsidR="007F7790" w:rsidRDefault="007F7790" w:rsidP="007F7790">
      <w:pPr>
        <w:pStyle w:val="CGCBullet1"/>
      </w:pPr>
      <w:r>
        <w:t xml:space="preserve">the standard </w:t>
      </w:r>
      <w:r>
        <w:rPr>
          <w:color w:val="000000"/>
          <w:lang w:eastAsia="en-AU"/>
        </w:rPr>
        <w:t>Accessibility/Remoteness Index of Australia (</w:t>
      </w:r>
      <w:r>
        <w:t>ARIA) scale fails to capture the diversity of very remote areas in Australia and recognise Western Australia’s very high costs in several service areas including education, health and police</w:t>
      </w:r>
    </w:p>
    <w:p w14:paraId="43D558E2" w14:textId="7DA142BC" w:rsidR="007F7790" w:rsidRDefault="007F7790" w:rsidP="007F7790">
      <w:pPr>
        <w:pStyle w:val="CGCBullet1"/>
      </w:pPr>
      <w:r>
        <w:t>the</w:t>
      </w:r>
      <w:r w:rsidRPr="50297D46">
        <w:t xml:space="preserve"> </w:t>
      </w:r>
      <w:r>
        <w:t>national pricing model for hospital services</w:t>
      </w:r>
      <w:r w:rsidRPr="50297D46">
        <w:t xml:space="preserve"> </w:t>
      </w:r>
      <w:r>
        <w:t xml:space="preserve">that underpins the </w:t>
      </w:r>
      <w:r w:rsidR="00034946">
        <w:t>Health</w:t>
      </w:r>
      <w:r>
        <w:t xml:space="preserve"> assessment does not accurately capture Western Australia’s health system costs</w:t>
      </w:r>
    </w:p>
    <w:p w14:paraId="6ABFA23A" w14:textId="77777777" w:rsidR="007F7790" w:rsidRDefault="007F7790" w:rsidP="007F7790">
      <w:pPr>
        <w:pStyle w:val="CGCBullet1"/>
      </w:pPr>
      <w:r>
        <w:t>the State’s electricity network is more costly than the east coast national energy market due to a differing energy mix, more dispersed customer base and isolation from a larger power network that would ensure supply</w:t>
      </w:r>
    </w:p>
    <w:p w14:paraId="54BF79E3" w14:textId="77777777" w:rsidR="007F7790" w:rsidRDefault="007F7790" w:rsidP="007F7790">
      <w:pPr>
        <w:pStyle w:val="CGCBullet1"/>
      </w:pPr>
      <w:r>
        <w:t>regional water costs are significantly higher than metropolitan costs with over 50% of regional schemes having a cost per kilolitre three times greater than the average metropolitan cost</w:t>
      </w:r>
    </w:p>
    <w:p w14:paraId="50B3EC1B" w14:textId="77777777" w:rsidR="007F7790" w:rsidRDefault="007F7790" w:rsidP="007F7790">
      <w:pPr>
        <w:pStyle w:val="CGCBullet1"/>
      </w:pPr>
      <w:r>
        <w:t>the high costs of maintaining and developing the State’s road network given its large geographical spread, climatic conditions and industry requirements.</w:t>
      </w:r>
    </w:p>
    <w:p w14:paraId="21759E34" w14:textId="77777777" w:rsidR="007F7790" w:rsidRDefault="007F7790" w:rsidP="007F7790">
      <w:pPr>
        <w:pStyle w:val="Heading4"/>
      </w:pPr>
      <w:r>
        <w:t>South Australia</w:t>
      </w:r>
    </w:p>
    <w:p w14:paraId="3842F4ED" w14:textId="77777777" w:rsidR="007F7790" w:rsidRDefault="007F7790" w:rsidP="00F47EC7">
      <w:pPr>
        <w:pStyle w:val="CGCParaNumber"/>
      </w:pPr>
      <w:r w:rsidRPr="00E42B3E">
        <w:t>The Commission visited South Australia on 27 September</w:t>
      </w:r>
      <w:r>
        <w:t xml:space="preserve"> 2018</w:t>
      </w:r>
      <w:r w:rsidRPr="00E42B3E">
        <w:t>.</w:t>
      </w:r>
      <w:r>
        <w:t xml:space="preserve"> South Australia highlighted the following issues:</w:t>
      </w:r>
    </w:p>
    <w:p w14:paraId="7BBAFF3C" w14:textId="77777777" w:rsidR="007F7790" w:rsidRDefault="007F7790" w:rsidP="007F7790">
      <w:pPr>
        <w:pStyle w:val="CGCBullet1"/>
      </w:pPr>
      <w:r>
        <w:t xml:space="preserve">the effects of the State’s low socio-economic status and older population profile on service provision </w:t>
      </w:r>
    </w:p>
    <w:p w14:paraId="4FDEAA84" w14:textId="77777777" w:rsidR="007F7790" w:rsidRDefault="007F7790" w:rsidP="007F7790">
      <w:pPr>
        <w:pStyle w:val="CGCBullet1"/>
      </w:pPr>
      <w:r>
        <w:lastRenderedPageBreak/>
        <w:t>concerns with the wage costs assessment, and the view that p</w:t>
      </w:r>
      <w:r w:rsidRPr="00AD2604">
        <w:t>ublic sector wages are influenced more heavily by public sector wages in other jurisdictions than private sector wages in the State</w:t>
      </w:r>
    </w:p>
    <w:p w14:paraId="2C405E66" w14:textId="77777777" w:rsidR="007F7790" w:rsidRDefault="007F7790" w:rsidP="007F7790">
      <w:pPr>
        <w:pStyle w:val="CGCBullet1"/>
      </w:pPr>
      <w:r>
        <w:t>t</w:t>
      </w:r>
      <w:r w:rsidRPr="00756039">
        <w:t xml:space="preserve">he difficulties associated with providing an urban transport network </w:t>
      </w:r>
      <w:r>
        <w:t>given its elongated urban form</w:t>
      </w:r>
      <w:r w:rsidRPr="00756039">
        <w:t xml:space="preserve">, attracting and maintaining skilled labour for large infrastructure projects and </w:t>
      </w:r>
      <w:r>
        <w:t>maintaining an</w:t>
      </w:r>
      <w:r w:rsidRPr="00756039">
        <w:t xml:space="preserve"> ageing road asset base</w:t>
      </w:r>
    </w:p>
    <w:p w14:paraId="3C723DBB" w14:textId="77777777" w:rsidR="007F7790" w:rsidRDefault="007F7790" w:rsidP="007F7790">
      <w:pPr>
        <w:pStyle w:val="CGCBullet1"/>
      </w:pPr>
      <w:r>
        <w:t>the high costs of providing water services due to the long distances between water sources and users and treating water of low quality</w:t>
      </w:r>
    </w:p>
    <w:p w14:paraId="05B6FE23" w14:textId="77777777" w:rsidR="007F7790" w:rsidRDefault="007F7790" w:rsidP="007F7790">
      <w:pPr>
        <w:pStyle w:val="CGCBullet1"/>
      </w:pPr>
      <w:r>
        <w:t>the State’s high minimum fixed costs.</w:t>
      </w:r>
    </w:p>
    <w:p w14:paraId="584037F7" w14:textId="77777777" w:rsidR="007F7790" w:rsidRDefault="007F7790" w:rsidP="007F7790">
      <w:pPr>
        <w:pStyle w:val="Heading4"/>
      </w:pPr>
      <w:r>
        <w:t>Tasmania</w:t>
      </w:r>
    </w:p>
    <w:p w14:paraId="32AFE1DD" w14:textId="371E2613" w:rsidR="007F7790" w:rsidRDefault="007F7790" w:rsidP="00F47EC7">
      <w:pPr>
        <w:pStyle w:val="CGCParaNumber"/>
      </w:pPr>
      <w:r w:rsidRPr="00B605DD">
        <w:t xml:space="preserve">The Commission visited Tasmania </w:t>
      </w:r>
      <w:r>
        <w:t>on</w:t>
      </w:r>
      <w:r w:rsidRPr="00B605DD">
        <w:t xml:space="preserve"> 18 </w:t>
      </w:r>
      <w:r>
        <w:t>and</w:t>
      </w:r>
      <w:r w:rsidRPr="00B605DD">
        <w:t xml:space="preserve"> 19</w:t>
      </w:r>
      <w:r w:rsidR="001A6FCF" w:rsidRPr="001A6FCF">
        <w:rPr>
          <w:rFonts w:cs="Open Sans Light"/>
        </w:rPr>
        <w:t xml:space="preserve"> </w:t>
      </w:r>
      <w:r w:rsidRPr="00B605DD">
        <w:t>September</w:t>
      </w:r>
      <w:r>
        <w:t xml:space="preserve"> 2018. Tasmania highlighted the following issues:</w:t>
      </w:r>
    </w:p>
    <w:p w14:paraId="20789AAD" w14:textId="77777777" w:rsidR="007F7790" w:rsidRDefault="007F7790" w:rsidP="007F7790">
      <w:pPr>
        <w:pStyle w:val="CGCBullet1"/>
      </w:pPr>
      <w:r>
        <w:t>the challenges of providing services to its dispersed, aging and socio-economically disadvantaged population including in the areas of education, health and police.</w:t>
      </w:r>
    </w:p>
    <w:p w14:paraId="4DD2ABF3" w14:textId="77777777" w:rsidR="007F7790" w:rsidRDefault="007F7790" w:rsidP="007F7790">
      <w:pPr>
        <w:pStyle w:val="CGCBullet1"/>
      </w:pPr>
      <w:r>
        <w:t>the extent to which Tasmanians experience multidimensional disadvantage and the consequences for service delivery</w:t>
      </w:r>
    </w:p>
    <w:p w14:paraId="261B5F99" w14:textId="77777777" w:rsidR="007F7790" w:rsidRDefault="007F7790" w:rsidP="007F7790">
      <w:pPr>
        <w:pStyle w:val="CGCBullet1"/>
      </w:pPr>
      <w:r>
        <w:t>the effects of a low density, dispersed urban form, topography and low revenue capacity on the costs of providing urban public transport</w:t>
      </w:r>
    </w:p>
    <w:p w14:paraId="032F2DA7" w14:textId="0D13B2DC" w:rsidR="007F7790" w:rsidRDefault="007F7790" w:rsidP="007F7790">
      <w:pPr>
        <w:pStyle w:val="CGCBullet1"/>
      </w:pPr>
      <w:r>
        <w:t>concerns with the wage</w:t>
      </w:r>
      <w:r w:rsidR="00034946">
        <w:t xml:space="preserve"> cost</w:t>
      </w:r>
      <w:r>
        <w:t>s assessment and t</w:t>
      </w:r>
      <w:r w:rsidRPr="005C557B">
        <w:t xml:space="preserve">hat </w:t>
      </w:r>
      <w:r>
        <w:t>Tasmania’s</w:t>
      </w:r>
      <w:r w:rsidRPr="005C557B">
        <w:t xml:space="preserve"> private sector wage levels d</w:t>
      </w:r>
      <w:r>
        <w:t>o</w:t>
      </w:r>
      <w:r w:rsidRPr="005C557B">
        <w:t xml:space="preserve"> not reflect public sector </w:t>
      </w:r>
      <w:r>
        <w:t>wages in the State</w:t>
      </w:r>
    </w:p>
    <w:p w14:paraId="43F71491" w14:textId="77777777" w:rsidR="007F7790" w:rsidRDefault="007F7790" w:rsidP="007F7790">
      <w:pPr>
        <w:pStyle w:val="CGCBullet1"/>
      </w:pPr>
      <w:r>
        <w:t xml:space="preserve">the State’s high minimum fixed costs.  </w:t>
      </w:r>
    </w:p>
    <w:p w14:paraId="78DCE1A8" w14:textId="77777777" w:rsidR="007F7790" w:rsidRDefault="007F7790" w:rsidP="007F7790">
      <w:pPr>
        <w:pStyle w:val="Heading4"/>
      </w:pPr>
      <w:r>
        <w:t>Australian Capital Territory</w:t>
      </w:r>
    </w:p>
    <w:p w14:paraId="4CC9D8DA" w14:textId="77777777" w:rsidR="007F7790" w:rsidRDefault="007F7790" w:rsidP="00F47EC7">
      <w:pPr>
        <w:pStyle w:val="CGCParaNumber"/>
      </w:pPr>
      <w:r w:rsidRPr="00B605DD">
        <w:t xml:space="preserve">The Commission visited </w:t>
      </w:r>
      <w:r>
        <w:t>the ACT</w:t>
      </w:r>
      <w:r w:rsidRPr="00B605DD">
        <w:t xml:space="preserve"> </w:t>
      </w:r>
      <w:r>
        <w:t>from 15 to17 August 2018. The ACT highlighted the following issues:</w:t>
      </w:r>
    </w:p>
    <w:p w14:paraId="7690EF8B" w14:textId="77777777" w:rsidR="007F7790" w:rsidRDefault="007F7790" w:rsidP="007F7790">
      <w:pPr>
        <w:pStyle w:val="CGCBullet1"/>
      </w:pPr>
      <w:r w:rsidRPr="00370756">
        <w:t>the additional cost</w:t>
      </w:r>
      <w:r>
        <w:t>s</w:t>
      </w:r>
      <w:r w:rsidRPr="00370756">
        <w:t xml:space="preserve"> </w:t>
      </w:r>
      <w:r>
        <w:t>of</w:t>
      </w:r>
      <w:r w:rsidRPr="00370756">
        <w:t xml:space="preserve"> infrastructure </w:t>
      </w:r>
      <w:r>
        <w:t>due to</w:t>
      </w:r>
      <w:r w:rsidRPr="00370756">
        <w:t xml:space="preserve"> National Capital Authority</w:t>
      </w:r>
      <w:r>
        <w:t xml:space="preserve"> restrictions on development including urban infill and requirements of the National Capital Plan</w:t>
      </w:r>
    </w:p>
    <w:p w14:paraId="3142AB39" w14:textId="77777777" w:rsidR="007F7790" w:rsidRDefault="007F7790" w:rsidP="007F7790">
      <w:pPr>
        <w:pStyle w:val="CGCBullet1"/>
      </w:pPr>
      <w:r>
        <w:t>the high costs of policing due to the use of Australian Federal Police (AFP)</w:t>
      </w:r>
    </w:p>
    <w:p w14:paraId="65AF69C5" w14:textId="77777777" w:rsidR="007F7790" w:rsidRDefault="007F7790" w:rsidP="007F7790">
      <w:pPr>
        <w:pStyle w:val="CGCBullet1"/>
      </w:pPr>
      <w:r>
        <w:t>the additional costs of providing services to residents of New South Wales, including for education, welfare, hospital and community health</w:t>
      </w:r>
    </w:p>
    <w:p w14:paraId="15799006" w14:textId="77777777" w:rsidR="007F7790" w:rsidRDefault="007F7790" w:rsidP="007F7790">
      <w:pPr>
        <w:pStyle w:val="CGCBullet1"/>
      </w:pPr>
      <w:r>
        <w:t>the additional costs of providing urban transport due to the Canberra’s low density, dispersed urban form</w:t>
      </w:r>
    </w:p>
    <w:p w14:paraId="7396E768" w14:textId="77777777" w:rsidR="007F7790" w:rsidRDefault="007F7790" w:rsidP="007F7790">
      <w:pPr>
        <w:pStyle w:val="CGCBullet1"/>
      </w:pPr>
      <w:r>
        <w:t>the ACT’s high minimum fixed costs</w:t>
      </w:r>
      <w:r w:rsidRPr="51427EE9">
        <w:t>.</w:t>
      </w:r>
    </w:p>
    <w:p w14:paraId="7F386794" w14:textId="77777777" w:rsidR="007F7790" w:rsidRDefault="007F7790" w:rsidP="007F7790">
      <w:pPr>
        <w:pStyle w:val="Heading4"/>
      </w:pPr>
      <w:r>
        <w:t>Northern Territory</w:t>
      </w:r>
    </w:p>
    <w:p w14:paraId="31EAA110" w14:textId="77777777" w:rsidR="007F7790" w:rsidRDefault="007F7790" w:rsidP="00F47EC7">
      <w:pPr>
        <w:pStyle w:val="CGCParaNumber"/>
      </w:pPr>
      <w:r>
        <w:t>T</w:t>
      </w:r>
      <w:r w:rsidRPr="001B1B3F">
        <w:t xml:space="preserve">he Commission visited </w:t>
      </w:r>
      <w:r>
        <w:t>the</w:t>
      </w:r>
      <w:r w:rsidRPr="001B1B3F">
        <w:t xml:space="preserve"> Northern Territory from 5 to 7 June</w:t>
      </w:r>
      <w:r>
        <w:t xml:space="preserve"> 2018</w:t>
      </w:r>
      <w:r w:rsidRPr="001B1B3F">
        <w:t>.</w:t>
      </w:r>
      <w:r>
        <w:t xml:space="preserve"> The Northern Territory highlighted the following issues:</w:t>
      </w:r>
    </w:p>
    <w:p w14:paraId="1131A5E0" w14:textId="57EB7BA0" w:rsidR="007F7790" w:rsidRDefault="007F7790" w:rsidP="007F7790">
      <w:pPr>
        <w:pStyle w:val="CGCBullet1"/>
      </w:pPr>
      <w:r>
        <w:t xml:space="preserve">the high minimum fixed costs faced by the </w:t>
      </w:r>
      <w:r w:rsidR="00FE3160">
        <w:t xml:space="preserve">Northern </w:t>
      </w:r>
      <w:r>
        <w:t>Territory including additional costs associated with its dual service delivery arrangements due to a relatively large Indigenous population</w:t>
      </w:r>
    </w:p>
    <w:p w14:paraId="38B54BA8" w14:textId="77777777" w:rsidR="007F7790" w:rsidRDefault="007F7790" w:rsidP="007F7790">
      <w:pPr>
        <w:pStyle w:val="CGCBullet1"/>
      </w:pPr>
      <w:r>
        <w:lastRenderedPageBreak/>
        <w:t>the complexity and high costs of service provision given its large Indigenous population including in the areas of education, health, welfare and police</w:t>
      </w:r>
    </w:p>
    <w:p w14:paraId="1E24383C" w14:textId="77777777" w:rsidR="007F7790" w:rsidRDefault="007F7790" w:rsidP="007F7790">
      <w:pPr>
        <w:pStyle w:val="CGCBullet1"/>
      </w:pPr>
      <w:r>
        <w:t>the high costs of service provision to remote communities.</w:t>
      </w:r>
    </w:p>
    <w:p w14:paraId="6E8E2538" w14:textId="77777777" w:rsidR="007F7790" w:rsidRDefault="007F7790" w:rsidP="007F7790">
      <w:pPr>
        <w:pStyle w:val="Heading3"/>
      </w:pPr>
      <w:r>
        <w:t>Consultants’ reports</w:t>
      </w:r>
    </w:p>
    <w:p w14:paraId="5E36C3DD" w14:textId="77777777" w:rsidR="007F7790" w:rsidRPr="004838D3" w:rsidRDefault="007F7790" w:rsidP="00F47EC7">
      <w:pPr>
        <w:pStyle w:val="CGCParaNumber"/>
      </w:pPr>
      <w:r>
        <w:t xml:space="preserve">The Commission engaged consultants to provide expert advice on several issues. A list of consultant reports prepared for the Commission for the 2020 Review appears below. The reports are available on the </w:t>
      </w:r>
      <w:hyperlink r:id="rId74" w:history="1">
        <w:r w:rsidRPr="00350C6D">
          <w:rPr>
            <w:rStyle w:val="Hyperlink"/>
          </w:rPr>
          <w:t>Commission website</w:t>
        </w:r>
      </w:hyperlink>
      <w:r w:rsidRPr="002233A6">
        <w:t xml:space="preserve"> (</w:t>
      </w:r>
      <w:r w:rsidRPr="007B0DEF">
        <w:t>https://cgc.gov.au/</w:t>
      </w:r>
      <w:r>
        <w:t xml:space="preserve">). </w:t>
      </w:r>
    </w:p>
    <w:p w14:paraId="7604CC20" w14:textId="77777777" w:rsidR="007F7790" w:rsidRDefault="007F7790" w:rsidP="007F7790">
      <w:pPr>
        <w:pStyle w:val="CGCBullet1"/>
      </w:pPr>
      <w:r w:rsidRPr="004838D3">
        <w:rPr>
          <w:i/>
        </w:rPr>
        <w:t>State tax elasticities of revenue bases</w:t>
      </w:r>
      <w:r>
        <w:t xml:space="preserve">, Tax and Transfer Policy Institute, </w:t>
      </w:r>
      <w:r w:rsidRPr="004838D3">
        <w:t>Crawford School of Public Policy</w:t>
      </w:r>
      <w:r>
        <w:t xml:space="preserve">, The Australian National University, </w:t>
      </w:r>
      <w:r w:rsidRPr="00142445">
        <w:t>Ralf Steinhauser, Mathias Sinning and Kristen Sobeck</w:t>
      </w:r>
      <w:r>
        <w:t>, March 2019.</w:t>
      </w:r>
    </w:p>
    <w:p w14:paraId="3117D579" w14:textId="77777777" w:rsidR="007F7790" w:rsidRDefault="007F7790" w:rsidP="007F7790">
      <w:pPr>
        <w:pStyle w:val="CGCBullet1"/>
      </w:pPr>
      <w:r w:rsidRPr="00142445">
        <w:rPr>
          <w:i/>
        </w:rPr>
        <w:t>Modelling of urban transport recurrent and infrastructure expenditure requirements, Stage 1 Report</w:t>
      </w:r>
      <w:r>
        <w:t>, Jacobs Australia Pty. Ltd, September 2017.</w:t>
      </w:r>
    </w:p>
    <w:p w14:paraId="7A654185" w14:textId="77777777" w:rsidR="007F7790" w:rsidRPr="004838D3" w:rsidRDefault="007F7790" w:rsidP="007F7790">
      <w:pPr>
        <w:pStyle w:val="CGCBullet1"/>
      </w:pPr>
      <w:r w:rsidRPr="00142445">
        <w:rPr>
          <w:i/>
        </w:rPr>
        <w:t xml:space="preserve">Urban Transport Consultancy Stage 2 </w:t>
      </w:r>
      <w:r>
        <w:rPr>
          <w:i/>
        </w:rPr>
        <w:t>—</w:t>
      </w:r>
      <w:r w:rsidRPr="00142445">
        <w:rPr>
          <w:i/>
        </w:rPr>
        <w:t xml:space="preserve"> Final Report</w:t>
      </w:r>
      <w:r>
        <w:t>, Jacobs Australia Pty. Ltd, October 2018.</w:t>
      </w:r>
    </w:p>
    <w:p w14:paraId="205B56C8" w14:textId="77777777" w:rsidR="00EE0914" w:rsidRDefault="00EE0914" w:rsidP="00161EFB"/>
    <w:p w14:paraId="34B6FF23" w14:textId="395581A5" w:rsidR="00EE0914" w:rsidRDefault="00EE0914" w:rsidP="00161EFB">
      <w:pPr>
        <w:sectPr w:rsidR="00EE0914" w:rsidSect="00917501">
          <w:footerReference w:type="default" r:id="rId75"/>
          <w:footerReference w:type="first" r:id="rId76"/>
          <w:footnotePr>
            <w:numRestart w:val="eachSect"/>
          </w:footnotePr>
          <w:pgSz w:w="11899" w:h="16838" w:code="9"/>
          <w:pgMar w:top="1418" w:right="1474" w:bottom="1418" w:left="1474" w:header="709" w:footer="567" w:gutter="0"/>
          <w:cols w:space="708"/>
          <w:titlePg/>
          <w:docGrid w:linePitch="299"/>
        </w:sectPr>
      </w:pPr>
    </w:p>
    <w:p w14:paraId="428A4A5E" w14:textId="77777777" w:rsidR="00632D88" w:rsidRPr="00632D88" w:rsidRDefault="00632D88" w:rsidP="00632D88">
      <w:pPr>
        <w:pStyle w:val="Heading1"/>
      </w:pPr>
      <w:bookmarkStart w:id="683" w:name="_Toc32922499"/>
      <w:r w:rsidRPr="00632D88">
        <w:lastRenderedPageBreak/>
        <w:t>Glossary</w:t>
      </w:r>
      <w:bookmarkEnd w:id="683"/>
    </w:p>
    <w:p w14:paraId="4E53D6B5" w14:textId="77777777" w:rsidR="00632D88" w:rsidRPr="00632D88" w:rsidRDefault="00632D88" w:rsidP="00632D88">
      <w:r w:rsidRPr="00632D88">
        <w:t xml:space="preserve">This glossary provides a list of the main terms that have a meaning specific to the Commission. The term ‘State(s)’ includes the Australian Capital Territory and the Northern Territory. </w:t>
      </w:r>
    </w:p>
    <w:p w14:paraId="0160C070" w14:textId="77777777" w:rsidR="00632D88" w:rsidRPr="00632D88" w:rsidRDefault="00632D88" w:rsidP="00632D88">
      <w:pPr>
        <w:rPr>
          <w:b/>
        </w:rPr>
      </w:pPr>
      <w:r w:rsidRPr="00632D88">
        <w:rPr>
          <w:b/>
        </w:rPr>
        <w:t xml:space="preserve">actual per capita (APC) assessment method </w:t>
      </w:r>
    </w:p>
    <w:p w14:paraId="77C344A1" w14:textId="77777777" w:rsidR="00632D88" w:rsidRPr="00632D88" w:rsidRDefault="00632D88" w:rsidP="00632D88">
      <w:r w:rsidRPr="00632D88">
        <w:t>The assessed expense or revenue for each State is set equal to its actual expense or revenue. It is used when, in the Commission’s judgment, the policies of all States are the same and any differences in expenses or revenue per capita are due to differences in State circumstances.</w:t>
      </w:r>
    </w:p>
    <w:p w14:paraId="192CBA52" w14:textId="77777777" w:rsidR="00632D88" w:rsidRPr="00632D88" w:rsidRDefault="00632D88" w:rsidP="00632D88">
      <w:pPr>
        <w:rPr>
          <w:b/>
        </w:rPr>
      </w:pPr>
      <w:r w:rsidRPr="00632D88">
        <w:rPr>
          <w:b/>
        </w:rPr>
        <w:t>adjusted budget</w:t>
      </w:r>
    </w:p>
    <w:p w14:paraId="63F4951B" w14:textId="7CC44B2F" w:rsidR="00632D88" w:rsidRPr="00632D88" w:rsidRDefault="00632D88" w:rsidP="00632D88">
      <w:r w:rsidRPr="00632D88">
        <w:t>A representation of State budgets used by the Commission to calculate the average per capita revenue and expenditures. The scope of the adjusted budget covers all transactions of the State general government sector and urban transport and housing public non</w:t>
      </w:r>
      <w:r w:rsidRPr="00632D88">
        <w:noBreakHyphen/>
        <w:t>financial corporations</w:t>
      </w:r>
      <w:r w:rsidR="000C017A">
        <w:t>.</w:t>
      </w:r>
      <w:r w:rsidRPr="00632D88">
        <w:t xml:space="preserve"> </w:t>
      </w:r>
    </w:p>
    <w:p w14:paraId="39092B4A" w14:textId="77777777" w:rsidR="00632D88" w:rsidRPr="00632D88" w:rsidRDefault="00632D88" w:rsidP="00632D88">
      <w:pPr>
        <w:rPr>
          <w:b/>
        </w:rPr>
      </w:pPr>
      <w:r w:rsidRPr="00632D88">
        <w:rPr>
          <w:b/>
        </w:rPr>
        <w:t>administrative scale disability</w:t>
      </w:r>
    </w:p>
    <w:p w14:paraId="2FCE80BD" w14:textId="2B737C05" w:rsidR="00632D88" w:rsidRPr="00632D88" w:rsidRDefault="00632D88" w:rsidP="00632D88">
      <w:r w:rsidRPr="00632D88">
        <w:t xml:space="preserve">A disability that measures differences in costs </w:t>
      </w:r>
      <w:r w:rsidR="00D02544">
        <w:t>that</w:t>
      </w:r>
      <w:r w:rsidR="00D02544" w:rsidRPr="00632D88">
        <w:t xml:space="preserve"> </w:t>
      </w:r>
      <w:r w:rsidRPr="00632D88">
        <w:t xml:space="preserve">States incur in providing the minimum level of administration and policy development required to deliver services. It relates to core head office functions and to specialised </w:t>
      </w:r>
      <w:r w:rsidR="00426446" w:rsidRPr="00632D88">
        <w:t>State-wide</w:t>
      </w:r>
      <w:r w:rsidRPr="00632D88">
        <w:t xml:space="preserve"> services provided centrally. </w:t>
      </w:r>
    </w:p>
    <w:p w14:paraId="202D97BF" w14:textId="77777777" w:rsidR="00632D88" w:rsidRPr="00632D88" w:rsidRDefault="00632D88" w:rsidP="00632D88">
      <w:pPr>
        <w:rPr>
          <w:b/>
        </w:rPr>
      </w:pPr>
      <w:r w:rsidRPr="00632D88">
        <w:rPr>
          <w:b/>
        </w:rPr>
        <w:t>application year</w:t>
      </w:r>
    </w:p>
    <w:p w14:paraId="10234000" w14:textId="6F28CAEF" w:rsidR="00632D88" w:rsidRPr="00632D88" w:rsidRDefault="00632D88" w:rsidP="00632D88">
      <w:r w:rsidRPr="00632D88">
        <w:t xml:space="preserve">The year in which the </w:t>
      </w:r>
      <w:r w:rsidR="006C7FB8">
        <w:t>recommended</w:t>
      </w:r>
      <w:r w:rsidRPr="00632D88">
        <w:t xml:space="preserve"> </w:t>
      </w:r>
      <w:r w:rsidR="00D443F4">
        <w:t xml:space="preserve">relativities </w:t>
      </w:r>
      <w:r w:rsidR="00E35FCE">
        <w:t>are</w:t>
      </w:r>
      <w:r w:rsidR="00E35FCE" w:rsidRPr="00632D88">
        <w:t xml:space="preserve"> </w:t>
      </w:r>
      <w:r w:rsidRPr="00632D88">
        <w:t xml:space="preserve">to be used to distribute the GST revenue. For example, </w:t>
      </w:r>
      <w:r w:rsidR="00CC0CE8">
        <w:t>for</w:t>
      </w:r>
      <w:r w:rsidRPr="00632D88">
        <w:t xml:space="preserve"> the 20</w:t>
      </w:r>
      <w:r w:rsidR="00CC0CE8">
        <w:t>20</w:t>
      </w:r>
      <w:r w:rsidRPr="00632D88">
        <w:t xml:space="preserve"> </w:t>
      </w:r>
      <w:r w:rsidR="00CC0CE8">
        <w:t>Review</w:t>
      </w:r>
      <w:r w:rsidRPr="00632D88">
        <w:t xml:space="preserve"> the year of application is 20</w:t>
      </w:r>
      <w:r w:rsidR="00CC0CE8">
        <w:t>20</w:t>
      </w:r>
      <w:r w:rsidRPr="00632D88">
        <w:noBreakHyphen/>
        <w:t>2</w:t>
      </w:r>
      <w:r w:rsidR="00CC0CE8">
        <w:t>1</w:t>
      </w:r>
      <w:r w:rsidRPr="00632D88">
        <w:t>.</w:t>
      </w:r>
    </w:p>
    <w:p w14:paraId="335AE9A9" w14:textId="77777777" w:rsidR="00632D88" w:rsidRPr="00632D88" w:rsidRDefault="00632D88" w:rsidP="00632D88">
      <w:pPr>
        <w:rPr>
          <w:b/>
        </w:rPr>
      </w:pPr>
      <w:r w:rsidRPr="00632D88">
        <w:rPr>
          <w:b/>
        </w:rPr>
        <w:t>assessed differences (also known as needs)</w:t>
      </w:r>
    </w:p>
    <w:p w14:paraId="41C2D1EF" w14:textId="1D4EEC43" w:rsidR="00632D88" w:rsidRPr="00632D88" w:rsidRDefault="00632D88" w:rsidP="00632D88">
      <w:r w:rsidRPr="00632D88">
        <w:t xml:space="preserve">The </w:t>
      </w:r>
      <w:r w:rsidR="0098583E">
        <w:t xml:space="preserve">measure of the </w:t>
      </w:r>
      <w:r w:rsidR="005455DC">
        <w:t>effect of</w:t>
      </w:r>
      <w:r w:rsidRPr="00632D88">
        <w:t xml:space="preserve"> a State’s disabilities. They are </w:t>
      </w:r>
      <w:r w:rsidR="001C2A80">
        <w:t>calculated</w:t>
      </w:r>
      <w:r w:rsidRPr="00632D88">
        <w:t xml:space="preserve">, for example, as the difference between assessed expenses and average expenses, assessed revenue and average revenue. Assessed differences can be either positive or negative.  </w:t>
      </w:r>
    </w:p>
    <w:p w14:paraId="69FC99FC" w14:textId="77777777" w:rsidR="00632D88" w:rsidRPr="00632D88" w:rsidRDefault="00632D88" w:rsidP="00632D88">
      <w:pPr>
        <w:rPr>
          <w:b/>
        </w:rPr>
      </w:pPr>
      <w:r w:rsidRPr="00632D88">
        <w:rPr>
          <w:b/>
        </w:rPr>
        <w:t>assessed expenses</w:t>
      </w:r>
    </w:p>
    <w:p w14:paraId="1AAC426C" w14:textId="77777777" w:rsidR="00632D88" w:rsidRPr="00632D88" w:rsidRDefault="00632D88" w:rsidP="00632D88">
      <w:r w:rsidRPr="00632D88">
        <w:t>The expenses a State would incur if it were to follow average expense policies, allowing for the disabilities it faces in providing services, and assuming it provides services at the average level of efficiency. Assessed expenses exclude differences from the average due to policy choices under the control of a State.</w:t>
      </w:r>
    </w:p>
    <w:p w14:paraId="5D7CF5F6" w14:textId="77777777" w:rsidR="00632D88" w:rsidRPr="00632D88" w:rsidRDefault="00632D88" w:rsidP="00632D88">
      <w:pPr>
        <w:rPr>
          <w:b/>
        </w:rPr>
      </w:pPr>
      <w:r w:rsidRPr="00632D88">
        <w:rPr>
          <w:b/>
        </w:rPr>
        <w:t>assessed GST requirement</w:t>
      </w:r>
    </w:p>
    <w:p w14:paraId="1DF4B835" w14:textId="7B4CE5DC" w:rsidR="00632D88" w:rsidRPr="00632D88" w:rsidRDefault="00632D88" w:rsidP="00632D88">
      <w:r w:rsidRPr="00632D88">
        <w:t xml:space="preserve">A State’s requirement for funds from GST revenue in an assessment year. It is measured as </w:t>
      </w:r>
      <w:r w:rsidR="00A06FEB">
        <w:t xml:space="preserve">the sum of </w:t>
      </w:r>
      <w:r w:rsidRPr="00632D88">
        <w:t>its assessed expenses</w:t>
      </w:r>
      <w:r w:rsidR="00A06FEB">
        <w:t xml:space="preserve"> and</w:t>
      </w:r>
      <w:r w:rsidRPr="00632D88">
        <w:t xml:space="preserve"> assessed investment, less </w:t>
      </w:r>
      <w:r w:rsidR="00935CD9">
        <w:t xml:space="preserve">the sum of </w:t>
      </w:r>
      <w:r w:rsidRPr="00632D88">
        <w:t>its assessed revenue, assessed Commonwealth payments and assessed net borrowing.</w:t>
      </w:r>
    </w:p>
    <w:p w14:paraId="504B9AED" w14:textId="0EEBF507" w:rsidR="00632D88" w:rsidRPr="00632D88" w:rsidRDefault="00632D88" w:rsidP="00632D88">
      <w:pPr>
        <w:rPr>
          <w:b/>
        </w:rPr>
      </w:pPr>
      <w:r w:rsidRPr="00632D88">
        <w:rPr>
          <w:b/>
        </w:rPr>
        <w:t>assessed investment</w:t>
      </w:r>
      <w:r w:rsidR="001361D4">
        <w:rPr>
          <w:b/>
        </w:rPr>
        <w:t xml:space="preserve"> (also referred to as gross investment)</w:t>
      </w:r>
    </w:p>
    <w:p w14:paraId="7F834F7C" w14:textId="4FF7B3BF" w:rsidR="00632D88" w:rsidRPr="00632D88" w:rsidRDefault="00632D88" w:rsidP="00632D88">
      <w:r w:rsidRPr="00632D88">
        <w:t xml:space="preserve">The expenditure on </w:t>
      </w:r>
      <w:r w:rsidR="003158FD">
        <w:t>new and replacement</w:t>
      </w:r>
      <w:r w:rsidRPr="00632D88">
        <w:t xml:space="preserve"> infrastructure a State would incur if it were to follow average policies, allowing for disabilities it faces in providing infrastructure, and assuming it requires the average level of infrastructure to deliver the average level of services. </w:t>
      </w:r>
      <w:r w:rsidR="00C92FC0" w:rsidRPr="00632D88">
        <w:t xml:space="preserve">The Commission’s method for calculating assessed </w:t>
      </w:r>
      <w:r w:rsidR="005D6731">
        <w:t>investment</w:t>
      </w:r>
      <w:r w:rsidR="00C92FC0" w:rsidRPr="00632D88">
        <w:t xml:space="preserve"> assumes that each State has the average </w:t>
      </w:r>
      <w:r w:rsidR="005D6731">
        <w:t>infrastructure</w:t>
      </w:r>
      <w:r w:rsidR="00C92FC0" w:rsidRPr="00632D88">
        <w:t xml:space="preserve"> at the start of each year.</w:t>
      </w:r>
      <w:r w:rsidR="00707901">
        <w:t xml:space="preserve"> </w:t>
      </w:r>
      <w:r w:rsidRPr="00632D88">
        <w:t xml:space="preserve">Assessed investment excludes differences from the average due to policy choices under the control of that State. </w:t>
      </w:r>
    </w:p>
    <w:p w14:paraId="6B8D3CA2" w14:textId="77777777" w:rsidR="00632D88" w:rsidRPr="00632D88" w:rsidRDefault="00632D88" w:rsidP="00632D88">
      <w:pPr>
        <w:keepNext/>
        <w:keepLines/>
        <w:rPr>
          <w:b/>
        </w:rPr>
      </w:pPr>
      <w:r w:rsidRPr="00632D88">
        <w:rPr>
          <w:b/>
        </w:rPr>
        <w:lastRenderedPageBreak/>
        <w:t>assessed net lending/borrowing</w:t>
      </w:r>
    </w:p>
    <w:p w14:paraId="245C04F8" w14:textId="42A76EE3" w:rsidR="00632D88" w:rsidRPr="00632D88" w:rsidRDefault="00632D88" w:rsidP="00632D88">
      <w:pPr>
        <w:keepNext/>
        <w:keepLines/>
      </w:pPr>
      <w:r w:rsidRPr="00632D88">
        <w:t>The transaction</w:t>
      </w:r>
      <w:r w:rsidR="00426446">
        <w:t>-</w:t>
      </w:r>
      <w:r w:rsidRPr="00632D88">
        <w:t>based change in net financial worth that a State would require to achieve the average net financial worth at the end of each year. The Commission’s method for calculating assessed net lending/borrowing assumes that each State has the average net financial worth at the start of each year.</w:t>
      </w:r>
    </w:p>
    <w:p w14:paraId="79376A25" w14:textId="77777777" w:rsidR="00632D88" w:rsidRPr="00632D88" w:rsidRDefault="00632D88" w:rsidP="00632D88">
      <w:pPr>
        <w:rPr>
          <w:b/>
        </w:rPr>
      </w:pPr>
      <w:r w:rsidRPr="00632D88">
        <w:rPr>
          <w:b/>
        </w:rPr>
        <w:t>assessed revenue</w:t>
      </w:r>
    </w:p>
    <w:p w14:paraId="5DEFF54A" w14:textId="3E729206" w:rsidR="00632D88" w:rsidRPr="00632D88" w:rsidRDefault="00632D88" w:rsidP="00632D88">
      <w:r w:rsidRPr="00632D88">
        <w:t xml:space="preserve">The revenue a State would raise if it were to apply the average policies to its revenue </w:t>
      </w:r>
      <w:r w:rsidR="00EB6DBD" w:rsidRPr="00632D88">
        <w:t>base and</w:t>
      </w:r>
      <w:r w:rsidRPr="00632D88">
        <w:t xml:space="preserve"> raise revenue at the average level of efficiency. Assessed revenue excludes differences from the average due to policy choices under the control of that State, for example a higher or lower tax rate applied by a State compared to the average.</w:t>
      </w:r>
    </w:p>
    <w:p w14:paraId="59A20ECB" w14:textId="77777777" w:rsidR="00632D88" w:rsidRPr="00632D88" w:rsidRDefault="00632D88" w:rsidP="00632D88">
      <w:pPr>
        <w:rPr>
          <w:b/>
        </w:rPr>
      </w:pPr>
      <w:r w:rsidRPr="00632D88">
        <w:rPr>
          <w:b/>
        </w:rPr>
        <w:t>assessment years</w:t>
      </w:r>
    </w:p>
    <w:p w14:paraId="391E65B4" w14:textId="6A471146" w:rsidR="00632D88" w:rsidRPr="00632D88" w:rsidRDefault="00632D88" w:rsidP="00632D88">
      <w:r w:rsidRPr="00632D88">
        <w:t xml:space="preserve">The financial years used in a review or an update </w:t>
      </w:r>
      <w:r w:rsidR="00386700">
        <w:t>for</w:t>
      </w:r>
      <w:r w:rsidR="00386700" w:rsidRPr="00632D88">
        <w:t xml:space="preserve"> </w:t>
      </w:r>
      <w:r w:rsidRPr="00632D88">
        <w:t>which annual relativit</w:t>
      </w:r>
      <w:r w:rsidR="00DF18A9">
        <w:t>ies</w:t>
      </w:r>
      <w:r w:rsidRPr="00632D88">
        <w:t xml:space="preserve"> </w:t>
      </w:r>
      <w:r w:rsidR="00DF18A9">
        <w:t>are</w:t>
      </w:r>
      <w:r w:rsidR="00DF18A9" w:rsidRPr="00632D88">
        <w:t xml:space="preserve"> </w:t>
      </w:r>
      <w:r w:rsidRPr="00632D88">
        <w:t xml:space="preserve">calculated. The Commission uses data for three assessment years </w:t>
      </w:r>
      <w:r w:rsidR="00DF18A9">
        <w:t>to calc</w:t>
      </w:r>
      <w:r w:rsidR="0071779F">
        <w:t xml:space="preserve">ulate </w:t>
      </w:r>
      <w:r w:rsidR="00757EFD">
        <w:t>the</w:t>
      </w:r>
      <w:r w:rsidR="00C713B3">
        <w:t xml:space="preserve"> three year average relativit</w:t>
      </w:r>
      <w:r w:rsidR="00EE33AD">
        <w:t>ies</w:t>
      </w:r>
      <w:r w:rsidRPr="00632D88">
        <w:t xml:space="preserve">. For example, the </w:t>
      </w:r>
      <w:r w:rsidR="00BA7781">
        <w:t>relativities</w:t>
      </w:r>
      <w:r w:rsidRPr="00632D88">
        <w:t xml:space="preserve"> </w:t>
      </w:r>
      <w:r w:rsidRPr="00E30992">
        <w:t xml:space="preserve">recommended </w:t>
      </w:r>
      <w:r w:rsidRPr="00290E41">
        <w:t xml:space="preserve">in </w:t>
      </w:r>
      <w:r w:rsidR="00605FBC" w:rsidRPr="00290E41">
        <w:t>this review</w:t>
      </w:r>
      <w:r w:rsidRPr="00290E41">
        <w:t xml:space="preserve"> for the </w:t>
      </w:r>
      <w:r w:rsidR="00C664E6" w:rsidRPr="00290E41">
        <w:t xml:space="preserve">2020-21 </w:t>
      </w:r>
      <w:r w:rsidRPr="00290E41">
        <w:t>application year</w:t>
      </w:r>
      <w:r w:rsidRPr="00E30992">
        <w:t xml:space="preserve"> </w:t>
      </w:r>
      <w:r w:rsidR="00BA7781" w:rsidRPr="00D43F29">
        <w:t xml:space="preserve">are </w:t>
      </w:r>
      <w:r w:rsidRPr="00D43F29">
        <w:t xml:space="preserve">based on the </w:t>
      </w:r>
      <w:r w:rsidR="007D1915" w:rsidRPr="00D43F29">
        <w:t>relativities for</w:t>
      </w:r>
      <w:r w:rsidRPr="00D43F29">
        <w:t xml:space="preserve"> three assessment year</w:t>
      </w:r>
      <w:r w:rsidR="0025791A" w:rsidRPr="00CB0EF2">
        <w:t>s</w:t>
      </w:r>
      <w:r w:rsidR="00E30992" w:rsidRPr="00CB0EF2">
        <w:t>,</w:t>
      </w:r>
      <w:r w:rsidR="003724D5" w:rsidRPr="00E30992">
        <w:t xml:space="preserve"> </w:t>
      </w:r>
      <w:r w:rsidR="00ED3215" w:rsidRPr="00290E41">
        <w:t>2016-17</w:t>
      </w:r>
      <w:r w:rsidR="00DF18A9" w:rsidRPr="00290E41">
        <w:t>,</w:t>
      </w:r>
      <w:r w:rsidR="00082F18">
        <w:t xml:space="preserve"> </w:t>
      </w:r>
      <w:r w:rsidR="00DF18A9" w:rsidRPr="00290E41">
        <w:t xml:space="preserve">2017-18 and </w:t>
      </w:r>
      <w:r w:rsidR="00ED3215" w:rsidRPr="00290E41">
        <w:t>2018-19</w:t>
      </w:r>
      <w:r w:rsidRPr="00D43F29">
        <w:t>.</w:t>
      </w:r>
    </w:p>
    <w:p w14:paraId="5E3069B4" w14:textId="77777777" w:rsidR="00632D88" w:rsidRPr="00632D88" w:rsidRDefault="00632D88" w:rsidP="00632D88">
      <w:pPr>
        <w:rPr>
          <w:b/>
        </w:rPr>
      </w:pPr>
      <w:r w:rsidRPr="00632D88">
        <w:rPr>
          <w:b/>
        </w:rPr>
        <w:t>average (or Australian average)</w:t>
      </w:r>
    </w:p>
    <w:p w14:paraId="02540AE4" w14:textId="171F79F4" w:rsidR="00632D88" w:rsidRPr="00632D88" w:rsidRDefault="00632D88" w:rsidP="00632D88">
      <w:r w:rsidRPr="00632D88">
        <w:t>The benchmark against which a State</w:t>
      </w:r>
      <w:r w:rsidR="00AC11C1">
        <w:t xml:space="preserve">’s fiscal capacity is </w:t>
      </w:r>
      <w:r w:rsidRPr="00632D88">
        <w:t xml:space="preserve">assessed. It is an average derived from the policies or financial data of all States, and hence may be a financial average or a policy average. </w:t>
      </w:r>
    </w:p>
    <w:p w14:paraId="6D3280E7" w14:textId="77777777" w:rsidR="00632D88" w:rsidRPr="00632D88" w:rsidRDefault="00632D88" w:rsidP="00632D88">
      <w:pPr>
        <w:rPr>
          <w:b/>
        </w:rPr>
      </w:pPr>
      <w:r w:rsidRPr="00632D88">
        <w:rPr>
          <w:b/>
        </w:rPr>
        <w:t>average expenses</w:t>
      </w:r>
    </w:p>
    <w:p w14:paraId="458800FA" w14:textId="653B2862" w:rsidR="00632D88" w:rsidRPr="00632D88" w:rsidRDefault="00632D88" w:rsidP="00632D88">
      <w:r w:rsidRPr="00632D88">
        <w:t>The average per capita expense in a category</w:t>
      </w:r>
      <w:r w:rsidR="0052248B">
        <w:t xml:space="preserve"> or component</w:t>
      </w:r>
      <w:r w:rsidRPr="00632D88">
        <w:t>, is calculated as the sum of expenses of all States, divided by the Australian population.</w:t>
      </w:r>
    </w:p>
    <w:p w14:paraId="562712C8" w14:textId="5CF6103F" w:rsidR="003B05A2" w:rsidRPr="00632D88" w:rsidRDefault="003B05A2" w:rsidP="003B05A2">
      <w:pPr>
        <w:rPr>
          <w:b/>
        </w:rPr>
      </w:pPr>
      <w:r w:rsidRPr="00632D88">
        <w:rPr>
          <w:b/>
        </w:rPr>
        <w:t>average</w:t>
      </w:r>
      <w:r w:rsidRPr="003B05A2">
        <w:rPr>
          <w:b/>
        </w:rPr>
        <w:t xml:space="preserve"> </w:t>
      </w:r>
      <w:r w:rsidRPr="00632D88">
        <w:rPr>
          <w:b/>
        </w:rPr>
        <w:t>policy</w:t>
      </w:r>
    </w:p>
    <w:p w14:paraId="34086410" w14:textId="29893615" w:rsidR="003B05A2" w:rsidRPr="00632D88" w:rsidRDefault="003B05A2" w:rsidP="003B05A2">
      <w:r w:rsidRPr="00632D88">
        <w:t xml:space="preserve">The average policies as reflected in the practices of the States in the collection of revenue and </w:t>
      </w:r>
      <w:r w:rsidR="00D43F29">
        <w:t>delivery</w:t>
      </w:r>
      <w:r w:rsidRPr="00632D88">
        <w:t xml:space="preserve"> of services. These averages are usually weighted according to the size of the user or revenue bases in each State. </w:t>
      </w:r>
    </w:p>
    <w:p w14:paraId="0D9A4653" w14:textId="77777777" w:rsidR="00632D88" w:rsidRPr="00632D88" w:rsidRDefault="00632D88" w:rsidP="00632D88">
      <w:pPr>
        <w:rPr>
          <w:b/>
        </w:rPr>
      </w:pPr>
      <w:r w:rsidRPr="00632D88">
        <w:rPr>
          <w:b/>
        </w:rPr>
        <w:t>average revenue</w:t>
      </w:r>
    </w:p>
    <w:p w14:paraId="728886E9" w14:textId="34630DF6" w:rsidR="00632D88" w:rsidRPr="00632D88" w:rsidRDefault="00632D88" w:rsidP="00632D88">
      <w:r w:rsidRPr="00632D88">
        <w:t>The average per capita revenue in a category</w:t>
      </w:r>
      <w:r w:rsidR="00ED6408">
        <w:t xml:space="preserve"> or component</w:t>
      </w:r>
      <w:r w:rsidRPr="00632D88">
        <w:t xml:space="preserve"> is calculated as the sum of State revenues, divided by the Australian population.</w:t>
      </w:r>
    </w:p>
    <w:p w14:paraId="7AAC91A7" w14:textId="77777777" w:rsidR="00632D88" w:rsidRPr="00632D88" w:rsidRDefault="00632D88" w:rsidP="00632D88">
      <w:pPr>
        <w:rPr>
          <w:b/>
        </w:rPr>
      </w:pPr>
      <w:r w:rsidRPr="00632D88">
        <w:rPr>
          <w:b/>
        </w:rPr>
        <w:t>backcasting</w:t>
      </w:r>
    </w:p>
    <w:p w14:paraId="495C9AFE" w14:textId="55B396AA" w:rsidR="00632D88" w:rsidRPr="00632D88" w:rsidRDefault="00632D88" w:rsidP="00632D88">
      <w:r w:rsidRPr="00632D88">
        <w:t>Changes made to assessment year</w:t>
      </w:r>
      <w:r w:rsidR="00ED6408">
        <w:t xml:space="preserve"> data</w:t>
      </w:r>
      <w:r w:rsidRPr="00632D88">
        <w:t xml:space="preserve"> to reflect </w:t>
      </w:r>
      <w:r w:rsidR="00437D40">
        <w:t>application year</w:t>
      </w:r>
      <w:r w:rsidRPr="00632D88">
        <w:t xml:space="preserve"> Commonwealth or State policies. Backcasting is mainly used to reflect major changes in federal financial arrangements. In effect, backcasting produces notional financial data that simulate a changed distribution of a Commonwealth payment</w:t>
      </w:r>
      <w:r w:rsidR="00FC417E">
        <w:t xml:space="preserve">, </w:t>
      </w:r>
      <w:r w:rsidRPr="00632D88">
        <w:t xml:space="preserve">State revenue </w:t>
      </w:r>
      <w:r w:rsidR="00FC417E">
        <w:t>or expense</w:t>
      </w:r>
      <w:r w:rsidR="00F60F9B">
        <w:t xml:space="preserve">. </w:t>
      </w:r>
      <w:r w:rsidRPr="00632D88">
        <w:t>Actual data for the assessment period are adjusted to reflect what is reliably known to be happening in the application year.</w:t>
      </w:r>
    </w:p>
    <w:p w14:paraId="00B2EEB3" w14:textId="77777777" w:rsidR="00632D88" w:rsidRPr="00632D88" w:rsidRDefault="00632D88" w:rsidP="00632D88">
      <w:pPr>
        <w:rPr>
          <w:b/>
        </w:rPr>
      </w:pPr>
      <w:r w:rsidRPr="00632D88">
        <w:rPr>
          <w:b/>
        </w:rPr>
        <w:t>capital assessments</w:t>
      </w:r>
    </w:p>
    <w:p w14:paraId="6B7BF622" w14:textId="58FCCDFF" w:rsidR="00632D88" w:rsidRPr="00632D88" w:rsidRDefault="00632D88" w:rsidP="00632D88">
      <w:r w:rsidRPr="00632D88">
        <w:t xml:space="preserve">In this report, the term capital </w:t>
      </w:r>
      <w:r w:rsidR="007C1D23">
        <w:t xml:space="preserve">assessments </w:t>
      </w:r>
      <w:r w:rsidRPr="00632D88">
        <w:t xml:space="preserve">refers to the </w:t>
      </w:r>
      <w:r w:rsidR="00CD0DD1">
        <w:t>I</w:t>
      </w:r>
      <w:r w:rsidRPr="00632D88">
        <w:t>nvestment</w:t>
      </w:r>
      <w:r w:rsidR="00375DEF">
        <w:t xml:space="preserve"> </w:t>
      </w:r>
      <w:r w:rsidRPr="00632D88">
        <w:t xml:space="preserve">and Net borrowing assessments. </w:t>
      </w:r>
    </w:p>
    <w:p w14:paraId="0D9E5D88" w14:textId="77777777" w:rsidR="00632D88" w:rsidRPr="00632D88" w:rsidRDefault="00632D88" w:rsidP="00632D88">
      <w:pPr>
        <w:keepNext/>
        <w:keepLines/>
        <w:rPr>
          <w:b/>
        </w:rPr>
      </w:pPr>
      <w:r w:rsidRPr="00632D88">
        <w:rPr>
          <w:b/>
        </w:rPr>
        <w:lastRenderedPageBreak/>
        <w:t>category</w:t>
      </w:r>
    </w:p>
    <w:p w14:paraId="0F76EE12" w14:textId="32F122AC" w:rsidR="00632D88" w:rsidRPr="00632D88" w:rsidRDefault="00632D88" w:rsidP="00632D88">
      <w:pPr>
        <w:keepNext/>
        <w:keepLines/>
      </w:pPr>
      <w:r w:rsidRPr="00632D88">
        <w:t xml:space="preserve">A classification of in scope transactions relating to distinct services or revenue sources, used for </w:t>
      </w:r>
      <w:r w:rsidR="003C3273">
        <w:t>assessment</w:t>
      </w:r>
      <w:r w:rsidR="003C3273" w:rsidRPr="00632D88">
        <w:t xml:space="preserve"> </w:t>
      </w:r>
      <w:r w:rsidRPr="00632D88">
        <w:t xml:space="preserve">purposes. In </w:t>
      </w:r>
      <w:r w:rsidR="007635C8">
        <w:t>this review</w:t>
      </w:r>
      <w:r w:rsidRPr="00632D88">
        <w:t xml:space="preserve">, the adjusted budget is divided into Commonwealth payments, seven </w:t>
      </w:r>
      <w:r w:rsidR="009A2F6F">
        <w:t>own</w:t>
      </w:r>
      <w:r w:rsidR="009A2F6F">
        <w:noBreakHyphen/>
        <w:t>source</w:t>
      </w:r>
      <w:r w:rsidR="00422039">
        <w:t xml:space="preserve"> </w:t>
      </w:r>
      <w:r w:rsidRPr="00632D88">
        <w:t>revenue categories</w:t>
      </w:r>
      <w:r w:rsidR="009D112E">
        <w:t>,</w:t>
      </w:r>
      <w:r w:rsidR="00B50B08">
        <w:t xml:space="preserve"> </w:t>
      </w:r>
      <w:r w:rsidR="00286029">
        <w:t>elev</w:t>
      </w:r>
      <w:r w:rsidR="0007081A">
        <w:t>en</w:t>
      </w:r>
      <w:r w:rsidR="00A209BD">
        <w:t xml:space="preserve"> </w:t>
      </w:r>
      <w:r w:rsidR="009D112E" w:rsidRPr="00632D88">
        <w:t>expen</w:t>
      </w:r>
      <w:r w:rsidR="009D112E">
        <w:t>se</w:t>
      </w:r>
      <w:r w:rsidR="009D112E" w:rsidRPr="00632D88">
        <w:t xml:space="preserve"> </w:t>
      </w:r>
      <w:r w:rsidRPr="00632D88">
        <w:t>categories</w:t>
      </w:r>
      <w:r w:rsidR="00B50B08">
        <w:t xml:space="preserve">, </w:t>
      </w:r>
      <w:r w:rsidR="00B50B08" w:rsidRPr="00290E41">
        <w:t>investment</w:t>
      </w:r>
      <w:r w:rsidRPr="00290E41">
        <w:t xml:space="preserve"> and net borrowing</w:t>
      </w:r>
      <w:r w:rsidRPr="00632D88">
        <w:t xml:space="preserve">. </w:t>
      </w:r>
    </w:p>
    <w:p w14:paraId="6097DCD6" w14:textId="77777777" w:rsidR="00632D88" w:rsidRPr="00632D88" w:rsidRDefault="00632D88" w:rsidP="00632D88">
      <w:pPr>
        <w:rPr>
          <w:b/>
        </w:rPr>
      </w:pPr>
      <w:r w:rsidRPr="00632D88">
        <w:rPr>
          <w:b/>
        </w:rPr>
        <w:t>category factor</w:t>
      </w:r>
    </w:p>
    <w:p w14:paraId="3CFFF5B4" w14:textId="31747249" w:rsidR="00632D88" w:rsidRPr="00632D88" w:rsidRDefault="00632D88" w:rsidP="00632D88">
      <w:r w:rsidRPr="00632D88">
        <w:t xml:space="preserve">The combined </w:t>
      </w:r>
      <w:r w:rsidR="00646614">
        <w:t>effect</w:t>
      </w:r>
      <w:r w:rsidR="00646614" w:rsidRPr="00632D88">
        <w:t xml:space="preserve"> </w:t>
      </w:r>
      <w:r w:rsidRPr="00632D88">
        <w:t>of all the disabilit</w:t>
      </w:r>
      <w:r w:rsidR="00646614">
        <w:t>ies</w:t>
      </w:r>
      <w:r w:rsidRPr="00632D88">
        <w:t xml:space="preserve"> in a category expressed as a ratio to the average. For example</w:t>
      </w:r>
      <w:r w:rsidR="002F1EBD">
        <w:t>,</w:t>
      </w:r>
      <w:r w:rsidRPr="00632D88">
        <w:t xml:space="preserve"> in an expense category</w:t>
      </w:r>
      <w:r w:rsidR="00290E41">
        <w:t>,</w:t>
      </w:r>
      <w:r w:rsidRPr="00632D88">
        <w:t xml:space="preserve"> a category factor of 1.05 means that the State’s disabilities require it to spend 5% more than the average to follow the average expense policy at the average level of efficiency. </w:t>
      </w:r>
    </w:p>
    <w:p w14:paraId="4281CCD0" w14:textId="77777777" w:rsidR="00632D88" w:rsidRPr="00632D88" w:rsidRDefault="00632D88" w:rsidP="00632D88">
      <w:pPr>
        <w:rPr>
          <w:b/>
        </w:rPr>
      </w:pPr>
      <w:r w:rsidRPr="00632D88">
        <w:rPr>
          <w:b/>
        </w:rPr>
        <w:t>Commonwealth payments</w:t>
      </w:r>
      <w:bookmarkStart w:id="684" w:name="_GoBack"/>
      <w:bookmarkEnd w:id="684"/>
    </w:p>
    <w:p w14:paraId="089B19EA" w14:textId="5B51284B" w:rsidR="00632D88" w:rsidRPr="00632D88" w:rsidRDefault="00632D88" w:rsidP="00632D88">
      <w:r w:rsidRPr="00632D88">
        <w:t xml:space="preserve">Payments to States made by the Australian Government, including general revenue grants (other than GST revenue), payments for specific purposes (PSPs) and Commonwealth own purpose expenses. The Commission examines the purpose of each payment using </w:t>
      </w:r>
      <w:r w:rsidR="00D43F29">
        <w:t xml:space="preserve">an </w:t>
      </w:r>
      <w:r w:rsidRPr="00632D88">
        <w:t>established guideline to decide whether the payment has an impact on State fiscal capacities.</w:t>
      </w:r>
    </w:p>
    <w:p w14:paraId="413DCB06" w14:textId="77777777" w:rsidR="00632D88" w:rsidRPr="00632D88" w:rsidRDefault="00632D88" w:rsidP="00632D88">
      <w:pPr>
        <w:rPr>
          <w:b/>
        </w:rPr>
      </w:pPr>
      <w:r w:rsidRPr="00632D88">
        <w:rPr>
          <w:b/>
        </w:rPr>
        <w:t>component</w:t>
      </w:r>
    </w:p>
    <w:p w14:paraId="7AA274AD" w14:textId="77777777" w:rsidR="00632D88" w:rsidRPr="00632D88" w:rsidRDefault="00632D88" w:rsidP="00632D88">
      <w:r w:rsidRPr="00632D88">
        <w:t>A part of an expense or revenue category that is separated from others in the category because different disability factors apply to it.</w:t>
      </w:r>
    </w:p>
    <w:p w14:paraId="45630656" w14:textId="77777777" w:rsidR="00632D88" w:rsidRPr="00632D88" w:rsidRDefault="00632D88" w:rsidP="00632D88">
      <w:pPr>
        <w:rPr>
          <w:b/>
        </w:rPr>
      </w:pPr>
      <w:r w:rsidRPr="00632D88">
        <w:rPr>
          <w:b/>
        </w:rPr>
        <w:t>cross-border factor</w:t>
      </w:r>
    </w:p>
    <w:p w14:paraId="02F6E3E4" w14:textId="77777777" w:rsidR="00632D88" w:rsidRPr="00632D88" w:rsidRDefault="00632D88" w:rsidP="00632D88">
      <w:r w:rsidRPr="00632D88">
        <w:t xml:space="preserve">A disability factor that measures the net effects on a State’s costs of the use of its services by residents of other States and vice versa. </w:t>
      </w:r>
    </w:p>
    <w:p w14:paraId="549162B7" w14:textId="77777777" w:rsidR="00632D88" w:rsidRPr="00632D88" w:rsidRDefault="00632D88" w:rsidP="00632D88">
      <w:pPr>
        <w:rPr>
          <w:b/>
        </w:rPr>
      </w:pPr>
      <w:r w:rsidRPr="00632D88">
        <w:rPr>
          <w:b/>
        </w:rPr>
        <w:t>disability</w:t>
      </w:r>
    </w:p>
    <w:p w14:paraId="6884EBDC" w14:textId="63B7D96D" w:rsidR="00632D88" w:rsidRPr="00632D88" w:rsidRDefault="00632D88" w:rsidP="00632D88">
      <w:r w:rsidRPr="00632D88">
        <w:t>An influence beyond a State’s control that requires it</w:t>
      </w:r>
      <w:r w:rsidR="00CB380C">
        <w:t xml:space="preserve"> to</w:t>
      </w:r>
      <w:r w:rsidRPr="00632D88">
        <w:t>:</w:t>
      </w:r>
    </w:p>
    <w:p w14:paraId="4E593E8C" w14:textId="798C47D7" w:rsidR="00632D88" w:rsidRPr="000F3EFA" w:rsidRDefault="00632D88" w:rsidP="00321166">
      <w:pPr>
        <w:pStyle w:val="CGCBullet1"/>
      </w:pPr>
      <w:r w:rsidRPr="000F3EFA">
        <w:t xml:space="preserve">spend more (or less) per capita than the average to provide the average level of service, or </w:t>
      </w:r>
    </w:p>
    <w:p w14:paraId="50C162B7" w14:textId="139AE6CC" w:rsidR="00632D88" w:rsidRPr="000F3EFA" w:rsidRDefault="00632D88" w:rsidP="00321166">
      <w:pPr>
        <w:pStyle w:val="CGCBullet1"/>
      </w:pPr>
      <w:r w:rsidRPr="000F3EFA">
        <w:t xml:space="preserve">make a greater (or lesser) effort than the average to raise the average amount of revenue per capita. </w:t>
      </w:r>
    </w:p>
    <w:p w14:paraId="25F4E8DD" w14:textId="77777777" w:rsidR="00632D88" w:rsidRPr="00632D88" w:rsidRDefault="00632D88" w:rsidP="00632D88">
      <w:pPr>
        <w:rPr>
          <w:b/>
        </w:rPr>
      </w:pPr>
      <w:r w:rsidRPr="00632D88">
        <w:rPr>
          <w:b/>
        </w:rPr>
        <w:t>disability factor</w:t>
      </w:r>
    </w:p>
    <w:p w14:paraId="3F962CB8" w14:textId="77777777" w:rsidR="00632D88" w:rsidRPr="00632D88" w:rsidRDefault="00632D88" w:rsidP="00632D88">
      <w:r w:rsidRPr="00632D88">
        <w:t>A measure of a State’s use, cost or revenue raising disability, expressed as a ratio of the State's assessed expense or assessed revenue over the corresponding average figure. Policy differences between States are specifically excluded when calculating disability factors. The population weighted average of a disability factor is 1.0.</w:t>
      </w:r>
    </w:p>
    <w:p w14:paraId="7F3E5ECA" w14:textId="77777777" w:rsidR="00632D88" w:rsidRPr="00632D88" w:rsidRDefault="00632D88" w:rsidP="00632D88">
      <w:pPr>
        <w:rPr>
          <w:b/>
        </w:rPr>
      </w:pPr>
      <w:r w:rsidRPr="00632D88">
        <w:rPr>
          <w:b/>
        </w:rPr>
        <w:t>discounting</w:t>
      </w:r>
    </w:p>
    <w:p w14:paraId="16C76452" w14:textId="7480B0C0" w:rsidR="00632D88" w:rsidRPr="00632D88" w:rsidRDefault="00632D88" w:rsidP="00632D88">
      <w:r w:rsidRPr="00632D88">
        <w:t>Where a case for including a disability in a category is established by the Commission, but the measure of that disability is affected by imperfect data or methods, the Commission may decide to apply a discount. When an assessment is to be discounted, a uniform set of discounts is used (12.5%, 25%</w:t>
      </w:r>
      <w:r w:rsidR="00431C4A">
        <w:t>,</w:t>
      </w:r>
      <w:r w:rsidRPr="00632D88">
        <w:t xml:space="preserve"> 50%</w:t>
      </w:r>
      <w:r w:rsidR="00431C4A">
        <w:t xml:space="preserve"> or 100%</w:t>
      </w:r>
      <w:r w:rsidRPr="00632D88">
        <w:t>)</w:t>
      </w:r>
      <w:r w:rsidR="002F1C83">
        <w:t>,</w:t>
      </w:r>
      <w:r w:rsidRPr="00632D88">
        <w:t xml:space="preserve"> with higher discounts being applied where there is more concern attached to the data</w:t>
      </w:r>
      <w:r w:rsidR="001B2E89">
        <w:t xml:space="preserve"> or method</w:t>
      </w:r>
      <w:r w:rsidRPr="00632D88">
        <w:t xml:space="preserve">. </w:t>
      </w:r>
    </w:p>
    <w:p w14:paraId="7A6057DB" w14:textId="77777777" w:rsidR="00632D88" w:rsidRPr="00632D88" w:rsidRDefault="00632D88" w:rsidP="00632D88">
      <w:pPr>
        <w:rPr>
          <w:b/>
        </w:rPr>
      </w:pPr>
      <w:r w:rsidRPr="00632D88">
        <w:rPr>
          <w:b/>
        </w:rPr>
        <w:t>distribution</w:t>
      </w:r>
    </w:p>
    <w:p w14:paraId="5D1763FE" w14:textId="62D61D2B" w:rsidR="00632D88" w:rsidRPr="00632D88" w:rsidRDefault="00632D88" w:rsidP="00632D88">
      <w:r w:rsidRPr="00632D88">
        <w:t>State shares of GST revenue based on the principle of horizontal fiscal equalisation</w:t>
      </w:r>
      <w:r w:rsidR="00426446">
        <w:t xml:space="preserve"> (HFE)</w:t>
      </w:r>
      <w:r w:rsidRPr="00632D88">
        <w:t>.</w:t>
      </w:r>
    </w:p>
    <w:p w14:paraId="6563F5CA" w14:textId="77777777" w:rsidR="00632D88" w:rsidRPr="00632D88" w:rsidRDefault="00632D88" w:rsidP="00632D88">
      <w:pPr>
        <w:keepNext/>
        <w:keepLines/>
        <w:rPr>
          <w:b/>
        </w:rPr>
      </w:pPr>
      <w:r w:rsidRPr="00632D88">
        <w:rPr>
          <w:b/>
        </w:rPr>
        <w:lastRenderedPageBreak/>
        <w:t>distribution model</w:t>
      </w:r>
    </w:p>
    <w:p w14:paraId="46D94383" w14:textId="3039D456" w:rsidR="00632D88" w:rsidRPr="00632D88" w:rsidRDefault="00632D88" w:rsidP="00632D88">
      <w:pPr>
        <w:keepNext/>
        <w:keepLines/>
      </w:pPr>
      <w:r w:rsidRPr="00632D88">
        <w:t xml:space="preserve">A </w:t>
      </w:r>
      <w:r w:rsidR="00DC7F29">
        <w:t xml:space="preserve">mathematical </w:t>
      </w:r>
      <w:r w:rsidRPr="00632D88">
        <w:t>formulation</w:t>
      </w:r>
      <w:r w:rsidR="00914F3A">
        <w:t xml:space="preserve"> </w:t>
      </w:r>
      <w:r w:rsidRPr="00632D88">
        <w:t xml:space="preserve">of the way in which State GST </w:t>
      </w:r>
      <w:r w:rsidR="001A11B5">
        <w:t>requirements</w:t>
      </w:r>
      <w:r w:rsidR="001A11B5" w:rsidRPr="00632D88">
        <w:t xml:space="preserve"> </w:t>
      </w:r>
      <w:r w:rsidRPr="00632D88">
        <w:t>(and relativities) are calculated</w:t>
      </w:r>
      <w:r w:rsidR="00914F3A">
        <w:t xml:space="preserve"> using</w:t>
      </w:r>
      <w:r w:rsidR="00DC7F29">
        <w:t xml:space="preserve"> </w:t>
      </w:r>
      <w:r w:rsidR="00DC7F29" w:rsidRPr="00632D88">
        <w:t>assessed expenses</w:t>
      </w:r>
      <w:r w:rsidR="00DC7F29">
        <w:t xml:space="preserve">, </w:t>
      </w:r>
      <w:r w:rsidR="00DC7F29" w:rsidRPr="00632D88">
        <w:t>investment, revenue, Commonwealth payments and net borrowing</w:t>
      </w:r>
      <w:r w:rsidRPr="00632D88">
        <w:t xml:space="preserve">. A mathematical presentation of the model is provided on the </w:t>
      </w:r>
      <w:hyperlink r:id="rId77" w:history="1">
        <w:r w:rsidRPr="00632D88">
          <w:rPr>
            <w:color w:val="006991"/>
            <w:u w:val="single"/>
          </w:rPr>
          <w:t>Commission’s website</w:t>
        </w:r>
      </w:hyperlink>
      <w:r w:rsidRPr="00632D88">
        <w:t xml:space="preserve"> (https://www.cgc.gov.au/</w:t>
      </w:r>
      <w:r w:rsidR="00AB6932" w:rsidRPr="00AB6932">
        <w:t>about-us/fiscal-equalisation</w:t>
      </w:r>
      <w:r w:rsidRPr="00632D88">
        <w:t>).</w:t>
      </w:r>
    </w:p>
    <w:p w14:paraId="17FFDF78" w14:textId="0D78D694" w:rsidR="00632D88" w:rsidRPr="00632D88" w:rsidRDefault="00632D88" w:rsidP="00632D88">
      <w:pPr>
        <w:rPr>
          <w:b/>
        </w:rPr>
      </w:pPr>
      <w:r w:rsidRPr="00632D88">
        <w:rPr>
          <w:b/>
        </w:rPr>
        <w:t>equal per capita (EPC) assessment method</w:t>
      </w:r>
    </w:p>
    <w:p w14:paraId="4E2CC121" w14:textId="77777777" w:rsidR="00632D88" w:rsidRPr="00632D88" w:rsidRDefault="00632D88" w:rsidP="00632D88">
      <w:r w:rsidRPr="00632D88">
        <w:t>Each State’s assessed expense or assessed revenue in a category is set equal to the Australian average per capita amount. It is typically used when there are judged to be no material disabilities between the States, or no reliable assessments could be developed due to data or other limitations. Such an assessment means that no needs are assessed for any State and that there is no impact on the GST distribution.</w:t>
      </w:r>
    </w:p>
    <w:p w14:paraId="25F9F438" w14:textId="77777777" w:rsidR="00632D88" w:rsidRPr="00632D88" w:rsidRDefault="00632D88" w:rsidP="00632D88">
      <w:pPr>
        <w:rPr>
          <w:b/>
        </w:rPr>
      </w:pPr>
      <w:r w:rsidRPr="00632D88">
        <w:rPr>
          <w:b/>
        </w:rPr>
        <w:t>equalisation</w:t>
      </w:r>
    </w:p>
    <w:p w14:paraId="011ACB09" w14:textId="77777777" w:rsidR="00632D88" w:rsidRPr="00632D88" w:rsidRDefault="00632D88" w:rsidP="00632D88">
      <w:r w:rsidRPr="00632D88">
        <w:t>See horizontal fiscal equalisation (HFE).</w:t>
      </w:r>
    </w:p>
    <w:p w14:paraId="7BEBBEB4" w14:textId="77777777" w:rsidR="00632D88" w:rsidRPr="00632D88" w:rsidRDefault="00632D88" w:rsidP="00632D88">
      <w:pPr>
        <w:rPr>
          <w:b/>
        </w:rPr>
      </w:pPr>
      <w:r w:rsidRPr="00632D88">
        <w:rPr>
          <w:b/>
        </w:rPr>
        <w:t>expenditure</w:t>
      </w:r>
    </w:p>
    <w:p w14:paraId="1E000691" w14:textId="6FCCB425" w:rsidR="00632D88" w:rsidRPr="00632D88" w:rsidRDefault="00632D88" w:rsidP="00632D88">
      <w:r w:rsidRPr="00632D88">
        <w:t xml:space="preserve">This term is used to refer to expenses and </w:t>
      </w:r>
      <w:r w:rsidR="00A82DA1">
        <w:t>gross investment</w:t>
      </w:r>
      <w:r w:rsidRPr="00632D88">
        <w:t>.</w:t>
      </w:r>
    </w:p>
    <w:p w14:paraId="02089B68" w14:textId="77777777" w:rsidR="00632D88" w:rsidRPr="00632D88" w:rsidRDefault="00632D88" w:rsidP="00632D88">
      <w:pPr>
        <w:rPr>
          <w:b/>
        </w:rPr>
      </w:pPr>
      <w:r w:rsidRPr="00632D88">
        <w:rPr>
          <w:b/>
        </w:rPr>
        <w:t>expenses</w:t>
      </w:r>
    </w:p>
    <w:p w14:paraId="1F3E9723" w14:textId="1B27DB1E" w:rsidR="00632D88" w:rsidRPr="00632D88" w:rsidRDefault="00632D88" w:rsidP="00632D88">
      <w:r w:rsidRPr="00632D88">
        <w:t>Operating outlays under an accrual budgeting framework</w:t>
      </w:r>
      <w:r w:rsidR="00190713">
        <w:t xml:space="preserve"> as defined in Government Finance Statistics</w:t>
      </w:r>
      <w:r w:rsidR="00554B1C">
        <w:t xml:space="preserve"> (GFS)</w:t>
      </w:r>
      <w:r w:rsidR="00190713">
        <w:t>.</w:t>
      </w:r>
    </w:p>
    <w:p w14:paraId="3F38CF97" w14:textId="77777777" w:rsidR="00632D88" w:rsidRPr="00632D88" w:rsidRDefault="00632D88" w:rsidP="00632D88">
      <w:pPr>
        <w:rPr>
          <w:b/>
        </w:rPr>
      </w:pPr>
      <w:r w:rsidRPr="00632D88">
        <w:rPr>
          <w:b/>
        </w:rPr>
        <w:t>fiscal capacity</w:t>
      </w:r>
    </w:p>
    <w:p w14:paraId="0180B557" w14:textId="630DC21F" w:rsidR="00632D88" w:rsidRPr="00632D88" w:rsidRDefault="00632D88" w:rsidP="00632D88">
      <w:r w:rsidRPr="00632D88">
        <w:t xml:space="preserve">The fiscal capacity of a State is a measure of its ability to provide average services, including infrastructure, to its population if it raised revenue from its own revenue bases at average rates and </w:t>
      </w:r>
      <w:r w:rsidR="007B26C5">
        <w:t>taking account of</w:t>
      </w:r>
      <w:r w:rsidR="007B26C5" w:rsidRPr="00632D88">
        <w:t xml:space="preserve"> </w:t>
      </w:r>
      <w:r w:rsidRPr="00632D88">
        <w:t>its actual Commonwealth payments, excluding the GST. Once the GST has been distributed using the Commission’s recommendations, State fiscal capacities should be equal.</w:t>
      </w:r>
    </w:p>
    <w:p w14:paraId="41B98A25" w14:textId="77777777" w:rsidR="00632D88" w:rsidRPr="00632D88" w:rsidRDefault="00632D88" w:rsidP="00632D88">
      <w:r w:rsidRPr="00632D88">
        <w:t xml:space="preserve">The relative capacity of each State is a comparison of its fiscal capacity with the average capacity. </w:t>
      </w:r>
    </w:p>
    <w:p w14:paraId="05F5887C" w14:textId="77777777" w:rsidR="00632D88" w:rsidRPr="00632D88" w:rsidRDefault="00632D88" w:rsidP="00632D88">
      <w:pPr>
        <w:rPr>
          <w:b/>
        </w:rPr>
      </w:pPr>
      <w:r w:rsidRPr="00632D88">
        <w:rPr>
          <w:b/>
        </w:rPr>
        <w:t>Goods and Services Tax (GST) revenue or GST pool</w:t>
      </w:r>
    </w:p>
    <w:p w14:paraId="3781B039" w14:textId="77777777" w:rsidR="00632D88" w:rsidRPr="00632D88" w:rsidRDefault="00632D88" w:rsidP="00632D88">
      <w:r w:rsidRPr="00632D88">
        <w:t>The funds made available by the Australian Government for transfer to the States as untied financial assistance, consistent with the principle of horizontal fiscal equalisation.</w:t>
      </w:r>
    </w:p>
    <w:p w14:paraId="055256DF" w14:textId="77777777" w:rsidR="00632D88" w:rsidRPr="00632D88" w:rsidRDefault="00632D88" w:rsidP="00632D88">
      <w:pPr>
        <w:rPr>
          <w:b/>
        </w:rPr>
      </w:pPr>
      <w:r w:rsidRPr="00632D88">
        <w:rPr>
          <w:b/>
        </w:rPr>
        <w:t>grant design inefficiency</w:t>
      </w:r>
    </w:p>
    <w:p w14:paraId="42DB6C86" w14:textId="528EAB90" w:rsidR="00632D88" w:rsidRPr="00632D88" w:rsidRDefault="00632D88" w:rsidP="00632D88">
      <w:r w:rsidRPr="00632D88">
        <w:t>A flaw in a method of assessment which would allow a State to influence its relativity by changing its expense or revenue policies (apart from any effect of these policies on the average</w:t>
      </w:r>
      <w:r w:rsidR="00132546">
        <w:t xml:space="preserve"> expense or revenue</w:t>
      </w:r>
      <w:r w:rsidRPr="00632D88">
        <w:t>).</w:t>
      </w:r>
    </w:p>
    <w:p w14:paraId="24FA91F4" w14:textId="7A6A9D3A" w:rsidR="002C2784" w:rsidRDefault="00D97725" w:rsidP="00A02113">
      <w:pPr>
        <w:keepNext/>
        <w:rPr>
          <w:b/>
        </w:rPr>
      </w:pPr>
      <w:r>
        <w:rPr>
          <w:b/>
        </w:rPr>
        <w:t>gross investment</w:t>
      </w:r>
    </w:p>
    <w:p w14:paraId="37B1E458" w14:textId="665CA057" w:rsidR="00D97725" w:rsidRPr="00D97725" w:rsidRDefault="00257D23" w:rsidP="00632D88">
      <w:pPr>
        <w:rPr>
          <w:bCs/>
        </w:rPr>
      </w:pPr>
      <w:r>
        <w:t>T</w:t>
      </w:r>
      <w:r w:rsidR="004E50A8">
        <w:t xml:space="preserve">he </w:t>
      </w:r>
      <w:r w:rsidR="003E46F4">
        <w:t xml:space="preserve">acquisition of </w:t>
      </w:r>
      <w:r w:rsidR="00DD626C">
        <w:t xml:space="preserve">produced assets </w:t>
      </w:r>
      <w:r w:rsidR="0051504F">
        <w:t>less disposals of produced assets</w:t>
      </w:r>
      <w:r w:rsidR="00BE5D88">
        <w:t>, before depreciation is deducted</w:t>
      </w:r>
      <w:r w:rsidR="00756ECE">
        <w:t xml:space="preserve">. </w:t>
      </w:r>
      <w:r w:rsidR="00743939">
        <w:t xml:space="preserve">This </w:t>
      </w:r>
      <w:r w:rsidR="002F5580">
        <w:t xml:space="preserve">mainly </w:t>
      </w:r>
      <w:r w:rsidR="00756ECE">
        <w:t>compris</w:t>
      </w:r>
      <w:r w:rsidR="002F5580">
        <w:t xml:space="preserve">es </w:t>
      </w:r>
      <w:r w:rsidR="00756ECE">
        <w:t xml:space="preserve">the acquisition </w:t>
      </w:r>
      <w:r w:rsidR="009C2B26">
        <w:t>less disposal</w:t>
      </w:r>
      <w:r w:rsidR="008E3DA3">
        <w:t>s</w:t>
      </w:r>
      <w:r w:rsidR="009C2B26">
        <w:t xml:space="preserve"> </w:t>
      </w:r>
      <w:r w:rsidR="00756ECE">
        <w:t>of fixed produced assets</w:t>
      </w:r>
      <w:r w:rsidR="00426446">
        <w:t>.</w:t>
      </w:r>
      <w:r w:rsidR="00756ECE">
        <w:t xml:space="preserve"> </w:t>
      </w:r>
      <w:r w:rsidR="00825201">
        <w:t xml:space="preserve">Fixed produced assets are </w:t>
      </w:r>
      <w:r w:rsidR="004B5BC5">
        <w:t xml:space="preserve">goods and services </w:t>
      </w:r>
      <w:r w:rsidR="00EC45FA">
        <w:t>that are used in production for more than one year.</w:t>
      </w:r>
      <w:r w:rsidR="003C645F">
        <w:t xml:space="preserve"> </w:t>
      </w:r>
      <w:r w:rsidR="00BE5D88">
        <w:t>It often referred to simply as investment.</w:t>
      </w:r>
    </w:p>
    <w:p w14:paraId="76DF1D67" w14:textId="3BE03FC1" w:rsidR="00632D88" w:rsidRPr="00632D88" w:rsidRDefault="00632D88" w:rsidP="00632D88">
      <w:pPr>
        <w:rPr>
          <w:b/>
        </w:rPr>
      </w:pPr>
      <w:r w:rsidRPr="00632D88">
        <w:rPr>
          <w:b/>
        </w:rPr>
        <w:t>horizontal fiscal equalisation (equalisation)</w:t>
      </w:r>
    </w:p>
    <w:p w14:paraId="6877F89E" w14:textId="79FB8D9A" w:rsidR="00632D88" w:rsidRPr="00632D88" w:rsidRDefault="007C01A0" w:rsidP="00632D88">
      <w:r>
        <w:t xml:space="preserve">Horizontal fiscal equalisation </w:t>
      </w:r>
      <w:r w:rsidR="00426446">
        <w:t xml:space="preserve">(HFE) </w:t>
      </w:r>
      <w:r w:rsidR="00C90039">
        <w:t xml:space="preserve">seeks to reduce fiscal disparities between </w:t>
      </w:r>
      <w:r w:rsidR="000F74F6">
        <w:t xml:space="preserve">sub-central </w:t>
      </w:r>
      <w:r w:rsidR="004824E3">
        <w:t>governments</w:t>
      </w:r>
      <w:r w:rsidR="00170413">
        <w:t>.</w:t>
      </w:r>
      <w:r w:rsidR="003A4FD7">
        <w:t xml:space="preserve"> Australia gives effect to </w:t>
      </w:r>
      <w:r w:rsidR="003A1817">
        <w:t xml:space="preserve">HFE by </w:t>
      </w:r>
      <w:r w:rsidR="002E1D25">
        <w:t>distributing GST revenue to</w:t>
      </w:r>
      <w:r w:rsidR="004824E3">
        <w:t xml:space="preserve"> </w:t>
      </w:r>
      <w:r w:rsidR="00632D88" w:rsidRPr="00632D88">
        <w:t>State</w:t>
      </w:r>
      <w:r w:rsidR="00082EA1">
        <w:t>s</w:t>
      </w:r>
      <w:r w:rsidR="005A794D">
        <w:t xml:space="preserve"> according to the principle of HFE</w:t>
      </w:r>
      <w:r w:rsidR="00082EA1">
        <w:t>,</w:t>
      </w:r>
      <w:r w:rsidR="005A794D">
        <w:t xml:space="preserve"> </w:t>
      </w:r>
      <w:r w:rsidR="00082EA1">
        <w:t xml:space="preserve">which </w:t>
      </w:r>
      <w:r w:rsidR="00B61131" w:rsidRPr="00B61131">
        <w:t xml:space="preserve">ensures that each of Australia’s States has the same fiscal capacity, under </w:t>
      </w:r>
      <w:r w:rsidR="00B61131" w:rsidRPr="00B61131">
        <w:lastRenderedPageBreak/>
        <w:t>average policies, to provide services and the associated infrastructure to their communities.</w:t>
      </w:r>
      <w:r w:rsidR="00E256FF">
        <w:rPr>
          <w:rStyle w:val="FootnoteReference"/>
        </w:rPr>
        <w:footnoteReference w:id="145"/>
      </w:r>
      <w:r w:rsidR="00EA08AE">
        <w:t xml:space="preserve"> Separate equalisation arrangements apply to local govern</w:t>
      </w:r>
      <w:r w:rsidR="0052460E">
        <w:t>ment in Australia.</w:t>
      </w:r>
    </w:p>
    <w:p w14:paraId="5D89BD82" w14:textId="77777777" w:rsidR="00632D88" w:rsidRPr="00632D88" w:rsidRDefault="00632D88" w:rsidP="00632D88">
      <w:pPr>
        <w:rPr>
          <w:b/>
        </w:rPr>
      </w:pPr>
      <w:r w:rsidRPr="00632D88">
        <w:rPr>
          <w:b/>
        </w:rPr>
        <w:t>impact on relativities (previously called inclusion), see also no impact on relativities</w:t>
      </w:r>
    </w:p>
    <w:p w14:paraId="08380497" w14:textId="6638C3EC" w:rsidR="00632D88" w:rsidRPr="00632D88" w:rsidRDefault="00632D88" w:rsidP="00632D88">
      <w:r w:rsidRPr="00632D88">
        <w:t>Treatment applied to a Commonwealth payment that provides budget support for State services for which expenditure needs are assessed. The expen</w:t>
      </w:r>
      <w:r w:rsidR="00F4138F">
        <w:t>diture</w:t>
      </w:r>
      <w:r w:rsidRPr="00632D88">
        <w:t xml:space="preserve"> funded by payments that affect the relativities are assessed in relevant categories and the revenue </w:t>
      </w:r>
      <w:r w:rsidR="00BF4DE0">
        <w:t xml:space="preserve">(or payment) </w:t>
      </w:r>
      <w:r w:rsidRPr="00632D88">
        <w:t xml:space="preserve">is assessed on an actual per capita basis. </w:t>
      </w:r>
    </w:p>
    <w:p w14:paraId="6814B898" w14:textId="77777777" w:rsidR="00632D88" w:rsidRPr="00632D88" w:rsidRDefault="00632D88" w:rsidP="00632D88">
      <w:pPr>
        <w:keepNext/>
        <w:keepLines/>
        <w:rPr>
          <w:b/>
        </w:rPr>
      </w:pPr>
      <w:r w:rsidRPr="00632D88">
        <w:rPr>
          <w:b/>
        </w:rPr>
        <w:t>infrastructure</w:t>
      </w:r>
    </w:p>
    <w:p w14:paraId="7DFA91B5" w14:textId="2AC12A00" w:rsidR="00632D88" w:rsidRPr="00632D88" w:rsidRDefault="00632D88" w:rsidP="00632D88">
      <w:pPr>
        <w:keepNext/>
        <w:keepLines/>
      </w:pPr>
      <w:r w:rsidRPr="00632D88">
        <w:t xml:space="preserve">Infrastructure refers to the stock of </w:t>
      </w:r>
      <w:r w:rsidR="00BF4DE0">
        <w:t>fixed</w:t>
      </w:r>
      <w:r w:rsidR="00BF4DE0" w:rsidRPr="00632D88">
        <w:t xml:space="preserve"> </w:t>
      </w:r>
      <w:r w:rsidRPr="00632D88">
        <w:t>assets owned by a State’s general government sector and its urban public transport and housing public non-financial corporations for the purpose of delivering services. It includes buildings, non-building construction (such as roads</w:t>
      </w:r>
      <w:r w:rsidR="00DF0BFB">
        <w:t xml:space="preserve"> and railways</w:t>
      </w:r>
      <w:r w:rsidRPr="00632D88">
        <w:t>) and plant and equipment for economic and social purposes.</w:t>
      </w:r>
    </w:p>
    <w:p w14:paraId="3318437A" w14:textId="77777777" w:rsidR="00632D88" w:rsidRPr="00632D88" w:rsidRDefault="00632D88" w:rsidP="00632D88">
      <w:pPr>
        <w:rPr>
          <w:b/>
        </w:rPr>
      </w:pPr>
      <w:r w:rsidRPr="00632D88">
        <w:rPr>
          <w:b/>
        </w:rPr>
        <w:t xml:space="preserve">material, materiality </w:t>
      </w:r>
    </w:p>
    <w:p w14:paraId="44E15F3C" w14:textId="754523D3" w:rsidR="00632D88" w:rsidRPr="00632D88" w:rsidRDefault="00632D88" w:rsidP="00632D88">
      <w:r w:rsidRPr="00632D88">
        <w:t xml:space="preserve">A test used to assist decisions about whether a separate assessment of </w:t>
      </w:r>
      <w:r w:rsidR="00045DCF">
        <w:t xml:space="preserve">a </w:t>
      </w:r>
      <w:r w:rsidRPr="00632D88">
        <w:t>disabilit</w:t>
      </w:r>
      <w:r w:rsidR="00045DCF">
        <w:t xml:space="preserve">y, or </w:t>
      </w:r>
      <w:r w:rsidR="009E5E4E">
        <w:t>a data adjustment</w:t>
      </w:r>
      <w:r w:rsidR="00F76AC5">
        <w:t>,</w:t>
      </w:r>
      <w:r w:rsidRPr="00632D88">
        <w:t xml:space="preserve"> should be </w:t>
      </w:r>
      <w:r w:rsidR="000962F1" w:rsidRPr="00632D88">
        <w:t>undertaken</w:t>
      </w:r>
      <w:r w:rsidRPr="00632D88">
        <w:t xml:space="preserve">. The materiality levels are defined in terms of the amount of GST redistributed per capita for any State. Different thresholds are used for </w:t>
      </w:r>
      <w:r w:rsidR="00804CE6">
        <w:t>disabilities and data adjustments</w:t>
      </w:r>
      <w:r w:rsidRPr="00632D88">
        <w:t xml:space="preserve">. An assessment or adjustment is said to be material if it exceeds the </w:t>
      </w:r>
      <w:r w:rsidR="001E6D2D">
        <w:t xml:space="preserve">materiality </w:t>
      </w:r>
      <w:r w:rsidRPr="00632D88">
        <w:t xml:space="preserve">threshold </w:t>
      </w:r>
      <w:r w:rsidR="00D40C99">
        <w:t>(</w:t>
      </w:r>
      <w:r w:rsidR="00B76B80">
        <w:t xml:space="preserve">see </w:t>
      </w:r>
      <w:r w:rsidRPr="00632D88">
        <w:t xml:space="preserve">the </w:t>
      </w:r>
      <w:r w:rsidR="00B76B80">
        <w:t>a</w:t>
      </w:r>
      <w:r w:rsidRPr="00632D88">
        <w:t xml:space="preserve">ssessment </w:t>
      </w:r>
      <w:r w:rsidR="00B76B80">
        <w:t>g</w:t>
      </w:r>
      <w:r w:rsidRPr="00632D88">
        <w:t>uidelines</w:t>
      </w:r>
      <w:r w:rsidR="00B76B80">
        <w:t xml:space="preserve"> section in</w:t>
      </w:r>
      <w:r w:rsidRPr="00632D88">
        <w:t xml:space="preserve"> Chapter </w:t>
      </w:r>
      <w:r w:rsidR="00D40C99">
        <w:t xml:space="preserve">3, </w:t>
      </w:r>
      <w:r w:rsidRPr="00632D88">
        <w:t>Volume</w:t>
      </w:r>
      <w:r w:rsidR="00B91B3B">
        <w:t> </w:t>
      </w:r>
      <w:r w:rsidR="00D40C99">
        <w:t>2</w:t>
      </w:r>
      <w:r w:rsidR="00FE4A88">
        <w:t xml:space="preserve">, </w:t>
      </w:r>
      <w:r w:rsidR="00D40C99">
        <w:t>Part A</w:t>
      </w:r>
      <w:r w:rsidRPr="00632D88">
        <w:t>)</w:t>
      </w:r>
      <w:r w:rsidR="00D40C99">
        <w:t>.</w:t>
      </w:r>
    </w:p>
    <w:p w14:paraId="150F63D1" w14:textId="77777777" w:rsidR="00632D88" w:rsidRPr="00632D88" w:rsidRDefault="00632D88" w:rsidP="00632D88">
      <w:pPr>
        <w:rPr>
          <w:b/>
        </w:rPr>
      </w:pPr>
      <w:r w:rsidRPr="00632D88">
        <w:rPr>
          <w:b/>
        </w:rPr>
        <w:t>national capital disability</w:t>
      </w:r>
    </w:p>
    <w:p w14:paraId="0A751103" w14:textId="2483F91F" w:rsidR="00632D88" w:rsidRPr="00632D88" w:rsidRDefault="00632D88" w:rsidP="00632D88">
      <w:r w:rsidRPr="00632D88">
        <w:t>A disability that measures the additional costs that the ACT incurs because of Canberra’s status as the national capital</w:t>
      </w:r>
      <w:r w:rsidR="003C4C2E">
        <w:t xml:space="preserve"> or </w:t>
      </w:r>
      <w:r w:rsidR="00833AF9">
        <w:t>because of legacies inherited from the Commonwealth at self-government, that continue to affect its costs of service delivery</w:t>
      </w:r>
      <w:r w:rsidRPr="00632D88">
        <w:t xml:space="preserve">. </w:t>
      </w:r>
    </w:p>
    <w:p w14:paraId="481A4986" w14:textId="313CE6E7" w:rsidR="00632D88" w:rsidRPr="00632D88" w:rsidRDefault="00632D88" w:rsidP="00632D88">
      <w:pPr>
        <w:rPr>
          <w:b/>
        </w:rPr>
      </w:pPr>
      <w:r w:rsidRPr="00632D88">
        <w:rPr>
          <w:b/>
        </w:rPr>
        <w:t>national partnership payments</w:t>
      </w:r>
    </w:p>
    <w:p w14:paraId="338384AE" w14:textId="36311D9C" w:rsidR="00632D88" w:rsidRPr="00426446" w:rsidRDefault="00426446" w:rsidP="00632D88">
      <w:pPr>
        <w:rPr>
          <w:b/>
        </w:rPr>
      </w:pPr>
      <w:r w:rsidRPr="00426446">
        <w:rPr>
          <w:bCs/>
        </w:rPr>
        <w:t>National partnership payments (NPPs) are payments from the</w:t>
      </w:r>
      <w:r>
        <w:rPr>
          <w:b/>
        </w:rPr>
        <w:t xml:space="preserve"> </w:t>
      </w:r>
      <w:r w:rsidR="00632D88" w:rsidRPr="00632D88">
        <w:t xml:space="preserve">Commonwealth to States </w:t>
      </w:r>
      <w:r>
        <w:t xml:space="preserve">to </w:t>
      </w:r>
      <w:r w:rsidR="00632D88" w:rsidRPr="00632D88">
        <w:t xml:space="preserve">support the delivery of specified projects, facilitate reforms, or reward jurisdictions that deliver </w:t>
      </w:r>
      <w:r w:rsidR="000962F1" w:rsidRPr="00632D88">
        <w:t>nationally significant</w:t>
      </w:r>
      <w:r w:rsidR="00632D88" w:rsidRPr="00632D88">
        <w:t xml:space="preserve"> reforms. </w:t>
      </w:r>
    </w:p>
    <w:p w14:paraId="5785C95F" w14:textId="77777777" w:rsidR="00632D88" w:rsidRPr="00632D88" w:rsidRDefault="00632D88" w:rsidP="00632D88">
      <w:pPr>
        <w:rPr>
          <w:b/>
        </w:rPr>
      </w:pPr>
      <w:r w:rsidRPr="00632D88">
        <w:rPr>
          <w:b/>
        </w:rPr>
        <w:t>native title and land rights disability</w:t>
      </w:r>
    </w:p>
    <w:p w14:paraId="428B2A43" w14:textId="5FCF48A2" w:rsidR="00632D88" w:rsidRPr="00632D88" w:rsidRDefault="00632D88" w:rsidP="00632D88">
      <w:r w:rsidRPr="00632D88">
        <w:t xml:space="preserve">A disability that measures differences in costs that States incur because of the operation of the </w:t>
      </w:r>
      <w:r w:rsidRPr="007D528C">
        <w:t>Australian Government</w:t>
      </w:r>
      <w:r w:rsidRPr="007D528C">
        <w:rPr>
          <w:i/>
          <w:iCs/>
        </w:rPr>
        <w:t xml:space="preserve"> Native Title Act 1993</w:t>
      </w:r>
      <w:r w:rsidR="003E25CD">
        <w:rPr>
          <w:i/>
          <w:iCs/>
        </w:rPr>
        <w:t>,</w:t>
      </w:r>
      <w:r w:rsidRPr="00632D88">
        <w:t xml:space="preserve"> the additional costs that the Northern Territory incurs because of the operation of the Australian Government </w:t>
      </w:r>
      <w:r w:rsidRPr="007D528C">
        <w:rPr>
          <w:i/>
          <w:iCs/>
        </w:rPr>
        <w:t>Aboriginal Land Rights (Northern Territory) Act 1976</w:t>
      </w:r>
      <w:r w:rsidR="003E25CD">
        <w:rPr>
          <w:i/>
          <w:iCs/>
        </w:rPr>
        <w:t xml:space="preserve"> </w:t>
      </w:r>
      <w:r w:rsidR="003E25CD" w:rsidRPr="001F5650">
        <w:t xml:space="preserve">and </w:t>
      </w:r>
      <w:r w:rsidR="00D540FD" w:rsidRPr="001F5650">
        <w:t>the land rights expenses</w:t>
      </w:r>
      <w:r w:rsidR="00D540FD">
        <w:rPr>
          <w:i/>
          <w:iCs/>
        </w:rPr>
        <w:t xml:space="preserve"> </w:t>
      </w:r>
      <w:r w:rsidR="001F5B1E" w:rsidRPr="001F5650">
        <w:t xml:space="preserve">of other States under their land rights </w:t>
      </w:r>
      <w:r w:rsidR="00294EE2" w:rsidRPr="001F5650">
        <w:t>legislation</w:t>
      </w:r>
      <w:r w:rsidRPr="00632D88">
        <w:t xml:space="preserve">. </w:t>
      </w:r>
    </w:p>
    <w:p w14:paraId="0EED8128" w14:textId="5A295966" w:rsidR="002B397D" w:rsidRDefault="002B397D" w:rsidP="00632D88">
      <w:pPr>
        <w:rPr>
          <w:b/>
        </w:rPr>
      </w:pPr>
      <w:r>
        <w:rPr>
          <w:b/>
        </w:rPr>
        <w:t>natural disaster relief</w:t>
      </w:r>
    </w:p>
    <w:p w14:paraId="5A2677C9" w14:textId="79FEB5A9" w:rsidR="002B397D" w:rsidRPr="00E52112" w:rsidRDefault="00D53C1B" w:rsidP="00632D88">
      <w:pPr>
        <w:rPr>
          <w:bCs/>
        </w:rPr>
      </w:pPr>
      <w:r w:rsidRPr="00E52112">
        <w:rPr>
          <w:bCs/>
        </w:rPr>
        <w:t xml:space="preserve">Expenses </w:t>
      </w:r>
      <w:r w:rsidR="00E52112" w:rsidRPr="00E52112">
        <w:rPr>
          <w:bCs/>
        </w:rPr>
        <w:t>incurred by States under the Disaster Recovery Funding Arrangements 2018 (DRFA)</w:t>
      </w:r>
      <w:r w:rsidR="00E52112">
        <w:rPr>
          <w:bCs/>
        </w:rPr>
        <w:t>.</w:t>
      </w:r>
    </w:p>
    <w:p w14:paraId="6FE123A1" w14:textId="5D6BE2ED" w:rsidR="00632D88" w:rsidRPr="00632D88" w:rsidRDefault="00632D88" w:rsidP="00632D88">
      <w:pPr>
        <w:rPr>
          <w:b/>
        </w:rPr>
      </w:pPr>
      <w:r w:rsidRPr="00632D88">
        <w:rPr>
          <w:b/>
        </w:rPr>
        <w:t>needs</w:t>
      </w:r>
    </w:p>
    <w:p w14:paraId="2B20C8C8" w14:textId="77777777" w:rsidR="00632D88" w:rsidRPr="00632D88" w:rsidRDefault="00632D88" w:rsidP="00632D88">
      <w:r w:rsidRPr="00632D88">
        <w:t>See assessed differences.</w:t>
      </w:r>
    </w:p>
    <w:p w14:paraId="23C36CB6" w14:textId="77777777" w:rsidR="00632D88" w:rsidRPr="00632D88" w:rsidRDefault="00632D88" w:rsidP="00305F0D">
      <w:pPr>
        <w:keepNext/>
        <w:keepLines/>
        <w:rPr>
          <w:b/>
        </w:rPr>
      </w:pPr>
      <w:r w:rsidRPr="00632D88">
        <w:rPr>
          <w:b/>
        </w:rPr>
        <w:lastRenderedPageBreak/>
        <w:t>net financial worth</w:t>
      </w:r>
    </w:p>
    <w:p w14:paraId="1B2E439B" w14:textId="77777777" w:rsidR="00632D88" w:rsidRPr="00632D88" w:rsidRDefault="00632D88" w:rsidP="00305F0D">
      <w:pPr>
        <w:keepNext/>
        <w:keepLines/>
      </w:pPr>
      <w:r w:rsidRPr="00632D88">
        <w:t>Net financial worth is the sum of financial assets minus the sum of liabilities.</w:t>
      </w:r>
    </w:p>
    <w:p w14:paraId="58E461B5" w14:textId="77777777" w:rsidR="00632D88" w:rsidRPr="00632D88" w:rsidRDefault="00632D88" w:rsidP="00632D88">
      <w:pPr>
        <w:rPr>
          <w:b/>
        </w:rPr>
      </w:pPr>
      <w:r w:rsidRPr="00632D88">
        <w:rPr>
          <w:b/>
        </w:rPr>
        <w:t>net borrowing</w:t>
      </w:r>
    </w:p>
    <w:p w14:paraId="4C8532C5" w14:textId="176BD289" w:rsidR="00632D88" w:rsidRPr="00632D88" w:rsidRDefault="00632D88" w:rsidP="00632D88">
      <w:r w:rsidRPr="00632D88">
        <w:t xml:space="preserve">The outcome of an operating budget calculated as </w:t>
      </w:r>
      <w:r w:rsidR="00816264">
        <w:t xml:space="preserve">the sum of </w:t>
      </w:r>
      <w:r w:rsidRPr="00632D88">
        <w:t xml:space="preserve">expenses and </w:t>
      </w:r>
      <w:r w:rsidR="004E7EE2">
        <w:t>gross investment</w:t>
      </w:r>
      <w:r w:rsidRPr="00632D88">
        <w:t xml:space="preserve"> less </w:t>
      </w:r>
      <w:r w:rsidR="00816264">
        <w:t xml:space="preserve">the sum of </w:t>
      </w:r>
      <w:r w:rsidRPr="00632D88">
        <w:t xml:space="preserve">State </w:t>
      </w:r>
      <w:r w:rsidR="009A2F6F">
        <w:t>own</w:t>
      </w:r>
      <w:r w:rsidR="009A2F6F">
        <w:noBreakHyphen/>
        <w:t>source</w:t>
      </w:r>
      <w:r w:rsidRPr="00632D88">
        <w:t xml:space="preserve"> revenues and revenues received from the Australian Government.</w:t>
      </w:r>
      <w:r w:rsidR="003B111F">
        <w:t xml:space="preserve"> Negative net borrowing is referred to as net lending.</w:t>
      </w:r>
    </w:p>
    <w:p w14:paraId="2CF99D7D" w14:textId="798143F6" w:rsidR="00632D88" w:rsidRPr="00632D88" w:rsidRDefault="00632D88" w:rsidP="00632D88">
      <w:pPr>
        <w:rPr>
          <w:b/>
        </w:rPr>
      </w:pPr>
      <w:r w:rsidRPr="00632D88">
        <w:rPr>
          <w:b/>
        </w:rPr>
        <w:t>no impact on relativities (previously called exclusion)</w:t>
      </w:r>
    </w:p>
    <w:p w14:paraId="7F1B89CA" w14:textId="091B5F00" w:rsidR="00632D88" w:rsidRPr="00632D88" w:rsidRDefault="00632D88" w:rsidP="00632D88">
      <w:r w:rsidRPr="00632D88">
        <w:t xml:space="preserve">Treatment applied to a Commonwealth payment that does not provide budget support for State services or for which expenditure needs are not assessed. Both the payment and the expenses relating to it </w:t>
      </w:r>
      <w:r w:rsidR="008F1667">
        <w:t>are removed f</w:t>
      </w:r>
      <w:r w:rsidR="00C9456B">
        <w:t xml:space="preserve">rom the adjusted budget </w:t>
      </w:r>
      <w:r w:rsidR="00DB6722">
        <w:t xml:space="preserve">to ensure they </w:t>
      </w:r>
      <w:r w:rsidRPr="00632D88">
        <w:t>have no impact on a State’s fiscal capacity. Occasionally the terms of reference instruct the Commission to ensure a particular payment has no impact on relativities. (See quarantine.)</w:t>
      </w:r>
    </w:p>
    <w:p w14:paraId="5E82123A" w14:textId="491BB26D" w:rsidR="00632D88" w:rsidRPr="00632D88" w:rsidRDefault="00632D88" w:rsidP="00632D88">
      <w:pPr>
        <w:keepNext/>
        <w:keepLines/>
        <w:rPr>
          <w:b/>
        </w:rPr>
      </w:pPr>
      <w:r w:rsidRPr="00632D88">
        <w:rPr>
          <w:b/>
        </w:rPr>
        <w:t xml:space="preserve">payments for specific purposes </w:t>
      </w:r>
    </w:p>
    <w:p w14:paraId="3F02210C" w14:textId="72461C83" w:rsidR="00632D88" w:rsidRPr="00426446" w:rsidRDefault="00426446" w:rsidP="00632D88">
      <w:pPr>
        <w:keepNext/>
        <w:keepLines/>
        <w:rPr>
          <w:b/>
        </w:rPr>
      </w:pPr>
      <w:r>
        <w:rPr>
          <w:bCs/>
        </w:rPr>
        <w:t>P</w:t>
      </w:r>
      <w:r w:rsidRPr="00426446">
        <w:rPr>
          <w:bCs/>
        </w:rPr>
        <w:t>ayments for specific purposes (PSPs) are payments from the Commonwealth</w:t>
      </w:r>
      <w:r>
        <w:rPr>
          <w:b/>
        </w:rPr>
        <w:t xml:space="preserve"> </w:t>
      </w:r>
      <w:r w:rsidR="00632D88" w:rsidRPr="00632D88">
        <w:t xml:space="preserve">to the States </w:t>
      </w:r>
      <w:r>
        <w:t xml:space="preserve">relating to </w:t>
      </w:r>
      <w:r w:rsidR="00632D88" w:rsidRPr="00632D88">
        <w:t xml:space="preserve">policy areas for which the States have primary responsibility. These payments cover most functional areas of State (and local government) activity, including health, education, skills and workforce development, community services, housing, Indigenous affairs, infrastructure and the environment. PSPs include </w:t>
      </w:r>
      <w:r w:rsidR="00AC7DEC">
        <w:t>specific purpose payments (</w:t>
      </w:r>
      <w:r w:rsidR="00632D88" w:rsidRPr="00632D88">
        <w:t>SPPs</w:t>
      </w:r>
      <w:r w:rsidR="00AC7DEC">
        <w:t>)</w:t>
      </w:r>
      <w:r w:rsidR="00632D88" w:rsidRPr="00632D88">
        <w:t xml:space="preserve">, National Health Reform funding, </w:t>
      </w:r>
      <w:r w:rsidR="00AC7DEC">
        <w:t xml:space="preserve">Quality </w:t>
      </w:r>
      <w:r w:rsidR="006E02DE">
        <w:t>Schools</w:t>
      </w:r>
      <w:r w:rsidR="00632D88" w:rsidRPr="00632D88">
        <w:t xml:space="preserve"> funding and NP</w:t>
      </w:r>
      <w:r>
        <w:t>Ps</w:t>
      </w:r>
      <w:r w:rsidR="00632D88" w:rsidRPr="00632D88">
        <w:t>.</w:t>
      </w:r>
    </w:p>
    <w:p w14:paraId="6FE36CFF" w14:textId="77777777" w:rsidR="00632D88" w:rsidRPr="00632D88" w:rsidRDefault="00632D88" w:rsidP="00632D88">
      <w:pPr>
        <w:rPr>
          <w:b/>
        </w:rPr>
      </w:pPr>
      <w:r w:rsidRPr="00632D88">
        <w:rPr>
          <w:b/>
        </w:rPr>
        <w:t>policy neutral assessment</w:t>
      </w:r>
    </w:p>
    <w:p w14:paraId="02D969B4" w14:textId="5F5FF34A" w:rsidR="00632D88" w:rsidRPr="00632D88" w:rsidRDefault="00A06A4C" w:rsidP="00632D88">
      <w:r>
        <w:t>An</w:t>
      </w:r>
      <w:r w:rsidR="00632D88" w:rsidRPr="00632D88">
        <w:t xml:space="preserve"> </w:t>
      </w:r>
      <w:r w:rsidR="001B52DA">
        <w:t xml:space="preserve">expenditure or revenue </w:t>
      </w:r>
      <w:r w:rsidR="00632D88" w:rsidRPr="00632D88">
        <w:t xml:space="preserve">assessment </w:t>
      </w:r>
      <w:r>
        <w:t xml:space="preserve">that </w:t>
      </w:r>
      <w:r w:rsidR="00632D88" w:rsidRPr="00632D88">
        <w:t>is</w:t>
      </w:r>
      <w:r>
        <w:t xml:space="preserve"> </w:t>
      </w:r>
      <w:r w:rsidR="00632D88" w:rsidRPr="00632D88">
        <w:t xml:space="preserve">unaffected by the policies of </w:t>
      </w:r>
      <w:r w:rsidR="001B52DA">
        <w:t xml:space="preserve">an </w:t>
      </w:r>
      <w:r w:rsidR="00632D88" w:rsidRPr="00632D88">
        <w:t xml:space="preserve">individual State, other than through the influence of </w:t>
      </w:r>
      <w:r w:rsidR="0015764B">
        <w:t>its</w:t>
      </w:r>
      <w:r w:rsidR="0015764B" w:rsidRPr="00632D88">
        <w:t xml:space="preserve"> </w:t>
      </w:r>
      <w:r w:rsidR="00632D88" w:rsidRPr="00632D88">
        <w:t>policies on the averages.</w:t>
      </w:r>
    </w:p>
    <w:p w14:paraId="69B8C3A1" w14:textId="77777777" w:rsidR="00632D88" w:rsidRPr="00632D88" w:rsidRDefault="00632D88" w:rsidP="00632D88">
      <w:pPr>
        <w:rPr>
          <w:b/>
        </w:rPr>
      </w:pPr>
      <w:r w:rsidRPr="00632D88">
        <w:rPr>
          <w:b/>
        </w:rPr>
        <w:t>quarantine</w:t>
      </w:r>
    </w:p>
    <w:p w14:paraId="7035DBE4" w14:textId="77777777" w:rsidR="00632D88" w:rsidRPr="00632D88" w:rsidRDefault="00632D88" w:rsidP="00632D88">
      <w:r w:rsidRPr="00632D88">
        <w:t>The treatment of a Commonwealth payment, and where possible the expense for which it is used, in such a way as to have no impact on the relativities. Quarantining always results from instructions given directly to the Commission in its terms of reference and the term is used only in this context.</w:t>
      </w:r>
    </w:p>
    <w:p w14:paraId="5D41B9F4" w14:textId="77777777" w:rsidR="00632D88" w:rsidRPr="00632D88" w:rsidRDefault="00632D88" w:rsidP="00632D88">
      <w:pPr>
        <w:rPr>
          <w:b/>
        </w:rPr>
      </w:pPr>
      <w:r w:rsidRPr="00632D88">
        <w:rPr>
          <w:b/>
        </w:rPr>
        <w:t>ratio of actual expenses to assessed expenses</w:t>
      </w:r>
    </w:p>
    <w:p w14:paraId="3D87B6DC" w14:textId="77777777" w:rsidR="00632D88" w:rsidRPr="00632D88" w:rsidRDefault="00632D88" w:rsidP="00632D88">
      <w:r w:rsidRPr="00632D88">
        <w:t xml:space="preserve">A ratio that reflects how a State’s policies on the level of services provided and the relative efficiency with which they are provided vary from the average policies. It is measured by dividing actual expense per capita by assessed expense per capita. </w:t>
      </w:r>
    </w:p>
    <w:p w14:paraId="1A7EDB02" w14:textId="77777777" w:rsidR="00632D88" w:rsidRPr="00632D88" w:rsidRDefault="00632D88" w:rsidP="00632D88">
      <w:pPr>
        <w:rPr>
          <w:b/>
        </w:rPr>
      </w:pPr>
      <w:r w:rsidRPr="00632D88">
        <w:rPr>
          <w:b/>
        </w:rPr>
        <w:t>ratio of actual investment to assessed investment</w:t>
      </w:r>
    </w:p>
    <w:p w14:paraId="0FA4A157" w14:textId="0AE07036" w:rsidR="00632D88" w:rsidRPr="00632D88" w:rsidRDefault="00632D88" w:rsidP="00632D88">
      <w:r w:rsidRPr="00632D88">
        <w:t xml:space="preserve">A ratio that reflects how a State’s policies on the level of capital provided varies from average policies. It is measured by dividing actual </w:t>
      </w:r>
      <w:r w:rsidR="00801EFF">
        <w:t>investment</w:t>
      </w:r>
      <w:r w:rsidR="00801EFF" w:rsidRPr="00632D88">
        <w:t xml:space="preserve"> </w:t>
      </w:r>
      <w:r w:rsidRPr="00632D88">
        <w:t xml:space="preserve">per capita by assessed </w:t>
      </w:r>
      <w:r w:rsidR="00801EFF">
        <w:t>investment</w:t>
      </w:r>
      <w:r w:rsidR="00801EFF" w:rsidRPr="00632D88">
        <w:t xml:space="preserve"> </w:t>
      </w:r>
      <w:r w:rsidRPr="00632D88">
        <w:t xml:space="preserve">per capita. </w:t>
      </w:r>
    </w:p>
    <w:p w14:paraId="39CE3044" w14:textId="77777777" w:rsidR="00632D88" w:rsidRPr="00632D88" w:rsidRDefault="00632D88" w:rsidP="00632D88">
      <w:pPr>
        <w:rPr>
          <w:b/>
        </w:rPr>
      </w:pPr>
      <w:r w:rsidRPr="00632D88">
        <w:rPr>
          <w:b/>
        </w:rPr>
        <w:t>ratio of actual revenue to assessed revenue</w:t>
      </w:r>
    </w:p>
    <w:p w14:paraId="361E7A3E" w14:textId="3CFD20C8" w:rsidR="00632D88" w:rsidRPr="00632D88" w:rsidRDefault="00632D88" w:rsidP="00632D88">
      <w:r w:rsidRPr="00632D88">
        <w:t xml:space="preserve">A ratio </w:t>
      </w:r>
      <w:r w:rsidR="00EB036E">
        <w:t>that</w:t>
      </w:r>
      <w:r w:rsidR="00EB036E" w:rsidRPr="00632D88">
        <w:t xml:space="preserve"> </w:t>
      </w:r>
      <w:r w:rsidRPr="00632D88">
        <w:t>indicates the actual effort made by a State to raise revenue relative to the average effort. It is measured by dividing actual revenue per capita by assessed revenue per capita.</w:t>
      </w:r>
    </w:p>
    <w:p w14:paraId="4A4478AF" w14:textId="77777777" w:rsidR="00632D88" w:rsidRPr="00632D88" w:rsidRDefault="00632D88" w:rsidP="00632D88">
      <w:pPr>
        <w:rPr>
          <w:b/>
        </w:rPr>
      </w:pPr>
      <w:r w:rsidRPr="00632D88">
        <w:rPr>
          <w:b/>
        </w:rPr>
        <w:t xml:space="preserve">ratio of assessed expenses to average expenses </w:t>
      </w:r>
    </w:p>
    <w:p w14:paraId="3FD6BB73" w14:textId="77777777" w:rsidR="00632D88" w:rsidRPr="00632D88" w:rsidRDefault="00632D88" w:rsidP="00632D88">
      <w:r w:rsidRPr="00632D88">
        <w:t>A ratio of a State’s assessed per capita cost of providing services at average standards, relative to average per capita cost. It is calculated by dividing per capita assessed expenses by per capita average expenses.</w:t>
      </w:r>
    </w:p>
    <w:p w14:paraId="2BE1F781" w14:textId="77552E06" w:rsidR="00632D88" w:rsidRPr="00632D88" w:rsidRDefault="00632D88" w:rsidP="004558A5">
      <w:pPr>
        <w:keepNext/>
        <w:rPr>
          <w:b/>
        </w:rPr>
      </w:pPr>
      <w:r w:rsidRPr="00632D88">
        <w:rPr>
          <w:b/>
        </w:rPr>
        <w:lastRenderedPageBreak/>
        <w:t xml:space="preserve">ratio of assessed </w:t>
      </w:r>
      <w:r w:rsidR="00C828C5">
        <w:rPr>
          <w:b/>
        </w:rPr>
        <w:t>investment</w:t>
      </w:r>
      <w:r w:rsidR="00C828C5" w:rsidRPr="00632D88">
        <w:rPr>
          <w:b/>
        </w:rPr>
        <w:t xml:space="preserve"> </w:t>
      </w:r>
      <w:r w:rsidRPr="00632D88">
        <w:rPr>
          <w:b/>
        </w:rPr>
        <w:t xml:space="preserve">to average </w:t>
      </w:r>
      <w:r w:rsidR="00C828C5">
        <w:rPr>
          <w:b/>
        </w:rPr>
        <w:t>investment</w:t>
      </w:r>
      <w:r w:rsidR="00C828C5" w:rsidRPr="00632D88">
        <w:rPr>
          <w:b/>
        </w:rPr>
        <w:t xml:space="preserve"> </w:t>
      </w:r>
    </w:p>
    <w:p w14:paraId="16E0E9B5" w14:textId="33758A15" w:rsidR="00632D88" w:rsidRPr="00632D88" w:rsidRDefault="00632D88" w:rsidP="00632D88">
      <w:r w:rsidRPr="00632D88">
        <w:t xml:space="preserve">A ratio of a State’s assessed </w:t>
      </w:r>
      <w:r w:rsidR="00C54DAB">
        <w:t>investment</w:t>
      </w:r>
      <w:r w:rsidRPr="00632D88">
        <w:t xml:space="preserve"> per capita to the Australian average </w:t>
      </w:r>
      <w:r w:rsidR="00C54DAB">
        <w:t>investment</w:t>
      </w:r>
      <w:r w:rsidRPr="00632D88">
        <w:t xml:space="preserve"> per capita. It is measured by dividing per capita assessed capital by per capita average capital.</w:t>
      </w:r>
    </w:p>
    <w:p w14:paraId="4D727010" w14:textId="77777777" w:rsidR="00632D88" w:rsidRPr="00632D88" w:rsidRDefault="00632D88" w:rsidP="00632D88">
      <w:pPr>
        <w:keepNext/>
        <w:keepLines/>
        <w:rPr>
          <w:b/>
        </w:rPr>
      </w:pPr>
      <w:r w:rsidRPr="00632D88">
        <w:rPr>
          <w:b/>
        </w:rPr>
        <w:t>ratio of assessed revenue to average revenue</w:t>
      </w:r>
    </w:p>
    <w:p w14:paraId="3A41EF34" w14:textId="3F3F0B70" w:rsidR="00632D88" w:rsidRPr="00632D88" w:rsidRDefault="00632D88" w:rsidP="00632D88">
      <w:pPr>
        <w:keepNext/>
        <w:keepLines/>
      </w:pPr>
      <w:r w:rsidRPr="00632D88">
        <w:t xml:space="preserve">A ratio </w:t>
      </w:r>
      <w:r w:rsidR="004B7E93">
        <w:t>that</w:t>
      </w:r>
      <w:r w:rsidR="004B7E93" w:rsidRPr="00632D88">
        <w:t xml:space="preserve"> </w:t>
      </w:r>
      <w:r w:rsidRPr="00632D88">
        <w:t>indicates the capacity of a State to raise revenue relative to the average. It reflects the size of a State’s revenue base per capita relative to the average and is measured by dividing assessed revenue per capita by average revenue per capita.</w:t>
      </w:r>
    </w:p>
    <w:p w14:paraId="0E826C1E" w14:textId="77777777" w:rsidR="00632D88" w:rsidRPr="00632D88" w:rsidRDefault="00632D88" w:rsidP="00632D88">
      <w:pPr>
        <w:rPr>
          <w:b/>
        </w:rPr>
      </w:pPr>
      <w:r w:rsidRPr="00632D88">
        <w:rPr>
          <w:b/>
        </w:rPr>
        <w:t>redistribution</w:t>
      </w:r>
    </w:p>
    <w:p w14:paraId="3C7A86A7" w14:textId="77777777" w:rsidR="00632D88" w:rsidRPr="00632D88" w:rsidRDefault="00632D88" w:rsidP="00632D88">
      <w:r w:rsidRPr="00632D88">
        <w:t>The difference between an equal per capita distribution of GST revenue and one based on the principle of horizontal fiscal equalisation.</w:t>
      </w:r>
    </w:p>
    <w:p w14:paraId="438C80A5" w14:textId="77777777" w:rsidR="00632D88" w:rsidRPr="00632D88" w:rsidRDefault="00632D88" w:rsidP="00632D88">
      <w:pPr>
        <w:rPr>
          <w:b/>
        </w:rPr>
      </w:pPr>
      <w:r w:rsidRPr="00632D88">
        <w:rPr>
          <w:b/>
        </w:rPr>
        <w:t>regional costs disability</w:t>
      </w:r>
    </w:p>
    <w:p w14:paraId="00301AD4" w14:textId="1A08B7A8" w:rsidR="00632D88" w:rsidRPr="00632D88" w:rsidRDefault="00632D88" w:rsidP="00632D88">
      <w:r w:rsidRPr="00632D88">
        <w:t>A disability that measures cost differences within a State due to differences in the wages paid</w:t>
      </w:r>
      <w:r w:rsidR="006B4F43">
        <w:t>,</w:t>
      </w:r>
      <w:r w:rsidRPr="00632D88">
        <w:t xml:space="preserve"> and in the price and</w:t>
      </w:r>
      <w:r w:rsidR="000737F1">
        <w:t>/or</w:t>
      </w:r>
      <w:r w:rsidRPr="00632D88">
        <w:t xml:space="preserve"> quantity of other inputs to State services.</w:t>
      </w:r>
    </w:p>
    <w:p w14:paraId="5081E52C" w14:textId="77777777" w:rsidR="00632D88" w:rsidRPr="00632D88" w:rsidRDefault="00632D88" w:rsidP="00632D88">
      <w:pPr>
        <w:rPr>
          <w:b/>
        </w:rPr>
      </w:pPr>
      <w:r w:rsidRPr="00632D88">
        <w:rPr>
          <w:b/>
        </w:rPr>
        <w:t>relativity</w:t>
      </w:r>
    </w:p>
    <w:p w14:paraId="22419EA2" w14:textId="77777777" w:rsidR="00632D88" w:rsidRPr="00632D88" w:rsidRDefault="00632D88" w:rsidP="00632D88">
      <w:r w:rsidRPr="00632D88">
        <w:t xml:space="preserve">A per capita weight assessed by the Commission for use by the Commonwealth Treasury in calculating the share of the GST revenue a State requires to achieve horizontal fiscal equalisation. </w:t>
      </w:r>
    </w:p>
    <w:p w14:paraId="4A6F5FF4" w14:textId="77777777" w:rsidR="00632D88" w:rsidRPr="00632D88" w:rsidRDefault="00632D88" w:rsidP="00632D88">
      <w:pPr>
        <w:rPr>
          <w:b/>
        </w:rPr>
      </w:pPr>
      <w:r w:rsidRPr="00632D88">
        <w:rPr>
          <w:b/>
        </w:rPr>
        <w:t>revenue base</w:t>
      </w:r>
    </w:p>
    <w:p w14:paraId="2DC0E8D6" w14:textId="70A6B049" w:rsidR="00632D88" w:rsidRPr="00632D88" w:rsidRDefault="00632D88" w:rsidP="00632D88">
      <w:r w:rsidRPr="00632D88">
        <w:t xml:space="preserve">A measure of the transactions, activities, or assets that are taxed by the States. Differences between the revenue bases of each State are used by the Commission to determine the relative capacities of each to raise </w:t>
      </w:r>
      <w:r w:rsidR="00673054" w:rsidRPr="00632D88">
        <w:t>revenue</w:t>
      </w:r>
      <w:r w:rsidRPr="00632D88">
        <w:t xml:space="preserve">. </w:t>
      </w:r>
    </w:p>
    <w:p w14:paraId="5CB1215F" w14:textId="77777777" w:rsidR="00632D88" w:rsidRPr="00632D88" w:rsidRDefault="00632D88" w:rsidP="00632D88">
      <w:pPr>
        <w:rPr>
          <w:b/>
        </w:rPr>
      </w:pPr>
      <w:r w:rsidRPr="00632D88">
        <w:rPr>
          <w:b/>
        </w:rPr>
        <w:t>revenue effort</w:t>
      </w:r>
    </w:p>
    <w:p w14:paraId="125A2C3B" w14:textId="77777777" w:rsidR="00632D88" w:rsidRPr="00632D88" w:rsidRDefault="00632D88" w:rsidP="00632D88">
      <w:r w:rsidRPr="00632D88">
        <w:t xml:space="preserve">The intensity of use of a revenue base (the implied tax rate) measured as actual revenue divided by the assessed revenue. It is influenced by the rate of tax or charge, the exemptions, and concessions provided, actual scope of the revenue base in a State, and the effort it put into ensuring compliance. </w:t>
      </w:r>
    </w:p>
    <w:p w14:paraId="285F8A6F" w14:textId="77777777" w:rsidR="00632D88" w:rsidRPr="00632D88" w:rsidRDefault="00632D88" w:rsidP="00632D88">
      <w:pPr>
        <w:rPr>
          <w:b/>
        </w:rPr>
      </w:pPr>
      <w:r w:rsidRPr="00632D88">
        <w:rPr>
          <w:b/>
        </w:rPr>
        <w:t>review</w:t>
      </w:r>
    </w:p>
    <w:p w14:paraId="744E843C" w14:textId="45C5D03D" w:rsidR="00632D88" w:rsidRPr="00632D88" w:rsidRDefault="00632D88" w:rsidP="00632D88">
      <w:r w:rsidRPr="00632D88">
        <w:t xml:space="preserve">The process in which the Commission reconsiders the methods used to calculate the GST distribution, according to terms of reference given to it. From 1988 onwards, reviews have usually </w:t>
      </w:r>
      <w:r w:rsidR="00515060">
        <w:t>occurred</w:t>
      </w:r>
      <w:r w:rsidRPr="00632D88">
        <w:t xml:space="preserve"> every five years. By contrast, an update is conducted every year other than a review year and updates the GST distribution using the methods determined in the last review and the latest data.</w:t>
      </w:r>
    </w:p>
    <w:p w14:paraId="0333EFAE" w14:textId="0A80120F" w:rsidR="00632D88" w:rsidRPr="00632D88" w:rsidRDefault="00632D88" w:rsidP="00632D88">
      <w:pPr>
        <w:rPr>
          <w:b/>
        </w:rPr>
      </w:pPr>
      <w:r w:rsidRPr="00632D88">
        <w:rPr>
          <w:b/>
        </w:rPr>
        <w:t xml:space="preserve">service delivery scale </w:t>
      </w:r>
    </w:p>
    <w:p w14:paraId="7A7E9FAD" w14:textId="30B1E84D" w:rsidR="00632D88" w:rsidRPr="00426446" w:rsidRDefault="00426446" w:rsidP="00632D88">
      <w:pPr>
        <w:rPr>
          <w:b/>
        </w:rPr>
      </w:pPr>
      <w:r>
        <w:t>S</w:t>
      </w:r>
      <w:r w:rsidRPr="00426446">
        <w:rPr>
          <w:bCs/>
        </w:rPr>
        <w:t>ervice delivery scale (SD</w:t>
      </w:r>
      <w:r>
        <w:rPr>
          <w:bCs/>
        </w:rPr>
        <w:t>S</w:t>
      </w:r>
      <w:r w:rsidRPr="00426446">
        <w:rPr>
          <w:bCs/>
        </w:rPr>
        <w:t>) is a</w:t>
      </w:r>
      <w:r>
        <w:rPr>
          <w:b/>
        </w:rPr>
        <w:t xml:space="preserve"> </w:t>
      </w:r>
      <w:r w:rsidR="00632D88" w:rsidRPr="00632D88">
        <w:t xml:space="preserve">disability that measures the additional costs of providing a service because the population served is small and isolated from other points of service delivery. </w:t>
      </w:r>
    </w:p>
    <w:p w14:paraId="66C0BC43" w14:textId="6E4184DD" w:rsidR="00632D88" w:rsidRPr="00632D88" w:rsidRDefault="00632D88" w:rsidP="00632D88">
      <w:pPr>
        <w:rPr>
          <w:b/>
        </w:rPr>
      </w:pPr>
      <w:r w:rsidRPr="00632D88">
        <w:rPr>
          <w:b/>
        </w:rPr>
        <w:t xml:space="preserve">socio-demographic composition </w:t>
      </w:r>
    </w:p>
    <w:p w14:paraId="0B035665" w14:textId="3C63AB3D" w:rsidR="00632D88" w:rsidRPr="00426446" w:rsidRDefault="00426446" w:rsidP="00632D88">
      <w:pPr>
        <w:rPr>
          <w:b/>
        </w:rPr>
      </w:pPr>
      <w:r>
        <w:rPr>
          <w:bCs/>
        </w:rPr>
        <w:t>S</w:t>
      </w:r>
      <w:r w:rsidRPr="00426446">
        <w:rPr>
          <w:bCs/>
        </w:rPr>
        <w:t>ocio-demographic composition (SDC) is a</w:t>
      </w:r>
      <w:r>
        <w:rPr>
          <w:b/>
        </w:rPr>
        <w:t xml:space="preserve"> </w:t>
      </w:r>
      <w:r w:rsidR="00632D88" w:rsidRPr="00632D88">
        <w:t>disability that measures differences in both the average use and cost of providing services due to differences between States in the relative size of various socio-demographic groups. It can reflect differences between States in some or all population characteristics such as age</w:t>
      </w:r>
      <w:r w:rsidR="009739C6">
        <w:t>,</w:t>
      </w:r>
      <w:r w:rsidR="00632D88" w:rsidRPr="00632D88">
        <w:t xml:space="preserve"> socio</w:t>
      </w:r>
      <w:r w:rsidR="004C4FE8">
        <w:noBreakHyphen/>
      </w:r>
      <w:r w:rsidR="00632D88" w:rsidRPr="00632D88">
        <w:t xml:space="preserve">economic status, Indigenous status and location. </w:t>
      </w:r>
    </w:p>
    <w:p w14:paraId="1A16246E" w14:textId="5079DB68" w:rsidR="00632D88" w:rsidRPr="00632D88" w:rsidRDefault="00632D88" w:rsidP="004558A5">
      <w:pPr>
        <w:keepNext/>
        <w:rPr>
          <w:b/>
        </w:rPr>
      </w:pPr>
      <w:r w:rsidRPr="00632D88">
        <w:rPr>
          <w:b/>
        </w:rPr>
        <w:lastRenderedPageBreak/>
        <w:t xml:space="preserve">specific purpose payments </w:t>
      </w:r>
    </w:p>
    <w:p w14:paraId="5E804B3A" w14:textId="717C81C1" w:rsidR="00632D88" w:rsidRPr="00426446" w:rsidRDefault="00426446" w:rsidP="00426446">
      <w:pPr>
        <w:keepNext/>
        <w:rPr>
          <w:b/>
        </w:rPr>
      </w:pPr>
      <w:r w:rsidRPr="00426446">
        <w:rPr>
          <w:bCs/>
        </w:rPr>
        <w:t>Specific purpose payments (SPPs) are payments from the</w:t>
      </w:r>
      <w:r>
        <w:rPr>
          <w:b/>
        </w:rPr>
        <w:t xml:space="preserve"> </w:t>
      </w:r>
      <w:r w:rsidR="00632D88" w:rsidRPr="00632D88">
        <w:t>Commonwealth to States for purposes that enable national policy objectives to be achieved in areas administered by States.</w:t>
      </w:r>
    </w:p>
    <w:p w14:paraId="7AD2E3E8" w14:textId="77777777" w:rsidR="00632D88" w:rsidRPr="00632D88" w:rsidRDefault="00632D88" w:rsidP="00DF59BC">
      <w:pPr>
        <w:keepNext/>
        <w:rPr>
          <w:b/>
        </w:rPr>
      </w:pPr>
      <w:r w:rsidRPr="00632D88">
        <w:rPr>
          <w:b/>
        </w:rPr>
        <w:t>State(s)</w:t>
      </w:r>
    </w:p>
    <w:p w14:paraId="077E3472" w14:textId="77777777" w:rsidR="00632D88" w:rsidRPr="00632D88" w:rsidRDefault="00632D88" w:rsidP="00632D88">
      <w:r w:rsidRPr="00632D88">
        <w:t>Unless the context indicates otherwise, the term ‘State(s)’ includes the Australian Capital Territory and the Northern Territory.</w:t>
      </w:r>
    </w:p>
    <w:p w14:paraId="0FAEA1F4" w14:textId="77777777" w:rsidR="00632D88" w:rsidRPr="00632D88" w:rsidRDefault="00632D88" w:rsidP="00632D88">
      <w:pPr>
        <w:keepNext/>
        <w:keepLines/>
        <w:rPr>
          <w:b/>
        </w:rPr>
      </w:pPr>
      <w:r w:rsidRPr="00632D88">
        <w:rPr>
          <w:b/>
        </w:rPr>
        <w:t>tax base</w:t>
      </w:r>
    </w:p>
    <w:p w14:paraId="3987CB62" w14:textId="77777777" w:rsidR="00632D88" w:rsidRPr="00632D88" w:rsidRDefault="00632D88" w:rsidP="00632D88">
      <w:pPr>
        <w:keepNext/>
        <w:keepLines/>
      </w:pPr>
      <w:r w:rsidRPr="00632D88">
        <w:t xml:space="preserve">See revenue base. </w:t>
      </w:r>
    </w:p>
    <w:p w14:paraId="29923BDB" w14:textId="77777777" w:rsidR="00632D88" w:rsidRPr="00632D88" w:rsidRDefault="00632D88" w:rsidP="00632D88">
      <w:pPr>
        <w:rPr>
          <w:b/>
        </w:rPr>
      </w:pPr>
      <w:r w:rsidRPr="00632D88">
        <w:rPr>
          <w:b/>
        </w:rPr>
        <w:t>update</w:t>
      </w:r>
    </w:p>
    <w:p w14:paraId="6A0EFE72" w14:textId="27A46240" w:rsidR="00632D88" w:rsidRPr="00632D88" w:rsidRDefault="00632D88" w:rsidP="00632D88">
      <w:r w:rsidRPr="00632D88">
        <w:t>The annual assessment of the GST distribution undertaken by the Commission between reviews. Update</w:t>
      </w:r>
      <w:r w:rsidR="00AE6F8E">
        <w:t>s</w:t>
      </w:r>
      <w:r w:rsidRPr="00632D88">
        <w:t xml:space="preserve"> incorporate new budgetary developments and the most recent available data. In general, the methods used are those adopted in the most recent review. </w:t>
      </w:r>
    </w:p>
    <w:p w14:paraId="5C445CF7" w14:textId="77777777" w:rsidR="00632D88" w:rsidRPr="00632D88" w:rsidRDefault="00632D88" w:rsidP="00632D88">
      <w:pPr>
        <w:rPr>
          <w:b/>
        </w:rPr>
      </w:pPr>
      <w:r w:rsidRPr="00632D88">
        <w:rPr>
          <w:b/>
        </w:rPr>
        <w:t>user charges</w:t>
      </w:r>
    </w:p>
    <w:p w14:paraId="45AF4BBE" w14:textId="0033EF2D" w:rsidR="00632D88" w:rsidRPr="00632D88" w:rsidRDefault="00632D88" w:rsidP="00632D88">
      <w:r w:rsidRPr="00632D88">
        <w:t xml:space="preserve">Fees and charges raised by States through the provision of goods or services. In the adjusted budget, user charges </w:t>
      </w:r>
      <w:r w:rsidR="008347B1">
        <w:t>for some functions</w:t>
      </w:r>
      <w:r w:rsidR="00264A5E">
        <w:t xml:space="preserve"> or c</w:t>
      </w:r>
      <w:r w:rsidR="00CA3C17">
        <w:t xml:space="preserve">ategories </w:t>
      </w:r>
      <w:r w:rsidRPr="00632D88">
        <w:t>are deducted from related expenses. Other user charges are included in the Other revenue category</w:t>
      </w:r>
      <w:r w:rsidR="00F90CA8">
        <w:t xml:space="preserve"> and have no effect on a State’s fiscal c</w:t>
      </w:r>
      <w:r w:rsidR="00670043">
        <w:t>apac</w:t>
      </w:r>
      <w:r w:rsidR="00F90CA8">
        <w:t>ity</w:t>
      </w:r>
      <w:r w:rsidRPr="00632D88">
        <w:t>.</w:t>
      </w:r>
    </w:p>
    <w:p w14:paraId="70F993F5" w14:textId="77777777" w:rsidR="00632D88" w:rsidRPr="00632D88" w:rsidRDefault="00632D88" w:rsidP="00632D88">
      <w:pPr>
        <w:rPr>
          <w:b/>
        </w:rPr>
      </w:pPr>
      <w:r w:rsidRPr="00632D88">
        <w:rPr>
          <w:b/>
        </w:rPr>
        <w:t>wage costs disability</w:t>
      </w:r>
    </w:p>
    <w:p w14:paraId="61E1A4FB" w14:textId="5E4B0927" w:rsidR="00632D88" w:rsidRDefault="00632D88" w:rsidP="00161EFB">
      <w:r w:rsidRPr="00632D88">
        <w:t>A disability that recognises that otherwise comparable public sector employees in different States are paid different wages, in large part due to differences in labour markets beyond the control of State governments.</w:t>
      </w:r>
    </w:p>
    <w:p w14:paraId="7FAB1859" w14:textId="0DD0C561" w:rsidR="008B0B87" w:rsidRDefault="008B0B87" w:rsidP="00161EFB"/>
    <w:p w14:paraId="29668E6D" w14:textId="5E72B76C" w:rsidR="008B0B87" w:rsidRPr="00F3399C" w:rsidRDefault="008B0B87" w:rsidP="00161EFB"/>
    <w:sectPr w:rsidR="008B0B87" w:rsidRPr="00F3399C" w:rsidSect="00D520FA">
      <w:footerReference w:type="default" r:id="rId78"/>
      <w:footerReference w:type="first" r:id="rId79"/>
      <w:pgSz w:w="11899" w:h="16838" w:code="9"/>
      <w:pgMar w:top="1418" w:right="1474" w:bottom="1418" w:left="1474" w:header="709" w:footer="56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9F7F2" w14:textId="77777777" w:rsidR="003555FB" w:rsidRDefault="003555FB">
      <w:r>
        <w:separator/>
      </w:r>
    </w:p>
  </w:endnote>
  <w:endnote w:type="continuationSeparator" w:id="0">
    <w:p w14:paraId="225ED22F" w14:textId="77777777" w:rsidR="003555FB" w:rsidRDefault="003555FB">
      <w:r>
        <w:continuationSeparator/>
      </w:r>
    </w:p>
  </w:endnote>
  <w:endnote w:type="continuationNotice" w:id="1">
    <w:p w14:paraId="0BE1F0AE" w14:textId="77777777" w:rsidR="003555FB" w:rsidRDefault="003555F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Ultra Light">
    <w:altName w:val="Calibri"/>
    <w:panose1 w:val="000003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ontserrat Extra Bold">
    <w:altName w:val="Calibri"/>
    <w:panose1 w:val="00000900000000000000"/>
    <w:charset w:val="00"/>
    <w:family w:val="modern"/>
    <w:notTrueType/>
    <w:pitch w:val="variable"/>
    <w:sig w:usb0="00000007" w:usb1="00000000" w:usb2="00000000" w:usb3="00000000" w:csb0="00000093" w:csb1="00000000"/>
  </w:font>
  <w:font w:name="Montserrat Semi Bold">
    <w:altName w:val="Calibri"/>
    <w:panose1 w:val="00000700000000000000"/>
    <w:charset w:val="00"/>
    <w:family w:val="modern"/>
    <w:notTrueType/>
    <w:pitch w:val="variable"/>
    <w:sig w:usb0="00000007" w:usb1="00000000" w:usb2="00000000" w:usb3="00000000" w:csb0="00000093" w:csb1="00000000"/>
  </w:font>
  <w:font w:name="Montserrat Light">
    <w:altName w:val="Calibri"/>
    <w:panose1 w:val="00000400000000000000"/>
    <w:charset w:val="00"/>
    <w:family w:val="auto"/>
    <w:pitch w:val="variable"/>
    <w:sig w:usb0="20000207" w:usb1="00000000" w:usb2="00000000" w:usb3="00000000" w:csb0="00000197" w:csb1="00000000"/>
  </w:font>
  <w:font w:name="Open Sans SemiBold">
    <w:altName w:val="Segoe UI"/>
    <w:panose1 w:val="020B07060308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Segoe UI"/>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0E41B" w14:textId="77777777" w:rsidR="007E365E" w:rsidRPr="0011178C" w:rsidRDefault="007E365E" w:rsidP="003929D2">
    <w:pPr>
      <w:pStyle w:val="Footer"/>
    </w:pPr>
    <w:r w:rsidRPr="008930AE">
      <w:t xml:space="preserve">Chapter </w:t>
    </w:r>
    <w:r>
      <w:t>19 Justice</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1BECE" w14:textId="77777777" w:rsidR="00DA2092" w:rsidRPr="0011178C" w:rsidRDefault="00DA2092" w:rsidP="003929D2">
    <w:pPr>
      <w:pStyle w:val="Footer"/>
    </w:pPr>
    <w:r w:rsidRPr="008930AE">
      <w:t xml:space="preserve">Chapter </w:t>
    </w:r>
    <w:r>
      <w:t>27 Wage costs</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1266C" w14:textId="05B5F1B7" w:rsidR="00DA2092" w:rsidRPr="0011178C" w:rsidRDefault="00DA2092" w:rsidP="003929D2">
    <w:pPr>
      <w:pStyle w:val="Footer"/>
    </w:pPr>
    <w:r w:rsidRPr="008930AE">
      <w:t xml:space="preserve">Chapter </w:t>
    </w:r>
    <w:r>
      <w:t>28 Geography</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8E368" w14:textId="13B33469" w:rsidR="00DA2092" w:rsidRPr="0011178C" w:rsidRDefault="00DA2092" w:rsidP="003929D2">
    <w:pPr>
      <w:pStyle w:val="Footer"/>
    </w:pPr>
    <w:r w:rsidRPr="008930AE">
      <w:t xml:space="preserve">Chapter </w:t>
    </w:r>
    <w:r>
      <w:t xml:space="preserve">29 Other disabilities </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3D7E0" w14:textId="00B408AB" w:rsidR="00DA2092" w:rsidRPr="0011178C" w:rsidRDefault="00DA2092" w:rsidP="003929D2">
    <w:pPr>
      <w:pStyle w:val="Footer"/>
    </w:pPr>
    <w:r w:rsidRPr="008930AE">
      <w:t xml:space="preserve">Chapter </w:t>
    </w:r>
    <w:r>
      <w:t xml:space="preserve">30 Calculating relativities </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C4060" w14:textId="4A342B76" w:rsidR="00DA2092" w:rsidRPr="0011178C" w:rsidRDefault="00DA2092" w:rsidP="003929D2">
    <w:pPr>
      <w:pStyle w:val="Footer"/>
    </w:pPr>
    <w:r w:rsidRPr="008930AE">
      <w:t xml:space="preserve">Chapter </w:t>
    </w:r>
    <w:r>
      <w:t>31 Population data</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696575"/>
      <w:docPartObj>
        <w:docPartGallery w:val="Page Numbers (Bottom of Page)"/>
        <w:docPartUnique/>
      </w:docPartObj>
    </w:sdtPr>
    <w:sdtEndPr>
      <w:rPr>
        <w:noProof/>
      </w:rPr>
    </w:sdtEndPr>
    <w:sdtContent>
      <w:p w14:paraId="05AA95F5" w14:textId="03B5675A" w:rsidR="00DA2092" w:rsidRPr="0011178C" w:rsidRDefault="00DA2092" w:rsidP="004D65FE">
        <w:pPr>
          <w:pStyle w:val="Footer"/>
        </w:pPr>
        <w:r>
          <w:t xml:space="preserve">Chapter 32 </w:t>
        </w:r>
        <w:r w:rsidR="00E37D7F">
          <w:t>A</w:t>
        </w:r>
        <w:r>
          <w:t>djusted budget</w:t>
        </w:r>
        <w:r>
          <w:tab/>
        </w:r>
        <w:r>
          <w:tab/>
          <w:t xml:space="preserve"> </w:t>
        </w:r>
        <w:r>
          <w:fldChar w:fldCharType="begin"/>
        </w:r>
        <w:r>
          <w:instrText xml:space="preserve"> PAGE   \* MERGEFORMAT </w:instrText>
        </w:r>
        <w:r>
          <w:fldChar w:fldCharType="separate"/>
        </w:r>
        <w:r>
          <w:rPr>
            <w:noProof/>
          </w:rPr>
          <w:t>6</w:t>
        </w:r>
        <w:r>
          <w:rPr>
            <w:noProof/>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932434"/>
      <w:docPartObj>
        <w:docPartGallery w:val="Page Numbers (Bottom of Page)"/>
        <w:docPartUnique/>
      </w:docPartObj>
    </w:sdtPr>
    <w:sdtEndPr>
      <w:rPr>
        <w:noProof/>
      </w:rPr>
    </w:sdtEndPr>
    <w:sdtContent>
      <w:p w14:paraId="5DDBD515" w14:textId="77777777" w:rsidR="00DA2092" w:rsidRDefault="00DA2092" w:rsidP="004D65FE">
        <w:pPr>
          <w:pStyle w:val="Footer"/>
        </w:pPr>
        <w:r>
          <w:tab/>
        </w:r>
        <w:r>
          <w:tab/>
          <w:t xml:space="preserve"> </w:t>
        </w:r>
        <w:r>
          <w:fldChar w:fldCharType="begin"/>
        </w:r>
        <w:r>
          <w:instrText xml:space="preserve"> PAGE   \* MERGEFORMAT </w:instrText>
        </w:r>
        <w:r>
          <w:fldChar w:fldCharType="separate"/>
        </w:r>
        <w:r>
          <w:rPr>
            <w:noProof/>
          </w:rPr>
          <w:t>1</w:t>
        </w:r>
        <w:r>
          <w:rPr>
            <w:noProof/>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3582940"/>
      <w:docPartObj>
        <w:docPartGallery w:val="Page Numbers (Bottom of Page)"/>
        <w:docPartUnique/>
      </w:docPartObj>
    </w:sdtPr>
    <w:sdtEndPr>
      <w:rPr>
        <w:noProof/>
      </w:rPr>
    </w:sdtEndPr>
    <w:sdtContent>
      <w:p w14:paraId="3267BFD8" w14:textId="1F377DE1" w:rsidR="00DA2092" w:rsidRPr="0011178C" w:rsidRDefault="00DA2092" w:rsidP="004D65FE">
        <w:pPr>
          <w:pStyle w:val="Footer"/>
        </w:pPr>
        <w:r>
          <w:t>Chapter 32 Attachment A</w:t>
        </w:r>
        <w:r>
          <w:tab/>
        </w:r>
        <w:r>
          <w:tab/>
          <w:t xml:space="preserve"> </w:t>
        </w:r>
        <w:r>
          <w:fldChar w:fldCharType="begin"/>
        </w:r>
        <w:r>
          <w:instrText xml:space="preserve"> PAGE   \* MERGEFORMAT </w:instrText>
        </w:r>
        <w:r>
          <w:fldChar w:fldCharType="separate"/>
        </w:r>
        <w:r>
          <w:rPr>
            <w:noProof/>
          </w:rPr>
          <w:t>6</w:t>
        </w:r>
        <w:r>
          <w:rPr>
            <w:noProof/>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8981164"/>
      <w:docPartObj>
        <w:docPartGallery w:val="Page Numbers (Bottom of Page)"/>
        <w:docPartUnique/>
      </w:docPartObj>
    </w:sdtPr>
    <w:sdtEndPr>
      <w:rPr>
        <w:noProof/>
      </w:rPr>
    </w:sdtEndPr>
    <w:sdtContent>
      <w:p w14:paraId="0897F59A" w14:textId="719E6B86" w:rsidR="0096262F" w:rsidRDefault="008305F0" w:rsidP="004D65FE">
        <w:pPr>
          <w:pStyle w:val="Footer"/>
        </w:pPr>
        <w:r>
          <w:t xml:space="preserve">Chapter </w:t>
        </w:r>
        <w:r w:rsidR="005B1109">
          <w:t xml:space="preserve">32 </w:t>
        </w:r>
        <w:r w:rsidR="0035621D">
          <w:t>Attachment A</w:t>
        </w:r>
        <w:r w:rsidR="005B1109">
          <w:tab/>
        </w:r>
        <w:r w:rsidR="0096262F">
          <w:tab/>
          <w:t xml:space="preserve"> </w:t>
        </w:r>
        <w:r w:rsidR="0096262F">
          <w:fldChar w:fldCharType="begin"/>
        </w:r>
        <w:r w:rsidR="0096262F">
          <w:instrText xml:space="preserve"> PAGE   \* MERGEFORMAT </w:instrText>
        </w:r>
        <w:r w:rsidR="0096262F">
          <w:fldChar w:fldCharType="separate"/>
        </w:r>
        <w:r w:rsidR="0096262F">
          <w:rPr>
            <w:noProof/>
          </w:rPr>
          <w:t>1</w:t>
        </w:r>
        <w:r w:rsidR="0096262F">
          <w:rPr>
            <w:noProof/>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6857735"/>
      <w:docPartObj>
        <w:docPartGallery w:val="Page Numbers (Bottom of Page)"/>
        <w:docPartUnique/>
      </w:docPartObj>
    </w:sdtPr>
    <w:sdtEndPr>
      <w:rPr>
        <w:noProof/>
      </w:rPr>
    </w:sdtEndPr>
    <w:sdtContent>
      <w:p w14:paraId="1AB03439" w14:textId="77777777" w:rsidR="00DA2092" w:rsidRPr="0011178C" w:rsidRDefault="00DA2092" w:rsidP="004D65FE">
        <w:pPr>
          <w:pStyle w:val="Footer"/>
        </w:pPr>
        <w:r>
          <w:t>Chapter 33 Consultation</w:t>
        </w:r>
        <w:r>
          <w:tab/>
        </w:r>
        <w:r>
          <w:tab/>
          <w:t xml:space="preserve"> </w:t>
        </w:r>
        <w:r>
          <w:fldChar w:fldCharType="begin"/>
        </w:r>
        <w:r>
          <w:instrText xml:space="preserve"> PAGE   \* MERGEFORMAT </w:instrText>
        </w:r>
        <w:r>
          <w:fldChar w:fldCharType="separate"/>
        </w:r>
        <w:r>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8CB5E" w14:textId="6F4E5150" w:rsidR="007C4B6D" w:rsidRDefault="007C4B6D">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441151"/>
      <w:docPartObj>
        <w:docPartGallery w:val="Page Numbers (Bottom of Page)"/>
        <w:docPartUnique/>
      </w:docPartObj>
    </w:sdtPr>
    <w:sdtEndPr>
      <w:rPr>
        <w:noProof/>
      </w:rPr>
    </w:sdtEndPr>
    <w:sdtContent>
      <w:p w14:paraId="3CE9D6C6" w14:textId="4B74E20D" w:rsidR="0035621D" w:rsidRDefault="00F536C7" w:rsidP="004D65FE">
        <w:pPr>
          <w:pStyle w:val="Footer"/>
        </w:pPr>
        <w:r>
          <w:tab/>
        </w:r>
        <w:r w:rsidR="0035621D">
          <w:tab/>
          <w:t xml:space="preserve"> </w:t>
        </w:r>
        <w:r w:rsidR="0035621D">
          <w:fldChar w:fldCharType="begin"/>
        </w:r>
        <w:r w:rsidR="0035621D">
          <w:instrText xml:space="preserve"> PAGE   \* MERGEFORMAT </w:instrText>
        </w:r>
        <w:r w:rsidR="0035621D">
          <w:fldChar w:fldCharType="separate"/>
        </w:r>
        <w:r w:rsidR="0035621D">
          <w:rPr>
            <w:noProof/>
          </w:rPr>
          <w:t>1</w:t>
        </w:r>
        <w:r w:rsidR="0035621D">
          <w:rPr>
            <w:noProof/>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0B417" w14:textId="486B4B7D" w:rsidR="00AB1A13" w:rsidRPr="0011178C" w:rsidRDefault="008C2016" w:rsidP="003929D2">
    <w:pPr>
      <w:pStyle w:val="Footer"/>
    </w:pPr>
    <w:r>
      <w:t>Glossary</w:t>
    </w:r>
    <w:r>
      <w:tab/>
    </w:r>
    <w:r>
      <w:tab/>
    </w:r>
    <w:r>
      <w:tab/>
    </w:r>
    <w:r w:rsidR="00F56813">
      <w:fldChar w:fldCharType="begin"/>
    </w:r>
    <w:r w:rsidR="00F56813">
      <w:instrText xml:space="preserve"> PAGE  \* Arabic  \* MERGEFORMAT </w:instrText>
    </w:r>
    <w:r w:rsidR="00F56813">
      <w:fldChar w:fldCharType="separate"/>
    </w:r>
    <w:r w:rsidR="0094626F">
      <w:rPr>
        <w:noProof/>
      </w:rPr>
      <w:t>3</w:t>
    </w:r>
    <w:r w:rsidR="00F56813">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CB316" w14:textId="77777777" w:rsidR="00AB1A13" w:rsidRPr="007E487F" w:rsidRDefault="00AB1A13" w:rsidP="00D520FA">
    <w:pPr>
      <w:pStyle w:val="Footer"/>
    </w:pPr>
    <w:r>
      <w:tab/>
    </w:r>
    <w:r w:rsidR="00DC0F02">
      <w:tab/>
    </w:r>
    <w:r w:rsidR="00F56813">
      <w:fldChar w:fldCharType="begin"/>
    </w:r>
    <w:r w:rsidR="00F56813">
      <w:instrText xml:space="preserve"> PAGE   \* MERGEFORMAT </w:instrText>
    </w:r>
    <w:r w:rsidR="00F56813">
      <w:fldChar w:fldCharType="separate"/>
    </w:r>
    <w:r w:rsidR="00364DB3">
      <w:rPr>
        <w:noProof/>
      </w:rPr>
      <w:t>1</w:t>
    </w:r>
    <w:r w:rsidR="00F56813">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9D870" w14:textId="77777777" w:rsidR="007E365E" w:rsidRPr="0011178C" w:rsidRDefault="007E365E" w:rsidP="003929D2">
    <w:pPr>
      <w:pStyle w:val="Footer"/>
    </w:pPr>
    <w:r w:rsidRPr="008930AE">
      <w:t xml:space="preserve">Chapter </w:t>
    </w:r>
    <w:r>
      <w:t>20 Roads</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82057" w14:textId="77777777" w:rsidR="007E365E" w:rsidRPr="0011178C" w:rsidRDefault="007E365E" w:rsidP="003929D2">
    <w:pPr>
      <w:pStyle w:val="Footer"/>
    </w:pPr>
    <w:r w:rsidRPr="008930AE">
      <w:t xml:space="preserve">Chapter </w:t>
    </w:r>
    <w:r>
      <w:t>21 Transport</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FC385" w14:textId="77777777" w:rsidR="007E365E" w:rsidRPr="0011178C" w:rsidRDefault="007E365E" w:rsidP="003929D2">
    <w:pPr>
      <w:pStyle w:val="Footer"/>
    </w:pPr>
    <w:r w:rsidRPr="008930AE">
      <w:t xml:space="preserve">Chapter </w:t>
    </w:r>
    <w:r>
      <w:t>22 Services to industry</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2B451" w14:textId="77777777" w:rsidR="007E365E" w:rsidRPr="0011178C" w:rsidRDefault="007E365E" w:rsidP="003929D2">
    <w:pPr>
      <w:pStyle w:val="Footer"/>
    </w:pPr>
    <w:r w:rsidRPr="008930AE">
      <w:t xml:space="preserve">Chapter </w:t>
    </w:r>
    <w:r>
      <w:t>23 Other expenses</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B637A" w14:textId="77777777" w:rsidR="007E365E" w:rsidRPr="0011178C" w:rsidRDefault="007E365E" w:rsidP="003929D2">
    <w:pPr>
      <w:pStyle w:val="Footer"/>
    </w:pPr>
    <w:r w:rsidRPr="008930AE">
      <w:t xml:space="preserve">Chapter </w:t>
    </w:r>
    <w:r>
      <w:t>24 Investment</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9C4FD" w14:textId="77777777" w:rsidR="007E365E" w:rsidRPr="0011178C" w:rsidRDefault="007E365E" w:rsidP="003929D2">
    <w:pPr>
      <w:pStyle w:val="Footer"/>
    </w:pPr>
    <w:r w:rsidRPr="008930AE">
      <w:t xml:space="preserve">Chapter </w:t>
    </w:r>
    <w:r>
      <w:t>25 Net borrowing</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E8D39" w14:textId="77777777" w:rsidR="007E365E" w:rsidRPr="0011178C" w:rsidRDefault="007E365E" w:rsidP="003929D2">
    <w:pPr>
      <w:pStyle w:val="Footer"/>
    </w:pPr>
    <w:r w:rsidRPr="008930AE">
      <w:t xml:space="preserve">Chapter </w:t>
    </w:r>
    <w:r>
      <w:t>26 Administrative scale</w:t>
    </w:r>
    <w:r>
      <w:tab/>
    </w:r>
    <w:r>
      <w:tab/>
      <w:t xml:space="preserve"> </w:t>
    </w:r>
    <w:r>
      <w:fldChar w:fldCharType="begin"/>
    </w:r>
    <w:r>
      <w:instrText xml:space="preserve"> PAGE  \* Arabic  \* MERGEFORMAT </w:instrText>
    </w:r>
    <w:r>
      <w:fldChar w:fldCharType="separate"/>
    </w:r>
    <w:r>
      <w:rPr>
        <w:noProof/>
      </w:rPr>
      <w:t>36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68343" w14:textId="77777777" w:rsidR="003555FB" w:rsidRPr="00201B3A" w:rsidRDefault="003555FB">
      <w:pPr>
        <w:rPr>
          <w:color w:val="ADD6EA"/>
        </w:rPr>
      </w:pPr>
      <w:r w:rsidRPr="00201B3A">
        <w:rPr>
          <w:color w:val="ADD6EA"/>
        </w:rPr>
        <w:separator/>
      </w:r>
    </w:p>
  </w:footnote>
  <w:footnote w:type="continuationSeparator" w:id="0">
    <w:p w14:paraId="03A08058" w14:textId="77777777" w:rsidR="003555FB" w:rsidRDefault="003555FB">
      <w:r>
        <w:continuationSeparator/>
      </w:r>
    </w:p>
  </w:footnote>
  <w:footnote w:type="continuationNotice" w:id="1">
    <w:p w14:paraId="2193CB69" w14:textId="77777777" w:rsidR="003555FB" w:rsidRDefault="003555FB">
      <w:pPr>
        <w:spacing w:before="0" w:line="240" w:lineRule="auto"/>
      </w:pPr>
    </w:p>
  </w:footnote>
  <w:footnote w:id="2">
    <w:p w14:paraId="102CA30A" w14:textId="77777777" w:rsidR="007E365E" w:rsidRDefault="007E365E" w:rsidP="007E365E">
      <w:pPr>
        <w:pStyle w:val="FootnoteText"/>
      </w:pPr>
      <w:r>
        <w:rPr>
          <w:rStyle w:val="FootnoteReference"/>
        </w:rPr>
        <w:footnoteRef/>
      </w:r>
      <w:r>
        <w:t xml:space="preserve"> </w:t>
      </w:r>
      <w:r>
        <w:tab/>
        <w:t>Most Commonwealth payments to the States affect the grant distribution but some do not. The Commission refers to payments that affect the grant distribution as ‘impact’ payments. For more information, see Chapter 5 Commonwealth payments.</w:t>
      </w:r>
    </w:p>
  </w:footnote>
  <w:footnote w:id="3">
    <w:p w14:paraId="1B776098" w14:textId="77777777" w:rsidR="007E365E" w:rsidRDefault="007E365E" w:rsidP="007E365E">
      <w:pPr>
        <w:pStyle w:val="FootnoteText"/>
      </w:pPr>
      <w:r>
        <w:rPr>
          <w:rStyle w:val="FootnoteReference"/>
        </w:rPr>
        <w:footnoteRef/>
      </w:r>
      <w:r>
        <w:t xml:space="preserve"> </w:t>
      </w:r>
      <w:r>
        <w:tab/>
        <w:t>Unless otherwise stated, category and component expenses for the first two assessment years are sourced from ABS GFS. States provide data for the most recent assessment year because GFS data are not available in time for the annual update.</w:t>
      </w:r>
    </w:p>
  </w:footnote>
  <w:footnote w:id="4">
    <w:p w14:paraId="4DC17645" w14:textId="77777777" w:rsidR="007E365E" w:rsidRDefault="007E365E" w:rsidP="007E365E">
      <w:pPr>
        <w:pStyle w:val="FootnoteText"/>
      </w:pPr>
      <w:r>
        <w:rPr>
          <w:rStyle w:val="FootnoteReference"/>
        </w:rPr>
        <w:footnoteRef/>
      </w:r>
      <w:r>
        <w:t xml:space="preserve"> </w:t>
      </w:r>
      <w:r>
        <w:tab/>
        <w:t>In the 2015 Review approach, the 0-14 and 65+ age groups were assumed to have zero use of justice services. In this review the Commission considers it simpler and more appropriate to use the actual offence rates of these groups.</w:t>
      </w:r>
    </w:p>
  </w:footnote>
  <w:footnote w:id="5">
    <w:p w14:paraId="11E300BF" w14:textId="77777777" w:rsidR="007E365E" w:rsidRDefault="007E365E" w:rsidP="007E365E">
      <w:pPr>
        <w:pStyle w:val="FootnoteText"/>
      </w:pPr>
      <w:r>
        <w:rPr>
          <w:rStyle w:val="FootnoteReference"/>
        </w:rPr>
        <w:footnoteRef/>
      </w:r>
      <w:r>
        <w:t xml:space="preserve"> </w:t>
      </w:r>
      <w:r>
        <w:tab/>
        <w:t xml:space="preserve">Traffic incidents </w:t>
      </w:r>
      <w:r w:rsidRPr="00CD557B">
        <w:t>account for some 40% of court attendances. Excluding</w:t>
      </w:r>
      <w:r>
        <w:t xml:space="preserve"> traffic incidents could result in distorted national averages by Indigenous status.</w:t>
      </w:r>
    </w:p>
  </w:footnote>
  <w:footnote w:id="6">
    <w:p w14:paraId="4CA06465" w14:textId="77777777" w:rsidR="007E365E" w:rsidRPr="004C6DB7" w:rsidRDefault="007E365E" w:rsidP="007E365E">
      <w:pPr>
        <w:pStyle w:val="FootnoteText"/>
      </w:pPr>
      <w:r w:rsidRPr="004C6DB7">
        <w:rPr>
          <w:rStyle w:val="FootnoteReference"/>
        </w:rPr>
        <w:footnoteRef/>
      </w:r>
      <w:r w:rsidRPr="004C6DB7">
        <w:t xml:space="preserve"> </w:t>
      </w:r>
      <w:r>
        <w:tab/>
      </w:r>
      <w:r w:rsidRPr="004C6DB7">
        <w:t>In contrast to the 2015 Review approach when 0-14 and 65+ age groups were assumed to have zero use of Justice services, in this review the Commission considers it simpler and more appropriate to use the actual offence rates of these groups.</w:t>
      </w:r>
    </w:p>
  </w:footnote>
  <w:footnote w:id="7">
    <w:p w14:paraId="40385BB2" w14:textId="77777777" w:rsidR="007E365E" w:rsidRDefault="007E365E" w:rsidP="007E365E">
      <w:pPr>
        <w:pStyle w:val="FootnoteText"/>
      </w:pPr>
      <w:r w:rsidRPr="004C6DB7">
        <w:rPr>
          <w:rStyle w:val="FootnoteReference"/>
        </w:rPr>
        <w:footnoteRef/>
      </w:r>
      <w:r w:rsidRPr="004C6DB7">
        <w:t xml:space="preserve"> </w:t>
      </w:r>
      <w:r>
        <w:tab/>
      </w:r>
      <w:r w:rsidRPr="004C6DB7">
        <w:t xml:space="preserve">As the distribution of defendants by region is not assessed, the regional cost factors are calculated based upon the regional distribution of </w:t>
      </w:r>
      <w:r>
        <w:t>Estimated Resident Population (</w:t>
      </w:r>
      <w:r w:rsidRPr="004C6DB7">
        <w:t>ERP</w:t>
      </w:r>
      <w:r>
        <w:t>)</w:t>
      </w:r>
      <w:r w:rsidRPr="004C6DB7">
        <w:t xml:space="preserve"> in each State.</w:t>
      </w:r>
    </w:p>
  </w:footnote>
  <w:footnote w:id="8">
    <w:p w14:paraId="4D228FCF" w14:textId="77777777" w:rsidR="007E365E" w:rsidRDefault="007E365E" w:rsidP="007E365E">
      <w:pPr>
        <w:pStyle w:val="FootnoteText"/>
      </w:pPr>
      <w:r>
        <w:rPr>
          <w:rStyle w:val="FootnoteReference"/>
        </w:rPr>
        <w:footnoteRef/>
      </w:r>
      <w:r>
        <w:t xml:space="preserve"> </w:t>
      </w:r>
      <w:r>
        <w:tab/>
        <w:t>State data include only New South Wales, Queensland, Western Australia, South Australia, and Northern Territory as other States were unable to provided Indigenous status for their defendants.</w:t>
      </w:r>
    </w:p>
  </w:footnote>
  <w:footnote w:id="9">
    <w:p w14:paraId="41F3D15D" w14:textId="77777777" w:rsidR="007E365E" w:rsidRDefault="007E365E" w:rsidP="007E365E">
      <w:pPr>
        <w:pStyle w:val="FootnoteText"/>
      </w:pPr>
      <w:r>
        <w:rPr>
          <w:rStyle w:val="FootnoteReference"/>
        </w:rPr>
        <w:footnoteRef/>
      </w:r>
      <w:r>
        <w:t xml:space="preserve"> </w:t>
      </w:r>
      <w:r>
        <w:tab/>
        <w:t xml:space="preserve">Data available for New South Wales, Queensland, Western Australia, South Australia and Northern Territory. These are States for which Indigenous status of defendants is available. </w:t>
      </w:r>
    </w:p>
  </w:footnote>
  <w:footnote w:id="10">
    <w:p w14:paraId="41B3BC78" w14:textId="77777777" w:rsidR="007E365E" w:rsidRDefault="007E365E" w:rsidP="007E365E">
      <w:pPr>
        <w:pStyle w:val="FootnoteText"/>
      </w:pPr>
      <w:r>
        <w:rPr>
          <w:rStyle w:val="FootnoteReference"/>
        </w:rPr>
        <w:footnoteRef/>
      </w:r>
      <w:r>
        <w:t xml:space="preserve"> </w:t>
      </w:r>
      <w:r>
        <w:tab/>
        <w:t xml:space="preserve">The Commission has set a materiality threshold for including a disability. The materiality test applies to the total impact the disability has on the redistribution across all revenue or expense categories in which it is assessed. To be included, a disability assessment must redistribute more than $35 per capita away from an EPC assessment for any State. </w:t>
      </w:r>
    </w:p>
  </w:footnote>
  <w:footnote w:id="11">
    <w:p w14:paraId="27521FB6" w14:textId="77777777" w:rsidR="007E365E" w:rsidRDefault="007E365E" w:rsidP="007E365E">
      <w:pPr>
        <w:pStyle w:val="FootnoteText"/>
        <w:tabs>
          <w:tab w:val="left" w:pos="567"/>
        </w:tabs>
      </w:pPr>
      <w:r>
        <w:rPr>
          <w:rStyle w:val="FootnoteReference"/>
        </w:rPr>
        <w:footnoteRef/>
      </w:r>
      <w:r>
        <w:t xml:space="preserve"> </w:t>
      </w:r>
      <w:r>
        <w:tab/>
        <w:t xml:space="preserve">ABS 2016, </w:t>
      </w:r>
      <w:r w:rsidRPr="00222E23">
        <w:rPr>
          <w:i/>
        </w:rPr>
        <w:t>Prisoners in Australia</w:t>
      </w:r>
      <w:r>
        <w:rPr>
          <w:i/>
        </w:rPr>
        <w:t xml:space="preserve"> 2016</w:t>
      </w:r>
      <w:r>
        <w:t>, cat. no. 4517.0.</w:t>
      </w:r>
    </w:p>
  </w:footnote>
  <w:footnote w:id="12">
    <w:p w14:paraId="149753F9" w14:textId="77777777" w:rsidR="007E365E" w:rsidRDefault="007E365E" w:rsidP="007E365E">
      <w:pPr>
        <w:pStyle w:val="FootnoteText"/>
      </w:pPr>
      <w:r>
        <w:rPr>
          <w:rStyle w:val="FootnoteReference"/>
        </w:rPr>
        <w:footnoteRef/>
      </w:r>
      <w:r>
        <w:t xml:space="preserve"> </w:t>
      </w:r>
      <w:r>
        <w:tab/>
        <w:t>Non-main English speaking includes all countries with the exception of United Kingdom, Ireland, South Africa, Canada, United States, New Zealand and Australia.</w:t>
      </w:r>
    </w:p>
  </w:footnote>
  <w:footnote w:id="13">
    <w:p w14:paraId="0C7D3C8B" w14:textId="77777777" w:rsidR="007E365E" w:rsidRDefault="007E365E" w:rsidP="007E365E">
      <w:pPr>
        <w:pStyle w:val="FootnoteText"/>
        <w:tabs>
          <w:tab w:val="left" w:pos="567"/>
        </w:tabs>
      </w:pPr>
      <w:r>
        <w:rPr>
          <w:rStyle w:val="FootnoteReference"/>
        </w:rPr>
        <w:footnoteRef/>
      </w:r>
      <w:r>
        <w:t xml:space="preserve"> </w:t>
      </w:r>
      <w:r>
        <w:tab/>
        <w:t xml:space="preserve">ABS 2018, </w:t>
      </w:r>
      <w:r w:rsidRPr="00760B85">
        <w:rPr>
          <w:i/>
        </w:rPr>
        <w:t>Corrective Services, Australia</w:t>
      </w:r>
      <w:r>
        <w:rPr>
          <w:i/>
        </w:rPr>
        <w:t>, June quarter 2018</w:t>
      </w:r>
      <w:r>
        <w:t>, cat. no. 4512.0, Table 4.</w:t>
      </w:r>
    </w:p>
  </w:footnote>
  <w:footnote w:id="14">
    <w:p w14:paraId="3B88661B" w14:textId="77777777" w:rsidR="007E365E" w:rsidRDefault="007E365E" w:rsidP="007E365E">
      <w:pPr>
        <w:pStyle w:val="FootnoteText"/>
        <w:tabs>
          <w:tab w:val="left" w:pos="567"/>
        </w:tabs>
      </w:pPr>
      <w:r>
        <w:rPr>
          <w:rStyle w:val="FootnoteReference"/>
        </w:rPr>
        <w:footnoteRef/>
      </w:r>
      <w:r>
        <w:t xml:space="preserve"> </w:t>
      </w:r>
      <w:r>
        <w:tab/>
        <w:t xml:space="preserve">Productivity Commission, </w:t>
      </w:r>
      <w:r w:rsidRPr="00760B85">
        <w:rPr>
          <w:i/>
        </w:rPr>
        <w:t>Report on Government Services 2018</w:t>
      </w:r>
      <w:r>
        <w:t>, Chapter 8, Table 8A.2.</w:t>
      </w:r>
    </w:p>
  </w:footnote>
  <w:footnote w:id="15">
    <w:p w14:paraId="7AC1E9D4" w14:textId="77777777" w:rsidR="007E365E" w:rsidRDefault="007E365E" w:rsidP="007E365E">
      <w:pPr>
        <w:pStyle w:val="FootnoteText"/>
      </w:pPr>
      <w:r>
        <w:rPr>
          <w:rStyle w:val="FootnoteReference"/>
        </w:rPr>
        <w:footnoteRef/>
      </w:r>
      <w:r>
        <w:t xml:space="preserve"> </w:t>
      </w:r>
      <w:r>
        <w:tab/>
        <w:t xml:space="preserve">Australian Criminal Intelligence Commission 2018, </w:t>
      </w:r>
      <w:r w:rsidRPr="00760B85">
        <w:rPr>
          <w:i/>
        </w:rPr>
        <w:t>Illicit Drug Data Report 2016-17</w:t>
      </w:r>
      <w:r>
        <w:t>, p. 152.</w:t>
      </w:r>
    </w:p>
  </w:footnote>
  <w:footnote w:id="16">
    <w:p w14:paraId="7C3469EA" w14:textId="77777777" w:rsidR="007E365E" w:rsidRDefault="007E365E" w:rsidP="007E365E">
      <w:pPr>
        <w:pStyle w:val="FootnoteText"/>
      </w:pPr>
      <w:r>
        <w:rPr>
          <w:rStyle w:val="FootnoteReference"/>
        </w:rPr>
        <w:footnoteRef/>
      </w:r>
      <w:r>
        <w:t xml:space="preserve"> </w:t>
      </w:r>
      <w:r>
        <w:tab/>
        <w:t>Only 50% of payments for investment in the national network affect the grant distribution. For more information, see Chapter 5 Commonwealth payments.</w:t>
      </w:r>
    </w:p>
  </w:footnote>
  <w:footnote w:id="17">
    <w:p w14:paraId="01D0389D" w14:textId="77777777" w:rsidR="007E365E" w:rsidRDefault="007E365E" w:rsidP="007E365E">
      <w:pPr>
        <w:pStyle w:val="FootnoteText"/>
      </w:pPr>
      <w:r>
        <w:rPr>
          <w:rStyle w:val="FootnoteReference"/>
        </w:rPr>
        <w:footnoteRef/>
      </w:r>
      <w:r>
        <w:t xml:space="preserve"> </w:t>
      </w:r>
      <w:r>
        <w:tab/>
        <w:t>Unless otherwise stated, category and component expenses for the first two assessment years are sourced from ABS GFS. States provide data for the most recent assessment year because GFS data are not available in time for the annual update.</w:t>
      </w:r>
    </w:p>
  </w:footnote>
  <w:footnote w:id="18">
    <w:p w14:paraId="2C18833A" w14:textId="77777777" w:rsidR="007E365E" w:rsidRDefault="007E365E" w:rsidP="007E365E">
      <w:pPr>
        <w:pStyle w:val="FootnoteText"/>
      </w:pPr>
      <w:r>
        <w:rPr>
          <w:rStyle w:val="FootnoteReference"/>
        </w:rPr>
        <w:footnoteRef/>
      </w:r>
      <w:r>
        <w:t xml:space="preserve"> </w:t>
      </w:r>
      <w:r>
        <w:tab/>
        <w:t xml:space="preserve">National Transport Commission (NTC) </w:t>
      </w:r>
      <w:r w:rsidRPr="00B116C5">
        <w:t xml:space="preserve">PAYGO cost allocation formulae, available on the </w:t>
      </w:r>
      <w:hyperlink r:id="rId1" w:history="1">
        <w:r w:rsidRPr="00B116C5">
          <w:t>NTC website</w:t>
        </w:r>
      </w:hyperlink>
      <w:r w:rsidRPr="00B116C5">
        <w:t xml:space="preserve"> (https://ntc.gov.au/heavy-vehicles/heavy-vehicle-charges/).</w:t>
      </w:r>
    </w:p>
  </w:footnote>
  <w:footnote w:id="19">
    <w:p w14:paraId="436F17A6" w14:textId="77777777" w:rsidR="007E365E" w:rsidRDefault="007E365E" w:rsidP="007E365E">
      <w:pPr>
        <w:pStyle w:val="FootnoteText"/>
      </w:pPr>
      <w:r>
        <w:rPr>
          <w:rStyle w:val="FootnoteReference"/>
        </w:rPr>
        <w:footnoteRef/>
      </w:r>
      <w:r>
        <w:t xml:space="preserve"> </w:t>
      </w:r>
      <w:r>
        <w:tab/>
      </w:r>
      <w:r w:rsidRPr="00BA27DA">
        <w:t xml:space="preserve">The NTC directly attributes these costs to the impact of </w:t>
      </w:r>
      <w:r>
        <w:t>passenger car equivalent-kilometres</w:t>
      </w:r>
      <w:r w:rsidRPr="00BA27DA">
        <w:t xml:space="preserve"> and </w:t>
      </w:r>
      <w:r>
        <w:t>vehicle kilometres travelled,</w:t>
      </w:r>
      <w:r w:rsidRPr="00BA27DA">
        <w:t xml:space="preserve"> which the Commission aggregates to the impact of </w:t>
      </w:r>
      <w:r>
        <w:t>traffic volume</w:t>
      </w:r>
      <w:r w:rsidRPr="00BA27DA">
        <w:t>.</w:t>
      </w:r>
    </w:p>
  </w:footnote>
  <w:footnote w:id="20">
    <w:p w14:paraId="17EB020A" w14:textId="77777777" w:rsidR="007E365E" w:rsidRDefault="007E365E" w:rsidP="007E365E">
      <w:pPr>
        <w:pStyle w:val="FootnoteText"/>
      </w:pPr>
      <w:r>
        <w:rPr>
          <w:rStyle w:val="FootnoteReference"/>
        </w:rPr>
        <w:footnoteRef/>
      </w:r>
      <w:r>
        <w:t xml:space="preserve"> </w:t>
      </w:r>
      <w:r>
        <w:tab/>
        <w:t>The NTC directly attributes these costs to the impact of equivalent standard axle-kilometres, average gross mass-kilometres and heavy vehicle kilometres travelled, which the Commission aggregates to the impact of heavy vehicle use.</w:t>
      </w:r>
    </w:p>
  </w:footnote>
  <w:footnote w:id="21">
    <w:p w14:paraId="2DB9FF18" w14:textId="77777777" w:rsidR="007E365E" w:rsidRDefault="007E365E" w:rsidP="007E365E">
      <w:pPr>
        <w:pStyle w:val="FootnoteText"/>
      </w:pPr>
      <w:r>
        <w:rPr>
          <w:rStyle w:val="FootnoteReference"/>
        </w:rPr>
        <w:footnoteRef/>
      </w:r>
      <w:r>
        <w:t xml:space="preserve"> </w:t>
      </w:r>
      <w:r>
        <w:tab/>
      </w:r>
      <w:r w:rsidRPr="008F0148">
        <w:t>Four-wheel drive roads, restricted access roads and access roads to private property were not considered to be broadly accessible and were excluded.</w:t>
      </w:r>
      <w:r>
        <w:t xml:space="preserve"> </w:t>
      </w:r>
    </w:p>
  </w:footnote>
  <w:footnote w:id="22">
    <w:p w14:paraId="537BFDCE" w14:textId="77777777" w:rsidR="007E365E" w:rsidRDefault="007E365E" w:rsidP="007E365E">
      <w:pPr>
        <w:pStyle w:val="FootnoteText"/>
      </w:pPr>
      <w:r>
        <w:rPr>
          <w:rStyle w:val="FootnoteReference"/>
        </w:rPr>
        <w:footnoteRef/>
      </w:r>
      <w:r>
        <w:t xml:space="preserve"> </w:t>
      </w:r>
      <w:r>
        <w:tab/>
        <w:t xml:space="preserve">This assumption was made because lane information is not available for a small proportion of State roads. However, checks showed that it can be safely assumed these roads had no more than two lanes. </w:t>
      </w:r>
    </w:p>
  </w:footnote>
  <w:footnote w:id="23">
    <w:p w14:paraId="56C4A99E" w14:textId="77777777" w:rsidR="007E365E" w:rsidRDefault="007E365E" w:rsidP="007E365E">
      <w:pPr>
        <w:pStyle w:val="FootnoteText"/>
      </w:pPr>
      <w:r>
        <w:rPr>
          <w:rStyle w:val="FootnoteReference"/>
        </w:rPr>
        <w:footnoteRef/>
      </w:r>
      <w:r>
        <w:t xml:space="preserve"> </w:t>
      </w:r>
      <w:r>
        <w:tab/>
      </w:r>
      <w:r w:rsidRPr="007E65D2">
        <w:t>Adjacency was defined as centres with an adjacent voronoi polygon border</w:t>
      </w:r>
      <w:r>
        <w:t xml:space="preserve">. </w:t>
      </w:r>
      <w:r w:rsidRPr="009F074B">
        <w:t>A voronoi polygon partitions a plane with points into convex polygons such that each polygon contains exactly one generating point and every point in a given polygon is closer to its generating point than to any other.</w:t>
      </w:r>
    </w:p>
  </w:footnote>
  <w:footnote w:id="24">
    <w:p w14:paraId="51ABEDCF" w14:textId="77777777" w:rsidR="007E365E" w:rsidRDefault="007E365E" w:rsidP="007E365E">
      <w:pPr>
        <w:pStyle w:val="FootnoteText"/>
      </w:pPr>
      <w:r>
        <w:rPr>
          <w:rStyle w:val="FootnoteReference"/>
        </w:rPr>
        <w:footnoteRef/>
      </w:r>
      <w:r>
        <w:t xml:space="preserve"> </w:t>
      </w:r>
      <w:r>
        <w:tab/>
        <w:t>The connections were calculated using PitneyBowes RouteFinder software and the PitneyBowes RouteFinder Links dataset.</w:t>
      </w:r>
    </w:p>
  </w:footnote>
  <w:footnote w:id="25">
    <w:p w14:paraId="4BCF0F1E" w14:textId="77777777" w:rsidR="007E365E" w:rsidRDefault="007E365E" w:rsidP="007E365E">
      <w:pPr>
        <w:pStyle w:val="FootnoteText"/>
      </w:pPr>
      <w:r>
        <w:rPr>
          <w:rStyle w:val="FootnoteReference"/>
        </w:rPr>
        <w:footnoteRef/>
      </w:r>
      <w:r>
        <w:t xml:space="preserve"> </w:t>
      </w:r>
      <w:r>
        <w:tab/>
      </w:r>
      <w:r w:rsidRPr="00EB0307">
        <w:t>Local type roads in unincorporated areas</w:t>
      </w:r>
      <w:r>
        <w:t xml:space="preserve"> were excluded.</w:t>
      </w:r>
    </w:p>
  </w:footnote>
  <w:footnote w:id="26">
    <w:p w14:paraId="6183C178" w14:textId="101BA668" w:rsidR="007E365E" w:rsidRDefault="007E365E" w:rsidP="007E365E">
      <w:pPr>
        <w:pStyle w:val="FootnoteText"/>
      </w:pPr>
      <w:r>
        <w:rPr>
          <w:rStyle w:val="FootnoteReference"/>
        </w:rPr>
        <w:footnoteRef/>
      </w:r>
      <w:r>
        <w:t xml:space="preserve"> </w:t>
      </w:r>
      <w:r>
        <w:tab/>
        <w:t>S</w:t>
      </w:r>
      <w:r w:rsidRPr="00EE5359">
        <w:t xml:space="preserve">ee the footnote to </w:t>
      </w:r>
      <w:r>
        <w:fldChar w:fldCharType="begin"/>
      </w:r>
      <w:r>
        <w:instrText xml:space="preserve"> REF _Ref4595251 \h </w:instrText>
      </w:r>
      <w:r>
        <w:fldChar w:fldCharType="separate"/>
      </w:r>
      <w:r w:rsidR="007F721A" w:rsidRPr="00E23377">
        <w:t xml:space="preserve">Table </w:t>
      </w:r>
      <w:r w:rsidR="007F721A">
        <w:t>20-</w:t>
      </w:r>
      <w:r w:rsidR="007F721A">
        <w:rPr>
          <w:noProof/>
        </w:rPr>
        <w:t>8</w:t>
      </w:r>
      <w:r>
        <w:fldChar w:fldCharType="end"/>
      </w:r>
      <w:r>
        <w:t xml:space="preserve"> </w:t>
      </w:r>
      <w:r w:rsidRPr="00EE5359">
        <w:t xml:space="preserve">for details of how </w:t>
      </w:r>
      <w:r>
        <w:t xml:space="preserve">road </w:t>
      </w:r>
      <w:r w:rsidRPr="00EE5359">
        <w:t xml:space="preserve">segments </w:t>
      </w:r>
      <w:r>
        <w:t>a</w:t>
      </w:r>
      <w:r w:rsidRPr="00EE5359">
        <w:t>ffect the calculation.</w:t>
      </w:r>
    </w:p>
  </w:footnote>
  <w:footnote w:id="27">
    <w:p w14:paraId="16A2150D" w14:textId="62ED15E4" w:rsidR="007E365E" w:rsidRDefault="007E365E" w:rsidP="007E365E">
      <w:pPr>
        <w:pStyle w:val="FootnoteText"/>
      </w:pPr>
      <w:r>
        <w:rPr>
          <w:rStyle w:val="FootnoteReference"/>
        </w:rPr>
        <w:footnoteRef/>
      </w:r>
      <w:r>
        <w:t xml:space="preserve"> </w:t>
      </w:r>
      <w:r>
        <w:tab/>
      </w:r>
      <w:hyperlink r:id="rId2" w:history="1">
        <w:r w:rsidRPr="00986F85">
          <w:rPr>
            <w:rStyle w:val="Hyperlink"/>
          </w:rPr>
          <w:t>Geoscience Australia</w:t>
        </w:r>
      </w:hyperlink>
      <w:r>
        <w:t xml:space="preserve"> (</w:t>
      </w:r>
      <w:hyperlink r:id="rId3" w:history="1">
        <w:r w:rsidRPr="00C86665">
          <w:rPr>
            <w:rStyle w:val="Hyperlink"/>
          </w:rPr>
          <w:t>http://www.australianminesatlas.gov.au/mapping/downloads.html</w:t>
        </w:r>
      </w:hyperlink>
      <w:r>
        <w:t>). These data relate to mines that were operating in 2015, and ports that were operating in 2009. These are the best available data that have been identified</w:t>
      </w:r>
      <w:r w:rsidR="008B11FD">
        <w:t xml:space="preserve">, </w:t>
      </w:r>
      <w:r w:rsidR="008B11FD" w:rsidRPr="008B11FD">
        <w:t>[accessed 24/10/19]</w:t>
      </w:r>
      <w:r w:rsidR="008B11FD">
        <w:t>.</w:t>
      </w:r>
    </w:p>
  </w:footnote>
  <w:footnote w:id="28">
    <w:p w14:paraId="630E623F" w14:textId="77777777" w:rsidR="007E365E" w:rsidRDefault="007E365E" w:rsidP="007E365E">
      <w:pPr>
        <w:pStyle w:val="FootnoteText"/>
      </w:pPr>
      <w:r>
        <w:rPr>
          <w:rStyle w:val="FootnoteReference"/>
        </w:rPr>
        <w:footnoteRef/>
      </w:r>
      <w:r>
        <w:t xml:space="preserve"> </w:t>
      </w:r>
      <w:r>
        <w:tab/>
        <w:t xml:space="preserve">These processing plants are shown on the </w:t>
      </w:r>
      <w:hyperlink r:id="rId4" w:history="1">
        <w:r w:rsidRPr="009C3E54">
          <w:rPr>
            <w:rStyle w:val="Hyperlink"/>
          </w:rPr>
          <w:t>Geoscience Australia website</w:t>
        </w:r>
      </w:hyperlink>
      <w:r>
        <w:t xml:space="preserve"> (</w:t>
      </w:r>
      <w:r w:rsidRPr="009C3E54">
        <w:t>http://www.ga.gov.au/scientific-topics/energy/resources/petroleum-resources/gas</w:t>
      </w:r>
      <w:r>
        <w:t>), [accessed 24/10/19].</w:t>
      </w:r>
    </w:p>
  </w:footnote>
  <w:footnote w:id="29">
    <w:p w14:paraId="39DBF283" w14:textId="77777777" w:rsidR="007E365E" w:rsidRDefault="007E365E" w:rsidP="007E365E">
      <w:pPr>
        <w:pStyle w:val="FootnoteText"/>
      </w:pPr>
      <w:r>
        <w:rPr>
          <w:rStyle w:val="FootnoteReference"/>
        </w:rPr>
        <w:footnoteRef/>
      </w:r>
      <w:r>
        <w:t xml:space="preserve"> </w:t>
      </w:r>
      <w:r>
        <w:tab/>
        <w:t xml:space="preserve">The PitneyBowes StreetPro dataset incorporates </w:t>
      </w:r>
      <w:r w:rsidRPr="003F1C3A">
        <w:t xml:space="preserve">PSMA Australia data including that relating to National Parks. </w:t>
      </w:r>
    </w:p>
  </w:footnote>
  <w:footnote w:id="30">
    <w:p w14:paraId="45F36D72" w14:textId="77777777" w:rsidR="007E365E" w:rsidRDefault="007E365E" w:rsidP="007E365E">
      <w:pPr>
        <w:pStyle w:val="FootnoteText"/>
      </w:pPr>
      <w:r>
        <w:rPr>
          <w:rStyle w:val="FootnoteReference"/>
        </w:rPr>
        <w:footnoteRef/>
      </w:r>
      <w:r>
        <w:t xml:space="preserve"> </w:t>
      </w:r>
      <w:r>
        <w:tab/>
      </w:r>
      <w:r w:rsidRPr="003F1C3A">
        <w:t>During the Western Australian State visit, the Main Roads Department told the Commission that mining companies contribute to the cost of maintaining roads.</w:t>
      </w:r>
    </w:p>
  </w:footnote>
  <w:footnote w:id="31">
    <w:p w14:paraId="26BA90CC" w14:textId="77777777" w:rsidR="007E365E" w:rsidRDefault="007E365E" w:rsidP="007E365E">
      <w:pPr>
        <w:pStyle w:val="FootnoteText"/>
      </w:pPr>
      <w:r>
        <w:rPr>
          <w:rStyle w:val="FootnoteReference"/>
        </w:rPr>
        <w:footnoteRef/>
      </w:r>
      <w:r>
        <w:t xml:space="preserve"> </w:t>
      </w:r>
      <w:r>
        <w:tab/>
      </w:r>
      <w:r w:rsidRPr="00202A54">
        <w:t xml:space="preserve">Geoscience Australia, Mineral Exploration Legislation, Reporting Guidelines and Exploration, see: </w:t>
      </w:r>
      <w:hyperlink r:id="rId5" w:history="1">
        <w:r w:rsidRPr="00202A54">
          <w:rPr>
            <w:rStyle w:val="Hyperlink"/>
          </w:rPr>
          <w:t>https://www.ga.gov.au/scientific-topics/minerals/mineral-exploration/legislation-tenements</w:t>
        </w:r>
      </w:hyperlink>
      <w:r w:rsidRPr="00202A54">
        <w:t>, [accessed 19/02/2020]</w:t>
      </w:r>
      <w:r>
        <w:t>.</w:t>
      </w:r>
    </w:p>
  </w:footnote>
  <w:footnote w:id="32">
    <w:p w14:paraId="5E51A88A" w14:textId="77777777" w:rsidR="007E365E" w:rsidRDefault="007E365E" w:rsidP="007E365E">
      <w:pPr>
        <w:pStyle w:val="FootnoteText"/>
      </w:pPr>
      <w:r>
        <w:rPr>
          <w:rStyle w:val="FootnoteReference"/>
        </w:rPr>
        <w:footnoteRef/>
      </w:r>
      <w:r>
        <w:t xml:space="preserve"> </w:t>
      </w:r>
      <w:r>
        <w:tab/>
        <w:t>These suburb locations were included in the PitneyBowes StreetPro dataset.</w:t>
      </w:r>
    </w:p>
  </w:footnote>
  <w:footnote w:id="33">
    <w:p w14:paraId="7DBBAC71" w14:textId="77777777" w:rsidR="007E365E" w:rsidRDefault="007E365E" w:rsidP="007E365E">
      <w:pPr>
        <w:pStyle w:val="FootnoteText"/>
      </w:pPr>
      <w:r>
        <w:rPr>
          <w:rStyle w:val="FootnoteReference"/>
        </w:rPr>
        <w:footnoteRef/>
      </w:r>
      <w:r>
        <w:t xml:space="preserve"> </w:t>
      </w:r>
      <w:r>
        <w:tab/>
      </w:r>
      <w:r w:rsidRPr="00FF0EEA">
        <w:t>It uses the SMVU (ABS Cat. No. 9208.0) dataset ‘Total distance travelled by area of operation’. This ensures that the traffic data reflect all travel in a State, not just travel by vehicles registered in that State.</w:t>
      </w:r>
    </w:p>
  </w:footnote>
  <w:footnote w:id="34">
    <w:p w14:paraId="23D363FD" w14:textId="77777777" w:rsidR="007E365E" w:rsidRPr="007D3AA8" w:rsidRDefault="007E365E" w:rsidP="007E365E">
      <w:pPr>
        <w:pStyle w:val="FootnoteText"/>
        <w:rPr>
          <w:rStyle w:val="FootnoteTextChar"/>
        </w:rPr>
      </w:pPr>
      <w:r>
        <w:rPr>
          <w:rStyle w:val="FootnoteReference"/>
        </w:rPr>
        <w:footnoteRef/>
      </w:r>
      <w:r>
        <w:t xml:space="preserve"> </w:t>
      </w:r>
      <w:r>
        <w:tab/>
      </w:r>
      <w:r w:rsidRPr="007D3AA8">
        <w:rPr>
          <w:rStyle w:val="FootnoteTextChar"/>
        </w:rPr>
        <w:t xml:space="preserve">BITRE adjusts the SMVU </w:t>
      </w:r>
      <w:r w:rsidRPr="007D3AA8">
        <w:t>data</w:t>
      </w:r>
      <w:r w:rsidRPr="007D3AA8">
        <w:rPr>
          <w:rStyle w:val="FootnoteTextChar"/>
        </w:rPr>
        <w:t xml:space="preserve"> using data such as fuel sales, off-road use, fleet fuel use modelling and traffic data from monitored networks in cities.</w:t>
      </w:r>
    </w:p>
  </w:footnote>
  <w:footnote w:id="35">
    <w:p w14:paraId="7FAF9AFA" w14:textId="77777777" w:rsidR="007E365E" w:rsidRDefault="007E365E" w:rsidP="007E365E">
      <w:pPr>
        <w:pStyle w:val="FootnoteText"/>
      </w:pPr>
      <w:r>
        <w:rPr>
          <w:rStyle w:val="FootnoteReference"/>
        </w:rPr>
        <w:footnoteRef/>
      </w:r>
      <w:r>
        <w:t xml:space="preserve"> </w:t>
      </w:r>
      <w:r>
        <w:tab/>
      </w:r>
      <w:r w:rsidRPr="00E75BD9">
        <w:t>The NTC tr</w:t>
      </w:r>
      <w:r>
        <w:t xml:space="preserve">end data are based on the ABS </w:t>
      </w:r>
      <w:r w:rsidRPr="0050151C">
        <w:t xml:space="preserve">Survey of Motor Vehicle Use (SMVU) </w:t>
      </w:r>
      <w:r>
        <w:t xml:space="preserve"> data using the 7 year trend to 2018. T</w:t>
      </w:r>
      <w:r w:rsidRPr="00E75BD9">
        <w:t>rend data</w:t>
      </w:r>
      <w:r>
        <w:t xml:space="preserve"> are used</w:t>
      </w:r>
      <w:r w:rsidRPr="00E75BD9">
        <w:t xml:space="preserve"> to derive trend AGMs for the vehicle classes in the BITRE data.</w:t>
      </w:r>
      <w:r>
        <w:t xml:space="preserve"> </w:t>
      </w:r>
    </w:p>
  </w:footnote>
  <w:footnote w:id="36">
    <w:p w14:paraId="0ED96042" w14:textId="77777777" w:rsidR="007E365E" w:rsidRDefault="007E365E" w:rsidP="007E365E">
      <w:pPr>
        <w:pStyle w:val="FootnoteText"/>
      </w:pPr>
      <w:r>
        <w:rPr>
          <w:rStyle w:val="FootnoteReference"/>
        </w:rPr>
        <w:footnoteRef/>
      </w:r>
      <w:r>
        <w:t xml:space="preserve"> </w:t>
      </w:r>
      <w:r>
        <w:tab/>
        <w:t xml:space="preserve">National Transport Commission (2014). </w:t>
      </w:r>
      <w:r w:rsidRPr="00FE6E1B">
        <w:rPr>
          <w:i/>
        </w:rPr>
        <w:t>2014 Heavy Vehicle Charges Determination</w:t>
      </w:r>
      <w:r>
        <w:t>. p. xv.</w:t>
      </w:r>
    </w:p>
  </w:footnote>
  <w:footnote w:id="37">
    <w:p w14:paraId="444E8C22" w14:textId="3608ECC7" w:rsidR="007E365E" w:rsidRDefault="007E365E" w:rsidP="007E365E">
      <w:pPr>
        <w:pStyle w:val="FootnoteText"/>
      </w:pPr>
      <w:r>
        <w:rPr>
          <w:rStyle w:val="FootnoteReference"/>
        </w:rPr>
        <w:footnoteRef/>
      </w:r>
      <w:r>
        <w:t xml:space="preserve"> </w:t>
      </w:r>
      <w:r>
        <w:tab/>
        <w:t xml:space="preserve">See </w:t>
      </w:r>
      <w:r>
        <w:fldChar w:fldCharType="begin"/>
      </w:r>
      <w:r>
        <w:instrText xml:space="preserve"> REF _Ref9934450 \h </w:instrText>
      </w:r>
      <w:r>
        <w:fldChar w:fldCharType="separate"/>
      </w:r>
      <w:r w:rsidR="007F721A" w:rsidRPr="00E23377">
        <w:t xml:space="preserve">Table </w:t>
      </w:r>
      <w:r w:rsidR="007F721A">
        <w:t>20-</w:t>
      </w:r>
      <w:r w:rsidR="007F721A">
        <w:rPr>
          <w:noProof/>
        </w:rPr>
        <w:t>10</w:t>
      </w:r>
      <w:r>
        <w:fldChar w:fldCharType="end"/>
      </w:r>
      <w:r>
        <w:t xml:space="preserve">, </w:t>
      </w:r>
      <w:r>
        <w:fldChar w:fldCharType="begin"/>
      </w:r>
      <w:r>
        <w:instrText xml:space="preserve"> REF _Ref9939662 \h </w:instrText>
      </w:r>
      <w:r>
        <w:fldChar w:fldCharType="separate"/>
      </w:r>
      <w:r w:rsidR="007F721A" w:rsidRPr="00E23377">
        <w:t xml:space="preserve">Table </w:t>
      </w:r>
      <w:r w:rsidR="007F721A">
        <w:t>20-</w:t>
      </w:r>
      <w:r w:rsidR="007F721A">
        <w:rPr>
          <w:noProof/>
        </w:rPr>
        <w:t>12</w:t>
      </w:r>
      <w:r>
        <w:fldChar w:fldCharType="end"/>
      </w:r>
      <w:r>
        <w:t xml:space="preserve"> and </w:t>
      </w:r>
      <w:r>
        <w:fldChar w:fldCharType="begin"/>
      </w:r>
      <w:r>
        <w:instrText xml:space="preserve"> REF _Ref9940347 \h </w:instrText>
      </w:r>
      <w:r>
        <w:fldChar w:fldCharType="separate"/>
      </w:r>
      <w:r w:rsidR="007F721A" w:rsidRPr="00E23377">
        <w:t xml:space="preserve">Table </w:t>
      </w:r>
      <w:r w:rsidR="007F721A">
        <w:t>20-</w:t>
      </w:r>
      <w:r w:rsidR="007F721A">
        <w:rPr>
          <w:noProof/>
        </w:rPr>
        <w:t>15</w:t>
      </w:r>
      <w:r>
        <w:fldChar w:fldCharType="end"/>
      </w:r>
      <w:r>
        <w:t>.</w:t>
      </w:r>
    </w:p>
  </w:footnote>
  <w:footnote w:id="38">
    <w:p w14:paraId="1462CB1F" w14:textId="22AA39A1" w:rsidR="007E365E" w:rsidRDefault="007E365E" w:rsidP="007E365E">
      <w:pPr>
        <w:pStyle w:val="FootnoteText"/>
      </w:pPr>
      <w:r>
        <w:rPr>
          <w:rStyle w:val="FootnoteReference"/>
        </w:rPr>
        <w:footnoteRef/>
      </w:r>
      <w:r>
        <w:t xml:space="preserve"> </w:t>
      </w:r>
      <w:r>
        <w:tab/>
        <w:t xml:space="preserve">See </w:t>
      </w:r>
      <w:r>
        <w:fldChar w:fldCharType="begin"/>
      </w:r>
      <w:r>
        <w:instrText xml:space="preserve"> REF _Ref9939541 \h </w:instrText>
      </w:r>
      <w:r>
        <w:fldChar w:fldCharType="separate"/>
      </w:r>
      <w:r w:rsidR="007F721A" w:rsidRPr="00E23377">
        <w:t xml:space="preserve">Table </w:t>
      </w:r>
      <w:r w:rsidR="007F721A">
        <w:t>20-</w:t>
      </w:r>
      <w:r w:rsidR="007F721A">
        <w:rPr>
          <w:noProof/>
        </w:rPr>
        <w:t>11</w:t>
      </w:r>
      <w:r>
        <w:fldChar w:fldCharType="end"/>
      </w:r>
      <w:r>
        <w:t xml:space="preserve">, </w:t>
      </w:r>
      <w:r>
        <w:fldChar w:fldCharType="begin"/>
      </w:r>
      <w:r>
        <w:instrText xml:space="preserve"> REF _Ref9939662 \h </w:instrText>
      </w:r>
      <w:r>
        <w:fldChar w:fldCharType="separate"/>
      </w:r>
      <w:r w:rsidR="007F721A" w:rsidRPr="00E23377">
        <w:t xml:space="preserve">Table </w:t>
      </w:r>
      <w:r w:rsidR="007F721A">
        <w:t>20-</w:t>
      </w:r>
      <w:r w:rsidR="007F721A">
        <w:rPr>
          <w:noProof/>
        </w:rPr>
        <w:t>12</w:t>
      </w:r>
      <w:r>
        <w:fldChar w:fldCharType="end"/>
      </w:r>
      <w:r>
        <w:t xml:space="preserve"> and </w:t>
      </w:r>
      <w:r>
        <w:fldChar w:fldCharType="begin"/>
      </w:r>
      <w:r>
        <w:instrText xml:space="preserve"> REF _Ref9940347 \h </w:instrText>
      </w:r>
      <w:r>
        <w:fldChar w:fldCharType="separate"/>
      </w:r>
      <w:r w:rsidR="007F721A" w:rsidRPr="00E23377">
        <w:t xml:space="preserve">Table </w:t>
      </w:r>
      <w:r w:rsidR="007F721A">
        <w:t>20-</w:t>
      </w:r>
      <w:r w:rsidR="007F721A">
        <w:rPr>
          <w:noProof/>
        </w:rPr>
        <w:t>15</w:t>
      </w:r>
      <w:r>
        <w:fldChar w:fldCharType="end"/>
      </w:r>
      <w:r>
        <w:t>.</w:t>
      </w:r>
    </w:p>
  </w:footnote>
  <w:footnote w:id="39">
    <w:p w14:paraId="2D1724C7" w14:textId="77777777" w:rsidR="007E365E" w:rsidRDefault="007E365E" w:rsidP="007E365E">
      <w:pPr>
        <w:pStyle w:val="FootnoteText"/>
      </w:pPr>
      <w:r>
        <w:rPr>
          <w:rStyle w:val="FootnoteReference"/>
        </w:rPr>
        <w:footnoteRef/>
      </w:r>
      <w:r>
        <w:t xml:space="preserve"> </w:t>
      </w:r>
      <w:r w:rsidRPr="00943464">
        <w:t xml:space="preserve">Mainroads Western Australia, </w:t>
      </w:r>
      <w:r w:rsidRPr="00943464">
        <w:rPr>
          <w:i/>
          <w:iCs/>
        </w:rPr>
        <w:t>Floodways (May 2019, D11#194387)</w:t>
      </w:r>
      <w:r w:rsidRPr="00943464">
        <w:t xml:space="preserve">, see </w:t>
      </w:r>
      <w:hyperlink r:id="rId6" w:history="1">
        <w:r w:rsidRPr="00943464">
          <w:rPr>
            <w:rStyle w:val="Hyperlink"/>
          </w:rPr>
          <w:t>https://www.mainroads.wa.gov.au/BuildingRoads/StandardsTechnical/RoadandTrafficEngineering/DrainageWaterways/Pages/Floodways.aspx</w:t>
        </w:r>
      </w:hyperlink>
      <w:r w:rsidRPr="00943464">
        <w:t xml:space="preserve">, [accessed 19/02/2020] </w:t>
      </w:r>
    </w:p>
  </w:footnote>
  <w:footnote w:id="40">
    <w:p w14:paraId="6BEAA8D4" w14:textId="77777777" w:rsidR="007E365E" w:rsidRDefault="007E365E" w:rsidP="007E365E">
      <w:pPr>
        <w:pStyle w:val="FootnoteText"/>
      </w:pPr>
      <w:r>
        <w:rPr>
          <w:rStyle w:val="FootnoteReference"/>
        </w:rPr>
        <w:footnoteRef/>
      </w:r>
      <w:r>
        <w:t xml:space="preserve"> </w:t>
      </w:r>
      <w:r>
        <w:tab/>
        <w:t>Capital stock factors are the ratio of assessed to average per capita expenses.</w:t>
      </w:r>
    </w:p>
  </w:footnote>
  <w:footnote w:id="41">
    <w:p w14:paraId="245BB23F" w14:textId="77777777" w:rsidR="007E365E" w:rsidRDefault="007E365E" w:rsidP="007E365E">
      <w:pPr>
        <w:pStyle w:val="FootnoteText"/>
      </w:pPr>
      <w:r>
        <w:rPr>
          <w:rStyle w:val="FootnoteReference"/>
        </w:rPr>
        <w:footnoteRef/>
      </w:r>
      <w:r>
        <w:t xml:space="preserve"> </w:t>
      </w:r>
      <w:r>
        <w:tab/>
        <w:t>Currently, the NTC is the only source of data for splitting roads recurrent expenses between urban and rural roads.</w:t>
      </w:r>
    </w:p>
  </w:footnote>
  <w:footnote w:id="42">
    <w:p w14:paraId="6CD1DDA5" w14:textId="77777777" w:rsidR="007E365E" w:rsidRDefault="007E365E" w:rsidP="007E365E">
      <w:pPr>
        <w:pStyle w:val="FootnoteText"/>
      </w:pPr>
      <w:r>
        <w:rPr>
          <w:rStyle w:val="FootnoteReference"/>
        </w:rPr>
        <w:footnoteRef/>
      </w:r>
      <w:r>
        <w:tab/>
        <w:t xml:space="preserve">The Commission has set a materiality threshold for including a disability. A disability assessment must redistribute more than $35 per capita away from an equal per capita assessment for any State to be included. </w:t>
      </w:r>
      <w:r w:rsidRPr="004954B4">
        <w:t>The materiality test applies to the total impact the disability has on the redistribution of funds across all revenue or expense categories in which it is assessed.</w:t>
      </w:r>
    </w:p>
  </w:footnote>
  <w:footnote w:id="43">
    <w:p w14:paraId="4A30FD13" w14:textId="77777777" w:rsidR="007E365E" w:rsidRDefault="007E365E" w:rsidP="007E365E">
      <w:pPr>
        <w:pStyle w:val="FootnoteText"/>
      </w:pPr>
      <w:r>
        <w:rPr>
          <w:rStyle w:val="FootnoteReference"/>
        </w:rPr>
        <w:footnoteRef/>
      </w:r>
      <w:r>
        <w:t xml:space="preserve"> </w:t>
      </w:r>
      <w:r>
        <w:tab/>
        <w:t>Email exchange between Commission and Main Roads WA officers, May 2017.</w:t>
      </w:r>
    </w:p>
  </w:footnote>
  <w:footnote w:id="44">
    <w:p w14:paraId="54699EBD" w14:textId="77777777" w:rsidR="007E365E" w:rsidRPr="0010207C" w:rsidRDefault="007E365E" w:rsidP="007E365E">
      <w:pPr>
        <w:pStyle w:val="FootnoteText"/>
        <w:rPr>
          <w:lang w:val="en-US"/>
        </w:rPr>
      </w:pPr>
      <w:r>
        <w:rPr>
          <w:rStyle w:val="FootnoteReference"/>
        </w:rPr>
        <w:footnoteRef/>
      </w:r>
      <w:r>
        <w:t xml:space="preserve"> </w:t>
      </w:r>
      <w:r>
        <w:tab/>
      </w:r>
      <w:r w:rsidRPr="00976585">
        <w:t>Net investment is gross fixed capital expenditure less depreciation.</w:t>
      </w:r>
    </w:p>
  </w:footnote>
  <w:footnote w:id="45">
    <w:p w14:paraId="72FB9485" w14:textId="77777777" w:rsidR="007E365E" w:rsidRDefault="007E365E" w:rsidP="007E365E">
      <w:pPr>
        <w:pStyle w:val="FootnoteText"/>
      </w:pPr>
      <w:r>
        <w:rPr>
          <w:rStyle w:val="FootnoteReference"/>
        </w:rPr>
        <w:footnoteRef/>
      </w:r>
      <w:r>
        <w:t xml:space="preserve"> </w:t>
      </w:r>
      <w:r>
        <w:tab/>
        <w:t>Most Commonwealth payments to the States affect the grant distribution but some do not. The Commission refers to payments that affect the grant distribution as ‘impact’ payments. For more information, see Chapter 5.</w:t>
      </w:r>
    </w:p>
  </w:footnote>
  <w:footnote w:id="46">
    <w:p w14:paraId="387DA6AE" w14:textId="77777777" w:rsidR="007E365E" w:rsidRDefault="007E365E" w:rsidP="007E365E">
      <w:pPr>
        <w:pStyle w:val="FootnoteText"/>
      </w:pPr>
      <w:r>
        <w:rPr>
          <w:rStyle w:val="FootnoteReference"/>
        </w:rPr>
        <w:footnoteRef/>
      </w:r>
      <w:r>
        <w:t xml:space="preserve"> </w:t>
      </w:r>
      <w:r>
        <w:tab/>
        <w:t>The urban transport investment assessment is discussed below.</w:t>
      </w:r>
    </w:p>
  </w:footnote>
  <w:footnote w:id="47">
    <w:p w14:paraId="47703E7F" w14:textId="77777777" w:rsidR="007E365E" w:rsidRDefault="007E365E" w:rsidP="007E365E">
      <w:pPr>
        <w:pStyle w:val="FootnoteText"/>
      </w:pPr>
      <w:r>
        <w:rPr>
          <w:rStyle w:val="FootnoteReference"/>
        </w:rPr>
        <w:footnoteRef/>
      </w:r>
      <w:r>
        <w:t xml:space="preserve"> </w:t>
      </w:r>
      <w:r>
        <w:tab/>
        <w:t>Unless otherwise stated, category and component expenses for the first two assessment years are sourced from ABS GFS. States provide data for the most recent assessment year because GFS data are not available in time for the annual update.</w:t>
      </w:r>
    </w:p>
  </w:footnote>
  <w:footnote w:id="48">
    <w:p w14:paraId="381A6D72" w14:textId="77777777" w:rsidR="007E365E" w:rsidRDefault="007E365E" w:rsidP="007E365E">
      <w:pPr>
        <w:pStyle w:val="FootnoteText"/>
      </w:pPr>
      <w:r>
        <w:rPr>
          <w:rStyle w:val="FootnoteReference"/>
        </w:rPr>
        <w:footnoteRef/>
      </w:r>
      <w:r>
        <w:t xml:space="preserve"> </w:t>
      </w:r>
      <w:r>
        <w:tab/>
        <w:t xml:space="preserve">The consultants were </w:t>
      </w:r>
      <w:r w:rsidRPr="00741E8F">
        <w:t>Jacobs and Synergies Economic Consulting</w:t>
      </w:r>
      <w:r>
        <w:t>.</w:t>
      </w:r>
      <w:r w:rsidRPr="00741E8F">
        <w:t xml:space="preserve"> </w:t>
      </w:r>
      <w:r>
        <w:t xml:space="preserve">Their </w:t>
      </w:r>
      <w:hyperlink r:id="rId7" w:history="1">
        <w:r>
          <w:rPr>
            <w:rStyle w:val="Hyperlink"/>
          </w:rPr>
          <w:t>stage 1</w:t>
        </w:r>
      </w:hyperlink>
      <w:r>
        <w:t xml:space="preserve"> and </w:t>
      </w:r>
      <w:hyperlink r:id="rId8" w:history="1">
        <w:r>
          <w:rPr>
            <w:rStyle w:val="Hyperlink"/>
          </w:rPr>
          <w:t>stage 2</w:t>
        </w:r>
      </w:hyperlink>
      <w:r>
        <w:t xml:space="preserve"> reports are available on the Commission’s website, (https://cgc.gov.au/).</w:t>
      </w:r>
    </w:p>
  </w:footnote>
  <w:footnote w:id="49">
    <w:p w14:paraId="68E58A0D" w14:textId="77777777" w:rsidR="007E365E" w:rsidRDefault="007E365E" w:rsidP="007E365E">
      <w:pPr>
        <w:pStyle w:val="FootnoteText"/>
      </w:pPr>
      <w:r>
        <w:rPr>
          <w:rStyle w:val="FootnoteReference"/>
        </w:rPr>
        <w:footnoteRef/>
      </w:r>
      <w:r>
        <w:t xml:space="preserve"> </w:t>
      </w:r>
      <w:r>
        <w:tab/>
        <w:t xml:space="preserve">A. Hurni, </w:t>
      </w:r>
      <w:r>
        <w:rPr>
          <w:i/>
        </w:rPr>
        <w:t>Marginalised groups in Western Sydney: The experience of sole parents and unemployed young people</w:t>
      </w:r>
      <w:r>
        <w:t>, 2007. In G. Currie, J. Stanley &amp; J. Stanley (Eds.), </w:t>
      </w:r>
      <w:r>
        <w:rPr>
          <w:i/>
          <w:iCs/>
        </w:rPr>
        <w:t>No way to go: Transport and social disadvantage in Australian communities</w:t>
      </w:r>
      <w:r>
        <w:t> (pp. 10.1-10.11). Melbourne: Monash University Press.</w:t>
      </w:r>
    </w:p>
  </w:footnote>
  <w:footnote w:id="50">
    <w:p w14:paraId="48EDF42E" w14:textId="77777777" w:rsidR="007E365E" w:rsidRDefault="007E365E" w:rsidP="007E365E">
      <w:pPr>
        <w:pStyle w:val="FootnoteText"/>
      </w:pPr>
      <w:r>
        <w:rPr>
          <w:rStyle w:val="FootnoteReference"/>
        </w:rPr>
        <w:footnoteRef/>
      </w:r>
      <w:r>
        <w:tab/>
        <w:t xml:space="preserve">C. Polat, </w:t>
      </w:r>
      <w:r w:rsidRPr="00306AC8">
        <w:rPr>
          <w:i/>
        </w:rPr>
        <w:t>The Demand Determinants for urban Public Transport Services: A Review of Literature</w:t>
      </w:r>
      <w:r>
        <w:t>. Journal of Applied Sciences, 2012, 12: 1211-1231.</w:t>
      </w:r>
    </w:p>
  </w:footnote>
  <w:footnote w:id="51">
    <w:p w14:paraId="6BBD7248" w14:textId="77777777" w:rsidR="007E365E" w:rsidRPr="00552569" w:rsidRDefault="007E365E" w:rsidP="007E365E">
      <w:pPr>
        <w:pStyle w:val="FootnoteText"/>
      </w:pPr>
      <w:r>
        <w:rPr>
          <w:rStyle w:val="FootnoteReference"/>
        </w:rPr>
        <w:footnoteRef/>
      </w:r>
      <w:r>
        <w:tab/>
      </w:r>
      <w:r w:rsidRPr="00552569">
        <w:rPr>
          <w:i/>
        </w:rPr>
        <w:t>Outer Urban Public Transport: Improving accessibility in lower-density areas</w:t>
      </w:r>
      <w:r>
        <w:rPr>
          <w:i/>
        </w:rPr>
        <w:t xml:space="preserve">, </w:t>
      </w:r>
      <w:r>
        <w:t xml:space="preserve">Infrastructure Australia, October 2018. </w:t>
      </w:r>
      <w:hyperlink r:id="rId9" w:history="1">
        <w:r>
          <w:rPr>
            <w:rStyle w:val="Hyperlink"/>
          </w:rPr>
          <w:t>Infrastructure Australia website</w:t>
        </w:r>
      </w:hyperlink>
      <w:r>
        <w:t>, (</w:t>
      </w:r>
      <w:hyperlink r:id="rId10" w:history="1">
        <w:r w:rsidRPr="004C6159">
          <w:rPr>
            <w:rStyle w:val="Hyperlink"/>
          </w:rPr>
          <w:t>https://www.infrastructureaustralia.gov.au/</w:t>
        </w:r>
      </w:hyperlink>
      <w:r>
        <w:t>), [accessed 10/02/2020]</w:t>
      </w:r>
    </w:p>
  </w:footnote>
  <w:footnote w:id="52">
    <w:p w14:paraId="5DD631BC" w14:textId="77777777" w:rsidR="007E365E" w:rsidRDefault="007E365E" w:rsidP="007E365E">
      <w:pPr>
        <w:pStyle w:val="FootnoteText"/>
      </w:pPr>
      <w:r>
        <w:rPr>
          <w:rStyle w:val="FootnoteReference"/>
        </w:rPr>
        <w:footnoteRef/>
      </w:r>
      <w:r>
        <w:t xml:space="preserve"> </w:t>
      </w:r>
      <w:r>
        <w:tab/>
      </w:r>
      <w:r w:rsidRPr="0086100D">
        <w:t xml:space="preserve">Bureau of Infrastructure, Transport and Regional Economics (BITRE), 2013, </w:t>
      </w:r>
      <w:r w:rsidRPr="00C2494B">
        <w:rPr>
          <w:i/>
        </w:rPr>
        <w:t>Population growth, jobs growth and commuting flows—a comparison of Australia’s four largest cities</w:t>
      </w:r>
      <w:r w:rsidRPr="0086100D">
        <w:t>, Report 142, Canberra ACT</w:t>
      </w:r>
      <w:r>
        <w:t>, Chapters 4 and 10.</w:t>
      </w:r>
    </w:p>
  </w:footnote>
  <w:footnote w:id="53">
    <w:p w14:paraId="7D3EE39E" w14:textId="77777777" w:rsidR="007E365E" w:rsidRDefault="007E365E" w:rsidP="007E365E">
      <w:pPr>
        <w:pStyle w:val="FootnoteText"/>
      </w:pPr>
      <w:r>
        <w:rPr>
          <w:rStyle w:val="FootnoteReference"/>
        </w:rPr>
        <w:footnoteRef/>
      </w:r>
      <w:r>
        <w:t xml:space="preserve"> </w:t>
      </w:r>
      <w:r>
        <w:tab/>
        <w:t xml:space="preserve">VLC Consultancy prepared for New South Wales Treasury, February 2019, page 1. </w:t>
      </w:r>
      <w:r w:rsidRPr="00573580">
        <w:t>See also paragraphs 89 and 90.</w:t>
      </w:r>
      <w:r>
        <w:t xml:space="preserve"> </w:t>
      </w:r>
      <w:r w:rsidRPr="00573580">
        <w:t>The report is available on</w:t>
      </w:r>
      <w:r>
        <w:t xml:space="preserve"> the </w:t>
      </w:r>
      <w:hyperlink r:id="rId11" w:history="1">
        <w:r>
          <w:rPr>
            <w:rStyle w:val="Hyperlink"/>
          </w:rPr>
          <w:t>Commission's website</w:t>
        </w:r>
      </w:hyperlink>
      <w:r>
        <w:t>, (https://cgc.gov.au/).</w:t>
      </w:r>
    </w:p>
  </w:footnote>
  <w:footnote w:id="54">
    <w:p w14:paraId="70AF1AEF" w14:textId="48956C73" w:rsidR="007E365E" w:rsidRDefault="007E365E" w:rsidP="007E365E">
      <w:pPr>
        <w:pStyle w:val="FootnoteText"/>
      </w:pPr>
      <w:r>
        <w:rPr>
          <w:rStyle w:val="FootnoteReference"/>
        </w:rPr>
        <w:footnoteRef/>
      </w:r>
      <w:r>
        <w:t xml:space="preserve"> </w:t>
      </w:r>
      <w:r>
        <w:tab/>
        <w:t xml:space="preserve">Rhonda Daniels and Corinne Mulley, </w:t>
      </w:r>
      <w:r w:rsidRPr="00C2494B">
        <w:rPr>
          <w:i/>
        </w:rPr>
        <w:t>Planning Public Transport Networks—The Neglected Influence of Topography</w:t>
      </w:r>
      <w:r>
        <w:t xml:space="preserve">, </w:t>
      </w:r>
      <w:r w:rsidRPr="00646173">
        <w:t>Journal of Public Transportation, Vol. 15, No. 4, 2012</w:t>
      </w:r>
      <w:r>
        <w:t xml:space="preserve">. </w:t>
      </w:r>
      <w:hyperlink r:id="rId12" w:history="1">
        <w:r>
          <w:rPr>
            <w:rStyle w:val="Hyperlink"/>
          </w:rPr>
          <w:t>National Center for Transit Research website,</w:t>
        </w:r>
      </w:hyperlink>
      <w:r>
        <w:t xml:space="preserve"> (</w:t>
      </w:r>
      <w:r w:rsidRPr="002E5082">
        <w:t>https://www.nctr.usf.edu/</w:t>
      </w:r>
      <w:r>
        <w:t>), [accessed 10/02/2020]</w:t>
      </w:r>
      <w:r w:rsidR="00864D82">
        <w:t>.</w:t>
      </w:r>
    </w:p>
  </w:footnote>
  <w:footnote w:id="55">
    <w:p w14:paraId="08A92A74" w14:textId="77777777" w:rsidR="007E365E" w:rsidRPr="00AF6E91" w:rsidRDefault="007E365E" w:rsidP="007E365E">
      <w:pPr>
        <w:pStyle w:val="FootnoteText"/>
        <w:rPr>
          <w:rFonts w:cs="Open Sans Light"/>
          <w:i/>
        </w:rPr>
      </w:pPr>
      <w:r>
        <w:rPr>
          <w:rStyle w:val="FootnoteReference"/>
        </w:rPr>
        <w:footnoteRef/>
      </w:r>
      <w:r>
        <w:t xml:space="preserve"> </w:t>
      </w:r>
      <w:r>
        <w:tab/>
      </w:r>
      <w:r w:rsidRPr="00F41501">
        <w:t xml:space="preserve">ABS </w:t>
      </w:r>
      <w:r>
        <w:t>2017, “</w:t>
      </w:r>
      <w:r w:rsidRPr="006D5265">
        <w:t>DESIGN OF SUA</w:t>
      </w:r>
      <w:r>
        <w:t>”,</w:t>
      </w:r>
      <w:r w:rsidRPr="00F41501">
        <w:t xml:space="preserve"> </w:t>
      </w:r>
      <w:r w:rsidRPr="00AF6E91">
        <w:rPr>
          <w:rFonts w:cs="Open Sans Light"/>
          <w:i/>
        </w:rPr>
        <w:t>Australian Statistical Geography Standard (ASGS): Volume 4 - Significant Urban Areas, Urban Centres and Localities, Section of State</w:t>
      </w:r>
      <w:r>
        <w:rPr>
          <w:rFonts w:cs="Open Sans Light"/>
          <w:i/>
          <w:iCs/>
        </w:rPr>
        <w:t>,</w:t>
      </w:r>
      <w:r w:rsidRPr="00AF6E91">
        <w:rPr>
          <w:rFonts w:cs="Open Sans Light"/>
          <w:i/>
          <w:iCs/>
        </w:rPr>
        <w:t xml:space="preserve"> </w:t>
      </w:r>
      <w:r w:rsidRPr="00AF6E91">
        <w:rPr>
          <w:rFonts w:cs="Open Sans Light"/>
          <w:color w:val="333333"/>
          <w:shd w:val="clear" w:color="auto" w:fill="FFFFFF"/>
        </w:rPr>
        <w:t>cat no. 1270.0.55.004</w:t>
      </w:r>
    </w:p>
  </w:footnote>
  <w:footnote w:id="56">
    <w:p w14:paraId="5CCE5FB5" w14:textId="77777777" w:rsidR="007E365E" w:rsidRDefault="007E365E" w:rsidP="007E365E">
      <w:pPr>
        <w:pStyle w:val="FootnoteText"/>
      </w:pPr>
      <w:r>
        <w:rPr>
          <w:rStyle w:val="FootnoteReference"/>
        </w:rPr>
        <w:footnoteRef/>
      </w:r>
      <w:r>
        <w:t xml:space="preserve"> </w:t>
      </w:r>
      <w:r>
        <w:tab/>
        <w:t>The ABS defines 101 SUAs, but five of them are cross-border SUAs. The Commission splits these five SUAs to reflect their State location.</w:t>
      </w:r>
    </w:p>
  </w:footnote>
  <w:footnote w:id="57">
    <w:p w14:paraId="743A8C1A" w14:textId="77777777" w:rsidR="007E365E" w:rsidRDefault="007E365E" w:rsidP="007E365E">
      <w:pPr>
        <w:pStyle w:val="FootnoteText"/>
      </w:pPr>
      <w:r>
        <w:rPr>
          <w:rStyle w:val="FootnoteReference"/>
        </w:rPr>
        <w:footnoteRef/>
      </w:r>
      <w:r>
        <w:t xml:space="preserve"> </w:t>
      </w:r>
      <w:r>
        <w:tab/>
        <w:t>The Mildura – Wentworth and Echuca – Moama SUAs are split between New South Wales and Victoria. The population is below 10,000 for both SUAs on the New South Wales side.</w:t>
      </w:r>
    </w:p>
  </w:footnote>
  <w:footnote w:id="58">
    <w:p w14:paraId="051DAA20" w14:textId="77777777" w:rsidR="007E365E" w:rsidRDefault="007E365E" w:rsidP="007E365E">
      <w:pPr>
        <w:pStyle w:val="FootnoteText"/>
      </w:pPr>
      <w:r>
        <w:rPr>
          <w:rStyle w:val="FootnoteReference"/>
        </w:rPr>
        <w:footnoteRef/>
      </w:r>
      <w:r>
        <w:t xml:space="preserve"> </w:t>
      </w:r>
      <w:r>
        <w:tab/>
        <w:t>The minimum per capita value was assigned to 17 SUAs. These centres have populations ranging from about 5,400 to 30,000, with an average population of 13,000.</w:t>
      </w:r>
    </w:p>
  </w:footnote>
  <w:footnote w:id="59">
    <w:p w14:paraId="5E1437A9" w14:textId="77777777" w:rsidR="007E365E" w:rsidRDefault="007E365E" w:rsidP="007E365E">
      <w:pPr>
        <w:pStyle w:val="FootnoteText"/>
      </w:pPr>
      <w:r>
        <w:rPr>
          <w:rStyle w:val="FootnoteReference"/>
        </w:rPr>
        <w:footnoteRef/>
      </w:r>
      <w:r>
        <w:t xml:space="preserve"> </w:t>
      </w:r>
      <w:r>
        <w:tab/>
        <w:t xml:space="preserve">ABS 2019, </w:t>
      </w:r>
      <w:r w:rsidRPr="0048134E">
        <w:rPr>
          <w:i/>
          <w:iCs/>
        </w:rPr>
        <w:t>Regional Population Growth, Australia, 2017-18</w:t>
      </w:r>
      <w:r>
        <w:t xml:space="preserve">, data cube: </w:t>
      </w:r>
      <w:r w:rsidRPr="00903C1F">
        <w:t>Population Estimates by Significant Urban Area (ASGS 2016), 2008 to 2018</w:t>
      </w:r>
      <w:r>
        <w:t xml:space="preserve">, </w:t>
      </w:r>
      <w:r w:rsidRPr="00F1284B">
        <w:t>cat. no. 3218.0</w:t>
      </w:r>
      <w:r>
        <w:t>.</w:t>
      </w:r>
    </w:p>
  </w:footnote>
  <w:footnote w:id="60">
    <w:p w14:paraId="48A82469" w14:textId="77777777" w:rsidR="007E365E" w:rsidRDefault="007E365E" w:rsidP="007E365E">
      <w:pPr>
        <w:pStyle w:val="FootnoteText"/>
      </w:pPr>
      <w:r>
        <w:rPr>
          <w:rStyle w:val="FootnoteReference"/>
        </w:rPr>
        <w:footnoteRef/>
      </w:r>
      <w:r>
        <w:t xml:space="preserve"> </w:t>
      </w:r>
      <w:r>
        <w:tab/>
      </w:r>
      <w:r w:rsidRPr="00CF6B01">
        <w:t>Veitch Lister Consulting (VLC)</w:t>
      </w:r>
      <w:r>
        <w:t xml:space="preserve">, </w:t>
      </w:r>
      <w:r w:rsidRPr="00CF6B01">
        <w:rPr>
          <w:i/>
        </w:rPr>
        <w:t>CGC’s Recurrent Transport Assessment Methodology</w:t>
      </w:r>
      <w:r>
        <w:t xml:space="preserve">, Final report, February 2019. </w:t>
      </w:r>
    </w:p>
  </w:footnote>
  <w:footnote w:id="61">
    <w:p w14:paraId="7589BE10" w14:textId="77777777" w:rsidR="007E365E" w:rsidRDefault="007E365E" w:rsidP="007E365E">
      <w:pPr>
        <w:pStyle w:val="FootnoteText"/>
      </w:pPr>
      <w:r>
        <w:rPr>
          <w:rStyle w:val="FootnoteReference"/>
        </w:rPr>
        <w:footnoteRef/>
      </w:r>
      <w:r>
        <w:t xml:space="preserve"> </w:t>
      </w:r>
      <w:r>
        <w:tab/>
        <w:t>Gross or total expenses are the amount of State spending before the deduction of user charges.</w:t>
      </w:r>
    </w:p>
  </w:footnote>
  <w:footnote w:id="62">
    <w:p w14:paraId="404D578F" w14:textId="77777777" w:rsidR="007E365E" w:rsidRDefault="007E365E" w:rsidP="007E365E">
      <w:pPr>
        <w:pStyle w:val="FootnoteText"/>
      </w:pPr>
      <w:r>
        <w:rPr>
          <w:rStyle w:val="FootnoteReference"/>
        </w:rPr>
        <w:footnoteRef/>
      </w:r>
      <w:r>
        <w:t xml:space="preserve"> </w:t>
      </w:r>
      <w:r>
        <w:tab/>
        <w:t xml:space="preserve">Most Commonwealth payments to the States affect the grant distribution but some do not. The </w:t>
      </w:r>
      <w:r w:rsidRPr="0029490D">
        <w:t xml:space="preserve">Commission refers to payments that affect the grant distribution as ‘impact’ payments. For more information, see </w:t>
      </w:r>
      <w:r>
        <w:t>Chapter 5 Commonwealth payments</w:t>
      </w:r>
      <w:r w:rsidRPr="0029490D">
        <w:t>.</w:t>
      </w:r>
    </w:p>
  </w:footnote>
  <w:footnote w:id="63">
    <w:p w14:paraId="7224EA94" w14:textId="2FE4D039" w:rsidR="007E365E" w:rsidRDefault="007E365E" w:rsidP="007E365E">
      <w:pPr>
        <w:pStyle w:val="FootnoteText"/>
      </w:pPr>
      <w:r>
        <w:rPr>
          <w:rStyle w:val="FootnoteReference"/>
        </w:rPr>
        <w:footnoteRef/>
      </w:r>
      <w:r>
        <w:t xml:space="preserve"> </w:t>
      </w:r>
      <w:r>
        <w:tab/>
        <w:t xml:space="preserve">Unless otherwise stated, category and component expenses for the first three assessment years are sourced from </w:t>
      </w:r>
      <w:r w:rsidR="00B2621D">
        <w:t>Australian Bureau of Statistics (</w:t>
      </w:r>
      <w:r>
        <w:t>ABS</w:t>
      </w:r>
      <w:r w:rsidR="00B2621D">
        <w:t>)</w:t>
      </w:r>
      <w:r>
        <w:t xml:space="preserve"> GFS. States provide data for the most recent assessment year because GFS data are not available in time.</w:t>
      </w:r>
    </w:p>
  </w:footnote>
  <w:footnote w:id="64">
    <w:p w14:paraId="0D48239C" w14:textId="77777777" w:rsidR="007E365E" w:rsidRDefault="007E365E" w:rsidP="007E365E">
      <w:pPr>
        <w:pStyle w:val="FootnoteText"/>
      </w:pPr>
      <w:r>
        <w:rPr>
          <w:rStyle w:val="FootnoteReference"/>
        </w:rPr>
        <w:footnoteRef/>
      </w:r>
      <w:r>
        <w:t xml:space="preserve"> </w:t>
      </w:r>
      <w:r>
        <w:tab/>
        <w:t>The industries were classified to include the following COFOG-A groups: agriculture — 0472 and 042; mining — 0474 and all 043 except 0435 electricity; and other industries — all other COFOG in division 04 economic affairs except 0435 electricity, 0451 and 0475 communication, and those allocated to agriculture and mining.</w:t>
      </w:r>
    </w:p>
  </w:footnote>
  <w:footnote w:id="65">
    <w:p w14:paraId="238AC442" w14:textId="5C4D5D36" w:rsidR="007E365E" w:rsidRDefault="007E365E" w:rsidP="007E365E">
      <w:pPr>
        <w:pStyle w:val="FootnoteText"/>
      </w:pPr>
      <w:r>
        <w:rPr>
          <w:rStyle w:val="FootnoteReference"/>
        </w:rPr>
        <w:footnoteRef/>
      </w:r>
      <w:r>
        <w:t xml:space="preserve"> </w:t>
      </w:r>
      <w:r>
        <w:tab/>
        <w:t xml:space="preserve">For a comparison, the comparable 2010 Review weights are also included in </w:t>
      </w:r>
      <w:r>
        <w:fldChar w:fldCharType="begin"/>
      </w:r>
      <w:r>
        <w:instrText xml:space="preserve"> REF _Ref22725548 \h </w:instrText>
      </w:r>
      <w:r>
        <w:fldChar w:fldCharType="separate"/>
      </w:r>
      <w:r w:rsidR="007F721A">
        <w:t>Table 22-</w:t>
      </w:r>
      <w:r w:rsidR="007F721A">
        <w:rPr>
          <w:noProof/>
        </w:rPr>
        <w:t>6</w:t>
      </w:r>
      <w:r>
        <w:fldChar w:fldCharType="end"/>
      </w:r>
      <w:r>
        <w:t>.</w:t>
      </w:r>
    </w:p>
  </w:footnote>
  <w:footnote w:id="66">
    <w:p w14:paraId="1D97CE60" w14:textId="77777777" w:rsidR="007E365E" w:rsidRPr="00542984" w:rsidRDefault="007E365E" w:rsidP="007E365E">
      <w:pPr>
        <w:pStyle w:val="FootnoteText"/>
      </w:pPr>
      <w:r w:rsidRPr="00542984">
        <w:rPr>
          <w:rStyle w:val="FootnoteReference"/>
        </w:rPr>
        <w:footnoteRef/>
      </w:r>
      <w:r w:rsidRPr="00542984">
        <w:t xml:space="preserve"> </w:t>
      </w:r>
      <w:r>
        <w:tab/>
      </w:r>
      <w:r w:rsidRPr="00542984">
        <w:t>These expenses relate to all functions but are aggregated and presented in the Other expenses category.</w:t>
      </w:r>
    </w:p>
  </w:footnote>
  <w:footnote w:id="67">
    <w:p w14:paraId="63D50DC4" w14:textId="77777777" w:rsidR="007E365E" w:rsidRPr="00542984" w:rsidRDefault="007E365E" w:rsidP="007E365E">
      <w:pPr>
        <w:pStyle w:val="FootnoteText"/>
      </w:pPr>
      <w:r w:rsidRPr="00542984">
        <w:rPr>
          <w:rStyle w:val="FootnoteReference"/>
        </w:rPr>
        <w:footnoteRef/>
      </w:r>
      <w:r w:rsidRPr="00542984">
        <w:t xml:space="preserve"> </w:t>
      </w:r>
      <w:r>
        <w:tab/>
      </w:r>
      <w:r w:rsidRPr="00542984">
        <w:t>See Chapter 7</w:t>
      </w:r>
      <w:r>
        <w:t xml:space="preserve"> </w:t>
      </w:r>
      <w:r w:rsidRPr="00542984">
        <w:t>Land tax and Chapter 12</w:t>
      </w:r>
      <w:r>
        <w:t xml:space="preserve"> </w:t>
      </w:r>
      <w:r w:rsidRPr="00542984">
        <w:t xml:space="preserve">Other revenue for a discussion of fire and emergency services levies </w:t>
      </w:r>
      <w:r>
        <w:t>(</w:t>
      </w:r>
      <w:r w:rsidRPr="00542984">
        <w:t>FESLs</w:t>
      </w:r>
      <w:r>
        <w:t>)</w:t>
      </w:r>
      <w:r w:rsidRPr="00542984">
        <w:t xml:space="preserve"> and the Commission decision to treat this revenue as user charges.</w:t>
      </w:r>
    </w:p>
  </w:footnote>
  <w:footnote w:id="68">
    <w:p w14:paraId="7F7E10AF" w14:textId="77777777" w:rsidR="007E365E" w:rsidRPr="00542984" w:rsidRDefault="007E365E" w:rsidP="007E365E">
      <w:pPr>
        <w:pStyle w:val="FootnoteText"/>
      </w:pPr>
      <w:r w:rsidRPr="00542984">
        <w:rPr>
          <w:rStyle w:val="FootnoteReference"/>
        </w:rPr>
        <w:footnoteRef/>
      </w:r>
      <w:r w:rsidRPr="00542984">
        <w:t xml:space="preserve"> </w:t>
      </w:r>
      <w:r>
        <w:tab/>
      </w:r>
      <w:r w:rsidRPr="00542984">
        <w:t>Most Commonwealth payments to the States affect the grant distribution but some do not. The Commission refers to payments that affect the grant distribution as ‘impact’ payments. For more information, see Chapter 5</w:t>
      </w:r>
      <w:r>
        <w:t xml:space="preserve"> </w:t>
      </w:r>
      <w:r w:rsidRPr="00542984">
        <w:t>Commonwealth payments.</w:t>
      </w:r>
    </w:p>
  </w:footnote>
  <w:footnote w:id="69">
    <w:p w14:paraId="22530CC7" w14:textId="301F5703" w:rsidR="007E365E" w:rsidRPr="00542984" w:rsidRDefault="007E365E" w:rsidP="007E365E">
      <w:pPr>
        <w:pStyle w:val="FootnoteText"/>
      </w:pPr>
      <w:r w:rsidRPr="00542984">
        <w:rPr>
          <w:rStyle w:val="FootnoteReference"/>
        </w:rPr>
        <w:footnoteRef/>
      </w:r>
      <w:r w:rsidRPr="00542984">
        <w:t xml:space="preserve"> </w:t>
      </w:r>
      <w:r>
        <w:tab/>
      </w:r>
      <w:r w:rsidRPr="00542984">
        <w:t xml:space="preserve">Unless otherwise stated, category and component expenses for the first two assessment years are sourced from </w:t>
      </w:r>
      <w:r w:rsidR="00D4003D">
        <w:t>Australian Bureau of Statistics (</w:t>
      </w:r>
      <w:r w:rsidRPr="00542984">
        <w:t>ABS</w:t>
      </w:r>
      <w:r w:rsidR="005C6FA7">
        <w:t>)</w:t>
      </w:r>
      <w:r w:rsidRPr="00542984">
        <w:t xml:space="preserve"> </w:t>
      </w:r>
      <w:r>
        <w:t>Government Finance Statistics (</w:t>
      </w:r>
      <w:r w:rsidRPr="00542984">
        <w:t>GFS</w:t>
      </w:r>
      <w:r>
        <w:t>)</w:t>
      </w:r>
      <w:r w:rsidRPr="00542984">
        <w:t>. States provide data for the most recent assessment year because GFS data are not available in time for the annual update.</w:t>
      </w:r>
    </w:p>
  </w:footnote>
  <w:footnote w:id="70">
    <w:p w14:paraId="671DE3DD" w14:textId="77777777" w:rsidR="007E365E" w:rsidRPr="00542984" w:rsidRDefault="007E365E" w:rsidP="007E365E">
      <w:pPr>
        <w:pStyle w:val="FootnoteText"/>
      </w:pPr>
      <w:r w:rsidRPr="00542984">
        <w:rPr>
          <w:rStyle w:val="FootnoteReference"/>
        </w:rPr>
        <w:footnoteRef/>
      </w:r>
      <w:r w:rsidRPr="00542984">
        <w:t xml:space="preserve"> </w:t>
      </w:r>
      <w:r>
        <w:tab/>
      </w:r>
      <w:r w:rsidRPr="00542984">
        <w:t>During the 2015 Review period, this component also included expenses for pipelines, which were classified with communications in GFS ($135 million in 2016-17). Under current GFS classifications, pipelines are now grouped with other transport services, and therefore these expenses are now assessed in the Transport category. Similarly, during the 2015 Review period, national parks and wildlife expenses were grouped with recreation and culture expenses in GFS, but these expenses are now part of the environmental protection classification in GFS. Therefore, national parks and wildlife expenses ($1.1 billion in 2016-17) are now in the Services to communities category, environmental protection component. Debt charges ($1</w:t>
      </w:r>
      <w:r>
        <w:t>0.8</w:t>
      </w:r>
      <w:r w:rsidRPr="00542984">
        <w:t xml:space="preserve"> billion in 2016-17) are also included in this component. They are assessed equal per capita (EPC) because State capital needs are recognised in the Investment and Net borrowing assessments.</w:t>
      </w:r>
    </w:p>
  </w:footnote>
  <w:footnote w:id="71">
    <w:p w14:paraId="00BB909F" w14:textId="77777777" w:rsidR="007E365E" w:rsidRPr="00542984" w:rsidRDefault="007E365E" w:rsidP="007E365E">
      <w:pPr>
        <w:pStyle w:val="FootnoteText"/>
      </w:pPr>
      <w:r w:rsidRPr="00542984">
        <w:rPr>
          <w:rStyle w:val="FootnoteReference"/>
        </w:rPr>
        <w:footnoteRef/>
      </w:r>
      <w:r w:rsidRPr="00542984">
        <w:t xml:space="preserve"> </w:t>
      </w:r>
      <w:r>
        <w:tab/>
      </w:r>
      <w:r w:rsidRPr="00542984">
        <w:t>As several States consider their natural disaster relief expenses to be confidential, these expenses have been combined with the service expenses component. The natural disaster assessment is discussed in the next section.</w:t>
      </w:r>
    </w:p>
  </w:footnote>
  <w:footnote w:id="72">
    <w:p w14:paraId="36A7D67D" w14:textId="77777777" w:rsidR="007E365E" w:rsidRPr="00542984" w:rsidRDefault="007E365E" w:rsidP="007E365E">
      <w:pPr>
        <w:pStyle w:val="FootnoteText"/>
      </w:pPr>
      <w:r w:rsidRPr="00542984">
        <w:rPr>
          <w:rStyle w:val="FootnoteReference"/>
        </w:rPr>
        <w:footnoteRef/>
      </w:r>
      <w:r w:rsidRPr="00542984">
        <w:t xml:space="preserve"> </w:t>
      </w:r>
      <w:r>
        <w:tab/>
      </w:r>
      <w:r w:rsidRPr="00542984">
        <w:t xml:space="preserve">Terrorist acts must be declared by the relevant Commonwealth minister to be an eligible disaster. Commission staff are not aware of any such events occurring within the last ten years under the Disaster Recovery Funding Arrangements 2018 </w:t>
      </w:r>
      <w:r>
        <w:t>(</w:t>
      </w:r>
      <w:r w:rsidRPr="00542984">
        <w:t>DRFA</w:t>
      </w:r>
      <w:r>
        <w:t>)</w:t>
      </w:r>
      <w:r w:rsidRPr="00542984">
        <w:t xml:space="preserve"> and previous arrangements.</w:t>
      </w:r>
    </w:p>
  </w:footnote>
  <w:footnote w:id="73">
    <w:p w14:paraId="5FDC5220" w14:textId="77777777" w:rsidR="007E365E" w:rsidRPr="00542984" w:rsidRDefault="007E365E" w:rsidP="007E365E">
      <w:pPr>
        <w:pStyle w:val="FootnoteText"/>
      </w:pPr>
      <w:r w:rsidRPr="00542984">
        <w:rPr>
          <w:rStyle w:val="FootnoteReference"/>
        </w:rPr>
        <w:footnoteRef/>
      </w:r>
      <w:r w:rsidRPr="00542984">
        <w:t xml:space="preserve"> </w:t>
      </w:r>
      <w:r>
        <w:tab/>
      </w:r>
      <w:r w:rsidRPr="00542984">
        <w:t xml:space="preserve">In its submission to the draft report, Queensland stated that State assistance towards local government is necessary for Commonwealth reimbursement. However, further discussions with Queensland and Emergency Management Australia </w:t>
      </w:r>
      <w:r>
        <w:t xml:space="preserve">(EMA) </w:t>
      </w:r>
      <w:r w:rsidRPr="00542984">
        <w:t>have confirmed that Commonwealth assistance is not contingent on States reimbursing local government.</w:t>
      </w:r>
    </w:p>
  </w:footnote>
  <w:footnote w:id="74">
    <w:p w14:paraId="22477D54" w14:textId="77777777" w:rsidR="007E365E" w:rsidRPr="00542984" w:rsidRDefault="007E365E" w:rsidP="007E365E">
      <w:pPr>
        <w:pStyle w:val="FootnoteText"/>
      </w:pPr>
      <w:r w:rsidRPr="00542984">
        <w:rPr>
          <w:rStyle w:val="FootnoteReference"/>
        </w:rPr>
        <w:footnoteRef/>
      </w:r>
      <w:r w:rsidRPr="00542984">
        <w:t xml:space="preserve"> </w:t>
      </w:r>
      <w:r>
        <w:tab/>
      </w:r>
      <w:r w:rsidRPr="00542984">
        <w:t>Excluding the ACT</w:t>
      </w:r>
      <w:r>
        <w:t>,</w:t>
      </w:r>
      <w:r w:rsidRPr="00542984">
        <w:t xml:space="preserve"> as it does not have a local government sector.</w:t>
      </w:r>
    </w:p>
  </w:footnote>
  <w:footnote w:id="75">
    <w:p w14:paraId="2B9FC1FB" w14:textId="77777777" w:rsidR="007E365E" w:rsidRPr="00542984" w:rsidRDefault="007E365E" w:rsidP="007E365E">
      <w:pPr>
        <w:pStyle w:val="FootnoteText"/>
      </w:pPr>
      <w:r w:rsidRPr="00542984">
        <w:rPr>
          <w:rStyle w:val="FootnoteReference"/>
        </w:rPr>
        <w:footnoteRef/>
      </w:r>
      <w:r w:rsidRPr="00542984">
        <w:t xml:space="preserve"> </w:t>
      </w:r>
      <w:r>
        <w:tab/>
      </w:r>
      <w:r w:rsidRPr="00542984">
        <w:t>This cap is 2% of the council’s rate revenue in the financial year two years prior to the current year.</w:t>
      </w:r>
    </w:p>
  </w:footnote>
  <w:footnote w:id="76">
    <w:p w14:paraId="2AE17215" w14:textId="77777777" w:rsidR="007E365E" w:rsidRPr="00542984" w:rsidRDefault="007E365E" w:rsidP="007E365E">
      <w:pPr>
        <w:pStyle w:val="FootnoteText"/>
      </w:pPr>
      <w:r w:rsidRPr="00542984">
        <w:rPr>
          <w:rStyle w:val="FootnoteReference"/>
        </w:rPr>
        <w:footnoteRef/>
      </w:r>
      <w:r w:rsidRPr="00542984">
        <w:t xml:space="preserve"> </w:t>
      </w:r>
      <w:r>
        <w:tab/>
      </w:r>
      <w:r w:rsidRPr="00542984">
        <w:t>The Northern Territory government currently funds all DRFA events. However, it is developing a formal funding policy, which may require some councils to contribute towards expenses in the future.</w:t>
      </w:r>
    </w:p>
  </w:footnote>
  <w:footnote w:id="77">
    <w:p w14:paraId="25E25670" w14:textId="77777777" w:rsidR="007E365E" w:rsidRPr="00542984" w:rsidRDefault="007E365E" w:rsidP="007E365E">
      <w:pPr>
        <w:pStyle w:val="FootnoteText"/>
      </w:pPr>
      <w:r w:rsidRPr="00542984">
        <w:rPr>
          <w:rStyle w:val="FootnoteReference"/>
        </w:rPr>
        <w:footnoteRef/>
      </w:r>
      <w:r w:rsidRPr="00542984">
        <w:t xml:space="preserve"> </w:t>
      </w:r>
      <w:r>
        <w:tab/>
      </w:r>
      <w:r w:rsidRPr="00542984">
        <w:t>New South Wales</w:t>
      </w:r>
      <w:r>
        <w:t>, Victoria</w:t>
      </w:r>
      <w:r w:rsidRPr="00542984">
        <w:t xml:space="preserve"> and Queensland report expenses net of the local government contribution to both </w:t>
      </w:r>
      <w:r>
        <w:t>EMA</w:t>
      </w:r>
      <w:r w:rsidRPr="00542984">
        <w:t xml:space="preserve"> and the CGC. </w:t>
      </w:r>
      <w:r>
        <w:t>O</w:t>
      </w:r>
      <w:r w:rsidRPr="00542984">
        <w:t>ther States report total expenses that include the local government contribution</w:t>
      </w:r>
      <w:r>
        <w:t xml:space="preserve"> where applicable</w:t>
      </w:r>
      <w:r w:rsidRPr="00542984">
        <w:t>.</w:t>
      </w:r>
    </w:p>
  </w:footnote>
  <w:footnote w:id="78">
    <w:p w14:paraId="771AD31C" w14:textId="77777777" w:rsidR="007E365E" w:rsidRPr="00542984" w:rsidRDefault="007E365E" w:rsidP="007E365E">
      <w:pPr>
        <w:pStyle w:val="FootnoteText"/>
        <w:rPr>
          <w:lang w:val="en-US"/>
        </w:rPr>
      </w:pPr>
      <w:r w:rsidRPr="005927E3">
        <w:rPr>
          <w:rStyle w:val="FootnoteReference"/>
        </w:rPr>
        <w:footnoteRef/>
      </w:r>
      <w:r w:rsidRPr="005927E3">
        <w:t xml:space="preserve"> </w:t>
      </w:r>
      <w:r>
        <w:tab/>
      </w:r>
      <w:r w:rsidRPr="005927E3">
        <w:rPr>
          <w:lang w:val="en-US"/>
        </w:rPr>
        <w:t>This figure refers to the average annual contribution level for local government across all States. For some States in some years, the contribution can be as high as 100% or as low as 0%.</w:t>
      </w:r>
    </w:p>
  </w:footnote>
  <w:footnote w:id="79">
    <w:p w14:paraId="5B21E3DD" w14:textId="77777777" w:rsidR="007E365E" w:rsidRPr="005927E3" w:rsidRDefault="007E365E" w:rsidP="007E365E">
      <w:pPr>
        <w:pStyle w:val="FootnoteText"/>
      </w:pPr>
      <w:r w:rsidRPr="00542984">
        <w:rPr>
          <w:rStyle w:val="FootnoteReference"/>
        </w:rPr>
        <w:footnoteRef/>
      </w:r>
      <w:r w:rsidRPr="00542984">
        <w:t xml:space="preserve"> </w:t>
      </w:r>
      <w:r>
        <w:tab/>
      </w:r>
      <w:r w:rsidRPr="005927E3">
        <w:t xml:space="preserve">Disaster Assist, </w:t>
      </w:r>
      <w:hyperlink r:id="rId13" w:history="1">
        <w:r w:rsidRPr="005927E3">
          <w:rPr>
            <w:rStyle w:val="Hyperlink"/>
          </w:rPr>
          <w:t>DRFA 2018 Guideline 1 — An essential public asset</w:t>
        </w:r>
      </w:hyperlink>
      <w:r w:rsidRPr="00542984">
        <w:t>,</w:t>
      </w:r>
      <w:r w:rsidRPr="005927E3">
        <w:t xml:space="preserve"> (https://www.disasterassist.gov.au/Documents/Natural-Disaster-</w:t>
      </w:r>
      <w:r w:rsidRPr="005927E3">
        <w:br/>
        <w:t>Relief-and-Recovery-Arrangements/drfa-2018-guideline-1-an-essential-public-asset.pdf), [accessed 24/01/2020].</w:t>
      </w:r>
    </w:p>
  </w:footnote>
  <w:footnote w:id="80">
    <w:p w14:paraId="3E2F7784" w14:textId="77777777" w:rsidR="007E365E" w:rsidRPr="005927E3" w:rsidRDefault="007E365E" w:rsidP="007E365E">
      <w:pPr>
        <w:pStyle w:val="FootnoteText"/>
        <w:rPr>
          <w:lang w:val="en-US"/>
        </w:rPr>
      </w:pPr>
      <w:r w:rsidRPr="00542984">
        <w:rPr>
          <w:rStyle w:val="FootnoteReference"/>
        </w:rPr>
        <w:footnoteRef/>
      </w:r>
      <w:r w:rsidRPr="00542984">
        <w:t xml:space="preserve"> </w:t>
      </w:r>
      <w:r>
        <w:tab/>
      </w:r>
      <w:r w:rsidRPr="005927E3">
        <w:t xml:space="preserve">Emergency Management Australia, </w:t>
      </w:r>
      <w:hyperlink r:id="rId14" w:history="1">
        <w:r w:rsidRPr="005927E3">
          <w:rPr>
            <w:rStyle w:val="Hyperlink"/>
          </w:rPr>
          <w:t>'Guildeline 4 – Insurance arrangements'</w:t>
        </w:r>
      </w:hyperlink>
      <w:r w:rsidRPr="00542984">
        <w:t>, 1 Nov 2018, (https://www.disasterassist.gov.au/Documents/Nat</w:t>
      </w:r>
      <w:r w:rsidRPr="005927E3">
        <w:t>ural-Disaster-Relief-and-Recovery-Arrangements/drfa-2018-guideline-4-insurance-arrangements.pdf, [accessed 13/01/2020], paragraph 2</w:t>
      </w:r>
      <w:r>
        <w:t>)</w:t>
      </w:r>
      <w:r w:rsidRPr="00201500">
        <w:t>.</w:t>
      </w:r>
    </w:p>
  </w:footnote>
  <w:footnote w:id="81">
    <w:p w14:paraId="3E08E1D0" w14:textId="77777777" w:rsidR="007E365E" w:rsidRPr="005927E3" w:rsidRDefault="007E365E" w:rsidP="007E365E">
      <w:pPr>
        <w:pStyle w:val="FootnoteText"/>
      </w:pPr>
      <w:r w:rsidRPr="00542984">
        <w:rPr>
          <w:rStyle w:val="FootnoteReference"/>
        </w:rPr>
        <w:footnoteRef/>
      </w:r>
      <w:r w:rsidRPr="00542984">
        <w:t xml:space="preserve"> </w:t>
      </w:r>
      <w:r>
        <w:tab/>
      </w:r>
      <w:r w:rsidRPr="00542984">
        <w:t xml:space="preserve">Australian Business Roundtable for disaster resilience and safer communities, </w:t>
      </w:r>
      <w:r w:rsidRPr="005927E3">
        <w:rPr>
          <w:i/>
        </w:rPr>
        <w:t>Building resilience to natural disasters in our states and territories</w:t>
      </w:r>
      <w:r w:rsidRPr="005927E3">
        <w:t>, 2017.</w:t>
      </w:r>
    </w:p>
  </w:footnote>
  <w:footnote w:id="82">
    <w:p w14:paraId="75CBC0C0" w14:textId="77777777" w:rsidR="007E365E" w:rsidRPr="005927E3" w:rsidRDefault="007E365E" w:rsidP="007E365E">
      <w:pPr>
        <w:pStyle w:val="FootnoteText"/>
      </w:pPr>
      <w:r w:rsidRPr="00542984">
        <w:rPr>
          <w:rStyle w:val="FootnoteReference"/>
        </w:rPr>
        <w:footnoteRef/>
      </w:r>
      <w:r w:rsidRPr="00542984">
        <w:t xml:space="preserve"> </w:t>
      </w:r>
      <w:r>
        <w:tab/>
      </w:r>
      <w:r w:rsidRPr="00542984">
        <w:t>State expenses that would otherwise be eligible under the DRFA, but do not exceed the small disaster criterion ($240</w:t>
      </w:r>
      <w:r w:rsidRPr="005927E3">
        <w:t>,000) required for Commonwealth reimbursement, are also considered to be eligible expenses for the Commission’s purposes and are included in the assessment.</w:t>
      </w:r>
    </w:p>
  </w:footnote>
  <w:footnote w:id="83">
    <w:p w14:paraId="24AE7DF0" w14:textId="77777777" w:rsidR="007E365E" w:rsidRPr="005927E3" w:rsidRDefault="007E365E" w:rsidP="007E365E">
      <w:pPr>
        <w:pStyle w:val="FootnoteText"/>
        <w:rPr>
          <w:lang w:val="en-US"/>
        </w:rPr>
      </w:pPr>
      <w:r w:rsidRPr="00542984">
        <w:rPr>
          <w:rStyle w:val="FootnoteReference"/>
        </w:rPr>
        <w:footnoteRef/>
      </w:r>
      <w:r w:rsidRPr="00542984">
        <w:t xml:space="preserve"> </w:t>
      </w:r>
      <w:r>
        <w:tab/>
      </w:r>
      <w:r w:rsidRPr="005927E3">
        <w:t>CGC, ‘</w:t>
      </w:r>
      <w:hyperlink r:id="rId15" w:history="1">
        <w:r w:rsidRPr="005927E3">
          <w:rPr>
            <w:rStyle w:val="Hyperlink"/>
          </w:rPr>
          <w:t>Update processes’</w:t>
        </w:r>
      </w:hyperlink>
      <w:r w:rsidRPr="00542984">
        <w:t>, (</w:t>
      </w:r>
      <w:r w:rsidRPr="005927E3">
        <w:t>https://cgc.gov.au/sites/default/files/update_processes.pdf), [accessed 10/01/2020].</w:t>
      </w:r>
    </w:p>
  </w:footnote>
  <w:footnote w:id="84">
    <w:p w14:paraId="55222126" w14:textId="77777777" w:rsidR="007E365E" w:rsidRPr="005927E3" w:rsidRDefault="007E365E" w:rsidP="007E365E">
      <w:pPr>
        <w:pStyle w:val="FootnoteText"/>
        <w:rPr>
          <w:lang w:val="en-US"/>
        </w:rPr>
      </w:pPr>
      <w:r w:rsidRPr="00542984">
        <w:rPr>
          <w:rStyle w:val="FootnoteReference"/>
        </w:rPr>
        <w:footnoteRef/>
      </w:r>
      <w:r w:rsidRPr="00542984">
        <w:t xml:space="preserve"> </w:t>
      </w:r>
      <w:r>
        <w:tab/>
      </w:r>
      <w:r w:rsidRPr="005927E3">
        <w:t>It would be preferable for States to report all expenses to EMA, but this would involve a change to reporting requirements that could not be initiated until the 2021 Update. The Commission would need to consult with States on this proposal as part of the new issues process.</w:t>
      </w:r>
    </w:p>
  </w:footnote>
  <w:footnote w:id="85">
    <w:p w14:paraId="195E9B27" w14:textId="77777777" w:rsidR="007E365E" w:rsidRPr="005927E3" w:rsidRDefault="007E365E" w:rsidP="007E365E">
      <w:pPr>
        <w:pStyle w:val="FootnoteText"/>
      </w:pPr>
      <w:r w:rsidRPr="00542984">
        <w:rPr>
          <w:rStyle w:val="FootnoteReference"/>
        </w:rPr>
        <w:footnoteRef/>
      </w:r>
      <w:r w:rsidRPr="00542984">
        <w:t xml:space="preserve"> </w:t>
      </w:r>
      <w:r>
        <w:tab/>
      </w:r>
      <w:r w:rsidRPr="00542984">
        <w:t>The local government contr</w:t>
      </w:r>
      <w:r w:rsidRPr="005927E3">
        <w:t>ibution will be added to the State’s expenses.</w:t>
      </w:r>
    </w:p>
  </w:footnote>
  <w:footnote w:id="86">
    <w:p w14:paraId="5D72F3AB" w14:textId="77777777" w:rsidR="007E365E" w:rsidRPr="005927E3" w:rsidRDefault="007E365E" w:rsidP="007E365E">
      <w:pPr>
        <w:pStyle w:val="FootnoteText"/>
      </w:pPr>
      <w:r w:rsidRPr="00542984">
        <w:rPr>
          <w:rStyle w:val="FootnoteReference"/>
        </w:rPr>
        <w:footnoteRef/>
      </w:r>
      <w:r w:rsidRPr="00542984">
        <w:tab/>
        <w:t>Foregone revenue is due to the State not reporting the local government contribution amount to Emergency Management Australia, which it is entitled to do. Therefore 50% of the State’s local government contri</w:t>
      </w:r>
      <w:r w:rsidRPr="005927E3">
        <w:t>bution is added to its Commonwealth revenue for local government. Most eligible expenses are funded at a rate of 50% under the DRFA.</w:t>
      </w:r>
    </w:p>
  </w:footnote>
  <w:footnote w:id="87">
    <w:p w14:paraId="1DFAD26C" w14:textId="77777777" w:rsidR="007E365E" w:rsidRPr="005927E3" w:rsidRDefault="007E365E" w:rsidP="007E365E">
      <w:pPr>
        <w:pStyle w:val="FootnoteText"/>
      </w:pPr>
      <w:r w:rsidRPr="00542984">
        <w:rPr>
          <w:rStyle w:val="FootnoteReference"/>
        </w:rPr>
        <w:footnoteRef/>
      </w:r>
      <w:r w:rsidRPr="00542984">
        <w:t xml:space="preserve"> </w:t>
      </w:r>
      <w:r>
        <w:tab/>
      </w:r>
      <w:r w:rsidRPr="00542984">
        <w:t>Where States report expenses net of the local government contribution, their disaster expenses and Commonwealth revenue w</w:t>
      </w:r>
      <w:r w:rsidRPr="005927E3">
        <w:t>ill be grossed up.</w:t>
      </w:r>
    </w:p>
  </w:footnote>
  <w:footnote w:id="88">
    <w:p w14:paraId="3A6730E8" w14:textId="77777777" w:rsidR="007E365E" w:rsidRPr="005927E3" w:rsidRDefault="007E365E" w:rsidP="007E365E">
      <w:pPr>
        <w:pStyle w:val="FootnoteText"/>
      </w:pPr>
      <w:r w:rsidRPr="00542984">
        <w:rPr>
          <w:rStyle w:val="FootnoteReference"/>
        </w:rPr>
        <w:footnoteRef/>
      </w:r>
      <w:r w:rsidRPr="00542984">
        <w:t xml:space="preserve"> </w:t>
      </w:r>
      <w:r>
        <w:tab/>
      </w:r>
      <w:r w:rsidRPr="00542984">
        <w:t xml:space="preserve">When disasters occur in the ACT, it </w:t>
      </w:r>
      <w:r w:rsidRPr="005927E3">
        <w:t>will be allocated assessed local government disaster expenses.</w:t>
      </w:r>
    </w:p>
  </w:footnote>
  <w:footnote w:id="89">
    <w:p w14:paraId="23CC0C8C" w14:textId="77777777" w:rsidR="007E365E" w:rsidRPr="005927E3" w:rsidRDefault="007E365E" w:rsidP="007E365E">
      <w:pPr>
        <w:pStyle w:val="FootnoteText"/>
      </w:pPr>
      <w:r w:rsidRPr="00542984">
        <w:rPr>
          <w:rStyle w:val="FootnoteReference"/>
        </w:rPr>
        <w:footnoteRef/>
      </w:r>
      <w:r w:rsidRPr="00542984">
        <w:t xml:space="preserve"> </w:t>
      </w:r>
      <w:r>
        <w:tab/>
      </w:r>
      <w:r w:rsidRPr="00542984">
        <w:t>The $10 per capita materiality threshold relates to data adjustments. This is different from the $35 per capita materiality threshold,</w:t>
      </w:r>
      <w:r w:rsidRPr="005927E3">
        <w:t xml:space="preserve"> which relates to disabilities. See the Main Report, Chapter 2 for more information.</w:t>
      </w:r>
    </w:p>
  </w:footnote>
  <w:footnote w:id="90">
    <w:p w14:paraId="660A2FA6" w14:textId="77777777" w:rsidR="007E365E" w:rsidRPr="005927E3" w:rsidRDefault="007E365E" w:rsidP="007E365E">
      <w:pPr>
        <w:pStyle w:val="FootnoteText"/>
      </w:pPr>
      <w:r w:rsidRPr="00542984">
        <w:rPr>
          <w:rStyle w:val="FootnoteReference"/>
        </w:rPr>
        <w:footnoteRef/>
      </w:r>
      <w:r w:rsidRPr="00542984">
        <w:t xml:space="preserve"> </w:t>
      </w:r>
      <w:r>
        <w:tab/>
      </w:r>
      <w:r w:rsidRPr="00542984">
        <w:t>The Commission has set a materiality threshold for including a disability. The materiality test applies to the total impact the disability has on the redistribution acro</w:t>
      </w:r>
      <w:r w:rsidRPr="005927E3">
        <w:t xml:space="preserve">ss all revenue or expense categories in which it is assessed. To be included, a disability assessment must redistribute more than $35 per capita away from an EPC assessment for any State. </w:t>
      </w:r>
    </w:p>
  </w:footnote>
  <w:footnote w:id="91">
    <w:p w14:paraId="2FD2D683" w14:textId="77777777" w:rsidR="007E365E" w:rsidRPr="005927E3" w:rsidRDefault="007E365E" w:rsidP="007E365E">
      <w:pPr>
        <w:pStyle w:val="FootnoteText"/>
      </w:pPr>
      <w:r w:rsidRPr="00542984">
        <w:rPr>
          <w:rStyle w:val="FootnoteReference"/>
        </w:rPr>
        <w:footnoteRef/>
      </w:r>
      <w:r w:rsidRPr="00542984">
        <w:t xml:space="preserve"> </w:t>
      </w:r>
      <w:r>
        <w:tab/>
      </w:r>
      <w:r w:rsidRPr="005927E3">
        <w:t>The discontinued assessment redistributed $1</w:t>
      </w:r>
      <w:r>
        <w:t>4</w:t>
      </w:r>
      <w:r w:rsidRPr="005927E3">
        <w:t xml:space="preserve"> per capita to the ACT in the 2019 Update.</w:t>
      </w:r>
    </w:p>
  </w:footnote>
  <w:footnote w:id="92">
    <w:p w14:paraId="467C25F3" w14:textId="77777777" w:rsidR="007E365E" w:rsidRDefault="007E365E" w:rsidP="007E365E">
      <w:pPr>
        <w:pStyle w:val="FootnoteText"/>
      </w:pPr>
      <w:r>
        <w:rPr>
          <w:rStyle w:val="FootnoteReference"/>
        </w:rPr>
        <w:footnoteRef/>
      </w:r>
      <w:r>
        <w:t xml:space="preserve"> </w:t>
      </w:r>
      <w:r>
        <w:tab/>
        <w:t>Total State investment less $2.7 billion in Commonwealth payments treated as having no impact on the assessment.</w:t>
      </w:r>
    </w:p>
  </w:footnote>
  <w:footnote w:id="93">
    <w:p w14:paraId="23C8A442" w14:textId="77777777" w:rsidR="007E365E" w:rsidRDefault="007E365E" w:rsidP="007E365E">
      <w:pPr>
        <w:pStyle w:val="FootnoteText"/>
      </w:pPr>
      <w:r>
        <w:rPr>
          <w:rStyle w:val="FootnoteReference"/>
        </w:rPr>
        <w:footnoteRef/>
      </w:r>
      <w:r>
        <w:t xml:space="preserve"> </w:t>
      </w:r>
      <w:r>
        <w:tab/>
        <w:t>Most Commonwealth payments to the States affect the grant distribution but some do not. The Commission refers to payments that affect the grant distribution as ‘impact’ payments. For more information, see Chapter</w:t>
      </w:r>
      <w:r w:rsidRPr="00C154BC">
        <w:t xml:space="preserve"> </w:t>
      </w:r>
      <w:r>
        <w:t xml:space="preserve">5 </w:t>
      </w:r>
      <w:r w:rsidRPr="00C154BC">
        <w:t>Commonwealth payments.</w:t>
      </w:r>
    </w:p>
  </w:footnote>
  <w:footnote w:id="94">
    <w:p w14:paraId="63524EAB" w14:textId="77777777" w:rsidR="007E365E" w:rsidRDefault="007E365E" w:rsidP="007E365E">
      <w:pPr>
        <w:pStyle w:val="FootnoteText"/>
      </w:pPr>
      <w:r>
        <w:rPr>
          <w:rStyle w:val="FootnoteReference"/>
        </w:rPr>
        <w:footnoteRef/>
      </w:r>
      <w:r>
        <w:t xml:space="preserve"> </w:t>
      </w:r>
      <w:r>
        <w:tab/>
        <w:t xml:space="preserve">The user population for a State in a component is calculated as State population multiplied by the relevant stock factor for the State. </w:t>
      </w:r>
    </w:p>
  </w:footnote>
  <w:footnote w:id="95">
    <w:p w14:paraId="67A0D607" w14:textId="77777777" w:rsidR="007E365E" w:rsidRDefault="007E365E" w:rsidP="007E365E">
      <w:pPr>
        <w:pStyle w:val="FootnoteText"/>
      </w:pPr>
      <w:r>
        <w:rPr>
          <w:rStyle w:val="FootnoteReference"/>
        </w:rPr>
        <w:footnoteRef/>
      </w:r>
      <w:r>
        <w:t xml:space="preserve"> </w:t>
      </w:r>
      <w:r>
        <w:tab/>
        <w:t xml:space="preserve">Unless otherwise stated, category and component expenses for the first two assessment years are sourced from </w:t>
      </w:r>
      <w:r w:rsidRPr="00003B16">
        <w:t>Australian Bureau of Statistics (ABS)</w:t>
      </w:r>
      <w:r>
        <w:t xml:space="preserve"> Government Finance Statistics (GFS). States provide data for the most recent assessment year because GFS data are not available in time for the annual update.</w:t>
      </w:r>
    </w:p>
  </w:footnote>
  <w:footnote w:id="96">
    <w:p w14:paraId="203FB791" w14:textId="77777777" w:rsidR="007E365E" w:rsidRPr="00F47659" w:rsidRDefault="007E365E" w:rsidP="007E365E">
      <w:pPr>
        <w:pStyle w:val="FootnoteText"/>
      </w:pPr>
      <w:r w:rsidRPr="008B6A59">
        <w:rPr>
          <w:rStyle w:val="FootnoteReference"/>
        </w:rPr>
        <w:footnoteRef/>
      </w:r>
      <w:r w:rsidRPr="008B6A59">
        <w:t xml:space="preserve"> </w:t>
      </w:r>
      <w:r>
        <w:tab/>
      </w:r>
      <w:r w:rsidRPr="008B6A59">
        <w:t xml:space="preserve">Under the 2015 Review approach depreciation is assessed in proportion to each State’s share of adjusted closing population while, under a combined approach, it is implicitly assessed in proportion to each State’s opening adjusted user population. This difference is not material. </w:t>
      </w:r>
    </w:p>
  </w:footnote>
  <w:footnote w:id="97">
    <w:p w14:paraId="4771F42A" w14:textId="77777777" w:rsidR="007E365E" w:rsidRDefault="007E365E" w:rsidP="007E365E">
      <w:pPr>
        <w:pStyle w:val="FootnoteText"/>
      </w:pPr>
      <w:r>
        <w:rPr>
          <w:rStyle w:val="FootnoteReference"/>
        </w:rPr>
        <w:footnoteRef/>
      </w:r>
      <w:r>
        <w:t xml:space="preserve"> </w:t>
      </w:r>
      <w:r>
        <w:tab/>
        <w:t xml:space="preserve">The level of user population growth that results in negative investment will depend on the rate of change in the national capital stock per user. </w:t>
      </w:r>
    </w:p>
  </w:footnote>
  <w:footnote w:id="98">
    <w:p w14:paraId="79B0DBD3" w14:textId="77777777" w:rsidR="007E365E" w:rsidRDefault="007E365E" w:rsidP="007E365E">
      <w:pPr>
        <w:pStyle w:val="FootnoteText"/>
      </w:pPr>
      <w:r>
        <w:rPr>
          <w:rStyle w:val="FootnoteReference"/>
        </w:rPr>
        <w:footnoteRef/>
      </w:r>
      <w:r>
        <w:t xml:space="preserve"> </w:t>
      </w:r>
      <w:r>
        <w:tab/>
      </w:r>
      <w:r w:rsidRPr="001102EE">
        <w:rPr>
          <w:i/>
        </w:rPr>
        <w:t>Australian Construction Handbook</w:t>
      </w:r>
      <w:r>
        <w:t>, Rawlinsons Publishing.</w:t>
      </w:r>
    </w:p>
  </w:footnote>
  <w:footnote w:id="99">
    <w:p w14:paraId="10EE356D" w14:textId="27139E30" w:rsidR="007E365E" w:rsidRDefault="007E365E" w:rsidP="007E365E">
      <w:pPr>
        <w:pStyle w:val="FootnoteText"/>
      </w:pPr>
      <w:r>
        <w:rPr>
          <w:rStyle w:val="FootnoteReference"/>
        </w:rPr>
        <w:footnoteRef/>
      </w:r>
      <w:r>
        <w:t xml:space="preserve"> </w:t>
      </w:r>
      <w:r>
        <w:tab/>
        <w:t xml:space="preserve">For presentation purposes, in </w:t>
      </w:r>
      <w:r>
        <w:fldChar w:fldCharType="begin"/>
      </w:r>
      <w:r>
        <w:instrText xml:space="preserve"> REF _Ref3471481 \h </w:instrText>
      </w:r>
      <w:r>
        <w:fldChar w:fldCharType="separate"/>
      </w:r>
      <w:r w:rsidR="007F721A" w:rsidRPr="00785668">
        <w:t xml:space="preserve">Table </w:t>
      </w:r>
      <w:r w:rsidR="007F721A">
        <w:t>24-</w:t>
      </w:r>
      <w:r w:rsidR="007F721A">
        <w:rPr>
          <w:noProof/>
        </w:rPr>
        <w:t>7</w:t>
      </w:r>
      <w:r>
        <w:fldChar w:fldCharType="end"/>
      </w:r>
      <w:r>
        <w:t>, States’ user populations (population * stock factor) have been scaled to the number of students in government schools. Where a relevant defined user population exists, population * stock factor has been scaled to this value. This scaling has no effect on the outcomes of the assessment, but can assist with analysis.</w:t>
      </w:r>
    </w:p>
  </w:footnote>
  <w:footnote w:id="100">
    <w:p w14:paraId="1D844F2C" w14:textId="77777777" w:rsidR="007E365E" w:rsidRDefault="007E365E" w:rsidP="007E365E">
      <w:pPr>
        <w:pStyle w:val="FootnoteText"/>
      </w:pPr>
      <w:r>
        <w:rPr>
          <w:rStyle w:val="FootnoteReference"/>
        </w:rPr>
        <w:footnoteRef/>
      </w:r>
      <w:r>
        <w:t xml:space="preserve"> </w:t>
      </w:r>
      <w:r>
        <w:tab/>
        <w:t>The Commission has set a materiality threshold for including a disability. A disability assessment must redistribute more than $35 per capita away from an equal per capita (EPC) assessment for any State to be included. The materiality test applies to the total impact the disability has on the redistribution of funds across all revenue or expense categories in which it is assessed.</w:t>
      </w:r>
    </w:p>
  </w:footnote>
  <w:footnote w:id="101">
    <w:p w14:paraId="77DE03C7" w14:textId="77777777" w:rsidR="007E365E" w:rsidRPr="00942FA8" w:rsidRDefault="007E365E" w:rsidP="007E365E">
      <w:pPr>
        <w:pStyle w:val="FootnoteText"/>
        <w:rPr>
          <w:rStyle w:val="FootnoteTextChar"/>
        </w:rPr>
      </w:pPr>
      <w:r w:rsidRPr="00942FA8">
        <w:rPr>
          <w:rStyle w:val="FootnoteReference"/>
        </w:rPr>
        <w:footnoteRef/>
      </w:r>
      <w:r w:rsidRPr="00942FA8">
        <w:rPr>
          <w:rStyle w:val="FootnoteReference"/>
        </w:rPr>
        <w:t xml:space="preserve"> </w:t>
      </w:r>
      <w:r>
        <w:rPr>
          <w:rStyle w:val="FootnoteReference"/>
        </w:rPr>
        <w:t xml:space="preserve"> </w:t>
      </w:r>
      <w:r>
        <w:rPr>
          <w:rStyle w:val="FootnoteTextChar"/>
        </w:rPr>
        <w:tab/>
      </w:r>
      <w:r w:rsidRPr="00942FA8">
        <w:rPr>
          <w:rStyle w:val="FootnoteTextChar"/>
        </w:rPr>
        <w:t xml:space="preserve">Impact of environmental characteristics on asset costs, Pottinger and AECOM, 27 June 2013. This consultant’s report is available on the </w:t>
      </w:r>
      <w:hyperlink r:id="rId16" w:history="1">
        <w:r w:rsidRPr="00942FA8">
          <w:rPr>
            <w:rStyle w:val="FootnoteTextChar"/>
          </w:rPr>
          <w:t xml:space="preserve">Commission </w:t>
        </w:r>
        <w:r w:rsidRPr="00942FA8">
          <w:t>website</w:t>
        </w:r>
      </w:hyperlink>
      <w:r w:rsidRPr="00942FA8">
        <w:rPr>
          <w:rStyle w:val="FootnoteTextChar"/>
        </w:rPr>
        <w:t>, (https://cgc.gov.au).</w:t>
      </w:r>
    </w:p>
  </w:footnote>
  <w:footnote w:id="102">
    <w:p w14:paraId="1B43DD5C" w14:textId="77777777" w:rsidR="007E365E" w:rsidRPr="00F46B46" w:rsidRDefault="007E365E" w:rsidP="007E365E">
      <w:pPr>
        <w:pStyle w:val="FootnoteText"/>
      </w:pPr>
      <w:r w:rsidRPr="00F46B46">
        <w:rPr>
          <w:rStyle w:val="FootnoteReference"/>
        </w:rPr>
        <w:footnoteRef/>
      </w:r>
      <w:r w:rsidRPr="00F46B46">
        <w:t xml:space="preserve"> </w:t>
      </w:r>
      <w:r w:rsidRPr="00F46B46">
        <w:tab/>
        <w:t xml:space="preserve">Total outlays are the sum of total operating expenses and investment in infrastructure and land.  </w:t>
      </w:r>
    </w:p>
  </w:footnote>
  <w:footnote w:id="103">
    <w:p w14:paraId="158FD3D6" w14:textId="77777777" w:rsidR="007E365E" w:rsidRDefault="007E365E" w:rsidP="007E365E">
      <w:pPr>
        <w:pStyle w:val="FootnoteText"/>
      </w:pPr>
      <w:r>
        <w:rPr>
          <w:rStyle w:val="FootnoteReference"/>
        </w:rPr>
        <w:footnoteRef/>
      </w:r>
      <w:r>
        <w:t xml:space="preserve"> </w:t>
      </w:r>
      <w:r>
        <w:tab/>
        <w:t>Unless otherwise stated, net borrowing for the first two assessment years are sourced from ABS Government Finance Statistics (GFS). States provide data for the most recent assessment year because GFS data are not available in time for the annual update.</w:t>
      </w:r>
    </w:p>
  </w:footnote>
  <w:footnote w:id="104">
    <w:p w14:paraId="49BE822C" w14:textId="77777777" w:rsidR="007E365E" w:rsidRDefault="007E365E" w:rsidP="007E365E">
      <w:pPr>
        <w:pStyle w:val="FootnoteText"/>
      </w:pPr>
      <w:r>
        <w:rPr>
          <w:rStyle w:val="FootnoteReference"/>
        </w:rPr>
        <w:footnoteRef/>
      </w:r>
      <w:r>
        <w:t xml:space="preserve"> </w:t>
      </w:r>
      <w:r>
        <w:tab/>
        <w:t>A consequence of the model and this assumption is that the Commission can assess interest earnings and dividends on an equal per capita (EPC) basis.</w:t>
      </w:r>
    </w:p>
  </w:footnote>
  <w:footnote w:id="105">
    <w:p w14:paraId="2C94AC20" w14:textId="77777777" w:rsidR="007E365E" w:rsidRDefault="007E365E" w:rsidP="007E365E">
      <w:pPr>
        <w:pStyle w:val="FootnoteText"/>
      </w:pPr>
      <w:r>
        <w:rPr>
          <w:rStyle w:val="FootnoteReference"/>
        </w:rPr>
        <w:footnoteRef/>
      </w:r>
      <w:r>
        <w:t xml:space="preserve"> </w:t>
      </w:r>
      <w:r>
        <w:tab/>
        <w:t xml:space="preserve">Alternatively, the assessment outcome can be expressed as faster growing States are assessed to have a higher than average capacity to borrow, thereby reducing their GST requirement. </w:t>
      </w:r>
    </w:p>
  </w:footnote>
  <w:footnote w:id="106">
    <w:p w14:paraId="5E9C0ECE" w14:textId="77777777" w:rsidR="007E365E" w:rsidRPr="004C0DE7" w:rsidRDefault="007E365E" w:rsidP="007E365E">
      <w:pPr>
        <w:pStyle w:val="FootnoteText"/>
        <w:rPr>
          <w:lang w:val="en-US"/>
        </w:rPr>
      </w:pPr>
      <w:r>
        <w:rPr>
          <w:rStyle w:val="FootnoteReference"/>
        </w:rPr>
        <w:footnoteRef/>
      </w:r>
      <w:r>
        <w:t xml:space="preserve"> </w:t>
      </w:r>
      <w:r>
        <w:tab/>
        <w:t>To avoid the effect of revaluations, net financial assets at the start of the year are calculated as end of year net financial assets adjusted for net borrowing during the year.</w:t>
      </w:r>
    </w:p>
  </w:footnote>
  <w:footnote w:id="107">
    <w:p w14:paraId="63E8CF67" w14:textId="77777777" w:rsidR="00DA2092" w:rsidRDefault="00DA2092" w:rsidP="000765E5">
      <w:pPr>
        <w:pStyle w:val="FootnoteText"/>
      </w:pPr>
      <w:r>
        <w:rPr>
          <w:rStyle w:val="FootnoteReference"/>
        </w:rPr>
        <w:footnoteRef/>
      </w:r>
      <w:r>
        <w:tab/>
        <w:t>Prior to the 2015 Review, each expense category included the relevant administrative scale expenses.</w:t>
      </w:r>
    </w:p>
  </w:footnote>
  <w:footnote w:id="108">
    <w:p w14:paraId="75698D43" w14:textId="77777777" w:rsidR="00DA2092" w:rsidRDefault="00DA2092" w:rsidP="000765E5">
      <w:pPr>
        <w:pStyle w:val="FootnoteText"/>
      </w:pPr>
      <w:r>
        <w:rPr>
          <w:rStyle w:val="FootnoteReference"/>
        </w:rPr>
        <w:footnoteRef/>
      </w:r>
      <w:r>
        <w:t xml:space="preserve"> </w:t>
      </w:r>
      <w:r>
        <w:tab/>
        <w:t>The 1999 and 2004 Review estimates also drew heavily on a more detailed investigation of the structure of education departments and police departments using annual reports and other related material, in deriving the estimates for the remaining functions.</w:t>
      </w:r>
    </w:p>
  </w:footnote>
  <w:footnote w:id="109">
    <w:p w14:paraId="1A2BBD80" w14:textId="53A4AB47" w:rsidR="00DA2092" w:rsidRPr="00CF43CE" w:rsidRDefault="00DA2092">
      <w:pPr>
        <w:pStyle w:val="FootnoteText"/>
        <w:rPr>
          <w:lang w:val="en-US"/>
        </w:rPr>
      </w:pPr>
      <w:r>
        <w:rPr>
          <w:rStyle w:val="FootnoteReference"/>
        </w:rPr>
        <w:footnoteRef/>
      </w:r>
      <w:r>
        <w:t xml:space="preserve"> </w:t>
      </w:r>
      <w:r>
        <w:rPr>
          <w:lang w:val="en-US"/>
        </w:rPr>
        <w:tab/>
        <w:t xml:space="preserve">The Northern Territory incorrectly assumed that the 2019 update staffing structure had no branch heads. This resulted in the Northern Territory assuming four staff per section instead of three. </w:t>
      </w:r>
    </w:p>
  </w:footnote>
  <w:footnote w:id="110">
    <w:p w14:paraId="6D5D444A" w14:textId="77777777" w:rsidR="00DA2092" w:rsidRDefault="00DA2092" w:rsidP="000765E5">
      <w:pPr>
        <w:pStyle w:val="FootnoteText"/>
      </w:pPr>
      <w:r>
        <w:rPr>
          <w:rStyle w:val="FootnoteReference"/>
        </w:rPr>
        <w:footnoteRef/>
      </w:r>
      <w:r>
        <w:t xml:space="preserve"> </w:t>
      </w:r>
      <w:r>
        <w:tab/>
        <w:t xml:space="preserve">ABS </w:t>
      </w:r>
      <w:r w:rsidRPr="00CB5972">
        <w:t xml:space="preserve">Government Finance Statistics, Australia, </w:t>
      </w:r>
      <w:r>
        <w:t xml:space="preserve">cat. no. 5512.0, </w:t>
      </w:r>
      <w:r w:rsidRPr="00CB5972">
        <w:t>2017-18</w:t>
      </w:r>
      <w:r>
        <w:t>, Table 1.</w:t>
      </w:r>
    </w:p>
  </w:footnote>
  <w:footnote w:id="111">
    <w:p w14:paraId="2E11BBF3" w14:textId="77777777" w:rsidR="00DA2092" w:rsidRDefault="00DA2092" w:rsidP="000765E5">
      <w:pPr>
        <w:pStyle w:val="FootnoteText"/>
      </w:pPr>
      <w:r>
        <w:rPr>
          <w:rStyle w:val="FootnoteReference"/>
        </w:rPr>
        <w:footnoteRef/>
      </w:r>
      <w:r>
        <w:t xml:space="preserve"> </w:t>
      </w:r>
      <w:r>
        <w:tab/>
        <w:t>ABS</w:t>
      </w:r>
      <w:r w:rsidRPr="00CB5972">
        <w:t xml:space="preserve"> Government Finance Statistics, Australia, </w:t>
      </w:r>
      <w:r>
        <w:t xml:space="preserve">cat. no. 5512.0, </w:t>
      </w:r>
      <w:r w:rsidRPr="00CB5972">
        <w:t>2017-18</w:t>
      </w:r>
      <w:r>
        <w:t>, Table 1. The employee costs proportion is calculated as the sum of superannuation plus other employee expenses divided by the total gross operating expenses, excluding expenses on social benefits.</w:t>
      </w:r>
    </w:p>
  </w:footnote>
  <w:footnote w:id="112">
    <w:p w14:paraId="53C2D06D" w14:textId="77777777" w:rsidR="00DA2092" w:rsidRDefault="00DA2092" w:rsidP="00C4779A">
      <w:pPr>
        <w:pStyle w:val="FootnoteText"/>
      </w:pPr>
      <w:r>
        <w:rPr>
          <w:rStyle w:val="FootnoteReference"/>
        </w:rPr>
        <w:footnoteRef/>
      </w:r>
      <w:r>
        <w:rPr>
          <w:szCs w:val="22"/>
        </w:rPr>
        <w:tab/>
        <w:t>The Commission</w:t>
      </w:r>
      <w:r w:rsidRPr="0066438A">
        <w:rPr>
          <w:szCs w:val="22"/>
        </w:rPr>
        <w:t xml:space="preserve"> </w:t>
      </w:r>
      <w:r>
        <w:rPr>
          <w:szCs w:val="22"/>
        </w:rPr>
        <w:t>has decided to apply</w:t>
      </w:r>
      <w:r w:rsidRPr="0066438A">
        <w:rPr>
          <w:szCs w:val="22"/>
        </w:rPr>
        <w:t xml:space="preserve"> </w:t>
      </w:r>
      <w:r>
        <w:rPr>
          <w:szCs w:val="22"/>
        </w:rPr>
        <w:t>a</w:t>
      </w:r>
      <w:r w:rsidRPr="0066438A">
        <w:rPr>
          <w:szCs w:val="22"/>
        </w:rPr>
        <w:t xml:space="preserve"> low discount to the </w:t>
      </w:r>
      <w:r>
        <w:rPr>
          <w:szCs w:val="22"/>
        </w:rPr>
        <w:t xml:space="preserve">modelled outcomes because of some uncertainty about how accurately the data capture wage costs, how accurately the model controls for productivity differences and how well private sector wages proxy public sector wage pressures. </w:t>
      </w:r>
    </w:p>
  </w:footnote>
  <w:footnote w:id="113">
    <w:p w14:paraId="73C2C1AF" w14:textId="77777777" w:rsidR="00DA2092" w:rsidRDefault="00DA2092" w:rsidP="00C4779A">
      <w:pPr>
        <w:pStyle w:val="FootnoteText"/>
      </w:pPr>
      <w:r>
        <w:rPr>
          <w:rStyle w:val="FootnoteReference"/>
        </w:rPr>
        <w:footnoteRef/>
      </w:r>
      <w:r>
        <w:t xml:space="preserve"> </w:t>
      </w:r>
      <w:r>
        <w:tab/>
        <w:t>Remote community electricity subsidies and small community water subsidies.</w:t>
      </w:r>
    </w:p>
  </w:footnote>
  <w:footnote w:id="114">
    <w:p w14:paraId="118D397C" w14:textId="77777777" w:rsidR="00DA2092" w:rsidRDefault="00DA2092" w:rsidP="00C4779A">
      <w:pPr>
        <w:pStyle w:val="FootnoteText"/>
      </w:pPr>
      <w:r>
        <w:rPr>
          <w:rStyle w:val="FootnoteReference"/>
        </w:rPr>
        <w:footnoteRef/>
      </w:r>
      <w:r>
        <w:t xml:space="preserve"> </w:t>
      </w:r>
      <w:r>
        <w:tab/>
        <w:t xml:space="preserve">State submissions often include significant detail and supporting evidence. In this chapter, the Commission responds to the arguments and evidence States presented in their submissions. For the full detail of State submissions, see the </w:t>
      </w:r>
      <w:hyperlink r:id="rId17" w:history="1">
        <w:r w:rsidRPr="00324009">
          <w:rPr>
            <w:rStyle w:val="Hyperlink"/>
          </w:rPr>
          <w:t>Commission website</w:t>
        </w:r>
      </w:hyperlink>
      <w:r>
        <w:t>, (https://cgc.gov.au).</w:t>
      </w:r>
    </w:p>
  </w:footnote>
  <w:footnote w:id="115">
    <w:p w14:paraId="71E2F487" w14:textId="77777777" w:rsidR="00DA2092" w:rsidRDefault="00DA2092" w:rsidP="00C4779A">
      <w:pPr>
        <w:pStyle w:val="FootnoteText"/>
      </w:pPr>
      <w:r>
        <w:rPr>
          <w:rStyle w:val="FootnoteReference"/>
        </w:rPr>
        <w:footnoteRef/>
      </w:r>
      <w:r>
        <w:t xml:space="preserve"> </w:t>
      </w:r>
      <w:r>
        <w:tab/>
      </w:r>
      <w:r w:rsidRPr="00266651">
        <w:t xml:space="preserve">Mavromaras, K, Mahuteau, S, Richardson, S, and Zhu, R. </w:t>
      </w:r>
      <w:r w:rsidRPr="00716BEC">
        <w:rPr>
          <w:i/>
        </w:rPr>
        <w:t>Public-private wage differentials in Australia: What are the differences by State and how do they impact GST redistribution decisions</w:t>
      </w:r>
      <w:r>
        <w:t>, National Institute of L</w:t>
      </w:r>
      <w:r w:rsidRPr="00266651">
        <w:t>abour Studies, Flinders University</w:t>
      </w:r>
      <w:r>
        <w:t>, 2016</w:t>
      </w:r>
      <w:r w:rsidRPr="00266651">
        <w:t>.</w:t>
      </w:r>
    </w:p>
  </w:footnote>
  <w:footnote w:id="116">
    <w:p w14:paraId="2ACBDEDF" w14:textId="77777777" w:rsidR="00DA2092" w:rsidRDefault="00DA2092" w:rsidP="00C4779A">
      <w:pPr>
        <w:pStyle w:val="FootnoteText"/>
      </w:pPr>
      <w:r>
        <w:rPr>
          <w:rStyle w:val="FootnoteReference"/>
        </w:rPr>
        <w:footnoteRef/>
      </w:r>
      <w:r>
        <w:t xml:space="preserve"> </w:t>
      </w:r>
      <w:r>
        <w:tab/>
        <w:t xml:space="preserve">See </w:t>
      </w:r>
      <w:r w:rsidRPr="00476A36">
        <w:rPr>
          <w:i/>
        </w:rPr>
        <w:t>Report on GST Revenue Sharing Relativities, 201</w:t>
      </w:r>
      <w:r>
        <w:rPr>
          <w:i/>
        </w:rPr>
        <w:t>6</w:t>
      </w:r>
      <w:r w:rsidRPr="00476A36">
        <w:rPr>
          <w:i/>
        </w:rPr>
        <w:t xml:space="preserve"> </w:t>
      </w:r>
      <w:r>
        <w:rPr>
          <w:i/>
        </w:rPr>
        <w:t>Update</w:t>
      </w:r>
      <w:r>
        <w:t>, Chapter 3 Wage costs.</w:t>
      </w:r>
    </w:p>
  </w:footnote>
  <w:footnote w:id="117">
    <w:p w14:paraId="6A31E65A" w14:textId="57627075" w:rsidR="00DA2092" w:rsidRPr="00EB3F9F" w:rsidRDefault="00DA2092" w:rsidP="00C4779A">
      <w:pPr>
        <w:pStyle w:val="FootnoteText"/>
      </w:pPr>
      <w:r>
        <w:rPr>
          <w:rStyle w:val="FootnoteReference"/>
        </w:rPr>
        <w:footnoteRef/>
      </w:r>
      <w:r>
        <w:t xml:space="preserve"> </w:t>
      </w:r>
      <w:r w:rsidR="00670362">
        <w:tab/>
      </w:r>
      <w:r>
        <w:t xml:space="preserve">The Mavromaras </w:t>
      </w:r>
      <w:r>
        <w:rPr>
          <w:i/>
        </w:rPr>
        <w:t xml:space="preserve">et al. </w:t>
      </w:r>
      <w:r>
        <w:t>finding was based on data from the Household Income and Labour Dynamics in Australia (HILDA) survey, providing corroborating evidence for the results of the Commission’s econometric model.</w:t>
      </w:r>
    </w:p>
  </w:footnote>
  <w:footnote w:id="118">
    <w:p w14:paraId="175F06A1" w14:textId="77777777" w:rsidR="00DA2092" w:rsidRDefault="00DA2092" w:rsidP="00C4779A">
      <w:pPr>
        <w:pStyle w:val="FootnoteText"/>
      </w:pPr>
      <w:r>
        <w:rPr>
          <w:rStyle w:val="FootnoteReference"/>
        </w:rPr>
        <w:footnoteRef/>
      </w:r>
      <w:r>
        <w:t xml:space="preserve"> </w:t>
      </w:r>
      <w:r>
        <w:tab/>
      </w:r>
      <w:r w:rsidRPr="008C2EF6">
        <w:t xml:space="preserve">While the data source </w:t>
      </w:r>
      <w:r>
        <w:t xml:space="preserve">currently used by the Commission </w:t>
      </w:r>
      <w:r w:rsidRPr="008C2EF6">
        <w:t>differs from that used in the 2010 Review assessment, the specification of the variables is very similar.</w:t>
      </w:r>
    </w:p>
  </w:footnote>
  <w:footnote w:id="119">
    <w:p w14:paraId="338E1299" w14:textId="77777777" w:rsidR="00DA2092" w:rsidRDefault="00DA2092" w:rsidP="00C4779A">
      <w:pPr>
        <w:pStyle w:val="FootnoteText"/>
      </w:pPr>
      <w:r>
        <w:rPr>
          <w:rStyle w:val="FootnoteReference"/>
        </w:rPr>
        <w:footnoteRef/>
      </w:r>
      <w:r>
        <w:t xml:space="preserve"> </w:t>
      </w:r>
      <w:r>
        <w:tab/>
        <w:t xml:space="preserve">While the movement in the modelled outcomes and other available data sources such as average weekly earnings and the wage price index were of different magnitudes, they were all in the same direction. Average weekly earnings and the wage price index measure different concepts to the Commission’s wage costs model and, importantly, neither measure controls for the full range of differences between States in industry composition and worker characteristics. </w:t>
      </w:r>
    </w:p>
  </w:footnote>
  <w:footnote w:id="120">
    <w:p w14:paraId="6C6C55B1" w14:textId="29038A3D" w:rsidR="00DA2092" w:rsidRDefault="00DA2092" w:rsidP="00C4779A">
      <w:pPr>
        <w:pStyle w:val="FootnoteText"/>
      </w:pPr>
      <w:r>
        <w:rPr>
          <w:rStyle w:val="FootnoteReference"/>
        </w:rPr>
        <w:footnoteRef/>
      </w:r>
      <w:r>
        <w:t xml:space="preserve"> </w:t>
      </w:r>
      <w:r>
        <w:tab/>
        <w:t>The Commission previously used ABS data from the four yearly Survey of Education and Training (SET), indexed in between surveys using the wage price index. SET was discontinued by the ABS after 2009.</w:t>
      </w:r>
    </w:p>
  </w:footnote>
  <w:footnote w:id="121">
    <w:p w14:paraId="1320468A" w14:textId="77777777" w:rsidR="00DA2092" w:rsidRDefault="00DA2092" w:rsidP="00C4779A">
      <w:pPr>
        <w:pStyle w:val="FootnoteText"/>
      </w:pPr>
      <w:r>
        <w:rPr>
          <w:rStyle w:val="FootnoteReference"/>
        </w:rPr>
        <w:footnoteRef/>
      </w:r>
      <w:r>
        <w:t xml:space="preserve"> </w:t>
      </w:r>
      <w:r>
        <w:tab/>
        <w:t>In response to the 2017-18 result, Western Australia presented comparisons with other datasets suggesting that the model was overestimating changes to the differences in wage costs between the States.</w:t>
      </w:r>
    </w:p>
  </w:footnote>
  <w:footnote w:id="122">
    <w:p w14:paraId="583ECA83" w14:textId="2AAAA2EC" w:rsidR="00DA2092" w:rsidRDefault="00DA2092" w:rsidP="00C4779A">
      <w:pPr>
        <w:pStyle w:val="FootnoteText"/>
      </w:pPr>
      <w:r>
        <w:rPr>
          <w:rStyle w:val="FootnoteReference"/>
        </w:rPr>
        <w:footnoteRef/>
      </w:r>
      <w:r>
        <w:t xml:space="preserve"> </w:t>
      </w:r>
      <w:r>
        <w:tab/>
        <w:t xml:space="preserve">Earlier </w:t>
      </w:r>
      <w:r w:rsidR="00CB672C">
        <w:t>wage</w:t>
      </w:r>
      <w:r>
        <w:t xml:space="preserve"> costs assessments had smaller and larger discounts at different times.</w:t>
      </w:r>
    </w:p>
  </w:footnote>
  <w:footnote w:id="123">
    <w:p w14:paraId="7BEBEE22" w14:textId="77777777" w:rsidR="00DA2092" w:rsidRDefault="00DA2092" w:rsidP="00C4779A">
      <w:pPr>
        <w:pStyle w:val="FootnoteText"/>
      </w:pPr>
      <w:r>
        <w:rPr>
          <w:rStyle w:val="FootnoteReference"/>
        </w:rPr>
        <w:footnoteRef/>
      </w:r>
      <w:r>
        <w:t xml:space="preserve"> </w:t>
      </w:r>
      <w:r>
        <w:tab/>
        <w:t>Finalisation of the treatment of the CSS adjustment was delayed from the 2016 Update due to the Commission having insufficient time to consult with States following late identification that it would no longer be material.</w:t>
      </w:r>
    </w:p>
  </w:footnote>
  <w:footnote w:id="124">
    <w:p w14:paraId="251B99CC" w14:textId="77777777" w:rsidR="00DA2092" w:rsidRDefault="00DA2092" w:rsidP="00C4779A">
      <w:pPr>
        <w:pStyle w:val="FootnoteText"/>
      </w:pPr>
      <w:r>
        <w:rPr>
          <w:rStyle w:val="FootnoteReference"/>
        </w:rPr>
        <w:footnoteRef/>
      </w:r>
      <w:r>
        <w:t xml:space="preserve"> </w:t>
      </w:r>
      <w:r>
        <w:tab/>
        <w:t>The CSS scheme was closed before the ACTPS was established.</w:t>
      </w:r>
    </w:p>
  </w:footnote>
  <w:footnote w:id="125">
    <w:p w14:paraId="1DD415D1" w14:textId="77777777" w:rsidR="00DA2092" w:rsidRDefault="00DA2092" w:rsidP="00D9434E">
      <w:pPr>
        <w:pStyle w:val="FootnoteText"/>
      </w:pPr>
      <w:r>
        <w:rPr>
          <w:rStyle w:val="FootnoteReference"/>
        </w:rPr>
        <w:footnoteRef/>
      </w:r>
      <w:r>
        <w:tab/>
        <w:t xml:space="preserve">The ABS measures access to services using ARIA+, which is produced by the Hugo Centre for Migration and Population Research at the University of Adelaide. </w:t>
      </w:r>
    </w:p>
  </w:footnote>
  <w:footnote w:id="126">
    <w:p w14:paraId="6C55BD1A" w14:textId="4E65052F" w:rsidR="00DA2092" w:rsidRDefault="00DA2092" w:rsidP="00D9434E">
      <w:pPr>
        <w:pStyle w:val="FootnoteText"/>
      </w:pPr>
      <w:r>
        <w:rPr>
          <w:rStyle w:val="FootnoteReference"/>
        </w:rPr>
        <w:footnoteRef/>
      </w:r>
      <w:r>
        <w:t xml:space="preserve"> </w:t>
      </w:r>
      <w:r>
        <w:tab/>
        <w:t xml:space="preserve">Data on the receipt of </w:t>
      </w:r>
      <w:r w:rsidR="00B27638">
        <w:t>vocational education and training (</w:t>
      </w:r>
      <w:r>
        <w:t>VET</w:t>
      </w:r>
      <w:r w:rsidR="00B27638">
        <w:t>)</w:t>
      </w:r>
      <w:r>
        <w:t xml:space="preserve"> training hours indicate about 18% of remote residents receiving VET commute to non-remote areas for their training. In Health, a similar proportion (20%) is evident for emergency department National Weighted Activity Units (NWAUs). However, people travel much further for admitted patient services, with only 50% of remote patient NWAUs being undertaken in remote hospitals (partly explained by the more complex conditions and procedures required to be undertaken in larger hospitals). While 50% of remote patient</w:t>
      </w:r>
      <w:r w:rsidRPr="00A47F2C">
        <w:t xml:space="preserve"> NWAUs (cost weighted patients) are in remote hospitals, 70% of patients are</w:t>
      </w:r>
      <w:r>
        <w:t>.</w:t>
      </w:r>
    </w:p>
  </w:footnote>
  <w:footnote w:id="127">
    <w:p w14:paraId="304487E8" w14:textId="77777777" w:rsidR="00DA2092" w:rsidRDefault="00DA2092" w:rsidP="00D9434E">
      <w:pPr>
        <w:pStyle w:val="FootnoteText"/>
      </w:pPr>
      <w:r>
        <w:rPr>
          <w:rStyle w:val="FootnoteReference"/>
        </w:rPr>
        <w:footnoteRef/>
      </w:r>
      <w:r>
        <w:t xml:space="preserve"> </w:t>
      </w:r>
      <w:r>
        <w:tab/>
        <w:t>The method for calculating the general regional costs gradient is discussed below.</w:t>
      </w:r>
    </w:p>
  </w:footnote>
  <w:footnote w:id="128">
    <w:p w14:paraId="501E93B1" w14:textId="77777777" w:rsidR="00DA2092" w:rsidRPr="004C377A" w:rsidRDefault="00DA2092" w:rsidP="00D9434E">
      <w:pPr>
        <w:pStyle w:val="FootnoteText"/>
      </w:pPr>
      <w:r>
        <w:rPr>
          <w:rStyle w:val="FootnoteReference"/>
        </w:rPr>
        <w:footnoteRef/>
      </w:r>
      <w:r>
        <w:t xml:space="preserve"> </w:t>
      </w:r>
      <w:r>
        <w:tab/>
        <w:t>The definition of UCL uses the ABS concept, with adjustments. See Chapter 18 Services to communities for more information.</w:t>
      </w:r>
    </w:p>
  </w:footnote>
  <w:footnote w:id="129">
    <w:p w14:paraId="4014C0EC" w14:textId="77777777" w:rsidR="00DA2092" w:rsidRDefault="00DA2092" w:rsidP="00D9434E">
      <w:pPr>
        <w:pStyle w:val="FootnoteText"/>
      </w:pPr>
      <w:r w:rsidRPr="004C377A">
        <w:rPr>
          <w:rStyle w:val="FootnoteReference"/>
        </w:rPr>
        <w:footnoteRef/>
      </w:r>
      <w:r>
        <w:t xml:space="preserve"> </w:t>
      </w:r>
      <w:r>
        <w:tab/>
      </w:r>
      <w:r w:rsidRPr="004C377A">
        <w:t>Referred to as the location adjustment in the 2015 Review.</w:t>
      </w:r>
      <w:r>
        <w:t xml:space="preserve"> </w:t>
      </w:r>
    </w:p>
  </w:footnote>
  <w:footnote w:id="130">
    <w:p w14:paraId="7739EC7B" w14:textId="77777777" w:rsidR="00DA2092" w:rsidRDefault="00DA2092" w:rsidP="00D9434E">
      <w:pPr>
        <w:pStyle w:val="FootnoteText"/>
      </w:pPr>
      <w:r>
        <w:rPr>
          <w:rStyle w:val="FootnoteReference"/>
        </w:rPr>
        <w:footnoteRef/>
      </w:r>
      <w:r>
        <w:t xml:space="preserve"> </w:t>
      </w:r>
      <w:r>
        <w:tab/>
        <w:t xml:space="preserve">The Commission has set a materiality threshold for including a disability. A disability assessment must redistribute more than $35 per capita away from an equal per capita assessment for any State to be included. </w:t>
      </w:r>
    </w:p>
  </w:footnote>
  <w:footnote w:id="131">
    <w:p w14:paraId="35D3964F" w14:textId="77777777" w:rsidR="00DA2092" w:rsidRDefault="00DA2092" w:rsidP="009E7F1B">
      <w:pPr>
        <w:pStyle w:val="FootnoteText"/>
      </w:pPr>
      <w:r>
        <w:rPr>
          <w:rStyle w:val="FootnoteReference"/>
        </w:rPr>
        <w:footnoteRef/>
      </w:r>
      <w:r>
        <w:tab/>
      </w:r>
      <w:r w:rsidRPr="00200088">
        <w:t>The</w:t>
      </w:r>
      <w:r>
        <w:t>se activities included</w:t>
      </w:r>
      <w:r w:rsidRPr="00200088">
        <w:t xml:space="preserve"> renewing leases, transferring leases, providing advice, making determinations on concessional leases and managing lease variations and their associated charges.</w:t>
      </w:r>
    </w:p>
  </w:footnote>
  <w:footnote w:id="132">
    <w:p w14:paraId="113A361C" w14:textId="77777777" w:rsidR="00DA2092" w:rsidRDefault="00DA2092" w:rsidP="009E7F1B">
      <w:pPr>
        <w:pStyle w:val="FootnoteText"/>
      </w:pPr>
      <w:r>
        <w:rPr>
          <w:rStyle w:val="FootnoteReference"/>
        </w:rPr>
        <w:footnoteRef/>
      </w:r>
      <w:r>
        <w:tab/>
        <w:t>The ACT’s other claims related to the need for higher quality design and material specifications, time delays imposed on developments and additional operating costs for the light rail.</w:t>
      </w:r>
    </w:p>
  </w:footnote>
  <w:footnote w:id="133">
    <w:p w14:paraId="013A88BF" w14:textId="78E5A3E7" w:rsidR="00DA2092" w:rsidRDefault="00DA2092" w:rsidP="009E7F1B">
      <w:pPr>
        <w:pStyle w:val="FootnoteText"/>
      </w:pPr>
      <w:r>
        <w:rPr>
          <w:rStyle w:val="FootnoteReference"/>
        </w:rPr>
        <w:footnoteRef/>
      </w:r>
      <w:r>
        <w:t xml:space="preserve"> </w:t>
      </w:r>
      <w:r>
        <w:tab/>
        <w:t>Due to changes in the Justice assessment</w:t>
      </w:r>
      <w:r w:rsidR="00FE4CB5">
        <w:t>,</w:t>
      </w:r>
      <w:r>
        <w:t xml:space="preserve"> the policing task acts as a proxy for socio-demographic characteristics.</w:t>
      </w:r>
    </w:p>
  </w:footnote>
  <w:footnote w:id="134">
    <w:p w14:paraId="3D9CC02F" w14:textId="77777777" w:rsidR="00DA2092" w:rsidRDefault="00DA2092" w:rsidP="009E7F1B">
      <w:pPr>
        <w:pStyle w:val="FootnoteText"/>
      </w:pPr>
      <w:r>
        <w:rPr>
          <w:rStyle w:val="FootnoteReference"/>
        </w:rPr>
        <w:footnoteRef/>
      </w:r>
      <w:r>
        <w:t xml:space="preserve"> </w:t>
      </w:r>
      <w:r>
        <w:tab/>
        <w:t>Future acts can include exploration, mining, prospecting, building public infrastructure, tourist resorts, water licenses, some legislative changes and some lease renewals.</w:t>
      </w:r>
    </w:p>
  </w:footnote>
  <w:footnote w:id="135">
    <w:p w14:paraId="418598C7" w14:textId="77777777" w:rsidR="00DA2092" w:rsidRDefault="00DA2092" w:rsidP="009E7F1B">
      <w:pPr>
        <w:pStyle w:val="FootnoteText"/>
      </w:pPr>
      <w:r>
        <w:rPr>
          <w:rStyle w:val="FootnoteReference"/>
        </w:rPr>
        <w:footnoteRef/>
      </w:r>
      <w:r>
        <w:t xml:space="preserve"> </w:t>
      </w:r>
      <w:r>
        <w:tab/>
        <w:t xml:space="preserve">Australian Law Reform Commission. 2015. </w:t>
      </w:r>
      <w:hyperlink r:id="rId18" w:history="1">
        <w:r w:rsidRPr="00B478AB">
          <w:rPr>
            <w:rStyle w:val="Hyperlink"/>
          </w:rPr>
          <w:t>Land rights and native title in the states and territories</w:t>
        </w:r>
      </w:hyperlink>
      <w:r>
        <w:t>. (</w:t>
      </w:r>
      <w:r w:rsidRPr="00B478AB">
        <w:t>https://www.alrc.gov.au/publication/connection-to-country-review-of-the-native-title-act-1993-cth-alrc-report-126/3-context-for-reform/land-rights-and-native-title-in-the-states-and-territories/</w:t>
      </w:r>
      <w:r>
        <w:t xml:space="preserve">), [accessed 09/10/2019]. </w:t>
      </w:r>
    </w:p>
  </w:footnote>
  <w:footnote w:id="136">
    <w:p w14:paraId="3D42D718" w14:textId="4700073A" w:rsidR="00DA2092" w:rsidRPr="00AA5F1B" w:rsidRDefault="00DA2092" w:rsidP="009E7F1B">
      <w:pPr>
        <w:pStyle w:val="FootnoteText"/>
        <w:rPr>
          <w:lang w:val="en-US"/>
        </w:rPr>
      </w:pPr>
      <w:r>
        <w:rPr>
          <w:rStyle w:val="FootnoteReference"/>
        </w:rPr>
        <w:footnoteRef/>
      </w:r>
      <w:r>
        <w:t xml:space="preserve"> </w:t>
      </w:r>
      <w:r>
        <w:rPr>
          <w:lang w:val="en-US"/>
        </w:rPr>
        <w:tab/>
      </w:r>
      <w:r w:rsidRPr="00026FCE">
        <w:rPr>
          <w:lang w:val="en-US"/>
        </w:rPr>
        <w:t xml:space="preserve">High Court judgement (2019). Northern Territory v Mr A. Griffiths (deceased) and Lorraine Jones on behalf of the Ngaliwurru and Nungali Peoples [2019] HCA 7. </w:t>
      </w:r>
      <w:hyperlink r:id="rId19" w:history="1">
        <w:r w:rsidRPr="00026FCE">
          <w:rPr>
            <w:rStyle w:val="Hyperlink"/>
            <w:lang w:val="en-US"/>
          </w:rPr>
          <w:t>High Court website</w:t>
        </w:r>
      </w:hyperlink>
      <w:r w:rsidRPr="00026FCE">
        <w:rPr>
          <w:lang w:val="en-US"/>
        </w:rPr>
        <w:t>, (</w:t>
      </w:r>
      <w:hyperlink r:id="rId20" w:history="1">
        <w:r w:rsidR="006E7BB2" w:rsidRPr="00D66B3B">
          <w:rPr>
            <w:rStyle w:val="Hyperlink"/>
            <w:lang w:val="en-US"/>
          </w:rPr>
          <w:t>http://eresources.hcourt.gov.au/downloadPdf/2019/HCA/7</w:t>
        </w:r>
      </w:hyperlink>
      <w:r w:rsidRPr="00026FCE">
        <w:rPr>
          <w:lang w:val="en-US"/>
        </w:rPr>
        <w:t>),</w:t>
      </w:r>
      <w:r w:rsidR="006E7BB2">
        <w:rPr>
          <w:lang w:val="en-US"/>
        </w:rPr>
        <w:t xml:space="preserve"> [accessed </w:t>
      </w:r>
      <w:r w:rsidRPr="00026FCE">
        <w:rPr>
          <w:lang w:val="en-US"/>
        </w:rPr>
        <w:t xml:space="preserve"> 21/01/2020</w:t>
      </w:r>
      <w:r w:rsidR="006E7BB2">
        <w:rPr>
          <w:lang w:val="en-US"/>
        </w:rPr>
        <w:t>]</w:t>
      </w:r>
      <w:r w:rsidRPr="00026FCE">
        <w:rPr>
          <w:lang w:val="en-US"/>
        </w:rPr>
        <w:t>.</w:t>
      </w:r>
    </w:p>
  </w:footnote>
  <w:footnote w:id="137">
    <w:p w14:paraId="73D551B9" w14:textId="77777777" w:rsidR="00DA2092" w:rsidRDefault="00DA2092" w:rsidP="00DE37C1">
      <w:pPr>
        <w:pStyle w:val="FootnoteText"/>
      </w:pPr>
      <w:r>
        <w:rPr>
          <w:rStyle w:val="FootnoteReference"/>
        </w:rPr>
        <w:footnoteRef/>
      </w:r>
      <w:r>
        <w:t xml:space="preserve"> </w:t>
      </w:r>
      <w:r>
        <w:tab/>
        <w:t xml:space="preserve">ARIA+ is produced by the Hugo Centre for Migration and Population Research at the University of Adelaide (see </w:t>
      </w:r>
      <w:hyperlink r:id="rId21" w:history="1">
        <w:r>
          <w:rPr>
            <w:rStyle w:val="Hyperlink"/>
          </w:rPr>
          <w:t>https://www.adelaide.edu.au/hugo-centre/services/aria</w:t>
        </w:r>
      </w:hyperlink>
      <w:r>
        <w:t xml:space="preserve">). </w:t>
      </w:r>
    </w:p>
  </w:footnote>
  <w:footnote w:id="138">
    <w:p w14:paraId="59AD2822" w14:textId="77777777" w:rsidR="00DA2092" w:rsidRDefault="00DA2092" w:rsidP="00DE37C1">
      <w:pPr>
        <w:pStyle w:val="FootnoteText"/>
      </w:pPr>
      <w:r>
        <w:rPr>
          <w:rStyle w:val="FootnoteReference"/>
        </w:rPr>
        <w:footnoteRef/>
      </w:r>
      <w:r>
        <w:t xml:space="preserve"> </w:t>
      </w:r>
      <w:r>
        <w:tab/>
        <w:t xml:space="preserve">ABS, </w:t>
      </w:r>
      <w:r w:rsidRPr="001627D3">
        <w:rPr>
          <w:i/>
        </w:rPr>
        <w:t>Census o</w:t>
      </w:r>
      <w:r>
        <w:rPr>
          <w:i/>
        </w:rPr>
        <w:t>f Population and Housing: Socio</w:t>
      </w:r>
      <w:r>
        <w:rPr>
          <w:i/>
        </w:rPr>
        <w:noBreakHyphen/>
      </w:r>
      <w:r w:rsidRPr="001627D3">
        <w:rPr>
          <w:i/>
        </w:rPr>
        <w:t>E</w:t>
      </w:r>
      <w:r>
        <w:rPr>
          <w:i/>
        </w:rPr>
        <w:t>conomic Indexes for Areas</w:t>
      </w:r>
      <w:r w:rsidRPr="001627D3">
        <w:rPr>
          <w:i/>
        </w:rPr>
        <w:t xml:space="preserve">, </w:t>
      </w:r>
      <w:r w:rsidRPr="0061073D">
        <w:t>Australia</w:t>
      </w:r>
      <w:r>
        <w:rPr>
          <w:i/>
        </w:rPr>
        <w:t xml:space="preserve">, </w:t>
      </w:r>
      <w:r>
        <w:t>cat. n</w:t>
      </w:r>
      <w:r w:rsidRPr="00FE60CD">
        <w:t>o</w:t>
      </w:r>
      <w:r>
        <w:t>. 2033.0.55.001.</w:t>
      </w:r>
    </w:p>
  </w:footnote>
  <w:footnote w:id="139">
    <w:p w14:paraId="62E978FD" w14:textId="77777777" w:rsidR="00DA2092" w:rsidRPr="00262FF5" w:rsidRDefault="00DA2092" w:rsidP="00DE37C1">
      <w:pPr>
        <w:pStyle w:val="FootnoteText"/>
        <w:rPr>
          <w:color w:val="0000FF"/>
          <w:u w:val="single"/>
        </w:rPr>
      </w:pPr>
      <w:r>
        <w:rPr>
          <w:rStyle w:val="FootnoteReference"/>
        </w:rPr>
        <w:footnoteRef/>
      </w:r>
      <w:r>
        <w:t xml:space="preserve"> </w:t>
      </w:r>
      <w:r>
        <w:tab/>
      </w:r>
      <w:r w:rsidRPr="00583604">
        <w:t xml:space="preserve">IRSEO was developed by the </w:t>
      </w:r>
      <w:r w:rsidRPr="00262FF5">
        <w:t>Centre for Aboriginal Economic and Policy Research</w:t>
      </w:r>
      <w:r w:rsidRPr="00583604">
        <w:t xml:space="preserve"> (</w:t>
      </w:r>
      <w:r>
        <w:t xml:space="preserve">see the </w:t>
      </w:r>
      <w:hyperlink r:id="rId22" w:history="1">
        <w:r w:rsidRPr="00262FF5">
          <w:rPr>
            <w:rStyle w:val="Hyperlink"/>
          </w:rPr>
          <w:t>CAEPR website</w:t>
        </w:r>
      </w:hyperlink>
      <w:r>
        <w:t xml:space="preserve">, </w:t>
      </w:r>
      <w:r w:rsidRPr="00155BAD">
        <w:t>http://caepr.cass.anu.edu.au</w:t>
      </w:r>
      <w:r w:rsidRPr="00583604">
        <w:t xml:space="preserve">), at </w:t>
      </w:r>
      <w:r>
        <w:t>the Australian National University.</w:t>
      </w:r>
    </w:p>
  </w:footnote>
  <w:footnote w:id="140">
    <w:p w14:paraId="31D37D8B" w14:textId="19C589E7" w:rsidR="00DA2092" w:rsidRDefault="00DA2092" w:rsidP="00DE37C1">
      <w:pPr>
        <w:pStyle w:val="FootnoteText"/>
      </w:pPr>
      <w:r>
        <w:rPr>
          <w:rStyle w:val="FootnoteReference"/>
        </w:rPr>
        <w:footnoteRef/>
      </w:r>
      <w:r>
        <w:t xml:space="preserve"> </w:t>
      </w:r>
      <w:r>
        <w:tab/>
      </w:r>
      <w:r w:rsidRPr="00611D86">
        <w:t xml:space="preserve">The Significant Urban Area (SUA) structure of the Australian </w:t>
      </w:r>
      <w:r>
        <w:t>Statistical Geography Standard</w:t>
      </w:r>
      <w:r w:rsidRPr="00611D86">
        <w:t xml:space="preserve"> </w:t>
      </w:r>
      <w:r w:rsidR="00727B60">
        <w:t xml:space="preserve">mostly </w:t>
      </w:r>
      <w:r w:rsidRPr="00611D86">
        <w:t>represents significant towns and cities of 10</w:t>
      </w:r>
      <w:r w:rsidR="00DB6AFC">
        <w:t>,</w:t>
      </w:r>
      <w:r w:rsidRPr="00611D86">
        <w:t>000 people or more.</w:t>
      </w:r>
      <w:r w:rsidRPr="008229D3">
        <w:t xml:space="preserve"> A single SUA can represent either a single </w:t>
      </w:r>
      <w:r w:rsidR="00937ED2">
        <w:t>u</w:t>
      </w:r>
      <w:r w:rsidRPr="008229D3">
        <w:t xml:space="preserve">rban </w:t>
      </w:r>
      <w:r w:rsidR="00937ED2">
        <w:t>c</w:t>
      </w:r>
      <w:r w:rsidRPr="008229D3">
        <w:t xml:space="preserve">entre or a cluster of related </w:t>
      </w:r>
      <w:r w:rsidR="00D438B5">
        <w:t>u</w:t>
      </w:r>
      <w:r w:rsidRPr="008229D3">
        <w:t xml:space="preserve">rban </w:t>
      </w:r>
      <w:r w:rsidR="00D438B5">
        <w:t>c</w:t>
      </w:r>
      <w:r w:rsidRPr="008229D3">
        <w:t>entres. </w:t>
      </w:r>
    </w:p>
  </w:footnote>
  <w:footnote w:id="141">
    <w:p w14:paraId="19840C19" w14:textId="77777777" w:rsidR="00DA2092" w:rsidRDefault="00DA2092" w:rsidP="00DE37C1">
      <w:pPr>
        <w:pStyle w:val="FootnoteText"/>
      </w:pPr>
      <w:r>
        <w:rPr>
          <w:rStyle w:val="FootnoteReference"/>
        </w:rPr>
        <w:footnoteRef/>
      </w:r>
      <w:r>
        <w:t xml:space="preserve"> </w:t>
      </w:r>
      <w:r>
        <w:tab/>
        <w:t xml:space="preserve">Mesh blocks are the smallest geographic region in the Australian Statistical Geography Standard and the smallest </w:t>
      </w:r>
      <w:r w:rsidRPr="00616EC6">
        <w:t>geographical</w:t>
      </w:r>
      <w:r>
        <w:t xml:space="preserve"> unit for which Census data are available.</w:t>
      </w:r>
    </w:p>
  </w:footnote>
  <w:footnote w:id="142">
    <w:p w14:paraId="7CD8E2D2" w14:textId="77777777" w:rsidR="00DA2092" w:rsidRDefault="00DA2092" w:rsidP="008A64D8">
      <w:pPr>
        <w:pStyle w:val="FootnoteText"/>
      </w:pPr>
      <w:r>
        <w:rPr>
          <w:rStyle w:val="FootnoteReference"/>
        </w:rPr>
        <w:footnoteRef/>
      </w:r>
      <w:r>
        <w:tab/>
      </w:r>
      <w:r>
        <w:rPr>
          <w:szCs w:val="24"/>
        </w:rPr>
        <w:t>H</w:t>
      </w:r>
      <w:r w:rsidRPr="001B1681">
        <w:rPr>
          <w:szCs w:val="24"/>
        </w:rPr>
        <w:t>ousing and urban transport services provided by PNFCs have strong similarities to the services provided by general government agencies. They are not fully commercial and depend on government funds to meet recurrent expenses and investment, the services stem from social policy objectives, and governments make the major policies on service delivery and charges.</w:t>
      </w:r>
    </w:p>
  </w:footnote>
  <w:footnote w:id="143">
    <w:p w14:paraId="27828B73" w14:textId="77777777" w:rsidR="00DA2092" w:rsidRPr="00802763" w:rsidRDefault="00DA2092" w:rsidP="008A64D8">
      <w:pPr>
        <w:pStyle w:val="FootnoteText"/>
        <w:rPr>
          <w:lang w:val="en-US"/>
        </w:rPr>
      </w:pPr>
      <w:r>
        <w:rPr>
          <w:rStyle w:val="FootnoteReference"/>
        </w:rPr>
        <w:footnoteRef/>
      </w:r>
      <w:r>
        <w:tab/>
      </w:r>
      <w:r>
        <w:rPr>
          <w:lang w:val="en-US"/>
        </w:rPr>
        <w:t>Some non-State spending affect the amount States need to spend. The Schools and Health assessments recognise the influence of non</w:t>
      </w:r>
      <w:r>
        <w:rPr>
          <w:lang w:val="en-US"/>
        </w:rPr>
        <w:noBreakHyphen/>
        <w:t>State sector spending.</w:t>
      </w:r>
    </w:p>
  </w:footnote>
  <w:footnote w:id="144">
    <w:p w14:paraId="562C89AD" w14:textId="77777777" w:rsidR="00DA2092" w:rsidRDefault="00DA2092" w:rsidP="008A64D8">
      <w:pPr>
        <w:pStyle w:val="FootnoteText"/>
      </w:pPr>
      <w:r>
        <w:rPr>
          <w:rStyle w:val="FootnoteReference"/>
        </w:rPr>
        <w:footnoteRef/>
      </w:r>
      <w:r>
        <w:tab/>
        <w:t xml:space="preserve">Refer to ABS catalogue 5514.0 </w:t>
      </w:r>
      <w:r>
        <w:rPr>
          <w:i/>
        </w:rPr>
        <w:t xml:space="preserve">Australian System of Government Finance Statistics: Concepts, Sources and Methods 2015 </w:t>
      </w:r>
      <w:r>
        <w:t>for details of GFS concepts and definition of GFS codes.</w:t>
      </w:r>
    </w:p>
  </w:footnote>
  <w:footnote w:id="145">
    <w:p w14:paraId="66208567" w14:textId="2A03944A" w:rsidR="00DA2092" w:rsidRPr="000252FB" w:rsidRDefault="00DA2092">
      <w:pPr>
        <w:pStyle w:val="FootnoteText"/>
        <w:rPr>
          <w:lang w:val="en-US"/>
        </w:rPr>
      </w:pPr>
      <w:r>
        <w:rPr>
          <w:rStyle w:val="FootnoteReference"/>
        </w:rPr>
        <w:footnoteRef/>
      </w:r>
      <w:r>
        <w:t xml:space="preserve"> </w:t>
      </w:r>
      <w:r>
        <w:rPr>
          <w:lang w:val="en-US"/>
        </w:rPr>
        <w:tab/>
        <w:t xml:space="preserve">From 2021-22 the </w:t>
      </w:r>
      <w:r w:rsidR="00426446">
        <w:rPr>
          <w:lang w:val="en-US"/>
        </w:rPr>
        <w:t>horizontal fiscal equalisation (</w:t>
      </w:r>
      <w:r>
        <w:rPr>
          <w:lang w:val="en-US"/>
        </w:rPr>
        <w:t>HFE</w:t>
      </w:r>
      <w:r w:rsidR="00426446">
        <w:rPr>
          <w:lang w:val="en-US"/>
        </w:rPr>
        <w:t>)</w:t>
      </w:r>
      <w:r>
        <w:rPr>
          <w:lang w:val="en-US"/>
        </w:rPr>
        <w:t xml:space="preserve"> system in Australia will begin to transition from the current arrangements to new arrangements that will ensure State have the capacity to provide services at the standard of New South Wales or Victoria, whichever is higher.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5161D"/>
    <w:multiLevelType w:val="hybridMultilevel"/>
    <w:tmpl w:val="522261EA"/>
    <w:lvl w:ilvl="0" w:tplc="2B7CBD9E">
      <w:start w:val="1"/>
      <w:numFmt w:val="lowerRoman"/>
      <w:pStyle w:val="CGCBullet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412F81"/>
    <w:multiLevelType w:val="hybridMultilevel"/>
    <w:tmpl w:val="3FC6F610"/>
    <w:lvl w:ilvl="0" w:tplc="4CE8D1C6">
      <w:start w:val="1"/>
      <w:numFmt w:val="decimal"/>
      <w:pStyle w:val="CGCPara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D26DAF"/>
    <w:multiLevelType w:val="hybridMultilevel"/>
    <w:tmpl w:val="F5F0C490"/>
    <w:lvl w:ilvl="0" w:tplc="BCDE1334">
      <w:start w:val="1"/>
      <w:numFmt w:val="lowerLetter"/>
      <w:lvlText w:val="(%1)"/>
      <w:lvlJc w:val="left"/>
      <w:pPr>
        <w:ind w:left="563" w:hanging="45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 w15:restartNumberingAfterBreak="0">
    <w:nsid w:val="153D7BB4"/>
    <w:multiLevelType w:val="multilevel"/>
    <w:tmpl w:val="410E2C24"/>
    <w:lvl w:ilvl="0">
      <w:start w:val="1"/>
      <w:numFmt w:val="decimal"/>
      <w:suff w:val="space"/>
      <w:lvlText w:val="Chapter %1"/>
      <w:lvlJc w:val="left"/>
      <w:pPr>
        <w:ind w:left="0" w:firstLine="0"/>
      </w:pPr>
      <w:rPr>
        <w:rFonts w:hint="default"/>
      </w:rPr>
    </w:lvl>
    <w:lvl w:ilvl="1">
      <w:start w:val="1"/>
      <w:numFmt w:val="decimal"/>
      <w:pStyle w:val="CGCNumberedPara"/>
      <w:lvlText w:val="%2"/>
      <w:lvlJc w:val="left"/>
      <w:pPr>
        <w:tabs>
          <w:tab w:val="num" w:pos="567"/>
        </w:tabs>
        <w:ind w:left="567" w:hanging="567"/>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15BF05D3"/>
    <w:multiLevelType w:val="hybridMultilevel"/>
    <w:tmpl w:val="BDDC239A"/>
    <w:lvl w:ilvl="0" w:tplc="51BAAD84">
      <w:start w:val="1"/>
      <w:numFmt w:val="bullet"/>
      <w:lvlText w:val=""/>
      <w:lvlJc w:val="left"/>
      <w:pPr>
        <w:ind w:left="720" w:hanging="360"/>
      </w:pPr>
      <w:rPr>
        <w:rFonts w:ascii="Symbol" w:hAnsi="Symbol" w:hint="default"/>
        <w:b/>
        <w:color w:val="5CA5C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E71B9C"/>
    <w:multiLevelType w:val="hybridMultilevel"/>
    <w:tmpl w:val="46B88E1E"/>
    <w:lvl w:ilvl="0" w:tplc="CA885F44">
      <w:start w:val="1"/>
      <w:numFmt w:val="bullet"/>
      <w:pStyle w:val="CGCBullet1"/>
      <w:lvlText w:val=""/>
      <w:lvlJc w:val="left"/>
      <w:pPr>
        <w:ind w:left="720" w:hanging="360"/>
      </w:pPr>
      <w:rPr>
        <w:rFonts w:ascii="Symbol" w:hAnsi="Symbol" w:hint="default"/>
        <w:color w:val="5CA5C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366174"/>
    <w:multiLevelType w:val="hybridMultilevel"/>
    <w:tmpl w:val="7CCAC6D2"/>
    <w:lvl w:ilvl="0" w:tplc="1224541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7" w15:restartNumberingAfterBreak="0">
    <w:nsid w:val="207B3FD2"/>
    <w:multiLevelType w:val="hybridMultilevel"/>
    <w:tmpl w:val="FAC01AA4"/>
    <w:lvl w:ilvl="0" w:tplc="5C64D3B6">
      <w:start w:val="1"/>
      <w:numFmt w:val="bullet"/>
      <w:lvlText w:val=""/>
      <w:lvlJc w:val="left"/>
      <w:pPr>
        <w:ind w:left="927" w:hanging="360"/>
      </w:pPr>
      <w:rPr>
        <w:rFonts w:ascii="Symbol" w:hAnsi="Symbol" w:hint="default"/>
        <w:color w:val="5CA5C2"/>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22AF3A2E"/>
    <w:multiLevelType w:val="multilevel"/>
    <w:tmpl w:val="CA8C0118"/>
    <w:lvl w:ilvl="0">
      <w:start w:val="1"/>
      <w:numFmt w:val="none"/>
      <w:lvlText w:val="%1."/>
      <w:lvlJc w:val="left"/>
      <w:pPr>
        <w:tabs>
          <w:tab w:val="num" w:pos="0"/>
        </w:tabs>
        <w:ind w:left="0" w:firstLine="0"/>
      </w:pPr>
      <w:rPr>
        <w:rFonts w:hint="default"/>
      </w:rPr>
    </w:lvl>
    <w:lvl w:ilvl="1">
      <w:start w:val="1"/>
      <w:numFmt w:val="none"/>
      <w:lvlText w:val="%2"/>
      <w:lvlJc w:val="left"/>
      <w:pPr>
        <w:tabs>
          <w:tab w:val="num" w:pos="720"/>
        </w:tabs>
        <w:ind w:left="720" w:firstLine="0"/>
      </w:pPr>
      <w:rPr>
        <w:rFonts w:hint="default"/>
      </w:rPr>
    </w:lvl>
    <w:lvl w:ilvl="2">
      <w:start w:val="1"/>
      <w:numFmt w:val="none"/>
      <w:lvlText w:val="%3"/>
      <w:lvlJc w:val="left"/>
      <w:pPr>
        <w:tabs>
          <w:tab w:val="num" w:pos="0"/>
        </w:tabs>
        <w:ind w:left="0" w:firstLine="0"/>
      </w:pPr>
      <w:rPr>
        <w:rFonts w:hint="default"/>
      </w:rPr>
    </w:lvl>
    <w:lvl w:ilvl="3">
      <w:start w:val="1"/>
      <w:numFmt w:val="none"/>
      <w:lvlText w:val="%4)"/>
      <w:lvlJc w:val="left"/>
      <w:pPr>
        <w:tabs>
          <w:tab w:val="num" w:pos="2160"/>
        </w:tabs>
        <w:ind w:left="2160" w:firstLine="0"/>
      </w:pPr>
      <w:rPr>
        <w:rFonts w:hint="default"/>
      </w:rPr>
    </w:lvl>
    <w:lvl w:ilvl="4">
      <w:start w:val="1"/>
      <w:numFmt w:val="none"/>
      <w:lvlText w:val="(%5)"/>
      <w:lvlJc w:val="left"/>
      <w:pPr>
        <w:tabs>
          <w:tab w:val="num" w:pos="288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9" w15:restartNumberingAfterBreak="0">
    <w:nsid w:val="2F59330E"/>
    <w:multiLevelType w:val="hybridMultilevel"/>
    <w:tmpl w:val="3F7255F4"/>
    <w:lvl w:ilvl="0" w:tplc="703295B8">
      <w:start w:val="1"/>
      <w:numFmt w:val="lowerLetter"/>
      <w:lvlText w:val="(%1)"/>
      <w:lvlJc w:val="left"/>
      <w:pPr>
        <w:ind w:left="563" w:hanging="45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0" w15:restartNumberingAfterBreak="0">
    <w:nsid w:val="2FAB60DE"/>
    <w:multiLevelType w:val="hybridMultilevel"/>
    <w:tmpl w:val="2E54A224"/>
    <w:lvl w:ilvl="0" w:tplc="2850F54C">
      <w:start w:val="1"/>
      <w:numFmt w:val="decimal"/>
      <w:pStyle w:val="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17A6023"/>
    <w:multiLevelType w:val="hybridMultilevel"/>
    <w:tmpl w:val="1262912E"/>
    <w:lvl w:ilvl="0" w:tplc="9B9083DC">
      <w:start w:val="1"/>
      <w:numFmt w:val="lowerRoman"/>
      <w:pStyle w:val="CGCNumeralList"/>
      <w:lvlText w:val="%1"/>
      <w:lvlJc w:val="left"/>
      <w:pPr>
        <w:ind w:left="20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C695806"/>
    <w:multiLevelType w:val="hybridMultilevel"/>
    <w:tmpl w:val="CE7E6260"/>
    <w:lvl w:ilvl="0" w:tplc="18DABF56">
      <w:start w:val="1"/>
      <w:numFmt w:val="lowerLetter"/>
      <w:lvlText w:val="(%1)"/>
      <w:lvlJc w:val="left"/>
      <w:pPr>
        <w:ind w:left="563" w:hanging="45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3" w15:restartNumberingAfterBreak="0">
    <w:nsid w:val="41755A0B"/>
    <w:multiLevelType w:val="hybridMultilevel"/>
    <w:tmpl w:val="4ADC5AF2"/>
    <w:lvl w:ilvl="0" w:tplc="B4ACBAB0">
      <w:start w:val="1"/>
      <w:numFmt w:val="decimal"/>
      <w:pStyle w:val="21para"/>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414042A"/>
    <w:multiLevelType w:val="hybridMultilevel"/>
    <w:tmpl w:val="AD7E5FC6"/>
    <w:lvl w:ilvl="0" w:tplc="1BD4E5E8">
      <w:start w:val="1"/>
      <w:numFmt w:val="lowerLetter"/>
      <w:lvlText w:val="(%1)"/>
      <w:lvlJc w:val="left"/>
      <w:pPr>
        <w:ind w:left="473" w:hanging="360"/>
      </w:pPr>
      <w:rPr>
        <w:rFonts w:hint="default"/>
      </w:rPr>
    </w:lvl>
    <w:lvl w:ilvl="1" w:tplc="0C090019">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5" w15:restartNumberingAfterBreak="0">
    <w:nsid w:val="4B2939A1"/>
    <w:multiLevelType w:val="hybridMultilevel"/>
    <w:tmpl w:val="7E0644A6"/>
    <w:lvl w:ilvl="0" w:tplc="A72CF2B4">
      <w:start w:val="1"/>
      <w:numFmt w:val="lowerLetter"/>
      <w:lvlText w:val="(%1)"/>
      <w:lvlJc w:val="left"/>
      <w:pPr>
        <w:ind w:left="2379" w:hanging="450"/>
      </w:pPr>
      <w:rPr>
        <w:rFonts w:hint="default"/>
      </w:rPr>
    </w:lvl>
    <w:lvl w:ilvl="1" w:tplc="0C090019" w:tentative="1">
      <w:start w:val="1"/>
      <w:numFmt w:val="lowerLetter"/>
      <w:lvlText w:val="%2."/>
      <w:lvlJc w:val="left"/>
      <w:pPr>
        <w:ind w:left="3009" w:hanging="360"/>
      </w:pPr>
    </w:lvl>
    <w:lvl w:ilvl="2" w:tplc="0C09001B" w:tentative="1">
      <w:start w:val="1"/>
      <w:numFmt w:val="lowerRoman"/>
      <w:lvlText w:val="%3."/>
      <w:lvlJc w:val="right"/>
      <w:pPr>
        <w:ind w:left="3729" w:hanging="180"/>
      </w:pPr>
    </w:lvl>
    <w:lvl w:ilvl="3" w:tplc="0C09000F" w:tentative="1">
      <w:start w:val="1"/>
      <w:numFmt w:val="decimal"/>
      <w:lvlText w:val="%4."/>
      <w:lvlJc w:val="left"/>
      <w:pPr>
        <w:ind w:left="4449" w:hanging="360"/>
      </w:pPr>
    </w:lvl>
    <w:lvl w:ilvl="4" w:tplc="0C090019" w:tentative="1">
      <w:start w:val="1"/>
      <w:numFmt w:val="lowerLetter"/>
      <w:lvlText w:val="%5."/>
      <w:lvlJc w:val="left"/>
      <w:pPr>
        <w:ind w:left="5169" w:hanging="360"/>
      </w:pPr>
    </w:lvl>
    <w:lvl w:ilvl="5" w:tplc="0C09001B" w:tentative="1">
      <w:start w:val="1"/>
      <w:numFmt w:val="lowerRoman"/>
      <w:lvlText w:val="%6."/>
      <w:lvlJc w:val="right"/>
      <w:pPr>
        <w:ind w:left="5889" w:hanging="180"/>
      </w:pPr>
    </w:lvl>
    <w:lvl w:ilvl="6" w:tplc="0C09000F" w:tentative="1">
      <w:start w:val="1"/>
      <w:numFmt w:val="decimal"/>
      <w:lvlText w:val="%7."/>
      <w:lvlJc w:val="left"/>
      <w:pPr>
        <w:ind w:left="6609" w:hanging="360"/>
      </w:pPr>
    </w:lvl>
    <w:lvl w:ilvl="7" w:tplc="0C090019" w:tentative="1">
      <w:start w:val="1"/>
      <w:numFmt w:val="lowerLetter"/>
      <w:lvlText w:val="%8."/>
      <w:lvlJc w:val="left"/>
      <w:pPr>
        <w:ind w:left="7329" w:hanging="360"/>
      </w:pPr>
    </w:lvl>
    <w:lvl w:ilvl="8" w:tplc="0C09001B" w:tentative="1">
      <w:start w:val="1"/>
      <w:numFmt w:val="lowerRoman"/>
      <w:lvlText w:val="%9."/>
      <w:lvlJc w:val="right"/>
      <w:pPr>
        <w:ind w:left="8049" w:hanging="180"/>
      </w:pPr>
    </w:lvl>
  </w:abstractNum>
  <w:abstractNum w:abstractNumId="16" w15:restartNumberingAfterBreak="0">
    <w:nsid w:val="4C0F2BBA"/>
    <w:multiLevelType w:val="hybridMultilevel"/>
    <w:tmpl w:val="7F06A084"/>
    <w:lvl w:ilvl="0" w:tplc="AA42385C">
      <w:start w:val="1"/>
      <w:numFmt w:val="bullet"/>
      <w:pStyle w:val="CGCBullet2"/>
      <w:lvlText w:val=""/>
      <w:lvlJc w:val="left"/>
      <w:pPr>
        <w:ind w:left="720" w:hanging="360"/>
      </w:pPr>
      <w:rPr>
        <w:rFonts w:ascii="Symbol" w:hAnsi="Symbol" w:hint="default"/>
        <w:b/>
        <w:color w:val="5CA5C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CDF4199"/>
    <w:multiLevelType w:val="hybridMultilevel"/>
    <w:tmpl w:val="99062688"/>
    <w:lvl w:ilvl="0" w:tplc="F3F48994">
      <w:start w:val="1"/>
      <w:numFmt w:val="bullet"/>
      <w:pStyle w:val="CGCQuotationBullet"/>
      <w:lvlText w:val=""/>
      <w:lvlJc w:val="left"/>
      <w:pPr>
        <w:tabs>
          <w:tab w:val="num" w:pos="1701"/>
        </w:tabs>
        <w:ind w:left="1701" w:hanging="567"/>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6C3B89"/>
    <w:multiLevelType w:val="hybridMultilevel"/>
    <w:tmpl w:val="B9EC2D44"/>
    <w:lvl w:ilvl="0" w:tplc="E9D66950">
      <w:start w:val="1"/>
      <w:numFmt w:val="lowerLetter"/>
      <w:lvlText w:val="(%1)"/>
      <w:lvlJc w:val="left"/>
      <w:pPr>
        <w:ind w:left="473" w:hanging="360"/>
      </w:pPr>
      <w:rPr>
        <w:rFonts w:ascii="Open Sans Light" w:eastAsiaTheme="minorHAnsi" w:hAnsi="Open Sans Light" w:cstheme="minorBidi"/>
      </w:rPr>
    </w:lvl>
    <w:lvl w:ilvl="1" w:tplc="0C090019">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9" w15:restartNumberingAfterBreak="0">
    <w:nsid w:val="4F4B3120"/>
    <w:multiLevelType w:val="multilevel"/>
    <w:tmpl w:val="BC48D116"/>
    <w:styleLink w:val="Style1"/>
    <w:lvl w:ilvl="0">
      <w:start w:val="5"/>
      <w:numFmt w:val="decimal"/>
      <w:lvlText w:val="%1"/>
      <w:lvlJc w:val="left"/>
      <w:pPr>
        <w:tabs>
          <w:tab w:val="num" w:pos="567"/>
        </w:tabs>
        <w:ind w:left="0" w:firstLine="0"/>
      </w:pPr>
      <w:rPr>
        <w:rFonts w:ascii="Montserrat Ultra Light" w:hAnsi="Montserrat Ultra Light" w:hint="default"/>
        <w:caps w:val="0"/>
        <w:strike w:val="0"/>
        <w:dstrike w:val="0"/>
        <w:vanish w:val="0"/>
        <w:color w:val="004563"/>
        <w:sz w:val="56"/>
        <w:vertAlign w:val="baseline"/>
      </w:rPr>
    </w:lvl>
    <w:lvl w:ilvl="1">
      <w:start w:val="1"/>
      <w:numFmt w:val="decimal"/>
      <w:lvlText w:val="%1.%2"/>
      <w:lvlJc w:val="left"/>
      <w:pPr>
        <w:ind w:left="680"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994564B"/>
    <w:multiLevelType w:val="hybridMultilevel"/>
    <w:tmpl w:val="891EABD6"/>
    <w:lvl w:ilvl="0" w:tplc="B1D2768E">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1" w15:restartNumberingAfterBreak="0">
    <w:nsid w:val="5C4C1608"/>
    <w:multiLevelType w:val="hybridMultilevel"/>
    <w:tmpl w:val="326CE22C"/>
    <w:lvl w:ilvl="0" w:tplc="703883D0">
      <w:start w:val="1"/>
      <w:numFmt w:val="lowerLetter"/>
      <w:lvlText w:val="(%1)"/>
      <w:lvlJc w:val="left"/>
      <w:pPr>
        <w:ind w:left="563" w:hanging="45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2" w15:restartNumberingAfterBreak="0">
    <w:nsid w:val="66B56961"/>
    <w:multiLevelType w:val="hybridMultilevel"/>
    <w:tmpl w:val="EC0A00E0"/>
    <w:lvl w:ilvl="0" w:tplc="8A0205E8">
      <w:start w:val="1"/>
      <w:numFmt w:val="bullet"/>
      <w:pStyle w:val="CGCQuoteBullet"/>
      <w:lvlText w:val=""/>
      <w:lvlJc w:val="left"/>
      <w:pPr>
        <w:ind w:left="1741" w:hanging="360"/>
      </w:pPr>
      <w:rPr>
        <w:rFonts w:ascii="Symbol" w:hAnsi="Symbol" w:hint="default"/>
        <w:color w:val="5CA5C2"/>
      </w:rPr>
    </w:lvl>
    <w:lvl w:ilvl="1" w:tplc="0C090003" w:tentative="1">
      <w:start w:val="1"/>
      <w:numFmt w:val="bullet"/>
      <w:lvlText w:val="o"/>
      <w:lvlJc w:val="left"/>
      <w:pPr>
        <w:ind w:left="2461" w:hanging="360"/>
      </w:pPr>
      <w:rPr>
        <w:rFonts w:ascii="Courier New" w:hAnsi="Courier New" w:cs="Courier New" w:hint="default"/>
      </w:rPr>
    </w:lvl>
    <w:lvl w:ilvl="2" w:tplc="0C090005" w:tentative="1">
      <w:start w:val="1"/>
      <w:numFmt w:val="bullet"/>
      <w:lvlText w:val=""/>
      <w:lvlJc w:val="left"/>
      <w:pPr>
        <w:ind w:left="3181" w:hanging="360"/>
      </w:pPr>
      <w:rPr>
        <w:rFonts w:ascii="Wingdings" w:hAnsi="Wingdings" w:hint="default"/>
      </w:rPr>
    </w:lvl>
    <w:lvl w:ilvl="3" w:tplc="0C090001" w:tentative="1">
      <w:start w:val="1"/>
      <w:numFmt w:val="bullet"/>
      <w:lvlText w:val=""/>
      <w:lvlJc w:val="left"/>
      <w:pPr>
        <w:ind w:left="3901" w:hanging="360"/>
      </w:pPr>
      <w:rPr>
        <w:rFonts w:ascii="Symbol" w:hAnsi="Symbol" w:hint="default"/>
      </w:rPr>
    </w:lvl>
    <w:lvl w:ilvl="4" w:tplc="0C090003" w:tentative="1">
      <w:start w:val="1"/>
      <w:numFmt w:val="bullet"/>
      <w:lvlText w:val="o"/>
      <w:lvlJc w:val="left"/>
      <w:pPr>
        <w:ind w:left="4621" w:hanging="360"/>
      </w:pPr>
      <w:rPr>
        <w:rFonts w:ascii="Courier New" w:hAnsi="Courier New" w:cs="Courier New" w:hint="default"/>
      </w:rPr>
    </w:lvl>
    <w:lvl w:ilvl="5" w:tplc="0C090005" w:tentative="1">
      <w:start w:val="1"/>
      <w:numFmt w:val="bullet"/>
      <w:lvlText w:val=""/>
      <w:lvlJc w:val="left"/>
      <w:pPr>
        <w:ind w:left="5341" w:hanging="360"/>
      </w:pPr>
      <w:rPr>
        <w:rFonts w:ascii="Wingdings" w:hAnsi="Wingdings" w:hint="default"/>
      </w:rPr>
    </w:lvl>
    <w:lvl w:ilvl="6" w:tplc="0C090001" w:tentative="1">
      <w:start w:val="1"/>
      <w:numFmt w:val="bullet"/>
      <w:lvlText w:val=""/>
      <w:lvlJc w:val="left"/>
      <w:pPr>
        <w:ind w:left="6061" w:hanging="360"/>
      </w:pPr>
      <w:rPr>
        <w:rFonts w:ascii="Symbol" w:hAnsi="Symbol" w:hint="default"/>
      </w:rPr>
    </w:lvl>
    <w:lvl w:ilvl="7" w:tplc="0C090003" w:tentative="1">
      <w:start w:val="1"/>
      <w:numFmt w:val="bullet"/>
      <w:lvlText w:val="o"/>
      <w:lvlJc w:val="left"/>
      <w:pPr>
        <w:ind w:left="6781" w:hanging="360"/>
      </w:pPr>
      <w:rPr>
        <w:rFonts w:ascii="Courier New" w:hAnsi="Courier New" w:cs="Courier New" w:hint="default"/>
      </w:rPr>
    </w:lvl>
    <w:lvl w:ilvl="8" w:tplc="0C090005" w:tentative="1">
      <w:start w:val="1"/>
      <w:numFmt w:val="bullet"/>
      <w:lvlText w:val=""/>
      <w:lvlJc w:val="left"/>
      <w:pPr>
        <w:ind w:left="7501" w:hanging="360"/>
      </w:pPr>
      <w:rPr>
        <w:rFonts w:ascii="Wingdings" w:hAnsi="Wingdings" w:hint="default"/>
      </w:rPr>
    </w:lvl>
  </w:abstractNum>
  <w:abstractNum w:abstractNumId="23" w15:restartNumberingAfterBreak="0">
    <w:nsid w:val="6D517EA6"/>
    <w:multiLevelType w:val="multilevel"/>
    <w:tmpl w:val="8CEE0058"/>
    <w:lvl w:ilvl="0">
      <w:start w:val="1"/>
      <w:numFmt w:val="bullet"/>
      <w:pStyle w:val="CGCBulletlist"/>
      <w:lvlText w:val=""/>
      <w:lvlJc w:val="left"/>
      <w:pPr>
        <w:tabs>
          <w:tab w:val="num" w:pos="927"/>
        </w:tabs>
        <w:ind w:left="927" w:hanging="360"/>
      </w:pPr>
      <w:rPr>
        <w:rFonts w:ascii="Symbol" w:hAnsi="Symbol" w:hint="default"/>
      </w:rPr>
    </w:lvl>
    <w:lvl w:ilvl="1">
      <w:start w:val="1"/>
      <w:numFmt w:val="lowerLetter"/>
      <w:lvlText w:val="%2)"/>
      <w:lvlJc w:val="left"/>
      <w:pPr>
        <w:tabs>
          <w:tab w:val="num" w:pos="1593"/>
        </w:tabs>
        <w:ind w:left="1593" w:hanging="360"/>
      </w:pPr>
      <w:rPr>
        <w:rFonts w:hint="default"/>
      </w:rPr>
    </w:lvl>
    <w:lvl w:ilvl="2">
      <w:start w:val="1"/>
      <w:numFmt w:val="lowerRoman"/>
      <w:lvlText w:val="%3)"/>
      <w:lvlJc w:val="left"/>
      <w:pPr>
        <w:tabs>
          <w:tab w:val="num" w:pos="1953"/>
        </w:tabs>
        <w:ind w:left="1953" w:hanging="360"/>
      </w:pPr>
      <w:rPr>
        <w:rFonts w:hint="default"/>
      </w:rPr>
    </w:lvl>
    <w:lvl w:ilvl="3">
      <w:start w:val="1"/>
      <w:numFmt w:val="decimal"/>
      <w:lvlText w:val="(%4)"/>
      <w:lvlJc w:val="left"/>
      <w:pPr>
        <w:tabs>
          <w:tab w:val="num" w:pos="2313"/>
        </w:tabs>
        <w:ind w:left="2313" w:hanging="360"/>
      </w:pPr>
      <w:rPr>
        <w:rFonts w:hint="default"/>
      </w:rPr>
    </w:lvl>
    <w:lvl w:ilvl="4">
      <w:start w:val="1"/>
      <w:numFmt w:val="lowerLetter"/>
      <w:lvlText w:val="(%5)"/>
      <w:lvlJc w:val="left"/>
      <w:pPr>
        <w:tabs>
          <w:tab w:val="num" w:pos="2673"/>
        </w:tabs>
        <w:ind w:left="2673" w:hanging="360"/>
      </w:pPr>
      <w:rPr>
        <w:rFonts w:hint="default"/>
      </w:rPr>
    </w:lvl>
    <w:lvl w:ilvl="5">
      <w:start w:val="1"/>
      <w:numFmt w:val="lowerRoman"/>
      <w:lvlText w:val="(%6)"/>
      <w:lvlJc w:val="left"/>
      <w:pPr>
        <w:tabs>
          <w:tab w:val="num" w:pos="3033"/>
        </w:tabs>
        <w:ind w:left="3033" w:hanging="360"/>
      </w:pPr>
      <w:rPr>
        <w:rFonts w:hint="default"/>
      </w:rPr>
    </w:lvl>
    <w:lvl w:ilvl="6">
      <w:start w:val="1"/>
      <w:numFmt w:val="decimal"/>
      <w:lvlText w:val="%7."/>
      <w:lvlJc w:val="left"/>
      <w:pPr>
        <w:tabs>
          <w:tab w:val="num" w:pos="3393"/>
        </w:tabs>
        <w:ind w:left="3393" w:hanging="360"/>
      </w:pPr>
      <w:rPr>
        <w:rFonts w:hint="default"/>
      </w:rPr>
    </w:lvl>
    <w:lvl w:ilvl="7">
      <w:start w:val="1"/>
      <w:numFmt w:val="lowerLetter"/>
      <w:lvlText w:val="%8."/>
      <w:lvlJc w:val="left"/>
      <w:pPr>
        <w:tabs>
          <w:tab w:val="num" w:pos="3753"/>
        </w:tabs>
        <w:ind w:left="3753" w:hanging="360"/>
      </w:pPr>
      <w:rPr>
        <w:rFonts w:hint="default"/>
      </w:rPr>
    </w:lvl>
    <w:lvl w:ilvl="8">
      <w:start w:val="1"/>
      <w:numFmt w:val="lowerRoman"/>
      <w:lvlText w:val="%9."/>
      <w:lvlJc w:val="left"/>
      <w:pPr>
        <w:tabs>
          <w:tab w:val="num" w:pos="4113"/>
        </w:tabs>
        <w:ind w:left="4113" w:hanging="360"/>
      </w:pPr>
      <w:rPr>
        <w:rFonts w:hint="default"/>
      </w:rPr>
    </w:lvl>
  </w:abstractNum>
  <w:abstractNum w:abstractNumId="24" w15:restartNumberingAfterBreak="0">
    <w:nsid w:val="76305F81"/>
    <w:multiLevelType w:val="multilevel"/>
    <w:tmpl w:val="995CE05C"/>
    <w:lvl w:ilvl="0">
      <w:start w:val="19"/>
      <w:numFmt w:val="decimal"/>
      <w:lvlText w:val="%1"/>
      <w:lvlJc w:val="left"/>
      <w:pPr>
        <w:tabs>
          <w:tab w:val="num" w:pos="567"/>
        </w:tabs>
        <w:ind w:left="0" w:firstLine="0"/>
      </w:pPr>
      <w:rPr>
        <w:rFonts w:ascii="Montserrat Ultra Light" w:hAnsi="Montserrat Ultra Light" w:hint="default"/>
        <w:caps w:val="0"/>
        <w:strike w:val="0"/>
        <w:dstrike w:val="0"/>
        <w:vanish w:val="0"/>
        <w:color w:val="004563"/>
        <w:sz w:val="56"/>
        <w:vertAlign w:val="baseline"/>
      </w:rPr>
    </w:lvl>
    <w:lvl w:ilvl="1">
      <w:start w:val="1"/>
      <w:numFmt w:val="decimal"/>
      <w:lvlText w:val="%1.%2"/>
      <w:lvlJc w:val="left"/>
      <w:pPr>
        <w:ind w:left="680"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7D62F87"/>
    <w:multiLevelType w:val="hybridMultilevel"/>
    <w:tmpl w:val="E332B1EE"/>
    <w:lvl w:ilvl="0" w:tplc="7898E74C">
      <w:start w:val="1"/>
      <w:numFmt w:val="bullet"/>
      <w:pStyle w:val="Publicationtitle3"/>
      <w:lvlText w:val=""/>
      <w:lvlJc w:val="left"/>
      <w:pPr>
        <w:tabs>
          <w:tab w:val="num" w:pos="927"/>
        </w:tabs>
        <w:ind w:left="1134" w:firstLine="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5"/>
  </w:num>
  <w:num w:numId="3">
    <w:abstractNumId w:val="4"/>
  </w:num>
  <w:num w:numId="4">
    <w:abstractNumId w:val="0"/>
  </w:num>
  <w:num w:numId="5">
    <w:abstractNumId w:val="22"/>
  </w:num>
  <w:num w:numId="6">
    <w:abstractNumId w:val="17"/>
  </w:num>
  <w:num w:numId="7">
    <w:abstractNumId w:val="19"/>
  </w:num>
  <w:num w:numId="8">
    <w:abstractNumId w:val="16"/>
  </w:num>
  <w:num w:numId="9">
    <w:abstractNumId w:val="3"/>
  </w:num>
  <w:num w:numId="10">
    <w:abstractNumId w:val="25"/>
  </w:num>
  <w:num w:numId="11">
    <w:abstractNumId w:val="12"/>
  </w:num>
  <w:num w:numId="12">
    <w:abstractNumId w:val="21"/>
  </w:num>
  <w:num w:numId="13">
    <w:abstractNumId w:val="23"/>
  </w:num>
  <w:num w:numId="14">
    <w:abstractNumId w:val="11"/>
  </w:num>
  <w:num w:numId="15">
    <w:abstractNumId w:val="20"/>
  </w:num>
  <w:num w:numId="16">
    <w:abstractNumId w:val="9"/>
  </w:num>
  <w:num w:numId="17">
    <w:abstractNumId w:val="14"/>
  </w:num>
  <w:num w:numId="18">
    <w:abstractNumId w:val="7"/>
  </w:num>
  <w:num w:numId="19">
    <w:abstractNumId w:val="24"/>
  </w:num>
  <w:num w:numId="20">
    <w:abstractNumId w:val="10"/>
  </w:num>
  <w:num w:numId="21">
    <w:abstractNumId w:val="18"/>
  </w:num>
  <w:num w:numId="22">
    <w:abstractNumId w:val="15"/>
  </w:num>
  <w:num w:numId="23">
    <w:abstractNumId w:val="2"/>
  </w:num>
  <w:num w:numId="24">
    <w:abstractNumId w:val="13"/>
  </w:num>
  <w:num w:numId="25">
    <w:abstractNumId w:val="1"/>
  </w:num>
  <w:num w:numId="26">
    <w:abstractNumId w:val="1"/>
    <w:lvlOverride w:ilvl="0">
      <w:startOverride w:val="1"/>
    </w:lvlOverride>
  </w:num>
  <w:num w:numId="27">
    <w:abstractNumId w:val="1"/>
    <w:lvlOverride w:ilvl="0">
      <w:startOverride w:val="1"/>
    </w:lvlOverride>
  </w:num>
  <w:num w:numId="28">
    <w:abstractNumId w:val="1"/>
    <w:lvlOverride w:ilvl="0">
      <w:startOverride w:val="1"/>
    </w:lvlOverride>
  </w:num>
  <w:num w:numId="29">
    <w:abstractNumId w:val="1"/>
    <w:lvlOverride w:ilvl="0">
      <w:startOverride w:val="1"/>
    </w:lvlOverride>
  </w:num>
  <w:num w:numId="30">
    <w:abstractNumId w:val="1"/>
    <w:lvlOverride w:ilvl="0">
      <w:startOverride w:val="1"/>
    </w:lvlOverride>
  </w:num>
  <w:num w:numId="31">
    <w:abstractNumId w:val="1"/>
    <w:lvlOverride w:ilvl="0">
      <w:startOverride w:val="1"/>
    </w:lvlOverride>
  </w:num>
  <w:num w:numId="32">
    <w:abstractNumId w:val="1"/>
    <w:lvlOverride w:ilvl="0">
      <w:startOverride w:val="1"/>
    </w:lvlOverride>
  </w:num>
  <w:num w:numId="33">
    <w:abstractNumId w:val="1"/>
    <w:lvlOverride w:ilvl="0">
      <w:startOverride w:val="1"/>
    </w:lvlOverride>
  </w:num>
  <w:num w:numId="34">
    <w:abstractNumId w:val="1"/>
    <w:lvlOverride w:ilvl="0">
      <w:startOverride w:val="1"/>
    </w:lvlOverride>
  </w:num>
  <w:num w:numId="35">
    <w:abstractNumId w:val="1"/>
    <w:lvlOverride w:ilvl="0">
      <w:startOverride w:val="1"/>
    </w:lvlOverride>
  </w:num>
  <w:num w:numId="36">
    <w:abstractNumId w:val="1"/>
    <w:lvlOverride w:ilvl="0">
      <w:startOverride w:val="1"/>
    </w:lvlOverride>
  </w:num>
  <w:num w:numId="37">
    <w:abstractNumId w:val="1"/>
    <w:lvlOverride w:ilvl="0">
      <w:startOverride w:val="1"/>
    </w:lvlOverride>
  </w:num>
  <w:num w:numId="38">
    <w:abstractNumId w:val="1"/>
    <w:lvlOverride w:ilvl="0">
      <w:startOverride w:val="1"/>
    </w:lvlOverride>
  </w:num>
  <w:num w:numId="39">
    <w:abstractNumId w:val="1"/>
    <w:lvlOverride w:ilvl="0">
      <w:startOverride w:val="1"/>
    </w:lvlOverride>
  </w:num>
  <w:num w:numId="40">
    <w:abstractNumId w:val="1"/>
    <w:lvlOverride w:ilvl="0">
      <w:startOverride w:val="1"/>
    </w:lvlOverride>
  </w:num>
  <w:num w:numId="41">
    <w:abstractNumId w:val="1"/>
    <w:lvlOverride w:ilvl="0">
      <w:startOverride w:val="1"/>
    </w:lvlOverride>
  </w:num>
  <w:num w:numId="42">
    <w:abstractNumId w:val="1"/>
    <w:lvlOverride w:ilvl="0">
      <w:startOverride w:val="1"/>
    </w:lvlOverride>
  </w:num>
  <w:num w:numId="43">
    <w:abstractNumId w:val="1"/>
    <w:lvlOverride w:ilvl="0">
      <w:startOverride w:val="1"/>
    </w:lvlOverride>
  </w:num>
  <w:num w:numId="44">
    <w:abstractNumId w:val="1"/>
    <w:lvlOverride w:ilvl="0">
      <w:startOverride w:val="1"/>
    </w:lvlOverride>
  </w:num>
  <w:num w:numId="45">
    <w:abstractNumId w:val="1"/>
    <w:lvlOverride w:ilvl="0">
      <w:startOverride w:val="1"/>
    </w:lvlOverride>
  </w:num>
  <w:num w:numId="46">
    <w:abstractNumId w:val="1"/>
    <w:lvlOverride w:ilvl="0">
      <w:startOverride w:val="1"/>
    </w:lvlOverride>
  </w:num>
  <w:num w:numId="47">
    <w:abstractNumId w:val="1"/>
    <w:lvlOverride w:ilvl="0">
      <w:startOverride w:val="1"/>
    </w:lvlOverride>
  </w:num>
  <w:num w:numId="48">
    <w:abstractNumId w:val="1"/>
    <w:lvlOverride w:ilvl="0">
      <w:startOverride w:val="1"/>
    </w:lvlOverride>
  </w:num>
  <w:num w:numId="49">
    <w:abstractNumId w:val="1"/>
    <w:lvlOverride w:ilvl="0">
      <w:startOverride w:val="1"/>
    </w:lvlOverride>
  </w:num>
  <w:num w:numId="50">
    <w:abstractNumId w:val="1"/>
    <w:lvlOverride w:ilvl="0">
      <w:startOverride w:val="1"/>
    </w:lvlOverride>
  </w:num>
  <w:num w:numId="51">
    <w:abstractNumId w:val="1"/>
    <w:lvlOverride w:ilvl="0">
      <w:startOverride w:val="1"/>
    </w:lvlOverride>
  </w:num>
  <w:num w:numId="52">
    <w:abstractNumId w:val="1"/>
    <w:lvlOverride w:ilvl="0">
      <w:startOverride w:val="1"/>
    </w:lvlOverride>
  </w:num>
  <w:num w:numId="53">
    <w:abstractNumId w:val="1"/>
    <w:lvlOverride w:ilvl="0">
      <w:startOverride w:val="1"/>
    </w:lvlOverride>
  </w:num>
  <w:num w:numId="54">
    <w:abstractNumId w:val="1"/>
    <w:lvlOverride w:ilvl="0">
      <w:startOverride w:val="1"/>
    </w:lvlOverride>
  </w:num>
  <w:num w:numId="55">
    <w:abstractNumId w:val="1"/>
    <w:lvlOverride w:ilvl="0">
      <w:startOverride w:val="1"/>
    </w:lvlOverride>
  </w:num>
  <w:num w:numId="56">
    <w:abstractNumId w:val="1"/>
    <w:lvlOverride w:ilvl="0">
      <w:startOverride w:val="1"/>
    </w:lvlOverride>
  </w:num>
  <w:num w:numId="57">
    <w:abstractNumId w:val="6"/>
  </w:num>
  <w:num w:numId="58">
    <w:abstractNumId w:val="1"/>
    <w:lvlOverride w:ilvl="0">
      <w:startOverride w:val="1"/>
    </w:lvlOverride>
  </w:num>
  <w:num w:numId="59">
    <w:abstractNumId w:val="1"/>
    <w:lvlOverride w:ilvl="0">
      <w:startOverride w:val="1"/>
    </w:lvlOverride>
  </w:num>
  <w:num w:numId="60">
    <w:abstractNumId w:val="1"/>
    <w:lvlOverride w:ilvl="0">
      <w:startOverride w:val="1"/>
    </w:lvlOverride>
  </w:num>
  <w:num w:numId="61">
    <w:abstractNumId w:val="1"/>
    <w:lvlOverride w:ilvl="0">
      <w:startOverride w:val="1"/>
    </w:lvlOverride>
  </w:num>
  <w:num w:numId="62">
    <w:abstractNumId w:val="1"/>
    <w:lvlOverride w:ilvl="0">
      <w:startOverride w:val="1"/>
    </w:lvlOverride>
  </w:num>
  <w:num w:numId="63">
    <w:abstractNumId w:val="1"/>
    <w:lvlOverride w:ilvl="0">
      <w:startOverride w:val="1"/>
    </w:lvlOverride>
  </w:num>
  <w:num w:numId="64">
    <w:abstractNumId w:val="5"/>
  </w:num>
  <w:num w:numId="65">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57"/>
  <w:drawingGridVerticalSpacing w:val="57"/>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32D88"/>
    <w:rsid w:val="00000717"/>
    <w:rsid w:val="00010763"/>
    <w:rsid w:val="00011803"/>
    <w:rsid w:val="0001330F"/>
    <w:rsid w:val="000138D8"/>
    <w:rsid w:val="00013962"/>
    <w:rsid w:val="000142CB"/>
    <w:rsid w:val="00014595"/>
    <w:rsid w:val="00014A95"/>
    <w:rsid w:val="00016FE0"/>
    <w:rsid w:val="00021A0A"/>
    <w:rsid w:val="000220F7"/>
    <w:rsid w:val="00022414"/>
    <w:rsid w:val="00022EA9"/>
    <w:rsid w:val="0002387B"/>
    <w:rsid w:val="00024745"/>
    <w:rsid w:val="00025199"/>
    <w:rsid w:val="000252FB"/>
    <w:rsid w:val="00026C24"/>
    <w:rsid w:val="00030CC7"/>
    <w:rsid w:val="00032129"/>
    <w:rsid w:val="000325CE"/>
    <w:rsid w:val="00032F41"/>
    <w:rsid w:val="00033B01"/>
    <w:rsid w:val="00034946"/>
    <w:rsid w:val="000368C6"/>
    <w:rsid w:val="0004123E"/>
    <w:rsid w:val="00041748"/>
    <w:rsid w:val="00041E84"/>
    <w:rsid w:val="000424EA"/>
    <w:rsid w:val="0004262A"/>
    <w:rsid w:val="00043B6E"/>
    <w:rsid w:val="0004444B"/>
    <w:rsid w:val="00045708"/>
    <w:rsid w:val="00045DCF"/>
    <w:rsid w:val="00050100"/>
    <w:rsid w:val="00050F3E"/>
    <w:rsid w:val="000524E8"/>
    <w:rsid w:val="0005271E"/>
    <w:rsid w:val="00052F92"/>
    <w:rsid w:val="000530C4"/>
    <w:rsid w:val="00053918"/>
    <w:rsid w:val="00055189"/>
    <w:rsid w:val="00056373"/>
    <w:rsid w:val="00056BA9"/>
    <w:rsid w:val="00056CD5"/>
    <w:rsid w:val="00060CCA"/>
    <w:rsid w:val="00061111"/>
    <w:rsid w:val="000624BB"/>
    <w:rsid w:val="000648E8"/>
    <w:rsid w:val="00065ED3"/>
    <w:rsid w:val="000666ED"/>
    <w:rsid w:val="0007081A"/>
    <w:rsid w:val="00071D1A"/>
    <w:rsid w:val="000737F1"/>
    <w:rsid w:val="000738A4"/>
    <w:rsid w:val="00073C8B"/>
    <w:rsid w:val="00074E69"/>
    <w:rsid w:val="000765E5"/>
    <w:rsid w:val="00082EA1"/>
    <w:rsid w:val="00082F18"/>
    <w:rsid w:val="00083AEA"/>
    <w:rsid w:val="00083F2B"/>
    <w:rsid w:val="00084D64"/>
    <w:rsid w:val="00086021"/>
    <w:rsid w:val="00086149"/>
    <w:rsid w:val="00087ACF"/>
    <w:rsid w:val="00090A59"/>
    <w:rsid w:val="00091984"/>
    <w:rsid w:val="00092834"/>
    <w:rsid w:val="00093796"/>
    <w:rsid w:val="0009548D"/>
    <w:rsid w:val="00095B8D"/>
    <w:rsid w:val="000962F1"/>
    <w:rsid w:val="000A0CBC"/>
    <w:rsid w:val="000A2DF9"/>
    <w:rsid w:val="000A2F32"/>
    <w:rsid w:val="000A3898"/>
    <w:rsid w:val="000A4835"/>
    <w:rsid w:val="000A52A1"/>
    <w:rsid w:val="000A68B7"/>
    <w:rsid w:val="000A6E8E"/>
    <w:rsid w:val="000A7DCE"/>
    <w:rsid w:val="000B075A"/>
    <w:rsid w:val="000B2942"/>
    <w:rsid w:val="000B3557"/>
    <w:rsid w:val="000B368E"/>
    <w:rsid w:val="000B4840"/>
    <w:rsid w:val="000B4B8B"/>
    <w:rsid w:val="000B6281"/>
    <w:rsid w:val="000B64E3"/>
    <w:rsid w:val="000B69D3"/>
    <w:rsid w:val="000B7EBF"/>
    <w:rsid w:val="000C0095"/>
    <w:rsid w:val="000C017A"/>
    <w:rsid w:val="000C0AB8"/>
    <w:rsid w:val="000C1EDB"/>
    <w:rsid w:val="000C2D88"/>
    <w:rsid w:val="000C3268"/>
    <w:rsid w:val="000D1354"/>
    <w:rsid w:val="000D2211"/>
    <w:rsid w:val="000D2FFE"/>
    <w:rsid w:val="000D391B"/>
    <w:rsid w:val="000D3930"/>
    <w:rsid w:val="000D45E4"/>
    <w:rsid w:val="000D5BA9"/>
    <w:rsid w:val="000D717D"/>
    <w:rsid w:val="000D7C54"/>
    <w:rsid w:val="000E0210"/>
    <w:rsid w:val="000E1520"/>
    <w:rsid w:val="000E1C74"/>
    <w:rsid w:val="000E3228"/>
    <w:rsid w:val="000E3BE3"/>
    <w:rsid w:val="000E4313"/>
    <w:rsid w:val="000E469A"/>
    <w:rsid w:val="000E4EE3"/>
    <w:rsid w:val="000E6AA5"/>
    <w:rsid w:val="000E6E1E"/>
    <w:rsid w:val="000E6E5D"/>
    <w:rsid w:val="000E7071"/>
    <w:rsid w:val="000E7489"/>
    <w:rsid w:val="000E7CF2"/>
    <w:rsid w:val="000E7F48"/>
    <w:rsid w:val="000E7F56"/>
    <w:rsid w:val="000F034A"/>
    <w:rsid w:val="000F0663"/>
    <w:rsid w:val="000F11A7"/>
    <w:rsid w:val="000F1291"/>
    <w:rsid w:val="000F1CDA"/>
    <w:rsid w:val="000F2801"/>
    <w:rsid w:val="000F3401"/>
    <w:rsid w:val="000F3EFA"/>
    <w:rsid w:val="000F3F48"/>
    <w:rsid w:val="000F6008"/>
    <w:rsid w:val="000F74F6"/>
    <w:rsid w:val="0010029A"/>
    <w:rsid w:val="00102E06"/>
    <w:rsid w:val="0010343E"/>
    <w:rsid w:val="001035F8"/>
    <w:rsid w:val="001039C2"/>
    <w:rsid w:val="001040AD"/>
    <w:rsid w:val="0010636A"/>
    <w:rsid w:val="00106CBA"/>
    <w:rsid w:val="0011178C"/>
    <w:rsid w:val="0011192A"/>
    <w:rsid w:val="00112CF0"/>
    <w:rsid w:val="00115073"/>
    <w:rsid w:val="00116D98"/>
    <w:rsid w:val="00117EE8"/>
    <w:rsid w:val="00120942"/>
    <w:rsid w:val="001211AB"/>
    <w:rsid w:val="00121576"/>
    <w:rsid w:val="001218B8"/>
    <w:rsid w:val="001242DE"/>
    <w:rsid w:val="00124ED1"/>
    <w:rsid w:val="001252EA"/>
    <w:rsid w:val="0012740F"/>
    <w:rsid w:val="00131C97"/>
    <w:rsid w:val="00132546"/>
    <w:rsid w:val="00133A09"/>
    <w:rsid w:val="001361B4"/>
    <w:rsid w:val="001361D4"/>
    <w:rsid w:val="00136497"/>
    <w:rsid w:val="00141BD1"/>
    <w:rsid w:val="00141F86"/>
    <w:rsid w:val="00144088"/>
    <w:rsid w:val="001442B9"/>
    <w:rsid w:val="00147115"/>
    <w:rsid w:val="001477CE"/>
    <w:rsid w:val="00150BED"/>
    <w:rsid w:val="001510E9"/>
    <w:rsid w:val="00151B8E"/>
    <w:rsid w:val="00152D8D"/>
    <w:rsid w:val="00152FED"/>
    <w:rsid w:val="00153E26"/>
    <w:rsid w:val="0015764B"/>
    <w:rsid w:val="00160443"/>
    <w:rsid w:val="00160AAE"/>
    <w:rsid w:val="00161EFB"/>
    <w:rsid w:val="00162296"/>
    <w:rsid w:val="00164381"/>
    <w:rsid w:val="00164610"/>
    <w:rsid w:val="0016711A"/>
    <w:rsid w:val="0016723A"/>
    <w:rsid w:val="00167BA9"/>
    <w:rsid w:val="00170413"/>
    <w:rsid w:val="00171A05"/>
    <w:rsid w:val="00172DFB"/>
    <w:rsid w:val="00172F3A"/>
    <w:rsid w:val="001730FD"/>
    <w:rsid w:val="00173798"/>
    <w:rsid w:val="00173BE6"/>
    <w:rsid w:val="00173E72"/>
    <w:rsid w:val="00174DEB"/>
    <w:rsid w:val="00174EB4"/>
    <w:rsid w:val="00176671"/>
    <w:rsid w:val="00180656"/>
    <w:rsid w:val="001807C0"/>
    <w:rsid w:val="001811DE"/>
    <w:rsid w:val="00181B5C"/>
    <w:rsid w:val="00181CD4"/>
    <w:rsid w:val="00181E8E"/>
    <w:rsid w:val="001820DE"/>
    <w:rsid w:val="00182917"/>
    <w:rsid w:val="00184C6F"/>
    <w:rsid w:val="00185104"/>
    <w:rsid w:val="001854B8"/>
    <w:rsid w:val="00186A2D"/>
    <w:rsid w:val="00186F95"/>
    <w:rsid w:val="00186F99"/>
    <w:rsid w:val="00187145"/>
    <w:rsid w:val="001900D6"/>
    <w:rsid w:val="00190713"/>
    <w:rsid w:val="001909B9"/>
    <w:rsid w:val="00191FF3"/>
    <w:rsid w:val="00195ED8"/>
    <w:rsid w:val="001961EE"/>
    <w:rsid w:val="001A0AE7"/>
    <w:rsid w:val="001A11B5"/>
    <w:rsid w:val="001A1B02"/>
    <w:rsid w:val="001A269B"/>
    <w:rsid w:val="001A3DDC"/>
    <w:rsid w:val="001A44EF"/>
    <w:rsid w:val="001A643F"/>
    <w:rsid w:val="001A6FCF"/>
    <w:rsid w:val="001A7149"/>
    <w:rsid w:val="001A722D"/>
    <w:rsid w:val="001A75B5"/>
    <w:rsid w:val="001A768F"/>
    <w:rsid w:val="001B0110"/>
    <w:rsid w:val="001B07C4"/>
    <w:rsid w:val="001B0A67"/>
    <w:rsid w:val="001B1E12"/>
    <w:rsid w:val="001B22BE"/>
    <w:rsid w:val="001B2E89"/>
    <w:rsid w:val="001B3048"/>
    <w:rsid w:val="001B4802"/>
    <w:rsid w:val="001B52DA"/>
    <w:rsid w:val="001B551B"/>
    <w:rsid w:val="001B696E"/>
    <w:rsid w:val="001B6A56"/>
    <w:rsid w:val="001C19FF"/>
    <w:rsid w:val="001C2A80"/>
    <w:rsid w:val="001C2F4B"/>
    <w:rsid w:val="001C32E3"/>
    <w:rsid w:val="001C3B6B"/>
    <w:rsid w:val="001C469B"/>
    <w:rsid w:val="001C493E"/>
    <w:rsid w:val="001C52ED"/>
    <w:rsid w:val="001C52FB"/>
    <w:rsid w:val="001C6A71"/>
    <w:rsid w:val="001C6E0C"/>
    <w:rsid w:val="001C7C27"/>
    <w:rsid w:val="001D3D81"/>
    <w:rsid w:val="001D40A9"/>
    <w:rsid w:val="001D638B"/>
    <w:rsid w:val="001D6DFA"/>
    <w:rsid w:val="001D7D37"/>
    <w:rsid w:val="001D7F9E"/>
    <w:rsid w:val="001E23F6"/>
    <w:rsid w:val="001E2808"/>
    <w:rsid w:val="001E4257"/>
    <w:rsid w:val="001E6180"/>
    <w:rsid w:val="001E674B"/>
    <w:rsid w:val="001E68FC"/>
    <w:rsid w:val="001E6D2D"/>
    <w:rsid w:val="001E7321"/>
    <w:rsid w:val="001E7910"/>
    <w:rsid w:val="001F0D4B"/>
    <w:rsid w:val="001F23A4"/>
    <w:rsid w:val="001F3562"/>
    <w:rsid w:val="001F5650"/>
    <w:rsid w:val="001F5B1E"/>
    <w:rsid w:val="001F619D"/>
    <w:rsid w:val="001F7B4D"/>
    <w:rsid w:val="002003B4"/>
    <w:rsid w:val="002006C5"/>
    <w:rsid w:val="00201B3A"/>
    <w:rsid w:val="00204026"/>
    <w:rsid w:val="0020460C"/>
    <w:rsid w:val="00204D79"/>
    <w:rsid w:val="0021165C"/>
    <w:rsid w:val="00212948"/>
    <w:rsid w:val="00213059"/>
    <w:rsid w:val="00214BDA"/>
    <w:rsid w:val="00217839"/>
    <w:rsid w:val="00221FA5"/>
    <w:rsid w:val="00222C8D"/>
    <w:rsid w:val="00224B9F"/>
    <w:rsid w:val="0022563B"/>
    <w:rsid w:val="00225A3B"/>
    <w:rsid w:val="00225C25"/>
    <w:rsid w:val="00225FE7"/>
    <w:rsid w:val="002269A1"/>
    <w:rsid w:val="00226D0E"/>
    <w:rsid w:val="00226E8B"/>
    <w:rsid w:val="00227449"/>
    <w:rsid w:val="0023081D"/>
    <w:rsid w:val="002317AB"/>
    <w:rsid w:val="00231801"/>
    <w:rsid w:val="0023329C"/>
    <w:rsid w:val="0023368E"/>
    <w:rsid w:val="002347E8"/>
    <w:rsid w:val="00234BCA"/>
    <w:rsid w:val="00236DC0"/>
    <w:rsid w:val="002373A2"/>
    <w:rsid w:val="00240F79"/>
    <w:rsid w:val="00242517"/>
    <w:rsid w:val="0024260B"/>
    <w:rsid w:val="0024401F"/>
    <w:rsid w:val="0024569B"/>
    <w:rsid w:val="00250CBF"/>
    <w:rsid w:val="0025435D"/>
    <w:rsid w:val="002545A3"/>
    <w:rsid w:val="00255634"/>
    <w:rsid w:val="00255B5A"/>
    <w:rsid w:val="0025791A"/>
    <w:rsid w:val="00257A79"/>
    <w:rsid w:val="00257D23"/>
    <w:rsid w:val="00260FCB"/>
    <w:rsid w:val="00261ED1"/>
    <w:rsid w:val="002620AB"/>
    <w:rsid w:val="002628B9"/>
    <w:rsid w:val="00262B2F"/>
    <w:rsid w:val="002637E5"/>
    <w:rsid w:val="00263E8A"/>
    <w:rsid w:val="00264A5E"/>
    <w:rsid w:val="00265641"/>
    <w:rsid w:val="002656F8"/>
    <w:rsid w:val="002659C0"/>
    <w:rsid w:val="002664D3"/>
    <w:rsid w:val="002671A2"/>
    <w:rsid w:val="002673D5"/>
    <w:rsid w:val="00267496"/>
    <w:rsid w:val="0027346B"/>
    <w:rsid w:val="00274CC9"/>
    <w:rsid w:val="00275B51"/>
    <w:rsid w:val="00275B68"/>
    <w:rsid w:val="0027754C"/>
    <w:rsid w:val="002821BC"/>
    <w:rsid w:val="002845EA"/>
    <w:rsid w:val="00286029"/>
    <w:rsid w:val="002860AD"/>
    <w:rsid w:val="00286468"/>
    <w:rsid w:val="00286EBE"/>
    <w:rsid w:val="0028745B"/>
    <w:rsid w:val="002904B0"/>
    <w:rsid w:val="00290E41"/>
    <w:rsid w:val="00291879"/>
    <w:rsid w:val="0029206F"/>
    <w:rsid w:val="00292101"/>
    <w:rsid w:val="00293226"/>
    <w:rsid w:val="002943B4"/>
    <w:rsid w:val="00294A7B"/>
    <w:rsid w:val="00294EE2"/>
    <w:rsid w:val="0029545C"/>
    <w:rsid w:val="00295B70"/>
    <w:rsid w:val="00296010"/>
    <w:rsid w:val="0029700A"/>
    <w:rsid w:val="002971F8"/>
    <w:rsid w:val="002A1D3B"/>
    <w:rsid w:val="002A2A08"/>
    <w:rsid w:val="002A2D93"/>
    <w:rsid w:val="002A3A7C"/>
    <w:rsid w:val="002A44DE"/>
    <w:rsid w:val="002A4E42"/>
    <w:rsid w:val="002A64D4"/>
    <w:rsid w:val="002A69C9"/>
    <w:rsid w:val="002A77C3"/>
    <w:rsid w:val="002B103B"/>
    <w:rsid w:val="002B10B0"/>
    <w:rsid w:val="002B1214"/>
    <w:rsid w:val="002B169C"/>
    <w:rsid w:val="002B397D"/>
    <w:rsid w:val="002B42AD"/>
    <w:rsid w:val="002B605C"/>
    <w:rsid w:val="002B66F7"/>
    <w:rsid w:val="002B6A16"/>
    <w:rsid w:val="002B6C32"/>
    <w:rsid w:val="002B6EFD"/>
    <w:rsid w:val="002B6F33"/>
    <w:rsid w:val="002B6F49"/>
    <w:rsid w:val="002B77C5"/>
    <w:rsid w:val="002B79F0"/>
    <w:rsid w:val="002B7F3E"/>
    <w:rsid w:val="002C020B"/>
    <w:rsid w:val="002C1D9C"/>
    <w:rsid w:val="002C2784"/>
    <w:rsid w:val="002C366F"/>
    <w:rsid w:val="002C481C"/>
    <w:rsid w:val="002C4CA9"/>
    <w:rsid w:val="002C6DD2"/>
    <w:rsid w:val="002D077E"/>
    <w:rsid w:val="002D2270"/>
    <w:rsid w:val="002D3FE2"/>
    <w:rsid w:val="002E01A3"/>
    <w:rsid w:val="002E1D25"/>
    <w:rsid w:val="002E1E49"/>
    <w:rsid w:val="002E25A8"/>
    <w:rsid w:val="002E3D5C"/>
    <w:rsid w:val="002E5196"/>
    <w:rsid w:val="002E6C20"/>
    <w:rsid w:val="002E7BA0"/>
    <w:rsid w:val="002E7D60"/>
    <w:rsid w:val="002F04DE"/>
    <w:rsid w:val="002F1C83"/>
    <w:rsid w:val="002F1CD3"/>
    <w:rsid w:val="002F1EBD"/>
    <w:rsid w:val="002F2D0B"/>
    <w:rsid w:val="002F48A5"/>
    <w:rsid w:val="002F5580"/>
    <w:rsid w:val="002F5BC2"/>
    <w:rsid w:val="002F66AE"/>
    <w:rsid w:val="002F68BA"/>
    <w:rsid w:val="002F6B80"/>
    <w:rsid w:val="002F6E28"/>
    <w:rsid w:val="002F7E68"/>
    <w:rsid w:val="00301FF4"/>
    <w:rsid w:val="00302E5E"/>
    <w:rsid w:val="003050D5"/>
    <w:rsid w:val="00305F0D"/>
    <w:rsid w:val="00306B5D"/>
    <w:rsid w:val="0030714C"/>
    <w:rsid w:val="00307400"/>
    <w:rsid w:val="00307DEF"/>
    <w:rsid w:val="00310570"/>
    <w:rsid w:val="00310C81"/>
    <w:rsid w:val="003118E1"/>
    <w:rsid w:val="00311D33"/>
    <w:rsid w:val="00313664"/>
    <w:rsid w:val="00314F90"/>
    <w:rsid w:val="003158FD"/>
    <w:rsid w:val="0032107C"/>
    <w:rsid w:val="00321166"/>
    <w:rsid w:val="0032133E"/>
    <w:rsid w:val="00326175"/>
    <w:rsid w:val="00326655"/>
    <w:rsid w:val="003309F8"/>
    <w:rsid w:val="0033102E"/>
    <w:rsid w:val="00331145"/>
    <w:rsid w:val="00331401"/>
    <w:rsid w:val="0033239F"/>
    <w:rsid w:val="00333234"/>
    <w:rsid w:val="00335ED1"/>
    <w:rsid w:val="00336990"/>
    <w:rsid w:val="003371F9"/>
    <w:rsid w:val="00337EF8"/>
    <w:rsid w:val="00341919"/>
    <w:rsid w:val="00342452"/>
    <w:rsid w:val="00342A60"/>
    <w:rsid w:val="0034379D"/>
    <w:rsid w:val="0034481C"/>
    <w:rsid w:val="00345273"/>
    <w:rsid w:val="0034646D"/>
    <w:rsid w:val="00346AC9"/>
    <w:rsid w:val="00347BE5"/>
    <w:rsid w:val="00350159"/>
    <w:rsid w:val="003504E3"/>
    <w:rsid w:val="003522E0"/>
    <w:rsid w:val="0035267F"/>
    <w:rsid w:val="00354C94"/>
    <w:rsid w:val="003555FB"/>
    <w:rsid w:val="0035580D"/>
    <w:rsid w:val="0035621D"/>
    <w:rsid w:val="003568B5"/>
    <w:rsid w:val="00357236"/>
    <w:rsid w:val="0035797F"/>
    <w:rsid w:val="00357D9B"/>
    <w:rsid w:val="00362E42"/>
    <w:rsid w:val="003639FB"/>
    <w:rsid w:val="00363BF7"/>
    <w:rsid w:val="00363D8B"/>
    <w:rsid w:val="00363F69"/>
    <w:rsid w:val="00364D8A"/>
    <w:rsid w:val="00364DB3"/>
    <w:rsid w:val="003656A8"/>
    <w:rsid w:val="00370F1A"/>
    <w:rsid w:val="00371DA8"/>
    <w:rsid w:val="0037203A"/>
    <w:rsid w:val="003724D5"/>
    <w:rsid w:val="00375257"/>
    <w:rsid w:val="00375DEF"/>
    <w:rsid w:val="00377126"/>
    <w:rsid w:val="00377BDB"/>
    <w:rsid w:val="00380587"/>
    <w:rsid w:val="003820E1"/>
    <w:rsid w:val="00382AE5"/>
    <w:rsid w:val="00383A27"/>
    <w:rsid w:val="00384291"/>
    <w:rsid w:val="00385038"/>
    <w:rsid w:val="0038561A"/>
    <w:rsid w:val="003859B4"/>
    <w:rsid w:val="0038610D"/>
    <w:rsid w:val="00386700"/>
    <w:rsid w:val="0039062C"/>
    <w:rsid w:val="00390C8E"/>
    <w:rsid w:val="003914FE"/>
    <w:rsid w:val="003916EF"/>
    <w:rsid w:val="00391889"/>
    <w:rsid w:val="003929D2"/>
    <w:rsid w:val="00392C04"/>
    <w:rsid w:val="00393AE0"/>
    <w:rsid w:val="00393FA5"/>
    <w:rsid w:val="00396680"/>
    <w:rsid w:val="003967FD"/>
    <w:rsid w:val="003A1817"/>
    <w:rsid w:val="003A22B8"/>
    <w:rsid w:val="003A27BB"/>
    <w:rsid w:val="003A2CDE"/>
    <w:rsid w:val="003A42CF"/>
    <w:rsid w:val="003A4622"/>
    <w:rsid w:val="003A4FD7"/>
    <w:rsid w:val="003B05A2"/>
    <w:rsid w:val="003B111F"/>
    <w:rsid w:val="003B3AE9"/>
    <w:rsid w:val="003B44DB"/>
    <w:rsid w:val="003B673D"/>
    <w:rsid w:val="003B7ED8"/>
    <w:rsid w:val="003C055D"/>
    <w:rsid w:val="003C0DCD"/>
    <w:rsid w:val="003C2577"/>
    <w:rsid w:val="003C3273"/>
    <w:rsid w:val="003C397F"/>
    <w:rsid w:val="003C39E9"/>
    <w:rsid w:val="003C4448"/>
    <w:rsid w:val="003C4A7E"/>
    <w:rsid w:val="003C4C2E"/>
    <w:rsid w:val="003C5E7D"/>
    <w:rsid w:val="003C6343"/>
    <w:rsid w:val="003C645F"/>
    <w:rsid w:val="003C76CA"/>
    <w:rsid w:val="003D20E3"/>
    <w:rsid w:val="003D2335"/>
    <w:rsid w:val="003D3B6D"/>
    <w:rsid w:val="003D3D2C"/>
    <w:rsid w:val="003D3D91"/>
    <w:rsid w:val="003D4708"/>
    <w:rsid w:val="003D477A"/>
    <w:rsid w:val="003D4B10"/>
    <w:rsid w:val="003D5A35"/>
    <w:rsid w:val="003D6312"/>
    <w:rsid w:val="003E08F3"/>
    <w:rsid w:val="003E25CD"/>
    <w:rsid w:val="003E38D0"/>
    <w:rsid w:val="003E46F4"/>
    <w:rsid w:val="003E4BEF"/>
    <w:rsid w:val="003E61F1"/>
    <w:rsid w:val="003E6615"/>
    <w:rsid w:val="003E6692"/>
    <w:rsid w:val="003E79F9"/>
    <w:rsid w:val="003F12E9"/>
    <w:rsid w:val="003F1F81"/>
    <w:rsid w:val="003F24BD"/>
    <w:rsid w:val="003F5463"/>
    <w:rsid w:val="003F59F4"/>
    <w:rsid w:val="003F636E"/>
    <w:rsid w:val="003F6BF4"/>
    <w:rsid w:val="003F6E81"/>
    <w:rsid w:val="003F6F1E"/>
    <w:rsid w:val="004013F5"/>
    <w:rsid w:val="00401575"/>
    <w:rsid w:val="00401E2E"/>
    <w:rsid w:val="0040249C"/>
    <w:rsid w:val="00402FCB"/>
    <w:rsid w:val="0040332B"/>
    <w:rsid w:val="00403FB8"/>
    <w:rsid w:val="00404DCD"/>
    <w:rsid w:val="004063BE"/>
    <w:rsid w:val="004077D6"/>
    <w:rsid w:val="004121E7"/>
    <w:rsid w:val="00412C4D"/>
    <w:rsid w:val="0041399B"/>
    <w:rsid w:val="00413EA0"/>
    <w:rsid w:val="004146B1"/>
    <w:rsid w:val="00414E51"/>
    <w:rsid w:val="00415018"/>
    <w:rsid w:val="00415B7F"/>
    <w:rsid w:val="00420F04"/>
    <w:rsid w:val="0042125B"/>
    <w:rsid w:val="00422039"/>
    <w:rsid w:val="00422773"/>
    <w:rsid w:val="00423099"/>
    <w:rsid w:val="00424E79"/>
    <w:rsid w:val="00426446"/>
    <w:rsid w:val="0042661C"/>
    <w:rsid w:val="00426AEF"/>
    <w:rsid w:val="004274B3"/>
    <w:rsid w:val="00431C4A"/>
    <w:rsid w:val="00431CEF"/>
    <w:rsid w:val="00432C25"/>
    <w:rsid w:val="00433CAE"/>
    <w:rsid w:val="0043489C"/>
    <w:rsid w:val="004370B7"/>
    <w:rsid w:val="00437C9F"/>
    <w:rsid w:val="00437D40"/>
    <w:rsid w:val="0044250D"/>
    <w:rsid w:val="00443EC1"/>
    <w:rsid w:val="00444C91"/>
    <w:rsid w:val="00451CB2"/>
    <w:rsid w:val="00453264"/>
    <w:rsid w:val="0045383E"/>
    <w:rsid w:val="0045453F"/>
    <w:rsid w:val="004558A5"/>
    <w:rsid w:val="004560BA"/>
    <w:rsid w:val="0045611F"/>
    <w:rsid w:val="00457425"/>
    <w:rsid w:val="0046225D"/>
    <w:rsid w:val="00462B54"/>
    <w:rsid w:val="00463064"/>
    <w:rsid w:val="004649F6"/>
    <w:rsid w:val="00464CAB"/>
    <w:rsid w:val="004666BC"/>
    <w:rsid w:val="004678A3"/>
    <w:rsid w:val="00470905"/>
    <w:rsid w:val="00470AD6"/>
    <w:rsid w:val="00472461"/>
    <w:rsid w:val="00474620"/>
    <w:rsid w:val="00475C3E"/>
    <w:rsid w:val="00476738"/>
    <w:rsid w:val="00477BF5"/>
    <w:rsid w:val="004809B8"/>
    <w:rsid w:val="004821B9"/>
    <w:rsid w:val="004824E3"/>
    <w:rsid w:val="004846EE"/>
    <w:rsid w:val="00484C4F"/>
    <w:rsid w:val="0048607D"/>
    <w:rsid w:val="00486902"/>
    <w:rsid w:val="00486E89"/>
    <w:rsid w:val="004871FD"/>
    <w:rsid w:val="0049027E"/>
    <w:rsid w:val="004908F0"/>
    <w:rsid w:val="004918EC"/>
    <w:rsid w:val="00491D88"/>
    <w:rsid w:val="0049431B"/>
    <w:rsid w:val="0049605C"/>
    <w:rsid w:val="004965F7"/>
    <w:rsid w:val="004967DB"/>
    <w:rsid w:val="004975EA"/>
    <w:rsid w:val="00497751"/>
    <w:rsid w:val="004A16F6"/>
    <w:rsid w:val="004A1A2C"/>
    <w:rsid w:val="004A2CCD"/>
    <w:rsid w:val="004A381F"/>
    <w:rsid w:val="004A45F5"/>
    <w:rsid w:val="004A5190"/>
    <w:rsid w:val="004A528B"/>
    <w:rsid w:val="004A5B6B"/>
    <w:rsid w:val="004A61E9"/>
    <w:rsid w:val="004A67EF"/>
    <w:rsid w:val="004A685A"/>
    <w:rsid w:val="004A6E40"/>
    <w:rsid w:val="004A7048"/>
    <w:rsid w:val="004A7281"/>
    <w:rsid w:val="004A73E9"/>
    <w:rsid w:val="004A7A8A"/>
    <w:rsid w:val="004B0A0A"/>
    <w:rsid w:val="004B1317"/>
    <w:rsid w:val="004B1C4B"/>
    <w:rsid w:val="004B2C27"/>
    <w:rsid w:val="004B354B"/>
    <w:rsid w:val="004B4547"/>
    <w:rsid w:val="004B4794"/>
    <w:rsid w:val="004B5BC5"/>
    <w:rsid w:val="004B5DA7"/>
    <w:rsid w:val="004B5DEE"/>
    <w:rsid w:val="004B60CB"/>
    <w:rsid w:val="004B7E93"/>
    <w:rsid w:val="004C02E8"/>
    <w:rsid w:val="004C1CB5"/>
    <w:rsid w:val="004C4FE8"/>
    <w:rsid w:val="004C588B"/>
    <w:rsid w:val="004D25C4"/>
    <w:rsid w:val="004D65FE"/>
    <w:rsid w:val="004E2A61"/>
    <w:rsid w:val="004E4C37"/>
    <w:rsid w:val="004E50A8"/>
    <w:rsid w:val="004E53C2"/>
    <w:rsid w:val="004E769A"/>
    <w:rsid w:val="004E78C8"/>
    <w:rsid w:val="004E7EE2"/>
    <w:rsid w:val="004F129E"/>
    <w:rsid w:val="004F3AFB"/>
    <w:rsid w:val="004F40BA"/>
    <w:rsid w:val="004F4A31"/>
    <w:rsid w:val="004F4B3C"/>
    <w:rsid w:val="004F60D5"/>
    <w:rsid w:val="00500ACD"/>
    <w:rsid w:val="00500D21"/>
    <w:rsid w:val="00500EB0"/>
    <w:rsid w:val="00500FA4"/>
    <w:rsid w:val="005022F3"/>
    <w:rsid w:val="00502A48"/>
    <w:rsid w:val="00504061"/>
    <w:rsid w:val="00504A56"/>
    <w:rsid w:val="00505468"/>
    <w:rsid w:val="00505BAE"/>
    <w:rsid w:val="00506956"/>
    <w:rsid w:val="005078CA"/>
    <w:rsid w:val="00510570"/>
    <w:rsid w:val="005106F9"/>
    <w:rsid w:val="00510D4F"/>
    <w:rsid w:val="0051203F"/>
    <w:rsid w:val="005129CB"/>
    <w:rsid w:val="0051345F"/>
    <w:rsid w:val="0051504F"/>
    <w:rsid w:val="00515060"/>
    <w:rsid w:val="00515380"/>
    <w:rsid w:val="00515440"/>
    <w:rsid w:val="00516C17"/>
    <w:rsid w:val="005176CA"/>
    <w:rsid w:val="005177E7"/>
    <w:rsid w:val="00517807"/>
    <w:rsid w:val="00517BBC"/>
    <w:rsid w:val="005205E7"/>
    <w:rsid w:val="00520E77"/>
    <w:rsid w:val="005217A7"/>
    <w:rsid w:val="00521D8E"/>
    <w:rsid w:val="00522242"/>
    <w:rsid w:val="0052248B"/>
    <w:rsid w:val="005232BE"/>
    <w:rsid w:val="0052460E"/>
    <w:rsid w:val="00524F6F"/>
    <w:rsid w:val="00527254"/>
    <w:rsid w:val="005313C7"/>
    <w:rsid w:val="00531D5D"/>
    <w:rsid w:val="0053305C"/>
    <w:rsid w:val="00534469"/>
    <w:rsid w:val="0053446D"/>
    <w:rsid w:val="005345F4"/>
    <w:rsid w:val="00534619"/>
    <w:rsid w:val="0053479F"/>
    <w:rsid w:val="00536392"/>
    <w:rsid w:val="00537A77"/>
    <w:rsid w:val="00537DF9"/>
    <w:rsid w:val="00537EBA"/>
    <w:rsid w:val="005400CD"/>
    <w:rsid w:val="00541A14"/>
    <w:rsid w:val="0054266E"/>
    <w:rsid w:val="00542E0E"/>
    <w:rsid w:val="00543F9C"/>
    <w:rsid w:val="00544C64"/>
    <w:rsid w:val="005455DC"/>
    <w:rsid w:val="00546D39"/>
    <w:rsid w:val="00550E84"/>
    <w:rsid w:val="005510A2"/>
    <w:rsid w:val="00551368"/>
    <w:rsid w:val="00552161"/>
    <w:rsid w:val="0055217B"/>
    <w:rsid w:val="00554B1C"/>
    <w:rsid w:val="00555B4E"/>
    <w:rsid w:val="00555DF6"/>
    <w:rsid w:val="00555F13"/>
    <w:rsid w:val="00555F50"/>
    <w:rsid w:val="005577B0"/>
    <w:rsid w:val="00557A4E"/>
    <w:rsid w:val="00560A44"/>
    <w:rsid w:val="00562084"/>
    <w:rsid w:val="00563A41"/>
    <w:rsid w:val="005645A5"/>
    <w:rsid w:val="00570CE7"/>
    <w:rsid w:val="00570D9E"/>
    <w:rsid w:val="00570E59"/>
    <w:rsid w:val="00570EED"/>
    <w:rsid w:val="005716FC"/>
    <w:rsid w:val="005721A4"/>
    <w:rsid w:val="00572304"/>
    <w:rsid w:val="00572881"/>
    <w:rsid w:val="00572A11"/>
    <w:rsid w:val="005734F0"/>
    <w:rsid w:val="00575DEF"/>
    <w:rsid w:val="00575E4D"/>
    <w:rsid w:val="005760D3"/>
    <w:rsid w:val="00581586"/>
    <w:rsid w:val="00581B93"/>
    <w:rsid w:val="00582DB2"/>
    <w:rsid w:val="00583A33"/>
    <w:rsid w:val="00584482"/>
    <w:rsid w:val="005861B6"/>
    <w:rsid w:val="005867D2"/>
    <w:rsid w:val="00590554"/>
    <w:rsid w:val="00590DC8"/>
    <w:rsid w:val="00590ECB"/>
    <w:rsid w:val="005914C1"/>
    <w:rsid w:val="00592669"/>
    <w:rsid w:val="00595021"/>
    <w:rsid w:val="00595421"/>
    <w:rsid w:val="00595CEF"/>
    <w:rsid w:val="00596367"/>
    <w:rsid w:val="005963CC"/>
    <w:rsid w:val="00596E19"/>
    <w:rsid w:val="005A06CB"/>
    <w:rsid w:val="005A08ED"/>
    <w:rsid w:val="005A1631"/>
    <w:rsid w:val="005A241E"/>
    <w:rsid w:val="005A2E4C"/>
    <w:rsid w:val="005A4BC9"/>
    <w:rsid w:val="005A6039"/>
    <w:rsid w:val="005A6FED"/>
    <w:rsid w:val="005A78FC"/>
    <w:rsid w:val="005A794D"/>
    <w:rsid w:val="005B1109"/>
    <w:rsid w:val="005B126E"/>
    <w:rsid w:val="005B1BC4"/>
    <w:rsid w:val="005B3B0E"/>
    <w:rsid w:val="005B62A6"/>
    <w:rsid w:val="005B6795"/>
    <w:rsid w:val="005B6894"/>
    <w:rsid w:val="005B70FF"/>
    <w:rsid w:val="005B7FE6"/>
    <w:rsid w:val="005C04E8"/>
    <w:rsid w:val="005C13B2"/>
    <w:rsid w:val="005C13C7"/>
    <w:rsid w:val="005C27E3"/>
    <w:rsid w:val="005C340D"/>
    <w:rsid w:val="005C3550"/>
    <w:rsid w:val="005C37CB"/>
    <w:rsid w:val="005C459C"/>
    <w:rsid w:val="005C5248"/>
    <w:rsid w:val="005C5C66"/>
    <w:rsid w:val="005C6001"/>
    <w:rsid w:val="005C6FA7"/>
    <w:rsid w:val="005C7450"/>
    <w:rsid w:val="005C7A6B"/>
    <w:rsid w:val="005D010D"/>
    <w:rsid w:val="005D07AF"/>
    <w:rsid w:val="005D1A9F"/>
    <w:rsid w:val="005D3D67"/>
    <w:rsid w:val="005D52FA"/>
    <w:rsid w:val="005D5B9A"/>
    <w:rsid w:val="005D6731"/>
    <w:rsid w:val="005E0B60"/>
    <w:rsid w:val="005E1C24"/>
    <w:rsid w:val="005E1EE5"/>
    <w:rsid w:val="005E23FD"/>
    <w:rsid w:val="005E266F"/>
    <w:rsid w:val="005E26CB"/>
    <w:rsid w:val="005E5320"/>
    <w:rsid w:val="005E5734"/>
    <w:rsid w:val="005E73CE"/>
    <w:rsid w:val="005E73D2"/>
    <w:rsid w:val="005E7751"/>
    <w:rsid w:val="005F07DC"/>
    <w:rsid w:val="005F22CB"/>
    <w:rsid w:val="005F3022"/>
    <w:rsid w:val="005F3DD3"/>
    <w:rsid w:val="005F401D"/>
    <w:rsid w:val="005F5B73"/>
    <w:rsid w:val="005F64FB"/>
    <w:rsid w:val="005F65B3"/>
    <w:rsid w:val="005F7F6C"/>
    <w:rsid w:val="00601085"/>
    <w:rsid w:val="00601728"/>
    <w:rsid w:val="0060251E"/>
    <w:rsid w:val="00602DDE"/>
    <w:rsid w:val="006032C0"/>
    <w:rsid w:val="0060358A"/>
    <w:rsid w:val="00604252"/>
    <w:rsid w:val="00604401"/>
    <w:rsid w:val="00605183"/>
    <w:rsid w:val="00605FBC"/>
    <w:rsid w:val="006072A3"/>
    <w:rsid w:val="00611737"/>
    <w:rsid w:val="00613E70"/>
    <w:rsid w:val="006147E5"/>
    <w:rsid w:val="00614DE8"/>
    <w:rsid w:val="006163C7"/>
    <w:rsid w:val="006163F1"/>
    <w:rsid w:val="00616BA6"/>
    <w:rsid w:val="00622669"/>
    <w:rsid w:val="00622FE1"/>
    <w:rsid w:val="00625CE5"/>
    <w:rsid w:val="00627092"/>
    <w:rsid w:val="00627D76"/>
    <w:rsid w:val="00630E8A"/>
    <w:rsid w:val="0063127F"/>
    <w:rsid w:val="0063128E"/>
    <w:rsid w:val="0063150D"/>
    <w:rsid w:val="00631F1B"/>
    <w:rsid w:val="00631FE0"/>
    <w:rsid w:val="00632A00"/>
    <w:rsid w:val="00632D88"/>
    <w:rsid w:val="006345C5"/>
    <w:rsid w:val="00635027"/>
    <w:rsid w:val="006351F2"/>
    <w:rsid w:val="0063699F"/>
    <w:rsid w:val="006425A4"/>
    <w:rsid w:val="0064268D"/>
    <w:rsid w:val="00644A7B"/>
    <w:rsid w:val="00644B76"/>
    <w:rsid w:val="006452F7"/>
    <w:rsid w:val="00646614"/>
    <w:rsid w:val="00646D41"/>
    <w:rsid w:val="006476EB"/>
    <w:rsid w:val="006503B0"/>
    <w:rsid w:val="00653AB9"/>
    <w:rsid w:val="00653DC8"/>
    <w:rsid w:val="00653FA0"/>
    <w:rsid w:val="0065447D"/>
    <w:rsid w:val="00654B83"/>
    <w:rsid w:val="006556D9"/>
    <w:rsid w:val="00655948"/>
    <w:rsid w:val="00656E4C"/>
    <w:rsid w:val="006607D8"/>
    <w:rsid w:val="0066097C"/>
    <w:rsid w:val="00661C46"/>
    <w:rsid w:val="006642B2"/>
    <w:rsid w:val="00664986"/>
    <w:rsid w:val="00664FD6"/>
    <w:rsid w:val="0066519B"/>
    <w:rsid w:val="006652D3"/>
    <w:rsid w:val="006671A9"/>
    <w:rsid w:val="006672A1"/>
    <w:rsid w:val="006676C9"/>
    <w:rsid w:val="00667CF3"/>
    <w:rsid w:val="00670043"/>
    <w:rsid w:val="00670362"/>
    <w:rsid w:val="006710E5"/>
    <w:rsid w:val="00672090"/>
    <w:rsid w:val="006723C0"/>
    <w:rsid w:val="00673054"/>
    <w:rsid w:val="006750D1"/>
    <w:rsid w:val="006756B0"/>
    <w:rsid w:val="00675934"/>
    <w:rsid w:val="006769C4"/>
    <w:rsid w:val="00677627"/>
    <w:rsid w:val="00677854"/>
    <w:rsid w:val="00677B49"/>
    <w:rsid w:val="00677BD5"/>
    <w:rsid w:val="0068025E"/>
    <w:rsid w:val="006817AB"/>
    <w:rsid w:val="00682502"/>
    <w:rsid w:val="00684840"/>
    <w:rsid w:val="00684BDB"/>
    <w:rsid w:val="006860F1"/>
    <w:rsid w:val="00686897"/>
    <w:rsid w:val="00687921"/>
    <w:rsid w:val="00687E35"/>
    <w:rsid w:val="00690452"/>
    <w:rsid w:val="006906D5"/>
    <w:rsid w:val="006911A5"/>
    <w:rsid w:val="00691F21"/>
    <w:rsid w:val="00692C29"/>
    <w:rsid w:val="00693258"/>
    <w:rsid w:val="00693C87"/>
    <w:rsid w:val="006955F7"/>
    <w:rsid w:val="006969A5"/>
    <w:rsid w:val="00697F63"/>
    <w:rsid w:val="006A05C7"/>
    <w:rsid w:val="006A0D6E"/>
    <w:rsid w:val="006A607B"/>
    <w:rsid w:val="006A61B2"/>
    <w:rsid w:val="006A6E27"/>
    <w:rsid w:val="006A72B0"/>
    <w:rsid w:val="006B2F27"/>
    <w:rsid w:val="006B3181"/>
    <w:rsid w:val="006B3E4D"/>
    <w:rsid w:val="006B42A0"/>
    <w:rsid w:val="006B4D0C"/>
    <w:rsid w:val="006B4F43"/>
    <w:rsid w:val="006B5585"/>
    <w:rsid w:val="006C0910"/>
    <w:rsid w:val="006C18AD"/>
    <w:rsid w:val="006C21AC"/>
    <w:rsid w:val="006C2BCA"/>
    <w:rsid w:val="006C4DFA"/>
    <w:rsid w:val="006C52B9"/>
    <w:rsid w:val="006C5D21"/>
    <w:rsid w:val="006C7FB8"/>
    <w:rsid w:val="006D1469"/>
    <w:rsid w:val="006D1DE0"/>
    <w:rsid w:val="006D1DFE"/>
    <w:rsid w:val="006D251E"/>
    <w:rsid w:val="006D2D93"/>
    <w:rsid w:val="006D3EBE"/>
    <w:rsid w:val="006D53FE"/>
    <w:rsid w:val="006D55C9"/>
    <w:rsid w:val="006D55DC"/>
    <w:rsid w:val="006E02DE"/>
    <w:rsid w:val="006E08D2"/>
    <w:rsid w:val="006E0C2E"/>
    <w:rsid w:val="006E0F7A"/>
    <w:rsid w:val="006E1B81"/>
    <w:rsid w:val="006E2112"/>
    <w:rsid w:val="006E4EF7"/>
    <w:rsid w:val="006E5B3A"/>
    <w:rsid w:val="006E6668"/>
    <w:rsid w:val="006E6BC2"/>
    <w:rsid w:val="006E77BB"/>
    <w:rsid w:val="006E7BB2"/>
    <w:rsid w:val="006F1C77"/>
    <w:rsid w:val="006F4519"/>
    <w:rsid w:val="006F4CFC"/>
    <w:rsid w:val="006F4E1F"/>
    <w:rsid w:val="006F5346"/>
    <w:rsid w:val="006F53C9"/>
    <w:rsid w:val="006F5948"/>
    <w:rsid w:val="006F59C4"/>
    <w:rsid w:val="00700192"/>
    <w:rsid w:val="0070150E"/>
    <w:rsid w:val="00701BF9"/>
    <w:rsid w:val="00702C8B"/>
    <w:rsid w:val="00703FF4"/>
    <w:rsid w:val="00704A80"/>
    <w:rsid w:val="00705DB8"/>
    <w:rsid w:val="0070690B"/>
    <w:rsid w:val="00707901"/>
    <w:rsid w:val="0071144B"/>
    <w:rsid w:val="0071152A"/>
    <w:rsid w:val="00711FA9"/>
    <w:rsid w:val="007120A4"/>
    <w:rsid w:val="00713225"/>
    <w:rsid w:val="0071375A"/>
    <w:rsid w:val="00713BC4"/>
    <w:rsid w:val="00714706"/>
    <w:rsid w:val="0071485F"/>
    <w:rsid w:val="007153BF"/>
    <w:rsid w:val="00715708"/>
    <w:rsid w:val="00716777"/>
    <w:rsid w:val="0071779F"/>
    <w:rsid w:val="00717A44"/>
    <w:rsid w:val="007204A0"/>
    <w:rsid w:val="00720B54"/>
    <w:rsid w:val="00721127"/>
    <w:rsid w:val="007215EE"/>
    <w:rsid w:val="00721822"/>
    <w:rsid w:val="007231E7"/>
    <w:rsid w:val="0072354F"/>
    <w:rsid w:val="0072512A"/>
    <w:rsid w:val="00727B60"/>
    <w:rsid w:val="0073050C"/>
    <w:rsid w:val="00731608"/>
    <w:rsid w:val="00731778"/>
    <w:rsid w:val="00731EE6"/>
    <w:rsid w:val="00734BC1"/>
    <w:rsid w:val="007355A6"/>
    <w:rsid w:val="00736061"/>
    <w:rsid w:val="007371D9"/>
    <w:rsid w:val="0074017E"/>
    <w:rsid w:val="00740A71"/>
    <w:rsid w:val="00740CF9"/>
    <w:rsid w:val="00742509"/>
    <w:rsid w:val="00743939"/>
    <w:rsid w:val="0074535C"/>
    <w:rsid w:val="00745977"/>
    <w:rsid w:val="007477C5"/>
    <w:rsid w:val="00747938"/>
    <w:rsid w:val="00750087"/>
    <w:rsid w:val="00750D8A"/>
    <w:rsid w:val="0075185D"/>
    <w:rsid w:val="007519AF"/>
    <w:rsid w:val="0075303C"/>
    <w:rsid w:val="007543EA"/>
    <w:rsid w:val="00756016"/>
    <w:rsid w:val="00756ECE"/>
    <w:rsid w:val="00757EFD"/>
    <w:rsid w:val="00762706"/>
    <w:rsid w:val="00762AFB"/>
    <w:rsid w:val="007635C8"/>
    <w:rsid w:val="007647B7"/>
    <w:rsid w:val="007650C1"/>
    <w:rsid w:val="00765BA8"/>
    <w:rsid w:val="00766007"/>
    <w:rsid w:val="00770A26"/>
    <w:rsid w:val="00770B39"/>
    <w:rsid w:val="0077414C"/>
    <w:rsid w:val="00774250"/>
    <w:rsid w:val="00774908"/>
    <w:rsid w:val="0077502F"/>
    <w:rsid w:val="007757BF"/>
    <w:rsid w:val="007768D3"/>
    <w:rsid w:val="00776E96"/>
    <w:rsid w:val="00777A22"/>
    <w:rsid w:val="00784E48"/>
    <w:rsid w:val="00786458"/>
    <w:rsid w:val="00786669"/>
    <w:rsid w:val="00790535"/>
    <w:rsid w:val="00791240"/>
    <w:rsid w:val="00791D2E"/>
    <w:rsid w:val="00791F13"/>
    <w:rsid w:val="00792F5B"/>
    <w:rsid w:val="00796028"/>
    <w:rsid w:val="007A106E"/>
    <w:rsid w:val="007A1364"/>
    <w:rsid w:val="007A1695"/>
    <w:rsid w:val="007A24A0"/>
    <w:rsid w:val="007A4AB2"/>
    <w:rsid w:val="007A5E68"/>
    <w:rsid w:val="007B0B6B"/>
    <w:rsid w:val="007B1BF7"/>
    <w:rsid w:val="007B26C5"/>
    <w:rsid w:val="007B7145"/>
    <w:rsid w:val="007B74FF"/>
    <w:rsid w:val="007C01A0"/>
    <w:rsid w:val="007C04CE"/>
    <w:rsid w:val="007C08D9"/>
    <w:rsid w:val="007C0E02"/>
    <w:rsid w:val="007C1D23"/>
    <w:rsid w:val="007C218D"/>
    <w:rsid w:val="007C22C4"/>
    <w:rsid w:val="007C404B"/>
    <w:rsid w:val="007C4B6D"/>
    <w:rsid w:val="007C4BAE"/>
    <w:rsid w:val="007C4DB2"/>
    <w:rsid w:val="007C601C"/>
    <w:rsid w:val="007D1915"/>
    <w:rsid w:val="007D1C62"/>
    <w:rsid w:val="007D1D3B"/>
    <w:rsid w:val="007D1D77"/>
    <w:rsid w:val="007D1E2D"/>
    <w:rsid w:val="007D300A"/>
    <w:rsid w:val="007D3550"/>
    <w:rsid w:val="007D3648"/>
    <w:rsid w:val="007D528C"/>
    <w:rsid w:val="007D5960"/>
    <w:rsid w:val="007D62FA"/>
    <w:rsid w:val="007D659A"/>
    <w:rsid w:val="007D764B"/>
    <w:rsid w:val="007E0491"/>
    <w:rsid w:val="007E114E"/>
    <w:rsid w:val="007E2E79"/>
    <w:rsid w:val="007E365E"/>
    <w:rsid w:val="007E3CFE"/>
    <w:rsid w:val="007E45B8"/>
    <w:rsid w:val="007E487F"/>
    <w:rsid w:val="007E49FB"/>
    <w:rsid w:val="007E4B2D"/>
    <w:rsid w:val="007E587D"/>
    <w:rsid w:val="007E71E9"/>
    <w:rsid w:val="007E7AC5"/>
    <w:rsid w:val="007F1D06"/>
    <w:rsid w:val="007F436B"/>
    <w:rsid w:val="007F721A"/>
    <w:rsid w:val="007F7790"/>
    <w:rsid w:val="00800416"/>
    <w:rsid w:val="008007C0"/>
    <w:rsid w:val="00800F61"/>
    <w:rsid w:val="008010D7"/>
    <w:rsid w:val="0080167A"/>
    <w:rsid w:val="008016E2"/>
    <w:rsid w:val="008018FC"/>
    <w:rsid w:val="00801EFF"/>
    <w:rsid w:val="00803443"/>
    <w:rsid w:val="008037C5"/>
    <w:rsid w:val="00804CE6"/>
    <w:rsid w:val="0080680D"/>
    <w:rsid w:val="00810D70"/>
    <w:rsid w:val="00812C05"/>
    <w:rsid w:val="0081322A"/>
    <w:rsid w:val="00814974"/>
    <w:rsid w:val="008160E8"/>
    <w:rsid w:val="00816264"/>
    <w:rsid w:val="008162AB"/>
    <w:rsid w:val="0081678D"/>
    <w:rsid w:val="00817B12"/>
    <w:rsid w:val="00821878"/>
    <w:rsid w:val="00823F61"/>
    <w:rsid w:val="008243A7"/>
    <w:rsid w:val="00824B96"/>
    <w:rsid w:val="00825201"/>
    <w:rsid w:val="00825205"/>
    <w:rsid w:val="0082562F"/>
    <w:rsid w:val="00825EA4"/>
    <w:rsid w:val="008263B8"/>
    <w:rsid w:val="00827B11"/>
    <w:rsid w:val="00827CE5"/>
    <w:rsid w:val="008305F0"/>
    <w:rsid w:val="008335B3"/>
    <w:rsid w:val="00833AF9"/>
    <w:rsid w:val="008347B1"/>
    <w:rsid w:val="00834CB4"/>
    <w:rsid w:val="00840567"/>
    <w:rsid w:val="0084126E"/>
    <w:rsid w:val="008414A5"/>
    <w:rsid w:val="008417B3"/>
    <w:rsid w:val="008419E3"/>
    <w:rsid w:val="00843E6F"/>
    <w:rsid w:val="00845144"/>
    <w:rsid w:val="008453A4"/>
    <w:rsid w:val="00846E4A"/>
    <w:rsid w:val="0084797E"/>
    <w:rsid w:val="00847D76"/>
    <w:rsid w:val="008511AC"/>
    <w:rsid w:val="00851AF5"/>
    <w:rsid w:val="00851FB5"/>
    <w:rsid w:val="00852699"/>
    <w:rsid w:val="0085332F"/>
    <w:rsid w:val="00853B9B"/>
    <w:rsid w:val="0085404F"/>
    <w:rsid w:val="00855C9D"/>
    <w:rsid w:val="008605AC"/>
    <w:rsid w:val="00863475"/>
    <w:rsid w:val="008647DE"/>
    <w:rsid w:val="00864B95"/>
    <w:rsid w:val="00864D82"/>
    <w:rsid w:val="0086673F"/>
    <w:rsid w:val="008708A5"/>
    <w:rsid w:val="00870EC3"/>
    <w:rsid w:val="00871E9F"/>
    <w:rsid w:val="008752D6"/>
    <w:rsid w:val="008800D3"/>
    <w:rsid w:val="0088074C"/>
    <w:rsid w:val="008809DB"/>
    <w:rsid w:val="00880D9F"/>
    <w:rsid w:val="00882EBE"/>
    <w:rsid w:val="008845AE"/>
    <w:rsid w:val="00884F04"/>
    <w:rsid w:val="0088668E"/>
    <w:rsid w:val="00886BB3"/>
    <w:rsid w:val="00886CDD"/>
    <w:rsid w:val="0089214D"/>
    <w:rsid w:val="00893837"/>
    <w:rsid w:val="0089393B"/>
    <w:rsid w:val="00893C0D"/>
    <w:rsid w:val="00893DAF"/>
    <w:rsid w:val="0089426A"/>
    <w:rsid w:val="008976BF"/>
    <w:rsid w:val="008A10DE"/>
    <w:rsid w:val="008A20DA"/>
    <w:rsid w:val="008A3983"/>
    <w:rsid w:val="008A41CD"/>
    <w:rsid w:val="008A64D8"/>
    <w:rsid w:val="008A6DD1"/>
    <w:rsid w:val="008A6EB9"/>
    <w:rsid w:val="008B072A"/>
    <w:rsid w:val="008B0B87"/>
    <w:rsid w:val="008B11FD"/>
    <w:rsid w:val="008B1F0E"/>
    <w:rsid w:val="008B27A6"/>
    <w:rsid w:val="008B3E12"/>
    <w:rsid w:val="008B5B3D"/>
    <w:rsid w:val="008B5C5D"/>
    <w:rsid w:val="008B5C8F"/>
    <w:rsid w:val="008B5F16"/>
    <w:rsid w:val="008B7722"/>
    <w:rsid w:val="008C0BE9"/>
    <w:rsid w:val="008C0E5C"/>
    <w:rsid w:val="008C1067"/>
    <w:rsid w:val="008C2016"/>
    <w:rsid w:val="008C2633"/>
    <w:rsid w:val="008C74E1"/>
    <w:rsid w:val="008C7CE3"/>
    <w:rsid w:val="008D022D"/>
    <w:rsid w:val="008D0CA2"/>
    <w:rsid w:val="008D348B"/>
    <w:rsid w:val="008D3D78"/>
    <w:rsid w:val="008D66DF"/>
    <w:rsid w:val="008D7652"/>
    <w:rsid w:val="008D7A36"/>
    <w:rsid w:val="008E2BE4"/>
    <w:rsid w:val="008E385E"/>
    <w:rsid w:val="008E3A0C"/>
    <w:rsid w:val="008E3DA3"/>
    <w:rsid w:val="008E6651"/>
    <w:rsid w:val="008E6B4E"/>
    <w:rsid w:val="008E7970"/>
    <w:rsid w:val="008E7C34"/>
    <w:rsid w:val="008F009A"/>
    <w:rsid w:val="008F0812"/>
    <w:rsid w:val="008F0C36"/>
    <w:rsid w:val="008F1667"/>
    <w:rsid w:val="008F1A13"/>
    <w:rsid w:val="008F377B"/>
    <w:rsid w:val="008F3B48"/>
    <w:rsid w:val="008F3C43"/>
    <w:rsid w:val="008F3EDA"/>
    <w:rsid w:val="008F411B"/>
    <w:rsid w:val="008F6576"/>
    <w:rsid w:val="008F7D83"/>
    <w:rsid w:val="009014F9"/>
    <w:rsid w:val="009024E4"/>
    <w:rsid w:val="00903ADE"/>
    <w:rsid w:val="00904C67"/>
    <w:rsid w:val="00904DEF"/>
    <w:rsid w:val="00904E08"/>
    <w:rsid w:val="00905613"/>
    <w:rsid w:val="009067E5"/>
    <w:rsid w:val="00907035"/>
    <w:rsid w:val="00912EB4"/>
    <w:rsid w:val="009132F4"/>
    <w:rsid w:val="00914F3A"/>
    <w:rsid w:val="00915512"/>
    <w:rsid w:val="00917501"/>
    <w:rsid w:val="009212C7"/>
    <w:rsid w:val="00922564"/>
    <w:rsid w:val="009229C1"/>
    <w:rsid w:val="009233CC"/>
    <w:rsid w:val="009240D8"/>
    <w:rsid w:val="00926D1C"/>
    <w:rsid w:val="00927B23"/>
    <w:rsid w:val="00930FF9"/>
    <w:rsid w:val="0093146F"/>
    <w:rsid w:val="00931A32"/>
    <w:rsid w:val="00932142"/>
    <w:rsid w:val="009327C9"/>
    <w:rsid w:val="0093353C"/>
    <w:rsid w:val="00933576"/>
    <w:rsid w:val="00935CD9"/>
    <w:rsid w:val="009360D7"/>
    <w:rsid w:val="00936117"/>
    <w:rsid w:val="009362C9"/>
    <w:rsid w:val="00936B5B"/>
    <w:rsid w:val="00936DCF"/>
    <w:rsid w:val="0093765C"/>
    <w:rsid w:val="00937ED2"/>
    <w:rsid w:val="009418CA"/>
    <w:rsid w:val="00942387"/>
    <w:rsid w:val="00942B0E"/>
    <w:rsid w:val="00943F4C"/>
    <w:rsid w:val="0094626F"/>
    <w:rsid w:val="009462D2"/>
    <w:rsid w:val="00947CF7"/>
    <w:rsid w:val="009505BE"/>
    <w:rsid w:val="009509CE"/>
    <w:rsid w:val="00952095"/>
    <w:rsid w:val="0095411F"/>
    <w:rsid w:val="00956B08"/>
    <w:rsid w:val="009600D8"/>
    <w:rsid w:val="00960618"/>
    <w:rsid w:val="0096204A"/>
    <w:rsid w:val="0096262F"/>
    <w:rsid w:val="009642FC"/>
    <w:rsid w:val="009652D5"/>
    <w:rsid w:val="009677F8"/>
    <w:rsid w:val="00970386"/>
    <w:rsid w:val="00970D2D"/>
    <w:rsid w:val="00971146"/>
    <w:rsid w:val="00972046"/>
    <w:rsid w:val="009723CB"/>
    <w:rsid w:val="00972A9A"/>
    <w:rsid w:val="009739C6"/>
    <w:rsid w:val="00975379"/>
    <w:rsid w:val="00975544"/>
    <w:rsid w:val="00980421"/>
    <w:rsid w:val="0098372A"/>
    <w:rsid w:val="009837F6"/>
    <w:rsid w:val="00983CF9"/>
    <w:rsid w:val="00984FCA"/>
    <w:rsid w:val="00985625"/>
    <w:rsid w:val="0098583E"/>
    <w:rsid w:val="00986C7E"/>
    <w:rsid w:val="00986D99"/>
    <w:rsid w:val="00987C19"/>
    <w:rsid w:val="00991675"/>
    <w:rsid w:val="00992008"/>
    <w:rsid w:val="009938F1"/>
    <w:rsid w:val="00996184"/>
    <w:rsid w:val="009961DB"/>
    <w:rsid w:val="00996409"/>
    <w:rsid w:val="00996D00"/>
    <w:rsid w:val="00997D53"/>
    <w:rsid w:val="009A03DC"/>
    <w:rsid w:val="009A0991"/>
    <w:rsid w:val="009A1034"/>
    <w:rsid w:val="009A180C"/>
    <w:rsid w:val="009A288E"/>
    <w:rsid w:val="009A2F6F"/>
    <w:rsid w:val="009A3C68"/>
    <w:rsid w:val="009A46CA"/>
    <w:rsid w:val="009A602E"/>
    <w:rsid w:val="009A6CF3"/>
    <w:rsid w:val="009B01D1"/>
    <w:rsid w:val="009B2FFE"/>
    <w:rsid w:val="009B3664"/>
    <w:rsid w:val="009B3EB4"/>
    <w:rsid w:val="009B43BF"/>
    <w:rsid w:val="009B4A2D"/>
    <w:rsid w:val="009C02C1"/>
    <w:rsid w:val="009C1E0B"/>
    <w:rsid w:val="009C21B0"/>
    <w:rsid w:val="009C283E"/>
    <w:rsid w:val="009C2B26"/>
    <w:rsid w:val="009C41AE"/>
    <w:rsid w:val="009C43CB"/>
    <w:rsid w:val="009C5539"/>
    <w:rsid w:val="009C5D38"/>
    <w:rsid w:val="009C72B1"/>
    <w:rsid w:val="009D011A"/>
    <w:rsid w:val="009D112E"/>
    <w:rsid w:val="009D20A4"/>
    <w:rsid w:val="009D3E3C"/>
    <w:rsid w:val="009D4247"/>
    <w:rsid w:val="009D486B"/>
    <w:rsid w:val="009D545A"/>
    <w:rsid w:val="009D6D44"/>
    <w:rsid w:val="009D7517"/>
    <w:rsid w:val="009E0D99"/>
    <w:rsid w:val="009E1B5A"/>
    <w:rsid w:val="009E1EC3"/>
    <w:rsid w:val="009E22FA"/>
    <w:rsid w:val="009E3578"/>
    <w:rsid w:val="009E4659"/>
    <w:rsid w:val="009E4744"/>
    <w:rsid w:val="009E4EC9"/>
    <w:rsid w:val="009E514C"/>
    <w:rsid w:val="009E51A8"/>
    <w:rsid w:val="009E5D5A"/>
    <w:rsid w:val="009E5E4E"/>
    <w:rsid w:val="009E7F1B"/>
    <w:rsid w:val="009F0425"/>
    <w:rsid w:val="009F0C7D"/>
    <w:rsid w:val="009F2262"/>
    <w:rsid w:val="009F4ADA"/>
    <w:rsid w:val="009F4F8F"/>
    <w:rsid w:val="009F6A0D"/>
    <w:rsid w:val="00A02113"/>
    <w:rsid w:val="00A04692"/>
    <w:rsid w:val="00A05D84"/>
    <w:rsid w:val="00A06510"/>
    <w:rsid w:val="00A06A4C"/>
    <w:rsid w:val="00A06FEB"/>
    <w:rsid w:val="00A07991"/>
    <w:rsid w:val="00A07F21"/>
    <w:rsid w:val="00A10CDE"/>
    <w:rsid w:val="00A11469"/>
    <w:rsid w:val="00A136F0"/>
    <w:rsid w:val="00A13BE0"/>
    <w:rsid w:val="00A1680D"/>
    <w:rsid w:val="00A16B5B"/>
    <w:rsid w:val="00A171CC"/>
    <w:rsid w:val="00A209BD"/>
    <w:rsid w:val="00A23AB0"/>
    <w:rsid w:val="00A23BB0"/>
    <w:rsid w:val="00A23C53"/>
    <w:rsid w:val="00A24724"/>
    <w:rsid w:val="00A266C5"/>
    <w:rsid w:val="00A26849"/>
    <w:rsid w:val="00A309C6"/>
    <w:rsid w:val="00A30ABB"/>
    <w:rsid w:val="00A32E4E"/>
    <w:rsid w:val="00A3390D"/>
    <w:rsid w:val="00A33DF0"/>
    <w:rsid w:val="00A34CC8"/>
    <w:rsid w:val="00A35503"/>
    <w:rsid w:val="00A36111"/>
    <w:rsid w:val="00A36597"/>
    <w:rsid w:val="00A365E9"/>
    <w:rsid w:val="00A3749E"/>
    <w:rsid w:val="00A414B9"/>
    <w:rsid w:val="00A41CCF"/>
    <w:rsid w:val="00A4394A"/>
    <w:rsid w:val="00A446A0"/>
    <w:rsid w:val="00A45C23"/>
    <w:rsid w:val="00A463C7"/>
    <w:rsid w:val="00A505DE"/>
    <w:rsid w:val="00A52339"/>
    <w:rsid w:val="00A5327C"/>
    <w:rsid w:val="00A54059"/>
    <w:rsid w:val="00A54AEF"/>
    <w:rsid w:val="00A55AC9"/>
    <w:rsid w:val="00A5620C"/>
    <w:rsid w:val="00A563FE"/>
    <w:rsid w:val="00A5721C"/>
    <w:rsid w:val="00A578BB"/>
    <w:rsid w:val="00A57F2E"/>
    <w:rsid w:val="00A57F32"/>
    <w:rsid w:val="00A6274A"/>
    <w:rsid w:val="00A62C99"/>
    <w:rsid w:val="00A66A1F"/>
    <w:rsid w:val="00A67913"/>
    <w:rsid w:val="00A71105"/>
    <w:rsid w:val="00A719F5"/>
    <w:rsid w:val="00A737C4"/>
    <w:rsid w:val="00A73E96"/>
    <w:rsid w:val="00A74257"/>
    <w:rsid w:val="00A745E0"/>
    <w:rsid w:val="00A766BF"/>
    <w:rsid w:val="00A7765F"/>
    <w:rsid w:val="00A77898"/>
    <w:rsid w:val="00A80D56"/>
    <w:rsid w:val="00A8133B"/>
    <w:rsid w:val="00A81A94"/>
    <w:rsid w:val="00A82828"/>
    <w:rsid w:val="00A82DA1"/>
    <w:rsid w:val="00A83B3E"/>
    <w:rsid w:val="00A85281"/>
    <w:rsid w:val="00A85BDF"/>
    <w:rsid w:val="00A85EEA"/>
    <w:rsid w:val="00A87445"/>
    <w:rsid w:val="00A9112C"/>
    <w:rsid w:val="00A912C6"/>
    <w:rsid w:val="00A921A7"/>
    <w:rsid w:val="00A93D30"/>
    <w:rsid w:val="00A948B0"/>
    <w:rsid w:val="00A9681E"/>
    <w:rsid w:val="00AA007A"/>
    <w:rsid w:val="00AA0E99"/>
    <w:rsid w:val="00AA2B95"/>
    <w:rsid w:val="00AA415A"/>
    <w:rsid w:val="00AA4E7F"/>
    <w:rsid w:val="00AA570F"/>
    <w:rsid w:val="00AB073E"/>
    <w:rsid w:val="00AB0CE9"/>
    <w:rsid w:val="00AB11A9"/>
    <w:rsid w:val="00AB1A13"/>
    <w:rsid w:val="00AB296D"/>
    <w:rsid w:val="00AB4758"/>
    <w:rsid w:val="00AB4E9F"/>
    <w:rsid w:val="00AB5808"/>
    <w:rsid w:val="00AB6297"/>
    <w:rsid w:val="00AB6932"/>
    <w:rsid w:val="00AB7D7D"/>
    <w:rsid w:val="00AC11C1"/>
    <w:rsid w:val="00AC210F"/>
    <w:rsid w:val="00AC2420"/>
    <w:rsid w:val="00AC2B1E"/>
    <w:rsid w:val="00AC319E"/>
    <w:rsid w:val="00AC4E41"/>
    <w:rsid w:val="00AC6055"/>
    <w:rsid w:val="00AC6388"/>
    <w:rsid w:val="00AC7079"/>
    <w:rsid w:val="00AC795E"/>
    <w:rsid w:val="00AC7DEC"/>
    <w:rsid w:val="00AC7E6C"/>
    <w:rsid w:val="00AD1971"/>
    <w:rsid w:val="00AD1C84"/>
    <w:rsid w:val="00AD1D02"/>
    <w:rsid w:val="00AD2ABD"/>
    <w:rsid w:val="00AD3227"/>
    <w:rsid w:val="00AD44C0"/>
    <w:rsid w:val="00AD6502"/>
    <w:rsid w:val="00AD6E74"/>
    <w:rsid w:val="00AD76FB"/>
    <w:rsid w:val="00AE083E"/>
    <w:rsid w:val="00AE16EB"/>
    <w:rsid w:val="00AE1DDB"/>
    <w:rsid w:val="00AE2FCA"/>
    <w:rsid w:val="00AE3599"/>
    <w:rsid w:val="00AE3A1E"/>
    <w:rsid w:val="00AE4213"/>
    <w:rsid w:val="00AE43B3"/>
    <w:rsid w:val="00AE45AD"/>
    <w:rsid w:val="00AE492A"/>
    <w:rsid w:val="00AE6F8E"/>
    <w:rsid w:val="00AE734F"/>
    <w:rsid w:val="00AF07D3"/>
    <w:rsid w:val="00AF19D3"/>
    <w:rsid w:val="00AF2656"/>
    <w:rsid w:val="00AF26F3"/>
    <w:rsid w:val="00AF285B"/>
    <w:rsid w:val="00AF5770"/>
    <w:rsid w:val="00AF57FD"/>
    <w:rsid w:val="00AF5B3B"/>
    <w:rsid w:val="00AF6110"/>
    <w:rsid w:val="00AF6930"/>
    <w:rsid w:val="00AF6AC6"/>
    <w:rsid w:val="00AF6AE0"/>
    <w:rsid w:val="00B00611"/>
    <w:rsid w:val="00B0306A"/>
    <w:rsid w:val="00B036A0"/>
    <w:rsid w:val="00B04354"/>
    <w:rsid w:val="00B053C9"/>
    <w:rsid w:val="00B05611"/>
    <w:rsid w:val="00B06EDD"/>
    <w:rsid w:val="00B1015B"/>
    <w:rsid w:val="00B1126F"/>
    <w:rsid w:val="00B11EC6"/>
    <w:rsid w:val="00B1565D"/>
    <w:rsid w:val="00B225E9"/>
    <w:rsid w:val="00B239BD"/>
    <w:rsid w:val="00B2457C"/>
    <w:rsid w:val="00B249FC"/>
    <w:rsid w:val="00B2621D"/>
    <w:rsid w:val="00B27638"/>
    <w:rsid w:val="00B3102E"/>
    <w:rsid w:val="00B317E7"/>
    <w:rsid w:val="00B31C45"/>
    <w:rsid w:val="00B31E91"/>
    <w:rsid w:val="00B33A57"/>
    <w:rsid w:val="00B34083"/>
    <w:rsid w:val="00B34602"/>
    <w:rsid w:val="00B3483A"/>
    <w:rsid w:val="00B35155"/>
    <w:rsid w:val="00B3524B"/>
    <w:rsid w:val="00B35D62"/>
    <w:rsid w:val="00B37387"/>
    <w:rsid w:val="00B37728"/>
    <w:rsid w:val="00B406DA"/>
    <w:rsid w:val="00B419E5"/>
    <w:rsid w:val="00B45C64"/>
    <w:rsid w:val="00B462E7"/>
    <w:rsid w:val="00B46A32"/>
    <w:rsid w:val="00B46B29"/>
    <w:rsid w:val="00B47DD6"/>
    <w:rsid w:val="00B5036E"/>
    <w:rsid w:val="00B50B08"/>
    <w:rsid w:val="00B53547"/>
    <w:rsid w:val="00B53597"/>
    <w:rsid w:val="00B53941"/>
    <w:rsid w:val="00B54BA0"/>
    <w:rsid w:val="00B551B8"/>
    <w:rsid w:val="00B55D3E"/>
    <w:rsid w:val="00B60923"/>
    <w:rsid w:val="00B61131"/>
    <w:rsid w:val="00B619A8"/>
    <w:rsid w:val="00B620BC"/>
    <w:rsid w:val="00B62590"/>
    <w:rsid w:val="00B628B3"/>
    <w:rsid w:val="00B64CB1"/>
    <w:rsid w:val="00B66779"/>
    <w:rsid w:val="00B66CA4"/>
    <w:rsid w:val="00B6729F"/>
    <w:rsid w:val="00B67CDD"/>
    <w:rsid w:val="00B7167A"/>
    <w:rsid w:val="00B740C5"/>
    <w:rsid w:val="00B74A09"/>
    <w:rsid w:val="00B76B80"/>
    <w:rsid w:val="00B77EFE"/>
    <w:rsid w:val="00B8029A"/>
    <w:rsid w:val="00B805A7"/>
    <w:rsid w:val="00B80AFA"/>
    <w:rsid w:val="00B82136"/>
    <w:rsid w:val="00B82607"/>
    <w:rsid w:val="00B82627"/>
    <w:rsid w:val="00B857DE"/>
    <w:rsid w:val="00B861B4"/>
    <w:rsid w:val="00B90AA7"/>
    <w:rsid w:val="00B91B3B"/>
    <w:rsid w:val="00B91EF5"/>
    <w:rsid w:val="00B936FA"/>
    <w:rsid w:val="00B94335"/>
    <w:rsid w:val="00B94D55"/>
    <w:rsid w:val="00B950F4"/>
    <w:rsid w:val="00BA1D15"/>
    <w:rsid w:val="00BA1EBA"/>
    <w:rsid w:val="00BA2E7E"/>
    <w:rsid w:val="00BA37E1"/>
    <w:rsid w:val="00BA39AA"/>
    <w:rsid w:val="00BA3C8F"/>
    <w:rsid w:val="00BA553A"/>
    <w:rsid w:val="00BA65E5"/>
    <w:rsid w:val="00BA7781"/>
    <w:rsid w:val="00BB09DF"/>
    <w:rsid w:val="00BB2973"/>
    <w:rsid w:val="00BB2A2C"/>
    <w:rsid w:val="00BB3FC5"/>
    <w:rsid w:val="00BB4902"/>
    <w:rsid w:val="00BB4E4A"/>
    <w:rsid w:val="00BB6A25"/>
    <w:rsid w:val="00BC116E"/>
    <w:rsid w:val="00BC25D6"/>
    <w:rsid w:val="00BC2B3B"/>
    <w:rsid w:val="00BC4579"/>
    <w:rsid w:val="00BC4739"/>
    <w:rsid w:val="00BC4AF5"/>
    <w:rsid w:val="00BC50D7"/>
    <w:rsid w:val="00BC5158"/>
    <w:rsid w:val="00BC76B9"/>
    <w:rsid w:val="00BC7E01"/>
    <w:rsid w:val="00BD2612"/>
    <w:rsid w:val="00BD373F"/>
    <w:rsid w:val="00BD3D24"/>
    <w:rsid w:val="00BD690D"/>
    <w:rsid w:val="00BD7871"/>
    <w:rsid w:val="00BE0395"/>
    <w:rsid w:val="00BE1776"/>
    <w:rsid w:val="00BE3FFD"/>
    <w:rsid w:val="00BE4C49"/>
    <w:rsid w:val="00BE52A1"/>
    <w:rsid w:val="00BE5D88"/>
    <w:rsid w:val="00BE65FD"/>
    <w:rsid w:val="00BF01F9"/>
    <w:rsid w:val="00BF13B3"/>
    <w:rsid w:val="00BF140E"/>
    <w:rsid w:val="00BF20B6"/>
    <w:rsid w:val="00BF2C3A"/>
    <w:rsid w:val="00BF3317"/>
    <w:rsid w:val="00BF371B"/>
    <w:rsid w:val="00BF413D"/>
    <w:rsid w:val="00BF4C5B"/>
    <w:rsid w:val="00BF4D89"/>
    <w:rsid w:val="00BF4DE0"/>
    <w:rsid w:val="00BF6677"/>
    <w:rsid w:val="00C0018A"/>
    <w:rsid w:val="00C00905"/>
    <w:rsid w:val="00C00E33"/>
    <w:rsid w:val="00C035B5"/>
    <w:rsid w:val="00C03B58"/>
    <w:rsid w:val="00C0751D"/>
    <w:rsid w:val="00C104C9"/>
    <w:rsid w:val="00C11ABD"/>
    <w:rsid w:val="00C12197"/>
    <w:rsid w:val="00C13387"/>
    <w:rsid w:val="00C14D9D"/>
    <w:rsid w:val="00C14FB2"/>
    <w:rsid w:val="00C15321"/>
    <w:rsid w:val="00C16141"/>
    <w:rsid w:val="00C164ED"/>
    <w:rsid w:val="00C176AC"/>
    <w:rsid w:val="00C21B5E"/>
    <w:rsid w:val="00C21EF9"/>
    <w:rsid w:val="00C222F7"/>
    <w:rsid w:val="00C22CDF"/>
    <w:rsid w:val="00C24121"/>
    <w:rsid w:val="00C24839"/>
    <w:rsid w:val="00C2590E"/>
    <w:rsid w:val="00C26442"/>
    <w:rsid w:val="00C2733C"/>
    <w:rsid w:val="00C27C23"/>
    <w:rsid w:val="00C3103B"/>
    <w:rsid w:val="00C32851"/>
    <w:rsid w:val="00C335CC"/>
    <w:rsid w:val="00C33E2D"/>
    <w:rsid w:val="00C34E63"/>
    <w:rsid w:val="00C3583B"/>
    <w:rsid w:val="00C35981"/>
    <w:rsid w:val="00C374CB"/>
    <w:rsid w:val="00C40202"/>
    <w:rsid w:val="00C40739"/>
    <w:rsid w:val="00C4192A"/>
    <w:rsid w:val="00C41C84"/>
    <w:rsid w:val="00C42937"/>
    <w:rsid w:val="00C436F9"/>
    <w:rsid w:val="00C43ACF"/>
    <w:rsid w:val="00C444A7"/>
    <w:rsid w:val="00C451AC"/>
    <w:rsid w:val="00C46040"/>
    <w:rsid w:val="00C4779A"/>
    <w:rsid w:val="00C5025D"/>
    <w:rsid w:val="00C50795"/>
    <w:rsid w:val="00C507C4"/>
    <w:rsid w:val="00C50962"/>
    <w:rsid w:val="00C51A64"/>
    <w:rsid w:val="00C54101"/>
    <w:rsid w:val="00C54401"/>
    <w:rsid w:val="00C5468F"/>
    <w:rsid w:val="00C54DAB"/>
    <w:rsid w:val="00C554D4"/>
    <w:rsid w:val="00C5643B"/>
    <w:rsid w:val="00C56EC9"/>
    <w:rsid w:val="00C57225"/>
    <w:rsid w:val="00C60EEE"/>
    <w:rsid w:val="00C61B02"/>
    <w:rsid w:val="00C628B8"/>
    <w:rsid w:val="00C62FF7"/>
    <w:rsid w:val="00C64EFE"/>
    <w:rsid w:val="00C64FE6"/>
    <w:rsid w:val="00C65015"/>
    <w:rsid w:val="00C65772"/>
    <w:rsid w:val="00C664E6"/>
    <w:rsid w:val="00C70B4C"/>
    <w:rsid w:val="00C713B3"/>
    <w:rsid w:val="00C719A2"/>
    <w:rsid w:val="00C71D6F"/>
    <w:rsid w:val="00C7202B"/>
    <w:rsid w:val="00C72165"/>
    <w:rsid w:val="00C72C50"/>
    <w:rsid w:val="00C755CC"/>
    <w:rsid w:val="00C75957"/>
    <w:rsid w:val="00C75D41"/>
    <w:rsid w:val="00C764C2"/>
    <w:rsid w:val="00C7756D"/>
    <w:rsid w:val="00C77CCF"/>
    <w:rsid w:val="00C814DA"/>
    <w:rsid w:val="00C828C5"/>
    <w:rsid w:val="00C83041"/>
    <w:rsid w:val="00C84969"/>
    <w:rsid w:val="00C84C81"/>
    <w:rsid w:val="00C87ACA"/>
    <w:rsid w:val="00C90039"/>
    <w:rsid w:val="00C90B42"/>
    <w:rsid w:val="00C92FC0"/>
    <w:rsid w:val="00C9456B"/>
    <w:rsid w:val="00C9475D"/>
    <w:rsid w:val="00C94D00"/>
    <w:rsid w:val="00C95056"/>
    <w:rsid w:val="00C951FD"/>
    <w:rsid w:val="00C957E8"/>
    <w:rsid w:val="00C96D86"/>
    <w:rsid w:val="00CA11B0"/>
    <w:rsid w:val="00CA1F51"/>
    <w:rsid w:val="00CA2CA8"/>
    <w:rsid w:val="00CA3C17"/>
    <w:rsid w:val="00CA6C1C"/>
    <w:rsid w:val="00CA7E3B"/>
    <w:rsid w:val="00CA7F28"/>
    <w:rsid w:val="00CB073B"/>
    <w:rsid w:val="00CB0768"/>
    <w:rsid w:val="00CB08D0"/>
    <w:rsid w:val="00CB0E8B"/>
    <w:rsid w:val="00CB0EF2"/>
    <w:rsid w:val="00CB131F"/>
    <w:rsid w:val="00CB1DD7"/>
    <w:rsid w:val="00CB22E2"/>
    <w:rsid w:val="00CB2B36"/>
    <w:rsid w:val="00CB380C"/>
    <w:rsid w:val="00CB42EC"/>
    <w:rsid w:val="00CB4DCD"/>
    <w:rsid w:val="00CB4F2D"/>
    <w:rsid w:val="00CB5CDA"/>
    <w:rsid w:val="00CB672C"/>
    <w:rsid w:val="00CC052A"/>
    <w:rsid w:val="00CC0CE8"/>
    <w:rsid w:val="00CC0D52"/>
    <w:rsid w:val="00CC1690"/>
    <w:rsid w:val="00CC5A8A"/>
    <w:rsid w:val="00CC665A"/>
    <w:rsid w:val="00CC6C67"/>
    <w:rsid w:val="00CD00FE"/>
    <w:rsid w:val="00CD0391"/>
    <w:rsid w:val="00CD03DF"/>
    <w:rsid w:val="00CD0A62"/>
    <w:rsid w:val="00CD0DD1"/>
    <w:rsid w:val="00CD174D"/>
    <w:rsid w:val="00CD4AB2"/>
    <w:rsid w:val="00CE0343"/>
    <w:rsid w:val="00CE04A0"/>
    <w:rsid w:val="00CE0A11"/>
    <w:rsid w:val="00CE137C"/>
    <w:rsid w:val="00CE34DC"/>
    <w:rsid w:val="00CE5F4D"/>
    <w:rsid w:val="00CE6586"/>
    <w:rsid w:val="00CE6F54"/>
    <w:rsid w:val="00CE74E9"/>
    <w:rsid w:val="00CE7B49"/>
    <w:rsid w:val="00CF00A8"/>
    <w:rsid w:val="00CF07F2"/>
    <w:rsid w:val="00CF284E"/>
    <w:rsid w:val="00CF2A3C"/>
    <w:rsid w:val="00CF32B5"/>
    <w:rsid w:val="00CF33ED"/>
    <w:rsid w:val="00CF43CE"/>
    <w:rsid w:val="00CF69C7"/>
    <w:rsid w:val="00CF7635"/>
    <w:rsid w:val="00CF76EC"/>
    <w:rsid w:val="00D0182F"/>
    <w:rsid w:val="00D02544"/>
    <w:rsid w:val="00D02751"/>
    <w:rsid w:val="00D048ED"/>
    <w:rsid w:val="00D060E5"/>
    <w:rsid w:val="00D07FB4"/>
    <w:rsid w:val="00D07FD2"/>
    <w:rsid w:val="00D10040"/>
    <w:rsid w:val="00D10F64"/>
    <w:rsid w:val="00D128DA"/>
    <w:rsid w:val="00D14D11"/>
    <w:rsid w:val="00D16AD1"/>
    <w:rsid w:val="00D211D1"/>
    <w:rsid w:val="00D21FA8"/>
    <w:rsid w:val="00D236B7"/>
    <w:rsid w:val="00D23E48"/>
    <w:rsid w:val="00D244BE"/>
    <w:rsid w:val="00D26184"/>
    <w:rsid w:val="00D27A66"/>
    <w:rsid w:val="00D307F5"/>
    <w:rsid w:val="00D30E7A"/>
    <w:rsid w:val="00D3295B"/>
    <w:rsid w:val="00D32CF2"/>
    <w:rsid w:val="00D3315D"/>
    <w:rsid w:val="00D35963"/>
    <w:rsid w:val="00D3690F"/>
    <w:rsid w:val="00D37844"/>
    <w:rsid w:val="00D379DE"/>
    <w:rsid w:val="00D37BD9"/>
    <w:rsid w:val="00D37EE6"/>
    <w:rsid w:val="00D4003D"/>
    <w:rsid w:val="00D40166"/>
    <w:rsid w:val="00D404AF"/>
    <w:rsid w:val="00D40BCB"/>
    <w:rsid w:val="00D40C99"/>
    <w:rsid w:val="00D42A42"/>
    <w:rsid w:val="00D43096"/>
    <w:rsid w:val="00D4367D"/>
    <w:rsid w:val="00D438B5"/>
    <w:rsid w:val="00D43F15"/>
    <w:rsid w:val="00D43F29"/>
    <w:rsid w:val="00D443F4"/>
    <w:rsid w:val="00D44FD2"/>
    <w:rsid w:val="00D46AB2"/>
    <w:rsid w:val="00D46F93"/>
    <w:rsid w:val="00D47815"/>
    <w:rsid w:val="00D47E90"/>
    <w:rsid w:val="00D50915"/>
    <w:rsid w:val="00D518AA"/>
    <w:rsid w:val="00D520FA"/>
    <w:rsid w:val="00D522E5"/>
    <w:rsid w:val="00D52FDA"/>
    <w:rsid w:val="00D538AA"/>
    <w:rsid w:val="00D53C1B"/>
    <w:rsid w:val="00D540FD"/>
    <w:rsid w:val="00D569D4"/>
    <w:rsid w:val="00D56ADC"/>
    <w:rsid w:val="00D56D58"/>
    <w:rsid w:val="00D5743C"/>
    <w:rsid w:val="00D60C97"/>
    <w:rsid w:val="00D60EC7"/>
    <w:rsid w:val="00D61CF1"/>
    <w:rsid w:val="00D626A4"/>
    <w:rsid w:val="00D62A2C"/>
    <w:rsid w:val="00D6436A"/>
    <w:rsid w:val="00D64C15"/>
    <w:rsid w:val="00D656EB"/>
    <w:rsid w:val="00D66B7C"/>
    <w:rsid w:val="00D67212"/>
    <w:rsid w:val="00D679D5"/>
    <w:rsid w:val="00D70C5D"/>
    <w:rsid w:val="00D72B81"/>
    <w:rsid w:val="00D73B6D"/>
    <w:rsid w:val="00D73EBC"/>
    <w:rsid w:val="00D74CD4"/>
    <w:rsid w:val="00D74F01"/>
    <w:rsid w:val="00D75CE6"/>
    <w:rsid w:val="00D771FD"/>
    <w:rsid w:val="00D7796D"/>
    <w:rsid w:val="00D804AD"/>
    <w:rsid w:val="00D81890"/>
    <w:rsid w:val="00D818D3"/>
    <w:rsid w:val="00D81B18"/>
    <w:rsid w:val="00D8247B"/>
    <w:rsid w:val="00D82B9D"/>
    <w:rsid w:val="00D83541"/>
    <w:rsid w:val="00D83784"/>
    <w:rsid w:val="00D84126"/>
    <w:rsid w:val="00D87570"/>
    <w:rsid w:val="00D906CB"/>
    <w:rsid w:val="00D906D8"/>
    <w:rsid w:val="00D924C8"/>
    <w:rsid w:val="00D93A16"/>
    <w:rsid w:val="00D9434E"/>
    <w:rsid w:val="00D9496D"/>
    <w:rsid w:val="00D97253"/>
    <w:rsid w:val="00D97693"/>
    <w:rsid w:val="00D97725"/>
    <w:rsid w:val="00DA0768"/>
    <w:rsid w:val="00DA161A"/>
    <w:rsid w:val="00DA1778"/>
    <w:rsid w:val="00DA2092"/>
    <w:rsid w:val="00DA379B"/>
    <w:rsid w:val="00DA5A94"/>
    <w:rsid w:val="00DA6011"/>
    <w:rsid w:val="00DA6790"/>
    <w:rsid w:val="00DA68B1"/>
    <w:rsid w:val="00DA741C"/>
    <w:rsid w:val="00DA7740"/>
    <w:rsid w:val="00DB2355"/>
    <w:rsid w:val="00DB3744"/>
    <w:rsid w:val="00DB3BB4"/>
    <w:rsid w:val="00DB3CD6"/>
    <w:rsid w:val="00DB4998"/>
    <w:rsid w:val="00DB4B0D"/>
    <w:rsid w:val="00DB6722"/>
    <w:rsid w:val="00DB6AFC"/>
    <w:rsid w:val="00DC0C24"/>
    <w:rsid w:val="00DC0F02"/>
    <w:rsid w:val="00DC0F8D"/>
    <w:rsid w:val="00DC1469"/>
    <w:rsid w:val="00DC1D7A"/>
    <w:rsid w:val="00DC1EB9"/>
    <w:rsid w:val="00DC1F20"/>
    <w:rsid w:val="00DC2284"/>
    <w:rsid w:val="00DC299A"/>
    <w:rsid w:val="00DC3541"/>
    <w:rsid w:val="00DC3CA4"/>
    <w:rsid w:val="00DC49C9"/>
    <w:rsid w:val="00DC4EFC"/>
    <w:rsid w:val="00DC5FD2"/>
    <w:rsid w:val="00DC65B4"/>
    <w:rsid w:val="00DC6CEB"/>
    <w:rsid w:val="00DC7F29"/>
    <w:rsid w:val="00DD0950"/>
    <w:rsid w:val="00DD0A02"/>
    <w:rsid w:val="00DD0E44"/>
    <w:rsid w:val="00DD216A"/>
    <w:rsid w:val="00DD451F"/>
    <w:rsid w:val="00DD626C"/>
    <w:rsid w:val="00DD6C46"/>
    <w:rsid w:val="00DD6F25"/>
    <w:rsid w:val="00DD78D7"/>
    <w:rsid w:val="00DE37C1"/>
    <w:rsid w:val="00DE4578"/>
    <w:rsid w:val="00DE4725"/>
    <w:rsid w:val="00DE6B83"/>
    <w:rsid w:val="00DE6D22"/>
    <w:rsid w:val="00DF04EE"/>
    <w:rsid w:val="00DF0A5E"/>
    <w:rsid w:val="00DF0BFB"/>
    <w:rsid w:val="00DF1035"/>
    <w:rsid w:val="00DF18A9"/>
    <w:rsid w:val="00DF289F"/>
    <w:rsid w:val="00DF3E35"/>
    <w:rsid w:val="00DF4924"/>
    <w:rsid w:val="00DF541A"/>
    <w:rsid w:val="00DF59BC"/>
    <w:rsid w:val="00E0013F"/>
    <w:rsid w:val="00E00915"/>
    <w:rsid w:val="00E019C7"/>
    <w:rsid w:val="00E01CE6"/>
    <w:rsid w:val="00E02115"/>
    <w:rsid w:val="00E02702"/>
    <w:rsid w:val="00E03185"/>
    <w:rsid w:val="00E0372E"/>
    <w:rsid w:val="00E03ED5"/>
    <w:rsid w:val="00E06243"/>
    <w:rsid w:val="00E07169"/>
    <w:rsid w:val="00E07BDE"/>
    <w:rsid w:val="00E10C58"/>
    <w:rsid w:val="00E15471"/>
    <w:rsid w:val="00E15F52"/>
    <w:rsid w:val="00E167D1"/>
    <w:rsid w:val="00E1688C"/>
    <w:rsid w:val="00E17305"/>
    <w:rsid w:val="00E177C5"/>
    <w:rsid w:val="00E2033B"/>
    <w:rsid w:val="00E20615"/>
    <w:rsid w:val="00E212B6"/>
    <w:rsid w:val="00E21E52"/>
    <w:rsid w:val="00E221D7"/>
    <w:rsid w:val="00E22665"/>
    <w:rsid w:val="00E23D69"/>
    <w:rsid w:val="00E23DFF"/>
    <w:rsid w:val="00E251C7"/>
    <w:rsid w:val="00E2538B"/>
    <w:rsid w:val="00E25394"/>
    <w:rsid w:val="00E256FF"/>
    <w:rsid w:val="00E25AC7"/>
    <w:rsid w:val="00E26DC8"/>
    <w:rsid w:val="00E2732C"/>
    <w:rsid w:val="00E27A91"/>
    <w:rsid w:val="00E30203"/>
    <w:rsid w:val="00E30499"/>
    <w:rsid w:val="00E30992"/>
    <w:rsid w:val="00E30B51"/>
    <w:rsid w:val="00E30DA5"/>
    <w:rsid w:val="00E31ABA"/>
    <w:rsid w:val="00E324BB"/>
    <w:rsid w:val="00E32574"/>
    <w:rsid w:val="00E338E8"/>
    <w:rsid w:val="00E33D13"/>
    <w:rsid w:val="00E34094"/>
    <w:rsid w:val="00E34D39"/>
    <w:rsid w:val="00E35FCE"/>
    <w:rsid w:val="00E377E8"/>
    <w:rsid w:val="00E37D7F"/>
    <w:rsid w:val="00E4261F"/>
    <w:rsid w:val="00E42F2A"/>
    <w:rsid w:val="00E43464"/>
    <w:rsid w:val="00E44B01"/>
    <w:rsid w:val="00E44D4C"/>
    <w:rsid w:val="00E46612"/>
    <w:rsid w:val="00E47828"/>
    <w:rsid w:val="00E47A69"/>
    <w:rsid w:val="00E52112"/>
    <w:rsid w:val="00E52532"/>
    <w:rsid w:val="00E5266F"/>
    <w:rsid w:val="00E55539"/>
    <w:rsid w:val="00E556BD"/>
    <w:rsid w:val="00E56385"/>
    <w:rsid w:val="00E56ED6"/>
    <w:rsid w:val="00E5714D"/>
    <w:rsid w:val="00E571BB"/>
    <w:rsid w:val="00E6123C"/>
    <w:rsid w:val="00E616F0"/>
    <w:rsid w:val="00E6384A"/>
    <w:rsid w:val="00E65B65"/>
    <w:rsid w:val="00E70174"/>
    <w:rsid w:val="00E718BC"/>
    <w:rsid w:val="00E74435"/>
    <w:rsid w:val="00E752A8"/>
    <w:rsid w:val="00E758AD"/>
    <w:rsid w:val="00E77D4E"/>
    <w:rsid w:val="00E80767"/>
    <w:rsid w:val="00E817F3"/>
    <w:rsid w:val="00E83E4D"/>
    <w:rsid w:val="00E863B4"/>
    <w:rsid w:val="00E86D72"/>
    <w:rsid w:val="00E87C8D"/>
    <w:rsid w:val="00E90AC9"/>
    <w:rsid w:val="00E91860"/>
    <w:rsid w:val="00E91BE7"/>
    <w:rsid w:val="00E92E74"/>
    <w:rsid w:val="00E93803"/>
    <w:rsid w:val="00E93FFE"/>
    <w:rsid w:val="00E95223"/>
    <w:rsid w:val="00E954B7"/>
    <w:rsid w:val="00E96FDB"/>
    <w:rsid w:val="00EA0679"/>
    <w:rsid w:val="00EA08AE"/>
    <w:rsid w:val="00EA107B"/>
    <w:rsid w:val="00EA229F"/>
    <w:rsid w:val="00EA2F02"/>
    <w:rsid w:val="00EA39FE"/>
    <w:rsid w:val="00EB0305"/>
    <w:rsid w:val="00EB036E"/>
    <w:rsid w:val="00EB08D1"/>
    <w:rsid w:val="00EB09BE"/>
    <w:rsid w:val="00EB2323"/>
    <w:rsid w:val="00EB2AA7"/>
    <w:rsid w:val="00EB2DC2"/>
    <w:rsid w:val="00EB4491"/>
    <w:rsid w:val="00EB5957"/>
    <w:rsid w:val="00EB62E9"/>
    <w:rsid w:val="00EB6DBD"/>
    <w:rsid w:val="00EC0E1D"/>
    <w:rsid w:val="00EC16F1"/>
    <w:rsid w:val="00EC1771"/>
    <w:rsid w:val="00EC2F7A"/>
    <w:rsid w:val="00EC45FA"/>
    <w:rsid w:val="00ED05D6"/>
    <w:rsid w:val="00ED0C6F"/>
    <w:rsid w:val="00ED1A80"/>
    <w:rsid w:val="00ED20F9"/>
    <w:rsid w:val="00ED2FCC"/>
    <w:rsid w:val="00ED3215"/>
    <w:rsid w:val="00ED4523"/>
    <w:rsid w:val="00ED6408"/>
    <w:rsid w:val="00ED69A4"/>
    <w:rsid w:val="00ED6B02"/>
    <w:rsid w:val="00ED7B2B"/>
    <w:rsid w:val="00EE007F"/>
    <w:rsid w:val="00EE0914"/>
    <w:rsid w:val="00EE0927"/>
    <w:rsid w:val="00EE2F46"/>
    <w:rsid w:val="00EE33AD"/>
    <w:rsid w:val="00EE3438"/>
    <w:rsid w:val="00EE353B"/>
    <w:rsid w:val="00EE414B"/>
    <w:rsid w:val="00EE57FC"/>
    <w:rsid w:val="00EE5859"/>
    <w:rsid w:val="00EE5E4E"/>
    <w:rsid w:val="00EE5F75"/>
    <w:rsid w:val="00EE6861"/>
    <w:rsid w:val="00EE6A73"/>
    <w:rsid w:val="00EE79A9"/>
    <w:rsid w:val="00EF2722"/>
    <w:rsid w:val="00EF420F"/>
    <w:rsid w:val="00EF4C18"/>
    <w:rsid w:val="00EF6805"/>
    <w:rsid w:val="00EF7A8C"/>
    <w:rsid w:val="00F00508"/>
    <w:rsid w:val="00F014D4"/>
    <w:rsid w:val="00F01E52"/>
    <w:rsid w:val="00F01E9B"/>
    <w:rsid w:val="00F039B0"/>
    <w:rsid w:val="00F042DC"/>
    <w:rsid w:val="00F04D7C"/>
    <w:rsid w:val="00F050D7"/>
    <w:rsid w:val="00F07099"/>
    <w:rsid w:val="00F105EA"/>
    <w:rsid w:val="00F11117"/>
    <w:rsid w:val="00F120B9"/>
    <w:rsid w:val="00F12541"/>
    <w:rsid w:val="00F132D6"/>
    <w:rsid w:val="00F15249"/>
    <w:rsid w:val="00F15B73"/>
    <w:rsid w:val="00F15E4C"/>
    <w:rsid w:val="00F16D06"/>
    <w:rsid w:val="00F206B8"/>
    <w:rsid w:val="00F22035"/>
    <w:rsid w:val="00F22D18"/>
    <w:rsid w:val="00F24C06"/>
    <w:rsid w:val="00F2716F"/>
    <w:rsid w:val="00F311ED"/>
    <w:rsid w:val="00F3147C"/>
    <w:rsid w:val="00F31F71"/>
    <w:rsid w:val="00F3206D"/>
    <w:rsid w:val="00F32969"/>
    <w:rsid w:val="00F33337"/>
    <w:rsid w:val="00F3399C"/>
    <w:rsid w:val="00F33D1A"/>
    <w:rsid w:val="00F34300"/>
    <w:rsid w:val="00F36C87"/>
    <w:rsid w:val="00F36F6C"/>
    <w:rsid w:val="00F37C86"/>
    <w:rsid w:val="00F40604"/>
    <w:rsid w:val="00F4138F"/>
    <w:rsid w:val="00F413A6"/>
    <w:rsid w:val="00F41402"/>
    <w:rsid w:val="00F41A03"/>
    <w:rsid w:val="00F4575F"/>
    <w:rsid w:val="00F46927"/>
    <w:rsid w:val="00F4698A"/>
    <w:rsid w:val="00F47EC7"/>
    <w:rsid w:val="00F47F40"/>
    <w:rsid w:val="00F52218"/>
    <w:rsid w:val="00F5354C"/>
    <w:rsid w:val="00F536C7"/>
    <w:rsid w:val="00F543C8"/>
    <w:rsid w:val="00F55179"/>
    <w:rsid w:val="00F55854"/>
    <w:rsid w:val="00F56813"/>
    <w:rsid w:val="00F5762D"/>
    <w:rsid w:val="00F60B24"/>
    <w:rsid w:val="00F60F9B"/>
    <w:rsid w:val="00F61142"/>
    <w:rsid w:val="00F6153C"/>
    <w:rsid w:val="00F615BF"/>
    <w:rsid w:val="00F63CBA"/>
    <w:rsid w:val="00F64602"/>
    <w:rsid w:val="00F6718F"/>
    <w:rsid w:val="00F675AB"/>
    <w:rsid w:val="00F67859"/>
    <w:rsid w:val="00F70110"/>
    <w:rsid w:val="00F71663"/>
    <w:rsid w:val="00F72C93"/>
    <w:rsid w:val="00F73054"/>
    <w:rsid w:val="00F746ED"/>
    <w:rsid w:val="00F756C8"/>
    <w:rsid w:val="00F76AC5"/>
    <w:rsid w:val="00F77C19"/>
    <w:rsid w:val="00F8016E"/>
    <w:rsid w:val="00F80924"/>
    <w:rsid w:val="00F80A88"/>
    <w:rsid w:val="00F812F3"/>
    <w:rsid w:val="00F81BFC"/>
    <w:rsid w:val="00F823F5"/>
    <w:rsid w:val="00F82983"/>
    <w:rsid w:val="00F8566A"/>
    <w:rsid w:val="00F87A23"/>
    <w:rsid w:val="00F90CA8"/>
    <w:rsid w:val="00F91524"/>
    <w:rsid w:val="00F9170D"/>
    <w:rsid w:val="00F92355"/>
    <w:rsid w:val="00F92750"/>
    <w:rsid w:val="00F93621"/>
    <w:rsid w:val="00F94368"/>
    <w:rsid w:val="00F9494C"/>
    <w:rsid w:val="00F94CD2"/>
    <w:rsid w:val="00F953A4"/>
    <w:rsid w:val="00F97F53"/>
    <w:rsid w:val="00FA0413"/>
    <w:rsid w:val="00FA0E93"/>
    <w:rsid w:val="00FA1370"/>
    <w:rsid w:val="00FA15C8"/>
    <w:rsid w:val="00FA17CE"/>
    <w:rsid w:val="00FA2D86"/>
    <w:rsid w:val="00FA348C"/>
    <w:rsid w:val="00FA3910"/>
    <w:rsid w:val="00FA4938"/>
    <w:rsid w:val="00FA4EDA"/>
    <w:rsid w:val="00FA79AE"/>
    <w:rsid w:val="00FB00D9"/>
    <w:rsid w:val="00FB00EF"/>
    <w:rsid w:val="00FB0A76"/>
    <w:rsid w:val="00FB0AD8"/>
    <w:rsid w:val="00FB1198"/>
    <w:rsid w:val="00FB15DF"/>
    <w:rsid w:val="00FB247A"/>
    <w:rsid w:val="00FB2922"/>
    <w:rsid w:val="00FB2B01"/>
    <w:rsid w:val="00FB31B4"/>
    <w:rsid w:val="00FB3527"/>
    <w:rsid w:val="00FB426D"/>
    <w:rsid w:val="00FB44D2"/>
    <w:rsid w:val="00FB4DBB"/>
    <w:rsid w:val="00FB5D81"/>
    <w:rsid w:val="00FB5FD6"/>
    <w:rsid w:val="00FB6002"/>
    <w:rsid w:val="00FC0271"/>
    <w:rsid w:val="00FC0C2B"/>
    <w:rsid w:val="00FC2A5A"/>
    <w:rsid w:val="00FC2D08"/>
    <w:rsid w:val="00FC3103"/>
    <w:rsid w:val="00FC417E"/>
    <w:rsid w:val="00FC68CB"/>
    <w:rsid w:val="00FC6B84"/>
    <w:rsid w:val="00FC77C7"/>
    <w:rsid w:val="00FC7A79"/>
    <w:rsid w:val="00FD27CC"/>
    <w:rsid w:val="00FD3568"/>
    <w:rsid w:val="00FD44D3"/>
    <w:rsid w:val="00FD4E74"/>
    <w:rsid w:val="00FD54AD"/>
    <w:rsid w:val="00FD7D21"/>
    <w:rsid w:val="00FE269C"/>
    <w:rsid w:val="00FE2C17"/>
    <w:rsid w:val="00FE3160"/>
    <w:rsid w:val="00FE375D"/>
    <w:rsid w:val="00FE4A1D"/>
    <w:rsid w:val="00FE4A88"/>
    <w:rsid w:val="00FE4CB5"/>
    <w:rsid w:val="00FE6263"/>
    <w:rsid w:val="00FE62B2"/>
    <w:rsid w:val="00FE6F33"/>
    <w:rsid w:val="00FF072F"/>
    <w:rsid w:val="00FF471D"/>
    <w:rsid w:val="00FF5272"/>
    <w:rsid w:val="7992C7F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B90366"/>
  <w15:chartTrackingRefBased/>
  <w15:docId w15:val="{2E9131D3-877C-495D-96F6-2EA25D7A3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1EFB"/>
    <w:pPr>
      <w:tabs>
        <w:tab w:val="left" w:pos="567"/>
      </w:tabs>
      <w:spacing w:before="120" w:after="0" w:line="254" w:lineRule="auto"/>
    </w:pPr>
    <w:rPr>
      <w:rFonts w:ascii="Open Sans Light" w:hAnsi="Open Sans Light"/>
      <w:sz w:val="20"/>
    </w:rPr>
  </w:style>
  <w:style w:type="paragraph" w:styleId="Heading1">
    <w:name w:val="heading 1"/>
    <w:basedOn w:val="Normal"/>
    <w:next w:val="Normal"/>
    <w:link w:val="Heading1Char"/>
    <w:uiPriority w:val="9"/>
    <w:qFormat/>
    <w:rsid w:val="006672A1"/>
    <w:pPr>
      <w:keepNext/>
      <w:widowControl w:val="0"/>
      <w:tabs>
        <w:tab w:val="clear" w:pos="567"/>
        <w:tab w:val="left" w:pos="851"/>
      </w:tabs>
      <w:spacing w:line="240" w:lineRule="auto"/>
      <w:ind w:left="851" w:hanging="851"/>
      <w:outlineLvl w:val="0"/>
    </w:pPr>
    <w:rPr>
      <w:rFonts w:ascii="Montserrat Ultra Light" w:eastAsiaTheme="majorEastAsia" w:hAnsi="Montserrat Ultra Light" w:cstheme="majorBidi"/>
      <w:b/>
      <w:bCs/>
      <w:color w:val="004563"/>
      <w:sz w:val="56"/>
      <w:szCs w:val="28"/>
    </w:rPr>
  </w:style>
  <w:style w:type="paragraph" w:styleId="Heading2">
    <w:name w:val="heading 2"/>
    <w:basedOn w:val="Normal"/>
    <w:next w:val="Heading3"/>
    <w:link w:val="Heading2Char"/>
    <w:uiPriority w:val="9"/>
    <w:qFormat/>
    <w:rsid w:val="00D46F93"/>
    <w:pPr>
      <w:keepNext/>
      <w:widowControl w:val="0"/>
      <w:spacing w:after="120" w:line="240" w:lineRule="auto"/>
      <w:outlineLvl w:val="1"/>
    </w:pPr>
    <w:rPr>
      <w:rFonts w:ascii="Montserrat Ultra Light" w:eastAsiaTheme="majorEastAsia" w:hAnsi="Montserrat Ultra Light" w:cstheme="majorBidi"/>
      <w:b/>
      <w:bCs/>
      <w:color w:val="004563"/>
      <w:sz w:val="56"/>
      <w:szCs w:val="26"/>
    </w:rPr>
  </w:style>
  <w:style w:type="paragraph" w:styleId="Heading3">
    <w:name w:val="heading 3"/>
    <w:basedOn w:val="Normal"/>
    <w:next w:val="Heading4"/>
    <w:link w:val="Heading3Char"/>
    <w:uiPriority w:val="9"/>
    <w:qFormat/>
    <w:rsid w:val="00D46F93"/>
    <w:pPr>
      <w:keepNext/>
      <w:widowControl w:val="0"/>
      <w:spacing w:before="240" w:line="240" w:lineRule="auto"/>
      <w:outlineLvl w:val="2"/>
    </w:pPr>
    <w:rPr>
      <w:rFonts w:ascii="Montserrat Extra Bold" w:eastAsiaTheme="majorEastAsia" w:hAnsi="Montserrat Extra Bold" w:cstheme="majorBidi"/>
      <w:bCs/>
      <w:color w:val="004563"/>
      <w:sz w:val="32"/>
    </w:rPr>
  </w:style>
  <w:style w:type="paragraph" w:styleId="Heading4">
    <w:name w:val="heading 4"/>
    <w:basedOn w:val="Normal"/>
    <w:next w:val="Heading5"/>
    <w:link w:val="Heading4Char"/>
    <w:uiPriority w:val="9"/>
    <w:qFormat/>
    <w:rsid w:val="00D46F93"/>
    <w:pPr>
      <w:keepNext/>
      <w:widowControl w:val="0"/>
      <w:spacing w:before="240" w:line="240" w:lineRule="auto"/>
      <w:outlineLvl w:val="3"/>
    </w:pPr>
    <w:rPr>
      <w:rFonts w:ascii="Montserrat Semi Bold" w:eastAsiaTheme="majorEastAsia" w:hAnsi="Montserrat Semi Bold" w:cstheme="majorBidi"/>
      <w:bCs/>
      <w:iCs/>
      <w:color w:val="006991"/>
      <w:sz w:val="28"/>
    </w:rPr>
  </w:style>
  <w:style w:type="paragraph" w:styleId="Heading5">
    <w:name w:val="heading 5"/>
    <w:basedOn w:val="Normal"/>
    <w:next w:val="Heading6"/>
    <w:link w:val="Heading5Char"/>
    <w:uiPriority w:val="9"/>
    <w:qFormat/>
    <w:rsid w:val="00D46F93"/>
    <w:pPr>
      <w:keepNext/>
      <w:tabs>
        <w:tab w:val="clear" w:pos="567"/>
      </w:tabs>
      <w:outlineLvl w:val="4"/>
    </w:pPr>
    <w:rPr>
      <w:rFonts w:ascii="Montserrat Semi Bold" w:eastAsiaTheme="majorEastAsia" w:hAnsi="Montserrat Semi Bold" w:cstheme="majorBidi"/>
      <w:color w:val="636466"/>
      <w:sz w:val="24"/>
    </w:rPr>
  </w:style>
  <w:style w:type="paragraph" w:styleId="Heading6">
    <w:name w:val="heading 6"/>
    <w:basedOn w:val="Normal"/>
    <w:next w:val="Normal"/>
    <w:link w:val="Heading6Char"/>
    <w:uiPriority w:val="9"/>
    <w:qFormat/>
    <w:rsid w:val="00D46F93"/>
    <w:pPr>
      <w:keepNext/>
      <w:keepLines/>
      <w:outlineLvl w:val="5"/>
    </w:pPr>
    <w:rPr>
      <w:rFonts w:ascii="Montserrat Semi Bold" w:eastAsiaTheme="majorEastAsia" w:hAnsi="Montserrat Semi Bold" w:cstheme="majorBidi"/>
      <w:i/>
      <w:iCs/>
      <w:color w:val="636466"/>
    </w:rPr>
  </w:style>
  <w:style w:type="paragraph" w:styleId="Heading7">
    <w:name w:val="heading 7"/>
    <w:aliases w:val="(Do Not Use),top section heading,(TopSection),(TopSection)1,(TopSection)2,(TopSection)3,(TopSection)4,(TopSection)5,(TopSection)6,(TopSection)7,(TopSection)8,(TopSection)9,(TopSection)10,(TopSection)11,(TopSection)12,(TopSection)13"/>
    <w:basedOn w:val="Heading5"/>
    <w:next w:val="Normal"/>
    <w:link w:val="Heading7Char"/>
    <w:uiPriority w:val="9"/>
    <w:rsid w:val="00201B3A"/>
    <w:pPr>
      <w:keepLines/>
      <w:spacing w:before="200"/>
      <w:outlineLvl w:val="6"/>
    </w:pPr>
    <w:rPr>
      <w:i/>
      <w:iCs/>
      <w:color w:val="939598"/>
      <w:sz w:val="20"/>
    </w:rPr>
  </w:style>
  <w:style w:type="paragraph" w:styleId="Heading8">
    <w:name w:val="heading 8"/>
    <w:aliases w:val="(Do not use),(Sub-section Nos)"/>
    <w:basedOn w:val="Normal"/>
    <w:next w:val="Normal"/>
    <w:link w:val="Heading8Char"/>
    <w:rsid w:val="00765BA8"/>
    <w:pPr>
      <w:numPr>
        <w:ilvl w:val="7"/>
        <w:numId w:val="1"/>
      </w:numPr>
      <w:spacing w:before="240" w:after="60"/>
      <w:outlineLvl w:val="7"/>
    </w:pPr>
    <w:rPr>
      <w:rFonts w:ascii="Arial" w:hAnsi="Arial"/>
      <w:i/>
      <w:szCs w:val="20"/>
    </w:rPr>
  </w:style>
  <w:style w:type="paragraph" w:styleId="Heading9">
    <w:name w:val="heading 9"/>
    <w:aliases w:val="Heading 9 (Do not use),(Subsubsection Nos)"/>
    <w:basedOn w:val="Normal"/>
    <w:next w:val="Normal"/>
    <w:link w:val="Heading9Char"/>
    <w:rsid w:val="00765BA8"/>
    <w:pPr>
      <w:numPr>
        <w:ilvl w:val="8"/>
        <w:numId w:val="1"/>
      </w:numPr>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1">
    <w:name w:val="Publication title 1"/>
    <w:basedOn w:val="Normal"/>
    <w:next w:val="Normal"/>
    <w:rsid w:val="00D520FA"/>
    <w:pPr>
      <w:spacing w:line="240" w:lineRule="auto"/>
      <w:jc w:val="center"/>
    </w:pPr>
    <w:rPr>
      <w:rFonts w:ascii="Montserrat Extra Bold" w:hAnsi="Montserrat Extra Bold"/>
      <w:color w:val="004563"/>
      <w:sz w:val="60"/>
    </w:rPr>
  </w:style>
  <w:style w:type="paragraph" w:styleId="Caption">
    <w:name w:val="caption"/>
    <w:basedOn w:val="Normal"/>
    <w:next w:val="Normal"/>
    <w:link w:val="CaptionChar"/>
    <w:uiPriority w:val="35"/>
    <w:qFormat/>
    <w:rsid w:val="00F746ED"/>
    <w:pPr>
      <w:keepNext/>
      <w:keepLines/>
      <w:tabs>
        <w:tab w:val="clear" w:pos="567"/>
        <w:tab w:val="left" w:pos="1418"/>
      </w:tabs>
      <w:spacing w:before="240" w:after="120" w:line="240" w:lineRule="auto"/>
      <w:ind w:left="1418" w:hanging="1418"/>
    </w:pPr>
    <w:rPr>
      <w:rFonts w:ascii="Montserrat Light" w:hAnsi="Montserrat Light"/>
      <w:b/>
      <w:bCs/>
      <w:szCs w:val="20"/>
    </w:rPr>
  </w:style>
  <w:style w:type="paragraph" w:customStyle="1" w:styleId="Publicationtitle2">
    <w:name w:val="Publication title 2"/>
    <w:basedOn w:val="Publicationtitle1"/>
    <w:next w:val="Normal"/>
    <w:rsid w:val="00D520FA"/>
    <w:pPr>
      <w:spacing w:before="0"/>
    </w:pPr>
    <w:rPr>
      <w:rFonts w:ascii="Montserrat Ultra Light" w:hAnsi="Montserrat Ultra Light"/>
      <w:b/>
      <w:color w:val="60B5D7"/>
      <w:sz w:val="52"/>
    </w:rPr>
  </w:style>
  <w:style w:type="paragraph" w:customStyle="1" w:styleId="Publicationtitle3">
    <w:name w:val="Publication title 3"/>
    <w:basedOn w:val="Publicationtitle2"/>
    <w:next w:val="Normal"/>
    <w:rsid w:val="00D520FA"/>
    <w:pPr>
      <w:numPr>
        <w:numId w:val="10"/>
      </w:numPr>
      <w:tabs>
        <w:tab w:val="clear" w:pos="927"/>
      </w:tabs>
      <w:ind w:left="2061" w:hanging="360"/>
    </w:pPr>
    <w:rPr>
      <w:b w:val="0"/>
      <w:color w:val="004563"/>
    </w:rPr>
  </w:style>
  <w:style w:type="paragraph" w:customStyle="1" w:styleId="CGCTableFootnote">
    <w:name w:val="CGC Table Footnote"/>
    <w:basedOn w:val="Normal"/>
    <w:next w:val="Normal"/>
    <w:link w:val="CGCTableFootnoteChar"/>
    <w:qFormat/>
    <w:rsid w:val="00D46F93"/>
    <w:pPr>
      <w:tabs>
        <w:tab w:val="clear" w:pos="567"/>
        <w:tab w:val="left" w:pos="851"/>
      </w:tabs>
      <w:spacing w:before="0" w:line="240" w:lineRule="auto"/>
      <w:ind w:left="851" w:hanging="851"/>
    </w:pPr>
    <w:rPr>
      <w:szCs w:val="24"/>
    </w:rPr>
  </w:style>
  <w:style w:type="paragraph" w:customStyle="1" w:styleId="CGCTableHeading">
    <w:name w:val="CGC Table Heading"/>
    <w:basedOn w:val="Normal"/>
    <w:next w:val="Normal"/>
    <w:link w:val="CGCTableHeadingChar"/>
    <w:qFormat/>
    <w:rsid w:val="00F746ED"/>
    <w:pPr>
      <w:keepNext/>
      <w:keepLines/>
      <w:tabs>
        <w:tab w:val="clear" w:pos="567"/>
        <w:tab w:val="left" w:pos="1420"/>
      </w:tabs>
      <w:spacing w:before="240" w:after="120" w:line="240" w:lineRule="auto"/>
      <w:ind w:left="1418" w:hanging="1418"/>
    </w:pPr>
    <w:rPr>
      <w:rFonts w:ascii="Montserrat Ultra Light" w:hAnsi="Montserrat Ultra Light"/>
      <w:b/>
      <w:szCs w:val="20"/>
    </w:rPr>
  </w:style>
  <w:style w:type="paragraph" w:customStyle="1" w:styleId="TableRowNormal">
    <w:name w:val="TableRowNormal"/>
    <w:basedOn w:val="Normal"/>
    <w:link w:val="TableRowNormalChar"/>
    <w:rsid w:val="00765BA8"/>
    <w:pPr>
      <w:keepNext/>
      <w:keepLines/>
      <w:tabs>
        <w:tab w:val="left" w:pos="475"/>
        <w:tab w:val="left" w:pos="1440"/>
        <w:tab w:val="left" w:pos="2160"/>
        <w:tab w:val="left" w:pos="2880"/>
      </w:tabs>
      <w:spacing w:before="60" w:after="60" w:line="200" w:lineRule="atLeast"/>
      <w:ind w:left="144" w:hanging="144"/>
      <w:jc w:val="right"/>
    </w:pPr>
    <w:rPr>
      <w:szCs w:val="20"/>
    </w:rPr>
  </w:style>
  <w:style w:type="paragraph" w:customStyle="1" w:styleId="CGCTableStub">
    <w:name w:val="CGC Table Stub"/>
    <w:basedOn w:val="Normal"/>
    <w:link w:val="CGCTableStubChar"/>
    <w:qFormat/>
    <w:rsid w:val="00D46F93"/>
    <w:pPr>
      <w:keepNext/>
      <w:keepLines/>
      <w:tabs>
        <w:tab w:val="left" w:pos="284"/>
      </w:tabs>
      <w:spacing w:before="60" w:after="60" w:line="200" w:lineRule="atLeast"/>
    </w:pPr>
    <w:rPr>
      <w:rFonts w:asciiTheme="minorHAnsi" w:hAnsiTheme="minorHAnsi"/>
      <w:szCs w:val="20"/>
    </w:rPr>
  </w:style>
  <w:style w:type="paragraph" w:customStyle="1" w:styleId="CGCTableheader">
    <w:name w:val="CGC Table header"/>
    <w:basedOn w:val="CGCTablerow"/>
    <w:next w:val="Normal"/>
    <w:rsid w:val="00011803"/>
    <w:rPr>
      <w:rFonts w:ascii="Open Sans SemiBold" w:hAnsi="Open Sans SemiBold" w:cs="Open Sans SemiBold"/>
      <w:color w:val="FFFFFF" w:themeColor="background1"/>
      <w:lang w:val="en-US"/>
    </w:rPr>
  </w:style>
  <w:style w:type="character" w:styleId="FootnoteReference">
    <w:name w:val="footnote reference"/>
    <w:basedOn w:val="DefaultParagraphFont"/>
    <w:qFormat/>
    <w:rsid w:val="00D46F93"/>
    <w:rPr>
      <w:vertAlign w:val="superscript"/>
    </w:rPr>
  </w:style>
  <w:style w:type="paragraph" w:customStyle="1" w:styleId="CGCTablesubhead1">
    <w:name w:val="CGC Table subhead1"/>
    <w:basedOn w:val="Normal"/>
    <w:rsid w:val="00011803"/>
    <w:pPr>
      <w:spacing w:before="0" w:line="240" w:lineRule="auto"/>
    </w:pPr>
    <w:rPr>
      <w:rFonts w:ascii="Open Sans SemiBold" w:hAnsi="Open Sans SemiBold"/>
      <w:sz w:val="16"/>
      <w:lang w:val="en-US"/>
    </w:rPr>
  </w:style>
  <w:style w:type="paragraph" w:styleId="DocumentMap">
    <w:name w:val="Document Map"/>
    <w:basedOn w:val="Normal"/>
    <w:link w:val="DocumentMapChar"/>
    <w:rsid w:val="00765BA8"/>
    <w:pPr>
      <w:shd w:val="clear" w:color="auto" w:fill="000080"/>
    </w:pPr>
    <w:rPr>
      <w:rFonts w:ascii="Tahoma" w:hAnsi="Tahoma" w:cs="Tahoma"/>
      <w:szCs w:val="20"/>
    </w:rPr>
  </w:style>
  <w:style w:type="paragraph" w:styleId="ListParagraph">
    <w:name w:val="List Paragraph"/>
    <w:aliases w:val="List Paragraph1,Recommendation,List Paragraph11,Content descriptions,Bullet point"/>
    <w:basedOn w:val="Normal"/>
    <w:link w:val="ListParagraphChar"/>
    <w:uiPriority w:val="34"/>
    <w:qFormat/>
    <w:rsid w:val="006E1B81"/>
    <w:pPr>
      <w:ind w:left="720"/>
      <w:contextualSpacing/>
    </w:pPr>
  </w:style>
  <w:style w:type="paragraph" w:styleId="Footer">
    <w:name w:val="footer"/>
    <w:basedOn w:val="Normal"/>
    <w:link w:val="FooterChar"/>
    <w:uiPriority w:val="99"/>
    <w:unhideWhenUsed/>
    <w:rsid w:val="00011803"/>
    <w:pPr>
      <w:tabs>
        <w:tab w:val="center" w:pos="4513"/>
        <w:tab w:val="right" w:pos="9026"/>
      </w:tabs>
      <w:spacing w:before="0" w:line="240" w:lineRule="auto"/>
      <w:ind w:left="-284" w:right="-284"/>
      <w:jc w:val="right"/>
    </w:pPr>
    <w:rPr>
      <w:rFonts w:ascii="Montserrat Ultra Light" w:hAnsi="Montserrat Ultra Light"/>
      <w:b/>
      <w:color w:val="004563"/>
    </w:rPr>
  </w:style>
  <w:style w:type="paragraph" w:styleId="FootnoteText">
    <w:name w:val="footnote text"/>
    <w:basedOn w:val="Normal"/>
    <w:link w:val="FootnoteTextChar"/>
    <w:qFormat/>
    <w:rsid w:val="00321166"/>
    <w:pPr>
      <w:tabs>
        <w:tab w:val="clear" w:pos="567"/>
        <w:tab w:val="left" w:pos="227"/>
      </w:tabs>
      <w:spacing w:before="40" w:line="240" w:lineRule="auto"/>
      <w:ind w:left="227" w:hanging="227"/>
    </w:pPr>
    <w:rPr>
      <w:sz w:val="14"/>
      <w:szCs w:val="20"/>
    </w:rPr>
  </w:style>
  <w:style w:type="paragraph" w:styleId="Header">
    <w:name w:val="header"/>
    <w:basedOn w:val="Normal"/>
    <w:link w:val="HeaderChar"/>
    <w:uiPriority w:val="99"/>
    <w:unhideWhenUsed/>
    <w:rsid w:val="00F3399C"/>
    <w:pPr>
      <w:tabs>
        <w:tab w:val="clear" w:pos="567"/>
        <w:tab w:val="center" w:pos="4513"/>
        <w:tab w:val="right" w:pos="9026"/>
      </w:tabs>
      <w:spacing w:line="240" w:lineRule="auto"/>
    </w:pPr>
    <w:rPr>
      <w:rFonts w:ascii="Montserrat Ultra Light" w:hAnsi="Montserrat Ultra Light"/>
      <w:color w:val="004563"/>
    </w:rPr>
  </w:style>
  <w:style w:type="character" w:styleId="Hyperlink">
    <w:name w:val="Hyperlink"/>
    <w:basedOn w:val="DefaultParagraphFont"/>
    <w:uiPriority w:val="99"/>
    <w:unhideWhenUsed/>
    <w:qFormat/>
    <w:rsid w:val="00D46F93"/>
    <w:rPr>
      <w:color w:val="006991"/>
      <w:u w:val="single"/>
    </w:rPr>
  </w:style>
  <w:style w:type="paragraph" w:styleId="List">
    <w:name w:val="List"/>
    <w:basedOn w:val="Normal"/>
    <w:rsid w:val="003A27BB"/>
    <w:pPr>
      <w:numPr>
        <w:numId w:val="20"/>
      </w:numPr>
      <w:tabs>
        <w:tab w:val="num" w:pos="360"/>
      </w:tabs>
      <w:spacing w:line="300" w:lineRule="atLeast"/>
      <w:ind w:left="0" w:firstLine="0"/>
    </w:pPr>
  </w:style>
  <w:style w:type="paragraph" w:styleId="MacroText">
    <w:name w:val="macro"/>
    <w:link w:val="MacroTextChar"/>
    <w:rsid w:val="00765BA8"/>
    <w:pPr>
      <w:tabs>
        <w:tab w:val="left" w:pos="480"/>
        <w:tab w:val="left" w:pos="960"/>
        <w:tab w:val="left" w:pos="1440"/>
        <w:tab w:val="left" w:pos="1920"/>
        <w:tab w:val="left" w:pos="2400"/>
        <w:tab w:val="left" w:pos="2880"/>
        <w:tab w:val="left" w:pos="3360"/>
        <w:tab w:val="left" w:pos="3840"/>
        <w:tab w:val="left" w:pos="4320"/>
      </w:tabs>
      <w:spacing w:after="80" w:line="320" w:lineRule="atLeast"/>
    </w:pPr>
    <w:rPr>
      <w:rFonts w:ascii="Courier New" w:hAnsi="Courier New" w:cs="Courier New"/>
    </w:rPr>
  </w:style>
  <w:style w:type="character" w:styleId="PageNumber">
    <w:name w:val="page number"/>
    <w:basedOn w:val="DefaultParagraphFont"/>
    <w:rsid w:val="00F3399C"/>
    <w:rPr>
      <w:rFonts w:ascii="Montserrat Ultra Light" w:hAnsi="Montserrat Ultra Light"/>
      <w:color w:val="004563"/>
      <w:sz w:val="20"/>
    </w:rPr>
  </w:style>
  <w:style w:type="paragraph" w:customStyle="1" w:styleId="Single">
    <w:name w:val="Single"/>
    <w:basedOn w:val="Normal"/>
    <w:next w:val="Normal"/>
    <w:rsid w:val="00765BA8"/>
    <w:pPr>
      <w:spacing w:line="240" w:lineRule="auto"/>
    </w:pPr>
  </w:style>
  <w:style w:type="table" w:styleId="TableGrid">
    <w:name w:val="Table Grid"/>
    <w:basedOn w:val="TableNormal"/>
    <w:uiPriority w:val="39"/>
    <w:rsid w:val="0062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GCTablesubhead2">
    <w:name w:val="CGC Table subhead2"/>
    <w:basedOn w:val="Normal"/>
    <w:rsid w:val="00011803"/>
    <w:pPr>
      <w:spacing w:before="0" w:line="240" w:lineRule="auto"/>
    </w:pPr>
    <w:rPr>
      <w:rFonts w:ascii="Open Sans SemiBold" w:hAnsi="Open Sans SemiBold"/>
      <w:sz w:val="16"/>
      <w:lang w:val="en-US"/>
    </w:rPr>
  </w:style>
  <w:style w:type="paragraph" w:customStyle="1" w:styleId="TableRowUnits">
    <w:name w:val="TableRowUnits"/>
    <w:basedOn w:val="Normal"/>
    <w:rsid w:val="00765BA8"/>
    <w:pPr>
      <w:keepNext/>
      <w:keepLines/>
      <w:tabs>
        <w:tab w:val="left" w:pos="475"/>
        <w:tab w:val="left" w:pos="1440"/>
        <w:tab w:val="left" w:pos="2160"/>
        <w:tab w:val="left" w:pos="2880"/>
      </w:tabs>
      <w:spacing w:line="240" w:lineRule="auto"/>
      <w:jc w:val="right"/>
    </w:pPr>
    <w:rPr>
      <w:szCs w:val="20"/>
    </w:rPr>
  </w:style>
  <w:style w:type="paragraph" w:styleId="TOAHeading">
    <w:name w:val="toa heading"/>
    <w:basedOn w:val="Normal"/>
    <w:next w:val="Normal"/>
    <w:rsid w:val="00581586"/>
    <w:rPr>
      <w:rFonts w:cs="Arial"/>
      <w:b/>
      <w:bCs/>
    </w:rPr>
  </w:style>
  <w:style w:type="paragraph" w:styleId="TOC1">
    <w:name w:val="toc 1"/>
    <w:basedOn w:val="Normal"/>
    <w:next w:val="Normal"/>
    <w:uiPriority w:val="39"/>
    <w:rsid w:val="00AF6AE0"/>
    <w:pPr>
      <w:tabs>
        <w:tab w:val="clear" w:pos="567"/>
        <w:tab w:val="right" w:pos="8942"/>
      </w:tabs>
      <w:spacing w:before="80" w:line="240" w:lineRule="auto"/>
      <w:ind w:left="113"/>
    </w:pPr>
    <w:rPr>
      <w:rFonts w:ascii="Open Sans" w:hAnsi="Open Sans"/>
      <w:b/>
      <w:bCs/>
      <w:color w:val="636466"/>
      <w:szCs w:val="20"/>
    </w:rPr>
  </w:style>
  <w:style w:type="paragraph" w:styleId="TOC2">
    <w:name w:val="toc 2"/>
    <w:basedOn w:val="Normal"/>
    <w:next w:val="Normal"/>
    <w:uiPriority w:val="39"/>
    <w:rsid w:val="00581586"/>
    <w:pPr>
      <w:tabs>
        <w:tab w:val="clear" w:pos="567"/>
        <w:tab w:val="right" w:pos="8942"/>
      </w:tabs>
      <w:spacing w:before="0"/>
      <w:ind w:left="113"/>
    </w:pPr>
    <w:rPr>
      <w:rFonts w:ascii="Open Sans" w:hAnsi="Open Sans"/>
      <w:color w:val="636466"/>
      <w:szCs w:val="20"/>
    </w:rPr>
  </w:style>
  <w:style w:type="paragraph" w:styleId="TOC3">
    <w:name w:val="toc 3"/>
    <w:basedOn w:val="Normal"/>
    <w:next w:val="Normal"/>
    <w:uiPriority w:val="39"/>
    <w:rsid w:val="00581586"/>
    <w:pPr>
      <w:tabs>
        <w:tab w:val="clear" w:pos="567"/>
        <w:tab w:val="right" w:pos="8942"/>
      </w:tabs>
      <w:spacing w:before="40"/>
      <w:ind w:left="397"/>
    </w:pPr>
    <w:rPr>
      <w:iCs/>
      <w:color w:val="636466"/>
    </w:rPr>
  </w:style>
  <w:style w:type="paragraph" w:styleId="TOC4">
    <w:name w:val="toc 4"/>
    <w:basedOn w:val="Normal"/>
    <w:next w:val="Normal"/>
    <w:uiPriority w:val="39"/>
    <w:rsid w:val="00581586"/>
    <w:pPr>
      <w:tabs>
        <w:tab w:val="clear" w:pos="567"/>
        <w:tab w:val="right" w:pos="8942"/>
      </w:tabs>
      <w:spacing w:before="40" w:line="276" w:lineRule="auto"/>
      <w:ind w:left="680"/>
    </w:pPr>
    <w:rPr>
      <w:i/>
      <w:color w:val="636466"/>
    </w:rPr>
  </w:style>
  <w:style w:type="paragraph" w:styleId="TOC5">
    <w:name w:val="toc 5"/>
    <w:basedOn w:val="Normal"/>
    <w:next w:val="Normal"/>
    <w:autoRedefine/>
    <w:uiPriority w:val="39"/>
    <w:unhideWhenUsed/>
    <w:rsid w:val="00581586"/>
    <w:pPr>
      <w:tabs>
        <w:tab w:val="clear" w:pos="567"/>
      </w:tabs>
      <w:ind w:left="799"/>
    </w:pPr>
    <w:rPr>
      <w:lang w:val="en-US"/>
    </w:rPr>
  </w:style>
  <w:style w:type="paragraph" w:styleId="TOC6">
    <w:name w:val="toc 6"/>
    <w:basedOn w:val="Normal"/>
    <w:next w:val="Normal"/>
    <w:autoRedefine/>
    <w:uiPriority w:val="39"/>
    <w:unhideWhenUsed/>
    <w:rsid w:val="00581586"/>
    <w:pPr>
      <w:tabs>
        <w:tab w:val="clear" w:pos="567"/>
      </w:tabs>
      <w:ind w:left="998"/>
    </w:pPr>
    <w:rPr>
      <w:lang w:val="en-US"/>
    </w:rPr>
  </w:style>
  <w:style w:type="character" w:customStyle="1" w:styleId="Heading1Char">
    <w:name w:val="Heading 1 Char"/>
    <w:basedOn w:val="DefaultParagraphFont"/>
    <w:link w:val="Heading1"/>
    <w:uiPriority w:val="9"/>
    <w:rsid w:val="006672A1"/>
    <w:rPr>
      <w:rFonts w:ascii="Montserrat Ultra Light" w:eastAsiaTheme="majorEastAsia" w:hAnsi="Montserrat Ultra Light" w:cstheme="majorBidi"/>
      <w:b/>
      <w:bCs/>
      <w:color w:val="004563"/>
      <w:sz w:val="56"/>
      <w:szCs w:val="28"/>
    </w:rPr>
  </w:style>
  <w:style w:type="character" w:customStyle="1" w:styleId="Heading2Char">
    <w:name w:val="Heading 2 Char"/>
    <w:basedOn w:val="DefaultParagraphFont"/>
    <w:link w:val="Heading2"/>
    <w:uiPriority w:val="9"/>
    <w:rsid w:val="00D46F93"/>
    <w:rPr>
      <w:rFonts w:ascii="Montserrat Ultra Light" w:eastAsiaTheme="majorEastAsia" w:hAnsi="Montserrat Ultra Light" w:cstheme="majorBidi"/>
      <w:b/>
      <w:bCs/>
      <w:color w:val="004563"/>
      <w:sz w:val="56"/>
      <w:szCs w:val="26"/>
    </w:rPr>
  </w:style>
  <w:style w:type="character" w:customStyle="1" w:styleId="Heading3Char">
    <w:name w:val="Heading 3 Char"/>
    <w:basedOn w:val="DefaultParagraphFont"/>
    <w:link w:val="Heading3"/>
    <w:uiPriority w:val="9"/>
    <w:rsid w:val="00D46F93"/>
    <w:rPr>
      <w:rFonts w:ascii="Montserrat Extra Bold" w:eastAsiaTheme="majorEastAsia" w:hAnsi="Montserrat Extra Bold" w:cstheme="majorBidi"/>
      <w:bCs/>
      <w:color w:val="004563"/>
      <w:sz w:val="32"/>
    </w:rPr>
  </w:style>
  <w:style w:type="character" w:customStyle="1" w:styleId="Heading4Char">
    <w:name w:val="Heading 4 Char"/>
    <w:basedOn w:val="DefaultParagraphFont"/>
    <w:link w:val="Heading4"/>
    <w:uiPriority w:val="9"/>
    <w:rsid w:val="00D46F93"/>
    <w:rPr>
      <w:rFonts w:ascii="Montserrat Semi Bold" w:eastAsiaTheme="majorEastAsia" w:hAnsi="Montserrat Semi Bold" w:cstheme="majorBidi"/>
      <w:bCs/>
      <w:iCs/>
      <w:color w:val="006991"/>
      <w:sz w:val="28"/>
    </w:rPr>
  </w:style>
  <w:style w:type="character" w:customStyle="1" w:styleId="Heading5Char">
    <w:name w:val="Heading 5 Char"/>
    <w:basedOn w:val="DefaultParagraphFont"/>
    <w:link w:val="Heading5"/>
    <w:uiPriority w:val="9"/>
    <w:rsid w:val="00D46F93"/>
    <w:rPr>
      <w:rFonts w:ascii="Montserrat Semi Bold" w:eastAsiaTheme="majorEastAsia" w:hAnsi="Montserrat Semi Bold" w:cstheme="majorBidi"/>
      <w:color w:val="636466"/>
      <w:sz w:val="24"/>
    </w:rPr>
  </w:style>
  <w:style w:type="paragraph" w:styleId="TOCHeading">
    <w:name w:val="TOC Heading"/>
    <w:basedOn w:val="Heading1"/>
    <w:next w:val="Normal"/>
    <w:uiPriority w:val="39"/>
    <w:unhideWhenUsed/>
    <w:qFormat/>
    <w:rsid w:val="00632D88"/>
    <w:pPr>
      <w:keepLines/>
      <w:spacing w:line="254" w:lineRule="auto"/>
      <w:outlineLvl w:val="9"/>
    </w:pPr>
    <w:rPr>
      <w:rFonts w:ascii="Montserrat Extra Bold" w:hAnsi="Montserrat Extra Bold"/>
      <w:sz w:val="32"/>
    </w:rPr>
  </w:style>
  <w:style w:type="character" w:customStyle="1" w:styleId="FooterChar">
    <w:name w:val="Footer Char"/>
    <w:basedOn w:val="DefaultParagraphFont"/>
    <w:link w:val="Footer"/>
    <w:uiPriority w:val="99"/>
    <w:rsid w:val="00011803"/>
    <w:rPr>
      <w:rFonts w:ascii="Montserrat Ultra Light" w:hAnsi="Montserrat Ultra Light"/>
      <w:b/>
      <w:color w:val="004563"/>
      <w:sz w:val="20"/>
    </w:rPr>
  </w:style>
  <w:style w:type="character" w:customStyle="1" w:styleId="HeaderChar">
    <w:name w:val="Header Char"/>
    <w:basedOn w:val="DefaultParagraphFont"/>
    <w:link w:val="Header"/>
    <w:uiPriority w:val="99"/>
    <w:rsid w:val="00F3399C"/>
    <w:rPr>
      <w:rFonts w:ascii="Montserrat Ultra Light" w:hAnsi="Montserrat Ultra Light"/>
      <w:color w:val="004563"/>
      <w:sz w:val="20"/>
      <w:lang w:val="en-US"/>
    </w:rPr>
  </w:style>
  <w:style w:type="paragraph" w:customStyle="1" w:styleId="CGCDataCaption">
    <w:name w:val="CGC Data Caption"/>
    <w:basedOn w:val="CGCTableFootnote"/>
    <w:next w:val="Normal"/>
    <w:link w:val="DataCaptionChar"/>
    <w:rsid w:val="00622669"/>
  </w:style>
  <w:style w:type="character" w:customStyle="1" w:styleId="CaptionChar">
    <w:name w:val="Caption Char"/>
    <w:basedOn w:val="DefaultParagraphFont"/>
    <w:link w:val="Caption"/>
    <w:uiPriority w:val="35"/>
    <w:rsid w:val="00F746ED"/>
    <w:rPr>
      <w:rFonts w:ascii="Montserrat Light" w:hAnsi="Montserrat Light"/>
      <w:b/>
      <w:bCs/>
      <w:sz w:val="20"/>
      <w:szCs w:val="20"/>
    </w:rPr>
  </w:style>
  <w:style w:type="character" w:customStyle="1" w:styleId="DataCaptionChar">
    <w:name w:val="Data Caption Char"/>
    <w:basedOn w:val="DefaultParagraphFont"/>
    <w:link w:val="CGCDataCaption"/>
    <w:rsid w:val="00622669"/>
    <w:rPr>
      <w:sz w:val="20"/>
      <w:szCs w:val="24"/>
    </w:rPr>
  </w:style>
  <w:style w:type="character" w:customStyle="1" w:styleId="FootnoteTextChar">
    <w:name w:val="Footnote Text Char"/>
    <w:basedOn w:val="DefaultParagraphFont"/>
    <w:link w:val="FootnoteText"/>
    <w:rsid w:val="00321166"/>
    <w:rPr>
      <w:rFonts w:ascii="Open Sans Light" w:hAnsi="Open Sans Light"/>
      <w:sz w:val="14"/>
      <w:szCs w:val="20"/>
    </w:rPr>
  </w:style>
  <w:style w:type="character" w:customStyle="1" w:styleId="Heading6Char">
    <w:name w:val="Heading 6 Char"/>
    <w:basedOn w:val="DefaultParagraphFont"/>
    <w:link w:val="Heading6"/>
    <w:uiPriority w:val="9"/>
    <w:rsid w:val="00D46F93"/>
    <w:rPr>
      <w:rFonts w:ascii="Montserrat Semi Bold" w:eastAsiaTheme="majorEastAsia" w:hAnsi="Montserrat Semi Bold" w:cstheme="majorBidi"/>
      <w:i/>
      <w:iCs/>
      <w:color w:val="636466"/>
      <w:sz w:val="20"/>
    </w:rPr>
  </w:style>
  <w:style w:type="character" w:customStyle="1" w:styleId="Heading7Char">
    <w:name w:val="Heading 7 Char"/>
    <w:aliases w:val="(Do Not Use) Char,top section heading Char,(TopSection) Char,(TopSection)1 Char,(TopSection)2 Char,(TopSection)3 Char,(TopSection)4 Char,(TopSection)5 Char,(TopSection)6 Char,(TopSection)7 Char,(TopSection)8 Char,(TopSection)9 Char"/>
    <w:basedOn w:val="DefaultParagraphFont"/>
    <w:link w:val="Heading7"/>
    <w:uiPriority w:val="9"/>
    <w:rsid w:val="00201B3A"/>
    <w:rPr>
      <w:rFonts w:ascii="Montserrat Semi Bold" w:eastAsiaTheme="majorEastAsia" w:hAnsi="Montserrat Semi Bold" w:cstheme="majorBidi"/>
      <w:i/>
      <w:iCs/>
      <w:color w:val="939598"/>
      <w:sz w:val="20"/>
    </w:rPr>
  </w:style>
  <w:style w:type="paragraph" w:customStyle="1" w:styleId="CGCParaNumber">
    <w:name w:val="CGC Para Number"/>
    <w:basedOn w:val="Normal"/>
    <w:autoRedefine/>
    <w:qFormat/>
    <w:rsid w:val="00F47EC7"/>
    <w:pPr>
      <w:numPr>
        <w:numId w:val="25"/>
      </w:numPr>
      <w:ind w:left="567" w:hanging="567"/>
    </w:pPr>
    <w:rPr>
      <w:szCs w:val="20"/>
    </w:rPr>
  </w:style>
  <w:style w:type="paragraph" w:customStyle="1" w:styleId="CGCBullet1">
    <w:name w:val="CGC Bullet 1"/>
    <w:basedOn w:val="Normal"/>
    <w:qFormat/>
    <w:rsid w:val="009B3EB4"/>
    <w:pPr>
      <w:numPr>
        <w:numId w:val="2"/>
      </w:numPr>
      <w:ind w:left="924" w:hanging="357"/>
    </w:pPr>
  </w:style>
  <w:style w:type="paragraph" w:customStyle="1" w:styleId="CGCBullet2">
    <w:name w:val="CGC Bullet 2"/>
    <w:basedOn w:val="Normal"/>
    <w:autoRedefine/>
    <w:qFormat/>
    <w:rsid w:val="00E27A91"/>
    <w:pPr>
      <w:numPr>
        <w:numId w:val="8"/>
      </w:numPr>
    </w:pPr>
  </w:style>
  <w:style w:type="paragraph" w:customStyle="1" w:styleId="CGCBullet3">
    <w:name w:val="CGC Bullet 3"/>
    <w:basedOn w:val="Normal"/>
    <w:qFormat/>
    <w:rsid w:val="00401575"/>
    <w:pPr>
      <w:numPr>
        <w:numId w:val="4"/>
      </w:numPr>
      <w:ind w:left="1491" w:hanging="357"/>
    </w:pPr>
  </w:style>
  <w:style w:type="paragraph" w:customStyle="1" w:styleId="CGCQuoteText">
    <w:name w:val="CGC Quote Text"/>
    <w:basedOn w:val="Normal"/>
    <w:next w:val="Normal"/>
    <w:rsid w:val="00F3399C"/>
    <w:pPr>
      <w:spacing w:after="120"/>
      <w:ind w:left="1418" w:right="1134"/>
    </w:pPr>
  </w:style>
  <w:style w:type="paragraph" w:customStyle="1" w:styleId="CGCQuoteBullet">
    <w:name w:val="CGC Quote Bullet"/>
    <w:basedOn w:val="CGCQuoteText"/>
    <w:next w:val="Normal"/>
    <w:rsid w:val="00F3399C"/>
    <w:pPr>
      <w:numPr>
        <w:numId w:val="5"/>
      </w:numPr>
      <w:spacing w:after="0"/>
      <w:ind w:left="1775" w:right="1418" w:hanging="357"/>
    </w:pPr>
  </w:style>
  <w:style w:type="paragraph" w:customStyle="1" w:styleId="CGCTablerow">
    <w:name w:val="CGC Table row"/>
    <w:basedOn w:val="Normal"/>
    <w:qFormat/>
    <w:rsid w:val="00D46F93"/>
    <w:pPr>
      <w:spacing w:before="0" w:line="240" w:lineRule="auto"/>
    </w:pPr>
    <w:rPr>
      <w:sz w:val="16"/>
    </w:rPr>
  </w:style>
  <w:style w:type="paragraph" w:customStyle="1" w:styleId="CGCTablenote">
    <w:name w:val="CGC Table note"/>
    <w:basedOn w:val="Normal"/>
    <w:next w:val="Normal"/>
    <w:qFormat/>
    <w:rsid w:val="00B551B8"/>
    <w:pPr>
      <w:tabs>
        <w:tab w:val="clear" w:pos="567"/>
        <w:tab w:val="left" w:pos="680"/>
      </w:tabs>
      <w:spacing w:before="40" w:line="240" w:lineRule="auto"/>
      <w:ind w:left="680" w:hanging="567"/>
    </w:pPr>
    <w:rPr>
      <w:sz w:val="14"/>
    </w:rPr>
  </w:style>
  <w:style w:type="character" w:customStyle="1" w:styleId="CGCTableHeadingChar">
    <w:name w:val="CGC Table Heading Char"/>
    <w:basedOn w:val="DefaultParagraphFont"/>
    <w:link w:val="CGCTableHeading"/>
    <w:rsid w:val="00F746ED"/>
    <w:rPr>
      <w:rFonts w:ascii="Montserrat Ultra Light" w:hAnsi="Montserrat Ultra Light"/>
      <w:b/>
      <w:sz w:val="20"/>
      <w:szCs w:val="20"/>
    </w:rPr>
  </w:style>
  <w:style w:type="character" w:customStyle="1" w:styleId="CGCTableStubChar">
    <w:name w:val="CGC Table Stub Char"/>
    <w:basedOn w:val="DefaultParagraphFont"/>
    <w:link w:val="CGCTableStub"/>
    <w:rsid w:val="00D46F93"/>
    <w:rPr>
      <w:sz w:val="20"/>
      <w:szCs w:val="20"/>
    </w:rPr>
  </w:style>
  <w:style w:type="paragraph" w:styleId="NoSpacing">
    <w:name w:val="No Spacing"/>
    <w:link w:val="NoSpacingChar"/>
    <w:uiPriority w:val="1"/>
    <w:rsid w:val="00D46F93"/>
    <w:pPr>
      <w:tabs>
        <w:tab w:val="left" w:pos="567"/>
      </w:tabs>
      <w:spacing w:after="0" w:line="240" w:lineRule="auto"/>
    </w:pPr>
    <w:rPr>
      <w:sz w:val="24"/>
    </w:rPr>
  </w:style>
  <w:style w:type="character" w:customStyle="1" w:styleId="NoSpacingChar">
    <w:name w:val="No Spacing Char"/>
    <w:basedOn w:val="DefaultParagraphFont"/>
    <w:link w:val="NoSpacing"/>
    <w:uiPriority w:val="1"/>
    <w:rsid w:val="00D46F93"/>
    <w:rPr>
      <w:sz w:val="24"/>
    </w:rPr>
  </w:style>
  <w:style w:type="table" w:customStyle="1" w:styleId="TableGrid1">
    <w:name w:val="Table Grid1"/>
    <w:basedOn w:val="TableNormal"/>
    <w:next w:val="TableGrid"/>
    <w:uiPriority w:val="39"/>
    <w:rsid w:val="00632D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E42F2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E42F2A"/>
    <w:rPr>
      <w:rFonts w:ascii="Segoe UI" w:hAnsi="Segoe UI" w:cs="Segoe UI"/>
      <w:sz w:val="18"/>
      <w:szCs w:val="18"/>
    </w:rPr>
  </w:style>
  <w:style w:type="character" w:styleId="CommentReference">
    <w:name w:val="annotation reference"/>
    <w:basedOn w:val="DefaultParagraphFont"/>
    <w:unhideWhenUsed/>
    <w:rsid w:val="00A36111"/>
    <w:rPr>
      <w:sz w:val="16"/>
      <w:szCs w:val="16"/>
    </w:rPr>
  </w:style>
  <w:style w:type="paragraph" w:styleId="CommentText">
    <w:name w:val="annotation text"/>
    <w:basedOn w:val="Normal"/>
    <w:link w:val="CommentTextChar"/>
    <w:unhideWhenUsed/>
    <w:rsid w:val="00A36111"/>
    <w:pPr>
      <w:spacing w:line="240" w:lineRule="auto"/>
    </w:pPr>
    <w:rPr>
      <w:szCs w:val="20"/>
    </w:rPr>
  </w:style>
  <w:style w:type="character" w:customStyle="1" w:styleId="CommentTextChar">
    <w:name w:val="Comment Text Char"/>
    <w:basedOn w:val="DefaultParagraphFont"/>
    <w:link w:val="CommentText"/>
    <w:rsid w:val="00A36111"/>
    <w:rPr>
      <w:rFonts w:ascii="Open Sans Light" w:hAnsi="Open Sans Light"/>
      <w:sz w:val="20"/>
      <w:szCs w:val="20"/>
    </w:rPr>
  </w:style>
  <w:style w:type="paragraph" w:styleId="CommentSubject">
    <w:name w:val="annotation subject"/>
    <w:basedOn w:val="CommentText"/>
    <w:next w:val="CommentText"/>
    <w:link w:val="CommentSubjectChar"/>
    <w:unhideWhenUsed/>
    <w:rsid w:val="00A36111"/>
    <w:rPr>
      <w:b/>
      <w:bCs/>
    </w:rPr>
  </w:style>
  <w:style w:type="character" w:customStyle="1" w:styleId="CommentSubjectChar">
    <w:name w:val="Comment Subject Char"/>
    <w:basedOn w:val="CommentTextChar"/>
    <w:link w:val="CommentSubject"/>
    <w:rsid w:val="00A36111"/>
    <w:rPr>
      <w:rFonts w:ascii="Open Sans Light" w:hAnsi="Open Sans Light"/>
      <w:b/>
      <w:bCs/>
      <w:sz w:val="20"/>
      <w:szCs w:val="20"/>
    </w:rPr>
  </w:style>
  <w:style w:type="numbering" w:customStyle="1" w:styleId="Style1">
    <w:name w:val="Style1"/>
    <w:uiPriority w:val="99"/>
    <w:rsid w:val="002F2D0B"/>
    <w:pPr>
      <w:numPr>
        <w:numId w:val="7"/>
      </w:numPr>
    </w:pPr>
  </w:style>
  <w:style w:type="paragraph" w:customStyle="1" w:styleId="CGCQuotation">
    <w:name w:val="CGC Quotation"/>
    <w:basedOn w:val="Normal"/>
    <w:next w:val="Normal"/>
    <w:rsid w:val="002F2D0B"/>
    <w:pPr>
      <w:tabs>
        <w:tab w:val="clear" w:pos="567"/>
      </w:tabs>
      <w:spacing w:after="120" w:line="240" w:lineRule="auto"/>
      <w:ind w:left="1134" w:right="1134"/>
    </w:pPr>
    <w:rPr>
      <w:szCs w:val="24"/>
    </w:rPr>
  </w:style>
  <w:style w:type="paragraph" w:customStyle="1" w:styleId="CGCQuotationBullet">
    <w:name w:val="CGC Quotation Bullet"/>
    <w:basedOn w:val="Normal"/>
    <w:rsid w:val="002F2D0B"/>
    <w:pPr>
      <w:numPr>
        <w:numId w:val="6"/>
      </w:numPr>
      <w:tabs>
        <w:tab w:val="clear" w:pos="567"/>
        <w:tab w:val="clear" w:pos="1701"/>
      </w:tabs>
      <w:spacing w:line="300" w:lineRule="atLeast"/>
      <w:ind w:left="0" w:right="1134" w:firstLine="0"/>
    </w:pPr>
    <w:rPr>
      <w:sz w:val="22"/>
      <w:szCs w:val="20"/>
    </w:rPr>
  </w:style>
  <w:style w:type="paragraph" w:styleId="Index1">
    <w:name w:val="index 1"/>
    <w:basedOn w:val="Normal"/>
    <w:rsid w:val="002F2D0B"/>
  </w:style>
  <w:style w:type="paragraph" w:styleId="Index2">
    <w:name w:val="index 2"/>
    <w:basedOn w:val="Normal"/>
    <w:next w:val="Index1"/>
    <w:rsid w:val="002F2D0B"/>
    <w:pPr>
      <w:ind w:left="284"/>
    </w:pPr>
  </w:style>
  <w:style w:type="paragraph" w:styleId="Index3">
    <w:name w:val="index 3"/>
    <w:basedOn w:val="Normal"/>
    <w:next w:val="Index1"/>
    <w:rsid w:val="002F2D0B"/>
    <w:pPr>
      <w:ind w:left="567"/>
    </w:pPr>
  </w:style>
  <w:style w:type="paragraph" w:styleId="Index4">
    <w:name w:val="index 4"/>
    <w:basedOn w:val="Normal"/>
    <w:next w:val="Normal"/>
    <w:rsid w:val="002F2D0B"/>
    <w:pPr>
      <w:ind w:left="880" w:hanging="220"/>
    </w:pPr>
  </w:style>
  <w:style w:type="paragraph" w:styleId="Index5">
    <w:name w:val="index 5"/>
    <w:basedOn w:val="Normal"/>
    <w:next w:val="Normal"/>
    <w:rsid w:val="002F2D0B"/>
    <w:pPr>
      <w:ind w:left="1100" w:hanging="220"/>
    </w:pPr>
  </w:style>
  <w:style w:type="paragraph" w:styleId="Index6">
    <w:name w:val="index 6"/>
    <w:basedOn w:val="Normal"/>
    <w:next w:val="Normal"/>
    <w:rsid w:val="002F2D0B"/>
    <w:pPr>
      <w:ind w:left="1320" w:hanging="220"/>
    </w:pPr>
  </w:style>
  <w:style w:type="paragraph" w:styleId="Index7">
    <w:name w:val="index 7"/>
    <w:basedOn w:val="Normal"/>
    <w:next w:val="Normal"/>
    <w:rsid w:val="002F2D0B"/>
    <w:pPr>
      <w:ind w:left="1540" w:hanging="220"/>
    </w:pPr>
  </w:style>
  <w:style w:type="paragraph" w:styleId="Index8">
    <w:name w:val="index 8"/>
    <w:basedOn w:val="Normal"/>
    <w:next w:val="Normal"/>
    <w:rsid w:val="002F2D0B"/>
    <w:pPr>
      <w:ind w:left="1760" w:hanging="220"/>
    </w:pPr>
  </w:style>
  <w:style w:type="paragraph" w:styleId="Index9">
    <w:name w:val="index 9"/>
    <w:basedOn w:val="Normal"/>
    <w:next w:val="Normal"/>
    <w:rsid w:val="002F2D0B"/>
    <w:pPr>
      <w:ind w:left="1980" w:hanging="220"/>
    </w:pPr>
  </w:style>
  <w:style w:type="paragraph" w:styleId="IndexHeading">
    <w:name w:val="index heading"/>
    <w:basedOn w:val="Normal"/>
    <w:next w:val="Index1"/>
    <w:rsid w:val="002F2D0B"/>
  </w:style>
  <w:style w:type="paragraph" w:styleId="TableofFigures">
    <w:name w:val="table of figures"/>
    <w:basedOn w:val="Normal"/>
    <w:next w:val="Normal"/>
    <w:rsid w:val="002F2D0B"/>
    <w:pPr>
      <w:tabs>
        <w:tab w:val="clear" w:pos="567"/>
      </w:tabs>
    </w:pPr>
  </w:style>
  <w:style w:type="paragraph" w:customStyle="1" w:styleId="TableColHeadings">
    <w:name w:val="TableColHeadings"/>
    <w:basedOn w:val="Normal"/>
    <w:rsid w:val="002F2D0B"/>
    <w:pPr>
      <w:keepNext/>
      <w:keepLines/>
      <w:tabs>
        <w:tab w:val="left" w:pos="475"/>
        <w:tab w:val="left" w:pos="1440"/>
        <w:tab w:val="left" w:pos="2160"/>
        <w:tab w:val="left" w:pos="2880"/>
      </w:tabs>
      <w:spacing w:before="60" w:after="60" w:line="240" w:lineRule="auto"/>
      <w:jc w:val="right"/>
    </w:pPr>
    <w:rPr>
      <w:szCs w:val="20"/>
    </w:rPr>
  </w:style>
  <w:style w:type="paragraph" w:styleId="TOC7">
    <w:name w:val="toc 7"/>
    <w:basedOn w:val="Normal"/>
    <w:next w:val="Normal"/>
    <w:uiPriority w:val="39"/>
    <w:rsid w:val="002F2D0B"/>
    <w:pPr>
      <w:tabs>
        <w:tab w:val="clear" w:pos="567"/>
      </w:tabs>
      <w:ind w:left="1320"/>
    </w:pPr>
    <w:rPr>
      <w:sz w:val="18"/>
      <w:szCs w:val="18"/>
    </w:rPr>
  </w:style>
  <w:style w:type="paragraph" w:customStyle="1" w:styleId="Default">
    <w:name w:val="Default"/>
    <w:rsid w:val="002F2D0B"/>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nhideWhenUsed/>
    <w:rsid w:val="002F2D0B"/>
    <w:rPr>
      <w:color w:val="800080" w:themeColor="followedHyperlink"/>
      <w:u w:val="single"/>
    </w:rPr>
  </w:style>
  <w:style w:type="character" w:customStyle="1" w:styleId="CGCTableFootnoteChar">
    <w:name w:val="CGC Table Footnote Char"/>
    <w:basedOn w:val="DefaultParagraphFont"/>
    <w:link w:val="CGCTableFootnote"/>
    <w:rsid w:val="002F2D0B"/>
    <w:rPr>
      <w:rFonts w:ascii="Open Sans Light" w:hAnsi="Open Sans Light"/>
      <w:sz w:val="20"/>
      <w:szCs w:val="24"/>
    </w:rPr>
  </w:style>
  <w:style w:type="paragraph" w:customStyle="1" w:styleId="TableColTypes">
    <w:name w:val="TableColTypes"/>
    <w:basedOn w:val="TableColHeadings"/>
    <w:rsid w:val="002F2D0B"/>
    <w:pPr>
      <w:tabs>
        <w:tab w:val="clear" w:pos="567"/>
      </w:tabs>
      <w:spacing w:before="0" w:after="0"/>
    </w:pPr>
    <w:rPr>
      <w:rFonts w:ascii="Times New Roman" w:eastAsia="Times New Roman" w:hAnsi="Times New Roman" w:cs="Times New Roman"/>
      <w:noProof/>
      <w:lang w:eastAsia="en-AU"/>
    </w:rPr>
  </w:style>
  <w:style w:type="paragraph" w:customStyle="1" w:styleId="SingleParagraph">
    <w:name w:val="Single Paragraph"/>
    <w:basedOn w:val="Normal"/>
    <w:rsid w:val="002F2D0B"/>
    <w:pPr>
      <w:tabs>
        <w:tab w:val="clear" w:pos="567"/>
      </w:tabs>
      <w:spacing w:line="240" w:lineRule="auto"/>
    </w:pPr>
    <w:rPr>
      <w:rFonts w:ascii="Times New Roman" w:eastAsia="Times New Roman" w:hAnsi="Times New Roman" w:cs="Times New Roman"/>
      <w:noProof/>
      <w:szCs w:val="20"/>
      <w:lang w:eastAsia="en-AU"/>
    </w:rPr>
  </w:style>
  <w:style w:type="paragraph" w:customStyle="1" w:styleId="OutlineNumbered2">
    <w:name w:val="Outline Numbered 2"/>
    <w:basedOn w:val="Normal"/>
    <w:rsid w:val="002F2D0B"/>
    <w:pPr>
      <w:tabs>
        <w:tab w:val="clear" w:pos="567"/>
        <w:tab w:val="num" w:pos="1254"/>
      </w:tabs>
      <w:spacing w:after="240" w:line="240" w:lineRule="auto"/>
      <w:ind w:left="1254" w:hanging="567"/>
    </w:pPr>
    <w:rPr>
      <w:rFonts w:ascii="Times New Roman" w:eastAsia="Times New Roman" w:hAnsi="Times New Roman" w:cs="Times New Roman"/>
      <w:noProof/>
      <w:szCs w:val="20"/>
      <w:lang w:eastAsia="en-AU"/>
    </w:rPr>
  </w:style>
  <w:style w:type="paragraph" w:customStyle="1" w:styleId="OutlineNumbered3">
    <w:name w:val="Outline Numbered 3"/>
    <w:basedOn w:val="Normal"/>
    <w:rsid w:val="002F2D0B"/>
    <w:pPr>
      <w:tabs>
        <w:tab w:val="clear" w:pos="567"/>
        <w:tab w:val="num" w:pos="1821"/>
      </w:tabs>
      <w:spacing w:after="240" w:line="240" w:lineRule="auto"/>
      <w:ind w:left="1821" w:hanging="567"/>
    </w:pPr>
    <w:rPr>
      <w:rFonts w:ascii="Times New Roman" w:eastAsia="Times New Roman" w:hAnsi="Times New Roman" w:cs="Times New Roman"/>
      <w:noProof/>
      <w:szCs w:val="20"/>
      <w:lang w:eastAsia="en-AU"/>
    </w:rPr>
  </w:style>
  <w:style w:type="paragraph" w:customStyle="1" w:styleId="Contact">
    <w:name w:val="Contact"/>
    <w:basedOn w:val="Normal"/>
    <w:rsid w:val="002F2D0B"/>
    <w:pPr>
      <w:tabs>
        <w:tab w:val="clear" w:pos="567"/>
      </w:tabs>
      <w:spacing w:after="120" w:line="240" w:lineRule="auto"/>
      <w:contextualSpacing/>
      <w:jc w:val="right"/>
    </w:pPr>
    <w:rPr>
      <w:rFonts w:ascii="Times" w:eastAsia="Times New Roman" w:hAnsi="Times" w:cs="Times New Roman"/>
      <w:b/>
      <w:noProof/>
      <w:sz w:val="16"/>
      <w:szCs w:val="16"/>
      <w:lang w:eastAsia="en-AU"/>
    </w:rPr>
  </w:style>
  <w:style w:type="paragraph" w:customStyle="1" w:styleId="ParliamentHouse">
    <w:name w:val="Parliament House"/>
    <w:basedOn w:val="Normal"/>
    <w:rsid w:val="002F2D0B"/>
    <w:pPr>
      <w:tabs>
        <w:tab w:val="clear" w:pos="567"/>
      </w:tabs>
      <w:spacing w:before="240" w:after="120" w:line="240" w:lineRule="auto"/>
      <w:contextualSpacing/>
      <w:jc w:val="right"/>
    </w:pPr>
    <w:rPr>
      <w:rFonts w:ascii="Times New Roman" w:eastAsia="Times New Roman" w:hAnsi="Times New Roman" w:cs="Times New Roman"/>
      <w:b/>
      <w:caps/>
      <w:noProof/>
      <w:sz w:val="16"/>
      <w:szCs w:val="16"/>
      <w:lang w:eastAsia="en-AU"/>
    </w:rPr>
  </w:style>
  <w:style w:type="paragraph" w:customStyle="1" w:styleId="URL">
    <w:name w:val="URL"/>
    <w:basedOn w:val="Normal"/>
    <w:rsid w:val="002F2D0B"/>
    <w:pPr>
      <w:tabs>
        <w:tab w:val="clear" w:pos="567"/>
      </w:tabs>
      <w:spacing w:after="120" w:line="240" w:lineRule="auto"/>
      <w:jc w:val="right"/>
    </w:pPr>
    <w:rPr>
      <w:rFonts w:ascii="Times New Roman" w:eastAsia="Times New Roman" w:hAnsi="Times New Roman" w:cs="Times New Roman"/>
      <w:b/>
      <w:noProof/>
      <w:sz w:val="16"/>
      <w:szCs w:val="16"/>
      <w:lang w:eastAsia="en-AU"/>
    </w:rPr>
  </w:style>
  <w:style w:type="paragraph" w:customStyle="1" w:styleId="NumberedParaOldHeading2">
    <w:name w:val="Numbered Para (Old Heading 2)"/>
    <w:basedOn w:val="Normal"/>
    <w:link w:val="NumberedParaOldHeading2Char"/>
    <w:rsid w:val="002F2D0B"/>
    <w:pPr>
      <w:tabs>
        <w:tab w:val="num" w:pos="567"/>
        <w:tab w:val="left" w:pos="1440"/>
        <w:tab w:val="left" w:pos="2160"/>
        <w:tab w:val="left" w:pos="2880"/>
      </w:tabs>
      <w:ind w:left="567" w:hanging="567"/>
    </w:pPr>
    <w:rPr>
      <w:rFonts w:ascii="Times New Roman" w:eastAsia="Times New Roman" w:hAnsi="Times New Roman" w:cs="Times New Roman"/>
      <w:noProof/>
      <w:sz w:val="22"/>
      <w:szCs w:val="24"/>
      <w:lang w:eastAsia="en-AU"/>
    </w:rPr>
  </w:style>
  <w:style w:type="character" w:customStyle="1" w:styleId="NumberedParaOldHeading2Char">
    <w:name w:val="Numbered Para (Old Heading 2) Char"/>
    <w:basedOn w:val="DefaultParagraphFont"/>
    <w:link w:val="NumberedParaOldHeading2"/>
    <w:rsid w:val="002F2D0B"/>
    <w:rPr>
      <w:rFonts w:ascii="Times New Roman" w:eastAsia="Times New Roman" w:hAnsi="Times New Roman" w:cs="Times New Roman"/>
      <w:noProof/>
      <w:szCs w:val="24"/>
      <w:lang w:eastAsia="en-AU"/>
    </w:rPr>
  </w:style>
  <w:style w:type="paragraph" w:styleId="NormalWeb">
    <w:name w:val="Normal (Web)"/>
    <w:basedOn w:val="Normal"/>
    <w:uiPriority w:val="99"/>
    <w:unhideWhenUsed/>
    <w:rsid w:val="002F2D0B"/>
    <w:pPr>
      <w:tabs>
        <w:tab w:val="clear" w:pos="567"/>
      </w:tabs>
      <w:spacing w:before="100" w:beforeAutospacing="1" w:after="100" w:afterAutospacing="1" w:line="240" w:lineRule="auto"/>
    </w:pPr>
    <w:rPr>
      <w:rFonts w:ascii="Times New Roman" w:eastAsia="PMingLiU" w:hAnsi="Times New Roman" w:cs="Times New Roman"/>
      <w:noProof/>
      <w:szCs w:val="24"/>
      <w:lang w:eastAsia="en-AU"/>
    </w:rPr>
  </w:style>
  <w:style w:type="character" w:customStyle="1" w:styleId="Style14ptBold">
    <w:name w:val="Style 14 pt Bold"/>
    <w:basedOn w:val="DefaultParagraphFont"/>
    <w:rsid w:val="002F2D0B"/>
    <w:rPr>
      <w:rFonts w:ascii="Times New Roman" w:hAnsi="Times New Roman"/>
      <w:b/>
      <w:bCs/>
      <w:caps/>
      <w:dstrike w:val="0"/>
      <w:sz w:val="28"/>
      <w:vertAlign w:val="baseline"/>
    </w:rPr>
  </w:style>
  <w:style w:type="paragraph" w:customStyle="1" w:styleId="StyleCGCNumberedParaOldHeading2Italic">
    <w:name w:val="Style CGC Numbered Para (Old Heading 2) + Italic"/>
    <w:basedOn w:val="Normal"/>
    <w:link w:val="StyleCGCNumberedParaOldHeading2ItalicChar"/>
    <w:rsid w:val="002F2D0B"/>
    <w:pPr>
      <w:tabs>
        <w:tab w:val="num" w:pos="567"/>
      </w:tabs>
      <w:ind w:left="567" w:hanging="567"/>
    </w:pPr>
    <w:rPr>
      <w:rFonts w:ascii="Times New Roman" w:eastAsia="Times New Roman" w:hAnsi="Times New Roman" w:cs="Times New Roman"/>
      <w:i/>
      <w:iCs/>
      <w:noProof/>
      <w:sz w:val="22"/>
      <w:szCs w:val="24"/>
      <w:lang w:eastAsia="en-AU"/>
    </w:rPr>
  </w:style>
  <w:style w:type="character" w:customStyle="1" w:styleId="StyleCGCNumberedParaOldHeading2ItalicChar">
    <w:name w:val="Style CGC Numbered Para (Old Heading 2) + Italic Char"/>
    <w:basedOn w:val="DefaultParagraphFont"/>
    <w:link w:val="StyleCGCNumberedParaOldHeading2Italic"/>
    <w:rsid w:val="002F2D0B"/>
    <w:rPr>
      <w:rFonts w:ascii="Times New Roman" w:eastAsia="Times New Roman" w:hAnsi="Times New Roman" w:cs="Times New Roman"/>
      <w:i/>
      <w:iCs/>
      <w:noProof/>
      <w:szCs w:val="24"/>
      <w:lang w:eastAsia="en-AU"/>
    </w:rPr>
  </w:style>
  <w:style w:type="paragraph" w:styleId="ListBullet">
    <w:name w:val="List Bullet"/>
    <w:basedOn w:val="Normal"/>
    <w:rsid w:val="002F2D0B"/>
    <w:pPr>
      <w:tabs>
        <w:tab w:val="num" w:pos="360"/>
      </w:tabs>
      <w:ind w:left="360" w:hanging="360"/>
      <w:contextualSpacing/>
    </w:pPr>
    <w:rPr>
      <w:rFonts w:ascii="Times New Roman" w:eastAsia="Times New Roman" w:hAnsi="Times New Roman" w:cs="Times New Roman"/>
      <w:noProof/>
      <w:sz w:val="22"/>
      <w:szCs w:val="24"/>
      <w:lang w:eastAsia="en-AU"/>
    </w:rPr>
  </w:style>
  <w:style w:type="paragraph" w:styleId="Revision">
    <w:name w:val="Revision"/>
    <w:hidden/>
    <w:uiPriority w:val="99"/>
    <w:semiHidden/>
    <w:rsid w:val="002F2D0B"/>
    <w:pPr>
      <w:spacing w:after="0" w:line="240" w:lineRule="auto"/>
    </w:pPr>
    <w:rPr>
      <w:rFonts w:ascii="Times New Roman" w:eastAsia="Times New Roman" w:hAnsi="Times New Roman" w:cs="Times New Roman"/>
      <w:szCs w:val="24"/>
    </w:rPr>
  </w:style>
  <w:style w:type="paragraph" w:customStyle="1" w:styleId="StyleCGCSubbulletlistBefore0pt">
    <w:name w:val="Style CGC Sub bullet list + Before:  0 pt"/>
    <w:basedOn w:val="Normal"/>
    <w:rsid w:val="002F2D0B"/>
    <w:pPr>
      <w:tabs>
        <w:tab w:val="num" w:pos="0"/>
        <w:tab w:val="num" w:pos="567"/>
        <w:tab w:val="left" w:pos="1701"/>
        <w:tab w:val="num" w:pos="2268"/>
      </w:tabs>
      <w:spacing w:line="320" w:lineRule="atLeast"/>
      <w:ind w:left="1701" w:right="607" w:hanging="567"/>
    </w:pPr>
    <w:rPr>
      <w:rFonts w:ascii="Times New Roman" w:eastAsia="Times New Roman" w:hAnsi="Times New Roman" w:cs="Times New Roman"/>
      <w:noProof/>
      <w:sz w:val="22"/>
      <w:szCs w:val="20"/>
      <w:lang w:eastAsia="en-AU"/>
    </w:rPr>
  </w:style>
  <w:style w:type="paragraph" w:customStyle="1" w:styleId="StyleCGCBulletlist">
    <w:name w:val="Style CGC Bullet list +"/>
    <w:basedOn w:val="Normal"/>
    <w:link w:val="StyleCGCBulletlistChar"/>
    <w:rsid w:val="002F2D0B"/>
    <w:pPr>
      <w:tabs>
        <w:tab w:val="clear" w:pos="567"/>
        <w:tab w:val="num" w:pos="0"/>
        <w:tab w:val="num" w:pos="927"/>
        <w:tab w:val="num" w:pos="2268"/>
      </w:tabs>
      <w:spacing w:before="80" w:line="320" w:lineRule="atLeast"/>
      <w:ind w:left="2268" w:hanging="360"/>
    </w:pPr>
    <w:rPr>
      <w:rFonts w:ascii="Times New Roman" w:eastAsia="Times New Roman" w:hAnsi="Times New Roman" w:cs="Times New Roman"/>
      <w:noProof/>
      <w:sz w:val="22"/>
      <w:szCs w:val="20"/>
      <w:lang w:eastAsia="en-AU"/>
    </w:rPr>
  </w:style>
  <w:style w:type="character" w:customStyle="1" w:styleId="StyleCGCBulletlistChar">
    <w:name w:val="Style CGC Bullet list + Char"/>
    <w:basedOn w:val="DefaultParagraphFont"/>
    <w:link w:val="StyleCGCBulletlist"/>
    <w:rsid w:val="002F2D0B"/>
    <w:rPr>
      <w:rFonts w:ascii="Times New Roman" w:eastAsia="Times New Roman" w:hAnsi="Times New Roman" w:cs="Times New Roman"/>
      <w:noProof/>
      <w:szCs w:val="20"/>
      <w:lang w:eastAsia="en-AU"/>
    </w:rPr>
  </w:style>
  <w:style w:type="paragraph" w:styleId="ListBullet5">
    <w:name w:val="List Bullet 5"/>
    <w:basedOn w:val="Normal"/>
    <w:rsid w:val="002F2D0B"/>
    <w:pPr>
      <w:tabs>
        <w:tab w:val="clear" w:pos="567"/>
        <w:tab w:val="num" w:pos="720"/>
      </w:tabs>
      <w:spacing w:before="200" w:line="240" w:lineRule="atLeast"/>
      <w:ind w:left="720" w:hanging="720"/>
    </w:pPr>
    <w:rPr>
      <w:rFonts w:ascii="Arial" w:eastAsia="SimSun" w:hAnsi="Arial" w:cs="Times New Roman"/>
      <w:noProof/>
      <w:szCs w:val="20"/>
      <w:lang w:eastAsia="zh-CN"/>
    </w:rPr>
  </w:style>
  <w:style w:type="character" w:customStyle="1" w:styleId="paratext1">
    <w:name w:val="paratext1"/>
    <w:basedOn w:val="DefaultParagraphFont"/>
    <w:rsid w:val="002F2D0B"/>
    <w:rPr>
      <w:rFonts w:ascii="Verdana" w:hAnsi="Verdana" w:hint="default"/>
      <w:b w:val="0"/>
      <w:bCs w:val="0"/>
      <w:color w:val="2F3133"/>
      <w:sz w:val="20"/>
      <w:szCs w:val="20"/>
    </w:rPr>
  </w:style>
  <w:style w:type="paragraph" w:styleId="Quote">
    <w:name w:val="Quote"/>
    <w:basedOn w:val="Normal"/>
    <w:link w:val="QuoteChar"/>
    <w:rsid w:val="002F2D0B"/>
    <w:pPr>
      <w:keepLines/>
      <w:tabs>
        <w:tab w:val="clear" w:pos="567"/>
      </w:tabs>
      <w:spacing w:after="240" w:line="240" w:lineRule="auto"/>
      <w:ind w:left="288" w:right="288"/>
      <w:jc w:val="both"/>
    </w:pPr>
    <w:rPr>
      <w:rFonts w:ascii="Arial" w:eastAsia="Times New Roman" w:hAnsi="Arial" w:cs="Times New Roman"/>
      <w:i/>
      <w:noProof/>
      <w:szCs w:val="20"/>
      <w:lang w:eastAsia="en-AU"/>
    </w:rPr>
  </w:style>
  <w:style w:type="character" w:customStyle="1" w:styleId="QuoteChar">
    <w:name w:val="Quote Char"/>
    <w:basedOn w:val="DefaultParagraphFont"/>
    <w:link w:val="Quote"/>
    <w:rsid w:val="002F2D0B"/>
    <w:rPr>
      <w:rFonts w:ascii="Arial" w:eastAsia="Times New Roman" w:hAnsi="Arial" w:cs="Times New Roman"/>
      <w:i/>
      <w:noProof/>
      <w:sz w:val="20"/>
      <w:szCs w:val="20"/>
      <w:lang w:eastAsia="en-AU"/>
    </w:rPr>
  </w:style>
  <w:style w:type="paragraph" w:customStyle="1" w:styleId="StyleCGCNumberedParaCGCParaNoSuperscript">
    <w:name w:val="Style CGC Numbered ParaCGC Para No + Superscript"/>
    <w:basedOn w:val="Normal"/>
    <w:rsid w:val="002F2D0B"/>
    <w:pPr>
      <w:tabs>
        <w:tab w:val="num" w:pos="567"/>
      </w:tabs>
      <w:ind w:left="567" w:hanging="567"/>
    </w:pPr>
    <w:rPr>
      <w:rFonts w:ascii="Times New Roman" w:eastAsia="Times New Roman" w:hAnsi="Times New Roman" w:cs="Times New Roman"/>
      <w:noProof/>
      <w:sz w:val="22"/>
      <w:szCs w:val="24"/>
      <w:vertAlign w:val="superscript"/>
      <w:lang w:eastAsia="en-AU"/>
    </w:rPr>
  </w:style>
  <w:style w:type="character" w:customStyle="1" w:styleId="TableRowNormalChar">
    <w:name w:val="TableRowNormal Char"/>
    <w:basedOn w:val="DefaultParagraphFont"/>
    <w:link w:val="TableRowNormal"/>
    <w:locked/>
    <w:rsid w:val="002F2D0B"/>
    <w:rPr>
      <w:rFonts w:ascii="Open Sans Light" w:hAnsi="Open Sans Light"/>
      <w:sz w:val="20"/>
      <w:szCs w:val="20"/>
    </w:rPr>
  </w:style>
  <w:style w:type="character" w:styleId="Strong">
    <w:name w:val="Strong"/>
    <w:basedOn w:val="DefaultParagraphFont"/>
    <w:uiPriority w:val="22"/>
    <w:rsid w:val="002F2D0B"/>
    <w:rPr>
      <w:b/>
      <w:bCs/>
    </w:rPr>
  </w:style>
  <w:style w:type="character" w:customStyle="1" w:styleId="Heading8Char">
    <w:name w:val="Heading 8 Char"/>
    <w:aliases w:val="(Do not use) Char,(Sub-section Nos) Char"/>
    <w:basedOn w:val="DefaultParagraphFont"/>
    <w:link w:val="Heading8"/>
    <w:rsid w:val="002F2D0B"/>
    <w:rPr>
      <w:rFonts w:ascii="Arial" w:hAnsi="Arial"/>
      <w:i/>
      <w:sz w:val="20"/>
      <w:szCs w:val="20"/>
    </w:rPr>
  </w:style>
  <w:style w:type="character" w:customStyle="1" w:styleId="Heading9Char">
    <w:name w:val="Heading 9 Char"/>
    <w:aliases w:val="Heading 9 (Do not use) Char,(Subsubsection Nos) Char"/>
    <w:basedOn w:val="DefaultParagraphFont"/>
    <w:link w:val="Heading9"/>
    <w:rsid w:val="002F2D0B"/>
    <w:rPr>
      <w:rFonts w:ascii="Arial" w:hAnsi="Arial"/>
      <w:b/>
      <w:i/>
      <w:sz w:val="18"/>
      <w:szCs w:val="20"/>
    </w:rPr>
  </w:style>
  <w:style w:type="character" w:customStyle="1" w:styleId="DocumentMapChar">
    <w:name w:val="Document Map Char"/>
    <w:basedOn w:val="DefaultParagraphFont"/>
    <w:link w:val="DocumentMap"/>
    <w:rsid w:val="002F2D0B"/>
    <w:rPr>
      <w:rFonts w:ascii="Tahoma" w:hAnsi="Tahoma" w:cs="Tahoma"/>
      <w:sz w:val="20"/>
      <w:szCs w:val="20"/>
      <w:shd w:val="clear" w:color="auto" w:fill="000080"/>
    </w:rPr>
  </w:style>
  <w:style w:type="character" w:customStyle="1" w:styleId="MacroTextChar">
    <w:name w:val="Macro Text Char"/>
    <w:basedOn w:val="DefaultParagraphFont"/>
    <w:link w:val="MacroText"/>
    <w:rsid w:val="002F2D0B"/>
    <w:rPr>
      <w:rFonts w:ascii="Courier New" w:hAnsi="Courier New" w:cs="Courier New"/>
    </w:rPr>
  </w:style>
  <w:style w:type="numbering" w:customStyle="1" w:styleId="NoList1">
    <w:name w:val="No List1"/>
    <w:next w:val="NoList"/>
    <w:uiPriority w:val="99"/>
    <w:semiHidden/>
    <w:unhideWhenUsed/>
    <w:rsid w:val="002F2D0B"/>
  </w:style>
  <w:style w:type="numbering" w:customStyle="1" w:styleId="NoList2">
    <w:name w:val="No List2"/>
    <w:next w:val="NoList"/>
    <w:uiPriority w:val="99"/>
    <w:semiHidden/>
    <w:unhideWhenUsed/>
    <w:rsid w:val="002F2D0B"/>
  </w:style>
  <w:style w:type="table" w:customStyle="1" w:styleId="TableGrid2">
    <w:name w:val="Table Grid2"/>
    <w:basedOn w:val="TableNormal"/>
    <w:next w:val="TableGrid"/>
    <w:uiPriority w:val="59"/>
    <w:rsid w:val="002F2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F2D0B"/>
  </w:style>
  <w:style w:type="table" w:customStyle="1" w:styleId="TableGrid3">
    <w:name w:val="Table Grid3"/>
    <w:basedOn w:val="TableNormal"/>
    <w:next w:val="TableGrid"/>
    <w:uiPriority w:val="59"/>
    <w:rsid w:val="002F2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2F2D0B"/>
    <w:rPr>
      <w:color w:val="605E5C"/>
      <w:shd w:val="clear" w:color="auto" w:fill="E1DFDD"/>
    </w:rPr>
  </w:style>
  <w:style w:type="paragraph" w:customStyle="1" w:styleId="CGCSubbulletlist">
    <w:name w:val="CGC Sub bullet list"/>
    <w:aliases w:val="CGC List 2"/>
    <w:basedOn w:val="Normal"/>
    <w:link w:val="CGCSubbulletlistChar"/>
    <w:rsid w:val="00E44B01"/>
    <w:pPr>
      <w:tabs>
        <w:tab w:val="clear" w:pos="567"/>
        <w:tab w:val="left" w:pos="1701"/>
      </w:tabs>
      <w:ind w:left="1211" w:hanging="360"/>
    </w:pPr>
    <w:rPr>
      <w:szCs w:val="20"/>
    </w:rPr>
  </w:style>
  <w:style w:type="paragraph" w:styleId="TableofAuthorities">
    <w:name w:val="table of authorities"/>
    <w:basedOn w:val="Normal"/>
    <w:next w:val="Normal"/>
    <w:rsid w:val="00DA6011"/>
    <w:pPr>
      <w:tabs>
        <w:tab w:val="clear" w:pos="567"/>
      </w:tabs>
      <w:ind w:left="220" w:hanging="220"/>
    </w:pPr>
  </w:style>
  <w:style w:type="paragraph" w:styleId="TOC8">
    <w:name w:val="toc 8"/>
    <w:basedOn w:val="Normal"/>
    <w:next w:val="Normal"/>
    <w:uiPriority w:val="39"/>
    <w:rsid w:val="00DA6011"/>
    <w:pPr>
      <w:tabs>
        <w:tab w:val="clear" w:pos="567"/>
      </w:tabs>
      <w:ind w:left="1540"/>
    </w:pPr>
    <w:rPr>
      <w:sz w:val="18"/>
      <w:szCs w:val="18"/>
    </w:rPr>
  </w:style>
  <w:style w:type="paragraph" w:styleId="TOC9">
    <w:name w:val="toc 9"/>
    <w:basedOn w:val="Normal"/>
    <w:next w:val="Normal"/>
    <w:uiPriority w:val="39"/>
    <w:rsid w:val="00DA6011"/>
    <w:pPr>
      <w:tabs>
        <w:tab w:val="clear" w:pos="567"/>
      </w:tabs>
      <w:ind w:left="1760"/>
    </w:pPr>
    <w:rPr>
      <w:sz w:val="18"/>
      <w:szCs w:val="18"/>
    </w:rPr>
  </w:style>
  <w:style w:type="character" w:styleId="Mention">
    <w:name w:val="Mention"/>
    <w:basedOn w:val="DefaultParagraphFont"/>
    <w:uiPriority w:val="99"/>
    <w:unhideWhenUsed/>
    <w:rsid w:val="00DA6011"/>
    <w:rPr>
      <w:color w:val="2B579A"/>
      <w:shd w:val="clear" w:color="auto" w:fill="E1DFDD"/>
    </w:rPr>
  </w:style>
  <w:style w:type="paragraph" w:styleId="EndnoteText">
    <w:name w:val="endnote text"/>
    <w:basedOn w:val="Normal"/>
    <w:link w:val="EndnoteTextChar"/>
    <w:unhideWhenUsed/>
    <w:rsid w:val="00DA6011"/>
    <w:pPr>
      <w:spacing w:before="0" w:line="240" w:lineRule="auto"/>
    </w:pPr>
    <w:rPr>
      <w:szCs w:val="20"/>
    </w:rPr>
  </w:style>
  <w:style w:type="character" w:customStyle="1" w:styleId="EndnoteTextChar">
    <w:name w:val="Endnote Text Char"/>
    <w:basedOn w:val="DefaultParagraphFont"/>
    <w:link w:val="EndnoteText"/>
    <w:rsid w:val="00DA6011"/>
    <w:rPr>
      <w:rFonts w:ascii="Open Sans Light" w:hAnsi="Open Sans Light"/>
      <w:sz w:val="20"/>
      <w:szCs w:val="20"/>
    </w:rPr>
  </w:style>
  <w:style w:type="character" w:styleId="EndnoteReference">
    <w:name w:val="endnote reference"/>
    <w:basedOn w:val="DefaultParagraphFont"/>
    <w:unhideWhenUsed/>
    <w:rsid w:val="00DA6011"/>
    <w:rPr>
      <w:vertAlign w:val="superscript"/>
    </w:rPr>
  </w:style>
  <w:style w:type="paragraph" w:customStyle="1" w:styleId="CGCNumberedPara">
    <w:name w:val="CGC Numbered Para"/>
    <w:aliases w:val="CGC Para No"/>
    <w:basedOn w:val="Normal"/>
    <w:link w:val="CGCParaNoChar"/>
    <w:rsid w:val="006503B0"/>
    <w:pPr>
      <w:numPr>
        <w:ilvl w:val="1"/>
        <w:numId w:val="9"/>
      </w:numPr>
      <w:tabs>
        <w:tab w:val="left" w:pos="567"/>
        <w:tab w:val="num" w:pos="1593"/>
      </w:tabs>
      <w:ind w:left="1593" w:hanging="360"/>
    </w:pPr>
    <w:rPr>
      <w:szCs w:val="24"/>
    </w:rPr>
  </w:style>
  <w:style w:type="character" w:customStyle="1" w:styleId="CGCParaNoChar">
    <w:name w:val="CGC Para No Char"/>
    <w:aliases w:val="CGC Numbered Para Char"/>
    <w:basedOn w:val="DefaultParagraphFont"/>
    <w:link w:val="CGCNumberedPara"/>
    <w:rsid w:val="006503B0"/>
    <w:rPr>
      <w:rFonts w:ascii="Open Sans Light" w:hAnsi="Open Sans Light"/>
      <w:sz w:val="20"/>
      <w:szCs w:val="24"/>
    </w:rPr>
  </w:style>
  <w:style w:type="paragraph" w:customStyle="1" w:styleId="CGCBulletlist">
    <w:name w:val="CGC Bullet list"/>
    <w:aliases w:val="CGC List 1"/>
    <w:basedOn w:val="Normal"/>
    <w:link w:val="CGCBulletlistChar"/>
    <w:rsid w:val="00903ADE"/>
    <w:pPr>
      <w:numPr>
        <w:numId w:val="13"/>
      </w:numPr>
      <w:tabs>
        <w:tab w:val="clear" w:pos="567"/>
        <w:tab w:val="clear" w:pos="927"/>
        <w:tab w:val="left" w:pos="1134"/>
      </w:tabs>
      <w:spacing w:before="80" w:line="300" w:lineRule="atLeast"/>
      <w:ind w:left="1134" w:hanging="567"/>
    </w:pPr>
    <w:rPr>
      <w:szCs w:val="20"/>
      <w:lang w:val="en-US"/>
    </w:rPr>
  </w:style>
  <w:style w:type="paragraph" w:customStyle="1" w:styleId="CGCNumeralList">
    <w:name w:val="CGC Numeral List"/>
    <w:aliases w:val="CGC List 3"/>
    <w:basedOn w:val="Normal"/>
    <w:rsid w:val="00903ADE"/>
    <w:pPr>
      <w:numPr>
        <w:numId w:val="14"/>
      </w:numPr>
      <w:tabs>
        <w:tab w:val="clear" w:pos="567"/>
      </w:tabs>
      <w:spacing w:line="300" w:lineRule="atLeast"/>
      <w:ind w:left="720"/>
    </w:pPr>
    <w:rPr>
      <w:szCs w:val="20"/>
      <w:lang w:val="en-US"/>
    </w:rPr>
  </w:style>
  <w:style w:type="character" w:customStyle="1" w:styleId="CGCBulletlistChar">
    <w:name w:val="CGC Bullet list Char"/>
    <w:aliases w:val="CGC List 1 Char,CGC Bullet list Char1"/>
    <w:basedOn w:val="DefaultParagraphFont"/>
    <w:link w:val="CGCBulletlist"/>
    <w:locked/>
    <w:rsid w:val="00903ADE"/>
    <w:rPr>
      <w:rFonts w:ascii="Open Sans Light" w:hAnsi="Open Sans Light"/>
      <w:sz w:val="20"/>
      <w:szCs w:val="20"/>
      <w:lang w:val="en-US"/>
    </w:rPr>
  </w:style>
  <w:style w:type="character" w:customStyle="1" w:styleId="CGCBulletlistCharChar">
    <w:name w:val="CGC Bullet list Char Char"/>
    <w:basedOn w:val="DefaultParagraphFont"/>
    <w:rsid w:val="00716777"/>
    <w:rPr>
      <w:sz w:val="24"/>
      <w:szCs w:val="20"/>
    </w:rPr>
  </w:style>
  <w:style w:type="paragraph" w:customStyle="1" w:styleId="CGCNumberPara">
    <w:name w:val="CGC Number Para"/>
    <w:basedOn w:val="Normal"/>
    <w:link w:val="CGCNumberParaChar"/>
    <w:rsid w:val="00716777"/>
    <w:pPr>
      <w:ind w:left="360" w:hanging="360"/>
    </w:pPr>
    <w:rPr>
      <w:szCs w:val="24"/>
    </w:rPr>
  </w:style>
  <w:style w:type="character" w:customStyle="1" w:styleId="CGCNumberParaChar">
    <w:name w:val="CGC Number Para Char"/>
    <w:basedOn w:val="CGCParaNoChar"/>
    <w:link w:val="CGCNumberPara"/>
    <w:rsid w:val="00716777"/>
    <w:rPr>
      <w:rFonts w:ascii="Open Sans Light" w:hAnsi="Open Sans Light"/>
      <w:sz w:val="20"/>
      <w:szCs w:val="24"/>
    </w:rPr>
  </w:style>
  <w:style w:type="character" w:customStyle="1" w:styleId="normaltextrun">
    <w:name w:val="normaltextrun"/>
    <w:basedOn w:val="DefaultParagraphFont"/>
    <w:rsid w:val="00716777"/>
  </w:style>
  <w:style w:type="character" w:customStyle="1" w:styleId="ListParagraphChar">
    <w:name w:val="List Paragraph Char"/>
    <w:aliases w:val="List Paragraph1 Char,Recommendation Char,List Paragraph11 Char,Content descriptions Char,Bullet point Char"/>
    <w:basedOn w:val="DefaultParagraphFont"/>
    <w:link w:val="ListParagraph"/>
    <w:uiPriority w:val="34"/>
    <w:locked/>
    <w:rsid w:val="00EE0914"/>
    <w:rPr>
      <w:rFonts w:ascii="Open Sans Light" w:hAnsi="Open Sans Light"/>
      <w:sz w:val="20"/>
    </w:rPr>
  </w:style>
  <w:style w:type="character" w:customStyle="1" w:styleId="eop">
    <w:name w:val="eop"/>
    <w:basedOn w:val="DefaultParagraphFont"/>
    <w:rsid w:val="00EE0914"/>
  </w:style>
  <w:style w:type="paragraph" w:customStyle="1" w:styleId="CGCTabletitle">
    <w:name w:val="CGC Table title"/>
    <w:basedOn w:val="Normal"/>
    <w:next w:val="Normal"/>
    <w:rsid w:val="00F812F3"/>
    <w:pPr>
      <w:tabs>
        <w:tab w:val="left" w:pos="680"/>
      </w:tabs>
      <w:spacing w:before="240" w:after="120" w:line="240" w:lineRule="auto"/>
    </w:pPr>
    <w:rPr>
      <w:rFonts w:ascii="Montserrat Ultra Light" w:hAnsi="Montserrat Ultra Light"/>
      <w:b/>
    </w:rPr>
  </w:style>
  <w:style w:type="paragraph" w:styleId="Title">
    <w:name w:val="Title"/>
    <w:basedOn w:val="Normal"/>
    <w:next w:val="Normal"/>
    <w:link w:val="TitleChar"/>
    <w:uiPriority w:val="10"/>
    <w:rsid w:val="00F812F3"/>
    <w:pPr>
      <w:tabs>
        <w:tab w:val="left" w:pos="680"/>
      </w:tabs>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812F3"/>
    <w:rPr>
      <w:rFonts w:asciiTheme="majorHAnsi" w:eastAsiaTheme="majorEastAsia" w:hAnsiTheme="majorHAnsi" w:cstheme="majorBidi"/>
      <w:spacing w:val="-10"/>
      <w:kern w:val="28"/>
      <w:sz w:val="56"/>
      <w:szCs w:val="56"/>
    </w:rPr>
  </w:style>
  <w:style w:type="paragraph" w:customStyle="1" w:styleId="TOCtitle">
    <w:name w:val="TOC title"/>
    <w:basedOn w:val="Normal"/>
    <w:next w:val="Normal"/>
    <w:rsid w:val="00F812F3"/>
    <w:pPr>
      <w:tabs>
        <w:tab w:val="left" w:pos="680"/>
      </w:tabs>
      <w:ind w:left="113"/>
    </w:pPr>
    <w:rPr>
      <w:rFonts w:ascii="Montserrat Extra Bold" w:hAnsi="Montserrat Extra Bold"/>
      <w:color w:val="004563"/>
      <w:sz w:val="32"/>
    </w:rPr>
  </w:style>
  <w:style w:type="table" w:customStyle="1" w:styleId="Calendar1">
    <w:name w:val="Calendar 1"/>
    <w:basedOn w:val="TableNormal"/>
    <w:uiPriority w:val="99"/>
    <w:qFormat/>
    <w:rsid w:val="00F812F3"/>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BodyText1">
    <w:name w:val="Body Text1"/>
    <w:basedOn w:val="Normal"/>
    <w:rsid w:val="00F812F3"/>
    <w:pPr>
      <w:keepLines/>
      <w:tabs>
        <w:tab w:val="clear" w:pos="567"/>
        <w:tab w:val="left" w:pos="680"/>
      </w:tabs>
      <w:spacing w:before="0" w:after="240" w:line="300" w:lineRule="atLeast"/>
      <w:jc w:val="both"/>
    </w:pPr>
    <w:rPr>
      <w:rFonts w:ascii="Arial" w:eastAsia="Times New Roman" w:hAnsi="Arial" w:cs="Times New Roman"/>
      <w:color w:val="000000" w:themeColor="text1"/>
      <w:szCs w:val="20"/>
    </w:rPr>
  </w:style>
  <w:style w:type="character" w:customStyle="1" w:styleId="CGCSubbulletlistChar">
    <w:name w:val="CGC Sub bullet list Char"/>
    <w:aliases w:val="CGC List 2 Char"/>
    <w:basedOn w:val="DefaultParagraphFont"/>
    <w:link w:val="CGCSubbulletlist"/>
    <w:locked/>
    <w:rsid w:val="006817AB"/>
    <w:rPr>
      <w:rFonts w:ascii="Open Sans Light" w:hAnsi="Open Sans Light"/>
      <w:sz w:val="20"/>
      <w:szCs w:val="20"/>
    </w:rPr>
  </w:style>
  <w:style w:type="paragraph" w:customStyle="1" w:styleId="Para0">
    <w:name w:val="Para 0"/>
    <w:basedOn w:val="Normal"/>
    <w:link w:val="Para0Char"/>
    <w:uiPriority w:val="4"/>
    <w:rsid w:val="0085404F"/>
    <w:pPr>
      <w:tabs>
        <w:tab w:val="clear" w:pos="567"/>
      </w:tabs>
      <w:spacing w:before="240" w:after="120" w:line="240" w:lineRule="atLeast"/>
    </w:pPr>
    <w:rPr>
      <w:rFonts w:ascii="Arial" w:eastAsiaTheme="minorEastAsia" w:hAnsi="Arial"/>
      <w:szCs w:val="24"/>
      <w:lang w:val="en-GB"/>
    </w:rPr>
  </w:style>
  <w:style w:type="character" w:customStyle="1" w:styleId="Para0Char">
    <w:name w:val="Para 0 Char"/>
    <w:basedOn w:val="DefaultParagraphFont"/>
    <w:link w:val="Para0"/>
    <w:uiPriority w:val="4"/>
    <w:rsid w:val="0085404F"/>
    <w:rPr>
      <w:rFonts w:ascii="Arial" w:eastAsiaTheme="minorEastAsia" w:hAnsi="Arial"/>
      <w:sz w:val="20"/>
      <w:szCs w:val="24"/>
      <w:lang w:val="en-GB"/>
    </w:rPr>
  </w:style>
  <w:style w:type="character" w:styleId="Emphasis">
    <w:name w:val="Emphasis"/>
    <w:basedOn w:val="DefaultParagraphFont"/>
    <w:uiPriority w:val="20"/>
    <w:rsid w:val="0085404F"/>
    <w:rPr>
      <w:i/>
      <w:iCs/>
    </w:rPr>
  </w:style>
  <w:style w:type="paragraph" w:customStyle="1" w:styleId="CGCterminologylabel">
    <w:name w:val="CGC terminology label"/>
    <w:basedOn w:val="Normal"/>
    <w:link w:val="CGCterminologylabelChar"/>
    <w:rsid w:val="003A22B8"/>
    <w:pPr>
      <w:keepNext/>
    </w:pPr>
    <w:rPr>
      <w:b/>
    </w:rPr>
  </w:style>
  <w:style w:type="character" w:customStyle="1" w:styleId="CGCterminologylabelChar">
    <w:name w:val="CGC terminology label Char"/>
    <w:basedOn w:val="DefaultParagraphFont"/>
    <w:link w:val="CGCterminologylabel"/>
    <w:rsid w:val="003A22B8"/>
    <w:rPr>
      <w:rFonts w:ascii="Open Sans Light" w:hAnsi="Open Sans Light"/>
      <w:b/>
      <w:sz w:val="20"/>
    </w:rPr>
  </w:style>
  <w:style w:type="paragraph" w:customStyle="1" w:styleId="CGCCWTableText">
    <w:name w:val="CGC CW Table Text"/>
    <w:basedOn w:val="Normal"/>
    <w:link w:val="CGCCWTableTextChar"/>
    <w:rsid w:val="003A22B8"/>
    <w:pPr>
      <w:spacing w:line="240" w:lineRule="auto"/>
    </w:pPr>
    <w:rPr>
      <w:sz w:val="18"/>
      <w:szCs w:val="18"/>
    </w:rPr>
  </w:style>
  <w:style w:type="character" w:customStyle="1" w:styleId="CGCCWTableTextChar">
    <w:name w:val="CGC CW Table Text Char"/>
    <w:basedOn w:val="DefaultParagraphFont"/>
    <w:link w:val="CGCCWTableText"/>
    <w:rsid w:val="003A22B8"/>
    <w:rPr>
      <w:rFonts w:ascii="Open Sans Light" w:hAnsi="Open Sans Light"/>
      <w:sz w:val="18"/>
      <w:szCs w:val="18"/>
    </w:rPr>
  </w:style>
  <w:style w:type="paragraph" w:customStyle="1" w:styleId="CGCCWTableTextlist">
    <w:name w:val="CGC CW Table Text list"/>
    <w:basedOn w:val="CGCCWTableText"/>
    <w:rsid w:val="003A22B8"/>
    <w:rPr>
      <w:rFonts w:eastAsia="Times New Roman" w:cs="Times New Roman"/>
      <w:szCs w:val="20"/>
    </w:rPr>
  </w:style>
  <w:style w:type="paragraph" w:customStyle="1" w:styleId="21para">
    <w:name w:val="2.1 para"/>
    <w:basedOn w:val="Normal"/>
    <w:rsid w:val="003A22B8"/>
    <w:pPr>
      <w:numPr>
        <w:numId w:val="24"/>
      </w:numPr>
      <w:tabs>
        <w:tab w:val="clear" w:pos="567"/>
        <w:tab w:val="num" w:pos="360"/>
      </w:tabs>
      <w:ind w:left="567" w:hanging="567"/>
    </w:pPr>
    <w:rPr>
      <w:szCs w:val="24"/>
    </w:rPr>
  </w:style>
  <w:style w:type="table" w:customStyle="1" w:styleId="TableGrid4">
    <w:name w:val="Table Grid4"/>
    <w:basedOn w:val="TableNormal"/>
    <w:next w:val="TableGrid"/>
    <w:uiPriority w:val="59"/>
    <w:rsid w:val="006F5346"/>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7255162">
      <w:bodyDiv w:val="1"/>
      <w:marLeft w:val="0"/>
      <w:marRight w:val="0"/>
      <w:marTop w:val="0"/>
      <w:marBottom w:val="0"/>
      <w:divBdr>
        <w:top w:val="none" w:sz="0" w:space="0" w:color="auto"/>
        <w:left w:val="none" w:sz="0" w:space="0" w:color="auto"/>
        <w:bottom w:val="none" w:sz="0" w:space="0" w:color="auto"/>
        <w:right w:val="none" w:sz="0" w:space="0" w:color="auto"/>
      </w:divBdr>
    </w:div>
    <w:div w:id="997612217">
      <w:bodyDiv w:val="1"/>
      <w:marLeft w:val="0"/>
      <w:marRight w:val="0"/>
      <w:marTop w:val="0"/>
      <w:marBottom w:val="0"/>
      <w:divBdr>
        <w:top w:val="none" w:sz="0" w:space="0" w:color="auto"/>
        <w:left w:val="none" w:sz="0" w:space="0" w:color="auto"/>
        <w:bottom w:val="none" w:sz="0" w:space="0" w:color="auto"/>
        <w:right w:val="none" w:sz="0" w:space="0" w:color="auto"/>
      </w:divBdr>
    </w:div>
    <w:div w:id="1380743662">
      <w:bodyDiv w:val="1"/>
      <w:marLeft w:val="0"/>
      <w:marRight w:val="0"/>
      <w:marTop w:val="0"/>
      <w:marBottom w:val="0"/>
      <w:divBdr>
        <w:top w:val="none" w:sz="0" w:space="0" w:color="auto"/>
        <w:left w:val="none" w:sz="0" w:space="0" w:color="auto"/>
        <w:bottom w:val="none" w:sz="0" w:space="0" w:color="auto"/>
        <w:right w:val="none" w:sz="0" w:space="0" w:color="auto"/>
      </w:divBdr>
    </w:div>
    <w:div w:id="1513835799">
      <w:bodyDiv w:val="1"/>
      <w:marLeft w:val="0"/>
      <w:marRight w:val="0"/>
      <w:marTop w:val="0"/>
      <w:marBottom w:val="0"/>
      <w:divBdr>
        <w:top w:val="none" w:sz="0" w:space="0" w:color="auto"/>
        <w:left w:val="none" w:sz="0" w:space="0" w:color="auto"/>
        <w:bottom w:val="none" w:sz="0" w:space="0" w:color="auto"/>
        <w:right w:val="none" w:sz="0" w:space="0" w:color="auto"/>
      </w:divBdr>
    </w:div>
    <w:div w:id="175069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gc.gov.au/" TargetMode="External"/><Relationship Id="rId21" Type="http://schemas.openxmlformats.org/officeDocument/2006/relationships/image" Target="media/image10.emf"/><Relationship Id="rId42" Type="http://schemas.openxmlformats.org/officeDocument/2006/relationships/footer" Target="footer4.xml"/><Relationship Id="rId47" Type="http://schemas.openxmlformats.org/officeDocument/2006/relationships/hyperlink" Target="https://cgc.gov.au/" TargetMode="External"/><Relationship Id="rId63" Type="http://schemas.openxmlformats.org/officeDocument/2006/relationships/footer" Target="footer11.xml"/><Relationship Id="rId68" Type="http://schemas.openxmlformats.org/officeDocument/2006/relationships/footer" Target="footer15.xml"/><Relationship Id="rId16" Type="http://schemas.openxmlformats.org/officeDocument/2006/relationships/image" Target="media/image5.emf"/><Relationship Id="rId11" Type="http://schemas.openxmlformats.org/officeDocument/2006/relationships/hyperlink" Target="https://cgc.gov.au/" TargetMode="External"/><Relationship Id="rId32" Type="http://schemas.openxmlformats.org/officeDocument/2006/relationships/image" Target="media/image17.emf"/><Relationship Id="rId37" Type="http://schemas.openxmlformats.org/officeDocument/2006/relationships/image" Target="media/image22.emf"/><Relationship Id="rId53" Type="http://schemas.openxmlformats.org/officeDocument/2006/relationships/image" Target="media/image27.png"/><Relationship Id="rId58" Type="http://schemas.openxmlformats.org/officeDocument/2006/relationships/image" Target="media/image31.png"/><Relationship Id="rId74" Type="http://schemas.openxmlformats.org/officeDocument/2006/relationships/hyperlink" Target="https://cgc.gov.au" TargetMode="External"/><Relationship Id="rId79" Type="http://schemas.openxmlformats.org/officeDocument/2006/relationships/footer" Target="footer22.xml"/><Relationship Id="rId5" Type="http://schemas.openxmlformats.org/officeDocument/2006/relationships/numbering" Target="numbering.xml"/><Relationship Id="rId61" Type="http://schemas.openxmlformats.org/officeDocument/2006/relationships/image" Target="media/image32.emf"/><Relationship Id="rId19" Type="http://schemas.openxmlformats.org/officeDocument/2006/relationships/image" Target="media/image8.emf"/><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footer" Target="footer3.xml"/><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hyperlink" Target="https://cgc.gov.au/" TargetMode="External"/><Relationship Id="rId48" Type="http://schemas.openxmlformats.org/officeDocument/2006/relationships/footer" Target="footer7.xml"/><Relationship Id="rId56" Type="http://schemas.openxmlformats.org/officeDocument/2006/relationships/image" Target="media/image30.png"/><Relationship Id="rId64" Type="http://schemas.openxmlformats.org/officeDocument/2006/relationships/footer" Target="footer12.xml"/><Relationship Id="rId69" Type="http://schemas.openxmlformats.org/officeDocument/2006/relationships/footer" Target="footer16.xml"/><Relationship Id="rId77" Type="http://schemas.openxmlformats.org/officeDocument/2006/relationships/hyperlink" Target="https://www.cgc.gov.au/about-us/fiscal-equalisation" TargetMode="External"/><Relationship Id="rId8" Type="http://schemas.openxmlformats.org/officeDocument/2006/relationships/webSettings" Target="webSettings.xml"/><Relationship Id="rId51" Type="http://schemas.openxmlformats.org/officeDocument/2006/relationships/footer" Target="footer8.xml"/><Relationship Id="rId72" Type="http://schemas.openxmlformats.org/officeDocument/2006/relationships/hyperlink" Target="https://cgc.gov.au"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footer" Target="footer2.xml"/><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footer" Target="footer6.xml"/><Relationship Id="rId59" Type="http://schemas.openxmlformats.org/officeDocument/2006/relationships/hyperlink" Target="https://petrolspy.com.au/" TargetMode="External"/><Relationship Id="rId67" Type="http://schemas.openxmlformats.org/officeDocument/2006/relationships/footer" Target="footer14.xml"/><Relationship Id="rId20" Type="http://schemas.openxmlformats.org/officeDocument/2006/relationships/image" Target="media/image9.emf"/><Relationship Id="rId41" Type="http://schemas.openxmlformats.org/officeDocument/2006/relationships/image" Target="media/image26.png"/><Relationship Id="rId54" Type="http://schemas.openxmlformats.org/officeDocument/2006/relationships/image" Target="media/image28.png"/><Relationship Id="rId62" Type="http://schemas.openxmlformats.org/officeDocument/2006/relationships/image" Target="media/image33.emf"/><Relationship Id="rId70" Type="http://schemas.openxmlformats.org/officeDocument/2006/relationships/footer" Target="footer17.xml"/><Relationship Id="rId75"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chart" Target="charts/chart1.xml"/><Relationship Id="rId57"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hyperlink" Target="https://petrolspy.com.au/" TargetMode="External"/><Relationship Id="rId65" Type="http://schemas.openxmlformats.org/officeDocument/2006/relationships/footer" Target="footer13.xml"/><Relationship Id="rId73" Type="http://schemas.openxmlformats.org/officeDocument/2006/relationships/hyperlink" Target="https://cgc.gov.au" TargetMode="External"/><Relationship Id="rId78" Type="http://schemas.openxmlformats.org/officeDocument/2006/relationships/footer" Target="footer2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39" Type="http://schemas.openxmlformats.org/officeDocument/2006/relationships/image" Target="media/image24.emf"/><Relationship Id="rId34" Type="http://schemas.openxmlformats.org/officeDocument/2006/relationships/image" Target="media/image19.emf"/><Relationship Id="rId50" Type="http://schemas.openxmlformats.org/officeDocument/2006/relationships/hyperlink" Target="https://cgc.gov.au/" TargetMode="External"/><Relationship Id="rId55" Type="http://schemas.openxmlformats.org/officeDocument/2006/relationships/image" Target="media/image29.png"/><Relationship Id="rId76" Type="http://schemas.openxmlformats.org/officeDocument/2006/relationships/footer" Target="footer20.xml"/><Relationship Id="rId7" Type="http://schemas.openxmlformats.org/officeDocument/2006/relationships/settings" Target="settings.xml"/><Relationship Id="rId71"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image" Target="media/image14.emf"/><Relationship Id="rId24" Type="http://schemas.openxmlformats.org/officeDocument/2006/relationships/footer" Target="footer1.xml"/><Relationship Id="rId40" Type="http://schemas.openxmlformats.org/officeDocument/2006/relationships/image" Target="media/image25.emf"/><Relationship Id="rId45" Type="http://schemas.openxmlformats.org/officeDocument/2006/relationships/hyperlink" Target="https://cgc.gov.au/" TargetMode="External"/><Relationship Id="rId66" Type="http://schemas.openxmlformats.org/officeDocument/2006/relationships/image" Target="media/image34.emf"/></Relationships>
</file>

<file path=word/_rels/footnotes.xml.rels><?xml version="1.0" encoding="UTF-8" standalone="yes"?>
<Relationships xmlns="http://schemas.openxmlformats.org/package/2006/relationships"><Relationship Id="rId8" Type="http://schemas.openxmlformats.org/officeDocument/2006/relationships/hyperlink" Target="https://www.cgc.gov.au/sites/default/files/ia147500_-_stage_2_final_report_rev_d.pdf" TargetMode="External"/><Relationship Id="rId13" Type="http://schemas.openxmlformats.org/officeDocument/2006/relationships/hyperlink" Target="https://www.disasterassist.gov.au/Documents/Natural-Disaster-Relief-and-Recovery-Arrangements/drfa-2018-guideline-1-an-essential-public-asset.pdf" TargetMode="External"/><Relationship Id="rId18" Type="http://schemas.openxmlformats.org/officeDocument/2006/relationships/hyperlink" Target="https://www.alrc.gov.au/publication/connection-to-country-review-of-the-native-title-act-1993-cth-alrc-report-126/3-context-for-reform/land-rights-and-native-title-in-the-states-and-territories/" TargetMode="External"/><Relationship Id="rId3" Type="http://schemas.openxmlformats.org/officeDocument/2006/relationships/hyperlink" Target="http://www.australianminesatlas.gov.au/mapping/downloads.html" TargetMode="External"/><Relationship Id="rId21" Type="http://schemas.openxmlformats.org/officeDocument/2006/relationships/hyperlink" Target="https://www.adelaide.edu.au/hugo-centre/services/aria" TargetMode="External"/><Relationship Id="rId7" Type="http://schemas.openxmlformats.org/officeDocument/2006/relationships/hyperlink" Target="https://www.cgc.gov.au/sites/default/files/Jacobs%20Stage%201%20Report%20Rev%20C.pdf" TargetMode="External"/><Relationship Id="rId12" Type="http://schemas.openxmlformats.org/officeDocument/2006/relationships/hyperlink" Target="https://www.nctr.usf.edu/wp-content/uploads/2012/12/15.4_Daniels.pdf" TargetMode="External"/><Relationship Id="rId17" Type="http://schemas.openxmlformats.org/officeDocument/2006/relationships/hyperlink" Target="https://cgc.gov.au" TargetMode="External"/><Relationship Id="rId2" Type="http://schemas.openxmlformats.org/officeDocument/2006/relationships/hyperlink" Target="https://cgcgovau.sharepoint.com/teams/Inquiries-GSTRevenue/Shared%20Documents/2020%20Review/R2020/Report/Final%20Report/3%20-%20Final%20report/Geoscience%20Australia" TargetMode="External"/><Relationship Id="rId16" Type="http://schemas.openxmlformats.org/officeDocument/2006/relationships/hyperlink" Target="https://cgc.gov.au/" TargetMode="External"/><Relationship Id="rId20" Type="http://schemas.openxmlformats.org/officeDocument/2006/relationships/hyperlink" Target="http://eresources.hcourt.gov.au/downloadPdf/2019/HCA/7" TargetMode="External"/><Relationship Id="rId1" Type="http://schemas.openxmlformats.org/officeDocument/2006/relationships/hyperlink" Target="https://www.ntc.gov.au/heavy-vehicles/heavy-vehicle-charges/" TargetMode="External"/><Relationship Id="rId6" Type="http://schemas.openxmlformats.org/officeDocument/2006/relationships/hyperlink" Target="https://www.mainroads.wa.gov.au/BuildingRoads/StandardsTechnical/RoadandTrafficEngineering/DrainageWaterways/Pages/Floodways.aspx" TargetMode="External"/><Relationship Id="rId11" Type="http://schemas.openxmlformats.org/officeDocument/2006/relationships/hyperlink" Target="https://www.cgc.gov.au/sites/default/files/urban_transport_consultancy_-_nsw_government_vlc_consultancy.pdf" TargetMode="External"/><Relationship Id="rId5" Type="http://schemas.openxmlformats.org/officeDocument/2006/relationships/hyperlink" Target="https://www.ga.gov.au/scientific-topics/minerals/mineral-exploration/legislation-tenements" TargetMode="External"/><Relationship Id="rId15" Type="http://schemas.openxmlformats.org/officeDocument/2006/relationships/hyperlink" Target="https://cgc.gov.au/sites/default/files/update_processes.pdf" TargetMode="External"/><Relationship Id="rId10" Type="http://schemas.openxmlformats.org/officeDocument/2006/relationships/hyperlink" Target="https://www.infrastructureaustralia.gov.au/" TargetMode="External"/><Relationship Id="rId19" Type="http://schemas.openxmlformats.org/officeDocument/2006/relationships/hyperlink" Target="http://eresources.hcourt.gov.au/downloadPdf/2019/HCA/7" TargetMode="External"/><Relationship Id="rId4" Type="http://schemas.openxmlformats.org/officeDocument/2006/relationships/hyperlink" Target="http://www.ga.gov.au/scientific-topics/energy/resources/petroleum-resources/gas" TargetMode="External"/><Relationship Id="rId9" Type="http://schemas.openxmlformats.org/officeDocument/2006/relationships/hyperlink" Target="https://www.infrastructureaustralia.gov.au/publications/outer-urban-public-transport-improving-accessibility-lower-density-areas" TargetMode="External"/><Relationship Id="rId14" Type="http://schemas.openxmlformats.org/officeDocument/2006/relationships/hyperlink" Target="https://www.disasterassist.gov.au/Documents/Natural-Disaster-Relief-and-Recovery-Arrangements/drfa-2018-guideline-4-insurance-arrangements.pdf" TargetMode="External"/><Relationship Id="rId22" Type="http://schemas.openxmlformats.org/officeDocument/2006/relationships/hyperlink" Target="http://caepr.cass.anu.edu.au/"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GCFS\ODrive\AssessmentSystem\Temp\R2020%20GST\5.%20E\920\5.%20V\Long%20time%20series-Long%20time%20seri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61341118188291"/>
          <c:y val="3.970564051451049E-2"/>
          <c:w val="0.81776362349610754"/>
          <c:h val="0.80342480359147028"/>
        </c:manualLayout>
      </c:layout>
      <c:lineChart>
        <c:grouping val="standard"/>
        <c:varyColors val="0"/>
        <c:ser>
          <c:idx val="1"/>
          <c:order val="0"/>
          <c:tx>
            <c:strRef>
              <c:f>Chart!$F$4</c:f>
              <c:strCache>
                <c:ptCount val="1"/>
                <c:pt idx="0">
                  <c:v>General government</c:v>
                </c:pt>
              </c:strCache>
            </c:strRef>
          </c:tx>
          <c:spPr>
            <a:ln w="31750">
              <a:solidFill>
                <a:srgbClr val="60B5D7"/>
              </a:solidFill>
              <a:prstDash val="dash"/>
            </a:ln>
          </c:spPr>
          <c:marker>
            <c:symbol val="none"/>
          </c:marker>
          <c:cat>
            <c:strRef>
              <c:f>Chart!$D$27:$D$45</c:f>
              <c:strCache>
                <c:ptCount val="19"/>
                <c:pt idx="0">
                  <c:v>1999-2000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pt idx="17">
                  <c:v>2016-17</c:v>
                </c:pt>
                <c:pt idx="18">
                  <c:v>2017-18</c:v>
                </c:pt>
              </c:strCache>
            </c:strRef>
          </c:cat>
          <c:val>
            <c:numRef>
              <c:f>Chart!$F$27:$F$45</c:f>
              <c:numCache>
                <c:formatCode>General</c:formatCode>
                <c:ptCount val="19"/>
                <c:pt idx="0">
                  <c:v>-1404</c:v>
                </c:pt>
                <c:pt idx="1">
                  <c:v>1759</c:v>
                </c:pt>
                <c:pt idx="2">
                  <c:v>876</c:v>
                </c:pt>
                <c:pt idx="3">
                  <c:v>-1820</c:v>
                </c:pt>
                <c:pt idx="4">
                  <c:v>-4308</c:v>
                </c:pt>
                <c:pt idx="5">
                  <c:v>-3814</c:v>
                </c:pt>
                <c:pt idx="6">
                  <c:v>-3030</c:v>
                </c:pt>
                <c:pt idx="7">
                  <c:v>-1205</c:v>
                </c:pt>
                <c:pt idx="8">
                  <c:v>4344</c:v>
                </c:pt>
                <c:pt idx="9">
                  <c:v>10781</c:v>
                </c:pt>
                <c:pt idx="10">
                  <c:v>14349</c:v>
                </c:pt>
                <c:pt idx="11">
                  <c:v>15275</c:v>
                </c:pt>
                <c:pt idx="12">
                  <c:v>13476</c:v>
                </c:pt>
                <c:pt idx="13">
                  <c:v>18145</c:v>
                </c:pt>
                <c:pt idx="14">
                  <c:v>6493</c:v>
                </c:pt>
                <c:pt idx="15">
                  <c:v>3602</c:v>
                </c:pt>
                <c:pt idx="16">
                  <c:v>4430</c:v>
                </c:pt>
                <c:pt idx="17">
                  <c:v>7634</c:v>
                </c:pt>
                <c:pt idx="18">
                  <c:v>12739</c:v>
                </c:pt>
              </c:numCache>
            </c:numRef>
          </c:val>
          <c:smooth val="0"/>
          <c:extLst>
            <c:ext xmlns:c16="http://schemas.microsoft.com/office/drawing/2014/chart" uri="{C3380CC4-5D6E-409C-BE32-E72D297353CC}">
              <c16:uniqueId val="{00000000-C421-41F6-A459-89A09BE2215D}"/>
            </c:ext>
          </c:extLst>
        </c:ser>
        <c:ser>
          <c:idx val="2"/>
          <c:order val="1"/>
          <c:tx>
            <c:strRef>
              <c:f>Chart!$G$4</c:f>
              <c:strCache>
                <c:ptCount val="1"/>
                <c:pt idx="0">
                  <c:v>Total State public sector</c:v>
                </c:pt>
              </c:strCache>
            </c:strRef>
          </c:tx>
          <c:spPr>
            <a:ln w="31750">
              <a:solidFill>
                <a:srgbClr val="60B5D7"/>
              </a:solidFill>
              <a:prstDash val="sysDot"/>
            </a:ln>
          </c:spPr>
          <c:marker>
            <c:symbol val="none"/>
          </c:marker>
          <c:cat>
            <c:strRef>
              <c:f>Chart!$D$27:$D$45</c:f>
              <c:strCache>
                <c:ptCount val="19"/>
                <c:pt idx="0">
                  <c:v>1999-2000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pt idx="17">
                  <c:v>2016-17</c:v>
                </c:pt>
                <c:pt idx="18">
                  <c:v>2017-18</c:v>
                </c:pt>
              </c:strCache>
            </c:strRef>
          </c:cat>
          <c:val>
            <c:numRef>
              <c:f>Chart!$G$27:$G$45</c:f>
              <c:numCache>
                <c:formatCode>General</c:formatCode>
                <c:ptCount val="19"/>
                <c:pt idx="0">
                  <c:v>-3409</c:v>
                </c:pt>
                <c:pt idx="1">
                  <c:v>485</c:v>
                </c:pt>
                <c:pt idx="2">
                  <c:v>1794</c:v>
                </c:pt>
                <c:pt idx="3">
                  <c:v>1012</c:v>
                </c:pt>
                <c:pt idx="4">
                  <c:v>-3698</c:v>
                </c:pt>
                <c:pt idx="5">
                  <c:v>-656</c:v>
                </c:pt>
                <c:pt idx="6">
                  <c:v>3282</c:v>
                </c:pt>
                <c:pt idx="7">
                  <c:v>5199</c:v>
                </c:pt>
                <c:pt idx="8">
                  <c:v>15209</c:v>
                </c:pt>
                <c:pt idx="9">
                  <c:v>32060</c:v>
                </c:pt>
                <c:pt idx="10">
                  <c:v>31382</c:v>
                </c:pt>
                <c:pt idx="11">
                  <c:v>32278</c:v>
                </c:pt>
                <c:pt idx="12">
                  <c:v>26973</c:v>
                </c:pt>
                <c:pt idx="13">
                  <c:v>31173</c:v>
                </c:pt>
                <c:pt idx="14">
                  <c:v>15366</c:v>
                </c:pt>
                <c:pt idx="15">
                  <c:v>10146</c:v>
                </c:pt>
                <c:pt idx="16">
                  <c:v>14596</c:v>
                </c:pt>
                <c:pt idx="17">
                  <c:v>17520</c:v>
                </c:pt>
                <c:pt idx="18">
                  <c:v>24315</c:v>
                </c:pt>
              </c:numCache>
            </c:numRef>
          </c:val>
          <c:smooth val="0"/>
          <c:extLst>
            <c:ext xmlns:c16="http://schemas.microsoft.com/office/drawing/2014/chart" uri="{C3380CC4-5D6E-409C-BE32-E72D297353CC}">
              <c16:uniqueId val="{00000001-C421-41F6-A459-89A09BE2215D}"/>
            </c:ext>
          </c:extLst>
        </c:ser>
        <c:ser>
          <c:idx val="0"/>
          <c:order val="2"/>
          <c:tx>
            <c:strRef>
              <c:f>Chart!$H$4</c:f>
              <c:strCache>
                <c:ptCount val="1"/>
                <c:pt idx="0">
                  <c:v>Services within scope of Commission assessments</c:v>
                </c:pt>
              </c:strCache>
            </c:strRef>
          </c:tx>
          <c:marker>
            <c:symbol val="none"/>
          </c:marker>
          <c:cat>
            <c:strRef>
              <c:f>Chart!$D$27:$D$45</c:f>
              <c:strCache>
                <c:ptCount val="19"/>
                <c:pt idx="0">
                  <c:v>1999-2000</c:v>
                </c:pt>
                <c:pt idx="1">
                  <c:v>2000-01</c:v>
                </c:pt>
                <c:pt idx="2">
                  <c:v>2001-02</c:v>
                </c:pt>
                <c:pt idx="3">
                  <c:v>2002-03</c:v>
                </c:pt>
                <c:pt idx="4">
                  <c:v>2003-04</c:v>
                </c:pt>
                <c:pt idx="5">
                  <c:v>2004-05</c:v>
                </c:pt>
                <c:pt idx="6">
                  <c:v>2005-06</c:v>
                </c:pt>
                <c:pt idx="7">
                  <c:v>2006-07</c:v>
                </c:pt>
                <c:pt idx="8">
                  <c:v>2007-08</c:v>
                </c:pt>
                <c:pt idx="9">
                  <c:v>2008-09</c:v>
                </c:pt>
                <c:pt idx="10">
                  <c:v>2009-10</c:v>
                </c:pt>
                <c:pt idx="11">
                  <c:v>2010-11</c:v>
                </c:pt>
                <c:pt idx="12">
                  <c:v>2011-12</c:v>
                </c:pt>
                <c:pt idx="13">
                  <c:v>2012-13</c:v>
                </c:pt>
                <c:pt idx="14">
                  <c:v>2013-14</c:v>
                </c:pt>
                <c:pt idx="15">
                  <c:v>2014-15</c:v>
                </c:pt>
                <c:pt idx="16">
                  <c:v>2015-16</c:v>
                </c:pt>
                <c:pt idx="17">
                  <c:v>2016-17</c:v>
                </c:pt>
                <c:pt idx="18">
                  <c:v>2017-18</c:v>
                </c:pt>
              </c:strCache>
            </c:strRef>
          </c:cat>
          <c:val>
            <c:numRef>
              <c:f>Chart!$H$27:$H$45</c:f>
              <c:numCache>
                <c:formatCode>General</c:formatCode>
                <c:ptCount val="19"/>
                <c:pt idx="11" formatCode="0">
                  <c:v>26018.257628823201</c:v>
                </c:pt>
                <c:pt idx="12" formatCode="0">
                  <c:v>16943.752418808301</c:v>
                </c:pt>
                <c:pt idx="13" formatCode="0">
                  <c:v>22487.815394597099</c:v>
                </c:pt>
                <c:pt idx="14" formatCode="0">
                  <c:v>10863.885531</c:v>
                </c:pt>
                <c:pt idx="15" formatCode="0">
                  <c:v>3821.3420000000001</c:v>
                </c:pt>
                <c:pt idx="16" formatCode="0">
                  <c:v>7712.1868309566808</c:v>
                </c:pt>
                <c:pt idx="17" formatCode="0">
                  <c:v>10869.9883436772</c:v>
                </c:pt>
                <c:pt idx="18" formatCode="0">
                  <c:v>15980.4342795868</c:v>
                </c:pt>
              </c:numCache>
            </c:numRef>
          </c:val>
          <c:smooth val="0"/>
          <c:extLst>
            <c:ext xmlns:c16="http://schemas.microsoft.com/office/drawing/2014/chart" uri="{C3380CC4-5D6E-409C-BE32-E72D297353CC}">
              <c16:uniqueId val="{00000002-C421-41F6-A459-89A09BE2215D}"/>
            </c:ext>
          </c:extLst>
        </c:ser>
        <c:dLbls>
          <c:showLegendKey val="0"/>
          <c:showVal val="0"/>
          <c:showCatName val="0"/>
          <c:showSerName val="0"/>
          <c:showPercent val="0"/>
          <c:showBubbleSize val="0"/>
        </c:dLbls>
        <c:smooth val="0"/>
        <c:axId val="266557696"/>
        <c:axId val="266568064"/>
      </c:lineChart>
      <c:catAx>
        <c:axId val="266557696"/>
        <c:scaling>
          <c:orientation val="minMax"/>
        </c:scaling>
        <c:delete val="0"/>
        <c:axPos val="b"/>
        <c:numFmt formatCode="#,##0" sourceLinked="0"/>
        <c:majorTickMark val="out"/>
        <c:minorTickMark val="out"/>
        <c:tickLblPos val="low"/>
        <c:spPr>
          <a:ln>
            <a:noFill/>
          </a:ln>
        </c:spPr>
        <c:txPr>
          <a:bodyPr rot="-2400000"/>
          <a:lstStyle/>
          <a:p>
            <a:pPr>
              <a:defRPr sz="800">
                <a:latin typeface="Montserrat Ultra Light" panose="00000300000000000000" pitchFamily="50" charset="0"/>
              </a:defRPr>
            </a:pPr>
            <a:endParaRPr lang="en-US"/>
          </a:p>
        </c:txPr>
        <c:crossAx val="266568064"/>
        <c:crosses val="autoZero"/>
        <c:auto val="1"/>
        <c:lblAlgn val="ctr"/>
        <c:lblOffset val="100"/>
        <c:tickLblSkip val="2"/>
        <c:noMultiLvlLbl val="0"/>
      </c:catAx>
      <c:valAx>
        <c:axId val="266568064"/>
        <c:scaling>
          <c:orientation val="minMax"/>
          <c:min val="-5000"/>
        </c:scaling>
        <c:delete val="0"/>
        <c:axPos val="l"/>
        <c:majorGridlines>
          <c:spPr>
            <a:ln w="6350">
              <a:solidFill>
                <a:sysClr val="window" lastClr="FFFFFF">
                  <a:lumMod val="85000"/>
                </a:sysClr>
              </a:solidFill>
            </a:ln>
          </c:spPr>
        </c:majorGridlines>
        <c:title>
          <c:tx>
            <c:rich>
              <a:bodyPr/>
              <a:lstStyle/>
              <a:p>
                <a:pPr>
                  <a:defRPr sz="800" b="1">
                    <a:latin typeface="Montserrat Semi Bold" panose="00000700000000000000" pitchFamily="50" charset="0"/>
                  </a:defRPr>
                </a:pPr>
                <a:r>
                  <a:rPr lang="en-US"/>
                  <a:t>Net borrowing ($m)</a:t>
                </a:r>
              </a:p>
            </c:rich>
          </c:tx>
          <c:layout>
            <c:manualLayout>
              <c:xMode val="edge"/>
              <c:yMode val="edge"/>
              <c:x val="9.9871422954722795E-3"/>
              <c:y val="0.37301827393871612"/>
            </c:manualLayout>
          </c:layout>
          <c:overlay val="0"/>
        </c:title>
        <c:numFmt formatCode="#,##0" sourceLinked="0"/>
        <c:majorTickMark val="out"/>
        <c:minorTickMark val="none"/>
        <c:tickLblPos val="nextTo"/>
        <c:spPr>
          <a:ln>
            <a:noFill/>
          </a:ln>
        </c:spPr>
        <c:txPr>
          <a:bodyPr/>
          <a:lstStyle/>
          <a:p>
            <a:pPr>
              <a:defRPr sz="800">
                <a:latin typeface="Montserrat Ultra Light" panose="00000300000000000000" pitchFamily="50" charset="0"/>
              </a:defRPr>
            </a:pPr>
            <a:endParaRPr lang="en-US"/>
          </a:p>
        </c:txPr>
        <c:crossAx val="266557696"/>
        <c:crosses val="autoZero"/>
        <c:crossBetween val="between"/>
      </c:valAx>
    </c:plotArea>
    <c:legend>
      <c:legendPos val="r"/>
      <c:layout>
        <c:manualLayout>
          <c:xMode val="edge"/>
          <c:yMode val="edge"/>
          <c:x val="0.14432289455060154"/>
          <c:y val="4.6117003367003369E-2"/>
          <c:w val="0.30965799716914366"/>
          <c:h val="0.42314169472502799"/>
        </c:manualLayout>
      </c:layout>
      <c:overlay val="0"/>
      <c:spPr>
        <a:solidFill>
          <a:sysClr val="window" lastClr="FFFFFF"/>
        </a:solidFill>
        <a:ln w="6350">
          <a:solidFill>
            <a:srgbClr val="939598"/>
          </a:solidFill>
        </a:ln>
      </c:spPr>
      <c:txPr>
        <a:bodyPr/>
        <a:lstStyle/>
        <a:p>
          <a:pPr>
            <a:defRPr sz="800">
              <a:latin typeface="Montserrat Ultra Light" panose="00000300000000000000" pitchFamily="50" charset="0"/>
            </a:defRPr>
          </a:pPr>
          <a:endParaRPr lang="en-US"/>
        </a:p>
      </c:txPr>
    </c:legend>
    <c:plotVisOnly val="1"/>
    <c:dispBlanksAs val="gap"/>
    <c:showDLblsOverMax val="0"/>
  </c:chart>
  <c:spPr>
    <a:ln w="9525">
      <a:solidFill>
        <a:srgbClr val="ADD6EA"/>
      </a:solidFill>
    </a:ln>
  </c:spPr>
  <c:txPr>
    <a:bodyPr/>
    <a:lstStyle/>
    <a:p>
      <a:pPr>
        <a:defRPr>
          <a:latin typeface="Calibri" pitchFamily="34"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AEA9839F97DA84EAC43A7FB852BABF8" ma:contentTypeVersion="12" ma:contentTypeDescription="Create a new document." ma:contentTypeScope="" ma:versionID="26f4eaebbbf5eea6eea98917bd7a920a">
  <xsd:schema xmlns:xsd="http://www.w3.org/2001/XMLSchema" xmlns:xs="http://www.w3.org/2001/XMLSchema" xmlns:p="http://schemas.microsoft.com/office/2006/metadata/properties" xmlns:ns2="fddab0a8-5dcd-452e-8920-feabfc03300f" xmlns:ns3="3b147965-d003-4c9e-9913-90f0d9e77379" targetNamespace="http://schemas.microsoft.com/office/2006/metadata/properties" ma:root="true" ma:fieldsID="72ec95277f14174cd63dc65a16bd5d7a" ns2:_="" ns3:_="">
    <xsd:import namespace="fddab0a8-5dcd-452e-8920-feabfc03300f"/>
    <xsd:import namespace="3b147965-d003-4c9e-9913-90f0d9e7737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ab0a8-5dcd-452e-8920-feabfc033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147965-d003-4c9e-9913-90f0d9e7737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6A71F-4BA5-4C06-B909-BAFBEF7A2359}">
  <ds:schemaRefs>
    <ds:schemaRef ds:uri="http://schemas.microsoft.com/sharepoint/v3/contenttype/forms"/>
  </ds:schemaRefs>
</ds:datastoreItem>
</file>

<file path=customXml/itemProps2.xml><?xml version="1.0" encoding="utf-8"?>
<ds:datastoreItem xmlns:ds="http://schemas.openxmlformats.org/officeDocument/2006/customXml" ds:itemID="{77378E88-2B12-468D-BCE4-B49B9D46214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8E61B7-BD22-49AD-8646-9C1A2A39F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ab0a8-5dcd-452e-8920-feabfc03300f"/>
    <ds:schemaRef ds:uri="3b147965-d003-4c9e-9913-90f0d9e773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AB459F-9E41-41C2-9FEE-A655E1A65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254</Pages>
  <Words>91287</Words>
  <Characters>520339</Characters>
  <Application>Microsoft Office Word</Application>
  <DocSecurity>0</DocSecurity>
  <Lines>4336</Lines>
  <Paragraphs>1220</Paragraphs>
  <ScaleCrop>false</ScaleCrop>
  <HeadingPairs>
    <vt:vector size="2" baseType="variant">
      <vt:variant>
        <vt:lpstr>Title</vt:lpstr>
      </vt:variant>
      <vt:variant>
        <vt:i4>1</vt:i4>
      </vt:variant>
    </vt:vector>
  </HeadingPairs>
  <TitlesOfParts>
    <vt:vector size="1" baseType="lpstr">
      <vt:lpstr>•</vt:lpstr>
    </vt:vector>
  </TitlesOfParts>
  <Company>The Commonwealth Grants Commission</Company>
  <LinksUpToDate>false</LinksUpToDate>
  <CharactersWithSpaces>610406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Deborah Fleming</dc:creator>
  <cp:keywords/>
  <dc:description/>
  <cp:lastModifiedBy>Deborah Fleming</cp:lastModifiedBy>
  <cp:revision>74</cp:revision>
  <cp:lastPrinted>2020-02-27T22:36:00Z</cp:lastPrinted>
  <dcterms:created xsi:type="dcterms:W3CDTF">2020-02-24T23:55:00Z</dcterms:created>
  <dcterms:modified xsi:type="dcterms:W3CDTF">2020-02-27T22:37:00Z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0x0101009AEA9839F97DA84EAC43A7FB852BABF8</vt:lpwstr>
  </property>
</Properties>
</file>